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02B9" w:rsidR="00392792" w:rsidP="00392792" w:rsidRDefault="00392792" w14:paraId="15DC98FB" w14:textId="77777777">
      <w:pPr>
        <w:pStyle w:val="NoSpacing"/>
        <w:rPr>
          <w:rFonts w:asciiTheme="minorHAnsi" w:hAnsiTheme="minorHAnsi"/>
          <w:b w:val="0"/>
          <w:szCs w:val="24"/>
        </w:rPr>
      </w:pPr>
      <w:r w:rsidRPr="003702B9">
        <w:rPr>
          <w:rFonts w:asciiTheme="minorHAnsi" w:hAnsiTheme="minorHAnsi"/>
          <w:szCs w:val="24"/>
        </w:rPr>
        <w:t>SUPPORTING STATEMENT PART A FOR</w:t>
      </w:r>
    </w:p>
    <w:p w:rsidRPr="003702B9" w:rsidR="00392792" w:rsidP="00392792" w:rsidRDefault="00392792" w14:paraId="4AE58031" w14:textId="77777777">
      <w:pPr>
        <w:pStyle w:val="NoSpacing"/>
        <w:rPr>
          <w:rFonts w:asciiTheme="minorHAnsi" w:hAnsiTheme="minorHAnsi"/>
          <w:b w:val="0"/>
          <w:szCs w:val="24"/>
        </w:rPr>
      </w:pPr>
    </w:p>
    <w:p w:rsidR="001C0E9E" w:rsidP="00392792" w:rsidRDefault="001C0E9E" w14:paraId="663770E4" w14:textId="77777777">
      <w:pPr>
        <w:jc w:val="center"/>
        <w:rPr>
          <w:rFonts w:asciiTheme="minorHAnsi" w:hAnsiTheme="minorHAnsi"/>
          <w:b/>
          <w:szCs w:val="24"/>
        </w:rPr>
      </w:pPr>
      <w:r>
        <w:rPr>
          <w:rFonts w:asciiTheme="minorHAnsi" w:hAnsiTheme="minorHAnsi"/>
          <w:b/>
          <w:szCs w:val="24"/>
        </w:rPr>
        <w:t xml:space="preserve">Field Test for the </w:t>
      </w:r>
      <w:r w:rsidR="00FB34A6">
        <w:rPr>
          <w:rFonts w:asciiTheme="minorHAnsi" w:hAnsiTheme="minorHAnsi"/>
          <w:b/>
          <w:szCs w:val="24"/>
        </w:rPr>
        <w:t xml:space="preserve">Second </w:t>
      </w:r>
    </w:p>
    <w:p w:rsidRPr="003702B9" w:rsidR="00392792" w:rsidP="00392792" w:rsidRDefault="00FB34A6" w14:paraId="6173BBAE" w14:textId="77F2BF87">
      <w:pPr>
        <w:jc w:val="center"/>
        <w:rPr>
          <w:rFonts w:asciiTheme="minorHAnsi" w:hAnsiTheme="minorHAnsi"/>
          <w:b/>
          <w:szCs w:val="24"/>
        </w:rPr>
      </w:pPr>
      <w:r>
        <w:rPr>
          <w:rFonts w:asciiTheme="minorHAnsi" w:hAnsiTheme="minorHAnsi"/>
          <w:b/>
          <w:szCs w:val="24"/>
        </w:rPr>
        <w:t>National Household Food Acquisition and Purchase Survey (FoodAPS-2)</w:t>
      </w:r>
    </w:p>
    <w:p w:rsidRPr="003702B9" w:rsidR="00392792" w:rsidP="00392792" w:rsidRDefault="00392792" w14:paraId="2FF3E0EC" w14:textId="77777777">
      <w:pPr>
        <w:pStyle w:val="NoSpacing"/>
        <w:rPr>
          <w:rFonts w:asciiTheme="minorHAnsi" w:hAnsiTheme="minorHAnsi"/>
          <w:b w:val="0"/>
          <w:szCs w:val="24"/>
        </w:rPr>
      </w:pPr>
    </w:p>
    <w:p w:rsidRPr="003702B9" w:rsidR="00392792" w:rsidP="00392792" w:rsidRDefault="00392792" w14:paraId="3A0887FD" w14:textId="77777777">
      <w:pPr>
        <w:pStyle w:val="NoSpacing"/>
        <w:rPr>
          <w:rFonts w:asciiTheme="minorHAnsi" w:hAnsiTheme="minorHAnsi"/>
          <w:b w:val="0"/>
          <w:szCs w:val="24"/>
        </w:rPr>
      </w:pPr>
    </w:p>
    <w:p w:rsidR="00F26BAB" w:rsidP="00392792" w:rsidRDefault="00F26BAB" w14:paraId="1AF20D09" w14:textId="77777777">
      <w:pPr>
        <w:pStyle w:val="NoSpacing"/>
        <w:rPr>
          <w:rFonts w:asciiTheme="minorHAnsi" w:hAnsiTheme="minorHAnsi"/>
          <w:szCs w:val="24"/>
        </w:rPr>
      </w:pPr>
      <w:r>
        <w:rPr>
          <w:rFonts w:asciiTheme="minorHAnsi" w:hAnsiTheme="minorHAnsi"/>
          <w:szCs w:val="24"/>
        </w:rPr>
        <w:t>Food Economics Division</w:t>
      </w:r>
    </w:p>
    <w:p w:rsidRPr="000F00EB" w:rsidR="00392792" w:rsidP="00392792" w:rsidRDefault="00F26BAB" w14:paraId="52EADF5F" w14:textId="77777777">
      <w:pPr>
        <w:pStyle w:val="NoSpacing"/>
        <w:rPr>
          <w:rFonts w:asciiTheme="minorHAnsi" w:hAnsiTheme="minorHAnsi"/>
          <w:b w:val="0"/>
          <w:szCs w:val="24"/>
        </w:rPr>
      </w:pPr>
      <w:r>
        <w:rPr>
          <w:rFonts w:asciiTheme="minorHAnsi" w:hAnsiTheme="minorHAnsi"/>
          <w:szCs w:val="24"/>
        </w:rPr>
        <w:t>Economic Research Service</w:t>
      </w:r>
    </w:p>
    <w:p w:rsidRPr="000F00EB" w:rsidR="00392792" w:rsidP="00392792" w:rsidRDefault="00392792" w14:paraId="178815D5" w14:textId="77777777">
      <w:pPr>
        <w:pStyle w:val="NoSpacing"/>
        <w:rPr>
          <w:rFonts w:asciiTheme="minorHAnsi" w:hAnsiTheme="minorHAnsi"/>
          <w:b w:val="0"/>
          <w:szCs w:val="24"/>
        </w:rPr>
      </w:pPr>
      <w:r w:rsidRPr="000F00EB">
        <w:rPr>
          <w:rFonts w:asciiTheme="minorHAnsi" w:hAnsiTheme="minorHAnsi"/>
          <w:szCs w:val="24"/>
        </w:rPr>
        <w:t>US Department of Agriculture</w:t>
      </w:r>
    </w:p>
    <w:p w:rsidRPr="000F00EB" w:rsidR="00392792" w:rsidP="00392792" w:rsidRDefault="00AF25DE" w14:paraId="5ABA4972" w14:textId="77777777">
      <w:pPr>
        <w:pStyle w:val="NoSpacing"/>
        <w:rPr>
          <w:rFonts w:asciiTheme="minorHAnsi" w:hAnsiTheme="minorHAnsi"/>
          <w:b w:val="0"/>
          <w:szCs w:val="24"/>
        </w:rPr>
      </w:pPr>
      <w:r>
        <w:rPr>
          <w:rFonts w:asciiTheme="minorHAnsi" w:hAnsiTheme="minorHAnsi"/>
          <w:szCs w:val="24"/>
        </w:rPr>
        <w:t>1400 Independence Avenue, SW, Mail Stop 1800</w:t>
      </w:r>
    </w:p>
    <w:p w:rsidRPr="00A171AB" w:rsidR="00392792" w:rsidP="00392792" w:rsidRDefault="00F26BAB" w14:paraId="37A075AD" w14:textId="77777777">
      <w:pPr>
        <w:pStyle w:val="NoSpacing"/>
        <w:rPr>
          <w:rFonts w:asciiTheme="minorHAnsi" w:hAnsiTheme="minorHAnsi"/>
          <w:b w:val="0"/>
          <w:szCs w:val="24"/>
          <w:lang w:val="fr-FR"/>
        </w:rPr>
      </w:pPr>
      <w:r>
        <w:rPr>
          <w:rFonts w:asciiTheme="minorHAnsi" w:hAnsiTheme="minorHAnsi"/>
          <w:szCs w:val="24"/>
          <w:lang w:val="fr-FR"/>
        </w:rPr>
        <w:t>Washington, DC 20</w:t>
      </w:r>
      <w:r w:rsidR="00AF25DE">
        <w:rPr>
          <w:rFonts w:asciiTheme="minorHAnsi" w:hAnsiTheme="minorHAnsi"/>
          <w:szCs w:val="24"/>
          <w:lang w:val="fr-FR"/>
        </w:rPr>
        <w:t>250-1800</w:t>
      </w:r>
    </w:p>
    <w:p w:rsidRPr="00A171AB" w:rsidR="00D76B01" w:rsidP="00D76B01" w:rsidRDefault="00D76B01" w14:paraId="6475D7C0" w14:textId="77777777">
      <w:pPr>
        <w:pStyle w:val="NoSpacing"/>
        <w:rPr>
          <w:rFonts w:asciiTheme="minorHAnsi" w:hAnsiTheme="minorHAnsi"/>
          <w:b w:val="0"/>
          <w:szCs w:val="24"/>
          <w:lang w:val="fr-FR"/>
        </w:rPr>
      </w:pPr>
      <w:r w:rsidRPr="00A171AB">
        <w:rPr>
          <w:rFonts w:asciiTheme="minorHAnsi" w:hAnsiTheme="minorHAnsi"/>
          <w:szCs w:val="24"/>
          <w:lang w:val="fr-FR"/>
        </w:rPr>
        <w:t xml:space="preserve">Phone: </w:t>
      </w:r>
      <w:r>
        <w:rPr>
          <w:rFonts w:asciiTheme="minorHAnsi" w:hAnsiTheme="minorHAnsi"/>
          <w:szCs w:val="24"/>
          <w:lang w:val="fr-FR"/>
        </w:rPr>
        <w:t>202-694-5398</w:t>
      </w:r>
    </w:p>
    <w:p w:rsidR="00D76B01" w:rsidP="00D76B01" w:rsidRDefault="00D76B01" w14:paraId="17E2D1BF" w14:textId="77777777">
      <w:pPr>
        <w:pStyle w:val="NoSpacing"/>
        <w:rPr>
          <w:rFonts w:asciiTheme="minorHAnsi" w:hAnsiTheme="minorHAnsi"/>
          <w:szCs w:val="24"/>
          <w:lang w:val="fr-FR"/>
        </w:rPr>
      </w:pPr>
      <w:r w:rsidRPr="00A171AB">
        <w:rPr>
          <w:rFonts w:asciiTheme="minorHAnsi" w:hAnsiTheme="minorHAnsi"/>
          <w:szCs w:val="24"/>
          <w:lang w:val="fr-FR"/>
        </w:rPr>
        <w:t xml:space="preserve">Fax: </w:t>
      </w:r>
      <w:r>
        <w:rPr>
          <w:rFonts w:asciiTheme="minorHAnsi" w:hAnsiTheme="minorHAnsi"/>
          <w:szCs w:val="24"/>
          <w:lang w:val="fr-FR"/>
        </w:rPr>
        <w:t>202-694-5661</w:t>
      </w:r>
    </w:p>
    <w:p w:rsidR="00392792" w:rsidP="00392792" w:rsidRDefault="00392792" w14:paraId="295CACD5" w14:textId="688039E1">
      <w:pPr>
        <w:pStyle w:val="NoSpacing"/>
        <w:rPr>
          <w:rFonts w:asciiTheme="minorHAnsi" w:hAnsiTheme="minorHAnsi"/>
          <w:szCs w:val="24"/>
          <w:lang w:val="fr-FR"/>
        </w:rPr>
      </w:pPr>
    </w:p>
    <w:p w:rsidRPr="00A171AB" w:rsidR="00AF25DE" w:rsidP="00392792" w:rsidRDefault="00AF25DE" w14:paraId="635F3CB8" w14:textId="1F3701F2">
      <w:pPr>
        <w:pStyle w:val="NoSpacing"/>
        <w:rPr>
          <w:rFonts w:asciiTheme="minorHAnsi" w:hAnsiTheme="minorHAnsi"/>
          <w:b w:val="0"/>
          <w:szCs w:val="24"/>
          <w:lang w:val="fr-FR"/>
        </w:rPr>
      </w:pPr>
      <w:proofErr w:type="gramStart"/>
      <w:r>
        <w:rPr>
          <w:rFonts w:asciiTheme="minorHAnsi" w:hAnsiTheme="minorHAnsi"/>
          <w:szCs w:val="24"/>
          <w:lang w:val="fr-FR"/>
        </w:rPr>
        <w:t>E-mail:</w:t>
      </w:r>
      <w:proofErr w:type="gramEnd"/>
      <w:r>
        <w:rPr>
          <w:rFonts w:asciiTheme="minorHAnsi" w:hAnsiTheme="minorHAnsi"/>
          <w:szCs w:val="24"/>
          <w:lang w:val="fr-FR"/>
        </w:rPr>
        <w:t xml:space="preserve"> </w:t>
      </w:r>
      <w:r w:rsidR="005E78C9">
        <w:rPr>
          <w:rFonts w:ascii="Garamond" w:hAnsi="Garamond"/>
          <w:szCs w:val="24"/>
        </w:rPr>
        <w:t>jeffrey.gonzalez</w:t>
      </w:r>
      <w:r w:rsidRPr="00163F0E" w:rsidR="005E78C9">
        <w:rPr>
          <w:rFonts w:ascii="Garamond" w:hAnsi="Garamond"/>
          <w:szCs w:val="24"/>
        </w:rPr>
        <w:t>@usda.gov</w:t>
      </w:r>
    </w:p>
    <w:p w:rsidRPr="00A171AB" w:rsidR="00392792" w:rsidP="00392792" w:rsidRDefault="00392792" w14:paraId="57A95AC6" w14:textId="77777777">
      <w:pPr>
        <w:pStyle w:val="NoSpacing"/>
        <w:rPr>
          <w:rFonts w:asciiTheme="minorHAnsi" w:hAnsiTheme="minorHAnsi"/>
          <w:b w:val="0"/>
          <w:szCs w:val="24"/>
          <w:lang w:val="fr-FR"/>
        </w:rPr>
      </w:pPr>
    </w:p>
    <w:p w:rsidRPr="00A171AB" w:rsidR="0051381C" w:rsidP="0051381C" w:rsidRDefault="0051381C" w14:paraId="170C4868" w14:textId="77777777">
      <w:pPr>
        <w:spacing w:line="14" w:lineRule="exact"/>
        <w:rPr>
          <w:lang w:val="fr-FR"/>
        </w:rPr>
        <w:sectPr w:rsidRPr="00A171AB" w:rsidR="0051381C" w:rsidSect="0051381C">
          <w:footerReference w:type="default" r:id="rId11"/>
          <w:pgSz w:w="12240" w:h="15840" w:code="1"/>
          <w:pgMar w:top="2520" w:right="576" w:bottom="432" w:left="662" w:header="720" w:footer="576" w:gutter="0"/>
          <w:cols w:space="720"/>
          <w:titlePg/>
          <w:docGrid w:linePitch="360"/>
        </w:sectPr>
      </w:pPr>
    </w:p>
    <w:p w:rsidRPr="00A171AB" w:rsidR="0051381C" w:rsidP="0051381C" w:rsidRDefault="0051381C" w14:paraId="4D427587" w14:textId="77777777">
      <w:pPr>
        <w:spacing w:line="14" w:lineRule="exact"/>
        <w:rPr>
          <w:lang w:val="fr-FR"/>
        </w:rPr>
      </w:pPr>
    </w:p>
    <w:p w:rsidR="007C2CD6" w:rsidP="007C2CD6" w:rsidRDefault="007C2CD6" w14:paraId="09A39B48" w14:textId="77777777">
      <w:pPr>
        <w:pStyle w:val="TC-TableofContentsHeading"/>
      </w:pPr>
      <w:r>
        <w:t>Table of Contents</w:t>
      </w:r>
    </w:p>
    <w:p w:rsidR="007C2CD6" w:rsidP="007C2CD6" w:rsidRDefault="009C4246" w14:paraId="6488C776" w14:textId="77777777">
      <w:pPr>
        <w:pStyle w:val="T0-ChapPgHd"/>
      </w:pPr>
      <w:r>
        <w:t>Section</w:t>
      </w:r>
      <w:r w:rsidR="007C2CD6">
        <w:tab/>
        <w:t>Page</w:t>
      </w:r>
    </w:p>
    <w:p w:rsidR="00504187" w:rsidP="00504187" w:rsidRDefault="00504187" w14:paraId="072C8395" w14:textId="6403A7F4">
      <w:pPr>
        <w:pStyle w:val="TOC1"/>
        <w:spacing w:line="360" w:lineRule="atLeast"/>
      </w:pPr>
      <w:r>
        <w:t>Part A.  Justification</w:t>
      </w:r>
      <w:r>
        <w:tab/>
      </w:r>
      <w:r>
        <w:tab/>
        <w:t>1</w:t>
      </w:r>
    </w:p>
    <w:p w:rsidR="00504187" w:rsidP="00504187" w:rsidRDefault="00504187" w14:paraId="51C0A413" w14:textId="5ACE0E85">
      <w:pPr>
        <w:pStyle w:val="TOC1"/>
        <w:spacing w:line="360" w:lineRule="atLeast"/>
        <w:ind w:left="432" w:hanging="432"/>
      </w:pPr>
      <w:r>
        <w:tab/>
        <w:t>A.1  Circumstances Making the Collection of Information Necessary</w:t>
      </w:r>
      <w:r>
        <w:tab/>
      </w:r>
      <w:r>
        <w:tab/>
        <w:t>1</w:t>
      </w:r>
    </w:p>
    <w:p w:rsidR="00504187" w:rsidP="00504187" w:rsidRDefault="00504187" w14:paraId="6663488A" w14:textId="688660F0">
      <w:pPr>
        <w:pStyle w:val="TOC1"/>
        <w:spacing w:line="360" w:lineRule="atLeast"/>
        <w:ind w:left="432" w:hanging="432"/>
      </w:pPr>
      <w:r>
        <w:tab/>
        <w:t>A.2  Purpose and Use of the Information</w:t>
      </w:r>
      <w:r>
        <w:tab/>
      </w:r>
      <w:r>
        <w:tab/>
        <w:t>3</w:t>
      </w:r>
    </w:p>
    <w:p w:rsidR="00504187" w:rsidP="00504187" w:rsidRDefault="00504187" w14:paraId="09E2B598" w14:textId="79189FB8">
      <w:pPr>
        <w:pStyle w:val="TOC1"/>
        <w:spacing w:line="360" w:lineRule="atLeast"/>
        <w:ind w:left="0" w:firstLine="432"/>
      </w:pPr>
      <w:r>
        <w:t>A.3  Use of Information Technology and Burden Reduction</w:t>
      </w:r>
      <w:r>
        <w:tab/>
      </w:r>
      <w:r>
        <w:tab/>
        <w:t>10</w:t>
      </w:r>
    </w:p>
    <w:p w:rsidR="00504187" w:rsidP="00504187" w:rsidRDefault="00504187" w14:paraId="35C4F048" w14:textId="086AE7F5">
      <w:pPr>
        <w:pStyle w:val="TOC1"/>
        <w:spacing w:line="360" w:lineRule="atLeast"/>
        <w:ind w:left="0" w:firstLine="432"/>
      </w:pPr>
      <w:r>
        <w:t>A.4  Efforts to Identify Duplication and Use of Similar Information</w:t>
      </w:r>
      <w:r>
        <w:tab/>
      </w:r>
      <w:r>
        <w:tab/>
        <w:t>12</w:t>
      </w:r>
    </w:p>
    <w:p w:rsidR="00504187" w:rsidP="00504187" w:rsidRDefault="00504187" w14:paraId="559ECB8B" w14:textId="085156E8">
      <w:pPr>
        <w:pStyle w:val="TOC1"/>
        <w:spacing w:line="360" w:lineRule="atLeast"/>
        <w:ind w:left="0" w:firstLine="432"/>
      </w:pPr>
      <w:r>
        <w:t>A.5  Impact on Small Businesses or Other Small Entities</w:t>
      </w:r>
      <w:r>
        <w:tab/>
      </w:r>
      <w:r>
        <w:tab/>
        <w:t>13</w:t>
      </w:r>
    </w:p>
    <w:p w:rsidR="00504187" w:rsidP="00504187" w:rsidRDefault="00504187" w14:paraId="48ACC3F3" w14:textId="337FBEE6">
      <w:pPr>
        <w:pStyle w:val="TOC1"/>
        <w:spacing w:line="360" w:lineRule="atLeast"/>
        <w:ind w:left="0" w:firstLine="432"/>
      </w:pPr>
      <w:r>
        <w:t>A.6  Consequences of Collecting the Information Less Frequently</w:t>
      </w:r>
      <w:r>
        <w:tab/>
      </w:r>
      <w:r>
        <w:tab/>
        <w:t>14</w:t>
      </w:r>
    </w:p>
    <w:p w:rsidR="00504187" w:rsidP="00504187" w:rsidRDefault="00504187" w14:paraId="612DC500" w14:textId="46CB555F">
      <w:pPr>
        <w:pStyle w:val="TOC1"/>
        <w:spacing w:line="360" w:lineRule="atLeast"/>
        <w:ind w:left="0" w:firstLine="432"/>
      </w:pPr>
      <w:r>
        <w:t>A.7  Special Circumstances Relating to the Guidelines of 5 CFR 1320.5</w:t>
      </w:r>
      <w:r>
        <w:tab/>
      </w:r>
      <w:r>
        <w:tab/>
        <w:t>15</w:t>
      </w:r>
    </w:p>
    <w:p w:rsidR="00504187" w:rsidP="00504187" w:rsidRDefault="00504187" w14:paraId="6CB5E603" w14:textId="2A7528C7">
      <w:pPr>
        <w:pStyle w:val="TOC1"/>
        <w:spacing w:line="360" w:lineRule="atLeast"/>
        <w:ind w:left="0" w:firstLine="432"/>
      </w:pPr>
      <w:r>
        <w:t xml:space="preserve">A.8   Responses to the Federal Register Notice and Efforts to Contact Outside </w:t>
      </w:r>
    </w:p>
    <w:p w:rsidR="00504187" w:rsidP="00504187" w:rsidRDefault="00504187" w14:paraId="20A99FB2" w14:textId="77777777">
      <w:pPr>
        <w:pStyle w:val="TOC1"/>
        <w:spacing w:line="360" w:lineRule="atLeast"/>
        <w:ind w:left="0" w:firstLine="432"/>
      </w:pPr>
      <w:r>
        <w:tab/>
        <w:t>Agencies</w:t>
      </w:r>
      <w:r>
        <w:tab/>
      </w:r>
      <w:r>
        <w:tab/>
        <w:t>16</w:t>
      </w:r>
    </w:p>
    <w:p w:rsidR="00504187" w:rsidP="00504187" w:rsidRDefault="00504187" w14:paraId="69D5F1FA" w14:textId="4AABCBC1">
      <w:pPr>
        <w:pStyle w:val="TOC1"/>
        <w:spacing w:line="360" w:lineRule="atLeast"/>
        <w:ind w:left="0" w:firstLine="432"/>
      </w:pPr>
      <w:r>
        <w:t>A.9  Explanation of Any Payment or Gift to Respondents</w:t>
      </w:r>
      <w:r>
        <w:tab/>
      </w:r>
      <w:r>
        <w:tab/>
        <w:t>20</w:t>
      </w:r>
    </w:p>
    <w:p w:rsidR="00504187" w:rsidP="00504187" w:rsidRDefault="00504187" w14:paraId="151432C1" w14:textId="3BB4925D">
      <w:pPr>
        <w:pStyle w:val="TOC1"/>
        <w:spacing w:line="360" w:lineRule="atLeast"/>
        <w:ind w:left="0" w:firstLine="432"/>
      </w:pPr>
      <w:r>
        <w:t>A.10  Assurance of Confidentiality Provided to Respondents</w:t>
      </w:r>
      <w:r>
        <w:tab/>
      </w:r>
      <w:r>
        <w:tab/>
        <w:t>25</w:t>
      </w:r>
    </w:p>
    <w:p w:rsidR="00504187" w:rsidP="00504187" w:rsidRDefault="00504187" w14:paraId="2AC574A9" w14:textId="195FDF2A">
      <w:pPr>
        <w:pStyle w:val="TOC1"/>
        <w:spacing w:line="360" w:lineRule="atLeast"/>
        <w:ind w:left="0" w:firstLine="432"/>
      </w:pPr>
      <w:r>
        <w:t>A.11  Justification for Sensitive Questions</w:t>
      </w:r>
      <w:r>
        <w:tab/>
      </w:r>
      <w:r>
        <w:tab/>
        <w:t xml:space="preserve">26 </w:t>
      </w:r>
    </w:p>
    <w:p w:rsidR="00504187" w:rsidP="00504187" w:rsidRDefault="00504187" w14:paraId="2C792F10" w14:textId="0E011EE2">
      <w:pPr>
        <w:pStyle w:val="TOC1"/>
        <w:spacing w:line="360" w:lineRule="atLeast"/>
        <w:ind w:left="0" w:firstLine="432"/>
      </w:pPr>
      <w:r>
        <w:t>A.12  Estimates of Respondent Burden Including Annualized Hourly Costs</w:t>
      </w:r>
      <w:r>
        <w:tab/>
      </w:r>
      <w:r>
        <w:tab/>
        <w:t>27</w:t>
      </w:r>
    </w:p>
    <w:p w:rsidR="00504187" w:rsidP="00504187" w:rsidRDefault="00504187" w14:paraId="5C488666" w14:textId="5C0A88A9">
      <w:pPr>
        <w:pStyle w:val="TOC1"/>
        <w:spacing w:line="360" w:lineRule="atLeast"/>
        <w:ind w:left="0" w:firstLine="432"/>
      </w:pPr>
      <w:r>
        <w:t>A.13  Estimates of Other Total Annualized Cost Burden</w:t>
      </w:r>
      <w:r>
        <w:tab/>
      </w:r>
      <w:r>
        <w:tab/>
        <w:t>36</w:t>
      </w:r>
    </w:p>
    <w:p w:rsidR="00504187" w:rsidP="00504187" w:rsidRDefault="00504187" w14:paraId="3A2A5BC1" w14:textId="1B299CF4">
      <w:pPr>
        <w:pStyle w:val="TOC1"/>
        <w:spacing w:line="360" w:lineRule="atLeast"/>
        <w:ind w:left="0" w:firstLine="432"/>
      </w:pPr>
      <w:r>
        <w:t>A.14  Annualized Cost to the Federal Government</w:t>
      </w:r>
      <w:r>
        <w:tab/>
      </w:r>
      <w:r>
        <w:tab/>
        <w:t>37</w:t>
      </w:r>
    </w:p>
    <w:p w:rsidR="00504187" w:rsidP="00504187" w:rsidRDefault="00504187" w14:paraId="526949B6" w14:textId="1888EFB1">
      <w:pPr>
        <w:pStyle w:val="TOC1"/>
        <w:spacing w:line="360" w:lineRule="atLeast"/>
        <w:ind w:left="0" w:firstLine="432"/>
      </w:pPr>
      <w:r>
        <w:t>A.15  Explanation for Program Changes or Adjustments</w:t>
      </w:r>
      <w:r>
        <w:tab/>
      </w:r>
      <w:r>
        <w:tab/>
        <w:t>37</w:t>
      </w:r>
    </w:p>
    <w:p w:rsidR="00504187" w:rsidP="00504187" w:rsidRDefault="00504187" w14:paraId="6FE52BBE" w14:textId="26770326">
      <w:pPr>
        <w:pStyle w:val="TOC1"/>
        <w:spacing w:line="360" w:lineRule="atLeast"/>
        <w:ind w:left="0" w:firstLine="432"/>
      </w:pPr>
      <w:r>
        <w:t>A.16  Plans for Tabulation and Publication and Project Time Schedule</w:t>
      </w:r>
      <w:r>
        <w:tab/>
      </w:r>
      <w:r>
        <w:tab/>
        <w:t>38</w:t>
      </w:r>
    </w:p>
    <w:p w:rsidR="00504187" w:rsidP="00504187" w:rsidRDefault="00504187" w14:paraId="7EA3B406" w14:textId="3EC09FB9">
      <w:pPr>
        <w:pStyle w:val="TOC1"/>
        <w:spacing w:line="360" w:lineRule="atLeast"/>
        <w:ind w:left="0" w:firstLine="432"/>
      </w:pPr>
      <w:r>
        <w:t>A.17  Reason Display of OMB Expiration Date Is Inappropriate</w:t>
      </w:r>
      <w:r>
        <w:tab/>
      </w:r>
      <w:r>
        <w:tab/>
        <w:t>39</w:t>
      </w:r>
    </w:p>
    <w:p w:rsidR="00504187" w:rsidP="00504187" w:rsidRDefault="00504187" w14:paraId="4646BD3E" w14:textId="7EBC4AA7">
      <w:pPr>
        <w:pStyle w:val="TOC1"/>
        <w:spacing w:line="360" w:lineRule="atLeast"/>
        <w:ind w:left="0" w:firstLine="432"/>
      </w:pPr>
      <w:r>
        <w:t>A.18  Exceptions to Certification for Paperwork Reduction Act Submissions</w:t>
      </w:r>
      <w:r>
        <w:tab/>
      </w:r>
      <w:r>
        <w:tab/>
        <w:t>39</w:t>
      </w:r>
    </w:p>
    <w:p w:rsidR="002B047A" w:rsidP="00504187" w:rsidRDefault="00504187" w14:paraId="4C85D6C4" w14:textId="1F4F0355">
      <w:pPr>
        <w:pStyle w:val="TOC1"/>
        <w:spacing w:line="360" w:lineRule="atLeast"/>
        <w:ind w:left="0" w:firstLine="0"/>
      </w:pPr>
      <w:r>
        <w:t>References</w:t>
      </w:r>
      <w:r>
        <w:tab/>
      </w:r>
      <w:r>
        <w:tab/>
      </w:r>
      <w:r>
        <w:tab/>
        <w:t>40</w:t>
      </w:r>
    </w:p>
    <w:p w:rsidR="0065536B" w:rsidRDefault="0065536B" w14:paraId="458D031B" w14:textId="77777777">
      <w:pPr>
        <w:spacing w:line="240" w:lineRule="auto"/>
        <w:rPr>
          <w:rFonts w:ascii="Franklin Gothic Medium" w:hAnsi="Franklin Gothic Medium"/>
          <w:b/>
          <w:color w:val="324162"/>
          <w:sz w:val="32"/>
        </w:rPr>
      </w:pPr>
      <w:r>
        <w:br w:type="page"/>
      </w:r>
    </w:p>
    <w:p w:rsidRPr="00C13FB8" w:rsidR="00C13FB8" w:rsidP="007C2CD6" w:rsidRDefault="00C13FB8" w14:paraId="66633BE8" w14:textId="3E6AE740">
      <w:pPr>
        <w:pStyle w:val="T0-ChapPgHd"/>
        <w:rPr>
          <w:u w:val="single"/>
        </w:rPr>
      </w:pPr>
      <w:r w:rsidRPr="00C13FB8">
        <w:rPr>
          <w:u w:val="single"/>
        </w:rPr>
        <w:t>A</w:t>
      </w:r>
      <w:r w:rsidR="00E57DD4">
        <w:rPr>
          <w:u w:val="single"/>
        </w:rPr>
        <w:t>ttachments</w:t>
      </w:r>
    </w:p>
    <w:p w:rsidR="00C13FB8" w:rsidP="007C2CD6" w:rsidRDefault="00C13FB8" w14:paraId="07FE1777" w14:textId="77777777">
      <w:pPr>
        <w:pStyle w:val="T0-ChapPgHd"/>
      </w:pPr>
    </w:p>
    <w:p w:rsidRPr="000823FE" w:rsidR="001A0758" w:rsidP="001A0758" w:rsidRDefault="001A0758" w14:paraId="31325E8B" w14:textId="77777777">
      <w:pPr>
        <w:autoSpaceDE w:val="0"/>
        <w:autoSpaceDN w:val="0"/>
        <w:adjustRightInd w:val="0"/>
        <w:spacing w:line="360" w:lineRule="atLeast"/>
        <w:rPr>
          <w:szCs w:val="24"/>
        </w:rPr>
      </w:pPr>
      <w:r w:rsidRPr="000823FE">
        <w:rPr>
          <w:szCs w:val="24"/>
        </w:rPr>
        <w:t>A.</w:t>
      </w:r>
      <w:r w:rsidRPr="000823FE">
        <w:rPr>
          <w:szCs w:val="24"/>
        </w:rPr>
        <w:tab/>
      </w:r>
      <w:bookmarkStart w:name="_Hlk75865348" w:id="0"/>
      <w:r w:rsidRPr="000823FE">
        <w:rPr>
          <w:szCs w:val="24"/>
        </w:rPr>
        <w:t>Section 2204 of 7 U.S.C. - Agriculture of the Food and Nutrition Act of 2008</w:t>
      </w:r>
      <w:bookmarkEnd w:id="0"/>
      <w:r w:rsidRPr="000823FE">
        <w:rPr>
          <w:szCs w:val="24"/>
        </w:rPr>
        <w:t xml:space="preserve"> </w:t>
      </w:r>
    </w:p>
    <w:p w:rsidR="001A0758" w:rsidP="001A0758" w:rsidRDefault="001A0758" w14:paraId="7461B862" w14:textId="4B41F69B">
      <w:pPr>
        <w:autoSpaceDE w:val="0"/>
        <w:autoSpaceDN w:val="0"/>
        <w:adjustRightInd w:val="0"/>
        <w:spacing w:line="360" w:lineRule="atLeast"/>
      </w:pPr>
      <w:r w:rsidRPr="000823FE">
        <w:t>B.</w:t>
      </w:r>
      <w:r w:rsidRPr="000823FE">
        <w:tab/>
        <w:t xml:space="preserve">Recruitment Screener </w:t>
      </w:r>
    </w:p>
    <w:p w:rsidRPr="000823FE" w:rsidR="0072752B" w:rsidP="001A0758" w:rsidRDefault="0072752B" w14:paraId="3C9E8255" w14:textId="2CE48861">
      <w:pPr>
        <w:autoSpaceDE w:val="0"/>
        <w:autoSpaceDN w:val="0"/>
        <w:adjustRightInd w:val="0"/>
        <w:spacing w:line="360" w:lineRule="atLeast"/>
      </w:pPr>
      <w:r>
        <w:t>B1.</w:t>
      </w:r>
      <w:r>
        <w:tab/>
        <w:t xml:space="preserve">Web </w:t>
      </w:r>
      <w:proofErr w:type="spellStart"/>
      <w:r>
        <w:t>Screenonshots</w:t>
      </w:r>
      <w:proofErr w:type="spellEnd"/>
      <w:r>
        <w:t xml:space="preserve"> for Recruitment Screener</w:t>
      </w:r>
    </w:p>
    <w:p w:rsidRPr="000823FE" w:rsidR="001A0758" w:rsidP="001A0758" w:rsidRDefault="001A0758" w14:paraId="63EB8927" w14:textId="59A74311">
      <w:pPr>
        <w:autoSpaceDE w:val="0"/>
        <w:autoSpaceDN w:val="0"/>
        <w:adjustRightInd w:val="0"/>
        <w:spacing w:line="360" w:lineRule="atLeast"/>
      </w:pPr>
      <w:r w:rsidRPr="000823FE">
        <w:t>C1.</w:t>
      </w:r>
      <w:r w:rsidRPr="000823FE">
        <w:tab/>
        <w:t xml:space="preserve">Introductory </w:t>
      </w:r>
      <w:r w:rsidR="00E03F6A">
        <w:t>L</w:t>
      </w:r>
      <w:r w:rsidRPr="000823FE">
        <w:t xml:space="preserve">etter </w:t>
      </w:r>
    </w:p>
    <w:p w:rsidRPr="000823FE" w:rsidR="001A0758" w:rsidP="001A0758" w:rsidRDefault="001A0758" w14:paraId="5DF97941" w14:textId="77777777">
      <w:pPr>
        <w:autoSpaceDE w:val="0"/>
        <w:autoSpaceDN w:val="0"/>
        <w:adjustRightInd w:val="0"/>
        <w:spacing w:line="360" w:lineRule="atLeast"/>
      </w:pPr>
      <w:r w:rsidRPr="000823FE">
        <w:t xml:space="preserve">C2. </w:t>
      </w:r>
      <w:r w:rsidRPr="000823FE">
        <w:tab/>
        <w:t>First Nonresponse Letter</w:t>
      </w:r>
    </w:p>
    <w:p w:rsidRPr="000823FE" w:rsidR="001A0758" w:rsidP="001A0758" w:rsidRDefault="001A0758" w14:paraId="46AD9585" w14:textId="15915FC4">
      <w:pPr>
        <w:autoSpaceDE w:val="0"/>
        <w:autoSpaceDN w:val="0"/>
        <w:adjustRightInd w:val="0"/>
        <w:spacing w:line="360" w:lineRule="atLeast"/>
      </w:pPr>
      <w:r w:rsidRPr="000823FE">
        <w:t xml:space="preserve">C3. </w:t>
      </w:r>
      <w:r w:rsidRPr="000823FE">
        <w:tab/>
        <w:t xml:space="preserve">Postcard </w:t>
      </w:r>
      <w:r w:rsidR="00E03F6A">
        <w:t>N</w:t>
      </w:r>
      <w:r w:rsidRPr="000823FE">
        <w:t xml:space="preserve">onresponse </w:t>
      </w:r>
    </w:p>
    <w:p w:rsidR="001A0758" w:rsidP="001A0758" w:rsidRDefault="001A0758" w14:paraId="0C4DE02B" w14:textId="7E0149AE">
      <w:pPr>
        <w:autoSpaceDE w:val="0"/>
        <w:autoSpaceDN w:val="0"/>
        <w:adjustRightInd w:val="0"/>
        <w:spacing w:line="360" w:lineRule="atLeast"/>
      </w:pPr>
      <w:r w:rsidRPr="000823FE">
        <w:t xml:space="preserve">D1. </w:t>
      </w:r>
      <w:r w:rsidRPr="000823FE">
        <w:tab/>
        <w:t xml:space="preserve">In-person </w:t>
      </w:r>
      <w:r w:rsidR="00E03F6A">
        <w:t>S</w:t>
      </w:r>
      <w:r w:rsidRPr="000823FE">
        <w:t xml:space="preserve">creening </w:t>
      </w:r>
      <w:r w:rsidR="00E03F6A">
        <w:t>A</w:t>
      </w:r>
      <w:r w:rsidRPr="000823FE">
        <w:t xml:space="preserve">dvance </w:t>
      </w:r>
      <w:r w:rsidR="00E03F6A">
        <w:t>L</w:t>
      </w:r>
      <w:r w:rsidRPr="000823FE">
        <w:t xml:space="preserve">etter </w:t>
      </w:r>
    </w:p>
    <w:p w:rsidRPr="000823FE" w:rsidR="00154983" w:rsidP="001A0758" w:rsidRDefault="00154983" w14:paraId="12749F4F" w14:textId="3E45EC41">
      <w:pPr>
        <w:autoSpaceDE w:val="0"/>
        <w:autoSpaceDN w:val="0"/>
        <w:adjustRightInd w:val="0"/>
        <w:spacing w:line="360" w:lineRule="atLeast"/>
      </w:pPr>
      <w:r>
        <w:t>D1a.</w:t>
      </w:r>
      <w:r>
        <w:tab/>
        <w:t>In-person Screening Advance Letter for Recruitment Screener Nonrespondents</w:t>
      </w:r>
    </w:p>
    <w:p w:rsidRPr="000823FE" w:rsidR="001A0758" w:rsidP="001A0758" w:rsidRDefault="001A0758" w14:paraId="229D84B9" w14:textId="77777777">
      <w:pPr>
        <w:autoSpaceDE w:val="0"/>
        <w:autoSpaceDN w:val="0"/>
        <w:adjustRightInd w:val="0"/>
        <w:spacing w:line="360" w:lineRule="atLeast"/>
      </w:pPr>
      <w:r w:rsidRPr="000823FE">
        <w:t>D2.</w:t>
      </w:r>
      <w:r w:rsidRPr="000823FE">
        <w:tab/>
        <w:t>Interviewer Authorization Letter</w:t>
      </w:r>
    </w:p>
    <w:p w:rsidRPr="000823FE" w:rsidR="001A0758" w:rsidP="001A0758" w:rsidRDefault="001A0758" w14:paraId="0FF98267" w14:textId="77777777">
      <w:pPr>
        <w:autoSpaceDE w:val="0"/>
        <w:autoSpaceDN w:val="0"/>
        <w:adjustRightInd w:val="0"/>
        <w:spacing w:line="360" w:lineRule="atLeast"/>
      </w:pPr>
      <w:r w:rsidRPr="000823FE">
        <w:t>D3.</w:t>
      </w:r>
      <w:r w:rsidRPr="000823FE">
        <w:tab/>
        <w:t>Gated Community Letter</w:t>
      </w:r>
    </w:p>
    <w:p w:rsidRPr="000823FE" w:rsidR="001A0758" w:rsidP="001A0758" w:rsidRDefault="001A0758" w14:paraId="720C710C" w14:textId="77777777">
      <w:pPr>
        <w:autoSpaceDE w:val="0"/>
        <w:autoSpaceDN w:val="0"/>
        <w:adjustRightInd w:val="0"/>
        <w:spacing w:line="360" w:lineRule="atLeast"/>
      </w:pPr>
      <w:r w:rsidRPr="000823FE">
        <w:t>D4.</w:t>
      </w:r>
      <w:r w:rsidRPr="000823FE">
        <w:tab/>
        <w:t>Refusal Conversion Letter</w:t>
      </w:r>
    </w:p>
    <w:p w:rsidRPr="000823FE" w:rsidR="001A0758" w:rsidP="001A0758" w:rsidRDefault="001A0758" w14:paraId="6259CC13" w14:textId="77777777">
      <w:pPr>
        <w:autoSpaceDE w:val="0"/>
        <w:autoSpaceDN w:val="0"/>
        <w:adjustRightInd w:val="0"/>
        <w:spacing w:line="360" w:lineRule="atLeast"/>
      </w:pPr>
      <w:r w:rsidRPr="000823FE">
        <w:t>D5.</w:t>
      </w:r>
      <w:r w:rsidRPr="000823FE">
        <w:tab/>
        <w:t>Frequently Asked Questions and Responses</w:t>
      </w:r>
    </w:p>
    <w:p w:rsidRPr="000823FE" w:rsidR="001A0758" w:rsidP="001A0758" w:rsidRDefault="001A0758" w14:paraId="29F6D257" w14:textId="77777777">
      <w:pPr>
        <w:autoSpaceDE w:val="0"/>
        <w:autoSpaceDN w:val="0"/>
        <w:adjustRightInd w:val="0"/>
        <w:spacing w:line="360" w:lineRule="atLeast"/>
      </w:pPr>
      <w:r w:rsidRPr="000823FE">
        <w:t>E.</w:t>
      </w:r>
      <w:r w:rsidRPr="000823FE">
        <w:tab/>
        <w:t>In-person Household Screener</w:t>
      </w:r>
    </w:p>
    <w:p w:rsidRPr="000823FE" w:rsidR="001A0758" w:rsidP="001A0758" w:rsidRDefault="001A0758" w14:paraId="7CF01A7C" w14:textId="5DF79C16">
      <w:pPr>
        <w:autoSpaceDE w:val="0"/>
        <w:autoSpaceDN w:val="0"/>
        <w:adjustRightInd w:val="0"/>
        <w:spacing w:line="360" w:lineRule="atLeast"/>
      </w:pPr>
      <w:r w:rsidRPr="000823FE">
        <w:t xml:space="preserve">F1. </w:t>
      </w:r>
      <w:r w:rsidRPr="000823FE">
        <w:tab/>
        <w:t>Household Consent Form</w:t>
      </w:r>
      <w:r w:rsidR="008A0550">
        <w:t xml:space="preserve"> and Disclaimer</w:t>
      </w:r>
    </w:p>
    <w:p w:rsidRPr="000823FE" w:rsidR="001A0758" w:rsidP="001A0758" w:rsidRDefault="001A0758" w14:paraId="223500CF" w14:textId="77777777">
      <w:pPr>
        <w:autoSpaceDE w:val="0"/>
        <w:autoSpaceDN w:val="0"/>
        <w:adjustRightInd w:val="0"/>
        <w:spacing w:line="360" w:lineRule="atLeast"/>
      </w:pPr>
      <w:r w:rsidRPr="000823FE">
        <w:t>F2.</w:t>
      </w:r>
      <w:r w:rsidRPr="000823FE">
        <w:tab/>
        <w:t>Parental Consent Form</w:t>
      </w:r>
    </w:p>
    <w:p w:rsidR="001A0758" w:rsidP="001A0758" w:rsidRDefault="001A0758" w14:paraId="666CBF1E" w14:textId="3691046C">
      <w:pPr>
        <w:autoSpaceDE w:val="0"/>
        <w:autoSpaceDN w:val="0"/>
        <w:adjustRightInd w:val="0"/>
        <w:spacing w:line="360" w:lineRule="atLeast"/>
      </w:pPr>
      <w:r w:rsidRPr="000823FE">
        <w:t>F3.</w:t>
      </w:r>
      <w:r w:rsidRPr="000823FE">
        <w:tab/>
        <w:t>Individual Assent/Consent Form</w:t>
      </w:r>
    </w:p>
    <w:p w:rsidR="001A0758" w:rsidP="001A0758" w:rsidRDefault="001A0758" w14:paraId="74ECCB65" w14:textId="0148E3FB">
      <w:pPr>
        <w:autoSpaceDE w:val="0"/>
        <w:autoSpaceDN w:val="0"/>
        <w:adjustRightInd w:val="0"/>
        <w:spacing w:line="360" w:lineRule="atLeast"/>
      </w:pPr>
      <w:r w:rsidRPr="000823FE">
        <w:t>G.</w:t>
      </w:r>
      <w:r w:rsidRPr="000823FE">
        <w:tab/>
        <w:t>Initial Household Interview</w:t>
      </w:r>
    </w:p>
    <w:p w:rsidR="0072752B" w:rsidP="001A0758" w:rsidRDefault="0072752B" w14:paraId="645EB274" w14:textId="1C3BD1F3">
      <w:pPr>
        <w:autoSpaceDE w:val="0"/>
        <w:autoSpaceDN w:val="0"/>
        <w:adjustRightInd w:val="0"/>
        <w:spacing w:line="360" w:lineRule="atLeast"/>
      </w:pPr>
      <w:r>
        <w:t>H1.</w:t>
      </w:r>
      <w:r>
        <w:tab/>
        <w:t>NFS Field Test Overview (Interviewer Training)</w:t>
      </w:r>
    </w:p>
    <w:p w:rsidR="0072752B" w:rsidP="001A0758" w:rsidRDefault="0072752B" w14:paraId="3DF22B1F" w14:textId="3523EA81">
      <w:pPr>
        <w:autoSpaceDE w:val="0"/>
        <w:autoSpaceDN w:val="0"/>
        <w:adjustRightInd w:val="0"/>
        <w:spacing w:line="360" w:lineRule="atLeast"/>
      </w:pPr>
      <w:r>
        <w:t>H2.</w:t>
      </w:r>
      <w:r>
        <w:tab/>
        <w:t>Contacting Procedures (Interviewer Training)</w:t>
      </w:r>
    </w:p>
    <w:p w:rsidR="0072752B" w:rsidP="001A0758" w:rsidRDefault="0072752B" w14:paraId="3DE82D68" w14:textId="381BC216">
      <w:pPr>
        <w:autoSpaceDE w:val="0"/>
        <w:autoSpaceDN w:val="0"/>
        <w:adjustRightInd w:val="0"/>
        <w:spacing w:line="360" w:lineRule="atLeast"/>
      </w:pPr>
      <w:r>
        <w:t xml:space="preserve">H3. </w:t>
      </w:r>
      <w:r>
        <w:tab/>
        <w:t>Data Collection (Interviewer Training)</w:t>
      </w:r>
    </w:p>
    <w:p w:rsidR="0072752B" w:rsidP="001A0758" w:rsidRDefault="0072752B" w14:paraId="1BF18EC0" w14:textId="069BC074">
      <w:pPr>
        <w:autoSpaceDE w:val="0"/>
        <w:autoSpaceDN w:val="0"/>
        <w:adjustRightInd w:val="0"/>
        <w:spacing w:line="360" w:lineRule="atLeast"/>
      </w:pPr>
      <w:r>
        <w:t>H4.</w:t>
      </w:r>
      <w:r>
        <w:tab/>
        <w:t>Equipment (Interviewer Training)</w:t>
      </w:r>
    </w:p>
    <w:p w:rsidR="0072752B" w:rsidP="001A0758" w:rsidRDefault="0072752B" w14:paraId="2032C731" w14:textId="5D7F5964">
      <w:pPr>
        <w:autoSpaceDE w:val="0"/>
        <w:autoSpaceDN w:val="0"/>
        <w:adjustRightInd w:val="0"/>
        <w:spacing w:line="360" w:lineRule="atLeast"/>
      </w:pPr>
      <w:r>
        <w:t>H5.</w:t>
      </w:r>
      <w:r>
        <w:tab/>
        <w:t>Mobile Device User Guide (Interviewer Training)</w:t>
      </w:r>
    </w:p>
    <w:p w:rsidR="0072752B" w:rsidP="001A0758" w:rsidRDefault="0072752B" w14:paraId="79952DA3" w14:textId="0BE3549A">
      <w:pPr>
        <w:autoSpaceDE w:val="0"/>
        <w:autoSpaceDN w:val="0"/>
        <w:adjustRightInd w:val="0"/>
        <w:spacing w:line="360" w:lineRule="atLeast"/>
      </w:pPr>
      <w:r>
        <w:t>H6.</w:t>
      </w:r>
      <w:r>
        <w:tab/>
        <w:t>Quality Control (Interviewer Training)</w:t>
      </w:r>
    </w:p>
    <w:p w:rsidR="0072752B" w:rsidP="001A0758" w:rsidRDefault="0072752B" w14:paraId="2B3150D1" w14:textId="17EE3785">
      <w:pPr>
        <w:autoSpaceDE w:val="0"/>
        <w:autoSpaceDN w:val="0"/>
        <w:adjustRightInd w:val="0"/>
        <w:spacing w:line="360" w:lineRule="atLeast"/>
      </w:pPr>
      <w:r>
        <w:t>H7.</w:t>
      </w:r>
      <w:r>
        <w:tab/>
        <w:t>Report Calls (Interviewer Training)</w:t>
      </w:r>
    </w:p>
    <w:p w:rsidRPr="000823FE" w:rsidR="0072752B" w:rsidP="001A0758" w:rsidRDefault="0072752B" w14:paraId="28D49719" w14:textId="2D10DAC7">
      <w:pPr>
        <w:autoSpaceDE w:val="0"/>
        <w:autoSpaceDN w:val="0"/>
        <w:adjustRightInd w:val="0"/>
        <w:spacing w:line="360" w:lineRule="atLeast"/>
      </w:pPr>
      <w:r>
        <w:t>H8.</w:t>
      </w:r>
      <w:r>
        <w:tab/>
        <w:t>Administrative Procedures (Interviewer Training)</w:t>
      </w:r>
    </w:p>
    <w:p w:rsidRPr="000823FE" w:rsidR="001A0758" w:rsidP="001A0758" w:rsidRDefault="001A0758" w14:paraId="3B43D84E" w14:textId="428BC108">
      <w:pPr>
        <w:autoSpaceDE w:val="0"/>
        <w:autoSpaceDN w:val="0"/>
        <w:adjustRightInd w:val="0"/>
        <w:spacing w:line="360" w:lineRule="atLeast"/>
      </w:pPr>
      <w:r w:rsidRPr="000823FE">
        <w:t>I1.</w:t>
      </w:r>
      <w:r w:rsidRPr="000823FE">
        <w:tab/>
      </w:r>
      <w:bookmarkStart w:name="_Hlk75864489" w:id="1"/>
      <w:r w:rsidRPr="000823FE">
        <w:t>How to Connect a Mi</w:t>
      </w:r>
      <w:r w:rsidR="0072752B">
        <w:t>-F</w:t>
      </w:r>
      <w:r w:rsidRPr="000823FE">
        <w:t>i &amp; Barcode Scanner</w:t>
      </w:r>
      <w:bookmarkEnd w:id="1"/>
    </w:p>
    <w:p w:rsidRPr="000823FE" w:rsidR="001A0758" w:rsidP="001A0758" w:rsidRDefault="001A0758" w14:paraId="34CDF07E" w14:textId="77777777">
      <w:pPr>
        <w:autoSpaceDE w:val="0"/>
        <w:autoSpaceDN w:val="0"/>
        <w:adjustRightInd w:val="0"/>
        <w:spacing w:line="360" w:lineRule="atLeast"/>
      </w:pPr>
      <w:r w:rsidRPr="000823FE">
        <w:t>I2.</w:t>
      </w:r>
      <w:r w:rsidRPr="000823FE">
        <w:tab/>
        <w:t>Household Equipment Form</w:t>
      </w:r>
    </w:p>
    <w:p w:rsidR="001A0758" w:rsidP="001A0758" w:rsidRDefault="001A0758" w14:paraId="5B8FE88A" w14:textId="77777777">
      <w:pPr>
        <w:autoSpaceDE w:val="0"/>
        <w:autoSpaceDN w:val="0"/>
        <w:adjustRightInd w:val="0"/>
        <w:spacing w:line="360" w:lineRule="atLeast"/>
      </w:pPr>
      <w:r w:rsidRPr="000823FE">
        <w:t>I3.</w:t>
      </w:r>
      <w:r w:rsidRPr="000823FE">
        <w:tab/>
      </w:r>
      <w:bookmarkStart w:name="_Hlk75865135" w:id="2"/>
      <w:r w:rsidRPr="000823FE">
        <w:t>Downloading and Installing the FoodLogger, Accessing the Food Log, and Survey Concepts</w:t>
      </w:r>
      <w:bookmarkEnd w:id="2"/>
    </w:p>
    <w:p w:rsidR="001A0758" w:rsidP="001A0758" w:rsidRDefault="001A0758" w14:paraId="3AD8DD03" w14:textId="4FABA481">
      <w:pPr>
        <w:autoSpaceDE w:val="0"/>
        <w:autoSpaceDN w:val="0"/>
        <w:adjustRightInd w:val="0"/>
        <w:spacing w:line="360" w:lineRule="atLeast"/>
      </w:pPr>
      <w:r w:rsidRPr="000823FE">
        <w:t>J.</w:t>
      </w:r>
      <w:r w:rsidRPr="000823FE">
        <w:tab/>
        <w:t xml:space="preserve">Profile Questionnaire </w:t>
      </w:r>
    </w:p>
    <w:p w:rsidR="0076135E" w:rsidP="001A0758" w:rsidRDefault="0072752B" w14:paraId="7A6109C9" w14:textId="77777777">
      <w:pPr>
        <w:autoSpaceDE w:val="0"/>
        <w:autoSpaceDN w:val="0"/>
        <w:adjustRightInd w:val="0"/>
        <w:spacing w:line="360" w:lineRule="atLeast"/>
      </w:pPr>
      <w:r>
        <w:t>J1.</w:t>
      </w:r>
      <w:r>
        <w:tab/>
        <w:t>Screenshots of FoodLogger Version of Profile Questionnaire</w:t>
      </w:r>
    </w:p>
    <w:p w:rsidRPr="000823FE" w:rsidR="0072752B" w:rsidP="001A0758" w:rsidRDefault="0076135E" w14:paraId="06D2B884" w14:textId="7D22D852">
      <w:pPr>
        <w:autoSpaceDE w:val="0"/>
        <w:autoSpaceDN w:val="0"/>
        <w:adjustRightInd w:val="0"/>
        <w:spacing w:line="360" w:lineRule="atLeast"/>
      </w:pPr>
      <w:r>
        <w:t>J2.</w:t>
      </w:r>
      <w:r>
        <w:tab/>
        <w:t>Web Screenshots for Profile Questionnaire</w:t>
      </w:r>
    </w:p>
    <w:p w:rsidRPr="000823FE" w:rsidR="001A0758" w:rsidP="001A0758" w:rsidRDefault="001A0758" w14:paraId="2CA37EA1" w14:textId="2F219AC2">
      <w:pPr>
        <w:autoSpaceDE w:val="0"/>
        <w:autoSpaceDN w:val="0"/>
        <w:adjustRightInd w:val="0"/>
        <w:spacing w:line="360" w:lineRule="atLeast"/>
      </w:pPr>
      <w:r w:rsidRPr="000823FE">
        <w:t>K.</w:t>
      </w:r>
      <w:r w:rsidRPr="000823FE">
        <w:tab/>
        <w:t xml:space="preserve">Interviewer </w:t>
      </w:r>
      <w:r w:rsidR="004E6ECB">
        <w:t>O</w:t>
      </w:r>
      <w:r w:rsidRPr="000823FE" w:rsidR="004E6ECB">
        <w:t>bservations</w:t>
      </w:r>
    </w:p>
    <w:p w:rsidR="001A0758" w:rsidP="001A0758" w:rsidRDefault="001A0758" w14:paraId="173DA55B" w14:textId="3634DAE0">
      <w:pPr>
        <w:autoSpaceDE w:val="0"/>
        <w:autoSpaceDN w:val="0"/>
        <w:adjustRightInd w:val="0"/>
        <w:spacing w:line="360" w:lineRule="atLeast"/>
      </w:pPr>
      <w:r w:rsidRPr="000823FE">
        <w:t>L.</w:t>
      </w:r>
      <w:r w:rsidRPr="000823FE">
        <w:tab/>
        <w:t xml:space="preserve">Income </w:t>
      </w:r>
      <w:r w:rsidR="001715BC">
        <w:t>Questionnaire</w:t>
      </w:r>
      <w:r w:rsidRPr="000823FE" w:rsidR="001715BC">
        <w:t xml:space="preserve"> </w:t>
      </w:r>
    </w:p>
    <w:p w:rsidR="0072752B" w:rsidP="001A0758" w:rsidRDefault="0072752B" w14:paraId="24BD9F3D" w14:textId="72BB1E26">
      <w:pPr>
        <w:autoSpaceDE w:val="0"/>
        <w:autoSpaceDN w:val="0"/>
        <w:adjustRightInd w:val="0"/>
        <w:spacing w:line="360" w:lineRule="atLeast"/>
      </w:pPr>
      <w:r>
        <w:t>L1.</w:t>
      </w:r>
      <w:r>
        <w:tab/>
        <w:t>Screenshots of FoodLogger Version of Income Questionnaire</w:t>
      </w:r>
    </w:p>
    <w:p w:rsidRPr="000823FE" w:rsidR="0072752B" w:rsidP="001A0758" w:rsidRDefault="0072752B" w14:paraId="0F8094B7" w14:textId="48E715BC">
      <w:pPr>
        <w:autoSpaceDE w:val="0"/>
        <w:autoSpaceDN w:val="0"/>
        <w:adjustRightInd w:val="0"/>
        <w:spacing w:line="360" w:lineRule="atLeast"/>
      </w:pPr>
      <w:r>
        <w:t>L2.</w:t>
      </w:r>
      <w:r>
        <w:tab/>
        <w:t>Web Screenshots for Income Questionnaire</w:t>
      </w:r>
    </w:p>
    <w:p w:rsidRPr="000823FE" w:rsidR="001A0758" w:rsidP="001A0758" w:rsidRDefault="001A0758" w14:paraId="32FD56BF" w14:textId="77777777">
      <w:pPr>
        <w:autoSpaceDE w:val="0"/>
        <w:autoSpaceDN w:val="0"/>
        <w:adjustRightInd w:val="0"/>
        <w:spacing w:line="360" w:lineRule="atLeast"/>
      </w:pPr>
      <w:r w:rsidRPr="000823FE">
        <w:t>M.</w:t>
      </w:r>
      <w:r w:rsidRPr="000823FE">
        <w:tab/>
        <w:t>Memory Jogger</w:t>
      </w:r>
    </w:p>
    <w:p w:rsidRPr="000823FE" w:rsidR="001A0758" w:rsidP="001A0758" w:rsidRDefault="001A0758" w14:paraId="3BF5AA30" w14:textId="373AD553">
      <w:pPr>
        <w:autoSpaceDE w:val="0"/>
        <w:autoSpaceDN w:val="0"/>
        <w:adjustRightInd w:val="0"/>
        <w:spacing w:line="360" w:lineRule="atLeast"/>
      </w:pPr>
      <w:r w:rsidRPr="000823FE">
        <w:t>N.</w:t>
      </w:r>
      <w:r w:rsidRPr="000823FE">
        <w:tab/>
      </w:r>
      <w:bookmarkStart w:name="_Hlk75874183" w:id="3"/>
      <w:r w:rsidRPr="000823FE">
        <w:t xml:space="preserve">Electronic </w:t>
      </w:r>
      <w:r w:rsidR="00E03F6A">
        <w:t>T</w:t>
      </w:r>
      <w:r w:rsidRPr="000823FE">
        <w:t xml:space="preserve">ext </w:t>
      </w:r>
      <w:r w:rsidR="00C13FBE">
        <w:t>and</w:t>
      </w:r>
      <w:r w:rsidRPr="000823FE" w:rsidR="00C13FBE">
        <w:t xml:space="preserve"> </w:t>
      </w:r>
      <w:r w:rsidRPr="000823FE">
        <w:t xml:space="preserve">e-mail </w:t>
      </w:r>
      <w:r w:rsidR="00E03F6A">
        <w:t>C</w:t>
      </w:r>
      <w:r w:rsidRPr="000823FE">
        <w:t>ommunications</w:t>
      </w:r>
      <w:bookmarkEnd w:id="3"/>
    </w:p>
    <w:p w:rsidRPr="000823FE" w:rsidR="001A0758" w:rsidP="001A0758" w:rsidRDefault="001A0758" w14:paraId="5A8ED43E" w14:textId="77777777">
      <w:pPr>
        <w:autoSpaceDE w:val="0"/>
        <w:autoSpaceDN w:val="0"/>
        <w:adjustRightInd w:val="0"/>
        <w:spacing w:line="360" w:lineRule="atLeast"/>
      </w:pPr>
      <w:r w:rsidRPr="000823FE">
        <w:t>O.</w:t>
      </w:r>
      <w:r w:rsidRPr="000823FE">
        <w:tab/>
        <w:t xml:space="preserve">Debriefing Interview </w:t>
      </w:r>
    </w:p>
    <w:p w:rsidR="001A0758" w:rsidP="001A0758" w:rsidRDefault="001A0758" w14:paraId="34714270" w14:textId="1FE4D9F0">
      <w:pPr>
        <w:autoSpaceDE w:val="0"/>
        <w:autoSpaceDN w:val="0"/>
        <w:adjustRightInd w:val="0"/>
        <w:spacing w:line="360" w:lineRule="atLeast"/>
      </w:pPr>
      <w:r w:rsidRPr="000823FE">
        <w:t>P.</w:t>
      </w:r>
      <w:r w:rsidRPr="000823FE">
        <w:tab/>
        <w:t>Completed OMB Form 83-</w:t>
      </w:r>
      <w:r w:rsidR="003E3700">
        <w:t>i</w:t>
      </w:r>
      <w:r w:rsidR="001F3748">
        <w:rPr>
          <w:rStyle w:val="FootnoteReference"/>
        </w:rPr>
        <w:footnoteReference w:id="2"/>
      </w:r>
    </w:p>
    <w:p w:rsidR="001A0758" w:rsidP="001A0758" w:rsidRDefault="001A0758" w14:paraId="780E9C73" w14:textId="763DE538">
      <w:pPr>
        <w:autoSpaceDE w:val="0"/>
        <w:autoSpaceDN w:val="0"/>
        <w:adjustRightInd w:val="0"/>
        <w:spacing w:line="360" w:lineRule="atLeast"/>
      </w:pPr>
      <w:r w:rsidRPr="000823FE">
        <w:t>Q.</w:t>
      </w:r>
      <w:r w:rsidRPr="000823FE">
        <w:tab/>
      </w:r>
      <w:bookmarkStart w:name="_Hlk75874995" w:id="4"/>
      <w:r w:rsidRPr="000823FE">
        <w:t xml:space="preserve">What To Report and What Not To Report </w:t>
      </w:r>
      <w:r w:rsidR="00C15C7D">
        <w:t>H</w:t>
      </w:r>
      <w:r w:rsidRPr="000823FE" w:rsidR="00C15C7D">
        <w:t xml:space="preserve">andout </w:t>
      </w:r>
    </w:p>
    <w:bookmarkEnd w:id="4"/>
    <w:p w:rsidRPr="000823FE" w:rsidR="001A0758" w:rsidP="001A0758" w:rsidRDefault="001A0758" w14:paraId="6394D8D8" w14:textId="77777777">
      <w:pPr>
        <w:autoSpaceDE w:val="0"/>
        <w:autoSpaceDN w:val="0"/>
        <w:adjustRightInd w:val="0"/>
        <w:spacing w:line="360" w:lineRule="atLeast"/>
      </w:pPr>
      <w:r w:rsidRPr="000823FE">
        <w:t>R1.</w:t>
      </w:r>
      <w:r w:rsidRPr="000823FE">
        <w:tab/>
        <w:t>Food Log Questionnaire</w:t>
      </w:r>
    </w:p>
    <w:p w:rsidR="001A0758" w:rsidP="001A0758" w:rsidRDefault="001A0758" w14:paraId="604FB40D" w14:textId="717F3048">
      <w:pPr>
        <w:autoSpaceDE w:val="0"/>
        <w:autoSpaceDN w:val="0"/>
        <w:adjustRightInd w:val="0"/>
        <w:spacing w:line="360" w:lineRule="atLeast"/>
      </w:pPr>
      <w:r w:rsidRPr="000823FE">
        <w:t>R2.</w:t>
      </w:r>
      <w:r w:rsidRPr="000823FE">
        <w:tab/>
        <w:t xml:space="preserve">Screenshots of FoodLogger </w:t>
      </w:r>
      <w:r w:rsidR="00EC34E0">
        <w:t>V</w:t>
      </w:r>
      <w:r w:rsidRPr="000823FE">
        <w:t>ersion of Food Log</w:t>
      </w:r>
    </w:p>
    <w:p w:rsidR="0072752B" w:rsidP="001A0758" w:rsidRDefault="0072752B" w14:paraId="376C20F5" w14:textId="0CEE485D">
      <w:pPr>
        <w:autoSpaceDE w:val="0"/>
        <w:autoSpaceDN w:val="0"/>
        <w:adjustRightInd w:val="0"/>
        <w:spacing w:line="360" w:lineRule="atLeast"/>
      </w:pPr>
      <w:r>
        <w:t>R3.</w:t>
      </w:r>
      <w:r>
        <w:tab/>
        <w:t>Web Screenshots of Food Log</w:t>
      </w:r>
    </w:p>
    <w:p w:rsidR="0072752B" w:rsidP="001A0758" w:rsidRDefault="00564336" w14:paraId="22A60BC2" w14:textId="77777777">
      <w:pPr>
        <w:autoSpaceDE w:val="0"/>
        <w:autoSpaceDN w:val="0"/>
        <w:adjustRightInd w:val="0"/>
        <w:spacing w:line="360" w:lineRule="atLeast"/>
      </w:pPr>
      <w:r>
        <w:t>S</w:t>
      </w:r>
      <w:r w:rsidR="0072752B">
        <w:t>1</w:t>
      </w:r>
      <w:r>
        <w:t>.</w:t>
      </w:r>
      <w:r>
        <w:tab/>
      </w:r>
      <w:r w:rsidR="0072752B">
        <w:t>60-day FRN Comment #1</w:t>
      </w:r>
    </w:p>
    <w:p w:rsidRPr="000823FE" w:rsidR="0072752B" w:rsidP="0072752B" w:rsidRDefault="0072752B" w14:paraId="571DC51A" w14:textId="777C674F">
      <w:pPr>
        <w:autoSpaceDE w:val="0"/>
        <w:autoSpaceDN w:val="0"/>
        <w:adjustRightInd w:val="0"/>
        <w:spacing w:line="360" w:lineRule="atLeast"/>
      </w:pPr>
      <w:r>
        <w:t>S2.</w:t>
      </w:r>
      <w:r>
        <w:tab/>
        <w:t>60-day FRN Comment #2</w:t>
      </w:r>
    </w:p>
    <w:p w:rsidRPr="000823FE" w:rsidR="0072752B" w:rsidP="0072752B" w:rsidRDefault="0072752B" w14:paraId="4AEE6458" w14:textId="12800B45">
      <w:pPr>
        <w:autoSpaceDE w:val="0"/>
        <w:autoSpaceDN w:val="0"/>
        <w:adjustRightInd w:val="0"/>
        <w:spacing w:line="360" w:lineRule="atLeast"/>
      </w:pPr>
      <w:r>
        <w:t>S3.</w:t>
      </w:r>
      <w:r>
        <w:tab/>
        <w:t>60-day FRN Comment #3</w:t>
      </w:r>
    </w:p>
    <w:p w:rsidRPr="000823FE" w:rsidR="0072752B" w:rsidP="0072752B" w:rsidRDefault="0072752B" w14:paraId="42C0D6D2" w14:textId="09AC4316">
      <w:pPr>
        <w:autoSpaceDE w:val="0"/>
        <w:autoSpaceDN w:val="0"/>
        <w:adjustRightInd w:val="0"/>
        <w:spacing w:line="360" w:lineRule="atLeast"/>
      </w:pPr>
      <w:r>
        <w:t>S4.</w:t>
      </w:r>
      <w:r>
        <w:tab/>
        <w:t>60-day FRN Comment #4</w:t>
      </w:r>
    </w:p>
    <w:p w:rsidRPr="000823FE" w:rsidR="0072752B" w:rsidP="0072752B" w:rsidRDefault="0072752B" w14:paraId="7CAFB6D5" w14:textId="12DB2EAB">
      <w:pPr>
        <w:autoSpaceDE w:val="0"/>
        <w:autoSpaceDN w:val="0"/>
        <w:adjustRightInd w:val="0"/>
        <w:spacing w:line="360" w:lineRule="atLeast"/>
      </w:pPr>
      <w:r>
        <w:t>S5.</w:t>
      </w:r>
      <w:r>
        <w:tab/>
        <w:t>60-day FRN Comment #5</w:t>
      </w:r>
    </w:p>
    <w:p w:rsidRPr="000823FE" w:rsidR="0072752B" w:rsidP="0072752B" w:rsidRDefault="0072752B" w14:paraId="0FE0DCE9" w14:textId="2EF44D53">
      <w:pPr>
        <w:autoSpaceDE w:val="0"/>
        <w:autoSpaceDN w:val="0"/>
        <w:adjustRightInd w:val="0"/>
        <w:spacing w:line="360" w:lineRule="atLeast"/>
      </w:pPr>
      <w:r>
        <w:t>S6.</w:t>
      </w:r>
      <w:r>
        <w:tab/>
        <w:t>60-day FRN Comment #6</w:t>
      </w:r>
    </w:p>
    <w:p w:rsidRPr="000823FE" w:rsidR="0072752B" w:rsidP="0072752B" w:rsidRDefault="0072752B" w14:paraId="2E11F32C" w14:textId="15BBBC9D">
      <w:pPr>
        <w:autoSpaceDE w:val="0"/>
        <w:autoSpaceDN w:val="0"/>
        <w:adjustRightInd w:val="0"/>
        <w:spacing w:line="360" w:lineRule="atLeast"/>
      </w:pPr>
      <w:r>
        <w:t>S7.</w:t>
      </w:r>
      <w:r>
        <w:tab/>
        <w:t>60-day FRN Comment #7</w:t>
      </w:r>
    </w:p>
    <w:p w:rsidRPr="000823FE" w:rsidR="0072752B" w:rsidP="0072752B" w:rsidRDefault="0072752B" w14:paraId="0B53A16B" w14:textId="1D1F4F4E">
      <w:pPr>
        <w:autoSpaceDE w:val="0"/>
        <w:autoSpaceDN w:val="0"/>
        <w:adjustRightInd w:val="0"/>
        <w:spacing w:line="360" w:lineRule="atLeast"/>
      </w:pPr>
      <w:r>
        <w:t>S8.</w:t>
      </w:r>
      <w:r>
        <w:tab/>
        <w:t>60-day FRN Comment #8</w:t>
      </w:r>
    </w:p>
    <w:p w:rsidRPr="000823FE" w:rsidR="0072752B" w:rsidP="0072752B" w:rsidRDefault="0072752B" w14:paraId="78FBFF60" w14:textId="6F0DA20A">
      <w:pPr>
        <w:autoSpaceDE w:val="0"/>
        <w:autoSpaceDN w:val="0"/>
        <w:adjustRightInd w:val="0"/>
        <w:spacing w:line="360" w:lineRule="atLeast"/>
      </w:pPr>
      <w:r>
        <w:t>S9.</w:t>
      </w:r>
      <w:r>
        <w:tab/>
        <w:t>60-day FRN Comment #9</w:t>
      </w:r>
    </w:p>
    <w:p w:rsidR="0072752B" w:rsidP="0072752B" w:rsidRDefault="0072752B" w14:paraId="4DB7DBCA" w14:textId="26F2D62D">
      <w:pPr>
        <w:autoSpaceDE w:val="0"/>
        <w:autoSpaceDN w:val="0"/>
        <w:adjustRightInd w:val="0"/>
        <w:spacing w:line="360" w:lineRule="atLeast"/>
      </w:pPr>
      <w:r>
        <w:t>S10.</w:t>
      </w:r>
      <w:r>
        <w:tab/>
        <w:t>60-day FRN Comment #10</w:t>
      </w:r>
    </w:p>
    <w:p w:rsidR="009C7E93" w:rsidP="0072752B" w:rsidRDefault="009C7E93" w14:paraId="4D0F34C5" w14:textId="748DF993">
      <w:pPr>
        <w:autoSpaceDE w:val="0"/>
        <w:autoSpaceDN w:val="0"/>
        <w:adjustRightInd w:val="0"/>
        <w:spacing w:line="360" w:lineRule="atLeast"/>
      </w:pPr>
      <w:r>
        <w:t>S11.</w:t>
      </w:r>
      <w:r>
        <w:tab/>
      </w:r>
      <w:r w:rsidRPr="009C7E93">
        <w:t>November 2021 60-day Federal Register Notice (FRN) Comment #1</w:t>
      </w:r>
    </w:p>
    <w:p w:rsidR="009C7E93" w:rsidP="0072752B" w:rsidRDefault="009C7E93" w14:paraId="4122AE0C" w14:textId="6352DF94">
      <w:pPr>
        <w:autoSpaceDE w:val="0"/>
        <w:autoSpaceDN w:val="0"/>
        <w:adjustRightInd w:val="0"/>
        <w:spacing w:line="360" w:lineRule="atLeast"/>
      </w:pPr>
      <w:r>
        <w:t>S12.</w:t>
      </w:r>
      <w:r>
        <w:tab/>
      </w:r>
      <w:r w:rsidRPr="009C7E93">
        <w:t>November 2021 60-day Federal Register Notice (FRN) Comment #</w:t>
      </w:r>
      <w:r>
        <w:t>2</w:t>
      </w:r>
    </w:p>
    <w:p w:rsidRPr="000823FE" w:rsidR="009C7E93" w:rsidP="0072752B" w:rsidRDefault="009C7E93" w14:paraId="052161C5" w14:textId="2B5A464D">
      <w:pPr>
        <w:autoSpaceDE w:val="0"/>
        <w:autoSpaceDN w:val="0"/>
        <w:adjustRightInd w:val="0"/>
        <w:spacing w:line="360" w:lineRule="atLeast"/>
      </w:pPr>
      <w:r>
        <w:t>S13.</w:t>
      </w:r>
      <w:r>
        <w:tab/>
      </w:r>
      <w:r w:rsidRPr="009C7E93">
        <w:t>November 2021 60-day Federal Register Notice (FRN) Comment #</w:t>
      </w:r>
      <w:r>
        <w:t>3</w:t>
      </w:r>
    </w:p>
    <w:p w:rsidRPr="000823FE" w:rsidR="00564336" w:rsidP="009C7E93" w:rsidRDefault="0072752B" w14:paraId="213EB0CF" w14:textId="37CB4D9D">
      <w:pPr>
        <w:autoSpaceDE w:val="0"/>
        <w:autoSpaceDN w:val="0"/>
        <w:adjustRightInd w:val="0"/>
        <w:spacing w:line="360" w:lineRule="atLeast"/>
        <w:ind w:left="720" w:hanging="720"/>
      </w:pPr>
      <w:r>
        <w:t>U.</w:t>
      </w:r>
      <w:r>
        <w:tab/>
      </w:r>
      <w:r w:rsidR="009C7E93">
        <w:t>Final Analysis Report and Recommendations for Revisions to the FoodLogger from the First Round of Usability Testing</w:t>
      </w:r>
    </w:p>
    <w:p w:rsidRPr="000823FE" w:rsidR="001A0758" w:rsidP="001A0758" w:rsidRDefault="001A0758" w14:paraId="6CBB51E7" w14:textId="77777777">
      <w:pPr>
        <w:autoSpaceDE w:val="0"/>
        <w:autoSpaceDN w:val="0"/>
        <w:adjustRightInd w:val="0"/>
        <w:spacing w:line="360" w:lineRule="atLeast"/>
      </w:pPr>
      <w:r w:rsidRPr="000823FE">
        <w:t>V1.</w:t>
      </w:r>
      <w:r w:rsidRPr="000823FE">
        <w:tab/>
        <w:t>Welcome to NFS Video Script</w:t>
      </w:r>
    </w:p>
    <w:p w:rsidRPr="000823FE" w:rsidR="001A0758" w:rsidP="001A0758" w:rsidRDefault="001A0758" w14:paraId="6941FC6F" w14:textId="77777777">
      <w:pPr>
        <w:autoSpaceDE w:val="0"/>
        <w:autoSpaceDN w:val="0"/>
        <w:adjustRightInd w:val="0"/>
        <w:spacing w:line="360" w:lineRule="atLeast"/>
      </w:pPr>
      <w:r w:rsidRPr="000823FE">
        <w:t xml:space="preserve">V2. </w:t>
      </w:r>
      <w:r w:rsidRPr="000823FE">
        <w:tab/>
        <w:t>Getting Started Video Script</w:t>
      </w:r>
    </w:p>
    <w:p w:rsidRPr="000823FE" w:rsidR="001A0758" w:rsidP="001A0758" w:rsidRDefault="001A0758" w14:paraId="237E0F5C" w14:textId="0BE24695">
      <w:pPr>
        <w:autoSpaceDE w:val="0"/>
        <w:autoSpaceDN w:val="0"/>
        <w:adjustRightInd w:val="0"/>
        <w:spacing w:line="360" w:lineRule="atLeast"/>
      </w:pPr>
      <w:r w:rsidRPr="000823FE">
        <w:t>V3.</w:t>
      </w:r>
      <w:r w:rsidRPr="000823FE">
        <w:tab/>
        <w:t xml:space="preserve">Entering Grocery </w:t>
      </w:r>
      <w:r w:rsidR="00781686">
        <w:t xml:space="preserve">Store Food and Drink </w:t>
      </w:r>
      <w:r w:rsidRPr="000823FE">
        <w:t>Video Script</w:t>
      </w:r>
    </w:p>
    <w:p w:rsidRPr="000823FE" w:rsidR="001A0758" w:rsidP="001A0758" w:rsidRDefault="001A0758" w14:paraId="361FF884" w14:textId="24DFF726">
      <w:pPr>
        <w:autoSpaceDE w:val="0"/>
        <w:autoSpaceDN w:val="0"/>
        <w:adjustRightInd w:val="0"/>
        <w:spacing w:line="360" w:lineRule="atLeast"/>
      </w:pPr>
      <w:r w:rsidRPr="000823FE">
        <w:t>V4.</w:t>
      </w:r>
      <w:r w:rsidRPr="000823FE">
        <w:tab/>
        <w:t xml:space="preserve">Entering Restaurant </w:t>
      </w:r>
      <w:r w:rsidR="00781686">
        <w:t xml:space="preserve">Food and Drink </w:t>
      </w:r>
      <w:r w:rsidRPr="000823FE">
        <w:t>Video Script</w:t>
      </w:r>
    </w:p>
    <w:p w:rsidRPr="000823FE" w:rsidR="001A0758" w:rsidP="001A0758" w:rsidRDefault="001A0758" w14:paraId="038DAD5C" w14:textId="0512D27F">
      <w:pPr>
        <w:autoSpaceDE w:val="0"/>
        <w:autoSpaceDN w:val="0"/>
        <w:adjustRightInd w:val="0"/>
        <w:spacing w:line="360" w:lineRule="atLeast"/>
      </w:pPr>
      <w:r w:rsidRPr="000823FE">
        <w:t>V5.</w:t>
      </w:r>
      <w:r w:rsidRPr="000823FE">
        <w:tab/>
        <w:t xml:space="preserve">Completing Profile and Income </w:t>
      </w:r>
      <w:r w:rsidR="00781686">
        <w:t xml:space="preserve">Questionnaire </w:t>
      </w:r>
      <w:r w:rsidRPr="000823FE">
        <w:t>Video Script</w:t>
      </w:r>
    </w:p>
    <w:p w:rsidR="001A0758" w:rsidP="001A0758" w:rsidRDefault="001A0758" w14:paraId="6D4047E2" w14:textId="06DD8DEE">
      <w:pPr>
        <w:autoSpaceDE w:val="0"/>
        <w:autoSpaceDN w:val="0"/>
        <w:adjustRightInd w:val="0"/>
        <w:spacing w:line="360" w:lineRule="atLeast"/>
      </w:pPr>
      <w:r w:rsidRPr="000823FE">
        <w:t>V6.</w:t>
      </w:r>
      <w:r w:rsidRPr="000823FE">
        <w:tab/>
      </w:r>
      <w:r w:rsidR="003B74D9">
        <w:t xml:space="preserve">Completing the </w:t>
      </w:r>
      <w:r w:rsidRPr="000823FE">
        <w:t>Day Overview Video Script</w:t>
      </w:r>
    </w:p>
    <w:p w:rsidR="007877C3" w:rsidP="001A0758" w:rsidRDefault="007877C3" w14:paraId="7C9AA7B8" w14:textId="11E5EE88">
      <w:pPr>
        <w:autoSpaceDE w:val="0"/>
        <w:autoSpaceDN w:val="0"/>
        <w:adjustRightInd w:val="0"/>
        <w:spacing w:line="360" w:lineRule="atLeast"/>
      </w:pPr>
      <w:r>
        <w:t>V7.</w:t>
      </w:r>
      <w:r>
        <w:tab/>
        <w:t>Grocery Store Purchase Video Script</w:t>
      </w:r>
    </w:p>
    <w:p w:rsidR="007877C3" w:rsidP="001A0758" w:rsidRDefault="007877C3" w14:paraId="5B03C77A" w14:textId="0742614F">
      <w:pPr>
        <w:autoSpaceDE w:val="0"/>
        <w:autoSpaceDN w:val="0"/>
        <w:adjustRightInd w:val="0"/>
        <w:spacing w:line="360" w:lineRule="atLeast"/>
      </w:pPr>
      <w:r>
        <w:t xml:space="preserve">V8. </w:t>
      </w:r>
      <w:r>
        <w:tab/>
        <w:t>How to Report Meals from a Fast Food Restaurant Video Script</w:t>
      </w:r>
    </w:p>
    <w:p w:rsidR="001F3748" w:rsidP="00294CC5" w:rsidRDefault="0072752B" w14:paraId="026125B8" w14:textId="77777777">
      <w:pPr>
        <w:autoSpaceDE w:val="0"/>
        <w:autoSpaceDN w:val="0"/>
        <w:adjustRightInd w:val="0"/>
        <w:spacing w:line="360" w:lineRule="atLeast"/>
        <w:ind w:left="720" w:hanging="720"/>
      </w:pPr>
      <w:r>
        <w:t>X.</w:t>
      </w:r>
      <w:r>
        <w:tab/>
      </w:r>
      <w:r w:rsidR="009C7E93">
        <w:t>Final Analysis Report and Recommendations for Revisions to the FoodLogger from the Second Round of Usability Testing</w:t>
      </w:r>
    </w:p>
    <w:p w:rsidR="0072752B" w:rsidP="00294CC5" w:rsidRDefault="0072752B" w14:paraId="70F26097" w14:textId="7A21EBD4">
      <w:pPr>
        <w:autoSpaceDE w:val="0"/>
        <w:autoSpaceDN w:val="0"/>
        <w:adjustRightInd w:val="0"/>
        <w:spacing w:line="360" w:lineRule="atLeast"/>
        <w:ind w:left="720" w:hanging="720"/>
      </w:pPr>
      <w:r>
        <w:t>Y</w:t>
      </w:r>
      <w:r w:rsidR="006F2BCB">
        <w:t>1</w:t>
      </w:r>
      <w:r>
        <w:t>.</w:t>
      </w:r>
      <w:r>
        <w:tab/>
        <w:t>60-day Federal Register Notice (FRN)</w:t>
      </w:r>
      <w:r w:rsidR="006F2BCB">
        <w:t xml:space="preserve"> – July 2019</w:t>
      </w:r>
    </w:p>
    <w:p w:rsidRPr="000823FE" w:rsidR="006F2BCB" w:rsidP="001A0758" w:rsidRDefault="006F2BCB" w14:paraId="12472C0A" w14:textId="49FCE352">
      <w:pPr>
        <w:autoSpaceDE w:val="0"/>
        <w:autoSpaceDN w:val="0"/>
        <w:adjustRightInd w:val="0"/>
        <w:spacing w:line="360" w:lineRule="atLeast"/>
      </w:pPr>
      <w:r>
        <w:t>Y2.</w:t>
      </w:r>
      <w:r>
        <w:tab/>
        <w:t>60-day Federal Register Notice (FRN) – November 2021</w:t>
      </w:r>
    </w:p>
    <w:p w:rsidR="00801828" w:rsidP="00185FE6" w:rsidRDefault="000A395F" w14:paraId="6503716B" w14:textId="20B3E71F">
      <w:pPr>
        <w:autoSpaceDE w:val="0"/>
        <w:autoSpaceDN w:val="0"/>
        <w:adjustRightInd w:val="0"/>
        <w:spacing w:line="360" w:lineRule="atLeast"/>
        <w:ind w:left="720" w:hanging="720"/>
        <w:rPr>
          <w:rStyle w:val="Hyperlink"/>
          <w:noProof/>
        </w:rPr>
      </w:pPr>
      <w:r>
        <w:t>Z.</w:t>
      </w:r>
      <w:r>
        <w:tab/>
      </w:r>
      <w:bookmarkStart w:name="_Hlk95853960" w:id="5"/>
      <w:r>
        <w:t>Summary of Comments from the National Agricultural Statistics Service’s (NASS) Review of the Information Collection Request (ICR)</w:t>
      </w:r>
      <w:r>
        <w:rPr>
          <w:noProof/>
        </w:rPr>
        <w:t xml:space="preserve"> </w:t>
      </w:r>
      <w:bookmarkEnd w:id="5"/>
    </w:p>
    <w:p w:rsidRPr="0065536B" w:rsidR="0007368E" w:rsidP="0065536B" w:rsidRDefault="0007368E" w14:paraId="5022FC86" w14:textId="77777777">
      <w:pPr>
        <w:pStyle w:val="TOC1"/>
        <w:rPr>
          <w:rStyle w:val="Hyperlink"/>
          <w:noProof/>
        </w:rPr>
      </w:pPr>
    </w:p>
    <w:p w:rsidR="00C13FB8" w:rsidP="0019396F" w:rsidRDefault="00C13FB8" w14:paraId="693E74AC" w14:textId="77777777">
      <w:pPr>
        <w:pStyle w:val="T0-ChapPgHd"/>
        <w:spacing w:line="360" w:lineRule="atLeast"/>
      </w:pPr>
      <w:r>
        <w:t>Tables</w:t>
      </w:r>
      <w:r>
        <w:tab/>
        <w:t>Page</w:t>
      </w:r>
    </w:p>
    <w:p w:rsidR="00DD70EE" w:rsidP="0019396F" w:rsidRDefault="00DD70EE" w14:paraId="46B8496D" w14:textId="01283E63">
      <w:pPr>
        <w:pStyle w:val="TOC1"/>
        <w:spacing w:line="360" w:lineRule="atLeast"/>
      </w:pPr>
      <w:r>
        <w:t>Table A.1.</w:t>
      </w:r>
      <w:r w:rsidR="0019396F">
        <w:tab/>
      </w:r>
      <w:r w:rsidRPr="0019396F" w:rsidR="0019396F">
        <w:t xml:space="preserve">Leveraging the Full Functionalities of Computerization </w:t>
      </w:r>
      <w:r w:rsidR="0019396F">
        <w:tab/>
      </w:r>
      <w:r w:rsidR="0019396F">
        <w:tab/>
      </w:r>
      <w:r w:rsidRPr="0019396F" w:rsidR="007A3483">
        <w:t>1</w:t>
      </w:r>
      <w:r w:rsidR="007A3483">
        <w:t>2</w:t>
      </w:r>
    </w:p>
    <w:p w:rsidR="0019396F" w:rsidP="0019396F" w:rsidRDefault="00DD70EE" w14:paraId="733D5ABA" w14:textId="38001A14">
      <w:pPr>
        <w:pStyle w:val="TOC1"/>
        <w:spacing w:line="360" w:lineRule="atLeast"/>
      </w:pPr>
      <w:r>
        <w:t>Table A.2.</w:t>
      </w:r>
      <w:r w:rsidR="0019396F">
        <w:tab/>
      </w:r>
      <w:r w:rsidRPr="0019396F" w:rsidR="0019396F">
        <w:t xml:space="preserve">Individuals consulted on the statistical and data collection aspects of this </w:t>
      </w:r>
    </w:p>
    <w:p w:rsidR="00DD70EE" w:rsidP="0019396F" w:rsidRDefault="0019396F" w14:paraId="4614A6AB" w14:textId="7FEE0C97">
      <w:pPr>
        <w:pStyle w:val="TOC1"/>
        <w:spacing w:line="360" w:lineRule="atLeast"/>
      </w:pPr>
      <w:r>
        <w:tab/>
      </w:r>
      <w:r>
        <w:tab/>
      </w:r>
      <w:r w:rsidRPr="0019396F">
        <w:t xml:space="preserve">collection </w:t>
      </w:r>
      <w:r>
        <w:tab/>
      </w:r>
      <w:r>
        <w:tab/>
      </w:r>
      <w:r w:rsidR="007A3483">
        <w:t>19</w:t>
      </w:r>
    </w:p>
    <w:p w:rsidR="00DD70EE" w:rsidP="0019396F" w:rsidRDefault="00DD70EE" w14:paraId="581E76E2" w14:textId="6A65F8A3">
      <w:pPr>
        <w:pStyle w:val="TOC1"/>
        <w:spacing w:line="360" w:lineRule="atLeast"/>
      </w:pPr>
      <w:r>
        <w:t>Table A.3.</w:t>
      </w:r>
      <w:r w:rsidR="0019396F">
        <w:tab/>
      </w:r>
      <w:r w:rsidRPr="0019396F" w:rsidR="0019396F">
        <w:t xml:space="preserve">Incentives for FoodAPS-1 </w:t>
      </w:r>
      <w:r w:rsidR="0019396F">
        <w:tab/>
      </w:r>
      <w:r w:rsidR="0019396F">
        <w:tab/>
      </w:r>
      <w:r w:rsidRPr="0019396F" w:rsidR="0019396F">
        <w:t>2</w:t>
      </w:r>
      <w:r w:rsidR="007A3483">
        <w:t>1</w:t>
      </w:r>
      <w:r w:rsidR="0019396F">
        <w:tab/>
      </w:r>
    </w:p>
    <w:p w:rsidR="00DD70EE" w:rsidP="0019396F" w:rsidRDefault="00DD70EE" w14:paraId="537AD499" w14:textId="65006D4A">
      <w:pPr>
        <w:pStyle w:val="TOC1"/>
        <w:spacing w:line="360" w:lineRule="atLeast"/>
      </w:pPr>
      <w:r>
        <w:t>Table A.4.</w:t>
      </w:r>
      <w:r w:rsidR="0019396F">
        <w:tab/>
      </w:r>
      <w:r w:rsidRPr="0019396F" w:rsidR="0019396F">
        <w:t xml:space="preserve">Incentives for the ADCM Pilot </w:t>
      </w:r>
      <w:r w:rsidR="0019396F">
        <w:tab/>
      </w:r>
      <w:r w:rsidR="0019396F">
        <w:tab/>
      </w:r>
      <w:r w:rsidRPr="0019396F" w:rsidR="0019396F">
        <w:t>2</w:t>
      </w:r>
      <w:r w:rsidR="007A3483">
        <w:t>1</w:t>
      </w:r>
    </w:p>
    <w:p w:rsidR="00DD70EE" w:rsidP="0019396F" w:rsidRDefault="00DD70EE" w14:paraId="6FE17A95" w14:textId="5C6D952F">
      <w:pPr>
        <w:pStyle w:val="TOC1"/>
        <w:spacing w:line="360" w:lineRule="atLeast"/>
      </w:pPr>
      <w:r>
        <w:t>Table A.5.</w:t>
      </w:r>
      <w:r w:rsidR="0019396F">
        <w:tab/>
      </w:r>
      <w:r w:rsidRPr="0019396F" w:rsidR="0019396F">
        <w:t xml:space="preserve">Incentive Plan for the FoodAPS-2 Field Test (Control Group) </w:t>
      </w:r>
      <w:r w:rsidR="0019396F">
        <w:tab/>
      </w:r>
      <w:r w:rsidR="0019396F">
        <w:tab/>
      </w:r>
      <w:r w:rsidRPr="0019396F" w:rsidR="0019396F">
        <w:t>2</w:t>
      </w:r>
      <w:r w:rsidR="007A3483">
        <w:t>2</w:t>
      </w:r>
    </w:p>
    <w:p w:rsidR="00DD70EE" w:rsidP="0019396F" w:rsidRDefault="00DD70EE" w14:paraId="582CD954" w14:textId="73011C17">
      <w:pPr>
        <w:pStyle w:val="TOC1"/>
        <w:spacing w:line="360" w:lineRule="atLeast"/>
      </w:pPr>
      <w:r>
        <w:t>Table A.6.</w:t>
      </w:r>
      <w:r w:rsidR="0019396F">
        <w:tab/>
      </w:r>
      <w:r w:rsidRPr="0019396F" w:rsidR="0019396F">
        <w:t>Incentive Plan for the FoodAPS-2 Field Test (Treatment Group)</w:t>
      </w:r>
      <w:r w:rsidR="0019396F">
        <w:tab/>
      </w:r>
      <w:r w:rsidR="0019396F">
        <w:tab/>
      </w:r>
      <w:r w:rsidRPr="0019396F" w:rsidR="0019396F">
        <w:t>2</w:t>
      </w:r>
      <w:r w:rsidR="007A3483">
        <w:t>2</w:t>
      </w:r>
    </w:p>
    <w:p w:rsidR="00DD70EE" w:rsidP="0019396F" w:rsidRDefault="00DD70EE" w14:paraId="593EC7FD" w14:textId="0C9F8D67">
      <w:pPr>
        <w:pStyle w:val="TOC1"/>
        <w:spacing w:line="360" w:lineRule="atLeast"/>
      </w:pPr>
      <w:r>
        <w:t>Table A.7.</w:t>
      </w:r>
      <w:r w:rsidR="0019396F">
        <w:tab/>
      </w:r>
      <w:r w:rsidRPr="0019396F" w:rsidR="0019396F">
        <w:t xml:space="preserve">Average Number of Reported Food Events by Study Day </w:t>
      </w:r>
      <w:r w:rsidR="0019396F">
        <w:tab/>
      </w:r>
      <w:r w:rsidR="0019396F">
        <w:tab/>
      </w:r>
      <w:r w:rsidRPr="0019396F" w:rsidR="0019396F">
        <w:t>2</w:t>
      </w:r>
      <w:r w:rsidR="007A3483">
        <w:t>4</w:t>
      </w:r>
    </w:p>
    <w:p w:rsidR="00DD70EE" w:rsidP="0019396F" w:rsidRDefault="00DD70EE" w14:paraId="62989B14" w14:textId="60006363">
      <w:pPr>
        <w:pStyle w:val="TOC1"/>
        <w:spacing w:line="360" w:lineRule="atLeast"/>
      </w:pPr>
      <w:r>
        <w:t>Table A.8.</w:t>
      </w:r>
      <w:r w:rsidR="0019396F">
        <w:tab/>
      </w:r>
      <w:r w:rsidRPr="0019396F" w:rsidR="0019396F">
        <w:t xml:space="preserve">Field Test respondent burden and cost estimate </w:t>
      </w:r>
      <w:r w:rsidR="0019396F">
        <w:tab/>
      </w:r>
      <w:r w:rsidR="0019396F">
        <w:tab/>
      </w:r>
      <w:r w:rsidR="007A3483">
        <w:t>36</w:t>
      </w:r>
    </w:p>
    <w:p w:rsidR="00DD70EE" w:rsidP="0019396F" w:rsidRDefault="00DD70EE" w14:paraId="0520ECA0" w14:textId="09F1A4EF">
      <w:pPr>
        <w:pStyle w:val="TOC1"/>
        <w:spacing w:line="360" w:lineRule="atLeast"/>
      </w:pPr>
      <w:r>
        <w:t xml:space="preserve">Table A.9. </w:t>
      </w:r>
      <w:r w:rsidR="0019396F">
        <w:tab/>
      </w:r>
      <w:r w:rsidRPr="0019396F" w:rsidR="0019396F">
        <w:t xml:space="preserve">FoodAPS-2 Schedule </w:t>
      </w:r>
      <w:r w:rsidR="0019396F">
        <w:tab/>
      </w:r>
      <w:r w:rsidR="0019396F">
        <w:tab/>
      </w:r>
      <w:r w:rsidR="007A3483">
        <w:t>38</w:t>
      </w:r>
    </w:p>
    <w:p w:rsidR="002534B9" w:rsidP="002534B9" w:rsidRDefault="002534B9" w14:paraId="285B773B" w14:textId="700A4632">
      <w:pPr>
        <w:pStyle w:val="TOC5"/>
      </w:pPr>
    </w:p>
    <w:p w:rsidR="007A3483" w:rsidRDefault="0019396F" w14:paraId="5D32169E" w14:textId="77777777">
      <w:pPr>
        <w:spacing w:line="240" w:lineRule="auto"/>
        <w:sectPr w:rsidR="007A3483" w:rsidSect="007A3483">
          <w:footerReference w:type="first" r:id="rId12"/>
          <w:pgSz w:w="12240" w:h="15840" w:code="1"/>
          <w:pgMar w:top="1440" w:right="1440" w:bottom="1440" w:left="1440" w:header="720" w:footer="576" w:gutter="0"/>
          <w:pgNumType w:fmt="lowerRoman"/>
          <w:cols w:space="720"/>
          <w:titlePg/>
          <w:docGrid w:linePitch="326"/>
        </w:sectPr>
      </w:pPr>
      <w:bookmarkStart w:name="_Toc514067595" w:id="6"/>
      <w:bookmarkStart w:name="_Toc93499527" w:id="7"/>
      <w:bookmarkStart w:name="_Toc286158948" w:id="8"/>
      <w:bookmarkStart w:name="_Toc286160537" w:id="9"/>
      <w:bookmarkStart w:name="_Toc290021760" w:id="10"/>
      <w:bookmarkStart w:name="_Toc282506023" w:id="11"/>
      <w:bookmarkStart w:name="_Toc329675296" w:id="12"/>
      <w:bookmarkStart w:name="_Toc329675884" w:id="13"/>
      <w:r>
        <w:br w:type="page"/>
      </w:r>
    </w:p>
    <w:p w:rsidR="00271489" w:rsidP="001D6A5B" w:rsidRDefault="00271489" w14:paraId="2A15292A" w14:textId="153169DE">
      <w:pPr>
        <w:pStyle w:val="Heading1"/>
        <w:jc w:val="center"/>
      </w:pPr>
      <w:r>
        <w:t>Part A. Justification</w:t>
      </w:r>
      <w:bookmarkEnd w:id="6"/>
      <w:bookmarkEnd w:id="7"/>
    </w:p>
    <w:p w:rsidR="00271489" w:rsidP="001D6A5B" w:rsidRDefault="00271489" w14:paraId="08D8F233" w14:textId="77777777">
      <w:pPr>
        <w:pStyle w:val="Heading1"/>
        <w:jc w:val="left"/>
      </w:pPr>
    </w:p>
    <w:p w:rsidRPr="003702B9" w:rsidR="00271489" w:rsidP="00271489" w:rsidRDefault="00271489" w14:paraId="05D03C03" w14:textId="7803895A">
      <w:pPr>
        <w:pStyle w:val="Heading2"/>
      </w:pPr>
      <w:bookmarkStart w:name="_Toc514067596" w:id="14"/>
      <w:bookmarkStart w:name="_Toc93499528" w:id="15"/>
      <w:r>
        <w:t>A.1</w:t>
      </w:r>
      <w:r w:rsidRPr="003702B9">
        <w:tab/>
        <w:t xml:space="preserve">Circumstances </w:t>
      </w:r>
      <w:bookmarkEnd w:id="8"/>
      <w:bookmarkEnd w:id="9"/>
      <w:bookmarkEnd w:id="10"/>
      <w:r w:rsidRPr="003702B9">
        <w:t>Making the Collection of Information Necessary</w:t>
      </w:r>
      <w:bookmarkEnd w:id="14"/>
      <w:bookmarkEnd w:id="15"/>
    </w:p>
    <w:bookmarkEnd w:id="11"/>
    <w:bookmarkEnd w:id="12"/>
    <w:bookmarkEnd w:id="13"/>
    <w:p w:rsidRPr="002F126A" w:rsidR="000B5BDC" w:rsidP="000B5BDC" w:rsidRDefault="000B5BDC" w14:paraId="76A5433A" w14:textId="77777777">
      <w:pPr>
        <w:pStyle w:val="L1-FlLSp12"/>
        <w:rPr>
          <w:b/>
        </w:rPr>
      </w:pPr>
      <w:r w:rsidRPr="002F126A">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Pr="001D6A5B" w:rsidR="000B5BDC" w:rsidP="000B5BDC" w:rsidRDefault="000B5BDC" w14:paraId="3D110487" w14:textId="77777777">
      <w:pPr>
        <w:pStyle w:val="L1-FlLSp12"/>
        <w:rPr>
          <w:szCs w:val="24"/>
        </w:rPr>
      </w:pPr>
    </w:p>
    <w:p w:rsidR="000B5BDC" w:rsidP="000B5BDC" w:rsidRDefault="000B5BDC" w14:paraId="50E77DA4" w14:textId="5DE5BA90">
      <w:pPr>
        <w:autoSpaceDE w:val="0"/>
        <w:autoSpaceDN w:val="0"/>
        <w:adjustRightInd w:val="0"/>
        <w:spacing w:line="360" w:lineRule="atLeast"/>
        <w:rPr>
          <w:szCs w:val="24"/>
        </w:rPr>
      </w:pPr>
      <w:r w:rsidRPr="001D6A5B">
        <w:rPr>
          <w:rFonts w:cs="Garamond"/>
          <w:color w:val="000000"/>
          <w:szCs w:val="24"/>
        </w:rPr>
        <w:t xml:space="preserve">The Economic Research Service (ERS) of the U.S. Department of Agriculture (USDA) is </w:t>
      </w:r>
      <w:r w:rsidR="00375ED7">
        <w:rPr>
          <w:rFonts w:cs="Garamond"/>
          <w:color w:val="000000"/>
          <w:szCs w:val="24"/>
        </w:rPr>
        <w:t xml:space="preserve">seeking the approval of the </w:t>
      </w:r>
      <w:r w:rsidRPr="001D6A5B">
        <w:rPr>
          <w:rFonts w:cs="Garamond"/>
          <w:color w:val="000000"/>
          <w:szCs w:val="24"/>
        </w:rPr>
        <w:t xml:space="preserve"> Office of Management and Budget (OMB) to conduct </w:t>
      </w:r>
      <w:r>
        <w:rPr>
          <w:rFonts w:cs="Garamond"/>
          <w:color w:val="000000"/>
          <w:szCs w:val="24"/>
        </w:rPr>
        <w:t xml:space="preserve">a </w:t>
      </w:r>
      <w:r w:rsidRPr="00D23890">
        <w:rPr>
          <w:rFonts w:cs="Garamond"/>
          <w:b/>
          <w:color w:val="000000"/>
          <w:szCs w:val="24"/>
        </w:rPr>
        <w:t>Field Test</w:t>
      </w:r>
      <w:r>
        <w:rPr>
          <w:rFonts w:cs="Garamond"/>
          <w:color w:val="000000"/>
          <w:szCs w:val="24"/>
        </w:rPr>
        <w:t xml:space="preserve"> for the</w:t>
      </w:r>
      <w:r w:rsidRPr="001D6A5B">
        <w:rPr>
          <w:rFonts w:cs="Garamond"/>
          <w:color w:val="000000"/>
          <w:szCs w:val="24"/>
        </w:rPr>
        <w:t xml:space="preserve"> </w:t>
      </w:r>
      <w:r w:rsidRPr="001D6A5B">
        <w:rPr>
          <w:rFonts w:cs="Garamond"/>
          <w:b/>
          <w:color w:val="000000"/>
          <w:szCs w:val="24"/>
        </w:rPr>
        <w:t>Second National Household Food Acquisition and Purchase Survey (FoodAPS-2)</w:t>
      </w:r>
      <w:r w:rsidRPr="001D6A5B">
        <w:rPr>
          <w:rFonts w:cs="Garamond"/>
          <w:b/>
          <w:bCs/>
          <w:color w:val="000000"/>
          <w:szCs w:val="24"/>
        </w:rPr>
        <w:t xml:space="preserve"> </w:t>
      </w:r>
      <w:r w:rsidRPr="001D6A5B">
        <w:rPr>
          <w:rFonts w:cs="Garamond"/>
          <w:color w:val="000000"/>
          <w:szCs w:val="24"/>
        </w:rPr>
        <w:t xml:space="preserve">(aka the </w:t>
      </w:r>
      <w:r w:rsidRPr="001D6A5B">
        <w:rPr>
          <w:rFonts w:cs="Garamond"/>
          <w:b/>
          <w:bCs/>
          <w:color w:val="000000"/>
          <w:szCs w:val="24"/>
        </w:rPr>
        <w:t>National Food Study</w:t>
      </w:r>
      <w:r>
        <w:rPr>
          <w:rFonts w:cs="Garamond"/>
          <w:b/>
          <w:bCs/>
          <w:color w:val="000000"/>
          <w:szCs w:val="24"/>
        </w:rPr>
        <w:t xml:space="preserve"> </w:t>
      </w:r>
      <w:r w:rsidRPr="00021E1A">
        <w:rPr>
          <w:rFonts w:cs="Garamond"/>
          <w:bCs/>
          <w:color w:val="000000"/>
          <w:szCs w:val="24"/>
        </w:rPr>
        <w:t>to respondents in the field</w:t>
      </w:r>
      <w:r w:rsidRPr="001D6A5B">
        <w:rPr>
          <w:rFonts w:cs="Garamond"/>
          <w:color w:val="000000"/>
          <w:szCs w:val="24"/>
        </w:rPr>
        <w:t>). The mission of ERS</w:t>
      </w:r>
      <w:r>
        <w:rPr>
          <w:rFonts w:cs="Garamond"/>
          <w:color w:val="000000"/>
          <w:szCs w:val="24"/>
        </w:rPr>
        <w:t xml:space="preserve"> </w:t>
      </w:r>
      <w:r w:rsidRPr="00B715D2">
        <w:rPr>
          <w:rFonts w:cs="Garamond"/>
          <w:color w:val="000000"/>
          <w:szCs w:val="24"/>
        </w:rPr>
        <w:t>is to anticipate trends and emerging issues in agriculture, food, the environment, and rural America and to conduct high-quality, objective economic research to inform and enhance public and private decision making</w:t>
      </w:r>
      <w:r w:rsidRPr="001D6A5B">
        <w:rPr>
          <w:rFonts w:cs="Garamond"/>
          <w:color w:val="000000"/>
          <w:szCs w:val="24"/>
        </w:rPr>
        <w:t>. To achieve this mission, ERS requires a variety of data that describe agricultural production, food distribution channels, availability and price of food at the point of sale, and household demand for food products. In 2009 ERS sponsored the National Household Food Acquisition and Purchase Study (FoodAPS</w:t>
      </w:r>
      <w:r>
        <w:rPr>
          <w:rFonts w:cs="Garamond"/>
          <w:color w:val="000000"/>
          <w:szCs w:val="24"/>
        </w:rPr>
        <w:t>-1</w:t>
      </w:r>
      <w:r w:rsidRPr="001D6A5B">
        <w:rPr>
          <w:rFonts w:cs="Garamond"/>
          <w:color w:val="000000"/>
          <w:szCs w:val="24"/>
        </w:rPr>
        <w:t xml:space="preserve">), fielded in 2012, to support these data needs. </w:t>
      </w:r>
      <w:bookmarkStart w:name="_Hlk93494931" w:id="16"/>
      <w:r w:rsidRPr="001D6A5B">
        <w:rPr>
          <w:rFonts w:cs="Garamond"/>
          <w:color w:val="000000"/>
          <w:szCs w:val="24"/>
        </w:rPr>
        <w:t xml:space="preserve">In 2016 ERS sponsored the </w:t>
      </w:r>
      <w:r>
        <w:rPr>
          <w:rFonts w:cs="Garamond"/>
          <w:color w:val="000000"/>
          <w:szCs w:val="24"/>
        </w:rPr>
        <w:t>Alternative Data Collection Method</w:t>
      </w:r>
      <w:r w:rsidRPr="001D6A5B">
        <w:rPr>
          <w:rFonts w:cs="Garamond"/>
          <w:color w:val="000000"/>
          <w:szCs w:val="24"/>
        </w:rPr>
        <w:t xml:space="preserve"> </w:t>
      </w:r>
      <w:r>
        <w:rPr>
          <w:rFonts w:cs="Garamond"/>
          <w:color w:val="000000"/>
          <w:szCs w:val="24"/>
        </w:rPr>
        <w:t>(ADCM)</w:t>
      </w:r>
      <w:r w:rsidR="005F2B3F">
        <w:rPr>
          <w:rFonts w:cs="Garamond"/>
          <w:color w:val="000000"/>
          <w:szCs w:val="24"/>
        </w:rPr>
        <w:t xml:space="preserve"> Pilot</w:t>
      </w:r>
      <w:r w:rsidR="00D76B01">
        <w:rPr>
          <w:rStyle w:val="FootnoteReference"/>
          <w:rFonts w:cs="Garamond"/>
          <w:color w:val="000000"/>
          <w:szCs w:val="24"/>
        </w:rPr>
        <w:footnoteReference w:id="3"/>
      </w:r>
      <w:r w:rsidRPr="001D6A5B">
        <w:rPr>
          <w:rFonts w:cs="Garamond"/>
          <w:color w:val="000000"/>
          <w:szCs w:val="24"/>
        </w:rPr>
        <w:t>, fielded in 2017, to inform the sample design and data collection method(s) for FoodAPS-2</w:t>
      </w:r>
      <w:bookmarkEnd w:id="16"/>
      <w:r w:rsidRPr="001D6A5B">
        <w:rPr>
          <w:rFonts w:cs="Garamond"/>
          <w:color w:val="000000"/>
          <w:szCs w:val="24"/>
        </w:rPr>
        <w:t>. ERS and the Food and Nutrition Service (FNS)</w:t>
      </w:r>
      <w:r>
        <w:rPr>
          <w:rFonts w:cs="Garamond"/>
          <w:color w:val="000000"/>
          <w:szCs w:val="24"/>
        </w:rPr>
        <w:t xml:space="preserve"> of USDA</w:t>
      </w:r>
      <w:r w:rsidRPr="001D6A5B">
        <w:rPr>
          <w:rFonts w:cs="Garamond"/>
          <w:color w:val="000000"/>
          <w:szCs w:val="24"/>
        </w:rPr>
        <w:t xml:space="preserve"> are now sponsoring FoodAPS-2. </w:t>
      </w:r>
      <w:r>
        <w:rPr>
          <w:rFonts w:cs="Garamond"/>
          <w:color w:val="000000"/>
          <w:szCs w:val="24"/>
        </w:rPr>
        <w:t>ERS and FNS’s</w:t>
      </w:r>
      <w:r w:rsidRPr="001D6A5B">
        <w:rPr>
          <w:rFonts w:cs="Garamond"/>
          <w:color w:val="000000"/>
          <w:szCs w:val="24"/>
        </w:rPr>
        <w:t xml:space="preserve"> plan is to</w:t>
      </w:r>
      <w:r w:rsidR="001715BC">
        <w:rPr>
          <w:rFonts w:cs="Garamond"/>
          <w:color w:val="000000"/>
          <w:szCs w:val="24"/>
        </w:rPr>
        <w:t xml:space="preserve"> collect data </w:t>
      </w:r>
      <w:r w:rsidR="00A611F5">
        <w:rPr>
          <w:rFonts w:cs="Garamond"/>
          <w:color w:val="000000"/>
          <w:szCs w:val="24"/>
        </w:rPr>
        <w:t xml:space="preserve">for the FoodAPS-2 Field Test </w:t>
      </w:r>
      <w:r w:rsidR="001715BC">
        <w:rPr>
          <w:rFonts w:cs="Garamond"/>
          <w:color w:val="000000"/>
          <w:szCs w:val="24"/>
        </w:rPr>
        <w:t xml:space="preserve">over a four-month period in 2022. </w:t>
      </w:r>
      <w:r>
        <w:rPr>
          <w:rFonts w:cs="Garamond"/>
          <w:color w:val="000000"/>
          <w:szCs w:val="24"/>
        </w:rPr>
        <w:t>The full survey would then start in 2023</w:t>
      </w:r>
      <w:r w:rsidRPr="001D6A5B">
        <w:rPr>
          <w:rFonts w:cs="Garamond"/>
          <w:color w:val="000000"/>
          <w:szCs w:val="24"/>
        </w:rPr>
        <w:t xml:space="preserve">. </w:t>
      </w:r>
      <w:r>
        <w:rPr>
          <w:szCs w:val="24"/>
        </w:rPr>
        <w:t xml:space="preserve">This current submission is for the </w:t>
      </w:r>
      <w:r w:rsidRPr="008320A9">
        <w:rPr>
          <w:b/>
          <w:bCs/>
          <w:szCs w:val="24"/>
        </w:rPr>
        <w:t>Field Test only</w:t>
      </w:r>
      <w:r>
        <w:rPr>
          <w:szCs w:val="24"/>
        </w:rPr>
        <w:t>.</w:t>
      </w:r>
    </w:p>
    <w:p w:rsidR="000B5BDC" w:rsidP="000B5BDC" w:rsidRDefault="000B5BDC" w14:paraId="5BCBEB2C" w14:textId="77777777">
      <w:pPr>
        <w:autoSpaceDE w:val="0"/>
        <w:autoSpaceDN w:val="0"/>
        <w:adjustRightInd w:val="0"/>
        <w:spacing w:line="360" w:lineRule="atLeast"/>
        <w:rPr>
          <w:szCs w:val="24"/>
        </w:rPr>
      </w:pPr>
    </w:p>
    <w:p w:rsidRPr="001D6A5B" w:rsidR="000B5BDC" w:rsidP="000B5BDC" w:rsidRDefault="000B5BDC" w14:paraId="3909D4B8" w14:textId="77777777">
      <w:pPr>
        <w:autoSpaceDE w:val="0"/>
        <w:autoSpaceDN w:val="0"/>
        <w:adjustRightInd w:val="0"/>
        <w:spacing w:line="360" w:lineRule="atLeast"/>
        <w:rPr>
          <w:rFonts w:cs="Garamond"/>
          <w:color w:val="000000"/>
          <w:szCs w:val="24"/>
        </w:rPr>
      </w:pPr>
      <w:bookmarkStart w:name="_Hlk74575206" w:id="17"/>
      <w:r w:rsidRPr="001E7D2D">
        <w:rPr>
          <w:szCs w:val="24"/>
        </w:rPr>
        <w:t xml:space="preserve">Section </w:t>
      </w:r>
      <w:r w:rsidRPr="009B75DA">
        <w:rPr>
          <w:szCs w:val="24"/>
        </w:rPr>
        <w:t>2204</w:t>
      </w:r>
      <w:r w:rsidRPr="001E7D2D">
        <w:rPr>
          <w:szCs w:val="24"/>
        </w:rPr>
        <w:t xml:space="preserve"> </w:t>
      </w:r>
      <w:r>
        <w:rPr>
          <w:szCs w:val="24"/>
        </w:rPr>
        <w:t xml:space="preserve">of </w:t>
      </w:r>
      <w:r w:rsidRPr="001E7D2D">
        <w:rPr>
          <w:szCs w:val="24"/>
        </w:rPr>
        <w:t>7</w:t>
      </w:r>
      <w:r w:rsidRPr="001D6A5B">
        <w:rPr>
          <w:szCs w:val="24"/>
        </w:rPr>
        <w:t xml:space="preserve"> U.S.C. </w:t>
      </w:r>
      <w:r>
        <w:rPr>
          <w:szCs w:val="24"/>
        </w:rPr>
        <w:t>- Agriculture</w:t>
      </w:r>
      <w:r w:rsidRPr="001D6A5B">
        <w:rPr>
          <w:szCs w:val="24"/>
        </w:rPr>
        <w:t xml:space="preserve"> of the Food and Nutrition Act of 2008 provides legislative authority for the FoodAPS-2 data collection</w:t>
      </w:r>
      <w:r>
        <w:rPr>
          <w:szCs w:val="24"/>
        </w:rPr>
        <w:t xml:space="preserve"> (</w:t>
      </w:r>
      <w:r w:rsidRPr="000E3D2E">
        <w:rPr>
          <w:szCs w:val="24"/>
        </w:rPr>
        <w:t>Attachment A)</w:t>
      </w:r>
      <w:r>
        <w:rPr>
          <w:szCs w:val="24"/>
        </w:rPr>
        <w:t>.</w:t>
      </w:r>
    </w:p>
    <w:bookmarkEnd w:id="17"/>
    <w:p w:rsidRPr="001D6A5B" w:rsidR="000B5BDC" w:rsidP="000B5BDC" w:rsidRDefault="000B5BDC" w14:paraId="49327999" w14:textId="77777777">
      <w:pPr>
        <w:autoSpaceDE w:val="0"/>
        <w:autoSpaceDN w:val="0"/>
        <w:adjustRightInd w:val="0"/>
        <w:spacing w:line="360" w:lineRule="atLeast"/>
        <w:rPr>
          <w:rFonts w:cs="Garamond"/>
          <w:color w:val="000000"/>
          <w:szCs w:val="24"/>
        </w:rPr>
      </w:pPr>
    </w:p>
    <w:p w:rsidR="000B5BDC" w:rsidP="000B5BDC" w:rsidRDefault="000B5BDC" w14:paraId="306FCBDC" w14:textId="425231C7">
      <w:pPr>
        <w:autoSpaceDE w:val="0"/>
        <w:autoSpaceDN w:val="0"/>
        <w:adjustRightInd w:val="0"/>
        <w:spacing w:line="360" w:lineRule="atLeast"/>
        <w:rPr>
          <w:szCs w:val="24"/>
        </w:rPr>
      </w:pPr>
      <w:r w:rsidRPr="001D6A5B">
        <w:rPr>
          <w:szCs w:val="24"/>
          <w:lang w:val="en"/>
        </w:rPr>
        <w:t>FoodAPS-1 was the first nationally representative survey of American households to collect comprehensive information about food purchased or otherwise acquired. Availability of FoodAPS-1 data in both restricted and public-use format has spurred a large number of valuable research projects.</w:t>
      </w:r>
      <w:r w:rsidRPr="001D6A5B">
        <w:rPr>
          <w:rStyle w:val="FootnoteReference"/>
          <w:szCs w:val="24"/>
          <w:lang w:val="en"/>
        </w:rPr>
        <w:footnoteReference w:id="4"/>
      </w:r>
      <w:r w:rsidRPr="001D6A5B">
        <w:rPr>
          <w:szCs w:val="24"/>
          <w:lang w:val="en"/>
        </w:rPr>
        <w:t xml:space="preserve"> USDA now has a need for updated information on the food acquisition behaviors of American households. Local food environments, Federal (and State) food assistance programs and eligibility requirements, the composition of American households, and the tastes and preferences for food and nutrition knowledge have changed since 2012 when FoodAPS-1 was implemented. With FoodAPS-2, </w:t>
      </w:r>
      <w:r w:rsidRPr="001D6A5B">
        <w:rPr>
          <w:szCs w:val="24"/>
        </w:rPr>
        <w:t xml:space="preserve">ERS is seeking to build on the successes </w:t>
      </w:r>
      <w:r>
        <w:rPr>
          <w:szCs w:val="24"/>
        </w:rPr>
        <w:t xml:space="preserve">of </w:t>
      </w:r>
      <w:r w:rsidRPr="001D6A5B">
        <w:rPr>
          <w:szCs w:val="24"/>
        </w:rPr>
        <w:t xml:space="preserve">FoodAPS-1 and improve data collection </w:t>
      </w:r>
      <w:r>
        <w:rPr>
          <w:szCs w:val="24"/>
        </w:rPr>
        <w:t xml:space="preserve">quality </w:t>
      </w:r>
      <w:r w:rsidRPr="001D6A5B">
        <w:rPr>
          <w:szCs w:val="24"/>
        </w:rPr>
        <w:t xml:space="preserve">and efficiency. </w:t>
      </w:r>
    </w:p>
    <w:p w:rsidRPr="001D6A5B" w:rsidR="000B5BDC" w:rsidP="000B5BDC" w:rsidRDefault="000B5BDC" w14:paraId="4BEC7244" w14:textId="77777777">
      <w:pPr>
        <w:autoSpaceDE w:val="0"/>
        <w:autoSpaceDN w:val="0"/>
        <w:adjustRightInd w:val="0"/>
        <w:spacing w:line="360" w:lineRule="atLeast"/>
        <w:rPr>
          <w:szCs w:val="24"/>
        </w:rPr>
      </w:pPr>
    </w:p>
    <w:p w:rsidR="000B5BDC" w:rsidP="000B5BDC" w:rsidRDefault="000B5BDC" w14:paraId="48E86F26" w14:textId="77777777">
      <w:pPr>
        <w:autoSpaceDE w:val="0"/>
        <w:autoSpaceDN w:val="0"/>
        <w:adjustRightInd w:val="0"/>
        <w:spacing w:line="360" w:lineRule="atLeast"/>
        <w:rPr>
          <w:rFonts w:cs="Garamond"/>
          <w:color w:val="000000"/>
          <w:szCs w:val="24"/>
        </w:rPr>
      </w:pPr>
      <w:r w:rsidRPr="001D6A5B">
        <w:rPr>
          <w:rFonts w:cs="Garamond"/>
          <w:color w:val="000000"/>
          <w:szCs w:val="24"/>
        </w:rPr>
        <w:t>In addition, FoodAPS-2 includes a change in the sampling design increasing the number of WIC</w:t>
      </w:r>
      <w:r w:rsidRPr="001D6A5B">
        <w:rPr>
          <w:rStyle w:val="FootnoteReference"/>
          <w:rFonts w:cs="Garamond"/>
          <w:color w:val="000000"/>
          <w:szCs w:val="24"/>
        </w:rPr>
        <w:footnoteReference w:id="5"/>
      </w:r>
      <w:r w:rsidRPr="001D6A5B">
        <w:rPr>
          <w:rFonts w:cs="Garamond"/>
          <w:color w:val="000000"/>
          <w:szCs w:val="24"/>
        </w:rPr>
        <w:t xml:space="preserve"> participants </w:t>
      </w:r>
      <w:r>
        <w:rPr>
          <w:rFonts w:cs="Garamond"/>
          <w:color w:val="000000"/>
          <w:szCs w:val="24"/>
        </w:rPr>
        <w:t xml:space="preserve">expected to be </w:t>
      </w:r>
      <w:r w:rsidRPr="001D6A5B">
        <w:rPr>
          <w:rFonts w:cs="Garamond"/>
          <w:color w:val="000000"/>
          <w:szCs w:val="24"/>
        </w:rPr>
        <w:t>in the sample.</w:t>
      </w:r>
      <w:r>
        <w:rPr>
          <w:rFonts w:cs="Garamond"/>
          <w:color w:val="000000"/>
          <w:szCs w:val="24"/>
        </w:rPr>
        <w:t xml:space="preserve"> This oversampling of WIC households will allow for analyses of their acquisition patterns, food access, nutrition status, and maternal and child health in comparison to other populations.</w:t>
      </w:r>
    </w:p>
    <w:p w:rsidR="000B5BDC" w:rsidP="000B5BDC" w:rsidRDefault="000B5BDC" w14:paraId="17FCD37B" w14:textId="77777777">
      <w:pPr>
        <w:autoSpaceDE w:val="0"/>
        <w:autoSpaceDN w:val="0"/>
        <w:adjustRightInd w:val="0"/>
        <w:spacing w:line="360" w:lineRule="atLeast"/>
        <w:rPr>
          <w:rFonts w:cs="Garamond"/>
          <w:color w:val="000000"/>
          <w:szCs w:val="24"/>
        </w:rPr>
      </w:pPr>
    </w:p>
    <w:p w:rsidR="004F5F81" w:rsidP="000B5BDC" w:rsidRDefault="000B5BDC" w14:paraId="3E57C60C" w14:textId="77777777">
      <w:pPr>
        <w:pStyle w:val="L1-FlLSp12"/>
      </w:pPr>
      <w:r>
        <w:rPr>
          <w:rFonts w:cs="Garamond"/>
          <w:color w:val="000000"/>
          <w:szCs w:val="24"/>
        </w:rPr>
        <w:t>Unlike in FoodAPS-1, most respondents in FoodAPS-2 will use a native smartphone application (named FoodLogger) to record daily information about food acquisitions. This change of data collection mode is expected to reduce respondent burden, improve data quality, and reduce data processing costs</w:t>
      </w:r>
      <w:r w:rsidRPr="008D7672">
        <w:rPr>
          <w:rFonts w:cs="Garamond"/>
          <w:color w:val="000000"/>
          <w:szCs w:val="24"/>
        </w:rPr>
        <w:t xml:space="preserve">. </w:t>
      </w:r>
      <w:r w:rsidRPr="008D7672">
        <w:t>The primary goal of the Field Test is to evaluate and finalize main survey design procedures and data collection protocols for Full Survey data collection</w:t>
      </w:r>
      <w:r w:rsidRPr="008D7672" w:rsidR="00571807">
        <w:t>, with the exception of the final interview</w:t>
      </w:r>
      <w:r w:rsidRPr="008D7672">
        <w:t xml:space="preserve">. </w:t>
      </w:r>
      <w:r w:rsidRPr="008D7672" w:rsidR="00571807">
        <w:t xml:space="preserve">The planned final interview for the Full Survey data collection will be replaced with a debriefing interview to collect data from Field Test participants on their experiences with the new native smartphone app designed to reduce respondent burden. The debriefing interview will facilitate the evaluation of the FoodLogger. </w:t>
      </w:r>
    </w:p>
    <w:p w:rsidR="004F5F81" w:rsidP="000B5BDC" w:rsidRDefault="004F5F81" w14:paraId="3378F889" w14:textId="77777777">
      <w:pPr>
        <w:pStyle w:val="L1-FlLSp12"/>
      </w:pPr>
    </w:p>
    <w:p w:rsidR="000B5BDC" w:rsidP="000B5BDC" w:rsidRDefault="004F5F81" w14:paraId="5B9865B3" w14:textId="0B57D39B">
      <w:pPr>
        <w:pStyle w:val="L1-FlLSp12"/>
      </w:pPr>
      <w:r w:rsidRPr="004A2DE3">
        <w:t>The implementation of the Field Test w</w:t>
      </w:r>
      <w:r w:rsidRPr="00022B9D">
        <w:t xml:space="preserve">ill </w:t>
      </w:r>
      <w:r>
        <w:t>also</w:t>
      </w:r>
      <w:r w:rsidRPr="000B2E4C">
        <w:t xml:space="preserve"> aim to create a database that allows the </w:t>
      </w:r>
      <w:r w:rsidRPr="004A2DE3">
        <w:t xml:space="preserve">following </w:t>
      </w:r>
      <w:r>
        <w:t>research question to be answered: What is an o</w:t>
      </w:r>
      <w:r w:rsidRPr="00371B92">
        <w:t xml:space="preserve">ptimal incentive strategy </w:t>
      </w:r>
      <w:r>
        <w:t>among strategies considered that will</w:t>
      </w:r>
      <w:r w:rsidRPr="00371B92">
        <w:t xml:space="preserve"> stem the drop-off in reporting across the week</w:t>
      </w:r>
      <w:r>
        <w:t xml:space="preserve">? It is critical to the success of FoodAPS that respondents complete the Food Log </w:t>
      </w:r>
      <w:r w:rsidRPr="00920D26">
        <w:t xml:space="preserve">each day of the data collection week. </w:t>
      </w:r>
      <w:r>
        <w:t>B</w:t>
      </w:r>
      <w:r w:rsidRPr="001D68FB">
        <w:t xml:space="preserve">oth FoodAPS-1 and the </w:t>
      </w:r>
      <w:r>
        <w:t>National Food Study (NFS)</w:t>
      </w:r>
      <w:r w:rsidRPr="001D68FB">
        <w:t xml:space="preserve"> Pilot</w:t>
      </w:r>
      <w:r>
        <w:rPr>
          <w:rStyle w:val="FootnoteReference"/>
        </w:rPr>
        <w:footnoteReference w:id="6"/>
      </w:r>
      <w:r>
        <w:t xml:space="preserve"> suffered from reporting attrition throughout the data collection week; a goal for the Full Survey is to reduce this attrition rate and to minimize the potential for nonresponse bias. Therefore</w:t>
      </w:r>
      <w:r w:rsidRPr="00920D26">
        <w:t xml:space="preserve">, the Field Test will include </w:t>
      </w:r>
      <w:r>
        <w:t>an</w:t>
      </w:r>
      <w:r w:rsidRPr="00920D26">
        <w:t xml:space="preserve"> incentive experiment that varies the amount of incentive </w:t>
      </w:r>
      <w:r>
        <w:t xml:space="preserve">a respondent can receive </w:t>
      </w:r>
      <w:r w:rsidRPr="00920D26">
        <w:t xml:space="preserve">for Food Log completion during the week. </w:t>
      </w:r>
      <w:r w:rsidRPr="000B2E4C">
        <w:t xml:space="preserve">To </w:t>
      </w:r>
      <w:r>
        <w:t>evaluate the effectiveness of this protocol</w:t>
      </w:r>
      <w:r w:rsidRPr="000B2E4C">
        <w:t>,</w:t>
      </w:r>
      <w:r>
        <w:t xml:space="preserve"> a split sample incentive design is proposed. The incentives experiment is described in more detail in Supporting Statement Part B. </w:t>
      </w:r>
    </w:p>
    <w:p w:rsidR="007826FF" w:rsidP="000B5BDC" w:rsidRDefault="007826FF" w14:paraId="4CA43EB2" w14:textId="77777777">
      <w:pPr>
        <w:pStyle w:val="L1-FlLSp12"/>
      </w:pPr>
    </w:p>
    <w:p w:rsidRPr="001D6A5B" w:rsidR="000B5BDC" w:rsidP="000B5BDC" w:rsidRDefault="000B5BDC" w14:paraId="2834B2D5" w14:textId="778C9AC4">
      <w:pPr>
        <w:autoSpaceDE w:val="0"/>
        <w:autoSpaceDN w:val="0"/>
        <w:adjustRightInd w:val="0"/>
        <w:spacing w:line="360" w:lineRule="atLeast"/>
        <w:rPr>
          <w:szCs w:val="24"/>
        </w:rPr>
      </w:pPr>
    </w:p>
    <w:p w:rsidRPr="003702B9" w:rsidR="000B5BDC" w:rsidP="000B5BDC" w:rsidRDefault="000B5BDC" w14:paraId="08BD7092" w14:textId="2A2DE9D3">
      <w:pPr>
        <w:pStyle w:val="Heading2"/>
      </w:pPr>
      <w:bookmarkStart w:name="_Toc57321206" w:id="18"/>
      <w:bookmarkStart w:name="_Toc93499529" w:id="19"/>
      <w:r w:rsidRPr="003702B9">
        <w:t>A.2</w:t>
      </w:r>
      <w:r w:rsidRPr="003702B9">
        <w:tab/>
        <w:t>Purpose and Use of the Information</w:t>
      </w:r>
      <w:bookmarkEnd w:id="18"/>
      <w:bookmarkEnd w:id="19"/>
    </w:p>
    <w:p w:rsidRPr="002F126A" w:rsidR="000B5BDC" w:rsidP="000B5BDC" w:rsidRDefault="000B5BDC" w14:paraId="66945230" w14:textId="77777777">
      <w:pPr>
        <w:pStyle w:val="L1-FlLSp12"/>
        <w:rPr>
          <w:b/>
        </w:rPr>
      </w:pPr>
      <w:r w:rsidRPr="002F126A">
        <w:rPr>
          <w:b/>
        </w:rPr>
        <w:t xml:space="preserve">Indicate how, by whom, </w:t>
      </w:r>
      <w:r w:rsidRPr="007C3EE8">
        <w:rPr>
          <w:b/>
        </w:rPr>
        <w:t>how frequently, and for what purpose the information is to be used.</w:t>
      </w:r>
      <w:r w:rsidRPr="002F126A">
        <w:rPr>
          <w:b/>
        </w:rPr>
        <w:t xml:space="preserve"> Except for a new collection, indicate the actual use the agency has made of the information received from the current collection.</w:t>
      </w:r>
    </w:p>
    <w:p w:rsidRPr="001D6A5B" w:rsidR="000B5BDC" w:rsidP="000B5BDC" w:rsidRDefault="000B5BDC" w14:paraId="6321E605" w14:textId="77777777">
      <w:pPr>
        <w:pStyle w:val="L1-FlLSp12"/>
        <w:rPr>
          <w:szCs w:val="24"/>
        </w:rPr>
      </w:pPr>
    </w:p>
    <w:p w:rsidRPr="001D6A5B" w:rsidR="000B5BDC" w:rsidP="000B5BDC" w:rsidRDefault="000B5BDC" w14:paraId="2682499A" w14:textId="77777777">
      <w:pPr>
        <w:pStyle w:val="L1-FlLSp12"/>
        <w:rPr>
          <w:szCs w:val="24"/>
        </w:rPr>
      </w:pPr>
      <w:r w:rsidRPr="001D6A5B">
        <w:rPr>
          <w:szCs w:val="24"/>
        </w:rPr>
        <w:t>The mission of ERS is to anticipate trends and emerging issues in agriculture, food, the environment, and rural America and to conduct high-quality, objective and timely economic research to inform and enhance public and private decision making.</w:t>
      </w:r>
    </w:p>
    <w:p w:rsidRPr="001D6A5B" w:rsidR="000B5BDC" w:rsidP="000B5BDC" w:rsidRDefault="000B5BDC" w14:paraId="6F4E4F1E" w14:textId="77777777">
      <w:pPr>
        <w:pStyle w:val="L1-FlLSp12"/>
        <w:rPr>
          <w:szCs w:val="24"/>
        </w:rPr>
      </w:pPr>
    </w:p>
    <w:p w:rsidRPr="001D6A5B" w:rsidR="000B5BDC" w:rsidP="000B5BDC" w:rsidRDefault="000B5BDC" w14:paraId="2A3E1841" w14:textId="77777777">
      <w:pPr>
        <w:pStyle w:val="L1-FlLSp12"/>
        <w:rPr>
          <w:szCs w:val="24"/>
        </w:rPr>
      </w:pPr>
      <w:r w:rsidRPr="001D6A5B">
        <w:rPr>
          <w:szCs w:val="24"/>
        </w:rPr>
        <w:t>To achieve its mission related to food issues that face the Nation, ERS provides critical economic analyses and statistics on key aspects of the determinants of food choices and behaviors of consumers in various income groups. An important aspect of ERS’s mission in the area of food economics focuses on understanding the interplay between consumer food choices and food assistance programs</w:t>
      </w:r>
      <w:r>
        <w:rPr>
          <w:szCs w:val="24"/>
        </w:rPr>
        <w:t xml:space="preserve"> like WIC and SNAP (Supplemental Nutrition Assistance Program)</w:t>
      </w:r>
      <w:r w:rsidRPr="001D6A5B">
        <w:rPr>
          <w:szCs w:val="24"/>
        </w:rPr>
        <w:t>.</w:t>
      </w:r>
    </w:p>
    <w:p w:rsidRPr="001D6A5B" w:rsidR="000B5BDC" w:rsidP="000B5BDC" w:rsidRDefault="000B5BDC" w14:paraId="2B352DE3" w14:textId="77777777">
      <w:pPr>
        <w:pStyle w:val="L1-FlLSp12"/>
        <w:rPr>
          <w:szCs w:val="24"/>
        </w:rPr>
      </w:pPr>
    </w:p>
    <w:p w:rsidRPr="001D6A5B" w:rsidR="000B5BDC" w:rsidP="000B5BDC" w:rsidRDefault="000B5BDC" w14:paraId="322E20C0" w14:textId="686C042D">
      <w:pPr>
        <w:pStyle w:val="L1-FlLSp12"/>
        <w:rPr>
          <w:szCs w:val="24"/>
        </w:rPr>
      </w:pPr>
      <w:r w:rsidRPr="001D6A5B">
        <w:rPr>
          <w:szCs w:val="24"/>
        </w:rPr>
        <w:t>Prior to FoodAPS-1, analysis of how USDA’s policies and programs influence households</w:t>
      </w:r>
      <w:r>
        <w:rPr>
          <w:szCs w:val="24"/>
        </w:rPr>
        <w:t>’</w:t>
      </w:r>
      <w:r w:rsidRPr="001D6A5B">
        <w:rPr>
          <w:szCs w:val="24"/>
        </w:rPr>
        <w:t xml:space="preserve"> food choices had been hampered by gaps in existing data. A number of existing databases contained data relevant to ERS’s </w:t>
      </w:r>
      <w:r>
        <w:rPr>
          <w:szCs w:val="24"/>
        </w:rPr>
        <w:t xml:space="preserve">research </w:t>
      </w:r>
      <w:r w:rsidRPr="001D6A5B">
        <w:rPr>
          <w:szCs w:val="24"/>
        </w:rPr>
        <w:t>needs, but each disparate data source contained some, but not all, of the relevant data. Further, few data sources oversampled households with SNAP-participant</w:t>
      </w:r>
      <w:r w:rsidR="003738F6">
        <w:rPr>
          <w:szCs w:val="24"/>
        </w:rPr>
        <w:t>s</w:t>
      </w:r>
      <w:r w:rsidRPr="001D6A5B">
        <w:rPr>
          <w:szCs w:val="24"/>
        </w:rPr>
        <w:t xml:space="preserve"> or other low-income households to enable robust comparisons of food acquisition patter</w:t>
      </w:r>
      <w:r>
        <w:rPr>
          <w:szCs w:val="24"/>
        </w:rPr>
        <w:t>n</w:t>
      </w:r>
      <w:r w:rsidRPr="001D6A5B">
        <w:rPr>
          <w:szCs w:val="24"/>
        </w:rPr>
        <w:t>s between these two groups that are important to both FNS and ERS for program evaluation and policy analysis. FoodAPS-1 is the only data source that extensively integrated external data sets to verify self-reported SNAP participation and to characterize the local food environment</w:t>
      </w:r>
      <w:r>
        <w:rPr>
          <w:szCs w:val="24"/>
        </w:rPr>
        <w:t xml:space="preserve"> </w:t>
      </w:r>
      <w:r>
        <w:t xml:space="preserve">(e.g., numbers, types and locations of retail food locations). </w:t>
      </w:r>
    </w:p>
    <w:p w:rsidRPr="001D6A5B" w:rsidR="000B5BDC" w:rsidP="000B5BDC" w:rsidRDefault="000B5BDC" w14:paraId="2EAB43F0" w14:textId="77777777">
      <w:pPr>
        <w:pStyle w:val="L1-FlLSp12"/>
        <w:rPr>
          <w:szCs w:val="24"/>
        </w:rPr>
      </w:pPr>
    </w:p>
    <w:p w:rsidRPr="001D6A5B" w:rsidR="000B5BDC" w:rsidP="000B5BDC" w:rsidRDefault="000B5BDC" w14:paraId="7B5A0E06" w14:textId="61CD2898">
      <w:pPr>
        <w:pStyle w:val="L1-FlLSp12"/>
        <w:rPr>
          <w:szCs w:val="24"/>
        </w:rPr>
      </w:pPr>
      <w:r w:rsidRPr="001D6A5B">
        <w:rPr>
          <w:szCs w:val="24"/>
        </w:rPr>
        <w:t>The expected time between FoodAPS-1 and FoodAPS-2 will be about 10 years. As mentioned in our response to A.1, the structure of the U.S. food economy has changed dramatically over the last decade. According to the Department of Labor</w:t>
      </w:r>
      <w:r>
        <w:rPr>
          <w:szCs w:val="24"/>
        </w:rPr>
        <w:t>,</w:t>
      </w:r>
      <w:r w:rsidRPr="001D6A5B">
        <w:rPr>
          <w:szCs w:val="24"/>
        </w:rPr>
        <w:t xml:space="preserve"> approximately 21 percent of the household </w:t>
      </w:r>
      <w:r>
        <w:rPr>
          <w:szCs w:val="24"/>
        </w:rPr>
        <w:t xml:space="preserve">food </w:t>
      </w:r>
      <w:r w:rsidRPr="001D6A5B">
        <w:rPr>
          <w:szCs w:val="24"/>
        </w:rPr>
        <w:t>budget was spent away-from-home in 1960-61.</w:t>
      </w:r>
      <w:r w:rsidR="00EB23FE">
        <w:rPr>
          <w:szCs w:val="24"/>
        </w:rPr>
        <w:t xml:space="preserve"> </w:t>
      </w:r>
      <w:r w:rsidRPr="001D6A5B">
        <w:rPr>
          <w:szCs w:val="24"/>
        </w:rPr>
        <w:t>That share ha</w:t>
      </w:r>
      <w:r>
        <w:rPr>
          <w:szCs w:val="24"/>
        </w:rPr>
        <w:t>d</w:t>
      </w:r>
      <w:r w:rsidRPr="001D6A5B">
        <w:rPr>
          <w:szCs w:val="24"/>
        </w:rPr>
        <w:t xml:space="preserve"> increased to 4</w:t>
      </w:r>
      <w:r>
        <w:rPr>
          <w:szCs w:val="24"/>
        </w:rPr>
        <w:t>3</w:t>
      </w:r>
      <w:r w:rsidRPr="001D6A5B">
        <w:rPr>
          <w:szCs w:val="24"/>
        </w:rPr>
        <w:t xml:space="preserve"> percent in 201</w:t>
      </w:r>
      <w:r>
        <w:rPr>
          <w:szCs w:val="24"/>
        </w:rPr>
        <w:t>9</w:t>
      </w:r>
      <w:r w:rsidRPr="001D6A5B">
        <w:rPr>
          <w:szCs w:val="24"/>
        </w:rPr>
        <w:t>.</w:t>
      </w:r>
      <w:r w:rsidRPr="001D6A5B">
        <w:rPr>
          <w:rStyle w:val="FootnoteReference"/>
          <w:szCs w:val="24"/>
        </w:rPr>
        <w:footnoteReference w:id="7"/>
      </w:r>
    </w:p>
    <w:p w:rsidRPr="001D6A5B" w:rsidR="000B5BDC" w:rsidP="000B5BDC" w:rsidRDefault="000B5BDC" w14:paraId="48D8F317" w14:textId="77777777">
      <w:pPr>
        <w:pStyle w:val="L1-FlLSp12"/>
        <w:rPr>
          <w:szCs w:val="24"/>
        </w:rPr>
      </w:pPr>
    </w:p>
    <w:p w:rsidRPr="001D6A5B" w:rsidR="000B5BDC" w:rsidP="000B5BDC" w:rsidRDefault="000B5BDC" w14:paraId="45F29D62" w14:textId="77777777">
      <w:pPr>
        <w:pStyle w:val="L1-FlLSp12"/>
        <w:rPr>
          <w:szCs w:val="24"/>
        </w:rPr>
      </w:pPr>
      <w:r w:rsidRPr="001D6A5B">
        <w:rPr>
          <w:szCs w:val="24"/>
        </w:rPr>
        <w:t>Key data users of FoodAPS-1 include the White House and USDA policy officials; the U.S. Congress; program administrators/managers; other Federal agencies; State and local government officials; and various organizations, including farm and industry groups interested in or responsible for public policy issues.</w:t>
      </w:r>
      <w:r>
        <w:rPr>
          <w:szCs w:val="24"/>
        </w:rPr>
        <w:t xml:space="preserve"> In addition, academic researchers have often used the data from FoodAPS-1 to describe food acquisition patterns among population subgroups and explore hypotheses about the interplay between food market vendors and consumers, how food acquisition patterns affect food security and health, and the role of Federal nutrition programs in promoting healthful eating on limited budgets.</w:t>
      </w:r>
      <w:r>
        <w:rPr>
          <w:rStyle w:val="FootnoteReference"/>
          <w:szCs w:val="24"/>
        </w:rPr>
        <w:footnoteReference w:id="8"/>
      </w:r>
    </w:p>
    <w:p w:rsidRPr="001D6A5B" w:rsidR="000B5BDC" w:rsidP="000B5BDC" w:rsidRDefault="000B5BDC" w14:paraId="078CA540" w14:textId="77777777">
      <w:pPr>
        <w:pStyle w:val="L1-FlLSp12"/>
        <w:rPr>
          <w:szCs w:val="24"/>
        </w:rPr>
      </w:pPr>
    </w:p>
    <w:p w:rsidRPr="001D6A5B" w:rsidR="000B5BDC" w:rsidP="000B5BDC" w:rsidRDefault="000B5BDC" w14:paraId="39AC4A43" w14:textId="43C66CF2">
      <w:pPr>
        <w:pStyle w:val="L1-FlLSp12"/>
        <w:rPr>
          <w:szCs w:val="24"/>
        </w:rPr>
      </w:pPr>
      <w:r w:rsidRPr="001D6A5B">
        <w:rPr>
          <w:szCs w:val="24"/>
        </w:rPr>
        <w:t xml:space="preserve">FoodAPS-1 data </w:t>
      </w:r>
      <w:r w:rsidR="00202BF1">
        <w:rPr>
          <w:szCs w:val="24"/>
        </w:rPr>
        <w:t xml:space="preserve">either have or </w:t>
      </w:r>
      <w:r>
        <w:rPr>
          <w:szCs w:val="24"/>
        </w:rPr>
        <w:t>are</w:t>
      </w:r>
      <w:r w:rsidRPr="001D6A5B">
        <w:rPr>
          <w:szCs w:val="24"/>
        </w:rPr>
        <w:t xml:space="preserve"> </w:t>
      </w:r>
      <w:r w:rsidR="00202BF1">
        <w:rPr>
          <w:szCs w:val="24"/>
        </w:rPr>
        <w:t xml:space="preserve">currently being </w:t>
      </w:r>
      <w:r w:rsidRPr="001D6A5B">
        <w:rPr>
          <w:szCs w:val="24"/>
        </w:rPr>
        <w:t>used by these clientele to support research on:</w:t>
      </w:r>
    </w:p>
    <w:p w:rsidRPr="001D6A5B" w:rsidR="000B5BDC" w:rsidP="000B5BDC" w:rsidRDefault="000B5BDC" w14:paraId="21A9C728" w14:textId="77777777">
      <w:pPr>
        <w:pStyle w:val="L1-FlLSp12"/>
        <w:rPr>
          <w:szCs w:val="24"/>
        </w:rPr>
      </w:pPr>
    </w:p>
    <w:p w:rsidR="000B5BDC" w:rsidP="00DB7F04" w:rsidRDefault="000B5BDC" w14:paraId="094A02B5" w14:textId="77777777">
      <w:pPr>
        <w:pStyle w:val="ListParagraph"/>
        <w:numPr>
          <w:ilvl w:val="0"/>
          <w:numId w:val="14"/>
        </w:numPr>
        <w:spacing w:after="120" w:line="276" w:lineRule="auto"/>
      </w:pPr>
      <w:r>
        <w:t>Concurrent information about food purchased for preparation at home and food prepared outside the home,</w:t>
      </w:r>
      <w:r w:rsidRPr="008B19DC">
        <w:t xml:space="preserve"> </w:t>
      </w:r>
    </w:p>
    <w:p w:rsidR="000B5BDC" w:rsidP="00DB7F04" w:rsidRDefault="000B5BDC" w14:paraId="77567D91" w14:textId="77777777">
      <w:pPr>
        <w:pStyle w:val="ListParagraph"/>
        <w:numPr>
          <w:ilvl w:val="0"/>
          <w:numId w:val="14"/>
        </w:numPr>
        <w:spacing w:after="120" w:line="276" w:lineRule="auto"/>
      </w:pPr>
      <w:r>
        <w:t>Food obtained for free,</w:t>
      </w:r>
      <w:r w:rsidRPr="008B19DC">
        <w:t xml:space="preserve"> </w:t>
      </w:r>
    </w:p>
    <w:p w:rsidR="000B5BDC" w:rsidP="00DB7F04" w:rsidRDefault="000B5BDC" w14:paraId="4C1C1D22" w14:textId="77777777">
      <w:pPr>
        <w:pStyle w:val="ListParagraph"/>
        <w:numPr>
          <w:ilvl w:val="0"/>
          <w:numId w:val="14"/>
        </w:numPr>
        <w:spacing w:after="120" w:line="276" w:lineRule="auto"/>
      </w:pPr>
      <w:r>
        <w:t>Food obtained by all household members,</w:t>
      </w:r>
      <w:r w:rsidRPr="008B19DC">
        <w:t xml:space="preserve"> </w:t>
      </w:r>
    </w:p>
    <w:p w:rsidR="000B5BDC" w:rsidP="00DB7F04" w:rsidRDefault="000B5BDC" w14:paraId="6D968C1F" w14:textId="77777777">
      <w:pPr>
        <w:pStyle w:val="ListParagraph"/>
        <w:numPr>
          <w:ilvl w:val="0"/>
          <w:numId w:val="14"/>
        </w:numPr>
        <w:spacing w:after="120" w:line="276" w:lineRule="auto"/>
      </w:pPr>
      <w:r>
        <w:t>The nutrient content of acquired food,</w:t>
      </w:r>
      <w:r w:rsidRPr="008B19DC">
        <w:t xml:space="preserve"> </w:t>
      </w:r>
    </w:p>
    <w:p w:rsidR="000B5BDC" w:rsidP="00DB7F04" w:rsidRDefault="000B5BDC" w14:paraId="438A7B3F" w14:textId="07A1A42C">
      <w:pPr>
        <w:pStyle w:val="ListParagraph"/>
        <w:numPr>
          <w:ilvl w:val="0"/>
          <w:numId w:val="14"/>
        </w:numPr>
        <w:spacing w:after="120" w:line="276" w:lineRule="auto"/>
      </w:pPr>
      <w:r>
        <w:t>The cost of purchased food and the types of resources used (e.g., cash, credit or debit, program benefits, coupons and discounts)</w:t>
      </w:r>
      <w:r w:rsidR="003738F6">
        <w:t>,</w:t>
      </w:r>
      <w:r w:rsidRPr="008B19DC">
        <w:t xml:space="preserve"> </w:t>
      </w:r>
    </w:p>
    <w:p w:rsidR="000B5BDC" w:rsidP="00DB7F04" w:rsidRDefault="000B5BDC" w14:paraId="32A6EEA3" w14:textId="77777777">
      <w:pPr>
        <w:pStyle w:val="ListParagraph"/>
        <w:numPr>
          <w:ilvl w:val="0"/>
          <w:numId w:val="14"/>
        </w:numPr>
        <w:spacing w:after="120" w:line="276" w:lineRule="auto"/>
      </w:pPr>
      <w:r>
        <w:t xml:space="preserve">Characteristics about the places where food is obtained, and </w:t>
      </w:r>
    </w:p>
    <w:p w:rsidRPr="00A527CE" w:rsidR="000B5BDC" w:rsidP="00DB7F04" w:rsidRDefault="000B5BDC" w14:paraId="491DB962" w14:textId="77777777">
      <w:pPr>
        <w:pStyle w:val="ListParagraph"/>
        <w:numPr>
          <w:ilvl w:val="0"/>
          <w:numId w:val="14"/>
        </w:numPr>
        <w:spacing w:after="120" w:line="276" w:lineRule="auto"/>
      </w:pPr>
      <w:r>
        <w:t>A comparison of SNAP-participant food acquisitions to nonparticipant acquisitions.</w:t>
      </w:r>
      <w:r w:rsidRPr="008B19DC">
        <w:t xml:space="preserve"> </w:t>
      </w:r>
    </w:p>
    <w:p w:rsidR="000B5BDC" w:rsidP="000B5BDC" w:rsidRDefault="000B5BDC" w14:paraId="145DBA19" w14:textId="5F23D6D7">
      <w:pPr>
        <w:spacing w:line="360" w:lineRule="atLeast"/>
      </w:pPr>
      <w:r w:rsidRPr="52A65C71">
        <w:t xml:space="preserve">Using findings from FoodAPS-1, an article by ERS staff for </w:t>
      </w:r>
      <w:r w:rsidRPr="52A65C71">
        <w:rPr>
          <w:i/>
          <w:iCs/>
        </w:rPr>
        <w:t>Food Policy</w:t>
      </w:r>
      <w:r w:rsidRPr="52A65C71">
        <w:rPr>
          <w:rStyle w:val="FootnoteReference"/>
        </w:rPr>
        <w:footnoteReference w:id="9"/>
      </w:r>
      <w:r w:rsidRPr="52A65C71">
        <w:rPr>
          <w:i/>
          <w:iCs/>
        </w:rPr>
        <w:t xml:space="preserve"> </w:t>
      </w:r>
      <w:r w:rsidRPr="52A65C71">
        <w:t xml:space="preserve">identified areas where more attention might be needed in future surveys such as FoodAPS-2. Modifications to the proposed FoodAPS-2 Field Test instruments and protocols took into consideration recommendations </w:t>
      </w:r>
      <w:r w:rsidRPr="52A65C71" w:rsidR="1AE93098">
        <w:t xml:space="preserve">from </w:t>
      </w:r>
      <w:r w:rsidRPr="52A65C71">
        <w:t>this article. Specifically, the Field Test will improve on the following items:</w:t>
      </w:r>
    </w:p>
    <w:p w:rsidR="000B5BDC" w:rsidP="000B5BDC" w:rsidRDefault="000B5BDC" w14:paraId="6AB90E39" w14:textId="77777777">
      <w:pPr>
        <w:spacing w:line="360" w:lineRule="atLeast"/>
        <w:rPr>
          <w:szCs w:val="24"/>
        </w:rPr>
      </w:pPr>
    </w:p>
    <w:p w:rsidRPr="00A527CE" w:rsidR="000B5BDC" w:rsidP="00DB7F04" w:rsidRDefault="000B5BDC" w14:paraId="586382F0" w14:textId="7CF5F268">
      <w:pPr>
        <w:pStyle w:val="ListParagraph"/>
        <w:numPr>
          <w:ilvl w:val="0"/>
          <w:numId w:val="14"/>
        </w:numPr>
        <w:spacing w:after="120" w:line="276" w:lineRule="auto"/>
      </w:pPr>
      <w:r>
        <w:t xml:space="preserve">The Field Test will use an electronic food diary, accessible both via </w:t>
      </w:r>
      <w:r w:rsidR="30436751">
        <w:t xml:space="preserve">an </w:t>
      </w:r>
      <w:r>
        <w:t xml:space="preserve">Internet </w:t>
      </w:r>
      <w:r w:rsidR="74515638">
        <w:t xml:space="preserve">browser </w:t>
      </w:r>
      <w:r>
        <w:t>and through a native smartphone application, instead of hard copy paper diaries to reduce response burden and improve data quality.</w:t>
      </w:r>
    </w:p>
    <w:p w:rsidR="000B5BDC" w:rsidP="00DB7F04" w:rsidRDefault="000B5BDC" w14:paraId="7CA3100B" w14:textId="787D59DD">
      <w:pPr>
        <w:pStyle w:val="ListParagraph"/>
        <w:numPr>
          <w:ilvl w:val="0"/>
          <w:numId w:val="14"/>
        </w:numPr>
        <w:spacing w:after="120" w:line="276" w:lineRule="auto"/>
      </w:pPr>
      <w:r>
        <w:t>The electronic food diary survey</w:t>
      </w:r>
      <w:r w:rsidR="001715BC">
        <w:t xml:space="preserve">, also referred to as the Food Log, </w:t>
      </w:r>
      <w:r>
        <w:t>will gather information about the local diversity of food products (e.g., ethnic foods, foods with private market labels).</w:t>
      </w:r>
    </w:p>
    <w:p w:rsidR="000B5BDC" w:rsidP="00DB7F04" w:rsidRDefault="000B5BDC" w14:paraId="16AB748E" w14:textId="77777777">
      <w:pPr>
        <w:pStyle w:val="ListParagraph"/>
        <w:numPr>
          <w:ilvl w:val="0"/>
          <w:numId w:val="14"/>
        </w:numPr>
        <w:spacing w:after="120" w:line="276" w:lineRule="auto"/>
        <w:rPr>
          <w:bCs/>
        </w:rPr>
      </w:pPr>
      <w:r>
        <w:t>The food diary will facilitate a fuller understanding of food demand in the United States, by gathering more detail on food obtained for free.</w:t>
      </w:r>
    </w:p>
    <w:p w:rsidRPr="00F93875" w:rsidR="000B5BDC" w:rsidP="00DB7F04" w:rsidRDefault="000B5BDC" w14:paraId="4AA3171E" w14:textId="0756F0FD">
      <w:pPr>
        <w:pStyle w:val="ListParagraph"/>
        <w:numPr>
          <w:ilvl w:val="0"/>
          <w:numId w:val="14"/>
        </w:numPr>
        <w:spacing w:after="120" w:line="276" w:lineRule="auto"/>
        <w:rPr>
          <w:bCs/>
        </w:rPr>
      </w:pPr>
      <w:r>
        <w:t xml:space="preserve">A redesigned income </w:t>
      </w:r>
      <w:r w:rsidR="001715BC">
        <w:t xml:space="preserve">questionnaire </w:t>
      </w:r>
      <w:r>
        <w:t>will improve on FoodAPS-1’s ability to capture gross earnings. In FoodAPS-1, nearly half of all respondents reported net rather than requested gross earnings.</w:t>
      </w:r>
    </w:p>
    <w:p w:rsidRPr="005F688B" w:rsidR="000B5BDC" w:rsidP="00DB7F04" w:rsidRDefault="000B5BDC" w14:paraId="6DBAC831" w14:textId="35939652">
      <w:pPr>
        <w:pStyle w:val="ListParagraph"/>
        <w:numPr>
          <w:ilvl w:val="0"/>
          <w:numId w:val="14"/>
        </w:numPr>
        <w:spacing w:after="120" w:line="276" w:lineRule="auto"/>
      </w:pPr>
      <w:r>
        <w:t>FoodAPS-2 will use geographical information technology to capture better i</w:t>
      </w:r>
      <w:r w:rsidRPr="00A527CE">
        <w:t xml:space="preserve">nformation about the local food environment </w:t>
      </w:r>
      <w:r>
        <w:t xml:space="preserve">(e.g., locations of retail food locations), </w:t>
      </w:r>
      <w:r w:rsidRPr="00A527CE">
        <w:t>add</w:t>
      </w:r>
      <w:r>
        <w:t>ing</w:t>
      </w:r>
      <w:r w:rsidRPr="00A527CE">
        <w:t xml:space="preserve"> substantial value to research</w:t>
      </w:r>
      <w:r>
        <w:t>.</w:t>
      </w:r>
    </w:p>
    <w:p w:rsidR="000B5BDC" w:rsidP="00DB7F04" w:rsidRDefault="000B5BDC" w14:paraId="319EE807" w14:textId="77777777">
      <w:pPr>
        <w:pStyle w:val="ListParagraph"/>
        <w:numPr>
          <w:ilvl w:val="0"/>
          <w:numId w:val="14"/>
        </w:numPr>
        <w:spacing w:after="120" w:line="276" w:lineRule="auto"/>
        <w:rPr>
          <w:bCs/>
        </w:rPr>
      </w:pPr>
      <w:r>
        <w:t>At the conclusion of FoodAPS-2, we will work with SNAP and WIC agencies to m</w:t>
      </w:r>
      <w:r w:rsidRPr="00DB4829">
        <w:t>atch survey data to administrative sources</w:t>
      </w:r>
      <w:r>
        <w:t xml:space="preserve"> (not planned for the Field Test).</w:t>
      </w:r>
    </w:p>
    <w:p w:rsidR="000B5BDC" w:rsidP="000B5BDC" w:rsidRDefault="000B5BDC" w14:paraId="3838217F" w14:textId="78396598">
      <w:pPr>
        <w:spacing w:line="360" w:lineRule="atLeast"/>
        <w:rPr>
          <w:szCs w:val="24"/>
        </w:rPr>
      </w:pPr>
      <w:r w:rsidRPr="001D6A5B">
        <w:rPr>
          <w:szCs w:val="24"/>
        </w:rPr>
        <w:t xml:space="preserve">The </w:t>
      </w:r>
      <w:r>
        <w:rPr>
          <w:szCs w:val="24"/>
        </w:rPr>
        <w:t>Field Test</w:t>
      </w:r>
      <w:r w:rsidRPr="001D6A5B">
        <w:rPr>
          <w:szCs w:val="24"/>
        </w:rPr>
        <w:t xml:space="preserve"> data collection will be conducted in English. Following the Field Test, if needed, we will make adjustments to the study design for the Full Survey</w:t>
      </w:r>
      <w:r>
        <w:rPr>
          <w:szCs w:val="24"/>
        </w:rPr>
        <w:t xml:space="preserve"> and modify the data collection instruments. </w:t>
      </w:r>
      <w:r w:rsidR="00B10761">
        <w:rPr>
          <w:szCs w:val="24"/>
        </w:rPr>
        <w:t xml:space="preserve">The revised data collection instruments will also be translated to Spanish. </w:t>
      </w:r>
    </w:p>
    <w:p w:rsidR="000B5BDC" w:rsidP="000B5BDC" w:rsidRDefault="000B5BDC" w14:paraId="5C69CD84" w14:textId="77777777">
      <w:pPr>
        <w:spacing w:line="360" w:lineRule="atLeast"/>
        <w:rPr>
          <w:szCs w:val="24"/>
        </w:rPr>
      </w:pPr>
    </w:p>
    <w:p w:rsidR="00444901" w:rsidP="000B5BDC" w:rsidRDefault="000B5BDC" w14:paraId="6C035D19" w14:textId="3CE8274E">
      <w:pPr>
        <w:spacing w:line="360" w:lineRule="atLeast"/>
        <w:rPr>
          <w:szCs w:val="24"/>
        </w:rPr>
      </w:pPr>
      <w:r>
        <w:rPr>
          <w:szCs w:val="24"/>
        </w:rPr>
        <w:t>As explained more fully in Part B</w:t>
      </w:r>
      <w:r w:rsidR="00F84C09">
        <w:rPr>
          <w:szCs w:val="24"/>
        </w:rPr>
        <w:t xml:space="preserve"> the sample design of the National Food Study (NFS) Pilot</w:t>
      </w:r>
      <w:r w:rsidR="00444901">
        <w:rPr>
          <w:rStyle w:val="FootnoteReference"/>
          <w:szCs w:val="24"/>
        </w:rPr>
        <w:footnoteReference w:id="10"/>
      </w:r>
      <w:r w:rsidR="00F84C09">
        <w:rPr>
          <w:szCs w:val="24"/>
        </w:rPr>
        <w:t xml:space="preserve"> will be utilized. The NFS Pilot, also known as the Alternative Data Collection Method (ADCM) Pilot, was conducted by Westat on behalf of ERS</w:t>
      </w:r>
      <w:r w:rsidR="00444901">
        <w:rPr>
          <w:szCs w:val="24"/>
        </w:rPr>
        <w:t xml:space="preserve"> in 201</w:t>
      </w:r>
      <w:r w:rsidR="00AE7307">
        <w:rPr>
          <w:szCs w:val="24"/>
        </w:rPr>
        <w:t>6</w:t>
      </w:r>
      <w:r w:rsidR="00444901">
        <w:rPr>
          <w:szCs w:val="24"/>
        </w:rPr>
        <w:t xml:space="preserve"> and sought </w:t>
      </w:r>
      <w:r w:rsidRPr="00444901" w:rsidR="00444901">
        <w:rPr>
          <w:szCs w:val="24"/>
        </w:rPr>
        <w:t>to build on FoodAPS-1 and improve the efficiency of the data collection approach for the next administration of the survey.</w:t>
      </w:r>
      <w:r w:rsidR="00444901">
        <w:rPr>
          <w:szCs w:val="24"/>
        </w:rPr>
        <w:t xml:space="preserve"> </w:t>
      </w:r>
      <w:r w:rsidRPr="00444901" w:rsidR="00444901">
        <w:rPr>
          <w:szCs w:val="24"/>
        </w:rPr>
        <w:t xml:space="preserve">The </w:t>
      </w:r>
      <w:r w:rsidR="00444901">
        <w:rPr>
          <w:szCs w:val="24"/>
        </w:rPr>
        <w:t xml:space="preserve">NFS Pilot </w:t>
      </w:r>
      <w:r w:rsidRPr="00444901" w:rsidR="00444901">
        <w:rPr>
          <w:szCs w:val="24"/>
        </w:rPr>
        <w:t>leverage</w:t>
      </w:r>
      <w:r w:rsidR="00444901">
        <w:rPr>
          <w:szCs w:val="24"/>
        </w:rPr>
        <w:t xml:space="preserve">d </w:t>
      </w:r>
      <w:r w:rsidRPr="00444901" w:rsidR="00444901">
        <w:rPr>
          <w:szCs w:val="24"/>
        </w:rPr>
        <w:t>the lessons learned from FoodAPS-1 and move</w:t>
      </w:r>
      <w:r w:rsidR="00444901">
        <w:rPr>
          <w:szCs w:val="24"/>
        </w:rPr>
        <w:t>d</w:t>
      </w:r>
      <w:r w:rsidRPr="00444901" w:rsidR="00444901">
        <w:rPr>
          <w:szCs w:val="24"/>
        </w:rPr>
        <w:t xml:space="preserve"> the data collection </w:t>
      </w:r>
      <w:r w:rsidR="00444901">
        <w:rPr>
          <w:szCs w:val="24"/>
        </w:rPr>
        <w:t xml:space="preserve">about </w:t>
      </w:r>
      <w:proofErr w:type="spellStart"/>
      <w:r w:rsidR="00444901">
        <w:rPr>
          <w:szCs w:val="24"/>
        </w:rPr>
        <w:t>housedhold</w:t>
      </w:r>
      <w:proofErr w:type="spellEnd"/>
      <w:r w:rsidR="00444901">
        <w:rPr>
          <w:szCs w:val="24"/>
        </w:rPr>
        <w:t xml:space="preserve"> food purchases and acquisitions </w:t>
      </w:r>
      <w:r w:rsidRPr="00444901" w:rsidR="00444901">
        <w:rPr>
          <w:szCs w:val="24"/>
        </w:rPr>
        <w:t>from a paper diary to a web-based system</w:t>
      </w:r>
      <w:r w:rsidR="00444901">
        <w:rPr>
          <w:rStyle w:val="FootnoteReference"/>
          <w:szCs w:val="24"/>
        </w:rPr>
        <w:footnoteReference w:id="11"/>
      </w:r>
      <w:r w:rsidRPr="00444901" w:rsidR="00444901">
        <w:rPr>
          <w:szCs w:val="24"/>
        </w:rPr>
        <w:t xml:space="preserve">. </w:t>
      </w:r>
      <w:r w:rsidR="00444901">
        <w:rPr>
          <w:szCs w:val="24"/>
        </w:rPr>
        <w:t xml:space="preserve">The Field Test represents the next step toward improving the efficiency of the data collection approach for the next administration of the survey, namely a smartphone application. </w:t>
      </w:r>
    </w:p>
    <w:p w:rsidR="00444901" w:rsidP="000B5BDC" w:rsidRDefault="00444901" w14:paraId="1A24A6A6" w14:textId="77777777">
      <w:pPr>
        <w:spacing w:line="360" w:lineRule="atLeast"/>
        <w:rPr>
          <w:szCs w:val="24"/>
        </w:rPr>
      </w:pPr>
    </w:p>
    <w:p w:rsidR="000B5BDC" w:rsidP="000B5BDC" w:rsidRDefault="00F84C09" w14:paraId="61FE2CA0" w14:textId="58178A62">
      <w:pPr>
        <w:spacing w:line="360" w:lineRule="atLeast"/>
        <w:rPr>
          <w:szCs w:val="24"/>
        </w:rPr>
      </w:pPr>
      <w:r>
        <w:rPr>
          <w:szCs w:val="24"/>
        </w:rPr>
        <w:t xml:space="preserve">Specific details about the sample design of the NFS Pilot are provided in Part B, but for the present discussion </w:t>
      </w:r>
      <w:r w:rsidR="000B5BDC">
        <w:rPr>
          <w:szCs w:val="24"/>
        </w:rPr>
        <w:t>each household recruited for the Field Test will fall into one of four target groups: households with one or more members currently participating in SNAP; households with at least one WIC participant and no SNAP participants; non-SNAP non-WIC households with total income at or below 130 percent of the Federal Poverty Guideline (FPG); and non-SNAP non-WIC households with total income above 130 percent of the FPG.</w:t>
      </w:r>
    </w:p>
    <w:p w:rsidR="00444901" w:rsidP="000B5BDC" w:rsidRDefault="00444901" w14:paraId="5D6EE198" w14:textId="77777777">
      <w:pPr>
        <w:spacing w:line="360" w:lineRule="atLeast"/>
        <w:rPr>
          <w:szCs w:val="24"/>
        </w:rPr>
      </w:pPr>
    </w:p>
    <w:p w:rsidRPr="001D6A5B" w:rsidR="000B5BDC" w:rsidP="000B5BDC" w:rsidRDefault="000B5BDC" w14:paraId="5A0AE73D" w14:textId="0DC5842A">
      <w:pPr>
        <w:spacing w:line="360" w:lineRule="atLeast"/>
        <w:rPr>
          <w:szCs w:val="24"/>
        </w:rPr>
      </w:pPr>
      <w:r w:rsidRPr="001D6A5B">
        <w:rPr>
          <w:szCs w:val="24"/>
        </w:rPr>
        <w:t xml:space="preserve">The bullets that follow provide an overview of the data collection methodology for the </w:t>
      </w:r>
      <w:r>
        <w:rPr>
          <w:szCs w:val="24"/>
        </w:rPr>
        <w:t>Field Test</w:t>
      </w:r>
      <w:r w:rsidRPr="001D6A5B">
        <w:rPr>
          <w:szCs w:val="24"/>
        </w:rPr>
        <w:t>.</w:t>
      </w:r>
      <w:r w:rsidR="00EB23FE">
        <w:rPr>
          <w:szCs w:val="24"/>
        </w:rPr>
        <w:t xml:space="preserve"> </w:t>
      </w:r>
      <w:r>
        <w:rPr>
          <w:szCs w:val="24"/>
        </w:rPr>
        <w:t>The instruments, letters, and forms that will be shared with respondents are provided as Attachments</w:t>
      </w:r>
      <w:r w:rsidRPr="001D6A5B">
        <w:rPr>
          <w:szCs w:val="24"/>
        </w:rPr>
        <w:t>.</w:t>
      </w:r>
      <w:r>
        <w:rPr>
          <w:rStyle w:val="FootnoteReference"/>
          <w:szCs w:val="24"/>
        </w:rPr>
        <w:footnoteReference w:id="12"/>
      </w:r>
    </w:p>
    <w:p w:rsidRPr="001D6A5B" w:rsidR="000B5BDC" w:rsidP="000B5BDC" w:rsidRDefault="000B5BDC" w14:paraId="6F55E9E5" w14:textId="77777777">
      <w:pPr>
        <w:spacing w:line="360" w:lineRule="atLeast"/>
        <w:rPr>
          <w:szCs w:val="24"/>
        </w:rPr>
      </w:pPr>
    </w:p>
    <w:p w:rsidR="000B5BDC" w:rsidP="000B5BDC" w:rsidRDefault="000B5BDC" w14:paraId="4DFAF51F" w14:textId="33E188D9">
      <w:pPr>
        <w:pStyle w:val="N1-1stBullet"/>
      </w:pPr>
      <w:r>
        <w:t>All s</w:t>
      </w:r>
      <w:r w:rsidRPr="00236B29">
        <w:t>ampled households</w:t>
      </w:r>
      <w:r>
        <w:t>, except for those selected from existing SNAP lists from the ADCM Pilot,</w:t>
      </w:r>
      <w:r w:rsidRPr="00236B29">
        <w:t xml:space="preserve"> will be mailed </w:t>
      </w:r>
      <w:r>
        <w:t xml:space="preserve">a </w:t>
      </w:r>
      <w:r w:rsidR="00B10761">
        <w:rPr>
          <w:b/>
        </w:rPr>
        <w:t>recruitment</w:t>
      </w:r>
      <w:r w:rsidRPr="002B00A1">
        <w:rPr>
          <w:b/>
        </w:rPr>
        <w:t xml:space="preserve"> </w:t>
      </w:r>
      <w:r>
        <w:rPr>
          <w:b/>
        </w:rPr>
        <w:t>screener</w:t>
      </w:r>
      <w:r>
        <w:t xml:space="preserve"> (</w:t>
      </w:r>
      <w:r w:rsidRPr="001A5C82">
        <w:t>Attachment B</w:t>
      </w:r>
      <w:r>
        <w:t>)</w:t>
      </w:r>
      <w:r w:rsidR="00B10761">
        <w:t>, also referred to as a mail screener,</w:t>
      </w:r>
      <w:r>
        <w:t xml:space="preserve"> with accompanying </w:t>
      </w:r>
      <w:r w:rsidRPr="00AB5F5A">
        <w:rPr>
          <w:b/>
          <w:bCs/>
        </w:rPr>
        <w:t>introductory letter</w:t>
      </w:r>
      <w:r>
        <w:t xml:space="preserve"> </w:t>
      </w:r>
      <w:r w:rsidRPr="00D61647">
        <w:rPr>
          <w:bCs/>
        </w:rPr>
        <w:t>(</w:t>
      </w:r>
      <w:r w:rsidRPr="001A5C82">
        <w:t>Attachment C1</w:t>
      </w:r>
      <w:r>
        <w:t>) and a $</w:t>
      </w:r>
      <w:r w:rsidR="00EA683D">
        <w:t>5</w:t>
      </w:r>
      <w:r>
        <w:t xml:space="preserve"> cash incentive. Non-respondents will receive the same questionnaire a second time and a slightly </w:t>
      </w:r>
      <w:r w:rsidRPr="00AB5F5A">
        <w:rPr>
          <w:b/>
          <w:bCs/>
        </w:rPr>
        <w:t>different letter</w:t>
      </w:r>
      <w:r>
        <w:t xml:space="preserve"> (</w:t>
      </w:r>
      <w:r w:rsidRPr="001A5C82">
        <w:t>Attachment C2</w:t>
      </w:r>
      <w:r>
        <w:t xml:space="preserve">) but with no incentive. Non-respondents to the first two mailings will receive a </w:t>
      </w:r>
      <w:r w:rsidRPr="00AB5F5A">
        <w:rPr>
          <w:b/>
          <w:bCs/>
        </w:rPr>
        <w:t xml:space="preserve">post-card </w:t>
      </w:r>
      <w:r>
        <w:t>(</w:t>
      </w:r>
      <w:r w:rsidRPr="001A5C82">
        <w:t>Attachment C3</w:t>
      </w:r>
      <w:r>
        <w:t>) with information on how to access the recruitment questionnaire on the web</w:t>
      </w:r>
      <w:r w:rsidR="00871BA4">
        <w:t xml:space="preserve"> (Attachment B1)</w:t>
      </w:r>
      <w:r>
        <w:t>, which is identical to the mail-in recruitment screener.</w:t>
      </w:r>
    </w:p>
    <w:p w:rsidR="000B5BDC" w:rsidP="000B5BDC" w:rsidRDefault="000B5BDC" w14:paraId="2F9A74B7" w14:textId="20D3E54E">
      <w:pPr>
        <w:pStyle w:val="N1-1stBullet"/>
        <w:numPr>
          <w:ilvl w:val="0"/>
          <w:numId w:val="0"/>
        </w:numPr>
        <w:ind w:left="1170"/>
      </w:pPr>
      <w:r>
        <w:t xml:space="preserve">For households returning a </w:t>
      </w:r>
      <w:r w:rsidR="00B10761">
        <w:t xml:space="preserve">completed recruitment </w:t>
      </w:r>
      <w:r>
        <w:t>screener or completing the web-based questionnaire, their eligibility to participate in the Field Test will be based on their responses to the questions regarding household size, total household income, and participation in SNAP or WIC and the extent to which the test’s four target groups have already met their quotas. These four target groups are: households with at least one member an active participant in SNAP; households with at least one member an active participant in WIC; households with income below 130 percent of the Federal Poverty Guidelines (FPG) with no members participating in either SNAP or WIC; and all other households (i.e., households with income equal to or above 130 percent of the FPG with no members participating in SNAP or WIC).</w:t>
      </w:r>
    </w:p>
    <w:p w:rsidR="000B5BDC" w:rsidP="000B5BDC" w:rsidRDefault="000B5BDC" w14:paraId="537C4AC6" w14:textId="1187999D">
      <w:pPr>
        <w:pStyle w:val="N1-1stBullet"/>
        <w:numPr>
          <w:ilvl w:val="0"/>
          <w:numId w:val="0"/>
        </w:numPr>
        <w:ind w:left="1170"/>
      </w:pPr>
      <w:r>
        <w:t>The mail-in</w:t>
      </w:r>
      <w:r w:rsidR="009E5E04">
        <w:t xml:space="preserve"> recruitment</w:t>
      </w:r>
      <w:r>
        <w:t xml:space="preserve"> screener also asks several questions about general food acquisition patterns and food security to support analyses of possible non-response bias.</w:t>
      </w:r>
    </w:p>
    <w:p w:rsidR="000B5BDC" w:rsidP="000B5BDC" w:rsidRDefault="000B5BDC" w14:paraId="624D73E8" w14:textId="3138BCBE">
      <w:pPr>
        <w:pStyle w:val="N1-1stBullet"/>
      </w:pPr>
      <w:r>
        <w:t xml:space="preserve">Households selected for </w:t>
      </w:r>
      <w:r w:rsidRPr="52A65C71">
        <w:rPr>
          <w:b/>
          <w:bCs/>
        </w:rPr>
        <w:t>in-person screening</w:t>
      </w:r>
      <w:r>
        <w:t xml:space="preserve"> will receive an advance letter (</w:t>
      </w:r>
      <w:r w:rsidRPr="001A5C82">
        <w:t>Attachment</w:t>
      </w:r>
      <w:r w:rsidRPr="001A5C82" w:rsidR="00154983">
        <w:t>s</w:t>
      </w:r>
      <w:r w:rsidRPr="001A5C82">
        <w:t xml:space="preserve"> D1</w:t>
      </w:r>
      <w:r w:rsidRPr="001A5C82" w:rsidR="00154983">
        <w:t xml:space="preserve"> and D1a</w:t>
      </w:r>
      <w:r w:rsidR="00580899">
        <w:rPr>
          <w:rStyle w:val="FootnoteReference"/>
        </w:rPr>
        <w:footnoteReference w:id="13"/>
      </w:r>
      <w:r>
        <w:t xml:space="preserve">) alerting the household to the interviewer’s forthcoming visit. Compared to FoodAPS-1 and the ADCM Pilot, the FoodAPS-2 Field Test plans to use additional tools to gain the cooperation of households. These include: a </w:t>
      </w:r>
      <w:r w:rsidRPr="001A5C82">
        <w:t xml:space="preserve">personalized </w:t>
      </w:r>
      <w:bookmarkStart w:name="_Hlk74579517" w:id="20"/>
      <w:r w:rsidRPr="001A5C82">
        <w:rPr>
          <w:b/>
          <w:bCs/>
        </w:rPr>
        <w:t>Interviewer Authorization Letter</w:t>
      </w:r>
      <w:r w:rsidRPr="001A5C82">
        <w:t xml:space="preserve"> (Attachment D2), </w:t>
      </w:r>
      <w:bookmarkEnd w:id="20"/>
      <w:r w:rsidRPr="001A5C82">
        <w:t xml:space="preserve">signed by ERS, indicating the interviewer is authorized to collect data for the USDA, a </w:t>
      </w:r>
      <w:bookmarkStart w:name="_Hlk74579535" w:id="21"/>
      <w:r w:rsidRPr="001A5C82">
        <w:rPr>
          <w:b/>
          <w:bCs/>
        </w:rPr>
        <w:t>Gated Community Letter</w:t>
      </w:r>
      <w:r w:rsidRPr="001A5C82">
        <w:t xml:space="preserve"> (Attachment D3)</w:t>
      </w:r>
      <w:bookmarkEnd w:id="21"/>
      <w:r w:rsidRPr="001A5C82">
        <w:t xml:space="preserve"> that will be used to gain access into locked buildings and gated </w:t>
      </w:r>
      <w:r w:rsidRPr="001A5C82" w:rsidR="7F007446">
        <w:t>communities</w:t>
      </w:r>
      <w:r w:rsidRPr="001A5C82">
        <w:t xml:space="preserve">, a </w:t>
      </w:r>
      <w:bookmarkStart w:name="_Hlk74579568" w:id="22"/>
      <w:r w:rsidRPr="001A5C82">
        <w:rPr>
          <w:b/>
          <w:bCs/>
        </w:rPr>
        <w:t>Refusal Conversion Letter</w:t>
      </w:r>
      <w:r w:rsidRPr="001A5C82">
        <w:t xml:space="preserve"> (Attachment D4) </w:t>
      </w:r>
      <w:bookmarkEnd w:id="22"/>
      <w:r w:rsidRPr="001A5C82">
        <w:t xml:space="preserve">that will be sent to households who refused to participate prior to an attempt at </w:t>
      </w:r>
      <w:r w:rsidRPr="001A5C82" w:rsidR="00235367">
        <w:t xml:space="preserve">in-person </w:t>
      </w:r>
      <w:r w:rsidRPr="001A5C82">
        <w:t xml:space="preserve">refusal conversion, and a list of </w:t>
      </w:r>
      <w:bookmarkStart w:name="_Hlk74579818" w:id="23"/>
      <w:r w:rsidRPr="001A5C82">
        <w:rPr>
          <w:b/>
          <w:bCs/>
        </w:rPr>
        <w:t>Frequently Asked Questions and Responses</w:t>
      </w:r>
      <w:r w:rsidRPr="001A5C82">
        <w:t xml:space="preserve"> (Attachment D5)</w:t>
      </w:r>
      <w:bookmarkEnd w:id="23"/>
      <w:r w:rsidRPr="001A5C82">
        <w:t xml:space="preserve"> that</w:t>
      </w:r>
      <w:r>
        <w:t xml:space="preserve"> will be available to respondents on the NFS website </w:t>
      </w:r>
      <w:r w:rsidR="5870829D">
        <w:t xml:space="preserve">and </w:t>
      </w:r>
      <w:r>
        <w:t>is designed to address common questions.</w:t>
      </w:r>
    </w:p>
    <w:p w:rsidRPr="00236B29" w:rsidR="000B5BDC" w:rsidP="000B5BDC" w:rsidRDefault="000B5BDC" w14:paraId="50646D49" w14:textId="45639814">
      <w:pPr>
        <w:pStyle w:val="N1-1stBullet"/>
      </w:pPr>
      <w:r>
        <w:t>Next, interviewers</w:t>
      </w:r>
      <w:r w:rsidR="00897ECD">
        <w:t>, who are trained on survey concepts and data collection procedures via a series of</w:t>
      </w:r>
      <w:r w:rsidRPr="006D349B" w:rsidR="00897ECD">
        <w:rPr>
          <w:b/>
          <w:bCs/>
        </w:rPr>
        <w:t xml:space="preserve"> interviewer training manuals</w:t>
      </w:r>
      <w:r w:rsidR="00897ECD">
        <w:t xml:space="preserve"> (Attachments H1—H8), </w:t>
      </w:r>
      <w:r>
        <w:t xml:space="preserve">will visit the household to administer </w:t>
      </w:r>
      <w:bookmarkStart w:name="_Hlk74579860" w:id="24"/>
      <w:r>
        <w:t xml:space="preserve">the </w:t>
      </w:r>
      <w:r w:rsidRPr="52A65C71">
        <w:rPr>
          <w:b/>
          <w:bCs/>
        </w:rPr>
        <w:t>In-Person</w:t>
      </w:r>
      <w:r>
        <w:t xml:space="preserve"> </w:t>
      </w:r>
      <w:r w:rsidRPr="52A65C71">
        <w:rPr>
          <w:b/>
          <w:bCs/>
        </w:rPr>
        <w:t xml:space="preserve">Household Screener </w:t>
      </w:r>
      <w:r>
        <w:t>to an adult household member</w:t>
      </w:r>
      <w:r w:rsidRPr="52A65C71">
        <w:rPr>
          <w:b/>
          <w:bCs/>
        </w:rPr>
        <w:t xml:space="preserve"> </w:t>
      </w:r>
      <w:r w:rsidR="00871BA4">
        <w:t xml:space="preserve">via a computer-assisted </w:t>
      </w:r>
      <w:r w:rsidR="00111CEB">
        <w:t>personal interview (</w:t>
      </w:r>
      <w:r w:rsidR="00871BA4">
        <w:t>CAPI</w:t>
      </w:r>
      <w:r w:rsidR="00111CEB">
        <w:t>)</w:t>
      </w:r>
      <w:r w:rsidR="00871BA4">
        <w:t xml:space="preserve"> </w:t>
      </w:r>
      <w:r w:rsidRPr="00B761EC">
        <w:t>(Attachment E).</w:t>
      </w:r>
      <w:r>
        <w:t xml:space="preserve"> </w:t>
      </w:r>
      <w:bookmarkEnd w:id="24"/>
      <w:r>
        <w:t>The screener interview determines the household’s eligibility to participate in the survey based on household size, income, and participation in SNAP or WIC</w:t>
      </w:r>
      <w:r w:rsidR="006E40B5">
        <w:t xml:space="preserve"> and also asks some </w:t>
      </w:r>
      <w:r>
        <w:t>general questions about household food spending patterns</w:t>
      </w:r>
      <w:r w:rsidR="006E40B5">
        <w:t xml:space="preserve">. During this visit </w:t>
      </w:r>
      <w:r w:rsidRPr="52A65C71" w:rsidR="006E40B5">
        <w:rPr>
          <w:b/>
          <w:bCs/>
        </w:rPr>
        <w:t>interviewers will record observations</w:t>
      </w:r>
      <w:r w:rsidR="006E40B5">
        <w:t xml:space="preserve"> (</w:t>
      </w:r>
      <w:r w:rsidRPr="00B761EC" w:rsidR="006E40B5">
        <w:t>Attachment K) ab</w:t>
      </w:r>
      <w:r w:rsidR="006E40B5">
        <w:t xml:space="preserve">out the </w:t>
      </w:r>
      <w:r>
        <w:t>neighborhood and residential exterior</w:t>
      </w:r>
      <w:r w:rsidR="006E40B5">
        <w:t>. These interviewer observations will be collected</w:t>
      </w:r>
      <w:r>
        <w:t xml:space="preserve"> to support analyses of potential non-response bias.</w:t>
      </w:r>
    </w:p>
    <w:p w:rsidRPr="008320A9" w:rsidR="000B5BDC" w:rsidP="000B5BDC" w:rsidRDefault="000B5BDC" w14:paraId="37C179D6" w14:textId="0B0910D0">
      <w:pPr>
        <w:pStyle w:val="N1-1stBullet"/>
      </w:pPr>
      <w:r>
        <w:t xml:space="preserve">If the household is found to be eligible, the interviewer will ask </w:t>
      </w:r>
      <w:r w:rsidR="005A76A4">
        <w:t xml:space="preserve">the </w:t>
      </w:r>
      <w:r w:rsidR="006D349B">
        <w:t xml:space="preserve">adult </w:t>
      </w:r>
      <w:r w:rsidR="005A76A4">
        <w:t xml:space="preserve">respondent to read through the study’s </w:t>
      </w:r>
      <w:r w:rsidRPr="52A65C71" w:rsidR="005A76A4">
        <w:rPr>
          <w:b/>
          <w:bCs/>
        </w:rPr>
        <w:t>Household Consent Form</w:t>
      </w:r>
      <w:r w:rsidR="005A76A4">
        <w:rPr>
          <w:b/>
          <w:bCs/>
        </w:rPr>
        <w:t xml:space="preserve"> and Disclaimer</w:t>
      </w:r>
      <w:r w:rsidR="005A76A4">
        <w:t xml:space="preserve"> (</w:t>
      </w:r>
      <w:r w:rsidRPr="00B761EC" w:rsidR="005A76A4">
        <w:t>Attachment F1</w:t>
      </w:r>
      <w:r w:rsidRPr="00FF58DF" w:rsidR="00FF58DF">
        <w:t xml:space="preserve">), address any questions the respondent may have, and then request that the respondent sign it. </w:t>
      </w:r>
      <w:r w:rsidR="005A76A4">
        <w:t xml:space="preserve">A hard-copy version of the Household Consent Form and Disclaimer (Attachment F1) will be provided to </w:t>
      </w:r>
      <w:r w:rsidR="006D349B">
        <w:t xml:space="preserve">and left with </w:t>
      </w:r>
      <w:r w:rsidR="005A76A4">
        <w:t xml:space="preserve">the household so that each household member can consult and review the disclaimer at any point during the study period. The interviewer will then ask to speak with the </w:t>
      </w:r>
      <w:r>
        <w:t xml:space="preserve">primary respondent (i.e., the main food shopper or the meal planner) and will then administer the </w:t>
      </w:r>
      <w:r w:rsidRPr="52A65C71">
        <w:rPr>
          <w:b/>
          <w:bCs/>
        </w:rPr>
        <w:t>Initial Household Interview</w:t>
      </w:r>
      <w:r>
        <w:t xml:space="preserve"> </w:t>
      </w:r>
      <w:r w:rsidRPr="00B761EC">
        <w:t>(Attachment G</w:t>
      </w:r>
      <w:r>
        <w:t>), which is a CAPI. The primary purpose of the Initial Household Interview is to build a roster of all household members and their ages</w:t>
      </w:r>
      <w:r w:rsidR="5E5A173D">
        <w:t>.</w:t>
      </w:r>
      <w:r>
        <w:t xml:space="preserve"> </w:t>
      </w:r>
      <w:r w:rsidR="5162DAFD">
        <w:t>T</w:t>
      </w:r>
      <w:r>
        <w:t xml:space="preserve">his information will determine </w:t>
      </w:r>
      <w:r w:rsidR="31638F30">
        <w:t xml:space="preserve">the </w:t>
      </w:r>
      <w:r>
        <w:t>data collection instruments</w:t>
      </w:r>
      <w:r w:rsidR="3E50243E">
        <w:t xml:space="preserve"> that will</w:t>
      </w:r>
      <w:r>
        <w:t xml:space="preserve"> need to be fil</w:t>
      </w:r>
      <w:r w:rsidR="00E9754C">
        <w:t>l</w:t>
      </w:r>
      <w:r>
        <w:t>ed out by different household members (as discussed below). This interview also asks about food sharing groups</w:t>
      </w:r>
      <w:r w:rsidR="0063598E">
        <w:t xml:space="preserve"> (people who purchase and prepare meals together)</w:t>
      </w:r>
      <w:r>
        <w:t xml:space="preserve"> within the household (to better understand food acquisition patterns) and participation status in federal food assistance programs.</w:t>
      </w:r>
    </w:p>
    <w:p w:rsidRPr="006D349B" w:rsidR="005D2CA4" w:rsidP="00777F4D" w:rsidRDefault="0037485C" w14:paraId="70A4FF20" w14:textId="3B844DAD">
      <w:pPr>
        <w:pStyle w:val="N1-1stBullet"/>
        <w:rPr>
          <w:rFonts w:eastAsia="Garamond" w:cs="Garamond"/>
          <w:szCs w:val="24"/>
        </w:rPr>
      </w:pPr>
      <w:bookmarkStart w:name="_Hlk74645543" w:id="25"/>
      <w:r>
        <w:t xml:space="preserve">Following completion of the Initial Household Interview, the interviewer will train the primary respondent (PR) and any other household members who are present in how to use the FoodLogger </w:t>
      </w:r>
      <w:r w:rsidRPr="008320A9">
        <w:t>app or the Food Log website to record information about all acquisitions of food and drink during the week</w:t>
      </w:r>
      <w:r>
        <w:t xml:space="preserve">. The training will follow a series of </w:t>
      </w:r>
      <w:bookmarkStart w:name="_Hlk74659066" w:id="26"/>
      <w:r>
        <w:rPr>
          <w:b/>
          <w:bCs/>
        </w:rPr>
        <w:t>Respondent Training Scripts</w:t>
      </w:r>
      <w:r>
        <w:t xml:space="preserve"> </w:t>
      </w:r>
      <w:r w:rsidRPr="0077727C">
        <w:t>(Attachments V1—V6</w:t>
      </w:r>
      <w:r>
        <w:t xml:space="preserve">) </w:t>
      </w:r>
      <w:bookmarkEnd w:id="26"/>
      <w:r>
        <w:t xml:space="preserve">which includes showing training videos on the interviewer’s laptop. </w:t>
      </w:r>
      <w:r w:rsidR="008E2024">
        <w:t xml:space="preserve">Interviewers will also supply a </w:t>
      </w:r>
      <w:bookmarkStart w:name="_Hlk74663786" w:id="27"/>
      <w:r w:rsidR="008E2024">
        <w:rPr>
          <w:b/>
          <w:bCs/>
        </w:rPr>
        <w:t xml:space="preserve">What </w:t>
      </w:r>
      <w:proofErr w:type="gramStart"/>
      <w:r w:rsidR="008E2024">
        <w:rPr>
          <w:b/>
          <w:bCs/>
        </w:rPr>
        <w:t>To</w:t>
      </w:r>
      <w:proofErr w:type="gramEnd"/>
      <w:r w:rsidR="008E2024">
        <w:rPr>
          <w:b/>
          <w:bCs/>
        </w:rPr>
        <w:t xml:space="preserve"> Report and What Not To Report</w:t>
      </w:r>
      <w:r w:rsidR="008E2024">
        <w:t xml:space="preserve"> handout (</w:t>
      </w:r>
      <w:r w:rsidRPr="0077727C" w:rsidR="008E2024">
        <w:t>Attachment Q)</w:t>
      </w:r>
      <w:r w:rsidR="008E2024">
        <w:t xml:space="preserve"> </w:t>
      </w:r>
      <w:bookmarkEnd w:id="27"/>
      <w:r w:rsidR="008E2024">
        <w:t>to assist respondents in filling out their food logs during the week.</w:t>
      </w:r>
      <w:r w:rsidR="00777F4D">
        <w:t xml:space="preserve"> This training on the </w:t>
      </w:r>
      <w:proofErr w:type="spellStart"/>
      <w:r w:rsidR="00777F4D">
        <w:t>Foodlogger</w:t>
      </w:r>
      <w:proofErr w:type="spellEnd"/>
      <w:r w:rsidR="00777F4D">
        <w:t xml:space="preserve"> and Food Log website covers the training on the </w:t>
      </w:r>
      <w:r w:rsidRPr="006D349B" w:rsidR="00777F4D">
        <w:rPr>
          <w:b/>
        </w:rPr>
        <w:t>Food Log</w:t>
      </w:r>
      <w:r w:rsidR="00791976">
        <w:rPr>
          <w:b/>
        </w:rPr>
        <w:t xml:space="preserve"> </w:t>
      </w:r>
      <w:r w:rsidRPr="006D349B" w:rsidR="00791976">
        <w:t>(Attachment R</w:t>
      </w:r>
      <w:r w:rsidR="006D349B">
        <w:t>1</w:t>
      </w:r>
      <w:r w:rsidRPr="006D349B" w:rsidR="00791976">
        <w:rPr>
          <w:bCs/>
        </w:rPr>
        <w:t>)</w:t>
      </w:r>
      <w:r w:rsidRPr="00506B0F" w:rsidR="00777F4D">
        <w:rPr>
          <w:bCs/>
        </w:rPr>
        <w:t>,</w:t>
      </w:r>
      <w:r w:rsidRPr="006D349B" w:rsidR="00777F4D">
        <w:rPr>
          <w:b/>
        </w:rPr>
        <w:t xml:space="preserve"> Profile</w:t>
      </w:r>
      <w:r w:rsidR="00791976">
        <w:rPr>
          <w:b/>
        </w:rPr>
        <w:t xml:space="preserve"> </w:t>
      </w:r>
      <w:r w:rsidRPr="006D349B" w:rsidR="00791976">
        <w:t>(Attachment J)</w:t>
      </w:r>
      <w:r w:rsidRPr="006D349B" w:rsidR="00791976">
        <w:rPr>
          <w:bCs/>
        </w:rPr>
        <w:t>,</w:t>
      </w:r>
      <w:r w:rsidRPr="00002ABE" w:rsidR="00777F4D">
        <w:rPr>
          <w:bCs/>
        </w:rPr>
        <w:t xml:space="preserve"> and </w:t>
      </w:r>
      <w:r w:rsidRPr="006D349B" w:rsidR="00777F4D">
        <w:rPr>
          <w:b/>
        </w:rPr>
        <w:t xml:space="preserve">Income </w:t>
      </w:r>
      <w:r w:rsidRPr="006D349B" w:rsidR="00791976">
        <w:t>(Attachment L)</w:t>
      </w:r>
      <w:r w:rsidR="00791976">
        <w:rPr>
          <w:b/>
        </w:rPr>
        <w:t xml:space="preserve"> </w:t>
      </w:r>
      <w:r w:rsidRPr="006D349B" w:rsidR="00777F4D">
        <w:rPr>
          <w:b/>
        </w:rPr>
        <w:t>Questionnaires</w:t>
      </w:r>
      <w:r w:rsidR="00777F4D">
        <w:t>.</w:t>
      </w:r>
      <w:bookmarkEnd w:id="25"/>
      <w:r w:rsidR="005D2CA4">
        <w:t xml:space="preserve"> </w:t>
      </w:r>
      <w:r w:rsidR="00F176AF">
        <w:t xml:space="preserve">The training on the FoodLogger and Food Log website also includes </w:t>
      </w:r>
      <w:r w:rsidRPr="006D349B" w:rsidR="00F176AF">
        <w:rPr>
          <w:b/>
          <w:bCs/>
        </w:rPr>
        <w:t>supplemental videos</w:t>
      </w:r>
      <w:r w:rsidR="00F176AF">
        <w:t xml:space="preserve"> (Attachment V7 and V8), which are not required trainings, </w:t>
      </w:r>
      <w:r w:rsidR="006D349B">
        <w:t>but</w:t>
      </w:r>
      <w:r w:rsidR="00F176AF">
        <w:t xml:space="preserve"> are intended to provide additional instruction to respondents on how to enter grocery and restaurant meal acquisitions in their Food Logs.</w:t>
      </w:r>
    </w:p>
    <w:p w:rsidR="000B5BDC" w:rsidP="006D349B" w:rsidRDefault="000B5BDC" w14:paraId="0B2E9350" w14:textId="5DA4B352">
      <w:pPr>
        <w:pStyle w:val="N1-1stBullet"/>
        <w:rPr>
          <w:rFonts w:eastAsia="Garamond" w:cs="Garamond"/>
          <w:szCs w:val="24"/>
        </w:rPr>
      </w:pPr>
      <w:r w:rsidRPr="00F22B72">
        <w:t xml:space="preserve">Participants </w:t>
      </w:r>
      <w:r>
        <w:t xml:space="preserve">will be </w:t>
      </w:r>
      <w:r w:rsidRPr="00F22B72">
        <w:t>asked to complete the Profile Questionnaire and report their income</w:t>
      </w:r>
      <w:r w:rsidRPr="00F22B72" w:rsidR="6E5372AA">
        <w:t xml:space="preserve"> via the Income Questionnaire</w:t>
      </w:r>
      <w:r w:rsidRPr="00F22B72">
        <w:t xml:space="preserve"> once during the </w:t>
      </w:r>
      <w:r>
        <w:t xml:space="preserve">7-day data collection </w:t>
      </w:r>
      <w:r w:rsidRPr="00F22B72">
        <w:t xml:space="preserve">period; the </w:t>
      </w:r>
      <w:r w:rsidR="07BE0F69">
        <w:t>F</w:t>
      </w:r>
      <w:r w:rsidRPr="00F22B72">
        <w:t xml:space="preserve">ood </w:t>
      </w:r>
      <w:r w:rsidRPr="00F22B72" w:rsidR="5AC7875B">
        <w:t>L</w:t>
      </w:r>
      <w:r w:rsidRPr="00F22B72">
        <w:t xml:space="preserve">og </w:t>
      </w:r>
      <w:r>
        <w:t xml:space="preserve">will be </w:t>
      </w:r>
      <w:r w:rsidRPr="00F22B72">
        <w:t>completed daily for a week. Household members will</w:t>
      </w:r>
      <w:r>
        <w:t xml:space="preserve"> be able </w:t>
      </w:r>
      <w:r w:rsidRPr="00236B29">
        <w:t>to access the</w:t>
      </w:r>
      <w:r>
        <w:t xml:space="preserve">se </w:t>
      </w:r>
      <w:r w:rsidR="008F777A">
        <w:t xml:space="preserve">three </w:t>
      </w:r>
      <w:r>
        <w:t xml:space="preserve">forms </w:t>
      </w:r>
      <w:r w:rsidRPr="00236B29">
        <w:t>from their own device</w:t>
      </w:r>
      <w:r>
        <w:t>s</w:t>
      </w:r>
      <w:r w:rsidR="005D2CA4">
        <w:t xml:space="preserve"> via the FoodLogger app or the Food Log website</w:t>
      </w:r>
      <w:r w:rsidRPr="00236B29">
        <w:t xml:space="preserve">. Households without the necessary equipment will be provided </w:t>
      </w:r>
      <w:r>
        <w:t xml:space="preserve">free use of </w:t>
      </w:r>
      <w:r w:rsidRPr="00236B29">
        <w:t>a smartphone and/or a laptop</w:t>
      </w:r>
      <w:r>
        <w:t>, barcode scanner,</w:t>
      </w:r>
      <w:r w:rsidRPr="00236B29">
        <w:t xml:space="preserve"> and MiFi</w:t>
      </w:r>
      <w:r>
        <w:rPr>
          <w:rStyle w:val="FootnoteReference"/>
        </w:rPr>
        <w:footnoteReference w:id="14"/>
      </w:r>
      <w:r w:rsidRPr="00236B29">
        <w:t xml:space="preserve">. </w:t>
      </w:r>
      <w:r>
        <w:t xml:space="preserve">Instructions for </w:t>
      </w:r>
      <w:r w:rsidRPr="52A65C71">
        <w:rPr>
          <w:b/>
          <w:bCs/>
        </w:rPr>
        <w:t>How to Connect a Mifi &amp; Barcode Scanner</w:t>
      </w:r>
      <w:r>
        <w:t xml:space="preserve"> (</w:t>
      </w:r>
      <w:r w:rsidRPr="00516F54">
        <w:t>Attachment I1) w</w:t>
      </w:r>
      <w:r>
        <w:t xml:space="preserve">ill be provided to households receiving these pieces of equipment. All equipment loaned to participating households will be accompanied by a signed </w:t>
      </w:r>
      <w:r w:rsidRPr="52A65C71">
        <w:rPr>
          <w:b/>
          <w:bCs/>
        </w:rPr>
        <w:t>Household Equipment Form</w:t>
      </w:r>
      <w:r>
        <w:t xml:space="preserve"> (</w:t>
      </w:r>
      <w:r w:rsidRPr="00516F54">
        <w:t>Attachment I2</w:t>
      </w:r>
      <w:r>
        <w:t xml:space="preserve">) documenting the equipment loaned, password and PIN information for using the equipment, and guidelines for equipment usage. Additional information and instructions on </w:t>
      </w:r>
      <w:r w:rsidRPr="008320A9" w:rsidR="00B42EAC">
        <w:rPr>
          <w:b/>
          <w:bCs/>
        </w:rPr>
        <w:t xml:space="preserve">Downloading and Installing the FoodLogger, </w:t>
      </w:r>
      <w:r w:rsidRPr="008320A9">
        <w:rPr>
          <w:b/>
          <w:bCs/>
        </w:rPr>
        <w:t>Ac</w:t>
      </w:r>
      <w:r w:rsidRPr="52A65C71">
        <w:rPr>
          <w:b/>
          <w:bCs/>
        </w:rPr>
        <w:t>cessing the Food Log</w:t>
      </w:r>
      <w:r w:rsidRPr="52A65C71" w:rsidR="00B42EAC">
        <w:rPr>
          <w:b/>
          <w:bCs/>
        </w:rPr>
        <w:t xml:space="preserve">, and Survey Concepts </w:t>
      </w:r>
      <w:r w:rsidRPr="00516F54" w:rsidR="00B42EAC">
        <w:t>(Attachment I3</w:t>
      </w:r>
      <w:r w:rsidRPr="52A65C71" w:rsidR="00B42EAC">
        <w:t>)</w:t>
      </w:r>
      <w:r>
        <w:t xml:space="preserve"> will be provided to households during their training and left with the household to refer to during the study week. </w:t>
      </w:r>
    </w:p>
    <w:p w:rsidR="000F72A8" w:rsidP="006D349B" w:rsidRDefault="000F72A8" w14:paraId="2F5CBB4A" w14:textId="27BF034E">
      <w:pPr>
        <w:pStyle w:val="N1-1stBullet"/>
      </w:pPr>
      <w:r>
        <w:t xml:space="preserve">For households unwilling or unable to use the smartphone app, they will be allowed to access the NFS website—maintained by Westat, ERS’ contractor for the Field Test, for the duration of the Field Test—to enter information about their food acquisitions, and to complete their </w:t>
      </w:r>
      <w:r w:rsidRPr="4F4ABD02">
        <w:rPr>
          <w:b/>
          <w:bCs/>
        </w:rPr>
        <w:t xml:space="preserve">Profile Questionnaire </w:t>
      </w:r>
      <w:r>
        <w:t xml:space="preserve">and </w:t>
      </w:r>
      <w:r w:rsidRPr="4F4ABD02">
        <w:rPr>
          <w:b/>
          <w:bCs/>
        </w:rPr>
        <w:t xml:space="preserve">Income </w:t>
      </w:r>
      <w:r>
        <w:rPr>
          <w:b/>
          <w:bCs/>
        </w:rPr>
        <w:t>Questionnaire</w:t>
      </w:r>
      <w:r>
        <w:t xml:space="preserve"> (the latter for those over 16 years of age). The NFS website will have separate pages for completing the Profile Questionnaire, the Income Questionnaire, and a </w:t>
      </w:r>
      <w:r w:rsidRPr="4F4ABD02">
        <w:rPr>
          <w:b/>
          <w:bCs/>
        </w:rPr>
        <w:t>seven-day food log</w:t>
      </w:r>
      <w:r>
        <w:t xml:space="preserve"> diary for daily reporting of food acquisitions. The structure of the Food Log instrument on the website will match that of the FoodLogger. When we use the generic term “food log”, we are referring to either the FoodLogger or the web-based entry system.</w:t>
      </w:r>
    </w:p>
    <w:p w:rsidR="000B5BDC" w:rsidP="006D349B" w:rsidRDefault="000B5BDC" w14:paraId="14D6093B" w14:textId="3446ED8D">
      <w:pPr>
        <w:pStyle w:val="N1-1stBullet"/>
        <w:numPr>
          <w:ilvl w:val="0"/>
          <w:numId w:val="0"/>
        </w:numPr>
        <w:ind w:left="1152"/>
      </w:pPr>
      <w:r>
        <w:t xml:space="preserve">If the PR does not believe that he or she could, after training, properly use the FoodLogger or the NFS website to enter information about food </w:t>
      </w:r>
      <w:r w:rsidR="717FA14F">
        <w:t>acquisitions</w:t>
      </w:r>
      <w:r>
        <w:t xml:space="preserve">, the interviewer will thank them for their time and say that they will be contacted by a telephone interviewer within a couple of days. </w:t>
      </w:r>
      <w:r w:rsidRPr="00516F54">
        <w:t>The telephone interviewer will explain that the household can still participate in the field test by participating in three telephone interviews during the fielding week.</w:t>
      </w:r>
      <w:r>
        <w:t xml:space="preserve"> During those calls the PR would provide the same information that is described below for households using the FoodLogger or website, although the PR would be responding for all household members</w:t>
      </w:r>
      <w:r w:rsidR="38401E9C">
        <w:t xml:space="preserve"> and the telephone interviewer will input the information directly into the Food Log</w:t>
      </w:r>
      <w:r>
        <w:t>.</w:t>
      </w:r>
    </w:p>
    <w:p w:rsidR="000B5BDC" w:rsidP="000B5BDC" w:rsidRDefault="000B5BDC" w14:paraId="3CBAE91C" w14:textId="2BE15289">
      <w:pPr>
        <w:pStyle w:val="N1-1stBullet"/>
        <w:numPr>
          <w:ilvl w:val="0"/>
          <w:numId w:val="0"/>
        </w:numPr>
        <w:spacing w:after="0" w:line="360" w:lineRule="atLeast"/>
      </w:pPr>
      <w:r>
        <w:t>It will be possible for different members of a household to use different modes for entering data.</w:t>
      </w:r>
    </w:p>
    <w:p w:rsidR="000B5BDC" w:rsidP="000B5BDC" w:rsidRDefault="000B5BDC" w14:paraId="698DAAB7" w14:textId="77777777">
      <w:pPr>
        <w:pStyle w:val="N1-1stBullet"/>
        <w:numPr>
          <w:ilvl w:val="0"/>
          <w:numId w:val="0"/>
        </w:numPr>
        <w:spacing w:after="0" w:line="360" w:lineRule="atLeast"/>
      </w:pPr>
    </w:p>
    <w:p w:rsidR="000B5BDC" w:rsidP="000B5BDC" w:rsidRDefault="000B5BDC" w14:paraId="7ADB1C9F" w14:textId="088918B3">
      <w:pPr>
        <w:pStyle w:val="N1-1stBullet"/>
      </w:pPr>
      <w:r>
        <w:t xml:space="preserve">The Initial Household Interview will have enumerated all members of the household and identified household members eligible for the </w:t>
      </w:r>
      <w:r w:rsidRPr="52A65C71">
        <w:rPr>
          <w:b/>
          <w:bCs/>
        </w:rPr>
        <w:t>Profile Questionnaire</w:t>
      </w:r>
      <w:r>
        <w:t xml:space="preserve"> (</w:t>
      </w:r>
      <w:r w:rsidR="00111CEB">
        <w:t xml:space="preserve">see </w:t>
      </w:r>
      <w:r>
        <w:t>Attachment</w:t>
      </w:r>
      <w:r w:rsidR="00111CEB">
        <w:t>s</w:t>
      </w:r>
      <w:r>
        <w:t xml:space="preserve"> J</w:t>
      </w:r>
      <w:r w:rsidR="00111CEB">
        <w:t>, J1, and J2 for the questionnaire, FoodLogger version, and web version, respectively</w:t>
      </w:r>
      <w:r>
        <w:t xml:space="preserve">), the </w:t>
      </w:r>
      <w:bookmarkStart w:name="_Hlk74646872" w:id="28"/>
      <w:r w:rsidRPr="52A65C71">
        <w:rPr>
          <w:b/>
          <w:bCs/>
        </w:rPr>
        <w:t xml:space="preserve">7-day </w:t>
      </w:r>
      <w:r w:rsidR="006639D8">
        <w:rPr>
          <w:b/>
          <w:bCs/>
        </w:rPr>
        <w:t>F</w:t>
      </w:r>
      <w:r w:rsidRPr="52A65C71">
        <w:rPr>
          <w:b/>
          <w:bCs/>
        </w:rPr>
        <w:t xml:space="preserve">ood </w:t>
      </w:r>
      <w:r w:rsidR="006639D8">
        <w:rPr>
          <w:b/>
          <w:bCs/>
        </w:rPr>
        <w:t>L</w:t>
      </w:r>
      <w:r w:rsidRPr="52A65C71">
        <w:rPr>
          <w:b/>
          <w:bCs/>
        </w:rPr>
        <w:t>og</w:t>
      </w:r>
      <w:r>
        <w:t xml:space="preserve"> </w:t>
      </w:r>
      <w:r w:rsidR="006639D8">
        <w:t xml:space="preserve">Questionnaire </w:t>
      </w:r>
      <w:r>
        <w:t>(</w:t>
      </w:r>
      <w:r w:rsidR="00111CEB">
        <w:t xml:space="preserve">see </w:t>
      </w:r>
      <w:r>
        <w:t>Attachment</w:t>
      </w:r>
      <w:r w:rsidR="001A0758">
        <w:t>s</w:t>
      </w:r>
      <w:r>
        <w:t xml:space="preserve"> </w:t>
      </w:r>
      <w:r w:rsidR="00FE6562">
        <w:t>R1</w:t>
      </w:r>
      <w:r w:rsidR="00111CEB">
        <w:t>, R2, and R3 for the questionnaire, FoodLogger version, and web version, respectively</w:t>
      </w:r>
      <w:r>
        <w:t>)</w:t>
      </w:r>
      <w:bookmarkEnd w:id="28"/>
      <w:r>
        <w:t xml:space="preserve">, and the </w:t>
      </w:r>
      <w:r w:rsidRPr="52A65C71">
        <w:rPr>
          <w:b/>
          <w:bCs/>
        </w:rPr>
        <w:t xml:space="preserve">Income Questionnaire </w:t>
      </w:r>
      <w:r>
        <w:t>(</w:t>
      </w:r>
      <w:r w:rsidR="00034995">
        <w:t xml:space="preserve">see </w:t>
      </w:r>
      <w:r>
        <w:t>Attachment</w:t>
      </w:r>
      <w:r w:rsidR="00034995">
        <w:t>s</w:t>
      </w:r>
      <w:r>
        <w:t xml:space="preserve"> </w:t>
      </w:r>
      <w:r w:rsidR="001A0758">
        <w:t>L</w:t>
      </w:r>
      <w:r w:rsidR="00034995">
        <w:t>, L1, and L2 for the questionnaire, FoodLogger version, and web version, respectively</w:t>
      </w:r>
      <w:r>
        <w:t>) collection. If the household has minors, the</w:t>
      </w:r>
      <w:r w:rsidR="00AF5D77">
        <w:t xml:space="preserve"> </w:t>
      </w:r>
      <w:r>
        <w:t>interviewer will ask an adult household member to</w:t>
      </w:r>
      <w:r w:rsidRPr="006D349B">
        <w:rPr>
          <w:b/>
          <w:bCs/>
        </w:rPr>
        <w:t xml:space="preserve"> consent for minors</w:t>
      </w:r>
      <w:r>
        <w:t xml:space="preserve"> </w:t>
      </w:r>
      <w:r w:rsidR="005973CA">
        <w:t xml:space="preserve">(Attachment F2) </w:t>
      </w:r>
      <w:r>
        <w:t>between the age</w:t>
      </w:r>
      <w:r w:rsidR="5E12FD2C">
        <w:t>s</w:t>
      </w:r>
      <w:r>
        <w:t xml:space="preserve"> of 11 and 18</w:t>
      </w:r>
      <w:r w:rsidR="00111CEB">
        <w:t xml:space="preserve"> </w:t>
      </w:r>
      <w:r>
        <w:t>to access the instruments (</w:t>
      </w:r>
      <w:r w:rsidR="00FA7C39">
        <w:t>F</w:t>
      </w:r>
      <w:r>
        <w:t xml:space="preserve">ood </w:t>
      </w:r>
      <w:r w:rsidR="00FA7C39">
        <w:t>L</w:t>
      </w:r>
      <w:r>
        <w:t>og</w:t>
      </w:r>
      <w:r w:rsidR="00FA7C39">
        <w:t>,</w:t>
      </w:r>
      <w:r>
        <w:t xml:space="preserve"> Profile Questionnaire</w:t>
      </w:r>
      <w:r w:rsidR="00FA7C39">
        <w:t>, Income Questionnaire (for ages 16 and over)</w:t>
      </w:r>
      <w:r>
        <w:t xml:space="preserve">) themselves. In addition, when participants access the food log for the first time, </w:t>
      </w:r>
      <w:r w:rsidR="00C5395A">
        <w:t xml:space="preserve">they will be </w:t>
      </w:r>
      <w:r w:rsidR="00766992">
        <w:t xml:space="preserve">presented with all legally required disclaimer information, i.e., the same information as provided on the Household Consent and Disclaimer Form, and will need </w:t>
      </w:r>
      <w:r w:rsidR="00C5395A">
        <w:t xml:space="preserve">to </w:t>
      </w:r>
      <w:r>
        <w:t>agree to take part in the study</w:t>
      </w:r>
      <w:r w:rsidR="009F6982">
        <w:t xml:space="preserve"> (see Attachment R2 pages 1-5 for the presentation of consent and disclaimer information to the participant in the FoodLogger and Attachment R3 pages 3 and 4 for the corresponding information in the web version of the Food Log). A complete copy of the individual consent/assent form is provided in </w:t>
      </w:r>
      <w:bookmarkStart w:name="_Hlk74647684" w:id="29"/>
      <w:r w:rsidRPr="00D75064">
        <w:t xml:space="preserve">Attachment </w:t>
      </w:r>
      <w:r w:rsidRPr="00D75064" w:rsidR="00111CEB">
        <w:t>F3</w:t>
      </w:r>
      <w:r w:rsidR="00111CEB">
        <w:t>.</w:t>
      </w:r>
      <w:bookmarkEnd w:id="29"/>
      <w:r>
        <w:t xml:space="preserve"> When needed, the PR or his or her designee will report for all minors, those below age 11 and those for whom consent is not provided to access the </w:t>
      </w:r>
      <w:r w:rsidR="6A3CB0A6">
        <w:t>F</w:t>
      </w:r>
      <w:r>
        <w:t xml:space="preserve">ood </w:t>
      </w:r>
      <w:r w:rsidR="167E0C39">
        <w:t>L</w:t>
      </w:r>
      <w:r>
        <w:t xml:space="preserve">og. The </w:t>
      </w:r>
      <w:r w:rsidR="5C7AC5A5">
        <w:t>F</w:t>
      </w:r>
      <w:r>
        <w:t xml:space="preserve">ood </w:t>
      </w:r>
      <w:r w:rsidR="3C791D04">
        <w:t>L</w:t>
      </w:r>
      <w:r>
        <w:t xml:space="preserve">og will be completed daily for a week by each member with access to the FoodLogger or the NFS website. </w:t>
      </w:r>
    </w:p>
    <w:p w:rsidRPr="00236B29" w:rsidR="000B5BDC" w:rsidP="000B5BDC" w:rsidRDefault="000B5BDC" w14:paraId="42E6006A" w14:textId="114C8C4B">
      <w:pPr>
        <w:pStyle w:val="N1-1stBullet"/>
      </w:pPr>
      <w:r w:rsidRPr="00F22B72">
        <w:t xml:space="preserve">If the household is unable to use </w:t>
      </w:r>
      <w:r w:rsidR="00976055">
        <w:t>the study’s</w:t>
      </w:r>
      <w:r>
        <w:t xml:space="preserve"> website</w:t>
      </w:r>
      <w:r w:rsidRPr="00F22B72">
        <w:t xml:space="preserve">, the household </w:t>
      </w:r>
      <w:r>
        <w:t xml:space="preserve">will be offered the opportunity to </w:t>
      </w:r>
      <w:r w:rsidRPr="00F22B72">
        <w:t xml:space="preserve">participate in </w:t>
      </w:r>
      <w:r>
        <w:t>the Field Test</w:t>
      </w:r>
      <w:r w:rsidRPr="00F22B72">
        <w:t xml:space="preserve"> by telephone.</w:t>
      </w:r>
      <w:r w:rsidRPr="007A2FF2">
        <w:t xml:space="preserve"> </w:t>
      </w:r>
      <w:r>
        <w:t xml:space="preserve">For the subset of these households that agree </w:t>
      </w:r>
      <w:r w:rsidRPr="008055E2">
        <w:t>to participate by telephone</w:t>
      </w:r>
      <w:r>
        <w:t xml:space="preserve">, we will ask the primary respondent to use a </w:t>
      </w:r>
      <w:bookmarkStart w:name="_Hlk74647789" w:id="30"/>
      <w:r w:rsidRPr="00741A8C">
        <w:rPr>
          <w:b/>
        </w:rPr>
        <w:t>Memory Jogger</w:t>
      </w:r>
      <w:r>
        <w:t xml:space="preserve"> (</w:t>
      </w:r>
      <w:r w:rsidRPr="00D75064">
        <w:t>Attachment M</w:t>
      </w:r>
      <w:r>
        <w:t xml:space="preserve">) </w:t>
      </w:r>
      <w:bookmarkEnd w:id="30"/>
      <w:r>
        <w:t>to keep track of food obtained. We will also speak to the PR by phone on average about three times during the 7-day period to complete the household’s profile questionnaires, income questionnaires, and food logs.</w:t>
      </w:r>
      <w:r>
        <w:rPr>
          <w:rStyle w:val="FootnoteReference"/>
        </w:rPr>
        <w:footnoteReference w:id="15"/>
      </w:r>
      <w:r>
        <w:t xml:space="preserve">  </w:t>
      </w:r>
    </w:p>
    <w:p w:rsidRPr="00BA5A43" w:rsidR="000B5BDC" w:rsidP="000B5BDC" w:rsidRDefault="000B5BDC" w14:paraId="0CAAB7B4" w14:textId="07D34781">
      <w:pPr>
        <w:pStyle w:val="N1-1stBullet"/>
      </w:pPr>
      <w:r>
        <w:t>All eligible household members</w:t>
      </w:r>
      <w:r w:rsidR="00B123B1">
        <w:t xml:space="preserve"> (those who agreed to and provided cell phone numbers or email addresses)</w:t>
      </w:r>
      <w:r>
        <w:t xml:space="preserve"> will be sent </w:t>
      </w:r>
      <w:bookmarkStart w:name="_Hlk74647882" w:id="31"/>
      <w:r w:rsidRPr="52A65C71">
        <w:rPr>
          <w:b/>
          <w:bCs/>
        </w:rPr>
        <w:t>electronic text or e-mail communications</w:t>
      </w:r>
      <w:r>
        <w:t xml:space="preserve"> (</w:t>
      </w:r>
      <w:r w:rsidRPr="00D75064">
        <w:t>Attachment N</w:t>
      </w:r>
      <w:r>
        <w:t xml:space="preserve">) </w:t>
      </w:r>
      <w:bookmarkEnd w:id="31"/>
      <w:r>
        <w:t xml:space="preserve">with regard to their food logging status and the amount of incentive accumulated. Households suspected to be underreporting (identified by modeling information reported during the Initial Interview in conjunction with Food Log entries through day 3) will be contacted by interviewers on day 4 of their 7-day data collection period to discuss any issues or problems that they might be experiencing completing the Food Log and encourage participation. </w:t>
      </w:r>
    </w:p>
    <w:p w:rsidR="000B5BDC" w:rsidP="000B5BDC" w:rsidRDefault="000B5BDC" w14:paraId="0C563C07" w14:textId="3B7D3390">
      <w:pPr>
        <w:pStyle w:val="N1-1stBullet"/>
      </w:pPr>
      <w:r w:rsidRPr="00236B29">
        <w:t xml:space="preserve">At the end of the </w:t>
      </w:r>
      <w:r>
        <w:t>7</w:t>
      </w:r>
      <w:r w:rsidRPr="00236B29">
        <w:t xml:space="preserve">-day data collection period, the interviewer will visit the household </w:t>
      </w:r>
      <w:r>
        <w:t xml:space="preserve">to complete a </w:t>
      </w:r>
      <w:bookmarkStart w:name="_Hlk74648062" w:id="32"/>
      <w:r w:rsidRPr="009F4540">
        <w:rPr>
          <w:b/>
        </w:rPr>
        <w:t>Debriefing</w:t>
      </w:r>
      <w:r w:rsidRPr="00E31A9D">
        <w:rPr>
          <w:b/>
        </w:rPr>
        <w:t xml:space="preserve"> Interview</w:t>
      </w:r>
      <w:r>
        <w:t xml:space="preserve"> </w:t>
      </w:r>
      <w:r w:rsidRPr="00D75064">
        <w:t>(Attachment O</w:t>
      </w:r>
      <w:r>
        <w:t>)</w:t>
      </w:r>
      <w:bookmarkEnd w:id="32"/>
      <w:r w:rsidR="00034995">
        <w:t xml:space="preserve"> via CAPI</w:t>
      </w:r>
      <w:r w:rsidRPr="00236B29">
        <w:t>. During this visit, interviewers will:</w:t>
      </w:r>
    </w:p>
    <w:p w:rsidRPr="00236B29" w:rsidR="000B5BDC" w:rsidP="000B5BDC" w:rsidRDefault="000B5BDC" w14:paraId="63497E88" w14:textId="7647B0DC">
      <w:pPr>
        <w:pStyle w:val="N1-1stBullet"/>
        <w:numPr>
          <w:ilvl w:val="1"/>
          <w:numId w:val="2"/>
        </w:numPr>
      </w:pPr>
      <w:r>
        <w:t xml:space="preserve">Administer the Debriefing Interview to the </w:t>
      </w:r>
      <w:r w:rsidR="0ADC04F4">
        <w:t>PR</w:t>
      </w:r>
      <w:r>
        <w:t xml:space="preserve">. The debriefing instrument is designed to elicit information about how easy or difficult it was for the PR to use the </w:t>
      </w:r>
      <w:r w:rsidR="1249CB7C">
        <w:t>F</w:t>
      </w:r>
      <w:r>
        <w:t xml:space="preserve">ood </w:t>
      </w:r>
      <w:r w:rsidR="08F9744E">
        <w:t>L</w:t>
      </w:r>
      <w:r>
        <w:t xml:space="preserve">og to report food detailed information about acquisition events. As such, responses to the Debriefing Interview will be used in assessing the suitability of using a smartphone app or a website to collect food acquisition information in the future FoodAPS-2 </w:t>
      </w:r>
      <w:r w:rsidR="46D8EDA2">
        <w:t>F</w:t>
      </w:r>
      <w:r>
        <w:t xml:space="preserve">ull </w:t>
      </w:r>
      <w:r w:rsidR="630C710E">
        <w:t>S</w:t>
      </w:r>
      <w:r>
        <w:t>urvey.</w:t>
      </w:r>
    </w:p>
    <w:p w:rsidRPr="00236B29" w:rsidR="000B5BDC" w:rsidP="000B5BDC" w:rsidRDefault="000B5BDC" w14:paraId="158804C5" w14:textId="06DBFB3E">
      <w:pPr>
        <w:pStyle w:val="N1-1stBullet"/>
        <w:numPr>
          <w:ilvl w:val="1"/>
          <w:numId w:val="2"/>
        </w:numPr>
      </w:pPr>
      <w:r>
        <w:t>Collect any study</w:t>
      </w:r>
      <w:r w:rsidR="0095072A">
        <w:t xml:space="preserve"> </w:t>
      </w:r>
      <w:r>
        <w:t xml:space="preserve">equipment (smartphone, laptop, MiFi) loaned to the household and any food or restaurant receipts and materials such as school menus that respondents have saved; and </w:t>
      </w:r>
    </w:p>
    <w:p w:rsidR="000B5BDC" w:rsidP="000B5BDC" w:rsidRDefault="000B5BDC" w14:paraId="1E2BB97C" w14:textId="69D3909B">
      <w:pPr>
        <w:pStyle w:val="N1-1stBullet"/>
        <w:numPr>
          <w:ilvl w:val="1"/>
          <w:numId w:val="2"/>
        </w:numPr>
      </w:pPr>
      <w:r>
        <w:t>Provide the household with information on the amount of the incentives earned. The</w:t>
      </w:r>
      <w:r w:rsidR="7F173C6F">
        <w:t xml:space="preserve"> PR</w:t>
      </w:r>
      <w:r>
        <w:t xml:space="preserve"> will receive an incentive check (reflecting the total incentives amount accumulated across household members) within one week of returning any loaned equipment and completion of the Debriefing Interview.</w:t>
      </w:r>
      <w:r w:rsidRPr="52A65C71">
        <w:rPr>
          <w:rFonts w:ascii="Times New Roman" w:hAnsi="Times New Roman"/>
        </w:rPr>
        <w:t xml:space="preserve"> </w:t>
      </w:r>
    </w:p>
    <w:p w:rsidR="000B5BDC" w:rsidP="000B5BDC" w:rsidRDefault="000B5BDC" w14:paraId="0E777B34" w14:textId="745F6A37">
      <w:pPr>
        <w:pStyle w:val="N1-1stBullet"/>
      </w:pPr>
      <w:r>
        <w:t xml:space="preserve">An attempt will be made to administer the </w:t>
      </w:r>
      <w:r w:rsidRPr="52A65C71">
        <w:rPr>
          <w:b/>
          <w:bCs/>
        </w:rPr>
        <w:t>Debriefing Interview</w:t>
      </w:r>
      <w:r>
        <w:t xml:space="preserve"> </w:t>
      </w:r>
      <w:r w:rsidR="00EC0E98">
        <w:t>(</w:t>
      </w:r>
      <w:r w:rsidRPr="00D75064" w:rsidR="00EC0E98">
        <w:t>Attachment O</w:t>
      </w:r>
      <w:r w:rsidR="00EC0E98">
        <w:t xml:space="preserve">) </w:t>
      </w:r>
      <w:r>
        <w:t xml:space="preserve">to households that are found survey-eligible during the in-person screener but then either do not agree to participate in the study or who drop out after initial agreement, with a primary intent of determining why they chose not to continue with the </w:t>
      </w:r>
      <w:r w:rsidR="3D165607">
        <w:t>study</w:t>
      </w:r>
      <w:r>
        <w:t>.</w:t>
      </w:r>
    </w:p>
    <w:p w:rsidR="000B5BDC" w:rsidP="000B5BDC" w:rsidRDefault="000B5BDC" w14:paraId="18BE335D" w14:textId="39FF076E">
      <w:pPr>
        <w:pStyle w:val="N1-1stBullet"/>
        <w:numPr>
          <w:ilvl w:val="0"/>
          <w:numId w:val="0"/>
        </w:numPr>
        <w:spacing w:after="0" w:line="360" w:lineRule="atLeast"/>
      </w:pPr>
      <w:r w:rsidRPr="00D75064">
        <w:t>The data that are reported during the Field Test will be used to</w:t>
      </w:r>
      <w:r w:rsidR="00425FFA">
        <w:t xml:space="preserve"> evaluate and finalize the main survey design procedures and data collection protocols for the FoodAPS-2 Full Survey.</w:t>
      </w:r>
      <w:r w:rsidRPr="00D75064">
        <w:t xml:space="preserve"> </w:t>
      </w:r>
      <w:r w:rsidR="00231A77">
        <w:t>The Field Test</w:t>
      </w:r>
      <w:r w:rsidRPr="005A76A4" w:rsidR="00231A77">
        <w:t xml:space="preserve"> will include the implementation of the new native smartphone application, FoodLogger</w:t>
      </w:r>
      <w:r w:rsidR="00231A77">
        <w:t>, and</w:t>
      </w:r>
      <w:r w:rsidR="00425FFA">
        <w:t xml:space="preserve"> will help detect any problems that may arise in the planned survey design and data processing systems. It will provide an opportunity to obtain </w:t>
      </w:r>
      <w:r w:rsidR="00231A77">
        <w:t xml:space="preserve">current </w:t>
      </w:r>
      <w:r w:rsidRPr="005A76A4" w:rsidR="005A76A4">
        <w:t>data on survey costs and</w:t>
      </w:r>
      <w:r w:rsidR="00231A77">
        <w:t xml:space="preserve"> to</w:t>
      </w:r>
      <w:r w:rsidRPr="005A76A4" w:rsidR="005A76A4">
        <w:t xml:space="preserve"> estimate population variances. </w:t>
      </w:r>
      <w:r w:rsidR="005A76A4">
        <w:t xml:space="preserve">Finally, the data will be </w:t>
      </w:r>
      <w:r w:rsidRPr="00D75064">
        <w:t xml:space="preserve">used to </w:t>
      </w:r>
      <w:r w:rsidRPr="00C45370">
        <w:t>determine the relative effectiveness of two different incentive schemes for encouraging continued reporting of food events throughout the entire fielding week.</w:t>
      </w:r>
      <w:r>
        <w:t xml:space="preserve"> </w:t>
      </w:r>
    </w:p>
    <w:p w:rsidR="000B5BDC" w:rsidP="000B5BDC" w:rsidRDefault="000B5BDC" w14:paraId="53C53679" w14:textId="77777777">
      <w:pPr>
        <w:pStyle w:val="N1-1stBullet"/>
        <w:numPr>
          <w:ilvl w:val="0"/>
          <w:numId w:val="0"/>
        </w:numPr>
        <w:spacing w:after="0" w:line="360" w:lineRule="atLeast"/>
      </w:pPr>
    </w:p>
    <w:p w:rsidRPr="00236B29" w:rsidR="000B5BDC" w:rsidP="000B5BDC" w:rsidRDefault="000B5BDC" w14:paraId="4FC7A8EE" w14:textId="326AEAA7">
      <w:pPr>
        <w:pStyle w:val="N1-1stBullet"/>
        <w:numPr>
          <w:ilvl w:val="0"/>
          <w:numId w:val="0"/>
        </w:numPr>
        <w:spacing w:after="0" w:line="360" w:lineRule="atLeast"/>
      </w:pPr>
      <w:r>
        <w:t xml:space="preserve">Eventually, for the </w:t>
      </w:r>
      <w:r w:rsidR="2AC4666C">
        <w:t>F</w:t>
      </w:r>
      <w:r>
        <w:t xml:space="preserve">ull </w:t>
      </w:r>
      <w:r w:rsidR="32204034">
        <w:t>S</w:t>
      </w:r>
      <w:r>
        <w:t xml:space="preserve">urvey, collected data will be used to support numerous research projects by ERS and FNS staff, other government agencies, and academic institutions. We noted at the beginning of this section how the data from FoodAPS-1 have been used, and we expect data from FoodAPS-2's </w:t>
      </w:r>
      <w:r w:rsidR="16A7FDD6">
        <w:t>F</w:t>
      </w:r>
      <w:r>
        <w:t xml:space="preserve">ull </w:t>
      </w:r>
      <w:r w:rsidR="59A31BEB">
        <w:t>S</w:t>
      </w:r>
      <w:r>
        <w:t>urvey to support a similar breadth and depth of research into the factors that affect household decisions about what foods and drink to acquire, when, and where.</w:t>
      </w:r>
    </w:p>
    <w:p w:rsidR="006C19D8" w:rsidP="00790EB5" w:rsidRDefault="006C19D8" w14:paraId="46486754" w14:textId="77777777">
      <w:pPr>
        <w:pStyle w:val="L1-FlLSp12"/>
        <w:rPr>
          <w:sz w:val="23"/>
          <w:szCs w:val="23"/>
        </w:rPr>
      </w:pPr>
    </w:p>
    <w:p w:rsidR="00D16ADD" w:rsidRDefault="00D16ADD" w14:paraId="7EF3B021" w14:textId="7CABED25">
      <w:pPr>
        <w:spacing w:line="240" w:lineRule="auto"/>
        <w:rPr>
          <w:rFonts w:ascii="Franklin Gothic Medium" w:hAnsi="Franklin Gothic Medium"/>
          <w:b/>
          <w:color w:val="324162"/>
          <w:sz w:val="32"/>
        </w:rPr>
      </w:pPr>
      <w:bookmarkStart w:name="_Toc329341675" w:id="33"/>
      <w:bookmarkStart w:name="_Toc400376124" w:id="34"/>
      <w:bookmarkStart w:name="_Toc514067598" w:id="35"/>
    </w:p>
    <w:p w:rsidRPr="003702B9" w:rsidR="00271489" w:rsidP="00271489" w:rsidRDefault="00271489" w14:paraId="62B0E0D3" w14:textId="4D39165F">
      <w:pPr>
        <w:pStyle w:val="Heading2"/>
      </w:pPr>
      <w:bookmarkStart w:name="_Toc93499530" w:id="36"/>
      <w:r w:rsidRPr="003702B9">
        <w:t>A.3</w:t>
      </w:r>
      <w:r w:rsidRPr="003702B9">
        <w:tab/>
        <w:t>Use of Information Technology and Burden Reduction</w:t>
      </w:r>
      <w:bookmarkEnd w:id="33"/>
      <w:bookmarkEnd w:id="34"/>
      <w:bookmarkEnd w:id="35"/>
      <w:bookmarkEnd w:id="36"/>
    </w:p>
    <w:p w:rsidRPr="002F126A" w:rsidR="00271489" w:rsidP="00271489" w:rsidRDefault="00271489" w14:paraId="36ADDA4A" w14:textId="77777777">
      <w:pPr>
        <w:pStyle w:val="L1-FlLSp12"/>
        <w:rPr>
          <w:b/>
        </w:rPr>
      </w:pPr>
      <w:r w:rsidRPr="002F126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D6A5B" w:rsidR="00271489" w:rsidP="00271489" w:rsidRDefault="00271489" w14:paraId="469C2857" w14:textId="77777777">
      <w:pPr>
        <w:pStyle w:val="L1-FlLSp12"/>
        <w:rPr>
          <w:i/>
          <w:szCs w:val="24"/>
        </w:rPr>
      </w:pPr>
    </w:p>
    <w:p w:rsidRPr="001D6A5B" w:rsidR="001C1D07" w:rsidP="00B347A2" w:rsidRDefault="00B347A2" w14:paraId="6FC47B2D" w14:textId="40679C12">
      <w:pPr>
        <w:pStyle w:val="L1-FlLSp12"/>
        <w:rPr>
          <w:rFonts w:cs="Arial"/>
          <w:spacing w:val="-3"/>
          <w:szCs w:val="24"/>
        </w:rPr>
      </w:pPr>
      <w:r w:rsidRPr="001D6A5B">
        <w:rPr>
          <w:rFonts w:cs="Arial"/>
          <w:spacing w:val="-3"/>
          <w:szCs w:val="24"/>
        </w:rPr>
        <w:t>ER</w:t>
      </w:r>
      <w:r w:rsidRPr="001D6A5B" w:rsidR="00EC0B17">
        <w:rPr>
          <w:rFonts w:cs="Arial"/>
          <w:spacing w:val="-3"/>
          <w:szCs w:val="24"/>
        </w:rPr>
        <w:t>S is committed to compliance with the E-Government Act, 2002.</w:t>
      </w:r>
      <w:r w:rsidRPr="001D6A5B" w:rsidR="001C1D07">
        <w:rPr>
          <w:rFonts w:cs="Arial"/>
          <w:spacing w:val="-3"/>
          <w:szCs w:val="24"/>
        </w:rPr>
        <w:t xml:space="preserve"> </w:t>
      </w:r>
      <w:r w:rsidRPr="001D6A5B" w:rsidR="001C1D07">
        <w:rPr>
          <w:rFonts w:eastAsia="Calibri"/>
          <w:szCs w:val="24"/>
        </w:rPr>
        <w:t xml:space="preserve">In FoodAPS-1, the food </w:t>
      </w:r>
      <w:r w:rsidR="0038178D">
        <w:rPr>
          <w:rFonts w:eastAsia="Calibri"/>
          <w:szCs w:val="24"/>
        </w:rPr>
        <w:t xml:space="preserve">acquisition </w:t>
      </w:r>
      <w:r w:rsidRPr="001D6A5B" w:rsidR="001C1D07">
        <w:rPr>
          <w:rFonts w:eastAsia="Calibri"/>
          <w:szCs w:val="24"/>
        </w:rPr>
        <w:t xml:space="preserve">data were collected using paper diaries and reported via telephone three times during the 7-day data collection window. </w:t>
      </w:r>
      <w:r w:rsidRPr="001D6A5B" w:rsidR="001C1D07">
        <w:rPr>
          <w:szCs w:val="24"/>
          <w:lang w:val="en"/>
        </w:rPr>
        <w:t xml:space="preserve">The paper diaries were completed by each household member age 11 or older, or by the PR for all members age 10 or below. </w:t>
      </w:r>
      <w:r w:rsidRPr="001D6A5B" w:rsidR="001C1D07">
        <w:rPr>
          <w:rFonts w:eastAsia="Calibri"/>
          <w:szCs w:val="24"/>
        </w:rPr>
        <w:t>The paper diaries were supplemented by handheld barcode scanners. The h</w:t>
      </w:r>
      <w:r w:rsidRPr="001D6A5B" w:rsidR="001C1D07">
        <w:rPr>
          <w:szCs w:val="24"/>
        </w:rPr>
        <w:t xml:space="preserve">andheld scanners were used to scan the universal product codes (UPCs, or barcodes) to obtain item descriptions when possible. </w:t>
      </w:r>
      <w:r w:rsidRPr="001D6A5B" w:rsidR="001C1D07">
        <w:rPr>
          <w:rFonts w:eastAsia="Calibri"/>
          <w:szCs w:val="24"/>
        </w:rPr>
        <w:t xml:space="preserve">The diaries </w:t>
      </w:r>
      <w:r w:rsidRPr="001D6A5B" w:rsidR="00EB3654">
        <w:rPr>
          <w:rFonts w:eastAsia="Calibri"/>
          <w:szCs w:val="24"/>
        </w:rPr>
        <w:t xml:space="preserve">and paper receipts of </w:t>
      </w:r>
      <w:r w:rsidR="0038178D">
        <w:rPr>
          <w:rFonts w:eastAsia="Calibri"/>
          <w:szCs w:val="24"/>
        </w:rPr>
        <w:t xml:space="preserve">acquisitions </w:t>
      </w:r>
      <w:r w:rsidRPr="001D6A5B" w:rsidR="001C1D07">
        <w:rPr>
          <w:rFonts w:eastAsia="Calibri"/>
          <w:szCs w:val="24"/>
        </w:rPr>
        <w:t xml:space="preserve">were collected during a final in-person interview. </w:t>
      </w:r>
      <w:r w:rsidRPr="001D6A5B" w:rsidR="00EB3654">
        <w:rPr>
          <w:rFonts w:eastAsia="Calibri"/>
          <w:szCs w:val="24"/>
        </w:rPr>
        <w:t xml:space="preserve">FoodAPS-1 also asked household members 16 and older to use a paper worksheet to record their </w:t>
      </w:r>
      <w:r w:rsidRPr="001D6A5B" w:rsidR="00EB3654">
        <w:rPr>
          <w:rFonts w:cs="Arial"/>
          <w:spacing w:val="-3"/>
          <w:szCs w:val="24"/>
        </w:rPr>
        <w:t xml:space="preserve">income. The </w:t>
      </w:r>
      <w:r w:rsidR="00052CE4">
        <w:rPr>
          <w:rFonts w:cs="Arial"/>
          <w:spacing w:val="-3"/>
          <w:szCs w:val="24"/>
        </w:rPr>
        <w:t>primary respondent</w:t>
      </w:r>
      <w:r w:rsidR="005C1542">
        <w:rPr>
          <w:rFonts w:cs="Arial"/>
          <w:spacing w:val="-3"/>
          <w:szCs w:val="24"/>
        </w:rPr>
        <w:t xml:space="preserve"> could then use the </w:t>
      </w:r>
      <w:r w:rsidRPr="001D6A5B" w:rsidR="00EB3654">
        <w:rPr>
          <w:rFonts w:cs="Arial"/>
          <w:spacing w:val="-3"/>
          <w:szCs w:val="24"/>
        </w:rPr>
        <w:t>worksheet to answer income questions during the final interview.</w:t>
      </w:r>
    </w:p>
    <w:p w:rsidRPr="001D6A5B" w:rsidR="00EB3654" w:rsidP="00B347A2" w:rsidRDefault="00EB3654" w14:paraId="5FB66AED" w14:textId="77777777">
      <w:pPr>
        <w:pStyle w:val="L1-FlLSp12"/>
        <w:rPr>
          <w:rFonts w:cs="Arial"/>
          <w:spacing w:val="-3"/>
          <w:szCs w:val="24"/>
        </w:rPr>
      </w:pPr>
    </w:p>
    <w:p w:rsidRPr="001D6A5B" w:rsidR="00791964" w:rsidP="002146EA" w:rsidRDefault="001C1D07" w14:paraId="7430F06B" w14:textId="5C3BBF7D">
      <w:pPr>
        <w:pStyle w:val="L1-FlLSp12"/>
        <w:rPr>
          <w:rFonts w:eastAsia="Calibri"/>
          <w:szCs w:val="24"/>
        </w:rPr>
      </w:pPr>
      <w:r w:rsidRPr="001D6A5B">
        <w:rPr>
          <w:rFonts w:cs="Arial"/>
          <w:spacing w:val="-3"/>
          <w:szCs w:val="24"/>
        </w:rPr>
        <w:t xml:space="preserve">In 2016, ERS implemented the </w:t>
      </w:r>
      <w:r w:rsidR="00BC3D40">
        <w:rPr>
          <w:rFonts w:cs="Arial"/>
          <w:spacing w:val="-3"/>
          <w:szCs w:val="24"/>
        </w:rPr>
        <w:t>ADCM</w:t>
      </w:r>
      <w:r w:rsidR="00B5350F">
        <w:rPr>
          <w:rFonts w:cs="Arial"/>
          <w:spacing w:val="-3"/>
          <w:szCs w:val="24"/>
        </w:rPr>
        <w:t xml:space="preserve"> Pilot</w:t>
      </w:r>
      <w:r w:rsidRPr="001D6A5B">
        <w:rPr>
          <w:rFonts w:cs="Arial"/>
          <w:spacing w:val="-3"/>
          <w:szCs w:val="24"/>
        </w:rPr>
        <w:t xml:space="preserve">. </w:t>
      </w:r>
      <w:r w:rsidRPr="001D6A5B" w:rsidR="00B347A2">
        <w:rPr>
          <w:rFonts w:cs="Arial"/>
          <w:spacing w:val="-3"/>
          <w:szCs w:val="24"/>
        </w:rPr>
        <w:t xml:space="preserve">A </w:t>
      </w:r>
      <w:r w:rsidRPr="001D6A5B" w:rsidR="00B347A2">
        <w:rPr>
          <w:rFonts w:eastAsia="Calibri"/>
          <w:szCs w:val="24"/>
        </w:rPr>
        <w:t xml:space="preserve">primary objective of the </w:t>
      </w:r>
      <w:r w:rsidR="00B5350F">
        <w:rPr>
          <w:rFonts w:eastAsia="Calibri"/>
          <w:szCs w:val="24"/>
        </w:rPr>
        <w:t>Pilot</w:t>
      </w:r>
      <w:r w:rsidRPr="001D6A5B">
        <w:rPr>
          <w:rFonts w:eastAsia="Calibri"/>
          <w:szCs w:val="24"/>
        </w:rPr>
        <w:t xml:space="preserve"> was</w:t>
      </w:r>
      <w:r w:rsidRPr="001D6A5B" w:rsidR="00B347A2">
        <w:rPr>
          <w:rFonts w:eastAsia="Calibri"/>
          <w:szCs w:val="24"/>
        </w:rPr>
        <w:t xml:space="preserve"> to </w:t>
      </w:r>
      <w:r w:rsidR="00BC3D40">
        <w:rPr>
          <w:rFonts w:eastAsia="Calibri"/>
          <w:szCs w:val="24"/>
        </w:rPr>
        <w:t>propose and evaluate</w:t>
      </w:r>
      <w:r w:rsidRPr="001D6A5B" w:rsidR="00BC3D40">
        <w:rPr>
          <w:rFonts w:eastAsia="Calibri"/>
          <w:szCs w:val="24"/>
        </w:rPr>
        <w:t xml:space="preserve"> </w:t>
      </w:r>
      <w:r w:rsidRPr="001D6A5B" w:rsidR="00B347A2">
        <w:rPr>
          <w:rFonts w:eastAsia="Calibri"/>
          <w:szCs w:val="24"/>
        </w:rPr>
        <w:t xml:space="preserve">an alternative data collection method </w:t>
      </w:r>
      <w:r w:rsidR="00B5350F">
        <w:rPr>
          <w:rFonts w:eastAsia="Calibri"/>
          <w:szCs w:val="24"/>
        </w:rPr>
        <w:t>(</w:t>
      </w:r>
      <w:r w:rsidRPr="001D6A5B" w:rsidR="00B347A2">
        <w:rPr>
          <w:rFonts w:eastAsia="Calibri"/>
          <w:szCs w:val="24"/>
        </w:rPr>
        <w:t>ADCM</w:t>
      </w:r>
      <w:r w:rsidR="00B5350F">
        <w:rPr>
          <w:rFonts w:eastAsia="Calibri"/>
          <w:szCs w:val="24"/>
        </w:rPr>
        <w:t>)</w:t>
      </w:r>
      <w:r w:rsidRPr="001D6A5B" w:rsidR="00EB3654">
        <w:rPr>
          <w:rFonts w:eastAsia="Calibri"/>
          <w:szCs w:val="24"/>
        </w:rPr>
        <w:t xml:space="preserve"> to</w:t>
      </w:r>
      <w:r w:rsidRPr="001D6A5B" w:rsidR="00B347A2">
        <w:rPr>
          <w:rFonts w:eastAsia="Calibri"/>
          <w:szCs w:val="24"/>
        </w:rPr>
        <w:t xml:space="preserve"> collect more accurate data on the prices and quantities of all food items acquired from all members of sampled households over a 7-day period while reducing respondent burden. The </w:t>
      </w:r>
      <w:r w:rsidR="008A7CCE">
        <w:rPr>
          <w:rFonts w:eastAsia="Calibri"/>
          <w:szCs w:val="24"/>
        </w:rPr>
        <w:t xml:space="preserve">food log, profile questionnaire and income worksheet instruments used in the </w:t>
      </w:r>
      <w:r w:rsidR="00BC3D40">
        <w:rPr>
          <w:rFonts w:eastAsia="Calibri"/>
          <w:szCs w:val="24"/>
        </w:rPr>
        <w:t>ADCM</w:t>
      </w:r>
      <w:r w:rsidRPr="001D6A5B" w:rsidR="00B347A2">
        <w:rPr>
          <w:rFonts w:eastAsia="Calibri"/>
          <w:szCs w:val="24"/>
        </w:rPr>
        <w:t xml:space="preserve"> </w:t>
      </w:r>
      <w:r w:rsidR="00B5350F">
        <w:rPr>
          <w:rFonts w:eastAsia="Calibri"/>
          <w:szCs w:val="24"/>
        </w:rPr>
        <w:t xml:space="preserve">Pilot </w:t>
      </w:r>
      <w:r w:rsidR="008A7CCE">
        <w:rPr>
          <w:rFonts w:eastAsia="Calibri"/>
          <w:szCs w:val="24"/>
        </w:rPr>
        <w:t>were completed by accessing the study</w:t>
      </w:r>
      <w:r w:rsidR="00727E0B">
        <w:rPr>
          <w:rFonts w:eastAsia="Calibri"/>
          <w:szCs w:val="24"/>
        </w:rPr>
        <w:t>’s</w:t>
      </w:r>
      <w:r w:rsidR="008A7CCE">
        <w:rPr>
          <w:rFonts w:eastAsia="Calibri"/>
          <w:szCs w:val="24"/>
        </w:rPr>
        <w:t xml:space="preserve"> website using smartphones, computers and tablets</w:t>
      </w:r>
      <w:r w:rsidRPr="001D6A5B" w:rsidR="006E239E">
        <w:rPr>
          <w:rFonts w:eastAsia="Calibri"/>
          <w:szCs w:val="24"/>
        </w:rPr>
        <w:t xml:space="preserve"> and</w:t>
      </w:r>
      <w:r w:rsidRPr="001D6A5B" w:rsidR="00791964">
        <w:rPr>
          <w:rFonts w:eastAsia="Calibri"/>
          <w:szCs w:val="24"/>
        </w:rPr>
        <w:t xml:space="preserve"> did</w:t>
      </w:r>
      <w:r w:rsidRPr="001D6A5B" w:rsidR="00B347A2">
        <w:rPr>
          <w:rFonts w:eastAsia="Calibri"/>
          <w:szCs w:val="24"/>
        </w:rPr>
        <w:t xml:space="preserve"> not r</w:t>
      </w:r>
      <w:r w:rsidRPr="001D6A5B" w:rsidR="006E239E">
        <w:rPr>
          <w:rFonts w:eastAsia="Calibri"/>
          <w:szCs w:val="24"/>
        </w:rPr>
        <w:t>equire</w:t>
      </w:r>
      <w:r w:rsidRPr="001D6A5B" w:rsidR="00B347A2">
        <w:rPr>
          <w:rFonts w:eastAsia="Calibri"/>
          <w:szCs w:val="24"/>
        </w:rPr>
        <w:t xml:space="preserve"> study participants to carry paper diaries for a week and jot down product details</w:t>
      </w:r>
      <w:r w:rsidR="00727E0B">
        <w:rPr>
          <w:rFonts w:eastAsia="Calibri"/>
          <w:szCs w:val="24"/>
        </w:rPr>
        <w:t xml:space="preserve"> as in FoodAPS-1</w:t>
      </w:r>
      <w:r w:rsidRPr="001D6A5B" w:rsidR="00B347A2">
        <w:rPr>
          <w:rFonts w:eastAsia="Calibri"/>
          <w:szCs w:val="24"/>
        </w:rPr>
        <w:t>. Instead, participants use</w:t>
      </w:r>
      <w:r w:rsidRPr="001D6A5B" w:rsidR="00791964">
        <w:rPr>
          <w:rFonts w:eastAsia="Calibri"/>
          <w:szCs w:val="24"/>
        </w:rPr>
        <w:t>d</w:t>
      </w:r>
      <w:r w:rsidRPr="001D6A5B" w:rsidR="00B347A2">
        <w:rPr>
          <w:rFonts w:eastAsia="Calibri"/>
          <w:szCs w:val="24"/>
        </w:rPr>
        <w:t xml:space="preserve"> smartphones to scan the barcodes of products in stores, at home, </w:t>
      </w:r>
      <w:r w:rsidR="003268C4">
        <w:rPr>
          <w:rFonts w:eastAsia="Calibri"/>
          <w:szCs w:val="24"/>
        </w:rPr>
        <w:t xml:space="preserve">or </w:t>
      </w:r>
      <w:r w:rsidRPr="001D6A5B" w:rsidR="00B347A2">
        <w:rPr>
          <w:rFonts w:eastAsia="Calibri"/>
          <w:szCs w:val="24"/>
        </w:rPr>
        <w:t xml:space="preserve">at the office. A </w:t>
      </w:r>
      <w:r w:rsidRPr="001D6A5B" w:rsidR="00F70A11">
        <w:rPr>
          <w:rFonts w:eastAsia="Calibri"/>
          <w:szCs w:val="24"/>
        </w:rPr>
        <w:t xml:space="preserve">successfully </w:t>
      </w:r>
      <w:r w:rsidRPr="001D6A5B" w:rsidR="00B347A2">
        <w:rPr>
          <w:rFonts w:eastAsia="Calibri"/>
          <w:szCs w:val="24"/>
        </w:rPr>
        <w:t xml:space="preserve">scanned barcode </w:t>
      </w:r>
      <w:r w:rsidRPr="001D6A5B" w:rsidR="00B71692">
        <w:rPr>
          <w:rFonts w:eastAsia="Calibri"/>
          <w:szCs w:val="24"/>
        </w:rPr>
        <w:t xml:space="preserve">that </w:t>
      </w:r>
      <w:r w:rsidRPr="001D6A5B" w:rsidR="00791964">
        <w:rPr>
          <w:rFonts w:eastAsia="Calibri"/>
          <w:szCs w:val="24"/>
        </w:rPr>
        <w:t>was</w:t>
      </w:r>
      <w:r w:rsidRPr="001D6A5B" w:rsidR="00B71692">
        <w:rPr>
          <w:rFonts w:eastAsia="Calibri"/>
          <w:szCs w:val="24"/>
        </w:rPr>
        <w:t xml:space="preserve"> in the </w:t>
      </w:r>
      <w:r w:rsidR="00EF1C10">
        <w:rPr>
          <w:rFonts w:eastAsia="Calibri"/>
          <w:szCs w:val="24"/>
        </w:rPr>
        <w:t xml:space="preserve">product </w:t>
      </w:r>
      <w:r w:rsidRPr="001D6A5B" w:rsidR="00B71692">
        <w:rPr>
          <w:rFonts w:eastAsia="Calibri"/>
          <w:szCs w:val="24"/>
        </w:rPr>
        <w:t xml:space="preserve">lookup database </w:t>
      </w:r>
      <w:r w:rsidRPr="001D6A5B" w:rsidR="00791964">
        <w:rPr>
          <w:rFonts w:eastAsia="Calibri"/>
          <w:szCs w:val="24"/>
        </w:rPr>
        <w:t>provided</w:t>
      </w:r>
      <w:r w:rsidRPr="001D6A5B" w:rsidR="00B347A2">
        <w:rPr>
          <w:rFonts w:eastAsia="Calibri"/>
          <w:szCs w:val="24"/>
        </w:rPr>
        <w:t xml:space="preserve"> a description </w:t>
      </w:r>
      <w:r w:rsidR="0016371D">
        <w:rPr>
          <w:rFonts w:eastAsia="Calibri"/>
          <w:szCs w:val="24"/>
        </w:rPr>
        <w:t>and size</w:t>
      </w:r>
      <w:r w:rsidR="00BC3D40">
        <w:rPr>
          <w:rFonts w:eastAsia="Calibri"/>
          <w:szCs w:val="24"/>
        </w:rPr>
        <w:t xml:space="preserve"> or weight</w:t>
      </w:r>
      <w:r w:rsidR="0016371D">
        <w:rPr>
          <w:rFonts w:eastAsia="Calibri"/>
          <w:szCs w:val="24"/>
        </w:rPr>
        <w:t xml:space="preserve"> </w:t>
      </w:r>
      <w:r w:rsidRPr="001D6A5B" w:rsidR="00B347A2">
        <w:rPr>
          <w:rFonts w:eastAsia="Calibri"/>
          <w:szCs w:val="24"/>
        </w:rPr>
        <w:t>of the product</w:t>
      </w:r>
      <w:r w:rsidR="00C820FB">
        <w:rPr>
          <w:rFonts w:eastAsia="Calibri"/>
          <w:szCs w:val="24"/>
        </w:rPr>
        <w:t xml:space="preserve">. </w:t>
      </w:r>
      <w:r w:rsidR="0016371D">
        <w:rPr>
          <w:rFonts w:eastAsia="Calibri"/>
          <w:szCs w:val="24"/>
        </w:rPr>
        <w:t xml:space="preserve">For these items, </w:t>
      </w:r>
      <w:r w:rsidRPr="001D6A5B" w:rsidR="00F0595C">
        <w:rPr>
          <w:rFonts w:eastAsia="Calibri"/>
          <w:szCs w:val="24"/>
        </w:rPr>
        <w:t xml:space="preserve">respondents </w:t>
      </w:r>
      <w:r w:rsidR="0016371D">
        <w:rPr>
          <w:rFonts w:eastAsia="Calibri"/>
          <w:szCs w:val="24"/>
        </w:rPr>
        <w:t>only had to provide limited information such as the price of the item</w:t>
      </w:r>
      <w:r w:rsidRPr="001D6A5B" w:rsidR="00B347A2">
        <w:rPr>
          <w:rFonts w:eastAsia="Calibri"/>
          <w:szCs w:val="24"/>
        </w:rPr>
        <w:t xml:space="preserve">. Households with no smartphones </w:t>
      </w:r>
      <w:r w:rsidRPr="001D6A5B" w:rsidR="002146EA">
        <w:rPr>
          <w:rFonts w:eastAsia="Calibri"/>
          <w:szCs w:val="24"/>
        </w:rPr>
        <w:t xml:space="preserve">or Internet connectivity </w:t>
      </w:r>
      <w:r w:rsidRPr="001D6A5B" w:rsidR="00791964">
        <w:rPr>
          <w:rFonts w:eastAsia="Calibri"/>
          <w:szCs w:val="24"/>
        </w:rPr>
        <w:t>were</w:t>
      </w:r>
      <w:r w:rsidRPr="001D6A5B" w:rsidR="00B347A2">
        <w:rPr>
          <w:rFonts w:eastAsia="Calibri"/>
          <w:szCs w:val="24"/>
        </w:rPr>
        <w:t xml:space="preserve"> loaned an iPhone </w:t>
      </w:r>
      <w:r w:rsidRPr="001D6A5B" w:rsidR="00FB00C6">
        <w:rPr>
          <w:rFonts w:eastAsia="Calibri"/>
          <w:szCs w:val="24"/>
        </w:rPr>
        <w:t>or</w:t>
      </w:r>
      <w:r w:rsidRPr="001D6A5B" w:rsidR="002146EA">
        <w:rPr>
          <w:rFonts w:eastAsia="Calibri"/>
          <w:szCs w:val="24"/>
        </w:rPr>
        <w:t xml:space="preserve"> MiFi device </w:t>
      </w:r>
      <w:r w:rsidRPr="001D6A5B" w:rsidR="00B347A2">
        <w:rPr>
          <w:rFonts w:eastAsia="Calibri"/>
          <w:szCs w:val="24"/>
        </w:rPr>
        <w:t xml:space="preserve">for the duration of their </w:t>
      </w:r>
      <w:r w:rsidRPr="001D6A5B" w:rsidR="004B1F93">
        <w:rPr>
          <w:rFonts w:eastAsia="Calibri"/>
          <w:szCs w:val="24"/>
        </w:rPr>
        <w:t>participation</w:t>
      </w:r>
      <w:r w:rsidRPr="001D6A5B" w:rsidR="00F0595C">
        <w:rPr>
          <w:rFonts w:eastAsia="Calibri"/>
          <w:szCs w:val="24"/>
        </w:rPr>
        <w:t>. Participants could</w:t>
      </w:r>
      <w:r w:rsidRPr="001D6A5B" w:rsidR="00B347A2">
        <w:rPr>
          <w:rFonts w:eastAsia="Calibri"/>
          <w:szCs w:val="24"/>
        </w:rPr>
        <w:t xml:space="preserve"> also </w:t>
      </w:r>
      <w:r w:rsidRPr="001D6A5B" w:rsidR="00A1335E">
        <w:rPr>
          <w:rFonts w:eastAsia="Calibri"/>
          <w:szCs w:val="24"/>
        </w:rPr>
        <w:t xml:space="preserve">choose to </w:t>
      </w:r>
      <w:r w:rsidRPr="001D6A5B" w:rsidR="00B347A2">
        <w:rPr>
          <w:rFonts w:eastAsia="Calibri"/>
          <w:szCs w:val="24"/>
        </w:rPr>
        <w:t xml:space="preserve">use a desktop computer or tablet </w:t>
      </w:r>
      <w:r w:rsidRPr="001D6A5B" w:rsidR="00135486">
        <w:rPr>
          <w:rFonts w:eastAsia="Calibri"/>
          <w:szCs w:val="24"/>
        </w:rPr>
        <w:t>with</w:t>
      </w:r>
      <w:r w:rsidRPr="001D6A5B" w:rsidR="00B347A2">
        <w:rPr>
          <w:rFonts w:eastAsia="Calibri"/>
          <w:szCs w:val="24"/>
        </w:rPr>
        <w:t xml:space="preserve"> a handheld scanner to complete their </w:t>
      </w:r>
      <w:r w:rsidR="009E2224">
        <w:rPr>
          <w:rFonts w:eastAsia="Calibri"/>
          <w:szCs w:val="24"/>
        </w:rPr>
        <w:t>7-day f</w:t>
      </w:r>
      <w:r w:rsidRPr="001D6A5B" w:rsidR="00B347A2">
        <w:rPr>
          <w:rFonts w:eastAsia="Calibri"/>
          <w:szCs w:val="24"/>
        </w:rPr>
        <w:t xml:space="preserve">ood </w:t>
      </w:r>
      <w:r w:rsidR="009E2224">
        <w:rPr>
          <w:rFonts w:eastAsia="Calibri"/>
          <w:szCs w:val="24"/>
        </w:rPr>
        <w:t>l</w:t>
      </w:r>
      <w:r w:rsidRPr="001D6A5B" w:rsidR="00B347A2">
        <w:rPr>
          <w:rFonts w:eastAsia="Calibri"/>
          <w:szCs w:val="24"/>
        </w:rPr>
        <w:t xml:space="preserve">og. </w:t>
      </w:r>
    </w:p>
    <w:p w:rsidRPr="001D6A5B" w:rsidR="00791964" w:rsidP="002146EA" w:rsidRDefault="00791964" w14:paraId="14842F69" w14:textId="77777777">
      <w:pPr>
        <w:pStyle w:val="L1-FlLSp12"/>
        <w:rPr>
          <w:rFonts w:eastAsia="Calibri"/>
          <w:szCs w:val="24"/>
        </w:rPr>
      </w:pPr>
    </w:p>
    <w:p w:rsidRPr="001D6A5B" w:rsidR="009D5C51" w:rsidP="002146EA" w:rsidRDefault="00791964" w14:paraId="2E1B9069" w14:textId="53B6CEBD">
      <w:pPr>
        <w:pStyle w:val="L1-FlLSp12"/>
        <w:rPr>
          <w:rFonts w:eastAsia="Calibri"/>
          <w:szCs w:val="24"/>
        </w:rPr>
      </w:pPr>
      <w:r w:rsidRPr="001D6A5B">
        <w:rPr>
          <w:rFonts w:eastAsia="Calibri"/>
          <w:szCs w:val="24"/>
        </w:rPr>
        <w:t xml:space="preserve">For </w:t>
      </w:r>
      <w:r w:rsidR="00C75B46">
        <w:rPr>
          <w:rFonts w:eastAsia="Calibri"/>
          <w:szCs w:val="24"/>
        </w:rPr>
        <w:t xml:space="preserve">the </w:t>
      </w:r>
      <w:r w:rsidRPr="001D6A5B">
        <w:rPr>
          <w:rFonts w:eastAsia="Calibri"/>
          <w:szCs w:val="24"/>
        </w:rPr>
        <w:t>FoodAPS-2</w:t>
      </w:r>
      <w:r w:rsidR="00C75B46">
        <w:rPr>
          <w:rFonts w:eastAsia="Calibri"/>
          <w:szCs w:val="24"/>
        </w:rPr>
        <w:t xml:space="preserve"> Field Test</w:t>
      </w:r>
      <w:r w:rsidRPr="001D6A5B">
        <w:rPr>
          <w:rFonts w:eastAsia="Calibri"/>
          <w:szCs w:val="24"/>
        </w:rPr>
        <w:t>, USDA plan</w:t>
      </w:r>
      <w:r w:rsidRPr="001D6A5B" w:rsidR="00847D7A">
        <w:rPr>
          <w:rFonts w:eastAsia="Calibri"/>
          <w:szCs w:val="24"/>
        </w:rPr>
        <w:t>s</w:t>
      </w:r>
      <w:r w:rsidRPr="001D6A5B">
        <w:rPr>
          <w:rFonts w:eastAsia="Calibri"/>
          <w:szCs w:val="24"/>
        </w:rPr>
        <w:t xml:space="preserve"> to build on the technology used in the </w:t>
      </w:r>
      <w:r w:rsidR="00BC3D40">
        <w:rPr>
          <w:rFonts w:eastAsia="Calibri"/>
          <w:szCs w:val="24"/>
        </w:rPr>
        <w:t>ADCM</w:t>
      </w:r>
      <w:r w:rsidR="00B5350F">
        <w:rPr>
          <w:rFonts w:eastAsia="Calibri"/>
          <w:szCs w:val="24"/>
        </w:rPr>
        <w:t xml:space="preserve"> Pilot</w:t>
      </w:r>
      <w:r w:rsidRPr="001D6A5B">
        <w:rPr>
          <w:rFonts w:eastAsia="Calibri"/>
          <w:szCs w:val="24"/>
        </w:rPr>
        <w:t xml:space="preserve">. </w:t>
      </w:r>
      <w:r w:rsidRPr="001D6A5B" w:rsidR="00B061A0">
        <w:rPr>
          <w:rFonts w:eastAsia="Calibri"/>
          <w:szCs w:val="24"/>
        </w:rPr>
        <w:t>Table A.1</w:t>
      </w:r>
      <w:r w:rsidRPr="001D6A5B" w:rsidR="007B584C">
        <w:rPr>
          <w:rFonts w:eastAsia="Calibri"/>
          <w:szCs w:val="24"/>
        </w:rPr>
        <w:t xml:space="preserve"> provides a summary listing of how we plan to leverage computerization </w:t>
      </w:r>
      <w:r w:rsidRPr="001D6A5B" w:rsidR="009D5C51">
        <w:rPr>
          <w:rFonts w:eastAsia="Calibri"/>
          <w:szCs w:val="24"/>
        </w:rPr>
        <w:t>to increase automation</w:t>
      </w:r>
      <w:r w:rsidR="00B5350F">
        <w:rPr>
          <w:rFonts w:eastAsia="Calibri"/>
          <w:szCs w:val="24"/>
        </w:rPr>
        <w:t>,</w:t>
      </w:r>
      <w:r w:rsidRPr="001D6A5B" w:rsidR="009D5C51">
        <w:rPr>
          <w:rFonts w:eastAsia="Calibri"/>
          <w:szCs w:val="24"/>
        </w:rPr>
        <w:t xml:space="preserve"> </w:t>
      </w:r>
      <w:r w:rsidR="00A4597D">
        <w:rPr>
          <w:rFonts w:eastAsia="Calibri"/>
          <w:szCs w:val="24"/>
        </w:rPr>
        <w:t>improve data quality</w:t>
      </w:r>
      <w:r w:rsidR="00B5350F">
        <w:rPr>
          <w:rFonts w:eastAsia="Calibri"/>
          <w:szCs w:val="24"/>
        </w:rPr>
        <w:t>,</w:t>
      </w:r>
      <w:r w:rsidR="00A4597D">
        <w:rPr>
          <w:rFonts w:eastAsia="Calibri"/>
          <w:szCs w:val="24"/>
        </w:rPr>
        <w:t xml:space="preserve"> and </w:t>
      </w:r>
      <w:r w:rsidRPr="001D6A5B" w:rsidR="00D50157">
        <w:rPr>
          <w:rFonts w:eastAsia="Calibri"/>
          <w:szCs w:val="24"/>
        </w:rPr>
        <w:t xml:space="preserve">further </w:t>
      </w:r>
      <w:r w:rsidRPr="001D6A5B" w:rsidR="009D5C51">
        <w:rPr>
          <w:rFonts w:eastAsia="Calibri"/>
          <w:szCs w:val="24"/>
        </w:rPr>
        <w:t xml:space="preserve">reduce </w:t>
      </w:r>
      <w:r w:rsidRPr="001D6A5B" w:rsidR="00D50157">
        <w:rPr>
          <w:rFonts w:eastAsia="Calibri"/>
          <w:szCs w:val="24"/>
        </w:rPr>
        <w:t xml:space="preserve">respondent </w:t>
      </w:r>
      <w:r w:rsidRPr="001D6A5B" w:rsidR="009D5C51">
        <w:rPr>
          <w:rFonts w:eastAsia="Calibri"/>
          <w:szCs w:val="24"/>
        </w:rPr>
        <w:t>burden</w:t>
      </w:r>
      <w:r w:rsidRPr="001D6A5B" w:rsidR="002E7A7A">
        <w:rPr>
          <w:rFonts w:eastAsia="Calibri"/>
          <w:szCs w:val="24"/>
        </w:rPr>
        <w:t xml:space="preserve"> across all instruments</w:t>
      </w:r>
      <w:r w:rsidRPr="001D6A5B" w:rsidR="009D5C51">
        <w:rPr>
          <w:rFonts w:eastAsia="Calibri"/>
          <w:szCs w:val="24"/>
        </w:rPr>
        <w:t>.</w:t>
      </w:r>
      <w:r w:rsidRPr="001D6A5B" w:rsidR="007B584C">
        <w:rPr>
          <w:rFonts w:eastAsia="Calibri"/>
          <w:szCs w:val="24"/>
        </w:rPr>
        <w:t xml:space="preserve"> </w:t>
      </w:r>
      <w:r w:rsidRPr="001D6A5B" w:rsidR="006413C1">
        <w:rPr>
          <w:rFonts w:eastAsia="Calibri"/>
          <w:szCs w:val="24"/>
        </w:rPr>
        <w:t xml:space="preserve">In the </w:t>
      </w:r>
      <w:r w:rsidRPr="001D6A5B" w:rsidR="00F06143">
        <w:rPr>
          <w:rFonts w:eastAsia="Calibri"/>
          <w:szCs w:val="24"/>
        </w:rPr>
        <w:t xml:space="preserve">bullets below </w:t>
      </w:r>
      <w:r w:rsidRPr="001D6A5B" w:rsidR="006413C1">
        <w:rPr>
          <w:rFonts w:eastAsia="Calibri"/>
          <w:szCs w:val="24"/>
        </w:rPr>
        <w:t xml:space="preserve">we </w:t>
      </w:r>
      <w:r w:rsidRPr="001D6A5B" w:rsidR="00F06143">
        <w:rPr>
          <w:rFonts w:eastAsia="Calibri"/>
          <w:szCs w:val="24"/>
        </w:rPr>
        <w:t>highlight a few key</w:t>
      </w:r>
      <w:r w:rsidRPr="001D6A5B" w:rsidR="007B584C">
        <w:rPr>
          <w:rFonts w:eastAsia="Calibri"/>
          <w:szCs w:val="24"/>
        </w:rPr>
        <w:t xml:space="preserve"> areas where the use of technology will reduce burden while improving data quality.</w:t>
      </w:r>
    </w:p>
    <w:p w:rsidRPr="001D6A5B" w:rsidR="009D5C51" w:rsidP="002146EA" w:rsidRDefault="009D5C51" w14:paraId="727FC7A3" w14:textId="77777777">
      <w:pPr>
        <w:pStyle w:val="L1-FlLSp12"/>
        <w:rPr>
          <w:rFonts w:eastAsia="Calibri"/>
          <w:szCs w:val="24"/>
        </w:rPr>
      </w:pPr>
    </w:p>
    <w:p w:rsidRPr="0033037A" w:rsidR="002B7300" w:rsidP="00DB7F04" w:rsidRDefault="00847D7A" w14:paraId="2B1A9A99" w14:textId="24E29F3B">
      <w:pPr>
        <w:pStyle w:val="ListParagraph"/>
        <w:numPr>
          <w:ilvl w:val="0"/>
          <w:numId w:val="14"/>
        </w:numPr>
        <w:spacing w:after="120" w:line="276" w:lineRule="auto"/>
      </w:pPr>
      <w:r w:rsidRPr="0055786A">
        <w:rPr>
          <w:rFonts w:eastAsia="Calibri"/>
          <w:szCs w:val="24"/>
        </w:rPr>
        <w:t xml:space="preserve">As in the </w:t>
      </w:r>
      <w:r w:rsidR="00E53D0B">
        <w:rPr>
          <w:rFonts w:eastAsia="Calibri"/>
          <w:szCs w:val="24"/>
        </w:rPr>
        <w:t>ADCM</w:t>
      </w:r>
      <w:r w:rsidRPr="0055786A">
        <w:rPr>
          <w:rFonts w:eastAsia="Calibri"/>
          <w:szCs w:val="24"/>
        </w:rPr>
        <w:t xml:space="preserve">, FoodAPS-2 </w:t>
      </w:r>
      <w:r w:rsidR="00C75B46">
        <w:rPr>
          <w:rFonts w:eastAsia="Calibri"/>
          <w:szCs w:val="24"/>
        </w:rPr>
        <w:t xml:space="preserve">Field Test </w:t>
      </w:r>
      <w:r w:rsidRPr="0055786A">
        <w:rPr>
          <w:rFonts w:eastAsia="Calibri"/>
          <w:szCs w:val="24"/>
        </w:rPr>
        <w:t>p</w:t>
      </w:r>
      <w:r w:rsidRPr="0055786A" w:rsidR="00B347A2">
        <w:rPr>
          <w:rFonts w:eastAsia="Calibri"/>
          <w:szCs w:val="24"/>
        </w:rPr>
        <w:t xml:space="preserve">articipants </w:t>
      </w:r>
      <w:r w:rsidRPr="0055786A">
        <w:rPr>
          <w:rFonts w:eastAsia="Calibri"/>
          <w:szCs w:val="24"/>
        </w:rPr>
        <w:t xml:space="preserve">will </w:t>
      </w:r>
      <w:r w:rsidRPr="0055786A" w:rsidR="009D5C51">
        <w:rPr>
          <w:rFonts w:eastAsia="Calibri"/>
          <w:szCs w:val="24"/>
        </w:rPr>
        <w:t xml:space="preserve">be able to </w:t>
      </w:r>
      <w:r w:rsidRPr="0055786A">
        <w:rPr>
          <w:rFonts w:eastAsia="Calibri"/>
          <w:szCs w:val="24"/>
        </w:rPr>
        <w:t>use smartphone</w:t>
      </w:r>
      <w:r w:rsidRPr="0055786A" w:rsidR="009D5C51">
        <w:rPr>
          <w:rFonts w:eastAsia="Calibri"/>
          <w:szCs w:val="24"/>
        </w:rPr>
        <w:t xml:space="preserve">s, desktop computers, or tablets </w:t>
      </w:r>
      <w:r w:rsidRPr="0055786A">
        <w:rPr>
          <w:rFonts w:eastAsia="Calibri"/>
          <w:szCs w:val="24"/>
        </w:rPr>
        <w:t xml:space="preserve">to scan product barcodes. However, we plan to improve the </w:t>
      </w:r>
      <w:r w:rsidRPr="0055786A" w:rsidR="00EF1C10">
        <w:rPr>
          <w:rFonts w:eastAsia="Calibri"/>
          <w:szCs w:val="24"/>
        </w:rPr>
        <w:t xml:space="preserve">product </w:t>
      </w:r>
      <w:r w:rsidRPr="0055786A">
        <w:rPr>
          <w:rFonts w:eastAsia="Calibri"/>
          <w:szCs w:val="24"/>
        </w:rPr>
        <w:t>lookup databases to increase the likelihood of a match. To accomplish this we plan to use multiple da</w:t>
      </w:r>
      <w:r w:rsidRPr="0055786A" w:rsidR="009D5C51">
        <w:rPr>
          <w:rFonts w:eastAsia="Calibri"/>
          <w:szCs w:val="24"/>
        </w:rPr>
        <w:t>tabases containing both food-at-home (FAH)</w:t>
      </w:r>
      <w:r w:rsidRPr="0055786A" w:rsidR="00D50157">
        <w:rPr>
          <w:rFonts w:eastAsia="Calibri"/>
          <w:szCs w:val="24"/>
        </w:rPr>
        <w:t xml:space="preserve"> UPC</w:t>
      </w:r>
      <w:r w:rsidR="00C75B46">
        <w:rPr>
          <w:rFonts w:eastAsia="Calibri"/>
          <w:szCs w:val="24"/>
        </w:rPr>
        <w:t>s</w:t>
      </w:r>
      <w:r w:rsidRPr="0055786A" w:rsidR="009D5C51">
        <w:rPr>
          <w:rFonts w:eastAsia="Calibri"/>
          <w:szCs w:val="24"/>
        </w:rPr>
        <w:t xml:space="preserve"> and food-away-from-home (FAFH)</w:t>
      </w:r>
      <w:r w:rsidRPr="0055786A" w:rsidR="008F0784">
        <w:rPr>
          <w:rFonts w:eastAsia="Calibri"/>
          <w:szCs w:val="24"/>
        </w:rPr>
        <w:t xml:space="preserve"> </w:t>
      </w:r>
      <w:r w:rsidRPr="0055786A" w:rsidR="00D50157">
        <w:rPr>
          <w:rFonts w:eastAsia="Calibri"/>
          <w:szCs w:val="24"/>
        </w:rPr>
        <w:t>restaurant databases.</w:t>
      </w:r>
    </w:p>
    <w:p w:rsidRPr="0033037A" w:rsidR="009D5C51" w:rsidP="00DB7F04" w:rsidRDefault="002B7300" w14:paraId="36A9A617" w14:textId="49DCA07D">
      <w:pPr>
        <w:pStyle w:val="ListParagraph"/>
        <w:numPr>
          <w:ilvl w:val="0"/>
          <w:numId w:val="14"/>
        </w:numPr>
        <w:spacing w:after="120" w:line="276" w:lineRule="auto"/>
      </w:pPr>
      <w:r w:rsidRPr="0055786A">
        <w:rPr>
          <w:rFonts w:eastAsia="Calibri"/>
          <w:szCs w:val="24"/>
        </w:rPr>
        <w:t>For items where we are unable to find a match in the lookup database</w:t>
      </w:r>
      <w:r w:rsidRPr="0055786A" w:rsidR="00F06143">
        <w:rPr>
          <w:rFonts w:eastAsia="Calibri"/>
          <w:szCs w:val="24"/>
        </w:rPr>
        <w:t>s</w:t>
      </w:r>
      <w:r w:rsidRPr="0055786A">
        <w:rPr>
          <w:rFonts w:eastAsia="Calibri"/>
          <w:szCs w:val="24"/>
        </w:rPr>
        <w:t>, we will use type</w:t>
      </w:r>
      <w:r w:rsidR="00C75B46">
        <w:rPr>
          <w:rFonts w:eastAsia="Calibri"/>
          <w:szCs w:val="24"/>
        </w:rPr>
        <w:t>-</w:t>
      </w:r>
      <w:r w:rsidRPr="0055786A">
        <w:rPr>
          <w:rFonts w:eastAsia="Calibri"/>
          <w:szCs w:val="24"/>
        </w:rPr>
        <w:t>ahead</w:t>
      </w:r>
      <w:r w:rsidRPr="0055786A" w:rsidR="00F06143">
        <w:rPr>
          <w:rFonts w:eastAsia="Calibri"/>
          <w:szCs w:val="24"/>
        </w:rPr>
        <w:t>s</w:t>
      </w:r>
      <w:r w:rsidRPr="0055786A">
        <w:rPr>
          <w:rFonts w:eastAsia="Calibri"/>
          <w:szCs w:val="24"/>
        </w:rPr>
        <w:t xml:space="preserve"> and drop</w:t>
      </w:r>
      <w:r w:rsidR="00C75B46">
        <w:rPr>
          <w:rFonts w:eastAsia="Calibri"/>
          <w:szCs w:val="24"/>
        </w:rPr>
        <w:t>-</w:t>
      </w:r>
      <w:r w:rsidRPr="0055786A">
        <w:rPr>
          <w:rFonts w:eastAsia="Calibri"/>
          <w:szCs w:val="24"/>
        </w:rPr>
        <w:t>down menus to reduce the amount of information the participant has to enter.</w:t>
      </w:r>
      <w:r w:rsidRPr="0033037A" w:rsidR="0033037A">
        <w:t xml:space="preserve"> </w:t>
      </w:r>
    </w:p>
    <w:p w:rsidRPr="0033037A" w:rsidR="00695611" w:rsidP="00DB7F04" w:rsidRDefault="00695611" w14:paraId="25559746" w14:textId="457550AB">
      <w:pPr>
        <w:pStyle w:val="ListParagraph"/>
        <w:numPr>
          <w:ilvl w:val="0"/>
          <w:numId w:val="14"/>
        </w:numPr>
        <w:spacing w:after="120" w:line="276" w:lineRule="auto"/>
      </w:pPr>
      <w:r w:rsidRPr="0055786A">
        <w:rPr>
          <w:rFonts w:eastAsia="Calibri"/>
          <w:szCs w:val="24"/>
        </w:rPr>
        <w:t>Respondents</w:t>
      </w:r>
      <w:r w:rsidR="00F40907">
        <w:rPr>
          <w:rFonts w:eastAsia="Calibri"/>
          <w:szCs w:val="24"/>
        </w:rPr>
        <w:t xml:space="preserve"> who choose to enable all the smartphone features and use a smartphone to complete the Food Log </w:t>
      </w:r>
      <w:r w:rsidRPr="0055786A">
        <w:rPr>
          <w:rFonts w:eastAsia="Calibri"/>
          <w:szCs w:val="24"/>
        </w:rPr>
        <w:t xml:space="preserve">will no longer </w:t>
      </w:r>
      <w:r w:rsidRPr="0055786A" w:rsidR="00146A39">
        <w:rPr>
          <w:rFonts w:eastAsia="Calibri"/>
          <w:szCs w:val="24"/>
        </w:rPr>
        <w:t xml:space="preserve">have </w:t>
      </w:r>
      <w:r w:rsidRPr="0055786A">
        <w:rPr>
          <w:rFonts w:eastAsia="Calibri"/>
          <w:szCs w:val="24"/>
        </w:rPr>
        <w:t xml:space="preserve">to enter the address of all locations (home, work, grocery stores, restaurants). Instead, we will use Google </w:t>
      </w:r>
      <w:r w:rsidR="003C484F">
        <w:rPr>
          <w:rFonts w:eastAsia="Calibri"/>
          <w:szCs w:val="24"/>
        </w:rPr>
        <w:t xml:space="preserve">Place and Nutritionix </w:t>
      </w:r>
      <w:r w:rsidRPr="0055786A">
        <w:rPr>
          <w:rFonts w:eastAsia="Calibri"/>
          <w:szCs w:val="24"/>
        </w:rPr>
        <w:t>API</w:t>
      </w:r>
      <w:r w:rsidR="003C484F">
        <w:rPr>
          <w:rFonts w:eastAsia="Calibri"/>
          <w:szCs w:val="24"/>
        </w:rPr>
        <w:t xml:space="preserve">s </w:t>
      </w:r>
      <w:r w:rsidRPr="0055786A">
        <w:rPr>
          <w:rFonts w:eastAsia="Calibri"/>
          <w:szCs w:val="24"/>
        </w:rPr>
        <w:t xml:space="preserve">to </w:t>
      </w:r>
      <w:r w:rsidR="003C484F">
        <w:rPr>
          <w:rFonts w:eastAsia="Calibri"/>
          <w:szCs w:val="24"/>
        </w:rPr>
        <w:t>suggest</w:t>
      </w:r>
      <w:r w:rsidRPr="0055786A" w:rsidR="003C484F">
        <w:rPr>
          <w:rFonts w:eastAsia="Calibri"/>
          <w:szCs w:val="24"/>
        </w:rPr>
        <w:t xml:space="preserve"> </w:t>
      </w:r>
      <w:r w:rsidRPr="0055786A">
        <w:rPr>
          <w:rFonts w:eastAsia="Calibri"/>
          <w:szCs w:val="24"/>
        </w:rPr>
        <w:t xml:space="preserve">possible matches </w:t>
      </w:r>
      <w:r>
        <w:rPr>
          <w:rFonts w:eastAsia="Calibri"/>
        </w:rPr>
        <w:t>that they can select to record the complete address of locations.</w:t>
      </w:r>
      <w:r w:rsidRPr="0033037A" w:rsidR="0033037A">
        <w:t xml:space="preserve"> </w:t>
      </w:r>
    </w:p>
    <w:p w:rsidRPr="00DD70EE" w:rsidR="001D6A5B" w:rsidP="00DD70EE" w:rsidRDefault="00F06143" w14:paraId="19008021" w14:textId="72EAD459">
      <w:pPr>
        <w:pStyle w:val="Tabletitle0"/>
      </w:pPr>
      <w:bookmarkStart w:name="_Toc514068077" w:id="37"/>
      <w:bookmarkStart w:name="_Toc286158951" w:id="38"/>
      <w:bookmarkStart w:name="_Toc286160540" w:id="39"/>
      <w:bookmarkStart w:name="_Toc290021763" w:id="40"/>
      <w:bookmarkStart w:name="_Toc329341676" w:id="41"/>
      <w:bookmarkStart w:name="_Toc400376125" w:id="42"/>
      <w:r w:rsidRPr="00DD70EE">
        <w:t xml:space="preserve">Table </w:t>
      </w:r>
      <w:r w:rsidRPr="00DD70EE" w:rsidR="00B061A0">
        <w:t>A.1</w:t>
      </w:r>
      <w:r w:rsidRPr="00DD70EE">
        <w:t xml:space="preserve">. </w:t>
      </w:r>
      <w:r w:rsidRPr="00DD70EE">
        <w:tab/>
        <w:t>Leveraging the Full Functionalities of Computerization</w:t>
      </w:r>
      <w:bookmarkEnd w:id="37"/>
    </w:p>
    <w:tbl>
      <w:tblPr>
        <w:tblStyle w:val="TableWestatStandardFormat"/>
        <w:tblW w:w="9360" w:type="dxa"/>
        <w:tblLook w:val="04A0" w:firstRow="1" w:lastRow="0" w:firstColumn="1" w:lastColumn="0" w:noHBand="0" w:noVBand="1"/>
      </w:tblPr>
      <w:tblGrid>
        <w:gridCol w:w="1392"/>
        <w:gridCol w:w="1886"/>
        <w:gridCol w:w="6082"/>
      </w:tblGrid>
      <w:tr w:rsidRPr="00E324EB" w:rsidR="00E324EB" w:rsidTr="00A611F5" w14:paraId="1635EBC2" w14:textId="77777777">
        <w:trPr>
          <w:cnfStyle w:val="100000000000" w:firstRow="1" w:lastRow="0" w:firstColumn="0" w:lastColumn="0" w:oddVBand="0" w:evenVBand="0" w:oddHBand="0" w:evenHBand="0" w:firstRowFirstColumn="0" w:firstRowLastColumn="0" w:lastRowFirstColumn="0" w:lastRowLastColumn="0"/>
          <w:tblHeader/>
        </w:trPr>
        <w:tc>
          <w:tcPr>
            <w:tcW w:w="1392" w:type="dxa"/>
          </w:tcPr>
          <w:p w:rsidRPr="00E324EB" w:rsidR="00F06143" w:rsidP="00E324EB" w:rsidRDefault="00F06143" w14:paraId="43403BF1" w14:textId="77777777">
            <w:pPr>
              <w:pStyle w:val="TH-TableHeading"/>
              <w:rPr>
                <w:rFonts w:eastAsiaTheme="minorEastAsia"/>
                <w:lang w:val="en" w:eastAsia="ko-KR"/>
              </w:rPr>
            </w:pPr>
            <w:r w:rsidRPr="00E324EB">
              <w:rPr>
                <w:rFonts w:eastAsiaTheme="minorEastAsia"/>
                <w:lang w:val="en" w:eastAsia="ko-KR"/>
              </w:rPr>
              <w:t>Instrument</w:t>
            </w:r>
          </w:p>
        </w:tc>
        <w:tc>
          <w:tcPr>
            <w:tcW w:w="1886" w:type="dxa"/>
          </w:tcPr>
          <w:p w:rsidRPr="00E324EB" w:rsidR="00F06143" w:rsidP="00E324EB" w:rsidRDefault="00F06143" w14:paraId="1248711C" w14:textId="77777777">
            <w:pPr>
              <w:pStyle w:val="TH-TableHeading"/>
              <w:rPr>
                <w:rFonts w:eastAsiaTheme="minorEastAsia"/>
                <w:lang w:val="en" w:eastAsia="ko-KR"/>
              </w:rPr>
            </w:pPr>
            <w:r w:rsidRPr="00E324EB">
              <w:rPr>
                <w:rFonts w:eastAsiaTheme="minorEastAsia"/>
                <w:lang w:val="en" w:eastAsia="ko-KR"/>
              </w:rPr>
              <w:t>Data Elements</w:t>
            </w:r>
          </w:p>
        </w:tc>
        <w:tc>
          <w:tcPr>
            <w:tcW w:w="6082" w:type="dxa"/>
          </w:tcPr>
          <w:p w:rsidRPr="00E324EB" w:rsidR="00F06143" w:rsidP="00E324EB" w:rsidRDefault="00F06143" w14:paraId="0027E983" w14:textId="77777777">
            <w:pPr>
              <w:pStyle w:val="TH-TableHeading"/>
              <w:rPr>
                <w:rFonts w:eastAsiaTheme="minorEastAsia"/>
                <w:lang w:val="en" w:eastAsia="ko-KR"/>
              </w:rPr>
            </w:pPr>
            <w:r w:rsidRPr="00E324EB">
              <w:rPr>
                <w:rFonts w:eastAsiaTheme="minorEastAsia"/>
                <w:lang w:val="en" w:eastAsia="ko-KR"/>
              </w:rPr>
              <w:t>How computerization helps</w:t>
            </w:r>
          </w:p>
        </w:tc>
      </w:tr>
      <w:tr w:rsidRPr="00E324EB" w:rsidR="00E324EB" w:rsidTr="00A611F5" w14:paraId="5197BEA4" w14:textId="77777777">
        <w:tc>
          <w:tcPr>
            <w:tcW w:w="1392" w:type="dxa"/>
            <w:tcBorders>
              <w:top w:val="single" w:color="auto" w:sz="4" w:space="0"/>
              <w:bottom w:val="single" w:color="auto" w:sz="4" w:space="0"/>
            </w:tcBorders>
          </w:tcPr>
          <w:p w:rsidRPr="00E324EB" w:rsidR="00F06143" w:rsidP="00E324EB" w:rsidRDefault="00F06143" w14:paraId="64D2BE6C" w14:textId="0BD5898F">
            <w:pPr>
              <w:pStyle w:val="TX-TableText"/>
              <w:rPr>
                <w:rFonts w:eastAsiaTheme="minorEastAsia"/>
                <w:lang w:val="en" w:eastAsia="ko-KR"/>
              </w:rPr>
            </w:pPr>
            <w:r w:rsidRPr="00E324EB">
              <w:rPr>
                <w:rFonts w:eastAsiaTheme="minorEastAsia"/>
                <w:lang w:val="en" w:eastAsia="ko-KR"/>
              </w:rPr>
              <w:t>Screener</w:t>
            </w:r>
            <w:r w:rsidR="00545D77">
              <w:rPr>
                <w:rFonts w:eastAsiaTheme="minorEastAsia"/>
                <w:lang w:val="en" w:eastAsia="ko-KR"/>
              </w:rPr>
              <w:t>s</w:t>
            </w:r>
          </w:p>
        </w:tc>
        <w:tc>
          <w:tcPr>
            <w:tcW w:w="1886" w:type="dxa"/>
            <w:tcBorders>
              <w:top w:val="single" w:color="auto" w:sz="4" w:space="0"/>
              <w:bottom w:val="single" w:color="auto" w:sz="4" w:space="0"/>
            </w:tcBorders>
          </w:tcPr>
          <w:p w:rsidRPr="00E324EB" w:rsidR="00F06143" w:rsidP="00E324EB" w:rsidRDefault="00F06143" w14:paraId="03E0269B" w14:textId="77777777">
            <w:pPr>
              <w:pStyle w:val="TX-TableText"/>
              <w:rPr>
                <w:rFonts w:eastAsiaTheme="minorEastAsia"/>
                <w:lang w:val="en" w:eastAsia="ko-KR"/>
              </w:rPr>
            </w:pPr>
            <w:r w:rsidRPr="00E324EB">
              <w:rPr>
                <w:rFonts w:eastAsiaTheme="minorEastAsia"/>
                <w:lang w:val="en" w:eastAsia="ko-KR"/>
              </w:rPr>
              <w:t>Case ID</w:t>
            </w:r>
          </w:p>
        </w:tc>
        <w:tc>
          <w:tcPr>
            <w:tcW w:w="6082" w:type="dxa"/>
            <w:tcBorders>
              <w:top w:val="single" w:color="auto" w:sz="4" w:space="0"/>
              <w:bottom w:val="single" w:color="auto" w:sz="4" w:space="0"/>
            </w:tcBorders>
          </w:tcPr>
          <w:p w:rsidRPr="00E324EB" w:rsidR="00F06143" w:rsidP="00DB7F04" w:rsidRDefault="00F06143" w14:paraId="4935B4F7" w14:textId="77777777">
            <w:pPr>
              <w:pStyle w:val="TX-TableText"/>
              <w:numPr>
                <w:ilvl w:val="0"/>
                <w:numId w:val="16"/>
              </w:numPr>
              <w:rPr>
                <w:rFonts w:eastAsiaTheme="minorEastAsia"/>
                <w:lang w:val="en" w:eastAsia="ko-KR"/>
              </w:rPr>
            </w:pPr>
            <w:r w:rsidRPr="00E324EB">
              <w:rPr>
                <w:rFonts w:eastAsiaTheme="minorEastAsia"/>
                <w:lang w:val="en" w:eastAsia="ko-KR"/>
              </w:rPr>
              <w:t>Case IDs are passed to the instrument, eliminating errors from interviewers’ manual entry</w:t>
            </w:r>
          </w:p>
          <w:p w:rsidRPr="00E324EB" w:rsidR="00F06143" w:rsidP="00DB7F04" w:rsidRDefault="00F06143" w14:paraId="2C6C4B76" w14:textId="59B8E84B">
            <w:pPr>
              <w:pStyle w:val="TX-TableText"/>
              <w:numPr>
                <w:ilvl w:val="0"/>
                <w:numId w:val="16"/>
              </w:numPr>
              <w:rPr>
                <w:rFonts w:eastAsiaTheme="minorEastAsia"/>
                <w:lang w:val="en" w:eastAsia="ko-KR"/>
              </w:rPr>
            </w:pPr>
            <w:r w:rsidRPr="00E324EB">
              <w:rPr>
                <w:rFonts w:eastAsiaTheme="minorEastAsia"/>
                <w:lang w:val="en" w:eastAsia="ko-KR"/>
              </w:rPr>
              <w:t>Determine household eligibility in real-time using income</w:t>
            </w:r>
            <w:r w:rsidR="005C1542">
              <w:rPr>
                <w:rFonts w:eastAsiaTheme="minorEastAsia"/>
                <w:lang w:val="en" w:eastAsia="ko-KR"/>
              </w:rPr>
              <w:t xml:space="preserve"> and program participation</w:t>
            </w:r>
          </w:p>
        </w:tc>
      </w:tr>
      <w:tr w:rsidRPr="00E324EB" w:rsidR="00E324EB" w:rsidTr="00A611F5" w14:paraId="75B260D1" w14:textId="77777777">
        <w:tc>
          <w:tcPr>
            <w:tcW w:w="1392" w:type="dxa"/>
            <w:tcBorders>
              <w:top w:val="single" w:color="auto" w:sz="4" w:space="0"/>
              <w:bottom w:val="single" w:color="auto" w:sz="4" w:space="0"/>
            </w:tcBorders>
          </w:tcPr>
          <w:p w:rsidRPr="00E324EB" w:rsidR="00F06143" w:rsidP="00E324EB" w:rsidRDefault="00F06143" w14:paraId="45796C13" w14:textId="77777777">
            <w:pPr>
              <w:pStyle w:val="TX-TableText"/>
              <w:rPr>
                <w:rFonts w:eastAsiaTheme="minorEastAsia"/>
                <w:lang w:val="en" w:eastAsia="ko-KR"/>
              </w:rPr>
            </w:pPr>
            <w:r w:rsidRPr="00E324EB">
              <w:rPr>
                <w:rFonts w:eastAsiaTheme="minorEastAsia"/>
                <w:lang w:val="en" w:eastAsia="ko-KR"/>
              </w:rPr>
              <w:t>Income</w:t>
            </w:r>
          </w:p>
        </w:tc>
        <w:tc>
          <w:tcPr>
            <w:tcW w:w="1886" w:type="dxa"/>
            <w:tcBorders>
              <w:top w:val="single" w:color="auto" w:sz="4" w:space="0"/>
              <w:bottom w:val="single" w:color="auto" w:sz="4" w:space="0"/>
            </w:tcBorders>
          </w:tcPr>
          <w:p w:rsidRPr="00E324EB" w:rsidR="00F06143" w:rsidP="00E324EB" w:rsidRDefault="00F06143" w14:paraId="5E33EE37" w14:textId="77777777">
            <w:pPr>
              <w:pStyle w:val="TX-TableText"/>
              <w:rPr>
                <w:rFonts w:eastAsiaTheme="minorEastAsia"/>
                <w:lang w:val="en" w:eastAsia="ko-KR"/>
              </w:rPr>
            </w:pPr>
            <w:r w:rsidRPr="00E324EB">
              <w:rPr>
                <w:rFonts w:eastAsiaTheme="minorEastAsia"/>
                <w:lang w:val="en" w:eastAsia="ko-KR"/>
              </w:rPr>
              <w:t>Household size, household income</w:t>
            </w:r>
          </w:p>
        </w:tc>
        <w:tc>
          <w:tcPr>
            <w:tcW w:w="6082" w:type="dxa"/>
            <w:tcBorders>
              <w:top w:val="single" w:color="auto" w:sz="4" w:space="0"/>
              <w:bottom w:val="single" w:color="auto" w:sz="4" w:space="0"/>
            </w:tcBorders>
          </w:tcPr>
          <w:p w:rsidR="00545D77" w:rsidP="00DB7F04" w:rsidRDefault="00F06143" w14:paraId="066A2733" w14:textId="77777777">
            <w:pPr>
              <w:pStyle w:val="TX-TableText"/>
              <w:numPr>
                <w:ilvl w:val="0"/>
                <w:numId w:val="17"/>
              </w:numPr>
              <w:rPr>
                <w:rFonts w:eastAsiaTheme="minorEastAsia"/>
                <w:lang w:val="en" w:eastAsia="ko-KR"/>
              </w:rPr>
            </w:pPr>
            <w:r w:rsidRPr="00E324EB">
              <w:rPr>
                <w:rFonts w:eastAsiaTheme="minorEastAsia"/>
                <w:lang w:val="en" w:eastAsia="ko-KR"/>
              </w:rPr>
              <w:t>Household size information used to populate customized income brackets</w:t>
            </w:r>
            <w:r w:rsidR="005C1542">
              <w:rPr>
                <w:rFonts w:eastAsiaTheme="minorEastAsia"/>
                <w:lang w:val="en" w:eastAsia="ko-KR"/>
              </w:rPr>
              <w:t xml:space="preserve"> for determining poverty level</w:t>
            </w:r>
            <w:r w:rsidR="00B33852">
              <w:rPr>
                <w:rFonts w:eastAsiaTheme="minorEastAsia"/>
                <w:lang w:val="en" w:eastAsia="ko-KR"/>
              </w:rPr>
              <w:t xml:space="preserve"> in in-person screening instrument</w:t>
            </w:r>
          </w:p>
          <w:p w:rsidRPr="00E324EB" w:rsidR="00F06143" w:rsidP="00DB7F04" w:rsidRDefault="00545D77" w14:paraId="0946A19B" w14:textId="0E611DA9">
            <w:pPr>
              <w:pStyle w:val="TX-TableText"/>
              <w:numPr>
                <w:ilvl w:val="0"/>
                <w:numId w:val="17"/>
              </w:numPr>
              <w:rPr>
                <w:rFonts w:eastAsiaTheme="minorEastAsia"/>
                <w:lang w:val="en" w:eastAsia="ko-KR"/>
              </w:rPr>
            </w:pPr>
            <w:r>
              <w:rPr>
                <w:rFonts w:eastAsiaTheme="minorEastAsia"/>
                <w:lang w:val="en" w:eastAsia="ko-KR"/>
              </w:rPr>
              <w:t>B</w:t>
            </w:r>
            <w:r w:rsidRPr="00E324EB" w:rsidR="00F06143">
              <w:rPr>
                <w:rFonts w:eastAsiaTheme="minorEastAsia"/>
                <w:lang w:val="en" w:eastAsia="ko-KR"/>
              </w:rPr>
              <w:t>oth pieces of information can be passed to other instruments (e.g., Initial Interview, Food Log)</w:t>
            </w:r>
          </w:p>
        </w:tc>
      </w:tr>
      <w:tr w:rsidRPr="00E324EB" w:rsidR="00E324EB" w:rsidTr="00A611F5" w14:paraId="124AE19D" w14:textId="77777777">
        <w:tc>
          <w:tcPr>
            <w:tcW w:w="1392" w:type="dxa"/>
            <w:tcBorders>
              <w:top w:val="single" w:color="auto" w:sz="4" w:space="0"/>
              <w:bottom w:val="single" w:color="auto" w:sz="4" w:space="0"/>
            </w:tcBorders>
          </w:tcPr>
          <w:p w:rsidRPr="00E324EB" w:rsidR="00F06143" w:rsidP="00E324EB" w:rsidRDefault="00F06143" w14:paraId="573923E4" w14:textId="77777777">
            <w:pPr>
              <w:pStyle w:val="TX-TableText"/>
              <w:rPr>
                <w:rFonts w:eastAsiaTheme="minorEastAsia"/>
                <w:lang w:val="en" w:eastAsia="ko-KR"/>
              </w:rPr>
            </w:pPr>
            <w:r w:rsidRPr="00E324EB">
              <w:rPr>
                <w:rFonts w:eastAsiaTheme="minorEastAsia"/>
                <w:lang w:val="en" w:eastAsia="ko-KR"/>
              </w:rPr>
              <w:t>Initial Interview</w:t>
            </w:r>
          </w:p>
        </w:tc>
        <w:tc>
          <w:tcPr>
            <w:tcW w:w="1886" w:type="dxa"/>
            <w:tcBorders>
              <w:top w:val="single" w:color="auto" w:sz="4" w:space="0"/>
              <w:bottom w:val="single" w:color="auto" w:sz="4" w:space="0"/>
            </w:tcBorders>
          </w:tcPr>
          <w:p w:rsidRPr="00E324EB" w:rsidR="00F06143" w:rsidP="00E324EB" w:rsidRDefault="00F06143" w14:paraId="4622C64F" w14:textId="77777777">
            <w:pPr>
              <w:pStyle w:val="TX-TableText"/>
              <w:rPr>
                <w:rFonts w:eastAsiaTheme="minorEastAsia"/>
                <w:lang w:val="en" w:eastAsia="ko-KR"/>
              </w:rPr>
            </w:pPr>
            <w:r w:rsidRPr="00E324EB">
              <w:rPr>
                <w:rFonts w:eastAsiaTheme="minorEastAsia"/>
                <w:lang w:val="en" w:eastAsia="ko-KR"/>
              </w:rPr>
              <w:t xml:space="preserve">Usually frequented food store name + location </w:t>
            </w:r>
          </w:p>
        </w:tc>
        <w:tc>
          <w:tcPr>
            <w:tcW w:w="6082" w:type="dxa"/>
            <w:tcBorders>
              <w:top w:val="single" w:color="auto" w:sz="4" w:space="0"/>
              <w:bottom w:val="single" w:color="auto" w:sz="4" w:space="0"/>
            </w:tcBorders>
          </w:tcPr>
          <w:p w:rsidR="00545D77" w:rsidP="00DB7F04" w:rsidRDefault="00F06143" w14:paraId="64DCF5FB" w14:textId="151FF3E5">
            <w:pPr>
              <w:pStyle w:val="TX-TableText"/>
              <w:numPr>
                <w:ilvl w:val="0"/>
                <w:numId w:val="17"/>
              </w:numPr>
              <w:rPr>
                <w:rFonts w:eastAsiaTheme="minorEastAsia"/>
                <w:lang w:val="en" w:eastAsia="ko-KR"/>
              </w:rPr>
            </w:pPr>
            <w:r w:rsidRPr="00E324EB">
              <w:rPr>
                <w:rFonts w:eastAsiaTheme="minorEastAsia"/>
                <w:lang w:val="en" w:eastAsia="ko-KR"/>
              </w:rPr>
              <w:t xml:space="preserve">Google </w:t>
            </w:r>
            <w:r w:rsidR="003C484F">
              <w:rPr>
                <w:rFonts w:eastAsiaTheme="minorEastAsia"/>
                <w:lang w:val="en" w:eastAsia="ko-KR"/>
              </w:rPr>
              <w:t>M</w:t>
            </w:r>
            <w:r w:rsidRPr="00E324EB" w:rsidR="003C484F">
              <w:rPr>
                <w:rFonts w:eastAsiaTheme="minorEastAsia"/>
                <w:lang w:val="en" w:eastAsia="ko-KR"/>
              </w:rPr>
              <w:t xml:space="preserve">aps </w:t>
            </w:r>
            <w:r w:rsidRPr="00E324EB">
              <w:rPr>
                <w:rFonts w:eastAsiaTheme="minorEastAsia"/>
                <w:lang w:val="en" w:eastAsia="ko-KR"/>
              </w:rPr>
              <w:t>to offer autofills on names and addresses</w:t>
            </w:r>
          </w:p>
          <w:p w:rsidRPr="00E324EB" w:rsidR="00F06143" w:rsidP="00DB7F04" w:rsidRDefault="00B33852" w14:paraId="3F1E8E6E" w14:textId="701327FF">
            <w:pPr>
              <w:pStyle w:val="TX-TableText"/>
              <w:numPr>
                <w:ilvl w:val="0"/>
                <w:numId w:val="17"/>
              </w:numPr>
              <w:rPr>
                <w:rFonts w:eastAsiaTheme="minorEastAsia"/>
                <w:lang w:val="en" w:eastAsia="ko-KR"/>
              </w:rPr>
            </w:pPr>
            <w:r>
              <w:rPr>
                <w:rFonts w:eastAsiaTheme="minorEastAsia"/>
                <w:lang w:val="en" w:eastAsia="ko-KR"/>
              </w:rPr>
              <w:t>Store names and addresses are passed to the Foo</w:t>
            </w:r>
            <w:r w:rsidR="00B5350F">
              <w:rPr>
                <w:rFonts w:eastAsiaTheme="minorEastAsia"/>
                <w:lang w:val="en" w:eastAsia="ko-KR"/>
              </w:rPr>
              <w:t>d</w:t>
            </w:r>
            <w:r>
              <w:rPr>
                <w:rFonts w:eastAsiaTheme="minorEastAsia"/>
                <w:lang w:val="en" w:eastAsia="ko-KR"/>
              </w:rPr>
              <w:t xml:space="preserve"> Log</w:t>
            </w:r>
          </w:p>
        </w:tc>
      </w:tr>
      <w:tr w:rsidRPr="00185B49" w:rsidR="00F6703C" w:rsidTr="00A611F5" w14:paraId="6898EF58" w14:textId="77777777">
        <w:tc>
          <w:tcPr>
            <w:tcW w:w="1392" w:type="dxa"/>
          </w:tcPr>
          <w:p w:rsidRPr="00E324EB" w:rsidR="00F6703C" w:rsidP="00306DF8" w:rsidRDefault="00F6703C" w14:paraId="4CFBDBFC" w14:textId="41F4F020">
            <w:pPr>
              <w:pStyle w:val="TX-TableText"/>
              <w:rPr>
                <w:rFonts w:eastAsiaTheme="minorEastAsia"/>
                <w:lang w:val="en" w:eastAsia="ko-KR"/>
              </w:rPr>
            </w:pPr>
            <w:r w:rsidRPr="00E324EB">
              <w:rPr>
                <w:rFonts w:eastAsiaTheme="minorEastAsia"/>
                <w:lang w:val="en" w:eastAsia="ko-KR"/>
              </w:rPr>
              <w:t xml:space="preserve">Profile </w:t>
            </w:r>
            <w:r w:rsidR="009E2224">
              <w:rPr>
                <w:rFonts w:eastAsiaTheme="minorEastAsia"/>
                <w:lang w:val="en" w:eastAsia="ko-KR"/>
              </w:rPr>
              <w:t>q</w:t>
            </w:r>
            <w:r w:rsidR="00DC4564">
              <w:rPr>
                <w:rFonts w:eastAsiaTheme="minorEastAsia"/>
                <w:lang w:val="en" w:eastAsia="ko-KR"/>
              </w:rPr>
              <w:t>uestionnaire</w:t>
            </w:r>
          </w:p>
          <w:p w:rsidRPr="00E324EB" w:rsidR="00F6703C" w:rsidP="00306DF8" w:rsidRDefault="00F6703C" w14:paraId="753337EC" w14:textId="77777777">
            <w:pPr>
              <w:pStyle w:val="TX-TableText"/>
              <w:rPr>
                <w:rFonts w:eastAsiaTheme="minorEastAsia"/>
                <w:lang w:val="en" w:eastAsia="ko-KR"/>
              </w:rPr>
            </w:pPr>
          </w:p>
        </w:tc>
        <w:tc>
          <w:tcPr>
            <w:tcW w:w="1886" w:type="dxa"/>
          </w:tcPr>
          <w:p w:rsidRPr="00185B49" w:rsidR="00F6703C" w:rsidP="00306DF8" w:rsidRDefault="00F6703C" w14:paraId="48F54FB8" w14:textId="77777777">
            <w:pPr>
              <w:pStyle w:val="TX-TableText"/>
              <w:rPr>
                <w:rFonts w:eastAsiaTheme="minorEastAsia"/>
                <w:lang w:val="en" w:eastAsia="ko-KR"/>
              </w:rPr>
            </w:pPr>
            <w:r w:rsidRPr="00185B49">
              <w:rPr>
                <w:rFonts w:eastAsiaTheme="minorEastAsia"/>
                <w:lang w:val="en" w:eastAsia="ko-KR"/>
              </w:rPr>
              <w:t>Height, weight, BMI</w:t>
            </w:r>
          </w:p>
        </w:tc>
        <w:tc>
          <w:tcPr>
            <w:tcW w:w="6082" w:type="dxa"/>
          </w:tcPr>
          <w:p w:rsidR="00545D77" w:rsidP="00DB7F04" w:rsidRDefault="00F6703C" w14:paraId="1B03DE1B" w14:textId="77777777">
            <w:pPr>
              <w:pStyle w:val="TX-TableText"/>
              <w:numPr>
                <w:ilvl w:val="0"/>
                <w:numId w:val="18"/>
              </w:numPr>
              <w:rPr>
                <w:rFonts w:eastAsiaTheme="minorEastAsia"/>
                <w:lang w:val="en" w:eastAsia="ko-KR"/>
              </w:rPr>
            </w:pPr>
            <w:r w:rsidRPr="00185B49">
              <w:rPr>
                <w:rFonts w:eastAsiaTheme="minorEastAsia"/>
                <w:lang w:val="en" w:eastAsia="ko-KR"/>
              </w:rPr>
              <w:t>BMI automatically calculated based on reported height and weight</w:t>
            </w:r>
          </w:p>
          <w:p w:rsidRPr="00185B49" w:rsidR="00545D77" w:rsidP="00DB7F04" w:rsidRDefault="00545D77" w14:paraId="1076DC3F" w14:textId="57B0B3F7">
            <w:pPr>
              <w:pStyle w:val="TX-TableText"/>
              <w:numPr>
                <w:ilvl w:val="0"/>
                <w:numId w:val="18"/>
              </w:numPr>
              <w:rPr>
                <w:rFonts w:eastAsiaTheme="minorEastAsia"/>
                <w:lang w:val="en" w:eastAsia="ko-KR"/>
              </w:rPr>
            </w:pPr>
            <w:r>
              <w:rPr>
                <w:rFonts w:eastAsiaTheme="minorEastAsia"/>
                <w:lang w:val="en" w:eastAsia="ko-KR"/>
              </w:rPr>
              <w:t>S</w:t>
            </w:r>
            <w:r w:rsidRPr="00185B49" w:rsidR="00F6703C">
              <w:rPr>
                <w:rFonts w:eastAsiaTheme="minorEastAsia"/>
                <w:lang w:val="en" w:eastAsia="ko-KR"/>
              </w:rPr>
              <w:t>oft edit checks on the calculated BMIs verify outlying BMIs</w:t>
            </w:r>
          </w:p>
          <w:p w:rsidRPr="008320A9" w:rsidR="00F6703C" w:rsidP="00DB7F04" w:rsidRDefault="00F6703C" w14:paraId="505BB0C2" w14:textId="77777777">
            <w:pPr>
              <w:pStyle w:val="TX-TableText"/>
              <w:numPr>
                <w:ilvl w:val="0"/>
                <w:numId w:val="18"/>
              </w:numPr>
              <w:rPr>
                <w:rFonts w:eastAsiaTheme="minorEastAsia"/>
                <w:lang w:val="en" w:eastAsia="ko-KR"/>
              </w:rPr>
            </w:pPr>
            <w:r w:rsidRPr="008320A9">
              <w:rPr>
                <w:rFonts w:eastAsiaTheme="minorEastAsia"/>
                <w:lang w:val="en" w:eastAsia="ko-KR"/>
              </w:rPr>
              <w:t>When respondent refuses to report weight, provide ranges of weight based on reported height that correspond to underweight, normal, overweight, and obese</w:t>
            </w:r>
          </w:p>
        </w:tc>
      </w:tr>
      <w:tr w:rsidRPr="00E324EB" w:rsidR="00E324EB" w:rsidTr="00A611F5" w14:paraId="63FA738D" w14:textId="77777777">
        <w:tc>
          <w:tcPr>
            <w:tcW w:w="1392" w:type="dxa"/>
            <w:tcBorders>
              <w:top w:val="single" w:color="auto" w:sz="4" w:space="0"/>
              <w:bottom w:val="single" w:color="auto" w:sz="4" w:space="0"/>
            </w:tcBorders>
          </w:tcPr>
          <w:p w:rsidRPr="00E324EB" w:rsidR="00F06143" w:rsidP="00E324EB" w:rsidRDefault="00F06143" w14:paraId="4E230040" w14:textId="77777777">
            <w:pPr>
              <w:pStyle w:val="TX-TableText"/>
              <w:rPr>
                <w:rFonts w:eastAsiaTheme="minorEastAsia"/>
                <w:lang w:val="en" w:eastAsia="ko-KR"/>
              </w:rPr>
            </w:pPr>
            <w:r w:rsidRPr="00E324EB">
              <w:rPr>
                <w:rFonts w:eastAsiaTheme="minorEastAsia"/>
                <w:lang w:val="en" w:eastAsia="ko-KR"/>
              </w:rPr>
              <w:t>Food Log</w:t>
            </w:r>
          </w:p>
        </w:tc>
        <w:tc>
          <w:tcPr>
            <w:tcW w:w="1886" w:type="dxa"/>
            <w:tcBorders>
              <w:top w:val="single" w:color="auto" w:sz="4" w:space="0"/>
              <w:bottom w:val="single" w:color="auto" w:sz="4" w:space="0"/>
            </w:tcBorders>
          </w:tcPr>
          <w:p w:rsidRPr="00E324EB" w:rsidR="00F06143" w:rsidP="00E324EB" w:rsidRDefault="00F06143" w14:paraId="2FCD65B4" w14:textId="77777777">
            <w:pPr>
              <w:pStyle w:val="TX-TableText"/>
              <w:rPr>
                <w:rFonts w:eastAsiaTheme="minorEastAsia"/>
                <w:lang w:val="en" w:eastAsia="ko-KR"/>
              </w:rPr>
            </w:pPr>
            <w:r w:rsidRPr="00E324EB">
              <w:rPr>
                <w:rFonts w:eastAsiaTheme="minorEastAsia"/>
                <w:lang w:val="en" w:eastAsia="ko-KR"/>
              </w:rPr>
              <w:t xml:space="preserve">Store name + location </w:t>
            </w:r>
          </w:p>
        </w:tc>
        <w:tc>
          <w:tcPr>
            <w:tcW w:w="6082" w:type="dxa"/>
            <w:tcBorders>
              <w:top w:val="single" w:color="auto" w:sz="4" w:space="0"/>
              <w:bottom w:val="single" w:color="auto" w:sz="4" w:space="0"/>
            </w:tcBorders>
          </w:tcPr>
          <w:p w:rsidRPr="00E324EB" w:rsidR="00F06143" w:rsidP="00DB7F04" w:rsidRDefault="003C484F" w14:paraId="75C364AF" w14:textId="62B3E2FD">
            <w:pPr>
              <w:pStyle w:val="TX-TableText"/>
              <w:numPr>
                <w:ilvl w:val="0"/>
                <w:numId w:val="19"/>
              </w:numPr>
              <w:rPr>
                <w:rFonts w:eastAsiaTheme="minorEastAsia"/>
                <w:lang w:val="en" w:eastAsia="ko-KR"/>
              </w:rPr>
            </w:pPr>
            <w:r>
              <w:rPr>
                <w:rFonts w:eastAsiaTheme="minorEastAsia"/>
                <w:lang w:val="en" w:eastAsia="ko-KR"/>
              </w:rPr>
              <w:t xml:space="preserve">Auto-detected stop locations are used in conjunction with data from </w:t>
            </w:r>
            <w:r w:rsidRPr="00E324EB" w:rsidR="00F06143">
              <w:rPr>
                <w:rFonts w:eastAsiaTheme="minorEastAsia"/>
                <w:lang w:val="en" w:eastAsia="ko-KR"/>
              </w:rPr>
              <w:t xml:space="preserve">Google </w:t>
            </w:r>
            <w:r>
              <w:rPr>
                <w:rFonts w:eastAsiaTheme="minorEastAsia"/>
                <w:lang w:val="en" w:eastAsia="ko-KR"/>
              </w:rPr>
              <w:t xml:space="preserve">Place and Nutritionix APIs to </w:t>
            </w:r>
            <w:r w:rsidRPr="00E324EB" w:rsidR="00F06143">
              <w:rPr>
                <w:rFonts w:eastAsiaTheme="minorEastAsia"/>
                <w:lang w:val="en" w:eastAsia="ko-KR"/>
              </w:rPr>
              <w:t>offer autofills on names + addresses</w:t>
            </w:r>
          </w:p>
        </w:tc>
      </w:tr>
      <w:tr w:rsidRPr="00E324EB" w:rsidR="00E324EB" w:rsidTr="00A611F5" w14:paraId="46B2FC38" w14:textId="77777777">
        <w:tc>
          <w:tcPr>
            <w:tcW w:w="1392" w:type="dxa"/>
            <w:tcBorders>
              <w:top w:val="single" w:color="auto" w:sz="4" w:space="0"/>
              <w:bottom w:val="single" w:color="auto" w:sz="4" w:space="0"/>
            </w:tcBorders>
          </w:tcPr>
          <w:p w:rsidRPr="00E324EB" w:rsidR="00F06143" w:rsidP="00E324EB" w:rsidRDefault="00F06143" w14:paraId="1A2FCA4E" w14:textId="77777777">
            <w:pPr>
              <w:pStyle w:val="TX-TableText"/>
              <w:rPr>
                <w:rFonts w:eastAsiaTheme="minorEastAsia"/>
                <w:lang w:val="en" w:eastAsia="ko-KR"/>
              </w:rPr>
            </w:pPr>
            <w:r w:rsidRPr="00E324EB">
              <w:rPr>
                <w:rFonts w:eastAsiaTheme="minorEastAsia"/>
                <w:lang w:val="en" w:eastAsia="ko-KR"/>
              </w:rPr>
              <w:t>Food Log</w:t>
            </w:r>
          </w:p>
        </w:tc>
        <w:tc>
          <w:tcPr>
            <w:tcW w:w="1886" w:type="dxa"/>
            <w:tcBorders>
              <w:top w:val="single" w:color="auto" w:sz="4" w:space="0"/>
              <w:bottom w:val="single" w:color="auto" w:sz="4" w:space="0"/>
            </w:tcBorders>
          </w:tcPr>
          <w:p w:rsidRPr="00E324EB" w:rsidR="00F06143" w:rsidP="00E324EB" w:rsidRDefault="00F06143" w14:paraId="3670E342" w14:textId="77777777">
            <w:pPr>
              <w:pStyle w:val="TX-TableText"/>
              <w:rPr>
                <w:rFonts w:eastAsiaTheme="minorEastAsia"/>
                <w:lang w:val="en" w:eastAsia="ko-KR"/>
              </w:rPr>
            </w:pPr>
            <w:r w:rsidRPr="00E324EB">
              <w:rPr>
                <w:rFonts w:eastAsiaTheme="minorEastAsia"/>
                <w:lang w:val="en" w:eastAsia="ko-KR"/>
              </w:rPr>
              <w:t>Barcode scanning</w:t>
            </w:r>
          </w:p>
        </w:tc>
        <w:tc>
          <w:tcPr>
            <w:tcW w:w="6082" w:type="dxa"/>
            <w:tcBorders>
              <w:top w:val="single" w:color="auto" w:sz="4" w:space="0"/>
              <w:bottom w:val="single" w:color="auto" w:sz="4" w:space="0"/>
            </w:tcBorders>
          </w:tcPr>
          <w:p w:rsidR="004C3EA7" w:rsidP="00DB7F04" w:rsidRDefault="00F06143" w14:paraId="52EACC68" w14:textId="2A17FC8C">
            <w:pPr>
              <w:pStyle w:val="TX-TableText"/>
              <w:numPr>
                <w:ilvl w:val="0"/>
                <w:numId w:val="19"/>
              </w:numPr>
              <w:rPr>
                <w:rFonts w:eastAsiaTheme="minorEastAsia"/>
                <w:lang w:val="en" w:eastAsia="ko-KR"/>
              </w:rPr>
            </w:pPr>
            <w:r w:rsidRPr="00E324EB">
              <w:rPr>
                <w:rFonts w:eastAsiaTheme="minorEastAsia"/>
                <w:lang w:val="en" w:eastAsia="ko-KR"/>
              </w:rPr>
              <w:t>When scanned barcodes match to an item</w:t>
            </w:r>
            <w:r w:rsidR="00545D77">
              <w:rPr>
                <w:rFonts w:eastAsiaTheme="minorEastAsia"/>
                <w:lang w:val="en" w:eastAsia="ko-KR"/>
              </w:rPr>
              <w:t xml:space="preserve"> in </w:t>
            </w:r>
            <w:r w:rsidR="004C3EA7">
              <w:rPr>
                <w:rFonts w:eastAsiaTheme="minorEastAsia"/>
                <w:lang w:val="en" w:eastAsia="ko-KR"/>
              </w:rPr>
              <w:t xml:space="preserve">one of the look-up databases, </w:t>
            </w:r>
            <w:r w:rsidRPr="00E324EB">
              <w:rPr>
                <w:rFonts w:eastAsiaTheme="minorEastAsia"/>
                <w:lang w:val="en" w:eastAsia="ko-KR"/>
              </w:rPr>
              <w:t xml:space="preserve">Food Log displays </w:t>
            </w:r>
            <w:r w:rsidR="004C3EA7">
              <w:rPr>
                <w:rFonts w:eastAsiaTheme="minorEastAsia"/>
                <w:lang w:val="en" w:eastAsia="ko-KR"/>
              </w:rPr>
              <w:t xml:space="preserve">item </w:t>
            </w:r>
            <w:r w:rsidRPr="00E324EB">
              <w:rPr>
                <w:rFonts w:eastAsiaTheme="minorEastAsia"/>
                <w:lang w:val="en" w:eastAsia="ko-KR"/>
              </w:rPr>
              <w:t>description</w:t>
            </w:r>
          </w:p>
          <w:p w:rsidRPr="00E324EB" w:rsidR="00F06143" w:rsidP="00DB7F04" w:rsidRDefault="00F06143" w14:paraId="23CB3B69" w14:textId="0B80452F">
            <w:pPr>
              <w:pStyle w:val="TX-TableText"/>
              <w:numPr>
                <w:ilvl w:val="0"/>
                <w:numId w:val="19"/>
              </w:numPr>
              <w:rPr>
                <w:rFonts w:eastAsiaTheme="minorEastAsia"/>
                <w:lang w:val="en" w:eastAsia="ko-KR"/>
              </w:rPr>
            </w:pPr>
            <w:r w:rsidRPr="00E324EB">
              <w:rPr>
                <w:rFonts w:eastAsiaTheme="minorEastAsia"/>
                <w:lang w:val="en" w:eastAsia="ko-KR"/>
              </w:rPr>
              <w:t>When barcodes do not match, Food Log asks respondent to provide item description through other means (e.g., Price Look-up Codes (PLUs), type-ahead, and free text entry)</w:t>
            </w:r>
          </w:p>
        </w:tc>
      </w:tr>
      <w:tr w:rsidRPr="00E324EB" w:rsidR="00E324EB" w:rsidTr="00A611F5" w14:paraId="09C0624B" w14:textId="77777777">
        <w:tc>
          <w:tcPr>
            <w:tcW w:w="1392" w:type="dxa"/>
            <w:tcBorders>
              <w:top w:val="single" w:color="auto" w:sz="4" w:space="0"/>
              <w:bottom w:val="single" w:color="auto" w:sz="4" w:space="0"/>
            </w:tcBorders>
          </w:tcPr>
          <w:p w:rsidRPr="00E324EB" w:rsidR="00F06143" w:rsidP="00E324EB" w:rsidRDefault="00F06143" w14:paraId="4D8C25DB" w14:textId="77777777">
            <w:pPr>
              <w:pStyle w:val="TX-TableText"/>
              <w:rPr>
                <w:rFonts w:eastAsiaTheme="minorEastAsia"/>
                <w:lang w:val="en" w:eastAsia="ko-KR"/>
              </w:rPr>
            </w:pPr>
            <w:r w:rsidRPr="00E324EB">
              <w:rPr>
                <w:rFonts w:eastAsiaTheme="minorEastAsia"/>
                <w:lang w:val="en" w:eastAsia="ko-KR"/>
              </w:rPr>
              <w:t>Food Log</w:t>
            </w:r>
          </w:p>
        </w:tc>
        <w:tc>
          <w:tcPr>
            <w:tcW w:w="1886" w:type="dxa"/>
            <w:tcBorders>
              <w:top w:val="single" w:color="auto" w:sz="4" w:space="0"/>
              <w:bottom w:val="single" w:color="auto" w:sz="4" w:space="0"/>
            </w:tcBorders>
          </w:tcPr>
          <w:p w:rsidRPr="00E324EB" w:rsidR="00F06143" w:rsidP="00E324EB" w:rsidRDefault="00F06143" w14:paraId="149520F9" w14:textId="77777777">
            <w:pPr>
              <w:pStyle w:val="TX-TableText"/>
              <w:rPr>
                <w:rFonts w:eastAsiaTheme="minorEastAsia"/>
                <w:lang w:val="en" w:eastAsia="ko-KR"/>
              </w:rPr>
            </w:pPr>
            <w:r w:rsidRPr="00E324EB">
              <w:rPr>
                <w:rFonts w:eastAsiaTheme="minorEastAsia"/>
                <w:lang w:val="en" w:eastAsia="ko-KR"/>
              </w:rPr>
              <w:t>Place type classification</w:t>
            </w:r>
          </w:p>
        </w:tc>
        <w:tc>
          <w:tcPr>
            <w:tcW w:w="6082" w:type="dxa"/>
            <w:tcBorders>
              <w:top w:val="single" w:color="auto" w:sz="4" w:space="0"/>
              <w:bottom w:val="single" w:color="auto" w:sz="4" w:space="0"/>
            </w:tcBorders>
          </w:tcPr>
          <w:p w:rsidR="004C3EA7" w:rsidP="00DB7F04" w:rsidRDefault="00F06143" w14:paraId="227C15CD" w14:textId="10FAAA4E">
            <w:pPr>
              <w:pStyle w:val="TX-TableText"/>
              <w:numPr>
                <w:ilvl w:val="0"/>
                <w:numId w:val="20"/>
              </w:numPr>
              <w:rPr>
                <w:rFonts w:eastAsiaTheme="minorEastAsia"/>
                <w:lang w:val="en" w:eastAsia="ko-KR"/>
              </w:rPr>
            </w:pPr>
            <w:r w:rsidRPr="00E324EB">
              <w:rPr>
                <w:rFonts w:eastAsiaTheme="minorEastAsia"/>
                <w:lang w:val="en" w:eastAsia="ko-KR"/>
              </w:rPr>
              <w:t xml:space="preserve">Food Log automatically </w:t>
            </w:r>
            <w:r w:rsidR="008F2285">
              <w:rPr>
                <w:rFonts w:eastAsiaTheme="minorEastAsia"/>
                <w:lang w:val="en" w:eastAsia="ko-KR"/>
              </w:rPr>
              <w:t>classifies</w:t>
            </w:r>
            <w:r w:rsidRPr="00E324EB" w:rsidR="008F2285">
              <w:rPr>
                <w:rFonts w:eastAsiaTheme="minorEastAsia"/>
                <w:lang w:val="en" w:eastAsia="ko-KR"/>
              </w:rPr>
              <w:t xml:space="preserve"> </w:t>
            </w:r>
            <w:r w:rsidRPr="00E324EB">
              <w:rPr>
                <w:rFonts w:eastAsiaTheme="minorEastAsia"/>
                <w:lang w:val="en" w:eastAsia="ko-KR"/>
              </w:rPr>
              <w:t>place type based on</w:t>
            </w:r>
            <w:r w:rsidR="008F2285">
              <w:rPr>
                <w:rFonts w:eastAsiaTheme="minorEastAsia"/>
                <w:lang w:val="en" w:eastAsia="ko-KR"/>
              </w:rPr>
              <w:t>Google tags</w:t>
            </w:r>
            <w:r w:rsidRPr="00E324EB">
              <w:rPr>
                <w:rFonts w:eastAsiaTheme="minorEastAsia"/>
                <w:lang w:val="en" w:eastAsia="ko-KR"/>
              </w:rPr>
              <w:t xml:space="preserve"> </w:t>
            </w:r>
          </w:p>
          <w:p w:rsidRPr="00E324EB" w:rsidR="00F06143" w:rsidP="00DB7F04" w:rsidRDefault="00F06143" w14:paraId="381E9ED7" w14:textId="7B642F79">
            <w:pPr>
              <w:pStyle w:val="TX-TableText"/>
              <w:numPr>
                <w:ilvl w:val="0"/>
                <w:numId w:val="20"/>
              </w:numPr>
              <w:rPr>
                <w:rFonts w:eastAsiaTheme="minorEastAsia"/>
                <w:lang w:val="en" w:eastAsia="ko-KR"/>
              </w:rPr>
            </w:pPr>
            <w:r w:rsidRPr="00E324EB">
              <w:rPr>
                <w:rFonts w:eastAsiaTheme="minorEastAsia"/>
                <w:lang w:val="en" w:eastAsia="ko-KR"/>
              </w:rPr>
              <w:t xml:space="preserve">When type cannot be </w:t>
            </w:r>
            <w:r w:rsidR="008F2285">
              <w:rPr>
                <w:rFonts w:eastAsiaTheme="minorEastAsia"/>
                <w:lang w:val="en" w:eastAsia="ko-KR"/>
              </w:rPr>
              <w:t>reliably classified</w:t>
            </w:r>
            <w:r w:rsidRPr="00E324EB">
              <w:rPr>
                <w:rFonts w:eastAsiaTheme="minorEastAsia"/>
                <w:lang w:val="en" w:eastAsia="ko-KR"/>
              </w:rPr>
              <w:t xml:space="preserve">, Food Log asks respondent </w:t>
            </w:r>
            <w:r w:rsidR="00EA683D">
              <w:rPr>
                <w:rFonts w:eastAsiaTheme="minorEastAsia"/>
                <w:lang w:val="en" w:eastAsia="ko-KR"/>
              </w:rPr>
              <w:t xml:space="preserve">to classify the food place as FAH or FAFH </w:t>
            </w:r>
            <w:r w:rsidRPr="00E324EB">
              <w:rPr>
                <w:rFonts w:eastAsiaTheme="minorEastAsia"/>
                <w:lang w:val="en" w:eastAsia="ko-KR"/>
              </w:rPr>
              <w:t xml:space="preserve"> </w:t>
            </w:r>
          </w:p>
        </w:tc>
      </w:tr>
      <w:tr w:rsidRPr="00E324EB" w:rsidR="00E324EB" w:rsidTr="00A611F5" w14:paraId="77CFBF9B" w14:textId="77777777">
        <w:tc>
          <w:tcPr>
            <w:tcW w:w="1392" w:type="dxa"/>
            <w:tcBorders>
              <w:top w:val="single" w:color="auto" w:sz="4" w:space="0"/>
              <w:bottom w:val="single" w:color="auto" w:sz="4" w:space="0"/>
            </w:tcBorders>
          </w:tcPr>
          <w:p w:rsidRPr="00E324EB" w:rsidR="00F06143" w:rsidP="00E324EB" w:rsidRDefault="00F06143" w14:paraId="0327B866" w14:textId="77777777">
            <w:pPr>
              <w:pStyle w:val="TX-TableText"/>
              <w:rPr>
                <w:rFonts w:eastAsiaTheme="minorEastAsia"/>
                <w:lang w:val="en" w:eastAsia="ko-KR"/>
              </w:rPr>
            </w:pPr>
            <w:r w:rsidRPr="00E324EB">
              <w:rPr>
                <w:rFonts w:eastAsiaTheme="minorEastAsia"/>
                <w:lang w:val="en" w:eastAsia="ko-KR"/>
              </w:rPr>
              <w:t>Food Log</w:t>
            </w:r>
          </w:p>
        </w:tc>
        <w:tc>
          <w:tcPr>
            <w:tcW w:w="1886" w:type="dxa"/>
            <w:tcBorders>
              <w:top w:val="single" w:color="auto" w:sz="4" w:space="0"/>
              <w:bottom w:val="single" w:color="auto" w:sz="4" w:space="0"/>
            </w:tcBorders>
          </w:tcPr>
          <w:p w:rsidRPr="00E324EB" w:rsidR="00F06143" w:rsidP="00E324EB" w:rsidRDefault="00F06143" w14:paraId="25D9D282" w14:textId="3F0116A9">
            <w:pPr>
              <w:pStyle w:val="TX-TableText"/>
              <w:rPr>
                <w:rFonts w:eastAsiaTheme="minorEastAsia"/>
                <w:lang w:val="en" w:eastAsia="ko-KR"/>
              </w:rPr>
            </w:pPr>
            <w:r w:rsidRPr="00E324EB">
              <w:rPr>
                <w:rFonts w:eastAsiaTheme="minorEastAsia"/>
                <w:lang w:val="en" w:eastAsia="ko-KR"/>
              </w:rPr>
              <w:t xml:space="preserve">Type ahead and </w:t>
            </w:r>
            <w:r w:rsidR="00E34FAC">
              <w:rPr>
                <w:rFonts w:eastAsiaTheme="minorEastAsia"/>
                <w:lang w:val="en" w:eastAsia="ko-KR"/>
              </w:rPr>
              <w:t>drop-down</w:t>
            </w:r>
            <w:r w:rsidRPr="00E324EB">
              <w:rPr>
                <w:rFonts w:eastAsiaTheme="minorEastAsia"/>
                <w:lang w:val="en" w:eastAsia="ko-KR"/>
              </w:rPr>
              <w:t xml:space="preserve"> menus</w:t>
            </w:r>
          </w:p>
        </w:tc>
        <w:tc>
          <w:tcPr>
            <w:tcW w:w="6082" w:type="dxa"/>
            <w:tcBorders>
              <w:top w:val="single" w:color="auto" w:sz="4" w:space="0"/>
              <w:bottom w:val="single" w:color="auto" w:sz="4" w:space="0"/>
            </w:tcBorders>
          </w:tcPr>
          <w:p w:rsidRPr="00E324EB" w:rsidR="00F06143" w:rsidP="00DB7F04" w:rsidRDefault="00F06143" w14:paraId="306D9A93" w14:textId="2CE1EC94">
            <w:pPr>
              <w:pStyle w:val="TX-TableText"/>
              <w:numPr>
                <w:ilvl w:val="0"/>
                <w:numId w:val="21"/>
              </w:numPr>
              <w:rPr>
                <w:rFonts w:eastAsiaTheme="minorEastAsia"/>
                <w:lang w:val="en" w:eastAsia="ko-KR"/>
              </w:rPr>
            </w:pPr>
            <w:r w:rsidRPr="00E324EB">
              <w:rPr>
                <w:rFonts w:eastAsiaTheme="minorEastAsia"/>
                <w:lang w:val="en" w:eastAsia="ko-KR"/>
              </w:rPr>
              <w:t>Use Nutritionix as reference databases for type</w:t>
            </w:r>
            <w:r w:rsidR="00E34FAC">
              <w:rPr>
                <w:rFonts w:eastAsiaTheme="minorEastAsia"/>
                <w:lang w:val="en" w:eastAsia="ko-KR"/>
              </w:rPr>
              <w:t>-</w:t>
            </w:r>
            <w:r w:rsidRPr="00E324EB">
              <w:rPr>
                <w:rFonts w:eastAsiaTheme="minorEastAsia"/>
                <w:lang w:val="en" w:eastAsia="ko-KR"/>
              </w:rPr>
              <w:t>ahead and drop</w:t>
            </w:r>
            <w:r w:rsidR="00C75B46">
              <w:rPr>
                <w:rFonts w:eastAsiaTheme="minorEastAsia"/>
                <w:lang w:val="en" w:eastAsia="ko-KR"/>
              </w:rPr>
              <w:t>-</w:t>
            </w:r>
            <w:r w:rsidRPr="00E324EB">
              <w:rPr>
                <w:rFonts w:eastAsiaTheme="minorEastAsia"/>
                <w:lang w:val="en" w:eastAsia="ko-KR"/>
              </w:rPr>
              <w:t xml:space="preserve">down menus for </w:t>
            </w:r>
            <w:r w:rsidR="008F2285">
              <w:rPr>
                <w:rFonts w:eastAsiaTheme="minorEastAsia"/>
                <w:lang w:val="en" w:eastAsia="ko-KR"/>
              </w:rPr>
              <w:t xml:space="preserve">FAFH </w:t>
            </w:r>
            <w:r w:rsidRPr="00E324EB">
              <w:rPr>
                <w:rFonts w:eastAsiaTheme="minorEastAsia"/>
                <w:lang w:val="en" w:eastAsia="ko-KR"/>
              </w:rPr>
              <w:t xml:space="preserve">food item </w:t>
            </w:r>
            <w:r w:rsidR="004C3EA7">
              <w:rPr>
                <w:rFonts w:eastAsiaTheme="minorEastAsia"/>
                <w:lang w:val="en" w:eastAsia="ko-KR"/>
              </w:rPr>
              <w:t>identification</w:t>
            </w:r>
          </w:p>
        </w:tc>
      </w:tr>
    </w:tbl>
    <w:p w:rsidR="00E324EB" w:rsidP="00E324EB" w:rsidRDefault="00E324EB" w14:paraId="359B2E97" w14:textId="77777777">
      <w:pPr>
        <w:pStyle w:val="L1-FlLSp12"/>
      </w:pPr>
    </w:p>
    <w:p w:rsidR="00B5350F" w:rsidP="00E324EB" w:rsidRDefault="00B5350F" w14:paraId="062D06BC" w14:textId="77777777">
      <w:pPr>
        <w:pStyle w:val="L1-FlLSp12"/>
      </w:pPr>
    </w:p>
    <w:p w:rsidRPr="003702B9" w:rsidR="00271489" w:rsidP="00271489" w:rsidRDefault="00271489" w14:paraId="1D571C51" w14:textId="2D1B630B">
      <w:pPr>
        <w:pStyle w:val="Heading2"/>
      </w:pPr>
      <w:bookmarkStart w:name="_Toc514067599" w:id="43"/>
      <w:bookmarkStart w:name="_Toc93499531" w:id="44"/>
      <w:r w:rsidRPr="003702B9">
        <w:t>A.4</w:t>
      </w:r>
      <w:r w:rsidRPr="003702B9">
        <w:tab/>
      </w:r>
      <w:bookmarkEnd w:id="38"/>
      <w:bookmarkEnd w:id="39"/>
      <w:bookmarkEnd w:id="40"/>
      <w:r w:rsidRPr="003702B9">
        <w:t>Efforts to Identify Duplication and Use of Similar Information</w:t>
      </w:r>
      <w:bookmarkEnd w:id="41"/>
      <w:bookmarkEnd w:id="42"/>
      <w:bookmarkEnd w:id="43"/>
      <w:bookmarkEnd w:id="44"/>
    </w:p>
    <w:p w:rsidRPr="002F126A" w:rsidR="00271489" w:rsidP="00271489" w:rsidRDefault="00271489" w14:paraId="31E61184" w14:textId="77777777">
      <w:pPr>
        <w:pStyle w:val="L1-FlLSp12"/>
        <w:rPr>
          <w:b/>
        </w:rPr>
      </w:pPr>
      <w:r w:rsidRPr="002F126A">
        <w:rPr>
          <w:b/>
        </w:rPr>
        <w:t xml:space="preserve">Describe efforts to identify duplication. Show specifically why any similar information </w:t>
      </w:r>
      <w:r w:rsidRPr="00772184">
        <w:rPr>
          <w:b/>
        </w:rPr>
        <w:t>already available cannot be used or modified for use for the purpose</w:t>
      </w:r>
      <w:r w:rsidRPr="002F126A">
        <w:rPr>
          <w:b/>
        </w:rPr>
        <w:t xml:space="preserve"> described in item 2</w:t>
      </w:r>
      <w:r w:rsidR="008D2F1B">
        <w:rPr>
          <w:b/>
        </w:rPr>
        <w:t xml:space="preserve"> </w:t>
      </w:r>
      <w:r w:rsidRPr="002F126A">
        <w:rPr>
          <w:b/>
        </w:rPr>
        <w:t>above.</w:t>
      </w:r>
    </w:p>
    <w:p w:rsidRPr="00E324EB" w:rsidR="00271489" w:rsidP="00271489" w:rsidRDefault="00271489" w14:paraId="623AB05F" w14:textId="77777777">
      <w:pPr>
        <w:pStyle w:val="L1-FlLSp12"/>
        <w:rPr>
          <w:szCs w:val="24"/>
        </w:rPr>
      </w:pPr>
    </w:p>
    <w:p w:rsidR="003264C7" w:rsidP="00EC0B17" w:rsidRDefault="00DE74DE" w14:paraId="35D0675E" w14:textId="77777777">
      <w:pPr>
        <w:pStyle w:val="L1-FlLSp12"/>
        <w:rPr>
          <w:szCs w:val="24"/>
        </w:rPr>
      </w:pPr>
      <w:r w:rsidRPr="00E324EB">
        <w:rPr>
          <w:szCs w:val="24"/>
        </w:rPr>
        <w:t>Every effort has been made to avoid duplication</w:t>
      </w:r>
      <w:r w:rsidRPr="00E324EB" w:rsidR="000C0601">
        <w:rPr>
          <w:szCs w:val="24"/>
        </w:rPr>
        <w:t>. The data requirements for FoodAPS-2</w:t>
      </w:r>
      <w:r w:rsidRPr="00E324EB">
        <w:rPr>
          <w:szCs w:val="24"/>
        </w:rPr>
        <w:t xml:space="preserve"> </w:t>
      </w:r>
      <w:r w:rsidR="00DC4564">
        <w:rPr>
          <w:szCs w:val="24"/>
        </w:rPr>
        <w:t xml:space="preserve">Field Test </w:t>
      </w:r>
      <w:r w:rsidRPr="00E324EB">
        <w:rPr>
          <w:szCs w:val="24"/>
        </w:rPr>
        <w:t xml:space="preserve">have been carefully reviewed to determine whether the needed information is already available. </w:t>
      </w:r>
      <w:r w:rsidRPr="00E324EB" w:rsidR="00271489">
        <w:rPr>
          <w:szCs w:val="24"/>
        </w:rPr>
        <w:t xml:space="preserve">To our knowledge, there is no similar information already available or being collected for the study’s timeframe that </w:t>
      </w:r>
      <w:r w:rsidRPr="00E324EB">
        <w:rPr>
          <w:szCs w:val="24"/>
        </w:rPr>
        <w:t>collect</w:t>
      </w:r>
      <w:r w:rsidRPr="00E324EB" w:rsidR="000C0601">
        <w:rPr>
          <w:szCs w:val="24"/>
        </w:rPr>
        <w:t>s</w:t>
      </w:r>
      <w:r w:rsidRPr="00E324EB">
        <w:rPr>
          <w:szCs w:val="24"/>
        </w:rPr>
        <w:t xml:space="preserve"> detailed information on food acquisitions at home </w:t>
      </w:r>
      <w:r w:rsidR="008601FA">
        <w:rPr>
          <w:szCs w:val="24"/>
        </w:rPr>
        <w:t>and</w:t>
      </w:r>
      <w:r w:rsidRPr="00E324EB" w:rsidR="008601FA">
        <w:rPr>
          <w:szCs w:val="24"/>
        </w:rPr>
        <w:t xml:space="preserve"> </w:t>
      </w:r>
      <w:r w:rsidRPr="00E324EB">
        <w:rPr>
          <w:szCs w:val="24"/>
        </w:rPr>
        <w:t>away from home</w:t>
      </w:r>
      <w:r w:rsidR="00B33852">
        <w:rPr>
          <w:szCs w:val="24"/>
        </w:rPr>
        <w:t xml:space="preserve"> and program participation</w:t>
      </w:r>
      <w:r w:rsidRPr="00E324EB">
        <w:rPr>
          <w:szCs w:val="24"/>
        </w:rPr>
        <w:t xml:space="preserve">. </w:t>
      </w:r>
      <w:r w:rsidR="00B33852">
        <w:rPr>
          <w:szCs w:val="24"/>
        </w:rPr>
        <w:t>Even though the Consumer Expenditure Interview Survey (CE) collects expenditures on food and drinks, CE is not collecting free food acquisitions, which is an essential goal for FoodAPS-2 Field Test. The National Health and Examination Survey (NHANES) collects in</w:t>
      </w:r>
      <w:r w:rsidR="00B472D0">
        <w:rPr>
          <w:szCs w:val="24"/>
        </w:rPr>
        <w:t xml:space="preserve">formation on diet behavior and nutrition, but </w:t>
      </w:r>
      <w:r w:rsidR="00B5350F">
        <w:rPr>
          <w:szCs w:val="24"/>
        </w:rPr>
        <w:t xml:space="preserve">the </w:t>
      </w:r>
      <w:r w:rsidR="00B472D0">
        <w:rPr>
          <w:szCs w:val="24"/>
        </w:rPr>
        <w:t xml:space="preserve">FoodAPS-2 Field Test has a broader focus and covers acquisition of food actually consumed as well as food not consumed </w:t>
      </w:r>
      <w:r w:rsidR="002B4A47">
        <w:rPr>
          <w:szCs w:val="24"/>
        </w:rPr>
        <w:t>acquired during a set period</w:t>
      </w:r>
      <w:r w:rsidR="00B472D0">
        <w:rPr>
          <w:szCs w:val="24"/>
        </w:rPr>
        <w:t xml:space="preserve">. </w:t>
      </w:r>
    </w:p>
    <w:p w:rsidRPr="003264C7" w:rsidR="003264C7" w:rsidP="003264C7" w:rsidRDefault="003264C7" w14:paraId="7A79B643" w14:textId="77777777">
      <w:pPr>
        <w:pStyle w:val="L1-FlLSp12"/>
        <w:rPr>
          <w:szCs w:val="24"/>
        </w:rPr>
      </w:pPr>
    </w:p>
    <w:p w:rsidR="00B33852" w:rsidP="003264C7" w:rsidRDefault="003264C7" w14:paraId="2D5C93AD" w14:textId="35FE0606">
      <w:pPr>
        <w:pStyle w:val="L1-FlLSp12"/>
        <w:rPr>
          <w:szCs w:val="24"/>
        </w:rPr>
      </w:pPr>
      <w:r w:rsidRPr="003264C7">
        <w:rPr>
          <w:szCs w:val="24"/>
        </w:rPr>
        <w:t>The FoodAPS-2 Field Test will also collect labor force information, food security status, and income from sampled households. Even though the Current Population Survey Food Security Supplement (CPS-FSS) is the source of national and State-level statistics on food insecurity used in USDA's annual reports on household food security, there is an analytic need to collecting this information for every respondent in the FoodAPS-2 Field Test. Individual level measurement of this info</w:t>
      </w:r>
      <w:r w:rsidR="00C66006">
        <w:rPr>
          <w:szCs w:val="24"/>
        </w:rPr>
        <w:t>rm</w:t>
      </w:r>
      <w:r w:rsidRPr="003264C7">
        <w:rPr>
          <w:szCs w:val="24"/>
        </w:rPr>
        <w:t xml:space="preserve">ation from a nationally-representative sample is essential to understanding the factors that influence household food choices and to providing a comprehensive picture on health and obesity, hunger, and nutrition assistance policy. </w:t>
      </w:r>
      <w:r w:rsidR="00AF5D77">
        <w:rPr>
          <w:szCs w:val="24"/>
        </w:rPr>
        <w:t xml:space="preserve"> </w:t>
      </w:r>
    </w:p>
    <w:p w:rsidR="00B5350F" w:rsidP="00EC0B17" w:rsidRDefault="00B5350F" w14:paraId="7EC2F2CA" w14:textId="77777777">
      <w:pPr>
        <w:pStyle w:val="L1-FlLSp12"/>
        <w:rPr>
          <w:szCs w:val="24"/>
        </w:rPr>
      </w:pPr>
    </w:p>
    <w:p w:rsidR="00B472D0" w:rsidP="00EC0B17" w:rsidRDefault="000C0601" w14:paraId="6B85132B" w14:textId="6ADFD8F0">
      <w:pPr>
        <w:pStyle w:val="L1-FlLSp12"/>
        <w:rPr>
          <w:szCs w:val="24"/>
        </w:rPr>
      </w:pPr>
      <w:r w:rsidRPr="00E324EB">
        <w:rPr>
          <w:szCs w:val="24"/>
        </w:rPr>
        <w:t xml:space="preserve">To reduce duplication, during the </w:t>
      </w:r>
      <w:r w:rsidR="00847533">
        <w:rPr>
          <w:szCs w:val="24"/>
        </w:rPr>
        <w:t>ADCM</w:t>
      </w:r>
      <w:r w:rsidR="00B5350F">
        <w:rPr>
          <w:szCs w:val="24"/>
        </w:rPr>
        <w:t xml:space="preserve"> Pilot</w:t>
      </w:r>
      <w:r w:rsidRPr="00E324EB">
        <w:rPr>
          <w:szCs w:val="24"/>
        </w:rPr>
        <w:t xml:space="preserve"> w</w:t>
      </w:r>
      <w:r w:rsidRPr="00E324EB" w:rsidR="00CE021F">
        <w:rPr>
          <w:szCs w:val="24"/>
        </w:rPr>
        <w:t xml:space="preserve">e </w:t>
      </w:r>
      <w:r w:rsidRPr="00E324EB" w:rsidR="00DE74DE">
        <w:rPr>
          <w:szCs w:val="24"/>
        </w:rPr>
        <w:t xml:space="preserve">conducted a literature search to research </w:t>
      </w:r>
      <w:r w:rsidRPr="00E324EB" w:rsidR="00847533">
        <w:rPr>
          <w:szCs w:val="24"/>
        </w:rPr>
        <w:t>optim</w:t>
      </w:r>
      <w:r w:rsidR="00847533">
        <w:rPr>
          <w:szCs w:val="24"/>
        </w:rPr>
        <w:t>al</w:t>
      </w:r>
      <w:r w:rsidRPr="00E324EB" w:rsidR="00847533">
        <w:rPr>
          <w:szCs w:val="24"/>
        </w:rPr>
        <w:t xml:space="preserve"> </w:t>
      </w:r>
      <w:r w:rsidRPr="00E324EB" w:rsidR="00DE74DE">
        <w:rPr>
          <w:szCs w:val="24"/>
        </w:rPr>
        <w:t xml:space="preserve">ways to </w:t>
      </w:r>
      <w:r w:rsidRPr="00E324EB" w:rsidR="004B1F93">
        <w:rPr>
          <w:szCs w:val="24"/>
        </w:rPr>
        <w:t>obtain</w:t>
      </w:r>
      <w:r w:rsidRPr="00E324EB" w:rsidR="00DE74DE">
        <w:rPr>
          <w:szCs w:val="24"/>
        </w:rPr>
        <w:t xml:space="preserve"> income amounts and sources. </w:t>
      </w:r>
      <w:r w:rsidR="00D477FC">
        <w:rPr>
          <w:szCs w:val="24"/>
        </w:rPr>
        <w:t>Informed by the literure review, w</w:t>
      </w:r>
      <w:r w:rsidRPr="00E324EB">
        <w:rPr>
          <w:szCs w:val="24"/>
        </w:rPr>
        <w:t xml:space="preserve">e </w:t>
      </w:r>
      <w:r w:rsidR="00D477FC">
        <w:rPr>
          <w:szCs w:val="24"/>
        </w:rPr>
        <w:t xml:space="preserve">developed and </w:t>
      </w:r>
      <w:r w:rsidRPr="00E324EB">
        <w:rPr>
          <w:szCs w:val="24"/>
        </w:rPr>
        <w:t xml:space="preserve">tested </w:t>
      </w:r>
      <w:r w:rsidR="00D477FC">
        <w:rPr>
          <w:szCs w:val="24"/>
        </w:rPr>
        <w:t>new</w:t>
      </w:r>
      <w:r w:rsidRPr="00E324EB">
        <w:rPr>
          <w:szCs w:val="24"/>
        </w:rPr>
        <w:t xml:space="preserve"> questions</w:t>
      </w:r>
      <w:r w:rsidR="00D477FC">
        <w:rPr>
          <w:szCs w:val="24"/>
        </w:rPr>
        <w:t xml:space="preserve"> to caputure income amounts and sources that met the needs of ERS. We </w:t>
      </w:r>
      <w:r w:rsidRPr="00E324EB">
        <w:rPr>
          <w:szCs w:val="24"/>
        </w:rPr>
        <w:t xml:space="preserve">will use them during </w:t>
      </w:r>
      <w:r w:rsidR="00E34FAC">
        <w:rPr>
          <w:szCs w:val="24"/>
        </w:rPr>
        <w:t xml:space="preserve">the </w:t>
      </w:r>
      <w:r w:rsidRPr="00E324EB">
        <w:rPr>
          <w:szCs w:val="24"/>
        </w:rPr>
        <w:t xml:space="preserve">FoodAPS-2 </w:t>
      </w:r>
      <w:r w:rsidR="00E34FAC">
        <w:rPr>
          <w:szCs w:val="24"/>
        </w:rPr>
        <w:t xml:space="preserve">Field Test </w:t>
      </w:r>
      <w:r w:rsidRPr="00E324EB">
        <w:rPr>
          <w:szCs w:val="24"/>
        </w:rPr>
        <w:t>to yield m</w:t>
      </w:r>
      <w:r w:rsidRPr="00E324EB" w:rsidR="00DE74DE">
        <w:rPr>
          <w:szCs w:val="24"/>
        </w:rPr>
        <w:t>o</w:t>
      </w:r>
      <w:r w:rsidRPr="00E324EB" w:rsidR="004461AC">
        <w:rPr>
          <w:szCs w:val="24"/>
        </w:rPr>
        <w:t>re accurate results while reducing</w:t>
      </w:r>
      <w:r w:rsidRPr="00E324EB" w:rsidR="00DE74DE">
        <w:rPr>
          <w:szCs w:val="24"/>
        </w:rPr>
        <w:t xml:space="preserve"> </w:t>
      </w:r>
      <w:r w:rsidR="00194848">
        <w:rPr>
          <w:szCs w:val="24"/>
        </w:rPr>
        <w:t xml:space="preserve">item </w:t>
      </w:r>
      <w:r w:rsidRPr="00E324EB" w:rsidR="00DE74DE">
        <w:rPr>
          <w:szCs w:val="24"/>
        </w:rPr>
        <w:t>nonresponse</w:t>
      </w:r>
      <w:r w:rsidR="00194848">
        <w:rPr>
          <w:szCs w:val="24"/>
        </w:rPr>
        <w:t xml:space="preserve"> and improving completion rates</w:t>
      </w:r>
      <w:r w:rsidRPr="00E324EB" w:rsidR="00DE74DE">
        <w:rPr>
          <w:szCs w:val="24"/>
        </w:rPr>
        <w:t>.</w:t>
      </w:r>
      <w:r w:rsidRPr="00E324EB">
        <w:rPr>
          <w:szCs w:val="24"/>
        </w:rPr>
        <w:t xml:space="preserve"> </w:t>
      </w:r>
      <w:r w:rsidR="00D477FC">
        <w:rPr>
          <w:szCs w:val="24"/>
        </w:rPr>
        <w:t xml:space="preserve">These questions are not used in other surveys, to our best knowledge. </w:t>
      </w:r>
    </w:p>
    <w:p w:rsidR="00D477FC" w:rsidP="00EC0B17" w:rsidRDefault="00D477FC" w14:paraId="37CDC867" w14:textId="2DBFF42C">
      <w:pPr>
        <w:pStyle w:val="L1-FlLSp12"/>
        <w:rPr>
          <w:szCs w:val="24"/>
        </w:rPr>
      </w:pPr>
    </w:p>
    <w:p w:rsidRPr="00E324EB" w:rsidR="00DE74DE" w:rsidP="00EC0B17" w:rsidRDefault="000C0601" w14:paraId="6D2BAB3E" w14:textId="430B1ADC">
      <w:pPr>
        <w:pStyle w:val="L1-FlLSp12"/>
        <w:rPr>
          <w:szCs w:val="24"/>
        </w:rPr>
      </w:pPr>
      <w:r w:rsidRPr="00E324EB">
        <w:rPr>
          <w:szCs w:val="24"/>
        </w:rPr>
        <w:t>For households with multiple household members who e</w:t>
      </w:r>
      <w:r w:rsidRPr="00E324EB" w:rsidR="00CE021F">
        <w:rPr>
          <w:szCs w:val="24"/>
        </w:rPr>
        <w:t xml:space="preserve">at out together, we plan to minimize duplication by </w:t>
      </w:r>
      <w:r w:rsidR="00D477FC">
        <w:rPr>
          <w:szCs w:val="24"/>
        </w:rPr>
        <w:t>asking one household member to report the food event</w:t>
      </w:r>
    </w:p>
    <w:p w:rsidRPr="00E324EB" w:rsidR="00DE74DE" w:rsidP="00271489" w:rsidRDefault="00DE74DE" w14:paraId="3F554B15" w14:textId="77777777">
      <w:pPr>
        <w:pStyle w:val="L1-FlLSp12"/>
        <w:rPr>
          <w:rFonts w:cs="Arial"/>
          <w:szCs w:val="24"/>
        </w:rPr>
      </w:pPr>
    </w:p>
    <w:p w:rsidRPr="003702B9" w:rsidR="00271489" w:rsidP="00271489" w:rsidRDefault="00271489" w14:paraId="462E2B49" w14:textId="70027231">
      <w:pPr>
        <w:pStyle w:val="Heading2"/>
      </w:pPr>
      <w:bookmarkStart w:name="_Toc400376126" w:id="45"/>
      <w:bookmarkStart w:name="_Toc514067600" w:id="46"/>
      <w:bookmarkStart w:name="_Toc93499532" w:id="47"/>
      <w:r w:rsidRPr="003702B9">
        <w:t>A.5</w:t>
      </w:r>
      <w:r w:rsidRPr="003702B9">
        <w:tab/>
        <w:t>Impact on Small Businesses or Other Small Entities</w:t>
      </w:r>
      <w:bookmarkEnd w:id="45"/>
      <w:bookmarkEnd w:id="46"/>
      <w:bookmarkEnd w:id="47"/>
    </w:p>
    <w:p w:rsidRPr="002F126A" w:rsidR="00271489" w:rsidP="00271489" w:rsidRDefault="00271489" w14:paraId="743F745F" w14:textId="77777777">
      <w:pPr>
        <w:pStyle w:val="L1-FlLSp12"/>
        <w:rPr>
          <w:b/>
        </w:rPr>
      </w:pPr>
      <w:r w:rsidRPr="002F126A">
        <w:rPr>
          <w:b/>
        </w:rPr>
        <w:t>If the collection of information impacts small businesses or other small entities, describe any methods used to minimize burden.</w:t>
      </w:r>
    </w:p>
    <w:p w:rsidRPr="00E324EB" w:rsidR="00271489" w:rsidP="00271489" w:rsidRDefault="00271489" w14:paraId="41604D15" w14:textId="77777777">
      <w:pPr>
        <w:pStyle w:val="L1-FlLSp12"/>
        <w:rPr>
          <w:szCs w:val="24"/>
        </w:rPr>
      </w:pPr>
    </w:p>
    <w:p w:rsidRPr="00E324EB" w:rsidR="00705148" w:rsidP="00271489" w:rsidRDefault="00E34FAC" w14:paraId="267A001D" w14:textId="0425DCDC">
      <w:pPr>
        <w:pStyle w:val="L1-FlLSp12"/>
        <w:rPr>
          <w:szCs w:val="24"/>
        </w:rPr>
      </w:pPr>
      <w:r>
        <w:rPr>
          <w:szCs w:val="24"/>
        </w:rPr>
        <w:t xml:space="preserve">The </w:t>
      </w:r>
      <w:r w:rsidR="006B1BCD">
        <w:rPr>
          <w:szCs w:val="24"/>
        </w:rPr>
        <w:t xml:space="preserve">FoodAPS-2 </w:t>
      </w:r>
      <w:r>
        <w:rPr>
          <w:szCs w:val="24"/>
        </w:rPr>
        <w:t>Field Test</w:t>
      </w:r>
      <w:r w:rsidR="006B1BCD">
        <w:rPr>
          <w:szCs w:val="24"/>
        </w:rPr>
        <w:t xml:space="preserve"> </w:t>
      </w:r>
      <w:r w:rsidRPr="00E324EB" w:rsidR="00F7710A">
        <w:rPr>
          <w:szCs w:val="24"/>
        </w:rPr>
        <w:t xml:space="preserve">is targeting </w:t>
      </w:r>
      <w:r w:rsidRPr="00E324EB" w:rsidR="008A31AB">
        <w:rPr>
          <w:szCs w:val="24"/>
        </w:rPr>
        <w:t xml:space="preserve">residential </w:t>
      </w:r>
      <w:r w:rsidRPr="00E324EB" w:rsidR="00F7710A">
        <w:rPr>
          <w:szCs w:val="24"/>
        </w:rPr>
        <w:t>households. We are not collecting information from small businesses or other small entities.</w:t>
      </w:r>
    </w:p>
    <w:p w:rsidRPr="00E324EB" w:rsidR="00271489" w:rsidP="00271489" w:rsidRDefault="00271489" w14:paraId="31631813" w14:textId="77777777">
      <w:pPr>
        <w:pStyle w:val="L1-FlLSp12"/>
        <w:rPr>
          <w:szCs w:val="24"/>
        </w:rPr>
      </w:pPr>
    </w:p>
    <w:p w:rsidRPr="003702B9" w:rsidR="00271489" w:rsidP="00271489" w:rsidRDefault="00271489" w14:paraId="419F6BF1" w14:textId="6CA1775A">
      <w:pPr>
        <w:pStyle w:val="Heading2"/>
      </w:pPr>
      <w:bookmarkStart w:name="_Toc329341678" w:id="48"/>
      <w:bookmarkStart w:name="_Toc400376127" w:id="49"/>
      <w:bookmarkStart w:name="_Toc514067601" w:id="50"/>
      <w:bookmarkStart w:name="_Toc93499533" w:id="51"/>
      <w:r w:rsidRPr="003702B9">
        <w:t>A.6</w:t>
      </w:r>
      <w:r w:rsidRPr="003702B9">
        <w:tab/>
        <w:t>Consequences of Collecting the Information Less Frequently</w:t>
      </w:r>
      <w:bookmarkStart w:name="_Toc280797904" w:id="52"/>
      <w:bookmarkEnd w:id="48"/>
      <w:bookmarkEnd w:id="49"/>
      <w:bookmarkEnd w:id="50"/>
      <w:bookmarkEnd w:id="51"/>
    </w:p>
    <w:p w:rsidRPr="002F126A" w:rsidR="00271489" w:rsidP="00271489" w:rsidRDefault="00271489" w14:paraId="1BFCCAA1" w14:textId="77777777">
      <w:pPr>
        <w:pStyle w:val="L1-FlLSp12"/>
        <w:rPr>
          <w:b/>
        </w:rPr>
      </w:pPr>
      <w:r w:rsidRPr="002F126A">
        <w:rPr>
          <w:b/>
        </w:rPr>
        <w:t>Describe the consequence to Federal program or policy activities if the collection is not conducted or is conducted less frequently, as well as any technical or legal obstacles to reducing burden.</w:t>
      </w:r>
    </w:p>
    <w:p w:rsidRPr="00E324EB" w:rsidR="00271489" w:rsidP="00271489" w:rsidRDefault="00271489" w14:paraId="4BF6404E" w14:textId="77777777">
      <w:pPr>
        <w:pStyle w:val="L1-FlLSp12"/>
        <w:rPr>
          <w:szCs w:val="24"/>
        </w:rPr>
      </w:pPr>
    </w:p>
    <w:p w:rsidRPr="00E324EB" w:rsidR="005D1FC1" w:rsidP="0084172C" w:rsidRDefault="009455CB" w14:paraId="410DC48E" w14:textId="23C2125D">
      <w:pPr>
        <w:pStyle w:val="L1-FlLSp12"/>
        <w:rPr>
          <w:szCs w:val="24"/>
        </w:rPr>
      </w:pPr>
      <w:r w:rsidRPr="00E324EB">
        <w:rPr>
          <w:szCs w:val="24"/>
        </w:rPr>
        <w:t>Findings f</w:t>
      </w:r>
      <w:r w:rsidR="004763B8">
        <w:rPr>
          <w:szCs w:val="24"/>
        </w:rPr>
        <w:t>r</w:t>
      </w:r>
      <w:r w:rsidRPr="00E324EB">
        <w:rPr>
          <w:szCs w:val="24"/>
        </w:rPr>
        <w:t xml:space="preserve">om </w:t>
      </w:r>
      <w:r w:rsidRPr="00E324EB" w:rsidR="005D1FC1">
        <w:rPr>
          <w:szCs w:val="24"/>
        </w:rPr>
        <w:t xml:space="preserve">FoodAPS-2 will be </w:t>
      </w:r>
      <w:r w:rsidRPr="00E324EB">
        <w:rPr>
          <w:szCs w:val="24"/>
        </w:rPr>
        <w:t xml:space="preserve">available </w:t>
      </w:r>
      <w:r w:rsidRPr="00E324EB" w:rsidR="00EC5D44">
        <w:rPr>
          <w:szCs w:val="24"/>
        </w:rPr>
        <w:t xml:space="preserve">a little </w:t>
      </w:r>
      <w:r w:rsidRPr="00E324EB">
        <w:rPr>
          <w:szCs w:val="24"/>
        </w:rPr>
        <w:t>over 1</w:t>
      </w:r>
      <w:r w:rsidRPr="00E324EB" w:rsidR="005D1FC1">
        <w:rPr>
          <w:szCs w:val="24"/>
        </w:rPr>
        <w:t>0 years after the implementation of FoodAPS-1. In the ensuing period, the structure of the U.S. food economy has changed. Food acquisition behaviors have chang</w:t>
      </w:r>
      <w:r w:rsidRPr="00E324EB" w:rsidR="00806010">
        <w:rPr>
          <w:szCs w:val="24"/>
        </w:rPr>
        <w:t>e</w:t>
      </w:r>
      <w:r w:rsidRPr="00E324EB" w:rsidR="005D1FC1">
        <w:rPr>
          <w:szCs w:val="24"/>
        </w:rPr>
        <w:t xml:space="preserve">d in </w:t>
      </w:r>
      <w:r w:rsidRPr="00E324EB" w:rsidR="005E474F">
        <w:rPr>
          <w:szCs w:val="24"/>
        </w:rPr>
        <w:t>response</w:t>
      </w:r>
      <w:r w:rsidRPr="00E324EB" w:rsidR="005D1FC1">
        <w:rPr>
          <w:szCs w:val="24"/>
        </w:rPr>
        <w:t xml:space="preserve"> to changing markets and household structure, laborforce participation and other factors. </w:t>
      </w:r>
      <w:r w:rsidR="00884854">
        <w:rPr>
          <w:szCs w:val="24"/>
        </w:rPr>
        <w:t>In 201</w:t>
      </w:r>
      <w:r w:rsidR="00AF69E7">
        <w:rPr>
          <w:szCs w:val="24"/>
        </w:rPr>
        <w:t>9</w:t>
      </w:r>
      <w:r w:rsidR="00884854">
        <w:rPr>
          <w:szCs w:val="24"/>
        </w:rPr>
        <w:t xml:space="preserve"> the average household spent </w:t>
      </w:r>
      <w:r w:rsidR="00AF69E7">
        <w:rPr>
          <w:szCs w:val="24"/>
        </w:rPr>
        <w:t>11.7</w:t>
      </w:r>
      <w:r w:rsidR="0012304E">
        <w:rPr>
          <w:szCs w:val="24"/>
        </w:rPr>
        <w:t xml:space="preserve"> percent of their income </w:t>
      </w:r>
      <w:r w:rsidR="00AF69E7">
        <w:rPr>
          <w:szCs w:val="24"/>
        </w:rPr>
        <w:t xml:space="preserve">after taxes </w:t>
      </w:r>
      <w:r w:rsidR="0012304E">
        <w:rPr>
          <w:szCs w:val="24"/>
        </w:rPr>
        <w:t xml:space="preserve">on food and </w:t>
      </w:r>
      <w:r w:rsidR="00884854">
        <w:rPr>
          <w:szCs w:val="24"/>
        </w:rPr>
        <w:t>43 percent of their food budget on food away from home.</w:t>
      </w:r>
      <w:r w:rsidR="00413CB4">
        <w:rPr>
          <w:rStyle w:val="FootnoteReference"/>
          <w:szCs w:val="24"/>
        </w:rPr>
        <w:footnoteReference w:id="16"/>
      </w:r>
    </w:p>
    <w:p w:rsidRPr="00E324EB" w:rsidR="005D1FC1" w:rsidP="0084172C" w:rsidRDefault="005D1FC1" w14:paraId="483A5BB8" w14:textId="77777777">
      <w:pPr>
        <w:pStyle w:val="L1-FlLSp12"/>
        <w:rPr>
          <w:szCs w:val="24"/>
        </w:rPr>
      </w:pPr>
    </w:p>
    <w:p w:rsidRPr="00E324EB" w:rsidR="00271489" w:rsidP="0084172C" w:rsidRDefault="005D1FC1" w14:paraId="01DD7D69" w14:textId="330A445A">
      <w:pPr>
        <w:pStyle w:val="L1-FlLSp12"/>
        <w:rPr>
          <w:szCs w:val="24"/>
        </w:rPr>
      </w:pPr>
      <w:r w:rsidRPr="00E324EB">
        <w:rPr>
          <w:szCs w:val="24"/>
        </w:rPr>
        <w:t>The Cen</w:t>
      </w:r>
      <w:r w:rsidR="00A63C34">
        <w:rPr>
          <w:szCs w:val="24"/>
        </w:rPr>
        <w:t>ters</w:t>
      </w:r>
      <w:r w:rsidRPr="00E324EB">
        <w:rPr>
          <w:szCs w:val="24"/>
        </w:rPr>
        <w:t xml:space="preserve"> </w:t>
      </w:r>
      <w:r w:rsidR="00A63C34">
        <w:rPr>
          <w:szCs w:val="24"/>
        </w:rPr>
        <w:t>for</w:t>
      </w:r>
      <w:r w:rsidRPr="00E324EB">
        <w:rPr>
          <w:szCs w:val="24"/>
        </w:rPr>
        <w:t xml:space="preserve"> Disease Control</w:t>
      </w:r>
      <w:r w:rsidR="007B4386">
        <w:rPr>
          <w:szCs w:val="24"/>
        </w:rPr>
        <w:t xml:space="preserve"> and Prevention</w:t>
      </w:r>
      <w:r w:rsidRPr="00E324EB">
        <w:rPr>
          <w:szCs w:val="24"/>
        </w:rPr>
        <w:t xml:space="preserve"> reports that about 38 and 17 percent of American adults </w:t>
      </w:r>
      <w:r w:rsidRPr="00E324EB" w:rsidR="00EC5D44">
        <w:rPr>
          <w:szCs w:val="24"/>
        </w:rPr>
        <w:t>and youth, respectively, are ob</w:t>
      </w:r>
      <w:r w:rsidRPr="00E324EB">
        <w:rPr>
          <w:szCs w:val="24"/>
        </w:rPr>
        <w:t>ese</w:t>
      </w:r>
      <w:r w:rsidR="00911FBB">
        <w:rPr>
          <w:rStyle w:val="FootnoteReference"/>
          <w:szCs w:val="24"/>
        </w:rPr>
        <w:footnoteReference w:id="17"/>
      </w:r>
      <w:r w:rsidRPr="00E324EB">
        <w:rPr>
          <w:szCs w:val="24"/>
        </w:rPr>
        <w:t>. Early research suggested an association between the food environment and obesity and other diet-related diseases.</w:t>
      </w:r>
      <w:r w:rsidRPr="00E324EB">
        <w:rPr>
          <w:rStyle w:val="FootnoteReference"/>
          <w:szCs w:val="24"/>
        </w:rPr>
        <w:footnoteReference w:id="18"/>
      </w:r>
      <w:r w:rsidRPr="00E324EB" w:rsidR="005857BB">
        <w:rPr>
          <w:szCs w:val="24"/>
        </w:rPr>
        <w:t xml:space="preserve"> </w:t>
      </w:r>
      <w:r w:rsidRPr="00E324EB">
        <w:rPr>
          <w:szCs w:val="24"/>
        </w:rPr>
        <w:t>Neighborhoods that lack access to a retailer that sells</w:t>
      </w:r>
      <w:r w:rsidRPr="00E324EB" w:rsidR="001D538F">
        <w:rPr>
          <w:szCs w:val="24"/>
        </w:rPr>
        <w:t xml:space="preserve"> he</w:t>
      </w:r>
      <w:r w:rsidRPr="00E324EB" w:rsidR="00805798">
        <w:rPr>
          <w:szCs w:val="24"/>
        </w:rPr>
        <w:t>althy and affordable food have b</w:t>
      </w:r>
      <w:r w:rsidRPr="00E324EB" w:rsidR="001D538F">
        <w:rPr>
          <w:szCs w:val="24"/>
        </w:rPr>
        <w:t>een of particular concern for research and policy-making.</w:t>
      </w:r>
      <w:r w:rsidRPr="00E324EB" w:rsidR="001D538F">
        <w:rPr>
          <w:rStyle w:val="FootnoteReference"/>
          <w:szCs w:val="24"/>
        </w:rPr>
        <w:footnoteReference w:id="19"/>
      </w:r>
      <w:r w:rsidRPr="00E324EB" w:rsidR="00EB00CB">
        <w:rPr>
          <w:szCs w:val="24"/>
        </w:rPr>
        <w:t xml:space="preserve"> Recent research, however, s</w:t>
      </w:r>
      <w:r w:rsidRPr="00E324EB" w:rsidR="00EC5D44">
        <w:rPr>
          <w:szCs w:val="24"/>
        </w:rPr>
        <w:t>hows that households exhibit a g</w:t>
      </w:r>
      <w:r w:rsidRPr="00E324EB" w:rsidR="00EB00CB">
        <w:rPr>
          <w:szCs w:val="24"/>
        </w:rPr>
        <w:t>reat deal of choice in where they acquire food and what they purchase, suggesti</w:t>
      </w:r>
      <w:r w:rsidRPr="00E324EB" w:rsidR="00EC5D44">
        <w:rPr>
          <w:szCs w:val="24"/>
        </w:rPr>
        <w:t>ng that the relationships among</w:t>
      </w:r>
      <w:r w:rsidRPr="00E324EB" w:rsidR="00EB00CB">
        <w:rPr>
          <w:szCs w:val="24"/>
        </w:rPr>
        <w:t xml:space="preserve"> the food environment, foodstore access</w:t>
      </w:r>
      <w:r w:rsidRPr="00E324EB" w:rsidR="00EC5D44">
        <w:rPr>
          <w:szCs w:val="24"/>
        </w:rPr>
        <w:t>,</w:t>
      </w:r>
      <w:r w:rsidRPr="00E324EB" w:rsidR="00EB00CB">
        <w:rPr>
          <w:szCs w:val="24"/>
        </w:rPr>
        <w:t xml:space="preserve"> and diet-related health are not straightforward.</w:t>
      </w:r>
      <w:r w:rsidRPr="00E324EB" w:rsidR="00EB00CB">
        <w:rPr>
          <w:rStyle w:val="FootnoteReference"/>
          <w:szCs w:val="24"/>
        </w:rPr>
        <w:footnoteReference w:id="20"/>
      </w:r>
      <w:r w:rsidRPr="00E324EB" w:rsidR="00EC5D44">
        <w:rPr>
          <w:szCs w:val="24"/>
        </w:rPr>
        <w:t xml:space="preserve"> Food inse</w:t>
      </w:r>
      <w:r w:rsidRPr="00E324EB" w:rsidR="007F5698">
        <w:rPr>
          <w:szCs w:val="24"/>
        </w:rPr>
        <w:t xml:space="preserve">curity and food assistance program participation also have been cited as factors in the growing obesity epidemic. USDA will be in a better position to analyze these relationships if it has access to current, accurate data on household food </w:t>
      </w:r>
      <w:r w:rsidR="005E474F">
        <w:rPr>
          <w:szCs w:val="24"/>
        </w:rPr>
        <w:t>acquisition</w:t>
      </w:r>
      <w:r w:rsidRPr="00E324EB" w:rsidR="007F5698">
        <w:rPr>
          <w:szCs w:val="24"/>
        </w:rPr>
        <w:t xml:space="preserve">, food security, and the food prices and availability of healthful and less-healthful foods. </w:t>
      </w:r>
    </w:p>
    <w:p w:rsidRPr="00E324EB" w:rsidR="00E419D7" w:rsidP="0084172C" w:rsidRDefault="00E419D7" w14:paraId="2920D746" w14:textId="77777777">
      <w:pPr>
        <w:pStyle w:val="L1-FlLSp12"/>
        <w:rPr>
          <w:szCs w:val="24"/>
        </w:rPr>
      </w:pPr>
    </w:p>
    <w:p w:rsidR="00E419D7" w:rsidP="0084172C" w:rsidRDefault="00E419D7" w14:paraId="6BEF5FC3" w14:textId="3F3001A6">
      <w:pPr>
        <w:pStyle w:val="L1-FlLSp12"/>
        <w:rPr>
          <w:szCs w:val="24"/>
        </w:rPr>
      </w:pPr>
      <w:r w:rsidRPr="00E324EB">
        <w:rPr>
          <w:szCs w:val="24"/>
        </w:rPr>
        <w:t>There is also special interest in food demand among low-income households. At some point during the yea</w:t>
      </w:r>
      <w:r w:rsidRPr="00E324EB" w:rsidR="00EC5D44">
        <w:rPr>
          <w:szCs w:val="24"/>
        </w:rPr>
        <w:t>r, about one in four</w:t>
      </w:r>
      <w:r w:rsidRPr="00E324EB">
        <w:rPr>
          <w:szCs w:val="24"/>
        </w:rPr>
        <w:t xml:space="preserve"> Americans</w:t>
      </w:r>
      <w:r w:rsidRPr="00E324EB" w:rsidR="00EC5D44">
        <w:rPr>
          <w:szCs w:val="24"/>
        </w:rPr>
        <w:t xml:space="preserve"> participates in at least one</w:t>
      </w:r>
      <w:r w:rsidRPr="00E324EB">
        <w:rPr>
          <w:szCs w:val="24"/>
        </w:rPr>
        <w:t xml:space="preserve"> of USDA’s 15 domestic food and nutrition programs</w:t>
      </w:r>
      <w:r w:rsidR="00B55A64">
        <w:rPr>
          <w:szCs w:val="24"/>
        </w:rPr>
        <w:t>.</w:t>
      </w:r>
      <w:r w:rsidR="00113346">
        <w:rPr>
          <w:rStyle w:val="FootnoteReference"/>
          <w:szCs w:val="24"/>
        </w:rPr>
        <w:footnoteReference w:id="21"/>
      </w:r>
      <w:r w:rsidRPr="00E324EB">
        <w:rPr>
          <w:szCs w:val="24"/>
        </w:rPr>
        <w:t xml:space="preserve"> It is critical for USDA to</w:t>
      </w:r>
      <w:r w:rsidR="00384758">
        <w:rPr>
          <w:szCs w:val="24"/>
        </w:rPr>
        <w:t xml:space="preserve"> get updated information to </w:t>
      </w:r>
      <w:r w:rsidRPr="00E324EB">
        <w:rPr>
          <w:szCs w:val="24"/>
        </w:rPr>
        <w:t>better understand the food acquisitions of low-income, program-eligible households in order to better serve this segment of the population with efficient and effective programs.</w:t>
      </w:r>
    </w:p>
    <w:p w:rsidR="00E34FAC" w:rsidP="0084172C" w:rsidRDefault="00E34FAC" w14:paraId="7BD012C4" w14:textId="77777777">
      <w:pPr>
        <w:pStyle w:val="L1-FlLSp12"/>
      </w:pPr>
    </w:p>
    <w:p w:rsidRPr="00364A05" w:rsidR="00E34FAC" w:rsidP="0084172C" w:rsidRDefault="00E34FAC" w14:paraId="786CD3D3" w14:textId="34E13385">
      <w:pPr>
        <w:pStyle w:val="L1-FlLSp12"/>
      </w:pPr>
      <w:r>
        <w:t>The above paragraphs explain the need for the full FoodAPS-2 survey. The full survey, however, cannot be undertaken without first conducting the Field Test. The development and use of a new, native smartphone application for data collection needs to be tested in a real survey environment before the full survey.</w:t>
      </w:r>
    </w:p>
    <w:p w:rsidRPr="00E324EB" w:rsidR="00FF4A61" w:rsidP="0084172C" w:rsidRDefault="00FF4A61" w14:paraId="5939A9AF" w14:textId="77777777">
      <w:pPr>
        <w:pStyle w:val="L1-FlLSp12"/>
        <w:rPr>
          <w:i/>
          <w:szCs w:val="24"/>
        </w:rPr>
      </w:pPr>
    </w:p>
    <w:p w:rsidRPr="003702B9" w:rsidR="00271489" w:rsidP="00271489" w:rsidRDefault="00271489" w14:paraId="142F8381" w14:textId="526B4ECC">
      <w:pPr>
        <w:pStyle w:val="Heading2"/>
      </w:pPr>
      <w:bookmarkStart w:name="_Toc329341679" w:id="53"/>
      <w:bookmarkStart w:name="_Toc400376128" w:id="54"/>
      <w:bookmarkStart w:name="_Toc514067602" w:id="55"/>
      <w:bookmarkStart w:name="_Toc93499534" w:id="56"/>
      <w:bookmarkEnd w:id="52"/>
      <w:r w:rsidRPr="003702B9">
        <w:t>A.7</w:t>
      </w:r>
      <w:r w:rsidRPr="003702B9">
        <w:tab/>
        <w:t>Special Circumstances Relating to the Guidelines of 5</w:t>
      </w:r>
      <w:r w:rsidR="005857BB">
        <w:t xml:space="preserve"> </w:t>
      </w:r>
      <w:r w:rsidRPr="003702B9">
        <w:t>CFR 1320.5</w:t>
      </w:r>
      <w:bookmarkEnd w:id="53"/>
      <w:bookmarkEnd w:id="54"/>
      <w:bookmarkEnd w:id="55"/>
      <w:bookmarkEnd w:id="56"/>
    </w:p>
    <w:p w:rsidRPr="002F126A" w:rsidR="00271489" w:rsidP="00271489" w:rsidRDefault="00271489" w14:paraId="7DD4B909" w14:textId="77777777">
      <w:pPr>
        <w:pStyle w:val="L1-FlLSp12"/>
        <w:rPr>
          <w:b/>
        </w:rPr>
      </w:pPr>
      <w:bookmarkStart w:name="_Toc400376129" w:id="57"/>
      <w:r w:rsidRPr="002F126A">
        <w:rPr>
          <w:b/>
        </w:rPr>
        <w:t>Explain any special circumstances that would cause an information collection to be conducted in a manner:</w:t>
      </w:r>
      <w:bookmarkEnd w:id="57"/>
    </w:p>
    <w:p w:rsidRPr="003702B9" w:rsidR="00271489" w:rsidP="00271489" w:rsidRDefault="00271489" w14:paraId="64CB91EB" w14:textId="77777777">
      <w:pPr>
        <w:pStyle w:val="L1-FlLSp12"/>
      </w:pPr>
    </w:p>
    <w:p w:rsidRPr="00392792" w:rsidR="00271489" w:rsidP="0047782E" w:rsidRDefault="00271489" w14:paraId="70A9C3C1" w14:textId="77777777">
      <w:pPr>
        <w:pStyle w:val="N1-1stBullet"/>
        <w:rPr>
          <w:b/>
        </w:rPr>
      </w:pPr>
      <w:bookmarkStart w:name="_Toc315090007" w:id="58"/>
      <w:bookmarkStart w:name="_Toc316652478" w:id="59"/>
      <w:bookmarkStart w:name="_Toc325472105" w:id="60"/>
      <w:bookmarkStart w:name="_Toc325552279" w:id="61"/>
      <w:bookmarkStart w:name="_Toc400376130" w:id="62"/>
      <w:r w:rsidRPr="00392792">
        <w:rPr>
          <w:b/>
        </w:rPr>
        <w:t>Requiring respondents to report information to the agency more often than quarterly;</w:t>
      </w:r>
      <w:bookmarkEnd w:id="58"/>
      <w:bookmarkEnd w:id="59"/>
      <w:bookmarkEnd w:id="60"/>
      <w:bookmarkEnd w:id="61"/>
      <w:bookmarkEnd w:id="62"/>
    </w:p>
    <w:p w:rsidRPr="00392792" w:rsidR="00271489" w:rsidP="0047782E" w:rsidRDefault="00271489" w14:paraId="3BC7A5B8" w14:textId="77777777">
      <w:pPr>
        <w:pStyle w:val="N1-1stBullet"/>
        <w:rPr>
          <w:b/>
        </w:rPr>
      </w:pPr>
      <w:bookmarkStart w:name="_Toc315090008" w:id="63"/>
      <w:bookmarkStart w:name="_Toc316652479" w:id="64"/>
      <w:bookmarkStart w:name="_Toc325472106" w:id="65"/>
      <w:bookmarkStart w:name="_Toc325552280" w:id="66"/>
      <w:bookmarkStart w:name="_Toc400376131" w:id="67"/>
      <w:r w:rsidRPr="00392792">
        <w:rPr>
          <w:b/>
        </w:rPr>
        <w:t>Requiring respondents to prepare a written response to a collection of information in fewer than 30 days after receipt of it;</w:t>
      </w:r>
      <w:bookmarkEnd w:id="63"/>
      <w:bookmarkEnd w:id="64"/>
      <w:bookmarkEnd w:id="65"/>
      <w:bookmarkEnd w:id="66"/>
      <w:bookmarkEnd w:id="67"/>
    </w:p>
    <w:p w:rsidRPr="00392792" w:rsidR="00271489" w:rsidP="0047782E" w:rsidRDefault="00271489" w14:paraId="752D5F2E" w14:textId="77777777">
      <w:pPr>
        <w:pStyle w:val="N1-1stBullet"/>
        <w:rPr>
          <w:b/>
        </w:rPr>
      </w:pPr>
      <w:bookmarkStart w:name="_Toc315090009" w:id="68"/>
      <w:bookmarkStart w:name="_Toc316652480" w:id="69"/>
      <w:bookmarkStart w:name="_Toc325472107" w:id="70"/>
      <w:bookmarkStart w:name="_Toc325552281" w:id="71"/>
      <w:bookmarkStart w:name="_Toc400376132" w:id="72"/>
      <w:r w:rsidRPr="00392792">
        <w:rPr>
          <w:b/>
        </w:rPr>
        <w:t>Requiring respondents to submit more than an original and two copies of any document;</w:t>
      </w:r>
      <w:bookmarkEnd w:id="68"/>
      <w:bookmarkEnd w:id="69"/>
      <w:bookmarkEnd w:id="70"/>
      <w:bookmarkEnd w:id="71"/>
      <w:bookmarkEnd w:id="72"/>
    </w:p>
    <w:p w:rsidRPr="00392792" w:rsidR="00271489" w:rsidP="0047782E" w:rsidRDefault="00271489" w14:paraId="68A951A8" w14:textId="77777777">
      <w:pPr>
        <w:pStyle w:val="N1-1stBullet"/>
        <w:rPr>
          <w:b/>
        </w:rPr>
      </w:pPr>
      <w:bookmarkStart w:name="_Toc315090010" w:id="73"/>
      <w:bookmarkStart w:name="_Toc316652481" w:id="74"/>
      <w:bookmarkStart w:name="_Toc325472108" w:id="75"/>
      <w:bookmarkStart w:name="_Toc325552282" w:id="76"/>
      <w:bookmarkStart w:name="_Toc400376133" w:id="77"/>
      <w:r w:rsidRPr="00392792">
        <w:rPr>
          <w:b/>
        </w:rPr>
        <w:t>Requiring respondents to retain records, other than health, medical, government contract, grant-in-aid, or tax records for more than 3 years;</w:t>
      </w:r>
      <w:bookmarkEnd w:id="73"/>
      <w:bookmarkEnd w:id="74"/>
      <w:bookmarkEnd w:id="75"/>
      <w:bookmarkEnd w:id="76"/>
      <w:bookmarkEnd w:id="77"/>
    </w:p>
    <w:p w:rsidRPr="00392792" w:rsidR="00271489" w:rsidP="0047782E" w:rsidRDefault="00271489" w14:paraId="42AE943D" w14:textId="063109E8">
      <w:pPr>
        <w:pStyle w:val="N1-1stBullet"/>
        <w:rPr>
          <w:b/>
        </w:rPr>
      </w:pPr>
      <w:bookmarkStart w:name="_Toc315090011" w:id="78"/>
      <w:bookmarkStart w:name="_Toc316652482" w:id="79"/>
      <w:bookmarkStart w:name="_Toc325472109" w:id="80"/>
      <w:bookmarkStart w:name="_Toc325552283" w:id="81"/>
      <w:bookmarkStart w:name="_Toc400376134" w:id="82"/>
      <w:r w:rsidRPr="00392792">
        <w:rPr>
          <w:b/>
        </w:rPr>
        <w:t>In connection with a statistical survey, that is not designed to produce valid and reliable results that can be generalized to the universe of study;</w:t>
      </w:r>
      <w:bookmarkEnd w:id="78"/>
      <w:bookmarkEnd w:id="79"/>
      <w:bookmarkEnd w:id="80"/>
      <w:bookmarkEnd w:id="81"/>
      <w:bookmarkEnd w:id="82"/>
    </w:p>
    <w:p w:rsidRPr="00392792" w:rsidR="00271489" w:rsidP="0047782E" w:rsidRDefault="00271489" w14:paraId="3E79CBD1" w14:textId="77777777">
      <w:pPr>
        <w:pStyle w:val="N1-1stBullet"/>
        <w:rPr>
          <w:b/>
        </w:rPr>
      </w:pPr>
      <w:bookmarkStart w:name="_Toc315090012" w:id="83"/>
      <w:bookmarkStart w:name="_Toc316652483" w:id="84"/>
      <w:bookmarkStart w:name="_Toc325472110" w:id="85"/>
      <w:bookmarkStart w:name="_Toc325552284" w:id="86"/>
      <w:bookmarkStart w:name="_Toc400376135" w:id="87"/>
      <w:r w:rsidRPr="00392792">
        <w:rPr>
          <w:b/>
        </w:rPr>
        <w:t>Requiring the use of a statistical data classification that has not been reviewed and approved by OMB;</w:t>
      </w:r>
      <w:bookmarkEnd w:id="83"/>
      <w:bookmarkEnd w:id="84"/>
      <w:bookmarkEnd w:id="85"/>
      <w:bookmarkEnd w:id="86"/>
      <w:bookmarkEnd w:id="87"/>
    </w:p>
    <w:p w:rsidRPr="00392792" w:rsidR="00271489" w:rsidP="0047782E" w:rsidRDefault="00271489" w14:paraId="618CDABA" w14:textId="77777777">
      <w:pPr>
        <w:pStyle w:val="N1-1stBullet"/>
        <w:rPr>
          <w:b/>
        </w:rPr>
      </w:pPr>
      <w:bookmarkStart w:name="_Toc315090013" w:id="88"/>
      <w:bookmarkStart w:name="_Toc316652484" w:id="89"/>
      <w:bookmarkStart w:name="_Toc325472111" w:id="90"/>
      <w:bookmarkStart w:name="_Toc325552285" w:id="91"/>
      <w:bookmarkStart w:name="_Toc400376136" w:id="92"/>
      <w:r w:rsidRPr="0039279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name="_Toc315090014" w:id="93"/>
      <w:bookmarkStart w:name="_Toc316652485" w:id="94"/>
      <w:bookmarkStart w:name="_Toc325472112" w:id="95"/>
      <w:bookmarkStart w:name="_Toc325552286" w:id="96"/>
      <w:bookmarkEnd w:id="88"/>
      <w:bookmarkEnd w:id="89"/>
      <w:bookmarkEnd w:id="90"/>
      <w:bookmarkEnd w:id="91"/>
      <w:bookmarkEnd w:id="92"/>
    </w:p>
    <w:p w:rsidRPr="00392792" w:rsidR="00271489" w:rsidP="0047782E" w:rsidRDefault="00271489" w14:paraId="73B00E8C" w14:textId="77777777">
      <w:pPr>
        <w:pStyle w:val="N1-1stBullet"/>
        <w:rPr>
          <w:b/>
        </w:rPr>
      </w:pPr>
      <w:bookmarkStart w:name="_Toc400376137" w:id="97"/>
      <w:r w:rsidRPr="00392792">
        <w:rPr>
          <w:b/>
        </w:rPr>
        <w:t>Requiring respondents to submit proprietary trade secret, or other confidential information unless the agency can demonstrate that it has instituted procedures to protect the information’s confidentiality to the extent permitted by law.</w:t>
      </w:r>
      <w:bookmarkEnd w:id="93"/>
      <w:bookmarkEnd w:id="94"/>
      <w:bookmarkEnd w:id="95"/>
      <w:bookmarkEnd w:id="96"/>
      <w:bookmarkEnd w:id="97"/>
    </w:p>
    <w:p w:rsidRPr="00E324EB" w:rsidR="004B415F" w:rsidP="00271489" w:rsidRDefault="00271489" w14:paraId="442B102A" w14:textId="77777777">
      <w:pPr>
        <w:pStyle w:val="L1-FlLSp12"/>
        <w:rPr>
          <w:szCs w:val="24"/>
        </w:rPr>
      </w:pPr>
      <w:r w:rsidRPr="00E324EB">
        <w:rPr>
          <w:szCs w:val="24"/>
        </w:rPr>
        <w:t>There are no special circumstances relating to the guidelines of 5 CFR 1320.5. This request fully complies with 5 CFR 1320.5</w:t>
      </w:r>
      <w:r w:rsidRPr="00E324EB" w:rsidR="00EC5D44">
        <w:rPr>
          <w:szCs w:val="24"/>
        </w:rPr>
        <w:t>.</w:t>
      </w:r>
    </w:p>
    <w:p w:rsidRPr="00E324EB" w:rsidR="00235B81" w:rsidP="00271489" w:rsidRDefault="00235B81" w14:paraId="7E91A4F9" w14:textId="77777777">
      <w:pPr>
        <w:pStyle w:val="L1-FlLSp12"/>
        <w:rPr>
          <w:szCs w:val="24"/>
        </w:rPr>
      </w:pPr>
    </w:p>
    <w:p w:rsidRPr="003702B9" w:rsidR="00271489" w:rsidP="00271489" w:rsidRDefault="00271489" w14:paraId="06E3AB9F" w14:textId="47072BF4">
      <w:pPr>
        <w:pStyle w:val="Heading2"/>
      </w:pPr>
      <w:bookmarkStart w:name="_Toc286158956" w:id="98"/>
      <w:bookmarkStart w:name="_Toc286160544" w:id="99"/>
      <w:bookmarkStart w:name="_Toc290021767" w:id="100"/>
      <w:bookmarkStart w:name="_Toc329341681" w:id="101"/>
      <w:bookmarkStart w:name="_Toc400376138" w:id="102"/>
      <w:bookmarkStart w:name="_Toc514067603" w:id="103"/>
      <w:bookmarkStart w:name="_Toc93499535" w:id="104"/>
      <w:r w:rsidRPr="003702B9">
        <w:t>A.8</w:t>
      </w:r>
      <w:r w:rsidRPr="003702B9">
        <w:tab/>
      </w:r>
      <w:bookmarkEnd w:id="98"/>
      <w:bookmarkEnd w:id="99"/>
      <w:bookmarkEnd w:id="100"/>
      <w:r w:rsidRPr="003702B9">
        <w:t xml:space="preserve">Responses to the </w:t>
      </w:r>
      <w:r w:rsidRPr="007536EC">
        <w:rPr>
          <w:i/>
        </w:rPr>
        <w:t>Federal Register</w:t>
      </w:r>
      <w:r w:rsidRPr="003702B9">
        <w:t xml:space="preserve"> Notice and Efforts to Contact Outside Agencies</w:t>
      </w:r>
      <w:bookmarkStart w:name="_Toc280797903" w:id="105"/>
      <w:bookmarkEnd w:id="101"/>
      <w:bookmarkEnd w:id="102"/>
      <w:bookmarkEnd w:id="103"/>
      <w:bookmarkEnd w:id="104"/>
    </w:p>
    <w:p w:rsidRPr="002F126A" w:rsidR="00271489" w:rsidP="00271489" w:rsidRDefault="00271489" w14:paraId="673BB85E" w14:textId="77777777">
      <w:pPr>
        <w:pStyle w:val="L1-FlLSp12"/>
        <w:rPr>
          <w:b/>
        </w:rPr>
      </w:pPr>
      <w:bookmarkStart w:name="_Toc400376139" w:id="106"/>
      <w:r w:rsidRPr="002F126A">
        <w:rPr>
          <w:b/>
        </w:rPr>
        <w:t xml:space="preserve">If applicable, identify the date and page number of publication in the </w:t>
      </w:r>
      <w:r w:rsidRPr="007536EC">
        <w:rPr>
          <w:b/>
          <w:i/>
        </w:rPr>
        <w:t>Federal Register</w:t>
      </w:r>
      <w:r w:rsidRPr="002F126A">
        <w:rPr>
          <w:b/>
        </w:rPr>
        <w:t xml:space="preserve"> of the agency’s notice, soliciting comments on the information collection prior to submission to OMB. Summarize public comments received in response to that notice and describe actions taken by the agency in response to these comments.</w:t>
      </w:r>
      <w:bookmarkEnd w:id="106"/>
    </w:p>
    <w:p w:rsidR="00530717" w:rsidP="00271489" w:rsidRDefault="00530717" w14:paraId="16374BA9" w14:textId="77777777">
      <w:pPr>
        <w:pStyle w:val="L1-FlLSp12"/>
        <w:rPr>
          <w:b/>
        </w:rPr>
      </w:pPr>
      <w:bookmarkStart w:name="_Toc316652487" w:id="107"/>
      <w:bookmarkStart w:name="_Toc325472114" w:id="108"/>
      <w:bookmarkStart w:name="_Toc325552288" w:id="109"/>
      <w:bookmarkStart w:name="_Toc400376140" w:id="110"/>
    </w:p>
    <w:p w:rsidRPr="002F126A" w:rsidR="00271489" w:rsidP="00271489" w:rsidRDefault="00271489" w14:paraId="791CE488" w14:textId="03740D85">
      <w:pPr>
        <w:pStyle w:val="L1-FlLSp12"/>
        <w:rPr>
          <w:b/>
        </w:rPr>
      </w:pPr>
      <w:r w:rsidRPr="002F126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07"/>
      <w:bookmarkEnd w:id="108"/>
      <w:bookmarkEnd w:id="109"/>
      <w:bookmarkEnd w:id="110"/>
    </w:p>
    <w:p w:rsidR="000D1235" w:rsidP="00BF24F1" w:rsidRDefault="000D1235" w14:paraId="75A0C5F3" w14:textId="5E9DDD6D">
      <w:pPr>
        <w:pStyle w:val="L1-FlLSp12"/>
        <w:rPr>
          <w:szCs w:val="24"/>
        </w:rPr>
      </w:pPr>
    </w:p>
    <w:p w:rsidRPr="00820C86" w:rsidR="002D5665" w:rsidP="002D5665" w:rsidRDefault="002D5665" w14:paraId="089226AF" w14:textId="27B56FBE">
      <w:pPr>
        <w:pStyle w:val="Heading5"/>
        <w:tabs>
          <w:tab w:val="clear" w:pos="1152"/>
        </w:tabs>
        <w:ind w:left="0" w:firstLine="0"/>
        <w:rPr>
          <w:rFonts w:ascii="Garamond" w:hAnsi="Garamond"/>
          <w:b w:val="0"/>
          <w:i w:val="0"/>
          <w:szCs w:val="24"/>
        </w:rPr>
      </w:pPr>
      <w:r w:rsidRPr="00820C86">
        <w:rPr>
          <w:rFonts w:ascii="Garamond" w:hAnsi="Garamond"/>
          <w:b w:val="0"/>
          <w:i w:val="0"/>
          <w:szCs w:val="24"/>
        </w:rPr>
        <w:t xml:space="preserve">ERS published </w:t>
      </w:r>
      <w:r>
        <w:rPr>
          <w:rFonts w:ascii="Garamond" w:hAnsi="Garamond"/>
          <w:b w:val="0"/>
          <w:i w:val="0"/>
          <w:szCs w:val="24"/>
        </w:rPr>
        <w:t>a</w:t>
      </w:r>
      <w:r w:rsidRPr="00820C86">
        <w:rPr>
          <w:rFonts w:ascii="Garamond" w:hAnsi="Garamond"/>
          <w:b w:val="0"/>
          <w:i w:val="0"/>
          <w:szCs w:val="24"/>
        </w:rPr>
        <w:t xml:space="preserve"> notice on </w:t>
      </w:r>
      <w:r>
        <w:rPr>
          <w:rFonts w:ascii="Garamond" w:hAnsi="Garamond"/>
          <w:b w:val="0"/>
          <w:i w:val="0"/>
          <w:szCs w:val="24"/>
        </w:rPr>
        <w:t>November 1, 2021</w:t>
      </w:r>
      <w:r w:rsidRPr="00820C86">
        <w:rPr>
          <w:rFonts w:ascii="Garamond" w:hAnsi="Garamond"/>
          <w:b w:val="0"/>
          <w:i w:val="0"/>
          <w:szCs w:val="24"/>
        </w:rPr>
        <w:t xml:space="preserve"> in the Federal Register, Document Citation: Volume 8</w:t>
      </w:r>
      <w:r>
        <w:rPr>
          <w:rFonts w:ascii="Garamond" w:hAnsi="Garamond"/>
          <w:b w:val="0"/>
          <w:i w:val="0"/>
          <w:szCs w:val="24"/>
        </w:rPr>
        <w:t>6</w:t>
      </w:r>
      <w:r w:rsidRPr="00820C86">
        <w:rPr>
          <w:rFonts w:ascii="Garamond" w:hAnsi="Garamond"/>
          <w:b w:val="0"/>
          <w:i w:val="0"/>
          <w:szCs w:val="24"/>
        </w:rPr>
        <w:t xml:space="preserve">, No. </w:t>
      </w:r>
      <w:r>
        <w:rPr>
          <w:rFonts w:ascii="Garamond" w:hAnsi="Garamond"/>
          <w:b w:val="0"/>
          <w:i w:val="0"/>
          <w:szCs w:val="24"/>
        </w:rPr>
        <w:t>208</w:t>
      </w:r>
      <w:r w:rsidRPr="00820C86">
        <w:rPr>
          <w:rFonts w:ascii="Garamond" w:hAnsi="Garamond"/>
          <w:b w:val="0"/>
          <w:i w:val="0"/>
          <w:szCs w:val="24"/>
        </w:rPr>
        <w:t xml:space="preserve"> </w:t>
      </w:r>
      <w:r>
        <w:rPr>
          <w:rFonts w:ascii="Garamond" w:hAnsi="Garamond"/>
          <w:b w:val="0"/>
          <w:i w:val="0"/>
          <w:szCs w:val="24"/>
        </w:rPr>
        <w:t>November 1, 2021</w:t>
      </w:r>
      <w:r w:rsidRPr="00820C86">
        <w:rPr>
          <w:rFonts w:ascii="Garamond" w:hAnsi="Garamond"/>
          <w:b w:val="0"/>
          <w:i w:val="0"/>
          <w:szCs w:val="24"/>
        </w:rPr>
        <w:t xml:space="preserve">, pages </w:t>
      </w:r>
      <w:r>
        <w:rPr>
          <w:rFonts w:ascii="Garamond" w:hAnsi="Garamond"/>
          <w:b w:val="0"/>
          <w:i w:val="0"/>
          <w:szCs w:val="24"/>
        </w:rPr>
        <w:t>60198</w:t>
      </w:r>
      <w:r w:rsidRPr="00820C86">
        <w:rPr>
          <w:rFonts w:ascii="Garamond" w:hAnsi="Garamond"/>
          <w:b w:val="0"/>
          <w:i w:val="0"/>
          <w:szCs w:val="24"/>
        </w:rPr>
        <w:t>-</w:t>
      </w:r>
      <w:r>
        <w:rPr>
          <w:rFonts w:ascii="Garamond" w:hAnsi="Garamond"/>
          <w:b w:val="0"/>
          <w:i w:val="0"/>
          <w:szCs w:val="24"/>
        </w:rPr>
        <w:t>60200</w:t>
      </w:r>
      <w:r w:rsidRPr="00820C86">
        <w:rPr>
          <w:rFonts w:ascii="Garamond" w:hAnsi="Garamond"/>
          <w:b w:val="0"/>
          <w:i w:val="0"/>
          <w:szCs w:val="24"/>
        </w:rPr>
        <w:t xml:space="preserve">, Document Number: </w:t>
      </w:r>
      <w:r w:rsidRPr="00C41D98">
        <w:rPr>
          <w:rFonts w:ascii="Garamond" w:hAnsi="Garamond"/>
          <w:b w:val="0"/>
          <w:i w:val="0"/>
          <w:szCs w:val="24"/>
        </w:rPr>
        <w:t>2021–23655</w:t>
      </w:r>
      <w:r>
        <w:rPr>
          <w:rFonts w:ascii="Garamond" w:hAnsi="Garamond"/>
          <w:b w:val="0"/>
          <w:i w:val="0"/>
          <w:szCs w:val="24"/>
        </w:rPr>
        <w:t xml:space="preserve"> (Attachment Y2)</w:t>
      </w:r>
      <w:r w:rsidRPr="00820C86">
        <w:rPr>
          <w:rFonts w:ascii="Garamond" w:hAnsi="Garamond"/>
          <w:b w:val="0"/>
          <w:i w:val="0"/>
          <w:szCs w:val="24"/>
        </w:rPr>
        <w:t xml:space="preserve">. The 60-day period for public comments ended </w:t>
      </w:r>
      <w:r>
        <w:rPr>
          <w:rFonts w:ascii="Garamond" w:hAnsi="Garamond"/>
          <w:b w:val="0"/>
          <w:i w:val="0"/>
          <w:szCs w:val="24"/>
        </w:rPr>
        <w:t>January 3, 2022</w:t>
      </w:r>
      <w:r w:rsidRPr="00820C86">
        <w:rPr>
          <w:rFonts w:ascii="Garamond" w:hAnsi="Garamond"/>
          <w:b w:val="0"/>
          <w:i w:val="0"/>
          <w:szCs w:val="24"/>
        </w:rPr>
        <w:t xml:space="preserve">. </w:t>
      </w:r>
    </w:p>
    <w:p w:rsidR="002D5665" w:rsidP="002D5665" w:rsidRDefault="002D5665" w14:paraId="69E2B50E" w14:textId="77777777">
      <w:pPr>
        <w:pStyle w:val="L1-FlLSp12"/>
        <w:rPr>
          <w:szCs w:val="24"/>
        </w:rPr>
      </w:pPr>
      <w:r w:rsidRPr="00820C86">
        <w:rPr>
          <w:szCs w:val="24"/>
        </w:rPr>
        <w:t xml:space="preserve">ERS received </w:t>
      </w:r>
      <w:r>
        <w:rPr>
          <w:szCs w:val="24"/>
        </w:rPr>
        <w:t>3</w:t>
      </w:r>
      <w:r w:rsidRPr="00820C86">
        <w:rPr>
          <w:szCs w:val="24"/>
        </w:rPr>
        <w:t xml:space="preserve"> comments</w:t>
      </w:r>
      <w:r>
        <w:rPr>
          <w:szCs w:val="24"/>
        </w:rPr>
        <w:t xml:space="preserve"> on the November 1 Federal Register Notice. Each comment is summarized below, followed by the ERS response. The full text of each comment is provided in a series of Attachments S11—S13. </w:t>
      </w:r>
    </w:p>
    <w:p w:rsidR="002D5665" w:rsidP="002D5665" w:rsidRDefault="002D5665" w14:paraId="3948BDBE" w14:textId="77777777">
      <w:pPr>
        <w:pStyle w:val="L1-FlLSp12"/>
        <w:rPr>
          <w:szCs w:val="24"/>
        </w:rPr>
      </w:pPr>
    </w:p>
    <w:p w:rsidR="002D5665" w:rsidP="002D5665" w:rsidRDefault="002D5665" w14:paraId="36A3EBD4" w14:textId="77777777">
      <w:pPr>
        <w:spacing w:line="360" w:lineRule="atLeast"/>
        <w:rPr>
          <w:sz w:val="23"/>
          <w:szCs w:val="23"/>
        </w:rPr>
      </w:pPr>
      <w:r w:rsidRPr="00240E06">
        <w:rPr>
          <w:b/>
          <w:bCs/>
          <w:sz w:val="23"/>
          <w:szCs w:val="23"/>
        </w:rPr>
        <w:t>Comment</w:t>
      </w:r>
      <w:r>
        <w:rPr>
          <w:b/>
          <w:bCs/>
          <w:sz w:val="23"/>
          <w:szCs w:val="23"/>
        </w:rPr>
        <w:t>s</w:t>
      </w:r>
      <w:r w:rsidRPr="00240E06">
        <w:rPr>
          <w:b/>
          <w:bCs/>
          <w:sz w:val="23"/>
          <w:szCs w:val="23"/>
        </w:rPr>
        <w:t xml:space="preserve"> #1</w:t>
      </w:r>
      <w:r>
        <w:rPr>
          <w:b/>
          <w:bCs/>
          <w:sz w:val="23"/>
          <w:szCs w:val="23"/>
        </w:rPr>
        <w:t xml:space="preserve"> and #3</w:t>
      </w:r>
      <w:r>
        <w:rPr>
          <w:sz w:val="23"/>
          <w:szCs w:val="23"/>
        </w:rPr>
        <w:t xml:space="preserve">: The first and third commentors requested copies of the documents planned for the data collection. Mr. Gonzalez replied to each request in January 2022, and his responses are included with each request. </w:t>
      </w:r>
    </w:p>
    <w:p w:rsidR="002D5665" w:rsidP="002D5665" w:rsidRDefault="002D5665" w14:paraId="499AFAA2" w14:textId="77777777">
      <w:pPr>
        <w:spacing w:line="360" w:lineRule="atLeast"/>
        <w:rPr>
          <w:szCs w:val="24"/>
        </w:rPr>
      </w:pPr>
    </w:p>
    <w:p w:rsidR="002D5665" w:rsidP="002D5665" w:rsidRDefault="002D5665" w14:paraId="598DF1CA" w14:textId="77777777">
      <w:pPr>
        <w:spacing w:line="360" w:lineRule="atLeast"/>
        <w:rPr>
          <w:sz w:val="23"/>
          <w:szCs w:val="23"/>
        </w:rPr>
      </w:pPr>
      <w:r w:rsidRPr="00240E06">
        <w:rPr>
          <w:b/>
          <w:bCs/>
          <w:sz w:val="23"/>
          <w:szCs w:val="23"/>
        </w:rPr>
        <w:t>Comment #2</w:t>
      </w:r>
      <w:r>
        <w:rPr>
          <w:sz w:val="23"/>
          <w:szCs w:val="23"/>
        </w:rPr>
        <w:t xml:space="preserve">:  The second commentor said that the Federal government should not be wasting taxpayer dollars on this survey. </w:t>
      </w:r>
    </w:p>
    <w:p w:rsidR="002D5665" w:rsidP="002D5665" w:rsidRDefault="002D5665" w14:paraId="3581C387" w14:textId="77777777">
      <w:pPr>
        <w:spacing w:line="360" w:lineRule="atLeast"/>
        <w:ind w:left="720"/>
        <w:rPr>
          <w:sz w:val="23"/>
          <w:szCs w:val="23"/>
        </w:rPr>
      </w:pPr>
    </w:p>
    <w:p w:rsidR="002D5665" w:rsidP="002D5665" w:rsidRDefault="002D5665" w14:paraId="4E36D028" w14:textId="77777777">
      <w:pPr>
        <w:spacing w:line="360" w:lineRule="atLeast"/>
        <w:ind w:left="720"/>
        <w:rPr>
          <w:sz w:val="23"/>
          <w:szCs w:val="23"/>
        </w:rPr>
      </w:pPr>
      <w:r w:rsidRPr="00240E06">
        <w:rPr>
          <w:i/>
          <w:iCs/>
          <w:sz w:val="23"/>
          <w:szCs w:val="23"/>
        </w:rPr>
        <w:t>USDA Response</w:t>
      </w:r>
      <w:r>
        <w:rPr>
          <w:sz w:val="23"/>
          <w:szCs w:val="23"/>
        </w:rPr>
        <w:t>:</w:t>
      </w:r>
    </w:p>
    <w:p w:rsidR="002D5665" w:rsidP="002D5665" w:rsidRDefault="002D5665" w14:paraId="50FB1B65" w14:textId="768C8976">
      <w:pPr>
        <w:spacing w:line="360" w:lineRule="atLeast"/>
        <w:ind w:left="720"/>
        <w:rPr>
          <w:sz w:val="23"/>
          <w:szCs w:val="23"/>
        </w:rPr>
      </w:pPr>
      <w:r>
        <w:rPr>
          <w:sz w:val="23"/>
          <w:szCs w:val="23"/>
        </w:rPr>
        <w:t xml:space="preserve">“USDA believes that Federal policy should be empirically-driven, and that survey data are needed </w:t>
      </w:r>
      <w:r w:rsidRPr="00820C86">
        <w:rPr>
          <w:sz w:val="23"/>
          <w:szCs w:val="23"/>
        </w:rPr>
        <w:t xml:space="preserve">to help Federal food assistance and nutrition agencies and policy makers improve programs designed to improve </w:t>
      </w:r>
      <w:r>
        <w:rPr>
          <w:sz w:val="23"/>
          <w:szCs w:val="23"/>
        </w:rPr>
        <w:t xml:space="preserve">the </w:t>
      </w:r>
      <w:r w:rsidRPr="00820C86">
        <w:rPr>
          <w:sz w:val="23"/>
          <w:szCs w:val="23"/>
        </w:rPr>
        <w:t>nutrition and health of low-income households</w:t>
      </w:r>
      <w:r>
        <w:rPr>
          <w:sz w:val="23"/>
          <w:szCs w:val="23"/>
        </w:rPr>
        <w:t>.”</w:t>
      </w:r>
      <w:r w:rsidRPr="00820C86">
        <w:rPr>
          <w:sz w:val="23"/>
          <w:szCs w:val="23"/>
        </w:rPr>
        <w:t xml:space="preserve">  </w:t>
      </w:r>
    </w:p>
    <w:p w:rsidR="002D5665" w:rsidP="001F3975" w:rsidRDefault="002D5665" w14:paraId="2C61C5E7" w14:textId="77777777">
      <w:pPr>
        <w:spacing w:line="360" w:lineRule="atLeast"/>
        <w:ind w:left="720"/>
      </w:pPr>
    </w:p>
    <w:p w:rsidRPr="00820C86" w:rsidR="00BF24F1" w:rsidP="00BF24F1" w:rsidRDefault="00BF24F1" w14:paraId="05C9CFF6" w14:textId="13B098DE">
      <w:pPr>
        <w:pStyle w:val="Heading5"/>
        <w:tabs>
          <w:tab w:val="clear" w:pos="1152"/>
        </w:tabs>
        <w:ind w:left="0" w:firstLine="0"/>
        <w:rPr>
          <w:rFonts w:ascii="Garamond" w:hAnsi="Garamond"/>
          <w:b w:val="0"/>
          <w:i w:val="0"/>
          <w:szCs w:val="24"/>
        </w:rPr>
      </w:pPr>
      <w:r w:rsidRPr="00820C86">
        <w:rPr>
          <w:rFonts w:ascii="Garamond" w:hAnsi="Garamond"/>
          <w:b w:val="0"/>
          <w:i w:val="0"/>
          <w:szCs w:val="24"/>
        </w:rPr>
        <w:t xml:space="preserve">ERS </w:t>
      </w:r>
      <w:r w:rsidR="002D5665">
        <w:rPr>
          <w:rFonts w:ascii="Garamond" w:hAnsi="Garamond"/>
          <w:b w:val="0"/>
          <w:i w:val="0"/>
          <w:szCs w:val="24"/>
        </w:rPr>
        <w:t xml:space="preserve">also </w:t>
      </w:r>
      <w:r w:rsidRPr="00820C86">
        <w:rPr>
          <w:rFonts w:ascii="Garamond" w:hAnsi="Garamond"/>
          <w:b w:val="0"/>
          <w:i w:val="0"/>
          <w:szCs w:val="24"/>
        </w:rPr>
        <w:t>published a notice on July 15, 2019 in the Federal Register, Document Citation: Volume 84, No. 135 July 15, 2019, pages 33735-33737, Document Number: 2019–14937</w:t>
      </w:r>
      <w:r w:rsidR="00A511EB">
        <w:rPr>
          <w:rFonts w:ascii="Garamond" w:hAnsi="Garamond"/>
          <w:b w:val="0"/>
          <w:i w:val="0"/>
          <w:szCs w:val="24"/>
        </w:rPr>
        <w:t xml:space="preserve"> (Attachment Y</w:t>
      </w:r>
      <w:r w:rsidR="00C41D98">
        <w:rPr>
          <w:rFonts w:ascii="Garamond" w:hAnsi="Garamond"/>
          <w:b w:val="0"/>
          <w:i w:val="0"/>
          <w:szCs w:val="24"/>
        </w:rPr>
        <w:t>1</w:t>
      </w:r>
      <w:r w:rsidR="00A511EB">
        <w:rPr>
          <w:rFonts w:ascii="Garamond" w:hAnsi="Garamond"/>
          <w:b w:val="0"/>
          <w:i w:val="0"/>
          <w:szCs w:val="24"/>
        </w:rPr>
        <w:t>)</w:t>
      </w:r>
      <w:r w:rsidRPr="00820C86">
        <w:rPr>
          <w:rFonts w:ascii="Garamond" w:hAnsi="Garamond"/>
          <w:b w:val="0"/>
          <w:i w:val="0"/>
          <w:szCs w:val="24"/>
        </w:rPr>
        <w:t xml:space="preserve">. The 60-day period for public comments ended September 13, 2019. </w:t>
      </w:r>
    </w:p>
    <w:p w:rsidR="00BF24F1" w:rsidP="00BF24F1" w:rsidRDefault="00BF24F1" w14:paraId="2A3BD3BB" w14:textId="4FE1FAFD">
      <w:pPr>
        <w:pStyle w:val="L1-FlLSp12"/>
        <w:rPr>
          <w:szCs w:val="24"/>
        </w:rPr>
      </w:pPr>
      <w:r w:rsidRPr="00820C86">
        <w:rPr>
          <w:szCs w:val="24"/>
        </w:rPr>
        <w:t>ERS received ten comments</w:t>
      </w:r>
      <w:r>
        <w:rPr>
          <w:szCs w:val="24"/>
        </w:rPr>
        <w:t xml:space="preserve"> on the July 15 Federal Register Notice. Each comment is summarized below, followed by the ERS response. The full text of each comment is provided in </w:t>
      </w:r>
      <w:r w:rsidR="00A511EB">
        <w:rPr>
          <w:szCs w:val="24"/>
        </w:rPr>
        <w:t xml:space="preserve">a series of Attachments S1—S10. </w:t>
      </w:r>
    </w:p>
    <w:p w:rsidRPr="00820C86" w:rsidR="00BF24F1" w:rsidP="00BF24F1" w:rsidRDefault="00BF24F1" w14:paraId="54366BB9" w14:textId="77777777">
      <w:pPr>
        <w:spacing w:line="360" w:lineRule="atLeast"/>
        <w:rPr>
          <w:sz w:val="23"/>
          <w:szCs w:val="23"/>
        </w:rPr>
      </w:pPr>
    </w:p>
    <w:p w:rsidR="00BF24F1" w:rsidP="00BF24F1" w:rsidRDefault="00BF24F1" w14:paraId="46CF7A4A" w14:textId="77777777">
      <w:pPr>
        <w:spacing w:line="360" w:lineRule="atLeast"/>
        <w:rPr>
          <w:sz w:val="23"/>
          <w:szCs w:val="23"/>
        </w:rPr>
      </w:pPr>
      <w:r w:rsidRPr="00240E06">
        <w:rPr>
          <w:b/>
          <w:bCs/>
          <w:sz w:val="23"/>
          <w:szCs w:val="23"/>
        </w:rPr>
        <w:t>Comment #1</w:t>
      </w:r>
      <w:r>
        <w:rPr>
          <w:sz w:val="23"/>
          <w:szCs w:val="23"/>
        </w:rPr>
        <w:t xml:space="preserve">: The first commentor said that the language of the document was too complex. It is unclear whether the instruments for the planned Field Test or the </w:t>
      </w:r>
      <w:r w:rsidRPr="00B77321">
        <w:rPr>
          <w:i/>
          <w:iCs/>
          <w:sz w:val="23"/>
          <w:szCs w:val="23"/>
        </w:rPr>
        <w:t>Federal Register Notice</w:t>
      </w:r>
      <w:r>
        <w:rPr>
          <w:sz w:val="23"/>
          <w:szCs w:val="23"/>
        </w:rPr>
        <w:t xml:space="preserve"> itself was being referenced. As for the instruments, USDA responds as follows:</w:t>
      </w:r>
    </w:p>
    <w:p w:rsidR="00BF24F1" w:rsidP="00BF24F1" w:rsidRDefault="00BF24F1" w14:paraId="209339CF" w14:textId="77777777">
      <w:pPr>
        <w:spacing w:line="360" w:lineRule="atLeast"/>
        <w:rPr>
          <w:sz w:val="23"/>
          <w:szCs w:val="23"/>
        </w:rPr>
      </w:pPr>
    </w:p>
    <w:p w:rsidR="00BF24F1" w:rsidP="00BF24F1" w:rsidRDefault="00BF24F1" w14:paraId="4B1D7445" w14:textId="77777777">
      <w:pPr>
        <w:spacing w:line="360" w:lineRule="atLeast"/>
        <w:ind w:left="720"/>
        <w:rPr>
          <w:sz w:val="23"/>
          <w:szCs w:val="23"/>
        </w:rPr>
      </w:pPr>
      <w:r w:rsidRPr="00240E06">
        <w:rPr>
          <w:i/>
          <w:iCs/>
          <w:sz w:val="23"/>
          <w:szCs w:val="23"/>
        </w:rPr>
        <w:t>USDA Response</w:t>
      </w:r>
      <w:r>
        <w:rPr>
          <w:sz w:val="23"/>
          <w:szCs w:val="23"/>
        </w:rPr>
        <w:t>:</w:t>
      </w:r>
    </w:p>
    <w:p w:rsidR="00BF24F1" w:rsidP="00BF24F1" w:rsidRDefault="00BF24F1" w14:paraId="44024C24" w14:textId="77777777">
      <w:pPr>
        <w:spacing w:line="360" w:lineRule="atLeast"/>
        <w:ind w:left="720"/>
        <w:rPr>
          <w:sz w:val="23"/>
          <w:szCs w:val="23"/>
        </w:rPr>
      </w:pPr>
      <w:r>
        <w:rPr>
          <w:sz w:val="23"/>
          <w:szCs w:val="23"/>
        </w:rPr>
        <w:t>“The questions for the planned Field Test have all either been used previously in similar surveys with similar respondent populations or cognitively tested, or both. In addition, the FoodLogger app has been tested for useability by [Census], and this useability testing included an assessment of question wording and complexity. USDA believes that question wordings in the survey instruments and instructions are appropriate for the planned respondent universe.”</w:t>
      </w:r>
    </w:p>
    <w:p w:rsidR="00BF24F1" w:rsidP="00BF24F1" w:rsidRDefault="00BF24F1" w14:paraId="272FC916" w14:textId="77777777">
      <w:pPr>
        <w:spacing w:line="360" w:lineRule="atLeast"/>
        <w:rPr>
          <w:sz w:val="23"/>
          <w:szCs w:val="23"/>
        </w:rPr>
      </w:pPr>
    </w:p>
    <w:p w:rsidR="00BF24F1" w:rsidP="00BF24F1" w:rsidRDefault="00BF24F1" w14:paraId="6F4219D2" w14:textId="77777777">
      <w:pPr>
        <w:spacing w:line="360" w:lineRule="atLeast"/>
        <w:rPr>
          <w:sz w:val="23"/>
          <w:szCs w:val="23"/>
        </w:rPr>
      </w:pPr>
      <w:r w:rsidRPr="00240E06">
        <w:rPr>
          <w:b/>
          <w:bCs/>
          <w:sz w:val="23"/>
          <w:szCs w:val="23"/>
        </w:rPr>
        <w:t>Comment #2</w:t>
      </w:r>
      <w:r>
        <w:rPr>
          <w:sz w:val="23"/>
          <w:szCs w:val="23"/>
        </w:rPr>
        <w:t xml:space="preserve">:  The second commentor said that the Federal government should not be wasting taxpayer dollars on this survey and should not be offering respondents an incentive to complete the survey. </w:t>
      </w:r>
    </w:p>
    <w:p w:rsidR="00BF24F1" w:rsidP="00BF24F1" w:rsidRDefault="00BF24F1" w14:paraId="55E57C68" w14:textId="77777777">
      <w:pPr>
        <w:spacing w:line="360" w:lineRule="atLeast"/>
        <w:ind w:left="720"/>
        <w:rPr>
          <w:sz w:val="23"/>
          <w:szCs w:val="23"/>
        </w:rPr>
      </w:pPr>
    </w:p>
    <w:p w:rsidR="00BF24F1" w:rsidP="00BF24F1" w:rsidRDefault="00BF24F1" w14:paraId="5FE28A01" w14:textId="77777777">
      <w:pPr>
        <w:spacing w:line="360" w:lineRule="atLeast"/>
        <w:ind w:left="720"/>
        <w:rPr>
          <w:sz w:val="23"/>
          <w:szCs w:val="23"/>
        </w:rPr>
      </w:pPr>
      <w:r w:rsidRPr="00240E06">
        <w:rPr>
          <w:i/>
          <w:iCs/>
          <w:sz w:val="23"/>
          <w:szCs w:val="23"/>
        </w:rPr>
        <w:t>USDA Response</w:t>
      </w:r>
      <w:r>
        <w:rPr>
          <w:sz w:val="23"/>
          <w:szCs w:val="23"/>
        </w:rPr>
        <w:t>:</w:t>
      </w:r>
    </w:p>
    <w:p w:rsidR="00BF24F1" w:rsidP="00BF24F1" w:rsidRDefault="00BF24F1" w14:paraId="10D53B9B" w14:textId="77777777">
      <w:pPr>
        <w:spacing w:line="360" w:lineRule="atLeast"/>
        <w:ind w:left="720"/>
        <w:rPr>
          <w:sz w:val="23"/>
          <w:szCs w:val="23"/>
        </w:rPr>
      </w:pPr>
      <w:r>
        <w:rPr>
          <w:sz w:val="23"/>
          <w:szCs w:val="23"/>
        </w:rPr>
        <w:t xml:space="preserve">“USDA believes that Federal policy should be empirically-driven, and that survey data are needed </w:t>
      </w:r>
      <w:r w:rsidRPr="00820C86">
        <w:rPr>
          <w:sz w:val="23"/>
          <w:szCs w:val="23"/>
        </w:rPr>
        <w:t xml:space="preserve">to help Federal food assistance and nutrition agencies and policy makers improve programs designed to improve </w:t>
      </w:r>
      <w:r>
        <w:rPr>
          <w:sz w:val="23"/>
          <w:szCs w:val="23"/>
        </w:rPr>
        <w:t xml:space="preserve">the </w:t>
      </w:r>
      <w:r w:rsidRPr="00820C86">
        <w:rPr>
          <w:sz w:val="23"/>
          <w:szCs w:val="23"/>
        </w:rPr>
        <w:t>nutrition and health of low-income households.</w:t>
      </w:r>
      <w:r>
        <w:rPr>
          <w:sz w:val="23"/>
          <w:szCs w:val="23"/>
        </w:rPr>
        <w:t xml:space="preserve"> Further, providing an incentive to respondents has been shown to increase survey response rates, thereby improving data quality and lowering overall survey costs. The Field Test itself will include an experiment to provide information to help determine the best way to both encourage sampled households to participate and, once participating, to encourage participation throughout the 7-day fielding period.</w:t>
      </w:r>
      <w:r w:rsidRPr="00820C86">
        <w:rPr>
          <w:sz w:val="23"/>
          <w:szCs w:val="23"/>
        </w:rPr>
        <w:t xml:space="preserve">”  </w:t>
      </w:r>
    </w:p>
    <w:p w:rsidR="00BF24F1" w:rsidP="00BF24F1" w:rsidRDefault="00BF24F1" w14:paraId="5F5C6AB8" w14:textId="77777777">
      <w:pPr>
        <w:spacing w:line="360" w:lineRule="atLeast"/>
        <w:rPr>
          <w:sz w:val="23"/>
          <w:szCs w:val="23"/>
        </w:rPr>
      </w:pPr>
    </w:p>
    <w:p w:rsidR="00BF24F1" w:rsidP="00BF24F1" w:rsidRDefault="00BF24F1" w14:paraId="777704A2" w14:textId="77777777">
      <w:pPr>
        <w:spacing w:line="360" w:lineRule="atLeast"/>
        <w:rPr>
          <w:sz w:val="23"/>
          <w:szCs w:val="23"/>
        </w:rPr>
      </w:pPr>
      <w:r w:rsidRPr="00240E06">
        <w:rPr>
          <w:b/>
          <w:bCs/>
          <w:sz w:val="23"/>
          <w:szCs w:val="23"/>
        </w:rPr>
        <w:t>Comment #3</w:t>
      </w:r>
      <w:r>
        <w:rPr>
          <w:sz w:val="23"/>
          <w:szCs w:val="23"/>
        </w:rPr>
        <w:t xml:space="preserve">: The third commentor requested copies of the documents planned for the data collection. Ms. Kantor replied to him in July 2019, and her response is included with his request. </w:t>
      </w:r>
    </w:p>
    <w:p w:rsidR="00BF24F1" w:rsidP="00BF24F1" w:rsidRDefault="00BF24F1" w14:paraId="2BF9BB5B" w14:textId="77777777">
      <w:pPr>
        <w:spacing w:line="360" w:lineRule="atLeast"/>
        <w:rPr>
          <w:sz w:val="23"/>
          <w:szCs w:val="23"/>
        </w:rPr>
      </w:pPr>
    </w:p>
    <w:p w:rsidR="00BF24F1" w:rsidP="00BF24F1" w:rsidRDefault="00BF24F1" w14:paraId="26955951" w14:textId="77777777">
      <w:pPr>
        <w:spacing w:line="360" w:lineRule="atLeast"/>
        <w:rPr>
          <w:sz w:val="23"/>
          <w:szCs w:val="23"/>
        </w:rPr>
      </w:pPr>
      <w:r w:rsidRPr="00240E06">
        <w:rPr>
          <w:b/>
          <w:bCs/>
          <w:sz w:val="23"/>
          <w:szCs w:val="23"/>
        </w:rPr>
        <w:t>Comment #4</w:t>
      </w:r>
      <w:r>
        <w:rPr>
          <w:sz w:val="23"/>
          <w:szCs w:val="23"/>
        </w:rPr>
        <w:t xml:space="preserve">: The fourth commentor asked whether the survey would be required of all EBT recipients. </w:t>
      </w:r>
    </w:p>
    <w:p w:rsidR="00BF24F1" w:rsidP="00BF24F1" w:rsidRDefault="00BF24F1" w14:paraId="4A90484D" w14:textId="77777777">
      <w:pPr>
        <w:spacing w:line="360" w:lineRule="atLeast"/>
        <w:ind w:left="720"/>
        <w:rPr>
          <w:i/>
          <w:iCs/>
          <w:sz w:val="23"/>
          <w:szCs w:val="23"/>
        </w:rPr>
      </w:pPr>
    </w:p>
    <w:p w:rsidR="00BF24F1" w:rsidP="00BF24F1" w:rsidRDefault="00BF24F1" w14:paraId="1C327D94" w14:textId="77777777">
      <w:pPr>
        <w:spacing w:line="360" w:lineRule="atLeast"/>
        <w:ind w:left="720"/>
        <w:rPr>
          <w:sz w:val="23"/>
          <w:szCs w:val="23"/>
        </w:rPr>
      </w:pPr>
      <w:r w:rsidRPr="00240E06">
        <w:rPr>
          <w:i/>
          <w:iCs/>
          <w:sz w:val="23"/>
          <w:szCs w:val="23"/>
        </w:rPr>
        <w:t>USDA Response</w:t>
      </w:r>
      <w:r>
        <w:rPr>
          <w:sz w:val="23"/>
          <w:szCs w:val="23"/>
        </w:rPr>
        <w:t>:</w:t>
      </w:r>
    </w:p>
    <w:p w:rsidR="00BF24F1" w:rsidP="00BF24F1" w:rsidRDefault="00BF24F1" w14:paraId="580854CE" w14:textId="77777777">
      <w:pPr>
        <w:spacing w:line="360" w:lineRule="atLeast"/>
        <w:ind w:left="720"/>
        <w:rPr>
          <w:sz w:val="23"/>
          <w:szCs w:val="23"/>
        </w:rPr>
      </w:pPr>
      <w:r>
        <w:rPr>
          <w:sz w:val="23"/>
          <w:szCs w:val="23"/>
        </w:rPr>
        <w:t xml:space="preserve">“Neither the Second National Household Food Acquisition and Purchase Survey nor its Field Test will be required of all EBT recipients. The expected number of responding households to the Field Test is </w:t>
      </w:r>
      <w:r w:rsidRPr="00240E06">
        <w:rPr>
          <w:sz w:val="23"/>
          <w:szCs w:val="23"/>
        </w:rPr>
        <w:t xml:space="preserve">430, of which 100 are expected to be receiving SNAP at the time of the survey. The planned size of the full survey is 5,000 households, of which 1,163 are expected to be receiving SNAP at the time of the full survey. A separate </w:t>
      </w:r>
      <w:r w:rsidRPr="00240E06">
        <w:rPr>
          <w:i/>
          <w:iCs/>
          <w:sz w:val="23"/>
          <w:szCs w:val="23"/>
        </w:rPr>
        <w:t>Federal Register Notice</w:t>
      </w:r>
      <w:r w:rsidRPr="00240E06">
        <w:rPr>
          <w:sz w:val="23"/>
          <w:szCs w:val="23"/>
        </w:rPr>
        <w:t xml:space="preserve"> will be published</w:t>
      </w:r>
      <w:r>
        <w:rPr>
          <w:sz w:val="23"/>
          <w:szCs w:val="23"/>
        </w:rPr>
        <w:t xml:space="preserve"> in the future for the full survey.”</w:t>
      </w:r>
    </w:p>
    <w:p w:rsidR="00BF24F1" w:rsidP="00BF24F1" w:rsidRDefault="00BF24F1" w14:paraId="52AA4BF6" w14:textId="77777777">
      <w:pPr>
        <w:spacing w:line="360" w:lineRule="atLeast"/>
        <w:rPr>
          <w:sz w:val="23"/>
          <w:szCs w:val="23"/>
        </w:rPr>
      </w:pPr>
    </w:p>
    <w:p w:rsidR="00BF24F1" w:rsidP="00BF24F1" w:rsidRDefault="00BF24F1" w14:paraId="6A30F023" w14:textId="77777777">
      <w:pPr>
        <w:spacing w:line="360" w:lineRule="atLeast"/>
        <w:rPr>
          <w:sz w:val="23"/>
          <w:szCs w:val="23"/>
        </w:rPr>
      </w:pPr>
      <w:r w:rsidRPr="00240E06">
        <w:rPr>
          <w:b/>
          <w:bCs/>
          <w:sz w:val="23"/>
          <w:szCs w:val="23"/>
        </w:rPr>
        <w:t>Comment #5</w:t>
      </w:r>
      <w:r>
        <w:rPr>
          <w:sz w:val="23"/>
          <w:szCs w:val="23"/>
        </w:rPr>
        <w:t>: The fifth commentor said that the survey should include households with children with Type I diabetes because they have unmet food needs. Ms. Kantor replied to her via email on July 25, 2019, and her response is included with a summary of the phone call:</w:t>
      </w:r>
    </w:p>
    <w:p w:rsidR="00BF24F1" w:rsidP="00BF24F1" w:rsidRDefault="00BF24F1" w14:paraId="72794B66" w14:textId="77777777">
      <w:pPr>
        <w:spacing w:line="360" w:lineRule="atLeast"/>
        <w:rPr>
          <w:sz w:val="23"/>
          <w:szCs w:val="23"/>
        </w:rPr>
      </w:pPr>
    </w:p>
    <w:p w:rsidRPr="00240E06" w:rsidR="00BF24F1" w:rsidP="00BF24F1" w:rsidRDefault="00BF24F1" w14:paraId="324E7C58" w14:textId="77777777">
      <w:pPr>
        <w:spacing w:line="360" w:lineRule="atLeast"/>
        <w:ind w:left="720"/>
        <w:rPr>
          <w:i/>
          <w:iCs/>
          <w:sz w:val="23"/>
          <w:szCs w:val="23"/>
        </w:rPr>
      </w:pPr>
      <w:r w:rsidRPr="00240E06">
        <w:rPr>
          <w:i/>
          <w:iCs/>
          <w:sz w:val="23"/>
          <w:szCs w:val="23"/>
        </w:rPr>
        <w:t>USDA Response:</w:t>
      </w:r>
    </w:p>
    <w:p w:rsidR="00BF24F1" w:rsidP="00BF24F1" w:rsidRDefault="00BF24F1" w14:paraId="08051237" w14:textId="77777777">
      <w:pPr>
        <w:spacing w:line="360" w:lineRule="atLeast"/>
        <w:ind w:left="720"/>
        <w:rPr>
          <w:sz w:val="23"/>
          <w:szCs w:val="23"/>
        </w:rPr>
      </w:pPr>
      <w:r>
        <w:rPr>
          <w:sz w:val="23"/>
          <w:szCs w:val="23"/>
        </w:rPr>
        <w:t>“Households with children with Type I diabetes will not be a target population for the Field Test, but they may still end up in the final sample through the random sampling that will occur within each sampling domain. A new feature of the Second National Household Food Acquisition and Purchase Survey (and its Field Test) is that members of sampled households will be asked about the presence of diabetes. Thus, although the number of such households may be small in the sample, their food acquisition behaviors will be able to be studied and compared to those of other households. Finally, it should be noted that the planned survey is not designed to measure “unmet food needs.” Rather, it is designed to measure actual food acquisition behaviors and the factors that affect those behaviors.”</w:t>
      </w:r>
    </w:p>
    <w:p w:rsidRPr="00820C86" w:rsidR="00BF24F1" w:rsidP="00BF24F1" w:rsidRDefault="00BF24F1" w14:paraId="45987E14" w14:textId="77777777">
      <w:pPr>
        <w:spacing w:line="360" w:lineRule="atLeast"/>
        <w:rPr>
          <w:sz w:val="23"/>
          <w:szCs w:val="23"/>
        </w:rPr>
      </w:pPr>
    </w:p>
    <w:p w:rsidR="00BF24F1" w:rsidP="00BF24F1" w:rsidRDefault="00BF24F1" w14:paraId="0629A4A7" w14:textId="77777777">
      <w:pPr>
        <w:spacing w:line="360" w:lineRule="atLeast"/>
        <w:rPr>
          <w:sz w:val="23"/>
          <w:szCs w:val="23"/>
        </w:rPr>
      </w:pPr>
      <w:r w:rsidRPr="00240E06">
        <w:rPr>
          <w:b/>
          <w:bCs/>
          <w:sz w:val="23"/>
          <w:szCs w:val="23"/>
        </w:rPr>
        <w:t>Comments #6-#10</w:t>
      </w:r>
      <w:r>
        <w:rPr>
          <w:sz w:val="23"/>
          <w:szCs w:val="23"/>
        </w:rPr>
        <w:t xml:space="preserve">:  </w:t>
      </w:r>
      <w:r w:rsidRPr="00820C86">
        <w:rPr>
          <w:sz w:val="23"/>
          <w:szCs w:val="23"/>
        </w:rPr>
        <w:t xml:space="preserve">The remaining </w:t>
      </w:r>
      <w:r>
        <w:rPr>
          <w:sz w:val="23"/>
          <w:szCs w:val="23"/>
        </w:rPr>
        <w:t>five</w:t>
      </w:r>
      <w:r w:rsidRPr="00820C86">
        <w:rPr>
          <w:sz w:val="23"/>
          <w:szCs w:val="23"/>
        </w:rPr>
        <w:t xml:space="preserve"> comments pertained to issues surrounding food assistance programs, amount of benefits received, and potential cuts to benefits. </w:t>
      </w:r>
    </w:p>
    <w:p w:rsidR="00BF24F1" w:rsidP="00BF24F1" w:rsidRDefault="00BF24F1" w14:paraId="069E56EA" w14:textId="77777777">
      <w:pPr>
        <w:spacing w:line="360" w:lineRule="atLeast"/>
        <w:rPr>
          <w:sz w:val="23"/>
          <w:szCs w:val="23"/>
        </w:rPr>
      </w:pPr>
    </w:p>
    <w:p w:rsidR="00BF24F1" w:rsidP="00BF24F1" w:rsidRDefault="00BF24F1" w14:paraId="037903FC" w14:textId="77777777">
      <w:pPr>
        <w:spacing w:line="360" w:lineRule="atLeast"/>
        <w:ind w:left="720"/>
        <w:rPr>
          <w:sz w:val="23"/>
          <w:szCs w:val="23"/>
        </w:rPr>
      </w:pPr>
      <w:r w:rsidRPr="00240E06">
        <w:rPr>
          <w:i/>
          <w:iCs/>
          <w:sz w:val="23"/>
          <w:szCs w:val="23"/>
        </w:rPr>
        <w:t>USDA Response</w:t>
      </w:r>
      <w:r>
        <w:rPr>
          <w:sz w:val="23"/>
          <w:szCs w:val="23"/>
        </w:rPr>
        <w:t>:</w:t>
      </w:r>
    </w:p>
    <w:p w:rsidR="00C41D98" w:rsidP="00235B81" w:rsidRDefault="00BF24F1" w14:paraId="0E25DEA6" w14:textId="0C3003F7">
      <w:pPr>
        <w:spacing w:line="360" w:lineRule="atLeast"/>
        <w:ind w:left="720"/>
      </w:pPr>
      <w:r>
        <w:rPr>
          <w:sz w:val="23"/>
          <w:szCs w:val="23"/>
        </w:rPr>
        <w:t>“Plans to collect information about food acquisition behaviors have no direct connection to plans to change SNAP benefit levels or program eligibility. It is possible, and indeed intended, that information from the planned survey will be used in the future by policy makers and program administrators to assess the adequacy of SNAP benefit levels.”</w:t>
      </w:r>
    </w:p>
    <w:p w:rsidRPr="00E324EB" w:rsidR="00C41D98" w:rsidP="00BF24F1" w:rsidRDefault="00C41D98" w14:paraId="7C3F831C" w14:textId="77777777">
      <w:pPr>
        <w:spacing w:line="360" w:lineRule="atLeast"/>
        <w:rPr>
          <w:szCs w:val="24"/>
        </w:rPr>
      </w:pPr>
    </w:p>
    <w:p w:rsidR="00530717" w:rsidP="005871A2" w:rsidRDefault="00530717" w14:paraId="6F8F0F32" w14:textId="447E05F1">
      <w:pPr>
        <w:spacing w:line="360" w:lineRule="atLeast"/>
      </w:pPr>
      <w:r>
        <w:rPr>
          <w:szCs w:val="24"/>
        </w:rPr>
        <w:t xml:space="preserve">This </w:t>
      </w:r>
      <w:bookmarkStart w:name="_Toc400376145" w:id="111"/>
      <w:bookmarkEnd w:id="105"/>
      <w:r>
        <w:t xml:space="preserve">information collection request has been reviewed by Wendy </w:t>
      </w:r>
      <w:r w:rsidRPr="00993AC8">
        <w:t>Van de Kerckhove</w:t>
      </w:r>
      <w:r>
        <w:t xml:space="preserve">, Elizabeth Petraglia, Ting Yan, Jill </w:t>
      </w:r>
      <w:r w:rsidRPr="008440D3">
        <w:t xml:space="preserve">DeMatteis, Tom Krenzke, Erika Bonilla, David Cantor, Janice Machado, and Laurie May at Westat. In addition, </w:t>
      </w:r>
      <w:r>
        <w:t>Jeffrey Gonzalez</w:t>
      </w:r>
      <w:r w:rsidRPr="008440D3">
        <w:t xml:space="preserve">, </w:t>
      </w:r>
      <w:r>
        <w:t>Linda Kantor and Elina Page</w:t>
      </w:r>
      <w:r w:rsidRPr="008440D3">
        <w:t xml:space="preserve"> of ERS</w:t>
      </w:r>
      <w:r>
        <w:t xml:space="preserve">, </w:t>
      </w:r>
      <w:r w:rsidRPr="008440D3">
        <w:t>Brady West from the University of Michigan Survey Research Center (U-M SRC)</w:t>
      </w:r>
      <w:r>
        <w:t xml:space="preserve">, Lin Wang from the </w:t>
      </w:r>
      <w:r w:rsidRPr="002D198B">
        <w:t>Human Factors Research Group, Center for Behavioral Science Methods</w:t>
      </w:r>
      <w:r>
        <w:t xml:space="preserve"> at the </w:t>
      </w:r>
      <w:r w:rsidRPr="002D198B">
        <w:t>U.S. Census Bureau</w:t>
      </w:r>
      <w:r>
        <w:t>, Joseph Rodhouse and Darcy Miller from the National Agricultural Statistics Service (NASS), and John Kirlin of Kirlin Analytic Services</w:t>
      </w:r>
      <w:r w:rsidRPr="008440D3">
        <w:t xml:space="preserve"> have reviewed </w:t>
      </w:r>
      <w:r>
        <w:t xml:space="preserve">components of this supporting statement. </w:t>
      </w:r>
      <w:r w:rsidRPr="008440D3">
        <w:t>This supporting statement was revised per comments from the Westat team, ERS,</w:t>
      </w:r>
      <w:r>
        <w:t xml:space="preserve"> NASS,</w:t>
      </w:r>
      <w:r w:rsidRPr="008440D3">
        <w:t xml:space="preserve"> and U-M SRC.</w:t>
      </w:r>
    </w:p>
    <w:p w:rsidR="000A395F" w:rsidP="000A395F" w:rsidRDefault="000A395F" w14:paraId="1E55A197" w14:textId="77777777">
      <w:pPr>
        <w:spacing w:line="360" w:lineRule="atLeast"/>
        <w:rPr>
          <w:szCs w:val="24"/>
        </w:rPr>
      </w:pPr>
    </w:p>
    <w:p w:rsidRPr="003008A6" w:rsidR="000A395F" w:rsidP="000A395F" w:rsidRDefault="000A395F" w14:paraId="5E11985C" w14:textId="45A22BE7">
      <w:pPr>
        <w:spacing w:line="360" w:lineRule="atLeast"/>
        <w:rPr>
          <w:szCs w:val="24"/>
        </w:rPr>
      </w:pPr>
      <w:r>
        <w:rPr>
          <w:szCs w:val="24"/>
        </w:rPr>
        <w:t xml:space="preserve">On </w:t>
      </w:r>
      <w:r w:rsidRPr="003008A6">
        <w:rPr>
          <w:szCs w:val="24"/>
        </w:rPr>
        <w:t xml:space="preserve">February 14, 2022 Mathematical Statisticians from the National Agricultural Statistics Service </w:t>
      </w:r>
      <w:r>
        <w:rPr>
          <w:szCs w:val="24"/>
        </w:rPr>
        <w:t xml:space="preserve">(NASS) </w:t>
      </w:r>
      <w:r w:rsidRPr="003008A6">
        <w:rPr>
          <w:szCs w:val="24"/>
        </w:rPr>
        <w:t xml:space="preserve">completed their review of </w:t>
      </w:r>
      <w:r>
        <w:rPr>
          <w:szCs w:val="24"/>
        </w:rPr>
        <w:t>this information collection request</w:t>
      </w:r>
      <w:r w:rsidRPr="003008A6">
        <w:rPr>
          <w:szCs w:val="24"/>
        </w:rPr>
        <w:t xml:space="preserve">. A listing of their comments is provided in Attachment Z along with ERS’ response and as </w:t>
      </w:r>
      <w:r>
        <w:rPr>
          <w:szCs w:val="24"/>
        </w:rPr>
        <w:t>warranted</w:t>
      </w:r>
      <w:r w:rsidRPr="003008A6">
        <w:rPr>
          <w:szCs w:val="24"/>
        </w:rPr>
        <w:t xml:space="preserve"> a summary of the changes or modifications made to corresponding documents in this </w:t>
      </w:r>
      <w:r>
        <w:rPr>
          <w:szCs w:val="24"/>
        </w:rPr>
        <w:t>information collection request</w:t>
      </w:r>
      <w:r w:rsidRPr="003008A6">
        <w:rPr>
          <w:szCs w:val="24"/>
        </w:rPr>
        <w:t xml:space="preserve">. </w:t>
      </w:r>
    </w:p>
    <w:p w:rsidR="009B2467" w:rsidP="005871A2" w:rsidRDefault="009B2467" w14:paraId="0AF24C62" w14:textId="0C68F32B">
      <w:pPr>
        <w:spacing w:line="360" w:lineRule="atLeast"/>
      </w:pPr>
    </w:p>
    <w:p w:rsidR="00EB23FE" w:rsidP="0019396F" w:rsidRDefault="00076A7F" w14:paraId="7537D06C" w14:textId="538F661F">
      <w:pPr>
        <w:pStyle w:val="Tabletitle0"/>
      </w:pPr>
      <w:r w:rsidRPr="008320A9">
        <w:t>Table A.</w:t>
      </w:r>
      <w:r>
        <w:t>2</w:t>
      </w:r>
      <w:r w:rsidRPr="008320A9">
        <w:t>.</w:t>
      </w:r>
      <w:r>
        <w:tab/>
        <w:t>Individuals consulted on the statistical and data collection aspects of this collection</w:t>
      </w:r>
    </w:p>
    <w:tbl>
      <w:tblPr>
        <w:tblStyle w:val="TableWestatStandardFormat"/>
        <w:tblW w:w="5000" w:type="pct"/>
        <w:tblBorders>
          <w:top w:val="single" w:color="auto" w:sz="4" w:space="0"/>
          <w:insideH w:val="single" w:color="auto" w:sz="4" w:space="0"/>
        </w:tblBorders>
        <w:tblLook w:val="01E0" w:firstRow="1" w:lastRow="1" w:firstColumn="1" w:lastColumn="1" w:noHBand="0" w:noVBand="0"/>
      </w:tblPr>
      <w:tblGrid>
        <w:gridCol w:w="1893"/>
        <w:gridCol w:w="2518"/>
        <w:gridCol w:w="1529"/>
        <w:gridCol w:w="3420"/>
      </w:tblGrid>
      <w:tr w:rsidRPr="008440D3" w:rsidR="009D14B5" w:rsidTr="004A4C7D" w14:paraId="6C9D43B8" w14:textId="77777777">
        <w:trPr>
          <w:cnfStyle w:val="100000000000" w:firstRow="1" w:lastRow="0" w:firstColumn="0" w:lastColumn="0" w:oddVBand="0" w:evenVBand="0" w:oddHBand="0" w:evenHBand="0" w:firstRowFirstColumn="0" w:firstRowLastColumn="0" w:lastRowFirstColumn="0" w:lastRowLastColumn="0"/>
          <w:tblHeader/>
        </w:trPr>
        <w:tc>
          <w:tcPr>
            <w:tcW w:w="1011" w:type="pct"/>
            <w:vAlign w:val="bottom"/>
          </w:tcPr>
          <w:p w:rsidRPr="008440D3" w:rsidR="009D14B5" w:rsidP="009B2467" w:rsidRDefault="00EB23FE" w14:paraId="7DD34177" w14:textId="62F04D9E">
            <w:pPr>
              <w:pStyle w:val="TH-TableHeading"/>
            </w:pPr>
            <w:r w:rsidRPr="005F2B3F">
              <w:t>Reviewers</w:t>
            </w:r>
            <w:bookmarkStart w:name="_Hlk74137309" w:id="112"/>
            <w:r w:rsidR="009B2467">
              <w:t xml:space="preserve"> </w:t>
            </w:r>
            <w:r w:rsidRPr="008440D3" w:rsidR="009D14B5">
              <w:t>Name</w:t>
            </w:r>
          </w:p>
        </w:tc>
        <w:tc>
          <w:tcPr>
            <w:tcW w:w="1345" w:type="pct"/>
            <w:vAlign w:val="bottom"/>
          </w:tcPr>
          <w:p w:rsidRPr="008440D3" w:rsidR="009D14B5" w:rsidP="004A4C7D" w:rsidRDefault="009D14B5" w14:paraId="2C835E81" w14:textId="77777777">
            <w:pPr>
              <w:pStyle w:val="TH-TableHeading"/>
            </w:pPr>
            <w:r w:rsidRPr="008440D3">
              <w:t>Affiliation</w:t>
            </w:r>
          </w:p>
        </w:tc>
        <w:tc>
          <w:tcPr>
            <w:tcW w:w="817" w:type="pct"/>
            <w:vAlign w:val="bottom"/>
          </w:tcPr>
          <w:p w:rsidRPr="008440D3" w:rsidR="009D14B5" w:rsidP="004A4C7D" w:rsidRDefault="009D14B5" w14:paraId="46CD4079" w14:textId="77777777">
            <w:pPr>
              <w:pStyle w:val="TH-TableHeading"/>
            </w:pPr>
            <w:r w:rsidRPr="008440D3">
              <w:t>Telephone number</w:t>
            </w:r>
          </w:p>
        </w:tc>
        <w:tc>
          <w:tcPr>
            <w:tcW w:w="1827" w:type="pct"/>
            <w:vAlign w:val="bottom"/>
          </w:tcPr>
          <w:p w:rsidRPr="008440D3" w:rsidR="009D14B5" w:rsidP="004A4C7D" w:rsidRDefault="009D14B5" w14:paraId="4B2F31FB" w14:textId="77777777">
            <w:pPr>
              <w:pStyle w:val="TH-TableHeading"/>
            </w:pPr>
            <w:r>
              <w:t>E</w:t>
            </w:r>
            <w:r w:rsidRPr="008440D3">
              <w:t>-mail</w:t>
            </w:r>
          </w:p>
        </w:tc>
      </w:tr>
      <w:tr w:rsidRPr="00D04F41" w:rsidR="009D14B5" w:rsidTr="004A4C7D" w14:paraId="0FFBEB58" w14:textId="77777777">
        <w:tc>
          <w:tcPr>
            <w:tcW w:w="1011" w:type="pct"/>
          </w:tcPr>
          <w:p w:rsidRPr="008440D3" w:rsidR="009D14B5" w:rsidP="004A4C7D" w:rsidRDefault="009D14B5" w14:paraId="683BEC5E" w14:textId="77777777">
            <w:pPr>
              <w:pStyle w:val="TX-TableText"/>
            </w:pPr>
            <w:r>
              <w:t>Jeffrey Gonzalez</w:t>
            </w:r>
          </w:p>
        </w:tc>
        <w:tc>
          <w:tcPr>
            <w:tcW w:w="1345" w:type="pct"/>
          </w:tcPr>
          <w:p w:rsidRPr="008440D3" w:rsidR="009D14B5" w:rsidP="004A4C7D" w:rsidRDefault="009D14B5" w14:paraId="5DE7BC2C" w14:textId="77777777">
            <w:pPr>
              <w:pStyle w:val="TX-TableText"/>
            </w:pPr>
            <w:r w:rsidRPr="008440D3">
              <w:t>Project Officer,</w:t>
            </w:r>
            <w:r>
              <w:t xml:space="preserve"> </w:t>
            </w:r>
            <w:r w:rsidRPr="008440D3">
              <w:t>ERS</w:t>
            </w:r>
          </w:p>
        </w:tc>
        <w:tc>
          <w:tcPr>
            <w:tcW w:w="817" w:type="pct"/>
          </w:tcPr>
          <w:p w:rsidRPr="008440D3" w:rsidR="009D14B5" w:rsidP="004A4C7D" w:rsidRDefault="009D14B5" w14:paraId="1E2ABEA6" w14:textId="77777777">
            <w:pPr>
              <w:pStyle w:val="TX-TableText"/>
            </w:pPr>
            <w:r w:rsidRPr="008440D3">
              <w:t>202-694-5398</w:t>
            </w:r>
          </w:p>
        </w:tc>
        <w:tc>
          <w:tcPr>
            <w:tcW w:w="1827" w:type="pct"/>
          </w:tcPr>
          <w:p w:rsidRPr="00D04F41" w:rsidR="009D14B5" w:rsidP="004A4C7D" w:rsidRDefault="00CA2500" w14:paraId="68E0B7E6" w14:textId="77777777">
            <w:pPr>
              <w:pStyle w:val="TX-TableText"/>
            </w:pPr>
            <w:hyperlink w:history="1" r:id="rId13">
              <w:r w:rsidRPr="00D8577E" w:rsidR="009D14B5">
                <w:rPr>
                  <w:rStyle w:val="Hyperlink"/>
                </w:rPr>
                <w:t>jeffrey.gonzalez@usda.gov</w:t>
              </w:r>
            </w:hyperlink>
          </w:p>
        </w:tc>
      </w:tr>
      <w:tr w:rsidRPr="002F60ED" w:rsidR="009D14B5" w:rsidTr="004A4C7D" w14:paraId="72324ADE" w14:textId="77777777">
        <w:tc>
          <w:tcPr>
            <w:tcW w:w="1011" w:type="pct"/>
          </w:tcPr>
          <w:p w:rsidRPr="00A144CC" w:rsidR="009D14B5" w:rsidP="004A4C7D" w:rsidRDefault="009D14B5" w14:paraId="4E803AF3" w14:textId="77777777">
            <w:pPr>
              <w:pStyle w:val="TX-TableText"/>
            </w:pPr>
            <w:r>
              <w:t>Brady West</w:t>
            </w:r>
          </w:p>
        </w:tc>
        <w:tc>
          <w:tcPr>
            <w:tcW w:w="1345" w:type="pct"/>
          </w:tcPr>
          <w:p w:rsidRPr="00A144CC" w:rsidR="009D14B5" w:rsidP="004A4C7D" w:rsidRDefault="009D14B5" w14:paraId="28626E05" w14:textId="77777777">
            <w:pPr>
              <w:pStyle w:val="TX-TableText"/>
            </w:pPr>
            <w:r>
              <w:t>Research Associate Professor, University of Michigan Survey Research Center</w:t>
            </w:r>
          </w:p>
        </w:tc>
        <w:tc>
          <w:tcPr>
            <w:tcW w:w="817" w:type="pct"/>
          </w:tcPr>
          <w:p w:rsidRPr="00A144CC" w:rsidR="009D14B5" w:rsidP="004A4C7D" w:rsidRDefault="009D14B5" w14:paraId="63238550" w14:textId="77777777">
            <w:pPr>
              <w:pStyle w:val="TX-TableText"/>
            </w:pPr>
            <w:r w:rsidRPr="003A57AC">
              <w:t>734-647-4615</w:t>
            </w:r>
          </w:p>
        </w:tc>
        <w:tc>
          <w:tcPr>
            <w:tcW w:w="1827" w:type="pct"/>
          </w:tcPr>
          <w:p w:rsidRPr="00A144CC" w:rsidR="009D14B5" w:rsidP="004A4C7D" w:rsidRDefault="00CA2500" w14:paraId="64BE438C" w14:textId="77777777">
            <w:pPr>
              <w:pStyle w:val="TX-TableText"/>
            </w:pPr>
            <w:hyperlink w:history="1" r:id="rId14">
              <w:r w:rsidRPr="00D8577E" w:rsidR="009D14B5">
                <w:rPr>
                  <w:rStyle w:val="Hyperlink"/>
                </w:rPr>
                <w:t>Bwest@umich.edu</w:t>
              </w:r>
            </w:hyperlink>
          </w:p>
        </w:tc>
      </w:tr>
      <w:tr w:rsidRPr="002F60ED" w:rsidR="009D14B5" w:rsidTr="004A4C7D" w14:paraId="41553734" w14:textId="77777777">
        <w:tc>
          <w:tcPr>
            <w:tcW w:w="1011" w:type="pct"/>
          </w:tcPr>
          <w:p w:rsidRPr="00A144CC" w:rsidR="009D14B5" w:rsidP="004A4C7D" w:rsidRDefault="009D14B5" w14:paraId="0E6F0DE7" w14:textId="77777777">
            <w:pPr>
              <w:pStyle w:val="TX-TableText"/>
            </w:pPr>
            <w:r w:rsidRPr="00A144CC">
              <w:t>Laurie May</w:t>
            </w:r>
          </w:p>
        </w:tc>
        <w:tc>
          <w:tcPr>
            <w:tcW w:w="1345" w:type="pct"/>
          </w:tcPr>
          <w:p w:rsidRPr="00A144CC" w:rsidR="009D14B5" w:rsidP="004A4C7D" w:rsidRDefault="009D14B5" w14:paraId="55751615" w14:textId="77777777">
            <w:pPr>
              <w:pStyle w:val="TX-TableText"/>
            </w:pPr>
            <w:r>
              <w:t>Corporate Officer</w:t>
            </w:r>
            <w:r w:rsidRPr="00A144CC">
              <w:t>, Westat</w:t>
            </w:r>
          </w:p>
        </w:tc>
        <w:tc>
          <w:tcPr>
            <w:tcW w:w="817" w:type="pct"/>
          </w:tcPr>
          <w:p w:rsidRPr="00A144CC" w:rsidR="009D14B5" w:rsidP="004A4C7D" w:rsidRDefault="009D14B5" w14:paraId="07DD0231" w14:textId="77777777">
            <w:pPr>
              <w:pStyle w:val="TX-TableText"/>
            </w:pPr>
            <w:r w:rsidRPr="00A144CC">
              <w:t>301-517-4076</w:t>
            </w:r>
          </w:p>
        </w:tc>
        <w:tc>
          <w:tcPr>
            <w:tcW w:w="1827" w:type="pct"/>
          </w:tcPr>
          <w:p w:rsidRPr="00A144CC" w:rsidR="009D14B5" w:rsidP="004A4C7D" w:rsidRDefault="00CA2500" w14:paraId="44A9CE1E" w14:textId="77777777">
            <w:pPr>
              <w:pStyle w:val="TX-TableText"/>
            </w:pPr>
            <w:hyperlink w:history="1" r:id="rId15">
              <w:r w:rsidRPr="00047A76" w:rsidR="009D14B5">
                <w:t>LaurieMay@westat.com</w:t>
              </w:r>
            </w:hyperlink>
          </w:p>
        </w:tc>
      </w:tr>
      <w:tr w:rsidRPr="002F60ED" w:rsidR="009D14B5" w:rsidTr="004A4C7D" w14:paraId="7AB16255" w14:textId="77777777">
        <w:tc>
          <w:tcPr>
            <w:tcW w:w="1011" w:type="pct"/>
          </w:tcPr>
          <w:p w:rsidRPr="00A144CC" w:rsidR="009D14B5" w:rsidP="004A4C7D" w:rsidRDefault="009D14B5" w14:paraId="7D33ABB7" w14:textId="77777777">
            <w:pPr>
              <w:pStyle w:val="TX-TableText"/>
            </w:pPr>
            <w:r w:rsidRPr="00A144CC">
              <w:t>Janice Machado</w:t>
            </w:r>
          </w:p>
        </w:tc>
        <w:tc>
          <w:tcPr>
            <w:tcW w:w="1345" w:type="pct"/>
          </w:tcPr>
          <w:p w:rsidRPr="00A144CC" w:rsidR="009D14B5" w:rsidP="004A4C7D" w:rsidRDefault="00E6431B" w14:paraId="424F85EA" w14:textId="3C34A97B">
            <w:pPr>
              <w:pStyle w:val="TX-TableText"/>
            </w:pPr>
            <w:r>
              <w:t>Associate Director</w:t>
            </w:r>
            <w:r w:rsidRPr="00A144CC" w:rsidR="009D14B5">
              <w:t>, Westat</w:t>
            </w:r>
          </w:p>
        </w:tc>
        <w:tc>
          <w:tcPr>
            <w:tcW w:w="817" w:type="pct"/>
          </w:tcPr>
          <w:p w:rsidRPr="00A144CC" w:rsidR="009D14B5" w:rsidP="004A4C7D" w:rsidRDefault="009D14B5" w14:paraId="7FD1345A" w14:textId="77777777">
            <w:pPr>
              <w:pStyle w:val="TX-TableText"/>
            </w:pPr>
            <w:r w:rsidRPr="00A144CC">
              <w:t>301-294- 2801</w:t>
            </w:r>
          </w:p>
        </w:tc>
        <w:tc>
          <w:tcPr>
            <w:tcW w:w="1827" w:type="pct"/>
          </w:tcPr>
          <w:p w:rsidRPr="00A144CC" w:rsidR="009D14B5" w:rsidP="004A4C7D" w:rsidRDefault="00CA2500" w14:paraId="17D25270" w14:textId="77777777">
            <w:pPr>
              <w:pStyle w:val="TX-TableText"/>
            </w:pPr>
            <w:hyperlink w:history="1" r:id="rId16">
              <w:r w:rsidRPr="00D8577E" w:rsidR="009D14B5">
                <w:rPr>
                  <w:rStyle w:val="Hyperlink"/>
                </w:rPr>
                <w:t>JaniceMachado@westat.com</w:t>
              </w:r>
            </w:hyperlink>
          </w:p>
        </w:tc>
      </w:tr>
      <w:tr w:rsidRPr="002F60ED" w:rsidR="009D14B5" w:rsidTr="004A4C7D" w14:paraId="5DCA1F69" w14:textId="77777777">
        <w:tc>
          <w:tcPr>
            <w:tcW w:w="1011" w:type="pct"/>
          </w:tcPr>
          <w:p w:rsidRPr="00A144CC" w:rsidR="009D14B5" w:rsidP="004A4C7D" w:rsidRDefault="009D14B5" w14:paraId="02165A4F" w14:textId="77777777">
            <w:pPr>
              <w:pStyle w:val="TX-TableText"/>
            </w:pPr>
            <w:r>
              <w:t>David Cantor</w:t>
            </w:r>
          </w:p>
        </w:tc>
        <w:tc>
          <w:tcPr>
            <w:tcW w:w="1345" w:type="pct"/>
          </w:tcPr>
          <w:p w:rsidRPr="00A144CC" w:rsidR="009D14B5" w:rsidP="004A4C7D" w:rsidRDefault="009D14B5" w14:paraId="2E932CE4" w14:textId="77777777">
            <w:pPr>
              <w:pStyle w:val="TX-TableText"/>
            </w:pPr>
            <w:r w:rsidRPr="00A144CC">
              <w:t>Vice President,</w:t>
            </w:r>
            <w:r>
              <w:t xml:space="preserve"> </w:t>
            </w:r>
            <w:r w:rsidRPr="00A144CC">
              <w:t>Westat</w:t>
            </w:r>
          </w:p>
        </w:tc>
        <w:tc>
          <w:tcPr>
            <w:tcW w:w="817" w:type="pct"/>
          </w:tcPr>
          <w:p w:rsidRPr="00A144CC" w:rsidR="009D14B5" w:rsidP="004A4C7D" w:rsidRDefault="009D14B5" w14:paraId="5F2DF667" w14:textId="77777777">
            <w:pPr>
              <w:pStyle w:val="TX-TableText"/>
            </w:pPr>
            <w:r w:rsidRPr="00A144CC">
              <w:t>301-294-</w:t>
            </w:r>
            <w:r>
              <w:t>2080</w:t>
            </w:r>
          </w:p>
        </w:tc>
        <w:tc>
          <w:tcPr>
            <w:tcW w:w="1827" w:type="pct"/>
          </w:tcPr>
          <w:p w:rsidRPr="00A144CC" w:rsidR="009D14B5" w:rsidP="004A4C7D" w:rsidRDefault="00CA2500" w14:paraId="0152BA85" w14:textId="77777777">
            <w:pPr>
              <w:pStyle w:val="TX-TableText"/>
            </w:pPr>
            <w:hyperlink w:history="1" r:id="rId17">
              <w:r w:rsidRPr="00D8577E" w:rsidR="009D14B5">
                <w:rPr>
                  <w:rStyle w:val="Hyperlink"/>
                </w:rPr>
                <w:t>DavidCantor@westat.com</w:t>
              </w:r>
            </w:hyperlink>
          </w:p>
        </w:tc>
      </w:tr>
      <w:tr w:rsidRPr="002F60ED" w:rsidR="009D14B5" w:rsidTr="004A4C7D" w14:paraId="7A85D468" w14:textId="77777777">
        <w:tc>
          <w:tcPr>
            <w:tcW w:w="1011" w:type="pct"/>
          </w:tcPr>
          <w:p w:rsidRPr="00A144CC" w:rsidR="009D14B5" w:rsidP="004A4C7D" w:rsidRDefault="009D14B5" w14:paraId="2E23E799" w14:textId="77777777">
            <w:pPr>
              <w:pStyle w:val="TX-TableText"/>
            </w:pPr>
            <w:r w:rsidRPr="00A144CC">
              <w:t>Erika Bonilla</w:t>
            </w:r>
          </w:p>
        </w:tc>
        <w:tc>
          <w:tcPr>
            <w:tcW w:w="1345" w:type="pct"/>
          </w:tcPr>
          <w:p w:rsidRPr="00A144CC" w:rsidR="009D14B5" w:rsidP="004A4C7D" w:rsidRDefault="00B04D35" w14:paraId="32789F77" w14:textId="4B56B670">
            <w:pPr>
              <w:pStyle w:val="TX-TableText"/>
            </w:pPr>
            <w:r>
              <w:t>Senior Study Director</w:t>
            </w:r>
            <w:r w:rsidRPr="00A144CC" w:rsidR="009D14B5">
              <w:t>, Westat</w:t>
            </w:r>
          </w:p>
        </w:tc>
        <w:tc>
          <w:tcPr>
            <w:tcW w:w="817" w:type="pct"/>
          </w:tcPr>
          <w:p w:rsidRPr="00A144CC" w:rsidR="009D14B5" w:rsidP="004A4C7D" w:rsidRDefault="009D14B5" w14:paraId="588A6BA0" w14:textId="77777777">
            <w:pPr>
              <w:pStyle w:val="TX-TableText"/>
            </w:pPr>
            <w:r w:rsidRPr="00A144CC">
              <w:t>301-610-4879</w:t>
            </w:r>
          </w:p>
        </w:tc>
        <w:tc>
          <w:tcPr>
            <w:tcW w:w="1827" w:type="pct"/>
          </w:tcPr>
          <w:p w:rsidRPr="00A144CC" w:rsidR="009D14B5" w:rsidP="004A4C7D" w:rsidRDefault="00CA2500" w14:paraId="514FB955" w14:textId="77777777">
            <w:pPr>
              <w:pStyle w:val="TX-TableText"/>
            </w:pPr>
            <w:hyperlink w:history="1" r:id="rId18">
              <w:r w:rsidRPr="00D8577E" w:rsidR="009D14B5">
                <w:rPr>
                  <w:rStyle w:val="Hyperlink"/>
                </w:rPr>
                <w:t>ErikaBonilla@westat.com</w:t>
              </w:r>
            </w:hyperlink>
          </w:p>
        </w:tc>
      </w:tr>
      <w:tr w:rsidRPr="002F60ED" w:rsidR="009D14B5" w:rsidTr="004A4C7D" w14:paraId="7F1A09CA" w14:textId="77777777">
        <w:tc>
          <w:tcPr>
            <w:tcW w:w="1011" w:type="pct"/>
          </w:tcPr>
          <w:p w:rsidRPr="00A144CC" w:rsidR="009D14B5" w:rsidP="004A4C7D" w:rsidRDefault="009D14B5" w14:paraId="7B329483" w14:textId="77777777">
            <w:pPr>
              <w:pStyle w:val="TX-TableText"/>
            </w:pPr>
            <w:r w:rsidRPr="00A144CC">
              <w:t>Tom Krenzke</w:t>
            </w:r>
          </w:p>
        </w:tc>
        <w:tc>
          <w:tcPr>
            <w:tcW w:w="1345" w:type="pct"/>
          </w:tcPr>
          <w:p w:rsidRPr="00A144CC" w:rsidR="009D14B5" w:rsidP="004A4C7D" w:rsidRDefault="00E6431B" w14:paraId="5E7853CF" w14:textId="58A1CFF6">
            <w:pPr>
              <w:pStyle w:val="TX-TableText"/>
            </w:pPr>
            <w:r>
              <w:t>Vice President</w:t>
            </w:r>
            <w:r w:rsidR="009D14B5">
              <w:t>, Westat</w:t>
            </w:r>
          </w:p>
        </w:tc>
        <w:tc>
          <w:tcPr>
            <w:tcW w:w="817" w:type="pct"/>
          </w:tcPr>
          <w:p w:rsidRPr="00A144CC" w:rsidR="009D14B5" w:rsidP="004A4C7D" w:rsidRDefault="009D14B5" w14:paraId="49340D88" w14:textId="77777777">
            <w:pPr>
              <w:pStyle w:val="TX-TableText"/>
            </w:pPr>
            <w:r w:rsidRPr="00A144CC">
              <w:t>301-251-4203</w:t>
            </w:r>
          </w:p>
        </w:tc>
        <w:tc>
          <w:tcPr>
            <w:tcW w:w="1827" w:type="pct"/>
          </w:tcPr>
          <w:p w:rsidRPr="00A144CC" w:rsidR="009D14B5" w:rsidP="004A4C7D" w:rsidRDefault="00CA2500" w14:paraId="6CF7F25F" w14:textId="77777777">
            <w:pPr>
              <w:pStyle w:val="TX-TableText"/>
            </w:pPr>
            <w:hyperlink w:history="1" r:id="rId19">
              <w:r w:rsidRPr="00D8577E" w:rsidR="009D14B5">
                <w:rPr>
                  <w:rStyle w:val="Hyperlink"/>
                </w:rPr>
                <w:t>TomKrenzke@westat.com</w:t>
              </w:r>
            </w:hyperlink>
          </w:p>
        </w:tc>
      </w:tr>
      <w:tr w:rsidRPr="002F60ED" w:rsidR="009D14B5" w:rsidTr="004A4C7D" w14:paraId="641E761B" w14:textId="77777777">
        <w:tc>
          <w:tcPr>
            <w:tcW w:w="1011" w:type="pct"/>
          </w:tcPr>
          <w:p w:rsidRPr="00A144CC" w:rsidR="009D14B5" w:rsidP="004A4C7D" w:rsidRDefault="009D14B5" w14:paraId="24F67E26" w14:textId="77777777">
            <w:pPr>
              <w:pStyle w:val="TX-TableText"/>
            </w:pPr>
            <w:r>
              <w:t>Jill DeMatteis</w:t>
            </w:r>
          </w:p>
        </w:tc>
        <w:tc>
          <w:tcPr>
            <w:tcW w:w="1345" w:type="pct"/>
          </w:tcPr>
          <w:p w:rsidRPr="00A144CC" w:rsidR="009D14B5" w:rsidP="004A4C7D" w:rsidRDefault="00E6431B" w14:paraId="1F5243B6" w14:textId="5C5A9758">
            <w:pPr>
              <w:pStyle w:val="TX-TableText"/>
            </w:pPr>
            <w:r>
              <w:t>Vice President</w:t>
            </w:r>
            <w:r w:rsidR="009D14B5">
              <w:t>, Westat</w:t>
            </w:r>
          </w:p>
        </w:tc>
        <w:tc>
          <w:tcPr>
            <w:tcW w:w="817" w:type="pct"/>
          </w:tcPr>
          <w:p w:rsidRPr="00A144CC" w:rsidR="009D14B5" w:rsidP="004A4C7D" w:rsidRDefault="009D14B5" w14:paraId="31FC50AB" w14:textId="77777777">
            <w:pPr>
              <w:pStyle w:val="TX-TableText"/>
            </w:pPr>
            <w:r>
              <w:t>301-517-4046</w:t>
            </w:r>
          </w:p>
        </w:tc>
        <w:tc>
          <w:tcPr>
            <w:tcW w:w="1827" w:type="pct"/>
          </w:tcPr>
          <w:p w:rsidRPr="00A144CC" w:rsidR="009D14B5" w:rsidP="004A4C7D" w:rsidRDefault="00CA2500" w14:paraId="37AF88C3" w14:textId="77777777">
            <w:pPr>
              <w:pStyle w:val="TX-TableText"/>
            </w:pPr>
            <w:hyperlink w:history="1" r:id="rId20">
              <w:r w:rsidRPr="00D8577E" w:rsidR="009D14B5">
                <w:rPr>
                  <w:rStyle w:val="Hyperlink"/>
                </w:rPr>
                <w:t>JillDematteis@westat.com</w:t>
              </w:r>
            </w:hyperlink>
          </w:p>
        </w:tc>
      </w:tr>
      <w:tr w:rsidRPr="002F60ED" w:rsidR="009D14B5" w:rsidTr="004A4C7D" w14:paraId="3F915ECC" w14:textId="77777777">
        <w:tc>
          <w:tcPr>
            <w:tcW w:w="1011" w:type="pct"/>
          </w:tcPr>
          <w:p w:rsidRPr="00A144CC" w:rsidR="009D14B5" w:rsidP="004A4C7D" w:rsidRDefault="009D14B5" w14:paraId="7FA5DEC5" w14:textId="77777777">
            <w:pPr>
              <w:pStyle w:val="TX-TableText"/>
            </w:pPr>
            <w:r w:rsidRPr="00A144CC">
              <w:t>Ting Yan</w:t>
            </w:r>
          </w:p>
        </w:tc>
        <w:tc>
          <w:tcPr>
            <w:tcW w:w="1345" w:type="pct"/>
          </w:tcPr>
          <w:p w:rsidRPr="00A144CC" w:rsidR="009D14B5" w:rsidP="004A4C7D" w:rsidRDefault="00E6431B" w14:paraId="19601A2A" w14:textId="1A6D0002">
            <w:pPr>
              <w:pStyle w:val="TX-TableText"/>
            </w:pPr>
            <w:r>
              <w:t>Associate Director</w:t>
            </w:r>
            <w:r w:rsidR="009D14B5">
              <w:t>, Westat</w:t>
            </w:r>
          </w:p>
        </w:tc>
        <w:tc>
          <w:tcPr>
            <w:tcW w:w="817" w:type="pct"/>
          </w:tcPr>
          <w:p w:rsidRPr="00A144CC" w:rsidR="009D14B5" w:rsidP="004A4C7D" w:rsidRDefault="009D14B5" w14:paraId="16D874A2" w14:textId="77777777">
            <w:pPr>
              <w:pStyle w:val="TX-TableText"/>
            </w:pPr>
            <w:r w:rsidRPr="00A144CC">
              <w:t>301-250-3302</w:t>
            </w:r>
          </w:p>
        </w:tc>
        <w:tc>
          <w:tcPr>
            <w:tcW w:w="1827" w:type="pct"/>
          </w:tcPr>
          <w:p w:rsidRPr="00A144CC" w:rsidR="009D14B5" w:rsidP="004A4C7D" w:rsidRDefault="00CA2500" w14:paraId="08FF273F" w14:textId="77777777">
            <w:pPr>
              <w:pStyle w:val="TX-TableText"/>
            </w:pPr>
            <w:hyperlink w:history="1" r:id="rId21">
              <w:r w:rsidRPr="00D8577E" w:rsidR="009D14B5">
                <w:rPr>
                  <w:rStyle w:val="Hyperlink"/>
                </w:rPr>
                <w:t>TingYan@westat.com</w:t>
              </w:r>
            </w:hyperlink>
          </w:p>
        </w:tc>
      </w:tr>
      <w:tr w:rsidRPr="002F60ED" w:rsidR="009D14B5" w:rsidTr="004A4C7D" w14:paraId="3DAA90D4" w14:textId="77777777">
        <w:tc>
          <w:tcPr>
            <w:tcW w:w="1011" w:type="pct"/>
          </w:tcPr>
          <w:p w:rsidRPr="00A144CC" w:rsidR="009D14B5" w:rsidP="004A4C7D" w:rsidRDefault="009D14B5" w14:paraId="46EE99D1" w14:textId="77777777">
            <w:pPr>
              <w:pStyle w:val="TX-TableText"/>
            </w:pPr>
            <w:r w:rsidRPr="00A144CC">
              <w:t>Wendy Van de Kerckhove</w:t>
            </w:r>
          </w:p>
        </w:tc>
        <w:tc>
          <w:tcPr>
            <w:tcW w:w="1345" w:type="pct"/>
          </w:tcPr>
          <w:p w:rsidRPr="00A144CC" w:rsidR="009D14B5" w:rsidP="004A4C7D" w:rsidRDefault="009D14B5" w14:paraId="4A8FBB5F" w14:textId="77777777">
            <w:pPr>
              <w:pStyle w:val="TX-TableText"/>
            </w:pPr>
            <w:r w:rsidRPr="00A144CC">
              <w:t>Senior Statistician</w:t>
            </w:r>
            <w:r>
              <w:t>, Westat</w:t>
            </w:r>
          </w:p>
        </w:tc>
        <w:tc>
          <w:tcPr>
            <w:tcW w:w="817" w:type="pct"/>
          </w:tcPr>
          <w:p w:rsidRPr="00A144CC" w:rsidR="009D14B5" w:rsidP="004A4C7D" w:rsidRDefault="009D14B5" w14:paraId="0713FA31" w14:textId="77777777">
            <w:pPr>
              <w:pStyle w:val="TX-TableText"/>
            </w:pPr>
            <w:r w:rsidRPr="00A144CC">
              <w:t>240-453-2785</w:t>
            </w:r>
          </w:p>
        </w:tc>
        <w:tc>
          <w:tcPr>
            <w:tcW w:w="1827" w:type="pct"/>
          </w:tcPr>
          <w:p w:rsidRPr="00A144CC" w:rsidR="009D14B5" w:rsidP="004A4C7D" w:rsidRDefault="00CA2500" w14:paraId="2471D2A4" w14:textId="77777777">
            <w:pPr>
              <w:pStyle w:val="TX-TableText"/>
            </w:pPr>
            <w:hyperlink w:history="1" r:id="rId22">
              <w:r w:rsidRPr="00D8577E" w:rsidR="009D14B5">
                <w:rPr>
                  <w:rStyle w:val="Hyperlink"/>
                </w:rPr>
                <w:t>WendyVandeKerckhove@westat.com</w:t>
              </w:r>
            </w:hyperlink>
          </w:p>
        </w:tc>
      </w:tr>
      <w:tr w:rsidRPr="002F60ED" w:rsidR="009D14B5" w:rsidTr="004A4C7D" w14:paraId="031BBE40" w14:textId="77777777">
        <w:tc>
          <w:tcPr>
            <w:tcW w:w="1011" w:type="pct"/>
          </w:tcPr>
          <w:p w:rsidRPr="00A144CC" w:rsidR="009D14B5" w:rsidP="004A4C7D" w:rsidRDefault="009D14B5" w14:paraId="5382F825" w14:textId="77777777">
            <w:pPr>
              <w:pStyle w:val="TX-TableText"/>
            </w:pPr>
            <w:r>
              <w:t>Elizabeth Petraglia</w:t>
            </w:r>
          </w:p>
        </w:tc>
        <w:tc>
          <w:tcPr>
            <w:tcW w:w="1345" w:type="pct"/>
          </w:tcPr>
          <w:p w:rsidRPr="00A144CC" w:rsidR="009D14B5" w:rsidP="004A4C7D" w:rsidRDefault="009D14B5" w14:paraId="62768931" w14:textId="77777777">
            <w:pPr>
              <w:pStyle w:val="TX-TableText"/>
            </w:pPr>
            <w:r w:rsidRPr="00A144CC">
              <w:t>Senior Statistician</w:t>
            </w:r>
            <w:r>
              <w:t>, Westat</w:t>
            </w:r>
          </w:p>
        </w:tc>
        <w:tc>
          <w:tcPr>
            <w:tcW w:w="817" w:type="pct"/>
          </w:tcPr>
          <w:p w:rsidRPr="00A144CC" w:rsidR="009D14B5" w:rsidP="004A4C7D" w:rsidRDefault="009D14B5" w14:paraId="787A1043" w14:textId="77777777">
            <w:pPr>
              <w:pStyle w:val="TX-TableText"/>
            </w:pPr>
            <w:r w:rsidRPr="00A144CC">
              <w:t>240-314-</w:t>
            </w:r>
            <w:r>
              <w:t>7535</w:t>
            </w:r>
          </w:p>
        </w:tc>
        <w:tc>
          <w:tcPr>
            <w:tcW w:w="1827" w:type="pct"/>
          </w:tcPr>
          <w:p w:rsidRPr="00593E4E" w:rsidR="009D14B5" w:rsidP="004A4C7D" w:rsidRDefault="00CA2500" w14:paraId="7DCED704" w14:textId="77777777">
            <w:pPr>
              <w:pStyle w:val="TX-TableText"/>
            </w:pPr>
            <w:hyperlink w:history="1" r:id="rId23">
              <w:r w:rsidRPr="00593E4E" w:rsidR="009D14B5">
                <w:rPr>
                  <w:rStyle w:val="Hyperlink"/>
                </w:rPr>
                <w:t>ElizabethPetraglia@westat.com</w:t>
              </w:r>
            </w:hyperlink>
          </w:p>
        </w:tc>
      </w:tr>
      <w:tr w:rsidRPr="002F60ED" w:rsidR="009D14B5" w:rsidTr="004A4C7D" w14:paraId="0110DC5E" w14:textId="77777777">
        <w:tc>
          <w:tcPr>
            <w:tcW w:w="1011" w:type="pct"/>
          </w:tcPr>
          <w:p w:rsidR="009D14B5" w:rsidP="004A4C7D" w:rsidRDefault="009D14B5" w14:paraId="5A5E5239" w14:textId="77777777">
            <w:pPr>
              <w:pStyle w:val="TX-TableText"/>
            </w:pPr>
            <w:r>
              <w:t>Linda Kantor</w:t>
            </w:r>
          </w:p>
        </w:tc>
        <w:tc>
          <w:tcPr>
            <w:tcW w:w="1345" w:type="pct"/>
          </w:tcPr>
          <w:p w:rsidRPr="00A144CC" w:rsidR="009D14B5" w:rsidP="004A4C7D" w:rsidRDefault="009D14B5" w14:paraId="6F853EA8" w14:textId="77777777">
            <w:pPr>
              <w:pStyle w:val="TX-TableText"/>
            </w:pPr>
            <w:r>
              <w:t>Economist, ERS</w:t>
            </w:r>
          </w:p>
        </w:tc>
        <w:tc>
          <w:tcPr>
            <w:tcW w:w="817" w:type="pct"/>
          </w:tcPr>
          <w:p w:rsidRPr="00D652C4" w:rsidR="009D14B5" w:rsidP="004A4C7D" w:rsidRDefault="009D14B5" w14:paraId="65C19DBA" w14:textId="77777777">
            <w:pPr>
              <w:pStyle w:val="TX-TableText"/>
            </w:pPr>
            <w:r w:rsidRPr="00D652C4">
              <w:t>202-694-5392</w:t>
            </w:r>
          </w:p>
        </w:tc>
        <w:tc>
          <w:tcPr>
            <w:tcW w:w="1827" w:type="pct"/>
          </w:tcPr>
          <w:p w:rsidRPr="00D652C4" w:rsidR="009D14B5" w:rsidP="004A4C7D" w:rsidRDefault="009D14B5" w14:paraId="4FCCDB96" w14:textId="77777777">
            <w:pPr>
              <w:pStyle w:val="TX-TableText"/>
            </w:pPr>
            <w:r w:rsidRPr="00D652C4">
              <w:t>Linda.Kantor@usda.gov</w:t>
            </w:r>
          </w:p>
        </w:tc>
      </w:tr>
      <w:tr w:rsidRPr="002F60ED" w:rsidR="009D14B5" w:rsidTr="004A4C7D" w14:paraId="62EC3B8F" w14:textId="77777777">
        <w:tc>
          <w:tcPr>
            <w:tcW w:w="1011" w:type="pct"/>
          </w:tcPr>
          <w:p w:rsidR="009D14B5" w:rsidP="004A4C7D" w:rsidRDefault="009D14B5" w14:paraId="7EE2B193" w14:textId="77777777">
            <w:pPr>
              <w:pStyle w:val="TX-TableText"/>
            </w:pPr>
            <w:r>
              <w:t>Elina T. Page</w:t>
            </w:r>
          </w:p>
        </w:tc>
        <w:tc>
          <w:tcPr>
            <w:tcW w:w="1345" w:type="pct"/>
          </w:tcPr>
          <w:p w:rsidRPr="00A144CC" w:rsidR="009D14B5" w:rsidP="004A4C7D" w:rsidRDefault="009D14B5" w14:paraId="59C353C8" w14:textId="77777777">
            <w:pPr>
              <w:pStyle w:val="TX-TableText"/>
            </w:pPr>
            <w:r>
              <w:t>Economist, ERS</w:t>
            </w:r>
          </w:p>
        </w:tc>
        <w:tc>
          <w:tcPr>
            <w:tcW w:w="817" w:type="pct"/>
          </w:tcPr>
          <w:p w:rsidRPr="00D652C4" w:rsidR="009D14B5" w:rsidP="004A4C7D" w:rsidRDefault="009D14B5" w14:paraId="3571FCF1" w14:textId="77777777">
            <w:pPr>
              <w:pStyle w:val="TX-TableText"/>
            </w:pPr>
            <w:r w:rsidRPr="00D652C4">
              <w:t>202-694-5032</w:t>
            </w:r>
          </w:p>
        </w:tc>
        <w:tc>
          <w:tcPr>
            <w:tcW w:w="1827" w:type="pct"/>
          </w:tcPr>
          <w:p w:rsidRPr="00D652C4" w:rsidR="009D14B5" w:rsidP="004A4C7D" w:rsidRDefault="009D14B5" w14:paraId="710188DB" w14:textId="77777777">
            <w:pPr>
              <w:pStyle w:val="TX-TableText"/>
            </w:pPr>
            <w:r w:rsidRPr="00D652C4">
              <w:t>Elina.t.page@usda.gov</w:t>
            </w:r>
          </w:p>
        </w:tc>
      </w:tr>
      <w:tr w:rsidRPr="002F60ED" w:rsidR="009D14B5" w:rsidTr="004A4C7D" w14:paraId="0239BFA9" w14:textId="77777777">
        <w:tc>
          <w:tcPr>
            <w:tcW w:w="1011" w:type="pct"/>
          </w:tcPr>
          <w:p w:rsidR="009D14B5" w:rsidP="004A4C7D" w:rsidRDefault="009D14B5" w14:paraId="1BB5BC7C" w14:textId="77777777">
            <w:pPr>
              <w:pStyle w:val="TX-TableText"/>
            </w:pPr>
            <w:r>
              <w:t>Joseph Rodhouse</w:t>
            </w:r>
          </w:p>
        </w:tc>
        <w:tc>
          <w:tcPr>
            <w:tcW w:w="1345" w:type="pct"/>
          </w:tcPr>
          <w:p w:rsidR="009D14B5" w:rsidP="004A4C7D" w:rsidRDefault="009D14B5" w14:paraId="260CAB3A" w14:textId="77777777">
            <w:pPr>
              <w:pStyle w:val="TX-TableText"/>
            </w:pPr>
            <w:r>
              <w:t>Mathematical Statistician, NASS</w:t>
            </w:r>
          </w:p>
        </w:tc>
        <w:tc>
          <w:tcPr>
            <w:tcW w:w="817" w:type="pct"/>
          </w:tcPr>
          <w:p w:rsidRPr="00DE1644" w:rsidR="009D14B5" w:rsidP="004A4C7D" w:rsidRDefault="009D14B5" w14:paraId="4F11A32A" w14:textId="77777777">
            <w:pPr>
              <w:pStyle w:val="TX-TableText"/>
            </w:pPr>
            <w:r w:rsidRPr="00D652C4">
              <w:rPr>
                <w:rFonts w:cs="Arial"/>
                <w:color w:val="000000"/>
              </w:rPr>
              <w:t>202-692-0289</w:t>
            </w:r>
          </w:p>
        </w:tc>
        <w:tc>
          <w:tcPr>
            <w:tcW w:w="1827" w:type="pct"/>
          </w:tcPr>
          <w:p w:rsidRPr="00DE1644" w:rsidR="009D14B5" w:rsidP="004A4C7D" w:rsidRDefault="00CA2500" w14:paraId="72AD6CF4" w14:textId="77777777">
            <w:pPr>
              <w:pStyle w:val="TX-TableText"/>
            </w:pPr>
            <w:hyperlink w:history="1" r:id="rId24">
              <w:r w:rsidRPr="005E1DC5" w:rsidR="009D14B5">
                <w:rPr>
                  <w:rStyle w:val="Hyperlink"/>
                </w:rPr>
                <w:t>Joseph.Rodhouse@usda.gov</w:t>
              </w:r>
            </w:hyperlink>
          </w:p>
        </w:tc>
      </w:tr>
      <w:tr w:rsidRPr="002F60ED" w:rsidR="009D14B5" w:rsidTr="004A4C7D" w14:paraId="5F2A5701" w14:textId="77777777">
        <w:tc>
          <w:tcPr>
            <w:tcW w:w="1011" w:type="pct"/>
          </w:tcPr>
          <w:p w:rsidR="009D14B5" w:rsidP="004A4C7D" w:rsidRDefault="009D14B5" w14:paraId="7C7A62F9" w14:textId="77777777">
            <w:pPr>
              <w:pStyle w:val="TX-TableText"/>
            </w:pPr>
            <w:r>
              <w:t>Darcy Miller</w:t>
            </w:r>
          </w:p>
        </w:tc>
        <w:tc>
          <w:tcPr>
            <w:tcW w:w="1345" w:type="pct"/>
          </w:tcPr>
          <w:p w:rsidR="009D14B5" w:rsidP="004A4C7D" w:rsidRDefault="009D14B5" w14:paraId="7E33ED95" w14:textId="77777777">
            <w:pPr>
              <w:pStyle w:val="TX-TableText"/>
            </w:pPr>
            <w:r>
              <w:t>Mathematical Statistician, NASS</w:t>
            </w:r>
          </w:p>
        </w:tc>
        <w:tc>
          <w:tcPr>
            <w:tcW w:w="817" w:type="pct"/>
          </w:tcPr>
          <w:p w:rsidRPr="00DE1644" w:rsidR="009D14B5" w:rsidP="004A4C7D" w:rsidRDefault="009D14B5" w14:paraId="292E591A" w14:textId="77777777">
            <w:pPr>
              <w:pStyle w:val="TX-TableText"/>
            </w:pPr>
            <w:r w:rsidRPr="00DE1644">
              <w:t>202</w:t>
            </w:r>
            <w:r>
              <w:t>-</w:t>
            </w:r>
            <w:r w:rsidRPr="00DE1644">
              <w:t>690-2652</w:t>
            </w:r>
          </w:p>
        </w:tc>
        <w:tc>
          <w:tcPr>
            <w:tcW w:w="1827" w:type="pct"/>
          </w:tcPr>
          <w:p w:rsidRPr="00DE1644" w:rsidR="009D14B5" w:rsidP="004A4C7D" w:rsidRDefault="009D14B5" w14:paraId="721D0A8A" w14:textId="77777777">
            <w:pPr>
              <w:pStyle w:val="TX-TableText"/>
            </w:pPr>
            <w:r>
              <w:t>Darcy.Miller@usda.gov</w:t>
            </w:r>
          </w:p>
        </w:tc>
      </w:tr>
      <w:tr w:rsidRPr="002F60ED" w:rsidR="009D14B5" w:rsidTr="004A4C7D" w14:paraId="03159315" w14:textId="77777777">
        <w:tc>
          <w:tcPr>
            <w:tcW w:w="1011" w:type="pct"/>
          </w:tcPr>
          <w:p w:rsidR="009D14B5" w:rsidP="004A4C7D" w:rsidRDefault="009D14B5" w14:paraId="76589967" w14:textId="77777777">
            <w:pPr>
              <w:pStyle w:val="TX-TableText"/>
            </w:pPr>
            <w:r>
              <w:t>Lin Wang</w:t>
            </w:r>
          </w:p>
        </w:tc>
        <w:tc>
          <w:tcPr>
            <w:tcW w:w="1345" w:type="pct"/>
          </w:tcPr>
          <w:p w:rsidR="009D14B5" w:rsidP="004A4C7D" w:rsidRDefault="009D14B5" w14:paraId="4001EEAB" w14:textId="77777777">
            <w:pPr>
              <w:pStyle w:val="TX-TableText"/>
            </w:pPr>
            <w:r>
              <w:t>Research Psychologist, U.S. Census Bureau</w:t>
            </w:r>
          </w:p>
        </w:tc>
        <w:tc>
          <w:tcPr>
            <w:tcW w:w="817" w:type="pct"/>
          </w:tcPr>
          <w:p w:rsidRPr="00D652C4" w:rsidR="009D14B5" w:rsidP="004A4C7D" w:rsidRDefault="009D14B5" w14:paraId="252DDF7A" w14:textId="77777777">
            <w:pPr>
              <w:pStyle w:val="TX-TableText"/>
            </w:pPr>
            <w:r w:rsidRPr="00D652C4">
              <w:t>301-763-9069</w:t>
            </w:r>
          </w:p>
        </w:tc>
        <w:tc>
          <w:tcPr>
            <w:tcW w:w="1827" w:type="pct"/>
          </w:tcPr>
          <w:p w:rsidRPr="002D198B" w:rsidR="009D14B5" w:rsidP="004A4C7D" w:rsidRDefault="009D14B5" w14:paraId="6BE31E7D" w14:textId="77777777">
            <w:pPr>
              <w:pStyle w:val="TX-TableText"/>
            </w:pPr>
            <w:r>
              <w:t>Lin.wang@census.gov</w:t>
            </w:r>
          </w:p>
        </w:tc>
      </w:tr>
      <w:tr w:rsidRPr="002F60ED" w:rsidR="009D14B5" w:rsidTr="004A4C7D" w14:paraId="26A16933" w14:textId="77777777">
        <w:tc>
          <w:tcPr>
            <w:tcW w:w="1011" w:type="pct"/>
          </w:tcPr>
          <w:p w:rsidR="009D14B5" w:rsidP="004A4C7D" w:rsidRDefault="009D14B5" w14:paraId="6DB82EDE" w14:textId="77777777">
            <w:pPr>
              <w:pStyle w:val="TX-TableText"/>
            </w:pPr>
            <w:r>
              <w:t>John Kirlin</w:t>
            </w:r>
          </w:p>
        </w:tc>
        <w:tc>
          <w:tcPr>
            <w:tcW w:w="1345" w:type="pct"/>
          </w:tcPr>
          <w:p w:rsidRPr="00A144CC" w:rsidR="009D14B5" w:rsidP="004A4C7D" w:rsidRDefault="009D14B5" w14:paraId="4DEAFB3A" w14:textId="77777777">
            <w:pPr>
              <w:pStyle w:val="TX-TableText"/>
            </w:pPr>
            <w:r>
              <w:t>President, Kirlin Analytic Services</w:t>
            </w:r>
          </w:p>
        </w:tc>
        <w:tc>
          <w:tcPr>
            <w:tcW w:w="817" w:type="pct"/>
          </w:tcPr>
          <w:p w:rsidRPr="00A144CC" w:rsidR="009D14B5" w:rsidP="004A4C7D" w:rsidRDefault="009D14B5" w14:paraId="4AB4C54C" w14:textId="77777777">
            <w:pPr>
              <w:pStyle w:val="TX-TableText"/>
            </w:pPr>
            <w:r>
              <w:t>540-786-1042</w:t>
            </w:r>
          </w:p>
        </w:tc>
        <w:tc>
          <w:tcPr>
            <w:tcW w:w="1827" w:type="pct"/>
          </w:tcPr>
          <w:p w:rsidR="009D14B5" w:rsidP="004A4C7D" w:rsidRDefault="00CA2500" w14:paraId="1401DDA9" w14:textId="77777777">
            <w:pPr>
              <w:pStyle w:val="TX-TableText"/>
            </w:pPr>
            <w:hyperlink w:history="1" r:id="rId25">
              <w:r w:rsidRPr="00D8577E" w:rsidR="009D14B5">
                <w:rPr>
                  <w:rStyle w:val="Hyperlink"/>
                </w:rPr>
                <w:t>johnkir516@hotmail.com</w:t>
              </w:r>
            </w:hyperlink>
          </w:p>
        </w:tc>
      </w:tr>
      <w:bookmarkEnd w:id="112"/>
    </w:tbl>
    <w:p w:rsidR="005871A2" w:rsidP="005871A2" w:rsidRDefault="005871A2" w14:paraId="0FB17031" w14:textId="01C4FA84">
      <w:pPr>
        <w:spacing w:line="240" w:lineRule="auto"/>
      </w:pPr>
    </w:p>
    <w:p w:rsidRPr="00E324EB" w:rsidR="0047782E" w:rsidP="00271489" w:rsidRDefault="0047782E" w14:paraId="566F7267" w14:textId="77777777">
      <w:pPr>
        <w:pStyle w:val="L1-FlLSp12"/>
        <w:rPr>
          <w:szCs w:val="24"/>
        </w:rPr>
      </w:pPr>
    </w:p>
    <w:p w:rsidRPr="003702B9" w:rsidR="00271489" w:rsidP="00271489" w:rsidRDefault="00271489" w14:paraId="0C84B715" w14:textId="10ADE876">
      <w:pPr>
        <w:pStyle w:val="Heading2"/>
      </w:pPr>
      <w:bookmarkStart w:name="_Toc514067604" w:id="113"/>
      <w:bookmarkStart w:name="_Toc93499536" w:id="114"/>
      <w:r w:rsidRPr="003702B9">
        <w:t>A.9</w:t>
      </w:r>
      <w:r w:rsidRPr="003702B9">
        <w:tab/>
        <w:t>Explanation of Any Payment or Gift to Respondents</w:t>
      </w:r>
      <w:bookmarkEnd w:id="111"/>
      <w:bookmarkEnd w:id="113"/>
      <w:bookmarkEnd w:id="114"/>
    </w:p>
    <w:p w:rsidRPr="002F126A" w:rsidR="00267F75" w:rsidP="00271489" w:rsidRDefault="00271489" w14:paraId="5A70560D" w14:textId="77777777">
      <w:pPr>
        <w:pStyle w:val="L1-FlLSp12"/>
        <w:rPr>
          <w:b/>
        </w:rPr>
      </w:pPr>
      <w:r w:rsidRPr="002F126A">
        <w:rPr>
          <w:b/>
        </w:rPr>
        <w:t>Explain any decision to provide any payment or gift to respondents, other than remuneration of contractors or grantees</w:t>
      </w:r>
      <w:r w:rsidRPr="002F126A" w:rsidR="00267F75">
        <w:rPr>
          <w:b/>
        </w:rPr>
        <w:t>.</w:t>
      </w:r>
    </w:p>
    <w:p w:rsidRPr="00E324EB" w:rsidR="0047782E" w:rsidP="00271489" w:rsidRDefault="0047782E" w14:paraId="22A21E1F" w14:textId="77777777">
      <w:pPr>
        <w:pStyle w:val="L1-FlLSp12"/>
        <w:rPr>
          <w:szCs w:val="24"/>
        </w:rPr>
      </w:pPr>
    </w:p>
    <w:p w:rsidRPr="008320A9" w:rsidR="00B5350F" w:rsidP="00B5350F" w:rsidRDefault="00B5350F" w14:paraId="39FD41B7" w14:textId="161D734C">
      <w:pPr>
        <w:spacing w:line="360" w:lineRule="atLeast"/>
        <w:rPr>
          <w:color w:val="000000" w:themeColor="text1"/>
          <w:szCs w:val="24"/>
        </w:rPr>
      </w:pPr>
      <w:r w:rsidRPr="008320A9">
        <w:rPr>
          <w:color w:val="000000" w:themeColor="text1"/>
          <w:szCs w:val="24"/>
        </w:rPr>
        <w:t xml:space="preserve">Permission is being requested to offer financial incentives to households during the FoodAPS-2 Field Test. Like FoodAPS-1 and the </w:t>
      </w:r>
      <w:r>
        <w:rPr>
          <w:color w:val="000000" w:themeColor="text1"/>
          <w:szCs w:val="24"/>
        </w:rPr>
        <w:t>ADCM</w:t>
      </w:r>
      <w:r w:rsidRPr="008320A9">
        <w:rPr>
          <w:color w:val="000000" w:themeColor="text1"/>
          <w:szCs w:val="24"/>
        </w:rPr>
        <w:t xml:space="preserve"> Pilot, the Field Test has a complex data collection protocol. The incentive plan is designed to increase response rates, reduce item nonresponse, and compensate respondents for the burden associated with completing several CAPI (Screener, Initial, Debriefing) instruments and the </w:t>
      </w:r>
      <w:r w:rsidR="00065BDC">
        <w:rPr>
          <w:color w:val="000000" w:themeColor="text1"/>
          <w:szCs w:val="24"/>
        </w:rPr>
        <w:t xml:space="preserve">7-day Food Log, Profile </w:t>
      </w:r>
      <w:r w:rsidRPr="008320A9">
        <w:rPr>
          <w:color w:val="000000" w:themeColor="text1"/>
          <w:szCs w:val="24"/>
        </w:rPr>
        <w:t>Questionnaire</w:t>
      </w:r>
      <w:r w:rsidR="00065BDC">
        <w:rPr>
          <w:color w:val="000000" w:themeColor="text1"/>
          <w:szCs w:val="24"/>
        </w:rPr>
        <w:t>,</w:t>
      </w:r>
      <w:r w:rsidRPr="008320A9">
        <w:rPr>
          <w:color w:val="000000" w:themeColor="text1"/>
          <w:szCs w:val="24"/>
        </w:rPr>
        <w:t xml:space="preserve"> and Income </w:t>
      </w:r>
      <w:r w:rsidR="008F2285">
        <w:rPr>
          <w:color w:val="000000" w:themeColor="text1"/>
          <w:szCs w:val="24"/>
        </w:rPr>
        <w:t>Questionnaire</w:t>
      </w:r>
      <w:r w:rsidRPr="008320A9">
        <w:rPr>
          <w:color w:val="000000" w:themeColor="text1"/>
          <w:szCs w:val="24"/>
        </w:rPr>
        <w:t>.</w:t>
      </w:r>
      <w:r w:rsidRPr="008320A9">
        <w:rPr>
          <w:rStyle w:val="FootnoteReference"/>
          <w:color w:val="000000" w:themeColor="text1"/>
          <w:szCs w:val="24"/>
        </w:rPr>
        <w:footnoteReference w:id="22"/>
      </w:r>
      <w:r w:rsidRPr="008320A9">
        <w:rPr>
          <w:color w:val="000000" w:themeColor="text1"/>
          <w:szCs w:val="24"/>
        </w:rPr>
        <w:t xml:space="preserve"> </w:t>
      </w:r>
    </w:p>
    <w:p w:rsidRPr="008320A9" w:rsidR="00B5350F" w:rsidP="00B5350F" w:rsidRDefault="00B5350F" w14:paraId="43CEE904" w14:textId="77777777">
      <w:pPr>
        <w:spacing w:line="360" w:lineRule="atLeast"/>
        <w:rPr>
          <w:color w:val="000000" w:themeColor="text1"/>
          <w:szCs w:val="24"/>
        </w:rPr>
      </w:pPr>
    </w:p>
    <w:p w:rsidRPr="008320A9" w:rsidR="00B5350F" w:rsidP="00B5350F" w:rsidRDefault="00B5350F" w14:paraId="73CE08A1" w14:textId="168A1472">
      <w:pPr>
        <w:spacing w:line="360" w:lineRule="atLeast"/>
        <w:rPr>
          <w:color w:val="000000" w:themeColor="text1"/>
          <w:szCs w:val="24"/>
        </w:rPr>
      </w:pPr>
      <w:r w:rsidRPr="008320A9">
        <w:rPr>
          <w:color w:val="000000" w:themeColor="text1"/>
          <w:szCs w:val="24"/>
        </w:rPr>
        <w:t xml:space="preserve">An incentive experiment is planned for the Field Test. </w:t>
      </w:r>
      <w:r w:rsidRPr="00B5350F">
        <w:rPr>
          <w:color w:val="000000" w:themeColor="text1"/>
          <w:szCs w:val="24"/>
        </w:rPr>
        <w:t xml:space="preserve">In both FoodAPS-1 and the </w:t>
      </w:r>
      <w:r>
        <w:rPr>
          <w:color w:val="000000" w:themeColor="text1"/>
          <w:szCs w:val="24"/>
        </w:rPr>
        <w:t>ADCM</w:t>
      </w:r>
      <w:r w:rsidRPr="008320A9">
        <w:rPr>
          <w:color w:val="000000" w:themeColor="text1"/>
          <w:szCs w:val="24"/>
        </w:rPr>
        <w:t xml:space="preserve"> Pilot, there was a marked decrease in the number of food events reported e</w:t>
      </w:r>
      <w:r w:rsidR="00065BDC">
        <w:rPr>
          <w:color w:val="000000" w:themeColor="text1"/>
          <w:szCs w:val="24"/>
        </w:rPr>
        <w:t>a</w:t>
      </w:r>
      <w:r w:rsidRPr="008320A9">
        <w:rPr>
          <w:color w:val="000000" w:themeColor="text1"/>
          <w:szCs w:val="24"/>
        </w:rPr>
        <w:t xml:space="preserve">ch day beginning around Day 4 of the fielding week (Hu, </w:t>
      </w:r>
      <w:r w:rsidRPr="008320A9">
        <w:rPr>
          <w:color w:val="000000" w:themeColor="text1"/>
          <w:szCs w:val="24"/>
          <w:bdr w:val="none" w:color="auto" w:sz="0" w:space="0" w:frame="1"/>
          <w:shd w:val="clear" w:color="auto" w:fill="FFFFFF"/>
        </w:rPr>
        <w:t xml:space="preserve">Melipillán, West, Kirlin, and Paniagua, 2020). The </w:t>
      </w:r>
      <w:r>
        <w:rPr>
          <w:color w:val="000000" w:themeColor="text1"/>
          <w:szCs w:val="24"/>
          <w:bdr w:val="none" w:color="auto" w:sz="0" w:space="0" w:frame="1"/>
          <w:shd w:val="clear" w:color="auto" w:fill="FFFFFF"/>
        </w:rPr>
        <w:t>ADCM</w:t>
      </w:r>
      <w:r w:rsidRPr="008320A9">
        <w:rPr>
          <w:color w:val="000000" w:themeColor="text1"/>
          <w:szCs w:val="24"/>
          <w:bdr w:val="none" w:color="auto" w:sz="0" w:space="0" w:frame="1"/>
          <w:shd w:val="clear" w:color="auto" w:fill="FFFFFF"/>
        </w:rPr>
        <w:t xml:space="preserve"> Pilot offered a $3 per day incentive for reporting any food events on a given day or confirming that there were no food events that day. In the experiment’s control group, this incentive will be increased to $5 per day to see if the increased daily incentive will lead to more consistent reporting of food events, compared to the </w:t>
      </w:r>
      <w:r>
        <w:rPr>
          <w:color w:val="000000" w:themeColor="text1"/>
          <w:szCs w:val="24"/>
          <w:bdr w:val="none" w:color="auto" w:sz="0" w:space="0" w:frame="1"/>
          <w:shd w:val="clear" w:color="auto" w:fill="FFFFFF"/>
        </w:rPr>
        <w:t>ADCM</w:t>
      </w:r>
      <w:r w:rsidRPr="008320A9">
        <w:rPr>
          <w:color w:val="000000" w:themeColor="text1"/>
          <w:szCs w:val="24"/>
          <w:bdr w:val="none" w:color="auto" w:sz="0" w:space="0" w:frame="1"/>
          <w:shd w:val="clear" w:color="auto" w:fill="FFFFFF"/>
        </w:rPr>
        <w:t xml:space="preserve"> Pilot. In the treatment group, the daily incentive will start at $5 per day and then increase to $10 per day beginning on Day 4. This increase is designed to see whether a doubling of the incentive prompts more reporting in the last four days of the fielding week when nonresponse has been most troublesome.</w:t>
      </w:r>
    </w:p>
    <w:p w:rsidRPr="008320A9" w:rsidR="00B5350F" w:rsidP="00B5350F" w:rsidRDefault="00B5350F" w14:paraId="422E01F2" w14:textId="77777777">
      <w:pPr>
        <w:spacing w:line="360" w:lineRule="atLeast"/>
        <w:rPr>
          <w:color w:val="000000" w:themeColor="text1"/>
          <w:szCs w:val="24"/>
        </w:rPr>
      </w:pPr>
    </w:p>
    <w:p w:rsidRPr="008320A9" w:rsidR="00B5350F" w:rsidP="00B5350F" w:rsidRDefault="00B5350F" w14:paraId="7A0D8BAF" w14:textId="06334CCE">
      <w:pPr>
        <w:spacing w:line="360" w:lineRule="atLeast"/>
        <w:rPr>
          <w:color w:val="000000" w:themeColor="text1"/>
          <w:szCs w:val="24"/>
        </w:rPr>
      </w:pPr>
      <w:r w:rsidRPr="008320A9">
        <w:rPr>
          <w:color w:val="000000" w:themeColor="text1"/>
          <w:szCs w:val="24"/>
        </w:rPr>
        <w:t>Tables A.</w:t>
      </w:r>
      <w:r w:rsidR="00065BDC">
        <w:rPr>
          <w:color w:val="000000" w:themeColor="text1"/>
          <w:szCs w:val="24"/>
        </w:rPr>
        <w:t>3</w:t>
      </w:r>
      <w:r w:rsidRPr="008320A9">
        <w:rPr>
          <w:color w:val="000000" w:themeColor="text1"/>
          <w:szCs w:val="24"/>
        </w:rPr>
        <w:t>, A.</w:t>
      </w:r>
      <w:r w:rsidR="00065BDC">
        <w:rPr>
          <w:color w:val="000000" w:themeColor="text1"/>
          <w:szCs w:val="24"/>
        </w:rPr>
        <w:t>4</w:t>
      </w:r>
      <w:r w:rsidRPr="008320A9">
        <w:rPr>
          <w:color w:val="000000" w:themeColor="text1"/>
          <w:szCs w:val="24"/>
        </w:rPr>
        <w:t>, A.</w:t>
      </w:r>
      <w:r w:rsidR="00065BDC">
        <w:rPr>
          <w:color w:val="000000" w:themeColor="text1"/>
          <w:szCs w:val="24"/>
        </w:rPr>
        <w:t>5</w:t>
      </w:r>
      <w:r w:rsidRPr="008320A9">
        <w:rPr>
          <w:color w:val="000000" w:themeColor="text1"/>
          <w:szCs w:val="24"/>
        </w:rPr>
        <w:t>, and A.</w:t>
      </w:r>
      <w:r w:rsidR="00065BDC">
        <w:rPr>
          <w:color w:val="000000" w:themeColor="text1"/>
          <w:szCs w:val="24"/>
        </w:rPr>
        <w:t>6</w:t>
      </w:r>
      <w:r w:rsidRPr="008320A9">
        <w:rPr>
          <w:color w:val="000000" w:themeColor="text1"/>
          <w:szCs w:val="24"/>
        </w:rPr>
        <w:t xml:space="preserve"> display the incentive plans for the two past surveys and the two arms of the Field Test’s incentive experiment</w:t>
      </w:r>
      <w:r w:rsidR="00065BDC">
        <w:rPr>
          <w:color w:val="000000" w:themeColor="text1"/>
          <w:szCs w:val="24"/>
        </w:rPr>
        <w:t>, respectively</w:t>
      </w:r>
      <w:r w:rsidRPr="008320A9">
        <w:rPr>
          <w:color w:val="000000" w:themeColor="text1"/>
          <w:szCs w:val="24"/>
        </w:rPr>
        <w:t xml:space="preserve">. Despite the nearly ten year lag between FoodAPS-1 and the FoodAPS-2 Field Test, the </w:t>
      </w:r>
      <w:r>
        <w:rPr>
          <w:color w:val="000000" w:themeColor="text1"/>
          <w:szCs w:val="24"/>
        </w:rPr>
        <w:t xml:space="preserve">proposed </w:t>
      </w:r>
      <w:r w:rsidRPr="008320A9">
        <w:rPr>
          <w:color w:val="000000" w:themeColor="text1"/>
          <w:szCs w:val="24"/>
        </w:rPr>
        <w:t>incentive levels for the Field Test (shown in tables A.</w:t>
      </w:r>
      <w:r w:rsidR="00065BDC">
        <w:rPr>
          <w:color w:val="000000" w:themeColor="text1"/>
          <w:szCs w:val="24"/>
        </w:rPr>
        <w:t>5</w:t>
      </w:r>
      <w:r w:rsidRPr="008320A9">
        <w:rPr>
          <w:color w:val="000000" w:themeColor="text1"/>
          <w:szCs w:val="24"/>
        </w:rPr>
        <w:t xml:space="preserve"> and A.</w:t>
      </w:r>
      <w:r w:rsidR="00065BDC">
        <w:rPr>
          <w:color w:val="000000" w:themeColor="text1"/>
          <w:szCs w:val="24"/>
        </w:rPr>
        <w:t>6</w:t>
      </w:r>
      <w:r w:rsidRPr="008320A9">
        <w:rPr>
          <w:color w:val="000000" w:themeColor="text1"/>
          <w:szCs w:val="24"/>
        </w:rPr>
        <w:t>) are comparable to those used in FoodAPS-1 but have been adjusted to account partially for inflation.</w:t>
      </w:r>
    </w:p>
    <w:p w:rsidRPr="008320A9" w:rsidR="00B5350F" w:rsidP="00B5350F" w:rsidRDefault="00B5350F" w14:paraId="74B4B28E" w14:textId="77777777">
      <w:pPr>
        <w:spacing w:line="360" w:lineRule="atLeast"/>
        <w:rPr>
          <w:color w:val="000000" w:themeColor="text1"/>
          <w:szCs w:val="24"/>
        </w:rPr>
      </w:pPr>
    </w:p>
    <w:p w:rsidRPr="008320A9" w:rsidR="00B5350F" w:rsidP="00B5350F" w:rsidRDefault="00B5350F" w14:paraId="5332E6B3" w14:textId="6D15D11D">
      <w:pPr>
        <w:keepLines/>
        <w:spacing w:line="360" w:lineRule="atLeast"/>
        <w:rPr>
          <w:color w:val="000000" w:themeColor="text1"/>
          <w:szCs w:val="24"/>
        </w:rPr>
      </w:pPr>
      <w:r w:rsidRPr="008320A9">
        <w:rPr>
          <w:color w:val="000000" w:themeColor="text1"/>
          <w:szCs w:val="24"/>
        </w:rPr>
        <w:t>The consent form the household signs will indicate that the incentive is just a one-time cash incentive for survey participation and should not be reported as household income for programs they may be receiving benefits from, such as SNAP and WIC. There will be an opportunity to earn incentives for each of the main interviews (</w:t>
      </w:r>
      <w:r w:rsidR="00065BDC">
        <w:rPr>
          <w:color w:val="000000" w:themeColor="text1"/>
          <w:szCs w:val="24"/>
        </w:rPr>
        <w:t xml:space="preserve">Recruitment and In-person </w:t>
      </w:r>
      <w:r w:rsidRPr="008320A9">
        <w:rPr>
          <w:color w:val="000000" w:themeColor="text1"/>
          <w:szCs w:val="24"/>
        </w:rPr>
        <w:t>Screener</w:t>
      </w:r>
      <w:r w:rsidR="00065BDC">
        <w:rPr>
          <w:color w:val="000000" w:themeColor="text1"/>
          <w:szCs w:val="24"/>
        </w:rPr>
        <w:t>s</w:t>
      </w:r>
      <w:r w:rsidRPr="008320A9">
        <w:rPr>
          <w:color w:val="000000" w:themeColor="text1"/>
          <w:szCs w:val="24"/>
        </w:rPr>
        <w:t>, Initial, Profile</w:t>
      </w:r>
      <w:r w:rsidR="00065BDC">
        <w:rPr>
          <w:color w:val="000000" w:themeColor="text1"/>
          <w:szCs w:val="24"/>
        </w:rPr>
        <w:t xml:space="preserve"> Questionnaire</w:t>
      </w:r>
      <w:r w:rsidRPr="008320A9">
        <w:rPr>
          <w:color w:val="000000" w:themeColor="text1"/>
          <w:szCs w:val="24"/>
        </w:rPr>
        <w:t xml:space="preserve">, Income </w:t>
      </w:r>
      <w:r w:rsidR="001715BC">
        <w:rPr>
          <w:color w:val="000000" w:themeColor="text1"/>
          <w:szCs w:val="24"/>
        </w:rPr>
        <w:t>Questionnaire</w:t>
      </w:r>
      <w:r w:rsidRPr="008320A9">
        <w:rPr>
          <w:color w:val="000000" w:themeColor="text1"/>
          <w:szCs w:val="24"/>
        </w:rPr>
        <w:t xml:space="preserve">, Debriefing) and each day of food log reporting. </w:t>
      </w:r>
    </w:p>
    <w:p w:rsidRPr="008320A9" w:rsidR="00B5350F" w:rsidP="00B5350F" w:rsidRDefault="00B5350F" w14:paraId="62C93745" w14:textId="77777777">
      <w:pPr>
        <w:keepLines/>
        <w:spacing w:line="360" w:lineRule="atLeast"/>
        <w:rPr>
          <w:color w:val="000000" w:themeColor="text1"/>
          <w:szCs w:val="24"/>
        </w:rPr>
      </w:pPr>
    </w:p>
    <w:p w:rsidRPr="008320A9" w:rsidR="00B5350F" w:rsidP="007A3483" w:rsidRDefault="00B5350F" w14:paraId="5C5A2E87" w14:textId="2D789DAF">
      <w:pPr>
        <w:spacing w:line="240" w:lineRule="auto"/>
        <w:rPr>
          <w:rFonts w:ascii="Franklin Gothic Book" w:hAnsi="Franklin Gothic Book"/>
          <w:b/>
          <w:color w:val="000000" w:themeColor="text1"/>
          <w:szCs w:val="22"/>
          <w:vertAlign w:val="superscript"/>
        </w:rPr>
      </w:pPr>
      <w:r w:rsidRPr="0019396F">
        <w:rPr>
          <w:rStyle w:val="TabletitleChar"/>
        </w:rPr>
        <w:t>Table A.</w:t>
      </w:r>
      <w:r w:rsidRPr="0019396F" w:rsidR="00065BDC">
        <w:rPr>
          <w:rStyle w:val="TabletitleChar"/>
        </w:rPr>
        <w:t>3</w:t>
      </w:r>
      <w:r w:rsidRPr="0019396F">
        <w:rPr>
          <w:rStyle w:val="TabletitleChar"/>
        </w:rPr>
        <w:t xml:space="preserve">. </w:t>
      </w:r>
      <w:r w:rsidRPr="0019396F">
        <w:rPr>
          <w:rStyle w:val="TabletitleChar"/>
        </w:rPr>
        <w:tab/>
        <w:t>Incentives for FoodAPS-1</w:t>
      </w:r>
      <w:r w:rsidRPr="004112F1">
        <w:rPr>
          <w:rFonts w:ascii="Franklin Gothic Book" w:hAnsi="Franklin Gothic Book"/>
          <w:bCs/>
          <w:color w:val="000000" w:themeColor="text1"/>
          <w:sz w:val="22"/>
          <w:szCs w:val="22"/>
          <w:vertAlign w:val="superscript"/>
        </w:rPr>
        <w:t>1</w:t>
      </w:r>
    </w:p>
    <w:p w:rsidRPr="008320A9" w:rsidR="00B5350F" w:rsidP="00B5350F" w:rsidRDefault="00B5350F" w14:paraId="0AB7D06E" w14:textId="77777777">
      <w:pPr>
        <w:pStyle w:val="TT-TableTitle"/>
        <w:rPr>
          <w:color w:val="000000" w:themeColor="text1"/>
        </w:rPr>
      </w:pPr>
    </w:p>
    <w:tbl>
      <w:tblPr>
        <w:tblStyle w:val="TableWestatStandardFormat"/>
        <w:tblW w:w="5000" w:type="pct"/>
        <w:tblLook w:val="04A0" w:firstRow="1" w:lastRow="0" w:firstColumn="1" w:lastColumn="0" w:noHBand="0" w:noVBand="1"/>
      </w:tblPr>
      <w:tblGrid>
        <w:gridCol w:w="6352"/>
        <w:gridCol w:w="3008"/>
      </w:tblGrid>
      <w:tr w:rsidRPr="00B5350F" w:rsidR="00B5350F" w:rsidTr="00D76B01" w14:paraId="6699F104" w14:textId="77777777">
        <w:trPr>
          <w:cnfStyle w:val="100000000000" w:firstRow="1" w:lastRow="0" w:firstColumn="0" w:lastColumn="0" w:oddVBand="0" w:evenVBand="0" w:oddHBand="0" w:evenHBand="0" w:firstRowFirstColumn="0" w:firstRowLastColumn="0" w:lastRowFirstColumn="0" w:lastRowLastColumn="0"/>
        </w:trPr>
        <w:tc>
          <w:tcPr>
            <w:tcW w:w="3393" w:type="pct"/>
          </w:tcPr>
          <w:p w:rsidRPr="008320A9" w:rsidR="00B5350F" w:rsidP="00D76B01" w:rsidRDefault="00B5350F" w14:paraId="48C3C834" w14:textId="77777777">
            <w:pPr>
              <w:pStyle w:val="TH-TableHeading"/>
              <w:rPr>
                <w:color w:val="000000" w:themeColor="text1"/>
              </w:rPr>
            </w:pPr>
            <w:r w:rsidRPr="008320A9">
              <w:rPr>
                <w:color w:val="000000" w:themeColor="text1"/>
              </w:rPr>
              <w:t>Type of Household</w:t>
            </w:r>
          </w:p>
        </w:tc>
        <w:tc>
          <w:tcPr>
            <w:tcW w:w="1607" w:type="pct"/>
          </w:tcPr>
          <w:p w:rsidRPr="008320A9" w:rsidR="00B5350F" w:rsidP="00D76B01" w:rsidRDefault="00B5350F" w14:paraId="19E44E3B" w14:textId="77777777">
            <w:pPr>
              <w:pStyle w:val="TH-TableHeading"/>
              <w:rPr>
                <w:color w:val="000000" w:themeColor="text1"/>
              </w:rPr>
            </w:pPr>
            <w:r w:rsidRPr="008320A9">
              <w:rPr>
                <w:color w:val="000000" w:themeColor="text1"/>
              </w:rPr>
              <w:t>Incentive Amount</w:t>
            </w:r>
          </w:p>
        </w:tc>
      </w:tr>
      <w:tr w:rsidRPr="00B5350F" w:rsidR="00B5350F" w:rsidTr="00D76B01" w14:paraId="200703BF" w14:textId="77777777">
        <w:tc>
          <w:tcPr>
            <w:tcW w:w="3393" w:type="pct"/>
          </w:tcPr>
          <w:p w:rsidRPr="008320A9" w:rsidR="00B5350F" w:rsidP="00D76B01" w:rsidRDefault="00B5350F" w14:paraId="3AC02083" w14:textId="77777777">
            <w:pPr>
              <w:pStyle w:val="TX-TableText"/>
              <w:rPr>
                <w:color w:val="000000" w:themeColor="text1"/>
              </w:rPr>
            </w:pPr>
            <w:r w:rsidRPr="008320A9">
              <w:rPr>
                <w:color w:val="000000" w:themeColor="text1"/>
              </w:rPr>
              <w:t>Single Adult households</w:t>
            </w:r>
          </w:p>
        </w:tc>
        <w:tc>
          <w:tcPr>
            <w:tcW w:w="1607" w:type="pct"/>
          </w:tcPr>
          <w:p w:rsidRPr="008320A9" w:rsidR="00B5350F" w:rsidP="00D76B01" w:rsidRDefault="00B5350F" w14:paraId="77AC174E" w14:textId="77777777">
            <w:pPr>
              <w:pStyle w:val="TX-TableText"/>
              <w:jc w:val="center"/>
              <w:rPr>
                <w:color w:val="000000" w:themeColor="text1"/>
              </w:rPr>
            </w:pPr>
          </w:p>
        </w:tc>
      </w:tr>
      <w:tr w:rsidRPr="00B5350F" w:rsidR="00B5350F" w:rsidTr="00D76B01" w14:paraId="13EE1231" w14:textId="77777777">
        <w:tc>
          <w:tcPr>
            <w:tcW w:w="3393" w:type="pct"/>
          </w:tcPr>
          <w:p w:rsidRPr="008320A9" w:rsidR="00B5350F" w:rsidP="00D76B01" w:rsidRDefault="00B5350F" w14:paraId="48278C54" w14:textId="77777777">
            <w:pPr>
              <w:pStyle w:val="TX-TableText"/>
              <w:ind w:left="180" w:hanging="180"/>
              <w:rPr>
                <w:color w:val="000000" w:themeColor="text1"/>
              </w:rPr>
            </w:pPr>
            <w:r w:rsidRPr="008320A9">
              <w:rPr>
                <w:color w:val="000000" w:themeColor="text1"/>
              </w:rPr>
              <w:tab/>
              <w:t>One-person household with no telephone bonus</w:t>
            </w:r>
          </w:p>
          <w:p w:rsidRPr="008320A9" w:rsidR="00B5350F" w:rsidP="00D76B01" w:rsidRDefault="00B5350F" w14:paraId="303F5978" w14:textId="77777777">
            <w:pPr>
              <w:pStyle w:val="TX-TableText"/>
              <w:ind w:left="180" w:hanging="180"/>
              <w:rPr>
                <w:color w:val="000000" w:themeColor="text1"/>
              </w:rPr>
            </w:pPr>
            <w:r w:rsidRPr="008320A9">
              <w:rPr>
                <w:color w:val="000000" w:themeColor="text1"/>
              </w:rPr>
              <w:tab/>
              <w:t>(All numbers below assume a telephone bonus of $30)</w:t>
            </w:r>
          </w:p>
        </w:tc>
        <w:tc>
          <w:tcPr>
            <w:tcW w:w="1607" w:type="pct"/>
          </w:tcPr>
          <w:p w:rsidRPr="008320A9" w:rsidR="00B5350F" w:rsidP="00D76B01" w:rsidRDefault="00B5350F" w14:paraId="09581A1A" w14:textId="77777777">
            <w:pPr>
              <w:pStyle w:val="TX-TableText"/>
              <w:jc w:val="center"/>
              <w:rPr>
                <w:color w:val="000000" w:themeColor="text1"/>
              </w:rPr>
            </w:pPr>
            <w:r w:rsidRPr="008320A9">
              <w:rPr>
                <w:color w:val="000000" w:themeColor="text1"/>
              </w:rPr>
              <w:t>$100</w:t>
            </w:r>
          </w:p>
        </w:tc>
      </w:tr>
      <w:tr w:rsidRPr="00B5350F" w:rsidR="00B5350F" w:rsidTr="00D76B01" w14:paraId="02CA35E2" w14:textId="77777777">
        <w:tc>
          <w:tcPr>
            <w:tcW w:w="3393" w:type="pct"/>
          </w:tcPr>
          <w:p w:rsidRPr="008320A9" w:rsidR="00B5350F" w:rsidP="00D76B01" w:rsidRDefault="00B5350F" w14:paraId="2F3CA4DD" w14:textId="77777777">
            <w:pPr>
              <w:pStyle w:val="TX-TableText"/>
              <w:ind w:left="180" w:hanging="180"/>
              <w:rPr>
                <w:color w:val="000000" w:themeColor="text1"/>
              </w:rPr>
            </w:pPr>
            <w:r w:rsidRPr="008320A9">
              <w:rPr>
                <w:color w:val="000000" w:themeColor="text1"/>
              </w:rPr>
              <w:tab/>
              <w:t>1 adult, no youth or teens</w:t>
            </w:r>
          </w:p>
        </w:tc>
        <w:tc>
          <w:tcPr>
            <w:tcW w:w="1607" w:type="pct"/>
          </w:tcPr>
          <w:p w:rsidRPr="008320A9" w:rsidR="00B5350F" w:rsidP="00D76B01" w:rsidRDefault="00B5350F" w14:paraId="448D7B91" w14:textId="77777777">
            <w:pPr>
              <w:pStyle w:val="TX-TableText"/>
              <w:jc w:val="center"/>
              <w:rPr>
                <w:color w:val="000000" w:themeColor="text1"/>
              </w:rPr>
            </w:pPr>
            <w:r w:rsidRPr="008320A9">
              <w:rPr>
                <w:color w:val="000000" w:themeColor="text1"/>
              </w:rPr>
              <w:t>$130</w:t>
            </w:r>
          </w:p>
        </w:tc>
      </w:tr>
      <w:tr w:rsidRPr="00B5350F" w:rsidR="00B5350F" w:rsidTr="00D76B01" w14:paraId="666ABF47" w14:textId="77777777">
        <w:tc>
          <w:tcPr>
            <w:tcW w:w="3393" w:type="pct"/>
          </w:tcPr>
          <w:p w:rsidRPr="008320A9" w:rsidR="00B5350F" w:rsidP="00D76B01" w:rsidRDefault="00B5350F" w14:paraId="2281C82A" w14:textId="77777777">
            <w:pPr>
              <w:pStyle w:val="TX-TableText"/>
              <w:ind w:left="180" w:hanging="180"/>
              <w:rPr>
                <w:color w:val="000000" w:themeColor="text1"/>
              </w:rPr>
            </w:pPr>
            <w:r w:rsidRPr="008320A9">
              <w:rPr>
                <w:color w:val="000000" w:themeColor="text1"/>
              </w:rPr>
              <w:tab/>
              <w:t xml:space="preserve">1 adult and 1 youth (11-14) </w:t>
            </w:r>
          </w:p>
        </w:tc>
        <w:tc>
          <w:tcPr>
            <w:tcW w:w="1607" w:type="pct"/>
          </w:tcPr>
          <w:p w:rsidRPr="008320A9" w:rsidR="00B5350F" w:rsidP="00D76B01" w:rsidRDefault="00B5350F" w14:paraId="67E8BB6A" w14:textId="77777777">
            <w:pPr>
              <w:pStyle w:val="TX-TableText"/>
              <w:jc w:val="center"/>
              <w:rPr>
                <w:color w:val="000000" w:themeColor="text1"/>
              </w:rPr>
            </w:pPr>
            <w:r w:rsidRPr="008320A9">
              <w:rPr>
                <w:color w:val="000000" w:themeColor="text1"/>
              </w:rPr>
              <w:t>$140</w:t>
            </w:r>
          </w:p>
        </w:tc>
      </w:tr>
      <w:tr w:rsidRPr="00B5350F" w:rsidR="00B5350F" w:rsidTr="00D76B01" w14:paraId="7FC67245" w14:textId="77777777">
        <w:tc>
          <w:tcPr>
            <w:tcW w:w="3393" w:type="pct"/>
          </w:tcPr>
          <w:p w:rsidRPr="008320A9" w:rsidR="00B5350F" w:rsidP="00D76B01" w:rsidRDefault="00B5350F" w14:paraId="2838E49B" w14:textId="77777777">
            <w:pPr>
              <w:pStyle w:val="TX-TableText"/>
              <w:ind w:left="180" w:hanging="180"/>
              <w:rPr>
                <w:color w:val="000000" w:themeColor="text1"/>
              </w:rPr>
            </w:pPr>
            <w:r w:rsidRPr="008320A9">
              <w:rPr>
                <w:color w:val="000000" w:themeColor="text1"/>
              </w:rPr>
              <w:tab/>
              <w:t>1 adult and 1 teen (15-18)</w:t>
            </w:r>
          </w:p>
        </w:tc>
        <w:tc>
          <w:tcPr>
            <w:tcW w:w="1607" w:type="pct"/>
          </w:tcPr>
          <w:p w:rsidRPr="008320A9" w:rsidR="00B5350F" w:rsidP="00D76B01" w:rsidRDefault="00B5350F" w14:paraId="29A6D1AC" w14:textId="77777777">
            <w:pPr>
              <w:pStyle w:val="TX-TableText"/>
              <w:jc w:val="center"/>
              <w:rPr>
                <w:color w:val="000000" w:themeColor="text1"/>
              </w:rPr>
            </w:pPr>
            <w:r w:rsidRPr="008320A9">
              <w:rPr>
                <w:color w:val="000000" w:themeColor="text1"/>
              </w:rPr>
              <w:t>$150</w:t>
            </w:r>
          </w:p>
        </w:tc>
      </w:tr>
      <w:tr w:rsidRPr="00B5350F" w:rsidR="00B5350F" w:rsidTr="00D76B01" w14:paraId="2C459CF8" w14:textId="77777777">
        <w:tc>
          <w:tcPr>
            <w:tcW w:w="3393" w:type="pct"/>
          </w:tcPr>
          <w:p w:rsidRPr="008320A9" w:rsidR="00B5350F" w:rsidP="00D76B01" w:rsidRDefault="00B5350F" w14:paraId="7B1AC982" w14:textId="77777777">
            <w:pPr>
              <w:pStyle w:val="TX-TableText"/>
              <w:ind w:left="180" w:hanging="180"/>
              <w:rPr>
                <w:color w:val="000000" w:themeColor="text1"/>
              </w:rPr>
            </w:pPr>
            <w:r w:rsidRPr="008320A9">
              <w:rPr>
                <w:color w:val="000000" w:themeColor="text1"/>
              </w:rPr>
              <w:tab/>
              <w:t>1 adult, 1 youth, and 1 teen</w:t>
            </w:r>
          </w:p>
        </w:tc>
        <w:tc>
          <w:tcPr>
            <w:tcW w:w="1607" w:type="pct"/>
          </w:tcPr>
          <w:p w:rsidRPr="008320A9" w:rsidR="00B5350F" w:rsidP="00D76B01" w:rsidRDefault="00B5350F" w14:paraId="4DB17796" w14:textId="77777777">
            <w:pPr>
              <w:pStyle w:val="TX-TableText"/>
              <w:jc w:val="center"/>
              <w:rPr>
                <w:color w:val="000000" w:themeColor="text1"/>
              </w:rPr>
            </w:pPr>
            <w:r w:rsidRPr="008320A9">
              <w:rPr>
                <w:color w:val="000000" w:themeColor="text1"/>
              </w:rPr>
              <w:t>$160</w:t>
            </w:r>
          </w:p>
        </w:tc>
      </w:tr>
      <w:tr w:rsidRPr="00B5350F" w:rsidR="00B5350F" w:rsidTr="00D76B01" w14:paraId="0542A367" w14:textId="77777777">
        <w:tc>
          <w:tcPr>
            <w:tcW w:w="3393" w:type="pct"/>
          </w:tcPr>
          <w:p w:rsidRPr="008320A9" w:rsidR="00B5350F" w:rsidP="00D76B01" w:rsidRDefault="00B5350F" w14:paraId="05A3AA04" w14:textId="77777777">
            <w:pPr>
              <w:pStyle w:val="TX-TableText"/>
              <w:rPr>
                <w:color w:val="000000" w:themeColor="text1"/>
              </w:rPr>
            </w:pPr>
            <w:r w:rsidRPr="008320A9">
              <w:rPr>
                <w:color w:val="000000" w:themeColor="text1"/>
              </w:rPr>
              <w:t xml:space="preserve">Multiple Adult households </w:t>
            </w:r>
          </w:p>
          <w:p w:rsidRPr="008320A9" w:rsidR="00B5350F" w:rsidP="00D76B01" w:rsidRDefault="00B5350F" w14:paraId="72BE1FB6" w14:textId="77777777">
            <w:pPr>
              <w:pStyle w:val="TX-TableText"/>
              <w:rPr>
                <w:color w:val="000000" w:themeColor="text1"/>
              </w:rPr>
            </w:pPr>
            <w:r w:rsidRPr="008320A9">
              <w:rPr>
                <w:color w:val="000000" w:themeColor="text1"/>
              </w:rPr>
              <w:t>(Numbers below assume two adults)</w:t>
            </w:r>
          </w:p>
        </w:tc>
        <w:tc>
          <w:tcPr>
            <w:tcW w:w="1607" w:type="pct"/>
          </w:tcPr>
          <w:p w:rsidRPr="008320A9" w:rsidR="00B5350F" w:rsidP="00D76B01" w:rsidRDefault="00B5350F" w14:paraId="02D3752B" w14:textId="77777777">
            <w:pPr>
              <w:pStyle w:val="TX-TableText"/>
              <w:jc w:val="center"/>
              <w:rPr>
                <w:color w:val="000000" w:themeColor="text1"/>
              </w:rPr>
            </w:pPr>
          </w:p>
        </w:tc>
      </w:tr>
      <w:tr w:rsidRPr="00B5350F" w:rsidR="00B5350F" w:rsidTr="00D76B01" w14:paraId="218FD713" w14:textId="77777777">
        <w:tc>
          <w:tcPr>
            <w:tcW w:w="3393" w:type="pct"/>
          </w:tcPr>
          <w:p w:rsidRPr="008320A9" w:rsidR="00B5350F" w:rsidP="00D76B01" w:rsidRDefault="00B5350F" w14:paraId="68836369" w14:textId="77777777">
            <w:pPr>
              <w:pStyle w:val="TX-TableText"/>
              <w:ind w:left="180" w:hanging="180"/>
              <w:rPr>
                <w:color w:val="000000" w:themeColor="text1"/>
              </w:rPr>
            </w:pPr>
            <w:r w:rsidRPr="008320A9">
              <w:rPr>
                <w:color w:val="000000" w:themeColor="text1"/>
              </w:rPr>
              <w:tab/>
              <w:t>Adults, no youth or teens</w:t>
            </w:r>
          </w:p>
        </w:tc>
        <w:tc>
          <w:tcPr>
            <w:tcW w:w="1607" w:type="pct"/>
          </w:tcPr>
          <w:p w:rsidRPr="008320A9" w:rsidR="00B5350F" w:rsidP="00D76B01" w:rsidRDefault="00B5350F" w14:paraId="13899E6F" w14:textId="77777777">
            <w:pPr>
              <w:pStyle w:val="TX-TableText"/>
              <w:jc w:val="center"/>
              <w:rPr>
                <w:color w:val="000000" w:themeColor="text1"/>
              </w:rPr>
            </w:pPr>
            <w:r w:rsidRPr="008320A9">
              <w:rPr>
                <w:color w:val="000000" w:themeColor="text1"/>
              </w:rPr>
              <w:t>$150</w:t>
            </w:r>
          </w:p>
        </w:tc>
      </w:tr>
      <w:tr w:rsidRPr="00B5350F" w:rsidR="00B5350F" w:rsidTr="00D76B01" w14:paraId="5F2D1869" w14:textId="77777777">
        <w:tc>
          <w:tcPr>
            <w:tcW w:w="3393" w:type="pct"/>
          </w:tcPr>
          <w:p w:rsidRPr="008320A9" w:rsidR="00B5350F" w:rsidP="00D76B01" w:rsidRDefault="00B5350F" w14:paraId="263ACA12" w14:textId="77777777">
            <w:pPr>
              <w:pStyle w:val="TX-TableText"/>
              <w:ind w:left="180" w:hanging="180"/>
              <w:rPr>
                <w:color w:val="000000" w:themeColor="text1"/>
              </w:rPr>
            </w:pPr>
            <w:r w:rsidRPr="008320A9">
              <w:rPr>
                <w:color w:val="000000" w:themeColor="text1"/>
              </w:rPr>
              <w:tab/>
              <w:t>Adults and 1 youth</w:t>
            </w:r>
          </w:p>
        </w:tc>
        <w:tc>
          <w:tcPr>
            <w:tcW w:w="1607" w:type="pct"/>
          </w:tcPr>
          <w:p w:rsidRPr="008320A9" w:rsidR="00B5350F" w:rsidP="00D76B01" w:rsidRDefault="00B5350F" w14:paraId="3866EA08" w14:textId="77777777">
            <w:pPr>
              <w:pStyle w:val="TX-TableText"/>
              <w:jc w:val="center"/>
              <w:rPr>
                <w:color w:val="000000" w:themeColor="text1"/>
              </w:rPr>
            </w:pPr>
            <w:r w:rsidRPr="008320A9">
              <w:rPr>
                <w:color w:val="000000" w:themeColor="text1"/>
              </w:rPr>
              <w:t>$160</w:t>
            </w:r>
          </w:p>
        </w:tc>
      </w:tr>
      <w:tr w:rsidRPr="00B5350F" w:rsidR="00B5350F" w:rsidTr="00D76B01" w14:paraId="2A75277D" w14:textId="77777777">
        <w:tc>
          <w:tcPr>
            <w:tcW w:w="3393" w:type="pct"/>
          </w:tcPr>
          <w:p w:rsidRPr="008320A9" w:rsidR="00B5350F" w:rsidP="00D76B01" w:rsidRDefault="00B5350F" w14:paraId="600E5660" w14:textId="77777777">
            <w:pPr>
              <w:pStyle w:val="TX-TableText"/>
              <w:ind w:left="180" w:hanging="180"/>
              <w:rPr>
                <w:color w:val="000000" w:themeColor="text1"/>
              </w:rPr>
            </w:pPr>
            <w:r w:rsidRPr="008320A9">
              <w:rPr>
                <w:color w:val="000000" w:themeColor="text1"/>
              </w:rPr>
              <w:tab/>
              <w:t>Adults and 1 teen</w:t>
            </w:r>
          </w:p>
        </w:tc>
        <w:tc>
          <w:tcPr>
            <w:tcW w:w="1607" w:type="pct"/>
          </w:tcPr>
          <w:p w:rsidRPr="008320A9" w:rsidR="00B5350F" w:rsidP="00D76B01" w:rsidRDefault="00B5350F" w14:paraId="21147FBD" w14:textId="77777777">
            <w:pPr>
              <w:pStyle w:val="TX-TableText"/>
              <w:jc w:val="center"/>
              <w:rPr>
                <w:color w:val="000000" w:themeColor="text1"/>
              </w:rPr>
            </w:pPr>
            <w:r w:rsidRPr="008320A9">
              <w:rPr>
                <w:color w:val="000000" w:themeColor="text1"/>
              </w:rPr>
              <w:t>$170</w:t>
            </w:r>
          </w:p>
        </w:tc>
      </w:tr>
      <w:tr w:rsidRPr="00B5350F" w:rsidR="00B5350F" w:rsidTr="00D76B01" w14:paraId="75E47CE5" w14:textId="77777777">
        <w:tc>
          <w:tcPr>
            <w:tcW w:w="3393" w:type="pct"/>
          </w:tcPr>
          <w:p w:rsidRPr="008320A9" w:rsidR="00B5350F" w:rsidP="00D76B01" w:rsidRDefault="00B5350F" w14:paraId="6B78B83B" w14:textId="77777777">
            <w:pPr>
              <w:pStyle w:val="TX-TableText"/>
              <w:ind w:left="180" w:hanging="180"/>
              <w:rPr>
                <w:color w:val="000000" w:themeColor="text1"/>
              </w:rPr>
            </w:pPr>
            <w:r w:rsidRPr="008320A9">
              <w:rPr>
                <w:color w:val="000000" w:themeColor="text1"/>
              </w:rPr>
              <w:tab/>
              <w:t>Adults, 1 youth, and 1 teen</w:t>
            </w:r>
          </w:p>
        </w:tc>
        <w:tc>
          <w:tcPr>
            <w:tcW w:w="1607" w:type="pct"/>
          </w:tcPr>
          <w:p w:rsidRPr="008320A9" w:rsidR="00B5350F" w:rsidP="00D76B01" w:rsidRDefault="00B5350F" w14:paraId="114096C3" w14:textId="77777777">
            <w:pPr>
              <w:pStyle w:val="TX-TableText"/>
              <w:jc w:val="center"/>
              <w:rPr>
                <w:color w:val="000000" w:themeColor="text1"/>
              </w:rPr>
            </w:pPr>
            <w:r w:rsidRPr="008320A9">
              <w:rPr>
                <w:color w:val="000000" w:themeColor="text1"/>
              </w:rPr>
              <w:t>$180</w:t>
            </w:r>
          </w:p>
        </w:tc>
      </w:tr>
    </w:tbl>
    <w:p w:rsidRPr="008320A9" w:rsidR="00B5350F" w:rsidP="00B5350F" w:rsidRDefault="00B5350F" w14:paraId="59985706" w14:textId="77777777">
      <w:pPr>
        <w:pStyle w:val="TF-TblFN"/>
        <w:rPr>
          <w:color w:val="000000" w:themeColor="text1"/>
        </w:rPr>
      </w:pPr>
      <w:r w:rsidRPr="008320A9">
        <w:rPr>
          <w:color w:val="000000" w:themeColor="text1"/>
          <w:vertAlign w:val="superscript"/>
        </w:rPr>
        <w:t xml:space="preserve">1 </w:t>
      </w:r>
      <w:r w:rsidRPr="008320A9">
        <w:rPr>
          <w:color w:val="000000" w:themeColor="text1"/>
        </w:rPr>
        <w:t xml:space="preserve">Incentives were based on household size with a bonus for participation in telephone interviews, i.e., $10 each time the household initiated a food reporting call on days 2, 5, and 7. Incentives for keeping the food diary were $10 for children age 11 to 14 and $20 for persons over age 14. </w:t>
      </w:r>
    </w:p>
    <w:p w:rsidRPr="008320A9" w:rsidR="00B5350F" w:rsidP="00B5350F" w:rsidRDefault="00B5350F" w14:paraId="444F6882" w14:textId="77777777">
      <w:pPr>
        <w:pStyle w:val="L1-FlLSp12"/>
        <w:rPr>
          <w:color w:val="000000" w:themeColor="text1"/>
        </w:rPr>
      </w:pPr>
    </w:p>
    <w:p w:rsidRPr="008320A9" w:rsidR="00B5350F" w:rsidP="00B5350F" w:rsidRDefault="00B5350F" w14:paraId="35690936" w14:textId="63B37C75">
      <w:pPr>
        <w:pStyle w:val="TT-TableTitle"/>
        <w:rPr>
          <w:color w:val="000000" w:themeColor="text1"/>
        </w:rPr>
      </w:pPr>
      <w:bookmarkStart w:name="_Toc57323855" w:id="115"/>
      <w:bookmarkStart w:name="_Toc93498247" w:id="116"/>
      <w:r w:rsidRPr="0019396F">
        <w:rPr>
          <w:rStyle w:val="TabletitleChar"/>
        </w:rPr>
        <w:t>Table A.</w:t>
      </w:r>
      <w:r w:rsidRPr="0019396F" w:rsidR="00507781">
        <w:rPr>
          <w:rStyle w:val="TabletitleChar"/>
        </w:rPr>
        <w:t>4</w:t>
      </w:r>
      <w:r w:rsidRPr="0019396F">
        <w:rPr>
          <w:rStyle w:val="TabletitleChar"/>
        </w:rPr>
        <w:t>.</w:t>
      </w:r>
      <w:r w:rsidRPr="0019396F">
        <w:rPr>
          <w:rStyle w:val="TabletitleChar"/>
        </w:rPr>
        <w:tab/>
        <w:t>Incentives for the ADCM Pilot</w:t>
      </w:r>
      <w:r w:rsidRPr="008320A9">
        <w:rPr>
          <w:color w:val="000000" w:themeColor="text1"/>
          <w:vertAlign w:val="superscript"/>
        </w:rPr>
        <w:t>1</w:t>
      </w:r>
      <w:bookmarkEnd w:id="115"/>
      <w:bookmarkEnd w:id="116"/>
    </w:p>
    <w:p w:rsidRPr="008320A9" w:rsidR="00B5350F" w:rsidP="00B5350F" w:rsidRDefault="00B5350F" w14:paraId="1993291F" w14:textId="77777777">
      <w:pPr>
        <w:pStyle w:val="TT-TableTitle"/>
        <w:rPr>
          <w:color w:val="000000" w:themeColor="text1"/>
        </w:rPr>
      </w:pPr>
    </w:p>
    <w:tbl>
      <w:tblPr>
        <w:tblStyle w:val="TableWestatStandardFormat"/>
        <w:tblW w:w="4778" w:type="pct"/>
        <w:tblLook w:val="04A0" w:firstRow="1" w:lastRow="0" w:firstColumn="1" w:lastColumn="0" w:noHBand="0" w:noVBand="1"/>
      </w:tblPr>
      <w:tblGrid>
        <w:gridCol w:w="860"/>
        <w:gridCol w:w="1427"/>
        <w:gridCol w:w="1427"/>
        <w:gridCol w:w="1139"/>
        <w:gridCol w:w="1427"/>
        <w:gridCol w:w="1283"/>
        <w:gridCol w:w="1381"/>
      </w:tblGrid>
      <w:tr w:rsidRPr="00B5350F" w:rsidR="00B5350F" w:rsidTr="00D76B01" w14:paraId="66E90E8C" w14:textId="77777777">
        <w:trPr>
          <w:cnfStyle w:val="100000000000" w:firstRow="1" w:lastRow="0" w:firstColumn="0" w:lastColumn="0" w:oddVBand="0" w:evenVBand="0" w:oddHBand="0" w:evenHBand="0" w:firstRowFirstColumn="0" w:firstRowLastColumn="0" w:lastRowFirstColumn="0" w:lastRowLastColumn="0"/>
          <w:trHeight w:val="737"/>
        </w:trPr>
        <w:tc>
          <w:tcPr>
            <w:tcW w:w="480" w:type="pct"/>
            <w:vAlign w:val="bottom"/>
            <w:hideMark/>
          </w:tcPr>
          <w:p w:rsidRPr="008320A9" w:rsidR="00B5350F" w:rsidP="00D76B01" w:rsidRDefault="00B5350F" w14:paraId="3D9D4F32" w14:textId="77777777">
            <w:pPr>
              <w:pStyle w:val="TH-TableHeading"/>
              <w:rPr>
                <w:color w:val="000000" w:themeColor="text1"/>
              </w:rPr>
            </w:pPr>
            <w:r w:rsidRPr="008320A9">
              <w:rPr>
                <w:color w:val="000000" w:themeColor="text1"/>
              </w:rPr>
              <w:t>HH Size</w:t>
            </w:r>
          </w:p>
        </w:tc>
        <w:tc>
          <w:tcPr>
            <w:tcW w:w="798" w:type="pct"/>
            <w:vAlign w:val="bottom"/>
          </w:tcPr>
          <w:p w:rsidRPr="008320A9" w:rsidR="00B5350F" w:rsidP="00D76B01" w:rsidRDefault="00B5350F" w14:paraId="56F40F33" w14:textId="77777777">
            <w:pPr>
              <w:pStyle w:val="TH-TableHeading"/>
              <w:rPr>
                <w:color w:val="000000" w:themeColor="text1"/>
              </w:rPr>
            </w:pPr>
            <w:r w:rsidRPr="008320A9">
              <w:rPr>
                <w:color w:val="000000" w:themeColor="text1"/>
              </w:rPr>
              <w:t>In-Person Screener</w:t>
            </w:r>
          </w:p>
        </w:tc>
        <w:tc>
          <w:tcPr>
            <w:tcW w:w="798" w:type="pct"/>
            <w:vAlign w:val="bottom"/>
            <w:hideMark/>
          </w:tcPr>
          <w:p w:rsidRPr="008320A9" w:rsidR="00B5350F" w:rsidP="00D76B01" w:rsidRDefault="00B5350F" w14:paraId="6BF7EFCA" w14:textId="77777777">
            <w:pPr>
              <w:pStyle w:val="TH-TableHeading"/>
              <w:rPr>
                <w:color w:val="000000" w:themeColor="text1"/>
              </w:rPr>
            </w:pPr>
            <w:r w:rsidRPr="008320A9">
              <w:rPr>
                <w:color w:val="000000" w:themeColor="text1"/>
              </w:rPr>
              <w:t>Initial Interview + Training</w:t>
            </w:r>
          </w:p>
        </w:tc>
        <w:tc>
          <w:tcPr>
            <w:tcW w:w="637" w:type="pct"/>
            <w:vAlign w:val="bottom"/>
            <w:hideMark/>
          </w:tcPr>
          <w:p w:rsidRPr="008320A9" w:rsidR="00B5350F" w:rsidP="00D76B01" w:rsidRDefault="00B5350F" w14:paraId="21B7178A" w14:textId="77777777">
            <w:pPr>
              <w:pStyle w:val="TH-TableHeading"/>
              <w:rPr>
                <w:color w:val="000000" w:themeColor="text1"/>
              </w:rPr>
            </w:pPr>
            <w:r w:rsidRPr="008320A9">
              <w:rPr>
                <w:color w:val="000000" w:themeColor="text1"/>
              </w:rPr>
              <w:t xml:space="preserve">Food Log </w:t>
            </w:r>
            <w:r w:rsidRPr="008320A9">
              <w:rPr>
                <w:color w:val="000000" w:themeColor="text1"/>
                <w:vertAlign w:val="superscript"/>
              </w:rPr>
              <w:t>a</w:t>
            </w:r>
          </w:p>
        </w:tc>
        <w:tc>
          <w:tcPr>
            <w:tcW w:w="798" w:type="pct"/>
            <w:vAlign w:val="bottom"/>
            <w:hideMark/>
          </w:tcPr>
          <w:p w:rsidRPr="008320A9" w:rsidR="00B5350F" w:rsidP="00D76B01" w:rsidRDefault="00B5350F" w14:paraId="080EC60E" w14:textId="77777777">
            <w:pPr>
              <w:pStyle w:val="TH-TableHeading"/>
              <w:rPr>
                <w:color w:val="000000" w:themeColor="text1"/>
              </w:rPr>
            </w:pPr>
            <w:r w:rsidRPr="008320A9">
              <w:rPr>
                <w:color w:val="000000" w:themeColor="text1"/>
              </w:rPr>
              <w:t>Final Interview</w:t>
            </w:r>
          </w:p>
        </w:tc>
        <w:tc>
          <w:tcPr>
            <w:tcW w:w="717" w:type="pct"/>
            <w:vAlign w:val="bottom"/>
            <w:hideMark/>
          </w:tcPr>
          <w:p w:rsidRPr="008320A9" w:rsidR="00B5350F" w:rsidP="00D76B01" w:rsidRDefault="00B5350F" w14:paraId="39D0AE0D" w14:textId="77777777">
            <w:pPr>
              <w:pStyle w:val="TH-TableHeading"/>
              <w:rPr>
                <w:color w:val="000000" w:themeColor="text1"/>
              </w:rPr>
            </w:pPr>
            <w:r w:rsidRPr="008320A9">
              <w:rPr>
                <w:color w:val="000000" w:themeColor="text1"/>
              </w:rPr>
              <w:t>Income Worksheet</w:t>
            </w:r>
            <w:r w:rsidRPr="008320A9">
              <w:rPr>
                <w:color w:val="000000" w:themeColor="text1"/>
                <w:vertAlign w:val="superscript"/>
              </w:rPr>
              <w:t>b</w:t>
            </w:r>
          </w:p>
        </w:tc>
        <w:tc>
          <w:tcPr>
            <w:tcW w:w="773" w:type="pct"/>
            <w:vAlign w:val="bottom"/>
            <w:hideMark/>
          </w:tcPr>
          <w:p w:rsidRPr="008320A9" w:rsidR="00B5350F" w:rsidP="00D76B01" w:rsidRDefault="00B5350F" w14:paraId="15B1ED96" w14:textId="77777777">
            <w:pPr>
              <w:pStyle w:val="TH-TableHeading"/>
              <w:rPr>
                <w:color w:val="000000" w:themeColor="text1"/>
              </w:rPr>
            </w:pPr>
            <w:r w:rsidRPr="008320A9">
              <w:rPr>
                <w:color w:val="000000" w:themeColor="text1"/>
              </w:rPr>
              <w:t xml:space="preserve">Max Total </w:t>
            </w:r>
          </w:p>
          <w:p w:rsidRPr="008320A9" w:rsidR="00B5350F" w:rsidP="00D76B01" w:rsidRDefault="00B5350F" w14:paraId="65F44432" w14:textId="77777777">
            <w:pPr>
              <w:pStyle w:val="TH-TableHeading"/>
              <w:rPr>
                <w:color w:val="000000" w:themeColor="text1"/>
              </w:rPr>
            </w:pPr>
            <w:r w:rsidRPr="008320A9">
              <w:rPr>
                <w:color w:val="000000" w:themeColor="text1"/>
              </w:rPr>
              <w:t>(Full Survey)</w:t>
            </w:r>
          </w:p>
        </w:tc>
      </w:tr>
      <w:tr w:rsidRPr="00B5350F" w:rsidR="00B5350F" w:rsidTr="00D76B01" w14:paraId="506BAE54" w14:textId="77777777">
        <w:trPr>
          <w:trHeight w:val="300"/>
        </w:trPr>
        <w:tc>
          <w:tcPr>
            <w:tcW w:w="480" w:type="pct"/>
            <w:noWrap/>
            <w:hideMark/>
          </w:tcPr>
          <w:p w:rsidRPr="008320A9" w:rsidR="00B5350F" w:rsidP="00D76B01" w:rsidRDefault="00B5350F" w14:paraId="15E00FA4" w14:textId="77777777">
            <w:pPr>
              <w:pStyle w:val="TX-TableText"/>
              <w:jc w:val="center"/>
              <w:rPr>
                <w:color w:val="000000" w:themeColor="text1"/>
              </w:rPr>
            </w:pPr>
            <w:r w:rsidRPr="008320A9">
              <w:rPr>
                <w:color w:val="000000" w:themeColor="text1"/>
              </w:rPr>
              <w:t>1</w:t>
            </w:r>
          </w:p>
        </w:tc>
        <w:tc>
          <w:tcPr>
            <w:tcW w:w="798" w:type="pct"/>
          </w:tcPr>
          <w:p w:rsidRPr="008320A9" w:rsidR="00B5350F" w:rsidP="00D76B01" w:rsidRDefault="00B5350F" w14:paraId="4FC4C6F1" w14:textId="77777777">
            <w:pPr>
              <w:pStyle w:val="TX-TableText"/>
              <w:jc w:val="center"/>
              <w:rPr>
                <w:color w:val="000000" w:themeColor="text1"/>
              </w:rPr>
            </w:pPr>
            <w:r w:rsidRPr="008320A9">
              <w:rPr>
                <w:color w:val="000000" w:themeColor="text1"/>
              </w:rPr>
              <w:t>$5</w:t>
            </w:r>
          </w:p>
        </w:tc>
        <w:tc>
          <w:tcPr>
            <w:tcW w:w="798" w:type="pct"/>
            <w:noWrap/>
            <w:hideMark/>
          </w:tcPr>
          <w:p w:rsidRPr="008320A9" w:rsidR="00B5350F" w:rsidP="00D76B01" w:rsidRDefault="00B5350F" w14:paraId="4B10E683" w14:textId="77777777">
            <w:pPr>
              <w:pStyle w:val="TX-TableText"/>
              <w:jc w:val="center"/>
              <w:rPr>
                <w:color w:val="000000" w:themeColor="text1"/>
              </w:rPr>
            </w:pPr>
            <w:r w:rsidRPr="008320A9">
              <w:rPr>
                <w:color w:val="000000" w:themeColor="text1"/>
              </w:rPr>
              <w:t>$50</w:t>
            </w:r>
          </w:p>
        </w:tc>
        <w:tc>
          <w:tcPr>
            <w:tcW w:w="637" w:type="pct"/>
            <w:noWrap/>
            <w:hideMark/>
          </w:tcPr>
          <w:p w:rsidRPr="008320A9" w:rsidR="00B5350F" w:rsidP="00D76B01" w:rsidRDefault="00B5350F" w14:paraId="62681D0F" w14:textId="77777777">
            <w:pPr>
              <w:pStyle w:val="TX-TableText"/>
              <w:jc w:val="center"/>
              <w:rPr>
                <w:color w:val="000000" w:themeColor="text1"/>
              </w:rPr>
            </w:pPr>
            <w:r w:rsidRPr="008320A9">
              <w:rPr>
                <w:color w:val="000000" w:themeColor="text1"/>
              </w:rPr>
              <w:t>$21</w:t>
            </w:r>
          </w:p>
        </w:tc>
        <w:tc>
          <w:tcPr>
            <w:tcW w:w="798" w:type="pct"/>
            <w:noWrap/>
            <w:hideMark/>
          </w:tcPr>
          <w:p w:rsidRPr="008320A9" w:rsidR="00B5350F" w:rsidP="00D76B01" w:rsidRDefault="00B5350F" w14:paraId="4F2FB0C0" w14:textId="77777777">
            <w:pPr>
              <w:pStyle w:val="TX-TableText"/>
              <w:jc w:val="center"/>
              <w:rPr>
                <w:color w:val="000000" w:themeColor="text1"/>
              </w:rPr>
            </w:pPr>
            <w:r w:rsidRPr="008320A9">
              <w:rPr>
                <w:color w:val="000000" w:themeColor="text1"/>
              </w:rPr>
              <w:t>$50</w:t>
            </w:r>
          </w:p>
        </w:tc>
        <w:tc>
          <w:tcPr>
            <w:tcW w:w="717" w:type="pct"/>
            <w:noWrap/>
            <w:hideMark/>
          </w:tcPr>
          <w:p w:rsidRPr="008320A9" w:rsidR="00B5350F" w:rsidP="00D76B01" w:rsidRDefault="00B5350F" w14:paraId="739C8998" w14:textId="77777777">
            <w:pPr>
              <w:pStyle w:val="TX-TableText"/>
              <w:jc w:val="center"/>
              <w:rPr>
                <w:color w:val="000000" w:themeColor="text1"/>
              </w:rPr>
            </w:pPr>
            <w:r w:rsidRPr="008320A9">
              <w:rPr>
                <w:color w:val="000000" w:themeColor="text1"/>
              </w:rPr>
              <w:t>$5</w:t>
            </w:r>
          </w:p>
        </w:tc>
        <w:tc>
          <w:tcPr>
            <w:tcW w:w="773" w:type="pct"/>
            <w:noWrap/>
            <w:hideMark/>
          </w:tcPr>
          <w:p w:rsidRPr="008320A9" w:rsidR="00B5350F" w:rsidP="00D76B01" w:rsidRDefault="00B5350F" w14:paraId="57576FDF" w14:textId="2BB1E719">
            <w:pPr>
              <w:pStyle w:val="TX-TableText"/>
              <w:jc w:val="center"/>
              <w:rPr>
                <w:color w:val="000000" w:themeColor="text1"/>
              </w:rPr>
            </w:pPr>
            <w:r w:rsidRPr="008320A9">
              <w:rPr>
                <w:color w:val="000000" w:themeColor="text1"/>
              </w:rPr>
              <w:t>$131</w:t>
            </w:r>
          </w:p>
        </w:tc>
      </w:tr>
      <w:tr w:rsidRPr="00B5350F" w:rsidR="00B5350F" w:rsidTr="00D76B01" w14:paraId="077C7FE1" w14:textId="77777777">
        <w:trPr>
          <w:trHeight w:val="300"/>
        </w:trPr>
        <w:tc>
          <w:tcPr>
            <w:tcW w:w="480" w:type="pct"/>
            <w:noWrap/>
            <w:hideMark/>
          </w:tcPr>
          <w:p w:rsidRPr="008320A9" w:rsidR="00B5350F" w:rsidP="00D76B01" w:rsidRDefault="00B5350F" w14:paraId="4E0BB112" w14:textId="77777777">
            <w:pPr>
              <w:pStyle w:val="TX-TableText"/>
              <w:jc w:val="center"/>
              <w:rPr>
                <w:color w:val="000000" w:themeColor="text1"/>
              </w:rPr>
            </w:pPr>
            <w:r w:rsidRPr="008320A9">
              <w:rPr>
                <w:color w:val="000000" w:themeColor="text1"/>
              </w:rPr>
              <w:t>2</w:t>
            </w:r>
          </w:p>
        </w:tc>
        <w:tc>
          <w:tcPr>
            <w:tcW w:w="798" w:type="pct"/>
          </w:tcPr>
          <w:p w:rsidRPr="008320A9" w:rsidR="00B5350F" w:rsidP="00D76B01" w:rsidRDefault="00B5350F" w14:paraId="3194D03D" w14:textId="77777777">
            <w:pPr>
              <w:pStyle w:val="TX-TableText"/>
              <w:jc w:val="center"/>
              <w:rPr>
                <w:color w:val="000000" w:themeColor="text1"/>
              </w:rPr>
            </w:pPr>
            <w:r w:rsidRPr="008320A9">
              <w:rPr>
                <w:color w:val="000000" w:themeColor="text1"/>
              </w:rPr>
              <w:t>$5</w:t>
            </w:r>
          </w:p>
        </w:tc>
        <w:tc>
          <w:tcPr>
            <w:tcW w:w="798" w:type="pct"/>
            <w:noWrap/>
            <w:hideMark/>
          </w:tcPr>
          <w:p w:rsidRPr="008320A9" w:rsidR="00B5350F" w:rsidP="00D76B01" w:rsidRDefault="00B5350F" w14:paraId="35057FB0" w14:textId="77777777">
            <w:pPr>
              <w:pStyle w:val="TX-TableText"/>
              <w:jc w:val="center"/>
              <w:rPr>
                <w:color w:val="000000" w:themeColor="text1"/>
              </w:rPr>
            </w:pPr>
            <w:r w:rsidRPr="008320A9">
              <w:rPr>
                <w:color w:val="000000" w:themeColor="text1"/>
              </w:rPr>
              <w:t>$50</w:t>
            </w:r>
          </w:p>
        </w:tc>
        <w:tc>
          <w:tcPr>
            <w:tcW w:w="637" w:type="pct"/>
            <w:noWrap/>
            <w:hideMark/>
          </w:tcPr>
          <w:p w:rsidRPr="008320A9" w:rsidR="00B5350F" w:rsidP="00D76B01" w:rsidRDefault="00B5350F" w14:paraId="2F006060" w14:textId="77777777">
            <w:pPr>
              <w:pStyle w:val="TX-TableText"/>
              <w:jc w:val="center"/>
              <w:rPr>
                <w:color w:val="000000" w:themeColor="text1"/>
              </w:rPr>
            </w:pPr>
            <w:r w:rsidRPr="008320A9">
              <w:rPr>
                <w:color w:val="000000" w:themeColor="text1"/>
              </w:rPr>
              <w:t>$42</w:t>
            </w:r>
          </w:p>
        </w:tc>
        <w:tc>
          <w:tcPr>
            <w:tcW w:w="798" w:type="pct"/>
            <w:noWrap/>
            <w:hideMark/>
          </w:tcPr>
          <w:p w:rsidRPr="008320A9" w:rsidR="00B5350F" w:rsidP="00D76B01" w:rsidRDefault="00B5350F" w14:paraId="3C7E09C2" w14:textId="77777777">
            <w:pPr>
              <w:pStyle w:val="TX-TableText"/>
              <w:jc w:val="center"/>
              <w:rPr>
                <w:color w:val="000000" w:themeColor="text1"/>
              </w:rPr>
            </w:pPr>
            <w:r w:rsidRPr="008320A9">
              <w:rPr>
                <w:color w:val="000000" w:themeColor="text1"/>
              </w:rPr>
              <w:t>$50</w:t>
            </w:r>
          </w:p>
        </w:tc>
        <w:tc>
          <w:tcPr>
            <w:tcW w:w="717" w:type="pct"/>
            <w:noWrap/>
            <w:hideMark/>
          </w:tcPr>
          <w:p w:rsidRPr="008320A9" w:rsidR="00B5350F" w:rsidP="00D76B01" w:rsidRDefault="00B5350F" w14:paraId="4A492ADF" w14:textId="77777777">
            <w:pPr>
              <w:pStyle w:val="TX-TableText"/>
              <w:jc w:val="center"/>
              <w:rPr>
                <w:color w:val="000000" w:themeColor="text1"/>
              </w:rPr>
            </w:pPr>
            <w:r w:rsidRPr="008320A9">
              <w:rPr>
                <w:color w:val="000000" w:themeColor="text1"/>
              </w:rPr>
              <w:t>$5</w:t>
            </w:r>
          </w:p>
        </w:tc>
        <w:tc>
          <w:tcPr>
            <w:tcW w:w="773" w:type="pct"/>
            <w:noWrap/>
            <w:hideMark/>
          </w:tcPr>
          <w:p w:rsidRPr="008320A9" w:rsidR="00B5350F" w:rsidP="00D76B01" w:rsidRDefault="00B5350F" w14:paraId="73FE8D38" w14:textId="62FB7442">
            <w:pPr>
              <w:pStyle w:val="TX-TableText"/>
              <w:jc w:val="center"/>
              <w:rPr>
                <w:color w:val="000000" w:themeColor="text1"/>
              </w:rPr>
            </w:pPr>
            <w:r w:rsidRPr="008320A9">
              <w:rPr>
                <w:color w:val="000000" w:themeColor="text1"/>
              </w:rPr>
              <w:t>$152</w:t>
            </w:r>
          </w:p>
        </w:tc>
      </w:tr>
      <w:tr w:rsidRPr="00B5350F" w:rsidR="00B5350F" w:rsidTr="00D76B01" w14:paraId="1D65EE46" w14:textId="77777777">
        <w:trPr>
          <w:trHeight w:val="300"/>
        </w:trPr>
        <w:tc>
          <w:tcPr>
            <w:tcW w:w="480" w:type="pct"/>
            <w:noWrap/>
            <w:hideMark/>
          </w:tcPr>
          <w:p w:rsidRPr="008320A9" w:rsidR="00B5350F" w:rsidP="00D76B01" w:rsidRDefault="00B5350F" w14:paraId="4E4288D2" w14:textId="77777777">
            <w:pPr>
              <w:pStyle w:val="TX-TableText"/>
              <w:jc w:val="center"/>
              <w:rPr>
                <w:color w:val="000000" w:themeColor="text1"/>
              </w:rPr>
            </w:pPr>
            <w:r w:rsidRPr="008320A9">
              <w:rPr>
                <w:color w:val="000000" w:themeColor="text1"/>
              </w:rPr>
              <w:t>3</w:t>
            </w:r>
          </w:p>
        </w:tc>
        <w:tc>
          <w:tcPr>
            <w:tcW w:w="798" w:type="pct"/>
          </w:tcPr>
          <w:p w:rsidRPr="008320A9" w:rsidR="00B5350F" w:rsidP="00D76B01" w:rsidRDefault="00B5350F" w14:paraId="6987AEF6" w14:textId="77777777">
            <w:pPr>
              <w:pStyle w:val="TX-TableText"/>
              <w:jc w:val="center"/>
              <w:rPr>
                <w:color w:val="000000" w:themeColor="text1"/>
              </w:rPr>
            </w:pPr>
            <w:r w:rsidRPr="008320A9">
              <w:rPr>
                <w:color w:val="000000" w:themeColor="text1"/>
              </w:rPr>
              <w:t>$5</w:t>
            </w:r>
          </w:p>
        </w:tc>
        <w:tc>
          <w:tcPr>
            <w:tcW w:w="798" w:type="pct"/>
            <w:noWrap/>
            <w:hideMark/>
          </w:tcPr>
          <w:p w:rsidRPr="008320A9" w:rsidR="00B5350F" w:rsidP="00D76B01" w:rsidRDefault="00B5350F" w14:paraId="155008EF" w14:textId="77777777">
            <w:pPr>
              <w:pStyle w:val="TX-TableText"/>
              <w:jc w:val="center"/>
              <w:rPr>
                <w:color w:val="000000" w:themeColor="text1"/>
              </w:rPr>
            </w:pPr>
            <w:r w:rsidRPr="008320A9">
              <w:rPr>
                <w:color w:val="000000" w:themeColor="text1"/>
              </w:rPr>
              <w:t>$50</w:t>
            </w:r>
          </w:p>
        </w:tc>
        <w:tc>
          <w:tcPr>
            <w:tcW w:w="637" w:type="pct"/>
            <w:noWrap/>
            <w:hideMark/>
          </w:tcPr>
          <w:p w:rsidRPr="008320A9" w:rsidR="00B5350F" w:rsidP="00D76B01" w:rsidRDefault="00B5350F" w14:paraId="3A736C13" w14:textId="77777777">
            <w:pPr>
              <w:pStyle w:val="TX-TableText"/>
              <w:jc w:val="center"/>
              <w:rPr>
                <w:color w:val="000000" w:themeColor="text1"/>
              </w:rPr>
            </w:pPr>
            <w:r w:rsidRPr="008320A9">
              <w:rPr>
                <w:color w:val="000000" w:themeColor="text1"/>
              </w:rPr>
              <w:t>$63</w:t>
            </w:r>
          </w:p>
        </w:tc>
        <w:tc>
          <w:tcPr>
            <w:tcW w:w="798" w:type="pct"/>
            <w:noWrap/>
            <w:hideMark/>
          </w:tcPr>
          <w:p w:rsidRPr="008320A9" w:rsidR="00B5350F" w:rsidP="00D76B01" w:rsidRDefault="00B5350F" w14:paraId="7905F808" w14:textId="77777777">
            <w:pPr>
              <w:pStyle w:val="TX-TableText"/>
              <w:jc w:val="center"/>
              <w:rPr>
                <w:color w:val="000000" w:themeColor="text1"/>
              </w:rPr>
            </w:pPr>
            <w:r w:rsidRPr="008320A9">
              <w:rPr>
                <w:color w:val="000000" w:themeColor="text1"/>
              </w:rPr>
              <w:t>$50</w:t>
            </w:r>
          </w:p>
        </w:tc>
        <w:tc>
          <w:tcPr>
            <w:tcW w:w="717" w:type="pct"/>
            <w:noWrap/>
            <w:hideMark/>
          </w:tcPr>
          <w:p w:rsidRPr="008320A9" w:rsidR="00B5350F" w:rsidP="00D76B01" w:rsidRDefault="00B5350F" w14:paraId="750930A8" w14:textId="77777777">
            <w:pPr>
              <w:pStyle w:val="TX-TableText"/>
              <w:jc w:val="center"/>
              <w:rPr>
                <w:color w:val="000000" w:themeColor="text1"/>
              </w:rPr>
            </w:pPr>
            <w:r w:rsidRPr="008320A9">
              <w:rPr>
                <w:color w:val="000000" w:themeColor="text1"/>
              </w:rPr>
              <w:t>$5</w:t>
            </w:r>
          </w:p>
        </w:tc>
        <w:tc>
          <w:tcPr>
            <w:tcW w:w="773" w:type="pct"/>
            <w:noWrap/>
            <w:hideMark/>
          </w:tcPr>
          <w:p w:rsidRPr="008320A9" w:rsidR="00B5350F" w:rsidP="00D76B01" w:rsidRDefault="00B5350F" w14:paraId="7C9C90A4" w14:textId="63A8016F">
            <w:pPr>
              <w:pStyle w:val="TX-TableText"/>
              <w:jc w:val="center"/>
              <w:rPr>
                <w:color w:val="000000" w:themeColor="text1"/>
              </w:rPr>
            </w:pPr>
            <w:r w:rsidRPr="008320A9">
              <w:rPr>
                <w:color w:val="000000" w:themeColor="text1"/>
              </w:rPr>
              <w:t>$173</w:t>
            </w:r>
          </w:p>
        </w:tc>
      </w:tr>
      <w:tr w:rsidRPr="00B5350F" w:rsidR="00B5350F" w:rsidTr="00D76B01" w14:paraId="69B51DD3" w14:textId="77777777">
        <w:trPr>
          <w:trHeight w:val="300"/>
        </w:trPr>
        <w:tc>
          <w:tcPr>
            <w:tcW w:w="480" w:type="pct"/>
            <w:noWrap/>
            <w:hideMark/>
          </w:tcPr>
          <w:p w:rsidRPr="008320A9" w:rsidR="00B5350F" w:rsidP="00D76B01" w:rsidRDefault="00B5350F" w14:paraId="6A72AF4C" w14:textId="77777777">
            <w:pPr>
              <w:pStyle w:val="TX-TableText"/>
              <w:jc w:val="center"/>
              <w:rPr>
                <w:color w:val="000000" w:themeColor="text1"/>
              </w:rPr>
            </w:pPr>
            <w:r w:rsidRPr="008320A9">
              <w:rPr>
                <w:color w:val="000000" w:themeColor="text1"/>
              </w:rPr>
              <w:t>4</w:t>
            </w:r>
          </w:p>
        </w:tc>
        <w:tc>
          <w:tcPr>
            <w:tcW w:w="798" w:type="pct"/>
          </w:tcPr>
          <w:p w:rsidRPr="008320A9" w:rsidR="00B5350F" w:rsidP="00D76B01" w:rsidRDefault="00B5350F" w14:paraId="4CBBD578" w14:textId="77777777">
            <w:pPr>
              <w:pStyle w:val="TX-TableText"/>
              <w:jc w:val="center"/>
              <w:rPr>
                <w:color w:val="000000" w:themeColor="text1"/>
              </w:rPr>
            </w:pPr>
            <w:r w:rsidRPr="008320A9">
              <w:rPr>
                <w:color w:val="000000" w:themeColor="text1"/>
              </w:rPr>
              <w:t>$5</w:t>
            </w:r>
          </w:p>
        </w:tc>
        <w:tc>
          <w:tcPr>
            <w:tcW w:w="798" w:type="pct"/>
            <w:noWrap/>
            <w:hideMark/>
          </w:tcPr>
          <w:p w:rsidRPr="008320A9" w:rsidR="00B5350F" w:rsidP="00D76B01" w:rsidRDefault="00B5350F" w14:paraId="5CF934C8" w14:textId="77777777">
            <w:pPr>
              <w:pStyle w:val="TX-TableText"/>
              <w:jc w:val="center"/>
              <w:rPr>
                <w:color w:val="000000" w:themeColor="text1"/>
              </w:rPr>
            </w:pPr>
            <w:r w:rsidRPr="008320A9">
              <w:rPr>
                <w:color w:val="000000" w:themeColor="text1"/>
              </w:rPr>
              <w:t>$50</w:t>
            </w:r>
          </w:p>
        </w:tc>
        <w:tc>
          <w:tcPr>
            <w:tcW w:w="637" w:type="pct"/>
            <w:noWrap/>
            <w:hideMark/>
          </w:tcPr>
          <w:p w:rsidRPr="008320A9" w:rsidR="00B5350F" w:rsidP="00D76B01" w:rsidRDefault="00B5350F" w14:paraId="5F6AD4D7" w14:textId="77777777">
            <w:pPr>
              <w:pStyle w:val="TX-TableText"/>
              <w:jc w:val="center"/>
              <w:rPr>
                <w:color w:val="000000" w:themeColor="text1"/>
              </w:rPr>
            </w:pPr>
            <w:r w:rsidRPr="008320A9">
              <w:rPr>
                <w:color w:val="000000" w:themeColor="text1"/>
              </w:rPr>
              <w:t>$84</w:t>
            </w:r>
          </w:p>
        </w:tc>
        <w:tc>
          <w:tcPr>
            <w:tcW w:w="798" w:type="pct"/>
            <w:noWrap/>
            <w:hideMark/>
          </w:tcPr>
          <w:p w:rsidRPr="008320A9" w:rsidR="00B5350F" w:rsidP="00D76B01" w:rsidRDefault="00B5350F" w14:paraId="2074236F" w14:textId="77777777">
            <w:pPr>
              <w:pStyle w:val="TX-TableText"/>
              <w:jc w:val="center"/>
              <w:rPr>
                <w:color w:val="000000" w:themeColor="text1"/>
              </w:rPr>
            </w:pPr>
            <w:r w:rsidRPr="008320A9">
              <w:rPr>
                <w:color w:val="000000" w:themeColor="text1"/>
              </w:rPr>
              <w:t>$50</w:t>
            </w:r>
          </w:p>
        </w:tc>
        <w:tc>
          <w:tcPr>
            <w:tcW w:w="717" w:type="pct"/>
            <w:noWrap/>
            <w:hideMark/>
          </w:tcPr>
          <w:p w:rsidRPr="008320A9" w:rsidR="00B5350F" w:rsidP="00D76B01" w:rsidRDefault="00B5350F" w14:paraId="22801F4F" w14:textId="77777777">
            <w:pPr>
              <w:pStyle w:val="TX-TableText"/>
              <w:jc w:val="center"/>
              <w:rPr>
                <w:color w:val="000000" w:themeColor="text1"/>
              </w:rPr>
            </w:pPr>
            <w:r w:rsidRPr="008320A9">
              <w:rPr>
                <w:color w:val="000000" w:themeColor="text1"/>
              </w:rPr>
              <w:t>$5</w:t>
            </w:r>
          </w:p>
        </w:tc>
        <w:tc>
          <w:tcPr>
            <w:tcW w:w="773" w:type="pct"/>
            <w:noWrap/>
            <w:hideMark/>
          </w:tcPr>
          <w:p w:rsidRPr="008320A9" w:rsidR="00B5350F" w:rsidP="00D76B01" w:rsidRDefault="00B5350F" w14:paraId="283DE634" w14:textId="3F4BEA06">
            <w:pPr>
              <w:pStyle w:val="TX-TableText"/>
              <w:jc w:val="center"/>
              <w:rPr>
                <w:color w:val="000000" w:themeColor="text1"/>
              </w:rPr>
            </w:pPr>
            <w:r w:rsidRPr="008320A9">
              <w:rPr>
                <w:color w:val="000000" w:themeColor="text1"/>
              </w:rPr>
              <w:t>$194</w:t>
            </w:r>
          </w:p>
        </w:tc>
      </w:tr>
    </w:tbl>
    <w:p w:rsidRPr="008320A9" w:rsidR="00B5350F" w:rsidP="00B5350F" w:rsidRDefault="00B5350F" w14:paraId="644605AF" w14:textId="77777777">
      <w:pPr>
        <w:pStyle w:val="TF-TblFN"/>
        <w:spacing w:before="60"/>
        <w:rPr>
          <w:color w:val="000000" w:themeColor="text1"/>
        </w:rPr>
      </w:pPr>
      <w:r w:rsidRPr="008320A9">
        <w:rPr>
          <w:color w:val="000000" w:themeColor="text1"/>
          <w:vertAlign w:val="superscript"/>
        </w:rPr>
        <w:t xml:space="preserve">1 </w:t>
      </w:r>
      <w:r w:rsidRPr="008320A9">
        <w:rPr>
          <w:color w:val="000000" w:themeColor="text1"/>
        </w:rPr>
        <w:t>Excludes the incentive provided for the Recall Interview as it is not being implemented for the FoodAPS-2 Field Test</w:t>
      </w:r>
    </w:p>
    <w:p w:rsidRPr="008320A9" w:rsidR="00B5350F" w:rsidP="00B5350F" w:rsidRDefault="00B5350F" w14:paraId="6D550933" w14:textId="77777777">
      <w:pPr>
        <w:pStyle w:val="TF-TblFN"/>
        <w:spacing w:before="60"/>
        <w:rPr>
          <w:color w:val="000000" w:themeColor="text1"/>
        </w:rPr>
      </w:pPr>
      <w:r w:rsidRPr="008320A9">
        <w:rPr>
          <w:color w:val="000000" w:themeColor="text1"/>
          <w:vertAlign w:val="superscript"/>
        </w:rPr>
        <w:t xml:space="preserve">a  </w:t>
      </w:r>
      <w:r w:rsidRPr="008320A9">
        <w:rPr>
          <w:color w:val="000000" w:themeColor="text1"/>
        </w:rPr>
        <w:t>$3 a day per household member for a completed daily Food Log report.</w:t>
      </w:r>
    </w:p>
    <w:p w:rsidRPr="008320A9" w:rsidR="00B5350F" w:rsidP="00B5350F" w:rsidRDefault="00B5350F" w14:paraId="724EE8AE" w14:textId="77777777">
      <w:pPr>
        <w:pStyle w:val="TF-TblFN"/>
        <w:spacing w:before="60"/>
        <w:rPr>
          <w:color w:val="000000" w:themeColor="text1"/>
        </w:rPr>
      </w:pPr>
      <w:r w:rsidRPr="008320A9">
        <w:rPr>
          <w:color w:val="000000" w:themeColor="text1"/>
          <w:vertAlign w:val="superscript"/>
        </w:rPr>
        <w:t xml:space="preserve">b  </w:t>
      </w:r>
      <w:r w:rsidRPr="008320A9">
        <w:rPr>
          <w:color w:val="000000" w:themeColor="text1"/>
        </w:rPr>
        <w:t>$5 provided if all eligible household members complete.</w:t>
      </w:r>
    </w:p>
    <w:p w:rsidRPr="008320A9" w:rsidR="00B5350F" w:rsidP="00B5350F" w:rsidRDefault="00B5350F" w14:paraId="58413E7D" w14:textId="77777777">
      <w:pPr>
        <w:pStyle w:val="L1-FlLSp12"/>
        <w:rPr>
          <w:color w:val="000000" w:themeColor="text1"/>
        </w:rPr>
      </w:pPr>
    </w:p>
    <w:p w:rsidRPr="008320A9" w:rsidR="00B5350F" w:rsidP="0019396F" w:rsidRDefault="00B5350F" w14:paraId="5A07352C" w14:textId="5E5DB4D4">
      <w:pPr>
        <w:pStyle w:val="Tabletitle0"/>
      </w:pPr>
      <w:bookmarkStart w:name="_Toc57323856" w:id="117"/>
      <w:bookmarkStart w:name="_Toc93498248" w:id="118"/>
      <w:r w:rsidRPr="008320A9">
        <w:t>Table A.</w:t>
      </w:r>
      <w:r w:rsidR="00507781">
        <w:t>5</w:t>
      </w:r>
      <w:r w:rsidRPr="008320A9">
        <w:t xml:space="preserve">. </w:t>
      </w:r>
      <w:r w:rsidRPr="008320A9">
        <w:tab/>
        <w:t>Incentive Plan for the FoodAPS-2 Field Test (Control Group)</w:t>
      </w:r>
      <w:bookmarkEnd w:id="117"/>
      <w:bookmarkEnd w:id="118"/>
    </w:p>
    <w:p w:rsidRPr="008320A9" w:rsidR="00B5350F" w:rsidP="00B5350F" w:rsidRDefault="00B5350F" w14:paraId="618FCB2C" w14:textId="77777777">
      <w:pPr>
        <w:pStyle w:val="TT-TableTitle"/>
        <w:rPr>
          <w:color w:val="000000" w:themeColor="text1"/>
        </w:rPr>
      </w:pPr>
    </w:p>
    <w:tbl>
      <w:tblPr>
        <w:tblStyle w:val="TableWestatStandardFormat"/>
        <w:tblW w:w="4868" w:type="pct"/>
        <w:tblLayout w:type="fixed"/>
        <w:tblLook w:val="04A0" w:firstRow="1" w:lastRow="0" w:firstColumn="1" w:lastColumn="0" w:noHBand="0" w:noVBand="1"/>
      </w:tblPr>
      <w:tblGrid>
        <w:gridCol w:w="694"/>
        <w:gridCol w:w="1252"/>
        <w:gridCol w:w="1258"/>
        <w:gridCol w:w="1139"/>
        <w:gridCol w:w="868"/>
        <w:gridCol w:w="981"/>
        <w:gridCol w:w="981"/>
        <w:gridCol w:w="895"/>
        <w:gridCol w:w="930"/>
        <w:gridCol w:w="115"/>
      </w:tblGrid>
      <w:tr w:rsidRPr="00B5350F" w:rsidR="00C8752B" w:rsidTr="008320A9" w14:paraId="71D18435" w14:textId="77777777">
        <w:trPr>
          <w:cnfStyle w:val="100000000000" w:firstRow="1" w:lastRow="0" w:firstColumn="0" w:lastColumn="0" w:oddVBand="0" w:evenVBand="0" w:oddHBand="0" w:evenHBand="0" w:firstRowFirstColumn="0" w:firstRowLastColumn="0" w:lastRowFirstColumn="0" w:lastRowLastColumn="0"/>
          <w:trHeight w:val="746"/>
        </w:trPr>
        <w:tc>
          <w:tcPr>
            <w:tcW w:w="381" w:type="pct"/>
            <w:vAlign w:val="bottom"/>
            <w:hideMark/>
          </w:tcPr>
          <w:p w:rsidRPr="008320A9" w:rsidR="00C8752B" w:rsidP="00D76B01" w:rsidRDefault="00C8752B" w14:paraId="6472504B" w14:textId="77777777">
            <w:pPr>
              <w:pStyle w:val="TH-TableHeading"/>
              <w:rPr>
                <w:color w:val="000000" w:themeColor="text1"/>
              </w:rPr>
            </w:pPr>
            <w:r w:rsidRPr="008320A9">
              <w:rPr>
                <w:color w:val="000000" w:themeColor="text1"/>
              </w:rPr>
              <w:t>HH Size</w:t>
            </w:r>
          </w:p>
        </w:tc>
        <w:tc>
          <w:tcPr>
            <w:tcW w:w="687" w:type="pct"/>
            <w:vAlign w:val="bottom"/>
            <w:hideMark/>
          </w:tcPr>
          <w:p w:rsidRPr="008320A9" w:rsidR="00C8752B" w:rsidP="00D76B01" w:rsidRDefault="00C8752B" w14:paraId="107F2A03" w14:textId="77777777">
            <w:pPr>
              <w:pStyle w:val="TH-TableHeading"/>
              <w:rPr>
                <w:color w:val="000000" w:themeColor="text1"/>
                <w:vertAlign w:val="superscript"/>
              </w:rPr>
            </w:pPr>
            <w:r w:rsidRPr="008320A9">
              <w:rPr>
                <w:color w:val="000000" w:themeColor="text1"/>
              </w:rPr>
              <w:t>Mail Screener</w:t>
            </w:r>
          </w:p>
        </w:tc>
        <w:tc>
          <w:tcPr>
            <w:tcW w:w="690" w:type="pct"/>
            <w:vAlign w:val="bottom"/>
            <w:hideMark/>
          </w:tcPr>
          <w:p w:rsidRPr="008320A9" w:rsidR="00C8752B" w:rsidP="00D76B01" w:rsidRDefault="00C8752B" w14:paraId="797B639E" w14:textId="77777777">
            <w:pPr>
              <w:pStyle w:val="TH-TableHeading"/>
              <w:rPr>
                <w:color w:val="000000" w:themeColor="text1"/>
                <w:vertAlign w:val="superscript"/>
              </w:rPr>
            </w:pPr>
            <w:r w:rsidRPr="008320A9">
              <w:rPr>
                <w:color w:val="000000" w:themeColor="text1"/>
              </w:rPr>
              <w:t>In-Person Screener</w:t>
            </w:r>
          </w:p>
        </w:tc>
        <w:tc>
          <w:tcPr>
            <w:tcW w:w="625" w:type="pct"/>
            <w:vAlign w:val="bottom"/>
            <w:hideMark/>
          </w:tcPr>
          <w:p w:rsidRPr="008320A9" w:rsidR="00C8752B" w:rsidP="00D76B01" w:rsidRDefault="00C8752B" w14:paraId="0DA99CE3" w14:textId="77777777">
            <w:pPr>
              <w:pStyle w:val="TH-TableHeading"/>
              <w:rPr>
                <w:color w:val="000000" w:themeColor="text1"/>
              </w:rPr>
            </w:pPr>
            <w:r w:rsidRPr="008320A9">
              <w:rPr>
                <w:color w:val="000000" w:themeColor="text1"/>
              </w:rPr>
              <w:t>Initial Interview + Training</w:t>
            </w:r>
          </w:p>
        </w:tc>
        <w:tc>
          <w:tcPr>
            <w:tcW w:w="476" w:type="pct"/>
            <w:vAlign w:val="bottom"/>
            <w:hideMark/>
          </w:tcPr>
          <w:p w:rsidRPr="008320A9" w:rsidR="00C8752B" w:rsidP="00D76B01" w:rsidRDefault="00C8752B" w14:paraId="3EF466F0" w14:textId="77777777">
            <w:pPr>
              <w:pStyle w:val="TH-TableHeading"/>
              <w:rPr>
                <w:color w:val="000000" w:themeColor="text1"/>
              </w:rPr>
            </w:pPr>
            <w:r w:rsidRPr="008320A9">
              <w:rPr>
                <w:color w:val="000000" w:themeColor="text1"/>
              </w:rPr>
              <w:t xml:space="preserve">Food Log </w:t>
            </w:r>
            <w:r w:rsidRPr="008320A9">
              <w:rPr>
                <w:color w:val="000000" w:themeColor="text1"/>
                <w:vertAlign w:val="superscript"/>
              </w:rPr>
              <w:t>a</w:t>
            </w:r>
          </w:p>
        </w:tc>
        <w:tc>
          <w:tcPr>
            <w:tcW w:w="538" w:type="pct"/>
            <w:vAlign w:val="bottom"/>
          </w:tcPr>
          <w:p w:rsidRPr="008320A9" w:rsidR="00C8752B" w:rsidP="008320A9" w:rsidRDefault="00C8752B" w14:paraId="231EA2B7" w14:textId="6487DF6C">
            <w:pPr>
              <w:pStyle w:val="TH-TableHeading"/>
              <w:rPr>
                <w:color w:val="000000" w:themeColor="text1"/>
              </w:rPr>
            </w:pPr>
            <w:r>
              <w:rPr>
                <w:color w:val="000000" w:themeColor="text1"/>
              </w:rPr>
              <w:t>Debrief Intrview</w:t>
            </w:r>
          </w:p>
        </w:tc>
        <w:tc>
          <w:tcPr>
            <w:tcW w:w="538" w:type="pct"/>
            <w:vAlign w:val="bottom"/>
            <w:hideMark/>
          </w:tcPr>
          <w:p w:rsidRPr="008320A9" w:rsidR="00C8752B" w:rsidP="00D76B01" w:rsidRDefault="00C8752B" w14:paraId="411DE10D" w14:textId="05302596">
            <w:pPr>
              <w:pStyle w:val="TH-TableHeading"/>
              <w:rPr>
                <w:color w:val="000000" w:themeColor="text1"/>
              </w:rPr>
            </w:pPr>
            <w:r w:rsidRPr="008320A9">
              <w:rPr>
                <w:color w:val="000000" w:themeColor="text1"/>
              </w:rPr>
              <w:t>Income Wksheet ($2 pp)</w:t>
            </w:r>
          </w:p>
        </w:tc>
        <w:tc>
          <w:tcPr>
            <w:tcW w:w="491" w:type="pct"/>
            <w:vAlign w:val="bottom"/>
            <w:hideMark/>
          </w:tcPr>
          <w:p w:rsidRPr="008320A9" w:rsidR="00C8752B" w:rsidP="00D76B01" w:rsidRDefault="00C8752B" w14:paraId="324F7DB9" w14:textId="77777777">
            <w:pPr>
              <w:pStyle w:val="TH-TableHeading"/>
              <w:rPr>
                <w:color w:val="000000" w:themeColor="text1"/>
              </w:rPr>
            </w:pPr>
            <w:r w:rsidRPr="008320A9">
              <w:rPr>
                <w:color w:val="000000" w:themeColor="text1"/>
              </w:rPr>
              <w:t>Profile Quex ($2 pp)</w:t>
            </w:r>
          </w:p>
        </w:tc>
        <w:tc>
          <w:tcPr>
            <w:tcW w:w="573" w:type="pct"/>
            <w:gridSpan w:val="2"/>
            <w:vAlign w:val="bottom"/>
            <w:hideMark/>
          </w:tcPr>
          <w:p w:rsidRPr="008320A9" w:rsidR="00C8752B" w:rsidP="00D76B01" w:rsidRDefault="00C8752B" w14:paraId="2E96FF6B" w14:textId="77777777">
            <w:pPr>
              <w:pStyle w:val="TH-TableHeading"/>
              <w:rPr>
                <w:color w:val="000000" w:themeColor="text1"/>
              </w:rPr>
            </w:pPr>
            <w:r w:rsidRPr="008320A9">
              <w:rPr>
                <w:color w:val="000000" w:themeColor="text1"/>
              </w:rPr>
              <w:t>Max Total (Full Survey)</w:t>
            </w:r>
          </w:p>
        </w:tc>
      </w:tr>
      <w:tr w:rsidRPr="00B5350F" w:rsidR="00C8752B" w:rsidTr="008320A9" w14:paraId="7F1BCE9E" w14:textId="77777777">
        <w:trPr>
          <w:gridAfter w:val="1"/>
          <w:wAfter w:w="63" w:type="pct"/>
          <w:trHeight w:val="300"/>
        </w:trPr>
        <w:tc>
          <w:tcPr>
            <w:tcW w:w="381" w:type="pct"/>
            <w:noWrap/>
            <w:hideMark/>
          </w:tcPr>
          <w:p w:rsidRPr="008320A9" w:rsidR="00C8752B" w:rsidP="00D76B01" w:rsidRDefault="00C8752B" w14:paraId="0DC9EB61" w14:textId="77777777">
            <w:pPr>
              <w:pStyle w:val="TX-TableText"/>
              <w:jc w:val="center"/>
              <w:rPr>
                <w:color w:val="000000" w:themeColor="text1"/>
              </w:rPr>
            </w:pPr>
            <w:r w:rsidRPr="008320A9">
              <w:rPr>
                <w:color w:val="000000" w:themeColor="text1"/>
              </w:rPr>
              <w:t>1</w:t>
            </w:r>
          </w:p>
        </w:tc>
        <w:tc>
          <w:tcPr>
            <w:tcW w:w="687" w:type="pct"/>
            <w:noWrap/>
            <w:hideMark/>
          </w:tcPr>
          <w:p w:rsidRPr="008320A9" w:rsidR="00C8752B" w:rsidP="00D76B01" w:rsidRDefault="00C8752B" w14:paraId="1657A11D" w14:textId="47811B96">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3ACC83D7"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52EAB2AF"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10D5CCC7" w14:textId="77777777">
            <w:pPr>
              <w:pStyle w:val="TX-TableText"/>
              <w:jc w:val="center"/>
              <w:rPr>
                <w:color w:val="000000" w:themeColor="text1"/>
              </w:rPr>
            </w:pPr>
            <w:r w:rsidRPr="008320A9">
              <w:rPr>
                <w:color w:val="000000" w:themeColor="text1"/>
              </w:rPr>
              <w:t>$35</w:t>
            </w:r>
          </w:p>
        </w:tc>
        <w:tc>
          <w:tcPr>
            <w:tcW w:w="538" w:type="pct"/>
          </w:tcPr>
          <w:p w:rsidRPr="008320A9" w:rsidR="00C8752B" w:rsidP="00D76B01" w:rsidRDefault="00C8752B" w14:paraId="01052421" w14:textId="7B75EAFA">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751DA2AA" w14:textId="69551B4C">
            <w:pPr>
              <w:pStyle w:val="TX-TableText"/>
              <w:jc w:val="center"/>
              <w:rPr>
                <w:color w:val="000000" w:themeColor="text1"/>
              </w:rPr>
            </w:pPr>
            <w:r w:rsidRPr="008320A9">
              <w:rPr>
                <w:color w:val="000000" w:themeColor="text1"/>
              </w:rPr>
              <w:t>$2</w:t>
            </w:r>
          </w:p>
        </w:tc>
        <w:tc>
          <w:tcPr>
            <w:tcW w:w="491" w:type="pct"/>
            <w:noWrap/>
            <w:hideMark/>
          </w:tcPr>
          <w:p w:rsidRPr="008320A9" w:rsidR="00C8752B" w:rsidP="00D76B01" w:rsidRDefault="00C8752B" w14:paraId="0CF652B1" w14:textId="77777777">
            <w:pPr>
              <w:pStyle w:val="TX-TableText"/>
              <w:jc w:val="center"/>
              <w:rPr>
                <w:color w:val="000000" w:themeColor="text1"/>
              </w:rPr>
            </w:pPr>
            <w:r w:rsidRPr="008320A9">
              <w:rPr>
                <w:color w:val="000000" w:themeColor="text1"/>
              </w:rPr>
              <w:t>$2</w:t>
            </w:r>
          </w:p>
        </w:tc>
        <w:tc>
          <w:tcPr>
            <w:tcW w:w="510" w:type="pct"/>
            <w:noWrap/>
            <w:hideMark/>
          </w:tcPr>
          <w:p w:rsidRPr="008320A9" w:rsidR="00C8752B" w:rsidP="00D76B01" w:rsidRDefault="00C8752B" w14:paraId="60CEF863" w14:textId="3F0C1B3D">
            <w:pPr>
              <w:pStyle w:val="TX-TableText"/>
              <w:jc w:val="center"/>
              <w:rPr>
                <w:color w:val="000000" w:themeColor="text1"/>
              </w:rPr>
            </w:pPr>
            <w:r w:rsidRPr="008320A9">
              <w:rPr>
                <w:color w:val="000000" w:themeColor="text1"/>
              </w:rPr>
              <w:t>$</w:t>
            </w:r>
            <w:r>
              <w:rPr>
                <w:color w:val="000000" w:themeColor="text1"/>
              </w:rPr>
              <w:t>105</w:t>
            </w:r>
          </w:p>
        </w:tc>
      </w:tr>
      <w:tr w:rsidRPr="00B5350F" w:rsidR="00C8752B" w:rsidTr="008320A9" w14:paraId="15DC9073" w14:textId="77777777">
        <w:trPr>
          <w:gridAfter w:val="1"/>
          <w:wAfter w:w="63" w:type="pct"/>
          <w:trHeight w:val="300"/>
        </w:trPr>
        <w:tc>
          <w:tcPr>
            <w:tcW w:w="381" w:type="pct"/>
            <w:noWrap/>
            <w:hideMark/>
          </w:tcPr>
          <w:p w:rsidRPr="008320A9" w:rsidR="00C8752B" w:rsidP="00D76B01" w:rsidRDefault="00C8752B" w14:paraId="68D28FBD" w14:textId="77777777">
            <w:pPr>
              <w:pStyle w:val="TX-TableText"/>
              <w:jc w:val="center"/>
              <w:rPr>
                <w:color w:val="000000" w:themeColor="text1"/>
              </w:rPr>
            </w:pPr>
            <w:r w:rsidRPr="008320A9">
              <w:rPr>
                <w:color w:val="000000" w:themeColor="text1"/>
              </w:rPr>
              <w:t>2</w:t>
            </w:r>
          </w:p>
        </w:tc>
        <w:tc>
          <w:tcPr>
            <w:tcW w:w="687" w:type="pct"/>
            <w:noWrap/>
            <w:hideMark/>
          </w:tcPr>
          <w:p w:rsidRPr="008320A9" w:rsidR="00C8752B" w:rsidP="00D76B01" w:rsidRDefault="00C8752B" w14:paraId="70E127BD" w14:textId="4E7DD384">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08BE74F3"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0D99485A"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4C794F67" w14:textId="77777777">
            <w:pPr>
              <w:pStyle w:val="TX-TableText"/>
              <w:jc w:val="center"/>
              <w:rPr>
                <w:color w:val="000000" w:themeColor="text1"/>
              </w:rPr>
            </w:pPr>
            <w:r w:rsidRPr="008320A9">
              <w:rPr>
                <w:color w:val="000000" w:themeColor="text1"/>
              </w:rPr>
              <w:t>$70</w:t>
            </w:r>
          </w:p>
        </w:tc>
        <w:tc>
          <w:tcPr>
            <w:tcW w:w="538" w:type="pct"/>
          </w:tcPr>
          <w:p w:rsidRPr="008320A9" w:rsidR="00C8752B" w:rsidP="00D76B01" w:rsidRDefault="00C8752B" w14:paraId="04B3EF9F" w14:textId="550DEC98">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64E810C9" w14:textId="3D47C095">
            <w:pPr>
              <w:pStyle w:val="TX-TableText"/>
              <w:jc w:val="center"/>
              <w:rPr>
                <w:color w:val="000000" w:themeColor="text1"/>
              </w:rPr>
            </w:pPr>
            <w:r w:rsidRPr="008320A9">
              <w:rPr>
                <w:color w:val="000000" w:themeColor="text1"/>
              </w:rPr>
              <w:t>$4</w:t>
            </w:r>
          </w:p>
        </w:tc>
        <w:tc>
          <w:tcPr>
            <w:tcW w:w="491" w:type="pct"/>
            <w:noWrap/>
            <w:hideMark/>
          </w:tcPr>
          <w:p w:rsidRPr="008320A9" w:rsidR="00C8752B" w:rsidP="00D76B01" w:rsidRDefault="00C8752B" w14:paraId="35D8DE37" w14:textId="77777777">
            <w:pPr>
              <w:pStyle w:val="TX-TableText"/>
              <w:jc w:val="center"/>
              <w:rPr>
                <w:color w:val="000000" w:themeColor="text1"/>
              </w:rPr>
            </w:pPr>
            <w:r w:rsidRPr="008320A9">
              <w:rPr>
                <w:color w:val="000000" w:themeColor="text1"/>
              </w:rPr>
              <w:t>$4</w:t>
            </w:r>
          </w:p>
        </w:tc>
        <w:tc>
          <w:tcPr>
            <w:tcW w:w="510" w:type="pct"/>
            <w:noWrap/>
            <w:hideMark/>
          </w:tcPr>
          <w:p w:rsidRPr="008320A9" w:rsidR="00C8752B" w:rsidP="00D76B01" w:rsidRDefault="00C8752B" w14:paraId="5BD1ACBC" w14:textId="4C285F6C">
            <w:pPr>
              <w:pStyle w:val="TX-TableText"/>
              <w:jc w:val="center"/>
              <w:rPr>
                <w:color w:val="000000" w:themeColor="text1"/>
              </w:rPr>
            </w:pPr>
            <w:r w:rsidRPr="008320A9">
              <w:rPr>
                <w:color w:val="000000" w:themeColor="text1"/>
              </w:rPr>
              <w:t>$1</w:t>
            </w:r>
            <w:r>
              <w:rPr>
                <w:color w:val="000000" w:themeColor="text1"/>
              </w:rPr>
              <w:t>44</w:t>
            </w:r>
          </w:p>
        </w:tc>
      </w:tr>
      <w:tr w:rsidRPr="00B5350F" w:rsidR="00C8752B" w:rsidTr="008320A9" w14:paraId="05CD3693" w14:textId="77777777">
        <w:trPr>
          <w:gridAfter w:val="1"/>
          <w:wAfter w:w="63" w:type="pct"/>
          <w:trHeight w:val="300"/>
        </w:trPr>
        <w:tc>
          <w:tcPr>
            <w:tcW w:w="381" w:type="pct"/>
            <w:noWrap/>
            <w:hideMark/>
          </w:tcPr>
          <w:p w:rsidRPr="008320A9" w:rsidR="00C8752B" w:rsidP="00D76B01" w:rsidRDefault="00C8752B" w14:paraId="499E51AF" w14:textId="77777777">
            <w:pPr>
              <w:pStyle w:val="TX-TableText"/>
              <w:jc w:val="center"/>
              <w:rPr>
                <w:color w:val="000000" w:themeColor="text1"/>
              </w:rPr>
            </w:pPr>
            <w:r w:rsidRPr="008320A9">
              <w:rPr>
                <w:color w:val="000000" w:themeColor="text1"/>
              </w:rPr>
              <w:t>3</w:t>
            </w:r>
          </w:p>
        </w:tc>
        <w:tc>
          <w:tcPr>
            <w:tcW w:w="687" w:type="pct"/>
            <w:noWrap/>
            <w:hideMark/>
          </w:tcPr>
          <w:p w:rsidRPr="008320A9" w:rsidR="00C8752B" w:rsidP="00D76B01" w:rsidRDefault="00C8752B" w14:paraId="59B09278" w14:textId="43E17E5D">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65EFF503"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419751C0"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65280E89" w14:textId="77777777">
            <w:pPr>
              <w:pStyle w:val="TX-TableText"/>
              <w:jc w:val="center"/>
              <w:rPr>
                <w:color w:val="000000" w:themeColor="text1"/>
              </w:rPr>
            </w:pPr>
            <w:r w:rsidRPr="008320A9">
              <w:rPr>
                <w:color w:val="000000" w:themeColor="text1"/>
              </w:rPr>
              <w:t>$105</w:t>
            </w:r>
          </w:p>
        </w:tc>
        <w:tc>
          <w:tcPr>
            <w:tcW w:w="538" w:type="pct"/>
          </w:tcPr>
          <w:p w:rsidRPr="008320A9" w:rsidR="00C8752B" w:rsidP="00D76B01" w:rsidRDefault="00C8752B" w14:paraId="3D976267" w14:textId="123A6A79">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4CC28B2A" w14:textId="05FC5D63">
            <w:pPr>
              <w:pStyle w:val="TX-TableText"/>
              <w:jc w:val="center"/>
              <w:rPr>
                <w:color w:val="000000" w:themeColor="text1"/>
              </w:rPr>
            </w:pPr>
            <w:r w:rsidRPr="008320A9">
              <w:rPr>
                <w:color w:val="000000" w:themeColor="text1"/>
              </w:rPr>
              <w:t>$6</w:t>
            </w:r>
          </w:p>
        </w:tc>
        <w:tc>
          <w:tcPr>
            <w:tcW w:w="491" w:type="pct"/>
            <w:noWrap/>
            <w:hideMark/>
          </w:tcPr>
          <w:p w:rsidRPr="008320A9" w:rsidR="00C8752B" w:rsidP="00D76B01" w:rsidRDefault="00C8752B" w14:paraId="5E61AB97" w14:textId="77777777">
            <w:pPr>
              <w:pStyle w:val="TX-TableText"/>
              <w:jc w:val="center"/>
              <w:rPr>
                <w:color w:val="000000" w:themeColor="text1"/>
              </w:rPr>
            </w:pPr>
            <w:r w:rsidRPr="008320A9">
              <w:rPr>
                <w:color w:val="000000" w:themeColor="text1"/>
              </w:rPr>
              <w:t>$6</w:t>
            </w:r>
          </w:p>
        </w:tc>
        <w:tc>
          <w:tcPr>
            <w:tcW w:w="510" w:type="pct"/>
            <w:noWrap/>
            <w:hideMark/>
          </w:tcPr>
          <w:p w:rsidRPr="008320A9" w:rsidR="00C8752B" w:rsidP="00D76B01" w:rsidRDefault="00C8752B" w14:paraId="640097D2" w14:textId="3CB97E3E">
            <w:pPr>
              <w:pStyle w:val="TX-TableText"/>
              <w:jc w:val="center"/>
              <w:rPr>
                <w:color w:val="000000" w:themeColor="text1"/>
              </w:rPr>
            </w:pPr>
            <w:r w:rsidRPr="008320A9">
              <w:rPr>
                <w:color w:val="000000" w:themeColor="text1"/>
              </w:rPr>
              <w:t>$</w:t>
            </w:r>
            <w:r>
              <w:rPr>
                <w:color w:val="000000" w:themeColor="text1"/>
              </w:rPr>
              <w:t>183</w:t>
            </w:r>
          </w:p>
        </w:tc>
      </w:tr>
      <w:tr w:rsidRPr="00B5350F" w:rsidR="00C8752B" w:rsidTr="008320A9" w14:paraId="35D7BFFC" w14:textId="77777777">
        <w:trPr>
          <w:gridAfter w:val="1"/>
          <w:wAfter w:w="63" w:type="pct"/>
          <w:trHeight w:val="300"/>
        </w:trPr>
        <w:tc>
          <w:tcPr>
            <w:tcW w:w="381" w:type="pct"/>
            <w:noWrap/>
            <w:hideMark/>
          </w:tcPr>
          <w:p w:rsidRPr="008320A9" w:rsidR="00C8752B" w:rsidP="00D76B01" w:rsidRDefault="00C8752B" w14:paraId="2CB34C5E" w14:textId="77777777">
            <w:pPr>
              <w:pStyle w:val="TX-TableText"/>
              <w:jc w:val="center"/>
              <w:rPr>
                <w:color w:val="000000" w:themeColor="text1"/>
              </w:rPr>
            </w:pPr>
            <w:r w:rsidRPr="008320A9">
              <w:rPr>
                <w:color w:val="000000" w:themeColor="text1"/>
              </w:rPr>
              <w:t>4</w:t>
            </w:r>
          </w:p>
        </w:tc>
        <w:tc>
          <w:tcPr>
            <w:tcW w:w="687" w:type="pct"/>
            <w:noWrap/>
            <w:hideMark/>
          </w:tcPr>
          <w:p w:rsidRPr="008320A9" w:rsidR="00C8752B" w:rsidP="00D76B01" w:rsidRDefault="00C8752B" w14:paraId="75857701" w14:textId="332CDCCD">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1C335ECC"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79C86E48"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193BA683" w14:textId="77777777">
            <w:pPr>
              <w:pStyle w:val="TX-TableText"/>
              <w:jc w:val="center"/>
              <w:rPr>
                <w:color w:val="000000" w:themeColor="text1"/>
              </w:rPr>
            </w:pPr>
            <w:r w:rsidRPr="008320A9">
              <w:rPr>
                <w:color w:val="000000" w:themeColor="text1"/>
              </w:rPr>
              <w:t>$140</w:t>
            </w:r>
          </w:p>
        </w:tc>
        <w:tc>
          <w:tcPr>
            <w:tcW w:w="538" w:type="pct"/>
          </w:tcPr>
          <w:p w:rsidRPr="008320A9" w:rsidR="00C8752B" w:rsidP="00D76B01" w:rsidRDefault="00C8752B" w14:paraId="6166CF4E" w14:textId="661362F8">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206FA7DD" w14:textId="73A6CF2C">
            <w:pPr>
              <w:pStyle w:val="TX-TableText"/>
              <w:jc w:val="center"/>
              <w:rPr>
                <w:color w:val="000000" w:themeColor="text1"/>
              </w:rPr>
            </w:pPr>
            <w:r w:rsidRPr="008320A9">
              <w:rPr>
                <w:color w:val="000000" w:themeColor="text1"/>
              </w:rPr>
              <w:t>$8</w:t>
            </w:r>
          </w:p>
        </w:tc>
        <w:tc>
          <w:tcPr>
            <w:tcW w:w="491" w:type="pct"/>
            <w:noWrap/>
            <w:hideMark/>
          </w:tcPr>
          <w:p w:rsidRPr="008320A9" w:rsidR="00C8752B" w:rsidP="00D76B01" w:rsidRDefault="00C8752B" w14:paraId="76878C91" w14:textId="77777777">
            <w:pPr>
              <w:pStyle w:val="TX-TableText"/>
              <w:jc w:val="center"/>
              <w:rPr>
                <w:color w:val="000000" w:themeColor="text1"/>
              </w:rPr>
            </w:pPr>
            <w:r w:rsidRPr="008320A9">
              <w:rPr>
                <w:color w:val="000000" w:themeColor="text1"/>
              </w:rPr>
              <w:t>$8</w:t>
            </w:r>
          </w:p>
        </w:tc>
        <w:tc>
          <w:tcPr>
            <w:tcW w:w="510" w:type="pct"/>
            <w:noWrap/>
            <w:hideMark/>
          </w:tcPr>
          <w:p w:rsidRPr="008320A9" w:rsidR="00C8752B" w:rsidP="00D76B01" w:rsidRDefault="00C8752B" w14:paraId="49289B39" w14:textId="5B1F7ADD">
            <w:pPr>
              <w:pStyle w:val="TX-TableText"/>
              <w:jc w:val="center"/>
              <w:rPr>
                <w:color w:val="000000" w:themeColor="text1"/>
              </w:rPr>
            </w:pPr>
            <w:r w:rsidRPr="008320A9">
              <w:rPr>
                <w:color w:val="000000" w:themeColor="text1"/>
              </w:rPr>
              <w:t>$2</w:t>
            </w:r>
            <w:r>
              <w:rPr>
                <w:color w:val="000000" w:themeColor="text1"/>
              </w:rPr>
              <w:t>22</w:t>
            </w:r>
          </w:p>
        </w:tc>
      </w:tr>
    </w:tbl>
    <w:p w:rsidRPr="008320A9" w:rsidR="00B5350F" w:rsidP="00B5350F" w:rsidRDefault="00B5350F" w14:paraId="30ECFE10" w14:textId="77777777">
      <w:pPr>
        <w:pStyle w:val="TF-TblFN"/>
        <w:rPr>
          <w:color w:val="000000" w:themeColor="text1"/>
        </w:rPr>
      </w:pPr>
      <w:r w:rsidRPr="008320A9">
        <w:rPr>
          <w:color w:val="000000" w:themeColor="text1"/>
          <w:vertAlign w:val="superscript"/>
        </w:rPr>
        <w:t xml:space="preserve">a  </w:t>
      </w:r>
      <w:r w:rsidRPr="008320A9">
        <w:rPr>
          <w:color w:val="000000" w:themeColor="text1"/>
        </w:rPr>
        <w:t>$5 a day per household member for a completed daily Food Log report.</w:t>
      </w:r>
    </w:p>
    <w:p w:rsidRPr="008320A9" w:rsidR="00B5350F" w:rsidP="00B5350F" w:rsidRDefault="00B5350F" w14:paraId="0EDB8BA6" w14:textId="77777777">
      <w:pPr>
        <w:spacing w:line="360" w:lineRule="atLeast"/>
        <w:rPr>
          <w:color w:val="000000" w:themeColor="text1"/>
          <w:szCs w:val="24"/>
        </w:rPr>
      </w:pPr>
    </w:p>
    <w:p w:rsidRPr="008320A9" w:rsidR="00B5350F" w:rsidP="0019396F" w:rsidRDefault="00B5350F" w14:paraId="0276DF41" w14:textId="61B95AAE">
      <w:pPr>
        <w:pStyle w:val="Tabletitle0"/>
      </w:pPr>
      <w:bookmarkStart w:name="_Toc57323857" w:id="119"/>
      <w:bookmarkStart w:name="_Toc93498249" w:id="120"/>
      <w:bookmarkStart w:name="_Hlk74659568" w:id="121"/>
      <w:r w:rsidRPr="008320A9">
        <w:t>Table A.</w:t>
      </w:r>
      <w:r w:rsidR="00507781">
        <w:t>6</w:t>
      </w:r>
      <w:r w:rsidRPr="008320A9">
        <w:t xml:space="preserve">. </w:t>
      </w:r>
      <w:r w:rsidRPr="008320A9">
        <w:tab/>
        <w:t>Incentive Plan for the FoodAPS-2 Field Test (Treatment Group)</w:t>
      </w:r>
      <w:bookmarkEnd w:id="119"/>
      <w:bookmarkEnd w:id="120"/>
    </w:p>
    <w:p w:rsidRPr="008320A9" w:rsidR="00B5350F" w:rsidP="00B5350F" w:rsidRDefault="00B5350F" w14:paraId="255F6016" w14:textId="77777777">
      <w:pPr>
        <w:pStyle w:val="TT-TableTitle"/>
        <w:rPr>
          <w:color w:val="000000" w:themeColor="text1"/>
        </w:rPr>
      </w:pPr>
    </w:p>
    <w:tbl>
      <w:tblPr>
        <w:tblStyle w:val="TableWestatStandardFormat"/>
        <w:tblW w:w="4868" w:type="pct"/>
        <w:tblLayout w:type="fixed"/>
        <w:tblLook w:val="04A0" w:firstRow="1" w:lastRow="0" w:firstColumn="1" w:lastColumn="0" w:noHBand="0" w:noVBand="1"/>
      </w:tblPr>
      <w:tblGrid>
        <w:gridCol w:w="694"/>
        <w:gridCol w:w="1252"/>
        <w:gridCol w:w="1258"/>
        <w:gridCol w:w="1139"/>
        <w:gridCol w:w="868"/>
        <w:gridCol w:w="981"/>
        <w:gridCol w:w="981"/>
        <w:gridCol w:w="895"/>
        <w:gridCol w:w="1012"/>
        <w:gridCol w:w="33"/>
      </w:tblGrid>
      <w:tr w:rsidRPr="00B5350F" w:rsidR="00C8752B" w:rsidTr="008320A9" w14:paraId="6C139FBB" w14:textId="77777777">
        <w:trPr>
          <w:cnfStyle w:val="100000000000" w:firstRow="1" w:lastRow="0" w:firstColumn="0" w:lastColumn="0" w:oddVBand="0" w:evenVBand="0" w:oddHBand="0" w:evenHBand="0" w:firstRowFirstColumn="0" w:firstRowLastColumn="0" w:lastRowFirstColumn="0" w:lastRowLastColumn="0"/>
          <w:trHeight w:val="746"/>
        </w:trPr>
        <w:tc>
          <w:tcPr>
            <w:tcW w:w="381" w:type="pct"/>
            <w:vAlign w:val="bottom"/>
            <w:hideMark/>
          </w:tcPr>
          <w:p w:rsidRPr="008320A9" w:rsidR="00C8752B" w:rsidP="00D76B01" w:rsidRDefault="00C8752B" w14:paraId="56F5EA8F" w14:textId="77777777">
            <w:pPr>
              <w:pStyle w:val="TH-TableHeading"/>
              <w:rPr>
                <w:color w:val="000000" w:themeColor="text1"/>
              </w:rPr>
            </w:pPr>
            <w:r w:rsidRPr="008320A9">
              <w:rPr>
                <w:color w:val="000000" w:themeColor="text1"/>
              </w:rPr>
              <w:t>HH Size</w:t>
            </w:r>
          </w:p>
        </w:tc>
        <w:tc>
          <w:tcPr>
            <w:tcW w:w="687" w:type="pct"/>
            <w:vAlign w:val="bottom"/>
            <w:hideMark/>
          </w:tcPr>
          <w:p w:rsidRPr="008320A9" w:rsidR="00C8752B" w:rsidP="00D76B01" w:rsidRDefault="00C8752B" w14:paraId="33345421" w14:textId="77777777">
            <w:pPr>
              <w:pStyle w:val="TH-TableHeading"/>
              <w:rPr>
                <w:color w:val="000000" w:themeColor="text1"/>
                <w:vertAlign w:val="superscript"/>
              </w:rPr>
            </w:pPr>
            <w:r w:rsidRPr="008320A9">
              <w:rPr>
                <w:color w:val="000000" w:themeColor="text1"/>
              </w:rPr>
              <w:t>Mail Screener</w:t>
            </w:r>
          </w:p>
        </w:tc>
        <w:tc>
          <w:tcPr>
            <w:tcW w:w="690" w:type="pct"/>
            <w:vAlign w:val="bottom"/>
            <w:hideMark/>
          </w:tcPr>
          <w:p w:rsidRPr="008320A9" w:rsidR="00C8752B" w:rsidP="00D76B01" w:rsidRDefault="00C8752B" w14:paraId="798C4A34" w14:textId="77777777">
            <w:pPr>
              <w:pStyle w:val="TH-TableHeading"/>
              <w:rPr>
                <w:color w:val="000000" w:themeColor="text1"/>
                <w:vertAlign w:val="superscript"/>
              </w:rPr>
            </w:pPr>
            <w:r w:rsidRPr="008320A9">
              <w:rPr>
                <w:color w:val="000000" w:themeColor="text1"/>
              </w:rPr>
              <w:t>In-Person Screener</w:t>
            </w:r>
          </w:p>
        </w:tc>
        <w:tc>
          <w:tcPr>
            <w:tcW w:w="625" w:type="pct"/>
            <w:vAlign w:val="bottom"/>
            <w:hideMark/>
          </w:tcPr>
          <w:p w:rsidRPr="008320A9" w:rsidR="00C8752B" w:rsidP="00D76B01" w:rsidRDefault="00C8752B" w14:paraId="1607B364" w14:textId="77777777">
            <w:pPr>
              <w:pStyle w:val="TH-TableHeading"/>
              <w:rPr>
                <w:color w:val="000000" w:themeColor="text1"/>
              </w:rPr>
            </w:pPr>
            <w:r w:rsidRPr="008320A9">
              <w:rPr>
                <w:color w:val="000000" w:themeColor="text1"/>
              </w:rPr>
              <w:t>Initial Interview + Training</w:t>
            </w:r>
          </w:p>
        </w:tc>
        <w:tc>
          <w:tcPr>
            <w:tcW w:w="476" w:type="pct"/>
            <w:vAlign w:val="bottom"/>
            <w:hideMark/>
          </w:tcPr>
          <w:p w:rsidRPr="008320A9" w:rsidR="00C8752B" w:rsidP="00D76B01" w:rsidRDefault="00C8752B" w14:paraId="4079B89A" w14:textId="77777777">
            <w:pPr>
              <w:pStyle w:val="TH-TableHeading"/>
              <w:rPr>
                <w:color w:val="000000" w:themeColor="text1"/>
              </w:rPr>
            </w:pPr>
            <w:r w:rsidRPr="008320A9">
              <w:rPr>
                <w:color w:val="000000" w:themeColor="text1"/>
              </w:rPr>
              <w:t xml:space="preserve">Food Log </w:t>
            </w:r>
            <w:r w:rsidRPr="008320A9">
              <w:rPr>
                <w:color w:val="000000" w:themeColor="text1"/>
                <w:vertAlign w:val="superscript"/>
              </w:rPr>
              <w:t>a</w:t>
            </w:r>
          </w:p>
        </w:tc>
        <w:tc>
          <w:tcPr>
            <w:tcW w:w="538" w:type="pct"/>
            <w:vAlign w:val="bottom"/>
          </w:tcPr>
          <w:p w:rsidRPr="008320A9" w:rsidR="00C8752B" w:rsidP="008320A9" w:rsidRDefault="00C8752B" w14:paraId="31A9CA54" w14:textId="1C465DE9">
            <w:pPr>
              <w:pStyle w:val="TH-TableHeading"/>
              <w:rPr>
                <w:color w:val="000000" w:themeColor="text1"/>
              </w:rPr>
            </w:pPr>
            <w:r>
              <w:rPr>
                <w:color w:val="000000" w:themeColor="text1"/>
              </w:rPr>
              <w:t>Debrief Intrview</w:t>
            </w:r>
          </w:p>
        </w:tc>
        <w:tc>
          <w:tcPr>
            <w:tcW w:w="538" w:type="pct"/>
            <w:vAlign w:val="bottom"/>
            <w:hideMark/>
          </w:tcPr>
          <w:p w:rsidRPr="008320A9" w:rsidR="00C8752B" w:rsidP="00D76B01" w:rsidRDefault="00C8752B" w14:paraId="18ABCB68" w14:textId="1152D45E">
            <w:pPr>
              <w:pStyle w:val="TH-TableHeading"/>
              <w:rPr>
                <w:color w:val="000000" w:themeColor="text1"/>
              </w:rPr>
            </w:pPr>
            <w:r w:rsidRPr="008320A9">
              <w:rPr>
                <w:color w:val="000000" w:themeColor="text1"/>
              </w:rPr>
              <w:t>Income Wksheet ($2 pp)</w:t>
            </w:r>
          </w:p>
        </w:tc>
        <w:tc>
          <w:tcPr>
            <w:tcW w:w="491" w:type="pct"/>
            <w:vAlign w:val="bottom"/>
            <w:hideMark/>
          </w:tcPr>
          <w:p w:rsidRPr="008320A9" w:rsidR="00C8752B" w:rsidP="00D76B01" w:rsidRDefault="00C8752B" w14:paraId="11A717FF" w14:textId="77777777">
            <w:pPr>
              <w:pStyle w:val="TH-TableHeading"/>
              <w:rPr>
                <w:color w:val="000000" w:themeColor="text1"/>
              </w:rPr>
            </w:pPr>
            <w:r w:rsidRPr="008320A9">
              <w:rPr>
                <w:color w:val="000000" w:themeColor="text1"/>
              </w:rPr>
              <w:t>Profile Quex ($2 pp)</w:t>
            </w:r>
          </w:p>
        </w:tc>
        <w:tc>
          <w:tcPr>
            <w:tcW w:w="573" w:type="pct"/>
            <w:gridSpan w:val="2"/>
            <w:vAlign w:val="bottom"/>
            <w:hideMark/>
          </w:tcPr>
          <w:p w:rsidRPr="008320A9" w:rsidR="00C8752B" w:rsidP="00D76B01" w:rsidRDefault="00C8752B" w14:paraId="5250427D" w14:textId="77777777">
            <w:pPr>
              <w:pStyle w:val="TH-TableHeading"/>
              <w:rPr>
                <w:color w:val="000000" w:themeColor="text1"/>
              </w:rPr>
            </w:pPr>
            <w:r w:rsidRPr="008320A9">
              <w:rPr>
                <w:color w:val="000000" w:themeColor="text1"/>
              </w:rPr>
              <w:t>Max Total (Full Survey)</w:t>
            </w:r>
          </w:p>
        </w:tc>
      </w:tr>
      <w:tr w:rsidRPr="00B5350F" w:rsidR="00C8752B" w:rsidTr="008320A9" w14:paraId="4F7C595D" w14:textId="77777777">
        <w:trPr>
          <w:gridAfter w:val="1"/>
          <w:wAfter w:w="18" w:type="pct"/>
          <w:trHeight w:val="300"/>
        </w:trPr>
        <w:tc>
          <w:tcPr>
            <w:tcW w:w="381" w:type="pct"/>
            <w:noWrap/>
            <w:hideMark/>
          </w:tcPr>
          <w:p w:rsidRPr="008320A9" w:rsidR="00C8752B" w:rsidP="00D76B01" w:rsidRDefault="00C8752B" w14:paraId="47E3BF78" w14:textId="77777777">
            <w:pPr>
              <w:pStyle w:val="TX-TableText"/>
              <w:jc w:val="center"/>
              <w:rPr>
                <w:color w:val="000000" w:themeColor="text1"/>
              </w:rPr>
            </w:pPr>
            <w:r w:rsidRPr="008320A9">
              <w:rPr>
                <w:color w:val="000000" w:themeColor="text1"/>
              </w:rPr>
              <w:t>1</w:t>
            </w:r>
          </w:p>
        </w:tc>
        <w:tc>
          <w:tcPr>
            <w:tcW w:w="687" w:type="pct"/>
            <w:noWrap/>
            <w:hideMark/>
          </w:tcPr>
          <w:p w:rsidRPr="008320A9" w:rsidR="00C8752B" w:rsidP="00D76B01" w:rsidRDefault="00C8752B" w14:paraId="07354639" w14:textId="1ED8C2B8">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21D3B434"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51B4EAE8"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24A4B314" w14:textId="77777777">
            <w:pPr>
              <w:pStyle w:val="TX-TableText"/>
              <w:jc w:val="center"/>
              <w:rPr>
                <w:color w:val="000000" w:themeColor="text1"/>
              </w:rPr>
            </w:pPr>
            <w:r w:rsidRPr="008320A9">
              <w:rPr>
                <w:color w:val="000000" w:themeColor="text1"/>
              </w:rPr>
              <w:t>$55</w:t>
            </w:r>
          </w:p>
        </w:tc>
        <w:tc>
          <w:tcPr>
            <w:tcW w:w="538" w:type="pct"/>
          </w:tcPr>
          <w:p w:rsidRPr="008320A9" w:rsidR="00C8752B" w:rsidP="00D76B01" w:rsidRDefault="00C8752B" w14:paraId="473BEC4F" w14:textId="16A0F2CA">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5D76D636" w14:textId="59C3CA7C">
            <w:pPr>
              <w:pStyle w:val="TX-TableText"/>
              <w:jc w:val="center"/>
              <w:rPr>
                <w:color w:val="000000" w:themeColor="text1"/>
              </w:rPr>
            </w:pPr>
            <w:r w:rsidRPr="008320A9">
              <w:rPr>
                <w:color w:val="000000" w:themeColor="text1"/>
              </w:rPr>
              <w:t>$2</w:t>
            </w:r>
          </w:p>
        </w:tc>
        <w:tc>
          <w:tcPr>
            <w:tcW w:w="491" w:type="pct"/>
            <w:noWrap/>
            <w:hideMark/>
          </w:tcPr>
          <w:p w:rsidRPr="008320A9" w:rsidR="00C8752B" w:rsidP="00D76B01" w:rsidRDefault="00C8752B" w14:paraId="3304CE8D" w14:textId="77777777">
            <w:pPr>
              <w:pStyle w:val="TX-TableText"/>
              <w:jc w:val="center"/>
              <w:rPr>
                <w:color w:val="000000" w:themeColor="text1"/>
              </w:rPr>
            </w:pPr>
            <w:r w:rsidRPr="008320A9">
              <w:rPr>
                <w:color w:val="000000" w:themeColor="text1"/>
              </w:rPr>
              <w:t>$2</w:t>
            </w:r>
          </w:p>
        </w:tc>
        <w:tc>
          <w:tcPr>
            <w:tcW w:w="555" w:type="pct"/>
            <w:noWrap/>
            <w:hideMark/>
          </w:tcPr>
          <w:p w:rsidRPr="008320A9" w:rsidR="00C8752B" w:rsidP="00D76B01" w:rsidRDefault="00C8752B" w14:paraId="5A74D781" w14:textId="7CB2C9D5">
            <w:pPr>
              <w:pStyle w:val="TX-TableText"/>
              <w:jc w:val="center"/>
              <w:rPr>
                <w:color w:val="000000" w:themeColor="text1"/>
              </w:rPr>
            </w:pPr>
            <w:r w:rsidRPr="008320A9">
              <w:rPr>
                <w:color w:val="000000" w:themeColor="text1"/>
              </w:rPr>
              <w:t>$1</w:t>
            </w:r>
            <w:r>
              <w:rPr>
                <w:color w:val="000000" w:themeColor="text1"/>
              </w:rPr>
              <w:t>25</w:t>
            </w:r>
          </w:p>
        </w:tc>
      </w:tr>
      <w:tr w:rsidRPr="00B5350F" w:rsidR="00C8752B" w:rsidTr="008320A9" w14:paraId="0BE8A13D" w14:textId="77777777">
        <w:trPr>
          <w:gridAfter w:val="1"/>
          <w:wAfter w:w="18" w:type="pct"/>
          <w:trHeight w:val="300"/>
        </w:trPr>
        <w:tc>
          <w:tcPr>
            <w:tcW w:w="381" w:type="pct"/>
            <w:noWrap/>
            <w:hideMark/>
          </w:tcPr>
          <w:p w:rsidRPr="008320A9" w:rsidR="00C8752B" w:rsidP="00D76B01" w:rsidRDefault="00C8752B" w14:paraId="707D1508" w14:textId="77777777">
            <w:pPr>
              <w:pStyle w:val="TX-TableText"/>
              <w:jc w:val="center"/>
              <w:rPr>
                <w:color w:val="000000" w:themeColor="text1"/>
              </w:rPr>
            </w:pPr>
            <w:r w:rsidRPr="008320A9">
              <w:rPr>
                <w:color w:val="000000" w:themeColor="text1"/>
              </w:rPr>
              <w:t>2</w:t>
            </w:r>
          </w:p>
        </w:tc>
        <w:tc>
          <w:tcPr>
            <w:tcW w:w="687" w:type="pct"/>
            <w:noWrap/>
            <w:hideMark/>
          </w:tcPr>
          <w:p w:rsidRPr="008320A9" w:rsidR="00C8752B" w:rsidP="00D76B01" w:rsidRDefault="00C8752B" w14:paraId="099CC25B" w14:textId="71F5EB09">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5DD8C6A4"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60497A83"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7DEDD3DF" w14:textId="77777777">
            <w:pPr>
              <w:pStyle w:val="TX-TableText"/>
              <w:jc w:val="center"/>
              <w:rPr>
                <w:color w:val="000000" w:themeColor="text1"/>
              </w:rPr>
            </w:pPr>
            <w:r w:rsidRPr="008320A9">
              <w:rPr>
                <w:color w:val="000000" w:themeColor="text1"/>
              </w:rPr>
              <w:t>$90</w:t>
            </w:r>
          </w:p>
        </w:tc>
        <w:tc>
          <w:tcPr>
            <w:tcW w:w="538" w:type="pct"/>
          </w:tcPr>
          <w:p w:rsidRPr="008320A9" w:rsidR="00C8752B" w:rsidP="00D76B01" w:rsidRDefault="00C8752B" w14:paraId="5E0B8A16" w14:textId="1FED2461">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27E5FB83" w14:textId="60E576CD">
            <w:pPr>
              <w:pStyle w:val="TX-TableText"/>
              <w:jc w:val="center"/>
              <w:rPr>
                <w:color w:val="000000" w:themeColor="text1"/>
              </w:rPr>
            </w:pPr>
            <w:r w:rsidRPr="008320A9">
              <w:rPr>
                <w:color w:val="000000" w:themeColor="text1"/>
              </w:rPr>
              <w:t>$4</w:t>
            </w:r>
          </w:p>
        </w:tc>
        <w:tc>
          <w:tcPr>
            <w:tcW w:w="491" w:type="pct"/>
            <w:noWrap/>
            <w:hideMark/>
          </w:tcPr>
          <w:p w:rsidRPr="008320A9" w:rsidR="00C8752B" w:rsidP="00D76B01" w:rsidRDefault="00C8752B" w14:paraId="3CEEA0D7" w14:textId="77777777">
            <w:pPr>
              <w:pStyle w:val="TX-TableText"/>
              <w:jc w:val="center"/>
              <w:rPr>
                <w:color w:val="000000" w:themeColor="text1"/>
              </w:rPr>
            </w:pPr>
            <w:r w:rsidRPr="008320A9">
              <w:rPr>
                <w:color w:val="000000" w:themeColor="text1"/>
              </w:rPr>
              <w:t>$4</w:t>
            </w:r>
          </w:p>
        </w:tc>
        <w:tc>
          <w:tcPr>
            <w:tcW w:w="555" w:type="pct"/>
            <w:noWrap/>
            <w:hideMark/>
          </w:tcPr>
          <w:p w:rsidRPr="008320A9" w:rsidR="00C8752B" w:rsidP="00D76B01" w:rsidRDefault="00C8752B" w14:paraId="299D2030" w14:textId="02469F73">
            <w:pPr>
              <w:pStyle w:val="TX-TableText"/>
              <w:jc w:val="center"/>
              <w:rPr>
                <w:color w:val="000000" w:themeColor="text1"/>
              </w:rPr>
            </w:pPr>
            <w:r w:rsidRPr="008320A9">
              <w:rPr>
                <w:color w:val="000000" w:themeColor="text1"/>
              </w:rPr>
              <w:t>$</w:t>
            </w:r>
            <w:r>
              <w:rPr>
                <w:color w:val="000000" w:themeColor="text1"/>
              </w:rPr>
              <w:t>184</w:t>
            </w:r>
          </w:p>
        </w:tc>
      </w:tr>
      <w:tr w:rsidRPr="00B5350F" w:rsidR="00C8752B" w:rsidTr="008320A9" w14:paraId="7AC0D6CA" w14:textId="77777777">
        <w:trPr>
          <w:gridAfter w:val="1"/>
          <w:wAfter w:w="18" w:type="pct"/>
          <w:trHeight w:val="300"/>
        </w:trPr>
        <w:tc>
          <w:tcPr>
            <w:tcW w:w="381" w:type="pct"/>
            <w:noWrap/>
            <w:hideMark/>
          </w:tcPr>
          <w:p w:rsidRPr="008320A9" w:rsidR="00C8752B" w:rsidP="00D76B01" w:rsidRDefault="00C8752B" w14:paraId="767E65CB" w14:textId="77777777">
            <w:pPr>
              <w:pStyle w:val="TX-TableText"/>
              <w:jc w:val="center"/>
              <w:rPr>
                <w:color w:val="000000" w:themeColor="text1"/>
              </w:rPr>
            </w:pPr>
            <w:r w:rsidRPr="008320A9">
              <w:rPr>
                <w:color w:val="000000" w:themeColor="text1"/>
              </w:rPr>
              <w:t>3</w:t>
            </w:r>
          </w:p>
        </w:tc>
        <w:tc>
          <w:tcPr>
            <w:tcW w:w="687" w:type="pct"/>
            <w:noWrap/>
            <w:hideMark/>
          </w:tcPr>
          <w:p w:rsidRPr="008320A9" w:rsidR="00C8752B" w:rsidP="00D76B01" w:rsidRDefault="00C8752B" w14:paraId="6A140545" w14:textId="6A5FB6E5">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1D1B10E5"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3263D917"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3B8C0E2A" w14:textId="77777777">
            <w:pPr>
              <w:pStyle w:val="TX-TableText"/>
              <w:jc w:val="center"/>
              <w:rPr>
                <w:color w:val="000000" w:themeColor="text1"/>
              </w:rPr>
            </w:pPr>
            <w:r w:rsidRPr="008320A9">
              <w:rPr>
                <w:color w:val="000000" w:themeColor="text1"/>
              </w:rPr>
              <w:t>$125</w:t>
            </w:r>
          </w:p>
        </w:tc>
        <w:tc>
          <w:tcPr>
            <w:tcW w:w="538" w:type="pct"/>
          </w:tcPr>
          <w:p w:rsidRPr="008320A9" w:rsidR="00C8752B" w:rsidP="00D76B01" w:rsidRDefault="00C8752B" w14:paraId="29091614" w14:textId="6799726E">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07082DB0" w14:textId="7BBD523E">
            <w:pPr>
              <w:pStyle w:val="TX-TableText"/>
              <w:jc w:val="center"/>
              <w:rPr>
                <w:color w:val="000000" w:themeColor="text1"/>
              </w:rPr>
            </w:pPr>
            <w:r w:rsidRPr="008320A9">
              <w:rPr>
                <w:color w:val="000000" w:themeColor="text1"/>
              </w:rPr>
              <w:t>$6</w:t>
            </w:r>
          </w:p>
        </w:tc>
        <w:tc>
          <w:tcPr>
            <w:tcW w:w="491" w:type="pct"/>
            <w:noWrap/>
            <w:hideMark/>
          </w:tcPr>
          <w:p w:rsidRPr="008320A9" w:rsidR="00C8752B" w:rsidP="00D76B01" w:rsidRDefault="00C8752B" w14:paraId="5FCD76E7" w14:textId="77777777">
            <w:pPr>
              <w:pStyle w:val="TX-TableText"/>
              <w:jc w:val="center"/>
              <w:rPr>
                <w:color w:val="000000" w:themeColor="text1"/>
              </w:rPr>
            </w:pPr>
            <w:r w:rsidRPr="008320A9">
              <w:rPr>
                <w:color w:val="000000" w:themeColor="text1"/>
              </w:rPr>
              <w:t>$6</w:t>
            </w:r>
          </w:p>
        </w:tc>
        <w:tc>
          <w:tcPr>
            <w:tcW w:w="555" w:type="pct"/>
            <w:noWrap/>
            <w:hideMark/>
          </w:tcPr>
          <w:p w:rsidRPr="008320A9" w:rsidR="00C8752B" w:rsidP="00D76B01" w:rsidRDefault="00C8752B" w14:paraId="68575E12" w14:textId="74F87144">
            <w:pPr>
              <w:pStyle w:val="TX-TableText"/>
              <w:jc w:val="center"/>
              <w:rPr>
                <w:color w:val="000000" w:themeColor="text1"/>
              </w:rPr>
            </w:pPr>
            <w:r w:rsidRPr="008320A9">
              <w:rPr>
                <w:color w:val="000000" w:themeColor="text1"/>
              </w:rPr>
              <w:t>$</w:t>
            </w:r>
            <w:r>
              <w:rPr>
                <w:color w:val="000000" w:themeColor="text1"/>
              </w:rPr>
              <w:t>243</w:t>
            </w:r>
          </w:p>
        </w:tc>
      </w:tr>
      <w:tr w:rsidRPr="00B5350F" w:rsidR="00C8752B" w:rsidTr="008320A9" w14:paraId="27503517" w14:textId="77777777">
        <w:trPr>
          <w:gridAfter w:val="1"/>
          <w:wAfter w:w="18" w:type="pct"/>
          <w:trHeight w:val="300"/>
        </w:trPr>
        <w:tc>
          <w:tcPr>
            <w:tcW w:w="381" w:type="pct"/>
            <w:noWrap/>
            <w:hideMark/>
          </w:tcPr>
          <w:p w:rsidRPr="008320A9" w:rsidR="00C8752B" w:rsidP="00D76B01" w:rsidRDefault="00C8752B" w14:paraId="52FD060F" w14:textId="77777777">
            <w:pPr>
              <w:pStyle w:val="TX-TableText"/>
              <w:jc w:val="center"/>
              <w:rPr>
                <w:color w:val="000000" w:themeColor="text1"/>
              </w:rPr>
            </w:pPr>
            <w:r w:rsidRPr="008320A9">
              <w:rPr>
                <w:color w:val="000000" w:themeColor="text1"/>
              </w:rPr>
              <w:t>4</w:t>
            </w:r>
          </w:p>
        </w:tc>
        <w:tc>
          <w:tcPr>
            <w:tcW w:w="687" w:type="pct"/>
            <w:noWrap/>
            <w:hideMark/>
          </w:tcPr>
          <w:p w:rsidRPr="008320A9" w:rsidR="00C8752B" w:rsidP="00D76B01" w:rsidRDefault="00C8752B" w14:paraId="4FDE3EE5" w14:textId="7A1E3B21">
            <w:pPr>
              <w:pStyle w:val="TX-TableText"/>
              <w:jc w:val="center"/>
              <w:rPr>
                <w:color w:val="000000" w:themeColor="text1"/>
              </w:rPr>
            </w:pPr>
            <w:r w:rsidRPr="008320A9">
              <w:rPr>
                <w:color w:val="000000" w:themeColor="text1"/>
              </w:rPr>
              <w:t>$</w:t>
            </w:r>
            <w:r>
              <w:rPr>
                <w:color w:val="000000" w:themeColor="text1"/>
              </w:rPr>
              <w:t>5</w:t>
            </w:r>
          </w:p>
        </w:tc>
        <w:tc>
          <w:tcPr>
            <w:tcW w:w="690" w:type="pct"/>
            <w:noWrap/>
            <w:hideMark/>
          </w:tcPr>
          <w:p w:rsidRPr="008320A9" w:rsidR="00C8752B" w:rsidP="00D76B01" w:rsidRDefault="00C8752B" w14:paraId="1C1FC20B" w14:textId="77777777">
            <w:pPr>
              <w:pStyle w:val="TX-TableText"/>
              <w:jc w:val="center"/>
              <w:rPr>
                <w:color w:val="000000" w:themeColor="text1"/>
              </w:rPr>
            </w:pPr>
            <w:r w:rsidRPr="008320A9">
              <w:rPr>
                <w:color w:val="000000" w:themeColor="text1"/>
              </w:rPr>
              <w:t>$5</w:t>
            </w:r>
          </w:p>
        </w:tc>
        <w:tc>
          <w:tcPr>
            <w:tcW w:w="625" w:type="pct"/>
            <w:noWrap/>
            <w:hideMark/>
          </w:tcPr>
          <w:p w:rsidRPr="008320A9" w:rsidR="00C8752B" w:rsidP="00D76B01" w:rsidRDefault="00C8752B" w14:paraId="0963D43A" w14:textId="77777777">
            <w:pPr>
              <w:pStyle w:val="TX-TableText"/>
              <w:jc w:val="center"/>
              <w:rPr>
                <w:color w:val="000000" w:themeColor="text1"/>
              </w:rPr>
            </w:pPr>
            <w:r w:rsidRPr="008320A9">
              <w:rPr>
                <w:color w:val="000000" w:themeColor="text1"/>
              </w:rPr>
              <w:t>$40</w:t>
            </w:r>
          </w:p>
        </w:tc>
        <w:tc>
          <w:tcPr>
            <w:tcW w:w="476" w:type="pct"/>
            <w:noWrap/>
            <w:hideMark/>
          </w:tcPr>
          <w:p w:rsidRPr="008320A9" w:rsidR="00C8752B" w:rsidP="00D76B01" w:rsidRDefault="00C8752B" w14:paraId="55D15956" w14:textId="77777777">
            <w:pPr>
              <w:pStyle w:val="TX-TableText"/>
              <w:jc w:val="center"/>
              <w:rPr>
                <w:color w:val="000000" w:themeColor="text1"/>
              </w:rPr>
            </w:pPr>
            <w:r w:rsidRPr="008320A9">
              <w:rPr>
                <w:color w:val="000000" w:themeColor="text1"/>
              </w:rPr>
              <w:t>$160</w:t>
            </w:r>
          </w:p>
        </w:tc>
        <w:tc>
          <w:tcPr>
            <w:tcW w:w="538" w:type="pct"/>
          </w:tcPr>
          <w:p w:rsidRPr="008320A9" w:rsidR="00C8752B" w:rsidP="00D76B01" w:rsidRDefault="00C8752B" w14:paraId="1BFF76D1" w14:textId="04C7DF76">
            <w:pPr>
              <w:pStyle w:val="TX-TableText"/>
              <w:jc w:val="center"/>
              <w:rPr>
                <w:color w:val="000000" w:themeColor="text1"/>
              </w:rPr>
            </w:pPr>
            <w:r>
              <w:rPr>
                <w:color w:val="000000" w:themeColor="text1"/>
              </w:rPr>
              <w:t>$16</w:t>
            </w:r>
          </w:p>
        </w:tc>
        <w:tc>
          <w:tcPr>
            <w:tcW w:w="538" w:type="pct"/>
            <w:noWrap/>
            <w:hideMark/>
          </w:tcPr>
          <w:p w:rsidRPr="008320A9" w:rsidR="00C8752B" w:rsidP="00D76B01" w:rsidRDefault="00C8752B" w14:paraId="5B5D0EC8" w14:textId="5CA0B2FD">
            <w:pPr>
              <w:pStyle w:val="TX-TableText"/>
              <w:jc w:val="center"/>
              <w:rPr>
                <w:color w:val="000000" w:themeColor="text1"/>
              </w:rPr>
            </w:pPr>
            <w:r w:rsidRPr="008320A9">
              <w:rPr>
                <w:color w:val="000000" w:themeColor="text1"/>
              </w:rPr>
              <w:t>$8</w:t>
            </w:r>
          </w:p>
        </w:tc>
        <w:tc>
          <w:tcPr>
            <w:tcW w:w="491" w:type="pct"/>
            <w:noWrap/>
            <w:hideMark/>
          </w:tcPr>
          <w:p w:rsidRPr="008320A9" w:rsidR="00C8752B" w:rsidP="00D76B01" w:rsidRDefault="00C8752B" w14:paraId="1C0D06FE" w14:textId="77777777">
            <w:pPr>
              <w:pStyle w:val="TX-TableText"/>
              <w:jc w:val="center"/>
              <w:rPr>
                <w:color w:val="000000" w:themeColor="text1"/>
              </w:rPr>
            </w:pPr>
            <w:r w:rsidRPr="008320A9">
              <w:rPr>
                <w:color w:val="000000" w:themeColor="text1"/>
              </w:rPr>
              <w:t>$8</w:t>
            </w:r>
          </w:p>
        </w:tc>
        <w:tc>
          <w:tcPr>
            <w:tcW w:w="555" w:type="pct"/>
            <w:noWrap/>
            <w:hideMark/>
          </w:tcPr>
          <w:p w:rsidRPr="008320A9" w:rsidR="00C8752B" w:rsidP="00D76B01" w:rsidRDefault="00C8752B" w14:paraId="3AD20D2C" w14:textId="74CF63E3">
            <w:pPr>
              <w:pStyle w:val="TX-TableText"/>
              <w:jc w:val="center"/>
              <w:rPr>
                <w:color w:val="000000" w:themeColor="text1"/>
              </w:rPr>
            </w:pPr>
            <w:r w:rsidRPr="008320A9">
              <w:rPr>
                <w:color w:val="000000" w:themeColor="text1"/>
              </w:rPr>
              <w:t>$</w:t>
            </w:r>
            <w:r>
              <w:rPr>
                <w:color w:val="000000" w:themeColor="text1"/>
              </w:rPr>
              <w:t>302</w:t>
            </w:r>
          </w:p>
        </w:tc>
      </w:tr>
    </w:tbl>
    <w:p w:rsidRPr="008320A9" w:rsidR="00B5350F" w:rsidP="00B5350F" w:rsidRDefault="00B5350F" w14:paraId="4B11809B" w14:textId="5337E1E4">
      <w:pPr>
        <w:pStyle w:val="TF-TblFN"/>
        <w:rPr>
          <w:color w:val="000000" w:themeColor="text1"/>
        </w:rPr>
      </w:pPr>
      <w:r w:rsidRPr="008320A9">
        <w:rPr>
          <w:color w:val="000000" w:themeColor="text1"/>
          <w:vertAlign w:val="superscript"/>
        </w:rPr>
        <w:t xml:space="preserve">a  </w:t>
      </w:r>
      <w:r w:rsidRPr="008320A9">
        <w:rPr>
          <w:color w:val="000000" w:themeColor="text1"/>
        </w:rPr>
        <w:t>$5 a day per household member for a completed daily Food Log report for the first 3 days, increasing to $10 a day per member thereafter.</w:t>
      </w:r>
    </w:p>
    <w:bookmarkEnd w:id="121"/>
    <w:p w:rsidRPr="008320A9" w:rsidR="00B5350F" w:rsidP="00B5350F" w:rsidRDefault="00B5350F" w14:paraId="797F9E8F" w14:textId="77777777">
      <w:pPr>
        <w:spacing w:line="360" w:lineRule="atLeast"/>
        <w:rPr>
          <w:color w:val="000000" w:themeColor="text1"/>
          <w:szCs w:val="24"/>
        </w:rPr>
      </w:pPr>
    </w:p>
    <w:p w:rsidRPr="008320A9" w:rsidR="00B5350F" w:rsidP="00B5350F" w:rsidRDefault="00B5350F" w14:paraId="2FF2D580" w14:textId="6B531889">
      <w:pPr>
        <w:spacing w:line="360" w:lineRule="atLeast"/>
        <w:rPr>
          <w:color w:val="000000" w:themeColor="text1"/>
          <w:szCs w:val="24"/>
        </w:rPr>
      </w:pPr>
      <w:r w:rsidRPr="008320A9">
        <w:rPr>
          <w:color w:val="000000" w:themeColor="text1"/>
          <w:szCs w:val="24"/>
        </w:rPr>
        <w:t xml:space="preserve">Although the proposed incentive plan for the Field Test is similar to the one implemented during FoodAPS-1, it is structured differently and is guided by gamification theory (Richter, Raban, and Rafaeli, 2015) to increase both initial survey response rates and ongoing Food Log entries throughout the week. Gamification is shown to improve user experience and user encouragement and increase user loyalty (Richter, Raban, and Rafaeli, 2015) and has been increasingly applied to marketing (Richter, Raban, and Rafaeli, 2015), education (Richter, Raban, and Rafaeli, 2015), and even survey research (Puleston, 2011). One study empirically examined the effects of gamifying incentives (Dan and Lai, 2013). In a pilot study for which respondents were asked to keep a 6-week diary on viewing of TV programs, Nielsen adopted three gaming mechanics to encourage reporting of TV viewing; respondents earned different kinds of badges, accumulated more points, and advanced to higher levels if they reported more TV viewing in the diary. Nielsen found that the gaming mechanics had a significantly positive impact on the number of visits to the diary system and number of entries on TV viewing. Motivated by the Nielsen study, we would like to use a cumulative incentive scheme driven by households’ Food Log reporting and a mechanism to communicate the accumulated amount back to respondents. </w:t>
      </w:r>
    </w:p>
    <w:p w:rsidRPr="008320A9" w:rsidR="00B5350F" w:rsidP="00B5350F" w:rsidRDefault="00B5350F" w14:paraId="11F56B97" w14:textId="77777777">
      <w:pPr>
        <w:spacing w:line="360" w:lineRule="atLeast"/>
        <w:rPr>
          <w:color w:val="000000" w:themeColor="text1"/>
          <w:szCs w:val="24"/>
        </w:rPr>
      </w:pPr>
    </w:p>
    <w:p w:rsidRPr="008320A9" w:rsidR="00B5350F" w:rsidP="0052700D" w:rsidRDefault="00B5350F" w14:paraId="0F2D3C67" w14:textId="77777777">
      <w:pPr>
        <w:spacing w:line="360" w:lineRule="atLeast"/>
        <w:rPr>
          <w:color w:val="000000" w:themeColor="text1"/>
          <w:szCs w:val="24"/>
        </w:rPr>
      </w:pPr>
      <w:r w:rsidRPr="008320A9">
        <w:rPr>
          <w:color w:val="000000" w:themeColor="text1"/>
          <w:szCs w:val="24"/>
        </w:rPr>
        <w:t>The proposed incentive scheme for the Field Test has two components. One is at the household-level and is the same for all sampled households.</w:t>
      </w:r>
      <w:r w:rsidRPr="008320A9" w:rsidDel="00E166D5">
        <w:rPr>
          <w:color w:val="000000" w:themeColor="text1"/>
          <w:szCs w:val="24"/>
        </w:rPr>
        <w:t xml:space="preserve"> </w:t>
      </w:r>
      <w:r w:rsidRPr="008320A9">
        <w:rPr>
          <w:color w:val="000000" w:themeColor="text1"/>
          <w:szCs w:val="24"/>
        </w:rPr>
        <w:t>The other is at the individual level allowing larger households to earn larger incentives. The experimental treatment occurs at this individual level.</w:t>
      </w:r>
    </w:p>
    <w:p w:rsidRPr="008320A9" w:rsidR="00B5350F" w:rsidP="00B5350F" w:rsidRDefault="00B5350F" w14:paraId="5572E5E7" w14:textId="77777777">
      <w:pPr>
        <w:spacing w:line="360" w:lineRule="atLeast"/>
        <w:rPr>
          <w:color w:val="000000" w:themeColor="text1"/>
          <w:szCs w:val="24"/>
        </w:rPr>
      </w:pPr>
    </w:p>
    <w:p w:rsidRPr="008320A9" w:rsidR="00B5350F" w:rsidP="00B5350F" w:rsidRDefault="00B5350F" w14:paraId="33EAA862" w14:textId="6DE127FE">
      <w:pPr>
        <w:spacing w:line="360" w:lineRule="atLeast"/>
        <w:rPr>
          <w:color w:val="000000" w:themeColor="text1"/>
          <w:szCs w:val="24"/>
          <w:lang w:val="en"/>
        </w:rPr>
      </w:pPr>
      <w:r w:rsidRPr="008320A9">
        <w:rPr>
          <w:color w:val="000000" w:themeColor="text1"/>
          <w:szCs w:val="24"/>
        </w:rPr>
        <w:t>The mail screener package will include an advance letter to the sampled addresses in the Secondary Sampling Unit (SSU) explaining the study, a brief screener questionnaire, and a postage-paid return envelope. We will include $</w:t>
      </w:r>
      <w:r w:rsidR="005B1CB8">
        <w:rPr>
          <w:color w:val="000000" w:themeColor="text1"/>
          <w:szCs w:val="24"/>
        </w:rPr>
        <w:t>5</w:t>
      </w:r>
      <w:r w:rsidRPr="008320A9">
        <w:rPr>
          <w:color w:val="000000" w:themeColor="text1"/>
          <w:szCs w:val="24"/>
        </w:rPr>
        <w:t xml:space="preserve"> in cash in every screener mailing in the Field Test. </w:t>
      </w:r>
      <w:r w:rsidRPr="008320A9">
        <w:rPr>
          <w:color w:val="000000" w:themeColor="text1"/>
          <w:szCs w:val="24"/>
          <w:lang w:val="en"/>
        </w:rPr>
        <w:t>Non-responding households to the initial screener mailing will receive two subsequent mailings each about a week apart. The 2</w:t>
      </w:r>
      <w:r w:rsidRPr="008320A9">
        <w:rPr>
          <w:color w:val="000000" w:themeColor="text1"/>
          <w:szCs w:val="24"/>
          <w:vertAlign w:val="superscript"/>
          <w:lang w:val="en"/>
        </w:rPr>
        <w:t>nd</w:t>
      </w:r>
      <w:r w:rsidRPr="008320A9">
        <w:rPr>
          <w:color w:val="000000" w:themeColor="text1"/>
          <w:szCs w:val="24"/>
          <w:lang w:val="en"/>
        </w:rPr>
        <w:t xml:space="preserve"> mailing will include the screener questionnaire and a modified advance letter, but no cash incentive. The final mailing will be a postcard that encourages the household to turn in their questionnaire. It will also include a username and password providing the household with the option of completing the screener on the NFS website. </w:t>
      </w:r>
    </w:p>
    <w:p w:rsidRPr="008320A9" w:rsidR="00B5350F" w:rsidP="00B5350F" w:rsidRDefault="00B5350F" w14:paraId="4C4A8CCB" w14:textId="77777777">
      <w:pPr>
        <w:spacing w:line="360" w:lineRule="atLeast"/>
        <w:rPr>
          <w:color w:val="000000" w:themeColor="text1"/>
          <w:szCs w:val="24"/>
          <w:lang w:val="en"/>
        </w:rPr>
      </w:pPr>
    </w:p>
    <w:p w:rsidRPr="008320A9" w:rsidR="00B5350F" w:rsidP="00B5350F" w:rsidRDefault="00B5350F" w14:paraId="630835BD" w14:textId="71C82E96">
      <w:pPr>
        <w:spacing w:line="360" w:lineRule="atLeast"/>
        <w:rPr>
          <w:color w:val="000000" w:themeColor="text1"/>
          <w:szCs w:val="24"/>
          <w:lang w:eastAsia="zh-CN" w:bidi="he-IL"/>
        </w:rPr>
      </w:pPr>
      <w:r w:rsidRPr="008320A9">
        <w:rPr>
          <w:color w:val="000000" w:themeColor="text1"/>
          <w:szCs w:val="24"/>
          <w:lang w:val="en"/>
        </w:rPr>
        <w:t>All households completing the In-person Screener—including those who also completed the mail-in screener—will receive $5 upon completion of the screener.</w:t>
      </w:r>
    </w:p>
    <w:p w:rsidRPr="008320A9" w:rsidR="00B5350F" w:rsidP="00B5350F" w:rsidRDefault="00B5350F" w14:paraId="4D028660" w14:textId="77777777">
      <w:pPr>
        <w:pStyle w:val="L1-FlLSp12"/>
        <w:rPr>
          <w:color w:val="000000" w:themeColor="text1"/>
          <w:szCs w:val="24"/>
        </w:rPr>
      </w:pPr>
    </w:p>
    <w:p w:rsidRPr="008320A9" w:rsidR="00B5350F" w:rsidP="00B5350F" w:rsidRDefault="00B5350F" w14:paraId="74E9EE3C" w14:textId="2E7CF9ED">
      <w:pPr>
        <w:spacing w:line="360" w:lineRule="atLeast"/>
        <w:rPr>
          <w:color w:val="000000" w:themeColor="text1"/>
          <w:szCs w:val="24"/>
        </w:rPr>
      </w:pPr>
      <w:r w:rsidRPr="008320A9">
        <w:rPr>
          <w:color w:val="000000" w:themeColor="text1"/>
          <w:szCs w:val="24"/>
        </w:rPr>
        <w:t xml:space="preserve">In addition to the $5 cash incentives </w:t>
      </w:r>
      <w:r w:rsidR="00A070D2">
        <w:rPr>
          <w:color w:val="000000" w:themeColor="text1"/>
          <w:szCs w:val="24"/>
        </w:rPr>
        <w:t xml:space="preserve">to each of the </w:t>
      </w:r>
      <w:r w:rsidRPr="008320A9">
        <w:rPr>
          <w:color w:val="000000" w:themeColor="text1"/>
          <w:szCs w:val="24"/>
        </w:rPr>
        <w:t>mail and in-person screeners, enrolled households in the Field Test will receive the following incentives in the form of a check mailed to the primary respondent after the interviewer’s final visit with the household:</w:t>
      </w:r>
    </w:p>
    <w:p w:rsidRPr="008320A9" w:rsidR="00B5350F" w:rsidP="00B5350F" w:rsidRDefault="00B5350F" w14:paraId="4D655A13" w14:textId="77777777">
      <w:pPr>
        <w:spacing w:line="360" w:lineRule="atLeast"/>
        <w:rPr>
          <w:color w:val="000000" w:themeColor="text1"/>
          <w:szCs w:val="24"/>
        </w:rPr>
      </w:pPr>
    </w:p>
    <w:p w:rsidRPr="008320A9" w:rsidR="00B5350F" w:rsidP="00DB7F04" w:rsidRDefault="00B5350F" w14:paraId="443D627E" w14:textId="77777777">
      <w:pPr>
        <w:pStyle w:val="ListParagraph"/>
        <w:numPr>
          <w:ilvl w:val="0"/>
          <w:numId w:val="14"/>
        </w:numPr>
        <w:spacing w:after="120" w:line="276" w:lineRule="auto"/>
        <w:rPr>
          <w:color w:val="000000" w:themeColor="text1"/>
        </w:rPr>
      </w:pPr>
      <w:r w:rsidRPr="008320A9">
        <w:rPr>
          <w:color w:val="000000" w:themeColor="text1"/>
        </w:rPr>
        <w:t>$40 for completing the initial interview and participating in training</w:t>
      </w:r>
      <w:r w:rsidRPr="008320A9">
        <w:rPr>
          <w:rFonts w:eastAsia="Calibri"/>
          <w:color w:val="000000" w:themeColor="text1"/>
          <w:szCs w:val="24"/>
        </w:rPr>
        <w:t>.</w:t>
      </w:r>
      <w:r w:rsidRPr="008320A9">
        <w:rPr>
          <w:color w:val="000000" w:themeColor="text1"/>
        </w:rPr>
        <w:t xml:space="preserve"> </w:t>
      </w:r>
    </w:p>
    <w:p w:rsidRPr="008320A9" w:rsidR="00B5350F" w:rsidP="00DB7F04" w:rsidRDefault="00B5350F" w14:paraId="01F86294" w14:textId="77777777">
      <w:pPr>
        <w:pStyle w:val="ListParagraph"/>
        <w:numPr>
          <w:ilvl w:val="0"/>
          <w:numId w:val="14"/>
        </w:numPr>
        <w:spacing w:after="120" w:line="276" w:lineRule="auto"/>
        <w:rPr>
          <w:color w:val="000000" w:themeColor="text1"/>
        </w:rPr>
      </w:pPr>
      <w:r w:rsidRPr="008320A9">
        <w:rPr>
          <w:color w:val="000000" w:themeColor="text1"/>
        </w:rPr>
        <w:t>If in the control group, $5 per day for each household member whose food acquisition behavior is recorded in the Food Log</w:t>
      </w:r>
      <w:r w:rsidRPr="008320A9">
        <w:rPr>
          <w:rFonts w:eastAsia="Calibri"/>
          <w:color w:val="000000" w:themeColor="text1"/>
          <w:szCs w:val="24"/>
        </w:rPr>
        <w:t>.</w:t>
      </w:r>
      <w:r w:rsidRPr="008320A9">
        <w:rPr>
          <w:color w:val="000000" w:themeColor="text1"/>
        </w:rPr>
        <w:t xml:space="preserve"> </w:t>
      </w:r>
    </w:p>
    <w:p w:rsidRPr="008320A9" w:rsidR="00B5350F" w:rsidP="00DB7F04" w:rsidRDefault="00B5350F" w14:paraId="30EA8356" w14:textId="77777777">
      <w:pPr>
        <w:pStyle w:val="ListParagraph"/>
        <w:numPr>
          <w:ilvl w:val="0"/>
          <w:numId w:val="14"/>
        </w:numPr>
        <w:spacing w:after="120" w:line="276" w:lineRule="auto"/>
        <w:rPr>
          <w:color w:val="000000" w:themeColor="text1"/>
        </w:rPr>
      </w:pPr>
      <w:r w:rsidRPr="008320A9">
        <w:rPr>
          <w:color w:val="000000" w:themeColor="text1"/>
        </w:rPr>
        <w:t>If in the experimental group, $5 per day for the first three fielding days for each household member whose food acquisition behavior is recorded in the Food Log</w:t>
      </w:r>
      <w:r w:rsidRPr="008320A9">
        <w:rPr>
          <w:rFonts w:eastAsia="Calibri"/>
          <w:color w:val="000000" w:themeColor="text1"/>
          <w:szCs w:val="24"/>
        </w:rPr>
        <w:t>, and $10 per day for the final four fielding days of the week.</w:t>
      </w:r>
    </w:p>
    <w:p w:rsidRPr="008320A9" w:rsidR="00B5350F" w:rsidP="00DB7F04" w:rsidRDefault="00B5350F" w14:paraId="2FBD3D3B" w14:textId="2F2043F2">
      <w:pPr>
        <w:pStyle w:val="ListParagraph"/>
        <w:numPr>
          <w:ilvl w:val="0"/>
          <w:numId w:val="14"/>
        </w:numPr>
        <w:spacing w:after="120" w:line="276" w:lineRule="auto"/>
        <w:rPr>
          <w:color w:val="000000" w:themeColor="text1"/>
        </w:rPr>
      </w:pPr>
      <w:r w:rsidRPr="008320A9">
        <w:rPr>
          <w:color w:val="000000" w:themeColor="text1"/>
        </w:rPr>
        <w:t xml:space="preserve">$2 for each age-eligible household member who completes the </w:t>
      </w:r>
      <w:r w:rsidR="00A070D2">
        <w:rPr>
          <w:color w:val="000000" w:themeColor="text1"/>
        </w:rPr>
        <w:t>I</w:t>
      </w:r>
      <w:r w:rsidRPr="008320A9">
        <w:rPr>
          <w:color w:val="000000" w:themeColor="text1"/>
        </w:rPr>
        <w:t xml:space="preserve">ncome </w:t>
      </w:r>
      <w:r w:rsidR="001715BC">
        <w:rPr>
          <w:color w:val="000000" w:themeColor="text1"/>
        </w:rPr>
        <w:t>Questionnaire</w:t>
      </w:r>
      <w:r w:rsidRPr="008320A9">
        <w:rPr>
          <w:rFonts w:eastAsia="Calibri"/>
          <w:color w:val="000000" w:themeColor="text1"/>
          <w:szCs w:val="24"/>
        </w:rPr>
        <w:t>.</w:t>
      </w:r>
      <w:r w:rsidRPr="008320A9">
        <w:rPr>
          <w:color w:val="000000" w:themeColor="text1"/>
        </w:rPr>
        <w:t xml:space="preserve"> </w:t>
      </w:r>
    </w:p>
    <w:p w:rsidR="00B5350F" w:rsidP="00DB7F04" w:rsidRDefault="00B5350F" w14:paraId="09E2D9C0" w14:textId="4D977434">
      <w:pPr>
        <w:pStyle w:val="ListParagraph"/>
        <w:numPr>
          <w:ilvl w:val="0"/>
          <w:numId w:val="14"/>
        </w:numPr>
        <w:spacing w:after="120" w:line="276" w:lineRule="auto"/>
        <w:rPr>
          <w:color w:val="000000" w:themeColor="text1"/>
        </w:rPr>
      </w:pPr>
      <w:r w:rsidRPr="008320A9">
        <w:rPr>
          <w:color w:val="000000" w:themeColor="text1"/>
        </w:rPr>
        <w:t xml:space="preserve">$2 for each household member who completes the </w:t>
      </w:r>
      <w:r w:rsidR="00A070D2">
        <w:rPr>
          <w:color w:val="000000" w:themeColor="text1"/>
        </w:rPr>
        <w:t>Profile Questionnaire</w:t>
      </w:r>
      <w:r w:rsidRPr="008320A9">
        <w:rPr>
          <w:rFonts w:eastAsia="Calibri"/>
          <w:color w:val="000000" w:themeColor="text1"/>
          <w:szCs w:val="24"/>
        </w:rPr>
        <w:t>.</w:t>
      </w:r>
      <w:r w:rsidRPr="008320A9">
        <w:rPr>
          <w:color w:val="000000" w:themeColor="text1"/>
        </w:rPr>
        <w:t xml:space="preserve"> </w:t>
      </w:r>
    </w:p>
    <w:p w:rsidRPr="008320A9" w:rsidR="00A070D2" w:rsidP="00DB7F04" w:rsidRDefault="00A070D2" w14:paraId="05FCA6B3" w14:textId="1430CBB9">
      <w:pPr>
        <w:pStyle w:val="ListParagraph"/>
        <w:numPr>
          <w:ilvl w:val="0"/>
          <w:numId w:val="14"/>
        </w:numPr>
        <w:spacing w:after="120" w:line="276" w:lineRule="auto"/>
        <w:rPr>
          <w:color w:val="000000" w:themeColor="text1"/>
        </w:rPr>
      </w:pPr>
      <w:r>
        <w:rPr>
          <w:color w:val="000000" w:themeColor="text1"/>
        </w:rPr>
        <w:t>$16 for completing the debriefing interview.</w:t>
      </w:r>
    </w:p>
    <w:p w:rsidRPr="008320A9" w:rsidR="00B5350F" w:rsidP="00B5350F" w:rsidRDefault="00B5350F" w14:paraId="4864B69A" w14:textId="3A371899">
      <w:pPr>
        <w:spacing w:line="360" w:lineRule="atLeast"/>
        <w:rPr>
          <w:color w:val="000000" w:themeColor="text1"/>
          <w:szCs w:val="24"/>
        </w:rPr>
      </w:pPr>
      <w:r w:rsidRPr="008320A9">
        <w:rPr>
          <w:color w:val="000000" w:themeColor="text1"/>
          <w:szCs w:val="24"/>
        </w:rPr>
        <w:t xml:space="preserve">Following gamification theory, Westat will send daily notifications to respondents via text or e-mail (depending on respondent preference) with the amount of the incentive they have accumulated. In addition, every time a household member logs into the FoodLogger app or uses the web-based food log, the amount of incentive accumulated will be displayed to the household member. </w:t>
      </w:r>
    </w:p>
    <w:p w:rsidRPr="008320A9" w:rsidR="00B5350F" w:rsidP="00B5350F" w:rsidRDefault="00B5350F" w14:paraId="5ABDFD8C" w14:textId="77777777">
      <w:pPr>
        <w:spacing w:line="360" w:lineRule="atLeast"/>
        <w:rPr>
          <w:color w:val="000000" w:themeColor="text1"/>
          <w:szCs w:val="24"/>
        </w:rPr>
      </w:pPr>
    </w:p>
    <w:p w:rsidRPr="008320A9" w:rsidR="00B5350F" w:rsidP="00B5350F" w:rsidRDefault="00B5350F" w14:paraId="45B4C843" w14:textId="1395D1C9">
      <w:pPr>
        <w:spacing w:line="360" w:lineRule="atLeast"/>
        <w:rPr>
          <w:color w:val="000000" w:themeColor="text1"/>
          <w:szCs w:val="24"/>
        </w:rPr>
      </w:pPr>
      <w:r w:rsidRPr="008320A9">
        <w:rPr>
          <w:color w:val="000000" w:themeColor="text1"/>
          <w:szCs w:val="24"/>
        </w:rPr>
        <w:t xml:space="preserve">As it would clearly be </w:t>
      </w:r>
      <w:r w:rsidRPr="008320A9" w:rsidR="009B2467">
        <w:rPr>
          <w:color w:val="000000" w:themeColor="text1"/>
          <w:szCs w:val="24"/>
        </w:rPr>
        <w:t>awkward</w:t>
      </w:r>
      <w:r w:rsidRPr="008320A9">
        <w:rPr>
          <w:color w:val="000000" w:themeColor="text1"/>
          <w:szCs w:val="24"/>
        </w:rPr>
        <w:t xml:space="preserve"> to have different members of the same household receiving different incentives for recording events in their food logs, randomization for the split-sample incentive experiment will be done at the household level.</w:t>
      </w:r>
    </w:p>
    <w:p w:rsidRPr="008320A9" w:rsidR="00B5350F" w:rsidP="00B5350F" w:rsidRDefault="00B5350F" w14:paraId="43739B77" w14:textId="77777777">
      <w:pPr>
        <w:spacing w:line="360" w:lineRule="atLeast"/>
        <w:rPr>
          <w:color w:val="000000" w:themeColor="text1"/>
          <w:szCs w:val="24"/>
        </w:rPr>
      </w:pPr>
    </w:p>
    <w:p w:rsidRPr="008320A9" w:rsidR="00B5350F" w:rsidP="008320A9" w:rsidRDefault="00A070D2" w14:paraId="451FF800" w14:textId="3E528D9F">
      <w:pPr>
        <w:spacing w:line="360" w:lineRule="atLeast"/>
        <w:rPr>
          <w:color w:val="000000" w:themeColor="text1"/>
          <w:szCs w:val="24"/>
        </w:rPr>
      </w:pPr>
      <w:r>
        <w:rPr>
          <w:color w:val="000000" w:themeColor="text1"/>
          <w:szCs w:val="24"/>
        </w:rPr>
        <w:t xml:space="preserve">As discussed in Supporting Statement Part B, the purpose of the experiment is to </w:t>
      </w:r>
      <w:r>
        <w:rPr>
          <w:rFonts w:eastAsiaTheme="minorEastAsia"/>
        </w:rPr>
        <w:t>examine which incentive schema is cost efficient and provides more complete 7-day Food Logs for FoodAPS</w:t>
      </w:r>
      <w:r>
        <w:rPr>
          <w:color w:val="000000" w:themeColor="text1"/>
          <w:szCs w:val="24"/>
        </w:rPr>
        <w:t xml:space="preserve">. This will inform the Full Survey. The measures of interest will be at the person level. As an </w:t>
      </w:r>
      <w:r w:rsidR="009B2467">
        <w:rPr>
          <w:color w:val="000000" w:themeColor="text1"/>
          <w:szCs w:val="24"/>
        </w:rPr>
        <w:t>example,</w:t>
      </w:r>
      <w:r>
        <w:rPr>
          <w:color w:val="000000" w:themeColor="text1"/>
          <w:szCs w:val="24"/>
        </w:rPr>
        <w:t xml:space="preserve"> </w:t>
      </w:r>
      <w:r w:rsidRPr="008320A9" w:rsidR="00B5350F">
        <w:rPr>
          <w:color w:val="000000" w:themeColor="text1"/>
          <w:szCs w:val="24"/>
        </w:rPr>
        <w:t xml:space="preserve">Table </w:t>
      </w:r>
      <w:r w:rsidRPr="005C47C5" w:rsidR="00B5350F">
        <w:rPr>
          <w:color w:val="000000" w:themeColor="text1"/>
          <w:szCs w:val="24"/>
        </w:rPr>
        <w:t>A.</w:t>
      </w:r>
      <w:r>
        <w:rPr>
          <w:color w:val="000000" w:themeColor="text1"/>
          <w:szCs w:val="24"/>
        </w:rPr>
        <w:t>7</w:t>
      </w:r>
      <w:r w:rsidRPr="005C47C5" w:rsidR="00B5350F">
        <w:rPr>
          <w:color w:val="000000" w:themeColor="text1"/>
          <w:szCs w:val="24"/>
        </w:rPr>
        <w:t xml:space="preserve"> shows results from the </w:t>
      </w:r>
      <w:r w:rsidR="00B5350F">
        <w:rPr>
          <w:color w:val="000000" w:themeColor="text1"/>
          <w:szCs w:val="24"/>
        </w:rPr>
        <w:t>ADCM</w:t>
      </w:r>
      <w:r w:rsidRPr="008320A9" w:rsidR="00B5350F">
        <w:rPr>
          <w:color w:val="000000" w:themeColor="text1"/>
          <w:szCs w:val="24"/>
        </w:rPr>
        <w:t xml:space="preserve"> Pilot regarding the average number of food events reported each day per household member.</w:t>
      </w:r>
      <w:r w:rsidRPr="008320A9" w:rsidR="00B5350F">
        <w:rPr>
          <w:rStyle w:val="FootnoteReference"/>
          <w:color w:val="000000" w:themeColor="text1"/>
          <w:szCs w:val="24"/>
        </w:rPr>
        <w:footnoteReference w:id="23"/>
      </w:r>
      <w:r w:rsidRPr="008320A9" w:rsidR="00B5350F">
        <w:rPr>
          <w:color w:val="000000" w:themeColor="text1"/>
          <w:szCs w:val="24"/>
        </w:rPr>
        <w:t xml:space="preserve"> Reporting of FAH and FAFH events dropped by 23.5 and 32.5 percent, respectively, over the week. Together, the average daily number of reported food events dropped 28.4 percent. </w:t>
      </w:r>
      <w:r w:rsidR="00672795">
        <w:rPr>
          <w:color w:val="000000" w:themeColor="text1"/>
          <w:szCs w:val="24"/>
        </w:rPr>
        <w:t>ERS will use minimum det</w:t>
      </w:r>
      <w:r>
        <w:rPr>
          <w:rFonts w:eastAsiaTheme="minorEastAsia"/>
        </w:rPr>
        <w:t>ectable difference</w:t>
      </w:r>
      <w:r w:rsidR="00672795">
        <w:rPr>
          <w:rFonts w:eastAsiaTheme="minorEastAsia"/>
        </w:rPr>
        <w:t>s</w:t>
      </w:r>
      <w:r>
        <w:rPr>
          <w:rFonts w:eastAsiaTheme="minorEastAsia"/>
        </w:rPr>
        <w:t xml:space="preserve"> </w:t>
      </w:r>
      <w:r w:rsidR="00672795">
        <w:rPr>
          <w:rFonts w:eastAsiaTheme="minorEastAsia"/>
        </w:rPr>
        <w:t xml:space="preserve">with </w:t>
      </w:r>
      <w:r>
        <w:rPr>
          <w:rFonts w:eastAsiaTheme="minorEastAsia"/>
        </w:rPr>
        <w:t xml:space="preserve">80% power and a 0.05 level of significance </w:t>
      </w:r>
      <w:r w:rsidR="00672795">
        <w:rPr>
          <w:rFonts w:eastAsiaTheme="minorEastAsia"/>
        </w:rPr>
        <w:t xml:space="preserve">to determine if doubling the daily incentive starting on day 4 reduces the </w:t>
      </w:r>
      <w:r w:rsidR="009B2467">
        <w:rPr>
          <w:rFonts w:eastAsiaTheme="minorEastAsia"/>
        </w:rPr>
        <w:t>drop-off</w:t>
      </w:r>
      <w:r w:rsidR="00672795">
        <w:rPr>
          <w:rFonts w:eastAsiaTheme="minorEastAsia"/>
        </w:rPr>
        <w:t xml:space="preserve"> in event reporting compared to day 1. </w:t>
      </w:r>
    </w:p>
    <w:p w:rsidRPr="008320A9" w:rsidR="00B5350F" w:rsidP="00B5350F" w:rsidRDefault="00B5350F" w14:paraId="7679F4AF" w14:textId="77777777">
      <w:pPr>
        <w:spacing w:line="360" w:lineRule="atLeast"/>
        <w:rPr>
          <w:color w:val="000000" w:themeColor="text1"/>
          <w:szCs w:val="24"/>
        </w:rPr>
      </w:pPr>
    </w:p>
    <w:p w:rsidRPr="0019396F" w:rsidR="00B5350F" w:rsidP="0019396F" w:rsidRDefault="00B5350F" w14:paraId="63FBE187" w14:textId="1DF92B42">
      <w:pPr>
        <w:pStyle w:val="Tabletitle0"/>
      </w:pPr>
      <w:r w:rsidRPr="0019396F">
        <w:t>Table A.</w:t>
      </w:r>
      <w:r w:rsidRPr="0019396F" w:rsidR="00A070D2">
        <w:t>7</w:t>
      </w:r>
      <w:r w:rsidR="0019396F">
        <w:t>.</w:t>
      </w:r>
      <w:r w:rsidRPr="0019396F">
        <w:tab/>
        <w:t>Average Number of Reported Food Events by Study Day</w:t>
      </w:r>
    </w:p>
    <w:tbl>
      <w:tblPr>
        <w:tblW w:w="5000" w:type="pct"/>
        <w:tblBorders>
          <w:top w:val="single" w:color="000000" w:sz="6" w:space="0"/>
        </w:tblBorders>
        <w:tblCellMar>
          <w:left w:w="0" w:type="dxa"/>
          <w:right w:w="0" w:type="dxa"/>
        </w:tblCellMar>
        <w:tblLook w:val="0000" w:firstRow="0" w:lastRow="0" w:firstColumn="0" w:lastColumn="0" w:noHBand="0" w:noVBand="0"/>
      </w:tblPr>
      <w:tblGrid>
        <w:gridCol w:w="2800"/>
        <w:gridCol w:w="938"/>
        <w:gridCol w:w="938"/>
        <w:gridCol w:w="938"/>
        <w:gridCol w:w="938"/>
        <w:gridCol w:w="938"/>
        <w:gridCol w:w="938"/>
        <w:gridCol w:w="932"/>
      </w:tblGrid>
      <w:tr w:rsidRPr="00B5350F" w:rsidR="00B5350F" w:rsidTr="00D76B01" w14:paraId="2751DE7C" w14:textId="77777777">
        <w:trPr>
          <w:cantSplit/>
          <w:tblHeader/>
        </w:trPr>
        <w:tc>
          <w:tcPr>
            <w:tcW w:w="1496"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5107D481"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Food acquisition estimates</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3470383F"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DAY1</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502AAB7E"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DAY2</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1001DC1D"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DAY3</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3266081F"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DAY4</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0F5260F6"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DAY5</w:t>
            </w:r>
          </w:p>
        </w:tc>
        <w:tc>
          <w:tcPr>
            <w:tcW w:w="501"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665E6CB8"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DAY6</w:t>
            </w:r>
          </w:p>
        </w:tc>
        <w:tc>
          <w:tcPr>
            <w:tcW w:w="498" w:type="pct"/>
            <w:tcBorders>
              <w:top w:val="single" w:color="000000" w:sz="6" w:space="0"/>
              <w:bottom w:val="single" w:color="000000" w:sz="6" w:space="0"/>
            </w:tcBorders>
            <w:shd w:val="clear" w:color="auto" w:fill="AFBED7"/>
            <w:tcMar>
              <w:left w:w="60" w:type="dxa"/>
              <w:right w:w="60" w:type="dxa"/>
            </w:tcMar>
            <w:vAlign w:val="bottom"/>
          </w:tcPr>
          <w:p w:rsidRPr="008320A9" w:rsidR="00B5350F" w:rsidP="00D76B01" w:rsidRDefault="00B5350F" w14:paraId="4F7DC741" w14:textId="77777777">
            <w:pPr>
              <w:keepNext/>
              <w:adjustRightInd w:val="0"/>
              <w:spacing w:before="60" w:after="60"/>
              <w:jc w:val="center"/>
              <w:rPr>
                <w:rFonts w:ascii="Franklin Gothic Medium" w:hAnsi="Franklin Gothic Medium" w:cs="Times"/>
                <w:b/>
                <w:bCs/>
                <w:color w:val="000000" w:themeColor="text1"/>
                <w:sz w:val="18"/>
                <w:szCs w:val="18"/>
              </w:rPr>
            </w:pPr>
            <w:r w:rsidRPr="008320A9">
              <w:rPr>
                <w:rFonts w:ascii="Franklin Gothic Medium" w:hAnsi="Franklin Gothic Medium" w:cs="Times"/>
                <w:b/>
                <w:bCs/>
                <w:color w:val="000000" w:themeColor="text1"/>
                <w:sz w:val="18"/>
                <w:szCs w:val="18"/>
              </w:rPr>
              <w:t>DAY7</w:t>
            </w:r>
          </w:p>
        </w:tc>
      </w:tr>
      <w:tr w:rsidRPr="00B5350F" w:rsidR="00B5350F" w:rsidTr="00D76B01" w14:paraId="064B20DD" w14:textId="77777777">
        <w:trPr>
          <w:cantSplit/>
        </w:trPr>
        <w:tc>
          <w:tcPr>
            <w:tcW w:w="1496" w:type="pct"/>
            <w:tcBorders>
              <w:top w:val="single" w:color="000000" w:sz="6" w:space="0"/>
            </w:tcBorders>
            <w:shd w:val="clear" w:color="auto" w:fill="FFFFFF"/>
            <w:tcMar>
              <w:left w:w="60" w:type="dxa"/>
              <w:right w:w="60" w:type="dxa"/>
            </w:tcMar>
          </w:tcPr>
          <w:p w:rsidRPr="008320A9" w:rsidR="00B5350F" w:rsidP="00D76B01" w:rsidRDefault="00B5350F" w14:paraId="0AD0F4AC" w14:textId="77777777">
            <w:pPr>
              <w:adjustRightInd w:val="0"/>
              <w:spacing w:before="60" w:after="60"/>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Average number FAH events per person</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0D4711C0"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0.34</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7A80AD1E"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0.30</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357E44D8"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0.29</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4823F081"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0.22</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25CE5D21"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0.25</w:t>
            </w:r>
          </w:p>
        </w:tc>
        <w:tc>
          <w:tcPr>
            <w:tcW w:w="501" w:type="pct"/>
            <w:tcBorders>
              <w:top w:val="single" w:color="000000" w:sz="6" w:space="0"/>
            </w:tcBorders>
            <w:shd w:val="clear" w:color="auto" w:fill="FFFFFF"/>
            <w:tcMar>
              <w:left w:w="60" w:type="dxa"/>
              <w:right w:w="60" w:type="dxa"/>
            </w:tcMar>
          </w:tcPr>
          <w:p w:rsidRPr="008320A9" w:rsidR="00B5350F" w:rsidP="00D76B01" w:rsidRDefault="00B5350F" w14:paraId="78D793C6"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0.21</w:t>
            </w:r>
          </w:p>
        </w:tc>
        <w:tc>
          <w:tcPr>
            <w:tcW w:w="498" w:type="pct"/>
            <w:tcBorders>
              <w:top w:val="single" w:color="000000" w:sz="6" w:space="0"/>
            </w:tcBorders>
            <w:shd w:val="clear" w:color="auto" w:fill="FFFFFF"/>
            <w:tcMar>
              <w:left w:w="60" w:type="dxa"/>
              <w:right w:w="60" w:type="dxa"/>
            </w:tcMar>
          </w:tcPr>
          <w:p w:rsidRPr="008320A9" w:rsidR="00B5350F" w:rsidP="00D76B01" w:rsidRDefault="00B5350F" w14:paraId="014D1C81"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0.26</w:t>
            </w:r>
          </w:p>
        </w:tc>
      </w:tr>
      <w:tr w:rsidRPr="00B5350F" w:rsidR="00B5350F" w:rsidTr="00D76B01" w14:paraId="2A657480" w14:textId="77777777">
        <w:trPr>
          <w:cantSplit/>
        </w:trPr>
        <w:tc>
          <w:tcPr>
            <w:tcW w:w="1496" w:type="pct"/>
            <w:shd w:val="clear" w:color="auto" w:fill="FFFFFF"/>
            <w:tcMar>
              <w:left w:w="60" w:type="dxa"/>
              <w:right w:w="60" w:type="dxa"/>
            </w:tcMar>
          </w:tcPr>
          <w:p w:rsidRPr="008320A9" w:rsidR="00B5350F" w:rsidP="00D76B01" w:rsidRDefault="00B5350F" w14:paraId="0B3860E8" w14:textId="77777777">
            <w:pPr>
              <w:adjustRightInd w:val="0"/>
              <w:spacing w:before="60" w:after="60"/>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Average number FAFH events per person</w:t>
            </w:r>
          </w:p>
        </w:tc>
        <w:tc>
          <w:tcPr>
            <w:tcW w:w="501" w:type="pct"/>
            <w:shd w:val="clear" w:color="auto" w:fill="FFFFFF"/>
            <w:tcMar>
              <w:left w:w="60" w:type="dxa"/>
              <w:right w:w="60" w:type="dxa"/>
            </w:tcMar>
          </w:tcPr>
          <w:p w:rsidRPr="008320A9" w:rsidR="00B5350F" w:rsidP="00D76B01" w:rsidRDefault="00B5350F" w14:paraId="0CEA601C"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0.40</w:t>
            </w:r>
          </w:p>
        </w:tc>
        <w:tc>
          <w:tcPr>
            <w:tcW w:w="501" w:type="pct"/>
            <w:shd w:val="clear" w:color="auto" w:fill="FFFFFF"/>
            <w:tcMar>
              <w:left w:w="60" w:type="dxa"/>
              <w:right w:w="60" w:type="dxa"/>
            </w:tcMar>
          </w:tcPr>
          <w:p w:rsidRPr="008320A9" w:rsidR="00B5350F" w:rsidP="00D76B01" w:rsidRDefault="00B5350F" w14:paraId="1675D2BF"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0.39</w:t>
            </w:r>
          </w:p>
        </w:tc>
        <w:tc>
          <w:tcPr>
            <w:tcW w:w="501" w:type="pct"/>
            <w:shd w:val="clear" w:color="auto" w:fill="FFFFFF"/>
            <w:tcMar>
              <w:left w:w="60" w:type="dxa"/>
              <w:right w:w="60" w:type="dxa"/>
            </w:tcMar>
          </w:tcPr>
          <w:p w:rsidRPr="008320A9" w:rsidR="00B5350F" w:rsidP="00D76B01" w:rsidRDefault="00B5350F" w14:paraId="41229461"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0.35</w:t>
            </w:r>
          </w:p>
        </w:tc>
        <w:tc>
          <w:tcPr>
            <w:tcW w:w="501" w:type="pct"/>
            <w:shd w:val="clear" w:color="auto" w:fill="FFFFFF"/>
            <w:tcMar>
              <w:left w:w="60" w:type="dxa"/>
              <w:right w:w="60" w:type="dxa"/>
            </w:tcMar>
          </w:tcPr>
          <w:p w:rsidRPr="008320A9" w:rsidR="00B5350F" w:rsidP="00D76B01" w:rsidRDefault="00B5350F" w14:paraId="66A3129A"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0.35</w:t>
            </w:r>
          </w:p>
        </w:tc>
        <w:tc>
          <w:tcPr>
            <w:tcW w:w="501" w:type="pct"/>
            <w:shd w:val="clear" w:color="auto" w:fill="FFFFFF"/>
            <w:tcMar>
              <w:left w:w="60" w:type="dxa"/>
              <w:right w:w="60" w:type="dxa"/>
            </w:tcMar>
          </w:tcPr>
          <w:p w:rsidRPr="008320A9" w:rsidR="00B5350F" w:rsidP="00D76B01" w:rsidRDefault="00B5350F" w14:paraId="190D874C"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0.33</w:t>
            </w:r>
          </w:p>
        </w:tc>
        <w:tc>
          <w:tcPr>
            <w:tcW w:w="501" w:type="pct"/>
            <w:shd w:val="clear" w:color="auto" w:fill="FFFFFF"/>
            <w:tcMar>
              <w:left w:w="60" w:type="dxa"/>
              <w:right w:w="60" w:type="dxa"/>
            </w:tcMar>
          </w:tcPr>
          <w:p w:rsidRPr="008320A9" w:rsidR="00B5350F" w:rsidP="00D76B01" w:rsidRDefault="00B5350F" w14:paraId="370C30EC"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0.33</w:t>
            </w:r>
          </w:p>
        </w:tc>
        <w:tc>
          <w:tcPr>
            <w:tcW w:w="498" w:type="pct"/>
            <w:shd w:val="clear" w:color="auto" w:fill="FFFFFF"/>
            <w:tcMar>
              <w:left w:w="60" w:type="dxa"/>
              <w:right w:w="60" w:type="dxa"/>
            </w:tcMar>
          </w:tcPr>
          <w:p w:rsidRPr="008320A9" w:rsidR="00B5350F" w:rsidP="00D76B01" w:rsidRDefault="00B5350F" w14:paraId="69BD9E0E"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0.27</w:t>
            </w:r>
          </w:p>
        </w:tc>
      </w:tr>
      <w:tr w:rsidRPr="00B5350F" w:rsidR="00B5350F" w:rsidTr="00D76B01" w14:paraId="69ED3EB7" w14:textId="77777777">
        <w:trPr>
          <w:cantSplit/>
        </w:trPr>
        <w:tc>
          <w:tcPr>
            <w:tcW w:w="1496" w:type="pct"/>
            <w:shd w:val="clear" w:color="auto" w:fill="FFFFFF"/>
            <w:tcMar>
              <w:left w:w="60" w:type="dxa"/>
              <w:right w:w="60" w:type="dxa"/>
            </w:tcMar>
          </w:tcPr>
          <w:p w:rsidRPr="008320A9" w:rsidR="00B5350F" w:rsidP="00D76B01" w:rsidRDefault="00B5350F" w14:paraId="11331E2E" w14:textId="77777777">
            <w:pPr>
              <w:adjustRightInd w:val="0"/>
              <w:spacing w:before="60" w:after="60"/>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Average number of total events per person</w:t>
            </w:r>
          </w:p>
        </w:tc>
        <w:tc>
          <w:tcPr>
            <w:tcW w:w="501" w:type="pct"/>
            <w:shd w:val="clear" w:color="auto" w:fill="FFFFFF"/>
            <w:tcMar>
              <w:left w:w="60" w:type="dxa"/>
              <w:right w:w="60" w:type="dxa"/>
            </w:tcMar>
          </w:tcPr>
          <w:p w:rsidRPr="008320A9" w:rsidR="00B5350F" w:rsidP="00D76B01" w:rsidRDefault="00B5350F" w14:paraId="71198FB8"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0.74</w:t>
            </w:r>
          </w:p>
        </w:tc>
        <w:tc>
          <w:tcPr>
            <w:tcW w:w="501" w:type="pct"/>
            <w:shd w:val="clear" w:color="auto" w:fill="FFFFFF"/>
            <w:tcMar>
              <w:left w:w="60" w:type="dxa"/>
              <w:right w:w="60" w:type="dxa"/>
            </w:tcMar>
          </w:tcPr>
          <w:p w:rsidRPr="008320A9" w:rsidR="00B5350F" w:rsidP="00D76B01" w:rsidRDefault="00B5350F" w14:paraId="7CAB6AD8"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0.69</w:t>
            </w:r>
          </w:p>
        </w:tc>
        <w:tc>
          <w:tcPr>
            <w:tcW w:w="501" w:type="pct"/>
            <w:shd w:val="clear" w:color="auto" w:fill="FFFFFF"/>
            <w:tcMar>
              <w:left w:w="60" w:type="dxa"/>
              <w:right w:w="60" w:type="dxa"/>
            </w:tcMar>
          </w:tcPr>
          <w:p w:rsidRPr="008320A9" w:rsidR="00B5350F" w:rsidP="00D76B01" w:rsidRDefault="00B5350F" w14:paraId="572EDAFA"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0.64</w:t>
            </w:r>
          </w:p>
        </w:tc>
        <w:tc>
          <w:tcPr>
            <w:tcW w:w="501" w:type="pct"/>
            <w:shd w:val="clear" w:color="auto" w:fill="FFFFFF"/>
            <w:tcMar>
              <w:left w:w="60" w:type="dxa"/>
              <w:right w:w="60" w:type="dxa"/>
            </w:tcMar>
          </w:tcPr>
          <w:p w:rsidRPr="008320A9" w:rsidR="00B5350F" w:rsidP="00D76B01" w:rsidRDefault="00B5350F" w14:paraId="3B93820F"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0.57</w:t>
            </w:r>
          </w:p>
        </w:tc>
        <w:tc>
          <w:tcPr>
            <w:tcW w:w="501" w:type="pct"/>
            <w:shd w:val="clear" w:color="auto" w:fill="FFFFFF"/>
            <w:tcMar>
              <w:left w:w="60" w:type="dxa"/>
              <w:right w:w="60" w:type="dxa"/>
            </w:tcMar>
          </w:tcPr>
          <w:p w:rsidRPr="008320A9" w:rsidR="00B5350F" w:rsidP="00D76B01" w:rsidRDefault="00B5350F" w14:paraId="24F1601A"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0.58</w:t>
            </w:r>
          </w:p>
        </w:tc>
        <w:tc>
          <w:tcPr>
            <w:tcW w:w="501" w:type="pct"/>
            <w:shd w:val="clear" w:color="auto" w:fill="FFFFFF"/>
            <w:tcMar>
              <w:left w:w="60" w:type="dxa"/>
              <w:right w:w="60" w:type="dxa"/>
            </w:tcMar>
          </w:tcPr>
          <w:p w:rsidRPr="008320A9" w:rsidR="00B5350F" w:rsidP="00D76B01" w:rsidRDefault="00B5350F" w14:paraId="5B009970"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0.54</w:t>
            </w:r>
          </w:p>
        </w:tc>
        <w:tc>
          <w:tcPr>
            <w:tcW w:w="498" w:type="pct"/>
            <w:shd w:val="clear" w:color="auto" w:fill="FFFFFF"/>
            <w:tcMar>
              <w:left w:w="60" w:type="dxa"/>
              <w:right w:w="60" w:type="dxa"/>
            </w:tcMar>
          </w:tcPr>
          <w:p w:rsidRPr="008320A9" w:rsidR="00B5350F" w:rsidP="00D76B01" w:rsidRDefault="00B5350F" w14:paraId="410B4F47" w14:textId="77777777">
            <w:pPr>
              <w:adjustRightInd w:val="0"/>
              <w:spacing w:before="60" w:after="60"/>
              <w:jc w:val="center"/>
              <w:rPr>
                <w:rFonts w:ascii="Franklin Gothic Medium" w:hAnsi="Franklin Gothic Medium" w:cs="Times"/>
                <w:color w:val="000000" w:themeColor="text1"/>
                <w:sz w:val="18"/>
                <w:szCs w:val="18"/>
              </w:rPr>
            </w:pPr>
            <w:r w:rsidRPr="008320A9">
              <w:rPr>
                <w:rFonts w:ascii="Franklin Gothic Medium" w:hAnsi="Franklin Gothic Medium" w:cs="Times"/>
                <w:color w:val="000000" w:themeColor="text1"/>
                <w:sz w:val="18"/>
                <w:szCs w:val="18"/>
              </w:rPr>
              <w:t>0.53</w:t>
            </w:r>
          </w:p>
        </w:tc>
      </w:tr>
      <w:tr w:rsidRPr="00B5350F" w:rsidR="00B5350F" w:rsidTr="00D76B01" w14:paraId="0C8B1984" w14:textId="77777777">
        <w:trPr>
          <w:cantSplit/>
        </w:trPr>
        <w:tc>
          <w:tcPr>
            <w:tcW w:w="5000" w:type="pct"/>
            <w:gridSpan w:val="8"/>
            <w:tcBorders>
              <w:top w:val="single" w:color="000000" w:sz="6" w:space="0"/>
            </w:tcBorders>
            <w:shd w:val="clear" w:color="auto" w:fill="FFFFFF"/>
            <w:tcMar>
              <w:left w:w="60" w:type="dxa"/>
              <w:right w:w="60" w:type="dxa"/>
            </w:tcMar>
          </w:tcPr>
          <w:p w:rsidRPr="008320A9" w:rsidR="0019396F" w:rsidP="0019396F" w:rsidRDefault="00B5350F" w14:paraId="4D8BF036" w14:textId="5B79DEBE">
            <w:pPr>
              <w:pStyle w:val="TF-TblFN"/>
              <w:rPr>
                <w:color w:val="000000" w:themeColor="text1"/>
              </w:rPr>
            </w:pPr>
            <w:r w:rsidRPr="008320A9">
              <w:rPr>
                <w:color w:val="000000" w:themeColor="text1"/>
              </w:rPr>
              <w:t>SOURCE: </w:t>
            </w:r>
            <w:r w:rsidRPr="00F9520C">
              <w:rPr>
                <w:color w:val="000000" w:themeColor="text1"/>
              </w:rPr>
              <w:t>201</w:t>
            </w:r>
            <w:r w:rsidRPr="00F9520C" w:rsidR="00435E1A">
              <w:rPr>
                <w:color w:val="000000" w:themeColor="text1"/>
              </w:rPr>
              <w:t>6 ADCM</w:t>
            </w:r>
            <w:r w:rsidRPr="00F9520C">
              <w:rPr>
                <w:color w:val="000000" w:themeColor="text1"/>
              </w:rPr>
              <w:t> Pilot Study</w:t>
            </w:r>
            <w:r w:rsidR="0019396F">
              <w:rPr>
                <w:color w:val="000000" w:themeColor="text1"/>
              </w:rPr>
              <w:t xml:space="preserve"> </w:t>
            </w:r>
          </w:p>
        </w:tc>
      </w:tr>
    </w:tbl>
    <w:p w:rsidRPr="003702B9" w:rsidR="00271489" w:rsidP="00235B81" w:rsidRDefault="00271489" w14:paraId="567DAE73" w14:textId="77777777">
      <w:pPr>
        <w:pStyle w:val="Heading2"/>
        <w:ind w:left="0" w:firstLine="0"/>
      </w:pPr>
      <w:bookmarkStart w:name="_Toc329341683" w:id="122"/>
      <w:bookmarkStart w:name="_Toc400376146" w:id="123"/>
      <w:bookmarkStart w:name="_Toc514067605" w:id="124"/>
      <w:bookmarkStart w:name="_Toc93499537" w:id="125"/>
      <w:bookmarkStart w:name="_Toc286158961" w:id="126"/>
      <w:bookmarkStart w:name="_Toc286160553" w:id="127"/>
      <w:bookmarkStart w:name="_Toc290021770" w:id="128"/>
      <w:bookmarkStart w:name="_Toc329675319" w:id="129"/>
      <w:bookmarkStart w:name="_Toc329675908" w:id="130"/>
      <w:r w:rsidRPr="003702B9">
        <w:t>A.10</w:t>
      </w:r>
      <w:r w:rsidRPr="003702B9">
        <w:tab/>
        <w:t>Assurance of Confidentiality Provided to Respondents</w:t>
      </w:r>
      <w:bookmarkEnd w:id="122"/>
      <w:bookmarkEnd w:id="123"/>
      <w:bookmarkEnd w:id="124"/>
      <w:bookmarkEnd w:id="125"/>
    </w:p>
    <w:p w:rsidRPr="003C1795" w:rsidR="00336A22" w:rsidP="00477165" w:rsidRDefault="00271489" w14:paraId="165EC894" w14:textId="25A90E83">
      <w:pPr>
        <w:pStyle w:val="L1-FlLSp12"/>
        <w:keepLines/>
        <w:rPr>
          <w:szCs w:val="24"/>
        </w:rPr>
      </w:pPr>
      <w:r w:rsidRPr="002F126A">
        <w:rPr>
          <w:b/>
        </w:rPr>
        <w:t xml:space="preserve">Describe any assurance of confidentiality provided to respondents and the basis for the assurance in statute, regulation, or agency </w:t>
      </w:r>
      <w:r w:rsidRPr="002F126A" w:rsidR="009B2467">
        <w:rPr>
          <w:b/>
        </w:rPr>
        <w:t>policy.</w:t>
      </w:r>
      <w:r w:rsidRPr="003C1795" w:rsidR="009B2467">
        <w:rPr>
          <w:szCs w:val="24"/>
        </w:rPr>
        <w:t xml:space="preserve"> The</w:t>
      </w:r>
      <w:r w:rsidRPr="003C1795" w:rsidR="00336A22">
        <w:rPr>
          <w:szCs w:val="24"/>
        </w:rPr>
        <w:t xml:space="preserve"> confidentiality of the </w:t>
      </w:r>
      <w:r w:rsidR="00CE4FDF">
        <w:rPr>
          <w:szCs w:val="24"/>
        </w:rPr>
        <w:t>Field Test</w:t>
      </w:r>
      <w:r w:rsidRPr="003C1795" w:rsidR="00336A22">
        <w:rPr>
          <w:szCs w:val="24"/>
        </w:rPr>
        <w:t xml:space="preserve"> data is protected under the </w:t>
      </w:r>
      <w:r w:rsidRPr="003C1795" w:rsidR="00336A22">
        <w:rPr>
          <w:rFonts w:eastAsiaTheme="minorEastAsia"/>
          <w:szCs w:val="24"/>
        </w:rPr>
        <w:t>Confidential Information Protection and Statistical Efficiency Act of 2002</w:t>
      </w:r>
      <w:r w:rsidRPr="003C1795" w:rsidR="00336A22">
        <w:rPr>
          <w:rFonts w:eastAsiaTheme="minorEastAsia" w:cstheme="minorBidi"/>
          <w:szCs w:val="24"/>
        </w:rPr>
        <w:t xml:space="preserve"> (CIPSEA), </w:t>
      </w:r>
      <w:r w:rsidRPr="003C1795" w:rsidR="00336A22">
        <w:rPr>
          <w:rFonts w:cs="Garamond"/>
          <w:bCs/>
          <w:color w:val="000000"/>
          <w:szCs w:val="24"/>
        </w:rPr>
        <w:t>(</w:t>
      </w:r>
      <w:r w:rsidR="00C90C15">
        <w:rPr>
          <w:rFonts w:cs="Garamond"/>
          <w:bCs/>
          <w:color w:val="000000"/>
          <w:szCs w:val="24"/>
        </w:rPr>
        <w:t xml:space="preserve">Title V of </w:t>
      </w:r>
      <w:r w:rsidRPr="003C1795" w:rsidR="00336A22">
        <w:rPr>
          <w:rFonts w:cs="Garamond"/>
          <w:bCs/>
          <w:color w:val="000000"/>
          <w:szCs w:val="24"/>
        </w:rPr>
        <w:t>P</w:t>
      </w:r>
      <w:r w:rsidR="00C90C15">
        <w:rPr>
          <w:rFonts w:cs="Garamond"/>
          <w:bCs/>
          <w:color w:val="000000"/>
          <w:szCs w:val="24"/>
        </w:rPr>
        <w:t>.</w:t>
      </w:r>
      <w:r w:rsidRPr="003C1795" w:rsidR="00336A22">
        <w:rPr>
          <w:rFonts w:cs="Garamond"/>
          <w:bCs/>
          <w:color w:val="000000"/>
          <w:szCs w:val="24"/>
        </w:rPr>
        <w:t>L</w:t>
      </w:r>
      <w:r w:rsidR="00C90C15">
        <w:rPr>
          <w:rFonts w:cs="Garamond"/>
          <w:bCs/>
          <w:color w:val="000000"/>
          <w:szCs w:val="24"/>
        </w:rPr>
        <w:t>.</w:t>
      </w:r>
      <w:r w:rsidRPr="003C1795" w:rsidR="00336A22">
        <w:rPr>
          <w:rFonts w:cs="Garamond"/>
          <w:bCs/>
          <w:color w:val="000000"/>
          <w:szCs w:val="24"/>
        </w:rPr>
        <w:t>-107-347)</w:t>
      </w:r>
      <w:r w:rsidRPr="003C1795" w:rsidR="00336A22">
        <w:rPr>
          <w:rFonts w:eastAsiaTheme="minorEastAsia"/>
          <w:szCs w:val="24"/>
        </w:rPr>
        <w:t xml:space="preserve">. Households invited to participate in </w:t>
      </w:r>
      <w:r w:rsidRPr="003C1795" w:rsidR="002C4AD5">
        <w:rPr>
          <w:rFonts w:eastAsiaTheme="minorEastAsia"/>
          <w:szCs w:val="24"/>
        </w:rPr>
        <w:t>the Field Test</w:t>
      </w:r>
      <w:r w:rsidRPr="003C1795" w:rsidR="00336A22">
        <w:rPr>
          <w:rFonts w:eastAsiaTheme="minorEastAsia"/>
          <w:szCs w:val="24"/>
        </w:rPr>
        <w:t xml:space="preserve"> will </w:t>
      </w:r>
      <w:r w:rsidR="009928EF">
        <w:rPr>
          <w:rFonts w:eastAsiaTheme="minorEastAsia"/>
          <w:szCs w:val="24"/>
        </w:rPr>
        <w:t>sign</w:t>
      </w:r>
      <w:r w:rsidRPr="003C1795" w:rsidR="00336A22">
        <w:rPr>
          <w:rFonts w:eastAsiaTheme="minorEastAsia"/>
          <w:szCs w:val="24"/>
        </w:rPr>
        <w:t xml:space="preserve"> a </w:t>
      </w:r>
      <w:r w:rsidR="00845D0C">
        <w:rPr>
          <w:rFonts w:eastAsiaTheme="minorEastAsia"/>
          <w:b/>
          <w:bCs/>
          <w:szCs w:val="24"/>
        </w:rPr>
        <w:t>Household C</w:t>
      </w:r>
      <w:r w:rsidRPr="008320A9" w:rsidR="002C4AD5">
        <w:rPr>
          <w:rFonts w:eastAsiaTheme="minorEastAsia"/>
          <w:b/>
          <w:bCs/>
          <w:szCs w:val="24"/>
        </w:rPr>
        <w:t>onsent</w:t>
      </w:r>
      <w:r w:rsidRPr="008320A9" w:rsidR="006029DC">
        <w:rPr>
          <w:rFonts w:eastAsiaTheme="minorEastAsia"/>
          <w:b/>
          <w:bCs/>
          <w:szCs w:val="24"/>
        </w:rPr>
        <w:t xml:space="preserve"> </w:t>
      </w:r>
      <w:r w:rsidR="00294CC5">
        <w:rPr>
          <w:rFonts w:eastAsiaTheme="minorEastAsia"/>
          <w:b/>
          <w:bCs/>
          <w:szCs w:val="24"/>
        </w:rPr>
        <w:t xml:space="preserve">and Disclaimer </w:t>
      </w:r>
      <w:r w:rsidRPr="008320A9" w:rsidR="006029DC">
        <w:rPr>
          <w:rFonts w:eastAsiaTheme="minorEastAsia"/>
          <w:b/>
          <w:bCs/>
          <w:szCs w:val="24"/>
        </w:rPr>
        <w:t>Form</w:t>
      </w:r>
      <w:r w:rsidR="005060D9">
        <w:rPr>
          <w:rFonts w:eastAsiaTheme="minorEastAsia"/>
          <w:b/>
          <w:bCs/>
          <w:szCs w:val="24"/>
        </w:rPr>
        <w:t xml:space="preserve"> </w:t>
      </w:r>
      <w:r w:rsidR="006029DC">
        <w:rPr>
          <w:rFonts w:eastAsiaTheme="minorEastAsia"/>
          <w:szCs w:val="24"/>
        </w:rPr>
        <w:t>(</w:t>
      </w:r>
      <w:r w:rsidR="00845D0C">
        <w:rPr>
          <w:rFonts w:eastAsiaTheme="minorEastAsia"/>
          <w:szCs w:val="24"/>
        </w:rPr>
        <w:t xml:space="preserve">Attachment </w:t>
      </w:r>
      <w:r w:rsidR="006029DC">
        <w:rPr>
          <w:rFonts w:eastAsiaTheme="minorEastAsia"/>
          <w:szCs w:val="24"/>
        </w:rPr>
        <w:t>F</w:t>
      </w:r>
      <w:r w:rsidR="009928EF">
        <w:rPr>
          <w:rFonts w:eastAsiaTheme="minorEastAsia"/>
          <w:szCs w:val="24"/>
        </w:rPr>
        <w:t>1</w:t>
      </w:r>
      <w:r w:rsidRPr="003C1795" w:rsidR="00336A22">
        <w:rPr>
          <w:rFonts w:eastAsiaTheme="minorEastAsia"/>
          <w:szCs w:val="24"/>
        </w:rPr>
        <w:t xml:space="preserve">) that includes </w:t>
      </w:r>
      <w:r w:rsidRPr="003C1795" w:rsidR="00336A22">
        <w:rPr>
          <w:szCs w:val="24"/>
        </w:rPr>
        <w:t>detailed disclosures regarding confidentiality</w:t>
      </w:r>
      <w:r w:rsidRPr="003C1795" w:rsidR="00336A22">
        <w:rPr>
          <w:rFonts w:eastAsiaTheme="minorEastAsia"/>
          <w:szCs w:val="24"/>
        </w:rPr>
        <w:t xml:space="preserve">. </w:t>
      </w:r>
      <w:r w:rsidRPr="003C1795" w:rsidR="002C4AD5">
        <w:rPr>
          <w:rFonts w:eastAsiaTheme="minorEastAsia"/>
          <w:szCs w:val="24"/>
        </w:rPr>
        <w:t xml:space="preserve">The consent form </w:t>
      </w:r>
      <w:r w:rsidRPr="003C1795" w:rsidR="00336A22">
        <w:rPr>
          <w:rFonts w:eastAsiaTheme="minorEastAsia"/>
          <w:szCs w:val="24"/>
        </w:rPr>
        <w:t>provide</w:t>
      </w:r>
      <w:r w:rsidRPr="003C1795" w:rsidR="002C4AD5">
        <w:rPr>
          <w:rFonts w:eastAsiaTheme="minorEastAsia"/>
          <w:szCs w:val="24"/>
        </w:rPr>
        <w:t>s</w:t>
      </w:r>
      <w:r w:rsidRPr="003C1795" w:rsidR="00336A22">
        <w:rPr>
          <w:szCs w:val="24"/>
        </w:rPr>
        <w:t xml:space="preserve"> assurance</w:t>
      </w:r>
      <w:r w:rsidR="00A60ECD">
        <w:rPr>
          <w:szCs w:val="24"/>
        </w:rPr>
        <w:t>s</w:t>
      </w:r>
      <w:r w:rsidRPr="003C1795" w:rsidR="00336A22">
        <w:rPr>
          <w:szCs w:val="24"/>
        </w:rPr>
        <w:t xml:space="preserve"> that a</w:t>
      </w:r>
      <w:r w:rsidRPr="003C1795" w:rsidR="00336A22">
        <w:rPr>
          <w:rFonts w:cs="Garamond" w:eastAsiaTheme="minorHAnsi"/>
          <w:bCs/>
          <w:color w:val="000000"/>
          <w:szCs w:val="24"/>
        </w:rPr>
        <w:t>ll information which would permit identification of an individual or a household will be held confidential</w:t>
      </w:r>
      <w:r w:rsidR="0084577D">
        <w:rPr>
          <w:rFonts w:cs="Garamond" w:eastAsiaTheme="minorHAnsi"/>
          <w:bCs/>
          <w:color w:val="000000"/>
          <w:szCs w:val="24"/>
        </w:rPr>
        <w:t xml:space="preserve">, </w:t>
      </w:r>
      <w:r w:rsidRPr="003C1795" w:rsidR="00336A22">
        <w:rPr>
          <w:rFonts w:cs="Garamond" w:eastAsiaTheme="minorHAnsi"/>
          <w:bCs/>
          <w:color w:val="000000"/>
          <w:szCs w:val="24"/>
        </w:rPr>
        <w:t>will be used for statistical purposes only</w:t>
      </w:r>
      <w:r w:rsidR="0084577D">
        <w:rPr>
          <w:rFonts w:cs="Garamond" w:eastAsiaTheme="minorHAnsi"/>
          <w:bCs/>
          <w:color w:val="000000"/>
          <w:szCs w:val="24"/>
        </w:rPr>
        <w:t>, and will be accessible only to authorized persons</w:t>
      </w:r>
      <w:r w:rsidRPr="003C1795" w:rsidR="00336A22">
        <w:rPr>
          <w:rFonts w:cs="Garamond" w:eastAsiaTheme="minorHAnsi"/>
          <w:bCs/>
          <w:color w:val="000000"/>
          <w:szCs w:val="24"/>
        </w:rPr>
        <w:t xml:space="preserve">. </w:t>
      </w:r>
      <w:r w:rsidR="00042449">
        <w:rPr>
          <w:rFonts w:cs="Garamond" w:eastAsiaTheme="minorHAnsi"/>
          <w:bCs/>
          <w:color w:val="000000"/>
          <w:szCs w:val="24"/>
        </w:rPr>
        <w:t>The form will also inform participants that</w:t>
      </w:r>
      <w:r w:rsidR="00C442AB">
        <w:rPr>
          <w:rFonts w:cs="Garamond" w:eastAsiaTheme="minorHAnsi"/>
          <w:bCs/>
          <w:color w:val="000000"/>
          <w:szCs w:val="24"/>
        </w:rPr>
        <w:t>,</w:t>
      </w:r>
      <w:r w:rsidR="00042449">
        <w:rPr>
          <w:rFonts w:cs="Garamond" w:eastAsiaTheme="minorHAnsi"/>
          <w:bCs/>
          <w:color w:val="000000"/>
          <w:szCs w:val="24"/>
        </w:rPr>
        <w:t xml:space="preserve"> p</w:t>
      </w:r>
      <w:r w:rsidRPr="002934F0" w:rsidR="00042449">
        <w:rPr>
          <w:szCs w:val="24"/>
        </w:rPr>
        <w:t>er the Federal Cybersecurity Enhancement Act of 2015, Federal information systems are protected from malicious activities through cybersecurity screening of transmitted data</w:t>
      </w:r>
      <w:r w:rsidR="00042449">
        <w:rPr>
          <w:bCs/>
        </w:rPr>
        <w:t>.</w:t>
      </w:r>
      <w:r w:rsidRPr="00042449" w:rsidR="00042449">
        <w:rPr>
          <w:rFonts w:cs="Garamond" w:eastAsiaTheme="minorHAnsi"/>
          <w:bCs/>
          <w:color w:val="000000"/>
          <w:szCs w:val="24"/>
        </w:rPr>
        <w:t xml:space="preserve"> </w:t>
      </w:r>
      <w:r w:rsidRPr="003C1795" w:rsidR="00042449">
        <w:rPr>
          <w:rFonts w:cs="Garamond" w:eastAsiaTheme="minorHAnsi"/>
          <w:bCs/>
          <w:color w:val="000000"/>
          <w:szCs w:val="24"/>
        </w:rPr>
        <w:t>It assures respondents that providing answers to any or all questions is strictly voluntary. Interviewers</w:t>
      </w:r>
      <w:r w:rsidRPr="003C1795" w:rsidR="00042449">
        <w:rPr>
          <w:szCs w:val="24"/>
        </w:rPr>
        <w:t xml:space="preserve"> will ensure that </w:t>
      </w:r>
      <w:r w:rsidR="00A51FAA">
        <w:rPr>
          <w:szCs w:val="24"/>
        </w:rPr>
        <w:t xml:space="preserve">an adult household member has read and signed the </w:t>
      </w:r>
      <w:proofErr w:type="spellStart"/>
      <w:r w:rsidR="00A51FAA">
        <w:rPr>
          <w:szCs w:val="24"/>
        </w:rPr>
        <w:t>Houshold</w:t>
      </w:r>
      <w:proofErr w:type="spellEnd"/>
      <w:r w:rsidR="00A51FAA">
        <w:rPr>
          <w:szCs w:val="24"/>
        </w:rPr>
        <w:t xml:space="preserve"> Consent Form and </w:t>
      </w:r>
      <w:proofErr w:type="spellStart"/>
      <w:r w:rsidR="00A51FAA">
        <w:rPr>
          <w:szCs w:val="24"/>
        </w:rPr>
        <w:t>Discloaimer</w:t>
      </w:r>
      <w:proofErr w:type="spellEnd"/>
      <w:r w:rsidR="00A51FAA">
        <w:rPr>
          <w:szCs w:val="24"/>
        </w:rPr>
        <w:t xml:space="preserve"> </w:t>
      </w:r>
      <w:r w:rsidRPr="003C1795" w:rsidR="00A51FAA">
        <w:rPr>
          <w:szCs w:val="24"/>
        </w:rPr>
        <w:t xml:space="preserve">prior to participating in </w:t>
      </w:r>
      <w:r w:rsidR="00A51FAA">
        <w:rPr>
          <w:szCs w:val="24"/>
        </w:rPr>
        <w:t>the Field Test</w:t>
      </w:r>
      <w:r w:rsidRPr="003C1795" w:rsidR="00A51FAA">
        <w:rPr>
          <w:szCs w:val="24"/>
        </w:rPr>
        <w:t>.</w:t>
      </w:r>
      <w:r w:rsidR="00A51FAA">
        <w:rPr>
          <w:szCs w:val="24"/>
        </w:rPr>
        <w:t xml:space="preserve"> A hardcopy version of the form will be provided to the household so that every member of the household has access to and can review it at any point during the study period. </w:t>
      </w:r>
      <w:r w:rsidRPr="003C1795" w:rsidR="00042449">
        <w:rPr>
          <w:szCs w:val="24"/>
        </w:rPr>
        <w:t xml:space="preserve">In addition to the </w:t>
      </w:r>
      <w:r w:rsidR="00294CC5">
        <w:rPr>
          <w:szCs w:val="24"/>
        </w:rPr>
        <w:t xml:space="preserve">Household </w:t>
      </w:r>
      <w:r w:rsidR="002E20B2">
        <w:rPr>
          <w:szCs w:val="24"/>
        </w:rPr>
        <w:t>C</w:t>
      </w:r>
      <w:r w:rsidRPr="003C1795" w:rsidR="002E20B2">
        <w:rPr>
          <w:szCs w:val="24"/>
        </w:rPr>
        <w:t xml:space="preserve">onsent </w:t>
      </w:r>
      <w:r w:rsidR="00294CC5">
        <w:rPr>
          <w:szCs w:val="24"/>
        </w:rPr>
        <w:t xml:space="preserve">and Disclaimer </w:t>
      </w:r>
      <w:r w:rsidR="002E20B2">
        <w:rPr>
          <w:szCs w:val="24"/>
        </w:rPr>
        <w:t>F</w:t>
      </w:r>
      <w:r w:rsidRPr="003C1795" w:rsidR="00042449">
        <w:rPr>
          <w:szCs w:val="24"/>
        </w:rPr>
        <w:t>orm, each household member</w:t>
      </w:r>
      <w:r w:rsidR="00042449">
        <w:rPr>
          <w:szCs w:val="24"/>
        </w:rPr>
        <w:t xml:space="preserve"> will provide their individual consent or assent the first time they </w:t>
      </w:r>
      <w:r w:rsidRPr="008320A9" w:rsidR="005F2B3F">
        <w:rPr>
          <w:szCs w:val="24"/>
        </w:rPr>
        <w:t xml:space="preserve">access the FoodLogger app or the Food Log website </w:t>
      </w:r>
      <w:r w:rsidR="00294CC5">
        <w:t>(see Attachment R2 pages 1-5 for the presentation of consent and disclaimer information to the participant in the FoodLogger and Attachment R3 pages 3 and 4 for the corresponding information in the web version of the Food Log</w:t>
      </w:r>
      <w:r w:rsidRPr="008320A9" w:rsidR="00042449">
        <w:rPr>
          <w:szCs w:val="24"/>
        </w:rPr>
        <w:t>)</w:t>
      </w:r>
      <w:r w:rsidR="00042449">
        <w:rPr>
          <w:szCs w:val="24"/>
        </w:rPr>
        <w:t>.</w:t>
      </w:r>
      <w:r w:rsidR="00294CC5">
        <w:rPr>
          <w:szCs w:val="24"/>
        </w:rPr>
        <w:t xml:space="preserve"> </w:t>
      </w:r>
      <w:r w:rsidR="00294CC5">
        <w:t xml:space="preserve">A copy of the individual consent/assent form is provided in </w:t>
      </w:r>
      <w:r w:rsidRPr="00D75064" w:rsidR="00294CC5">
        <w:t>Attachment F3</w:t>
      </w:r>
      <w:r w:rsidR="00294CC5">
        <w:t>.</w:t>
      </w:r>
      <w:r w:rsidRPr="00A10954" w:rsidR="00042449">
        <w:rPr>
          <w:bCs/>
        </w:rPr>
        <w:t xml:space="preserve">                                                                                                                                                                                                                                                                                                                                                      </w:t>
      </w:r>
      <w:r w:rsidR="00042449">
        <w:rPr>
          <w:bCs/>
        </w:rPr>
        <w:t xml:space="preserve">                            </w:t>
      </w:r>
      <w:r w:rsidR="000024B8">
        <w:rPr>
          <w:szCs w:val="24"/>
        </w:rPr>
        <w:t xml:space="preserve">  </w:t>
      </w:r>
    </w:p>
    <w:p w:rsidRPr="003C1795" w:rsidR="00336A22" w:rsidP="00336A22" w:rsidRDefault="00336A22" w14:paraId="4D4199BA" w14:textId="77777777">
      <w:pPr>
        <w:pStyle w:val="L1-FlLSp12"/>
        <w:rPr>
          <w:szCs w:val="24"/>
        </w:rPr>
      </w:pPr>
    </w:p>
    <w:p w:rsidR="00351759" w:rsidP="00336A22" w:rsidRDefault="000E3266" w14:paraId="675C466B" w14:textId="1CB541D0">
      <w:pPr>
        <w:pStyle w:val="L1-FlLSp12"/>
        <w:rPr>
          <w:bCs/>
        </w:rPr>
      </w:pPr>
      <w:r w:rsidRPr="003C1795">
        <w:rPr>
          <w:szCs w:val="24"/>
        </w:rPr>
        <w:t>ERS</w:t>
      </w:r>
      <w:r w:rsidR="00673E2E">
        <w:rPr>
          <w:szCs w:val="24"/>
        </w:rPr>
        <w:t>, FNS,</w:t>
      </w:r>
      <w:r w:rsidRPr="003C1795">
        <w:rPr>
          <w:szCs w:val="24"/>
        </w:rPr>
        <w:t xml:space="preserve"> </w:t>
      </w:r>
      <w:r w:rsidR="0078746C">
        <w:rPr>
          <w:szCs w:val="24"/>
        </w:rPr>
        <w:t>NASS,</w:t>
      </w:r>
      <w:r w:rsidR="001715BC">
        <w:rPr>
          <w:szCs w:val="24"/>
        </w:rPr>
        <w:t xml:space="preserve"> Census,</w:t>
      </w:r>
      <w:r w:rsidR="0078746C">
        <w:rPr>
          <w:szCs w:val="24"/>
        </w:rPr>
        <w:t xml:space="preserve"> </w:t>
      </w:r>
      <w:r w:rsidR="00C442AB">
        <w:rPr>
          <w:szCs w:val="24"/>
        </w:rPr>
        <w:t xml:space="preserve">Kirlin Analytic Services, </w:t>
      </w:r>
      <w:r w:rsidRPr="003C1795">
        <w:rPr>
          <w:szCs w:val="24"/>
        </w:rPr>
        <w:t>and Westat</w:t>
      </w:r>
      <w:r w:rsidR="00D30411">
        <w:rPr>
          <w:szCs w:val="24"/>
        </w:rPr>
        <w:t>, ERS’s contractor</w:t>
      </w:r>
      <w:r w:rsidR="00C442AB">
        <w:rPr>
          <w:szCs w:val="24"/>
        </w:rPr>
        <w:t xml:space="preserve"> for the Field Test</w:t>
      </w:r>
      <w:r w:rsidR="00D30411">
        <w:rPr>
          <w:szCs w:val="24"/>
        </w:rPr>
        <w:t xml:space="preserve">, </w:t>
      </w:r>
      <w:r w:rsidRPr="003C1795">
        <w:rPr>
          <w:szCs w:val="24"/>
        </w:rPr>
        <w:t xml:space="preserve">will </w:t>
      </w:r>
      <w:r w:rsidR="00D30411">
        <w:rPr>
          <w:szCs w:val="24"/>
        </w:rPr>
        <w:t xml:space="preserve">fully </w:t>
      </w:r>
      <w:r w:rsidRPr="003C1795">
        <w:rPr>
          <w:szCs w:val="24"/>
        </w:rPr>
        <w:t xml:space="preserve">comply with </w:t>
      </w:r>
      <w:r w:rsidR="00D30411">
        <w:rPr>
          <w:szCs w:val="24"/>
        </w:rPr>
        <w:t>the</w:t>
      </w:r>
      <w:r w:rsidRPr="003C1795">
        <w:rPr>
          <w:szCs w:val="24"/>
        </w:rPr>
        <w:t xml:space="preserve"> </w:t>
      </w:r>
      <w:r w:rsidRPr="003C1795">
        <w:rPr>
          <w:rFonts w:cs="Garamond" w:eastAsiaTheme="minorHAnsi"/>
          <w:bCs/>
          <w:color w:val="000000"/>
          <w:szCs w:val="24"/>
        </w:rPr>
        <w:t>CIPSEA, (PL-107-347)</w:t>
      </w:r>
      <w:r w:rsidRPr="003C1795">
        <w:rPr>
          <w:szCs w:val="24"/>
        </w:rPr>
        <w:t xml:space="preserve">, including </w:t>
      </w:r>
      <w:r w:rsidR="00DD7357">
        <w:rPr>
          <w:szCs w:val="24"/>
        </w:rPr>
        <w:t>Privacy Impact Assessment</w:t>
      </w:r>
      <w:r w:rsidR="000F1DD0">
        <w:rPr>
          <w:szCs w:val="24"/>
        </w:rPr>
        <w:t>,</w:t>
      </w:r>
      <w:r w:rsidR="00F535D7">
        <w:rPr>
          <w:szCs w:val="24"/>
        </w:rPr>
        <w:t xml:space="preserve"> </w:t>
      </w:r>
      <w:r w:rsidRPr="003C1795">
        <w:rPr>
          <w:szCs w:val="24"/>
        </w:rPr>
        <w:t xml:space="preserve">and </w:t>
      </w:r>
      <w:r w:rsidR="00DD7357">
        <w:rPr>
          <w:szCs w:val="24"/>
        </w:rPr>
        <w:t xml:space="preserve">Federal Information Security Management Act </w:t>
      </w:r>
      <w:r w:rsidRPr="003C1795">
        <w:rPr>
          <w:szCs w:val="24"/>
        </w:rPr>
        <w:t xml:space="preserve">compliance. Data collection efforts will not begin until an </w:t>
      </w:r>
      <w:r>
        <w:rPr>
          <w:szCs w:val="24"/>
        </w:rPr>
        <w:t xml:space="preserve">Authorization to Operate </w:t>
      </w:r>
      <w:r w:rsidRPr="003C1795">
        <w:rPr>
          <w:szCs w:val="24"/>
        </w:rPr>
        <w:t>is in place.</w:t>
      </w:r>
      <w:r w:rsidR="00910EA1">
        <w:rPr>
          <w:szCs w:val="24"/>
        </w:rPr>
        <w:t xml:space="preserve"> </w:t>
      </w:r>
      <w:r w:rsidR="00F535D7">
        <w:rPr>
          <w:szCs w:val="24"/>
        </w:rPr>
        <w:t xml:space="preserve">In </w:t>
      </w:r>
      <w:r w:rsidR="00086F8E">
        <w:rPr>
          <w:szCs w:val="24"/>
        </w:rPr>
        <w:t>conformance</w:t>
      </w:r>
      <w:r w:rsidR="00F535D7">
        <w:rPr>
          <w:szCs w:val="24"/>
        </w:rPr>
        <w:t xml:space="preserve"> with these Acts, </w:t>
      </w:r>
      <w:r w:rsidR="004E74AD">
        <w:rPr>
          <w:szCs w:val="24"/>
        </w:rPr>
        <w:t>ERS, FNS</w:t>
      </w:r>
      <w:r w:rsidRPr="00260295" w:rsidR="004E74AD">
        <w:rPr>
          <w:szCs w:val="24"/>
        </w:rPr>
        <w:t xml:space="preserve">, its employees, agents, and partner statistical agencies, will use the information for statistical purposes only and will hold the information in confidence to the full extent permitted by law. Responses will not be disclosed in identifiable form </w:t>
      </w:r>
      <w:r w:rsidRPr="00A10954" w:rsidR="004E74AD">
        <w:rPr>
          <w:bCs/>
        </w:rPr>
        <w:t xml:space="preserve">without the consent of the </w:t>
      </w:r>
      <w:r w:rsidR="004E74AD">
        <w:rPr>
          <w:bCs/>
        </w:rPr>
        <w:t xml:space="preserve">respondent </w:t>
      </w:r>
      <w:r w:rsidRPr="00A10954" w:rsidR="004E74AD">
        <w:rPr>
          <w:bCs/>
        </w:rPr>
        <w:t xml:space="preserve">in accordance with </w:t>
      </w:r>
      <w:r w:rsidR="004E74AD">
        <w:rPr>
          <w:bCs/>
        </w:rPr>
        <w:t>CIPSEA</w:t>
      </w:r>
      <w:r w:rsidR="002E20B2">
        <w:rPr>
          <w:bCs/>
        </w:rPr>
        <w:t>.</w:t>
      </w:r>
    </w:p>
    <w:p w:rsidRPr="003C1795" w:rsidR="002E20B2" w:rsidP="00336A22" w:rsidRDefault="002E20B2" w14:paraId="7BB3401A" w14:textId="77777777">
      <w:pPr>
        <w:pStyle w:val="L1-FlLSp12"/>
        <w:rPr>
          <w:szCs w:val="24"/>
        </w:rPr>
      </w:pPr>
    </w:p>
    <w:p w:rsidRPr="001715BC" w:rsidR="00C90C15" w:rsidP="004E74AD" w:rsidRDefault="00351759" w14:paraId="476E19AE" w14:textId="0898961C">
      <w:pPr>
        <w:pStyle w:val="L1-FlLSp12"/>
        <w:rPr>
          <w:color w:val="000000" w:themeColor="text1"/>
        </w:rPr>
      </w:pPr>
      <w:r w:rsidRPr="001715BC">
        <w:rPr>
          <w:color w:val="000000" w:themeColor="text1"/>
          <w:szCs w:val="24"/>
        </w:rPr>
        <w:t xml:space="preserve">Per the </w:t>
      </w:r>
      <w:r w:rsidRPr="001715BC" w:rsidR="004E74AD">
        <w:rPr>
          <w:color w:val="000000" w:themeColor="text1"/>
          <w:szCs w:val="24"/>
        </w:rPr>
        <w:t xml:space="preserve">Federal </w:t>
      </w:r>
      <w:r w:rsidRPr="001715BC">
        <w:rPr>
          <w:color w:val="000000" w:themeColor="text1"/>
          <w:szCs w:val="24"/>
        </w:rPr>
        <w:t xml:space="preserve">Cybersecurity Enhancement Act of 2015, </w:t>
      </w:r>
      <w:r w:rsidRPr="001715BC" w:rsidR="00673E2E">
        <w:rPr>
          <w:color w:val="000000" w:themeColor="text1"/>
          <w:szCs w:val="24"/>
        </w:rPr>
        <w:t xml:space="preserve">USDA </w:t>
      </w:r>
      <w:r w:rsidRPr="001715BC" w:rsidR="004E74AD">
        <w:rPr>
          <w:color w:val="000000" w:themeColor="text1"/>
          <w:szCs w:val="24"/>
        </w:rPr>
        <w:t xml:space="preserve">information systems </w:t>
      </w:r>
      <w:r w:rsidRPr="001715BC" w:rsidR="00D30411">
        <w:rPr>
          <w:color w:val="000000" w:themeColor="text1"/>
          <w:szCs w:val="24"/>
        </w:rPr>
        <w:t xml:space="preserve">are </w:t>
      </w:r>
      <w:r w:rsidRPr="001715BC">
        <w:rPr>
          <w:color w:val="000000" w:themeColor="text1"/>
          <w:szCs w:val="24"/>
        </w:rPr>
        <w:t xml:space="preserve">further protected </w:t>
      </w:r>
      <w:r w:rsidRPr="001715BC" w:rsidR="004E74AD">
        <w:rPr>
          <w:color w:val="000000" w:themeColor="text1"/>
          <w:szCs w:val="24"/>
        </w:rPr>
        <w:t xml:space="preserve">from malicious activities </w:t>
      </w:r>
      <w:r w:rsidRPr="001715BC">
        <w:rPr>
          <w:color w:val="000000" w:themeColor="text1"/>
          <w:szCs w:val="24"/>
        </w:rPr>
        <w:t xml:space="preserve">by the Department of Homeland Security (DHS) through cybersecurity monitoring of the systems that transmit </w:t>
      </w:r>
      <w:r w:rsidRPr="001715BC" w:rsidR="00673E2E">
        <w:rPr>
          <w:color w:val="000000" w:themeColor="text1"/>
          <w:szCs w:val="24"/>
        </w:rPr>
        <w:t xml:space="preserve">USDA </w:t>
      </w:r>
      <w:r w:rsidRPr="001715BC">
        <w:rPr>
          <w:color w:val="000000" w:themeColor="text1"/>
          <w:szCs w:val="24"/>
        </w:rPr>
        <w:t>data. DHS will be monitoring these systems to look for viruses, malware and other threats. In the event of a cybersecurity incident, and pursuant to any required legal process, information from these sources may be used to help identify and mitigate the incident.</w:t>
      </w:r>
      <w:r w:rsidRPr="001715BC" w:rsidR="00C90C15">
        <w:rPr>
          <w:color w:val="000000" w:themeColor="text1"/>
        </w:rPr>
        <w:t xml:space="preserve"> </w:t>
      </w:r>
    </w:p>
    <w:p w:rsidR="00203335" w:rsidP="008320A9" w:rsidRDefault="00203335" w14:paraId="06D26667" w14:textId="50AF3E28">
      <w:pPr>
        <w:pStyle w:val="L1-FlLSp12"/>
        <w:tabs>
          <w:tab w:val="clear" w:pos="1152"/>
          <w:tab w:val="left" w:pos="3570"/>
        </w:tabs>
        <w:rPr>
          <w:bCs/>
          <w:color w:val="808080" w:themeColor="background1" w:themeShade="80"/>
        </w:rPr>
      </w:pPr>
      <w:r>
        <w:rPr>
          <w:bCs/>
          <w:color w:val="808080" w:themeColor="background1" w:themeShade="80"/>
        </w:rPr>
        <w:tab/>
      </w:r>
    </w:p>
    <w:p w:rsidRPr="008320A9" w:rsidR="005F2B3F" w:rsidP="005F2B3F" w:rsidRDefault="005F2B3F" w14:paraId="65ED9AEA" w14:textId="5DF122D6">
      <w:pPr>
        <w:pStyle w:val="L1-FlLSp12"/>
        <w:rPr>
          <w:szCs w:val="24"/>
        </w:rPr>
      </w:pPr>
      <w:r w:rsidRPr="008320A9">
        <w:rPr>
          <w:bCs/>
        </w:rPr>
        <w:t>Finally, any research output using the Field Test data will be reviewed first for disclosure risk. If the review discovers any risk of disclosing confidential information, the request to use the material will be denied, and the reviewer will inform the researcher the reason(s) for the denial. The researcher must then revise the research output and resubmit it for another disclosure review. No research output will be allowed to be publicly released without the approval of the disclosure reviewer.</w:t>
      </w:r>
    </w:p>
    <w:p w:rsidRPr="003C1795" w:rsidR="00C90C15" w:rsidP="00336A22" w:rsidRDefault="00C90C15" w14:paraId="7CC2B20A" w14:textId="77777777">
      <w:pPr>
        <w:pStyle w:val="L1-FlLSp12"/>
        <w:rPr>
          <w:szCs w:val="24"/>
        </w:rPr>
      </w:pPr>
    </w:p>
    <w:p w:rsidRPr="003C1795" w:rsidR="0047782E" w:rsidP="00271489" w:rsidRDefault="0047782E" w14:paraId="71C6F147" w14:textId="77777777">
      <w:pPr>
        <w:pStyle w:val="L1-FlLSp12"/>
        <w:rPr>
          <w:szCs w:val="24"/>
        </w:rPr>
      </w:pPr>
    </w:p>
    <w:p w:rsidRPr="003702B9" w:rsidR="00271489" w:rsidP="00271489" w:rsidRDefault="00271489" w14:paraId="78232C92" w14:textId="7245C8A2">
      <w:pPr>
        <w:pStyle w:val="Heading2"/>
      </w:pPr>
      <w:bookmarkStart w:name="_Toc329341684" w:id="131"/>
      <w:bookmarkStart w:name="_Toc400376147" w:id="132"/>
      <w:bookmarkStart w:name="_Toc514067606" w:id="133"/>
      <w:bookmarkStart w:name="_Toc93499538" w:id="134"/>
      <w:bookmarkEnd w:id="126"/>
      <w:bookmarkEnd w:id="127"/>
      <w:bookmarkEnd w:id="128"/>
      <w:bookmarkEnd w:id="129"/>
      <w:bookmarkEnd w:id="130"/>
      <w:r w:rsidRPr="003702B9">
        <w:t>A.11</w:t>
      </w:r>
      <w:r w:rsidRPr="003702B9">
        <w:tab/>
        <w:t>Justification for Sensitive Questions</w:t>
      </w:r>
      <w:bookmarkEnd w:id="131"/>
      <w:bookmarkEnd w:id="132"/>
      <w:bookmarkEnd w:id="133"/>
      <w:bookmarkEnd w:id="134"/>
    </w:p>
    <w:p w:rsidRPr="002F126A" w:rsidR="00271489" w:rsidP="00271489" w:rsidRDefault="00271489" w14:paraId="7871DFF0" w14:textId="77777777">
      <w:pPr>
        <w:pStyle w:val="L1-FlLSp12"/>
        <w:rPr>
          <w:b/>
        </w:rPr>
      </w:pPr>
      <w:r w:rsidRPr="002F126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1795" w:rsidR="00271489" w:rsidP="00271489" w:rsidRDefault="00271489" w14:paraId="43A8E09D" w14:textId="77777777">
      <w:pPr>
        <w:pStyle w:val="L1-FlLSp12"/>
        <w:rPr>
          <w:szCs w:val="24"/>
        </w:rPr>
      </w:pPr>
    </w:p>
    <w:p w:rsidR="005F2B3F" w:rsidP="003E50E3" w:rsidRDefault="00D93584" w14:paraId="675CE04B" w14:textId="57347626">
      <w:pPr>
        <w:pStyle w:val="L1-FlLSp12"/>
        <w:rPr>
          <w:szCs w:val="24"/>
        </w:rPr>
      </w:pPr>
      <w:r w:rsidRPr="003C1795">
        <w:rPr>
          <w:szCs w:val="24"/>
        </w:rPr>
        <w:t>In general, questions a</w:t>
      </w:r>
      <w:r w:rsidRPr="003C1795" w:rsidR="00EF73B8">
        <w:rPr>
          <w:szCs w:val="24"/>
        </w:rPr>
        <w:t xml:space="preserve">sked of participants during </w:t>
      </w:r>
      <w:r w:rsidR="00C442AB">
        <w:rPr>
          <w:szCs w:val="24"/>
        </w:rPr>
        <w:t xml:space="preserve">the </w:t>
      </w:r>
      <w:r w:rsidRPr="003C1795" w:rsidR="00EF73B8">
        <w:rPr>
          <w:szCs w:val="24"/>
        </w:rPr>
        <w:t xml:space="preserve">FoodAPS-2 </w:t>
      </w:r>
      <w:r w:rsidR="00C442AB">
        <w:rPr>
          <w:szCs w:val="24"/>
        </w:rPr>
        <w:t xml:space="preserve">Field Test </w:t>
      </w:r>
      <w:r w:rsidRPr="003C1795" w:rsidR="00271489">
        <w:rPr>
          <w:szCs w:val="24"/>
        </w:rPr>
        <w:t>are not considered sensitive.</w:t>
      </w:r>
      <w:r w:rsidRPr="003C1795" w:rsidR="00D62B9A">
        <w:rPr>
          <w:szCs w:val="24"/>
        </w:rPr>
        <w:t xml:space="preserve"> </w:t>
      </w:r>
      <w:r w:rsidRPr="003C1795" w:rsidR="00F843C3">
        <w:rPr>
          <w:szCs w:val="24"/>
        </w:rPr>
        <w:t xml:space="preserve">Like FoodAPS-1, </w:t>
      </w:r>
      <w:r w:rsidR="002E20B2">
        <w:rPr>
          <w:szCs w:val="24"/>
        </w:rPr>
        <w:t xml:space="preserve">the </w:t>
      </w:r>
      <w:r w:rsidRPr="003C1795" w:rsidR="00F843C3">
        <w:rPr>
          <w:szCs w:val="24"/>
        </w:rPr>
        <w:t>FoodAPS-2</w:t>
      </w:r>
      <w:r w:rsidRPr="003C1795" w:rsidR="00271489">
        <w:rPr>
          <w:szCs w:val="24"/>
        </w:rPr>
        <w:t xml:space="preserve"> </w:t>
      </w:r>
      <w:r w:rsidR="002E20B2">
        <w:rPr>
          <w:szCs w:val="24"/>
        </w:rPr>
        <w:t xml:space="preserve">Field Test </w:t>
      </w:r>
      <w:r w:rsidRPr="003C1795" w:rsidR="00271489">
        <w:rPr>
          <w:szCs w:val="24"/>
        </w:rPr>
        <w:t xml:space="preserve">includes </w:t>
      </w:r>
      <w:r w:rsidRPr="003C1795">
        <w:rPr>
          <w:szCs w:val="24"/>
        </w:rPr>
        <w:t xml:space="preserve">questions on </w:t>
      </w:r>
      <w:r w:rsidR="00880632">
        <w:rPr>
          <w:szCs w:val="24"/>
        </w:rPr>
        <w:t xml:space="preserve">monthly </w:t>
      </w:r>
      <w:r w:rsidRPr="003C1795">
        <w:rPr>
          <w:szCs w:val="24"/>
        </w:rPr>
        <w:t>income</w:t>
      </w:r>
      <w:r w:rsidR="0001436E">
        <w:rPr>
          <w:szCs w:val="24"/>
        </w:rPr>
        <w:t>, whether they have a specific illness (e.g., hypertension, high cholesterol, or diabetes),</w:t>
      </w:r>
      <w:r w:rsidRPr="003C1795">
        <w:rPr>
          <w:szCs w:val="24"/>
        </w:rPr>
        <w:t xml:space="preserve"> </w:t>
      </w:r>
      <w:r w:rsidR="00430815">
        <w:rPr>
          <w:szCs w:val="24"/>
        </w:rPr>
        <w:t xml:space="preserve">smoking history, </w:t>
      </w:r>
      <w:proofErr w:type="spellStart"/>
      <w:r w:rsidR="00430815">
        <w:rPr>
          <w:szCs w:val="24"/>
        </w:rPr>
        <w:t>personl</w:t>
      </w:r>
      <w:proofErr w:type="spellEnd"/>
      <w:r w:rsidR="00430815">
        <w:rPr>
          <w:szCs w:val="24"/>
        </w:rPr>
        <w:t xml:space="preserve"> data on height, weight, etc., </w:t>
      </w:r>
      <w:r w:rsidRPr="003C1795" w:rsidR="00DE0AF6">
        <w:rPr>
          <w:szCs w:val="24"/>
        </w:rPr>
        <w:t xml:space="preserve">and program participation </w:t>
      </w:r>
      <w:r w:rsidRPr="003C1795">
        <w:rPr>
          <w:szCs w:val="24"/>
        </w:rPr>
        <w:t>that some</w:t>
      </w:r>
      <w:r w:rsidRPr="003C1795" w:rsidR="00271489">
        <w:rPr>
          <w:szCs w:val="24"/>
        </w:rPr>
        <w:t xml:space="preserve"> participants may consider </w:t>
      </w:r>
      <w:r w:rsidRPr="003C1795">
        <w:rPr>
          <w:szCs w:val="24"/>
        </w:rPr>
        <w:t>s</w:t>
      </w:r>
      <w:r w:rsidRPr="003C1795" w:rsidR="00271489">
        <w:rPr>
          <w:szCs w:val="24"/>
        </w:rPr>
        <w:t xml:space="preserve">ensitive. </w:t>
      </w:r>
      <w:r w:rsidR="00430815">
        <w:rPr>
          <w:szCs w:val="24"/>
        </w:rPr>
        <w:t xml:space="preserve">The collection of these data from a nationally-representative </w:t>
      </w:r>
      <w:r w:rsidRPr="003264C7" w:rsidR="00430815">
        <w:rPr>
          <w:szCs w:val="24"/>
        </w:rPr>
        <w:t xml:space="preserve">sample is essential to understanding the factors that influence household food choices and to providing a comprehensive picture on health and obesity, hunger, and nutrition assistance policy. </w:t>
      </w:r>
      <w:r w:rsidRPr="003C1795" w:rsidR="00430815">
        <w:rPr>
          <w:szCs w:val="24"/>
        </w:rPr>
        <w:t>Participation in</w:t>
      </w:r>
      <w:r w:rsidR="00430815">
        <w:rPr>
          <w:szCs w:val="24"/>
        </w:rPr>
        <w:t xml:space="preserve"> the</w:t>
      </w:r>
      <w:r w:rsidRPr="003C1795" w:rsidR="00430815">
        <w:rPr>
          <w:szCs w:val="24"/>
        </w:rPr>
        <w:t xml:space="preserve"> FoodAPS-2 </w:t>
      </w:r>
      <w:r w:rsidR="00430815">
        <w:rPr>
          <w:szCs w:val="24"/>
        </w:rPr>
        <w:t xml:space="preserve">Field Test </w:t>
      </w:r>
      <w:r w:rsidRPr="003C1795" w:rsidR="00430815">
        <w:rPr>
          <w:szCs w:val="24"/>
        </w:rPr>
        <w:t>is voluntary</w:t>
      </w:r>
      <w:r w:rsidR="00430815">
        <w:rPr>
          <w:szCs w:val="24"/>
        </w:rPr>
        <w:t>,</w:t>
      </w:r>
      <w:r w:rsidRPr="003C1795" w:rsidR="00430815">
        <w:rPr>
          <w:szCs w:val="24"/>
        </w:rPr>
        <w:t xml:space="preserve"> and participants can choose not to answer any </w:t>
      </w:r>
      <w:r w:rsidR="00430815">
        <w:rPr>
          <w:szCs w:val="24"/>
        </w:rPr>
        <w:t xml:space="preserve">of these questions.  </w:t>
      </w:r>
    </w:p>
    <w:p w:rsidR="005F2B3F" w:rsidP="003E50E3" w:rsidRDefault="005F2B3F" w14:paraId="2DAA0BE9" w14:textId="77777777">
      <w:pPr>
        <w:pStyle w:val="L1-FlLSp12"/>
        <w:rPr>
          <w:szCs w:val="24"/>
        </w:rPr>
      </w:pPr>
    </w:p>
    <w:p w:rsidRPr="008320A9" w:rsidR="00A77390" w:rsidP="003E50E3" w:rsidRDefault="007D45A8" w14:paraId="40BDCC90" w14:textId="1D4EEC52">
      <w:pPr>
        <w:pStyle w:val="L1-FlLSp12"/>
        <w:rPr>
          <w:szCs w:val="24"/>
        </w:rPr>
      </w:pPr>
      <w:r w:rsidRPr="003C1795">
        <w:rPr>
          <w:szCs w:val="24"/>
        </w:rPr>
        <w:t>The collection of h</w:t>
      </w:r>
      <w:r w:rsidRPr="003C1795" w:rsidR="003E50E3">
        <w:rPr>
          <w:szCs w:val="24"/>
        </w:rPr>
        <w:t>ousehold income</w:t>
      </w:r>
      <w:r w:rsidRPr="003C1795" w:rsidR="00DE0AF6">
        <w:rPr>
          <w:szCs w:val="24"/>
        </w:rPr>
        <w:t xml:space="preserve"> and program participation</w:t>
      </w:r>
      <w:r w:rsidRPr="003C1795" w:rsidR="003E50E3">
        <w:rPr>
          <w:szCs w:val="24"/>
        </w:rPr>
        <w:t xml:space="preserve"> </w:t>
      </w:r>
      <w:r w:rsidR="00B47B4A">
        <w:rPr>
          <w:szCs w:val="24"/>
        </w:rPr>
        <w:t xml:space="preserve">data </w:t>
      </w:r>
      <w:r w:rsidRPr="003C1795" w:rsidR="003E50E3">
        <w:rPr>
          <w:szCs w:val="24"/>
        </w:rPr>
        <w:t xml:space="preserve">is </w:t>
      </w:r>
      <w:r w:rsidRPr="003C1795">
        <w:rPr>
          <w:szCs w:val="24"/>
        </w:rPr>
        <w:t xml:space="preserve">needed for </w:t>
      </w:r>
      <w:r w:rsidR="00880632">
        <w:rPr>
          <w:szCs w:val="24"/>
        </w:rPr>
        <w:t>two</w:t>
      </w:r>
      <w:r w:rsidRPr="003C1795">
        <w:rPr>
          <w:szCs w:val="24"/>
        </w:rPr>
        <w:t xml:space="preserve"> reasons.</w:t>
      </w:r>
      <w:r w:rsidRPr="003C1795" w:rsidR="003E50E3">
        <w:rPr>
          <w:szCs w:val="24"/>
        </w:rPr>
        <w:t xml:space="preserve"> First, income </w:t>
      </w:r>
      <w:r w:rsidRPr="003C1795" w:rsidR="00DE0AF6">
        <w:rPr>
          <w:szCs w:val="24"/>
        </w:rPr>
        <w:t xml:space="preserve">and program participation </w:t>
      </w:r>
      <w:r w:rsidRPr="003C1795">
        <w:rPr>
          <w:szCs w:val="24"/>
        </w:rPr>
        <w:t xml:space="preserve">will be </w:t>
      </w:r>
      <w:r w:rsidRPr="003C1795" w:rsidR="003E50E3">
        <w:rPr>
          <w:szCs w:val="24"/>
        </w:rPr>
        <w:t xml:space="preserve">used to screen households to participate in the </w:t>
      </w:r>
      <w:r w:rsidR="002E20B2">
        <w:rPr>
          <w:szCs w:val="24"/>
        </w:rPr>
        <w:t>Field Test</w:t>
      </w:r>
      <w:r w:rsidRPr="003C1795" w:rsidR="003E50E3">
        <w:rPr>
          <w:szCs w:val="24"/>
        </w:rPr>
        <w:t xml:space="preserve">. </w:t>
      </w:r>
      <w:r w:rsidRPr="003C1795">
        <w:rPr>
          <w:szCs w:val="24"/>
        </w:rPr>
        <w:t xml:space="preserve">The </w:t>
      </w:r>
      <w:r w:rsidR="002E20B2">
        <w:rPr>
          <w:szCs w:val="24"/>
        </w:rPr>
        <w:t>Field Test</w:t>
      </w:r>
      <w:r w:rsidRPr="003C1795" w:rsidR="002E20B2">
        <w:rPr>
          <w:szCs w:val="24"/>
        </w:rPr>
        <w:t xml:space="preserve"> </w:t>
      </w:r>
      <w:r w:rsidRPr="003C1795" w:rsidR="003E50E3">
        <w:rPr>
          <w:szCs w:val="24"/>
        </w:rPr>
        <w:t xml:space="preserve">targets four groups of households based on </w:t>
      </w:r>
      <w:r w:rsidRPr="003C1795" w:rsidR="009B2467">
        <w:rPr>
          <w:szCs w:val="24"/>
        </w:rPr>
        <w:t>whether</w:t>
      </w:r>
      <w:r w:rsidRPr="003C1795" w:rsidR="003E50E3">
        <w:rPr>
          <w:szCs w:val="24"/>
        </w:rPr>
        <w:t xml:space="preserve"> they participate in SNAP</w:t>
      </w:r>
      <w:r w:rsidR="00880632">
        <w:rPr>
          <w:szCs w:val="24"/>
        </w:rPr>
        <w:t xml:space="preserve"> or </w:t>
      </w:r>
      <w:r w:rsidRPr="003C1795" w:rsidR="00F843C3">
        <w:rPr>
          <w:szCs w:val="24"/>
        </w:rPr>
        <w:t>WIC</w:t>
      </w:r>
      <w:r w:rsidR="00A60ECD">
        <w:rPr>
          <w:szCs w:val="24"/>
        </w:rPr>
        <w:t>,</w:t>
      </w:r>
      <w:r w:rsidRPr="003C1795" w:rsidR="003E50E3">
        <w:rPr>
          <w:szCs w:val="24"/>
        </w:rPr>
        <w:t xml:space="preserve"> and their income level relative to the Federal Poverty Guidelines. The household screener contains questions on the </w:t>
      </w:r>
      <w:r w:rsidRPr="003C1795" w:rsidR="00344B5B">
        <w:rPr>
          <w:szCs w:val="24"/>
        </w:rPr>
        <w:t xml:space="preserve">household’s </w:t>
      </w:r>
      <w:r w:rsidRPr="003C1795" w:rsidR="003E50E3">
        <w:rPr>
          <w:szCs w:val="24"/>
        </w:rPr>
        <w:t xml:space="preserve">participation in SNAP, </w:t>
      </w:r>
      <w:r w:rsidRPr="003C1795" w:rsidR="00F843C3">
        <w:rPr>
          <w:szCs w:val="24"/>
        </w:rPr>
        <w:t xml:space="preserve">WIC, </w:t>
      </w:r>
      <w:r w:rsidRPr="003C1795" w:rsidR="003E50E3">
        <w:rPr>
          <w:szCs w:val="24"/>
        </w:rPr>
        <w:t xml:space="preserve">household size, and total household income to appropriately categorize and </w:t>
      </w:r>
      <w:r w:rsidRPr="003C1795" w:rsidR="00344B5B">
        <w:rPr>
          <w:szCs w:val="24"/>
        </w:rPr>
        <w:t>determine survey eligibility</w:t>
      </w:r>
      <w:r w:rsidRPr="003C1795" w:rsidR="003E50E3">
        <w:rPr>
          <w:szCs w:val="24"/>
        </w:rPr>
        <w:t>. SNAP</w:t>
      </w:r>
      <w:r w:rsidRPr="003C1795" w:rsidR="00F843C3">
        <w:rPr>
          <w:szCs w:val="24"/>
        </w:rPr>
        <w:t>, WIC,</w:t>
      </w:r>
      <w:r w:rsidRPr="003C1795" w:rsidR="003E50E3">
        <w:rPr>
          <w:szCs w:val="24"/>
        </w:rPr>
        <w:t xml:space="preserve"> and </w:t>
      </w:r>
      <w:r w:rsidRPr="003C1795" w:rsidR="00344B5B">
        <w:rPr>
          <w:szCs w:val="24"/>
        </w:rPr>
        <w:t xml:space="preserve">low-income </w:t>
      </w:r>
      <w:r w:rsidRPr="003C1795" w:rsidR="003E50E3">
        <w:rPr>
          <w:szCs w:val="24"/>
        </w:rPr>
        <w:t>households are over-sampled using the screener information. A second purpose for collecting income information is for analysis</w:t>
      </w:r>
      <w:r w:rsidRPr="003C1795" w:rsidR="00344B5B">
        <w:rPr>
          <w:szCs w:val="24"/>
        </w:rPr>
        <w:t xml:space="preserve"> of food demand</w:t>
      </w:r>
      <w:r w:rsidRPr="003C1795" w:rsidR="003E50E3">
        <w:rPr>
          <w:szCs w:val="24"/>
        </w:rPr>
        <w:t xml:space="preserve">. The amount of income available to household members is critical for understanding how much food a household purchases. A significant amount of detail is necessary for creating </w:t>
      </w:r>
      <w:r w:rsidRPr="003C1795" w:rsidR="00344B5B">
        <w:rPr>
          <w:szCs w:val="24"/>
        </w:rPr>
        <w:t>a complete and accurate</w:t>
      </w:r>
      <w:r w:rsidRPr="003C1795" w:rsidR="003E50E3">
        <w:rPr>
          <w:szCs w:val="24"/>
        </w:rPr>
        <w:t xml:space="preserve"> measure of household income. </w:t>
      </w:r>
      <w:r w:rsidRPr="008320A9" w:rsidR="003E50E3">
        <w:rPr>
          <w:szCs w:val="24"/>
        </w:rPr>
        <w:t>Hence, the income questions ask respondents</w:t>
      </w:r>
      <w:r w:rsidRPr="008320A9" w:rsidR="00FF13A0">
        <w:rPr>
          <w:szCs w:val="24"/>
        </w:rPr>
        <w:t xml:space="preserve"> who are </w:t>
      </w:r>
      <w:r w:rsidRPr="008320A9" w:rsidR="00A77390">
        <w:rPr>
          <w:szCs w:val="24"/>
        </w:rPr>
        <w:t xml:space="preserve">16 years </w:t>
      </w:r>
      <w:r w:rsidR="009B2467">
        <w:rPr>
          <w:szCs w:val="24"/>
        </w:rPr>
        <w:t xml:space="preserve">of age </w:t>
      </w:r>
      <w:r w:rsidRPr="008320A9" w:rsidR="00A77390">
        <w:rPr>
          <w:szCs w:val="24"/>
        </w:rPr>
        <w:t>or older</w:t>
      </w:r>
      <w:r w:rsidRPr="008320A9" w:rsidR="003E50E3">
        <w:rPr>
          <w:szCs w:val="24"/>
        </w:rPr>
        <w:t xml:space="preserve"> to report income amounts within detailed categories. The respondent is asked about income during the data collection week to help </w:t>
      </w:r>
      <w:r w:rsidRPr="008320A9" w:rsidR="00202A08">
        <w:rPr>
          <w:szCs w:val="24"/>
        </w:rPr>
        <w:t>compile total household income</w:t>
      </w:r>
      <w:r w:rsidRPr="008320A9" w:rsidR="00880632">
        <w:rPr>
          <w:szCs w:val="24"/>
        </w:rPr>
        <w:t>,</w:t>
      </w:r>
      <w:r w:rsidRPr="008320A9" w:rsidR="00202A08">
        <w:rPr>
          <w:szCs w:val="24"/>
        </w:rPr>
        <w:t xml:space="preserve"> which is then confirmed </w:t>
      </w:r>
      <w:r w:rsidRPr="008320A9" w:rsidR="003E50E3">
        <w:rPr>
          <w:szCs w:val="24"/>
        </w:rPr>
        <w:t>during the final interview.</w:t>
      </w:r>
    </w:p>
    <w:p w:rsidRPr="008320A9" w:rsidR="00A77390" w:rsidP="003E50E3" w:rsidRDefault="00A77390" w14:paraId="4C5D8EDF" w14:textId="77777777">
      <w:pPr>
        <w:pStyle w:val="L1-FlLSp12"/>
        <w:rPr>
          <w:szCs w:val="24"/>
        </w:rPr>
      </w:pPr>
    </w:p>
    <w:p w:rsidRPr="008320A9" w:rsidR="005F2B3F" w:rsidP="005F2B3F" w:rsidRDefault="005F2B3F" w14:paraId="7F95EF2A" w14:textId="77777777">
      <w:pPr>
        <w:pStyle w:val="L1-FlLSp12"/>
        <w:rPr>
          <w:szCs w:val="24"/>
        </w:rPr>
      </w:pPr>
      <w:r w:rsidRPr="008320A9">
        <w:rPr>
          <w:szCs w:val="24"/>
        </w:rPr>
        <w:t>Primary respondents who report that somebody in the household is receiving SNAP will be asked for their EBT card number.</w:t>
      </w:r>
      <w:r w:rsidRPr="008320A9">
        <w:rPr>
          <w:rStyle w:val="FootnoteReference"/>
          <w:szCs w:val="24"/>
        </w:rPr>
        <w:footnoteReference w:id="24"/>
      </w:r>
      <w:r w:rsidRPr="008320A9">
        <w:rPr>
          <w:szCs w:val="24"/>
        </w:rPr>
        <w:t xml:space="preserve"> Having such information is expected to dramatically improve the matching of administrative records to survey data, a process that was sometimes quite difficult or impossible in FoodAPS-1. The consent form asks specifically about matching respondent information to administrative data. Although matching to administrative data will not be done for the Field Test, it is planned for the full survey. The question about EBT card number is included in the Field Test to get a better understanding of whether respondents know their EBT card number and are willing to provide it.</w:t>
      </w:r>
    </w:p>
    <w:p w:rsidRPr="00A32F38" w:rsidR="005F2B3F" w:rsidP="005F2B3F" w:rsidRDefault="005F2B3F" w14:paraId="360519BE" w14:textId="77777777">
      <w:pPr>
        <w:pStyle w:val="L1-FlLSp12"/>
        <w:rPr>
          <w:color w:val="808080" w:themeColor="background1" w:themeShade="80"/>
          <w:szCs w:val="24"/>
        </w:rPr>
      </w:pPr>
    </w:p>
    <w:p w:rsidRPr="003C1795" w:rsidR="00B85E01" w:rsidP="003E50E3" w:rsidRDefault="00A77390" w14:paraId="3C3EE3B1" w14:textId="5DA74929">
      <w:pPr>
        <w:pStyle w:val="L1-FlLSp12"/>
        <w:rPr>
          <w:szCs w:val="24"/>
        </w:rPr>
      </w:pPr>
      <w:r w:rsidRPr="003C1795">
        <w:rPr>
          <w:szCs w:val="24"/>
        </w:rPr>
        <w:t>P</w:t>
      </w:r>
      <w:r w:rsidRPr="003C1795" w:rsidR="00B85E01">
        <w:rPr>
          <w:szCs w:val="24"/>
        </w:rPr>
        <w:t>articipation in</w:t>
      </w:r>
      <w:r w:rsidR="00520D35">
        <w:rPr>
          <w:szCs w:val="24"/>
        </w:rPr>
        <w:t xml:space="preserve"> the</w:t>
      </w:r>
      <w:r w:rsidRPr="003C1795" w:rsidR="00B85E01">
        <w:rPr>
          <w:szCs w:val="24"/>
        </w:rPr>
        <w:t xml:space="preserve"> </w:t>
      </w:r>
      <w:r w:rsidRPr="003C1795" w:rsidR="00F843C3">
        <w:rPr>
          <w:szCs w:val="24"/>
        </w:rPr>
        <w:t>FoodAPS-2</w:t>
      </w:r>
      <w:r w:rsidRPr="003C1795" w:rsidR="00B85E01">
        <w:rPr>
          <w:szCs w:val="24"/>
        </w:rPr>
        <w:t xml:space="preserve"> </w:t>
      </w:r>
      <w:r w:rsidR="00520D35">
        <w:rPr>
          <w:szCs w:val="24"/>
        </w:rPr>
        <w:t xml:space="preserve">Field Test </w:t>
      </w:r>
      <w:r w:rsidRPr="003C1795" w:rsidR="00B85E01">
        <w:rPr>
          <w:szCs w:val="24"/>
        </w:rPr>
        <w:t>is voluntary</w:t>
      </w:r>
      <w:r w:rsidR="00880632">
        <w:rPr>
          <w:szCs w:val="24"/>
        </w:rPr>
        <w:t>,</w:t>
      </w:r>
      <w:r w:rsidRPr="003C1795" w:rsidR="00B85E01">
        <w:rPr>
          <w:szCs w:val="24"/>
        </w:rPr>
        <w:t xml:space="preserve"> and participants can choose not to answer any of these </w:t>
      </w:r>
      <w:r w:rsidRPr="003C1795" w:rsidR="00202A08">
        <w:rPr>
          <w:szCs w:val="24"/>
        </w:rPr>
        <w:t xml:space="preserve">income questions </w:t>
      </w:r>
      <w:r w:rsidRPr="003C1795" w:rsidR="00B85E01">
        <w:rPr>
          <w:szCs w:val="24"/>
        </w:rPr>
        <w:t>or any other questions.</w:t>
      </w:r>
    </w:p>
    <w:p w:rsidRPr="003C1795" w:rsidR="0047782E" w:rsidP="00271489" w:rsidRDefault="0047782E" w14:paraId="53B1DF9B" w14:textId="77777777">
      <w:pPr>
        <w:pStyle w:val="L1-FlLSp12"/>
        <w:rPr>
          <w:szCs w:val="24"/>
        </w:rPr>
      </w:pPr>
    </w:p>
    <w:p w:rsidRPr="003702B9" w:rsidR="00271489" w:rsidP="00271489" w:rsidRDefault="00271489" w14:paraId="69DC2322" w14:textId="546A94C4">
      <w:pPr>
        <w:pStyle w:val="Heading2"/>
      </w:pPr>
      <w:bookmarkStart w:name="_Toc329341685" w:id="135"/>
      <w:bookmarkStart w:name="_Toc400376148" w:id="136"/>
      <w:bookmarkStart w:name="_Toc514067607" w:id="137"/>
      <w:bookmarkStart w:name="_Toc93499539" w:id="138"/>
      <w:r w:rsidRPr="003702B9">
        <w:t>A.12</w:t>
      </w:r>
      <w:r w:rsidRPr="003702B9">
        <w:tab/>
        <w:t>Estimates of Respondent Burden Including Annualized Hourly Cost</w:t>
      </w:r>
      <w:bookmarkEnd w:id="135"/>
      <w:bookmarkEnd w:id="136"/>
      <w:r w:rsidRPr="003702B9">
        <w:t>s</w:t>
      </w:r>
      <w:bookmarkEnd w:id="137"/>
      <w:bookmarkEnd w:id="138"/>
    </w:p>
    <w:p w:rsidRPr="006510C8" w:rsidR="00271489" w:rsidP="00271489" w:rsidRDefault="00271489" w14:paraId="3D3CC9C9" w14:textId="77777777">
      <w:pPr>
        <w:pStyle w:val="L1-FlLSp12"/>
        <w:rPr>
          <w:b/>
        </w:rPr>
      </w:pPr>
      <w:bookmarkStart w:name="_Toc400376149" w:id="139"/>
      <w:r w:rsidRPr="006510C8">
        <w:rPr>
          <w:b/>
        </w:rPr>
        <w:t>Provide estimates of the hour burden of the collection of information. The statement should:</w:t>
      </w:r>
      <w:bookmarkEnd w:id="139"/>
    </w:p>
    <w:p w:rsidRPr="006510C8" w:rsidR="00271489" w:rsidP="00271489" w:rsidRDefault="00271489" w14:paraId="6015F637" w14:textId="77777777">
      <w:pPr>
        <w:pStyle w:val="L1-FlLSp12"/>
        <w:rPr>
          <w:b/>
        </w:rPr>
      </w:pPr>
    </w:p>
    <w:p w:rsidRPr="006510C8" w:rsidR="00271489" w:rsidP="0047782E" w:rsidRDefault="00271489" w14:paraId="45937FC9" w14:textId="77777777">
      <w:pPr>
        <w:pStyle w:val="N1-1stBullet"/>
        <w:rPr>
          <w:b/>
        </w:rPr>
      </w:pPr>
      <w:bookmarkStart w:name="_Toc315090023" w:id="140"/>
      <w:bookmarkStart w:name="_Toc316652495" w:id="141"/>
      <w:bookmarkStart w:name="_Toc325472122" w:id="142"/>
      <w:bookmarkStart w:name="_Toc325552296" w:id="143"/>
      <w:bookmarkStart w:name="_Toc400376150" w:id="144"/>
      <w:r w:rsidRPr="006510C8">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40"/>
      <w:bookmarkEnd w:id="141"/>
      <w:bookmarkEnd w:id="142"/>
      <w:bookmarkEnd w:id="143"/>
      <w:bookmarkEnd w:id="144"/>
    </w:p>
    <w:p w:rsidRPr="006510C8" w:rsidR="00271489" w:rsidP="0047782E" w:rsidRDefault="00271489" w14:paraId="469A19C3" w14:textId="77777777">
      <w:pPr>
        <w:pStyle w:val="N1-1stBullet"/>
        <w:rPr>
          <w:b/>
        </w:rPr>
      </w:pPr>
      <w:bookmarkStart w:name="_Toc400376151" w:id="145"/>
      <w:r w:rsidRPr="006510C8">
        <w:rPr>
          <w:b/>
        </w:rPr>
        <w:t xml:space="preserve">Provide estimates of </w:t>
      </w:r>
      <w:r w:rsidRPr="00625FC8">
        <w:rPr>
          <w:b/>
        </w:rPr>
        <w:t>annualized cost to respondents</w:t>
      </w:r>
      <w:r w:rsidRPr="006510C8">
        <w:rPr>
          <w:b/>
        </w:rPr>
        <w:t xml:space="preserve"> for the hour burdens for collections of information, identifying and using appropriate wage rate categories</w:t>
      </w:r>
      <w:bookmarkEnd w:id="145"/>
      <w:r w:rsidRPr="006510C8">
        <w:rPr>
          <w:b/>
        </w:rPr>
        <w:t>.</w:t>
      </w:r>
    </w:p>
    <w:p w:rsidRPr="00344B5B" w:rsidR="005F7D5D" w:rsidP="005F7D5D" w:rsidRDefault="00E708FE" w14:paraId="20DB1C38" w14:textId="32E60362">
      <w:pPr>
        <w:pStyle w:val="L1-FlLSp12"/>
      </w:pPr>
      <w:bookmarkStart w:name="_Hlk74663265" w:id="146"/>
      <w:r w:rsidRPr="00344B5B">
        <w:t xml:space="preserve">The completed </w:t>
      </w:r>
      <w:r>
        <w:t xml:space="preserve">OMB Form 83-I is </w:t>
      </w:r>
      <w:r w:rsidRPr="00C4728B">
        <w:t xml:space="preserve">in </w:t>
      </w:r>
      <w:r w:rsidRPr="00C4728B" w:rsidR="005F2B3F">
        <w:t>Attachment</w:t>
      </w:r>
      <w:r w:rsidRPr="00C4728B" w:rsidR="00B436EB">
        <w:t xml:space="preserve"> </w:t>
      </w:r>
      <w:r w:rsidRPr="00C4728B" w:rsidR="004E74AD">
        <w:t>P</w:t>
      </w:r>
      <w:r w:rsidRPr="005F2B3F">
        <w:t>.</w:t>
      </w:r>
      <w:bookmarkEnd w:id="146"/>
    </w:p>
    <w:p w:rsidRPr="00CF5B45" w:rsidR="00E708FE" w:rsidP="005F7D5D" w:rsidRDefault="00E708FE" w14:paraId="10D643AC" w14:textId="77777777">
      <w:pPr>
        <w:pStyle w:val="L1-FlLSp12"/>
        <w:rPr>
          <w:szCs w:val="24"/>
        </w:rPr>
      </w:pPr>
    </w:p>
    <w:p w:rsidRPr="008320A9" w:rsidR="005F2B3F" w:rsidP="005F2B3F" w:rsidRDefault="00271489" w14:paraId="1B70F011" w14:textId="18CB1D61">
      <w:pPr>
        <w:pStyle w:val="L1-FlLSp12"/>
        <w:rPr>
          <w:szCs w:val="24"/>
        </w:rPr>
      </w:pPr>
      <w:r w:rsidRPr="00CF5B45">
        <w:rPr>
          <w:szCs w:val="24"/>
        </w:rPr>
        <w:t xml:space="preserve">Table </w:t>
      </w:r>
      <w:r w:rsidRPr="00CF5B45" w:rsidR="0036034F">
        <w:rPr>
          <w:szCs w:val="24"/>
        </w:rPr>
        <w:t>A.</w:t>
      </w:r>
      <w:r w:rsidR="008E2024">
        <w:rPr>
          <w:szCs w:val="24"/>
        </w:rPr>
        <w:t>8</w:t>
      </w:r>
      <w:r w:rsidRPr="00CF5B45">
        <w:rPr>
          <w:szCs w:val="24"/>
        </w:rPr>
        <w:t xml:space="preserve"> presents the </w:t>
      </w:r>
      <w:r w:rsidRPr="00CF5B45" w:rsidR="000A7A91">
        <w:rPr>
          <w:szCs w:val="24"/>
        </w:rPr>
        <w:t xml:space="preserve">sample size, annual frequency of response, reporting burden for responders and </w:t>
      </w:r>
      <w:r w:rsidRPr="00CF5B45" w:rsidR="004B1F93">
        <w:rPr>
          <w:szCs w:val="24"/>
        </w:rPr>
        <w:t>non-responders</w:t>
      </w:r>
      <w:r w:rsidRPr="00CF5B45" w:rsidR="000A7A91">
        <w:rPr>
          <w:szCs w:val="24"/>
        </w:rPr>
        <w:t>, hourly rate and the annualized cost to respondents</w:t>
      </w:r>
      <w:r w:rsidRPr="00CF5B45" w:rsidR="00B436EB">
        <w:rPr>
          <w:szCs w:val="24"/>
        </w:rPr>
        <w:t xml:space="preserve"> for the Field Test</w:t>
      </w:r>
      <w:r w:rsidRPr="008320A9" w:rsidR="00B436EB">
        <w:rPr>
          <w:szCs w:val="24"/>
        </w:rPr>
        <w:t>.</w:t>
      </w:r>
      <w:r w:rsidRPr="008320A9" w:rsidR="005F2B3F">
        <w:rPr>
          <w:szCs w:val="24"/>
        </w:rPr>
        <w:t xml:space="preserve"> The total respondent burden associated with participation in the FoodAPS-2 Field Test is estimated to be </w:t>
      </w:r>
      <w:r w:rsidRPr="002A1690" w:rsidR="006823E3">
        <w:rPr>
          <w:szCs w:val="24"/>
        </w:rPr>
        <w:t>3,</w:t>
      </w:r>
      <w:r w:rsidRPr="00092880" w:rsidR="002A1690">
        <w:rPr>
          <w:szCs w:val="24"/>
        </w:rPr>
        <w:t>2</w:t>
      </w:r>
      <w:r w:rsidR="009719B0">
        <w:rPr>
          <w:szCs w:val="24"/>
        </w:rPr>
        <w:t>1</w:t>
      </w:r>
      <w:r w:rsidRPr="00092880" w:rsidR="002A1690">
        <w:rPr>
          <w:szCs w:val="24"/>
        </w:rPr>
        <w:t>1</w:t>
      </w:r>
      <w:r w:rsidRPr="002A1690" w:rsidR="006823E3">
        <w:rPr>
          <w:szCs w:val="24"/>
        </w:rPr>
        <w:t xml:space="preserve"> </w:t>
      </w:r>
      <w:r w:rsidRPr="002A1690" w:rsidR="005F2B3F">
        <w:rPr>
          <w:szCs w:val="24"/>
        </w:rPr>
        <w:t>hours.</w:t>
      </w:r>
      <w:r w:rsidRPr="008320A9" w:rsidR="005F2B3F">
        <w:rPr>
          <w:szCs w:val="24"/>
        </w:rPr>
        <w:t xml:space="preserve">  </w:t>
      </w:r>
    </w:p>
    <w:p w:rsidRPr="00CF5B45" w:rsidR="000A7A91" w:rsidP="00271489" w:rsidRDefault="000A7A91" w14:paraId="154302FA" w14:textId="77777777">
      <w:pPr>
        <w:pStyle w:val="L1-FlLSp12"/>
        <w:rPr>
          <w:szCs w:val="24"/>
        </w:rPr>
      </w:pPr>
    </w:p>
    <w:p w:rsidRPr="00CF5B45" w:rsidR="00656414" w:rsidP="00656414" w:rsidRDefault="00656414" w14:paraId="46D5FE4C" w14:textId="77777777">
      <w:pPr>
        <w:pStyle w:val="L1-FlLSp12"/>
        <w:rPr>
          <w:b/>
          <w:szCs w:val="24"/>
          <w:u w:val="single"/>
        </w:rPr>
      </w:pPr>
      <w:r w:rsidRPr="00CF5B45">
        <w:rPr>
          <w:b/>
          <w:szCs w:val="24"/>
          <w:u w:val="single"/>
        </w:rPr>
        <w:t>Explanation of Burden Hours Computation</w:t>
      </w:r>
    </w:p>
    <w:p w:rsidRPr="00CF5B45" w:rsidR="00656414" w:rsidP="00656414" w:rsidRDefault="00656414" w14:paraId="1A897C68" w14:textId="77777777">
      <w:pPr>
        <w:pStyle w:val="L1-FlLSp12"/>
        <w:rPr>
          <w:b/>
          <w:szCs w:val="24"/>
        </w:rPr>
      </w:pPr>
    </w:p>
    <w:p w:rsidRPr="00CF5B45" w:rsidR="005A76DB" w:rsidP="00656414" w:rsidRDefault="005A76DB" w14:paraId="2776709C" w14:textId="1C8B87B2">
      <w:pPr>
        <w:pStyle w:val="L1-FlLSp12"/>
        <w:rPr>
          <w:szCs w:val="24"/>
        </w:rPr>
      </w:pPr>
      <w:r w:rsidRPr="00CF5B45">
        <w:rPr>
          <w:szCs w:val="24"/>
        </w:rPr>
        <w:t>For some of the planned d</w:t>
      </w:r>
      <w:r w:rsidRPr="00CF5B45" w:rsidR="00972954">
        <w:rPr>
          <w:szCs w:val="24"/>
        </w:rPr>
        <w:t xml:space="preserve">ata collection activities in </w:t>
      </w:r>
      <w:r w:rsidR="002700B1">
        <w:rPr>
          <w:szCs w:val="24"/>
        </w:rPr>
        <w:t xml:space="preserve">the </w:t>
      </w:r>
      <w:r w:rsidRPr="00CF5B45" w:rsidR="00972954">
        <w:rPr>
          <w:szCs w:val="24"/>
        </w:rPr>
        <w:t>FoodAPS-2</w:t>
      </w:r>
      <w:r w:rsidR="002700B1">
        <w:rPr>
          <w:szCs w:val="24"/>
        </w:rPr>
        <w:t xml:space="preserve"> Field Test</w:t>
      </w:r>
      <w:r w:rsidRPr="00CF5B45">
        <w:rPr>
          <w:szCs w:val="24"/>
        </w:rPr>
        <w:t>, a single person in each household will be responding. For other data collection activities, there will be multiple respondents per household. T</w:t>
      </w:r>
      <w:r w:rsidRPr="00CF5B45" w:rsidR="00972954">
        <w:rPr>
          <w:szCs w:val="24"/>
        </w:rPr>
        <w:t>he t</w:t>
      </w:r>
      <w:r w:rsidRPr="00CF5B45">
        <w:rPr>
          <w:szCs w:val="24"/>
        </w:rPr>
        <w:t>able</w:t>
      </w:r>
      <w:r w:rsidRPr="00CF5B45" w:rsidR="00972954">
        <w:rPr>
          <w:szCs w:val="24"/>
        </w:rPr>
        <w:t xml:space="preserve">s are </w:t>
      </w:r>
      <w:r w:rsidRPr="00CF5B45">
        <w:rPr>
          <w:szCs w:val="24"/>
        </w:rPr>
        <w:t xml:space="preserve">divided into data collection </w:t>
      </w:r>
      <w:r w:rsidRPr="00CF5B45" w:rsidR="003E2ECD">
        <w:rPr>
          <w:szCs w:val="24"/>
        </w:rPr>
        <w:t>events</w:t>
      </w:r>
      <w:r w:rsidRPr="00CF5B45">
        <w:rPr>
          <w:szCs w:val="24"/>
        </w:rPr>
        <w:t xml:space="preserve"> by household level (top) and individual level (bottom)</w:t>
      </w:r>
      <w:r w:rsidRPr="00CF5B45" w:rsidR="00EF71E8">
        <w:rPr>
          <w:szCs w:val="24"/>
        </w:rPr>
        <w:t>. The individual-level section of the table is further divided by age to reflect different forms and assumptions about each age group.</w:t>
      </w:r>
    </w:p>
    <w:p w:rsidRPr="008320A9" w:rsidR="00EF71E8" w:rsidP="00656414" w:rsidRDefault="00EF71E8" w14:paraId="05CAC773" w14:textId="77777777">
      <w:pPr>
        <w:pStyle w:val="L1-FlLSp12"/>
        <w:rPr>
          <w:szCs w:val="24"/>
        </w:rPr>
      </w:pPr>
    </w:p>
    <w:p w:rsidRPr="00A32F38" w:rsidR="005F2B3F" w:rsidP="005F2B3F" w:rsidRDefault="005F2B3F" w14:paraId="121DFEEA" w14:textId="0297BE07">
      <w:pPr>
        <w:pStyle w:val="L1-FlLSp12"/>
        <w:rPr>
          <w:color w:val="808080" w:themeColor="background1" w:themeShade="80"/>
          <w:szCs w:val="24"/>
        </w:rPr>
      </w:pPr>
      <w:r w:rsidRPr="008320A9">
        <w:rPr>
          <w:szCs w:val="24"/>
        </w:rPr>
        <w:t xml:space="preserve">Individuals responding to the food log portion of the Field Test—including the Profile Questionnaire and Income </w:t>
      </w:r>
      <w:r w:rsidR="001715BC">
        <w:rPr>
          <w:szCs w:val="24"/>
        </w:rPr>
        <w:t>Questionnaire</w:t>
      </w:r>
      <w:r w:rsidRPr="008320A9">
        <w:rPr>
          <w:szCs w:val="24"/>
        </w:rPr>
        <w:t xml:space="preserve">—will be offered use of the FoodLogger app. For those who do not wish to use the app, they may enter data on the NFS website. Any household in which the PR is uncomfortable using either a smartphone or a computer to enter information will be contacted by a telephone interviewer who will offer to collect all data via three phone interviews with the PR during the fielding week. While speaking with the PR, the telephone interviewer will be entering the reported information using the NFS website. Thus, all three modes of data collection are designed to collect the same information. </w:t>
      </w:r>
      <w:r w:rsidRPr="00CF154F">
        <w:rPr>
          <w:szCs w:val="24"/>
        </w:rPr>
        <w:t xml:space="preserve">Based on what was learned during the </w:t>
      </w:r>
      <w:r w:rsidRPr="00CF154F" w:rsidR="00D03C57">
        <w:rPr>
          <w:szCs w:val="24"/>
        </w:rPr>
        <w:t xml:space="preserve">2016 </w:t>
      </w:r>
      <w:r w:rsidRPr="00CF154F">
        <w:rPr>
          <w:szCs w:val="24"/>
        </w:rPr>
        <w:t>ADCM</w:t>
      </w:r>
      <w:r w:rsidRPr="00CF154F" w:rsidR="00A162DB">
        <w:rPr>
          <w:szCs w:val="24"/>
        </w:rPr>
        <w:t xml:space="preserve"> </w:t>
      </w:r>
      <w:r w:rsidRPr="00CF154F">
        <w:rPr>
          <w:szCs w:val="24"/>
        </w:rPr>
        <w:t>Pilot, we anticipate that about 25 percent of household members will prefer to enter data using the website and about 73.5 percent will use the FoodLogger</w:t>
      </w:r>
      <w:r w:rsidRPr="00CF154F" w:rsidR="006823E3">
        <w:rPr>
          <w:szCs w:val="24"/>
        </w:rPr>
        <w:t xml:space="preserve"> app</w:t>
      </w:r>
      <w:r w:rsidRPr="00CF154F">
        <w:rPr>
          <w:szCs w:val="24"/>
        </w:rPr>
        <w:t>. The remaining 1.5 percent will not want to use either technology and will use the telephone interviews to report the needed information for all household members.</w:t>
      </w:r>
    </w:p>
    <w:p w:rsidRPr="00A32F38" w:rsidR="005F2B3F" w:rsidP="005F2B3F" w:rsidRDefault="005F2B3F" w14:paraId="23C91A5F" w14:textId="77777777">
      <w:pPr>
        <w:pStyle w:val="L1-FlLSp12"/>
        <w:rPr>
          <w:color w:val="808080" w:themeColor="background1" w:themeShade="80"/>
          <w:szCs w:val="24"/>
        </w:rPr>
      </w:pPr>
    </w:p>
    <w:p w:rsidR="005A4AE5" w:rsidP="005A4AE5" w:rsidRDefault="00656414" w14:paraId="4F5231C9" w14:textId="23023351">
      <w:pPr>
        <w:pStyle w:val="L1-FlLSp12"/>
        <w:rPr>
          <w:szCs w:val="24"/>
        </w:rPr>
      </w:pPr>
      <w:r w:rsidRPr="00CF5B45">
        <w:rPr>
          <w:szCs w:val="24"/>
        </w:rPr>
        <w:t>In calculating response burden</w:t>
      </w:r>
      <w:r w:rsidR="00C95EBC">
        <w:rPr>
          <w:szCs w:val="24"/>
        </w:rPr>
        <w:t xml:space="preserve"> for the </w:t>
      </w:r>
      <w:r w:rsidR="002700B1">
        <w:rPr>
          <w:szCs w:val="24"/>
        </w:rPr>
        <w:t>Field Test</w:t>
      </w:r>
      <w:r w:rsidRPr="00CF5B45">
        <w:rPr>
          <w:szCs w:val="24"/>
        </w:rPr>
        <w:t xml:space="preserve">, average household size </w:t>
      </w:r>
      <w:r w:rsidR="002700B1">
        <w:rPr>
          <w:szCs w:val="24"/>
        </w:rPr>
        <w:t>i</w:t>
      </w:r>
      <w:r w:rsidRPr="00CF5B45">
        <w:rPr>
          <w:szCs w:val="24"/>
        </w:rPr>
        <w:t xml:space="preserve">s estimated </w:t>
      </w:r>
      <w:r w:rsidR="002700B1">
        <w:rPr>
          <w:szCs w:val="24"/>
        </w:rPr>
        <w:t xml:space="preserve">as </w:t>
      </w:r>
      <w:r w:rsidR="00C95EBC">
        <w:rPr>
          <w:szCs w:val="24"/>
        </w:rPr>
        <w:t xml:space="preserve">2.99 </w:t>
      </w:r>
      <w:r w:rsidR="002700B1">
        <w:rPr>
          <w:szCs w:val="24"/>
        </w:rPr>
        <w:t>based on the average household size of respondents i</w:t>
      </w:r>
      <w:r w:rsidR="00C95EBC">
        <w:rPr>
          <w:szCs w:val="24"/>
        </w:rPr>
        <w:t xml:space="preserve">n the </w:t>
      </w:r>
      <w:r w:rsidR="00520D35">
        <w:rPr>
          <w:szCs w:val="24"/>
        </w:rPr>
        <w:t>ADCM</w:t>
      </w:r>
      <w:r w:rsidR="005F2B3F">
        <w:rPr>
          <w:szCs w:val="24"/>
        </w:rPr>
        <w:t xml:space="preserve"> Pilot</w:t>
      </w:r>
      <w:r w:rsidR="00C95EBC">
        <w:rPr>
          <w:szCs w:val="24"/>
        </w:rPr>
        <w:t>.</w:t>
      </w:r>
    </w:p>
    <w:p w:rsidR="000F1BB5" w:rsidP="005A4AE5" w:rsidRDefault="000F1BB5" w14:paraId="1F4CCFE7" w14:textId="77777777">
      <w:pPr>
        <w:pStyle w:val="L1-FlLSp12"/>
        <w:rPr>
          <w:szCs w:val="24"/>
        </w:rPr>
      </w:pPr>
    </w:p>
    <w:p w:rsidR="005F2B3F" w:rsidP="00656414" w:rsidRDefault="00656414" w14:paraId="47702F04" w14:textId="729E0E0D">
      <w:pPr>
        <w:pStyle w:val="L1-FlLSp12"/>
        <w:rPr>
          <w:color w:val="808080" w:themeColor="background1" w:themeShade="80"/>
          <w:szCs w:val="24"/>
        </w:rPr>
      </w:pPr>
      <w:r w:rsidRPr="00852B8F">
        <w:rPr>
          <w:szCs w:val="24"/>
        </w:rPr>
        <w:t xml:space="preserve">All displayed estimates in </w:t>
      </w:r>
      <w:r w:rsidRPr="00852B8F" w:rsidR="004A247A">
        <w:rPr>
          <w:szCs w:val="24"/>
        </w:rPr>
        <w:t>the burden tables</w:t>
      </w:r>
      <w:r w:rsidRPr="00852B8F">
        <w:rPr>
          <w:szCs w:val="24"/>
        </w:rPr>
        <w:t xml:space="preserve"> are rounded to the nearest integer.</w:t>
      </w:r>
      <w:r w:rsidRPr="00852B8F" w:rsidR="006E458B">
        <w:rPr>
          <w:szCs w:val="24"/>
        </w:rPr>
        <w:t xml:space="preserve"> The response rate estimates </w:t>
      </w:r>
      <w:r w:rsidRPr="00852B8F" w:rsidR="00EA2A88">
        <w:rPr>
          <w:szCs w:val="24"/>
        </w:rPr>
        <w:t xml:space="preserve">for the mail screener </w:t>
      </w:r>
      <w:r w:rsidRPr="00852B8F" w:rsidR="006E458B">
        <w:rPr>
          <w:szCs w:val="24"/>
        </w:rPr>
        <w:t xml:space="preserve">are based on </w:t>
      </w:r>
      <w:r w:rsidRPr="00852B8F" w:rsidR="00CC21B6">
        <w:rPr>
          <w:szCs w:val="24"/>
        </w:rPr>
        <w:t>those</w:t>
      </w:r>
      <w:r w:rsidRPr="00852B8F" w:rsidR="006E458B">
        <w:rPr>
          <w:szCs w:val="24"/>
        </w:rPr>
        <w:t xml:space="preserve"> achieved by </w:t>
      </w:r>
      <w:r w:rsidR="00094EC9">
        <w:rPr>
          <w:szCs w:val="24"/>
        </w:rPr>
        <w:t>the</w:t>
      </w:r>
      <w:r w:rsidRPr="00852B8F" w:rsidR="00094EC9">
        <w:rPr>
          <w:szCs w:val="24"/>
        </w:rPr>
        <w:t xml:space="preserve"> </w:t>
      </w:r>
      <w:r w:rsidRPr="00852B8F" w:rsidR="006E458B">
        <w:rPr>
          <w:szCs w:val="24"/>
        </w:rPr>
        <w:t xml:space="preserve">contractor, Westat, on studies using </w:t>
      </w:r>
      <w:r w:rsidRPr="00852B8F" w:rsidR="007A6D81">
        <w:rPr>
          <w:szCs w:val="24"/>
        </w:rPr>
        <w:t xml:space="preserve">data collection </w:t>
      </w:r>
      <w:r w:rsidRPr="00852B8F" w:rsidR="006E458B">
        <w:rPr>
          <w:szCs w:val="24"/>
        </w:rPr>
        <w:t>protocol</w:t>
      </w:r>
      <w:r w:rsidR="00D95E39">
        <w:rPr>
          <w:szCs w:val="24"/>
        </w:rPr>
        <w:t>s</w:t>
      </w:r>
      <w:r w:rsidRPr="00D95E39" w:rsidR="00D95E39">
        <w:rPr>
          <w:szCs w:val="24"/>
        </w:rPr>
        <w:t xml:space="preserve"> </w:t>
      </w:r>
      <w:r w:rsidR="00D95E39">
        <w:rPr>
          <w:szCs w:val="24"/>
        </w:rPr>
        <w:t xml:space="preserve">similar to those planned for </w:t>
      </w:r>
      <w:r w:rsidR="002700B1">
        <w:rPr>
          <w:szCs w:val="24"/>
        </w:rPr>
        <w:t>the Field Test</w:t>
      </w:r>
      <w:r w:rsidR="00D95E39">
        <w:rPr>
          <w:szCs w:val="24"/>
        </w:rPr>
        <w:t>.</w:t>
      </w:r>
      <w:r w:rsidRPr="00852B8F" w:rsidR="00EA2A88">
        <w:rPr>
          <w:szCs w:val="24"/>
        </w:rPr>
        <w:t xml:space="preserve"> Response rates for the in-person screener and other instruments are based on those achieved </w:t>
      </w:r>
      <w:r w:rsidR="00903683">
        <w:rPr>
          <w:szCs w:val="24"/>
        </w:rPr>
        <w:t>i</w:t>
      </w:r>
      <w:r w:rsidRPr="00852B8F" w:rsidR="00EA2A88">
        <w:rPr>
          <w:szCs w:val="24"/>
        </w:rPr>
        <w:t>n</w:t>
      </w:r>
      <w:r w:rsidRPr="00852B8F" w:rsidR="007A6D81">
        <w:rPr>
          <w:szCs w:val="24"/>
        </w:rPr>
        <w:t xml:space="preserve"> </w:t>
      </w:r>
      <w:r w:rsidRPr="00852B8F" w:rsidR="00CC21B6">
        <w:rPr>
          <w:szCs w:val="24"/>
        </w:rPr>
        <w:t xml:space="preserve">the </w:t>
      </w:r>
      <w:r w:rsidR="00520D35">
        <w:rPr>
          <w:szCs w:val="24"/>
        </w:rPr>
        <w:t>ADCM</w:t>
      </w:r>
      <w:r w:rsidRPr="00852B8F" w:rsidR="00A53B40">
        <w:rPr>
          <w:szCs w:val="24"/>
        </w:rPr>
        <w:t xml:space="preserve"> </w:t>
      </w:r>
      <w:r w:rsidR="005F2B3F">
        <w:rPr>
          <w:szCs w:val="24"/>
        </w:rPr>
        <w:t xml:space="preserve">Pilot, </w:t>
      </w:r>
      <w:r w:rsidRPr="00852B8F" w:rsidR="00A53B40">
        <w:rPr>
          <w:szCs w:val="24"/>
        </w:rPr>
        <w:t xml:space="preserve">with </w:t>
      </w:r>
      <w:r w:rsidRPr="00852B8F" w:rsidR="00EA2A88">
        <w:rPr>
          <w:szCs w:val="24"/>
        </w:rPr>
        <w:t xml:space="preserve">adjustments </w:t>
      </w:r>
      <w:r w:rsidR="002B00FB">
        <w:rPr>
          <w:szCs w:val="24"/>
        </w:rPr>
        <w:t>for the</w:t>
      </w:r>
      <w:r w:rsidRPr="00852B8F" w:rsidR="00F00176">
        <w:rPr>
          <w:szCs w:val="24"/>
        </w:rPr>
        <w:t xml:space="preserve"> </w:t>
      </w:r>
      <w:r w:rsidR="002B00FB">
        <w:rPr>
          <w:szCs w:val="24"/>
        </w:rPr>
        <w:t>enhancements</w:t>
      </w:r>
      <w:r w:rsidRPr="00852B8F" w:rsidR="00EA2A88">
        <w:rPr>
          <w:szCs w:val="24"/>
        </w:rPr>
        <w:t xml:space="preserve"> </w:t>
      </w:r>
      <w:r w:rsidR="002B00FB">
        <w:rPr>
          <w:szCs w:val="24"/>
        </w:rPr>
        <w:t>planned</w:t>
      </w:r>
      <w:r w:rsidRPr="00852B8F" w:rsidR="00EA2A88">
        <w:rPr>
          <w:szCs w:val="24"/>
        </w:rPr>
        <w:t xml:space="preserve"> for </w:t>
      </w:r>
      <w:r w:rsidR="002700B1">
        <w:rPr>
          <w:szCs w:val="24"/>
        </w:rPr>
        <w:t xml:space="preserve">data collection </w:t>
      </w:r>
      <w:r w:rsidRPr="008320A9" w:rsidR="002700B1">
        <w:rPr>
          <w:szCs w:val="24"/>
        </w:rPr>
        <w:t>procedures</w:t>
      </w:r>
      <w:r w:rsidRPr="008320A9" w:rsidR="006E458B">
        <w:rPr>
          <w:szCs w:val="24"/>
        </w:rPr>
        <w:t>. Our burden estimates are based on the time it took to complete the ins</w:t>
      </w:r>
      <w:r w:rsidRPr="008320A9" w:rsidR="00A53B40">
        <w:rPr>
          <w:szCs w:val="24"/>
        </w:rPr>
        <w:t xml:space="preserve">truments in the </w:t>
      </w:r>
      <w:r w:rsidRPr="008320A9" w:rsidR="00520D35">
        <w:rPr>
          <w:szCs w:val="24"/>
        </w:rPr>
        <w:t>ADCM</w:t>
      </w:r>
      <w:r w:rsidRPr="008320A9" w:rsidR="00A53B40">
        <w:rPr>
          <w:szCs w:val="24"/>
        </w:rPr>
        <w:t xml:space="preserve"> </w:t>
      </w:r>
      <w:r w:rsidRPr="008320A9" w:rsidR="005F2B3F">
        <w:rPr>
          <w:szCs w:val="24"/>
        </w:rPr>
        <w:t xml:space="preserve">Pilot </w:t>
      </w:r>
      <w:r w:rsidRPr="008320A9" w:rsidR="00A62A96">
        <w:rPr>
          <w:szCs w:val="24"/>
        </w:rPr>
        <w:t xml:space="preserve">with adjustments for new and modified questions </w:t>
      </w:r>
      <w:r w:rsidRPr="008320A9" w:rsidR="005F2B3F">
        <w:rPr>
          <w:szCs w:val="24"/>
        </w:rPr>
        <w:t>based on cognitive and usability testing completed for the Field Test.</w:t>
      </w:r>
    </w:p>
    <w:p w:rsidR="005F2B3F" w:rsidP="00656414" w:rsidRDefault="005F2B3F" w14:paraId="6AF9C437" w14:textId="77777777">
      <w:pPr>
        <w:pStyle w:val="L1-FlLSp12"/>
        <w:rPr>
          <w:color w:val="808080" w:themeColor="background1" w:themeShade="80"/>
          <w:szCs w:val="24"/>
        </w:rPr>
      </w:pPr>
    </w:p>
    <w:p w:rsidR="00656414" w:rsidP="00656414" w:rsidRDefault="00656414" w14:paraId="1CF6449B" w14:textId="77777777">
      <w:pPr>
        <w:pStyle w:val="L1-FlLSp12"/>
        <w:rPr>
          <w:b/>
          <w:szCs w:val="24"/>
        </w:rPr>
      </w:pPr>
      <w:r w:rsidRPr="00852B8F">
        <w:rPr>
          <w:b/>
          <w:szCs w:val="24"/>
        </w:rPr>
        <w:t>Household Level Data Collection</w:t>
      </w:r>
    </w:p>
    <w:p w:rsidRPr="00852B8F" w:rsidR="00852B8F" w:rsidP="00656414" w:rsidRDefault="00852B8F" w14:paraId="2EB2A95A" w14:textId="77777777">
      <w:pPr>
        <w:pStyle w:val="L1-FlLSp12"/>
        <w:rPr>
          <w:b/>
          <w:szCs w:val="24"/>
        </w:rPr>
      </w:pPr>
    </w:p>
    <w:p w:rsidR="00656414" w:rsidP="00852B8F" w:rsidRDefault="00251066" w14:paraId="1717C0A2" w14:textId="48290319">
      <w:pPr>
        <w:pStyle w:val="N1-1stBullet"/>
      </w:pPr>
      <w:bookmarkStart w:name="_Hlk77764780" w:id="147"/>
      <w:r w:rsidRPr="00AC50FF">
        <w:rPr>
          <w:b/>
        </w:rPr>
        <w:t>Mail</w:t>
      </w:r>
      <w:r w:rsidRPr="00AC50FF" w:rsidR="006F17FD">
        <w:rPr>
          <w:b/>
        </w:rPr>
        <w:t>/Web</w:t>
      </w:r>
      <w:r w:rsidRPr="00AC50FF">
        <w:rPr>
          <w:b/>
        </w:rPr>
        <w:t xml:space="preserve"> Scre</w:t>
      </w:r>
      <w:r w:rsidRPr="00AC50FF" w:rsidR="006F17FD">
        <w:rPr>
          <w:b/>
        </w:rPr>
        <w:t>ener</w:t>
      </w:r>
      <w:bookmarkEnd w:id="147"/>
      <w:r w:rsidRPr="00AC50FF">
        <w:rPr>
          <w:b/>
        </w:rPr>
        <w:t>.</w:t>
      </w:r>
      <w:r w:rsidRPr="00A53B40">
        <w:t xml:space="preserve"> </w:t>
      </w:r>
      <w:r w:rsidR="006F17FD">
        <w:t>The screener will be m</w:t>
      </w:r>
      <w:r w:rsidRPr="00A53B40">
        <w:t xml:space="preserve">ailed to </w:t>
      </w:r>
      <w:r w:rsidR="00D26374">
        <w:t>4</w:t>
      </w:r>
      <w:r w:rsidRPr="00A53B40">
        <w:t>,</w:t>
      </w:r>
      <w:r w:rsidR="00D6245E">
        <w:t>125</w:t>
      </w:r>
      <w:r w:rsidRPr="00A53B40" w:rsidR="00656414">
        <w:t xml:space="preserve"> addresses</w:t>
      </w:r>
      <w:r w:rsidRPr="00A53B40">
        <w:t xml:space="preserve"> in three waves</w:t>
      </w:r>
      <w:r w:rsidRPr="00A53B40" w:rsidR="00656414">
        <w:t xml:space="preserve">. </w:t>
      </w:r>
      <w:r w:rsidRPr="008320A9">
        <w:t xml:space="preserve">We estimate an overall </w:t>
      </w:r>
      <w:r w:rsidRPr="008320A9" w:rsidR="00A940EF">
        <w:t>return rate</w:t>
      </w:r>
      <w:r w:rsidRPr="008320A9">
        <w:t xml:space="preserve"> of </w:t>
      </w:r>
      <w:r w:rsidRPr="008320A9" w:rsidR="00D6245E">
        <w:t>2</w:t>
      </w:r>
      <w:r w:rsidRPr="008320A9">
        <w:t xml:space="preserve">0% </w:t>
      </w:r>
      <w:r w:rsidRPr="008320A9" w:rsidR="00A940EF">
        <w:t>across all three mailings. T</w:t>
      </w:r>
      <w:r w:rsidRPr="008320A9">
        <w:t xml:space="preserve">he first mailing </w:t>
      </w:r>
      <w:r w:rsidRPr="008320A9" w:rsidR="006F17FD">
        <w:t>(questionnaire with an advance letter and $</w:t>
      </w:r>
      <w:r w:rsidRPr="008320A9" w:rsidR="00A162DB">
        <w:t>5</w:t>
      </w:r>
      <w:r w:rsidRPr="008320A9" w:rsidR="006F17FD">
        <w:t xml:space="preserve"> cash incentive) </w:t>
      </w:r>
      <w:r w:rsidRPr="008320A9" w:rsidR="00A940EF">
        <w:t xml:space="preserve">will </w:t>
      </w:r>
      <w:r w:rsidRPr="008320A9">
        <w:t>yield</w:t>
      </w:r>
      <w:r w:rsidRPr="008320A9" w:rsidR="00A940EF">
        <w:t xml:space="preserve"> </w:t>
      </w:r>
      <w:r w:rsidRPr="008320A9">
        <w:t>50%</w:t>
      </w:r>
      <w:r w:rsidRPr="008320A9" w:rsidR="00E660E8">
        <w:t xml:space="preserve"> of the </w:t>
      </w:r>
      <w:r w:rsidRPr="008320A9" w:rsidR="00880632">
        <w:t xml:space="preserve">overall expected </w:t>
      </w:r>
      <w:r w:rsidRPr="008320A9" w:rsidR="00E660E8">
        <w:t>return rate</w:t>
      </w:r>
      <w:r w:rsidRPr="008320A9" w:rsidR="00D26374">
        <w:t xml:space="preserve"> of </w:t>
      </w:r>
      <w:r w:rsidRPr="008320A9" w:rsidR="00D6245E">
        <w:t>2</w:t>
      </w:r>
      <w:r w:rsidRPr="008320A9" w:rsidR="00D26374">
        <w:t>0%,</w:t>
      </w:r>
      <w:r w:rsidRPr="008320A9">
        <w:t xml:space="preserve"> the second mailing </w:t>
      </w:r>
      <w:r w:rsidRPr="008320A9" w:rsidR="001062FE">
        <w:t>(questionnaire with an advance letter) to the</w:t>
      </w:r>
      <w:r w:rsidRPr="008320A9" w:rsidR="00E660E8">
        <w:t xml:space="preserve"> </w:t>
      </w:r>
      <w:r w:rsidRPr="008320A9" w:rsidR="000A2C39">
        <w:t>3,</w:t>
      </w:r>
      <w:r w:rsidRPr="008320A9" w:rsidR="00D03C57">
        <w:t>71</w:t>
      </w:r>
      <w:r w:rsidR="00D03C57">
        <w:t xml:space="preserve">2 </w:t>
      </w:r>
      <w:r w:rsidRPr="008320A9" w:rsidR="005E6C04">
        <w:t xml:space="preserve">non-respondents </w:t>
      </w:r>
      <w:r w:rsidRPr="008320A9" w:rsidR="00A940EF">
        <w:t>will yield an additional 3</w:t>
      </w:r>
      <w:r w:rsidRPr="008320A9">
        <w:t>5%</w:t>
      </w:r>
      <w:r w:rsidRPr="008320A9" w:rsidR="001062FE">
        <w:t>,</w:t>
      </w:r>
      <w:r w:rsidRPr="008320A9" w:rsidR="00E660E8">
        <w:t xml:space="preserve"> </w:t>
      </w:r>
      <w:r w:rsidRPr="008320A9">
        <w:t xml:space="preserve">and the last mailing </w:t>
      </w:r>
      <w:r w:rsidRPr="008320A9" w:rsidR="006F17FD">
        <w:t xml:space="preserve">(postcard with an invitation to complete the web version of the screener) </w:t>
      </w:r>
      <w:r w:rsidRPr="008320A9" w:rsidR="005E6C04">
        <w:t>to</w:t>
      </w:r>
      <w:r w:rsidRPr="008320A9">
        <w:t xml:space="preserve"> </w:t>
      </w:r>
      <w:r w:rsidRPr="008320A9" w:rsidR="00D6245E">
        <w:t>3,424</w:t>
      </w:r>
      <w:r w:rsidRPr="008320A9" w:rsidR="005E6C04">
        <w:t xml:space="preserve"> non-responding households</w:t>
      </w:r>
      <w:r w:rsidRPr="008320A9" w:rsidR="004F76E7">
        <w:t xml:space="preserve"> </w:t>
      </w:r>
      <w:r w:rsidRPr="008320A9" w:rsidR="00A940EF">
        <w:t xml:space="preserve">will </w:t>
      </w:r>
      <w:r w:rsidRPr="008320A9" w:rsidR="005E474F">
        <w:t>yield</w:t>
      </w:r>
      <w:r w:rsidRPr="008320A9" w:rsidR="004F76E7">
        <w:t xml:space="preserve"> </w:t>
      </w:r>
      <w:r w:rsidRPr="008320A9" w:rsidR="00A940EF">
        <w:t>an</w:t>
      </w:r>
      <w:r w:rsidRPr="008320A9" w:rsidR="00E660E8">
        <w:t xml:space="preserve"> additional </w:t>
      </w:r>
      <w:r w:rsidRPr="008320A9" w:rsidR="004F76E7">
        <w:t>15%</w:t>
      </w:r>
      <w:r w:rsidRPr="008320A9" w:rsidR="00E660E8">
        <w:t xml:space="preserve"> and </w:t>
      </w:r>
      <w:r w:rsidRPr="008320A9" w:rsidR="00A940EF">
        <w:t>get</w:t>
      </w:r>
      <w:r w:rsidRPr="008320A9" w:rsidR="00E660E8">
        <w:t xml:space="preserve"> us to the </w:t>
      </w:r>
      <w:r w:rsidRPr="008320A9" w:rsidR="00D6245E">
        <w:t>2</w:t>
      </w:r>
      <w:r w:rsidRPr="008320A9" w:rsidR="00E660E8">
        <w:t>0% estimated response rate</w:t>
      </w:r>
      <w:r w:rsidRPr="008320A9" w:rsidR="00A940EF">
        <w:t xml:space="preserve"> for the mail screener</w:t>
      </w:r>
      <w:r w:rsidRPr="008320A9" w:rsidR="00E660E8">
        <w:t>.</w:t>
      </w:r>
      <w:r w:rsidRPr="008320A9" w:rsidR="00A53B40">
        <w:t xml:space="preserve"> </w:t>
      </w:r>
      <w:bookmarkStart w:name="_Hlk77764905" w:id="148"/>
      <w:r w:rsidRPr="008320A9" w:rsidR="00656414">
        <w:t xml:space="preserve">Assuming each </w:t>
      </w:r>
      <w:r w:rsidRPr="008320A9" w:rsidR="00A53B40">
        <w:t>responding household spends an average of 6</w:t>
      </w:r>
      <w:r w:rsidRPr="008320A9" w:rsidR="00656414">
        <w:t xml:space="preserve"> minutes reading the letter</w:t>
      </w:r>
      <w:r w:rsidRPr="008320A9" w:rsidR="000332A2">
        <w:t xml:space="preserve"> </w:t>
      </w:r>
      <w:bookmarkEnd w:id="148"/>
      <w:r w:rsidRPr="008320A9" w:rsidR="000332A2">
        <w:t xml:space="preserve">and completing the brief </w:t>
      </w:r>
      <w:r w:rsidRPr="008320A9" w:rsidR="00A53B40">
        <w:t>screener</w:t>
      </w:r>
      <w:r w:rsidRPr="008320A9" w:rsidR="00656414">
        <w:t xml:space="preserve">, the burden for </w:t>
      </w:r>
      <w:r w:rsidRPr="008320A9" w:rsidR="00A53B40">
        <w:t xml:space="preserve">the </w:t>
      </w:r>
      <w:r w:rsidRPr="008320A9" w:rsidR="00D6245E">
        <w:t>825</w:t>
      </w:r>
      <w:r w:rsidRPr="008320A9" w:rsidR="00A53B40">
        <w:t xml:space="preserve"> </w:t>
      </w:r>
      <w:r w:rsidRPr="008320A9" w:rsidR="00A72FEA">
        <w:t>(</w:t>
      </w:r>
      <w:r w:rsidRPr="008320A9" w:rsidR="00D6245E">
        <w:t>41</w:t>
      </w:r>
      <w:r w:rsidRPr="008320A9" w:rsidR="004E5A0A">
        <w:t>3</w:t>
      </w:r>
      <w:r w:rsidRPr="008320A9" w:rsidR="00A72FEA">
        <w:t>+</w:t>
      </w:r>
      <w:r w:rsidRPr="008320A9" w:rsidR="00D6245E">
        <w:t>28</w:t>
      </w:r>
      <w:r w:rsidRPr="008320A9" w:rsidR="004E5A0A">
        <w:t>8</w:t>
      </w:r>
      <w:r w:rsidRPr="008320A9" w:rsidR="00A72FEA">
        <w:t>+</w:t>
      </w:r>
      <w:r w:rsidRPr="008320A9" w:rsidR="00D6245E">
        <w:t>124</w:t>
      </w:r>
      <w:r w:rsidRPr="008320A9" w:rsidR="00A72FEA">
        <w:t xml:space="preserve">) </w:t>
      </w:r>
      <w:r w:rsidRPr="008320A9" w:rsidR="00A53B40">
        <w:t xml:space="preserve">responding households is </w:t>
      </w:r>
      <w:r w:rsidRPr="008320A9" w:rsidR="000332A2">
        <w:t xml:space="preserve">estimated to be </w:t>
      </w:r>
      <w:r w:rsidRPr="008320A9" w:rsidR="005F2B3F">
        <w:t xml:space="preserve">82 (41+29+12) hours. </w:t>
      </w:r>
    </w:p>
    <w:p w:rsidRPr="008320A9" w:rsidR="005F2B3F" w:rsidP="008320A9" w:rsidRDefault="005F2B3F" w14:paraId="5BD64040" w14:textId="32B5FE38">
      <w:pPr>
        <w:pStyle w:val="N1-1stBullet"/>
        <w:numPr>
          <w:ilvl w:val="0"/>
          <w:numId w:val="0"/>
        </w:numPr>
        <w:ind w:left="1170"/>
      </w:pPr>
      <w:r w:rsidRPr="008320A9">
        <w:t xml:space="preserve">We assume that non-responding households </w:t>
      </w:r>
      <w:r w:rsidR="006823E3">
        <w:t xml:space="preserve">will </w:t>
      </w:r>
      <w:r w:rsidRPr="008320A9">
        <w:t xml:space="preserve">spend an average of </w:t>
      </w:r>
      <w:r w:rsidR="00D03C57">
        <w:t>2</w:t>
      </w:r>
      <w:r w:rsidRPr="008320A9">
        <w:t xml:space="preserve"> minute</w:t>
      </w:r>
      <w:r w:rsidR="00D03C57">
        <w:t>s</w:t>
      </w:r>
      <w:r w:rsidRPr="008320A9">
        <w:t xml:space="preserve"> reading each</w:t>
      </w:r>
      <w:r w:rsidR="006823E3">
        <w:t xml:space="preserve"> of the </w:t>
      </w:r>
      <w:r w:rsidR="00C02D3D">
        <w:t>three</w:t>
      </w:r>
      <w:r w:rsidR="009B2467">
        <w:t xml:space="preserve"> </w:t>
      </w:r>
      <w:r w:rsidRPr="008320A9" w:rsidR="009B2467">
        <w:t>mailings</w:t>
      </w:r>
      <w:r w:rsidRPr="008320A9">
        <w:t xml:space="preserve">. There are an estimated 3,712 non-responding households to the first mailing, leading to an estimated burden of </w:t>
      </w:r>
      <w:r w:rsidR="00C82CA8">
        <w:t>124</w:t>
      </w:r>
      <w:r w:rsidRPr="008320A9">
        <w:t xml:space="preserve"> hours. The estimated 3,424 households that do not respond to the second mailing add </w:t>
      </w:r>
      <w:r w:rsidR="00C82CA8">
        <w:t>114</w:t>
      </w:r>
      <w:r w:rsidRPr="008320A9">
        <w:t xml:space="preserve"> burden hours, and the estimated 3,300 households not responding to the third mailing add </w:t>
      </w:r>
      <w:r w:rsidR="00C02D3D">
        <w:t>110</w:t>
      </w:r>
      <w:r w:rsidRPr="008320A9">
        <w:t xml:space="preserve"> hours. The total burden among non-responding households is </w:t>
      </w:r>
      <w:r w:rsidR="00C02D3D">
        <w:t>348</w:t>
      </w:r>
      <w:r w:rsidRPr="008320A9">
        <w:t xml:space="preserve"> hours.</w:t>
      </w:r>
      <w:r w:rsidR="00C02D3D">
        <w:tab/>
      </w:r>
    </w:p>
    <w:p w:rsidR="00F72E87" w:rsidP="00852B8F" w:rsidRDefault="00F20C1B" w14:paraId="0545BFA7" w14:textId="73E57F6A">
      <w:pPr>
        <w:pStyle w:val="N1-1stBullet"/>
      </w:pPr>
      <w:r w:rsidRPr="00AC50FF">
        <w:rPr>
          <w:b/>
        </w:rPr>
        <w:t>Advance Letter for in-person Screener.</w:t>
      </w:r>
      <w:r>
        <w:t xml:space="preserve"> The letter will be mailed to</w:t>
      </w:r>
      <w:r w:rsidR="00FA54F5">
        <w:t xml:space="preserve"> 2,</w:t>
      </w:r>
      <w:r w:rsidR="00653DED">
        <w:t>3</w:t>
      </w:r>
      <w:r w:rsidR="00853025">
        <w:t>82</w:t>
      </w:r>
      <w:r>
        <w:t xml:space="preserve"> households</w:t>
      </w:r>
      <w:r w:rsidR="00653DED">
        <w:t xml:space="preserve"> consisting of: </w:t>
      </w:r>
      <w:r w:rsidR="00853025">
        <w:t xml:space="preserve">582 </w:t>
      </w:r>
      <w:r w:rsidR="00653DED">
        <w:t xml:space="preserve">of the </w:t>
      </w:r>
      <w:r w:rsidR="00853025">
        <w:t>825</w:t>
      </w:r>
      <w:r w:rsidR="00653DED">
        <w:t xml:space="preserve"> households returning a mailed screener (</w:t>
      </w:r>
      <w:r w:rsidR="00871FB4">
        <w:t xml:space="preserve">based on </w:t>
      </w:r>
      <w:r w:rsidR="00653DED">
        <w:t xml:space="preserve">an expected survey eligibility rate of 70.5%); a subsample of </w:t>
      </w:r>
      <w:r w:rsidR="00853025">
        <w:t xml:space="preserve">1,100 </w:t>
      </w:r>
      <w:r w:rsidR="00653DED">
        <w:t xml:space="preserve">of the </w:t>
      </w:r>
      <w:r w:rsidR="00853025">
        <w:t>3,300</w:t>
      </w:r>
      <w:r w:rsidR="00653DED">
        <w:t xml:space="preserve"> households </w:t>
      </w:r>
      <w:r w:rsidR="00871FB4">
        <w:t xml:space="preserve">(33.3%) </w:t>
      </w:r>
      <w:r w:rsidR="00653DED">
        <w:t xml:space="preserve">that did not respond to the mailed screener; and a sample of </w:t>
      </w:r>
      <w:r w:rsidR="00853025">
        <w:t>7</w:t>
      </w:r>
      <w:r w:rsidR="00653DED">
        <w:t xml:space="preserve">00 households with a SNAP member extracted from the SNAP administrative files received for the 2016 </w:t>
      </w:r>
      <w:r w:rsidR="005F2B3F">
        <w:t>ADCM</w:t>
      </w:r>
      <w:r w:rsidR="00653DED">
        <w:t xml:space="preserve"> Pilot. </w:t>
      </w:r>
      <w:r w:rsidR="00880DD1">
        <w:t xml:space="preserve">Assuming an </w:t>
      </w:r>
      <w:r w:rsidR="005909FB">
        <w:t xml:space="preserve">average </w:t>
      </w:r>
      <w:r w:rsidR="00880DD1">
        <w:t xml:space="preserve">occupied dwelling unit rate of </w:t>
      </w:r>
      <w:r w:rsidR="005909FB">
        <w:t>80.15</w:t>
      </w:r>
      <w:r w:rsidR="00880DD1">
        <w:t>%</w:t>
      </w:r>
      <w:r w:rsidR="00BE0EE6">
        <w:t xml:space="preserve"> for the </w:t>
      </w:r>
      <w:r w:rsidR="00EB4597">
        <w:t>two latter</w:t>
      </w:r>
      <w:r w:rsidR="00BE0EE6">
        <w:t xml:space="preserve"> groups</w:t>
      </w:r>
      <w:r w:rsidR="00EB4597">
        <w:rPr>
          <w:rStyle w:val="FootnoteReference"/>
        </w:rPr>
        <w:footnoteReference w:id="25"/>
      </w:r>
      <w:r w:rsidR="00FA54F5">
        <w:t>,</w:t>
      </w:r>
      <w:r w:rsidR="00880DD1">
        <w:t xml:space="preserve"> we </w:t>
      </w:r>
      <w:r w:rsidR="00880632">
        <w:t>estimate</w:t>
      </w:r>
      <w:r w:rsidR="00880DD1">
        <w:t xml:space="preserve"> that </w:t>
      </w:r>
      <w:r w:rsidR="005909FB">
        <w:t>2</w:t>
      </w:r>
      <w:r w:rsidR="00CF5B8C">
        <w:t>,</w:t>
      </w:r>
      <w:r w:rsidR="005909FB">
        <w:t>025</w:t>
      </w:r>
      <w:r w:rsidR="00880DD1">
        <w:t xml:space="preserve"> </w:t>
      </w:r>
      <w:r w:rsidR="001A3F66">
        <w:t xml:space="preserve">responding </w:t>
      </w:r>
      <w:r w:rsidRPr="008320A9" w:rsidR="00880DD1">
        <w:t xml:space="preserve">households will spend </w:t>
      </w:r>
      <w:r w:rsidRPr="008320A9" w:rsidR="00FA54F5">
        <w:t>a</w:t>
      </w:r>
      <w:r w:rsidRPr="008320A9" w:rsidR="00880DD1">
        <w:t xml:space="preserve">n average </w:t>
      </w:r>
      <w:r w:rsidRPr="008320A9" w:rsidR="00880632">
        <w:t xml:space="preserve">of </w:t>
      </w:r>
      <w:r w:rsidRPr="008320A9" w:rsidR="00880DD1">
        <w:t>2 minutes reading the letter</w:t>
      </w:r>
      <w:r w:rsidRPr="008320A9" w:rsidR="00871FB4">
        <w:t>,</w:t>
      </w:r>
      <w:r w:rsidRPr="008320A9" w:rsidR="00880DD1">
        <w:t xml:space="preserve"> for a burden of </w:t>
      </w:r>
      <w:r w:rsidR="005909FB">
        <w:t>68</w:t>
      </w:r>
      <w:r w:rsidRPr="008320A9" w:rsidR="00880DD1">
        <w:t xml:space="preserve"> hours.</w:t>
      </w:r>
      <w:r w:rsidRPr="008320A9" w:rsidR="001A3F66">
        <w:t xml:space="preserve"> </w:t>
      </w:r>
      <w:r w:rsidRPr="008320A9" w:rsidR="00871FB4">
        <w:t>There are no n</w:t>
      </w:r>
      <w:r w:rsidRPr="008320A9" w:rsidR="001A3F66">
        <w:t>on-responding households</w:t>
      </w:r>
      <w:r w:rsidRPr="008320A9" w:rsidR="00871FB4">
        <w:t xml:space="preserve"> in non-occupied </w:t>
      </w:r>
      <w:r w:rsidRPr="008320A9" w:rsidR="005F2B3F">
        <w:t>dwellings, so the burden for non-respondents is 0.</w:t>
      </w:r>
    </w:p>
    <w:p w:rsidR="00656414" w:rsidP="00A91260" w:rsidRDefault="00F72E87" w14:paraId="5FD61101" w14:textId="3BC909D9">
      <w:pPr>
        <w:pStyle w:val="N1-1stBullet"/>
        <w:tabs>
          <w:tab w:val="left" w:pos="1260"/>
        </w:tabs>
      </w:pPr>
      <w:r w:rsidRPr="00AC50FF">
        <w:rPr>
          <w:b/>
        </w:rPr>
        <w:t>In-per</w:t>
      </w:r>
      <w:r w:rsidRPr="00AC50FF" w:rsidR="006710FE">
        <w:rPr>
          <w:b/>
        </w:rPr>
        <w:t>s</w:t>
      </w:r>
      <w:r w:rsidRPr="00AC50FF">
        <w:rPr>
          <w:b/>
        </w:rPr>
        <w:t xml:space="preserve">on </w:t>
      </w:r>
      <w:r w:rsidRPr="00AC50FF" w:rsidR="006710FE">
        <w:rPr>
          <w:b/>
        </w:rPr>
        <w:t>Screener.</w:t>
      </w:r>
      <w:r w:rsidR="006710FE">
        <w:t xml:space="preserve"> About </w:t>
      </w:r>
      <w:r w:rsidR="001062FE">
        <w:t>7</w:t>
      </w:r>
      <w:r w:rsidR="0067060E">
        <w:t>33</w:t>
      </w:r>
      <w:r w:rsidR="00871FB4">
        <w:t xml:space="preserve"> households (36</w:t>
      </w:r>
      <w:r w:rsidR="005F2B3F">
        <w:t>.2</w:t>
      </w:r>
      <w:r w:rsidR="00656414">
        <w:t>%</w:t>
      </w:r>
      <w:r w:rsidR="004240B1">
        <w:t xml:space="preserve"> of 2,025</w:t>
      </w:r>
      <w:r w:rsidR="00656414">
        <w:t xml:space="preserve">) will complete the </w:t>
      </w:r>
      <w:r w:rsidR="006710FE">
        <w:t xml:space="preserve">in-person </w:t>
      </w:r>
      <w:r w:rsidR="00656414">
        <w:t>screener interview</w:t>
      </w:r>
      <w:r w:rsidR="0067060E">
        <w:t>,</w:t>
      </w:r>
      <w:r w:rsidR="00656414">
        <w:t xml:space="preserve"> </w:t>
      </w:r>
      <w:r w:rsidR="00C416C1">
        <w:t>which will take an average of 9</w:t>
      </w:r>
      <w:r w:rsidR="00656414">
        <w:t xml:space="preserve"> minutes </w:t>
      </w:r>
      <w:r w:rsidR="00C416C1">
        <w:t xml:space="preserve">to administer, or a total of </w:t>
      </w:r>
      <w:r w:rsidR="00BE0EE6">
        <w:t>11</w:t>
      </w:r>
      <w:r w:rsidR="004240B1">
        <w:t>0</w:t>
      </w:r>
      <w:r w:rsidR="00BE0EE6">
        <w:t xml:space="preserve"> </w:t>
      </w:r>
      <w:r w:rsidR="00656414">
        <w:t xml:space="preserve">hours. Interviewers will spend about </w:t>
      </w:r>
      <w:r w:rsidR="001A3F66">
        <w:t>2</w:t>
      </w:r>
      <w:r w:rsidR="00C416C1">
        <w:t xml:space="preserve"> minute</w:t>
      </w:r>
      <w:r w:rsidR="00A93017">
        <w:t>s</w:t>
      </w:r>
      <w:r w:rsidR="00C416C1">
        <w:t xml:space="preserve"> with each of the </w:t>
      </w:r>
      <w:r w:rsidR="00BE0EE6">
        <w:t>1,</w:t>
      </w:r>
      <w:r w:rsidR="004240B1">
        <w:t>292</w:t>
      </w:r>
      <w:r w:rsidR="00656414">
        <w:t xml:space="preserve"> nonresponding households, or </w:t>
      </w:r>
      <w:r w:rsidR="00BE0EE6">
        <w:t>4</w:t>
      </w:r>
      <w:r w:rsidR="004240B1">
        <w:t>3</w:t>
      </w:r>
      <w:r w:rsidR="00656414">
        <w:t xml:space="preserve"> hours total. Total </w:t>
      </w:r>
      <w:r w:rsidR="00C416C1">
        <w:t xml:space="preserve">in-person </w:t>
      </w:r>
      <w:r w:rsidR="00656414">
        <w:t>screener b</w:t>
      </w:r>
      <w:r w:rsidR="00C416C1">
        <w:t xml:space="preserve">urden across all households is </w:t>
      </w:r>
      <w:r w:rsidR="00BE0EE6">
        <w:t>1</w:t>
      </w:r>
      <w:r w:rsidR="004240B1">
        <w:t>53</w:t>
      </w:r>
      <w:r w:rsidR="00656414">
        <w:t xml:space="preserve"> hours.</w:t>
      </w:r>
    </w:p>
    <w:p w:rsidRPr="007D1E98" w:rsidR="007D1E98" w:rsidP="00852B8F" w:rsidRDefault="00FD71F8" w14:paraId="32573B11" w14:textId="0AE68A1B">
      <w:pPr>
        <w:pStyle w:val="N1-1stBullet"/>
      </w:pPr>
      <w:r w:rsidRPr="00AC50FF">
        <w:rPr>
          <w:b/>
        </w:rPr>
        <w:t>Consent</w:t>
      </w:r>
      <w:r w:rsidRPr="00AC50FF" w:rsidR="007D1E98">
        <w:rPr>
          <w:b/>
        </w:rPr>
        <w:t xml:space="preserve"> Forms</w:t>
      </w:r>
      <w:r w:rsidRPr="007D1E98" w:rsidR="00656414">
        <w:t xml:space="preserve">. An estimated </w:t>
      </w:r>
      <w:r w:rsidR="00BE0EE6">
        <w:t>6</w:t>
      </w:r>
      <w:r w:rsidR="004240B1">
        <w:t>60</w:t>
      </w:r>
      <w:r w:rsidRPr="007D1E98" w:rsidR="00C160C2">
        <w:t xml:space="preserve"> of the </w:t>
      </w:r>
      <w:r w:rsidR="00BE0EE6">
        <w:t>7</w:t>
      </w:r>
      <w:r w:rsidR="004240B1">
        <w:t>33</w:t>
      </w:r>
      <w:r w:rsidRPr="007D1E98" w:rsidR="00D20727">
        <w:t xml:space="preserve"> households, or </w:t>
      </w:r>
      <w:r w:rsidR="00F749A1">
        <w:t>90.0</w:t>
      </w:r>
      <w:r w:rsidRPr="007D1E98" w:rsidR="00656414">
        <w:t xml:space="preserve">%, will be eligible to participate in </w:t>
      </w:r>
      <w:r w:rsidR="00A93017">
        <w:t>the Field Test</w:t>
      </w:r>
      <w:r w:rsidR="007D08E4">
        <w:t xml:space="preserve"> based on income and participation in SNAP and WIC programs</w:t>
      </w:r>
      <w:r w:rsidRPr="007D1E98" w:rsidR="007D46AD">
        <w:t xml:space="preserve">. </w:t>
      </w:r>
      <w:r w:rsidR="00002ABE">
        <w:t>An adult household member or the</w:t>
      </w:r>
      <w:r w:rsidRPr="008320A9" w:rsidR="00002ABE">
        <w:t xml:space="preserve"> </w:t>
      </w:r>
      <w:r w:rsidRPr="008320A9" w:rsidR="005F2B3F">
        <w:t xml:space="preserve">PR will be requested to sign a consent form. </w:t>
      </w:r>
      <w:r w:rsidRPr="008320A9" w:rsidR="007D1E98">
        <w:t xml:space="preserve">We </w:t>
      </w:r>
      <w:r w:rsidRPr="007D1E98" w:rsidR="007D1E98">
        <w:t xml:space="preserve">will </w:t>
      </w:r>
      <w:r w:rsidR="007D1E98">
        <w:t xml:space="preserve">also </w:t>
      </w:r>
      <w:r w:rsidRPr="007D1E98" w:rsidR="007D1E98">
        <w:t xml:space="preserve">request </w:t>
      </w:r>
      <w:r w:rsidR="007D1E98">
        <w:t xml:space="preserve">parental </w:t>
      </w:r>
      <w:r w:rsidRPr="007D1E98" w:rsidR="007D1E98">
        <w:t xml:space="preserve">consent from an adult household member for </w:t>
      </w:r>
      <w:r w:rsidR="00D05EA6">
        <w:t>each</w:t>
      </w:r>
      <w:r w:rsidRPr="007D1E98" w:rsidR="007D1E98">
        <w:t xml:space="preserve"> child </w:t>
      </w:r>
      <w:r w:rsidRPr="007D1E98" w:rsidR="00867F40">
        <w:t>between the ages of 11 and 1</w:t>
      </w:r>
      <w:r w:rsidR="00867F40">
        <w:t>7</w:t>
      </w:r>
      <w:r w:rsidRPr="007D1E98" w:rsidR="00867F40">
        <w:t xml:space="preserve"> </w:t>
      </w:r>
      <w:r w:rsidRPr="007D1E98" w:rsidR="007D1E98">
        <w:t xml:space="preserve">to complete the profile questionnaire, </w:t>
      </w:r>
      <w:r w:rsidR="00D05EA6">
        <w:t xml:space="preserve">the </w:t>
      </w:r>
      <w:r w:rsidRPr="007D1E98" w:rsidR="007D1E98">
        <w:t>food log, and</w:t>
      </w:r>
      <w:r w:rsidR="00A93017">
        <w:t>,</w:t>
      </w:r>
      <w:r w:rsidRPr="007D1E98" w:rsidR="007D1E98">
        <w:t xml:space="preserve"> if applicable, the income </w:t>
      </w:r>
      <w:r w:rsidR="004240B1">
        <w:t>questionnaire</w:t>
      </w:r>
      <w:r w:rsidRPr="007D1E98" w:rsidR="004240B1">
        <w:t xml:space="preserve"> </w:t>
      </w:r>
      <w:r w:rsidRPr="007D1E98" w:rsidR="007D1E98">
        <w:t xml:space="preserve">for themselves. Expected burden will average 5 minutes per </w:t>
      </w:r>
      <w:r w:rsidR="00585BB5">
        <w:t xml:space="preserve">responding </w:t>
      </w:r>
      <w:r w:rsidRPr="007D1E98" w:rsidR="007D1E98">
        <w:t xml:space="preserve">household, or </w:t>
      </w:r>
      <w:r w:rsidR="00D05EA6">
        <w:t>5</w:t>
      </w:r>
      <w:r w:rsidR="004240B1">
        <w:t>5</w:t>
      </w:r>
      <w:r w:rsidRPr="007D1E98" w:rsidR="00A93017">
        <w:t xml:space="preserve"> </w:t>
      </w:r>
      <w:r w:rsidRPr="007D1E98" w:rsidR="007D1E98">
        <w:t>hours</w:t>
      </w:r>
      <w:r w:rsidR="00867C23">
        <w:t xml:space="preserve">. Burden for </w:t>
      </w:r>
      <w:r w:rsidR="00D05EA6">
        <w:t>the 7</w:t>
      </w:r>
      <w:r w:rsidR="004240B1">
        <w:t>3</w:t>
      </w:r>
      <w:r w:rsidR="00D05EA6">
        <w:t xml:space="preserve"> </w:t>
      </w:r>
      <w:r w:rsidR="00867C23">
        <w:t>non-responding households will be 2 minutes per household</w:t>
      </w:r>
      <w:r w:rsidR="00D05EA6">
        <w:t>,</w:t>
      </w:r>
      <w:r w:rsidR="00867C23">
        <w:t xml:space="preserve"> or </w:t>
      </w:r>
      <w:r w:rsidR="004240B1">
        <w:t>2</w:t>
      </w:r>
      <w:r w:rsidR="00867C23">
        <w:t xml:space="preserve"> hours.</w:t>
      </w:r>
    </w:p>
    <w:p w:rsidR="005F2B3F" w:rsidP="005F2B3F" w:rsidRDefault="00656414" w14:paraId="74FEB1DA" w14:textId="494CE687">
      <w:pPr>
        <w:pStyle w:val="N1-1stBullet"/>
        <w:rPr>
          <w:color w:val="000000" w:themeColor="text1"/>
        </w:rPr>
      </w:pPr>
      <w:r w:rsidRPr="001715BC">
        <w:rPr>
          <w:b/>
          <w:color w:val="000000" w:themeColor="text1"/>
        </w:rPr>
        <w:t>Initial</w:t>
      </w:r>
      <w:r w:rsidRPr="001715BC" w:rsidR="00F523D2">
        <w:rPr>
          <w:b/>
          <w:color w:val="000000" w:themeColor="text1"/>
        </w:rPr>
        <w:t xml:space="preserve"> Household Interview.</w:t>
      </w:r>
      <w:r w:rsidRPr="001715BC" w:rsidR="00F523D2">
        <w:rPr>
          <w:color w:val="000000" w:themeColor="text1"/>
        </w:rPr>
        <w:t xml:space="preserve"> </w:t>
      </w:r>
      <w:r w:rsidRPr="001715BC" w:rsidR="005F2B3F">
        <w:rPr>
          <w:color w:val="000000" w:themeColor="text1"/>
        </w:rPr>
        <w:t xml:space="preserve">Of the </w:t>
      </w:r>
      <w:r w:rsidR="00D05EA6">
        <w:rPr>
          <w:color w:val="000000" w:themeColor="text1"/>
        </w:rPr>
        <w:t>6</w:t>
      </w:r>
      <w:r w:rsidR="004240B1">
        <w:rPr>
          <w:color w:val="000000" w:themeColor="text1"/>
        </w:rPr>
        <w:t>60</w:t>
      </w:r>
      <w:r w:rsidRPr="001715BC" w:rsidR="005F2B3F">
        <w:rPr>
          <w:color w:val="000000" w:themeColor="text1"/>
        </w:rPr>
        <w:t xml:space="preserve"> survey-eligible households, an estimated </w:t>
      </w:r>
      <w:r w:rsidR="004240B1">
        <w:rPr>
          <w:color w:val="000000" w:themeColor="text1"/>
        </w:rPr>
        <w:t>468</w:t>
      </w:r>
      <w:r w:rsidRPr="001715BC" w:rsidR="005F2B3F">
        <w:rPr>
          <w:color w:val="000000" w:themeColor="text1"/>
        </w:rPr>
        <w:t xml:space="preserve"> households (</w:t>
      </w:r>
      <w:r w:rsidR="004240B1">
        <w:rPr>
          <w:color w:val="000000" w:themeColor="text1"/>
        </w:rPr>
        <w:t>70.9</w:t>
      </w:r>
      <w:r w:rsidRPr="001715BC" w:rsidR="005F2B3F">
        <w:rPr>
          <w:color w:val="000000" w:themeColor="text1"/>
        </w:rPr>
        <w:t xml:space="preserve">%) will agree to participate in the survey and will complete the initial interview. The interview will take an average of 30 minutes to administer, or </w:t>
      </w:r>
      <w:r w:rsidR="004240B1">
        <w:rPr>
          <w:color w:val="000000" w:themeColor="text1"/>
        </w:rPr>
        <w:t>234</w:t>
      </w:r>
      <w:r w:rsidRPr="001715BC" w:rsidR="005F2B3F">
        <w:rPr>
          <w:color w:val="000000" w:themeColor="text1"/>
        </w:rPr>
        <w:t xml:space="preserve"> hours total across these households. The remaining </w:t>
      </w:r>
      <w:r w:rsidR="004240B1">
        <w:rPr>
          <w:color w:val="000000" w:themeColor="text1"/>
        </w:rPr>
        <w:t>192</w:t>
      </w:r>
      <w:r w:rsidRPr="001715BC" w:rsidR="005F2B3F">
        <w:rPr>
          <w:color w:val="000000" w:themeColor="text1"/>
        </w:rPr>
        <w:t xml:space="preserve"> households will drop out after giving their consent and spend an average of 3 minutes per household, or </w:t>
      </w:r>
      <w:r w:rsidR="004240B1">
        <w:rPr>
          <w:color w:val="000000" w:themeColor="text1"/>
        </w:rPr>
        <w:t>10</w:t>
      </w:r>
      <w:r w:rsidRPr="001715BC" w:rsidR="005F2B3F">
        <w:rPr>
          <w:color w:val="000000" w:themeColor="text1"/>
        </w:rPr>
        <w:t xml:space="preserve"> hours total, with the interviewer trying to regain their cooperation.</w:t>
      </w:r>
    </w:p>
    <w:p w:rsidRPr="002A1690" w:rsidR="002A1690" w:rsidP="002A1690" w:rsidRDefault="002A1690" w14:paraId="1988E7BE" w14:textId="5F5C4674">
      <w:pPr>
        <w:pStyle w:val="N1-1stBullet"/>
        <w:rPr>
          <w:color w:val="000000" w:themeColor="text1"/>
        </w:rPr>
      </w:pPr>
      <w:r>
        <w:rPr>
          <w:b/>
          <w:color w:val="000000" w:themeColor="text1"/>
        </w:rPr>
        <w:t>Debriefing Interviews.</w:t>
      </w:r>
      <w:r>
        <w:rPr>
          <w:color w:val="000000" w:themeColor="text1"/>
        </w:rPr>
        <w:t xml:space="preserve"> Debriefing </w:t>
      </w:r>
      <w:r>
        <w:t>interviews will be administered to three groups of households: those who refuse to participate in the study; those who complete the study; and those who stop participating before all survey activities are completed. Debriefing questions for households that refuse to participate in the study are included in the In-person Household Screener, and the expected burden of these questions is already captured by the estimated burden for that instrument.</w:t>
      </w:r>
    </w:p>
    <w:p w:rsidR="004E338A" w:rsidP="00AD0357" w:rsidRDefault="004E338A" w14:paraId="6F988F28" w14:textId="701BAC78">
      <w:pPr>
        <w:pStyle w:val="N1-1stBullet"/>
        <w:numPr>
          <w:ilvl w:val="0"/>
          <w:numId w:val="0"/>
        </w:numPr>
        <w:ind w:left="1170"/>
      </w:pPr>
      <w:r w:rsidRPr="008320A9">
        <w:rPr>
          <w:b/>
        </w:rPr>
        <w:t>Debriefing Interview--completes.</w:t>
      </w:r>
      <w:r w:rsidRPr="008320A9">
        <w:t xml:space="preserve"> We expect that </w:t>
      </w:r>
      <w:r>
        <w:t>434</w:t>
      </w:r>
      <w:r w:rsidRPr="008320A9">
        <w:t xml:space="preserve"> households (</w:t>
      </w:r>
      <w:r w:rsidR="00141A25">
        <w:t>9</w:t>
      </w:r>
      <w:r w:rsidR="00006A40">
        <w:t>2.7</w:t>
      </w:r>
      <w:r w:rsidR="00141A25">
        <w:t>%</w:t>
      </w:r>
      <w:r w:rsidRPr="008320A9">
        <w:t xml:space="preserve"> of </w:t>
      </w:r>
      <w:r w:rsidR="00141A25">
        <w:t>4</w:t>
      </w:r>
      <w:r w:rsidR="00006A40">
        <w:t>68</w:t>
      </w:r>
      <w:r w:rsidRPr="008320A9">
        <w:t xml:space="preserve">) will complete the food log. Within this group, about </w:t>
      </w:r>
      <w:r>
        <w:t>430</w:t>
      </w:r>
      <w:r w:rsidRPr="008320A9">
        <w:t xml:space="preserve"> (9</w:t>
      </w:r>
      <w:r w:rsidR="00141A25">
        <w:t>9</w:t>
      </w:r>
      <w:r w:rsidRPr="008320A9">
        <w:t xml:space="preserve">%) are expected to complete a debriefing interview lasting about </w:t>
      </w:r>
      <w:r>
        <w:t>10</w:t>
      </w:r>
      <w:r w:rsidRPr="008320A9">
        <w:t xml:space="preserve"> minutes, for a total </w:t>
      </w:r>
      <w:r>
        <w:t xml:space="preserve">burden </w:t>
      </w:r>
      <w:r w:rsidRPr="008320A9">
        <w:t xml:space="preserve">of </w:t>
      </w:r>
      <w:r>
        <w:t>72</w:t>
      </w:r>
      <w:r w:rsidRPr="008320A9">
        <w:t xml:space="preserve"> hours. This percentage is high for two reasons. First, the PR will have invested considerable time to this point participating in the survey, and we believe it is likely that such responders will be willing to complete the last step. Second, the household will not qualify for its earned incentives until the debriefing interview is completed and any loaned </w:t>
      </w:r>
      <w:r w:rsidRPr="008320A9" w:rsidR="009B2467">
        <w:t>equipment</w:t>
      </w:r>
      <w:r w:rsidRPr="008320A9">
        <w:t xml:space="preserve"> is returned. Interviewers are expected to take about 5 minutes, on average, trying to convince the other </w:t>
      </w:r>
      <w:r>
        <w:t>4</w:t>
      </w:r>
      <w:r w:rsidRPr="008320A9">
        <w:t xml:space="preserve"> households to complete the debriefing interview, for an additional </w:t>
      </w:r>
      <w:r>
        <w:t>20 minutes of burden, which rounds to 0 hours</w:t>
      </w:r>
      <w:r w:rsidRPr="008320A9">
        <w:t>.</w:t>
      </w:r>
    </w:p>
    <w:p w:rsidRPr="004255B6" w:rsidR="004E338A" w:rsidP="00DB68AC" w:rsidRDefault="004E338A" w14:paraId="4AB8E080" w14:textId="5A29188B">
      <w:pPr>
        <w:pStyle w:val="N1-1stBullet"/>
        <w:numPr>
          <w:ilvl w:val="0"/>
          <w:numId w:val="0"/>
        </w:numPr>
        <w:ind w:left="1170"/>
        <w:rPr>
          <w:b/>
        </w:rPr>
      </w:pPr>
      <w:r w:rsidRPr="008320A9">
        <w:rPr>
          <w:b/>
        </w:rPr>
        <w:t>Debriefing Interview</w:t>
      </w:r>
      <w:r>
        <w:rPr>
          <w:b/>
        </w:rPr>
        <w:t>—</w:t>
      </w:r>
      <w:r w:rsidR="009B2467">
        <w:rPr>
          <w:b/>
        </w:rPr>
        <w:t>breakoffs</w:t>
      </w:r>
      <w:r w:rsidRPr="008320A9">
        <w:rPr>
          <w:b/>
        </w:rPr>
        <w:t>.</w:t>
      </w:r>
      <w:r w:rsidRPr="008320A9">
        <w:t xml:space="preserve"> </w:t>
      </w:r>
      <w:r>
        <w:t xml:space="preserve">With </w:t>
      </w:r>
      <w:r w:rsidR="00141A25">
        <w:t>468</w:t>
      </w:r>
      <w:r>
        <w:t xml:space="preserve"> households completing the Initial Interview and 4</w:t>
      </w:r>
      <w:r w:rsidR="00141A25">
        <w:t>34</w:t>
      </w:r>
      <w:r>
        <w:t xml:space="preserve"> households completing the Food Log, a</w:t>
      </w:r>
      <w:r w:rsidRPr="008320A9">
        <w:t xml:space="preserve">bout </w:t>
      </w:r>
      <w:r w:rsidR="00141A25">
        <w:t>34</w:t>
      </w:r>
      <w:r w:rsidRPr="008320A9">
        <w:t xml:space="preserve"> households (</w:t>
      </w:r>
      <w:r w:rsidR="00141A25">
        <w:t>7</w:t>
      </w:r>
      <w:r>
        <w:t>.3</w:t>
      </w:r>
      <w:r w:rsidRPr="008320A9">
        <w:t>%) are expected to break off</w:t>
      </w:r>
      <w:r>
        <w:t xml:space="preserve"> after completing the Initial Interview.</w:t>
      </w:r>
      <w:r w:rsidRPr="008320A9">
        <w:t xml:space="preserve"> We expect </w:t>
      </w:r>
      <w:r w:rsidR="00141A25">
        <w:t>27</w:t>
      </w:r>
      <w:r w:rsidRPr="008320A9">
        <w:t xml:space="preserve"> of them (80%) to answer a short, </w:t>
      </w:r>
      <w:r>
        <w:t>3</w:t>
      </w:r>
      <w:r w:rsidRPr="008320A9">
        <w:t xml:space="preserve">-minute debriefing interview, and we expect the interviewer to average about 3 minutes per household trying to persuade the remaining </w:t>
      </w:r>
      <w:r w:rsidR="00141A25">
        <w:t>7</w:t>
      </w:r>
      <w:r w:rsidRPr="008320A9">
        <w:t xml:space="preserve"> respondents to take the debriefing interview. Total </w:t>
      </w:r>
      <w:r w:rsidR="00141A25">
        <w:t xml:space="preserve">rounded </w:t>
      </w:r>
      <w:r w:rsidRPr="008320A9">
        <w:t xml:space="preserve">burden hours are </w:t>
      </w:r>
      <w:r w:rsidR="00141A25">
        <w:t>1</w:t>
      </w:r>
      <w:r w:rsidRPr="008320A9">
        <w:t xml:space="preserve"> and </w:t>
      </w:r>
      <w:r w:rsidR="00141A25">
        <w:t>0</w:t>
      </w:r>
      <w:r w:rsidRPr="008320A9">
        <w:t>, respectively, for the responders and non-responders.</w:t>
      </w:r>
    </w:p>
    <w:p w:rsidR="00656414" w:rsidP="00852B8F" w:rsidRDefault="00656414" w14:paraId="0133B322" w14:textId="77777777">
      <w:pPr>
        <w:pStyle w:val="L1-FlLSp12"/>
        <w:rPr>
          <w:b/>
        </w:rPr>
      </w:pPr>
      <w:r w:rsidRPr="00852B8F">
        <w:rPr>
          <w:b/>
        </w:rPr>
        <w:t>Individual Level Data Collection</w:t>
      </w:r>
    </w:p>
    <w:p w:rsidRPr="008320A9" w:rsidR="00852B8F" w:rsidP="00852B8F" w:rsidRDefault="00852B8F" w14:paraId="376BC56A" w14:textId="77777777">
      <w:pPr>
        <w:pStyle w:val="L1-FlLSp12"/>
        <w:rPr>
          <w:b/>
        </w:rPr>
      </w:pPr>
    </w:p>
    <w:p w:rsidRPr="008320A9" w:rsidR="005F2B3F" w:rsidP="005F2B3F" w:rsidRDefault="005F2B3F" w14:paraId="57DBE0E0" w14:textId="40FE662B">
      <w:pPr>
        <w:pStyle w:val="L1-FlLSp12"/>
      </w:pPr>
      <w:r w:rsidRPr="008320A9">
        <w:t xml:space="preserve">It is at the individual level that differences in data collection </w:t>
      </w:r>
      <w:r w:rsidR="00351CD7">
        <w:t>tasks</w:t>
      </w:r>
      <w:r w:rsidRPr="008320A9">
        <w:t xml:space="preserve"> appear. As entry of information via the FoodLogger app or the NFS website will be very similar, we assume similar patterns of reporting burden for the two modes. </w:t>
      </w:r>
      <w:r w:rsidR="009101B6">
        <w:t>This assumption is based on findings from the ADCM pilot in which average amount of time each respondent spent filling out the Food Log on the web or smartphone for the entire 7-day period was 49 minutes (or 7 minutes/day)</w:t>
      </w:r>
      <w:r w:rsidR="009101B6">
        <w:rPr>
          <w:rStyle w:val="FootnoteReference"/>
        </w:rPr>
        <w:footnoteReference w:id="26"/>
      </w:r>
      <w:r w:rsidR="009101B6">
        <w:t xml:space="preserve">. </w:t>
      </w:r>
      <w:r w:rsidR="0090772F">
        <w:t>A third mode of telephone interviewers will be used with PRs unwilling or unable to participate with the FoodLogger or website.</w:t>
      </w:r>
    </w:p>
    <w:p w:rsidRPr="00A32F38" w:rsidR="005F2B3F" w:rsidP="005F2B3F" w:rsidRDefault="000D3655" w14:paraId="294EDA0D" w14:textId="0C3BCD68">
      <w:pPr>
        <w:pStyle w:val="L1-FlLSp12"/>
        <w:rPr>
          <w:color w:val="808080" w:themeColor="background1" w:themeShade="80"/>
        </w:rPr>
      </w:pPr>
      <w:r>
        <w:rPr>
          <w:color w:val="808080" w:themeColor="background1" w:themeShade="80"/>
        </w:rPr>
        <w:tab/>
      </w:r>
    </w:p>
    <w:p w:rsidRPr="008320A9" w:rsidR="005F2B3F" w:rsidP="005F2B3F" w:rsidRDefault="006A5936" w14:paraId="510FF50C" w14:textId="1A8F4802">
      <w:pPr>
        <w:pStyle w:val="L1-FlLSp12"/>
      </w:pPr>
      <w:r>
        <w:t>At the individual level, data collection protocols differ depending on age. Children under 11 years old have no reporting responsibilities or burden as the PR proxy reports for them. Children aged 11 through 15 years are asked to report their food acquisitions</w:t>
      </w:r>
      <w:r w:rsidR="008C3B95">
        <w:t xml:space="preserve"> and fill out a Profile Questionnaire</w:t>
      </w:r>
      <w:r>
        <w:t xml:space="preserve">, and </w:t>
      </w:r>
      <w:r w:rsidR="008C3B95">
        <w:t xml:space="preserve">members 16 years old and above (including the PR) report food acquisitions, fill out a Profile Questionnaire, and complete an Income Questionnaire. </w:t>
      </w:r>
      <w:r w:rsidR="00162E47">
        <w:t>Based on results from the ADCM Pilot,</w:t>
      </w:r>
      <w:r w:rsidR="00162E47">
        <w:rPr>
          <w:rStyle w:val="FootnoteReference"/>
        </w:rPr>
        <w:footnoteReference w:id="27"/>
      </w:r>
      <w:r w:rsidRPr="008320A9" w:rsidR="005F2B3F">
        <w:t xml:space="preserve"> the expected number of persons aged </w:t>
      </w:r>
      <w:r w:rsidR="00C35C10">
        <w:t xml:space="preserve">16 years and above </w:t>
      </w:r>
      <w:r w:rsidRPr="008320A9" w:rsidR="005F2B3F">
        <w:t xml:space="preserve">in the </w:t>
      </w:r>
      <w:r w:rsidR="00845A7A">
        <w:t>4</w:t>
      </w:r>
      <w:r w:rsidR="00366629">
        <w:t>68</w:t>
      </w:r>
      <w:r w:rsidRPr="008320A9" w:rsidR="009A5741">
        <w:t xml:space="preserve"> </w:t>
      </w:r>
      <w:r w:rsidRPr="008320A9" w:rsidR="005F2B3F">
        <w:t>households who completed the initial interview</w:t>
      </w:r>
      <w:r>
        <w:t>,</w:t>
      </w:r>
      <w:r w:rsidR="009A5741">
        <w:t xml:space="preserve"> </w:t>
      </w:r>
      <w:r w:rsidRPr="008320A9" w:rsidR="005F2B3F">
        <w:t>and are reporting using the FoodLogger phone app or the NFS website</w:t>
      </w:r>
      <w:r>
        <w:t>,</w:t>
      </w:r>
      <w:r w:rsidRPr="008320A9" w:rsidR="005F2B3F">
        <w:t xml:space="preserve"> is </w:t>
      </w:r>
      <w:r w:rsidR="00366629">
        <w:t>1,01</w:t>
      </w:r>
      <w:r w:rsidR="000C39A7">
        <w:t>6</w:t>
      </w:r>
      <w:r>
        <w:t xml:space="preserve"> (72.</w:t>
      </w:r>
      <w:r w:rsidR="000C39A7">
        <w:t>6</w:t>
      </w:r>
      <w:r w:rsidR="00366629">
        <w:t>%</w:t>
      </w:r>
      <w:r w:rsidR="00050221">
        <w:t xml:space="preserve"> of 468*2.99</w:t>
      </w:r>
      <w:r>
        <w:t>)</w:t>
      </w:r>
      <w:r w:rsidRPr="008320A9" w:rsidR="005F2B3F">
        <w:t xml:space="preserve">. There </w:t>
      </w:r>
      <w:r w:rsidR="00162E47">
        <w:t>will be</w:t>
      </w:r>
      <w:r w:rsidRPr="008320A9" w:rsidR="005F2B3F">
        <w:t xml:space="preserve"> an estimated </w:t>
      </w:r>
      <w:r w:rsidR="009A5741">
        <w:t>1</w:t>
      </w:r>
      <w:r w:rsidR="00366629">
        <w:t>0</w:t>
      </w:r>
      <w:r w:rsidR="000C39A7">
        <w:t>4</w:t>
      </w:r>
      <w:r w:rsidR="009A5741">
        <w:t xml:space="preserve"> children aged 11-15 years </w:t>
      </w:r>
      <w:r>
        <w:t>(7.</w:t>
      </w:r>
      <w:r w:rsidR="000C39A7">
        <w:t>4</w:t>
      </w:r>
      <w:r w:rsidR="00366629">
        <w:t>%</w:t>
      </w:r>
      <w:r>
        <w:t xml:space="preserve">) </w:t>
      </w:r>
      <w:r w:rsidR="009A5741">
        <w:t xml:space="preserve">and </w:t>
      </w:r>
      <w:r w:rsidR="00366629">
        <w:t>280</w:t>
      </w:r>
      <w:r w:rsidRPr="008320A9" w:rsidR="005F2B3F">
        <w:t xml:space="preserve"> children under the age of 11</w:t>
      </w:r>
      <w:r>
        <w:t xml:space="preserve"> (20.</w:t>
      </w:r>
      <w:r w:rsidR="000C39A7">
        <w:t>1</w:t>
      </w:r>
      <w:r w:rsidR="00366629">
        <w:t>%</w:t>
      </w:r>
      <w:r>
        <w:t>)</w:t>
      </w:r>
      <w:r w:rsidRPr="008320A9" w:rsidR="005F2B3F">
        <w:t>.</w:t>
      </w:r>
    </w:p>
    <w:p w:rsidR="00C35C10" w:rsidP="005F2B3F" w:rsidRDefault="00C35C10" w14:paraId="3E61216E" w14:textId="77777777">
      <w:pPr>
        <w:pStyle w:val="L1-FlLSp12"/>
        <w:rPr>
          <w:color w:val="808080" w:themeColor="background1" w:themeShade="80"/>
        </w:rPr>
      </w:pPr>
    </w:p>
    <w:p w:rsidRPr="008320A9" w:rsidR="00C35C10" w:rsidP="00C35C10" w:rsidRDefault="00C35C10" w14:paraId="0B393B7E" w14:textId="77777777">
      <w:pPr>
        <w:pStyle w:val="L1-FlLSp12"/>
        <w:rPr>
          <w:b/>
          <w:szCs w:val="24"/>
        </w:rPr>
      </w:pPr>
      <w:r w:rsidRPr="008320A9">
        <w:rPr>
          <w:b/>
          <w:szCs w:val="24"/>
        </w:rPr>
        <w:t>Members Age 16 and Above</w:t>
      </w:r>
    </w:p>
    <w:p w:rsidRPr="008320A9" w:rsidR="00C35C10" w:rsidP="00C35C10" w:rsidRDefault="00C35C10" w14:paraId="2DABFF88" w14:textId="77777777">
      <w:pPr>
        <w:pStyle w:val="L1-FlLSp12"/>
        <w:rPr>
          <w:szCs w:val="24"/>
        </w:rPr>
      </w:pPr>
    </w:p>
    <w:p w:rsidR="00C35C10" w:rsidP="00C364DF" w:rsidRDefault="00C35C10" w14:paraId="3A76C512" w14:textId="65506352">
      <w:pPr>
        <w:pStyle w:val="N1-1stBullet"/>
        <w:numPr>
          <w:ilvl w:val="0"/>
          <w:numId w:val="0"/>
        </w:numPr>
        <w:ind w:left="1152" w:firstLine="18"/>
      </w:pPr>
      <w:r w:rsidRPr="00366629">
        <w:rPr>
          <w:b/>
        </w:rPr>
        <w:t xml:space="preserve">Training. </w:t>
      </w:r>
      <w:r>
        <w:t>T</w:t>
      </w:r>
      <w:r w:rsidRPr="008320A9">
        <w:t xml:space="preserve">he </w:t>
      </w:r>
      <w:r w:rsidR="00366629">
        <w:t xml:space="preserve">468 </w:t>
      </w:r>
      <w:r w:rsidRPr="008320A9">
        <w:t xml:space="preserve">households completing the </w:t>
      </w:r>
      <w:r w:rsidRPr="008320A9" w:rsidR="009B2467">
        <w:t>initial interview</w:t>
      </w:r>
      <w:r>
        <w:t xml:space="preserve"> contain an estimated 1,</w:t>
      </w:r>
      <w:r w:rsidR="00366629">
        <w:t>01</w:t>
      </w:r>
      <w:r w:rsidR="00050221">
        <w:t>6</w:t>
      </w:r>
      <w:r>
        <w:t xml:space="preserve"> individuals aged 16 and above.</w:t>
      </w:r>
      <w:r w:rsidRPr="00366629">
        <w:rPr>
          <w:b/>
        </w:rPr>
        <w:t xml:space="preserve"> </w:t>
      </w:r>
      <w:r w:rsidRPr="00C364DF">
        <w:rPr>
          <w:bCs/>
        </w:rPr>
        <w:t>T</w:t>
      </w:r>
      <w:r w:rsidRPr="008320A9">
        <w:t xml:space="preserve">he interviewer will offer training in how to report food events to the PR and any other persons </w:t>
      </w:r>
      <w:r>
        <w:t xml:space="preserve">aged 16 or older </w:t>
      </w:r>
      <w:r w:rsidRPr="008320A9">
        <w:t>at home at the time.</w:t>
      </w:r>
      <w:r w:rsidR="008C3B95">
        <w:rPr>
          <w:rStyle w:val="FootnoteReference"/>
        </w:rPr>
        <w:footnoteReference w:id="28"/>
      </w:r>
      <w:r w:rsidRPr="008320A9">
        <w:t xml:space="preserve"> We assume that an average of one other household member will be trained by the interviewer, for a </w:t>
      </w:r>
      <w:r w:rsidR="00006A40">
        <w:t>potential</w:t>
      </w:r>
      <w:r w:rsidR="000A2444">
        <w:t xml:space="preserve"> </w:t>
      </w:r>
      <w:r w:rsidRPr="008320A9">
        <w:t xml:space="preserve">total of </w:t>
      </w:r>
      <w:r w:rsidR="00323C1C">
        <w:t>9</w:t>
      </w:r>
      <w:r w:rsidR="00006A40">
        <w:t>36</w:t>
      </w:r>
      <w:r w:rsidRPr="008320A9">
        <w:t xml:space="preserve"> persons. </w:t>
      </w:r>
      <w:r w:rsidR="000A2444">
        <w:t xml:space="preserve">We further expect that 97% of this group (908 persons in 454 households) will agree to be trained. </w:t>
      </w:r>
      <w:r w:rsidRPr="008320A9">
        <w:t xml:space="preserve">Training provided by the interviewer is expected to take about 45 minutes, for a total of </w:t>
      </w:r>
      <w:r w:rsidR="00323C1C">
        <w:t>681</w:t>
      </w:r>
      <w:r w:rsidRPr="008320A9">
        <w:t xml:space="preserve"> burden hours. Interviewers will take an average of 3 minutes each trying to persuade the remaining </w:t>
      </w:r>
      <w:r w:rsidR="000A2444">
        <w:t>28 members</w:t>
      </w:r>
      <w:r w:rsidRPr="008320A9">
        <w:t xml:space="preserve"> </w:t>
      </w:r>
      <w:r w:rsidR="0047097F">
        <w:t xml:space="preserve">from 14 households </w:t>
      </w:r>
      <w:r w:rsidRPr="008320A9">
        <w:t xml:space="preserve">to participate in training, for a burden of </w:t>
      </w:r>
      <w:r w:rsidR="00323C1C">
        <w:t>1</w:t>
      </w:r>
      <w:r w:rsidRPr="008320A9">
        <w:t xml:space="preserve"> hour</w:t>
      </w:r>
      <w:r w:rsidR="00323C1C">
        <w:t>.</w:t>
      </w:r>
      <w:r w:rsidRPr="008320A9">
        <w:t xml:space="preserve"> </w:t>
      </w:r>
    </w:p>
    <w:p w:rsidR="00523810" w:rsidRDefault="00C35C10" w14:paraId="1594EB00" w14:textId="78CF987F">
      <w:pPr>
        <w:pStyle w:val="N1-1stBullet"/>
        <w:numPr>
          <w:ilvl w:val="0"/>
          <w:numId w:val="0"/>
        </w:numPr>
        <w:ind w:left="1152"/>
      </w:pPr>
      <w:r>
        <w:t xml:space="preserve">After excluding the </w:t>
      </w:r>
      <w:r w:rsidR="00323C1C">
        <w:t>14</w:t>
      </w:r>
      <w:r>
        <w:t xml:space="preserve"> households in which the PR refused to participate in training, another </w:t>
      </w:r>
      <w:r w:rsidR="0047097F">
        <w:t>49</w:t>
      </w:r>
      <w:r>
        <w:t xml:space="preserve"> individuals aged 16 and above (</w:t>
      </w:r>
      <w:r w:rsidR="008C3B95">
        <w:t>(</w:t>
      </w:r>
      <w:r w:rsidR="00323C1C">
        <w:t>454</w:t>
      </w:r>
      <w:r>
        <w:t>*2.99*.7</w:t>
      </w:r>
      <w:r w:rsidR="00523810">
        <w:t>26</w:t>
      </w:r>
      <w:r w:rsidR="008C3B95">
        <w:t>)</w:t>
      </w:r>
      <w:r>
        <w:t>-</w:t>
      </w:r>
      <w:r w:rsidR="00323C1C">
        <w:t>908</w:t>
      </w:r>
      <w:r w:rsidR="00050221">
        <w:t>-</w:t>
      </w:r>
      <w:r w:rsidR="0047097F">
        <w:t>28</w:t>
      </w:r>
      <w:r>
        <w:t xml:space="preserve">) remain to be trained after the interviewer leaves. It will be the PR’s responsibility to </w:t>
      </w:r>
      <w:r w:rsidR="007B3CE2">
        <w:t xml:space="preserve">provide </w:t>
      </w:r>
      <w:r>
        <w:t>these household members</w:t>
      </w:r>
      <w:r w:rsidR="00523810">
        <w:t xml:space="preserve"> </w:t>
      </w:r>
      <w:r w:rsidR="007B3CE2">
        <w:t xml:space="preserve">with the </w:t>
      </w:r>
      <w:r w:rsidR="00523810">
        <w:t xml:space="preserve">materials </w:t>
      </w:r>
      <w:r w:rsidR="001A1590">
        <w:t xml:space="preserve">left by the interviewer </w:t>
      </w:r>
      <w:r w:rsidR="007B3CE2">
        <w:t>that show them how to access the</w:t>
      </w:r>
      <w:r w:rsidR="00523810">
        <w:t xml:space="preserve"> training videos. </w:t>
      </w:r>
      <w:r w:rsidR="00345C57">
        <w:t>We</w:t>
      </w:r>
      <w:r w:rsidR="00523810">
        <w:t xml:space="preserve"> expect the PR will spend about </w:t>
      </w:r>
      <w:r w:rsidR="00345C57">
        <w:t>45</w:t>
      </w:r>
      <w:r w:rsidR="00523810">
        <w:t xml:space="preserve"> minutes on average explaining the study to the household member, getting them started on the videos, and answering any questions they might have. </w:t>
      </w:r>
      <w:r w:rsidR="002C0F86">
        <w:t>The expected total burden for the PR</w:t>
      </w:r>
      <w:r w:rsidR="005914F8">
        <w:t>s</w:t>
      </w:r>
      <w:r w:rsidR="002C0F86">
        <w:t xml:space="preserve"> is </w:t>
      </w:r>
      <w:r w:rsidR="005914F8">
        <w:t>37</w:t>
      </w:r>
      <w:r w:rsidR="002C0F86">
        <w:t xml:space="preserve"> hours. The</w:t>
      </w:r>
      <w:r w:rsidR="00523810">
        <w:t xml:space="preserve"> expected burden for </w:t>
      </w:r>
      <w:r w:rsidR="00C242B7">
        <w:t>other household members who choose to review all study materials and watch the video</w:t>
      </w:r>
      <w:r w:rsidR="00523810">
        <w:t xml:space="preserve">s </w:t>
      </w:r>
      <w:r w:rsidR="00C242B7">
        <w:t xml:space="preserve">is </w:t>
      </w:r>
      <w:r w:rsidR="00345C57">
        <w:t>45</w:t>
      </w:r>
      <w:r w:rsidR="00523810">
        <w:t xml:space="preserve"> minutes </w:t>
      </w:r>
      <w:r w:rsidR="00345C57">
        <w:t>as well</w:t>
      </w:r>
      <w:r w:rsidR="002C0F86">
        <w:t>, for a</w:t>
      </w:r>
      <w:r w:rsidR="005914F8">
        <w:t>nother</w:t>
      </w:r>
      <w:r w:rsidR="002C0F86">
        <w:t xml:space="preserve"> total burden of </w:t>
      </w:r>
      <w:r w:rsidR="005914F8">
        <w:t>37</w:t>
      </w:r>
      <w:r w:rsidR="002C0F86">
        <w:t xml:space="preserve"> hours</w:t>
      </w:r>
      <w:r w:rsidR="00523810">
        <w:t>.</w:t>
      </w:r>
      <w:r w:rsidR="002C0F86">
        <w:t xml:space="preserve"> Due to the PR’s agreement to participate in the study, we do not anticipate any refusals among the household members </w:t>
      </w:r>
      <w:r w:rsidR="00002ABE">
        <w:t>due to training issues</w:t>
      </w:r>
      <w:r w:rsidR="00002ABE">
        <w:rPr>
          <w:rStyle w:val="FootnoteReference"/>
        </w:rPr>
        <w:footnoteReference w:id="29"/>
      </w:r>
      <w:r w:rsidR="002C0F86">
        <w:t>.</w:t>
      </w:r>
    </w:p>
    <w:p w:rsidRPr="008320A9" w:rsidR="00C35C10" w:rsidP="00C35C10" w:rsidRDefault="00C35C10" w14:paraId="25E486C7" w14:textId="08AAD520">
      <w:pPr>
        <w:pStyle w:val="N1-1stBullet"/>
      </w:pPr>
      <w:r w:rsidRPr="008320A9">
        <w:rPr>
          <w:b/>
        </w:rPr>
        <w:t>Assent/Consent Form.</w:t>
      </w:r>
      <w:r w:rsidRPr="008320A9">
        <w:t xml:space="preserve"> The first time each participant age 16 or above accesses the food log system they will</w:t>
      </w:r>
      <w:r w:rsidR="00002ABE">
        <w:t xml:space="preserve"> be presented with </w:t>
      </w:r>
      <w:proofErr w:type="gramStart"/>
      <w:r w:rsidR="00002ABE">
        <w:t>legally-required</w:t>
      </w:r>
      <w:proofErr w:type="gramEnd"/>
      <w:r w:rsidR="00002ABE">
        <w:t xml:space="preserve"> disclaimer information. The participant cannot proceed with participating in the study without navigating through </w:t>
      </w:r>
      <w:proofErr w:type="gramStart"/>
      <w:r w:rsidR="00002ABE">
        <w:t>these log</w:t>
      </w:r>
      <w:proofErr w:type="gramEnd"/>
      <w:r w:rsidR="00002ABE">
        <w:t xml:space="preserve"> in screens (Attachments F4 and F5) and confirming that they </w:t>
      </w:r>
      <w:r w:rsidRPr="008320A9">
        <w:t xml:space="preserve">agree to take part in the study. </w:t>
      </w:r>
      <w:r w:rsidR="00002ABE">
        <w:t>A hardcopy Household Consent Form and Disclaimer will also be available for the participant to consult at any time during the study period.</w:t>
      </w:r>
      <w:r w:rsidR="003B00DE">
        <w:t xml:space="preserve"> </w:t>
      </w:r>
      <w:r w:rsidRPr="008320A9">
        <w:t xml:space="preserve">Assuming that everybody who consents to training will also consent to participate, then </w:t>
      </w:r>
      <w:r w:rsidR="002C0F86">
        <w:t>9</w:t>
      </w:r>
      <w:r w:rsidR="00834C56">
        <w:t>57</w:t>
      </w:r>
      <w:r w:rsidRPr="008320A9">
        <w:t xml:space="preserve"> household members </w:t>
      </w:r>
      <w:r w:rsidR="002C0F86">
        <w:t>(908+</w:t>
      </w:r>
      <w:r w:rsidR="00834C56">
        <w:t>49</w:t>
      </w:r>
      <w:r w:rsidR="002C0F86">
        <w:t xml:space="preserve">) </w:t>
      </w:r>
      <w:r w:rsidRPr="008320A9">
        <w:t xml:space="preserve">will agree. Reading and signing the consent form should take an average of 1 minute per participant, for a total of </w:t>
      </w:r>
      <w:r w:rsidR="002C0F86">
        <w:t>16</w:t>
      </w:r>
      <w:r w:rsidRPr="008320A9">
        <w:t xml:space="preserve"> hours.  </w:t>
      </w:r>
    </w:p>
    <w:p w:rsidRPr="008320A9" w:rsidR="00C35C10" w:rsidP="00C35C10" w:rsidRDefault="00C35C10" w14:paraId="4B134D05" w14:textId="68B3C1E7">
      <w:pPr>
        <w:pStyle w:val="N1-1stBullet"/>
      </w:pPr>
      <w:r w:rsidRPr="008320A9">
        <w:rPr>
          <w:b/>
        </w:rPr>
        <w:t xml:space="preserve">Income </w:t>
      </w:r>
      <w:r w:rsidR="002C0F86">
        <w:rPr>
          <w:b/>
        </w:rPr>
        <w:t>Questionnaire</w:t>
      </w:r>
      <w:r w:rsidRPr="008320A9">
        <w:rPr>
          <w:b/>
        </w:rPr>
        <w:t>.</w:t>
      </w:r>
      <w:r w:rsidRPr="008320A9">
        <w:t xml:space="preserve"> </w:t>
      </w:r>
      <w:r w:rsidR="002C0F86">
        <w:t>9</w:t>
      </w:r>
      <w:r w:rsidR="00834C56">
        <w:t>57</w:t>
      </w:r>
      <w:r w:rsidRPr="008320A9">
        <w:t xml:space="preserve"> persons aged 16 and up will be asked to provide information on income. Assuming an 85.0% response rate, an estimated </w:t>
      </w:r>
      <w:r w:rsidR="002C0F86">
        <w:t>8</w:t>
      </w:r>
      <w:r w:rsidR="00834C56">
        <w:t>13</w:t>
      </w:r>
      <w:r w:rsidRPr="008320A9">
        <w:t xml:space="preserve"> persons will complete the </w:t>
      </w:r>
      <w:r w:rsidR="002C0F86">
        <w:t>questionnaire</w:t>
      </w:r>
      <w:r w:rsidRPr="008320A9">
        <w:t xml:space="preserve">. Estimated burden is 15 minutes per respondent, or </w:t>
      </w:r>
      <w:r w:rsidR="002C0F86">
        <w:t>20</w:t>
      </w:r>
      <w:r w:rsidR="00834C56">
        <w:t>3</w:t>
      </w:r>
      <w:r w:rsidRPr="008320A9">
        <w:t xml:space="preserve"> hours across all respondents. The remaining </w:t>
      </w:r>
      <w:r w:rsidR="002C0F86">
        <w:t>14</w:t>
      </w:r>
      <w:r w:rsidR="00834C56">
        <w:t>4</w:t>
      </w:r>
      <w:r w:rsidRPr="008320A9">
        <w:t xml:space="preserve"> persons who fail to complete their </w:t>
      </w:r>
      <w:r w:rsidR="002C0F86">
        <w:t>questionnaire</w:t>
      </w:r>
      <w:r w:rsidRPr="008320A9">
        <w:t xml:space="preserve"> will receive reminder notices when using the food log.  The estimated burden of reading these reminders is </w:t>
      </w:r>
      <w:r w:rsidR="00827B41">
        <w:t>1</w:t>
      </w:r>
      <w:r w:rsidRPr="008320A9">
        <w:t xml:space="preserve"> minute </w:t>
      </w:r>
      <w:r w:rsidR="00827B41">
        <w:t>per day or 7 minutes per week</w:t>
      </w:r>
      <w:r w:rsidRPr="008320A9">
        <w:t xml:space="preserve">, </w:t>
      </w:r>
      <w:r w:rsidR="00827B41">
        <w:t>f</w:t>
      </w:r>
      <w:r w:rsidRPr="008320A9">
        <w:t xml:space="preserve">or </w:t>
      </w:r>
      <w:r w:rsidR="002C0F86">
        <w:t>17</w:t>
      </w:r>
      <w:r w:rsidRPr="008320A9">
        <w:t xml:space="preserve"> hours total.</w:t>
      </w:r>
    </w:p>
    <w:p w:rsidRPr="008320A9" w:rsidR="00EC0646" w:rsidRDefault="00C35C10" w14:paraId="732D1E3C" w14:textId="03B7D8BD">
      <w:pPr>
        <w:pStyle w:val="N1-1stBullet"/>
      </w:pPr>
      <w:r w:rsidRPr="008320A9">
        <w:rPr>
          <w:b/>
        </w:rPr>
        <w:t>Food Log.</w:t>
      </w:r>
      <w:r w:rsidRPr="008320A9">
        <w:t xml:space="preserve"> We anticipate assigning food logs to an estimated </w:t>
      </w:r>
      <w:r w:rsidR="002C0F86">
        <w:t>9</w:t>
      </w:r>
      <w:r w:rsidR="00834C56">
        <w:t>57</w:t>
      </w:r>
      <w:r w:rsidRPr="008320A9">
        <w:t xml:space="preserve"> persons age 16 years or older. We expect an 85.0% completion rate, receiving completed logs from </w:t>
      </w:r>
      <w:r w:rsidR="002C0F86">
        <w:t>8</w:t>
      </w:r>
      <w:r w:rsidR="00834C56">
        <w:t>13</w:t>
      </w:r>
      <w:r w:rsidRPr="008320A9">
        <w:t xml:space="preserve"> persons. The Food Log is expected to take </w:t>
      </w:r>
      <w:r w:rsidR="00614EF8">
        <w:t>an average of</w:t>
      </w:r>
      <w:r w:rsidRPr="008320A9">
        <w:t xml:space="preserve"> 7 minutes per day to complete, for a total of </w:t>
      </w:r>
      <w:r w:rsidR="00EC0646">
        <w:t>6</w:t>
      </w:r>
      <w:r w:rsidR="00834C56">
        <w:t>64</w:t>
      </w:r>
      <w:r w:rsidRPr="008320A9">
        <w:t xml:space="preserve"> hours. </w:t>
      </w:r>
    </w:p>
    <w:p w:rsidR="00EC0646" w:rsidP="00EC0646" w:rsidRDefault="00C35C10" w14:paraId="596295B6" w14:textId="5CCA0551">
      <w:pPr>
        <w:pStyle w:val="N1-1stBullet"/>
        <w:numPr>
          <w:ilvl w:val="0"/>
          <w:numId w:val="0"/>
        </w:numPr>
        <w:ind w:left="1170"/>
      </w:pPr>
      <w:r w:rsidRPr="008320A9">
        <w:t xml:space="preserve">We anticipate that we will not receive logs for </w:t>
      </w:r>
      <w:r w:rsidR="00EC0646">
        <w:t>14</w:t>
      </w:r>
      <w:r w:rsidR="00834C56">
        <w:t>4</w:t>
      </w:r>
      <w:r w:rsidRPr="008320A9">
        <w:t xml:space="preserve"> individuals, but they will spend an average of 3 minutes per day reading reminders </w:t>
      </w:r>
      <w:r w:rsidR="00614EF8">
        <w:t xml:space="preserve">in the Food Log </w:t>
      </w:r>
      <w:r w:rsidRPr="008320A9">
        <w:t xml:space="preserve">encouraging them to participate, for a total burden of </w:t>
      </w:r>
      <w:r w:rsidR="00EC0646">
        <w:t>5</w:t>
      </w:r>
      <w:r w:rsidR="00834C56">
        <w:t>0</w:t>
      </w:r>
      <w:r w:rsidRPr="008320A9">
        <w:t xml:space="preserve"> hours. Total burden across the responders and non-responders is estimated at </w:t>
      </w:r>
      <w:r w:rsidR="00EC0646">
        <w:t>7</w:t>
      </w:r>
      <w:r w:rsidR="00834C56">
        <w:t>14</w:t>
      </w:r>
      <w:r w:rsidRPr="008320A9">
        <w:t xml:space="preserve"> hours.</w:t>
      </w:r>
      <w:r w:rsidR="00EC0646">
        <w:t xml:space="preserve"> </w:t>
      </w:r>
    </w:p>
    <w:p w:rsidRPr="008320A9" w:rsidR="00EC0646" w:rsidP="00EC0646" w:rsidRDefault="00EC0646" w14:paraId="24983461" w14:textId="4A915218">
      <w:pPr>
        <w:pStyle w:val="N1-1stBullet"/>
      </w:pPr>
      <w:r w:rsidRPr="004255B6">
        <w:rPr>
          <w:b/>
        </w:rPr>
        <w:t>Food Log (proxy).</w:t>
      </w:r>
      <w:r w:rsidRPr="008320A9">
        <w:t xml:space="preserve"> The PR is expected to complete food logs by proxy for an estimated </w:t>
      </w:r>
      <w:r w:rsidR="001033DF">
        <w:t>273</w:t>
      </w:r>
      <w:r w:rsidRPr="008320A9">
        <w:t xml:space="preserve"> children under 11</w:t>
      </w:r>
      <w:r>
        <w:t xml:space="preserve"> (</w:t>
      </w:r>
      <w:r w:rsidR="001033DF">
        <w:t>454*2.99</w:t>
      </w:r>
      <w:r>
        <w:t>*.201)</w:t>
      </w:r>
      <w:r w:rsidRPr="008320A9">
        <w:t xml:space="preserve">. As many of these children will have no food events to report, the average time to complete the Food Log is expected to take about 4 minutes per day to complete, for a total of </w:t>
      </w:r>
      <w:r w:rsidR="001033DF">
        <w:t>127</w:t>
      </w:r>
      <w:r w:rsidRPr="008320A9">
        <w:t xml:space="preserve"> hours. </w:t>
      </w:r>
    </w:p>
    <w:p w:rsidRPr="008320A9" w:rsidR="00C35C10" w:rsidP="00C35C10" w:rsidRDefault="00C35C10" w14:paraId="31B158E2" w14:textId="63FF38C3">
      <w:pPr>
        <w:pStyle w:val="N1-1stBullet"/>
      </w:pPr>
      <w:r w:rsidRPr="008320A9">
        <w:rPr>
          <w:b/>
        </w:rPr>
        <w:t>Profile Questionnaire.</w:t>
      </w:r>
      <w:r w:rsidRPr="008320A9">
        <w:t xml:space="preserve"> We assume that the number of these forms </w:t>
      </w:r>
      <w:r w:rsidRPr="008320A9" w:rsidR="009B2467">
        <w:t>assigned,</w:t>
      </w:r>
      <w:r w:rsidRPr="008320A9">
        <w:t xml:space="preserve"> and percent completed will be the same as </w:t>
      </w:r>
      <w:r w:rsidR="00827B41">
        <w:t xml:space="preserve">for </w:t>
      </w:r>
      <w:r w:rsidRPr="008320A9">
        <w:t xml:space="preserve">the Food Log. The estimated average burden for this form is 6 minutes, for a total burden of </w:t>
      </w:r>
      <w:r w:rsidR="00EC0646">
        <w:t>8</w:t>
      </w:r>
      <w:r w:rsidR="00834C56">
        <w:t>1</w:t>
      </w:r>
      <w:r w:rsidRPr="008320A9">
        <w:t xml:space="preserve"> hours. For the 1</w:t>
      </w:r>
      <w:r w:rsidR="00EC0646">
        <w:t>4</w:t>
      </w:r>
      <w:r w:rsidR="00834C56">
        <w:t>4</w:t>
      </w:r>
      <w:r w:rsidRPr="008320A9">
        <w:t xml:space="preserve"> non-responding persons, estimated burden is 1 minute per day</w:t>
      </w:r>
      <w:r w:rsidR="00827B41">
        <w:t xml:space="preserve"> (7 minutes total)</w:t>
      </w:r>
      <w:r w:rsidRPr="008320A9">
        <w:t xml:space="preserve">, or a total of </w:t>
      </w:r>
      <w:r w:rsidR="00EC0646">
        <w:t>17</w:t>
      </w:r>
      <w:r w:rsidRPr="008320A9">
        <w:t xml:space="preserve"> hours.</w:t>
      </w:r>
    </w:p>
    <w:p w:rsidR="00C35C10" w:rsidP="00C35C10" w:rsidRDefault="00C35C10" w14:paraId="7BABA1DA" w14:textId="508314D5">
      <w:pPr>
        <w:pStyle w:val="N1-1stBullet"/>
      </w:pPr>
      <w:r w:rsidRPr="008320A9">
        <w:rPr>
          <w:b/>
        </w:rPr>
        <w:t>Profile Questionnaire (proxy).</w:t>
      </w:r>
      <w:r w:rsidRPr="008320A9">
        <w:t xml:space="preserve"> The PR is expected to complete profile questionnaires by proxy for an estimated </w:t>
      </w:r>
      <w:r w:rsidR="001033DF">
        <w:t>273</w:t>
      </w:r>
      <w:r w:rsidRPr="008320A9">
        <w:t xml:space="preserve"> children under 11. The Profile Questionnaire for children this age is expected to take less time, 3 minutes, to complete </w:t>
      </w:r>
      <w:r w:rsidR="00827B41">
        <w:t>than</w:t>
      </w:r>
      <w:r w:rsidRPr="008320A9">
        <w:t xml:space="preserve"> for older children and adults because </w:t>
      </w:r>
      <w:r w:rsidRPr="008320A9" w:rsidR="009B2467">
        <w:t>several</w:t>
      </w:r>
      <w:r w:rsidRPr="008320A9">
        <w:t xml:space="preserve"> questions about employment and service in the military do not pertain to them. Total burden is expected to be </w:t>
      </w:r>
      <w:r w:rsidR="00827B41">
        <w:t>1</w:t>
      </w:r>
      <w:r w:rsidR="001033DF">
        <w:t>4</w:t>
      </w:r>
      <w:r w:rsidRPr="008320A9">
        <w:t xml:space="preserve"> hours.</w:t>
      </w:r>
    </w:p>
    <w:p w:rsidR="00351CD7" w:rsidP="00351CD7" w:rsidRDefault="00351CD7" w14:paraId="34078272" w14:textId="4332BF58">
      <w:pPr>
        <w:pStyle w:val="N1-1stBullet"/>
      </w:pPr>
      <w:bookmarkStart w:name="_Hlk80969764" w:id="149"/>
      <w:r w:rsidRPr="008320A9">
        <w:rPr>
          <w:b/>
        </w:rPr>
        <w:t>Food log by phone interview.</w:t>
      </w:r>
      <w:r w:rsidRPr="008320A9">
        <w:t xml:space="preserve"> </w:t>
      </w:r>
      <w:r w:rsidRPr="008320A9" w:rsidR="00414A1A">
        <w:t xml:space="preserve">The </w:t>
      </w:r>
      <w:r w:rsidR="00414A1A">
        <w:t>14</w:t>
      </w:r>
      <w:r w:rsidRPr="008320A9" w:rsidR="00414A1A">
        <w:t xml:space="preserve"> PRs breaking off before or during training will be contacted later by a telephone interviewer and offered a chance to participate in the survey through </w:t>
      </w:r>
      <w:r w:rsidR="00414A1A">
        <w:t>3</w:t>
      </w:r>
      <w:r w:rsidRPr="008320A9" w:rsidR="00414A1A">
        <w:t xml:space="preserve"> phone interviews rather than by using the food log. We estimate that </w:t>
      </w:r>
      <w:r w:rsidR="00414A1A">
        <w:t>6</w:t>
      </w:r>
      <w:r w:rsidRPr="008320A9" w:rsidR="00414A1A">
        <w:t xml:space="preserve"> (</w:t>
      </w:r>
      <w:r w:rsidR="00414A1A">
        <w:t>43</w:t>
      </w:r>
      <w:r w:rsidRPr="008320A9" w:rsidR="00414A1A">
        <w:t xml:space="preserve">%) of these </w:t>
      </w:r>
      <w:r w:rsidR="00414A1A">
        <w:t>14</w:t>
      </w:r>
      <w:r w:rsidRPr="008320A9" w:rsidR="00414A1A">
        <w:t xml:space="preserve"> households will agree to participate if they do not have to rely on using technology to enter their data.</w:t>
      </w:r>
      <w:r w:rsidR="00414A1A">
        <w:t xml:space="preserve"> </w:t>
      </w:r>
      <w:r w:rsidRPr="008320A9">
        <w:t>As the telephone interviewers will be entering information about food events in a web-based version of the food log, we expect these interviews to last about 7 minutes per person-day being reported. With an average household size of nearly 3</w:t>
      </w:r>
      <w:r>
        <w:t>, the phone interviewer will need to collect information about food acquisitions from the PR for an average of 21 person-days during the week. With 3 calls planned, the PR will be reporting an average of 7 person-days of acquisitions during each call.</w:t>
      </w:r>
      <w:r w:rsidRPr="008320A9">
        <w:t xml:space="preserve"> Each reporting episode is expected to average </w:t>
      </w:r>
      <w:r w:rsidR="00844116">
        <w:t>49</w:t>
      </w:r>
      <w:r w:rsidRPr="008320A9">
        <w:t xml:space="preserve"> minutes</w:t>
      </w:r>
      <w:r>
        <w:rPr>
          <w:rStyle w:val="FootnoteReference"/>
        </w:rPr>
        <w:footnoteReference w:id="30"/>
      </w:r>
      <w:r w:rsidRPr="008320A9">
        <w:t xml:space="preserve">, for a burden of </w:t>
      </w:r>
      <w:r w:rsidR="00844116">
        <w:t>1</w:t>
      </w:r>
      <w:r w:rsidR="007E3119">
        <w:t>5</w:t>
      </w:r>
      <w:r w:rsidRPr="008320A9">
        <w:t xml:space="preserve"> hours. </w:t>
      </w:r>
      <w:bookmarkStart w:name="_Hlk80986052" w:id="150"/>
    </w:p>
    <w:bookmarkEnd w:id="149"/>
    <w:bookmarkEnd w:id="150"/>
    <w:p w:rsidR="00351CD7" w:rsidP="00351CD7" w:rsidRDefault="00351CD7" w14:paraId="1F24145A" w14:textId="302B60EB">
      <w:pPr>
        <w:pStyle w:val="N1-1stBullet"/>
      </w:pPr>
      <w:r>
        <w:rPr>
          <w:b/>
        </w:rPr>
        <w:t>Memory Jogger.</w:t>
      </w:r>
      <w:r>
        <w:t xml:space="preserve"> The </w:t>
      </w:r>
      <w:r w:rsidR="00EA6590">
        <w:t>6</w:t>
      </w:r>
      <w:r>
        <w:t xml:space="preserve"> PRs who agree to report food acquisitions to a phone interviewer will be given an average of about 14 Memory Jogger sheets to record information about any acquisitions by household members during the week for which a receipt was not saved. Summing data from the ADCM Pilot Study (Table A.7 above) across the week shows that, on average, each household reported 12.8 food acquisition events during the week. Readable receipts were not provided for about 73 percent of all food events during FoodAPS.</w:t>
      </w:r>
      <w:r w:rsidRPr="003A7ADF">
        <w:rPr>
          <w:rStyle w:val="FootnoteReference"/>
        </w:rPr>
        <w:t xml:space="preserve"> </w:t>
      </w:r>
      <w:r>
        <w:rPr>
          <w:rStyle w:val="FootnoteReference"/>
        </w:rPr>
        <w:footnoteReference w:id="31"/>
      </w:r>
      <w:r>
        <w:t xml:space="preserve"> This suggests that, on average, a PR will need about 10 Memory Jogger sheets</w:t>
      </w:r>
      <w:r>
        <w:rPr>
          <w:rStyle w:val="FootnoteReference"/>
        </w:rPr>
        <w:footnoteReference w:id="32"/>
      </w:r>
      <w:r>
        <w:t xml:space="preserve"> to record information about members’ food acquisitions that have no saved receipt.</w:t>
      </w:r>
    </w:p>
    <w:p w:rsidRPr="008320A9" w:rsidR="00351CD7" w:rsidP="00351CD7" w:rsidRDefault="00351CD7" w14:paraId="462D785E" w14:textId="44EA2526">
      <w:pPr>
        <w:pStyle w:val="N1-1stBullet"/>
        <w:numPr>
          <w:ilvl w:val="0"/>
          <w:numId w:val="0"/>
        </w:numPr>
        <w:ind w:left="1170"/>
      </w:pPr>
      <w:r>
        <w:t xml:space="preserve">Each Memory Jogger sheet provides space for the PR or other household member to report information about the acquisition, and the PR can refer to these sheets or actual receipts when responding to the phone interviews. The expected average time to fill out a Memory Jogger sheet is 2 minutes, and the total burden of filling out an estimated </w:t>
      </w:r>
      <w:r w:rsidR="00EA6590">
        <w:t>6</w:t>
      </w:r>
      <w:r>
        <w:t xml:space="preserve">0 sheets </w:t>
      </w:r>
      <w:r w:rsidR="00EA6590">
        <w:t xml:space="preserve">(6*10) </w:t>
      </w:r>
      <w:r>
        <w:t xml:space="preserve">is </w:t>
      </w:r>
      <w:r w:rsidR="00EA6590">
        <w:t>2</w:t>
      </w:r>
      <w:r>
        <w:t xml:space="preserve"> hour</w:t>
      </w:r>
      <w:r w:rsidR="00EA6590">
        <w:t>s</w:t>
      </w:r>
      <w:r>
        <w:t>. We expect no non-responses for this task.</w:t>
      </w:r>
    </w:p>
    <w:p w:rsidRPr="008320A9" w:rsidR="00351CD7" w:rsidP="00351CD7" w:rsidRDefault="00351CD7" w14:paraId="596F866A" w14:textId="7086B8B5">
      <w:pPr>
        <w:pStyle w:val="N1-1stBullet"/>
      </w:pPr>
      <w:r w:rsidRPr="008320A9">
        <w:rPr>
          <w:b/>
        </w:rPr>
        <w:t>Profile Questionnaire by phone interview.</w:t>
      </w:r>
      <w:r w:rsidRPr="008320A9">
        <w:t xml:space="preserve"> For those PRs reporting food events by telephone, the interviewer will ask them for information to fill in the Profile Questionnaire for each household member. The </w:t>
      </w:r>
      <w:r w:rsidR="00EA6590">
        <w:t>6</w:t>
      </w:r>
      <w:r w:rsidRPr="008320A9">
        <w:t xml:space="preserve"> PRs (100%) are </w:t>
      </w:r>
      <w:r>
        <w:t xml:space="preserve">each </w:t>
      </w:r>
      <w:r w:rsidRPr="008320A9">
        <w:t xml:space="preserve">expected to provide information for </w:t>
      </w:r>
      <w:r>
        <w:t xml:space="preserve">an average of 3 household members, or </w:t>
      </w:r>
      <w:r w:rsidR="00EA6590">
        <w:t>18</w:t>
      </w:r>
      <w:r w:rsidRPr="008320A9">
        <w:t xml:space="preserve"> household members</w:t>
      </w:r>
      <w:r>
        <w:t xml:space="preserve"> in total</w:t>
      </w:r>
      <w:r w:rsidRPr="008320A9">
        <w:t xml:space="preserve">. Estimated time to provide the profile information will average about 6 minutes per person, for </w:t>
      </w:r>
      <w:r w:rsidR="00EA6590">
        <w:t>2</w:t>
      </w:r>
      <w:r w:rsidRPr="008320A9">
        <w:t xml:space="preserve"> burden hour</w:t>
      </w:r>
      <w:r w:rsidR="00EA6590">
        <w:t>s</w:t>
      </w:r>
      <w:r w:rsidRPr="008320A9">
        <w:t>.</w:t>
      </w:r>
    </w:p>
    <w:p w:rsidR="00351CD7" w:rsidP="00351CD7" w:rsidRDefault="00351CD7" w14:paraId="2684694D" w14:textId="61B65778">
      <w:pPr>
        <w:pStyle w:val="N1-1stBullet"/>
      </w:pPr>
      <w:r w:rsidRPr="008320A9">
        <w:rPr>
          <w:b/>
        </w:rPr>
        <w:t xml:space="preserve">Income </w:t>
      </w:r>
      <w:r>
        <w:rPr>
          <w:b/>
        </w:rPr>
        <w:t>Questionnaire</w:t>
      </w:r>
      <w:r w:rsidRPr="008320A9">
        <w:rPr>
          <w:b/>
        </w:rPr>
        <w:t xml:space="preserve"> by Phone Interview.</w:t>
      </w:r>
      <w:r w:rsidRPr="008320A9">
        <w:t xml:space="preserve"> </w:t>
      </w:r>
      <w:r>
        <w:t>T</w:t>
      </w:r>
      <w:r w:rsidRPr="008320A9">
        <w:t>he telephone interviewer</w:t>
      </w:r>
      <w:r w:rsidR="0058719D">
        <w:t>s</w:t>
      </w:r>
      <w:r w:rsidRPr="008320A9">
        <w:t xml:space="preserve"> will ask </w:t>
      </w:r>
      <w:r w:rsidR="0058719D">
        <w:t xml:space="preserve">the 6 </w:t>
      </w:r>
      <w:r w:rsidRPr="008320A9">
        <w:t xml:space="preserve">PRs </w:t>
      </w:r>
      <w:r w:rsidR="0058719D">
        <w:t xml:space="preserve">who use this mode of collection </w:t>
      </w:r>
      <w:r w:rsidRPr="008320A9">
        <w:t xml:space="preserve">to report income for all household members 16 years or older. </w:t>
      </w:r>
      <w:r w:rsidR="001033DF">
        <w:t>W</w:t>
      </w:r>
      <w:r>
        <w:t>e expect that 7</w:t>
      </w:r>
      <w:r w:rsidR="001033DF">
        <w:t>2.6</w:t>
      </w:r>
      <w:r>
        <w:t xml:space="preserve"> percent of all household members will be 16 years or older, or roughly 2 members in each household. Expected burden for the PR to report income sources and amounts is 15 minutes per member, yielding </w:t>
      </w:r>
      <w:r w:rsidRPr="008320A9">
        <w:t xml:space="preserve">a </w:t>
      </w:r>
      <w:r>
        <w:t xml:space="preserve">total </w:t>
      </w:r>
      <w:r w:rsidRPr="008320A9">
        <w:t xml:space="preserve">response burden of </w:t>
      </w:r>
      <w:r w:rsidR="00414A1A">
        <w:t>3</w:t>
      </w:r>
      <w:r w:rsidR="007E7F1E">
        <w:t xml:space="preserve"> </w:t>
      </w:r>
      <w:r w:rsidRPr="008320A9">
        <w:t xml:space="preserve">hours. </w:t>
      </w:r>
    </w:p>
    <w:p w:rsidRPr="008320A9" w:rsidR="005F2B3F" w:rsidP="005F2B3F" w:rsidRDefault="005F2B3F" w14:paraId="52D533D2" w14:textId="0A511C07">
      <w:pPr>
        <w:pStyle w:val="L1-FlLSp12"/>
        <w:rPr>
          <w:b/>
        </w:rPr>
      </w:pPr>
      <w:r w:rsidRPr="008320A9">
        <w:rPr>
          <w:b/>
        </w:rPr>
        <w:t>Children Age 11-15</w:t>
      </w:r>
    </w:p>
    <w:p w:rsidRPr="008320A9" w:rsidR="005F2B3F" w:rsidP="005F2B3F" w:rsidRDefault="005F2B3F" w14:paraId="5831EACF" w14:textId="77777777">
      <w:pPr>
        <w:pStyle w:val="L1-FlLSp12"/>
        <w:rPr>
          <w:b/>
        </w:rPr>
      </w:pPr>
    </w:p>
    <w:p w:rsidRPr="008320A9" w:rsidR="005F2B3F" w:rsidP="005F2B3F" w:rsidRDefault="005F2B3F" w14:paraId="0E09FA25" w14:textId="5A7F6DBB">
      <w:pPr>
        <w:pStyle w:val="N1-1stBullet"/>
      </w:pPr>
      <w:r w:rsidRPr="008320A9">
        <w:rPr>
          <w:b/>
        </w:rPr>
        <w:t>Training.</w:t>
      </w:r>
      <w:r w:rsidRPr="008320A9">
        <w:t xml:space="preserve"> Of the expected </w:t>
      </w:r>
      <w:r w:rsidR="003B2786">
        <w:t>1</w:t>
      </w:r>
      <w:r w:rsidR="002823DC">
        <w:t>0</w:t>
      </w:r>
      <w:r w:rsidR="00C724D8">
        <w:t>0</w:t>
      </w:r>
      <w:r w:rsidRPr="008320A9">
        <w:t xml:space="preserve"> children aged 11-15 years in the </w:t>
      </w:r>
      <w:r w:rsidR="002823DC">
        <w:t>454</w:t>
      </w:r>
      <w:r w:rsidRPr="008320A9" w:rsidR="003B2786">
        <w:t xml:space="preserve"> </w:t>
      </w:r>
      <w:r w:rsidRPr="008320A9">
        <w:t>households</w:t>
      </w:r>
      <w:r w:rsidR="003B2786">
        <w:t xml:space="preserve"> for which the PR was trained</w:t>
      </w:r>
      <w:r w:rsidRPr="008320A9">
        <w:t xml:space="preserve">, we anticipate that all will be offered training from the PR and that 95% will accept, which yields a sample size for this entry of </w:t>
      </w:r>
      <w:r w:rsidR="00C724D8">
        <w:t>95</w:t>
      </w:r>
      <w:r w:rsidR="003663D7">
        <w:t xml:space="preserve">. </w:t>
      </w:r>
      <w:r w:rsidR="00C724D8">
        <w:t xml:space="preserve">Using the same expectation for training as was done above for training of members 16 years or older, we estimate that the child will spend </w:t>
      </w:r>
      <w:r w:rsidR="00317E72">
        <w:t>45</w:t>
      </w:r>
      <w:r w:rsidR="00C724D8">
        <w:t xml:space="preserve"> minutes watching training videos. The estimated burden for the children is </w:t>
      </w:r>
      <w:r w:rsidR="00317E72">
        <w:t>71</w:t>
      </w:r>
      <w:r w:rsidR="00C724D8">
        <w:t xml:space="preserve"> hours. </w:t>
      </w:r>
      <w:r w:rsidRPr="008320A9">
        <w:t xml:space="preserve">The remaining </w:t>
      </w:r>
      <w:r w:rsidR="00C724D8">
        <w:t>5</w:t>
      </w:r>
      <w:r w:rsidR="003B2786">
        <w:t xml:space="preserve"> </w:t>
      </w:r>
      <w:r w:rsidRPr="008320A9">
        <w:t xml:space="preserve">children will drop out either because they do not want to </w:t>
      </w:r>
      <w:r w:rsidRPr="008320A9" w:rsidR="009B2467">
        <w:t>participate</w:t>
      </w:r>
      <w:r w:rsidR="006208BF">
        <w:t xml:space="preserve"> or the PR determines that they should not participate. </w:t>
      </w:r>
      <w:r w:rsidRPr="008320A9">
        <w:t xml:space="preserve">This PR interaction with the </w:t>
      </w:r>
      <w:r w:rsidR="00C724D8">
        <w:t>5</w:t>
      </w:r>
      <w:r w:rsidRPr="008320A9">
        <w:t xml:space="preserve"> </w:t>
      </w:r>
      <w:r w:rsidR="003B2786">
        <w:t>children</w:t>
      </w:r>
      <w:r w:rsidRPr="008320A9" w:rsidR="003B2786">
        <w:t xml:space="preserve"> </w:t>
      </w:r>
      <w:r w:rsidRPr="008320A9">
        <w:t xml:space="preserve">is expected to average 3 minutes, for a </w:t>
      </w:r>
      <w:r w:rsidR="00C724D8">
        <w:t>rounded</w:t>
      </w:r>
      <w:r w:rsidR="003663D7">
        <w:t xml:space="preserve"> </w:t>
      </w:r>
      <w:r w:rsidRPr="008320A9">
        <w:t xml:space="preserve">burden of </w:t>
      </w:r>
      <w:r w:rsidR="00C724D8">
        <w:t>0</w:t>
      </w:r>
      <w:r w:rsidRPr="008320A9">
        <w:t xml:space="preserve"> hour</w:t>
      </w:r>
      <w:r w:rsidR="00C724D8">
        <w:t>s for both the PRs and the children</w:t>
      </w:r>
      <w:r w:rsidRPr="008320A9">
        <w:t>.</w:t>
      </w:r>
    </w:p>
    <w:p w:rsidRPr="008320A9" w:rsidR="005F2B3F" w:rsidP="005F2B3F" w:rsidRDefault="005F2B3F" w14:paraId="2FCE02FB" w14:textId="2E0688D3">
      <w:pPr>
        <w:pStyle w:val="N1-1stBullet"/>
      </w:pPr>
      <w:r w:rsidRPr="008320A9">
        <w:rPr>
          <w:b/>
        </w:rPr>
        <w:t>Assent/Consent Form.</w:t>
      </w:r>
      <w:r w:rsidRPr="008320A9">
        <w:t xml:space="preserve"> The first time each participant between the ages of 11 and </w:t>
      </w:r>
      <w:r w:rsidR="00C510EE">
        <w:t>15</w:t>
      </w:r>
      <w:r w:rsidRPr="008320A9" w:rsidR="00C510EE">
        <w:t xml:space="preserve"> </w:t>
      </w:r>
      <w:r w:rsidRPr="008320A9">
        <w:t xml:space="preserve">accesses the food log system </w:t>
      </w:r>
      <w:r w:rsidRPr="008320A9" w:rsidR="006208BF">
        <w:t>they will</w:t>
      </w:r>
      <w:r w:rsidR="006208BF">
        <w:t xml:space="preserve"> be presented with </w:t>
      </w:r>
      <w:proofErr w:type="gramStart"/>
      <w:r w:rsidR="006208BF">
        <w:t>legally-required</w:t>
      </w:r>
      <w:proofErr w:type="gramEnd"/>
      <w:r w:rsidR="006208BF">
        <w:t xml:space="preserve"> disclaimer information. The participant cannot proceed with participating in the study without navigating through </w:t>
      </w:r>
      <w:proofErr w:type="gramStart"/>
      <w:r w:rsidR="006208BF">
        <w:t>these log</w:t>
      </w:r>
      <w:proofErr w:type="gramEnd"/>
      <w:r w:rsidR="006208BF">
        <w:t xml:space="preserve"> in screens (Attachments F4 and F5) and confirming that they </w:t>
      </w:r>
      <w:r w:rsidRPr="008320A9" w:rsidR="006208BF">
        <w:t xml:space="preserve">agree to take part in the study. </w:t>
      </w:r>
      <w:r w:rsidR="006208BF">
        <w:t>A hardcopy Household Consent Form and Disclaimer will also be available for the participant to consult at any time during the study period.</w:t>
      </w:r>
      <w:r w:rsidR="00F06359">
        <w:t xml:space="preserve"> </w:t>
      </w:r>
      <w:r w:rsidRPr="008320A9">
        <w:t xml:space="preserve">Assuming that everybody who consents to training will also consent to participate, then </w:t>
      </w:r>
      <w:r w:rsidR="00C510EE">
        <w:t>95</w:t>
      </w:r>
      <w:r w:rsidRPr="008320A9">
        <w:t xml:space="preserve"> children will agree. Reading and signing the consent form should take an average of 1 minute per participant, for a total of 2 hours.  </w:t>
      </w:r>
    </w:p>
    <w:p w:rsidRPr="008320A9" w:rsidR="005F2B3F" w:rsidP="005F2B3F" w:rsidRDefault="005F2B3F" w14:paraId="0D55311A" w14:textId="3020EDCA">
      <w:pPr>
        <w:pStyle w:val="N1-1stBullet"/>
      </w:pPr>
      <w:r w:rsidRPr="008320A9">
        <w:rPr>
          <w:b/>
        </w:rPr>
        <w:t>Food Log.</w:t>
      </w:r>
      <w:r w:rsidRPr="008320A9">
        <w:t xml:space="preserve"> With an expected 85.0% completion rate</w:t>
      </w:r>
      <w:r w:rsidR="00C510EE">
        <w:t xml:space="preserve"> among children giving assent</w:t>
      </w:r>
      <w:r w:rsidRPr="008320A9">
        <w:t xml:space="preserve">, we anticipate that </w:t>
      </w:r>
      <w:r w:rsidR="00C510EE">
        <w:t>81</w:t>
      </w:r>
      <w:r w:rsidRPr="008320A9">
        <w:t xml:space="preserve"> children in this age group will complete their food logs. The food log is expected to take about </w:t>
      </w:r>
      <w:r w:rsidR="003663D7">
        <w:t>7</w:t>
      </w:r>
      <w:r w:rsidRPr="008320A9">
        <w:t xml:space="preserve"> minutes per day to complete, for a total of </w:t>
      </w:r>
      <w:r w:rsidR="00C510EE">
        <w:t>66</w:t>
      </w:r>
      <w:r w:rsidRPr="008320A9">
        <w:t xml:space="preserve"> hours. We anticipate that we will not receive logs for 1</w:t>
      </w:r>
      <w:r w:rsidR="00C510EE">
        <w:t>4</w:t>
      </w:r>
      <w:r w:rsidRPr="008320A9">
        <w:t xml:space="preserve"> children, but they will spend an average of 3 minutes per day either reading reminders to fill out the form or listening to other household members encouraging them to participate, for a total burden of </w:t>
      </w:r>
      <w:r w:rsidR="00C510EE">
        <w:t>5</w:t>
      </w:r>
      <w:r w:rsidRPr="008320A9">
        <w:t xml:space="preserve"> hours.</w:t>
      </w:r>
    </w:p>
    <w:p w:rsidRPr="008320A9" w:rsidR="005F2B3F" w:rsidP="005F2B3F" w:rsidRDefault="005F2B3F" w14:paraId="184964BA" w14:textId="54257024">
      <w:pPr>
        <w:pStyle w:val="N1-1stBullet"/>
      </w:pPr>
      <w:r w:rsidRPr="008320A9">
        <w:rPr>
          <w:b/>
        </w:rPr>
        <w:t>Profile Questionnaire.</w:t>
      </w:r>
      <w:r w:rsidRPr="008320A9">
        <w:t xml:space="preserve"> We assume that the number of these forms </w:t>
      </w:r>
      <w:r w:rsidRPr="008320A9" w:rsidR="009B2467">
        <w:t>assigned,</w:t>
      </w:r>
      <w:r w:rsidRPr="008320A9">
        <w:t xml:space="preserve"> and percent completed will be the same as for the food log. The estimated average burden for this form is 3 minutes for children aged 11-15, for a total burden of </w:t>
      </w:r>
      <w:r w:rsidR="00C510EE">
        <w:t>4</w:t>
      </w:r>
      <w:r w:rsidRPr="008320A9">
        <w:t xml:space="preserve"> hours. For the 1</w:t>
      </w:r>
      <w:r w:rsidR="00C510EE">
        <w:t>4</w:t>
      </w:r>
      <w:r w:rsidRPr="008320A9">
        <w:t xml:space="preserve"> non-responding children, estimated burden is 1 minute</w:t>
      </w:r>
      <w:r w:rsidR="00FB3572">
        <w:t xml:space="preserve"> each</w:t>
      </w:r>
      <w:r w:rsidRPr="008320A9">
        <w:t>, or a total of 1</w:t>
      </w:r>
      <w:r w:rsidR="00C510EE">
        <w:t>4</w:t>
      </w:r>
      <w:r w:rsidR="00FB3572">
        <w:t xml:space="preserve"> </w:t>
      </w:r>
      <w:r w:rsidRPr="008320A9">
        <w:t>minutes, which rounds to 0 hours.</w:t>
      </w:r>
    </w:p>
    <w:p w:rsidRPr="00852B8F" w:rsidR="004A23F8" w:rsidP="004A23F8" w:rsidRDefault="004A23F8" w14:paraId="52FFF83F" w14:textId="0CE37A26">
      <w:pPr>
        <w:pStyle w:val="L1-FlLSp12"/>
        <w:rPr>
          <w:szCs w:val="24"/>
        </w:rPr>
      </w:pPr>
      <w:r w:rsidRPr="00852B8F">
        <w:rPr>
          <w:szCs w:val="24"/>
        </w:rPr>
        <w:t>The total respondent burden associated with participat</w:t>
      </w:r>
      <w:r w:rsidR="00CF496E">
        <w:rPr>
          <w:szCs w:val="24"/>
        </w:rPr>
        <w:t>i</w:t>
      </w:r>
      <w:r w:rsidR="00B5426B">
        <w:rPr>
          <w:szCs w:val="24"/>
        </w:rPr>
        <w:t>o</w:t>
      </w:r>
      <w:r w:rsidR="00CF496E">
        <w:rPr>
          <w:szCs w:val="24"/>
        </w:rPr>
        <w:t>n</w:t>
      </w:r>
      <w:r w:rsidRPr="00852B8F">
        <w:rPr>
          <w:szCs w:val="24"/>
        </w:rPr>
        <w:t xml:space="preserve"> in the FoodAPS-2 Field Test is es</w:t>
      </w:r>
      <w:r w:rsidRPr="00852B8F" w:rsidR="003C23B4">
        <w:rPr>
          <w:szCs w:val="24"/>
        </w:rPr>
        <w:t xml:space="preserve">timated to be </w:t>
      </w:r>
      <w:r w:rsidR="00317E72">
        <w:rPr>
          <w:szCs w:val="24"/>
        </w:rPr>
        <w:t>3,</w:t>
      </w:r>
      <w:r w:rsidR="002A1690">
        <w:rPr>
          <w:szCs w:val="24"/>
        </w:rPr>
        <w:t>2</w:t>
      </w:r>
      <w:r w:rsidR="00844116">
        <w:rPr>
          <w:szCs w:val="24"/>
        </w:rPr>
        <w:t>1</w:t>
      </w:r>
      <w:r w:rsidR="002A1690">
        <w:rPr>
          <w:szCs w:val="24"/>
        </w:rPr>
        <w:t>1</w:t>
      </w:r>
      <w:r w:rsidRPr="00852B8F">
        <w:rPr>
          <w:szCs w:val="24"/>
        </w:rPr>
        <w:t xml:space="preserve"> hours.</w:t>
      </w:r>
    </w:p>
    <w:p w:rsidRPr="00852B8F" w:rsidR="00656414" w:rsidP="00656414" w:rsidRDefault="00656414" w14:paraId="40E36593" w14:textId="77777777">
      <w:pPr>
        <w:pStyle w:val="L1-FlLSp12"/>
        <w:rPr>
          <w:szCs w:val="24"/>
        </w:rPr>
      </w:pPr>
    </w:p>
    <w:p w:rsidR="0019396F" w:rsidRDefault="0019396F" w14:paraId="4164DE1A" w14:textId="77777777">
      <w:pPr>
        <w:spacing w:line="240" w:lineRule="auto"/>
        <w:rPr>
          <w:b/>
          <w:szCs w:val="24"/>
          <w:u w:val="single"/>
        </w:rPr>
      </w:pPr>
      <w:r>
        <w:rPr>
          <w:b/>
          <w:szCs w:val="24"/>
          <w:u w:val="single"/>
        </w:rPr>
        <w:br w:type="page"/>
      </w:r>
    </w:p>
    <w:p w:rsidRPr="00852B8F" w:rsidR="00656414" w:rsidP="00656414" w:rsidRDefault="00656414" w14:paraId="6EBC8653" w14:textId="3C37BD45">
      <w:pPr>
        <w:pStyle w:val="L1-FlLSp12"/>
        <w:rPr>
          <w:b/>
          <w:szCs w:val="24"/>
          <w:u w:val="single"/>
        </w:rPr>
      </w:pPr>
      <w:r w:rsidRPr="00852B8F">
        <w:rPr>
          <w:b/>
          <w:szCs w:val="24"/>
          <w:u w:val="single"/>
        </w:rPr>
        <w:t>Explanation of Annualized Cost Computation</w:t>
      </w:r>
    </w:p>
    <w:p w:rsidRPr="00852B8F" w:rsidR="00656414" w:rsidP="00656414" w:rsidRDefault="00656414" w14:paraId="517A1AC2" w14:textId="77777777">
      <w:pPr>
        <w:pStyle w:val="L1-FlLSp12"/>
        <w:rPr>
          <w:b/>
          <w:szCs w:val="24"/>
        </w:rPr>
      </w:pPr>
    </w:p>
    <w:p w:rsidRPr="00CA2500" w:rsidR="005E2460" w:rsidP="005E2460" w:rsidRDefault="005E2460" w14:paraId="57B0EA51" w14:textId="572B325C">
      <w:pPr>
        <w:pStyle w:val="L1-FlLSp12"/>
      </w:pPr>
      <w:r>
        <w:t xml:space="preserve">Table A.8 shows estimated hourly employer compensation and total annualized costs to respondents to complete each data collection event. The estimated employer </w:t>
      </w:r>
      <w:proofErr w:type="spellStart"/>
      <w:r>
        <w:t>compesation</w:t>
      </w:r>
      <w:proofErr w:type="spellEnd"/>
      <w:r>
        <w:t xml:space="preserve"> costs for private industry workers was $38.07 per hour worked in December 2021 where wage and salary costs </w:t>
      </w:r>
      <w:r w:rsidRPr="00CA2500">
        <w:t>averaged $26.86 and accounted for 70.5 percent of employer costs, while benefit costs were $11.22 and accounted for 29.5 percent</w:t>
      </w:r>
      <w:r w:rsidRPr="00CA2500">
        <w:rPr>
          <w:rStyle w:val="FootnoteReference"/>
        </w:rPr>
        <w:footnoteReference w:id="33"/>
      </w:r>
      <w:r w:rsidRPr="00CA2500">
        <w:t>. The annualized cost for each data collection even was obtained by multiplying the hourly rate by the total burden hours for the event.</w:t>
      </w:r>
    </w:p>
    <w:p w:rsidRPr="00CA2500" w:rsidR="005E2460" w:rsidP="005E2460" w:rsidRDefault="005E2460" w14:paraId="391A0B7B" w14:textId="77777777">
      <w:pPr>
        <w:pStyle w:val="L1-FlLSp12"/>
      </w:pPr>
    </w:p>
    <w:p w:rsidRPr="00CA2500" w:rsidR="005E2460" w:rsidP="005E2460" w:rsidRDefault="005E2460" w14:paraId="71BF68FA" w14:textId="1D915FA6">
      <w:pPr>
        <w:pStyle w:val="NormalSS"/>
        <w:tabs>
          <w:tab w:val="clear" w:pos="432"/>
          <w:tab w:val="left" w:pos="1152"/>
        </w:tabs>
        <w:spacing w:line="360" w:lineRule="atLeast"/>
        <w:ind w:firstLine="0"/>
        <w:jc w:val="left"/>
        <w:rPr>
          <w:rFonts w:ascii="Garamond" w:hAnsi="Garamond"/>
        </w:rPr>
      </w:pPr>
      <w:r w:rsidRPr="00CA2500">
        <w:rPr>
          <w:rFonts w:ascii="Garamond" w:hAnsi="Garamond"/>
        </w:rPr>
        <w:t>The estimated total burden hours and costs associated with participating in the FoodAPS-2 Field Test is 3,211 hours and $122,243 respectively.</w:t>
      </w:r>
    </w:p>
    <w:p w:rsidR="00EB23FE" w:rsidP="00656414" w:rsidRDefault="00EB23FE" w14:paraId="2B029927" w14:textId="66357E93">
      <w:pPr>
        <w:pStyle w:val="L1-FlLSp12"/>
        <w:rPr>
          <w:szCs w:val="24"/>
        </w:rPr>
      </w:pPr>
    </w:p>
    <w:p w:rsidRPr="0019396F" w:rsidR="00232234" w:rsidP="0019396F" w:rsidRDefault="00690FC4" w14:paraId="39A3AFB2" w14:textId="32FE2BBC">
      <w:pPr>
        <w:pStyle w:val="Tabletitle0"/>
      </w:pPr>
      <w:r>
        <w:rPr>
          <w:noProof/>
        </w:rPr>
        <w:drawing>
          <wp:anchor distT="0" distB="0" distL="114300" distR="114300" simplePos="0" relativeHeight="251658240" behindDoc="1" locked="0" layoutInCell="1" allowOverlap="1" wp14:editId="6DEB455E" wp14:anchorId="2B67B753">
            <wp:simplePos x="0" y="0"/>
            <wp:positionH relativeFrom="column">
              <wp:posOffset>-579120</wp:posOffset>
            </wp:positionH>
            <wp:positionV relativeFrom="paragraph">
              <wp:posOffset>213360</wp:posOffset>
            </wp:positionV>
            <wp:extent cx="6958584" cy="5102352"/>
            <wp:effectExtent l="0" t="0" r="0" b="3175"/>
            <wp:wrapTight wrapText="bothSides">
              <wp:wrapPolygon edited="0">
                <wp:start x="0" y="0"/>
                <wp:lineTo x="0" y="21533"/>
                <wp:lineTo x="21525" y="21533"/>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6958584" cy="5102352"/>
                    </a:xfrm>
                    <a:prstGeom prst="rect">
                      <a:avLst/>
                    </a:prstGeom>
                  </pic:spPr>
                </pic:pic>
              </a:graphicData>
            </a:graphic>
            <wp14:sizeRelH relativeFrom="margin">
              <wp14:pctWidth>0</wp14:pctWidth>
            </wp14:sizeRelH>
            <wp14:sizeRelV relativeFrom="margin">
              <wp14:pctHeight>0</wp14:pctHeight>
            </wp14:sizeRelV>
          </wp:anchor>
        </w:drawing>
      </w:r>
      <w:r w:rsidRPr="0019396F" w:rsidR="00E57DD4">
        <w:t xml:space="preserve">Table </w:t>
      </w:r>
      <w:r w:rsidRPr="0019396F" w:rsidR="00202BF1">
        <w:t>A</w:t>
      </w:r>
      <w:r w:rsidRPr="0019396F" w:rsidR="00CD5BF3">
        <w:t>.</w:t>
      </w:r>
      <w:r w:rsidRPr="0019396F" w:rsidR="008E2024">
        <w:t>8</w:t>
      </w:r>
      <w:r w:rsidR="0019396F">
        <w:t>.</w:t>
      </w:r>
      <w:r w:rsidRPr="0019396F" w:rsidR="00202BF1">
        <w:t xml:space="preserve"> </w:t>
      </w:r>
      <w:r w:rsidRPr="0019396F" w:rsidR="00CD5BF3">
        <w:tab/>
      </w:r>
      <w:r w:rsidRPr="0019396F" w:rsidR="00202BF1">
        <w:t>Field Test respondent burden and cost estimate</w:t>
      </w:r>
    </w:p>
    <w:p w:rsidR="00232234" w:rsidRDefault="00232234" w14:paraId="32A21A9B" w14:textId="3D2797FA">
      <w:pPr>
        <w:spacing w:line="240" w:lineRule="auto"/>
        <w:rPr>
          <w:rFonts w:ascii="Franklin Gothic Medium" w:hAnsi="Franklin Gothic Medium"/>
          <w:b/>
          <w:color w:val="324162"/>
          <w:sz w:val="32"/>
        </w:rPr>
      </w:pPr>
    </w:p>
    <w:p w:rsidR="00232234" w:rsidRDefault="00232234" w14:paraId="6EAD2EE0" w14:textId="77777777">
      <w:pPr>
        <w:spacing w:line="240" w:lineRule="auto"/>
        <w:rPr>
          <w:rFonts w:ascii="Franklin Gothic Medium" w:hAnsi="Franklin Gothic Medium"/>
          <w:b/>
          <w:color w:val="324162"/>
          <w:sz w:val="32"/>
        </w:rPr>
      </w:pPr>
    </w:p>
    <w:p w:rsidRPr="003702B9" w:rsidR="00E7449F" w:rsidP="008320A9" w:rsidRDefault="00EB23FE" w14:paraId="2A032F1D" w14:textId="0889BCFD">
      <w:pPr>
        <w:pStyle w:val="Heading2"/>
        <w:ind w:left="0" w:firstLine="0"/>
      </w:pPr>
      <w:bookmarkStart w:name="_Toc514067608" w:id="151"/>
      <w:bookmarkStart w:name="_Toc93499540" w:id="152"/>
      <w:r>
        <w:t>A</w:t>
      </w:r>
      <w:r w:rsidRPr="003702B9" w:rsidR="00E7449F">
        <w:t>.13</w:t>
      </w:r>
      <w:r w:rsidRPr="003702B9" w:rsidR="00E7449F">
        <w:tab/>
        <w:t>Estimates of Other Total Annualized Cost Burden</w:t>
      </w:r>
      <w:bookmarkEnd w:id="151"/>
      <w:bookmarkEnd w:id="152"/>
    </w:p>
    <w:p w:rsidRPr="002F126A" w:rsidR="00E7449F" w:rsidP="00E7449F" w:rsidRDefault="00E7449F" w14:paraId="57332AA0" w14:textId="77777777">
      <w:pPr>
        <w:pStyle w:val="L1-FlLSp12"/>
        <w:rPr>
          <w:b/>
        </w:rPr>
      </w:pPr>
      <w:r w:rsidRPr="002F126A">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701EC" w:rsidR="00E7449F" w:rsidP="00E7449F" w:rsidRDefault="00E7449F" w14:paraId="60F713B7" w14:textId="77777777">
      <w:pPr>
        <w:pStyle w:val="L1-FlLSp12"/>
        <w:rPr>
          <w:szCs w:val="24"/>
        </w:rPr>
      </w:pPr>
    </w:p>
    <w:p w:rsidRPr="009701EC" w:rsidR="00E7449F" w:rsidP="00E7449F" w:rsidRDefault="00E7449F" w14:paraId="01BC3A49" w14:textId="77777777">
      <w:pPr>
        <w:pStyle w:val="L1-FlLSp12"/>
        <w:rPr>
          <w:szCs w:val="24"/>
        </w:rPr>
      </w:pPr>
      <w:r w:rsidRPr="009701EC">
        <w:rPr>
          <w:szCs w:val="24"/>
        </w:rPr>
        <w:t>There are no capital/start-up or ongoing operation/maintenance costs associated with this information collection.</w:t>
      </w:r>
    </w:p>
    <w:p w:rsidRPr="003702B9" w:rsidR="00E7449F" w:rsidP="00E7449F" w:rsidRDefault="00E7449F" w14:paraId="0FCD3B59" w14:textId="2EC7144F">
      <w:pPr>
        <w:pStyle w:val="Heading2"/>
      </w:pPr>
      <w:bookmarkStart w:name="_Toc514067609" w:id="153"/>
      <w:bookmarkStart w:name="_Toc93499541" w:id="154"/>
      <w:r w:rsidRPr="003702B9">
        <w:t>A.14</w:t>
      </w:r>
      <w:r w:rsidRPr="003702B9">
        <w:tab/>
        <w:t>Annualized Cost to the Federal Government</w:t>
      </w:r>
      <w:bookmarkStart w:name="_Toc282506035" w:id="155"/>
      <w:bookmarkEnd w:id="153"/>
      <w:bookmarkEnd w:id="154"/>
    </w:p>
    <w:p w:rsidRPr="002F126A" w:rsidR="00E7449F" w:rsidP="00E7449F" w:rsidRDefault="00E7449F" w14:paraId="4F6A7848" w14:textId="77777777">
      <w:pPr>
        <w:pStyle w:val="L1-FlLSp12"/>
        <w:rPr>
          <w:b/>
        </w:rPr>
      </w:pPr>
      <w:r w:rsidRPr="002F126A">
        <w:rPr>
          <w:b/>
        </w:rPr>
        <w:t>Provide estimates of annualized cost to the Federal Government. Also, provide a description of the method used to estimate cost and any other expense that would not have been incurred without this collection of information.</w:t>
      </w:r>
    </w:p>
    <w:p w:rsidRPr="009701EC" w:rsidR="00E7449F" w:rsidP="00E7449F" w:rsidRDefault="00E7449F" w14:paraId="42954FC7" w14:textId="77777777">
      <w:pPr>
        <w:pStyle w:val="L1-FlLSp12"/>
        <w:rPr>
          <w:szCs w:val="24"/>
        </w:rPr>
      </w:pPr>
    </w:p>
    <w:p w:rsidRPr="009701EC" w:rsidR="00E7449F" w:rsidP="00E7449F" w:rsidRDefault="00E7449F" w14:paraId="7522552A" w14:textId="62114C67">
      <w:pPr>
        <w:spacing w:line="360" w:lineRule="atLeast"/>
        <w:rPr>
          <w:bCs/>
          <w:color w:val="000000"/>
          <w:szCs w:val="24"/>
        </w:rPr>
      </w:pPr>
      <w:r w:rsidRPr="009701EC">
        <w:rPr>
          <w:szCs w:val="24"/>
        </w:rPr>
        <w:t xml:space="preserve">The total annualized cost to the Federal Government </w:t>
      </w:r>
      <w:r w:rsidR="00BA05D3">
        <w:rPr>
          <w:szCs w:val="24"/>
        </w:rPr>
        <w:t xml:space="preserve">is estimated as </w:t>
      </w:r>
      <w:r w:rsidRPr="009701EC">
        <w:rPr>
          <w:szCs w:val="24"/>
        </w:rPr>
        <w:t>$</w:t>
      </w:r>
      <w:r w:rsidR="00B546B4">
        <w:rPr>
          <w:szCs w:val="24"/>
        </w:rPr>
        <w:t>1,</w:t>
      </w:r>
      <w:r w:rsidR="00C155A7">
        <w:rPr>
          <w:szCs w:val="24"/>
        </w:rPr>
        <w:t>810</w:t>
      </w:r>
      <w:r w:rsidR="00B546B4">
        <w:rPr>
          <w:szCs w:val="24"/>
        </w:rPr>
        <w:t>,</w:t>
      </w:r>
      <w:r w:rsidR="00C155A7">
        <w:rPr>
          <w:szCs w:val="24"/>
        </w:rPr>
        <w:t>676</w:t>
      </w:r>
      <w:r w:rsidRPr="009701EC">
        <w:rPr>
          <w:bCs/>
          <w:color w:val="000000"/>
          <w:szCs w:val="24"/>
        </w:rPr>
        <w:t xml:space="preserve">. This cost includes </w:t>
      </w:r>
      <w:r w:rsidR="00B546B4">
        <w:rPr>
          <w:bCs/>
          <w:color w:val="000000"/>
          <w:szCs w:val="24"/>
        </w:rPr>
        <w:t xml:space="preserve">both direct Federal labor costs and </w:t>
      </w:r>
      <w:r w:rsidRPr="009701EC">
        <w:rPr>
          <w:bCs/>
          <w:color w:val="000000"/>
          <w:szCs w:val="24"/>
        </w:rPr>
        <w:t>contract costs.</w:t>
      </w:r>
    </w:p>
    <w:p w:rsidRPr="009701EC" w:rsidR="00E7449F" w:rsidP="00E7449F" w:rsidRDefault="00E7449F" w14:paraId="412A1E39" w14:textId="77777777">
      <w:pPr>
        <w:spacing w:line="360" w:lineRule="atLeast"/>
        <w:rPr>
          <w:bCs/>
          <w:color w:val="000000"/>
          <w:szCs w:val="24"/>
        </w:rPr>
      </w:pPr>
    </w:p>
    <w:p w:rsidRPr="009701EC" w:rsidR="00E7449F" w:rsidP="00E7449F" w:rsidRDefault="00E7449F" w14:paraId="07D65531" w14:textId="73DE102D">
      <w:pPr>
        <w:spacing w:line="360" w:lineRule="atLeast"/>
        <w:rPr>
          <w:bCs/>
          <w:color w:val="000000"/>
          <w:szCs w:val="24"/>
        </w:rPr>
      </w:pPr>
      <w:r w:rsidRPr="009701EC">
        <w:rPr>
          <w:bCs/>
          <w:color w:val="000000"/>
          <w:szCs w:val="24"/>
        </w:rPr>
        <w:t>Direct Federal labor costs are</w:t>
      </w:r>
      <w:r w:rsidR="007B7D35">
        <w:rPr>
          <w:bCs/>
          <w:color w:val="000000"/>
          <w:szCs w:val="24"/>
        </w:rPr>
        <w:t xml:space="preserve"> </w:t>
      </w:r>
      <w:r w:rsidR="0038070C">
        <w:rPr>
          <w:bCs/>
          <w:color w:val="000000"/>
          <w:szCs w:val="24"/>
        </w:rPr>
        <w:t xml:space="preserve">$2,233,435 over five years and six months to support the contract and to provide input on key aspects of and deliverables related to the design, development, execution, and evaluation of the FoodAPS-2 Field Test. Direct Federal Labor costs include the </w:t>
      </w:r>
      <w:r w:rsidR="001F3748">
        <w:rPr>
          <w:bCs/>
          <w:color w:val="000000"/>
          <w:szCs w:val="24"/>
        </w:rPr>
        <w:t xml:space="preserve">total employer compensation costs </w:t>
      </w:r>
      <w:r w:rsidR="0038070C">
        <w:rPr>
          <w:bCs/>
          <w:color w:val="000000"/>
          <w:szCs w:val="24"/>
        </w:rPr>
        <w:t xml:space="preserve">of ERS staff working on the project. </w:t>
      </w:r>
      <w:r w:rsidR="00B546B4">
        <w:rPr>
          <w:bCs/>
          <w:color w:val="000000"/>
          <w:szCs w:val="24"/>
        </w:rPr>
        <w:t>On an annualized basis, direct Federal labor costs are estimated as $406,079.</w:t>
      </w:r>
    </w:p>
    <w:p w:rsidRPr="009701EC" w:rsidR="00E7449F" w:rsidP="00E7449F" w:rsidRDefault="00E7449F" w14:paraId="448EDC2B" w14:textId="77777777">
      <w:pPr>
        <w:spacing w:line="360" w:lineRule="atLeast"/>
        <w:rPr>
          <w:rFonts w:ascii="Calibri" w:hAnsi="Calibri"/>
          <w:bCs/>
          <w:color w:val="000000"/>
          <w:szCs w:val="24"/>
        </w:rPr>
      </w:pPr>
    </w:p>
    <w:p w:rsidR="00C155A7" w:rsidP="00E7449F" w:rsidRDefault="00166FC2" w14:paraId="52B1AC8A" w14:textId="277E977B">
      <w:pPr>
        <w:pStyle w:val="L1-FlLSp12"/>
        <w:rPr>
          <w:szCs w:val="24"/>
        </w:rPr>
      </w:pPr>
      <w:r w:rsidRPr="00166FC2">
        <w:rPr>
          <w:szCs w:val="24"/>
        </w:rPr>
        <w:t>Total contract costs</w:t>
      </w:r>
      <w:r>
        <w:rPr>
          <w:szCs w:val="24"/>
        </w:rPr>
        <w:t xml:space="preserve"> </w:t>
      </w:r>
      <w:r w:rsidR="00351CC6">
        <w:rPr>
          <w:szCs w:val="24"/>
        </w:rPr>
        <w:t>of</w:t>
      </w:r>
      <w:r>
        <w:rPr>
          <w:szCs w:val="24"/>
        </w:rPr>
        <w:t xml:space="preserve"> </w:t>
      </w:r>
      <w:r w:rsidRPr="00166FC2">
        <w:rPr>
          <w:szCs w:val="24"/>
        </w:rPr>
        <w:t>$6,</w:t>
      </w:r>
      <w:r w:rsidR="00351CC6">
        <w:rPr>
          <w:szCs w:val="24"/>
        </w:rPr>
        <w:t>794,281</w:t>
      </w:r>
      <w:r w:rsidRPr="00166FC2">
        <w:rPr>
          <w:szCs w:val="24"/>
        </w:rPr>
        <w:t xml:space="preserve"> </w:t>
      </w:r>
      <w:r w:rsidR="00351CC6">
        <w:rPr>
          <w:szCs w:val="24"/>
        </w:rPr>
        <w:t xml:space="preserve">cover three separate contracts: </w:t>
      </w:r>
      <w:r w:rsidRPr="00166FC2">
        <w:rPr>
          <w:szCs w:val="24"/>
        </w:rPr>
        <w:t xml:space="preserve">the </w:t>
      </w:r>
      <w:r>
        <w:rPr>
          <w:szCs w:val="24"/>
        </w:rPr>
        <w:t xml:space="preserve">main </w:t>
      </w:r>
      <w:r w:rsidRPr="00166FC2">
        <w:rPr>
          <w:szCs w:val="24"/>
        </w:rPr>
        <w:t>contract</w:t>
      </w:r>
      <w:r>
        <w:rPr>
          <w:szCs w:val="24"/>
        </w:rPr>
        <w:t xml:space="preserve"> </w:t>
      </w:r>
      <w:r w:rsidR="00C155A7">
        <w:rPr>
          <w:szCs w:val="24"/>
        </w:rPr>
        <w:t>with the survey developer</w:t>
      </w:r>
      <w:r w:rsidR="00351CC6">
        <w:rPr>
          <w:szCs w:val="24"/>
        </w:rPr>
        <w:t>, a contract to perform usability testing of the food app, and a contract for consulting services. The main contract of $6,061,617</w:t>
      </w:r>
      <w:r w:rsidR="00C155A7">
        <w:rPr>
          <w:szCs w:val="24"/>
        </w:rPr>
        <w:t xml:space="preserve"> </w:t>
      </w:r>
      <w:r>
        <w:rPr>
          <w:szCs w:val="24"/>
        </w:rPr>
        <w:t xml:space="preserve">includes 11 tasks pertaining to </w:t>
      </w:r>
      <w:r w:rsidRPr="00166FC2">
        <w:rPr>
          <w:szCs w:val="24"/>
        </w:rPr>
        <w:t>questionnaire design, development of data collection infrastructure</w:t>
      </w:r>
      <w:r w:rsidR="0038070C">
        <w:rPr>
          <w:szCs w:val="24"/>
        </w:rPr>
        <w:t xml:space="preserve"> such as the </w:t>
      </w:r>
      <w:r w:rsidRPr="00166FC2">
        <w:rPr>
          <w:szCs w:val="24"/>
        </w:rPr>
        <w:t xml:space="preserve">native smartphone application and </w:t>
      </w:r>
      <w:r w:rsidR="0038070C">
        <w:rPr>
          <w:szCs w:val="24"/>
        </w:rPr>
        <w:t xml:space="preserve">the </w:t>
      </w:r>
      <w:r w:rsidRPr="00166FC2">
        <w:rPr>
          <w:szCs w:val="24"/>
        </w:rPr>
        <w:t xml:space="preserve">online food </w:t>
      </w:r>
      <w:r w:rsidR="0038070C">
        <w:rPr>
          <w:szCs w:val="24"/>
        </w:rPr>
        <w:t>log</w:t>
      </w:r>
      <w:r w:rsidRPr="00166FC2">
        <w:rPr>
          <w:szCs w:val="24"/>
        </w:rPr>
        <w:t>, sample selection, recruitment</w:t>
      </w:r>
      <w:r w:rsidR="0038070C">
        <w:rPr>
          <w:szCs w:val="24"/>
        </w:rPr>
        <w:t xml:space="preserve"> of respondents</w:t>
      </w:r>
      <w:r w:rsidRPr="00166FC2">
        <w:rPr>
          <w:szCs w:val="24"/>
        </w:rPr>
        <w:t>, information collection, analysis, report writing, and briefing stakeholders</w:t>
      </w:r>
      <w:r w:rsidR="00351CC6">
        <w:rPr>
          <w:szCs w:val="24"/>
        </w:rPr>
        <w:t xml:space="preserve">. The second contract of </w:t>
      </w:r>
      <w:r>
        <w:rPr>
          <w:szCs w:val="24"/>
        </w:rPr>
        <w:t xml:space="preserve">$450,000 </w:t>
      </w:r>
      <w:r w:rsidR="000418EE">
        <w:rPr>
          <w:szCs w:val="24"/>
        </w:rPr>
        <w:t xml:space="preserve">was awarded in September 2019 and </w:t>
      </w:r>
      <w:r w:rsidR="00351CC6">
        <w:rPr>
          <w:szCs w:val="24"/>
        </w:rPr>
        <w:t>covers</w:t>
      </w:r>
      <w:r w:rsidR="0038070C">
        <w:rPr>
          <w:szCs w:val="24"/>
        </w:rPr>
        <w:t xml:space="preserve"> </w:t>
      </w:r>
      <w:r>
        <w:rPr>
          <w:szCs w:val="24"/>
        </w:rPr>
        <w:t xml:space="preserve">usability testing of the native smartphone application. </w:t>
      </w:r>
      <w:r w:rsidR="00351CC6">
        <w:rPr>
          <w:szCs w:val="24"/>
        </w:rPr>
        <w:t xml:space="preserve">The third contract of $282,664, awarded in September 2018, covers four years of consulting services including review and comment on all </w:t>
      </w:r>
      <w:r w:rsidR="000418EE">
        <w:rPr>
          <w:szCs w:val="24"/>
        </w:rPr>
        <w:t xml:space="preserve">deliverables from the first two contracts, assistance in preparing materials for OMB clearance, and participation in weekly project meetings. </w:t>
      </w:r>
      <w:r w:rsidRPr="00166FC2">
        <w:rPr>
          <w:szCs w:val="24"/>
        </w:rPr>
        <w:t>On an annualized basis, the</w:t>
      </w:r>
      <w:r w:rsidR="0038070C">
        <w:rPr>
          <w:szCs w:val="24"/>
        </w:rPr>
        <w:t xml:space="preserve"> combined</w:t>
      </w:r>
      <w:r w:rsidRPr="00166FC2">
        <w:rPr>
          <w:szCs w:val="24"/>
        </w:rPr>
        <w:t xml:space="preserve"> contract costs are $1,</w:t>
      </w:r>
      <w:r w:rsidR="000418EE">
        <w:rPr>
          <w:szCs w:val="24"/>
        </w:rPr>
        <w:t>404</w:t>
      </w:r>
      <w:r w:rsidR="0038070C">
        <w:rPr>
          <w:szCs w:val="24"/>
        </w:rPr>
        <w:t>,</w:t>
      </w:r>
      <w:r w:rsidR="000418EE">
        <w:rPr>
          <w:szCs w:val="24"/>
        </w:rPr>
        <w:t>597</w:t>
      </w:r>
      <w:r w:rsidRPr="00166FC2">
        <w:rPr>
          <w:szCs w:val="24"/>
        </w:rPr>
        <w:t>.</w:t>
      </w:r>
    </w:p>
    <w:p w:rsidR="00C155A7" w:rsidP="00E7449F" w:rsidRDefault="00C155A7" w14:paraId="6094746E" w14:textId="2CCC3F8E">
      <w:pPr>
        <w:pStyle w:val="L1-FlLSp12"/>
        <w:rPr>
          <w:szCs w:val="24"/>
        </w:rPr>
      </w:pPr>
    </w:p>
    <w:p w:rsidRPr="003702B9" w:rsidR="00271489" w:rsidP="001C20E1" w:rsidRDefault="00EB23FE" w14:paraId="3265DDA1" w14:textId="220A4EA5">
      <w:pPr>
        <w:pStyle w:val="Heading2"/>
      </w:pPr>
      <w:bookmarkStart w:name="_Toc290021774" w:id="156"/>
      <w:bookmarkStart w:name="_Toc329341690" w:id="157"/>
      <w:bookmarkStart w:name="_Toc400376155" w:id="158"/>
      <w:bookmarkStart w:name="_Toc514067610" w:id="159"/>
      <w:bookmarkStart w:name="_Toc93499542" w:id="160"/>
      <w:bookmarkEnd w:id="155"/>
      <w:r>
        <w:t>A</w:t>
      </w:r>
      <w:r w:rsidRPr="003702B9" w:rsidR="00271489">
        <w:t>.15</w:t>
      </w:r>
      <w:r w:rsidRPr="003702B9" w:rsidR="00271489">
        <w:tab/>
      </w:r>
      <w:bookmarkEnd w:id="156"/>
      <w:r w:rsidRPr="003702B9" w:rsidR="00271489">
        <w:t>Explanation for Program Changes or Adjustments</w:t>
      </w:r>
      <w:bookmarkEnd w:id="157"/>
      <w:bookmarkEnd w:id="158"/>
      <w:bookmarkEnd w:id="159"/>
      <w:bookmarkEnd w:id="160"/>
    </w:p>
    <w:p w:rsidRPr="002F126A" w:rsidR="00271489" w:rsidP="00271489" w:rsidRDefault="00271489" w14:paraId="08F4256F" w14:textId="77777777">
      <w:pPr>
        <w:pStyle w:val="L1-FlLSp12"/>
        <w:rPr>
          <w:b/>
        </w:rPr>
      </w:pPr>
      <w:r w:rsidRPr="002F126A">
        <w:rPr>
          <w:b/>
        </w:rPr>
        <w:t>Explain the reasons for any program changes or adjustments reported in Items 13 or 14 of the OMB Form 83-1.</w:t>
      </w:r>
    </w:p>
    <w:p w:rsidRPr="003702B9" w:rsidR="00271489" w:rsidP="00271489" w:rsidRDefault="00271489" w14:paraId="194CD2CB" w14:textId="77777777">
      <w:pPr>
        <w:pStyle w:val="L1-FlLSp12"/>
      </w:pPr>
    </w:p>
    <w:p w:rsidR="00C44DD3" w:rsidP="00271489" w:rsidRDefault="009C38F3" w14:paraId="333F6374" w14:textId="77777777">
      <w:pPr>
        <w:pStyle w:val="L1-FlLSp12"/>
      </w:pPr>
      <w:r w:rsidRPr="008528A7">
        <w:rPr>
          <w:szCs w:val="24"/>
        </w:rPr>
        <w:t>This is a new data collection.</w:t>
      </w:r>
    </w:p>
    <w:p w:rsidRPr="00CE74D6" w:rsidR="00045207" w:rsidP="00271489" w:rsidRDefault="00045207" w14:paraId="21D72B57" w14:textId="77777777">
      <w:pPr>
        <w:pStyle w:val="L1-FlLSp12"/>
      </w:pPr>
    </w:p>
    <w:p w:rsidRPr="003702B9" w:rsidR="00271489" w:rsidP="00271489" w:rsidRDefault="00271489" w14:paraId="56A6660C" w14:textId="5CDC32D0">
      <w:pPr>
        <w:pStyle w:val="Heading2"/>
      </w:pPr>
      <w:bookmarkStart w:name="_Toc290021775" w:id="161"/>
      <w:bookmarkStart w:name="_Toc329341691" w:id="162"/>
      <w:bookmarkStart w:name="_Toc400376156" w:id="163"/>
      <w:bookmarkStart w:name="_Toc514067611" w:id="164"/>
      <w:bookmarkStart w:name="_Toc93499543" w:id="165"/>
      <w:r w:rsidRPr="003702B9">
        <w:t>A.16</w:t>
      </w:r>
      <w:r w:rsidRPr="003702B9">
        <w:tab/>
      </w:r>
      <w:bookmarkEnd w:id="161"/>
      <w:r w:rsidRPr="003702B9">
        <w:t>Plans for Tabulation and Publication and Project Time Schedule</w:t>
      </w:r>
      <w:bookmarkEnd w:id="162"/>
      <w:bookmarkEnd w:id="163"/>
      <w:bookmarkEnd w:id="164"/>
      <w:bookmarkEnd w:id="165"/>
    </w:p>
    <w:p w:rsidRPr="002F126A" w:rsidR="00271489" w:rsidP="00271489" w:rsidRDefault="00271489" w14:paraId="48A5B21A" w14:textId="77777777">
      <w:pPr>
        <w:pStyle w:val="L1-FlLSp12"/>
        <w:rPr>
          <w:b/>
        </w:rPr>
      </w:pPr>
      <w:r w:rsidRPr="002F126A">
        <w:rPr>
          <w:b/>
        </w:rPr>
        <w:t>For collections of information whose results are planned to be published, outline plans for tabulation and publication</w:t>
      </w:r>
      <w:r w:rsidRPr="002F126A" w:rsidR="0047782E">
        <w:rPr>
          <w:b/>
        </w:rPr>
        <w:t>.</w:t>
      </w:r>
    </w:p>
    <w:p w:rsidRPr="009701EC" w:rsidR="00EB54AD" w:rsidP="00271489" w:rsidRDefault="00EB54AD" w14:paraId="17AE5DD3" w14:textId="77777777">
      <w:pPr>
        <w:pStyle w:val="L1-FlLSp12"/>
        <w:rPr>
          <w:szCs w:val="24"/>
        </w:rPr>
      </w:pPr>
    </w:p>
    <w:p w:rsidR="001B238B" w:rsidP="00E51228" w:rsidRDefault="001B238B" w14:paraId="00428DD4" w14:textId="516598EA">
      <w:pPr>
        <w:pStyle w:val="L1-FlLSp12"/>
        <w:rPr>
          <w:szCs w:val="24"/>
        </w:rPr>
      </w:pPr>
      <w:r>
        <w:rPr>
          <w:szCs w:val="24"/>
        </w:rPr>
        <w:t xml:space="preserve">The Field Test is not an end to itself, but an important step to fielding a full FoodAPS-2 survey with subsequent tabulation and publication of results. For this </w:t>
      </w:r>
      <w:r w:rsidR="009B2467">
        <w:rPr>
          <w:szCs w:val="24"/>
        </w:rPr>
        <w:t>reason,</w:t>
      </w:r>
      <w:r>
        <w:rPr>
          <w:szCs w:val="24"/>
        </w:rPr>
        <w:t xml:space="preserve"> we present here the planned overall schedule for both the Field Test and the Full Survey.</w:t>
      </w:r>
    </w:p>
    <w:p w:rsidR="001B238B" w:rsidP="00E51228" w:rsidRDefault="001B238B" w14:paraId="1CCA47F3" w14:textId="77777777">
      <w:pPr>
        <w:pStyle w:val="L1-FlLSp12"/>
        <w:rPr>
          <w:szCs w:val="24"/>
        </w:rPr>
      </w:pPr>
    </w:p>
    <w:p w:rsidRPr="009701EC" w:rsidR="00E51228" w:rsidP="00E51228" w:rsidRDefault="009928C3" w14:paraId="17521AFB" w14:textId="1447AD26">
      <w:pPr>
        <w:pStyle w:val="L1-FlLSp12"/>
        <w:rPr>
          <w:szCs w:val="24"/>
        </w:rPr>
      </w:pPr>
      <w:r w:rsidRPr="009701EC">
        <w:rPr>
          <w:szCs w:val="24"/>
        </w:rPr>
        <w:t>USDA’s intent is to post the FoodAPS-2 public-use files on the ERS website, with levels of documentation and access comparable to the FoodAPS-1 public-use files currently posted.</w:t>
      </w:r>
      <w:r w:rsidRPr="009701EC" w:rsidR="00150582">
        <w:rPr>
          <w:rStyle w:val="FootnoteReference"/>
          <w:szCs w:val="24"/>
        </w:rPr>
        <w:footnoteReference w:id="34"/>
      </w:r>
    </w:p>
    <w:p w:rsidRPr="009701EC" w:rsidR="00B9092F" w:rsidP="00E51228" w:rsidRDefault="00B9092F" w14:paraId="43E1D2EB" w14:textId="77777777">
      <w:pPr>
        <w:pStyle w:val="L1-FlLSp12"/>
        <w:rPr>
          <w:szCs w:val="24"/>
        </w:rPr>
      </w:pPr>
    </w:p>
    <w:p w:rsidRPr="009701EC" w:rsidR="00B9092F" w:rsidP="00E51228" w:rsidRDefault="00B9092F" w14:paraId="49656301" w14:textId="3E3E2A20">
      <w:pPr>
        <w:pStyle w:val="L1-FlLSp12"/>
        <w:rPr>
          <w:szCs w:val="24"/>
        </w:rPr>
      </w:pPr>
      <w:r w:rsidRPr="009701EC">
        <w:rPr>
          <w:szCs w:val="24"/>
        </w:rPr>
        <w:t xml:space="preserve">Prior to creating the public-use files, </w:t>
      </w:r>
      <w:r w:rsidR="001B238B">
        <w:rPr>
          <w:szCs w:val="24"/>
        </w:rPr>
        <w:t>the selected contractor</w:t>
      </w:r>
      <w:r w:rsidRPr="009701EC" w:rsidR="001B238B">
        <w:rPr>
          <w:szCs w:val="24"/>
        </w:rPr>
        <w:t xml:space="preserve"> </w:t>
      </w:r>
      <w:r w:rsidRPr="009701EC">
        <w:rPr>
          <w:szCs w:val="24"/>
        </w:rPr>
        <w:t xml:space="preserve">will </w:t>
      </w:r>
      <w:r w:rsidRPr="009701EC" w:rsidR="005E474F">
        <w:rPr>
          <w:szCs w:val="24"/>
        </w:rPr>
        <w:t>perform</w:t>
      </w:r>
      <w:r w:rsidRPr="009701EC">
        <w:rPr>
          <w:szCs w:val="24"/>
        </w:rPr>
        <w:t xml:space="preserve"> a disclosure risk analysis to determine which variables, if included in the same form as in the restricted-use files, pose the greatest danger to respondent confidentiality. The results of the analysis and recommendations for how to reduce risk to acceptable levels will be documented in a </w:t>
      </w:r>
      <w:r w:rsidR="00176D77">
        <w:rPr>
          <w:szCs w:val="24"/>
        </w:rPr>
        <w:t>d</w:t>
      </w:r>
      <w:r w:rsidRPr="009701EC">
        <w:rPr>
          <w:szCs w:val="24"/>
        </w:rPr>
        <w:t xml:space="preserve">isclosure </w:t>
      </w:r>
      <w:r w:rsidR="00176D77">
        <w:rPr>
          <w:szCs w:val="24"/>
        </w:rPr>
        <w:t>r</w:t>
      </w:r>
      <w:r w:rsidRPr="009701EC">
        <w:rPr>
          <w:szCs w:val="24"/>
        </w:rPr>
        <w:t xml:space="preserve">isk </w:t>
      </w:r>
      <w:r w:rsidR="00176D77">
        <w:rPr>
          <w:szCs w:val="24"/>
        </w:rPr>
        <w:t>r</w:t>
      </w:r>
      <w:r w:rsidRPr="009701EC">
        <w:rPr>
          <w:szCs w:val="24"/>
        </w:rPr>
        <w:t>eport.</w:t>
      </w:r>
    </w:p>
    <w:p w:rsidRPr="009701EC" w:rsidR="0006542D" w:rsidP="00271489" w:rsidRDefault="0006542D" w14:paraId="5193EAD7" w14:textId="77777777">
      <w:pPr>
        <w:pStyle w:val="L1-FlLSp12"/>
        <w:rPr>
          <w:szCs w:val="24"/>
        </w:rPr>
      </w:pPr>
    </w:p>
    <w:p w:rsidRPr="009701EC" w:rsidR="00271489" w:rsidP="00271489" w:rsidRDefault="00271489" w14:paraId="32A50CE7" w14:textId="29802A46">
      <w:pPr>
        <w:pStyle w:val="L1-FlLSp12"/>
        <w:rPr>
          <w:szCs w:val="24"/>
        </w:rPr>
      </w:pPr>
      <w:r w:rsidRPr="009701EC">
        <w:rPr>
          <w:szCs w:val="24"/>
        </w:rPr>
        <w:t xml:space="preserve">The planned </w:t>
      </w:r>
      <w:r w:rsidRPr="009701EC" w:rsidR="00F50D97">
        <w:rPr>
          <w:szCs w:val="24"/>
        </w:rPr>
        <w:t xml:space="preserve">schedule for </w:t>
      </w:r>
      <w:r w:rsidR="00876267">
        <w:rPr>
          <w:szCs w:val="24"/>
        </w:rPr>
        <w:t xml:space="preserve">the </w:t>
      </w:r>
      <w:r w:rsidR="001B238B">
        <w:rPr>
          <w:szCs w:val="24"/>
        </w:rPr>
        <w:t>FoodAPS-2</w:t>
      </w:r>
      <w:r w:rsidRPr="009701EC" w:rsidR="00F50D97">
        <w:rPr>
          <w:szCs w:val="24"/>
        </w:rPr>
        <w:t xml:space="preserve"> </w:t>
      </w:r>
      <w:r w:rsidR="00876267">
        <w:rPr>
          <w:szCs w:val="24"/>
        </w:rPr>
        <w:t xml:space="preserve">study, including the Field Test, </w:t>
      </w:r>
      <w:r w:rsidRPr="009701EC" w:rsidR="00F50D97">
        <w:rPr>
          <w:szCs w:val="24"/>
        </w:rPr>
        <w:t>is displayed in</w:t>
      </w:r>
      <w:r w:rsidRPr="009701EC">
        <w:rPr>
          <w:szCs w:val="24"/>
        </w:rPr>
        <w:t xml:space="preserve"> Table</w:t>
      </w:r>
      <w:r w:rsidRPr="009701EC" w:rsidR="00F50D97">
        <w:rPr>
          <w:szCs w:val="24"/>
        </w:rPr>
        <w:t xml:space="preserve"> </w:t>
      </w:r>
      <w:r w:rsidRPr="009701EC">
        <w:rPr>
          <w:szCs w:val="24"/>
        </w:rPr>
        <w:t>A</w:t>
      </w:r>
      <w:r w:rsidRPr="009701EC" w:rsidR="000770CB">
        <w:rPr>
          <w:szCs w:val="24"/>
        </w:rPr>
        <w:t>.</w:t>
      </w:r>
      <w:r w:rsidR="002C60C1">
        <w:rPr>
          <w:szCs w:val="24"/>
        </w:rPr>
        <w:t>9</w:t>
      </w:r>
      <w:r w:rsidRPr="009701EC">
        <w:rPr>
          <w:szCs w:val="24"/>
        </w:rPr>
        <w:t>.</w:t>
      </w:r>
    </w:p>
    <w:p w:rsidR="0019396F" w:rsidRDefault="0019396F" w14:paraId="5DD66C5F" w14:textId="3075ED6B">
      <w:pPr>
        <w:spacing w:line="240" w:lineRule="auto"/>
        <w:rPr>
          <w:rFonts w:ascii="Franklin Gothic Medium" w:hAnsi="Franklin Gothic Medium"/>
          <w:sz w:val="22"/>
        </w:rPr>
      </w:pPr>
      <w:bookmarkStart w:name="_Toc400376158" w:id="166"/>
      <w:bookmarkStart w:name="_Toc514068086" w:id="167"/>
      <w:bookmarkStart w:name="_Toc93498250" w:id="168"/>
    </w:p>
    <w:p w:rsidRPr="00E663F3" w:rsidR="0047782E" w:rsidP="0019396F" w:rsidRDefault="00271489" w14:paraId="5D6C3C44" w14:textId="07A462D9">
      <w:pPr>
        <w:pStyle w:val="Tabletitle0"/>
        <w:rPr>
          <w:sz w:val="23"/>
          <w:szCs w:val="23"/>
        </w:rPr>
      </w:pPr>
      <w:r w:rsidRPr="003702B9">
        <w:t>Table A</w:t>
      </w:r>
      <w:r w:rsidR="000770CB">
        <w:t>.</w:t>
      </w:r>
      <w:r w:rsidR="002C60C1">
        <w:t>9</w:t>
      </w:r>
      <w:r w:rsidR="0019396F">
        <w:t>.</w:t>
      </w:r>
      <w:r w:rsidRPr="003702B9">
        <w:tab/>
      </w:r>
      <w:r w:rsidR="00B9092F">
        <w:t>FoodAPS-2</w:t>
      </w:r>
      <w:r w:rsidR="00F50D97">
        <w:t xml:space="preserve"> </w:t>
      </w:r>
      <w:r w:rsidR="00B9092F">
        <w:t>S</w:t>
      </w:r>
      <w:r w:rsidRPr="003702B9">
        <w:t>chedule</w:t>
      </w:r>
      <w:bookmarkEnd w:id="166"/>
      <w:bookmarkEnd w:id="167"/>
      <w:bookmarkEnd w:id="168"/>
    </w:p>
    <w:tbl>
      <w:tblPr>
        <w:tblStyle w:val="TableWestatStandardFormat"/>
        <w:tblW w:w="0" w:type="auto"/>
        <w:tblLook w:val="04A0" w:firstRow="1" w:lastRow="0" w:firstColumn="1" w:lastColumn="0" w:noHBand="0" w:noVBand="1"/>
      </w:tblPr>
      <w:tblGrid>
        <w:gridCol w:w="5218"/>
        <w:gridCol w:w="2697"/>
      </w:tblGrid>
      <w:tr w:rsidRPr="009701EC" w:rsidR="00E663F3" w:rsidTr="008F6AC4" w14:paraId="607BFA83" w14:textId="77777777">
        <w:trPr>
          <w:cnfStyle w:val="100000000000" w:firstRow="1" w:lastRow="0" w:firstColumn="0" w:lastColumn="0" w:oddVBand="0" w:evenVBand="0" w:oddHBand="0" w:evenHBand="0" w:firstRowFirstColumn="0" w:firstRowLastColumn="0" w:lastRowFirstColumn="0" w:lastRowLastColumn="0"/>
        </w:trPr>
        <w:tc>
          <w:tcPr>
            <w:tcW w:w="5218" w:type="dxa"/>
          </w:tcPr>
          <w:p w:rsidRPr="009701EC" w:rsidR="00E663F3" w:rsidP="009701EC" w:rsidRDefault="00E663F3" w14:paraId="1C50EC16" w14:textId="77777777">
            <w:pPr>
              <w:pStyle w:val="TH-TableHeading"/>
            </w:pPr>
            <w:r w:rsidRPr="009701EC">
              <w:t>Activity</w:t>
            </w:r>
          </w:p>
        </w:tc>
        <w:tc>
          <w:tcPr>
            <w:tcW w:w="2697" w:type="dxa"/>
          </w:tcPr>
          <w:p w:rsidRPr="009701EC" w:rsidR="00E663F3" w:rsidP="009701EC" w:rsidRDefault="00E663F3" w14:paraId="677DCF06" w14:textId="280A26C3">
            <w:pPr>
              <w:pStyle w:val="TH-TableHeading"/>
            </w:pPr>
            <w:r w:rsidRPr="009701EC">
              <w:t>Complete by M</w:t>
            </w:r>
            <w:r w:rsidR="002C60C1">
              <w:t>M/</w:t>
            </w:r>
            <w:r w:rsidRPr="009701EC">
              <w:t>DD</w:t>
            </w:r>
            <w:r w:rsidR="002C60C1">
              <w:t>/</w:t>
            </w:r>
            <w:r w:rsidRPr="009701EC">
              <w:t>YYYY</w:t>
            </w:r>
          </w:p>
        </w:tc>
      </w:tr>
      <w:tr w:rsidRPr="009701EC" w:rsidR="00FA2A56" w:rsidTr="008F6AC4" w14:paraId="616336F9" w14:textId="77777777">
        <w:tc>
          <w:tcPr>
            <w:tcW w:w="5218" w:type="dxa"/>
          </w:tcPr>
          <w:p w:rsidRPr="009701EC" w:rsidR="00FA2A56" w:rsidP="009701EC" w:rsidRDefault="008E1FB5" w14:paraId="0F464B8F" w14:textId="77777777">
            <w:pPr>
              <w:pStyle w:val="TX-TableText"/>
            </w:pPr>
            <w:r w:rsidRPr="009701EC">
              <w:t>Study d</w:t>
            </w:r>
            <w:r w:rsidRPr="009701EC" w:rsidR="00FA2A56">
              <w:t>esign for the Field Test</w:t>
            </w:r>
          </w:p>
        </w:tc>
        <w:tc>
          <w:tcPr>
            <w:tcW w:w="2697" w:type="dxa"/>
          </w:tcPr>
          <w:p w:rsidRPr="009701EC" w:rsidR="00FA2A56" w:rsidP="009701EC" w:rsidRDefault="00294CC5" w14:paraId="16CD69DE" w14:textId="7018BDFA">
            <w:pPr>
              <w:pStyle w:val="TX-TableText"/>
            </w:pPr>
            <w:r>
              <w:t>11</w:t>
            </w:r>
            <w:r w:rsidRPr="009701EC" w:rsidR="00FA2A56">
              <w:t>/1</w:t>
            </w:r>
            <w:r>
              <w:t>8</w:t>
            </w:r>
            <w:r w:rsidRPr="009701EC" w:rsidR="00FA2A56">
              <w:t>/20</w:t>
            </w:r>
            <w:r w:rsidR="002C60C1">
              <w:t>21</w:t>
            </w:r>
          </w:p>
        </w:tc>
      </w:tr>
      <w:tr w:rsidRPr="009701EC" w:rsidR="00FA2A56" w:rsidTr="008F6AC4" w14:paraId="25083F8D" w14:textId="77777777">
        <w:tc>
          <w:tcPr>
            <w:tcW w:w="5218" w:type="dxa"/>
          </w:tcPr>
          <w:p w:rsidRPr="009701EC" w:rsidR="00FA2A56" w:rsidP="009701EC" w:rsidRDefault="008E1FB5" w14:paraId="25B93434" w14:textId="77777777">
            <w:pPr>
              <w:pStyle w:val="TX-TableText"/>
            </w:pPr>
            <w:r w:rsidRPr="009701EC">
              <w:t>Cognitive and usability testing</w:t>
            </w:r>
          </w:p>
        </w:tc>
        <w:tc>
          <w:tcPr>
            <w:tcW w:w="2697" w:type="dxa"/>
          </w:tcPr>
          <w:p w:rsidRPr="009701EC" w:rsidR="00FA2A56" w:rsidP="009701EC" w:rsidRDefault="00A25817" w14:paraId="4D147639" w14:textId="7F8DECD4">
            <w:pPr>
              <w:pStyle w:val="TX-TableText"/>
            </w:pPr>
            <w:r>
              <w:t>07</w:t>
            </w:r>
            <w:r w:rsidR="002C60C1">
              <w:t>/</w:t>
            </w:r>
            <w:r>
              <w:t>23</w:t>
            </w:r>
            <w:r w:rsidR="002C60C1">
              <w:t>/2021</w:t>
            </w:r>
          </w:p>
        </w:tc>
      </w:tr>
      <w:tr w:rsidRPr="009701EC" w:rsidR="00FA2A56" w:rsidTr="008F6AC4" w14:paraId="68CB6039" w14:textId="77777777">
        <w:tc>
          <w:tcPr>
            <w:tcW w:w="5218" w:type="dxa"/>
          </w:tcPr>
          <w:p w:rsidRPr="009701EC" w:rsidR="00FA2A56" w:rsidP="009701EC" w:rsidRDefault="00D75589" w14:paraId="487ACBB4" w14:textId="77777777">
            <w:pPr>
              <w:pStyle w:val="TX-TableText"/>
            </w:pPr>
            <w:r w:rsidRPr="009701EC">
              <w:t>Develop instrument and materials</w:t>
            </w:r>
          </w:p>
        </w:tc>
        <w:tc>
          <w:tcPr>
            <w:tcW w:w="2697" w:type="dxa"/>
          </w:tcPr>
          <w:p w:rsidRPr="009701EC" w:rsidR="00FA2A56" w:rsidP="000A1CA9" w:rsidRDefault="00A25817" w14:paraId="29E59D2C" w14:textId="48946A90">
            <w:pPr>
              <w:pStyle w:val="TX-TableText"/>
            </w:pPr>
            <w:r>
              <w:t>10</w:t>
            </w:r>
            <w:r w:rsidRPr="009701EC" w:rsidR="00D75589">
              <w:t>/</w:t>
            </w:r>
            <w:r>
              <w:t>29</w:t>
            </w:r>
            <w:r w:rsidRPr="009701EC" w:rsidR="00D75589">
              <w:t>/</w:t>
            </w:r>
            <w:r w:rsidR="001565E0">
              <w:t>202</w:t>
            </w:r>
            <w:r w:rsidR="002C60C1">
              <w:t>1</w:t>
            </w:r>
          </w:p>
        </w:tc>
      </w:tr>
      <w:tr w:rsidRPr="009701EC" w:rsidR="00FA2A56" w:rsidTr="008F6AC4" w14:paraId="673141BD" w14:textId="77777777">
        <w:tc>
          <w:tcPr>
            <w:tcW w:w="5218" w:type="dxa"/>
          </w:tcPr>
          <w:p w:rsidRPr="009701EC" w:rsidR="00FA2A56" w:rsidP="009701EC" w:rsidRDefault="00ED3396" w14:paraId="5D37503C" w14:textId="77777777">
            <w:pPr>
              <w:pStyle w:val="TX-TableText"/>
            </w:pPr>
            <w:r w:rsidRPr="009701EC">
              <w:t>Draw sample for the Field Test</w:t>
            </w:r>
          </w:p>
        </w:tc>
        <w:tc>
          <w:tcPr>
            <w:tcW w:w="2697" w:type="dxa"/>
          </w:tcPr>
          <w:p w:rsidRPr="009701EC" w:rsidR="00FA2A56" w:rsidP="009701EC" w:rsidRDefault="00DE336B" w14:paraId="2E0DEC5C" w14:textId="5A2932C0">
            <w:pPr>
              <w:pStyle w:val="TX-TableText"/>
            </w:pPr>
            <w:r>
              <w:t>05</w:t>
            </w:r>
            <w:r w:rsidRPr="009701EC" w:rsidR="00ED3396">
              <w:t>/</w:t>
            </w:r>
            <w:r w:rsidR="002C60C1">
              <w:t>01</w:t>
            </w:r>
            <w:r w:rsidRPr="009701EC" w:rsidR="00ED3396">
              <w:t>/20</w:t>
            </w:r>
            <w:r w:rsidR="001565E0">
              <w:t>2</w:t>
            </w:r>
            <w:r>
              <w:t>2</w:t>
            </w:r>
          </w:p>
        </w:tc>
      </w:tr>
      <w:tr w:rsidRPr="009701EC" w:rsidR="00FA2A56" w:rsidTr="008F6AC4" w14:paraId="01560006" w14:textId="77777777">
        <w:tc>
          <w:tcPr>
            <w:tcW w:w="5218" w:type="dxa"/>
          </w:tcPr>
          <w:p w:rsidRPr="009701EC" w:rsidR="00FA2A56" w:rsidP="009701EC" w:rsidRDefault="003C3A2F" w14:paraId="67B3D1F7" w14:textId="105C22AA">
            <w:pPr>
              <w:pStyle w:val="TX-TableText"/>
            </w:pPr>
            <w:r w:rsidRPr="009701EC">
              <w:t xml:space="preserve">Field Test </w:t>
            </w:r>
            <w:r w:rsidR="0091435C">
              <w:t xml:space="preserve">in-person </w:t>
            </w:r>
            <w:r w:rsidRPr="009701EC">
              <w:t>data collection</w:t>
            </w:r>
          </w:p>
        </w:tc>
        <w:tc>
          <w:tcPr>
            <w:tcW w:w="2697" w:type="dxa"/>
          </w:tcPr>
          <w:p w:rsidRPr="009701EC" w:rsidR="001B238B" w:rsidP="000A1CA9" w:rsidRDefault="001565E0" w14:paraId="788AD68E" w14:textId="107EF831">
            <w:pPr>
              <w:pStyle w:val="TX-TableText"/>
            </w:pPr>
            <w:r>
              <w:t>0</w:t>
            </w:r>
            <w:r w:rsidR="00DE336B">
              <w:t>7</w:t>
            </w:r>
            <w:r>
              <w:t>/15/</w:t>
            </w:r>
            <w:r w:rsidR="001B238B">
              <w:t>202</w:t>
            </w:r>
            <w:r w:rsidR="002C60C1">
              <w:t>2</w:t>
            </w:r>
            <w:r w:rsidR="001B238B">
              <w:t xml:space="preserve"> – </w:t>
            </w:r>
            <w:r w:rsidR="00DE336B">
              <w:t>11</w:t>
            </w:r>
            <w:r>
              <w:t>/1</w:t>
            </w:r>
            <w:r w:rsidR="002C60C1">
              <w:t>3</w:t>
            </w:r>
            <w:r>
              <w:t>/</w:t>
            </w:r>
            <w:r w:rsidR="001B238B">
              <w:t>202</w:t>
            </w:r>
            <w:r w:rsidR="002C60C1">
              <w:t>2</w:t>
            </w:r>
          </w:p>
        </w:tc>
      </w:tr>
      <w:tr w:rsidRPr="009701EC" w:rsidR="001565E0" w:rsidTr="008F6AC4" w14:paraId="79FF4240" w14:textId="77777777">
        <w:tc>
          <w:tcPr>
            <w:tcW w:w="5218" w:type="dxa"/>
          </w:tcPr>
          <w:p w:rsidRPr="009701EC" w:rsidR="001565E0" w:rsidP="009701EC" w:rsidRDefault="002C60C1" w14:paraId="0DB0C7F1" w14:textId="3588895B">
            <w:pPr>
              <w:pStyle w:val="TX-TableText"/>
            </w:pPr>
            <w:r>
              <w:t>Final Memorandum</w:t>
            </w:r>
            <w:r w:rsidR="001565E0">
              <w:t xml:space="preserve"> on Field Test results</w:t>
            </w:r>
          </w:p>
        </w:tc>
        <w:tc>
          <w:tcPr>
            <w:tcW w:w="2697" w:type="dxa"/>
          </w:tcPr>
          <w:p w:rsidRPr="009701EC" w:rsidR="001565E0" w:rsidDel="001B238B" w:rsidP="001565E0" w:rsidRDefault="001565E0" w14:paraId="51F3332E" w14:textId="228B1AD2">
            <w:pPr>
              <w:pStyle w:val="TX-TableText"/>
            </w:pPr>
            <w:r>
              <w:t>0</w:t>
            </w:r>
            <w:r w:rsidR="00DE336B">
              <w:t>3</w:t>
            </w:r>
            <w:r>
              <w:t>/15/202</w:t>
            </w:r>
            <w:r w:rsidR="00DE336B">
              <w:t>3</w:t>
            </w:r>
          </w:p>
        </w:tc>
      </w:tr>
      <w:tr w:rsidRPr="009701EC" w:rsidR="00CE7C31" w:rsidTr="008F6AC4" w14:paraId="2D77E82E" w14:textId="77777777">
        <w:tc>
          <w:tcPr>
            <w:tcW w:w="5218" w:type="dxa"/>
          </w:tcPr>
          <w:p w:rsidR="001B238B" w:rsidP="009701EC" w:rsidRDefault="001B238B" w14:paraId="42745C8A" w14:textId="214D4C0F">
            <w:pPr>
              <w:pStyle w:val="TX-TableText"/>
            </w:pPr>
            <w:r>
              <w:t>Award contract for Full Survey</w:t>
            </w:r>
          </w:p>
          <w:p w:rsidR="001565E0" w:rsidP="009701EC" w:rsidRDefault="001565E0" w14:paraId="3455CE00" w14:textId="323F3B3E">
            <w:pPr>
              <w:pStyle w:val="TX-TableText"/>
            </w:pPr>
            <w:r>
              <w:t>Study design for Full Survey</w:t>
            </w:r>
          </w:p>
          <w:p w:rsidRPr="009701EC" w:rsidR="00CE7C31" w:rsidP="009701EC" w:rsidRDefault="001565E0" w14:paraId="5B4B9229" w14:textId="6DDCAE3E">
            <w:pPr>
              <w:pStyle w:val="TX-TableText"/>
            </w:pPr>
            <w:r>
              <w:t>Publish 60-day Federal Register Notice</w:t>
            </w:r>
          </w:p>
        </w:tc>
        <w:tc>
          <w:tcPr>
            <w:tcW w:w="2697" w:type="dxa"/>
          </w:tcPr>
          <w:p w:rsidR="00CE7C31" w:rsidP="009701EC" w:rsidRDefault="001B238B" w14:paraId="3CF41860" w14:textId="60065C76">
            <w:pPr>
              <w:pStyle w:val="TX-TableText"/>
            </w:pPr>
            <w:r>
              <w:t>0</w:t>
            </w:r>
            <w:r w:rsidR="004A4C7D">
              <w:t>5</w:t>
            </w:r>
            <w:r>
              <w:t>/15/202</w:t>
            </w:r>
            <w:r w:rsidR="004A4C7D">
              <w:t>3</w:t>
            </w:r>
          </w:p>
          <w:p w:rsidR="001565E0" w:rsidP="009701EC" w:rsidRDefault="004A4C7D" w14:paraId="7B57EDF8" w14:textId="116ECE15">
            <w:pPr>
              <w:pStyle w:val="TX-TableText"/>
            </w:pPr>
            <w:r>
              <w:t>05/31/2023</w:t>
            </w:r>
          </w:p>
          <w:p w:rsidRPr="009701EC" w:rsidR="001565E0" w:rsidP="009701EC" w:rsidRDefault="004A4C7D" w14:paraId="7D3320A2" w14:textId="3D221E55">
            <w:pPr>
              <w:pStyle w:val="TX-TableText"/>
            </w:pPr>
            <w:r>
              <w:t>06</w:t>
            </w:r>
            <w:r w:rsidR="001565E0">
              <w:t>/15/202</w:t>
            </w:r>
            <w:r>
              <w:t>3</w:t>
            </w:r>
          </w:p>
        </w:tc>
      </w:tr>
      <w:tr w:rsidRPr="009701EC" w:rsidR="001565E0" w:rsidTr="008F6AC4" w14:paraId="459D13BD" w14:textId="77777777">
        <w:tc>
          <w:tcPr>
            <w:tcW w:w="5218" w:type="dxa"/>
          </w:tcPr>
          <w:p w:rsidR="001565E0" w:rsidP="009701EC" w:rsidRDefault="001565E0" w14:paraId="68621275" w14:textId="684A7BC1">
            <w:pPr>
              <w:pStyle w:val="TX-TableText"/>
            </w:pPr>
            <w:r>
              <w:t>Submit ICR for Full Survey</w:t>
            </w:r>
          </w:p>
        </w:tc>
        <w:tc>
          <w:tcPr>
            <w:tcW w:w="2697" w:type="dxa"/>
          </w:tcPr>
          <w:p w:rsidRPr="009701EC" w:rsidR="001565E0" w:rsidDel="001B238B" w:rsidP="009701EC" w:rsidRDefault="001565E0" w14:paraId="156B049F" w14:textId="41A82E3C">
            <w:pPr>
              <w:pStyle w:val="TX-TableText"/>
            </w:pPr>
            <w:r>
              <w:t>0</w:t>
            </w:r>
            <w:r w:rsidR="004A4C7D">
              <w:t>8</w:t>
            </w:r>
            <w:r>
              <w:t>/</w:t>
            </w:r>
            <w:r w:rsidR="001E2765">
              <w:t>16</w:t>
            </w:r>
            <w:r>
              <w:t>/202</w:t>
            </w:r>
            <w:r w:rsidR="004A4C7D">
              <w:t>3</w:t>
            </w:r>
          </w:p>
        </w:tc>
      </w:tr>
      <w:tr w:rsidRPr="009701EC" w:rsidR="001565E0" w:rsidTr="008F6AC4" w14:paraId="44F50FC9" w14:textId="77777777">
        <w:tc>
          <w:tcPr>
            <w:tcW w:w="5218" w:type="dxa"/>
          </w:tcPr>
          <w:p w:rsidR="001565E0" w:rsidP="009701EC" w:rsidRDefault="001565E0" w14:paraId="47B5B5C5" w14:textId="54261029">
            <w:pPr>
              <w:pStyle w:val="TX-TableText"/>
            </w:pPr>
            <w:r w:rsidRPr="009701EC">
              <w:t>Select PSUs for the Full Survey</w:t>
            </w:r>
          </w:p>
        </w:tc>
        <w:tc>
          <w:tcPr>
            <w:tcW w:w="2697" w:type="dxa"/>
          </w:tcPr>
          <w:p w:rsidRPr="009701EC" w:rsidR="001565E0" w:rsidDel="001B238B" w:rsidP="009701EC" w:rsidRDefault="004A4C7D" w14:paraId="210B2E1F" w14:textId="1695C2B8">
            <w:pPr>
              <w:pStyle w:val="TX-TableText"/>
            </w:pPr>
            <w:r>
              <w:t>06</w:t>
            </w:r>
            <w:r w:rsidR="001565E0">
              <w:t>/01/202</w:t>
            </w:r>
            <w:r>
              <w:t>4</w:t>
            </w:r>
          </w:p>
        </w:tc>
      </w:tr>
      <w:tr w:rsidRPr="009701EC" w:rsidR="00FA2A56" w:rsidTr="008F6AC4" w14:paraId="08266127" w14:textId="77777777">
        <w:tc>
          <w:tcPr>
            <w:tcW w:w="5218" w:type="dxa"/>
          </w:tcPr>
          <w:p w:rsidRPr="009701EC" w:rsidR="00FA2A56" w:rsidP="009701EC" w:rsidRDefault="00E46D6E" w14:paraId="1FF991D0" w14:textId="77777777">
            <w:pPr>
              <w:pStyle w:val="TX-TableText"/>
            </w:pPr>
            <w:r w:rsidRPr="009701EC">
              <w:t>Select SSUs for the Full Survey</w:t>
            </w:r>
          </w:p>
        </w:tc>
        <w:tc>
          <w:tcPr>
            <w:tcW w:w="2697" w:type="dxa"/>
          </w:tcPr>
          <w:p w:rsidRPr="009701EC" w:rsidR="00FA2A56" w:rsidP="009701EC" w:rsidRDefault="004A4C7D" w14:paraId="445B9315" w14:textId="59D5C821">
            <w:pPr>
              <w:pStyle w:val="TX-TableText"/>
            </w:pPr>
            <w:r>
              <w:t>07</w:t>
            </w:r>
            <w:r w:rsidR="001565E0">
              <w:t>/01/202</w:t>
            </w:r>
            <w:r>
              <w:t>4</w:t>
            </w:r>
          </w:p>
        </w:tc>
      </w:tr>
      <w:tr w:rsidRPr="009701EC" w:rsidR="00FA2A56" w:rsidTr="008F6AC4" w14:paraId="29B8BD8D" w14:textId="77777777">
        <w:tc>
          <w:tcPr>
            <w:tcW w:w="5218" w:type="dxa"/>
          </w:tcPr>
          <w:p w:rsidRPr="009701EC" w:rsidR="00FA2A56" w:rsidP="009701EC" w:rsidRDefault="0029477B" w14:paraId="4369C473" w14:textId="77777777">
            <w:pPr>
              <w:pStyle w:val="TX-TableText"/>
            </w:pPr>
            <w:r w:rsidRPr="009701EC">
              <w:t>Full Survey data collection</w:t>
            </w:r>
          </w:p>
        </w:tc>
        <w:tc>
          <w:tcPr>
            <w:tcW w:w="2697" w:type="dxa"/>
          </w:tcPr>
          <w:p w:rsidRPr="009701EC" w:rsidR="00FA2A56" w:rsidP="000A1CA9" w:rsidRDefault="004A4C7D" w14:paraId="4BA23ADB" w14:textId="13F7E759">
            <w:pPr>
              <w:pStyle w:val="TX-TableText"/>
            </w:pPr>
            <w:r>
              <w:t>Oct</w:t>
            </w:r>
            <w:r w:rsidRPr="009701EC" w:rsidR="0029477B">
              <w:t xml:space="preserve"> 202</w:t>
            </w:r>
            <w:r>
              <w:t>4</w:t>
            </w:r>
            <w:r w:rsidRPr="009701EC" w:rsidR="0029477B">
              <w:t>-</w:t>
            </w:r>
            <w:r>
              <w:t>Sept</w:t>
            </w:r>
            <w:r w:rsidRPr="009701EC" w:rsidR="001565E0">
              <w:t xml:space="preserve"> </w:t>
            </w:r>
            <w:r w:rsidRPr="009701EC" w:rsidR="000E4F5F">
              <w:t>202</w:t>
            </w:r>
            <w:r>
              <w:t>5</w:t>
            </w:r>
          </w:p>
        </w:tc>
      </w:tr>
      <w:tr w:rsidRPr="009701EC" w:rsidR="00FA2A56" w:rsidTr="008F6AC4" w14:paraId="646B3EFF" w14:textId="77777777">
        <w:tc>
          <w:tcPr>
            <w:tcW w:w="5218" w:type="dxa"/>
          </w:tcPr>
          <w:p w:rsidRPr="009701EC" w:rsidR="00FA2A56" w:rsidP="009701EC" w:rsidRDefault="00264D37" w14:paraId="2F4C8378" w14:textId="77777777">
            <w:pPr>
              <w:pStyle w:val="TX-TableText"/>
            </w:pPr>
            <w:r w:rsidRPr="009701EC">
              <w:t>Public-use files and documentation</w:t>
            </w:r>
          </w:p>
        </w:tc>
        <w:tc>
          <w:tcPr>
            <w:tcW w:w="2697" w:type="dxa"/>
          </w:tcPr>
          <w:p w:rsidRPr="009701EC" w:rsidR="00FA2A56" w:rsidP="009701EC" w:rsidRDefault="004A4C7D" w14:paraId="255C63BE" w14:textId="2C5098BF">
            <w:pPr>
              <w:pStyle w:val="TX-TableText"/>
            </w:pPr>
            <w:r>
              <w:t>05</w:t>
            </w:r>
            <w:r w:rsidRPr="009701EC" w:rsidR="00264D37">
              <w:t>/22/202</w:t>
            </w:r>
            <w:r>
              <w:t>6</w:t>
            </w:r>
          </w:p>
        </w:tc>
      </w:tr>
    </w:tbl>
    <w:p w:rsidRPr="003702B9" w:rsidR="00271489" w:rsidP="00271489" w:rsidRDefault="00271489" w14:paraId="5A9ABA3F" w14:textId="143D943D">
      <w:pPr>
        <w:pStyle w:val="Heading2"/>
      </w:pPr>
      <w:bookmarkStart w:name="_Toc290021776" w:id="169"/>
      <w:bookmarkStart w:name="_Toc329341699" w:id="170"/>
      <w:bookmarkStart w:name="_Toc400376165" w:id="171"/>
      <w:bookmarkStart w:name="_Toc514067612" w:id="172"/>
      <w:bookmarkStart w:name="_Toc93499544" w:id="173"/>
      <w:r w:rsidRPr="003702B9">
        <w:t>A.17</w:t>
      </w:r>
      <w:r w:rsidRPr="003702B9">
        <w:tab/>
      </w:r>
      <w:bookmarkEnd w:id="169"/>
      <w:r w:rsidRPr="003702B9">
        <w:t>Reason Display of OMB Expiration Date Is Inappropriate</w:t>
      </w:r>
      <w:bookmarkEnd w:id="170"/>
      <w:bookmarkEnd w:id="171"/>
      <w:bookmarkEnd w:id="172"/>
      <w:bookmarkEnd w:id="173"/>
    </w:p>
    <w:p w:rsidRPr="002F126A" w:rsidR="00271489" w:rsidP="00271489" w:rsidRDefault="00271489" w14:paraId="7CE7E783" w14:textId="77777777">
      <w:pPr>
        <w:pStyle w:val="L1-FlLSp12"/>
        <w:rPr>
          <w:b/>
        </w:rPr>
      </w:pPr>
      <w:r w:rsidRPr="002F126A">
        <w:rPr>
          <w:b/>
        </w:rPr>
        <w:t>If seeking approval to not display the expiration date for OMB approval of the information collection, explain the reasons that display would be inappropriate.</w:t>
      </w:r>
    </w:p>
    <w:p w:rsidRPr="009701EC" w:rsidR="00271489" w:rsidP="00271489" w:rsidRDefault="00271489" w14:paraId="67A99615" w14:textId="77777777">
      <w:pPr>
        <w:pStyle w:val="L1-FlLSp12"/>
        <w:rPr>
          <w:szCs w:val="24"/>
        </w:rPr>
      </w:pPr>
    </w:p>
    <w:p w:rsidRPr="009701EC" w:rsidR="00271489" w:rsidP="00271489" w:rsidRDefault="00271489" w14:paraId="6FEF8974" w14:textId="77777777">
      <w:pPr>
        <w:pStyle w:val="L1-FlLSp12"/>
        <w:rPr>
          <w:szCs w:val="24"/>
        </w:rPr>
      </w:pPr>
      <w:r w:rsidRPr="009701EC">
        <w:rPr>
          <w:szCs w:val="24"/>
        </w:rPr>
        <w:t>All data collection instruments will display the OMB approval number and expiration date.</w:t>
      </w:r>
    </w:p>
    <w:p w:rsidRPr="009701EC" w:rsidR="008C39E8" w:rsidP="00271489" w:rsidRDefault="008C39E8" w14:paraId="53792193" w14:textId="77777777">
      <w:pPr>
        <w:pStyle w:val="L1-FlLSp12"/>
        <w:rPr>
          <w:szCs w:val="24"/>
        </w:rPr>
      </w:pPr>
    </w:p>
    <w:p w:rsidRPr="003702B9" w:rsidR="00271489" w:rsidP="00271489" w:rsidRDefault="00271489" w14:paraId="6909D6BF" w14:textId="5CC82E3E">
      <w:pPr>
        <w:pStyle w:val="Heading2"/>
      </w:pPr>
      <w:bookmarkStart w:name="_Toc514067613" w:id="174"/>
      <w:bookmarkStart w:name="_Toc93499545" w:id="175"/>
      <w:r w:rsidRPr="003702B9">
        <w:t>A.18</w:t>
      </w:r>
      <w:r w:rsidRPr="003702B9">
        <w:tab/>
        <w:t>Exceptions to Certification for Paperwork Reduction Act Submissions</w:t>
      </w:r>
      <w:bookmarkEnd w:id="174"/>
      <w:bookmarkEnd w:id="175"/>
    </w:p>
    <w:p w:rsidRPr="002F126A" w:rsidR="00271489" w:rsidP="00271489" w:rsidRDefault="00271489" w14:paraId="39804F21" w14:textId="77777777">
      <w:pPr>
        <w:pStyle w:val="L1-FlLSp12"/>
        <w:rPr>
          <w:b/>
        </w:rPr>
      </w:pPr>
      <w:r w:rsidRPr="002F126A">
        <w:rPr>
          <w:b/>
        </w:rPr>
        <w:t>Explain each exception to the certification statement identified in Item 19 “Certification for Paperwork Reduction Act.”</w:t>
      </w:r>
    </w:p>
    <w:p w:rsidRPr="009701EC" w:rsidR="00271489" w:rsidP="00271489" w:rsidRDefault="00271489" w14:paraId="0A68747E" w14:textId="77777777">
      <w:pPr>
        <w:pStyle w:val="L1-FlLSp12"/>
        <w:rPr>
          <w:szCs w:val="24"/>
        </w:rPr>
      </w:pPr>
    </w:p>
    <w:p w:rsidR="00271489" w:rsidP="00271489" w:rsidRDefault="00271489" w14:paraId="6449AE88" w14:textId="77777777">
      <w:pPr>
        <w:pStyle w:val="L1-FlLSp12"/>
        <w:rPr>
          <w:szCs w:val="24"/>
        </w:rPr>
      </w:pPr>
      <w:r w:rsidRPr="009701EC">
        <w:rPr>
          <w:szCs w:val="24"/>
        </w:rPr>
        <w:t>There are no exceptions to the Certification for Paperwork Reduction Act (5 CFR 1320.9) for this study.</w:t>
      </w:r>
    </w:p>
    <w:p w:rsidRPr="009701EC" w:rsidR="009701EC" w:rsidP="00271489" w:rsidRDefault="009701EC" w14:paraId="79B9906A" w14:textId="77777777">
      <w:pPr>
        <w:pStyle w:val="L1-FlLSp12"/>
        <w:rPr>
          <w:szCs w:val="24"/>
        </w:rPr>
      </w:pPr>
    </w:p>
    <w:p w:rsidR="009701EC" w:rsidRDefault="009701EC" w14:paraId="5EE619C2" w14:textId="77777777">
      <w:pPr>
        <w:spacing w:line="240" w:lineRule="auto"/>
        <w:rPr>
          <w:rFonts w:ascii="Franklin Gothic Medium" w:hAnsi="Franklin Gothic Medium"/>
          <w:b/>
          <w:color w:val="324162"/>
          <w:sz w:val="32"/>
        </w:rPr>
      </w:pPr>
      <w:r>
        <w:br w:type="page"/>
      </w:r>
    </w:p>
    <w:p w:rsidRPr="009701EC" w:rsidR="00C45D76" w:rsidP="00401C76" w:rsidRDefault="00C45D76" w14:paraId="3C770D01" w14:textId="77777777">
      <w:pPr>
        <w:pStyle w:val="Heading2"/>
        <w:shd w:val="clear" w:color="auto" w:fill="FFFFFF" w:themeFill="background1"/>
        <w:tabs>
          <w:tab w:val="clear" w:pos="1152"/>
        </w:tabs>
        <w:ind w:left="0" w:firstLine="0"/>
        <w:jc w:val="center"/>
      </w:pPr>
      <w:bookmarkStart w:name="_Toc514067614" w:id="176"/>
      <w:bookmarkStart w:name="_Toc93499546" w:id="177"/>
      <w:r w:rsidRPr="009701EC">
        <w:t>References</w:t>
      </w:r>
      <w:bookmarkEnd w:id="176"/>
      <w:bookmarkEnd w:id="177"/>
    </w:p>
    <w:p w:rsidR="00F9672B" w:rsidP="00401C76" w:rsidRDefault="00F9672B" w14:paraId="790328A0" w14:textId="77777777">
      <w:pPr>
        <w:shd w:val="clear" w:color="auto" w:fill="FFFFFF" w:themeFill="background1"/>
        <w:autoSpaceDE w:val="0"/>
        <w:autoSpaceDN w:val="0"/>
        <w:adjustRightInd w:val="0"/>
        <w:spacing w:line="240" w:lineRule="auto"/>
        <w:ind w:left="720" w:hanging="720"/>
        <w:rPr>
          <w:rFonts w:cs="Arial"/>
          <w:color w:val="333333"/>
          <w:szCs w:val="24"/>
          <w:shd w:val="clear" w:color="auto" w:fill="F8F9F7"/>
        </w:rPr>
      </w:pPr>
    </w:p>
    <w:p w:rsidR="00F9672B" w:rsidP="00401C76" w:rsidRDefault="00F9672B" w14:paraId="69A824B2" w14:textId="4FDEDC36">
      <w:pPr>
        <w:shd w:val="clear" w:color="auto" w:fill="FFFFFF" w:themeFill="background1"/>
        <w:autoSpaceDE w:val="0"/>
        <w:autoSpaceDN w:val="0"/>
        <w:adjustRightInd w:val="0"/>
        <w:spacing w:line="240" w:lineRule="auto"/>
        <w:ind w:left="720" w:hanging="720"/>
        <w:rPr>
          <w:rFonts w:cs="Arial"/>
          <w:color w:val="333333"/>
          <w:szCs w:val="24"/>
          <w:shd w:val="clear" w:color="auto" w:fill="F8F9F7"/>
        </w:rPr>
      </w:pPr>
      <w:r w:rsidRPr="001F04C5">
        <w:rPr>
          <w:szCs w:val="24"/>
        </w:rPr>
        <w:t>Consumer Expenditure Survey, 201</w:t>
      </w:r>
      <w:r w:rsidR="00D77240">
        <w:rPr>
          <w:szCs w:val="24"/>
        </w:rPr>
        <w:t>9</w:t>
      </w:r>
      <w:r w:rsidRPr="001F04C5">
        <w:rPr>
          <w:szCs w:val="24"/>
        </w:rPr>
        <w:t>, at https://www.bls.gov/cex/201</w:t>
      </w:r>
      <w:r w:rsidR="00D77240">
        <w:rPr>
          <w:szCs w:val="24"/>
        </w:rPr>
        <w:t>9</w:t>
      </w:r>
      <w:r w:rsidRPr="001F04C5">
        <w:rPr>
          <w:szCs w:val="24"/>
        </w:rPr>
        <w:t>/aggregate/region.pdf</w:t>
      </w:r>
    </w:p>
    <w:p w:rsidR="00B810AA" w:rsidP="00401C76" w:rsidRDefault="00B810AA" w14:paraId="0796C6BF" w14:textId="77777777">
      <w:pPr>
        <w:shd w:val="clear" w:color="auto" w:fill="FFFFFF" w:themeFill="background1"/>
        <w:autoSpaceDE w:val="0"/>
        <w:autoSpaceDN w:val="0"/>
        <w:adjustRightInd w:val="0"/>
        <w:spacing w:line="240" w:lineRule="auto"/>
        <w:ind w:left="720" w:hanging="720"/>
        <w:rPr>
          <w:rFonts w:cs="Arial"/>
          <w:color w:val="333333"/>
          <w:szCs w:val="24"/>
          <w:shd w:val="clear" w:color="auto" w:fill="F8F9F7"/>
        </w:rPr>
      </w:pPr>
    </w:p>
    <w:p w:rsidR="00C45D76" w:rsidP="00401C76" w:rsidRDefault="00C45D76" w14:paraId="3E3ABDEC" w14:textId="5FE3DD79">
      <w:pPr>
        <w:shd w:val="clear" w:color="auto" w:fill="FFFFFF" w:themeFill="background1"/>
        <w:autoSpaceDE w:val="0"/>
        <w:autoSpaceDN w:val="0"/>
        <w:adjustRightInd w:val="0"/>
        <w:spacing w:line="240" w:lineRule="auto"/>
        <w:ind w:left="720" w:hanging="720"/>
        <w:rPr>
          <w:rFonts w:cs="Garamond"/>
          <w:color w:val="000000"/>
          <w:szCs w:val="24"/>
        </w:rPr>
      </w:pPr>
      <w:r w:rsidRPr="008F6AC4">
        <w:rPr>
          <w:rFonts w:cs="Garamond"/>
          <w:color w:val="000000"/>
          <w:szCs w:val="24"/>
        </w:rPr>
        <w:t>Dan, O.M., and Lai, J.W. (2013). How am I doing? The effects of gamification and social sharing on</w:t>
      </w:r>
      <w:r w:rsidRPr="008F6AC4" w:rsidR="0082436D">
        <w:rPr>
          <w:rFonts w:cs="Garamond"/>
          <w:color w:val="000000"/>
          <w:szCs w:val="24"/>
        </w:rPr>
        <w:t xml:space="preserve"> </w:t>
      </w:r>
      <w:r w:rsidRPr="008F6AC4">
        <w:rPr>
          <w:rFonts w:cs="Garamond"/>
          <w:color w:val="000000"/>
          <w:szCs w:val="24"/>
        </w:rPr>
        <w:t xml:space="preserve">user engagement. In </w:t>
      </w:r>
      <w:r w:rsidRPr="008F6AC4">
        <w:rPr>
          <w:rFonts w:cs="Garamond-Italic"/>
          <w:i/>
          <w:iCs/>
          <w:color w:val="000000"/>
          <w:szCs w:val="24"/>
        </w:rPr>
        <w:t>JSM Proceedings, Survey Research Methods Section</w:t>
      </w:r>
      <w:r w:rsidRPr="008F6AC4">
        <w:rPr>
          <w:rFonts w:cs="Garamond"/>
          <w:color w:val="000000"/>
          <w:szCs w:val="24"/>
        </w:rPr>
        <w:t>, pp. 4374-4388. Alexandria,</w:t>
      </w:r>
      <w:r w:rsidRPr="008F6AC4" w:rsidR="009701EC">
        <w:rPr>
          <w:rFonts w:cs="Garamond"/>
          <w:color w:val="000000"/>
          <w:szCs w:val="24"/>
        </w:rPr>
        <w:t xml:space="preserve"> </w:t>
      </w:r>
      <w:r w:rsidRPr="008F6AC4">
        <w:rPr>
          <w:rFonts w:cs="Garamond"/>
          <w:color w:val="000000"/>
          <w:szCs w:val="24"/>
        </w:rPr>
        <w:t>VA: American Statistical Association.</w:t>
      </w:r>
    </w:p>
    <w:p w:rsidR="001573B2" w:rsidP="00401C76" w:rsidRDefault="001573B2" w14:paraId="43B44C37" w14:textId="2204A588">
      <w:pPr>
        <w:shd w:val="clear" w:color="auto" w:fill="FFFFFF" w:themeFill="background1"/>
        <w:autoSpaceDE w:val="0"/>
        <w:autoSpaceDN w:val="0"/>
        <w:adjustRightInd w:val="0"/>
        <w:spacing w:line="240" w:lineRule="auto"/>
        <w:ind w:left="720" w:hanging="720"/>
        <w:rPr>
          <w:rFonts w:cs="Garamond"/>
          <w:color w:val="000000"/>
          <w:szCs w:val="24"/>
        </w:rPr>
      </w:pPr>
    </w:p>
    <w:p w:rsidR="001573B2" w:rsidP="00401C76" w:rsidRDefault="001573B2" w14:paraId="274F06B5" w14:textId="0B7746D1">
      <w:pPr>
        <w:shd w:val="clear" w:color="auto" w:fill="FFFFFF" w:themeFill="background1"/>
        <w:autoSpaceDE w:val="0"/>
        <w:autoSpaceDN w:val="0"/>
        <w:adjustRightInd w:val="0"/>
        <w:spacing w:line="240" w:lineRule="auto"/>
        <w:ind w:left="720" w:hanging="720"/>
      </w:pPr>
      <w:r>
        <w:t>Dubowitz, T., M. et al. (2015); Rahkovsky, I. and Snyder, S. (2015); and Ver Ploeg, M. et al. (2015).</w:t>
      </w:r>
    </w:p>
    <w:p w:rsidR="00F9672B" w:rsidP="00401C76" w:rsidRDefault="00F9672B" w14:paraId="79E4719A" w14:textId="4CA283BE">
      <w:pPr>
        <w:shd w:val="clear" w:color="auto" w:fill="FFFFFF" w:themeFill="background1"/>
        <w:autoSpaceDE w:val="0"/>
        <w:autoSpaceDN w:val="0"/>
        <w:adjustRightInd w:val="0"/>
        <w:spacing w:line="240" w:lineRule="auto"/>
        <w:ind w:left="720" w:hanging="720"/>
      </w:pPr>
    </w:p>
    <w:p w:rsidR="00F9672B" w:rsidP="00401C76" w:rsidRDefault="00CA2500" w14:paraId="11A4F987" w14:textId="349EB1D7">
      <w:pPr>
        <w:shd w:val="clear" w:color="auto" w:fill="FFFFFF" w:themeFill="background1"/>
        <w:autoSpaceDE w:val="0"/>
        <w:autoSpaceDN w:val="0"/>
        <w:adjustRightInd w:val="0"/>
        <w:spacing w:line="240" w:lineRule="auto"/>
        <w:ind w:left="720" w:hanging="720"/>
        <w:rPr>
          <w:rFonts w:cs="Garamond"/>
          <w:color w:val="000000"/>
          <w:szCs w:val="24"/>
        </w:rPr>
      </w:pPr>
      <w:hyperlink w:history="1" r:id="rId27">
        <w:r w:rsidRPr="00F9672B" w:rsidR="00F9672B">
          <w:rPr>
            <w:rStyle w:val="Hyperlink"/>
            <w:szCs w:val="24"/>
          </w:rPr>
          <w:t>https://www.ers.usda.gov/foodaps</w:t>
        </w:r>
      </w:hyperlink>
      <w:r w:rsidRPr="00F9672B" w:rsidR="00F9672B">
        <w:rPr>
          <w:szCs w:val="24"/>
        </w:rPr>
        <w:t xml:space="preserve"> </w:t>
      </w:r>
      <w:r w:rsidR="00F9672B">
        <w:rPr>
          <w:szCs w:val="24"/>
        </w:rPr>
        <w:t>and</w:t>
      </w:r>
      <w:r w:rsidRPr="001F04C5" w:rsidR="00F9672B">
        <w:rPr>
          <w:szCs w:val="24"/>
        </w:rPr>
        <w:t xml:space="preserve"> https://www.ers.usda.gov/data-products/foodaps-national-household-food-acquisition-and-purchase-survey/interactive-charts/.</w:t>
      </w:r>
    </w:p>
    <w:p w:rsidRPr="008F6AC4" w:rsidR="008F6AC4" w:rsidP="00401C76" w:rsidRDefault="008F6AC4" w14:paraId="5A681BB0" w14:textId="77777777">
      <w:pPr>
        <w:shd w:val="clear" w:color="auto" w:fill="FFFFFF" w:themeFill="background1"/>
        <w:autoSpaceDE w:val="0"/>
        <w:autoSpaceDN w:val="0"/>
        <w:adjustRightInd w:val="0"/>
        <w:spacing w:line="240" w:lineRule="auto"/>
        <w:ind w:left="720" w:hanging="720"/>
        <w:rPr>
          <w:rFonts w:cs="Garamond"/>
          <w:color w:val="000000"/>
          <w:szCs w:val="24"/>
        </w:rPr>
      </w:pPr>
    </w:p>
    <w:p w:rsidR="008F6AC4" w:rsidP="00401C76" w:rsidRDefault="008F6AC4" w14:paraId="36097019" w14:textId="53DA10BC">
      <w:pPr>
        <w:shd w:val="clear" w:color="auto" w:fill="FFFFFF" w:themeFill="background1"/>
        <w:autoSpaceDE w:val="0"/>
        <w:autoSpaceDN w:val="0"/>
        <w:adjustRightInd w:val="0"/>
        <w:spacing w:line="240" w:lineRule="auto"/>
        <w:ind w:left="720" w:hanging="720"/>
        <w:rPr>
          <w:rFonts w:cs="Arial"/>
          <w:color w:val="545454"/>
          <w:szCs w:val="24"/>
          <w:shd w:val="clear" w:color="auto" w:fill="FFFFFF"/>
        </w:rPr>
      </w:pPr>
      <w:r w:rsidRPr="008F6AC4">
        <w:rPr>
          <w:szCs w:val="24"/>
        </w:rPr>
        <w:t xml:space="preserve">Kirlin, John A., and Mark Denbaly, “Lessons Learned from the National Household Food Purchase and Acquisition Survey in the United States, </w:t>
      </w:r>
      <w:r w:rsidRPr="008F6AC4" w:rsidR="009B2467">
        <w:rPr>
          <w:szCs w:val="24"/>
        </w:rPr>
        <w:t>“Food</w:t>
      </w:r>
      <w:r w:rsidRPr="008F6AC4">
        <w:rPr>
          <w:i/>
          <w:szCs w:val="24"/>
        </w:rPr>
        <w:t xml:space="preserve"> Policy</w:t>
      </w:r>
      <w:r w:rsidRPr="008F6AC4">
        <w:rPr>
          <w:szCs w:val="24"/>
        </w:rPr>
        <w:t xml:space="preserve">, </w:t>
      </w:r>
      <w:r w:rsidRPr="008F6AC4">
        <w:rPr>
          <w:rFonts w:cs="Arial"/>
          <w:color w:val="545454"/>
          <w:szCs w:val="24"/>
          <w:shd w:val="clear" w:color="auto" w:fill="FFFFFF"/>
        </w:rPr>
        <w:t>Elsevier, vol. 72(C), pages 62-71</w:t>
      </w:r>
      <w:r w:rsidR="00B810AA">
        <w:rPr>
          <w:rFonts w:cs="Arial"/>
          <w:color w:val="545454"/>
          <w:szCs w:val="24"/>
          <w:shd w:val="clear" w:color="auto" w:fill="FFFFFF"/>
        </w:rPr>
        <w:t>.</w:t>
      </w:r>
    </w:p>
    <w:p w:rsidR="00B810AA" w:rsidP="00401C76" w:rsidRDefault="00B810AA" w14:paraId="2DEDD665" w14:textId="33DE2142">
      <w:pPr>
        <w:shd w:val="clear" w:color="auto" w:fill="FFFFFF" w:themeFill="background1"/>
        <w:autoSpaceDE w:val="0"/>
        <w:autoSpaceDN w:val="0"/>
        <w:adjustRightInd w:val="0"/>
        <w:spacing w:line="240" w:lineRule="auto"/>
        <w:ind w:left="720" w:hanging="720"/>
        <w:rPr>
          <w:rFonts w:cs="Arial"/>
          <w:color w:val="545454"/>
          <w:szCs w:val="24"/>
          <w:shd w:val="clear" w:color="auto" w:fill="FFFFFF"/>
        </w:rPr>
      </w:pPr>
    </w:p>
    <w:p w:rsidR="00B810AA" w:rsidP="009701EC" w:rsidRDefault="00B810AA" w14:paraId="6BAEA5C2" w14:textId="6B55A486">
      <w:pPr>
        <w:autoSpaceDE w:val="0"/>
        <w:autoSpaceDN w:val="0"/>
        <w:adjustRightInd w:val="0"/>
        <w:spacing w:line="240" w:lineRule="auto"/>
        <w:ind w:left="720" w:hanging="720"/>
        <w:rPr>
          <w:rFonts w:cs="Arial"/>
          <w:color w:val="545454"/>
          <w:szCs w:val="24"/>
          <w:shd w:val="clear" w:color="auto" w:fill="FFFFFF"/>
        </w:rPr>
      </w:pPr>
      <w:r w:rsidRPr="00B810AA">
        <w:rPr>
          <w:szCs w:val="24"/>
        </w:rPr>
        <w:t>Larson, N.I., M.T. Story, and M.C. Nelson (2009). “Neighborhood environments: Disparities in access to healthy foods in the U.</w:t>
      </w:r>
      <w:r w:rsidRPr="001F04C5">
        <w:rPr>
          <w:szCs w:val="24"/>
        </w:rPr>
        <w:t xml:space="preserve">S.” </w:t>
      </w:r>
      <w:r w:rsidRPr="001F04C5">
        <w:rPr>
          <w:i/>
          <w:szCs w:val="24"/>
        </w:rPr>
        <w:t xml:space="preserve">American Journal of Prevention Medicine, </w:t>
      </w:r>
      <w:r w:rsidRPr="001F04C5">
        <w:rPr>
          <w:szCs w:val="24"/>
        </w:rPr>
        <w:t>36(1): 74-81.e10.</w:t>
      </w:r>
    </w:p>
    <w:p w:rsidR="00B810AA" w:rsidP="009701EC" w:rsidRDefault="00B810AA" w14:paraId="5D6B9865" w14:textId="0DA6E80F">
      <w:pPr>
        <w:autoSpaceDE w:val="0"/>
        <w:autoSpaceDN w:val="0"/>
        <w:adjustRightInd w:val="0"/>
        <w:spacing w:line="240" w:lineRule="auto"/>
        <w:ind w:left="720" w:hanging="720"/>
        <w:rPr>
          <w:rFonts w:cs="Garamond"/>
          <w:color w:val="000000"/>
          <w:szCs w:val="24"/>
        </w:rPr>
      </w:pPr>
    </w:p>
    <w:p w:rsidR="00B810AA" w:rsidP="009701EC" w:rsidRDefault="00B810AA" w14:paraId="57213800" w14:textId="33B2E374">
      <w:pPr>
        <w:autoSpaceDE w:val="0"/>
        <w:autoSpaceDN w:val="0"/>
        <w:adjustRightInd w:val="0"/>
        <w:spacing w:line="240" w:lineRule="auto"/>
        <w:ind w:left="720" w:hanging="720"/>
        <w:rPr>
          <w:szCs w:val="24"/>
        </w:rPr>
      </w:pPr>
      <w:r w:rsidRPr="001F04C5">
        <w:rPr>
          <w:szCs w:val="24"/>
        </w:rPr>
        <w:t>Ogden CL, Carroll MD, Fryar CD, Flegal KM. Prevalence of obesity among adults and youth: United States, 2011-2014. NCHS data brief, no 219. Hyattsville, MD: National Center for Health Statistics. 2015.</w:t>
      </w:r>
    </w:p>
    <w:p w:rsidR="001573B2" w:rsidP="009701EC" w:rsidRDefault="001573B2" w14:paraId="1EF466F9" w14:textId="55939F63">
      <w:pPr>
        <w:autoSpaceDE w:val="0"/>
        <w:autoSpaceDN w:val="0"/>
        <w:adjustRightInd w:val="0"/>
        <w:spacing w:line="240" w:lineRule="auto"/>
        <w:ind w:left="720" w:hanging="720"/>
        <w:rPr>
          <w:szCs w:val="24"/>
        </w:rPr>
      </w:pPr>
    </w:p>
    <w:p w:rsidRPr="008F6AC4" w:rsidR="001573B2" w:rsidP="009701EC" w:rsidRDefault="001573B2" w14:paraId="1B568444" w14:textId="28577DB5">
      <w:pPr>
        <w:autoSpaceDE w:val="0"/>
        <w:autoSpaceDN w:val="0"/>
        <w:adjustRightInd w:val="0"/>
        <w:spacing w:line="240" w:lineRule="auto"/>
        <w:ind w:left="720" w:hanging="720"/>
        <w:rPr>
          <w:rFonts w:cs="Garamond"/>
          <w:color w:val="000000"/>
          <w:szCs w:val="24"/>
        </w:rPr>
      </w:pPr>
      <w:r>
        <w:t>Oliveira, Victor. “The Food Assistance Landscape: FY 2016 Annual Report,” EIB-169. U.S. Department of Agriculture, Economic Research Service, March 2017.</w:t>
      </w:r>
    </w:p>
    <w:p w:rsidRPr="008F6AC4" w:rsidR="00344B5B" w:rsidP="009701EC" w:rsidRDefault="00344B5B" w14:paraId="6E94E96A" w14:textId="77777777">
      <w:pPr>
        <w:autoSpaceDE w:val="0"/>
        <w:autoSpaceDN w:val="0"/>
        <w:adjustRightInd w:val="0"/>
        <w:spacing w:line="240" w:lineRule="auto"/>
        <w:ind w:left="720" w:hanging="720"/>
        <w:rPr>
          <w:rFonts w:cs="Garamond"/>
          <w:color w:val="000000"/>
          <w:szCs w:val="24"/>
        </w:rPr>
      </w:pPr>
    </w:p>
    <w:p w:rsidRPr="008F6AC4" w:rsidR="00C45D76" w:rsidP="009701EC" w:rsidRDefault="00C45D76" w14:paraId="61CB69D0" w14:textId="77777777">
      <w:pPr>
        <w:autoSpaceDE w:val="0"/>
        <w:autoSpaceDN w:val="0"/>
        <w:adjustRightInd w:val="0"/>
        <w:spacing w:line="240" w:lineRule="auto"/>
        <w:ind w:left="720" w:hanging="720"/>
        <w:rPr>
          <w:rFonts w:cs="Garamond"/>
          <w:szCs w:val="24"/>
        </w:rPr>
      </w:pPr>
      <w:r w:rsidRPr="008F6AC4">
        <w:rPr>
          <w:rFonts w:cs="Garamond"/>
          <w:szCs w:val="24"/>
        </w:rPr>
        <w:t xml:space="preserve">Puleston, J. (2011). </w:t>
      </w:r>
      <w:r w:rsidRPr="008F6AC4">
        <w:rPr>
          <w:rFonts w:cs="Garamond-Italic"/>
          <w:i/>
          <w:iCs/>
          <w:szCs w:val="24"/>
        </w:rPr>
        <w:t xml:space="preserve">Game theory – turning surveys into games. </w:t>
      </w:r>
      <w:r w:rsidRPr="008F6AC4">
        <w:rPr>
          <w:rFonts w:cs="Garamond"/>
          <w:szCs w:val="24"/>
        </w:rPr>
        <w:t xml:space="preserve">Available at </w:t>
      </w:r>
      <w:hyperlink w:history="1" r:id="rId28">
        <w:r w:rsidRPr="008F6AC4" w:rsidR="009701EC">
          <w:rPr>
            <w:rStyle w:val="Hyperlink"/>
            <w:rFonts w:cs="Garamond"/>
            <w:color w:val="auto"/>
            <w:szCs w:val="24"/>
          </w:rPr>
          <w:t>http://questionscience</w:t>
        </w:r>
      </w:hyperlink>
      <w:r w:rsidRPr="008F6AC4">
        <w:rPr>
          <w:rFonts w:cs="Garamond"/>
          <w:szCs w:val="24"/>
        </w:rPr>
        <w:t>.</w:t>
      </w:r>
      <w:r w:rsidRPr="008F6AC4" w:rsidR="009701EC">
        <w:rPr>
          <w:rFonts w:cs="Garamond"/>
          <w:szCs w:val="24"/>
        </w:rPr>
        <w:t xml:space="preserve"> </w:t>
      </w:r>
      <w:r w:rsidRPr="008F6AC4">
        <w:rPr>
          <w:rFonts w:cs="Garamond"/>
          <w:szCs w:val="24"/>
        </w:rPr>
        <w:t>blogspot.com/2011/02/game-theory-turning-surveys-into-games.html</w:t>
      </w:r>
    </w:p>
    <w:p w:rsidRPr="008F6AC4" w:rsidR="00344B5B" w:rsidP="009701EC" w:rsidRDefault="00344B5B" w14:paraId="53A73664" w14:textId="77777777">
      <w:pPr>
        <w:autoSpaceDE w:val="0"/>
        <w:autoSpaceDN w:val="0"/>
        <w:adjustRightInd w:val="0"/>
        <w:spacing w:line="240" w:lineRule="auto"/>
        <w:ind w:left="720" w:hanging="720"/>
        <w:rPr>
          <w:rFonts w:cs="Garamond"/>
          <w:szCs w:val="24"/>
        </w:rPr>
      </w:pPr>
    </w:p>
    <w:p w:rsidR="00C45D76" w:rsidP="009701EC" w:rsidRDefault="00C45D76" w14:paraId="50DE6E66" w14:textId="70C33ACE">
      <w:pPr>
        <w:autoSpaceDE w:val="0"/>
        <w:autoSpaceDN w:val="0"/>
        <w:adjustRightInd w:val="0"/>
        <w:spacing w:line="240" w:lineRule="auto"/>
        <w:ind w:left="720" w:hanging="720"/>
        <w:rPr>
          <w:rFonts w:cs="Garamond"/>
          <w:color w:val="000000"/>
          <w:szCs w:val="24"/>
        </w:rPr>
      </w:pPr>
      <w:r w:rsidRPr="008F6AC4">
        <w:rPr>
          <w:rFonts w:cs="Garamond"/>
          <w:szCs w:val="24"/>
        </w:rPr>
        <w:t>Richter, G., Raban, D.R., and Rafaeli, S. (2015). Studying gamification: The effect of rewards and</w:t>
      </w:r>
      <w:r w:rsidRPr="008F6AC4" w:rsidR="009701EC">
        <w:rPr>
          <w:rFonts w:cs="Garamond"/>
          <w:szCs w:val="24"/>
        </w:rPr>
        <w:t xml:space="preserve"> </w:t>
      </w:r>
      <w:r w:rsidRPr="008F6AC4">
        <w:rPr>
          <w:rFonts w:cs="Garamond"/>
          <w:color w:val="000000"/>
          <w:szCs w:val="24"/>
        </w:rPr>
        <w:t xml:space="preserve">incentives on motivation. In T. Reiners and L. C. Wood (eds.), </w:t>
      </w:r>
      <w:r w:rsidRPr="008F6AC4">
        <w:rPr>
          <w:rFonts w:cs="Garamond-Italic"/>
          <w:i/>
          <w:iCs/>
          <w:color w:val="000000"/>
          <w:szCs w:val="24"/>
        </w:rPr>
        <w:t>Gamification in Education and</w:t>
      </w:r>
      <w:r w:rsidRPr="008F6AC4" w:rsidR="009701EC">
        <w:rPr>
          <w:rFonts w:cs="Garamond-Italic"/>
          <w:i/>
          <w:iCs/>
          <w:color w:val="000000"/>
          <w:szCs w:val="24"/>
        </w:rPr>
        <w:t xml:space="preserve"> </w:t>
      </w:r>
      <w:r w:rsidRPr="008F6AC4">
        <w:rPr>
          <w:rFonts w:cs="Garamond-Italic"/>
          <w:i/>
          <w:iCs/>
          <w:color w:val="000000"/>
          <w:szCs w:val="24"/>
        </w:rPr>
        <w:t>Business</w:t>
      </w:r>
      <w:r w:rsidRPr="008F6AC4">
        <w:rPr>
          <w:rFonts w:cs="Garamond"/>
          <w:color w:val="000000"/>
          <w:szCs w:val="24"/>
        </w:rPr>
        <w:t>, pp. 21-46. Springer International Publishing Switzerland.</w:t>
      </w:r>
    </w:p>
    <w:p w:rsidR="006A475E" w:rsidP="009701EC" w:rsidRDefault="006A475E" w14:paraId="1CC98BE3" w14:textId="77777777">
      <w:pPr>
        <w:autoSpaceDE w:val="0"/>
        <w:autoSpaceDN w:val="0"/>
        <w:adjustRightInd w:val="0"/>
        <w:spacing w:line="240" w:lineRule="auto"/>
        <w:ind w:left="720" w:hanging="720"/>
      </w:pPr>
    </w:p>
    <w:p w:rsidR="006A475E" w:rsidP="009701EC" w:rsidRDefault="006A475E" w14:paraId="0CB3EA99" w14:textId="228D2B79">
      <w:pPr>
        <w:autoSpaceDE w:val="0"/>
        <w:autoSpaceDN w:val="0"/>
        <w:adjustRightInd w:val="0"/>
        <w:spacing w:line="240" w:lineRule="auto"/>
        <w:ind w:left="720" w:hanging="720"/>
        <w:rPr>
          <w:rFonts w:cs="Garamond"/>
          <w:color w:val="000000"/>
          <w:szCs w:val="24"/>
        </w:rPr>
      </w:pPr>
      <w:r>
        <w:t>U.S. Department of Agriculture, Food and Nutrition Service, Office of Policy Support, Characteristics of Supplemental Nutrition Assistance Program Households: Fiscal Year 2019, by Kathryn Cronquist. Project Officer, Barbara Murphy. Alexandria, VA, 2021.</w:t>
      </w:r>
    </w:p>
    <w:p w:rsidR="001573B2" w:rsidP="009701EC" w:rsidRDefault="001573B2" w14:paraId="548E6234" w14:textId="4DE46262">
      <w:pPr>
        <w:autoSpaceDE w:val="0"/>
        <w:autoSpaceDN w:val="0"/>
        <w:adjustRightInd w:val="0"/>
        <w:spacing w:line="240" w:lineRule="auto"/>
        <w:ind w:left="720" w:hanging="720"/>
        <w:rPr>
          <w:rFonts w:cs="Garamond"/>
          <w:color w:val="000000"/>
          <w:szCs w:val="24"/>
        </w:rPr>
      </w:pPr>
    </w:p>
    <w:p w:rsidR="001573B2" w:rsidP="009701EC" w:rsidRDefault="001573B2" w14:paraId="4D9F2C82" w14:textId="2D185F1C">
      <w:pPr>
        <w:autoSpaceDE w:val="0"/>
        <w:autoSpaceDN w:val="0"/>
        <w:adjustRightInd w:val="0"/>
        <w:spacing w:line="240" w:lineRule="auto"/>
        <w:ind w:left="720" w:hanging="720"/>
        <w:rPr>
          <w:rFonts w:cs="Garamond"/>
          <w:color w:val="000000"/>
          <w:szCs w:val="24"/>
        </w:rPr>
      </w:pPr>
    </w:p>
    <w:p w:rsidRPr="00B810AA" w:rsidR="001422C0" w:rsidP="00B810AA" w:rsidRDefault="00B810AA" w14:paraId="003E1141" w14:textId="6EC4501F">
      <w:pPr>
        <w:autoSpaceDE w:val="0"/>
        <w:autoSpaceDN w:val="0"/>
        <w:adjustRightInd w:val="0"/>
        <w:spacing w:line="240" w:lineRule="auto"/>
        <w:ind w:left="720" w:hanging="720"/>
        <w:rPr>
          <w:szCs w:val="24"/>
        </w:rPr>
      </w:pPr>
      <w:r w:rsidRPr="00B810AA">
        <w:rPr>
          <w:szCs w:val="24"/>
        </w:rPr>
        <w:t xml:space="preserve"> </w:t>
      </w:r>
    </w:p>
    <w:sectPr w:rsidRPr="00B810AA" w:rsidR="001422C0" w:rsidSect="00504187">
      <w:headerReference w:type="default" r:id="rId29"/>
      <w:footerReference w:type="default" r:id="rId30"/>
      <w:headerReference w:type="first" r:id="rId31"/>
      <w:footerReference w:type="first" r:id="rId32"/>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7856" w14:textId="77777777" w:rsidR="005E2460" w:rsidRDefault="005E2460">
      <w:pPr>
        <w:spacing w:line="240" w:lineRule="auto"/>
      </w:pPr>
      <w:r>
        <w:separator/>
      </w:r>
    </w:p>
  </w:endnote>
  <w:endnote w:type="continuationSeparator" w:id="0">
    <w:p w14:paraId="60C739B9" w14:textId="77777777" w:rsidR="005E2460" w:rsidRDefault="005E2460">
      <w:pPr>
        <w:spacing w:line="240" w:lineRule="auto"/>
      </w:pPr>
      <w:r>
        <w:continuationSeparator/>
      </w:r>
    </w:p>
  </w:endnote>
  <w:endnote w:type="continuationNotice" w:id="1">
    <w:p w14:paraId="1818DAC8" w14:textId="77777777" w:rsidR="005E2460" w:rsidRDefault="005E2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59"/>
    <w:family w:val="auto"/>
    <w:pitch w:val="variable"/>
    <w:sig w:usb0="00000000"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A883F" w14:textId="588AD842" w:rsidR="005E2460" w:rsidRDefault="005E2460" w:rsidP="00D6308A">
    <w:pPr>
      <w:pStyle w:val="Footer"/>
      <w:jc w:val="center"/>
    </w:pPr>
    <w:r>
      <w:fldChar w:fldCharType="begin"/>
    </w:r>
    <w:r>
      <w:instrText xml:space="preserve"> PAGE   \* MERGEFORMAT </w:instrText>
    </w:r>
    <w:r>
      <w:fldChar w:fldCharType="separate"/>
    </w:r>
    <w:r>
      <w:rPr>
        <w:noProof/>
      </w:rPr>
      <w:t>42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805088"/>
      <w:docPartObj>
        <w:docPartGallery w:val="Page Numbers (Bottom of Page)"/>
        <w:docPartUnique/>
      </w:docPartObj>
    </w:sdtPr>
    <w:sdtEndPr>
      <w:rPr>
        <w:noProof/>
      </w:rPr>
    </w:sdtEndPr>
    <w:sdtContent>
      <w:p w14:paraId="349CA427" w14:textId="34FE4BFE" w:rsidR="005E2460" w:rsidRDefault="005E2460">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7852378B" w14:textId="77777777" w:rsidR="005E2460" w:rsidRPr="00BB3850" w:rsidRDefault="005E2460" w:rsidP="00B55BA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A4AA" w14:textId="60F10566" w:rsidR="005E2460" w:rsidRPr="00E60620" w:rsidRDefault="005E2460" w:rsidP="00E60620">
    <w:pPr>
      <w:pStyle w:val="Footer"/>
      <w:jc w:val="center"/>
    </w:pPr>
    <w:r>
      <w:fldChar w:fldCharType="begin"/>
    </w:r>
    <w:r>
      <w:instrText xml:space="preserve"> PAGE   \* MERGEFORMAT </w:instrText>
    </w:r>
    <w:r>
      <w:fldChar w:fldCharType="separate"/>
    </w:r>
    <w:r>
      <w:rPr>
        <w:noProof/>
      </w:rPr>
      <w:t>45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938FF" w14:textId="0B4F235D" w:rsidR="005E2460" w:rsidRPr="00D6415D" w:rsidRDefault="005E2460"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Pr>
        <w:noProof/>
      </w:rPr>
      <w:t>43</w:t>
    </w:r>
    <w:r w:rsidRPr="00D641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6501C" w14:textId="77777777" w:rsidR="005E2460" w:rsidRDefault="005E2460">
      <w:pPr>
        <w:spacing w:line="240" w:lineRule="auto"/>
      </w:pPr>
      <w:r>
        <w:separator/>
      </w:r>
    </w:p>
  </w:footnote>
  <w:footnote w:type="continuationSeparator" w:id="0">
    <w:p w14:paraId="31C2ABCB" w14:textId="77777777" w:rsidR="005E2460" w:rsidRDefault="005E2460">
      <w:pPr>
        <w:spacing w:line="240" w:lineRule="auto"/>
      </w:pPr>
      <w:r>
        <w:continuationSeparator/>
      </w:r>
    </w:p>
  </w:footnote>
  <w:footnote w:type="continuationNotice" w:id="1">
    <w:p w14:paraId="41F7A548" w14:textId="77777777" w:rsidR="005E2460" w:rsidRDefault="005E2460">
      <w:pPr>
        <w:spacing w:line="240" w:lineRule="auto"/>
      </w:pPr>
    </w:p>
  </w:footnote>
  <w:footnote w:id="2">
    <w:p w14:paraId="29898283" w14:textId="2C871CDF" w:rsidR="005E2460" w:rsidRDefault="005E2460">
      <w:pPr>
        <w:pStyle w:val="FootnoteText"/>
      </w:pPr>
      <w:r>
        <w:rPr>
          <w:rStyle w:val="FootnoteReference"/>
        </w:rPr>
        <w:footnoteRef/>
      </w:r>
      <w:r>
        <w:t xml:space="preserve"> </w:t>
      </w:r>
      <w:r w:rsidRPr="001F3748">
        <w:t xml:space="preserve">This attachment is for internal processes only and is not included in the final </w:t>
      </w:r>
      <w:r>
        <w:t>Information Collection Request (ICR) submission to the Office of Management and Budget (OMB).</w:t>
      </w:r>
    </w:p>
  </w:footnote>
  <w:footnote w:id="3">
    <w:p w14:paraId="64E72CAB" w14:textId="27EDB2DE" w:rsidR="005E2460" w:rsidRDefault="005E2460">
      <w:pPr>
        <w:pStyle w:val="FootnoteText"/>
      </w:pPr>
      <w:r>
        <w:rPr>
          <w:rStyle w:val="FootnoteReference"/>
        </w:rPr>
        <w:footnoteRef/>
      </w:r>
      <w:r>
        <w:t xml:space="preserve"> T</w:t>
      </w:r>
      <w:r w:rsidRPr="00D76B01">
        <w:t>he Alternative Data Collection Method (ADCM) Pilot</w:t>
      </w:r>
      <w:r>
        <w:t xml:space="preserve"> was also known as </w:t>
      </w:r>
      <w:r w:rsidRPr="00D76B01">
        <w:t>The National Food Study Pilot</w:t>
      </w:r>
      <w:r>
        <w:t>.</w:t>
      </w:r>
      <w:r w:rsidRPr="00D76B01">
        <w:t xml:space="preserve"> For background information on the ADCM Pilot, see </w:t>
      </w:r>
      <w:hyperlink r:id="rId1" w:history="1">
        <w:r>
          <w:rPr>
            <w:rStyle w:val="Hyperlink"/>
            <w:rFonts w:eastAsiaTheme="minorHAnsi"/>
          </w:rPr>
          <w:t>https://www.reginfo.gov/public/do/PRAViewICR?ref_nbr=201608-0536-001</w:t>
        </w:r>
      </w:hyperlink>
    </w:p>
  </w:footnote>
  <w:footnote w:id="4">
    <w:p w14:paraId="63FBB296" w14:textId="77777777" w:rsidR="005E2460" w:rsidRDefault="005E2460" w:rsidP="000B5BDC">
      <w:pPr>
        <w:pStyle w:val="FootnoteText"/>
      </w:pPr>
      <w:r>
        <w:rPr>
          <w:rStyle w:val="FootnoteReference"/>
        </w:rPr>
        <w:footnoteRef/>
      </w:r>
      <w:r>
        <w:t xml:space="preserve"> A listing of these research projects and publications is available at the FoodAPS webpage of ERS’s website, which also includes other information about the survey and how to access the data. See https://www.ers.usda.gov/foodaps.</w:t>
      </w:r>
    </w:p>
  </w:footnote>
  <w:footnote w:id="5">
    <w:p w14:paraId="49FF0ED1" w14:textId="77777777" w:rsidR="005E2460" w:rsidRDefault="005E2460" w:rsidP="000B5BDC">
      <w:pPr>
        <w:pStyle w:val="FootnoteText"/>
      </w:pPr>
      <w:r>
        <w:rPr>
          <w:rStyle w:val="FootnoteReference"/>
        </w:rPr>
        <w:footnoteRef/>
      </w:r>
      <w:r>
        <w:t xml:space="preserve"> WIC is the Special Supplemental Nutrition Program for Women, Infants, and Children.</w:t>
      </w:r>
    </w:p>
  </w:footnote>
  <w:footnote w:id="6">
    <w:p w14:paraId="2CB43397" w14:textId="401C8A84" w:rsidR="005E2460" w:rsidRDefault="005E2460" w:rsidP="004F5F81">
      <w:pPr>
        <w:pStyle w:val="FootnoteText"/>
      </w:pPr>
      <w:r>
        <w:rPr>
          <w:rStyle w:val="FootnoteReference"/>
        </w:rPr>
        <w:footnoteRef/>
      </w:r>
      <w:r>
        <w:t xml:space="preserve"> The National Food Study Pilot was also known internally at USDA as the Alternative Data Collection Method (ADCM) Pilot. For background information on the ADCM Pilot, see </w:t>
      </w:r>
      <w:hyperlink r:id="rId2" w:history="1">
        <w:r>
          <w:rPr>
            <w:rStyle w:val="Hyperlink"/>
            <w:rFonts w:eastAsiaTheme="minorHAnsi"/>
          </w:rPr>
          <w:t>https://www.reginfo.gov/public/do/PRAViewICR?ref_nbr=201608-0536-001</w:t>
        </w:r>
      </w:hyperlink>
      <w:r>
        <w:t>.</w:t>
      </w:r>
    </w:p>
  </w:footnote>
  <w:footnote w:id="7">
    <w:p w14:paraId="58E83819" w14:textId="77777777" w:rsidR="005E2460" w:rsidRPr="00E3794E" w:rsidRDefault="005E2460" w:rsidP="000B5BDC">
      <w:pPr>
        <w:pStyle w:val="FootnoteText"/>
        <w:spacing w:before="0" w:line="240" w:lineRule="auto"/>
      </w:pPr>
      <w:r>
        <w:rPr>
          <w:rStyle w:val="FootnoteReference"/>
        </w:rPr>
        <w:footnoteRef/>
      </w:r>
      <w:r>
        <w:t xml:space="preserve"> Calculated from aggregate expenditures listed in Table 1800. Region of residence: Shares of annual aggregate expenditures and sources of income, Consumer Expenditure Survey, 2019, at </w:t>
      </w:r>
      <w:r w:rsidRPr="00022E36">
        <w:t>https://www.bls.gov/cex/2019/aggregate/region.pdf</w:t>
      </w:r>
      <w:r w:rsidRPr="00E3794E">
        <w:t>.</w:t>
      </w:r>
    </w:p>
  </w:footnote>
  <w:footnote w:id="8">
    <w:p w14:paraId="5FBCFE8E" w14:textId="77777777" w:rsidR="005E2460" w:rsidRDefault="005E2460" w:rsidP="000B5BDC">
      <w:pPr>
        <w:pStyle w:val="CommentText"/>
        <w:ind w:left="86" w:hanging="86"/>
      </w:pPr>
      <w:r w:rsidRPr="00BF2E7B">
        <w:rPr>
          <w:rStyle w:val="FootnoteReference"/>
        </w:rPr>
        <w:footnoteRef/>
      </w:r>
      <w:r w:rsidRPr="00BF2E7B">
        <w:rPr>
          <w:rFonts w:ascii="Garamond" w:hAnsi="Garamond"/>
        </w:rPr>
        <w:t xml:space="preserve"> See </w:t>
      </w:r>
      <w:hyperlink r:id="rId3" w:history="1">
        <w:r w:rsidRPr="00BF2E7B">
          <w:rPr>
            <w:rStyle w:val="Hyperlink"/>
            <w:rFonts w:ascii="Garamond" w:hAnsi="Garamond"/>
          </w:rPr>
          <w:t>https://www.ers.usda.gov/foodaps</w:t>
        </w:r>
      </w:hyperlink>
      <w:r w:rsidRPr="00BF2E7B">
        <w:rPr>
          <w:rFonts w:ascii="Garamond" w:hAnsi="Garamond"/>
        </w:rPr>
        <w:t xml:space="preserve"> for a listing of research</w:t>
      </w:r>
      <w:r>
        <w:rPr>
          <w:rFonts w:ascii="Garamond" w:hAnsi="Garamond"/>
        </w:rPr>
        <w:t xml:space="preserve"> projects</w:t>
      </w:r>
      <w:r w:rsidRPr="00BF2E7B">
        <w:rPr>
          <w:rFonts w:ascii="Garamond" w:hAnsi="Garamond"/>
        </w:rPr>
        <w:t xml:space="preserve">. The website also has data visualizations </w:t>
      </w:r>
      <w:r>
        <w:rPr>
          <w:rFonts w:ascii="Garamond" w:hAnsi="Garamond"/>
        </w:rPr>
        <w:t>accessed by</w:t>
      </w:r>
      <w:r w:rsidRPr="00BF2E7B">
        <w:rPr>
          <w:rFonts w:ascii="Garamond" w:hAnsi="Garamond"/>
        </w:rPr>
        <w:t xml:space="preserve"> users at https://www.ers.usda.gov/data-products/foodaps-national-household-food-acquisition-and-purchase-survey/interactive-charts/.</w:t>
      </w:r>
    </w:p>
  </w:footnote>
  <w:footnote w:id="9">
    <w:p w14:paraId="707E87DE" w14:textId="39BD79C9" w:rsidR="005E2460" w:rsidRDefault="005E2460" w:rsidP="000B5BDC">
      <w:pPr>
        <w:pStyle w:val="FootnoteText"/>
        <w:spacing w:before="0" w:line="240" w:lineRule="auto"/>
      </w:pPr>
      <w:r>
        <w:rPr>
          <w:rStyle w:val="FootnoteReference"/>
        </w:rPr>
        <w:footnoteRef/>
      </w:r>
      <w:r>
        <w:t xml:space="preserve"> Kirlin, John A., and Mark Denbaly, “Lessons Learned from the National Household Food Purchase and Acquisition Survey in the United States,” </w:t>
      </w:r>
      <w:r w:rsidRPr="007D0197">
        <w:rPr>
          <w:i/>
        </w:rPr>
        <w:t>Food Policy</w:t>
      </w:r>
      <w:r>
        <w:t xml:space="preserve">, </w:t>
      </w:r>
      <w:r w:rsidRPr="007D0197">
        <w:rPr>
          <w:rFonts w:cs="Arial"/>
          <w:color w:val="545454"/>
          <w:shd w:val="clear" w:color="auto" w:fill="FFFFFF"/>
        </w:rPr>
        <w:t>Elsevier, vol. 72(C), pages 62-71</w:t>
      </w:r>
      <w:r w:rsidRPr="009E4467">
        <w:t>.</w:t>
      </w:r>
    </w:p>
  </w:footnote>
  <w:footnote w:id="10">
    <w:p w14:paraId="41103E3E" w14:textId="21FABAA7" w:rsidR="005E2460" w:rsidRDefault="005E2460">
      <w:pPr>
        <w:pStyle w:val="FootnoteText"/>
      </w:pPr>
      <w:r>
        <w:rPr>
          <w:rStyle w:val="FootnoteReference"/>
        </w:rPr>
        <w:footnoteRef/>
      </w:r>
      <w:r>
        <w:t xml:space="preserve"> The National Food Study Pilot known internally at USDA as the Alternative Data Collection Methiod (ADCM) Pilot. For background information on the ADCM Pilot, see </w:t>
      </w:r>
      <w:hyperlink r:id="rId4" w:history="1">
        <w:r>
          <w:rPr>
            <w:rStyle w:val="Hyperlink"/>
            <w:rFonts w:eastAsiaTheme="minorHAnsi"/>
          </w:rPr>
          <w:t>https://www.reginfo.gov/public/do/PRAViewICR?ref_nbr=201608-0536-001</w:t>
        </w:r>
      </w:hyperlink>
      <w:r>
        <w:t>.</w:t>
      </w:r>
    </w:p>
  </w:footnote>
  <w:footnote w:id="11">
    <w:p w14:paraId="6D762021" w14:textId="1CA1D572" w:rsidR="005E2460" w:rsidRDefault="005E2460" w:rsidP="008D7672">
      <w:pPr>
        <w:pStyle w:val="FootnoteText"/>
        <w:ind w:left="0" w:firstLine="0"/>
      </w:pPr>
    </w:p>
  </w:footnote>
  <w:footnote w:id="12">
    <w:p w14:paraId="412F3A46" w14:textId="77777777" w:rsidR="005E2460" w:rsidRDefault="005E2460" w:rsidP="000B5BDC">
      <w:pPr>
        <w:pStyle w:val="FootnoteText"/>
      </w:pPr>
      <w:r>
        <w:rPr>
          <w:rStyle w:val="FootnoteReference"/>
        </w:rPr>
        <w:footnoteRef/>
      </w:r>
      <w:r>
        <w:t xml:space="preserve"> The Field Test for FoodAPS-2 will be conducted in English only.</w:t>
      </w:r>
    </w:p>
  </w:footnote>
  <w:footnote w:id="13">
    <w:p w14:paraId="1416319E" w14:textId="58F37DCD" w:rsidR="005E2460" w:rsidRDefault="005E2460">
      <w:pPr>
        <w:pStyle w:val="FootnoteText"/>
      </w:pPr>
      <w:r>
        <w:rPr>
          <w:rStyle w:val="FootnoteReference"/>
        </w:rPr>
        <w:footnoteRef/>
      </w:r>
      <w:r>
        <w:t xml:space="preserve"> Households that completed the recruitment screener and are selected for in-person screening will receive Attachment D1 while households that have not completed the recruitment screener but are selected for in-person screening will receive Attachment D1a.</w:t>
      </w:r>
    </w:p>
  </w:footnote>
  <w:footnote w:id="14">
    <w:p w14:paraId="4BDB5530" w14:textId="4FEDBF0F" w:rsidR="005E2460" w:rsidRDefault="005E2460" w:rsidP="000B5BDC">
      <w:pPr>
        <w:pStyle w:val="FootnoteText"/>
      </w:pPr>
      <w:r>
        <w:rPr>
          <w:rStyle w:val="FootnoteReference"/>
        </w:rPr>
        <w:footnoteRef/>
      </w:r>
      <w:r>
        <w:t xml:space="preserve"> </w:t>
      </w:r>
      <w:r w:rsidRPr="00236B29">
        <w:t>A MiFi is a wireless router that acts as a mobile Wi</w:t>
      </w:r>
      <w:r>
        <w:t>-</w:t>
      </w:r>
      <w:r w:rsidRPr="00236B29">
        <w:t>Fi hotspot providing Internet to the household.</w:t>
      </w:r>
    </w:p>
  </w:footnote>
  <w:footnote w:id="15">
    <w:p w14:paraId="385FF066" w14:textId="77777777" w:rsidR="005E2460" w:rsidRDefault="005E2460" w:rsidP="000B5BDC">
      <w:pPr>
        <w:pStyle w:val="FootnoteText"/>
      </w:pPr>
      <w:r>
        <w:rPr>
          <w:rStyle w:val="FootnoteReference"/>
        </w:rPr>
        <w:footnoteRef/>
      </w:r>
      <w:r>
        <w:t xml:space="preserve"> During these phone calls, telephone interviewers will enter reported information using the NFS website pages.</w:t>
      </w:r>
    </w:p>
  </w:footnote>
  <w:footnote w:id="16">
    <w:p w14:paraId="763902A8" w14:textId="33C040FA" w:rsidR="005E2460" w:rsidRDefault="005E2460">
      <w:pPr>
        <w:pStyle w:val="FootnoteText"/>
      </w:pPr>
      <w:r>
        <w:rPr>
          <w:rStyle w:val="FootnoteReference"/>
        </w:rPr>
        <w:footnoteRef/>
      </w:r>
      <w:r>
        <w:t xml:space="preserve"> Calculated from aggregate expenditures listed in Table 1800. Region of residence: Shares of annual aggregate expenditures and sources of income, Consumer Expenditure Survey, 2019, at </w:t>
      </w:r>
      <w:r w:rsidRPr="00022E36">
        <w:t>https://www.bls.gov/cex/2019/aggregate/region.pdf</w:t>
      </w:r>
      <w:r w:rsidRPr="00E3794E">
        <w:t>.</w:t>
      </w:r>
      <w:r w:rsidRPr="006F331F">
        <w:rPr>
          <w:rFonts w:cs="Arial"/>
          <w:color w:val="333333"/>
          <w:shd w:val="clear" w:color="auto" w:fill="FFFFFF" w:themeFill="background1"/>
        </w:rPr>
        <w:t> (visited </w:t>
      </w:r>
      <w:r>
        <w:rPr>
          <w:rFonts w:cs="Arial"/>
          <w:i/>
          <w:iCs/>
          <w:color w:val="333333"/>
          <w:shd w:val="clear" w:color="auto" w:fill="FFFFFF" w:themeFill="background1"/>
        </w:rPr>
        <w:t>December 29, 2020</w:t>
      </w:r>
      <w:r w:rsidRPr="006F331F">
        <w:rPr>
          <w:rFonts w:cs="Arial"/>
          <w:color w:val="333333"/>
          <w:shd w:val="clear" w:color="auto" w:fill="FFFFFF" w:themeFill="background1"/>
        </w:rPr>
        <w:t>).</w:t>
      </w:r>
    </w:p>
  </w:footnote>
  <w:footnote w:id="17">
    <w:p w14:paraId="233B1167" w14:textId="718991EE" w:rsidR="005E2460" w:rsidRDefault="005E2460">
      <w:pPr>
        <w:pStyle w:val="FootnoteText"/>
      </w:pPr>
      <w:r>
        <w:rPr>
          <w:rStyle w:val="FootnoteReference"/>
        </w:rPr>
        <w:footnoteRef/>
      </w:r>
      <w:r>
        <w:t xml:space="preserve"> Ogden CL, Carroll MD, Fryar CD, Flegal KM. Prevalence of obesity among adults and youth: United States, 2011-2014. NCHS data brief, no 219. Hyattsville, MD: National Center for Health Statistics. 2015.</w:t>
      </w:r>
    </w:p>
  </w:footnote>
  <w:footnote w:id="18">
    <w:p w14:paraId="78B7B757" w14:textId="6AB59D99" w:rsidR="005E2460" w:rsidRDefault="005E2460">
      <w:pPr>
        <w:pStyle w:val="FootnoteText"/>
      </w:pPr>
      <w:r>
        <w:rPr>
          <w:rStyle w:val="FootnoteReference"/>
        </w:rPr>
        <w:footnoteRef/>
      </w:r>
      <w:r>
        <w:t xml:space="preserve"> Larson, N.I., M.T. Story, and M.C. Nelson (2009). “Neighborhood environments: Disparities in access to healthy foods in the U.S.” </w:t>
      </w:r>
      <w:r>
        <w:rPr>
          <w:i/>
        </w:rPr>
        <w:t xml:space="preserve">American Journal of Prevention Medicine, </w:t>
      </w:r>
      <w:r>
        <w:t>36(1): 74-81.e10.</w:t>
      </w:r>
    </w:p>
  </w:footnote>
  <w:footnote w:id="19">
    <w:p w14:paraId="3B018C87" w14:textId="77777777" w:rsidR="005E2460" w:rsidRDefault="005E2460">
      <w:pPr>
        <w:pStyle w:val="FootnoteText"/>
      </w:pPr>
      <w:r>
        <w:rPr>
          <w:rStyle w:val="FootnoteReference"/>
        </w:rPr>
        <w:footnoteRef/>
      </w:r>
      <w:r>
        <w:t xml:space="preserve"> For example, the Federal Government’s Healthy Food Finance Initiative, administered through the Treasury Department, Department of Health and Human Services and Department of Agriculture, has awarded over $162 million in grants to address shortcomings in store access for neighborhoods and populations.</w:t>
      </w:r>
    </w:p>
  </w:footnote>
  <w:footnote w:id="20">
    <w:p w14:paraId="4578DDB3" w14:textId="77777777" w:rsidR="005E2460" w:rsidRDefault="005E2460">
      <w:pPr>
        <w:pStyle w:val="FootnoteText"/>
      </w:pPr>
      <w:r>
        <w:rPr>
          <w:rStyle w:val="FootnoteReference"/>
        </w:rPr>
        <w:footnoteRef/>
      </w:r>
      <w:r>
        <w:t xml:space="preserve"> See, for example: Dubowitz, T., M. et al. (2015); Rahkovsky, I. and Snyder, S. (2015); and Ver Ploeg, M. et al. (2015).</w:t>
      </w:r>
    </w:p>
  </w:footnote>
  <w:footnote w:id="21">
    <w:p w14:paraId="301D45C6" w14:textId="2601DE23" w:rsidR="005E2460" w:rsidRDefault="005E2460">
      <w:pPr>
        <w:pStyle w:val="FootnoteText"/>
      </w:pPr>
      <w:r>
        <w:rPr>
          <w:rStyle w:val="FootnoteReference"/>
        </w:rPr>
        <w:footnoteRef/>
      </w:r>
      <w:r>
        <w:t xml:space="preserve"> Oliveira, Victor. “The Food Assistance Landscape: FY 2016 Annual Report,” EIB-169. U.S. Department of Agriculture, Economic Research Service, March 2017.</w:t>
      </w:r>
    </w:p>
  </w:footnote>
  <w:footnote w:id="22">
    <w:p w14:paraId="0298F638" w14:textId="77777777" w:rsidR="005E2460" w:rsidRDefault="005E2460" w:rsidP="00B5350F">
      <w:pPr>
        <w:pStyle w:val="FootnoteText"/>
      </w:pPr>
      <w:r>
        <w:rPr>
          <w:rStyle w:val="FootnoteReference"/>
        </w:rPr>
        <w:footnoteRef/>
      </w:r>
      <w:r>
        <w:t xml:space="preserve"> Or the web-based versions of the FoodLogger if chosen by the Primary Respondent.</w:t>
      </w:r>
    </w:p>
  </w:footnote>
  <w:footnote w:id="23">
    <w:p w14:paraId="412A766B" w14:textId="3C6B9574" w:rsidR="005E2460" w:rsidRDefault="005E2460" w:rsidP="00B5350F">
      <w:pPr>
        <w:pStyle w:val="FootnoteText"/>
      </w:pPr>
      <w:r>
        <w:rPr>
          <w:rStyle w:val="FootnoteReference"/>
        </w:rPr>
        <w:footnoteRef/>
      </w:r>
      <w:r>
        <w:t xml:space="preserve"> Table A.7 is modified from appendix Table A5-21 in Westat’s Final Analysis Report for the ADCM Pilot.</w:t>
      </w:r>
    </w:p>
  </w:footnote>
  <w:footnote w:id="24">
    <w:p w14:paraId="7CB94EAF" w14:textId="77777777" w:rsidR="005E2460" w:rsidRDefault="005E2460" w:rsidP="005F2B3F">
      <w:pPr>
        <w:pStyle w:val="FootnoteText"/>
      </w:pPr>
      <w:r>
        <w:rPr>
          <w:rStyle w:val="FootnoteReference"/>
        </w:rPr>
        <w:footnoteRef/>
      </w:r>
      <w:r>
        <w:t xml:space="preserve"> SNAP participants are provided with an EBT card that can be used to determine a participant’s remaining SNAP benefits and must be used when purchasing any authorized food or drink items using SNAP benefits.</w:t>
      </w:r>
    </w:p>
  </w:footnote>
  <w:footnote w:id="25">
    <w:p w14:paraId="0B663937" w14:textId="457FED73" w:rsidR="005E2460" w:rsidRDefault="005E2460">
      <w:pPr>
        <w:pStyle w:val="FootnoteText"/>
      </w:pPr>
      <w:r>
        <w:rPr>
          <w:rStyle w:val="FootnoteReference"/>
        </w:rPr>
        <w:footnoteRef/>
      </w:r>
      <w:r>
        <w:t xml:space="preserve"> Because the first group consists of households that returned a mail-out screener, their occupancy rate must necessarily be 100%.</w:t>
      </w:r>
    </w:p>
  </w:footnote>
  <w:footnote w:id="26">
    <w:p w14:paraId="070CE8EF" w14:textId="056D9F36" w:rsidR="005E2460" w:rsidRDefault="005E2460">
      <w:pPr>
        <w:pStyle w:val="FootnoteText"/>
      </w:pPr>
      <w:r>
        <w:rPr>
          <w:rStyle w:val="FootnoteReference"/>
        </w:rPr>
        <w:footnoteRef/>
      </w:r>
      <w:r>
        <w:t xml:space="preserve"> For the Food Log timings, it was not possible to tell when exactly the respondent stopped interacting with the Food Log—only when they logged out, closed the app, or the session timed out after 20 minutes of inactivity. Therefore, the Food Log estimates are likely conservative, meaning that respondents actually spent less time on the Food Log.</w:t>
      </w:r>
    </w:p>
  </w:footnote>
  <w:footnote w:id="27">
    <w:p w14:paraId="7E5D8D0A" w14:textId="101ACE3F" w:rsidR="005E2460" w:rsidRDefault="005E2460">
      <w:pPr>
        <w:pStyle w:val="FootnoteText"/>
      </w:pPr>
      <w:r>
        <w:rPr>
          <w:rStyle w:val="FootnoteReference"/>
        </w:rPr>
        <w:footnoteRef/>
      </w:r>
      <w:r>
        <w:t xml:space="preserve"> The Final Report from the ADCM Pilot is an unpublished internal report that is available upon request, but due to potential confidentiality issues, the report may require redactions.  </w:t>
      </w:r>
    </w:p>
  </w:footnote>
  <w:footnote w:id="28">
    <w:p w14:paraId="563FD674" w14:textId="00E1B9E0" w:rsidR="005E2460" w:rsidRDefault="005E2460">
      <w:pPr>
        <w:pStyle w:val="FootnoteText"/>
      </w:pPr>
      <w:r>
        <w:rPr>
          <w:rStyle w:val="FootnoteReference"/>
        </w:rPr>
        <w:footnoteRef/>
      </w:r>
      <w:r>
        <w:t xml:space="preserve"> Training for children aged 11-15 years is discussed below.</w:t>
      </w:r>
    </w:p>
  </w:footnote>
  <w:footnote w:id="29">
    <w:p w14:paraId="67A6C754" w14:textId="49F4612F" w:rsidR="005E2460" w:rsidRDefault="005E2460">
      <w:pPr>
        <w:pStyle w:val="FootnoteText"/>
      </w:pPr>
      <w:r>
        <w:rPr>
          <w:rStyle w:val="FootnoteReference"/>
        </w:rPr>
        <w:footnoteRef/>
      </w:r>
      <w:r>
        <w:t xml:space="preserve"> Training materials will be made available to all household members throughout the study. Household members will also have access to the toll-free number if they have questions about the study.</w:t>
      </w:r>
    </w:p>
  </w:footnote>
  <w:footnote w:id="30">
    <w:p w14:paraId="1B88D572" w14:textId="5F2B7352" w:rsidR="005E2460" w:rsidRDefault="005E2460" w:rsidP="00351CD7">
      <w:pPr>
        <w:pStyle w:val="FootnoteText"/>
      </w:pPr>
      <w:r>
        <w:rPr>
          <w:rStyle w:val="FootnoteReference"/>
        </w:rPr>
        <w:footnoteRef/>
      </w:r>
      <w:r>
        <w:t xml:space="preserve"> That is, 6 households x 3 persons per household x 7 days x 7 minutes burden per day divided by 18 calls total.</w:t>
      </w:r>
      <w:r>
        <w:tab/>
      </w:r>
    </w:p>
  </w:footnote>
  <w:footnote w:id="31">
    <w:p w14:paraId="6B712D56" w14:textId="77777777" w:rsidR="005E2460" w:rsidRDefault="005E2460" w:rsidP="00351CD7">
      <w:pPr>
        <w:pStyle w:val="FootnoteText"/>
      </w:pPr>
      <w:r>
        <w:rPr>
          <w:rStyle w:val="FootnoteReference"/>
        </w:rPr>
        <w:footnoteRef/>
      </w:r>
      <w:r>
        <w:t xml:space="preserve"> Information about the percentage of readable food receipts in FoodAPS is available in “Codebook: Food-at-Home (FAH) Event Data – Public Use File” and “Codebook: Food-Away-From-Home (FAFH) Event Data – Public Use File,” both accessible at </w:t>
      </w:r>
      <w:hyperlink r:id="rId5" w:history="1">
        <w:r w:rsidRPr="006A4CA6">
          <w:rPr>
            <w:rStyle w:val="Hyperlink"/>
          </w:rPr>
          <w:t>https://www.ers.usda.gov/data-products/foodaps-national-household-food-acquisition-and-purchase-survey/documentation/</w:t>
        </w:r>
      </w:hyperlink>
      <w:r>
        <w:t>. The relevant variable is named RECEIPTOBSERVED in both codebooks.</w:t>
      </w:r>
    </w:p>
  </w:footnote>
  <w:footnote w:id="32">
    <w:p w14:paraId="6FE51B8C" w14:textId="77777777" w:rsidR="005E2460" w:rsidRDefault="005E2460" w:rsidP="00351CD7">
      <w:pPr>
        <w:pStyle w:val="FootnoteText"/>
      </w:pPr>
      <w:r>
        <w:rPr>
          <w:rStyle w:val="FootnoteReference"/>
        </w:rPr>
        <w:footnoteRef/>
      </w:r>
      <w:r>
        <w:t xml:space="preserve"> Seventy-three percent of 12.8 events is 9.3 events, which we have rounded up to 10.</w:t>
      </w:r>
    </w:p>
  </w:footnote>
  <w:footnote w:id="33">
    <w:p w14:paraId="2F37D0DC" w14:textId="128456E7" w:rsidR="005E2460" w:rsidRPr="005E2460" w:rsidRDefault="005E2460">
      <w:pPr>
        <w:pStyle w:val="FootnoteText"/>
      </w:pPr>
      <w:r>
        <w:rPr>
          <w:rStyle w:val="FootnoteReference"/>
        </w:rPr>
        <w:footnoteRef/>
      </w:r>
      <w:r>
        <w:t xml:space="preserve"> The estimate of t</w:t>
      </w:r>
      <w:r w:rsidRPr="005E2460">
        <w:t>otal employer compensation costs for private industry workers averaged</w:t>
      </w:r>
      <w:r>
        <w:t xml:space="preserve"> $38.07 per hour worked. This estimate includes both wage and salary costs as well as benefit costs. See the</w:t>
      </w:r>
      <w:r w:rsidR="00CA2500">
        <w:t xml:space="preserve"> Bureau of Labor Statistics’</w:t>
      </w:r>
      <w:r>
        <w:t xml:space="preserve"> March 18, 2022 Employer Costs for Employee Compensation News Release for more information at: </w:t>
      </w:r>
      <w:hyperlink r:id="rId6" w:history="1">
        <w:r w:rsidRPr="002C2978">
          <w:rPr>
            <w:rStyle w:val="Hyperlink"/>
          </w:rPr>
          <w:t>https://www.bls.gov/news.release/pdf/ecec.pdf</w:t>
        </w:r>
      </w:hyperlink>
      <w:r>
        <w:t xml:space="preserve"> (</w:t>
      </w:r>
      <w:r>
        <w:rPr>
          <w:i/>
          <w:iCs/>
        </w:rPr>
        <w:t>Accessed March 21, 2022</w:t>
      </w:r>
      <w:r>
        <w:t xml:space="preserve">). </w:t>
      </w:r>
    </w:p>
  </w:footnote>
  <w:footnote w:id="34">
    <w:p w14:paraId="48DE00E1" w14:textId="77777777" w:rsidR="005E2460" w:rsidRDefault="005E2460">
      <w:pPr>
        <w:pStyle w:val="FootnoteText"/>
      </w:pPr>
      <w:r>
        <w:rPr>
          <w:rStyle w:val="FootnoteReference"/>
        </w:rPr>
        <w:footnoteRef/>
      </w:r>
      <w:r>
        <w:t xml:space="preserve"> See </w:t>
      </w:r>
      <w:hyperlink r:id="rId7" w:anchor="Public-Use" w:history="1">
        <w:r w:rsidRPr="00FC3CD4">
          <w:rPr>
            <w:rStyle w:val="Hyperlink"/>
          </w:rPr>
          <w:t>https://www.ers.usda.gov/data-products/foodaps-national-household-food-acquisition-and-purchase-survey/foodaps-national-household-food-acquisition-and-purchase-survey/#Public-Use</w:t>
        </w:r>
      </w:hyperlink>
      <w:r>
        <w:t xml:space="preserve"> Data Files and Codebooks.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B094" w14:textId="77777777" w:rsidR="005E2460" w:rsidRDefault="005E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2B8E8" w14:textId="77777777" w:rsidR="005E2460" w:rsidRPr="007C2CD6" w:rsidRDefault="005E2460" w:rsidP="007C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D4A97"/>
    <w:multiLevelType w:val="hybridMultilevel"/>
    <w:tmpl w:val="757EC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D002F3"/>
    <w:multiLevelType w:val="hybridMultilevel"/>
    <w:tmpl w:val="B21C8F3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D2324E22">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91732"/>
    <w:multiLevelType w:val="hybridMultilevel"/>
    <w:tmpl w:val="91A616B8"/>
    <w:lvl w:ilvl="0" w:tplc="1076C844">
      <w:start w:val="1"/>
      <w:numFmt w:val="bullet"/>
      <w:pStyle w:val="32-2ndLevelTableBullet"/>
      <w:lvlText w:val="–"/>
      <w:lvlJc w:val="left"/>
      <w:pPr>
        <w:ind w:left="648" w:hanging="360"/>
      </w:pPr>
      <w:rPr>
        <w:rFonts w:ascii="Calibri" w:hAnsi="Calibri" w:hint="default"/>
        <w:color w:val="64984A"/>
        <w:sz w:val="20"/>
        <w:szCs w:val="3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F212992"/>
    <w:multiLevelType w:val="hybridMultilevel"/>
    <w:tmpl w:val="32E857E2"/>
    <w:lvl w:ilvl="0" w:tplc="24A67A7A">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D5AD2"/>
    <w:multiLevelType w:val="hybridMultilevel"/>
    <w:tmpl w:val="C52E0EE2"/>
    <w:lvl w:ilvl="0" w:tplc="21E6F6F0">
      <w:start w:val="1"/>
      <w:numFmt w:val="bullet"/>
      <w:pStyle w:val="BulletRedLastSS"/>
      <w:lvlText w:val=""/>
      <w:lvlJc w:val="left"/>
      <w:pPr>
        <w:ind w:left="720" w:hanging="360"/>
      </w:pPr>
      <w:rPr>
        <w:rFonts w:ascii="Wingdings" w:hAnsi="Wingdings" w:hint="default"/>
        <w:color w:val="FFC000"/>
        <w:sz w:val="16"/>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A30E2"/>
    <w:multiLevelType w:val="hybridMultilevel"/>
    <w:tmpl w:val="1FA09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908DE"/>
    <w:multiLevelType w:val="hybridMultilevel"/>
    <w:tmpl w:val="9D6829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05B3"/>
    <w:multiLevelType w:val="multilevel"/>
    <w:tmpl w:val="C09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72383"/>
    <w:multiLevelType w:val="hybridMultilevel"/>
    <w:tmpl w:val="417A6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A1EE1"/>
    <w:multiLevelType w:val="hybridMultilevel"/>
    <w:tmpl w:val="98EC03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36151042"/>
    <w:multiLevelType w:val="hybridMultilevel"/>
    <w:tmpl w:val="AEB6014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32A7B"/>
    <w:multiLevelType w:val="hybridMultilevel"/>
    <w:tmpl w:val="4930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E36"/>
    <w:multiLevelType w:val="hybridMultilevel"/>
    <w:tmpl w:val="2960A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0" w15:restartNumberingAfterBreak="0">
    <w:nsid w:val="421617A9"/>
    <w:multiLevelType w:val="hybridMultilevel"/>
    <w:tmpl w:val="09987C48"/>
    <w:lvl w:ilvl="0" w:tplc="7512C74A">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F29C0"/>
    <w:multiLevelType w:val="hybridMultilevel"/>
    <w:tmpl w:val="1BF8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214E1"/>
    <w:multiLevelType w:val="hybridMultilevel"/>
    <w:tmpl w:val="4D50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21F60"/>
    <w:multiLevelType w:val="hybridMultilevel"/>
    <w:tmpl w:val="D7E2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6E046ECF"/>
    <w:multiLevelType w:val="hybridMultilevel"/>
    <w:tmpl w:val="AA4CA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80113"/>
    <w:multiLevelType w:val="hybridMultilevel"/>
    <w:tmpl w:val="A698A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A3138F"/>
    <w:multiLevelType w:val="hybridMultilevel"/>
    <w:tmpl w:val="889AF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1"/>
  </w:num>
  <w:num w:numId="2">
    <w:abstractNumId w:val="1"/>
  </w:num>
  <w:num w:numId="3">
    <w:abstractNumId w:val="5"/>
  </w:num>
  <w:num w:numId="4">
    <w:abstractNumId w:val="18"/>
    <w:lvlOverride w:ilvl="0">
      <w:startOverride w:val="1"/>
    </w:lvlOverride>
  </w:num>
  <w:num w:numId="5">
    <w:abstractNumId w:val="27"/>
  </w:num>
  <w:num w:numId="6">
    <w:abstractNumId w:val="8"/>
  </w:num>
  <w:num w:numId="7">
    <w:abstractNumId w:val="19"/>
  </w:num>
  <w:num w:numId="8">
    <w:abstractNumId w:val="23"/>
  </w:num>
  <w:num w:numId="9">
    <w:abstractNumId w:val="25"/>
  </w:num>
  <w:num w:numId="10">
    <w:abstractNumId w:val="30"/>
  </w:num>
  <w:num w:numId="11">
    <w:abstractNumId w:val="15"/>
  </w:num>
  <w:num w:numId="12">
    <w:abstractNumId w:val="2"/>
  </w:num>
  <w:num w:numId="13">
    <w:abstractNumId w:val="4"/>
  </w:num>
  <w:num w:numId="14">
    <w:abstractNumId w:val="24"/>
  </w:num>
  <w:num w:numId="15">
    <w:abstractNumId w:val="21"/>
  </w:num>
  <w:num w:numId="16">
    <w:abstractNumId w:val="26"/>
  </w:num>
  <w:num w:numId="17">
    <w:abstractNumId w:val="29"/>
  </w:num>
  <w:num w:numId="18">
    <w:abstractNumId w:val="6"/>
  </w:num>
  <w:num w:numId="19">
    <w:abstractNumId w:val="17"/>
  </w:num>
  <w:num w:numId="20">
    <w:abstractNumId w:val="0"/>
  </w:num>
  <w:num w:numId="21">
    <w:abstractNumId w:val="28"/>
  </w:num>
  <w:num w:numId="22">
    <w:abstractNumId w:val="7"/>
  </w:num>
  <w:num w:numId="23">
    <w:abstractNumId w:val="10"/>
  </w:num>
  <w:num w:numId="24">
    <w:abstractNumId w:val="16"/>
  </w:num>
  <w:num w:numId="25">
    <w:abstractNumId w:val="12"/>
  </w:num>
  <w:num w:numId="26">
    <w:abstractNumId w:val="14"/>
  </w:num>
  <w:num w:numId="27">
    <w:abstractNumId w:val="20"/>
  </w:num>
  <w:num w:numId="28">
    <w:abstractNumId w:val="9"/>
  </w:num>
  <w:num w:numId="29">
    <w:abstractNumId w:val="3"/>
  </w:num>
  <w:num w:numId="30">
    <w:abstractNumId w:val="13"/>
  </w:num>
  <w:num w:numId="3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89"/>
    <w:rsid w:val="0000117F"/>
    <w:rsid w:val="0000206E"/>
    <w:rsid w:val="000024B8"/>
    <w:rsid w:val="00002ABE"/>
    <w:rsid w:val="00004F60"/>
    <w:rsid w:val="00006A40"/>
    <w:rsid w:val="00007D86"/>
    <w:rsid w:val="0001030E"/>
    <w:rsid w:val="000123F0"/>
    <w:rsid w:val="00013289"/>
    <w:rsid w:val="0001436E"/>
    <w:rsid w:val="000143F9"/>
    <w:rsid w:val="000145BE"/>
    <w:rsid w:val="000147B0"/>
    <w:rsid w:val="00015AF8"/>
    <w:rsid w:val="00017596"/>
    <w:rsid w:val="00020348"/>
    <w:rsid w:val="00021038"/>
    <w:rsid w:val="00021E1A"/>
    <w:rsid w:val="00024C78"/>
    <w:rsid w:val="00025890"/>
    <w:rsid w:val="00025F82"/>
    <w:rsid w:val="00027752"/>
    <w:rsid w:val="000303ED"/>
    <w:rsid w:val="00030971"/>
    <w:rsid w:val="0003306A"/>
    <w:rsid w:val="000332A2"/>
    <w:rsid w:val="00034995"/>
    <w:rsid w:val="000350E9"/>
    <w:rsid w:val="000360C3"/>
    <w:rsid w:val="00036AF4"/>
    <w:rsid w:val="00041878"/>
    <w:rsid w:val="000418EE"/>
    <w:rsid w:val="000420EC"/>
    <w:rsid w:val="00042449"/>
    <w:rsid w:val="00043871"/>
    <w:rsid w:val="00044705"/>
    <w:rsid w:val="000447C2"/>
    <w:rsid w:val="000448F0"/>
    <w:rsid w:val="00045207"/>
    <w:rsid w:val="00045270"/>
    <w:rsid w:val="00047085"/>
    <w:rsid w:val="00047A17"/>
    <w:rsid w:val="00050221"/>
    <w:rsid w:val="00050DD0"/>
    <w:rsid w:val="00051FAB"/>
    <w:rsid w:val="00052CE4"/>
    <w:rsid w:val="0005316B"/>
    <w:rsid w:val="0005321E"/>
    <w:rsid w:val="00055F32"/>
    <w:rsid w:val="0005749C"/>
    <w:rsid w:val="00057925"/>
    <w:rsid w:val="000602DD"/>
    <w:rsid w:val="00060B81"/>
    <w:rsid w:val="00060FB9"/>
    <w:rsid w:val="00062EB8"/>
    <w:rsid w:val="00064229"/>
    <w:rsid w:val="00064838"/>
    <w:rsid w:val="0006498E"/>
    <w:rsid w:val="00064AE6"/>
    <w:rsid w:val="0006542D"/>
    <w:rsid w:val="00065992"/>
    <w:rsid w:val="00065BDC"/>
    <w:rsid w:val="00065E7F"/>
    <w:rsid w:val="00066207"/>
    <w:rsid w:val="00067332"/>
    <w:rsid w:val="00070ABE"/>
    <w:rsid w:val="00071523"/>
    <w:rsid w:val="00072A0B"/>
    <w:rsid w:val="00072FFE"/>
    <w:rsid w:val="00073632"/>
    <w:rsid w:val="0007368E"/>
    <w:rsid w:val="00073F2D"/>
    <w:rsid w:val="00074EA9"/>
    <w:rsid w:val="00075066"/>
    <w:rsid w:val="00076495"/>
    <w:rsid w:val="00076A7F"/>
    <w:rsid w:val="000770CB"/>
    <w:rsid w:val="000774A6"/>
    <w:rsid w:val="00077649"/>
    <w:rsid w:val="00077CDD"/>
    <w:rsid w:val="00077EE5"/>
    <w:rsid w:val="000808B0"/>
    <w:rsid w:val="000808EF"/>
    <w:rsid w:val="00080F95"/>
    <w:rsid w:val="0008136D"/>
    <w:rsid w:val="00081558"/>
    <w:rsid w:val="00081805"/>
    <w:rsid w:val="00082979"/>
    <w:rsid w:val="00082DA8"/>
    <w:rsid w:val="00083472"/>
    <w:rsid w:val="00083ADF"/>
    <w:rsid w:val="000841F1"/>
    <w:rsid w:val="0008508A"/>
    <w:rsid w:val="00086F8E"/>
    <w:rsid w:val="00087C68"/>
    <w:rsid w:val="00091A23"/>
    <w:rsid w:val="00091D9D"/>
    <w:rsid w:val="00091E0B"/>
    <w:rsid w:val="0009219F"/>
    <w:rsid w:val="00092660"/>
    <w:rsid w:val="00092880"/>
    <w:rsid w:val="0009362E"/>
    <w:rsid w:val="00093A51"/>
    <w:rsid w:val="00093A7A"/>
    <w:rsid w:val="00094622"/>
    <w:rsid w:val="00094D2F"/>
    <w:rsid w:val="00094EC9"/>
    <w:rsid w:val="00095719"/>
    <w:rsid w:val="00097F2B"/>
    <w:rsid w:val="000A0F02"/>
    <w:rsid w:val="000A1C2F"/>
    <w:rsid w:val="000A1CA9"/>
    <w:rsid w:val="000A2444"/>
    <w:rsid w:val="000A2C39"/>
    <w:rsid w:val="000A30B9"/>
    <w:rsid w:val="000A395F"/>
    <w:rsid w:val="000A3B34"/>
    <w:rsid w:val="000A3E75"/>
    <w:rsid w:val="000A4A0F"/>
    <w:rsid w:val="000A5D1B"/>
    <w:rsid w:val="000A6A6C"/>
    <w:rsid w:val="000A7A91"/>
    <w:rsid w:val="000A7C85"/>
    <w:rsid w:val="000B06E8"/>
    <w:rsid w:val="000B0DEE"/>
    <w:rsid w:val="000B2D70"/>
    <w:rsid w:val="000B4B82"/>
    <w:rsid w:val="000B5A40"/>
    <w:rsid w:val="000B5BDC"/>
    <w:rsid w:val="000B5D1D"/>
    <w:rsid w:val="000C0601"/>
    <w:rsid w:val="000C07DB"/>
    <w:rsid w:val="000C0F20"/>
    <w:rsid w:val="000C13D7"/>
    <w:rsid w:val="000C1534"/>
    <w:rsid w:val="000C171E"/>
    <w:rsid w:val="000C28A9"/>
    <w:rsid w:val="000C2C77"/>
    <w:rsid w:val="000C33DB"/>
    <w:rsid w:val="000C3542"/>
    <w:rsid w:val="000C39A7"/>
    <w:rsid w:val="000C55AE"/>
    <w:rsid w:val="000C6495"/>
    <w:rsid w:val="000D02CD"/>
    <w:rsid w:val="000D1235"/>
    <w:rsid w:val="000D3655"/>
    <w:rsid w:val="000D51B5"/>
    <w:rsid w:val="000D6367"/>
    <w:rsid w:val="000D7482"/>
    <w:rsid w:val="000D7FCE"/>
    <w:rsid w:val="000E0712"/>
    <w:rsid w:val="000E07BE"/>
    <w:rsid w:val="000E1028"/>
    <w:rsid w:val="000E3266"/>
    <w:rsid w:val="000E3C8A"/>
    <w:rsid w:val="000E3D2E"/>
    <w:rsid w:val="000E48F3"/>
    <w:rsid w:val="000E4F5F"/>
    <w:rsid w:val="000E5ECC"/>
    <w:rsid w:val="000E7224"/>
    <w:rsid w:val="000F1BB5"/>
    <w:rsid w:val="000F1DD0"/>
    <w:rsid w:val="000F1FFD"/>
    <w:rsid w:val="000F23D5"/>
    <w:rsid w:val="000F4CFB"/>
    <w:rsid w:val="000F55A8"/>
    <w:rsid w:val="000F5953"/>
    <w:rsid w:val="000F6E81"/>
    <w:rsid w:val="000F706C"/>
    <w:rsid w:val="000F72A8"/>
    <w:rsid w:val="000F7337"/>
    <w:rsid w:val="000F75FE"/>
    <w:rsid w:val="00100931"/>
    <w:rsid w:val="00100C67"/>
    <w:rsid w:val="00101B2F"/>
    <w:rsid w:val="00101C84"/>
    <w:rsid w:val="00103098"/>
    <w:rsid w:val="001033DF"/>
    <w:rsid w:val="001035A8"/>
    <w:rsid w:val="00105B4C"/>
    <w:rsid w:val="001061E4"/>
    <w:rsid w:val="001062FE"/>
    <w:rsid w:val="001079ED"/>
    <w:rsid w:val="00110597"/>
    <w:rsid w:val="001113F5"/>
    <w:rsid w:val="00111CEB"/>
    <w:rsid w:val="00113346"/>
    <w:rsid w:val="0011393F"/>
    <w:rsid w:val="001142D1"/>
    <w:rsid w:val="001143FD"/>
    <w:rsid w:val="0011445D"/>
    <w:rsid w:val="00114C6E"/>
    <w:rsid w:val="00114DA1"/>
    <w:rsid w:val="0011550E"/>
    <w:rsid w:val="00115B1B"/>
    <w:rsid w:val="00120A6B"/>
    <w:rsid w:val="00121A4A"/>
    <w:rsid w:val="00121A5A"/>
    <w:rsid w:val="0012304E"/>
    <w:rsid w:val="0012351D"/>
    <w:rsid w:val="0012478C"/>
    <w:rsid w:val="00126263"/>
    <w:rsid w:val="00134B0D"/>
    <w:rsid w:val="00134DDB"/>
    <w:rsid w:val="00134EFB"/>
    <w:rsid w:val="00135486"/>
    <w:rsid w:val="00136013"/>
    <w:rsid w:val="0013718C"/>
    <w:rsid w:val="001377DF"/>
    <w:rsid w:val="00141A25"/>
    <w:rsid w:val="00141C5F"/>
    <w:rsid w:val="001422C0"/>
    <w:rsid w:val="00142A64"/>
    <w:rsid w:val="001442CE"/>
    <w:rsid w:val="00144417"/>
    <w:rsid w:val="001445AA"/>
    <w:rsid w:val="00146350"/>
    <w:rsid w:val="00146A39"/>
    <w:rsid w:val="00147C75"/>
    <w:rsid w:val="00147D20"/>
    <w:rsid w:val="00150582"/>
    <w:rsid w:val="00152127"/>
    <w:rsid w:val="001527CB"/>
    <w:rsid w:val="00152B01"/>
    <w:rsid w:val="00153716"/>
    <w:rsid w:val="00154983"/>
    <w:rsid w:val="00156208"/>
    <w:rsid w:val="001565E0"/>
    <w:rsid w:val="001573B2"/>
    <w:rsid w:val="00157711"/>
    <w:rsid w:val="00157B09"/>
    <w:rsid w:val="001615DD"/>
    <w:rsid w:val="001620FD"/>
    <w:rsid w:val="001627D3"/>
    <w:rsid w:val="00162E47"/>
    <w:rsid w:val="00162F2E"/>
    <w:rsid w:val="0016371D"/>
    <w:rsid w:val="00163D6E"/>
    <w:rsid w:val="00164519"/>
    <w:rsid w:val="001652E1"/>
    <w:rsid w:val="001659AC"/>
    <w:rsid w:val="001659E5"/>
    <w:rsid w:val="00165CF4"/>
    <w:rsid w:val="0016607D"/>
    <w:rsid w:val="00166FC2"/>
    <w:rsid w:val="00170158"/>
    <w:rsid w:val="001706CB"/>
    <w:rsid w:val="00170776"/>
    <w:rsid w:val="001715BC"/>
    <w:rsid w:val="001722E0"/>
    <w:rsid w:val="00172EE7"/>
    <w:rsid w:val="00173760"/>
    <w:rsid w:val="001745F9"/>
    <w:rsid w:val="0017468B"/>
    <w:rsid w:val="00175C8C"/>
    <w:rsid w:val="001768BA"/>
    <w:rsid w:val="00176D77"/>
    <w:rsid w:val="0018127F"/>
    <w:rsid w:val="001831BF"/>
    <w:rsid w:val="00183ABF"/>
    <w:rsid w:val="00183F36"/>
    <w:rsid w:val="00184A10"/>
    <w:rsid w:val="00185FE6"/>
    <w:rsid w:val="00186E9A"/>
    <w:rsid w:val="0018706D"/>
    <w:rsid w:val="001874AE"/>
    <w:rsid w:val="001911DD"/>
    <w:rsid w:val="0019288C"/>
    <w:rsid w:val="0019396F"/>
    <w:rsid w:val="00194848"/>
    <w:rsid w:val="001963E6"/>
    <w:rsid w:val="00196798"/>
    <w:rsid w:val="0019792C"/>
    <w:rsid w:val="001A034A"/>
    <w:rsid w:val="001A0758"/>
    <w:rsid w:val="001A10A2"/>
    <w:rsid w:val="001A1590"/>
    <w:rsid w:val="001A1E4A"/>
    <w:rsid w:val="001A21D1"/>
    <w:rsid w:val="001A2A49"/>
    <w:rsid w:val="001A2CC2"/>
    <w:rsid w:val="001A3F66"/>
    <w:rsid w:val="001A504B"/>
    <w:rsid w:val="001A5914"/>
    <w:rsid w:val="001A5C82"/>
    <w:rsid w:val="001A6704"/>
    <w:rsid w:val="001A6E38"/>
    <w:rsid w:val="001A744C"/>
    <w:rsid w:val="001A7DFC"/>
    <w:rsid w:val="001B0083"/>
    <w:rsid w:val="001B097C"/>
    <w:rsid w:val="001B238B"/>
    <w:rsid w:val="001B2B04"/>
    <w:rsid w:val="001B379C"/>
    <w:rsid w:val="001B3EC1"/>
    <w:rsid w:val="001B528F"/>
    <w:rsid w:val="001B5380"/>
    <w:rsid w:val="001B6068"/>
    <w:rsid w:val="001B6AA1"/>
    <w:rsid w:val="001B7E63"/>
    <w:rsid w:val="001C0950"/>
    <w:rsid w:val="001C0E9E"/>
    <w:rsid w:val="001C1D04"/>
    <w:rsid w:val="001C1D07"/>
    <w:rsid w:val="001C1D98"/>
    <w:rsid w:val="001C20E1"/>
    <w:rsid w:val="001C4245"/>
    <w:rsid w:val="001C4789"/>
    <w:rsid w:val="001C5526"/>
    <w:rsid w:val="001C554A"/>
    <w:rsid w:val="001C5D89"/>
    <w:rsid w:val="001C69DD"/>
    <w:rsid w:val="001C6A13"/>
    <w:rsid w:val="001C78E8"/>
    <w:rsid w:val="001D0187"/>
    <w:rsid w:val="001D076E"/>
    <w:rsid w:val="001D0987"/>
    <w:rsid w:val="001D1F70"/>
    <w:rsid w:val="001D2CFF"/>
    <w:rsid w:val="001D3938"/>
    <w:rsid w:val="001D4520"/>
    <w:rsid w:val="001D538F"/>
    <w:rsid w:val="001D6A5B"/>
    <w:rsid w:val="001D7543"/>
    <w:rsid w:val="001D7ABA"/>
    <w:rsid w:val="001E02EF"/>
    <w:rsid w:val="001E22E8"/>
    <w:rsid w:val="001E2765"/>
    <w:rsid w:val="001E307C"/>
    <w:rsid w:val="001E3800"/>
    <w:rsid w:val="001E51CA"/>
    <w:rsid w:val="001E5582"/>
    <w:rsid w:val="001E5F24"/>
    <w:rsid w:val="001E6079"/>
    <w:rsid w:val="001E73A6"/>
    <w:rsid w:val="001F0116"/>
    <w:rsid w:val="001F0838"/>
    <w:rsid w:val="001F09E4"/>
    <w:rsid w:val="001F0A0B"/>
    <w:rsid w:val="001F0BDB"/>
    <w:rsid w:val="001F1E68"/>
    <w:rsid w:val="001F3748"/>
    <w:rsid w:val="001F3975"/>
    <w:rsid w:val="001F4D36"/>
    <w:rsid w:val="001F532E"/>
    <w:rsid w:val="001F77A3"/>
    <w:rsid w:val="00202A08"/>
    <w:rsid w:val="00202BF1"/>
    <w:rsid w:val="00202F26"/>
    <w:rsid w:val="00203335"/>
    <w:rsid w:val="002033FB"/>
    <w:rsid w:val="002037F5"/>
    <w:rsid w:val="00203CA4"/>
    <w:rsid w:val="00203EFB"/>
    <w:rsid w:val="0020415E"/>
    <w:rsid w:val="002044FD"/>
    <w:rsid w:val="0020526D"/>
    <w:rsid w:val="00206059"/>
    <w:rsid w:val="00206297"/>
    <w:rsid w:val="00206AA0"/>
    <w:rsid w:val="00211473"/>
    <w:rsid w:val="00211CF0"/>
    <w:rsid w:val="002129C5"/>
    <w:rsid w:val="00212F39"/>
    <w:rsid w:val="00212FFB"/>
    <w:rsid w:val="00213CD7"/>
    <w:rsid w:val="002142C3"/>
    <w:rsid w:val="002143C2"/>
    <w:rsid w:val="002146EA"/>
    <w:rsid w:val="00214B46"/>
    <w:rsid w:val="00214E39"/>
    <w:rsid w:val="00215A13"/>
    <w:rsid w:val="00215C95"/>
    <w:rsid w:val="002202FD"/>
    <w:rsid w:val="00220F56"/>
    <w:rsid w:val="00221779"/>
    <w:rsid w:val="00226F49"/>
    <w:rsid w:val="0023018D"/>
    <w:rsid w:val="0023036F"/>
    <w:rsid w:val="002307DC"/>
    <w:rsid w:val="002314AD"/>
    <w:rsid w:val="002318A6"/>
    <w:rsid w:val="00231A77"/>
    <w:rsid w:val="002320D0"/>
    <w:rsid w:val="00232234"/>
    <w:rsid w:val="0023258A"/>
    <w:rsid w:val="002329BA"/>
    <w:rsid w:val="002333D2"/>
    <w:rsid w:val="00234CBA"/>
    <w:rsid w:val="00235367"/>
    <w:rsid w:val="00235B81"/>
    <w:rsid w:val="00236B29"/>
    <w:rsid w:val="00237111"/>
    <w:rsid w:val="00237EBF"/>
    <w:rsid w:val="00237F82"/>
    <w:rsid w:val="002413C6"/>
    <w:rsid w:val="00241EF6"/>
    <w:rsid w:val="00246A8F"/>
    <w:rsid w:val="00246D82"/>
    <w:rsid w:val="0025092D"/>
    <w:rsid w:val="00251066"/>
    <w:rsid w:val="002520DA"/>
    <w:rsid w:val="00252DDF"/>
    <w:rsid w:val="0025301B"/>
    <w:rsid w:val="002534B9"/>
    <w:rsid w:val="002537D0"/>
    <w:rsid w:val="00253F71"/>
    <w:rsid w:val="0025449C"/>
    <w:rsid w:val="002558FF"/>
    <w:rsid w:val="0025639C"/>
    <w:rsid w:val="00256466"/>
    <w:rsid w:val="002578E1"/>
    <w:rsid w:val="00260F3A"/>
    <w:rsid w:val="00262382"/>
    <w:rsid w:val="002636A1"/>
    <w:rsid w:val="00263C30"/>
    <w:rsid w:val="00263DE0"/>
    <w:rsid w:val="00264D37"/>
    <w:rsid w:val="0026596E"/>
    <w:rsid w:val="00266495"/>
    <w:rsid w:val="00266B16"/>
    <w:rsid w:val="00266D26"/>
    <w:rsid w:val="002674D0"/>
    <w:rsid w:val="00267642"/>
    <w:rsid w:val="00267B5F"/>
    <w:rsid w:val="00267BA4"/>
    <w:rsid w:val="00267F75"/>
    <w:rsid w:val="002700B1"/>
    <w:rsid w:val="00271489"/>
    <w:rsid w:val="00274144"/>
    <w:rsid w:val="002747D9"/>
    <w:rsid w:val="0027574A"/>
    <w:rsid w:val="002762B8"/>
    <w:rsid w:val="002772DD"/>
    <w:rsid w:val="00280441"/>
    <w:rsid w:val="00280887"/>
    <w:rsid w:val="00281592"/>
    <w:rsid w:val="00282312"/>
    <w:rsid w:val="002823DC"/>
    <w:rsid w:val="00284480"/>
    <w:rsid w:val="002849D0"/>
    <w:rsid w:val="002851B1"/>
    <w:rsid w:val="0028717A"/>
    <w:rsid w:val="00290618"/>
    <w:rsid w:val="00291241"/>
    <w:rsid w:val="0029477B"/>
    <w:rsid w:val="00294CC5"/>
    <w:rsid w:val="002968D8"/>
    <w:rsid w:val="00296C58"/>
    <w:rsid w:val="002A1130"/>
    <w:rsid w:val="002A1619"/>
    <w:rsid w:val="002A1690"/>
    <w:rsid w:val="002A2D2D"/>
    <w:rsid w:val="002A4D1F"/>
    <w:rsid w:val="002A6146"/>
    <w:rsid w:val="002A6821"/>
    <w:rsid w:val="002A6E86"/>
    <w:rsid w:val="002B00A1"/>
    <w:rsid w:val="002B00FB"/>
    <w:rsid w:val="002B047A"/>
    <w:rsid w:val="002B100D"/>
    <w:rsid w:val="002B1176"/>
    <w:rsid w:val="002B1CEF"/>
    <w:rsid w:val="002B2525"/>
    <w:rsid w:val="002B30EE"/>
    <w:rsid w:val="002B4A47"/>
    <w:rsid w:val="002B4DD1"/>
    <w:rsid w:val="002B5AF5"/>
    <w:rsid w:val="002B5FD6"/>
    <w:rsid w:val="002B626D"/>
    <w:rsid w:val="002B7010"/>
    <w:rsid w:val="002B7300"/>
    <w:rsid w:val="002C0F86"/>
    <w:rsid w:val="002C1EF1"/>
    <w:rsid w:val="002C4AD5"/>
    <w:rsid w:val="002C4C6E"/>
    <w:rsid w:val="002C60C1"/>
    <w:rsid w:val="002C7550"/>
    <w:rsid w:val="002D04E4"/>
    <w:rsid w:val="002D0764"/>
    <w:rsid w:val="002D1420"/>
    <w:rsid w:val="002D3E8C"/>
    <w:rsid w:val="002D4D39"/>
    <w:rsid w:val="002D4DD3"/>
    <w:rsid w:val="002D5665"/>
    <w:rsid w:val="002D58E0"/>
    <w:rsid w:val="002D761B"/>
    <w:rsid w:val="002E0729"/>
    <w:rsid w:val="002E11FB"/>
    <w:rsid w:val="002E1D9D"/>
    <w:rsid w:val="002E20B2"/>
    <w:rsid w:val="002E4E66"/>
    <w:rsid w:val="002E6B81"/>
    <w:rsid w:val="002E7A7A"/>
    <w:rsid w:val="002E7F87"/>
    <w:rsid w:val="002F0F19"/>
    <w:rsid w:val="002F126A"/>
    <w:rsid w:val="002F1AE5"/>
    <w:rsid w:val="002F3340"/>
    <w:rsid w:val="002F374B"/>
    <w:rsid w:val="002F5259"/>
    <w:rsid w:val="002F6B9F"/>
    <w:rsid w:val="0030056A"/>
    <w:rsid w:val="00300B82"/>
    <w:rsid w:val="00300D89"/>
    <w:rsid w:val="00302E5C"/>
    <w:rsid w:val="00303449"/>
    <w:rsid w:val="00304009"/>
    <w:rsid w:val="003045D0"/>
    <w:rsid w:val="00305056"/>
    <w:rsid w:val="00306197"/>
    <w:rsid w:val="0030691F"/>
    <w:rsid w:val="00306A6C"/>
    <w:rsid w:val="00306D94"/>
    <w:rsid w:val="00306DF8"/>
    <w:rsid w:val="00307CDE"/>
    <w:rsid w:val="00307D5B"/>
    <w:rsid w:val="003143F0"/>
    <w:rsid w:val="003145E9"/>
    <w:rsid w:val="00314C21"/>
    <w:rsid w:val="00315646"/>
    <w:rsid w:val="00316074"/>
    <w:rsid w:val="003168A7"/>
    <w:rsid w:val="00317BFA"/>
    <w:rsid w:val="00317E72"/>
    <w:rsid w:val="00320F12"/>
    <w:rsid w:val="003231D5"/>
    <w:rsid w:val="00323279"/>
    <w:rsid w:val="00323C1C"/>
    <w:rsid w:val="00323FC9"/>
    <w:rsid w:val="003254F9"/>
    <w:rsid w:val="003264C7"/>
    <w:rsid w:val="003268C4"/>
    <w:rsid w:val="00327081"/>
    <w:rsid w:val="00327FEB"/>
    <w:rsid w:val="0033037A"/>
    <w:rsid w:val="00334197"/>
    <w:rsid w:val="00336A22"/>
    <w:rsid w:val="00337C99"/>
    <w:rsid w:val="0034369A"/>
    <w:rsid w:val="00344B5B"/>
    <w:rsid w:val="003457AF"/>
    <w:rsid w:val="00345C57"/>
    <w:rsid w:val="00347788"/>
    <w:rsid w:val="00351759"/>
    <w:rsid w:val="00351CC6"/>
    <w:rsid w:val="00351CD7"/>
    <w:rsid w:val="003529DC"/>
    <w:rsid w:val="003544F7"/>
    <w:rsid w:val="003544FE"/>
    <w:rsid w:val="003548F7"/>
    <w:rsid w:val="003553D5"/>
    <w:rsid w:val="00357CB5"/>
    <w:rsid w:val="0036034F"/>
    <w:rsid w:val="00360EE7"/>
    <w:rsid w:val="00361052"/>
    <w:rsid w:val="00361AFC"/>
    <w:rsid w:val="00364A05"/>
    <w:rsid w:val="003658DE"/>
    <w:rsid w:val="003663D7"/>
    <w:rsid w:val="00366629"/>
    <w:rsid w:val="00367A87"/>
    <w:rsid w:val="00372A20"/>
    <w:rsid w:val="003738F6"/>
    <w:rsid w:val="0037485C"/>
    <w:rsid w:val="003749DB"/>
    <w:rsid w:val="00374A96"/>
    <w:rsid w:val="00375156"/>
    <w:rsid w:val="0037532E"/>
    <w:rsid w:val="00375ED7"/>
    <w:rsid w:val="00376DE8"/>
    <w:rsid w:val="00377AFA"/>
    <w:rsid w:val="0038070C"/>
    <w:rsid w:val="003813DE"/>
    <w:rsid w:val="0038178D"/>
    <w:rsid w:val="00381AB6"/>
    <w:rsid w:val="00382413"/>
    <w:rsid w:val="003825AD"/>
    <w:rsid w:val="00382FFC"/>
    <w:rsid w:val="003836D2"/>
    <w:rsid w:val="00383C29"/>
    <w:rsid w:val="003840ED"/>
    <w:rsid w:val="0038433D"/>
    <w:rsid w:val="00384758"/>
    <w:rsid w:val="003850FB"/>
    <w:rsid w:val="00390BAD"/>
    <w:rsid w:val="00392792"/>
    <w:rsid w:val="00392A6B"/>
    <w:rsid w:val="00392D48"/>
    <w:rsid w:val="00392FF5"/>
    <w:rsid w:val="00394A92"/>
    <w:rsid w:val="00395B00"/>
    <w:rsid w:val="00396CF5"/>
    <w:rsid w:val="00397B0B"/>
    <w:rsid w:val="003A1CD9"/>
    <w:rsid w:val="003A1F97"/>
    <w:rsid w:val="003A33F2"/>
    <w:rsid w:val="003A37A7"/>
    <w:rsid w:val="003A380A"/>
    <w:rsid w:val="003A3CAC"/>
    <w:rsid w:val="003A4615"/>
    <w:rsid w:val="003A522C"/>
    <w:rsid w:val="003A5B7B"/>
    <w:rsid w:val="003A62E5"/>
    <w:rsid w:val="003A6AB6"/>
    <w:rsid w:val="003A7ADF"/>
    <w:rsid w:val="003B00DE"/>
    <w:rsid w:val="003B067E"/>
    <w:rsid w:val="003B2786"/>
    <w:rsid w:val="003B4D64"/>
    <w:rsid w:val="003B4F9B"/>
    <w:rsid w:val="003B693A"/>
    <w:rsid w:val="003B6B56"/>
    <w:rsid w:val="003B70AE"/>
    <w:rsid w:val="003B74D9"/>
    <w:rsid w:val="003B7B38"/>
    <w:rsid w:val="003C0BC0"/>
    <w:rsid w:val="003C1795"/>
    <w:rsid w:val="003C1862"/>
    <w:rsid w:val="003C23B4"/>
    <w:rsid w:val="003C3199"/>
    <w:rsid w:val="003C349E"/>
    <w:rsid w:val="003C3A2F"/>
    <w:rsid w:val="003C3CE0"/>
    <w:rsid w:val="003C484F"/>
    <w:rsid w:val="003C4AEB"/>
    <w:rsid w:val="003C5B0B"/>
    <w:rsid w:val="003C7D4A"/>
    <w:rsid w:val="003C7DC2"/>
    <w:rsid w:val="003D380A"/>
    <w:rsid w:val="003D3EA6"/>
    <w:rsid w:val="003D548E"/>
    <w:rsid w:val="003D63C5"/>
    <w:rsid w:val="003D64C1"/>
    <w:rsid w:val="003D6F35"/>
    <w:rsid w:val="003E2ECD"/>
    <w:rsid w:val="003E3700"/>
    <w:rsid w:val="003E4325"/>
    <w:rsid w:val="003E4F96"/>
    <w:rsid w:val="003E50E3"/>
    <w:rsid w:val="003E6B97"/>
    <w:rsid w:val="003E7A07"/>
    <w:rsid w:val="003F106C"/>
    <w:rsid w:val="003F3BA5"/>
    <w:rsid w:val="00401C76"/>
    <w:rsid w:val="004021CF"/>
    <w:rsid w:val="00402C1C"/>
    <w:rsid w:val="0040442C"/>
    <w:rsid w:val="00404C69"/>
    <w:rsid w:val="0040581F"/>
    <w:rsid w:val="00405907"/>
    <w:rsid w:val="00407A81"/>
    <w:rsid w:val="0041029F"/>
    <w:rsid w:val="0041035E"/>
    <w:rsid w:val="00410579"/>
    <w:rsid w:val="004112F1"/>
    <w:rsid w:val="004116F2"/>
    <w:rsid w:val="00413CB4"/>
    <w:rsid w:val="004144E2"/>
    <w:rsid w:val="00414A1A"/>
    <w:rsid w:val="00414B36"/>
    <w:rsid w:val="004153AF"/>
    <w:rsid w:val="00416F1B"/>
    <w:rsid w:val="004171B2"/>
    <w:rsid w:val="00417779"/>
    <w:rsid w:val="00417CE5"/>
    <w:rsid w:val="00421E98"/>
    <w:rsid w:val="00423382"/>
    <w:rsid w:val="004240B1"/>
    <w:rsid w:val="00424981"/>
    <w:rsid w:val="00424A14"/>
    <w:rsid w:val="00425FFA"/>
    <w:rsid w:val="00426006"/>
    <w:rsid w:val="00426964"/>
    <w:rsid w:val="004273F4"/>
    <w:rsid w:val="00427872"/>
    <w:rsid w:val="00430815"/>
    <w:rsid w:val="00430E5C"/>
    <w:rsid w:val="00431EE0"/>
    <w:rsid w:val="00433AC4"/>
    <w:rsid w:val="00435E1A"/>
    <w:rsid w:val="00436983"/>
    <w:rsid w:val="00440663"/>
    <w:rsid w:val="00441D85"/>
    <w:rsid w:val="00444279"/>
    <w:rsid w:val="00444901"/>
    <w:rsid w:val="00445FDF"/>
    <w:rsid w:val="004461AC"/>
    <w:rsid w:val="004477BA"/>
    <w:rsid w:val="004479E3"/>
    <w:rsid w:val="00451F12"/>
    <w:rsid w:val="00453538"/>
    <w:rsid w:val="0045589A"/>
    <w:rsid w:val="0045616B"/>
    <w:rsid w:val="004568A2"/>
    <w:rsid w:val="00460BBB"/>
    <w:rsid w:val="00461644"/>
    <w:rsid w:val="0046264A"/>
    <w:rsid w:val="0046310F"/>
    <w:rsid w:val="00463D52"/>
    <w:rsid w:val="004662B4"/>
    <w:rsid w:val="00467819"/>
    <w:rsid w:val="00470320"/>
    <w:rsid w:val="0047041E"/>
    <w:rsid w:val="0047097F"/>
    <w:rsid w:val="004717F6"/>
    <w:rsid w:val="0047222D"/>
    <w:rsid w:val="0047294D"/>
    <w:rsid w:val="0047371B"/>
    <w:rsid w:val="00474C4B"/>
    <w:rsid w:val="004756D0"/>
    <w:rsid w:val="004762B0"/>
    <w:rsid w:val="004763B8"/>
    <w:rsid w:val="00477165"/>
    <w:rsid w:val="0047782E"/>
    <w:rsid w:val="00477CBF"/>
    <w:rsid w:val="00477F2C"/>
    <w:rsid w:val="00480497"/>
    <w:rsid w:val="004808D9"/>
    <w:rsid w:val="00481DB2"/>
    <w:rsid w:val="00483380"/>
    <w:rsid w:val="00483A63"/>
    <w:rsid w:val="00484BCC"/>
    <w:rsid w:val="004867EA"/>
    <w:rsid w:val="00487814"/>
    <w:rsid w:val="0049061F"/>
    <w:rsid w:val="00493E51"/>
    <w:rsid w:val="00494073"/>
    <w:rsid w:val="004A23F8"/>
    <w:rsid w:val="004A247A"/>
    <w:rsid w:val="004A2A0D"/>
    <w:rsid w:val="004A4C7D"/>
    <w:rsid w:val="004A5837"/>
    <w:rsid w:val="004A596B"/>
    <w:rsid w:val="004A6A83"/>
    <w:rsid w:val="004A7A08"/>
    <w:rsid w:val="004A7D8D"/>
    <w:rsid w:val="004B116C"/>
    <w:rsid w:val="004B14DB"/>
    <w:rsid w:val="004B1F93"/>
    <w:rsid w:val="004B29BE"/>
    <w:rsid w:val="004B38FE"/>
    <w:rsid w:val="004B3AEF"/>
    <w:rsid w:val="004B3D98"/>
    <w:rsid w:val="004B415F"/>
    <w:rsid w:val="004B5672"/>
    <w:rsid w:val="004B5BA2"/>
    <w:rsid w:val="004B6399"/>
    <w:rsid w:val="004C246C"/>
    <w:rsid w:val="004C3EA7"/>
    <w:rsid w:val="004C5BE3"/>
    <w:rsid w:val="004C6004"/>
    <w:rsid w:val="004C6FC5"/>
    <w:rsid w:val="004C7DDF"/>
    <w:rsid w:val="004D0D4C"/>
    <w:rsid w:val="004D0FE7"/>
    <w:rsid w:val="004D3626"/>
    <w:rsid w:val="004D3719"/>
    <w:rsid w:val="004D39A7"/>
    <w:rsid w:val="004D4310"/>
    <w:rsid w:val="004D7F13"/>
    <w:rsid w:val="004E04F1"/>
    <w:rsid w:val="004E0B3B"/>
    <w:rsid w:val="004E1279"/>
    <w:rsid w:val="004E1BB2"/>
    <w:rsid w:val="004E338A"/>
    <w:rsid w:val="004E3BD2"/>
    <w:rsid w:val="004E4058"/>
    <w:rsid w:val="004E5A0A"/>
    <w:rsid w:val="004E6820"/>
    <w:rsid w:val="004E6899"/>
    <w:rsid w:val="004E6BCB"/>
    <w:rsid w:val="004E6ECB"/>
    <w:rsid w:val="004E74AD"/>
    <w:rsid w:val="004E7883"/>
    <w:rsid w:val="004E7AC1"/>
    <w:rsid w:val="004F2FA1"/>
    <w:rsid w:val="004F4053"/>
    <w:rsid w:val="004F4292"/>
    <w:rsid w:val="004F460B"/>
    <w:rsid w:val="004F4BC1"/>
    <w:rsid w:val="004F5F81"/>
    <w:rsid w:val="004F6E5E"/>
    <w:rsid w:val="004F76E7"/>
    <w:rsid w:val="0050042A"/>
    <w:rsid w:val="0050269D"/>
    <w:rsid w:val="00504187"/>
    <w:rsid w:val="005060D9"/>
    <w:rsid w:val="00506B0F"/>
    <w:rsid w:val="0050727B"/>
    <w:rsid w:val="00507781"/>
    <w:rsid w:val="00510522"/>
    <w:rsid w:val="0051227F"/>
    <w:rsid w:val="005125B6"/>
    <w:rsid w:val="00513077"/>
    <w:rsid w:val="0051381C"/>
    <w:rsid w:val="00514088"/>
    <w:rsid w:val="00516F54"/>
    <w:rsid w:val="005171E3"/>
    <w:rsid w:val="00517BD9"/>
    <w:rsid w:val="005200BA"/>
    <w:rsid w:val="005208A7"/>
    <w:rsid w:val="00520D35"/>
    <w:rsid w:val="005212BA"/>
    <w:rsid w:val="00522170"/>
    <w:rsid w:val="005233AD"/>
    <w:rsid w:val="00523810"/>
    <w:rsid w:val="00524904"/>
    <w:rsid w:val="00526B5B"/>
    <w:rsid w:val="0052700D"/>
    <w:rsid w:val="00527051"/>
    <w:rsid w:val="00527261"/>
    <w:rsid w:val="00530717"/>
    <w:rsid w:val="00531388"/>
    <w:rsid w:val="0053189A"/>
    <w:rsid w:val="005325EA"/>
    <w:rsid w:val="00534CEC"/>
    <w:rsid w:val="005363EB"/>
    <w:rsid w:val="0054067E"/>
    <w:rsid w:val="00541C40"/>
    <w:rsid w:val="00542A46"/>
    <w:rsid w:val="00542BEA"/>
    <w:rsid w:val="00543196"/>
    <w:rsid w:val="00543CF9"/>
    <w:rsid w:val="005444F4"/>
    <w:rsid w:val="00545D77"/>
    <w:rsid w:val="00547EF6"/>
    <w:rsid w:val="005509C4"/>
    <w:rsid w:val="005517D9"/>
    <w:rsid w:val="00551F03"/>
    <w:rsid w:val="0055372F"/>
    <w:rsid w:val="0055398F"/>
    <w:rsid w:val="005540ED"/>
    <w:rsid w:val="005547B9"/>
    <w:rsid w:val="00555E97"/>
    <w:rsid w:val="0055786A"/>
    <w:rsid w:val="005626C7"/>
    <w:rsid w:val="00562AB4"/>
    <w:rsid w:val="005638B2"/>
    <w:rsid w:val="00563B2A"/>
    <w:rsid w:val="00563FAB"/>
    <w:rsid w:val="00564336"/>
    <w:rsid w:val="00564B3B"/>
    <w:rsid w:val="00565035"/>
    <w:rsid w:val="00566131"/>
    <w:rsid w:val="00570F68"/>
    <w:rsid w:val="00571807"/>
    <w:rsid w:val="00575C11"/>
    <w:rsid w:val="00577D72"/>
    <w:rsid w:val="00580899"/>
    <w:rsid w:val="00580B23"/>
    <w:rsid w:val="005838DB"/>
    <w:rsid w:val="005841E5"/>
    <w:rsid w:val="00584687"/>
    <w:rsid w:val="005857BB"/>
    <w:rsid w:val="00585BB5"/>
    <w:rsid w:val="00586917"/>
    <w:rsid w:val="00586DEB"/>
    <w:rsid w:val="0058719D"/>
    <w:rsid w:val="005871A2"/>
    <w:rsid w:val="005872D0"/>
    <w:rsid w:val="005907EB"/>
    <w:rsid w:val="005909FB"/>
    <w:rsid w:val="005914F8"/>
    <w:rsid w:val="005918C5"/>
    <w:rsid w:val="005930DB"/>
    <w:rsid w:val="00593174"/>
    <w:rsid w:val="00593313"/>
    <w:rsid w:val="0059390B"/>
    <w:rsid w:val="00596C37"/>
    <w:rsid w:val="005973CA"/>
    <w:rsid w:val="0059781A"/>
    <w:rsid w:val="00597ABD"/>
    <w:rsid w:val="005A1604"/>
    <w:rsid w:val="005A31EE"/>
    <w:rsid w:val="005A35B4"/>
    <w:rsid w:val="005A386C"/>
    <w:rsid w:val="005A3920"/>
    <w:rsid w:val="005A4AE5"/>
    <w:rsid w:val="005A4DC3"/>
    <w:rsid w:val="005A4FFC"/>
    <w:rsid w:val="005A76A4"/>
    <w:rsid w:val="005A76DB"/>
    <w:rsid w:val="005B170A"/>
    <w:rsid w:val="005B1CB8"/>
    <w:rsid w:val="005B1F8E"/>
    <w:rsid w:val="005B213E"/>
    <w:rsid w:val="005B4423"/>
    <w:rsid w:val="005B4FEE"/>
    <w:rsid w:val="005B598B"/>
    <w:rsid w:val="005B6542"/>
    <w:rsid w:val="005B7031"/>
    <w:rsid w:val="005B7B12"/>
    <w:rsid w:val="005C0C28"/>
    <w:rsid w:val="005C1542"/>
    <w:rsid w:val="005C1DD2"/>
    <w:rsid w:val="005C2DE4"/>
    <w:rsid w:val="005C47C5"/>
    <w:rsid w:val="005C71C1"/>
    <w:rsid w:val="005C746F"/>
    <w:rsid w:val="005D02E5"/>
    <w:rsid w:val="005D1174"/>
    <w:rsid w:val="005D1B1E"/>
    <w:rsid w:val="005D1FC1"/>
    <w:rsid w:val="005D27CD"/>
    <w:rsid w:val="005D2B6F"/>
    <w:rsid w:val="005D2CA4"/>
    <w:rsid w:val="005D3308"/>
    <w:rsid w:val="005D4348"/>
    <w:rsid w:val="005D46D8"/>
    <w:rsid w:val="005D4E0B"/>
    <w:rsid w:val="005D5BBC"/>
    <w:rsid w:val="005E1841"/>
    <w:rsid w:val="005E21A2"/>
    <w:rsid w:val="005E2460"/>
    <w:rsid w:val="005E291F"/>
    <w:rsid w:val="005E35A0"/>
    <w:rsid w:val="005E371B"/>
    <w:rsid w:val="005E3AA1"/>
    <w:rsid w:val="005E474F"/>
    <w:rsid w:val="005E53FF"/>
    <w:rsid w:val="005E6325"/>
    <w:rsid w:val="005E6C04"/>
    <w:rsid w:val="005E78C9"/>
    <w:rsid w:val="005E7C59"/>
    <w:rsid w:val="005F03E1"/>
    <w:rsid w:val="005F09EE"/>
    <w:rsid w:val="005F0CEA"/>
    <w:rsid w:val="005F10A5"/>
    <w:rsid w:val="005F1994"/>
    <w:rsid w:val="005F1DC0"/>
    <w:rsid w:val="005F2001"/>
    <w:rsid w:val="005F2B3F"/>
    <w:rsid w:val="005F2DE5"/>
    <w:rsid w:val="005F33C9"/>
    <w:rsid w:val="005F3C7E"/>
    <w:rsid w:val="005F5013"/>
    <w:rsid w:val="005F5509"/>
    <w:rsid w:val="005F6F91"/>
    <w:rsid w:val="005F7270"/>
    <w:rsid w:val="005F7D5D"/>
    <w:rsid w:val="00600E03"/>
    <w:rsid w:val="00601DB7"/>
    <w:rsid w:val="006029DC"/>
    <w:rsid w:val="0060669E"/>
    <w:rsid w:val="006131D6"/>
    <w:rsid w:val="0061411F"/>
    <w:rsid w:val="00614494"/>
    <w:rsid w:val="00614673"/>
    <w:rsid w:val="00614CF3"/>
    <w:rsid w:val="00614EF8"/>
    <w:rsid w:val="00617D32"/>
    <w:rsid w:val="0062006D"/>
    <w:rsid w:val="006208BF"/>
    <w:rsid w:val="0062206D"/>
    <w:rsid w:val="006228C7"/>
    <w:rsid w:val="006229F2"/>
    <w:rsid w:val="00622AAE"/>
    <w:rsid w:val="006239F2"/>
    <w:rsid w:val="006239FE"/>
    <w:rsid w:val="006244B0"/>
    <w:rsid w:val="00624C50"/>
    <w:rsid w:val="00625FC8"/>
    <w:rsid w:val="0062709E"/>
    <w:rsid w:val="0063064A"/>
    <w:rsid w:val="006313A0"/>
    <w:rsid w:val="00633942"/>
    <w:rsid w:val="0063513C"/>
    <w:rsid w:val="0063598E"/>
    <w:rsid w:val="00636A2A"/>
    <w:rsid w:val="006413C1"/>
    <w:rsid w:val="006414F6"/>
    <w:rsid w:val="00641EFA"/>
    <w:rsid w:val="006427A8"/>
    <w:rsid w:val="00642F0F"/>
    <w:rsid w:val="00643E82"/>
    <w:rsid w:val="00644471"/>
    <w:rsid w:val="00644740"/>
    <w:rsid w:val="00644D92"/>
    <w:rsid w:val="00646653"/>
    <w:rsid w:val="006506F4"/>
    <w:rsid w:val="00651022"/>
    <w:rsid w:val="006510C8"/>
    <w:rsid w:val="00651C66"/>
    <w:rsid w:val="006528E5"/>
    <w:rsid w:val="0065340E"/>
    <w:rsid w:val="00653DED"/>
    <w:rsid w:val="0065536B"/>
    <w:rsid w:val="006557D7"/>
    <w:rsid w:val="00656414"/>
    <w:rsid w:val="00656D2D"/>
    <w:rsid w:val="006630A7"/>
    <w:rsid w:val="006639D8"/>
    <w:rsid w:val="006647FB"/>
    <w:rsid w:val="00664BFE"/>
    <w:rsid w:val="006676EA"/>
    <w:rsid w:val="00667B4F"/>
    <w:rsid w:val="006700C3"/>
    <w:rsid w:val="0067060E"/>
    <w:rsid w:val="006710FE"/>
    <w:rsid w:val="00671D4E"/>
    <w:rsid w:val="00672795"/>
    <w:rsid w:val="00672BD9"/>
    <w:rsid w:val="00672E8F"/>
    <w:rsid w:val="006732C7"/>
    <w:rsid w:val="00673BD7"/>
    <w:rsid w:val="00673BF6"/>
    <w:rsid w:val="00673E2E"/>
    <w:rsid w:val="006742DC"/>
    <w:rsid w:val="00674805"/>
    <w:rsid w:val="006756A3"/>
    <w:rsid w:val="00675E2E"/>
    <w:rsid w:val="006768B1"/>
    <w:rsid w:val="00677061"/>
    <w:rsid w:val="006823E3"/>
    <w:rsid w:val="0068253C"/>
    <w:rsid w:val="00682C15"/>
    <w:rsid w:val="00683296"/>
    <w:rsid w:val="0068381B"/>
    <w:rsid w:val="00683820"/>
    <w:rsid w:val="006849A8"/>
    <w:rsid w:val="0068724C"/>
    <w:rsid w:val="00687E97"/>
    <w:rsid w:val="006901D7"/>
    <w:rsid w:val="00690613"/>
    <w:rsid w:val="00690F2C"/>
    <w:rsid w:val="00690FC4"/>
    <w:rsid w:val="00692055"/>
    <w:rsid w:val="00694A72"/>
    <w:rsid w:val="0069539F"/>
    <w:rsid w:val="00695611"/>
    <w:rsid w:val="00696C71"/>
    <w:rsid w:val="006A033B"/>
    <w:rsid w:val="006A0575"/>
    <w:rsid w:val="006A0637"/>
    <w:rsid w:val="006A0D7E"/>
    <w:rsid w:val="006A238C"/>
    <w:rsid w:val="006A2ACC"/>
    <w:rsid w:val="006A3A08"/>
    <w:rsid w:val="006A46F6"/>
    <w:rsid w:val="006A475E"/>
    <w:rsid w:val="006A4CA6"/>
    <w:rsid w:val="006A4F1E"/>
    <w:rsid w:val="006A5936"/>
    <w:rsid w:val="006A778D"/>
    <w:rsid w:val="006B1BCD"/>
    <w:rsid w:val="006B2724"/>
    <w:rsid w:val="006B4FDA"/>
    <w:rsid w:val="006B5871"/>
    <w:rsid w:val="006B5B0E"/>
    <w:rsid w:val="006B71C0"/>
    <w:rsid w:val="006B79D3"/>
    <w:rsid w:val="006C09A3"/>
    <w:rsid w:val="006C0AD4"/>
    <w:rsid w:val="006C19D8"/>
    <w:rsid w:val="006C3552"/>
    <w:rsid w:val="006C3F63"/>
    <w:rsid w:val="006C4538"/>
    <w:rsid w:val="006D1D77"/>
    <w:rsid w:val="006D234E"/>
    <w:rsid w:val="006D2890"/>
    <w:rsid w:val="006D349B"/>
    <w:rsid w:val="006D4CAD"/>
    <w:rsid w:val="006D5AA2"/>
    <w:rsid w:val="006D5CC0"/>
    <w:rsid w:val="006D735C"/>
    <w:rsid w:val="006E1530"/>
    <w:rsid w:val="006E1D54"/>
    <w:rsid w:val="006E239E"/>
    <w:rsid w:val="006E30BC"/>
    <w:rsid w:val="006E40B5"/>
    <w:rsid w:val="006E42B3"/>
    <w:rsid w:val="006E458B"/>
    <w:rsid w:val="006E4C70"/>
    <w:rsid w:val="006E6338"/>
    <w:rsid w:val="006E67AF"/>
    <w:rsid w:val="006E6AB7"/>
    <w:rsid w:val="006E6B5E"/>
    <w:rsid w:val="006E7230"/>
    <w:rsid w:val="006E775D"/>
    <w:rsid w:val="006E7BEB"/>
    <w:rsid w:val="006F0AD5"/>
    <w:rsid w:val="006F17FD"/>
    <w:rsid w:val="006F2397"/>
    <w:rsid w:val="006F2BCB"/>
    <w:rsid w:val="006F331F"/>
    <w:rsid w:val="006F4E9B"/>
    <w:rsid w:val="006F6D32"/>
    <w:rsid w:val="006F7653"/>
    <w:rsid w:val="0070039E"/>
    <w:rsid w:val="007035CD"/>
    <w:rsid w:val="007041B9"/>
    <w:rsid w:val="007043B4"/>
    <w:rsid w:val="00704FA1"/>
    <w:rsid w:val="00705148"/>
    <w:rsid w:val="00705783"/>
    <w:rsid w:val="00705A09"/>
    <w:rsid w:val="00707A44"/>
    <w:rsid w:val="00710A74"/>
    <w:rsid w:val="007125F4"/>
    <w:rsid w:val="00713628"/>
    <w:rsid w:val="00714C90"/>
    <w:rsid w:val="00715676"/>
    <w:rsid w:val="007159E0"/>
    <w:rsid w:val="0071777B"/>
    <w:rsid w:val="00717842"/>
    <w:rsid w:val="00721588"/>
    <w:rsid w:val="007223AE"/>
    <w:rsid w:val="00722D09"/>
    <w:rsid w:val="0072337A"/>
    <w:rsid w:val="00723D48"/>
    <w:rsid w:val="00725440"/>
    <w:rsid w:val="00725862"/>
    <w:rsid w:val="00727079"/>
    <w:rsid w:val="0072752B"/>
    <w:rsid w:val="00727E0B"/>
    <w:rsid w:val="007304BD"/>
    <w:rsid w:val="00731A44"/>
    <w:rsid w:val="007327E6"/>
    <w:rsid w:val="00732BE4"/>
    <w:rsid w:val="00733638"/>
    <w:rsid w:val="00734E19"/>
    <w:rsid w:val="00735162"/>
    <w:rsid w:val="007359D8"/>
    <w:rsid w:val="00737DBB"/>
    <w:rsid w:val="00741717"/>
    <w:rsid w:val="00741A68"/>
    <w:rsid w:val="00741A8C"/>
    <w:rsid w:val="00741FAB"/>
    <w:rsid w:val="00743020"/>
    <w:rsid w:val="00743583"/>
    <w:rsid w:val="0074389B"/>
    <w:rsid w:val="00744AF5"/>
    <w:rsid w:val="00744F53"/>
    <w:rsid w:val="0074689D"/>
    <w:rsid w:val="00746FD7"/>
    <w:rsid w:val="0075197E"/>
    <w:rsid w:val="007519DE"/>
    <w:rsid w:val="00752121"/>
    <w:rsid w:val="007536EC"/>
    <w:rsid w:val="007539C1"/>
    <w:rsid w:val="00756187"/>
    <w:rsid w:val="007577AD"/>
    <w:rsid w:val="00757F19"/>
    <w:rsid w:val="00761178"/>
    <w:rsid w:val="0076135E"/>
    <w:rsid w:val="00763FEC"/>
    <w:rsid w:val="00765B01"/>
    <w:rsid w:val="00765BEC"/>
    <w:rsid w:val="00765E5F"/>
    <w:rsid w:val="00765EB6"/>
    <w:rsid w:val="00766987"/>
    <w:rsid w:val="00766992"/>
    <w:rsid w:val="0077020B"/>
    <w:rsid w:val="00770270"/>
    <w:rsid w:val="007709FD"/>
    <w:rsid w:val="00770E81"/>
    <w:rsid w:val="00772128"/>
    <w:rsid w:val="00772184"/>
    <w:rsid w:val="007722EF"/>
    <w:rsid w:val="00772B9D"/>
    <w:rsid w:val="00774268"/>
    <w:rsid w:val="007754C1"/>
    <w:rsid w:val="00775651"/>
    <w:rsid w:val="0077573C"/>
    <w:rsid w:val="00775896"/>
    <w:rsid w:val="00775D81"/>
    <w:rsid w:val="00776F8A"/>
    <w:rsid w:val="0077727C"/>
    <w:rsid w:val="0077775D"/>
    <w:rsid w:val="00777F4D"/>
    <w:rsid w:val="007806BB"/>
    <w:rsid w:val="007808B4"/>
    <w:rsid w:val="00781686"/>
    <w:rsid w:val="00782610"/>
    <w:rsid w:val="007826FF"/>
    <w:rsid w:val="00783E4F"/>
    <w:rsid w:val="007844CC"/>
    <w:rsid w:val="00786628"/>
    <w:rsid w:val="0078746C"/>
    <w:rsid w:val="007877C3"/>
    <w:rsid w:val="00787ED8"/>
    <w:rsid w:val="0079014D"/>
    <w:rsid w:val="00790CBE"/>
    <w:rsid w:val="00790EB5"/>
    <w:rsid w:val="0079179F"/>
    <w:rsid w:val="00791964"/>
    <w:rsid w:val="00791976"/>
    <w:rsid w:val="00791FE2"/>
    <w:rsid w:val="00792763"/>
    <w:rsid w:val="00792840"/>
    <w:rsid w:val="007930F1"/>
    <w:rsid w:val="00793B4B"/>
    <w:rsid w:val="00795760"/>
    <w:rsid w:val="007964FA"/>
    <w:rsid w:val="007979B1"/>
    <w:rsid w:val="007A0271"/>
    <w:rsid w:val="007A2B75"/>
    <w:rsid w:val="007A2F5A"/>
    <w:rsid w:val="007A2FF2"/>
    <w:rsid w:val="007A3483"/>
    <w:rsid w:val="007A4BF5"/>
    <w:rsid w:val="007A4C93"/>
    <w:rsid w:val="007A66F0"/>
    <w:rsid w:val="007A6D81"/>
    <w:rsid w:val="007A76FF"/>
    <w:rsid w:val="007A7CB3"/>
    <w:rsid w:val="007B06EA"/>
    <w:rsid w:val="007B2093"/>
    <w:rsid w:val="007B3A5E"/>
    <w:rsid w:val="007B3BD0"/>
    <w:rsid w:val="007B3CE2"/>
    <w:rsid w:val="007B407C"/>
    <w:rsid w:val="007B4386"/>
    <w:rsid w:val="007B4ADB"/>
    <w:rsid w:val="007B584C"/>
    <w:rsid w:val="007B6A46"/>
    <w:rsid w:val="007B76CD"/>
    <w:rsid w:val="007B76DF"/>
    <w:rsid w:val="007B7D35"/>
    <w:rsid w:val="007C0946"/>
    <w:rsid w:val="007C1D06"/>
    <w:rsid w:val="007C2CD6"/>
    <w:rsid w:val="007C2D80"/>
    <w:rsid w:val="007C3EE8"/>
    <w:rsid w:val="007C4303"/>
    <w:rsid w:val="007C437A"/>
    <w:rsid w:val="007C43DF"/>
    <w:rsid w:val="007C48FF"/>
    <w:rsid w:val="007C710A"/>
    <w:rsid w:val="007C77C0"/>
    <w:rsid w:val="007C7927"/>
    <w:rsid w:val="007D0197"/>
    <w:rsid w:val="007D08E4"/>
    <w:rsid w:val="007D1E98"/>
    <w:rsid w:val="007D3F22"/>
    <w:rsid w:val="007D45A8"/>
    <w:rsid w:val="007D46AD"/>
    <w:rsid w:val="007D500B"/>
    <w:rsid w:val="007D5B77"/>
    <w:rsid w:val="007D6004"/>
    <w:rsid w:val="007D69C6"/>
    <w:rsid w:val="007E0AC6"/>
    <w:rsid w:val="007E21A0"/>
    <w:rsid w:val="007E2780"/>
    <w:rsid w:val="007E3119"/>
    <w:rsid w:val="007E39D0"/>
    <w:rsid w:val="007E4A70"/>
    <w:rsid w:val="007E6042"/>
    <w:rsid w:val="007E7F1E"/>
    <w:rsid w:val="007F241D"/>
    <w:rsid w:val="007F49A7"/>
    <w:rsid w:val="007F4C64"/>
    <w:rsid w:val="007F5017"/>
    <w:rsid w:val="007F5698"/>
    <w:rsid w:val="007F7097"/>
    <w:rsid w:val="007F72BD"/>
    <w:rsid w:val="0080017A"/>
    <w:rsid w:val="00800216"/>
    <w:rsid w:val="00801187"/>
    <w:rsid w:val="00801828"/>
    <w:rsid w:val="00802DD7"/>
    <w:rsid w:val="00805088"/>
    <w:rsid w:val="00805798"/>
    <w:rsid w:val="00805960"/>
    <w:rsid w:val="00805F50"/>
    <w:rsid w:val="00806010"/>
    <w:rsid w:val="00810970"/>
    <w:rsid w:val="0081213E"/>
    <w:rsid w:val="00813AEF"/>
    <w:rsid w:val="00814F4B"/>
    <w:rsid w:val="0081539F"/>
    <w:rsid w:val="00820BCC"/>
    <w:rsid w:val="00820C97"/>
    <w:rsid w:val="00820FA3"/>
    <w:rsid w:val="008222C8"/>
    <w:rsid w:val="00823559"/>
    <w:rsid w:val="00823692"/>
    <w:rsid w:val="0082436D"/>
    <w:rsid w:val="00825954"/>
    <w:rsid w:val="00826248"/>
    <w:rsid w:val="00826BE0"/>
    <w:rsid w:val="00827B41"/>
    <w:rsid w:val="00831011"/>
    <w:rsid w:val="00831BD7"/>
    <w:rsid w:val="008320A9"/>
    <w:rsid w:val="0083336B"/>
    <w:rsid w:val="00834C56"/>
    <w:rsid w:val="00836346"/>
    <w:rsid w:val="008373D1"/>
    <w:rsid w:val="008379F8"/>
    <w:rsid w:val="008405A1"/>
    <w:rsid w:val="0084172C"/>
    <w:rsid w:val="008418AC"/>
    <w:rsid w:val="0084294A"/>
    <w:rsid w:val="00843ADE"/>
    <w:rsid w:val="00844116"/>
    <w:rsid w:val="0084577D"/>
    <w:rsid w:val="0084598D"/>
    <w:rsid w:val="00845A7A"/>
    <w:rsid w:val="00845D0C"/>
    <w:rsid w:val="00847533"/>
    <w:rsid w:val="00847664"/>
    <w:rsid w:val="008478CF"/>
    <w:rsid w:val="00847D7A"/>
    <w:rsid w:val="00850158"/>
    <w:rsid w:val="00850A8B"/>
    <w:rsid w:val="00851E00"/>
    <w:rsid w:val="00852B8F"/>
    <w:rsid w:val="00852BEB"/>
    <w:rsid w:val="00853025"/>
    <w:rsid w:val="0085379A"/>
    <w:rsid w:val="00853851"/>
    <w:rsid w:val="00853A45"/>
    <w:rsid w:val="0085478B"/>
    <w:rsid w:val="0085499E"/>
    <w:rsid w:val="00856294"/>
    <w:rsid w:val="008562F2"/>
    <w:rsid w:val="00856AA9"/>
    <w:rsid w:val="00856D54"/>
    <w:rsid w:val="00857DB6"/>
    <w:rsid w:val="008601FA"/>
    <w:rsid w:val="00861D65"/>
    <w:rsid w:val="0086324B"/>
    <w:rsid w:val="00863B1C"/>
    <w:rsid w:val="00865C94"/>
    <w:rsid w:val="0086624C"/>
    <w:rsid w:val="0086665C"/>
    <w:rsid w:val="00867C23"/>
    <w:rsid w:val="00867F40"/>
    <w:rsid w:val="0087042F"/>
    <w:rsid w:val="0087049E"/>
    <w:rsid w:val="00870AB0"/>
    <w:rsid w:val="00871BA4"/>
    <w:rsid w:val="00871FB4"/>
    <w:rsid w:val="008750B5"/>
    <w:rsid w:val="00876267"/>
    <w:rsid w:val="0088021E"/>
    <w:rsid w:val="00880632"/>
    <w:rsid w:val="00880DD1"/>
    <w:rsid w:val="00881423"/>
    <w:rsid w:val="0088142D"/>
    <w:rsid w:val="00881507"/>
    <w:rsid w:val="00882435"/>
    <w:rsid w:val="00884854"/>
    <w:rsid w:val="008874B0"/>
    <w:rsid w:val="00887659"/>
    <w:rsid w:val="00887EC8"/>
    <w:rsid w:val="0089081E"/>
    <w:rsid w:val="00891888"/>
    <w:rsid w:val="00891968"/>
    <w:rsid w:val="0089206E"/>
    <w:rsid w:val="00894610"/>
    <w:rsid w:val="00895C57"/>
    <w:rsid w:val="00895E95"/>
    <w:rsid w:val="008965B6"/>
    <w:rsid w:val="00897241"/>
    <w:rsid w:val="00897C09"/>
    <w:rsid w:val="00897ECD"/>
    <w:rsid w:val="008A0108"/>
    <w:rsid w:val="008A0550"/>
    <w:rsid w:val="008A1784"/>
    <w:rsid w:val="008A182C"/>
    <w:rsid w:val="008A18EF"/>
    <w:rsid w:val="008A2215"/>
    <w:rsid w:val="008A2302"/>
    <w:rsid w:val="008A2E80"/>
    <w:rsid w:val="008A31AB"/>
    <w:rsid w:val="008A53E4"/>
    <w:rsid w:val="008A5A9F"/>
    <w:rsid w:val="008A7CCE"/>
    <w:rsid w:val="008B14B7"/>
    <w:rsid w:val="008B19DC"/>
    <w:rsid w:val="008B1A0A"/>
    <w:rsid w:val="008B2901"/>
    <w:rsid w:val="008B2980"/>
    <w:rsid w:val="008B3D4C"/>
    <w:rsid w:val="008B44D5"/>
    <w:rsid w:val="008B577C"/>
    <w:rsid w:val="008C1E30"/>
    <w:rsid w:val="008C2F47"/>
    <w:rsid w:val="008C2FCC"/>
    <w:rsid w:val="008C39E8"/>
    <w:rsid w:val="008C3B95"/>
    <w:rsid w:val="008C6AAF"/>
    <w:rsid w:val="008C7DB2"/>
    <w:rsid w:val="008D054E"/>
    <w:rsid w:val="008D2F1B"/>
    <w:rsid w:val="008D4370"/>
    <w:rsid w:val="008D45A5"/>
    <w:rsid w:val="008D4EC1"/>
    <w:rsid w:val="008D5333"/>
    <w:rsid w:val="008D620C"/>
    <w:rsid w:val="008D6851"/>
    <w:rsid w:val="008D6B6F"/>
    <w:rsid w:val="008D7672"/>
    <w:rsid w:val="008E012B"/>
    <w:rsid w:val="008E0934"/>
    <w:rsid w:val="008E0F9E"/>
    <w:rsid w:val="008E1FB5"/>
    <w:rsid w:val="008E2024"/>
    <w:rsid w:val="008E3A9F"/>
    <w:rsid w:val="008E44E3"/>
    <w:rsid w:val="008E5C33"/>
    <w:rsid w:val="008E6A4E"/>
    <w:rsid w:val="008E74FB"/>
    <w:rsid w:val="008F001E"/>
    <w:rsid w:val="008F0784"/>
    <w:rsid w:val="008F2285"/>
    <w:rsid w:val="008F235F"/>
    <w:rsid w:val="008F306B"/>
    <w:rsid w:val="008F4CA6"/>
    <w:rsid w:val="008F53F8"/>
    <w:rsid w:val="008F653E"/>
    <w:rsid w:val="008F6AC4"/>
    <w:rsid w:val="008F777A"/>
    <w:rsid w:val="00900C7C"/>
    <w:rsid w:val="00900CAC"/>
    <w:rsid w:val="00901E03"/>
    <w:rsid w:val="009026E5"/>
    <w:rsid w:val="00903683"/>
    <w:rsid w:val="00904176"/>
    <w:rsid w:val="009064E0"/>
    <w:rsid w:val="00906E30"/>
    <w:rsid w:val="0090772F"/>
    <w:rsid w:val="009101B6"/>
    <w:rsid w:val="0091063E"/>
    <w:rsid w:val="00910EA1"/>
    <w:rsid w:val="009110E6"/>
    <w:rsid w:val="00911FBB"/>
    <w:rsid w:val="00912D56"/>
    <w:rsid w:val="00913B55"/>
    <w:rsid w:val="009142DB"/>
    <w:rsid w:val="0091435C"/>
    <w:rsid w:val="0091443E"/>
    <w:rsid w:val="00914552"/>
    <w:rsid w:val="009172BB"/>
    <w:rsid w:val="009176A8"/>
    <w:rsid w:val="00917A61"/>
    <w:rsid w:val="0092174F"/>
    <w:rsid w:val="009224A2"/>
    <w:rsid w:val="0092264B"/>
    <w:rsid w:val="00923737"/>
    <w:rsid w:val="00923C66"/>
    <w:rsid w:val="00924D31"/>
    <w:rsid w:val="009250A1"/>
    <w:rsid w:val="009261BC"/>
    <w:rsid w:val="00930633"/>
    <w:rsid w:val="00930C00"/>
    <w:rsid w:val="00930C6B"/>
    <w:rsid w:val="00931365"/>
    <w:rsid w:val="00931578"/>
    <w:rsid w:val="00933FFE"/>
    <w:rsid w:val="009355F7"/>
    <w:rsid w:val="00936658"/>
    <w:rsid w:val="009373AA"/>
    <w:rsid w:val="00940319"/>
    <w:rsid w:val="0094047A"/>
    <w:rsid w:val="0094239F"/>
    <w:rsid w:val="00942674"/>
    <w:rsid w:val="00942C75"/>
    <w:rsid w:val="00943B84"/>
    <w:rsid w:val="00944533"/>
    <w:rsid w:val="0094509E"/>
    <w:rsid w:val="009455CB"/>
    <w:rsid w:val="009463F5"/>
    <w:rsid w:val="00947950"/>
    <w:rsid w:val="0095072A"/>
    <w:rsid w:val="00950879"/>
    <w:rsid w:val="00950A60"/>
    <w:rsid w:val="00950DFE"/>
    <w:rsid w:val="009516B6"/>
    <w:rsid w:val="0095362B"/>
    <w:rsid w:val="0095559F"/>
    <w:rsid w:val="009571CC"/>
    <w:rsid w:val="00966DB5"/>
    <w:rsid w:val="009701EC"/>
    <w:rsid w:val="00970B5F"/>
    <w:rsid w:val="0097142D"/>
    <w:rsid w:val="009719B0"/>
    <w:rsid w:val="0097250C"/>
    <w:rsid w:val="00972643"/>
    <w:rsid w:val="00972954"/>
    <w:rsid w:val="009743A5"/>
    <w:rsid w:val="009750A4"/>
    <w:rsid w:val="00976055"/>
    <w:rsid w:val="00977E18"/>
    <w:rsid w:val="00980293"/>
    <w:rsid w:val="009803D6"/>
    <w:rsid w:val="00981619"/>
    <w:rsid w:val="009833D3"/>
    <w:rsid w:val="009849E3"/>
    <w:rsid w:val="009849E8"/>
    <w:rsid w:val="009859CE"/>
    <w:rsid w:val="009862B9"/>
    <w:rsid w:val="00986958"/>
    <w:rsid w:val="009871D3"/>
    <w:rsid w:val="00990527"/>
    <w:rsid w:val="00991F55"/>
    <w:rsid w:val="00992616"/>
    <w:rsid w:val="00992641"/>
    <w:rsid w:val="009926C8"/>
    <w:rsid w:val="009928C3"/>
    <w:rsid w:val="009928EF"/>
    <w:rsid w:val="009943A4"/>
    <w:rsid w:val="00995EE8"/>
    <w:rsid w:val="00995F1C"/>
    <w:rsid w:val="00996DC8"/>
    <w:rsid w:val="009A0EE4"/>
    <w:rsid w:val="009A19EB"/>
    <w:rsid w:val="009A1DC2"/>
    <w:rsid w:val="009A2EA2"/>
    <w:rsid w:val="009A3565"/>
    <w:rsid w:val="009A4741"/>
    <w:rsid w:val="009A4F4E"/>
    <w:rsid w:val="009A5290"/>
    <w:rsid w:val="009A5741"/>
    <w:rsid w:val="009A58E8"/>
    <w:rsid w:val="009A74F7"/>
    <w:rsid w:val="009B0890"/>
    <w:rsid w:val="009B1DC5"/>
    <w:rsid w:val="009B2467"/>
    <w:rsid w:val="009B2E74"/>
    <w:rsid w:val="009B41F3"/>
    <w:rsid w:val="009B6184"/>
    <w:rsid w:val="009B6304"/>
    <w:rsid w:val="009B64F5"/>
    <w:rsid w:val="009C16BD"/>
    <w:rsid w:val="009C2220"/>
    <w:rsid w:val="009C2750"/>
    <w:rsid w:val="009C2886"/>
    <w:rsid w:val="009C3444"/>
    <w:rsid w:val="009C3586"/>
    <w:rsid w:val="009C38F3"/>
    <w:rsid w:val="009C39F2"/>
    <w:rsid w:val="009C4246"/>
    <w:rsid w:val="009C4321"/>
    <w:rsid w:val="009C4580"/>
    <w:rsid w:val="009C4AE3"/>
    <w:rsid w:val="009C5A23"/>
    <w:rsid w:val="009C7E93"/>
    <w:rsid w:val="009D098A"/>
    <w:rsid w:val="009D1483"/>
    <w:rsid w:val="009D14B5"/>
    <w:rsid w:val="009D254B"/>
    <w:rsid w:val="009D3644"/>
    <w:rsid w:val="009D4B45"/>
    <w:rsid w:val="009D528D"/>
    <w:rsid w:val="009D5C51"/>
    <w:rsid w:val="009D6917"/>
    <w:rsid w:val="009D7343"/>
    <w:rsid w:val="009E1BAA"/>
    <w:rsid w:val="009E2224"/>
    <w:rsid w:val="009E282F"/>
    <w:rsid w:val="009E4467"/>
    <w:rsid w:val="009E480C"/>
    <w:rsid w:val="009E5E04"/>
    <w:rsid w:val="009F098E"/>
    <w:rsid w:val="009F0FB0"/>
    <w:rsid w:val="009F2C58"/>
    <w:rsid w:val="009F2CD2"/>
    <w:rsid w:val="009F6982"/>
    <w:rsid w:val="009F7470"/>
    <w:rsid w:val="009F7DA5"/>
    <w:rsid w:val="00A002E4"/>
    <w:rsid w:val="00A070D2"/>
    <w:rsid w:val="00A0799F"/>
    <w:rsid w:val="00A1019E"/>
    <w:rsid w:val="00A11898"/>
    <w:rsid w:val="00A1208D"/>
    <w:rsid w:val="00A13238"/>
    <w:rsid w:val="00A1335E"/>
    <w:rsid w:val="00A13B5E"/>
    <w:rsid w:val="00A14B1C"/>
    <w:rsid w:val="00A14E13"/>
    <w:rsid w:val="00A1503B"/>
    <w:rsid w:val="00A15A6F"/>
    <w:rsid w:val="00A162DB"/>
    <w:rsid w:val="00A171AB"/>
    <w:rsid w:val="00A17423"/>
    <w:rsid w:val="00A17617"/>
    <w:rsid w:val="00A2057A"/>
    <w:rsid w:val="00A20F03"/>
    <w:rsid w:val="00A216DF"/>
    <w:rsid w:val="00A23259"/>
    <w:rsid w:val="00A2542A"/>
    <w:rsid w:val="00A257BE"/>
    <w:rsid w:val="00A25817"/>
    <w:rsid w:val="00A25954"/>
    <w:rsid w:val="00A261F7"/>
    <w:rsid w:val="00A26E08"/>
    <w:rsid w:val="00A279E7"/>
    <w:rsid w:val="00A3048C"/>
    <w:rsid w:val="00A30E1D"/>
    <w:rsid w:val="00A325D6"/>
    <w:rsid w:val="00A334E6"/>
    <w:rsid w:val="00A33E82"/>
    <w:rsid w:val="00A34299"/>
    <w:rsid w:val="00A34A92"/>
    <w:rsid w:val="00A3583D"/>
    <w:rsid w:val="00A40985"/>
    <w:rsid w:val="00A427F3"/>
    <w:rsid w:val="00A43958"/>
    <w:rsid w:val="00A43D52"/>
    <w:rsid w:val="00A44935"/>
    <w:rsid w:val="00A4597D"/>
    <w:rsid w:val="00A463BB"/>
    <w:rsid w:val="00A503EE"/>
    <w:rsid w:val="00A5064E"/>
    <w:rsid w:val="00A511EB"/>
    <w:rsid w:val="00A517B4"/>
    <w:rsid w:val="00A51FAA"/>
    <w:rsid w:val="00A527C2"/>
    <w:rsid w:val="00A52A37"/>
    <w:rsid w:val="00A539BC"/>
    <w:rsid w:val="00A53B40"/>
    <w:rsid w:val="00A55212"/>
    <w:rsid w:val="00A55F4C"/>
    <w:rsid w:val="00A5668C"/>
    <w:rsid w:val="00A56BF0"/>
    <w:rsid w:val="00A6027E"/>
    <w:rsid w:val="00A60ECD"/>
    <w:rsid w:val="00A611F5"/>
    <w:rsid w:val="00A6149C"/>
    <w:rsid w:val="00A62A96"/>
    <w:rsid w:val="00A63373"/>
    <w:rsid w:val="00A63AEB"/>
    <w:rsid w:val="00A63C34"/>
    <w:rsid w:val="00A64F4F"/>
    <w:rsid w:val="00A65D83"/>
    <w:rsid w:val="00A6647D"/>
    <w:rsid w:val="00A668DB"/>
    <w:rsid w:val="00A67251"/>
    <w:rsid w:val="00A67D05"/>
    <w:rsid w:val="00A70309"/>
    <w:rsid w:val="00A70A80"/>
    <w:rsid w:val="00A71423"/>
    <w:rsid w:val="00A72FEA"/>
    <w:rsid w:val="00A73C42"/>
    <w:rsid w:val="00A74CF6"/>
    <w:rsid w:val="00A755BD"/>
    <w:rsid w:val="00A75648"/>
    <w:rsid w:val="00A767E1"/>
    <w:rsid w:val="00A77390"/>
    <w:rsid w:val="00A777E2"/>
    <w:rsid w:val="00A77D80"/>
    <w:rsid w:val="00A80085"/>
    <w:rsid w:val="00A80C12"/>
    <w:rsid w:val="00A80F5F"/>
    <w:rsid w:val="00A830A0"/>
    <w:rsid w:val="00A847EC"/>
    <w:rsid w:val="00A85395"/>
    <w:rsid w:val="00A8571C"/>
    <w:rsid w:val="00A8660D"/>
    <w:rsid w:val="00A87525"/>
    <w:rsid w:val="00A87666"/>
    <w:rsid w:val="00A877F4"/>
    <w:rsid w:val="00A903B2"/>
    <w:rsid w:val="00A9104B"/>
    <w:rsid w:val="00A91260"/>
    <w:rsid w:val="00A91BAB"/>
    <w:rsid w:val="00A93017"/>
    <w:rsid w:val="00A940EF"/>
    <w:rsid w:val="00AA1BE7"/>
    <w:rsid w:val="00AA1CCC"/>
    <w:rsid w:val="00AA2F0D"/>
    <w:rsid w:val="00AA2F1D"/>
    <w:rsid w:val="00AA355B"/>
    <w:rsid w:val="00AA3B4B"/>
    <w:rsid w:val="00AA3FE8"/>
    <w:rsid w:val="00AA4C88"/>
    <w:rsid w:val="00AA646C"/>
    <w:rsid w:val="00AA6AA6"/>
    <w:rsid w:val="00AB0688"/>
    <w:rsid w:val="00AB34A0"/>
    <w:rsid w:val="00AB3D6C"/>
    <w:rsid w:val="00AB5EA4"/>
    <w:rsid w:val="00AB5F11"/>
    <w:rsid w:val="00AB5F5A"/>
    <w:rsid w:val="00AC2629"/>
    <w:rsid w:val="00AC2C33"/>
    <w:rsid w:val="00AC50FF"/>
    <w:rsid w:val="00AC64BC"/>
    <w:rsid w:val="00AC6598"/>
    <w:rsid w:val="00AC6650"/>
    <w:rsid w:val="00AC74C0"/>
    <w:rsid w:val="00AC7E5B"/>
    <w:rsid w:val="00AD0357"/>
    <w:rsid w:val="00AD2269"/>
    <w:rsid w:val="00AD5980"/>
    <w:rsid w:val="00AD5C8A"/>
    <w:rsid w:val="00AD6A02"/>
    <w:rsid w:val="00AE1CC1"/>
    <w:rsid w:val="00AE3C51"/>
    <w:rsid w:val="00AE5660"/>
    <w:rsid w:val="00AE7307"/>
    <w:rsid w:val="00AE75C2"/>
    <w:rsid w:val="00AF0423"/>
    <w:rsid w:val="00AF0D33"/>
    <w:rsid w:val="00AF0F5E"/>
    <w:rsid w:val="00AF1251"/>
    <w:rsid w:val="00AF13AB"/>
    <w:rsid w:val="00AF1EE7"/>
    <w:rsid w:val="00AF2544"/>
    <w:rsid w:val="00AF25DE"/>
    <w:rsid w:val="00AF3094"/>
    <w:rsid w:val="00AF4553"/>
    <w:rsid w:val="00AF4FB2"/>
    <w:rsid w:val="00AF593A"/>
    <w:rsid w:val="00AF5B87"/>
    <w:rsid w:val="00AF5D77"/>
    <w:rsid w:val="00AF5EA6"/>
    <w:rsid w:val="00AF69E7"/>
    <w:rsid w:val="00B00397"/>
    <w:rsid w:val="00B00C86"/>
    <w:rsid w:val="00B01023"/>
    <w:rsid w:val="00B015D2"/>
    <w:rsid w:val="00B01739"/>
    <w:rsid w:val="00B02814"/>
    <w:rsid w:val="00B02ABA"/>
    <w:rsid w:val="00B04B71"/>
    <w:rsid w:val="00B04D35"/>
    <w:rsid w:val="00B04E01"/>
    <w:rsid w:val="00B05111"/>
    <w:rsid w:val="00B061A0"/>
    <w:rsid w:val="00B06CAC"/>
    <w:rsid w:val="00B07318"/>
    <w:rsid w:val="00B07D58"/>
    <w:rsid w:val="00B10761"/>
    <w:rsid w:val="00B10FE2"/>
    <w:rsid w:val="00B117ED"/>
    <w:rsid w:val="00B118D4"/>
    <w:rsid w:val="00B11E90"/>
    <w:rsid w:val="00B11EA3"/>
    <w:rsid w:val="00B123B1"/>
    <w:rsid w:val="00B151FF"/>
    <w:rsid w:val="00B15E5D"/>
    <w:rsid w:val="00B20463"/>
    <w:rsid w:val="00B231D1"/>
    <w:rsid w:val="00B2500B"/>
    <w:rsid w:val="00B26D1F"/>
    <w:rsid w:val="00B26EEE"/>
    <w:rsid w:val="00B27731"/>
    <w:rsid w:val="00B30144"/>
    <w:rsid w:val="00B30261"/>
    <w:rsid w:val="00B328A9"/>
    <w:rsid w:val="00B33852"/>
    <w:rsid w:val="00B34409"/>
    <w:rsid w:val="00B347A2"/>
    <w:rsid w:val="00B37164"/>
    <w:rsid w:val="00B37DD9"/>
    <w:rsid w:val="00B41496"/>
    <w:rsid w:val="00B41EAA"/>
    <w:rsid w:val="00B4238F"/>
    <w:rsid w:val="00B42EAC"/>
    <w:rsid w:val="00B436EB"/>
    <w:rsid w:val="00B472D0"/>
    <w:rsid w:val="00B47B4A"/>
    <w:rsid w:val="00B5087E"/>
    <w:rsid w:val="00B52311"/>
    <w:rsid w:val="00B5350F"/>
    <w:rsid w:val="00B5426B"/>
    <w:rsid w:val="00B54406"/>
    <w:rsid w:val="00B546B4"/>
    <w:rsid w:val="00B54A8A"/>
    <w:rsid w:val="00B55900"/>
    <w:rsid w:val="00B55A64"/>
    <w:rsid w:val="00B55B95"/>
    <w:rsid w:val="00B55BAD"/>
    <w:rsid w:val="00B56219"/>
    <w:rsid w:val="00B56A3C"/>
    <w:rsid w:val="00B56FE4"/>
    <w:rsid w:val="00B622B3"/>
    <w:rsid w:val="00B63AFD"/>
    <w:rsid w:val="00B659DF"/>
    <w:rsid w:val="00B67F82"/>
    <w:rsid w:val="00B70876"/>
    <w:rsid w:val="00B70E59"/>
    <w:rsid w:val="00B70F9B"/>
    <w:rsid w:val="00B71692"/>
    <w:rsid w:val="00B72EE6"/>
    <w:rsid w:val="00B755EB"/>
    <w:rsid w:val="00B75CFB"/>
    <w:rsid w:val="00B761EC"/>
    <w:rsid w:val="00B810AA"/>
    <w:rsid w:val="00B819C6"/>
    <w:rsid w:val="00B82CA9"/>
    <w:rsid w:val="00B832FA"/>
    <w:rsid w:val="00B84D69"/>
    <w:rsid w:val="00B85E01"/>
    <w:rsid w:val="00B87704"/>
    <w:rsid w:val="00B9092F"/>
    <w:rsid w:val="00B92405"/>
    <w:rsid w:val="00B94D6B"/>
    <w:rsid w:val="00B951C0"/>
    <w:rsid w:val="00B95296"/>
    <w:rsid w:val="00B9677F"/>
    <w:rsid w:val="00B97E6F"/>
    <w:rsid w:val="00BA05D3"/>
    <w:rsid w:val="00BA0AD3"/>
    <w:rsid w:val="00BA17ED"/>
    <w:rsid w:val="00BA3FFF"/>
    <w:rsid w:val="00BA45DD"/>
    <w:rsid w:val="00BA4999"/>
    <w:rsid w:val="00BA4ACB"/>
    <w:rsid w:val="00BA5A43"/>
    <w:rsid w:val="00BA7292"/>
    <w:rsid w:val="00BA7BED"/>
    <w:rsid w:val="00BB06E9"/>
    <w:rsid w:val="00BB0907"/>
    <w:rsid w:val="00BB30F7"/>
    <w:rsid w:val="00BB3850"/>
    <w:rsid w:val="00BB3BF6"/>
    <w:rsid w:val="00BB46EA"/>
    <w:rsid w:val="00BB5D0A"/>
    <w:rsid w:val="00BC3D40"/>
    <w:rsid w:val="00BC6E81"/>
    <w:rsid w:val="00BD0223"/>
    <w:rsid w:val="00BD0817"/>
    <w:rsid w:val="00BD1970"/>
    <w:rsid w:val="00BD1DFA"/>
    <w:rsid w:val="00BD2F35"/>
    <w:rsid w:val="00BD3711"/>
    <w:rsid w:val="00BD4AB9"/>
    <w:rsid w:val="00BD4B9F"/>
    <w:rsid w:val="00BD501C"/>
    <w:rsid w:val="00BD53A5"/>
    <w:rsid w:val="00BD59F5"/>
    <w:rsid w:val="00BE0EE6"/>
    <w:rsid w:val="00BE0FE4"/>
    <w:rsid w:val="00BE136B"/>
    <w:rsid w:val="00BE1DF0"/>
    <w:rsid w:val="00BE1EC2"/>
    <w:rsid w:val="00BE204C"/>
    <w:rsid w:val="00BE3C50"/>
    <w:rsid w:val="00BE4E26"/>
    <w:rsid w:val="00BE6197"/>
    <w:rsid w:val="00BE7DE8"/>
    <w:rsid w:val="00BF1F81"/>
    <w:rsid w:val="00BF24F1"/>
    <w:rsid w:val="00BF2625"/>
    <w:rsid w:val="00BF2E7B"/>
    <w:rsid w:val="00BF3862"/>
    <w:rsid w:val="00BF4EC7"/>
    <w:rsid w:val="00BF724C"/>
    <w:rsid w:val="00C02332"/>
    <w:rsid w:val="00C0253C"/>
    <w:rsid w:val="00C02B74"/>
    <w:rsid w:val="00C02CAC"/>
    <w:rsid w:val="00C02D3D"/>
    <w:rsid w:val="00C02D73"/>
    <w:rsid w:val="00C03ACA"/>
    <w:rsid w:val="00C046F2"/>
    <w:rsid w:val="00C049EA"/>
    <w:rsid w:val="00C0548E"/>
    <w:rsid w:val="00C05B17"/>
    <w:rsid w:val="00C05DF6"/>
    <w:rsid w:val="00C06140"/>
    <w:rsid w:val="00C0696C"/>
    <w:rsid w:val="00C07120"/>
    <w:rsid w:val="00C10E76"/>
    <w:rsid w:val="00C13FB8"/>
    <w:rsid w:val="00C13FBE"/>
    <w:rsid w:val="00C14B4C"/>
    <w:rsid w:val="00C14CF3"/>
    <w:rsid w:val="00C155A7"/>
    <w:rsid w:val="00C15C7D"/>
    <w:rsid w:val="00C160C2"/>
    <w:rsid w:val="00C16990"/>
    <w:rsid w:val="00C1744D"/>
    <w:rsid w:val="00C20610"/>
    <w:rsid w:val="00C21129"/>
    <w:rsid w:val="00C2121D"/>
    <w:rsid w:val="00C22CD1"/>
    <w:rsid w:val="00C23317"/>
    <w:rsid w:val="00C2371A"/>
    <w:rsid w:val="00C242B7"/>
    <w:rsid w:val="00C24FFC"/>
    <w:rsid w:val="00C260D3"/>
    <w:rsid w:val="00C26AE0"/>
    <w:rsid w:val="00C274BD"/>
    <w:rsid w:val="00C30F23"/>
    <w:rsid w:val="00C31049"/>
    <w:rsid w:val="00C3105D"/>
    <w:rsid w:val="00C31396"/>
    <w:rsid w:val="00C32AEE"/>
    <w:rsid w:val="00C35C10"/>
    <w:rsid w:val="00C364DF"/>
    <w:rsid w:val="00C37DDB"/>
    <w:rsid w:val="00C4078A"/>
    <w:rsid w:val="00C40C2F"/>
    <w:rsid w:val="00C40D68"/>
    <w:rsid w:val="00C416C1"/>
    <w:rsid w:val="00C41ADD"/>
    <w:rsid w:val="00C41D98"/>
    <w:rsid w:val="00C44186"/>
    <w:rsid w:val="00C442AB"/>
    <w:rsid w:val="00C44DD3"/>
    <w:rsid w:val="00C45370"/>
    <w:rsid w:val="00C455D3"/>
    <w:rsid w:val="00C45D76"/>
    <w:rsid w:val="00C46498"/>
    <w:rsid w:val="00C46C11"/>
    <w:rsid w:val="00C46C47"/>
    <w:rsid w:val="00C4728B"/>
    <w:rsid w:val="00C50612"/>
    <w:rsid w:val="00C506DC"/>
    <w:rsid w:val="00C50C57"/>
    <w:rsid w:val="00C510EE"/>
    <w:rsid w:val="00C5395A"/>
    <w:rsid w:val="00C53A6D"/>
    <w:rsid w:val="00C57228"/>
    <w:rsid w:val="00C61CED"/>
    <w:rsid w:val="00C61ED2"/>
    <w:rsid w:val="00C633BB"/>
    <w:rsid w:val="00C63842"/>
    <w:rsid w:val="00C65866"/>
    <w:rsid w:val="00C66006"/>
    <w:rsid w:val="00C67FD5"/>
    <w:rsid w:val="00C700F4"/>
    <w:rsid w:val="00C712A8"/>
    <w:rsid w:val="00C724D8"/>
    <w:rsid w:val="00C7388F"/>
    <w:rsid w:val="00C74938"/>
    <w:rsid w:val="00C75B46"/>
    <w:rsid w:val="00C75E18"/>
    <w:rsid w:val="00C77008"/>
    <w:rsid w:val="00C77309"/>
    <w:rsid w:val="00C77675"/>
    <w:rsid w:val="00C8014C"/>
    <w:rsid w:val="00C803C7"/>
    <w:rsid w:val="00C81152"/>
    <w:rsid w:val="00C820FB"/>
    <w:rsid w:val="00C823DA"/>
    <w:rsid w:val="00C82CA8"/>
    <w:rsid w:val="00C837E1"/>
    <w:rsid w:val="00C83E0B"/>
    <w:rsid w:val="00C84121"/>
    <w:rsid w:val="00C84840"/>
    <w:rsid w:val="00C8535F"/>
    <w:rsid w:val="00C864E1"/>
    <w:rsid w:val="00C86540"/>
    <w:rsid w:val="00C869C7"/>
    <w:rsid w:val="00C86E49"/>
    <w:rsid w:val="00C8752B"/>
    <w:rsid w:val="00C87848"/>
    <w:rsid w:val="00C87ACE"/>
    <w:rsid w:val="00C90C15"/>
    <w:rsid w:val="00C916FC"/>
    <w:rsid w:val="00C91AED"/>
    <w:rsid w:val="00C9296E"/>
    <w:rsid w:val="00C9473F"/>
    <w:rsid w:val="00C95B7B"/>
    <w:rsid w:val="00C95EBC"/>
    <w:rsid w:val="00C96C0A"/>
    <w:rsid w:val="00C97970"/>
    <w:rsid w:val="00CA053D"/>
    <w:rsid w:val="00CA0746"/>
    <w:rsid w:val="00CA07DD"/>
    <w:rsid w:val="00CA09F2"/>
    <w:rsid w:val="00CA2500"/>
    <w:rsid w:val="00CA4DCB"/>
    <w:rsid w:val="00CA6EE4"/>
    <w:rsid w:val="00CB2984"/>
    <w:rsid w:val="00CB33CD"/>
    <w:rsid w:val="00CB3989"/>
    <w:rsid w:val="00CB6421"/>
    <w:rsid w:val="00CB77BA"/>
    <w:rsid w:val="00CC21B6"/>
    <w:rsid w:val="00CC24FB"/>
    <w:rsid w:val="00CC2DFB"/>
    <w:rsid w:val="00CD146C"/>
    <w:rsid w:val="00CD4314"/>
    <w:rsid w:val="00CD4F8B"/>
    <w:rsid w:val="00CD526F"/>
    <w:rsid w:val="00CD5BF3"/>
    <w:rsid w:val="00CD70C0"/>
    <w:rsid w:val="00CD7BE2"/>
    <w:rsid w:val="00CE0054"/>
    <w:rsid w:val="00CE021F"/>
    <w:rsid w:val="00CE319B"/>
    <w:rsid w:val="00CE3EA2"/>
    <w:rsid w:val="00CE49F8"/>
    <w:rsid w:val="00CE4FDF"/>
    <w:rsid w:val="00CE57B3"/>
    <w:rsid w:val="00CE5CC1"/>
    <w:rsid w:val="00CE62B6"/>
    <w:rsid w:val="00CE6820"/>
    <w:rsid w:val="00CE74D6"/>
    <w:rsid w:val="00CE7C31"/>
    <w:rsid w:val="00CF06E3"/>
    <w:rsid w:val="00CF10E3"/>
    <w:rsid w:val="00CF154F"/>
    <w:rsid w:val="00CF1B15"/>
    <w:rsid w:val="00CF1DEF"/>
    <w:rsid w:val="00CF2F50"/>
    <w:rsid w:val="00CF496E"/>
    <w:rsid w:val="00CF4FC3"/>
    <w:rsid w:val="00CF5B45"/>
    <w:rsid w:val="00CF5B8C"/>
    <w:rsid w:val="00CF6322"/>
    <w:rsid w:val="00D00C16"/>
    <w:rsid w:val="00D022E3"/>
    <w:rsid w:val="00D026CE"/>
    <w:rsid w:val="00D03018"/>
    <w:rsid w:val="00D03C57"/>
    <w:rsid w:val="00D04D9B"/>
    <w:rsid w:val="00D05874"/>
    <w:rsid w:val="00D05EA6"/>
    <w:rsid w:val="00D06CE5"/>
    <w:rsid w:val="00D07FBB"/>
    <w:rsid w:val="00D14264"/>
    <w:rsid w:val="00D14317"/>
    <w:rsid w:val="00D1466C"/>
    <w:rsid w:val="00D16349"/>
    <w:rsid w:val="00D16723"/>
    <w:rsid w:val="00D16ADD"/>
    <w:rsid w:val="00D175CF"/>
    <w:rsid w:val="00D20727"/>
    <w:rsid w:val="00D22086"/>
    <w:rsid w:val="00D222C3"/>
    <w:rsid w:val="00D248EC"/>
    <w:rsid w:val="00D24C08"/>
    <w:rsid w:val="00D2551D"/>
    <w:rsid w:val="00D256B0"/>
    <w:rsid w:val="00D26374"/>
    <w:rsid w:val="00D27113"/>
    <w:rsid w:val="00D27613"/>
    <w:rsid w:val="00D2797F"/>
    <w:rsid w:val="00D302BC"/>
    <w:rsid w:val="00D30411"/>
    <w:rsid w:val="00D30637"/>
    <w:rsid w:val="00D3107A"/>
    <w:rsid w:val="00D310BF"/>
    <w:rsid w:val="00D31E7B"/>
    <w:rsid w:val="00D33E58"/>
    <w:rsid w:val="00D350EA"/>
    <w:rsid w:val="00D373EE"/>
    <w:rsid w:val="00D37803"/>
    <w:rsid w:val="00D37C24"/>
    <w:rsid w:val="00D414D0"/>
    <w:rsid w:val="00D41A33"/>
    <w:rsid w:val="00D42017"/>
    <w:rsid w:val="00D424FA"/>
    <w:rsid w:val="00D42884"/>
    <w:rsid w:val="00D4495C"/>
    <w:rsid w:val="00D45139"/>
    <w:rsid w:val="00D469C5"/>
    <w:rsid w:val="00D477FC"/>
    <w:rsid w:val="00D50157"/>
    <w:rsid w:val="00D513CC"/>
    <w:rsid w:val="00D52819"/>
    <w:rsid w:val="00D528BE"/>
    <w:rsid w:val="00D52CE5"/>
    <w:rsid w:val="00D53DBD"/>
    <w:rsid w:val="00D55AEA"/>
    <w:rsid w:val="00D56355"/>
    <w:rsid w:val="00D564BE"/>
    <w:rsid w:val="00D60D1D"/>
    <w:rsid w:val="00D60D4B"/>
    <w:rsid w:val="00D623F5"/>
    <w:rsid w:val="00D6245E"/>
    <w:rsid w:val="00D62B9A"/>
    <w:rsid w:val="00D6308A"/>
    <w:rsid w:val="00D63563"/>
    <w:rsid w:val="00D6415D"/>
    <w:rsid w:val="00D64E83"/>
    <w:rsid w:val="00D67AB7"/>
    <w:rsid w:val="00D703B6"/>
    <w:rsid w:val="00D705F2"/>
    <w:rsid w:val="00D73779"/>
    <w:rsid w:val="00D737EE"/>
    <w:rsid w:val="00D7418A"/>
    <w:rsid w:val="00D75064"/>
    <w:rsid w:val="00D75589"/>
    <w:rsid w:val="00D76A18"/>
    <w:rsid w:val="00D76B01"/>
    <w:rsid w:val="00D76FC2"/>
    <w:rsid w:val="00D77240"/>
    <w:rsid w:val="00D7743E"/>
    <w:rsid w:val="00D80D35"/>
    <w:rsid w:val="00D8199B"/>
    <w:rsid w:val="00D81C0F"/>
    <w:rsid w:val="00D82009"/>
    <w:rsid w:val="00D83419"/>
    <w:rsid w:val="00D83F41"/>
    <w:rsid w:val="00D86B9D"/>
    <w:rsid w:val="00D90492"/>
    <w:rsid w:val="00D92EDB"/>
    <w:rsid w:val="00D93584"/>
    <w:rsid w:val="00D94227"/>
    <w:rsid w:val="00D95188"/>
    <w:rsid w:val="00D955C8"/>
    <w:rsid w:val="00D959BD"/>
    <w:rsid w:val="00D95E39"/>
    <w:rsid w:val="00D96715"/>
    <w:rsid w:val="00DA1185"/>
    <w:rsid w:val="00DA1A29"/>
    <w:rsid w:val="00DA1F53"/>
    <w:rsid w:val="00DA274D"/>
    <w:rsid w:val="00DA2A6B"/>
    <w:rsid w:val="00DA3311"/>
    <w:rsid w:val="00DA60B0"/>
    <w:rsid w:val="00DA6E82"/>
    <w:rsid w:val="00DA73F2"/>
    <w:rsid w:val="00DB011F"/>
    <w:rsid w:val="00DB0387"/>
    <w:rsid w:val="00DB26C2"/>
    <w:rsid w:val="00DB2A30"/>
    <w:rsid w:val="00DB3731"/>
    <w:rsid w:val="00DB3BE8"/>
    <w:rsid w:val="00DB4B6E"/>
    <w:rsid w:val="00DB68AC"/>
    <w:rsid w:val="00DB73CE"/>
    <w:rsid w:val="00DB78E1"/>
    <w:rsid w:val="00DB7F04"/>
    <w:rsid w:val="00DC2EC4"/>
    <w:rsid w:val="00DC359B"/>
    <w:rsid w:val="00DC3DBD"/>
    <w:rsid w:val="00DC4564"/>
    <w:rsid w:val="00DC528A"/>
    <w:rsid w:val="00DC5500"/>
    <w:rsid w:val="00DC7896"/>
    <w:rsid w:val="00DC7AE4"/>
    <w:rsid w:val="00DD08D7"/>
    <w:rsid w:val="00DD29F0"/>
    <w:rsid w:val="00DD2F48"/>
    <w:rsid w:val="00DD3C62"/>
    <w:rsid w:val="00DD4E06"/>
    <w:rsid w:val="00DD70EE"/>
    <w:rsid w:val="00DD7357"/>
    <w:rsid w:val="00DE015C"/>
    <w:rsid w:val="00DE0AF6"/>
    <w:rsid w:val="00DE1517"/>
    <w:rsid w:val="00DE2706"/>
    <w:rsid w:val="00DE336B"/>
    <w:rsid w:val="00DE4B9D"/>
    <w:rsid w:val="00DE658E"/>
    <w:rsid w:val="00DE74DE"/>
    <w:rsid w:val="00DF0117"/>
    <w:rsid w:val="00DF037F"/>
    <w:rsid w:val="00DF198F"/>
    <w:rsid w:val="00DF1CDA"/>
    <w:rsid w:val="00DF356B"/>
    <w:rsid w:val="00DF435E"/>
    <w:rsid w:val="00DF5C49"/>
    <w:rsid w:val="00DF6514"/>
    <w:rsid w:val="00DF660B"/>
    <w:rsid w:val="00E0004B"/>
    <w:rsid w:val="00E0155A"/>
    <w:rsid w:val="00E02933"/>
    <w:rsid w:val="00E03110"/>
    <w:rsid w:val="00E03202"/>
    <w:rsid w:val="00E03935"/>
    <w:rsid w:val="00E03F6A"/>
    <w:rsid w:val="00E03FB1"/>
    <w:rsid w:val="00E048BA"/>
    <w:rsid w:val="00E05BD6"/>
    <w:rsid w:val="00E07101"/>
    <w:rsid w:val="00E11011"/>
    <w:rsid w:val="00E11D52"/>
    <w:rsid w:val="00E12BE6"/>
    <w:rsid w:val="00E14B45"/>
    <w:rsid w:val="00E1521A"/>
    <w:rsid w:val="00E166D5"/>
    <w:rsid w:val="00E17A45"/>
    <w:rsid w:val="00E220EC"/>
    <w:rsid w:val="00E2268F"/>
    <w:rsid w:val="00E25D1C"/>
    <w:rsid w:val="00E30458"/>
    <w:rsid w:val="00E3060A"/>
    <w:rsid w:val="00E309E9"/>
    <w:rsid w:val="00E30E6D"/>
    <w:rsid w:val="00E314C7"/>
    <w:rsid w:val="00E31A9D"/>
    <w:rsid w:val="00E324EB"/>
    <w:rsid w:val="00E33761"/>
    <w:rsid w:val="00E34E98"/>
    <w:rsid w:val="00E34FAC"/>
    <w:rsid w:val="00E354C6"/>
    <w:rsid w:val="00E36FF1"/>
    <w:rsid w:val="00E3730F"/>
    <w:rsid w:val="00E3794E"/>
    <w:rsid w:val="00E401D0"/>
    <w:rsid w:val="00E40776"/>
    <w:rsid w:val="00E419D7"/>
    <w:rsid w:val="00E44192"/>
    <w:rsid w:val="00E465E9"/>
    <w:rsid w:val="00E46D6E"/>
    <w:rsid w:val="00E47194"/>
    <w:rsid w:val="00E51228"/>
    <w:rsid w:val="00E539A6"/>
    <w:rsid w:val="00E53D0B"/>
    <w:rsid w:val="00E54600"/>
    <w:rsid w:val="00E549B0"/>
    <w:rsid w:val="00E57DD4"/>
    <w:rsid w:val="00E60620"/>
    <w:rsid w:val="00E6096F"/>
    <w:rsid w:val="00E60B6D"/>
    <w:rsid w:val="00E62A40"/>
    <w:rsid w:val="00E62BCD"/>
    <w:rsid w:val="00E6350F"/>
    <w:rsid w:val="00E6431B"/>
    <w:rsid w:val="00E643F3"/>
    <w:rsid w:val="00E65595"/>
    <w:rsid w:val="00E65D83"/>
    <w:rsid w:val="00E660E8"/>
    <w:rsid w:val="00E663F3"/>
    <w:rsid w:val="00E665C7"/>
    <w:rsid w:val="00E66C40"/>
    <w:rsid w:val="00E708FE"/>
    <w:rsid w:val="00E70DFB"/>
    <w:rsid w:val="00E7103B"/>
    <w:rsid w:val="00E73B89"/>
    <w:rsid w:val="00E741EB"/>
    <w:rsid w:val="00E7449F"/>
    <w:rsid w:val="00E755D4"/>
    <w:rsid w:val="00E75D43"/>
    <w:rsid w:val="00E764B4"/>
    <w:rsid w:val="00E76C55"/>
    <w:rsid w:val="00E83A86"/>
    <w:rsid w:val="00E84236"/>
    <w:rsid w:val="00E84453"/>
    <w:rsid w:val="00E874C8"/>
    <w:rsid w:val="00E90931"/>
    <w:rsid w:val="00E90955"/>
    <w:rsid w:val="00E90EC3"/>
    <w:rsid w:val="00E91E45"/>
    <w:rsid w:val="00E94009"/>
    <w:rsid w:val="00E94789"/>
    <w:rsid w:val="00E95102"/>
    <w:rsid w:val="00E95344"/>
    <w:rsid w:val="00E9679A"/>
    <w:rsid w:val="00E9754C"/>
    <w:rsid w:val="00E976F7"/>
    <w:rsid w:val="00E97A8A"/>
    <w:rsid w:val="00EA0301"/>
    <w:rsid w:val="00EA16AA"/>
    <w:rsid w:val="00EA2A88"/>
    <w:rsid w:val="00EA3D2E"/>
    <w:rsid w:val="00EA5787"/>
    <w:rsid w:val="00EA6590"/>
    <w:rsid w:val="00EA6750"/>
    <w:rsid w:val="00EA683D"/>
    <w:rsid w:val="00EB00CB"/>
    <w:rsid w:val="00EB23FE"/>
    <w:rsid w:val="00EB2438"/>
    <w:rsid w:val="00EB304C"/>
    <w:rsid w:val="00EB32A3"/>
    <w:rsid w:val="00EB3654"/>
    <w:rsid w:val="00EB3902"/>
    <w:rsid w:val="00EB4597"/>
    <w:rsid w:val="00EB5475"/>
    <w:rsid w:val="00EB54AD"/>
    <w:rsid w:val="00EC01BF"/>
    <w:rsid w:val="00EC0646"/>
    <w:rsid w:val="00EC0B17"/>
    <w:rsid w:val="00EC0C91"/>
    <w:rsid w:val="00EC0E98"/>
    <w:rsid w:val="00EC17B6"/>
    <w:rsid w:val="00EC2A76"/>
    <w:rsid w:val="00EC34E0"/>
    <w:rsid w:val="00EC47D5"/>
    <w:rsid w:val="00EC5256"/>
    <w:rsid w:val="00EC5335"/>
    <w:rsid w:val="00EC5D44"/>
    <w:rsid w:val="00EC6615"/>
    <w:rsid w:val="00ED1042"/>
    <w:rsid w:val="00ED155E"/>
    <w:rsid w:val="00ED3396"/>
    <w:rsid w:val="00ED3B35"/>
    <w:rsid w:val="00ED3EB6"/>
    <w:rsid w:val="00ED4CAF"/>
    <w:rsid w:val="00ED66F3"/>
    <w:rsid w:val="00EE1CEA"/>
    <w:rsid w:val="00EE2466"/>
    <w:rsid w:val="00EE2621"/>
    <w:rsid w:val="00EE4625"/>
    <w:rsid w:val="00EE4CBC"/>
    <w:rsid w:val="00EE53A2"/>
    <w:rsid w:val="00EE593E"/>
    <w:rsid w:val="00EF0977"/>
    <w:rsid w:val="00EF0B0F"/>
    <w:rsid w:val="00EF1C10"/>
    <w:rsid w:val="00EF1F42"/>
    <w:rsid w:val="00EF238B"/>
    <w:rsid w:val="00EF2863"/>
    <w:rsid w:val="00EF4608"/>
    <w:rsid w:val="00EF71E8"/>
    <w:rsid w:val="00EF73B8"/>
    <w:rsid w:val="00EF78D1"/>
    <w:rsid w:val="00F00176"/>
    <w:rsid w:val="00F00373"/>
    <w:rsid w:val="00F04A54"/>
    <w:rsid w:val="00F04CA7"/>
    <w:rsid w:val="00F05339"/>
    <w:rsid w:val="00F05637"/>
    <w:rsid w:val="00F05884"/>
    <w:rsid w:val="00F0595C"/>
    <w:rsid w:val="00F06143"/>
    <w:rsid w:val="00F06359"/>
    <w:rsid w:val="00F06A42"/>
    <w:rsid w:val="00F1189C"/>
    <w:rsid w:val="00F149C1"/>
    <w:rsid w:val="00F15748"/>
    <w:rsid w:val="00F15CC8"/>
    <w:rsid w:val="00F163C4"/>
    <w:rsid w:val="00F176AF"/>
    <w:rsid w:val="00F205CE"/>
    <w:rsid w:val="00F20C1B"/>
    <w:rsid w:val="00F22B72"/>
    <w:rsid w:val="00F2380E"/>
    <w:rsid w:val="00F2516B"/>
    <w:rsid w:val="00F26BAB"/>
    <w:rsid w:val="00F30236"/>
    <w:rsid w:val="00F317C5"/>
    <w:rsid w:val="00F338C1"/>
    <w:rsid w:val="00F34F07"/>
    <w:rsid w:val="00F359C1"/>
    <w:rsid w:val="00F35EF6"/>
    <w:rsid w:val="00F37C9C"/>
    <w:rsid w:val="00F403AF"/>
    <w:rsid w:val="00F40907"/>
    <w:rsid w:val="00F41A85"/>
    <w:rsid w:val="00F43E9F"/>
    <w:rsid w:val="00F43EF0"/>
    <w:rsid w:val="00F43F9B"/>
    <w:rsid w:val="00F44B7F"/>
    <w:rsid w:val="00F46899"/>
    <w:rsid w:val="00F50C58"/>
    <w:rsid w:val="00F50D97"/>
    <w:rsid w:val="00F523D2"/>
    <w:rsid w:val="00F5256A"/>
    <w:rsid w:val="00F5266E"/>
    <w:rsid w:val="00F52885"/>
    <w:rsid w:val="00F535D7"/>
    <w:rsid w:val="00F543CE"/>
    <w:rsid w:val="00F544E1"/>
    <w:rsid w:val="00F54A25"/>
    <w:rsid w:val="00F56573"/>
    <w:rsid w:val="00F57659"/>
    <w:rsid w:val="00F626E7"/>
    <w:rsid w:val="00F654D7"/>
    <w:rsid w:val="00F66426"/>
    <w:rsid w:val="00F6703C"/>
    <w:rsid w:val="00F7003C"/>
    <w:rsid w:val="00F70A11"/>
    <w:rsid w:val="00F72113"/>
    <w:rsid w:val="00F72E87"/>
    <w:rsid w:val="00F749A1"/>
    <w:rsid w:val="00F74DAF"/>
    <w:rsid w:val="00F76D72"/>
    <w:rsid w:val="00F7710A"/>
    <w:rsid w:val="00F7759C"/>
    <w:rsid w:val="00F80BC0"/>
    <w:rsid w:val="00F815A2"/>
    <w:rsid w:val="00F828D2"/>
    <w:rsid w:val="00F82EDF"/>
    <w:rsid w:val="00F843C3"/>
    <w:rsid w:val="00F84C09"/>
    <w:rsid w:val="00F85E68"/>
    <w:rsid w:val="00F86860"/>
    <w:rsid w:val="00F87335"/>
    <w:rsid w:val="00F916F9"/>
    <w:rsid w:val="00F93049"/>
    <w:rsid w:val="00F93FEF"/>
    <w:rsid w:val="00F948AB"/>
    <w:rsid w:val="00F94B75"/>
    <w:rsid w:val="00F9520C"/>
    <w:rsid w:val="00F952DB"/>
    <w:rsid w:val="00F9580F"/>
    <w:rsid w:val="00F96443"/>
    <w:rsid w:val="00F9672B"/>
    <w:rsid w:val="00F96D25"/>
    <w:rsid w:val="00F96E35"/>
    <w:rsid w:val="00FA2A56"/>
    <w:rsid w:val="00FA2C29"/>
    <w:rsid w:val="00FA2CF9"/>
    <w:rsid w:val="00FA3649"/>
    <w:rsid w:val="00FA4C2C"/>
    <w:rsid w:val="00FA529C"/>
    <w:rsid w:val="00FA54F5"/>
    <w:rsid w:val="00FA55FA"/>
    <w:rsid w:val="00FA61BC"/>
    <w:rsid w:val="00FA7BC5"/>
    <w:rsid w:val="00FA7C39"/>
    <w:rsid w:val="00FA7EE1"/>
    <w:rsid w:val="00FB0010"/>
    <w:rsid w:val="00FB00C6"/>
    <w:rsid w:val="00FB0B8E"/>
    <w:rsid w:val="00FB2BDB"/>
    <w:rsid w:val="00FB2FBC"/>
    <w:rsid w:val="00FB34A6"/>
    <w:rsid w:val="00FB3572"/>
    <w:rsid w:val="00FB5A7F"/>
    <w:rsid w:val="00FB5DFE"/>
    <w:rsid w:val="00FB62E5"/>
    <w:rsid w:val="00FB6B8F"/>
    <w:rsid w:val="00FB7AA7"/>
    <w:rsid w:val="00FC0076"/>
    <w:rsid w:val="00FC114E"/>
    <w:rsid w:val="00FC1DCF"/>
    <w:rsid w:val="00FC2EDC"/>
    <w:rsid w:val="00FC36CB"/>
    <w:rsid w:val="00FC3A15"/>
    <w:rsid w:val="00FC3E87"/>
    <w:rsid w:val="00FC4149"/>
    <w:rsid w:val="00FC54BA"/>
    <w:rsid w:val="00FC63A6"/>
    <w:rsid w:val="00FC6B80"/>
    <w:rsid w:val="00FC6F50"/>
    <w:rsid w:val="00FC709F"/>
    <w:rsid w:val="00FD0176"/>
    <w:rsid w:val="00FD279C"/>
    <w:rsid w:val="00FD32E8"/>
    <w:rsid w:val="00FD71F8"/>
    <w:rsid w:val="00FD761B"/>
    <w:rsid w:val="00FE12FF"/>
    <w:rsid w:val="00FE38A0"/>
    <w:rsid w:val="00FE4FB8"/>
    <w:rsid w:val="00FE5907"/>
    <w:rsid w:val="00FE5DEB"/>
    <w:rsid w:val="00FE643A"/>
    <w:rsid w:val="00FE6562"/>
    <w:rsid w:val="00FE7A22"/>
    <w:rsid w:val="00FF1233"/>
    <w:rsid w:val="00FF13A0"/>
    <w:rsid w:val="00FF1595"/>
    <w:rsid w:val="00FF21F0"/>
    <w:rsid w:val="00FF3CD7"/>
    <w:rsid w:val="00FF3F76"/>
    <w:rsid w:val="00FF4A61"/>
    <w:rsid w:val="00FF5166"/>
    <w:rsid w:val="00FF552A"/>
    <w:rsid w:val="00FF58DF"/>
    <w:rsid w:val="00FF6017"/>
    <w:rsid w:val="0534CF93"/>
    <w:rsid w:val="05A88818"/>
    <w:rsid w:val="06F3005C"/>
    <w:rsid w:val="07BE0F69"/>
    <w:rsid w:val="08F9744E"/>
    <w:rsid w:val="0ADC04F4"/>
    <w:rsid w:val="0BC41B2F"/>
    <w:rsid w:val="0FE27981"/>
    <w:rsid w:val="1249CB7C"/>
    <w:rsid w:val="13F2030C"/>
    <w:rsid w:val="157F6E8A"/>
    <w:rsid w:val="161BE9FD"/>
    <w:rsid w:val="164B6933"/>
    <w:rsid w:val="167E0C39"/>
    <w:rsid w:val="16A7FDD6"/>
    <w:rsid w:val="193F41F6"/>
    <w:rsid w:val="1AE93098"/>
    <w:rsid w:val="1C76E2B8"/>
    <w:rsid w:val="1C94CF77"/>
    <w:rsid w:val="1CADF7D4"/>
    <w:rsid w:val="1DFC16F0"/>
    <w:rsid w:val="218168F7"/>
    <w:rsid w:val="222D796F"/>
    <w:rsid w:val="249012DE"/>
    <w:rsid w:val="25450600"/>
    <w:rsid w:val="262BE33F"/>
    <w:rsid w:val="26F0720E"/>
    <w:rsid w:val="2AC4666C"/>
    <w:rsid w:val="2C1C0E30"/>
    <w:rsid w:val="2EFB83F3"/>
    <w:rsid w:val="30436751"/>
    <w:rsid w:val="3103F68C"/>
    <w:rsid w:val="31638F30"/>
    <w:rsid w:val="32204034"/>
    <w:rsid w:val="33D6E29C"/>
    <w:rsid w:val="371CA19F"/>
    <w:rsid w:val="38401E9C"/>
    <w:rsid w:val="3C791D04"/>
    <w:rsid w:val="3D165607"/>
    <w:rsid w:val="3D217CEF"/>
    <w:rsid w:val="3E4D2935"/>
    <w:rsid w:val="3E50243E"/>
    <w:rsid w:val="41D7E0EE"/>
    <w:rsid w:val="42513605"/>
    <w:rsid w:val="43531739"/>
    <w:rsid w:val="46D8EDA2"/>
    <w:rsid w:val="483656DA"/>
    <w:rsid w:val="4A0B18EA"/>
    <w:rsid w:val="4F4ABD02"/>
    <w:rsid w:val="5162DAFD"/>
    <w:rsid w:val="5299E6F7"/>
    <w:rsid w:val="52A65C71"/>
    <w:rsid w:val="5341F465"/>
    <w:rsid w:val="535B1CC2"/>
    <w:rsid w:val="5514D9E2"/>
    <w:rsid w:val="5870829D"/>
    <w:rsid w:val="59A31BEB"/>
    <w:rsid w:val="5AC7875B"/>
    <w:rsid w:val="5B8C08EC"/>
    <w:rsid w:val="5C458FDA"/>
    <w:rsid w:val="5C7AC5A5"/>
    <w:rsid w:val="5E12FD2C"/>
    <w:rsid w:val="5E5A173D"/>
    <w:rsid w:val="630C710E"/>
    <w:rsid w:val="656DA42A"/>
    <w:rsid w:val="67E28B47"/>
    <w:rsid w:val="67ECDC46"/>
    <w:rsid w:val="69B87E84"/>
    <w:rsid w:val="69ED33F8"/>
    <w:rsid w:val="6A3CB0A6"/>
    <w:rsid w:val="6E5372AA"/>
    <w:rsid w:val="717FA14F"/>
    <w:rsid w:val="71F845DD"/>
    <w:rsid w:val="72A0047D"/>
    <w:rsid w:val="72AD062E"/>
    <w:rsid w:val="74515638"/>
    <w:rsid w:val="76FBA454"/>
    <w:rsid w:val="7A3E4C5C"/>
    <w:rsid w:val="7C04C659"/>
    <w:rsid w:val="7F007446"/>
    <w:rsid w:val="7F17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FD10CE0"/>
  <w15:docId w15:val="{06F43C61-1A7E-4C39-BDA9-A248273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rsid w:val="00271489"/>
    <w:rPr>
      <w:sz w:val="20"/>
    </w:rPr>
  </w:style>
  <w:style w:type="character" w:customStyle="1" w:styleId="HeaderChar">
    <w:name w:val="Header Char"/>
    <w:link w:val="Header"/>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162F2E"/>
    <w:pPr>
      <w:tabs>
        <w:tab w:val="left" w:pos="1440"/>
        <w:tab w:val="right" w:leader="dot" w:pos="8208"/>
        <w:tab w:val="left" w:pos="8640"/>
      </w:tabs>
      <w:ind w:left="1152"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1489"/>
    <w:rPr>
      <w:rFonts w:ascii="Tahoma" w:hAnsi="Tahoma" w:cs="Tahoma"/>
      <w:sz w:val="16"/>
      <w:szCs w:val="16"/>
    </w:rPr>
  </w:style>
  <w:style w:type="character" w:styleId="FootnoteReference">
    <w:name w:val="footnote reference"/>
    <w:basedOn w:val="DefaultParagraphFont"/>
    <w:unhideWhenUsed/>
    <w:qFormat/>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aliases w:val="Bullet Paragraphs"/>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3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jc w:val="both"/>
    </w:pPr>
    <w:rPr>
      <w:rFonts w:ascii="Times New Roman" w:hAnsi="Times New Roman"/>
      <w:szCs w:val="24"/>
    </w:rPr>
  </w:style>
  <w:style w:type="paragraph" w:customStyle="1" w:styleId="xl63">
    <w:name w:val="xl63"/>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4">
    <w:name w:val="xl64"/>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65">
    <w:name w:val="xl65"/>
    <w:basedOn w:val="Normal"/>
    <w:rsid w:val="001527CB"/>
    <w:pPr>
      <w:spacing w:before="100" w:beforeAutospacing="1" w:after="100" w:afterAutospacing="1" w:line="240" w:lineRule="auto"/>
      <w:jc w:val="right"/>
    </w:pPr>
    <w:rPr>
      <w:rFonts w:ascii="Times New Roman" w:hAnsi="Times New Roman"/>
      <w:sz w:val="16"/>
      <w:szCs w:val="16"/>
    </w:rPr>
  </w:style>
  <w:style w:type="paragraph" w:customStyle="1" w:styleId="xl66">
    <w:name w:val="xl66"/>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7">
    <w:name w:val="xl67"/>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8">
    <w:name w:val="xl68"/>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69">
    <w:name w:val="xl69"/>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70">
    <w:name w:val="xl70"/>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1">
    <w:name w:val="xl71"/>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2">
    <w:name w:val="xl72"/>
    <w:basedOn w:val="Normal"/>
    <w:rsid w:val="001527CB"/>
    <w:pPr>
      <w:pBdr>
        <w:top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3">
    <w:name w:val="xl73"/>
    <w:basedOn w:val="Normal"/>
    <w:rsid w:val="001527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Normal"/>
    <w:rsid w:val="001527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5">
    <w:name w:val="xl75"/>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6">
    <w:name w:val="xl76"/>
    <w:basedOn w:val="Normal"/>
    <w:rsid w:val="001527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7">
    <w:name w:val="xl77"/>
    <w:basedOn w:val="Normal"/>
    <w:rsid w:val="001527C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8">
    <w:name w:val="xl78"/>
    <w:basedOn w:val="Normal"/>
    <w:rsid w:val="001527CB"/>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9">
    <w:name w:val="xl7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0">
    <w:name w:val="xl8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81">
    <w:name w:val="xl81"/>
    <w:basedOn w:val="Normal"/>
    <w:rsid w:val="001527CB"/>
    <w:pPr>
      <w:spacing w:before="100" w:beforeAutospacing="1" w:after="100" w:afterAutospacing="1" w:line="240" w:lineRule="auto"/>
      <w:jc w:val="center"/>
    </w:pPr>
    <w:rPr>
      <w:rFonts w:ascii="Times New Roman" w:hAnsi="Times New Roman"/>
      <w:sz w:val="16"/>
      <w:szCs w:val="16"/>
    </w:rPr>
  </w:style>
  <w:style w:type="paragraph" w:customStyle="1" w:styleId="xl82">
    <w:name w:val="xl8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3">
    <w:name w:val="xl8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6">
    <w:name w:val="xl8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1527CB"/>
    <w:pPr>
      <w:shd w:val="clear" w:color="000000" w:fill="FFFF00"/>
      <w:spacing w:before="100" w:beforeAutospacing="1" w:after="100" w:afterAutospacing="1" w:line="240" w:lineRule="auto"/>
    </w:pPr>
    <w:rPr>
      <w:rFonts w:ascii="Times New Roman" w:hAnsi="Times New Roman"/>
      <w:sz w:val="16"/>
      <w:szCs w:val="16"/>
    </w:rPr>
  </w:style>
  <w:style w:type="paragraph" w:customStyle="1" w:styleId="xl88">
    <w:name w:val="xl8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89">
    <w:name w:val="xl89"/>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1">
    <w:name w:val="xl9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2">
    <w:name w:val="xl9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3">
    <w:name w:val="xl9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4">
    <w:name w:val="xl9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5">
    <w:name w:val="xl9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6">
    <w:name w:val="xl96"/>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7">
    <w:name w:val="xl97"/>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8">
    <w:name w:val="xl98"/>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99">
    <w:name w:val="xl9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0">
    <w:name w:val="xl10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1">
    <w:name w:val="xl101"/>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2">
    <w:name w:val="xl102"/>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3">
    <w:name w:val="xl103"/>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4">
    <w:name w:val="xl104"/>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5">
    <w:name w:val="xl105"/>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06">
    <w:name w:val="xl106"/>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7">
    <w:name w:val="xl107"/>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8">
    <w:name w:val="xl108"/>
    <w:basedOn w:val="Normal"/>
    <w:rsid w:val="001527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09">
    <w:name w:val="xl109"/>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0">
    <w:name w:val="xl110"/>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1">
    <w:name w:val="xl111"/>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2">
    <w:name w:val="xl112"/>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3">
    <w:name w:val="xl113"/>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114">
    <w:name w:val="xl114"/>
    <w:basedOn w:val="Normal"/>
    <w:rsid w:val="001527CB"/>
    <w:pPr>
      <w:spacing w:before="100" w:beforeAutospacing="1" w:after="100" w:afterAutospacing="1" w:line="240" w:lineRule="auto"/>
    </w:pPr>
    <w:rPr>
      <w:rFonts w:ascii="Times New Roman" w:hAnsi="Times New Roman"/>
      <w:sz w:val="16"/>
      <w:szCs w:val="16"/>
    </w:rPr>
  </w:style>
  <w:style w:type="paragraph" w:customStyle="1" w:styleId="xl115">
    <w:name w:val="xl115"/>
    <w:basedOn w:val="Normal"/>
    <w:rsid w:val="001527CB"/>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Normal"/>
    <w:rsid w:val="001527CB"/>
    <w:pPr>
      <w:pBdr>
        <w:lef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Normal"/>
    <w:rsid w:val="001527C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Normal"/>
    <w:rsid w:val="001527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9">
    <w:name w:val="xl119"/>
    <w:basedOn w:val="Normal"/>
    <w:rsid w:val="001527CB"/>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Normal"/>
    <w:rsid w:val="001527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3">
    <w:name w:val="xl12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Normal"/>
    <w:rsid w:val="001527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Normal"/>
    <w:rsid w:val="001527C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6">
    <w:name w:val="xl126"/>
    <w:basedOn w:val="Normal"/>
    <w:rsid w:val="001527CB"/>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7">
    <w:name w:val="xl127"/>
    <w:basedOn w:val="Normal"/>
    <w:rsid w:val="001527C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8">
    <w:name w:val="xl128"/>
    <w:basedOn w:val="Normal"/>
    <w:rsid w:val="001527CB"/>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9">
    <w:name w:val="xl129"/>
    <w:basedOn w:val="Normal"/>
    <w:rsid w:val="001527CB"/>
    <w:pPr>
      <w:pBdr>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0">
    <w:name w:val="xl130"/>
    <w:basedOn w:val="Normal"/>
    <w:rsid w:val="001527CB"/>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Normal"/>
    <w:rsid w:val="001527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Normal"/>
    <w:rsid w:val="001527C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Normal"/>
    <w:rsid w:val="001527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4">
    <w:name w:val="xl134"/>
    <w:basedOn w:val="Normal"/>
    <w:rsid w:val="001527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5">
    <w:name w:val="xl135"/>
    <w:basedOn w:val="Normal"/>
    <w:rsid w:val="001527CB"/>
    <w:pPr>
      <w:pBdr>
        <w:top w:val="single" w:sz="4" w:space="0" w:color="auto"/>
        <w:bottom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6">
    <w:name w:val="xl136"/>
    <w:basedOn w:val="Normal"/>
    <w:rsid w:val="001527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137">
    <w:name w:val="xl137"/>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8">
    <w:name w:val="xl138"/>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2">
    <w:name w:val="xl142"/>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3">
    <w:name w:val="xl143"/>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4">
    <w:name w:val="xl144"/>
    <w:basedOn w:val="Normal"/>
    <w:rsid w:val="001527CB"/>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5">
    <w:name w:val="xl145"/>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16"/>
      <w:szCs w:val="16"/>
    </w:rPr>
  </w:style>
  <w:style w:type="paragraph" w:customStyle="1" w:styleId="xl146">
    <w:name w:val="xl146"/>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7">
    <w:name w:val="xl147"/>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48">
    <w:name w:val="xl148"/>
    <w:basedOn w:val="Normal"/>
    <w:rsid w:val="001527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49">
    <w:name w:val="xl149"/>
    <w:basedOn w:val="Normal"/>
    <w:rsid w:val="001527C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50">
    <w:name w:val="xl150"/>
    <w:basedOn w:val="Normal"/>
    <w:rsid w:val="001527C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character" w:customStyle="1" w:styleId="baec5a81-e4d6-4674-97f3-e9220f0136c1">
    <w:name w:val="baec5a81-e4d6-4674-97f3-e9220f0136c1"/>
    <w:basedOn w:val="DefaultParagraphFont"/>
    <w:rsid w:val="00ED155E"/>
  </w:style>
  <w:style w:type="table" w:customStyle="1" w:styleId="TableGrid1">
    <w:name w:val="Table Grid1"/>
    <w:basedOn w:val="TableNormal"/>
    <w:next w:val="TableGrid"/>
    <w:uiPriority w:val="59"/>
    <w:rsid w:val="00A539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62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347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42A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ndLevelTableBullet">
    <w:name w:val="32-2nd Level Table Bullet"/>
    <w:basedOn w:val="Normal"/>
    <w:qFormat/>
    <w:rsid w:val="00F06143"/>
    <w:pPr>
      <w:numPr>
        <w:numId w:val="12"/>
      </w:numPr>
      <w:spacing w:after="240"/>
      <w:ind w:left="288" w:hanging="144"/>
    </w:pPr>
    <w:rPr>
      <w:rFonts w:ascii="Times New Roman" w:hAnsi="Times New Roman"/>
      <w:color w:val="14487C"/>
      <w:sz w:val="20"/>
      <w:szCs w:val="24"/>
      <w:lang w:val="en"/>
    </w:rPr>
  </w:style>
  <w:style w:type="table" w:customStyle="1" w:styleId="LightShading22">
    <w:name w:val="Light Shading22"/>
    <w:basedOn w:val="TableNormal"/>
    <w:next w:val="LightShading"/>
    <w:uiPriority w:val="60"/>
    <w:rsid w:val="00F06143"/>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F061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RedLastSS">
    <w:name w:val="Bullet_Red (Last SS)"/>
    <w:basedOn w:val="Normal"/>
    <w:next w:val="Normal"/>
    <w:qFormat/>
    <w:rsid w:val="00A11898"/>
    <w:pPr>
      <w:numPr>
        <w:numId w:val="13"/>
      </w:numPr>
      <w:tabs>
        <w:tab w:val="left" w:pos="360"/>
      </w:tabs>
      <w:spacing w:after="120" w:line="264" w:lineRule="auto"/>
      <w:ind w:right="360"/>
    </w:pPr>
    <w:rPr>
      <w:rFonts w:ascii="Times New Roman" w:hAnsi="Times New Roman"/>
      <w:szCs w:val="24"/>
    </w:rPr>
  </w:style>
  <w:style w:type="paragraph" w:customStyle="1" w:styleId="Tabletitle0">
    <w:name w:val="Table title"/>
    <w:basedOn w:val="TT-TableTitle"/>
    <w:link w:val="TabletitleChar"/>
    <w:qFormat/>
    <w:rsid w:val="00EB23FE"/>
    <w:pPr>
      <w:tabs>
        <w:tab w:val="clear" w:pos="1440"/>
      </w:tabs>
      <w:spacing w:before="120" w:after="120" w:line="280" w:lineRule="atLeast"/>
    </w:pPr>
    <w:rPr>
      <w:color w:val="000000" w:themeColor="text1"/>
      <w:szCs w:val="22"/>
    </w:rPr>
  </w:style>
  <w:style w:type="character" w:customStyle="1" w:styleId="TabletitleChar">
    <w:name w:val="Table title Char"/>
    <w:basedOn w:val="DefaultParagraphFont"/>
    <w:link w:val="Tabletitle0"/>
    <w:rsid w:val="00EB23FE"/>
    <w:rPr>
      <w:rFonts w:ascii="Franklin Gothic Medium" w:hAnsi="Franklin Gothic Medium"/>
      <w:color w:val="000000" w:themeColor="text1"/>
      <w:sz w:val="22"/>
      <w:szCs w:val="22"/>
    </w:rPr>
  </w:style>
  <w:style w:type="table" w:customStyle="1" w:styleId="TableGrid5">
    <w:name w:val="Table Grid5"/>
    <w:basedOn w:val="TableNormal"/>
    <w:next w:val="TableGrid"/>
    <w:uiPriority w:val="39"/>
    <w:rsid w:val="00A11898"/>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444279"/>
    <w:pPr>
      <w:contextualSpacing/>
    </w:pPr>
    <w:rPr>
      <w:rFonts w:ascii="Arial" w:eastAsiaTheme="minorEastAsia" w:hAnsi="Arial" w:cstheme="minorBidi"/>
      <w:color w:val="1F497D" w:themeColor="text2"/>
      <w:sz w:val="18"/>
      <w:szCs w:val="18"/>
      <w:lang w:val="en" w:eastAsia="ko-KR"/>
    </w:rPr>
  </w:style>
  <w:style w:type="character" w:customStyle="1" w:styleId="NormalSSChar">
    <w:name w:val="NormalSS Char"/>
    <w:basedOn w:val="DefaultParagraphFont"/>
    <w:link w:val="NormalSS"/>
    <w:locked/>
    <w:rsid w:val="00B56FE4"/>
    <w:rPr>
      <w:sz w:val="24"/>
      <w:szCs w:val="24"/>
    </w:rPr>
  </w:style>
  <w:style w:type="paragraph" w:styleId="Quote">
    <w:name w:val="Quote"/>
    <w:basedOn w:val="Normal"/>
    <w:next w:val="Normal"/>
    <w:link w:val="QuoteChar"/>
    <w:uiPriority w:val="29"/>
    <w:qFormat/>
    <w:rsid w:val="00843ADE"/>
    <w:pPr>
      <w:spacing w:after="200" w:line="276" w:lineRule="auto"/>
    </w:pPr>
    <w:rPr>
      <w:rFonts w:ascii="Times New Roman" w:eastAsiaTheme="minorEastAsia" w:hAnsi="Times New Roman"/>
      <w:i/>
      <w:iCs/>
      <w:szCs w:val="24"/>
    </w:rPr>
  </w:style>
  <w:style w:type="character" w:customStyle="1" w:styleId="QuoteChar">
    <w:name w:val="Quote Char"/>
    <w:basedOn w:val="DefaultParagraphFont"/>
    <w:link w:val="Quote"/>
    <w:uiPriority w:val="29"/>
    <w:rsid w:val="00843ADE"/>
    <w:rPr>
      <w:rFonts w:eastAsiaTheme="minorEastAsia"/>
      <w:i/>
      <w:iCs/>
      <w:sz w:val="24"/>
      <w:szCs w:val="24"/>
    </w:rPr>
  </w:style>
  <w:style w:type="character" w:customStyle="1" w:styleId="ListParagraphChar">
    <w:name w:val="List Paragraph Char"/>
    <w:aliases w:val="Bullet Paragraphs Char"/>
    <w:basedOn w:val="DefaultParagraphFont"/>
    <w:link w:val="ListParagraph"/>
    <w:uiPriority w:val="34"/>
    <w:rsid w:val="00B27731"/>
    <w:rPr>
      <w:rFonts w:ascii="Garamond" w:hAnsi="Garamond"/>
      <w:sz w:val="24"/>
    </w:rPr>
  </w:style>
  <w:style w:type="character" w:customStyle="1" w:styleId="UnresolvedMention1">
    <w:name w:val="Unresolved Mention1"/>
    <w:basedOn w:val="DefaultParagraphFont"/>
    <w:uiPriority w:val="99"/>
    <w:semiHidden/>
    <w:unhideWhenUsed/>
    <w:rsid w:val="007041B9"/>
    <w:rPr>
      <w:color w:val="605E5C"/>
      <w:shd w:val="clear" w:color="auto" w:fill="E1DFDD"/>
    </w:rPr>
  </w:style>
  <w:style w:type="character" w:customStyle="1" w:styleId="UnresolvedMention2">
    <w:name w:val="Unresolved Mention2"/>
    <w:basedOn w:val="DefaultParagraphFont"/>
    <w:uiPriority w:val="99"/>
    <w:semiHidden/>
    <w:unhideWhenUsed/>
    <w:rsid w:val="00237EBF"/>
    <w:rPr>
      <w:color w:val="605E5C"/>
      <w:shd w:val="clear" w:color="auto" w:fill="E1DFDD"/>
    </w:rPr>
  </w:style>
  <w:style w:type="character" w:styleId="SubtleEmphasis">
    <w:name w:val="Subtle Emphasis"/>
    <w:basedOn w:val="DefaultParagraphFont"/>
    <w:uiPriority w:val="19"/>
    <w:qFormat/>
    <w:rsid w:val="00DB7F04"/>
    <w:rPr>
      <w:i/>
      <w:iCs/>
      <w:color w:val="808080" w:themeColor="text1" w:themeTint="7F"/>
    </w:rPr>
  </w:style>
  <w:style w:type="paragraph" w:customStyle="1" w:styleId="p1">
    <w:name w:val="p1"/>
    <w:basedOn w:val="Normal"/>
    <w:rsid w:val="00C364DF"/>
    <w:pPr>
      <w:spacing w:before="100" w:beforeAutospacing="1" w:after="100" w:afterAutospacing="1" w:line="240" w:lineRule="auto"/>
    </w:pPr>
    <w:rPr>
      <w:rFonts w:ascii="Times New Roman" w:hAnsi="Times New Roman"/>
      <w:szCs w:val="24"/>
    </w:rPr>
  </w:style>
  <w:style w:type="paragraph" w:customStyle="1" w:styleId="li2">
    <w:name w:val="li2"/>
    <w:basedOn w:val="Normal"/>
    <w:rsid w:val="00C364DF"/>
    <w:pPr>
      <w:spacing w:before="100" w:beforeAutospacing="1" w:after="100" w:afterAutospacing="1" w:line="240" w:lineRule="auto"/>
    </w:pPr>
    <w:rPr>
      <w:rFonts w:ascii="Times New Roman" w:hAnsi="Times New Roman"/>
      <w:szCs w:val="24"/>
    </w:rPr>
  </w:style>
  <w:style w:type="character" w:styleId="UnresolvedMention">
    <w:name w:val="Unresolved Mention"/>
    <w:basedOn w:val="DefaultParagraphFont"/>
    <w:uiPriority w:val="99"/>
    <w:semiHidden/>
    <w:unhideWhenUsed/>
    <w:rsid w:val="005E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4476">
      <w:bodyDiv w:val="1"/>
      <w:marLeft w:val="0"/>
      <w:marRight w:val="0"/>
      <w:marTop w:val="0"/>
      <w:marBottom w:val="0"/>
      <w:divBdr>
        <w:top w:val="none" w:sz="0" w:space="0" w:color="auto"/>
        <w:left w:val="none" w:sz="0" w:space="0" w:color="auto"/>
        <w:bottom w:val="none" w:sz="0" w:space="0" w:color="auto"/>
        <w:right w:val="none" w:sz="0" w:space="0" w:color="auto"/>
      </w:divBdr>
    </w:div>
    <w:div w:id="278683063">
      <w:bodyDiv w:val="1"/>
      <w:marLeft w:val="0"/>
      <w:marRight w:val="0"/>
      <w:marTop w:val="0"/>
      <w:marBottom w:val="0"/>
      <w:divBdr>
        <w:top w:val="none" w:sz="0" w:space="0" w:color="auto"/>
        <w:left w:val="none" w:sz="0" w:space="0" w:color="auto"/>
        <w:bottom w:val="none" w:sz="0" w:space="0" w:color="auto"/>
        <w:right w:val="none" w:sz="0" w:space="0" w:color="auto"/>
      </w:divBdr>
    </w:div>
    <w:div w:id="323166104">
      <w:bodyDiv w:val="1"/>
      <w:marLeft w:val="0"/>
      <w:marRight w:val="0"/>
      <w:marTop w:val="0"/>
      <w:marBottom w:val="0"/>
      <w:divBdr>
        <w:top w:val="none" w:sz="0" w:space="0" w:color="auto"/>
        <w:left w:val="none" w:sz="0" w:space="0" w:color="auto"/>
        <w:bottom w:val="none" w:sz="0" w:space="0" w:color="auto"/>
        <w:right w:val="none" w:sz="0" w:space="0" w:color="auto"/>
      </w:divBdr>
    </w:div>
    <w:div w:id="386615183">
      <w:bodyDiv w:val="1"/>
      <w:marLeft w:val="0"/>
      <w:marRight w:val="0"/>
      <w:marTop w:val="0"/>
      <w:marBottom w:val="0"/>
      <w:divBdr>
        <w:top w:val="none" w:sz="0" w:space="0" w:color="auto"/>
        <w:left w:val="none" w:sz="0" w:space="0" w:color="auto"/>
        <w:bottom w:val="none" w:sz="0" w:space="0" w:color="auto"/>
        <w:right w:val="none" w:sz="0" w:space="0" w:color="auto"/>
      </w:divBdr>
    </w:div>
    <w:div w:id="437023290">
      <w:bodyDiv w:val="1"/>
      <w:marLeft w:val="0"/>
      <w:marRight w:val="0"/>
      <w:marTop w:val="0"/>
      <w:marBottom w:val="0"/>
      <w:divBdr>
        <w:top w:val="none" w:sz="0" w:space="0" w:color="auto"/>
        <w:left w:val="none" w:sz="0" w:space="0" w:color="auto"/>
        <w:bottom w:val="none" w:sz="0" w:space="0" w:color="auto"/>
        <w:right w:val="none" w:sz="0" w:space="0" w:color="auto"/>
      </w:divBdr>
    </w:div>
    <w:div w:id="499272709">
      <w:bodyDiv w:val="1"/>
      <w:marLeft w:val="0"/>
      <w:marRight w:val="0"/>
      <w:marTop w:val="0"/>
      <w:marBottom w:val="0"/>
      <w:divBdr>
        <w:top w:val="none" w:sz="0" w:space="0" w:color="auto"/>
        <w:left w:val="none" w:sz="0" w:space="0" w:color="auto"/>
        <w:bottom w:val="none" w:sz="0" w:space="0" w:color="auto"/>
        <w:right w:val="none" w:sz="0" w:space="0" w:color="auto"/>
      </w:divBdr>
    </w:div>
    <w:div w:id="511913540">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 w:id="630406619">
      <w:bodyDiv w:val="1"/>
      <w:marLeft w:val="0"/>
      <w:marRight w:val="0"/>
      <w:marTop w:val="0"/>
      <w:marBottom w:val="0"/>
      <w:divBdr>
        <w:top w:val="none" w:sz="0" w:space="0" w:color="auto"/>
        <w:left w:val="none" w:sz="0" w:space="0" w:color="auto"/>
        <w:bottom w:val="none" w:sz="0" w:space="0" w:color="auto"/>
        <w:right w:val="none" w:sz="0" w:space="0" w:color="auto"/>
      </w:divBdr>
    </w:div>
    <w:div w:id="670065782">
      <w:bodyDiv w:val="1"/>
      <w:marLeft w:val="0"/>
      <w:marRight w:val="0"/>
      <w:marTop w:val="0"/>
      <w:marBottom w:val="0"/>
      <w:divBdr>
        <w:top w:val="none" w:sz="0" w:space="0" w:color="auto"/>
        <w:left w:val="none" w:sz="0" w:space="0" w:color="auto"/>
        <w:bottom w:val="none" w:sz="0" w:space="0" w:color="auto"/>
        <w:right w:val="none" w:sz="0" w:space="0" w:color="auto"/>
      </w:divBdr>
    </w:div>
    <w:div w:id="690842998">
      <w:bodyDiv w:val="1"/>
      <w:marLeft w:val="0"/>
      <w:marRight w:val="0"/>
      <w:marTop w:val="0"/>
      <w:marBottom w:val="0"/>
      <w:divBdr>
        <w:top w:val="none" w:sz="0" w:space="0" w:color="auto"/>
        <w:left w:val="none" w:sz="0" w:space="0" w:color="auto"/>
        <w:bottom w:val="none" w:sz="0" w:space="0" w:color="auto"/>
        <w:right w:val="none" w:sz="0" w:space="0" w:color="auto"/>
      </w:divBdr>
    </w:div>
    <w:div w:id="760177463">
      <w:bodyDiv w:val="1"/>
      <w:marLeft w:val="0"/>
      <w:marRight w:val="0"/>
      <w:marTop w:val="0"/>
      <w:marBottom w:val="0"/>
      <w:divBdr>
        <w:top w:val="none" w:sz="0" w:space="0" w:color="auto"/>
        <w:left w:val="none" w:sz="0" w:space="0" w:color="auto"/>
        <w:bottom w:val="none" w:sz="0" w:space="0" w:color="auto"/>
        <w:right w:val="none" w:sz="0" w:space="0" w:color="auto"/>
      </w:divBdr>
    </w:div>
    <w:div w:id="761486540">
      <w:bodyDiv w:val="1"/>
      <w:marLeft w:val="0"/>
      <w:marRight w:val="0"/>
      <w:marTop w:val="0"/>
      <w:marBottom w:val="0"/>
      <w:divBdr>
        <w:top w:val="none" w:sz="0" w:space="0" w:color="auto"/>
        <w:left w:val="none" w:sz="0" w:space="0" w:color="auto"/>
        <w:bottom w:val="none" w:sz="0" w:space="0" w:color="auto"/>
        <w:right w:val="none" w:sz="0" w:space="0" w:color="auto"/>
      </w:divBdr>
    </w:div>
    <w:div w:id="998968226">
      <w:bodyDiv w:val="1"/>
      <w:marLeft w:val="0"/>
      <w:marRight w:val="0"/>
      <w:marTop w:val="0"/>
      <w:marBottom w:val="0"/>
      <w:divBdr>
        <w:top w:val="none" w:sz="0" w:space="0" w:color="auto"/>
        <w:left w:val="none" w:sz="0" w:space="0" w:color="auto"/>
        <w:bottom w:val="none" w:sz="0" w:space="0" w:color="auto"/>
        <w:right w:val="none" w:sz="0" w:space="0" w:color="auto"/>
      </w:divBdr>
    </w:div>
    <w:div w:id="1011759135">
      <w:bodyDiv w:val="1"/>
      <w:marLeft w:val="0"/>
      <w:marRight w:val="0"/>
      <w:marTop w:val="0"/>
      <w:marBottom w:val="0"/>
      <w:divBdr>
        <w:top w:val="none" w:sz="0" w:space="0" w:color="auto"/>
        <w:left w:val="none" w:sz="0" w:space="0" w:color="auto"/>
        <w:bottom w:val="none" w:sz="0" w:space="0" w:color="auto"/>
        <w:right w:val="none" w:sz="0" w:space="0" w:color="auto"/>
      </w:divBdr>
    </w:div>
    <w:div w:id="1035233633">
      <w:bodyDiv w:val="1"/>
      <w:marLeft w:val="0"/>
      <w:marRight w:val="0"/>
      <w:marTop w:val="0"/>
      <w:marBottom w:val="0"/>
      <w:divBdr>
        <w:top w:val="none" w:sz="0" w:space="0" w:color="auto"/>
        <w:left w:val="none" w:sz="0" w:space="0" w:color="auto"/>
        <w:bottom w:val="none" w:sz="0" w:space="0" w:color="auto"/>
        <w:right w:val="none" w:sz="0" w:space="0" w:color="auto"/>
      </w:divBdr>
    </w:div>
    <w:div w:id="1145971605">
      <w:bodyDiv w:val="1"/>
      <w:marLeft w:val="0"/>
      <w:marRight w:val="0"/>
      <w:marTop w:val="0"/>
      <w:marBottom w:val="0"/>
      <w:divBdr>
        <w:top w:val="none" w:sz="0" w:space="0" w:color="auto"/>
        <w:left w:val="none" w:sz="0" w:space="0" w:color="auto"/>
        <w:bottom w:val="none" w:sz="0" w:space="0" w:color="auto"/>
        <w:right w:val="none" w:sz="0" w:space="0" w:color="auto"/>
      </w:divBdr>
    </w:div>
    <w:div w:id="1159998513">
      <w:bodyDiv w:val="1"/>
      <w:marLeft w:val="0"/>
      <w:marRight w:val="0"/>
      <w:marTop w:val="0"/>
      <w:marBottom w:val="0"/>
      <w:divBdr>
        <w:top w:val="none" w:sz="0" w:space="0" w:color="auto"/>
        <w:left w:val="none" w:sz="0" w:space="0" w:color="auto"/>
        <w:bottom w:val="none" w:sz="0" w:space="0" w:color="auto"/>
        <w:right w:val="none" w:sz="0" w:space="0" w:color="auto"/>
      </w:divBdr>
    </w:div>
    <w:div w:id="1257835016">
      <w:bodyDiv w:val="1"/>
      <w:marLeft w:val="0"/>
      <w:marRight w:val="0"/>
      <w:marTop w:val="0"/>
      <w:marBottom w:val="0"/>
      <w:divBdr>
        <w:top w:val="none" w:sz="0" w:space="0" w:color="auto"/>
        <w:left w:val="none" w:sz="0" w:space="0" w:color="auto"/>
        <w:bottom w:val="none" w:sz="0" w:space="0" w:color="auto"/>
        <w:right w:val="none" w:sz="0" w:space="0" w:color="auto"/>
      </w:divBdr>
    </w:div>
    <w:div w:id="1349671994">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1469784171">
      <w:bodyDiv w:val="1"/>
      <w:marLeft w:val="0"/>
      <w:marRight w:val="0"/>
      <w:marTop w:val="0"/>
      <w:marBottom w:val="0"/>
      <w:divBdr>
        <w:top w:val="none" w:sz="0" w:space="0" w:color="auto"/>
        <w:left w:val="none" w:sz="0" w:space="0" w:color="auto"/>
        <w:bottom w:val="none" w:sz="0" w:space="0" w:color="auto"/>
        <w:right w:val="none" w:sz="0" w:space="0" w:color="auto"/>
      </w:divBdr>
    </w:div>
    <w:div w:id="1472167490">
      <w:bodyDiv w:val="1"/>
      <w:marLeft w:val="0"/>
      <w:marRight w:val="0"/>
      <w:marTop w:val="0"/>
      <w:marBottom w:val="0"/>
      <w:divBdr>
        <w:top w:val="none" w:sz="0" w:space="0" w:color="auto"/>
        <w:left w:val="none" w:sz="0" w:space="0" w:color="auto"/>
        <w:bottom w:val="none" w:sz="0" w:space="0" w:color="auto"/>
        <w:right w:val="none" w:sz="0" w:space="0" w:color="auto"/>
      </w:divBdr>
    </w:div>
    <w:div w:id="1529951854">
      <w:bodyDiv w:val="1"/>
      <w:marLeft w:val="0"/>
      <w:marRight w:val="0"/>
      <w:marTop w:val="0"/>
      <w:marBottom w:val="0"/>
      <w:divBdr>
        <w:top w:val="none" w:sz="0" w:space="0" w:color="auto"/>
        <w:left w:val="none" w:sz="0" w:space="0" w:color="auto"/>
        <w:bottom w:val="none" w:sz="0" w:space="0" w:color="auto"/>
        <w:right w:val="none" w:sz="0" w:space="0" w:color="auto"/>
      </w:divBdr>
    </w:div>
    <w:div w:id="1561556650">
      <w:bodyDiv w:val="1"/>
      <w:marLeft w:val="0"/>
      <w:marRight w:val="0"/>
      <w:marTop w:val="0"/>
      <w:marBottom w:val="0"/>
      <w:divBdr>
        <w:top w:val="none" w:sz="0" w:space="0" w:color="auto"/>
        <w:left w:val="none" w:sz="0" w:space="0" w:color="auto"/>
        <w:bottom w:val="none" w:sz="0" w:space="0" w:color="auto"/>
        <w:right w:val="none" w:sz="0" w:space="0" w:color="auto"/>
      </w:divBdr>
    </w:div>
    <w:div w:id="1689330239">
      <w:bodyDiv w:val="1"/>
      <w:marLeft w:val="0"/>
      <w:marRight w:val="0"/>
      <w:marTop w:val="0"/>
      <w:marBottom w:val="0"/>
      <w:divBdr>
        <w:top w:val="none" w:sz="0" w:space="0" w:color="auto"/>
        <w:left w:val="none" w:sz="0" w:space="0" w:color="auto"/>
        <w:bottom w:val="none" w:sz="0" w:space="0" w:color="auto"/>
        <w:right w:val="none" w:sz="0" w:space="0" w:color="auto"/>
      </w:divBdr>
    </w:div>
    <w:div w:id="1721594781">
      <w:bodyDiv w:val="1"/>
      <w:marLeft w:val="0"/>
      <w:marRight w:val="0"/>
      <w:marTop w:val="0"/>
      <w:marBottom w:val="0"/>
      <w:divBdr>
        <w:top w:val="none" w:sz="0" w:space="0" w:color="auto"/>
        <w:left w:val="none" w:sz="0" w:space="0" w:color="auto"/>
        <w:bottom w:val="none" w:sz="0" w:space="0" w:color="auto"/>
        <w:right w:val="none" w:sz="0" w:space="0" w:color="auto"/>
      </w:divBdr>
    </w:div>
    <w:div w:id="1729304415">
      <w:bodyDiv w:val="1"/>
      <w:marLeft w:val="0"/>
      <w:marRight w:val="0"/>
      <w:marTop w:val="0"/>
      <w:marBottom w:val="0"/>
      <w:divBdr>
        <w:top w:val="none" w:sz="0" w:space="0" w:color="auto"/>
        <w:left w:val="none" w:sz="0" w:space="0" w:color="auto"/>
        <w:bottom w:val="none" w:sz="0" w:space="0" w:color="auto"/>
        <w:right w:val="none" w:sz="0" w:space="0" w:color="auto"/>
      </w:divBdr>
    </w:div>
    <w:div w:id="1865514574">
      <w:bodyDiv w:val="1"/>
      <w:marLeft w:val="0"/>
      <w:marRight w:val="0"/>
      <w:marTop w:val="0"/>
      <w:marBottom w:val="0"/>
      <w:divBdr>
        <w:top w:val="none" w:sz="0" w:space="0" w:color="auto"/>
        <w:left w:val="none" w:sz="0" w:space="0" w:color="auto"/>
        <w:bottom w:val="none" w:sz="0" w:space="0" w:color="auto"/>
        <w:right w:val="none" w:sz="0" w:space="0" w:color="auto"/>
      </w:divBdr>
    </w:div>
    <w:div w:id="1958294766">
      <w:bodyDiv w:val="1"/>
      <w:marLeft w:val="0"/>
      <w:marRight w:val="0"/>
      <w:marTop w:val="0"/>
      <w:marBottom w:val="0"/>
      <w:divBdr>
        <w:top w:val="none" w:sz="0" w:space="0" w:color="auto"/>
        <w:left w:val="none" w:sz="0" w:space="0" w:color="auto"/>
        <w:bottom w:val="none" w:sz="0" w:space="0" w:color="auto"/>
        <w:right w:val="none" w:sz="0" w:space="0" w:color="auto"/>
      </w:divBdr>
    </w:div>
    <w:div w:id="2107261097">
      <w:bodyDiv w:val="1"/>
      <w:marLeft w:val="0"/>
      <w:marRight w:val="0"/>
      <w:marTop w:val="0"/>
      <w:marBottom w:val="0"/>
      <w:divBdr>
        <w:top w:val="none" w:sz="0" w:space="0" w:color="auto"/>
        <w:left w:val="none" w:sz="0" w:space="0" w:color="auto"/>
        <w:bottom w:val="none" w:sz="0" w:space="0" w:color="auto"/>
        <w:right w:val="none" w:sz="0" w:space="0" w:color="auto"/>
      </w:divBdr>
    </w:div>
    <w:div w:id="21292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ffrey.gonzalez@usda.gov" TargetMode="External"/><Relationship Id="rId18" Type="http://schemas.openxmlformats.org/officeDocument/2006/relationships/hyperlink" Target="mailto:ErikaBonilla@westat.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TingYan@westat.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DavidCantor@westat.com" TargetMode="External"/><Relationship Id="rId25" Type="http://schemas.openxmlformats.org/officeDocument/2006/relationships/hyperlink" Target="mailto:johnkir516@hotmai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iceMachado@westat.com" TargetMode="External"/><Relationship Id="rId20" Type="http://schemas.openxmlformats.org/officeDocument/2006/relationships/hyperlink" Target="mailto:JillDematteis@westa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Joseph.Rodhouse@usda.gov"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LaurieMay@westat.com" TargetMode="External"/><Relationship Id="rId23" Type="http://schemas.openxmlformats.org/officeDocument/2006/relationships/hyperlink" Target="mailto:ElizabethPetraglia@westat.com" TargetMode="External"/><Relationship Id="rId28" Type="http://schemas.openxmlformats.org/officeDocument/2006/relationships/hyperlink" Target="http://questionscience" TargetMode="External"/><Relationship Id="rId10" Type="http://schemas.openxmlformats.org/officeDocument/2006/relationships/endnotes" Target="endnotes.xml"/><Relationship Id="rId19" Type="http://schemas.openxmlformats.org/officeDocument/2006/relationships/hyperlink" Target="mailto:TomKrenzke@westat.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west@umich.edu" TargetMode="External"/><Relationship Id="rId22" Type="http://schemas.openxmlformats.org/officeDocument/2006/relationships/hyperlink" Target="mailto:WendyVandeKerckhove@westat.com" TargetMode="External"/><Relationship Id="rId27" Type="http://schemas.openxmlformats.org/officeDocument/2006/relationships/hyperlink" Target="https://www.ers.usda.gov/foodaps"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rs.usda.gov/foodaps" TargetMode="External"/><Relationship Id="rId7" Type="http://schemas.openxmlformats.org/officeDocument/2006/relationships/hyperlink" Target="https://www.ers.usda.gov/data-products/foodaps-national-household-food-acquisition-and-purchase-survey/foodaps-national-household-food-acquisition-and-purchase-survey/" TargetMode="External"/><Relationship Id="rId2" Type="http://schemas.openxmlformats.org/officeDocument/2006/relationships/hyperlink" Target="https://www.reginfo.gov/public/do/PRAViewICR?ref_nbr=201608-0536-001" TargetMode="External"/><Relationship Id="rId1" Type="http://schemas.openxmlformats.org/officeDocument/2006/relationships/hyperlink" Target="https://www.reginfo.gov/public/do/PRAViewICR?ref_nbr=201608-0536-001" TargetMode="External"/><Relationship Id="rId6" Type="http://schemas.openxmlformats.org/officeDocument/2006/relationships/hyperlink" Target="https://www.bls.gov/news.release/pdf/ecec.pdf" TargetMode="External"/><Relationship Id="rId5" Type="http://schemas.openxmlformats.org/officeDocument/2006/relationships/hyperlink" Target="https://www.ers.usda.gov/data-products/foodaps-national-household-food-acquisition-and-purchase-survey/documentation/" TargetMode="External"/><Relationship Id="rId4" Type="http://schemas.openxmlformats.org/officeDocument/2006/relationships/hyperlink" Target="https://www.reginfo.gov/public/do/PRAViewICR?ref_nbr=201608-053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9" ma:contentTypeDescription="Create a new document." ma:contentTypeScope="" ma:versionID="81aa21aa8f275a451a66953579fed523">
  <xsd:schema xmlns:xsd="http://www.w3.org/2001/XMLSchema" xmlns:xs="http://www.w3.org/2001/XMLSchema" xmlns:p="http://schemas.microsoft.com/office/2006/metadata/properties" xmlns:ns2="0201e376-c4ee-4319-b3d0-d6b78bfc210f" targetNamespace="http://schemas.microsoft.com/office/2006/metadata/properties" ma:root="true" ma:fieldsID="a3b3eb5b66488ffae513b77208f4dda1"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3BD7-F6FC-4794-9112-F5469020F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DB65D-7553-4AF1-8594-BD2647A3FAC2}">
  <ds:schemaRefs>
    <ds:schemaRef ds:uri="http://schemas.microsoft.com/sharepoint/v3/contenttype/forms"/>
  </ds:schemaRefs>
</ds:datastoreItem>
</file>

<file path=customXml/itemProps3.xml><?xml version="1.0" encoding="utf-8"?>
<ds:datastoreItem xmlns:ds="http://schemas.openxmlformats.org/officeDocument/2006/customXml" ds:itemID="{A1410427-2733-4A76-A3ED-AAB70B6A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1207A-262B-4B29-9CA2-6C87250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15141</Words>
  <Characters>83385</Characters>
  <Application>Microsoft Office Word</Application>
  <DocSecurity>0</DocSecurity>
  <Lines>694</Lines>
  <Paragraphs>196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Chantell Atere</dc:creator>
  <cp:lastModifiedBy>Gonzalez, Jeffrey - REE-ERS, Washington, DC</cp:lastModifiedBy>
  <cp:revision>3</cp:revision>
  <cp:lastPrinted>2021-07-28T14:39:00Z</cp:lastPrinted>
  <dcterms:created xsi:type="dcterms:W3CDTF">2022-03-21T16:23:00Z</dcterms:created>
  <dcterms:modified xsi:type="dcterms:W3CDTF">2022-03-21T16:27:00Z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