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B1B" w:rsidP="0031088D" w:rsidRDefault="00000B1B" w14:paraId="1B037663" w14:textId="77777777">
      <w:pPr>
        <w:pStyle w:val="NoSpacing"/>
        <w:rPr>
          <w:rFonts w:asciiTheme="minorHAnsi" w:hAnsiTheme="minorHAnsi"/>
          <w:b w:val="0"/>
          <w:szCs w:val="24"/>
        </w:rPr>
      </w:pPr>
      <w:r>
        <w:rPr>
          <w:rFonts w:asciiTheme="minorHAnsi" w:hAnsiTheme="minorHAnsi"/>
          <w:szCs w:val="24"/>
        </w:rPr>
        <w:t xml:space="preserve">SUPPORTING STATEMENT PART </w:t>
      </w:r>
      <w:r w:rsidR="007A5A5F">
        <w:rPr>
          <w:rFonts w:asciiTheme="minorHAnsi" w:hAnsiTheme="minorHAnsi"/>
          <w:szCs w:val="24"/>
        </w:rPr>
        <w:t xml:space="preserve">B </w:t>
      </w:r>
      <w:r>
        <w:rPr>
          <w:rFonts w:asciiTheme="minorHAnsi" w:hAnsiTheme="minorHAnsi"/>
          <w:szCs w:val="24"/>
        </w:rPr>
        <w:t>FOR</w:t>
      </w:r>
    </w:p>
    <w:p w:rsidR="00000B1B" w:rsidP="00000B1B" w:rsidRDefault="00000B1B" w14:paraId="6EE1680A" w14:textId="77777777">
      <w:pPr>
        <w:pStyle w:val="NoSpacing"/>
        <w:rPr>
          <w:rFonts w:asciiTheme="minorHAnsi" w:hAnsiTheme="minorHAnsi"/>
          <w:b w:val="0"/>
          <w:szCs w:val="24"/>
        </w:rPr>
      </w:pPr>
    </w:p>
    <w:p w:rsidR="002E7DD6" w:rsidP="002E7DD6" w:rsidRDefault="002E7DD6" w14:paraId="0E84E7A4" w14:textId="34863553">
      <w:pPr>
        <w:jc w:val="center"/>
        <w:rPr>
          <w:rFonts w:asciiTheme="minorHAnsi" w:hAnsiTheme="minorHAnsi"/>
          <w:b/>
          <w:szCs w:val="24"/>
        </w:rPr>
      </w:pPr>
      <w:r>
        <w:rPr>
          <w:rFonts w:asciiTheme="minorHAnsi" w:hAnsiTheme="minorHAnsi"/>
          <w:b/>
          <w:szCs w:val="24"/>
        </w:rPr>
        <w:t>Second National Household Food Acquisition and Purchase Survey (FoodAPS-2)</w:t>
      </w:r>
      <w:r w:rsidR="00756176">
        <w:rPr>
          <w:rFonts w:asciiTheme="minorHAnsi" w:hAnsiTheme="minorHAnsi"/>
          <w:b/>
          <w:szCs w:val="24"/>
        </w:rPr>
        <w:t xml:space="preserve"> Field Test</w:t>
      </w:r>
    </w:p>
    <w:p w:rsidRPr="003702B9" w:rsidR="003C35B5" w:rsidP="003C35B5" w:rsidRDefault="003C35B5" w14:paraId="22AF80E0" w14:textId="77777777">
      <w:pPr>
        <w:pStyle w:val="NoSpacing"/>
        <w:rPr>
          <w:rFonts w:asciiTheme="minorHAnsi" w:hAnsiTheme="minorHAnsi"/>
          <w:b w:val="0"/>
          <w:szCs w:val="24"/>
        </w:rPr>
      </w:pPr>
    </w:p>
    <w:p w:rsidRPr="003702B9" w:rsidR="003C35B5" w:rsidP="003C35B5" w:rsidRDefault="003C35B5" w14:paraId="41EFCA2C" w14:textId="77777777">
      <w:pPr>
        <w:pStyle w:val="NoSpacing"/>
        <w:rPr>
          <w:rFonts w:asciiTheme="minorHAnsi" w:hAnsiTheme="minorHAnsi"/>
          <w:b w:val="0"/>
          <w:szCs w:val="24"/>
        </w:rPr>
      </w:pPr>
    </w:p>
    <w:p w:rsidR="003C35B5" w:rsidP="003C35B5" w:rsidRDefault="003C35B5" w14:paraId="272BC7B0" w14:textId="77777777">
      <w:pPr>
        <w:pStyle w:val="NoSpacing"/>
        <w:rPr>
          <w:rFonts w:asciiTheme="minorHAnsi" w:hAnsiTheme="minorHAnsi"/>
          <w:szCs w:val="24"/>
        </w:rPr>
      </w:pPr>
      <w:r>
        <w:rPr>
          <w:rFonts w:asciiTheme="minorHAnsi" w:hAnsiTheme="minorHAnsi"/>
          <w:szCs w:val="24"/>
        </w:rPr>
        <w:t>Food Assistance Branch</w:t>
      </w:r>
    </w:p>
    <w:p w:rsidR="003C35B5" w:rsidP="003C35B5" w:rsidRDefault="003C35B5" w14:paraId="55986C46" w14:textId="77777777">
      <w:pPr>
        <w:pStyle w:val="NoSpacing"/>
        <w:rPr>
          <w:rFonts w:asciiTheme="minorHAnsi" w:hAnsiTheme="minorHAnsi"/>
          <w:szCs w:val="24"/>
        </w:rPr>
      </w:pPr>
      <w:r>
        <w:rPr>
          <w:rFonts w:asciiTheme="minorHAnsi" w:hAnsiTheme="minorHAnsi"/>
          <w:szCs w:val="24"/>
        </w:rPr>
        <w:t>Food Economics Division</w:t>
      </w:r>
    </w:p>
    <w:p w:rsidRPr="000F00EB" w:rsidR="003C35B5" w:rsidP="003C35B5" w:rsidRDefault="003C35B5" w14:paraId="537EA241" w14:textId="77777777">
      <w:pPr>
        <w:pStyle w:val="NoSpacing"/>
        <w:rPr>
          <w:rFonts w:asciiTheme="minorHAnsi" w:hAnsiTheme="minorHAnsi"/>
          <w:b w:val="0"/>
          <w:szCs w:val="24"/>
        </w:rPr>
      </w:pPr>
      <w:r>
        <w:rPr>
          <w:rFonts w:asciiTheme="minorHAnsi" w:hAnsiTheme="minorHAnsi"/>
          <w:szCs w:val="24"/>
        </w:rPr>
        <w:t>Economic Research Service</w:t>
      </w:r>
    </w:p>
    <w:p w:rsidRPr="000F00EB" w:rsidR="003C35B5" w:rsidP="003C35B5" w:rsidRDefault="003C35B5" w14:paraId="3C2375E0" w14:textId="77777777">
      <w:pPr>
        <w:pStyle w:val="NoSpacing"/>
        <w:rPr>
          <w:rFonts w:asciiTheme="minorHAnsi" w:hAnsiTheme="minorHAnsi"/>
          <w:b w:val="0"/>
          <w:szCs w:val="24"/>
        </w:rPr>
      </w:pPr>
      <w:r w:rsidRPr="000F00EB">
        <w:rPr>
          <w:rFonts w:asciiTheme="minorHAnsi" w:hAnsiTheme="minorHAnsi"/>
          <w:szCs w:val="24"/>
        </w:rPr>
        <w:t>US Department of Agriculture</w:t>
      </w:r>
    </w:p>
    <w:p w:rsidRPr="000F00EB" w:rsidR="003C35B5" w:rsidP="003C35B5" w:rsidRDefault="003C35B5" w14:paraId="376DD92F" w14:textId="77777777">
      <w:pPr>
        <w:pStyle w:val="NoSpacing"/>
        <w:rPr>
          <w:rFonts w:asciiTheme="minorHAnsi" w:hAnsiTheme="minorHAnsi"/>
          <w:b w:val="0"/>
          <w:szCs w:val="24"/>
        </w:rPr>
      </w:pPr>
      <w:r>
        <w:rPr>
          <w:rFonts w:asciiTheme="minorHAnsi" w:hAnsiTheme="minorHAnsi"/>
          <w:szCs w:val="24"/>
        </w:rPr>
        <w:t>1400 Independence Avenue, SW, Mail Stop 1800</w:t>
      </w:r>
    </w:p>
    <w:p w:rsidRPr="00A171AB" w:rsidR="003C35B5" w:rsidP="003C35B5" w:rsidRDefault="003C35B5" w14:paraId="0C31AC81" w14:textId="77777777">
      <w:pPr>
        <w:pStyle w:val="NoSpacing"/>
        <w:rPr>
          <w:rFonts w:asciiTheme="minorHAnsi" w:hAnsiTheme="minorHAnsi"/>
          <w:b w:val="0"/>
          <w:szCs w:val="24"/>
          <w:lang w:val="fr-FR"/>
        </w:rPr>
      </w:pPr>
      <w:r>
        <w:rPr>
          <w:rFonts w:asciiTheme="minorHAnsi" w:hAnsiTheme="minorHAnsi"/>
          <w:szCs w:val="24"/>
          <w:lang w:val="fr-FR"/>
        </w:rPr>
        <w:t>Washington, DC 20250-1800</w:t>
      </w:r>
    </w:p>
    <w:p w:rsidRPr="00A171AB" w:rsidR="003C35B5" w:rsidP="003C35B5" w:rsidRDefault="003C35B5" w14:paraId="68B38ED4" w14:textId="77777777">
      <w:pPr>
        <w:pStyle w:val="NoSpacing"/>
        <w:rPr>
          <w:rFonts w:asciiTheme="minorHAnsi" w:hAnsiTheme="minorHAnsi"/>
          <w:b w:val="0"/>
          <w:szCs w:val="24"/>
          <w:lang w:val="fr-FR"/>
        </w:rPr>
      </w:pPr>
      <w:proofErr w:type="gramStart"/>
      <w:r w:rsidRPr="00A171AB">
        <w:rPr>
          <w:rFonts w:asciiTheme="minorHAnsi" w:hAnsiTheme="minorHAnsi"/>
          <w:szCs w:val="24"/>
          <w:lang w:val="fr-FR"/>
        </w:rPr>
        <w:t>Phone:</w:t>
      </w:r>
      <w:proofErr w:type="gramEnd"/>
      <w:r w:rsidRPr="00A171AB">
        <w:rPr>
          <w:rFonts w:asciiTheme="minorHAnsi" w:hAnsiTheme="minorHAnsi"/>
          <w:szCs w:val="24"/>
          <w:lang w:val="fr-FR"/>
        </w:rPr>
        <w:t xml:space="preserve"> </w:t>
      </w:r>
      <w:r>
        <w:rPr>
          <w:rFonts w:asciiTheme="minorHAnsi" w:hAnsiTheme="minorHAnsi"/>
          <w:szCs w:val="24"/>
          <w:lang w:val="fr-FR"/>
        </w:rPr>
        <w:t>202-694-5398</w:t>
      </w:r>
    </w:p>
    <w:p w:rsidR="003C35B5" w:rsidP="003C35B5" w:rsidRDefault="003C35B5" w14:paraId="4B7B3D2C" w14:textId="77777777">
      <w:pPr>
        <w:pStyle w:val="NoSpacing"/>
        <w:rPr>
          <w:rFonts w:asciiTheme="minorHAnsi" w:hAnsiTheme="minorHAnsi"/>
          <w:szCs w:val="24"/>
          <w:lang w:val="fr-FR"/>
        </w:rPr>
      </w:pPr>
      <w:proofErr w:type="gramStart"/>
      <w:r w:rsidRPr="00A171AB">
        <w:rPr>
          <w:rFonts w:asciiTheme="minorHAnsi" w:hAnsiTheme="minorHAnsi"/>
          <w:szCs w:val="24"/>
          <w:lang w:val="fr-FR"/>
        </w:rPr>
        <w:t>Fax:</w:t>
      </w:r>
      <w:proofErr w:type="gramEnd"/>
      <w:r w:rsidRPr="00A171AB">
        <w:rPr>
          <w:rFonts w:asciiTheme="minorHAnsi" w:hAnsiTheme="minorHAnsi"/>
          <w:szCs w:val="24"/>
          <w:lang w:val="fr-FR"/>
        </w:rPr>
        <w:t xml:space="preserve"> </w:t>
      </w:r>
      <w:r>
        <w:rPr>
          <w:rFonts w:asciiTheme="minorHAnsi" w:hAnsiTheme="minorHAnsi"/>
          <w:szCs w:val="24"/>
          <w:lang w:val="fr-FR"/>
        </w:rPr>
        <w:t>202-694-5661</w:t>
      </w:r>
    </w:p>
    <w:p w:rsidRPr="00163F0E" w:rsidR="003C35B5" w:rsidP="003C35B5" w:rsidRDefault="003C35B5" w14:paraId="51E698E0" w14:textId="04921C2A">
      <w:pPr>
        <w:pStyle w:val="NoSpacing"/>
        <w:rPr>
          <w:rFonts w:asciiTheme="minorHAnsi" w:hAnsiTheme="minorHAnsi"/>
          <w:b w:val="0"/>
          <w:szCs w:val="24"/>
          <w:lang w:val="fr-FR"/>
        </w:rPr>
      </w:pPr>
      <w:proofErr w:type="gramStart"/>
      <w:r>
        <w:rPr>
          <w:rFonts w:asciiTheme="minorHAnsi" w:hAnsiTheme="minorHAnsi"/>
          <w:szCs w:val="24"/>
          <w:lang w:val="fr-FR"/>
        </w:rPr>
        <w:t>E-mail:</w:t>
      </w:r>
      <w:proofErr w:type="gramEnd"/>
      <w:r>
        <w:rPr>
          <w:rFonts w:asciiTheme="minorHAnsi" w:hAnsiTheme="minorHAnsi"/>
          <w:szCs w:val="24"/>
          <w:lang w:val="fr-FR"/>
        </w:rPr>
        <w:t xml:space="preserve"> </w:t>
      </w:r>
      <w:r w:rsidR="00756176">
        <w:rPr>
          <w:rFonts w:ascii="Garamond" w:hAnsi="Garamond"/>
          <w:szCs w:val="24"/>
        </w:rPr>
        <w:t>jeffrey.gonzalez</w:t>
      </w:r>
      <w:r w:rsidRPr="00163F0E" w:rsidR="004A4DDA">
        <w:rPr>
          <w:rFonts w:ascii="Garamond" w:hAnsi="Garamond"/>
          <w:szCs w:val="24"/>
        </w:rPr>
        <w:t>@usda.gov</w:t>
      </w:r>
    </w:p>
    <w:p w:rsidR="0051381C" w:rsidP="007C28BE" w:rsidRDefault="0051381C" w14:paraId="1683A5B1" w14:textId="77777777">
      <w:pPr>
        <w:pStyle w:val="NoSpacing"/>
        <w:sectPr w:rsidR="0051381C" w:rsidSect="0051381C">
          <w:footerReference w:type="default" r:id="rId8"/>
          <w:headerReference w:type="first" r:id="rId9"/>
          <w:pgSz w:w="12240" w:h="15840" w:code="1"/>
          <w:pgMar w:top="2520" w:right="576" w:bottom="432" w:left="662" w:header="720" w:footer="576" w:gutter="0"/>
          <w:cols w:space="720"/>
          <w:titlePg/>
          <w:docGrid w:linePitch="360"/>
        </w:sectPr>
      </w:pPr>
    </w:p>
    <w:p w:rsidR="007C2CD6" w:rsidP="007C2CD6" w:rsidRDefault="007C2CD6" w14:paraId="42CBF473" w14:textId="77777777">
      <w:pPr>
        <w:pStyle w:val="TC-TableofContentsHeading"/>
      </w:pPr>
      <w:bookmarkStart w:name="_Toc513794278" w:id="0"/>
      <w:bookmarkStart w:name="_Toc74205145" w:id="1"/>
      <w:r>
        <w:lastRenderedPageBreak/>
        <w:t>Table of Contents</w:t>
      </w:r>
      <w:bookmarkEnd w:id="0"/>
      <w:bookmarkEnd w:id="1"/>
    </w:p>
    <w:p w:rsidR="008F3BCB" w:rsidP="008F3BCB" w:rsidRDefault="008F3BCB" w14:paraId="256DBA5E" w14:textId="77777777">
      <w:pPr>
        <w:pStyle w:val="T0-ChapPgHd"/>
      </w:pPr>
      <w:bookmarkStart w:name="_Toc286158948" w:id="2"/>
      <w:bookmarkStart w:name="_Toc286160537" w:id="3"/>
      <w:bookmarkStart w:name="_Toc290021760" w:id="4"/>
      <w:bookmarkStart w:name="_Toc282506023" w:id="5"/>
      <w:bookmarkStart w:name="_Toc329675296" w:id="6"/>
      <w:bookmarkStart w:name="_Toc329675884" w:id="7"/>
      <w:r>
        <w:t>Section</w:t>
      </w:r>
      <w:r>
        <w:tab/>
        <w:t>Page</w:t>
      </w:r>
    </w:p>
    <w:p w:rsidR="008F3BCB" w:rsidP="008F3BCB" w:rsidRDefault="008F3BCB" w14:paraId="7D9372C6" w14:textId="77777777">
      <w:pPr>
        <w:pStyle w:val="T0-ChapPgHd"/>
      </w:pPr>
    </w:p>
    <w:p w:rsidR="005218B8" w:rsidRDefault="009432A6" w14:paraId="0395A442" w14:textId="7282D52D">
      <w:pPr>
        <w:pStyle w:val="TOC1"/>
        <w:rPr>
          <w:rFonts w:asciiTheme="minorHAnsi" w:hAnsiTheme="minorHAnsi" w:eastAsiaTheme="minorEastAsia" w:cstheme="minorBidi"/>
          <w:noProof/>
          <w:sz w:val="22"/>
          <w:szCs w:val="22"/>
          <w:lang w:eastAsia="ja-JP"/>
        </w:rPr>
      </w:pPr>
      <w:r>
        <w:fldChar w:fldCharType="begin"/>
      </w:r>
      <w:r>
        <w:instrText xml:space="preserve"> TOC \o "1-4" \h \z \u </w:instrText>
      </w:r>
      <w:r>
        <w:fldChar w:fldCharType="separate"/>
      </w:r>
      <w:hyperlink w:history="1" w:anchor="_Toc74205147">
        <w:r w:rsidRPr="0041563C" w:rsidR="005218B8">
          <w:rPr>
            <w:rStyle w:val="Hyperlink"/>
            <w:noProof/>
          </w:rPr>
          <w:t>Part B. Collections of Information Employing Statistical Methods</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_Toc74205147 \h </w:instrText>
        </w:r>
        <w:r w:rsidR="005218B8">
          <w:rPr>
            <w:noProof/>
            <w:webHidden/>
          </w:rPr>
        </w:r>
        <w:r w:rsidR="005218B8">
          <w:rPr>
            <w:noProof/>
            <w:webHidden/>
          </w:rPr>
          <w:fldChar w:fldCharType="separate"/>
        </w:r>
        <w:r w:rsidR="0080304D">
          <w:rPr>
            <w:noProof/>
            <w:webHidden/>
          </w:rPr>
          <w:t>1</w:t>
        </w:r>
        <w:r w:rsidR="005218B8">
          <w:rPr>
            <w:noProof/>
            <w:webHidden/>
          </w:rPr>
          <w:fldChar w:fldCharType="end"/>
        </w:r>
      </w:hyperlink>
    </w:p>
    <w:p w:rsidR="005218B8" w:rsidRDefault="005218B8" w14:paraId="5BAC3347" w14:textId="77777777">
      <w:pPr>
        <w:pStyle w:val="TOC2"/>
        <w:rPr>
          <w:rStyle w:val="Hyperlink"/>
          <w:noProof/>
        </w:rPr>
      </w:pPr>
    </w:p>
    <w:p w:rsidR="005218B8" w:rsidRDefault="009A2C88" w14:paraId="1ECB22FD" w14:textId="5B3C4698">
      <w:pPr>
        <w:pStyle w:val="TOC2"/>
        <w:rPr>
          <w:rFonts w:asciiTheme="minorHAnsi" w:hAnsiTheme="minorHAnsi" w:eastAsiaTheme="minorEastAsia" w:cstheme="minorBidi"/>
          <w:noProof/>
          <w:sz w:val="22"/>
          <w:lang w:eastAsia="ja-JP"/>
        </w:rPr>
      </w:pPr>
      <w:hyperlink w:history="1" w:anchor="_Toc74205148">
        <w:r w:rsidRPr="0041563C" w:rsidR="005218B8">
          <w:rPr>
            <w:rStyle w:val="Hyperlink"/>
            <w:noProof/>
          </w:rPr>
          <w:t>B.1</w:t>
        </w:r>
        <w:r w:rsidR="005218B8">
          <w:rPr>
            <w:rFonts w:asciiTheme="minorHAnsi" w:hAnsiTheme="minorHAnsi" w:eastAsiaTheme="minorEastAsia" w:cstheme="minorBidi"/>
            <w:noProof/>
            <w:sz w:val="22"/>
            <w:lang w:eastAsia="ja-JP"/>
          </w:rPr>
          <w:tab/>
        </w:r>
        <w:r w:rsidRPr="0041563C" w:rsidR="005218B8">
          <w:rPr>
            <w:rStyle w:val="Hyperlink"/>
            <w:noProof/>
          </w:rPr>
          <w:t>Respondent Universe and Sampling Methods</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_Toc74205148 \h </w:instrText>
        </w:r>
        <w:r w:rsidR="005218B8">
          <w:rPr>
            <w:noProof/>
            <w:webHidden/>
          </w:rPr>
        </w:r>
        <w:r w:rsidR="005218B8">
          <w:rPr>
            <w:noProof/>
            <w:webHidden/>
          </w:rPr>
          <w:fldChar w:fldCharType="separate"/>
        </w:r>
        <w:r w:rsidR="0080304D">
          <w:rPr>
            <w:noProof/>
            <w:webHidden/>
          </w:rPr>
          <w:t>1</w:t>
        </w:r>
        <w:r w:rsidR="005218B8">
          <w:rPr>
            <w:noProof/>
            <w:webHidden/>
          </w:rPr>
          <w:fldChar w:fldCharType="end"/>
        </w:r>
      </w:hyperlink>
    </w:p>
    <w:p w:rsidR="005218B8" w:rsidRDefault="005218B8" w14:paraId="1F75665F" w14:textId="77777777">
      <w:pPr>
        <w:pStyle w:val="TOC3"/>
        <w:rPr>
          <w:rStyle w:val="Hyperlink"/>
          <w:noProof/>
        </w:rPr>
      </w:pPr>
    </w:p>
    <w:p w:rsidR="005218B8" w:rsidRDefault="009A2C88" w14:paraId="720A016C" w14:textId="326D08EA">
      <w:pPr>
        <w:pStyle w:val="TOC3"/>
        <w:rPr>
          <w:rFonts w:asciiTheme="minorHAnsi" w:hAnsiTheme="minorHAnsi" w:eastAsiaTheme="minorEastAsia" w:cstheme="minorBidi"/>
          <w:noProof/>
          <w:sz w:val="22"/>
          <w:szCs w:val="22"/>
          <w:lang w:eastAsia="ja-JP"/>
        </w:rPr>
      </w:pPr>
      <w:hyperlink w:history="1" w:anchor="_Toc74205149">
        <w:r w:rsidRPr="0041563C" w:rsidR="005218B8">
          <w:rPr>
            <w:rStyle w:val="Hyperlink"/>
            <w:noProof/>
          </w:rPr>
          <w:t>Respondent Universe</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_Toc74205149 \h </w:instrText>
        </w:r>
        <w:r w:rsidR="005218B8">
          <w:rPr>
            <w:noProof/>
            <w:webHidden/>
          </w:rPr>
        </w:r>
        <w:r w:rsidR="005218B8">
          <w:rPr>
            <w:noProof/>
            <w:webHidden/>
          </w:rPr>
          <w:fldChar w:fldCharType="separate"/>
        </w:r>
        <w:r w:rsidR="0080304D">
          <w:rPr>
            <w:noProof/>
            <w:webHidden/>
          </w:rPr>
          <w:t>1</w:t>
        </w:r>
        <w:r w:rsidR="005218B8">
          <w:rPr>
            <w:noProof/>
            <w:webHidden/>
          </w:rPr>
          <w:fldChar w:fldCharType="end"/>
        </w:r>
      </w:hyperlink>
    </w:p>
    <w:p w:rsidR="005218B8" w:rsidRDefault="009A2C88" w14:paraId="04E59150" w14:textId="1BFBCEBA">
      <w:pPr>
        <w:pStyle w:val="TOC3"/>
        <w:rPr>
          <w:rFonts w:asciiTheme="minorHAnsi" w:hAnsiTheme="minorHAnsi" w:eastAsiaTheme="minorEastAsia" w:cstheme="minorBidi"/>
          <w:noProof/>
          <w:sz w:val="22"/>
          <w:szCs w:val="22"/>
          <w:lang w:eastAsia="ja-JP"/>
        </w:rPr>
      </w:pPr>
      <w:hyperlink w:history="1" w:anchor="_Toc74205150">
        <w:r w:rsidRPr="0041563C" w:rsidR="005218B8">
          <w:rPr>
            <w:rStyle w:val="Hyperlink"/>
            <w:noProof/>
          </w:rPr>
          <w:t>Sample Sizes and Expected Response Rates</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_Toc74205150 \h </w:instrText>
        </w:r>
        <w:r w:rsidR="005218B8">
          <w:rPr>
            <w:noProof/>
            <w:webHidden/>
          </w:rPr>
        </w:r>
        <w:r w:rsidR="005218B8">
          <w:rPr>
            <w:noProof/>
            <w:webHidden/>
          </w:rPr>
          <w:fldChar w:fldCharType="separate"/>
        </w:r>
        <w:r w:rsidR="0080304D">
          <w:rPr>
            <w:noProof/>
            <w:webHidden/>
          </w:rPr>
          <w:t>6</w:t>
        </w:r>
        <w:r w:rsidR="005218B8">
          <w:rPr>
            <w:noProof/>
            <w:webHidden/>
          </w:rPr>
          <w:fldChar w:fldCharType="end"/>
        </w:r>
      </w:hyperlink>
    </w:p>
    <w:p w:rsidR="005218B8" w:rsidRDefault="005218B8" w14:paraId="2CC35F12" w14:textId="77777777">
      <w:pPr>
        <w:pStyle w:val="TOC2"/>
        <w:rPr>
          <w:rStyle w:val="Hyperlink"/>
          <w:noProof/>
        </w:rPr>
      </w:pPr>
    </w:p>
    <w:p w:rsidR="005218B8" w:rsidRDefault="009A2C88" w14:paraId="76044DF3" w14:textId="2636879E">
      <w:pPr>
        <w:pStyle w:val="TOC2"/>
        <w:rPr>
          <w:rFonts w:asciiTheme="minorHAnsi" w:hAnsiTheme="minorHAnsi" w:eastAsiaTheme="minorEastAsia" w:cstheme="minorBidi"/>
          <w:noProof/>
          <w:sz w:val="22"/>
          <w:lang w:eastAsia="ja-JP"/>
        </w:rPr>
      </w:pPr>
      <w:hyperlink w:history="1" w:anchor="_Toc74205151">
        <w:r w:rsidRPr="0041563C" w:rsidR="005218B8">
          <w:rPr>
            <w:rStyle w:val="Hyperlink"/>
            <w:noProof/>
          </w:rPr>
          <w:t>B.2</w:t>
        </w:r>
        <w:r w:rsidR="005218B8">
          <w:rPr>
            <w:rFonts w:asciiTheme="minorHAnsi" w:hAnsiTheme="minorHAnsi" w:eastAsiaTheme="minorEastAsia" w:cstheme="minorBidi"/>
            <w:noProof/>
            <w:sz w:val="22"/>
            <w:lang w:eastAsia="ja-JP"/>
          </w:rPr>
          <w:tab/>
        </w:r>
        <w:r w:rsidRPr="0041563C" w:rsidR="005218B8">
          <w:rPr>
            <w:rStyle w:val="Hyperlink"/>
            <w:noProof/>
          </w:rPr>
          <w:t>Procedures for the Collection of Information</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_Toc74205151 \h </w:instrText>
        </w:r>
        <w:r w:rsidR="005218B8">
          <w:rPr>
            <w:noProof/>
            <w:webHidden/>
          </w:rPr>
        </w:r>
        <w:r w:rsidR="005218B8">
          <w:rPr>
            <w:noProof/>
            <w:webHidden/>
          </w:rPr>
          <w:fldChar w:fldCharType="separate"/>
        </w:r>
        <w:r w:rsidR="0080304D">
          <w:rPr>
            <w:noProof/>
            <w:webHidden/>
          </w:rPr>
          <w:t>10</w:t>
        </w:r>
        <w:r w:rsidR="005218B8">
          <w:rPr>
            <w:noProof/>
            <w:webHidden/>
          </w:rPr>
          <w:fldChar w:fldCharType="end"/>
        </w:r>
      </w:hyperlink>
    </w:p>
    <w:p w:rsidR="005218B8" w:rsidRDefault="005218B8" w14:paraId="3AC1E34E" w14:textId="77777777">
      <w:pPr>
        <w:pStyle w:val="TOC3"/>
        <w:rPr>
          <w:rStyle w:val="Hyperlink"/>
          <w:noProof/>
        </w:rPr>
      </w:pPr>
    </w:p>
    <w:p w:rsidR="005218B8" w:rsidRDefault="009A2C88" w14:paraId="1E2F63B5" w14:textId="14FD8E45">
      <w:pPr>
        <w:pStyle w:val="TOC3"/>
        <w:rPr>
          <w:rFonts w:asciiTheme="minorHAnsi" w:hAnsiTheme="minorHAnsi" w:eastAsiaTheme="minorEastAsia" w:cstheme="minorBidi"/>
          <w:noProof/>
          <w:sz w:val="22"/>
          <w:szCs w:val="22"/>
          <w:lang w:eastAsia="ja-JP"/>
        </w:rPr>
      </w:pPr>
      <w:hyperlink w:history="1" w:anchor="_Toc74205152">
        <w:r w:rsidRPr="0041563C" w:rsidR="005218B8">
          <w:rPr>
            <w:rStyle w:val="Hyperlink"/>
            <w:noProof/>
          </w:rPr>
          <w:t>Statistical Methodology</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_Toc74205152 \h </w:instrText>
        </w:r>
        <w:r w:rsidR="005218B8">
          <w:rPr>
            <w:noProof/>
            <w:webHidden/>
          </w:rPr>
        </w:r>
        <w:r w:rsidR="005218B8">
          <w:rPr>
            <w:noProof/>
            <w:webHidden/>
          </w:rPr>
          <w:fldChar w:fldCharType="separate"/>
        </w:r>
        <w:r w:rsidR="0080304D">
          <w:rPr>
            <w:noProof/>
            <w:webHidden/>
          </w:rPr>
          <w:t>10</w:t>
        </w:r>
        <w:r w:rsidR="005218B8">
          <w:rPr>
            <w:noProof/>
            <w:webHidden/>
          </w:rPr>
          <w:fldChar w:fldCharType="end"/>
        </w:r>
      </w:hyperlink>
    </w:p>
    <w:p w:rsidR="005218B8" w:rsidRDefault="009A2C88" w14:paraId="1B10D71F" w14:textId="5E47A6AF">
      <w:pPr>
        <w:pStyle w:val="TOC3"/>
        <w:rPr>
          <w:rFonts w:asciiTheme="minorHAnsi" w:hAnsiTheme="minorHAnsi" w:eastAsiaTheme="minorEastAsia" w:cstheme="minorBidi"/>
          <w:noProof/>
          <w:sz w:val="22"/>
          <w:szCs w:val="22"/>
          <w:lang w:eastAsia="ja-JP"/>
        </w:rPr>
      </w:pPr>
      <w:hyperlink w:history="1" w:anchor="_Toc74205153">
        <w:r w:rsidRPr="0041563C" w:rsidR="005218B8">
          <w:rPr>
            <w:rStyle w:val="Hyperlink"/>
            <w:noProof/>
          </w:rPr>
          <w:t>Estimation</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_Toc74205153 \h </w:instrText>
        </w:r>
        <w:r w:rsidR="005218B8">
          <w:rPr>
            <w:noProof/>
            <w:webHidden/>
          </w:rPr>
        </w:r>
        <w:r w:rsidR="005218B8">
          <w:rPr>
            <w:noProof/>
            <w:webHidden/>
          </w:rPr>
          <w:fldChar w:fldCharType="separate"/>
        </w:r>
        <w:r w:rsidR="0080304D">
          <w:rPr>
            <w:noProof/>
            <w:webHidden/>
          </w:rPr>
          <w:t>15</w:t>
        </w:r>
        <w:r w:rsidR="005218B8">
          <w:rPr>
            <w:noProof/>
            <w:webHidden/>
          </w:rPr>
          <w:fldChar w:fldCharType="end"/>
        </w:r>
      </w:hyperlink>
    </w:p>
    <w:p w:rsidR="005218B8" w:rsidRDefault="009A2C88" w14:paraId="701974DC" w14:textId="7DD27B8F">
      <w:pPr>
        <w:pStyle w:val="TOC3"/>
        <w:rPr>
          <w:rFonts w:asciiTheme="minorHAnsi" w:hAnsiTheme="minorHAnsi" w:eastAsiaTheme="minorEastAsia" w:cstheme="minorBidi"/>
          <w:noProof/>
          <w:sz w:val="22"/>
          <w:szCs w:val="22"/>
          <w:lang w:eastAsia="ja-JP"/>
        </w:rPr>
      </w:pPr>
      <w:hyperlink w:history="1" w:anchor="_Toc74205154">
        <w:r w:rsidRPr="0041563C" w:rsidR="005218B8">
          <w:rPr>
            <w:rStyle w:val="Hyperlink"/>
            <w:noProof/>
          </w:rPr>
          <w:t>Degree of Accuracy</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_Toc74205154 \h </w:instrText>
        </w:r>
        <w:r w:rsidR="005218B8">
          <w:rPr>
            <w:noProof/>
            <w:webHidden/>
          </w:rPr>
        </w:r>
        <w:r w:rsidR="005218B8">
          <w:rPr>
            <w:noProof/>
            <w:webHidden/>
          </w:rPr>
          <w:fldChar w:fldCharType="separate"/>
        </w:r>
        <w:r w:rsidR="0080304D">
          <w:rPr>
            <w:noProof/>
            <w:webHidden/>
          </w:rPr>
          <w:t>17</w:t>
        </w:r>
        <w:r w:rsidR="005218B8">
          <w:rPr>
            <w:noProof/>
            <w:webHidden/>
          </w:rPr>
          <w:fldChar w:fldCharType="end"/>
        </w:r>
      </w:hyperlink>
    </w:p>
    <w:p w:rsidR="005218B8" w:rsidRDefault="009A2C88" w14:paraId="1BA50965" w14:textId="0EDB240C">
      <w:pPr>
        <w:pStyle w:val="TOC3"/>
        <w:rPr>
          <w:rFonts w:asciiTheme="minorHAnsi" w:hAnsiTheme="minorHAnsi" w:eastAsiaTheme="minorEastAsia" w:cstheme="minorBidi"/>
          <w:noProof/>
          <w:sz w:val="22"/>
          <w:szCs w:val="22"/>
          <w:lang w:eastAsia="ja-JP"/>
        </w:rPr>
      </w:pPr>
      <w:hyperlink w:history="1" w:anchor="_Toc74205155">
        <w:r w:rsidRPr="0041563C" w:rsidR="005218B8">
          <w:rPr>
            <w:rStyle w:val="Hyperlink"/>
            <w:noProof/>
          </w:rPr>
          <w:t>Specialized Sampling Procedures</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_Toc74205155 \h </w:instrText>
        </w:r>
        <w:r w:rsidR="005218B8">
          <w:rPr>
            <w:noProof/>
            <w:webHidden/>
          </w:rPr>
        </w:r>
        <w:r w:rsidR="005218B8">
          <w:rPr>
            <w:noProof/>
            <w:webHidden/>
          </w:rPr>
          <w:fldChar w:fldCharType="separate"/>
        </w:r>
        <w:r w:rsidR="0080304D">
          <w:rPr>
            <w:noProof/>
            <w:webHidden/>
          </w:rPr>
          <w:t>18</w:t>
        </w:r>
        <w:r w:rsidR="005218B8">
          <w:rPr>
            <w:noProof/>
            <w:webHidden/>
          </w:rPr>
          <w:fldChar w:fldCharType="end"/>
        </w:r>
      </w:hyperlink>
    </w:p>
    <w:p w:rsidR="005218B8" w:rsidRDefault="0093147F" w14:paraId="256629B5" w14:textId="63BBF9CF">
      <w:pPr>
        <w:pStyle w:val="TOC3"/>
        <w:rPr>
          <w:rFonts w:asciiTheme="minorHAnsi" w:hAnsiTheme="minorHAnsi" w:eastAsiaTheme="minorEastAsia" w:cstheme="minorBidi"/>
          <w:noProof/>
          <w:sz w:val="22"/>
          <w:szCs w:val="22"/>
          <w:lang w:eastAsia="ja-JP"/>
        </w:rPr>
      </w:pPr>
      <w:hyperlink w:history="1" w:anchor="_Toc74205156">
        <w:r w:rsidRPr="0041563C">
          <w:rPr>
            <w:rStyle w:val="Hyperlink"/>
            <w:noProof/>
          </w:rPr>
          <w:t>Any Use of Periodic (Less Frequent Than Annual) Data Collection Cycles to Reduce Burden</w:t>
        </w:r>
        <w:r>
          <w:rPr>
            <w:noProof/>
            <w:webHidden/>
          </w:rPr>
          <w:tab/>
        </w:r>
        <w:r>
          <w:rPr>
            <w:noProof/>
            <w:webHidden/>
          </w:rPr>
          <w:tab/>
        </w:r>
        <w:r>
          <w:rPr>
            <w:noProof/>
            <w:webHidden/>
          </w:rPr>
          <w:fldChar w:fldCharType="begin"/>
        </w:r>
        <w:r>
          <w:rPr>
            <w:noProof/>
            <w:webHidden/>
          </w:rPr>
          <w:instrText xml:space="preserve"> PAGEREF _Toc74205156 \h </w:instrText>
        </w:r>
        <w:r>
          <w:rPr>
            <w:noProof/>
            <w:webHidden/>
          </w:rPr>
        </w:r>
        <w:r>
          <w:rPr>
            <w:noProof/>
            <w:webHidden/>
          </w:rPr>
          <w:fldChar w:fldCharType="separate"/>
        </w:r>
        <w:r>
          <w:rPr>
            <w:noProof/>
            <w:webHidden/>
          </w:rPr>
          <w:t>2</w:t>
        </w:r>
        <w:r>
          <w:rPr>
            <w:noProof/>
            <w:webHidden/>
          </w:rPr>
          <w:t>2</w:t>
        </w:r>
        <w:r>
          <w:rPr>
            <w:noProof/>
            <w:webHidden/>
          </w:rPr>
          <w:fldChar w:fldCharType="end"/>
        </w:r>
      </w:hyperlink>
    </w:p>
    <w:p w:rsidR="005218B8" w:rsidRDefault="005218B8" w14:paraId="4C51301F" w14:textId="77777777">
      <w:pPr>
        <w:pStyle w:val="TOC2"/>
        <w:rPr>
          <w:rStyle w:val="Hyperlink"/>
          <w:noProof/>
        </w:rPr>
      </w:pPr>
    </w:p>
    <w:p w:rsidR="005218B8" w:rsidRDefault="0093147F" w14:paraId="5B5AB934" w14:textId="3D6B5324">
      <w:pPr>
        <w:pStyle w:val="TOC2"/>
        <w:rPr>
          <w:rFonts w:asciiTheme="minorHAnsi" w:hAnsiTheme="minorHAnsi" w:eastAsiaTheme="minorEastAsia" w:cstheme="minorBidi"/>
          <w:noProof/>
          <w:sz w:val="22"/>
          <w:lang w:eastAsia="ja-JP"/>
        </w:rPr>
      </w:pPr>
      <w:hyperlink w:history="1" w:anchor="_Toc74205157">
        <w:r w:rsidRPr="0041563C">
          <w:rPr>
            <w:rStyle w:val="Hyperlink"/>
            <w:noProof/>
          </w:rPr>
          <w:t>B.3</w:t>
        </w:r>
        <w:r>
          <w:rPr>
            <w:rFonts w:asciiTheme="minorHAnsi" w:hAnsiTheme="minorHAnsi" w:eastAsiaTheme="minorEastAsia" w:cstheme="minorBidi"/>
            <w:noProof/>
            <w:sz w:val="22"/>
            <w:lang w:eastAsia="ja-JP"/>
          </w:rPr>
          <w:tab/>
        </w:r>
        <w:r w:rsidRPr="0041563C">
          <w:rPr>
            <w:rStyle w:val="Hyperlink"/>
            <w:noProof/>
          </w:rPr>
          <w:t>Methods to Maximize Response Rates and to Deal With Issues of Nonresponse</w:t>
        </w:r>
        <w:r>
          <w:rPr>
            <w:noProof/>
            <w:webHidden/>
          </w:rPr>
          <w:tab/>
        </w:r>
        <w:r>
          <w:rPr>
            <w:noProof/>
            <w:webHidden/>
          </w:rPr>
          <w:tab/>
        </w:r>
        <w:r>
          <w:rPr>
            <w:noProof/>
            <w:webHidden/>
          </w:rPr>
          <w:fldChar w:fldCharType="begin"/>
        </w:r>
        <w:r>
          <w:rPr>
            <w:noProof/>
            <w:webHidden/>
          </w:rPr>
          <w:instrText xml:space="preserve"> PAGEREF _Toc74205157 \h </w:instrText>
        </w:r>
        <w:r>
          <w:rPr>
            <w:noProof/>
            <w:webHidden/>
          </w:rPr>
        </w:r>
        <w:r>
          <w:rPr>
            <w:noProof/>
            <w:webHidden/>
          </w:rPr>
          <w:fldChar w:fldCharType="separate"/>
        </w:r>
        <w:r>
          <w:rPr>
            <w:noProof/>
            <w:webHidden/>
          </w:rPr>
          <w:t>2</w:t>
        </w:r>
        <w:r>
          <w:rPr>
            <w:noProof/>
            <w:webHidden/>
          </w:rPr>
          <w:t>2</w:t>
        </w:r>
        <w:r>
          <w:rPr>
            <w:noProof/>
            <w:webHidden/>
          </w:rPr>
          <w:fldChar w:fldCharType="end"/>
        </w:r>
      </w:hyperlink>
    </w:p>
    <w:p w:rsidR="005218B8" w:rsidRDefault="005218B8" w14:paraId="5E9ACD1F" w14:textId="77777777">
      <w:pPr>
        <w:pStyle w:val="TOC3"/>
        <w:rPr>
          <w:rStyle w:val="Hyperlink"/>
          <w:noProof/>
        </w:rPr>
      </w:pPr>
    </w:p>
    <w:p w:rsidR="005218B8" w:rsidRDefault="009A2C88" w14:paraId="427FDF6D" w14:textId="481381E8">
      <w:pPr>
        <w:pStyle w:val="TOC3"/>
        <w:rPr>
          <w:rFonts w:asciiTheme="minorHAnsi" w:hAnsiTheme="minorHAnsi" w:eastAsiaTheme="minorEastAsia" w:cstheme="minorBidi"/>
          <w:noProof/>
          <w:sz w:val="22"/>
          <w:szCs w:val="22"/>
          <w:lang w:eastAsia="ja-JP"/>
        </w:rPr>
      </w:pPr>
      <w:hyperlink w:history="1" w:anchor="_Toc74205158">
        <w:r w:rsidRPr="0041563C" w:rsidR="005218B8">
          <w:rPr>
            <w:rStyle w:val="Hyperlink"/>
            <w:noProof/>
            <w:lang w:val="en"/>
          </w:rPr>
          <w:t>Maximizing Response Rates</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_Toc74205158 \h </w:instrText>
        </w:r>
        <w:r w:rsidR="005218B8">
          <w:rPr>
            <w:noProof/>
            <w:webHidden/>
          </w:rPr>
        </w:r>
        <w:r w:rsidR="005218B8">
          <w:rPr>
            <w:noProof/>
            <w:webHidden/>
          </w:rPr>
          <w:fldChar w:fldCharType="separate"/>
        </w:r>
        <w:r w:rsidR="0080304D">
          <w:rPr>
            <w:noProof/>
            <w:webHidden/>
          </w:rPr>
          <w:t>22</w:t>
        </w:r>
        <w:r w:rsidR="005218B8">
          <w:rPr>
            <w:noProof/>
            <w:webHidden/>
          </w:rPr>
          <w:fldChar w:fldCharType="end"/>
        </w:r>
      </w:hyperlink>
    </w:p>
    <w:p w:rsidR="005218B8" w:rsidRDefault="0093147F" w14:paraId="3EAB22C7" w14:textId="596156DB">
      <w:pPr>
        <w:pStyle w:val="TOC3"/>
        <w:rPr>
          <w:rFonts w:asciiTheme="minorHAnsi" w:hAnsiTheme="minorHAnsi" w:eastAsiaTheme="minorEastAsia" w:cstheme="minorBidi"/>
          <w:noProof/>
          <w:sz w:val="22"/>
          <w:szCs w:val="22"/>
          <w:lang w:eastAsia="ja-JP"/>
        </w:rPr>
      </w:pPr>
      <w:hyperlink w:history="1" w:anchor="_Toc74205159">
        <w:r w:rsidRPr="0041563C">
          <w:rPr>
            <w:rStyle w:val="Hyperlink"/>
            <w:noProof/>
          </w:rPr>
          <w:t>Nonresponse Bias Analysis</w:t>
        </w:r>
        <w:r>
          <w:rPr>
            <w:noProof/>
            <w:webHidden/>
          </w:rPr>
          <w:tab/>
        </w:r>
        <w:r>
          <w:rPr>
            <w:noProof/>
            <w:webHidden/>
          </w:rPr>
          <w:tab/>
        </w:r>
        <w:r>
          <w:rPr>
            <w:noProof/>
            <w:webHidden/>
          </w:rPr>
          <w:fldChar w:fldCharType="begin"/>
        </w:r>
        <w:r>
          <w:rPr>
            <w:noProof/>
            <w:webHidden/>
          </w:rPr>
          <w:instrText xml:space="preserve"> PAGEREF _Toc74205159 \h </w:instrText>
        </w:r>
        <w:r>
          <w:rPr>
            <w:noProof/>
            <w:webHidden/>
          </w:rPr>
        </w:r>
        <w:r>
          <w:rPr>
            <w:noProof/>
            <w:webHidden/>
          </w:rPr>
          <w:fldChar w:fldCharType="separate"/>
        </w:r>
        <w:r>
          <w:rPr>
            <w:noProof/>
            <w:webHidden/>
          </w:rPr>
          <w:t>2</w:t>
        </w:r>
        <w:r>
          <w:rPr>
            <w:noProof/>
            <w:webHidden/>
          </w:rPr>
          <w:t>4</w:t>
        </w:r>
        <w:r>
          <w:rPr>
            <w:noProof/>
            <w:webHidden/>
          </w:rPr>
          <w:fldChar w:fldCharType="end"/>
        </w:r>
      </w:hyperlink>
    </w:p>
    <w:p w:rsidR="005218B8" w:rsidRDefault="005218B8" w14:paraId="7BF58956" w14:textId="77777777">
      <w:pPr>
        <w:pStyle w:val="TOC2"/>
        <w:rPr>
          <w:rStyle w:val="Hyperlink"/>
          <w:noProof/>
        </w:rPr>
      </w:pPr>
    </w:p>
    <w:p w:rsidR="005218B8" w:rsidRDefault="0093147F" w14:paraId="4661FF63" w14:textId="064DF40B">
      <w:pPr>
        <w:pStyle w:val="TOC2"/>
        <w:rPr>
          <w:rFonts w:asciiTheme="minorHAnsi" w:hAnsiTheme="minorHAnsi" w:eastAsiaTheme="minorEastAsia" w:cstheme="minorBidi"/>
          <w:noProof/>
          <w:sz w:val="22"/>
          <w:lang w:eastAsia="ja-JP"/>
        </w:rPr>
      </w:pPr>
      <w:hyperlink w:history="1" w:anchor="_Toc74205160">
        <w:r w:rsidRPr="0041563C">
          <w:rPr>
            <w:rStyle w:val="Hyperlink"/>
            <w:noProof/>
          </w:rPr>
          <w:t>B.4</w:t>
        </w:r>
        <w:r>
          <w:rPr>
            <w:rFonts w:asciiTheme="minorHAnsi" w:hAnsiTheme="minorHAnsi" w:eastAsiaTheme="minorEastAsia" w:cstheme="minorBidi"/>
            <w:noProof/>
            <w:sz w:val="22"/>
            <w:lang w:eastAsia="ja-JP"/>
          </w:rPr>
          <w:tab/>
        </w:r>
        <w:r w:rsidRPr="0041563C">
          <w:rPr>
            <w:rStyle w:val="Hyperlink"/>
            <w:noProof/>
          </w:rPr>
          <w:t>Test of Procedures or Methods to be Undertaken</w:t>
        </w:r>
        <w:r>
          <w:rPr>
            <w:noProof/>
            <w:webHidden/>
          </w:rPr>
          <w:tab/>
        </w:r>
        <w:r>
          <w:rPr>
            <w:noProof/>
            <w:webHidden/>
          </w:rPr>
          <w:tab/>
        </w:r>
        <w:r>
          <w:rPr>
            <w:noProof/>
            <w:webHidden/>
          </w:rPr>
          <w:fldChar w:fldCharType="begin"/>
        </w:r>
        <w:r>
          <w:rPr>
            <w:noProof/>
            <w:webHidden/>
          </w:rPr>
          <w:instrText xml:space="preserve"> PAGEREF _Toc74205160 \h </w:instrText>
        </w:r>
        <w:r>
          <w:rPr>
            <w:noProof/>
            <w:webHidden/>
          </w:rPr>
        </w:r>
        <w:r>
          <w:rPr>
            <w:noProof/>
            <w:webHidden/>
          </w:rPr>
          <w:fldChar w:fldCharType="separate"/>
        </w:r>
        <w:r>
          <w:rPr>
            <w:noProof/>
            <w:webHidden/>
          </w:rPr>
          <w:t>2</w:t>
        </w:r>
        <w:r>
          <w:rPr>
            <w:noProof/>
            <w:webHidden/>
          </w:rPr>
          <w:t>5</w:t>
        </w:r>
        <w:r>
          <w:rPr>
            <w:noProof/>
            <w:webHidden/>
          </w:rPr>
          <w:fldChar w:fldCharType="end"/>
        </w:r>
      </w:hyperlink>
    </w:p>
    <w:p w:rsidR="005218B8" w:rsidRDefault="009A2C88" w14:paraId="388F63AA" w14:textId="6406E22B">
      <w:pPr>
        <w:pStyle w:val="TOC2"/>
        <w:rPr>
          <w:rFonts w:asciiTheme="minorHAnsi" w:hAnsiTheme="minorHAnsi" w:eastAsiaTheme="minorEastAsia" w:cstheme="minorBidi"/>
          <w:noProof/>
          <w:sz w:val="22"/>
          <w:lang w:eastAsia="ja-JP"/>
        </w:rPr>
      </w:pPr>
      <w:hyperlink w:history="1" w:anchor="_Toc74205161">
        <w:r w:rsidRPr="0041563C" w:rsidR="005218B8">
          <w:rPr>
            <w:rStyle w:val="Hyperlink"/>
            <w:noProof/>
          </w:rPr>
          <w:t>B.5</w:t>
        </w:r>
        <w:r w:rsidR="005218B8">
          <w:rPr>
            <w:rFonts w:asciiTheme="minorHAnsi" w:hAnsiTheme="minorHAnsi" w:eastAsiaTheme="minorEastAsia" w:cstheme="minorBidi"/>
            <w:noProof/>
            <w:sz w:val="22"/>
            <w:lang w:eastAsia="ja-JP"/>
          </w:rPr>
          <w:tab/>
        </w:r>
        <w:r w:rsidRPr="0041563C" w:rsidR="005218B8">
          <w:rPr>
            <w:rStyle w:val="Hyperlink"/>
            <w:noProof/>
          </w:rPr>
          <w:t>Individuals Consulted on Statistical Aspects and Individuals Collecting and/or Analyzing Data</w:t>
        </w:r>
        <w:r w:rsidR="005218B8">
          <w:rPr>
            <w:noProof/>
            <w:webHidden/>
          </w:rPr>
          <w:tab/>
        </w:r>
        <w:r w:rsidR="005218B8">
          <w:rPr>
            <w:noProof/>
            <w:webHidden/>
          </w:rPr>
          <w:tab/>
        </w:r>
        <w:r w:rsidR="005218B8">
          <w:rPr>
            <w:noProof/>
            <w:webHidden/>
          </w:rPr>
          <w:fldChar w:fldCharType="begin"/>
        </w:r>
        <w:r w:rsidR="005218B8">
          <w:rPr>
            <w:noProof/>
            <w:webHidden/>
          </w:rPr>
          <w:instrText xml:space="preserve"> PAGEREF _Toc74205161 \h </w:instrText>
        </w:r>
        <w:r w:rsidR="005218B8">
          <w:rPr>
            <w:noProof/>
            <w:webHidden/>
          </w:rPr>
        </w:r>
        <w:r w:rsidR="005218B8">
          <w:rPr>
            <w:noProof/>
            <w:webHidden/>
          </w:rPr>
          <w:fldChar w:fldCharType="separate"/>
        </w:r>
        <w:r w:rsidR="0080304D">
          <w:rPr>
            <w:noProof/>
            <w:webHidden/>
          </w:rPr>
          <w:t>28</w:t>
        </w:r>
        <w:r w:rsidR="005218B8">
          <w:rPr>
            <w:noProof/>
            <w:webHidden/>
          </w:rPr>
          <w:fldChar w:fldCharType="end"/>
        </w:r>
      </w:hyperlink>
    </w:p>
    <w:p w:rsidR="005218B8" w:rsidRDefault="005218B8" w14:paraId="21B8F1BA" w14:textId="77777777">
      <w:pPr>
        <w:pStyle w:val="TOC2"/>
        <w:rPr>
          <w:rStyle w:val="Hyperlink"/>
          <w:noProof/>
        </w:rPr>
      </w:pPr>
    </w:p>
    <w:p w:rsidR="005218B8" w:rsidP="005218B8" w:rsidRDefault="009A2C88" w14:paraId="6FEF3D68" w14:textId="771F7FAF">
      <w:pPr>
        <w:pStyle w:val="TOC1"/>
        <w:rPr>
          <w:rFonts w:asciiTheme="minorHAnsi" w:hAnsiTheme="minorHAnsi" w:eastAsiaTheme="minorEastAsia" w:cstheme="minorBidi"/>
          <w:noProof/>
          <w:sz w:val="22"/>
          <w:lang w:eastAsia="ja-JP"/>
        </w:rPr>
      </w:pPr>
      <w:hyperlink w:history="1" w:anchor="_Toc74205162">
        <w:r w:rsidRPr="0041563C" w:rsidR="005218B8">
          <w:rPr>
            <w:rStyle w:val="Hyperlink"/>
            <w:noProof/>
          </w:rPr>
          <w:t>References</w:t>
        </w:r>
        <w:r w:rsidR="005218B8">
          <w:rPr>
            <w:noProof/>
            <w:webHidden/>
          </w:rPr>
          <w:tab/>
        </w:r>
        <w:r w:rsidR="005218B8">
          <w:rPr>
            <w:noProof/>
            <w:webHidden/>
          </w:rPr>
          <w:tab/>
        </w:r>
        <w:r w:rsidR="009E3536">
          <w:rPr>
            <w:noProof/>
            <w:webHidden/>
          </w:rPr>
          <w:tab/>
        </w:r>
        <w:r w:rsidR="005218B8">
          <w:rPr>
            <w:noProof/>
            <w:webHidden/>
          </w:rPr>
          <w:fldChar w:fldCharType="begin"/>
        </w:r>
        <w:r w:rsidR="005218B8">
          <w:rPr>
            <w:noProof/>
            <w:webHidden/>
          </w:rPr>
          <w:instrText xml:space="preserve"> PAGEREF _Toc74205162 \h </w:instrText>
        </w:r>
        <w:r w:rsidR="005218B8">
          <w:rPr>
            <w:noProof/>
            <w:webHidden/>
          </w:rPr>
        </w:r>
        <w:r w:rsidR="005218B8">
          <w:rPr>
            <w:noProof/>
            <w:webHidden/>
          </w:rPr>
          <w:fldChar w:fldCharType="separate"/>
        </w:r>
        <w:r w:rsidR="0080304D">
          <w:rPr>
            <w:noProof/>
            <w:webHidden/>
          </w:rPr>
          <w:t>30</w:t>
        </w:r>
        <w:r w:rsidR="005218B8">
          <w:rPr>
            <w:noProof/>
            <w:webHidden/>
          </w:rPr>
          <w:fldChar w:fldCharType="end"/>
        </w:r>
      </w:hyperlink>
    </w:p>
    <w:p w:rsidR="009215CA" w:rsidP="008F3BCB" w:rsidRDefault="009432A6" w14:paraId="27B70E3A" w14:textId="34609C1A">
      <w:pPr>
        <w:pStyle w:val="TOC1"/>
      </w:pPr>
      <w:r>
        <w:fldChar w:fldCharType="end"/>
      </w:r>
    </w:p>
    <w:p w:rsidR="0032494A" w:rsidP="0032494A" w:rsidRDefault="0032494A" w14:paraId="5BF50FFE" w14:textId="0BE9D9E7">
      <w:pPr>
        <w:pStyle w:val="T0-ChapPgHd"/>
      </w:pPr>
      <w:r>
        <w:t>Table</w:t>
      </w:r>
    </w:p>
    <w:p w:rsidR="0032494A" w:rsidP="0032494A" w:rsidRDefault="0032494A" w14:paraId="637370E4" w14:textId="77777777">
      <w:pPr>
        <w:pStyle w:val="T0-ChapPgHd"/>
      </w:pPr>
    </w:p>
    <w:p w:rsidRPr="002E0CAA" w:rsidR="002E0CAA" w:rsidRDefault="0032494A" w14:paraId="6634C461" w14:textId="04F815B3">
      <w:pPr>
        <w:pStyle w:val="TOC1"/>
        <w:rPr>
          <w:rFonts w:asciiTheme="minorHAnsi" w:hAnsiTheme="minorHAnsi" w:eastAsiaTheme="minorEastAsia" w:cstheme="minorBidi"/>
          <w:noProof/>
          <w:sz w:val="22"/>
          <w:szCs w:val="22"/>
        </w:rPr>
      </w:pPr>
      <w:r w:rsidRPr="00E42E44">
        <w:rPr>
          <w:b/>
          <w:bCs/>
        </w:rPr>
        <w:fldChar w:fldCharType="begin"/>
      </w:r>
      <w:r w:rsidRPr="00E42E44">
        <w:rPr>
          <w:b/>
          <w:bCs/>
        </w:rPr>
        <w:instrText xml:space="preserve"> TOC \h \z \t "TT-Table Title,1,EX-Exhibit Title,1" </w:instrText>
      </w:r>
      <w:r w:rsidRPr="00E42E44">
        <w:rPr>
          <w:b/>
          <w:bCs/>
        </w:rPr>
        <w:fldChar w:fldCharType="separate"/>
      </w:r>
      <w:hyperlink w:history="1" w:anchor="_Toc93489537">
        <w:r w:rsidRPr="002E0CAA" w:rsidR="002E0CAA">
          <w:rPr>
            <w:rStyle w:val="Hyperlink"/>
            <w:noProof/>
            <w:lang w:val="en"/>
          </w:rPr>
          <w:t>Table B.1.</w:t>
        </w:r>
        <w:r w:rsidRPr="002E0CAA" w:rsidR="002E0CAA">
          <w:rPr>
            <w:rFonts w:asciiTheme="minorHAnsi" w:hAnsiTheme="minorHAnsi" w:eastAsiaTheme="minorEastAsia" w:cstheme="minorBidi"/>
            <w:noProof/>
            <w:sz w:val="22"/>
            <w:szCs w:val="22"/>
          </w:rPr>
          <w:tab/>
        </w:r>
        <w:r w:rsidRPr="002E0CAA" w:rsidR="002E0CAA">
          <w:rPr>
            <w:rStyle w:val="Hyperlink"/>
            <w:noProof/>
            <w:lang w:val="en"/>
          </w:rPr>
          <w:t>Field Test Universe Percentages and Expected Sample Sizes</w:t>
        </w:r>
        <w:r w:rsidRPr="002E0CAA" w:rsidR="002E0CAA">
          <w:rPr>
            <w:noProof/>
            <w:webHidden/>
          </w:rPr>
          <w:tab/>
        </w:r>
        <w:r w:rsidR="002E0CAA">
          <w:rPr>
            <w:noProof/>
            <w:webHidden/>
          </w:rPr>
          <w:tab/>
        </w:r>
        <w:r w:rsidRPr="002E0CAA" w:rsidR="002E0CAA">
          <w:rPr>
            <w:noProof/>
            <w:webHidden/>
          </w:rPr>
          <w:fldChar w:fldCharType="begin"/>
        </w:r>
        <w:r w:rsidRPr="002E0CAA" w:rsidR="002E0CAA">
          <w:rPr>
            <w:noProof/>
            <w:webHidden/>
          </w:rPr>
          <w:instrText xml:space="preserve"> PAGEREF _Toc93489537 \h </w:instrText>
        </w:r>
        <w:r w:rsidRPr="002E0CAA" w:rsidR="002E0CAA">
          <w:rPr>
            <w:noProof/>
            <w:webHidden/>
          </w:rPr>
        </w:r>
        <w:r w:rsidRPr="002E0CAA" w:rsidR="002E0CAA">
          <w:rPr>
            <w:noProof/>
            <w:webHidden/>
          </w:rPr>
          <w:fldChar w:fldCharType="separate"/>
        </w:r>
        <w:r w:rsidRPr="002E0CAA" w:rsidR="002E0CAA">
          <w:rPr>
            <w:noProof/>
            <w:webHidden/>
          </w:rPr>
          <w:t>6</w:t>
        </w:r>
        <w:r w:rsidRPr="002E0CAA" w:rsidR="002E0CAA">
          <w:rPr>
            <w:noProof/>
            <w:webHidden/>
          </w:rPr>
          <w:fldChar w:fldCharType="end"/>
        </w:r>
      </w:hyperlink>
    </w:p>
    <w:p w:rsidRPr="002E0CAA" w:rsidR="002E0CAA" w:rsidRDefault="009A2C88" w14:paraId="115EBC18" w14:textId="15867DEF">
      <w:pPr>
        <w:pStyle w:val="TOC1"/>
        <w:rPr>
          <w:rFonts w:asciiTheme="minorHAnsi" w:hAnsiTheme="minorHAnsi" w:eastAsiaTheme="minorEastAsia" w:cstheme="minorBidi"/>
          <w:noProof/>
          <w:sz w:val="22"/>
          <w:szCs w:val="22"/>
        </w:rPr>
      </w:pPr>
      <w:hyperlink w:history="1" w:anchor="_Toc93489538">
        <w:r w:rsidRPr="002E0CAA" w:rsidR="002E0CAA">
          <w:rPr>
            <w:rStyle w:val="Hyperlink"/>
            <w:noProof/>
            <w:lang w:val="en"/>
          </w:rPr>
          <w:t xml:space="preserve">Table B.2. </w:t>
        </w:r>
        <w:r w:rsidRPr="002E0CAA" w:rsidR="002E0CAA">
          <w:rPr>
            <w:rFonts w:asciiTheme="minorHAnsi" w:hAnsiTheme="minorHAnsi" w:eastAsiaTheme="minorEastAsia" w:cstheme="minorBidi"/>
            <w:noProof/>
            <w:sz w:val="22"/>
            <w:szCs w:val="22"/>
          </w:rPr>
          <w:tab/>
        </w:r>
        <w:r w:rsidRPr="002E0CAA" w:rsidR="002E0CAA">
          <w:rPr>
            <w:rStyle w:val="Hyperlink"/>
            <w:noProof/>
            <w:lang w:val="en"/>
          </w:rPr>
          <w:t>Assumed Response Rates</w:t>
        </w:r>
        <w:r w:rsidRPr="002E0CAA" w:rsidR="002E0CAA">
          <w:rPr>
            <w:rStyle w:val="Hyperlink"/>
            <w:noProof/>
            <w:vertAlign w:val="superscript"/>
            <w:lang w:val="en"/>
          </w:rPr>
          <w:t>1</w:t>
        </w:r>
        <w:r w:rsidRPr="002E0CAA" w:rsidR="002E0CAA">
          <w:rPr>
            <w:rStyle w:val="Hyperlink"/>
            <w:noProof/>
            <w:lang w:val="en"/>
          </w:rPr>
          <w:t xml:space="preserve"> for the Field Test</w:t>
        </w:r>
        <w:r w:rsidRPr="002E0CAA" w:rsidR="002E0CAA">
          <w:rPr>
            <w:noProof/>
            <w:webHidden/>
          </w:rPr>
          <w:tab/>
        </w:r>
        <w:r w:rsidR="002E0CAA">
          <w:rPr>
            <w:noProof/>
            <w:webHidden/>
          </w:rPr>
          <w:tab/>
        </w:r>
        <w:r w:rsidRPr="002E0CAA" w:rsidR="002E0CAA">
          <w:rPr>
            <w:noProof/>
            <w:webHidden/>
          </w:rPr>
          <w:fldChar w:fldCharType="begin"/>
        </w:r>
        <w:r w:rsidRPr="002E0CAA" w:rsidR="002E0CAA">
          <w:rPr>
            <w:noProof/>
            <w:webHidden/>
          </w:rPr>
          <w:instrText xml:space="preserve"> PAGEREF _Toc93489538 \h </w:instrText>
        </w:r>
        <w:r w:rsidRPr="002E0CAA" w:rsidR="002E0CAA">
          <w:rPr>
            <w:noProof/>
            <w:webHidden/>
          </w:rPr>
        </w:r>
        <w:r w:rsidRPr="002E0CAA" w:rsidR="002E0CAA">
          <w:rPr>
            <w:noProof/>
            <w:webHidden/>
          </w:rPr>
          <w:fldChar w:fldCharType="separate"/>
        </w:r>
        <w:r w:rsidRPr="002E0CAA" w:rsidR="002E0CAA">
          <w:rPr>
            <w:noProof/>
            <w:webHidden/>
          </w:rPr>
          <w:t>7</w:t>
        </w:r>
        <w:r w:rsidRPr="002E0CAA" w:rsidR="002E0CAA">
          <w:rPr>
            <w:noProof/>
            <w:webHidden/>
          </w:rPr>
          <w:fldChar w:fldCharType="end"/>
        </w:r>
      </w:hyperlink>
    </w:p>
    <w:p w:rsidRPr="002E0CAA" w:rsidR="002E0CAA" w:rsidRDefault="009A2C88" w14:paraId="7A62AC0C" w14:textId="207A8099">
      <w:pPr>
        <w:pStyle w:val="TOC1"/>
        <w:rPr>
          <w:rFonts w:asciiTheme="minorHAnsi" w:hAnsiTheme="minorHAnsi" w:eastAsiaTheme="minorEastAsia" w:cstheme="minorBidi"/>
          <w:noProof/>
          <w:sz w:val="22"/>
          <w:szCs w:val="22"/>
        </w:rPr>
      </w:pPr>
      <w:hyperlink w:history="1" w:anchor="_Toc93489539">
        <w:r w:rsidRPr="002E0CAA" w:rsidR="002E0CAA">
          <w:rPr>
            <w:rStyle w:val="Hyperlink"/>
            <w:noProof/>
            <w:lang w:val="en"/>
          </w:rPr>
          <w:t>Table B.3.</w:t>
        </w:r>
        <w:r w:rsidRPr="002E0CAA" w:rsidR="002E0CAA">
          <w:rPr>
            <w:rFonts w:asciiTheme="minorHAnsi" w:hAnsiTheme="minorHAnsi" w:eastAsiaTheme="minorEastAsia" w:cstheme="minorBidi"/>
            <w:noProof/>
            <w:sz w:val="22"/>
            <w:szCs w:val="22"/>
          </w:rPr>
          <w:tab/>
        </w:r>
        <w:r w:rsidRPr="002E0CAA" w:rsidR="002E0CAA">
          <w:rPr>
            <w:rStyle w:val="Hyperlink"/>
            <w:noProof/>
            <w:lang w:val="en"/>
          </w:rPr>
          <w:t>Comparison of assumed field test response rates vs. comparable NFS Pilot response rates, unweighted</w:t>
        </w:r>
        <w:r w:rsidRPr="002E0CAA" w:rsidR="002E0CAA">
          <w:rPr>
            <w:noProof/>
            <w:webHidden/>
          </w:rPr>
          <w:tab/>
        </w:r>
        <w:r w:rsidR="002E0CAA">
          <w:rPr>
            <w:noProof/>
            <w:webHidden/>
          </w:rPr>
          <w:tab/>
        </w:r>
        <w:r w:rsidRPr="002E0CAA" w:rsidR="002E0CAA">
          <w:rPr>
            <w:noProof/>
            <w:webHidden/>
          </w:rPr>
          <w:fldChar w:fldCharType="begin"/>
        </w:r>
        <w:r w:rsidRPr="002E0CAA" w:rsidR="002E0CAA">
          <w:rPr>
            <w:noProof/>
            <w:webHidden/>
          </w:rPr>
          <w:instrText xml:space="preserve"> PAGEREF _Toc93489539 \h </w:instrText>
        </w:r>
        <w:r w:rsidRPr="002E0CAA" w:rsidR="002E0CAA">
          <w:rPr>
            <w:noProof/>
            <w:webHidden/>
          </w:rPr>
        </w:r>
        <w:r w:rsidRPr="002E0CAA" w:rsidR="002E0CAA">
          <w:rPr>
            <w:noProof/>
            <w:webHidden/>
          </w:rPr>
          <w:fldChar w:fldCharType="separate"/>
        </w:r>
        <w:r w:rsidRPr="002E0CAA" w:rsidR="002E0CAA">
          <w:rPr>
            <w:noProof/>
            <w:webHidden/>
          </w:rPr>
          <w:t>8</w:t>
        </w:r>
        <w:r w:rsidRPr="002E0CAA" w:rsidR="002E0CAA">
          <w:rPr>
            <w:noProof/>
            <w:webHidden/>
          </w:rPr>
          <w:fldChar w:fldCharType="end"/>
        </w:r>
      </w:hyperlink>
    </w:p>
    <w:p w:rsidRPr="002E0CAA" w:rsidR="002E0CAA" w:rsidRDefault="009A2C88" w14:paraId="65CC933B" w14:textId="5E0B06CA">
      <w:pPr>
        <w:pStyle w:val="TOC1"/>
        <w:rPr>
          <w:rFonts w:asciiTheme="minorHAnsi" w:hAnsiTheme="minorHAnsi" w:eastAsiaTheme="minorEastAsia" w:cstheme="minorBidi"/>
          <w:noProof/>
          <w:sz w:val="22"/>
          <w:szCs w:val="22"/>
        </w:rPr>
      </w:pPr>
      <w:hyperlink w:history="1" w:anchor="_Toc93489541">
        <w:r w:rsidRPr="002E0CAA" w:rsidR="002E0CAA">
          <w:rPr>
            <w:rStyle w:val="Hyperlink"/>
            <w:noProof/>
            <w:lang w:val="en"/>
          </w:rPr>
          <w:t xml:space="preserve">Table B.4. </w:t>
        </w:r>
        <w:r w:rsidRPr="002E0CAA" w:rsidR="002E0CAA">
          <w:rPr>
            <w:rFonts w:asciiTheme="minorHAnsi" w:hAnsiTheme="minorHAnsi" w:eastAsiaTheme="minorEastAsia" w:cstheme="minorBidi"/>
            <w:noProof/>
            <w:sz w:val="22"/>
            <w:szCs w:val="22"/>
          </w:rPr>
          <w:tab/>
        </w:r>
        <w:r w:rsidRPr="002E0CAA" w:rsidR="002E0CAA">
          <w:rPr>
            <w:rStyle w:val="Hyperlink"/>
            <w:noProof/>
            <w:lang w:val="en"/>
          </w:rPr>
          <w:t>Screener Sample Size per Case for a Simple Screening Exercise</w:t>
        </w:r>
        <w:r w:rsidRPr="002E0CAA" w:rsidR="002E0CAA">
          <w:rPr>
            <w:noProof/>
            <w:webHidden/>
          </w:rPr>
          <w:tab/>
        </w:r>
        <w:r w:rsidR="002E0CAA">
          <w:rPr>
            <w:noProof/>
            <w:webHidden/>
          </w:rPr>
          <w:tab/>
        </w:r>
        <w:r w:rsidRPr="002E0CAA" w:rsidR="002E0CAA">
          <w:rPr>
            <w:noProof/>
            <w:webHidden/>
          </w:rPr>
          <w:fldChar w:fldCharType="begin"/>
        </w:r>
        <w:r w:rsidRPr="002E0CAA" w:rsidR="002E0CAA">
          <w:rPr>
            <w:noProof/>
            <w:webHidden/>
          </w:rPr>
          <w:instrText xml:space="preserve"> PAGEREF _Toc93489541 \h </w:instrText>
        </w:r>
        <w:r w:rsidRPr="002E0CAA" w:rsidR="002E0CAA">
          <w:rPr>
            <w:noProof/>
            <w:webHidden/>
          </w:rPr>
        </w:r>
        <w:r w:rsidRPr="002E0CAA" w:rsidR="002E0CAA">
          <w:rPr>
            <w:noProof/>
            <w:webHidden/>
          </w:rPr>
          <w:fldChar w:fldCharType="separate"/>
        </w:r>
        <w:r w:rsidRPr="002E0CAA" w:rsidR="002E0CAA">
          <w:rPr>
            <w:noProof/>
            <w:webHidden/>
          </w:rPr>
          <w:t>11</w:t>
        </w:r>
        <w:r w:rsidRPr="002E0CAA" w:rsidR="002E0CAA">
          <w:rPr>
            <w:noProof/>
            <w:webHidden/>
          </w:rPr>
          <w:fldChar w:fldCharType="end"/>
        </w:r>
      </w:hyperlink>
    </w:p>
    <w:p w:rsidRPr="002E0CAA" w:rsidR="002E0CAA" w:rsidRDefault="009A2C88" w14:paraId="50140831" w14:textId="26129BFF">
      <w:pPr>
        <w:pStyle w:val="TOC1"/>
        <w:rPr>
          <w:rFonts w:asciiTheme="minorHAnsi" w:hAnsiTheme="minorHAnsi" w:eastAsiaTheme="minorEastAsia" w:cstheme="minorBidi"/>
          <w:noProof/>
          <w:sz w:val="22"/>
          <w:szCs w:val="22"/>
        </w:rPr>
      </w:pPr>
      <w:hyperlink w:history="1" w:anchor="_Toc93489543">
        <w:r w:rsidRPr="002E0CAA" w:rsidR="002E0CAA">
          <w:rPr>
            <w:rStyle w:val="Hyperlink"/>
            <w:noProof/>
            <w:lang w:val="en"/>
          </w:rPr>
          <w:t xml:space="preserve">Table B.5a. </w:t>
        </w:r>
        <w:r w:rsidRPr="002E0CAA" w:rsidR="002E0CAA">
          <w:rPr>
            <w:rFonts w:asciiTheme="minorHAnsi" w:hAnsiTheme="minorHAnsi" w:eastAsiaTheme="minorEastAsia" w:cstheme="minorBidi"/>
            <w:noProof/>
            <w:sz w:val="22"/>
            <w:szCs w:val="22"/>
          </w:rPr>
          <w:tab/>
        </w:r>
        <w:r w:rsidRPr="002E0CAA" w:rsidR="002E0CAA">
          <w:rPr>
            <w:rStyle w:val="Hyperlink"/>
            <w:noProof/>
            <w:lang w:val="en"/>
          </w:rPr>
          <w:t>Standard errors and coefficients of variation for average household food acquisitions during survey week, NFS Pilot</w:t>
        </w:r>
        <w:r w:rsidRPr="002E0CAA" w:rsidR="002E0CAA">
          <w:rPr>
            <w:noProof/>
            <w:webHidden/>
          </w:rPr>
          <w:tab/>
        </w:r>
        <w:r w:rsidR="002E0CAA">
          <w:rPr>
            <w:noProof/>
            <w:webHidden/>
          </w:rPr>
          <w:tab/>
        </w:r>
        <w:r w:rsidRPr="002E0CAA" w:rsidR="002E0CAA">
          <w:rPr>
            <w:noProof/>
            <w:webHidden/>
          </w:rPr>
          <w:fldChar w:fldCharType="begin"/>
        </w:r>
        <w:r w:rsidRPr="002E0CAA" w:rsidR="002E0CAA">
          <w:rPr>
            <w:noProof/>
            <w:webHidden/>
          </w:rPr>
          <w:instrText xml:space="preserve"> PAGEREF _Toc93489543 \h </w:instrText>
        </w:r>
        <w:r w:rsidRPr="002E0CAA" w:rsidR="002E0CAA">
          <w:rPr>
            <w:noProof/>
            <w:webHidden/>
          </w:rPr>
        </w:r>
        <w:r w:rsidRPr="002E0CAA" w:rsidR="002E0CAA">
          <w:rPr>
            <w:noProof/>
            <w:webHidden/>
          </w:rPr>
          <w:fldChar w:fldCharType="separate"/>
        </w:r>
        <w:r w:rsidRPr="002E0CAA" w:rsidR="002E0CAA">
          <w:rPr>
            <w:noProof/>
            <w:webHidden/>
          </w:rPr>
          <w:t>17</w:t>
        </w:r>
        <w:r w:rsidRPr="002E0CAA" w:rsidR="002E0CAA">
          <w:rPr>
            <w:noProof/>
            <w:webHidden/>
          </w:rPr>
          <w:fldChar w:fldCharType="end"/>
        </w:r>
      </w:hyperlink>
    </w:p>
    <w:p w:rsidRPr="002E0CAA" w:rsidR="002E0CAA" w:rsidRDefault="009A2C88" w14:paraId="2B8B25C8" w14:textId="0D5A0E37">
      <w:pPr>
        <w:pStyle w:val="TOC1"/>
        <w:rPr>
          <w:rFonts w:asciiTheme="minorHAnsi" w:hAnsiTheme="minorHAnsi" w:eastAsiaTheme="minorEastAsia" w:cstheme="minorBidi"/>
          <w:noProof/>
          <w:sz w:val="22"/>
          <w:szCs w:val="22"/>
        </w:rPr>
      </w:pPr>
      <w:hyperlink w:history="1" w:anchor="_Toc93489544">
        <w:r w:rsidRPr="002E0CAA" w:rsidR="002E0CAA">
          <w:rPr>
            <w:rStyle w:val="Hyperlink"/>
            <w:noProof/>
            <w:lang w:val="en"/>
          </w:rPr>
          <w:t xml:space="preserve">Table B.5b. </w:t>
        </w:r>
        <w:r w:rsidRPr="002E0CAA" w:rsidR="002E0CAA">
          <w:rPr>
            <w:rFonts w:asciiTheme="minorHAnsi" w:hAnsiTheme="minorHAnsi" w:eastAsiaTheme="minorEastAsia" w:cstheme="minorBidi"/>
            <w:noProof/>
            <w:sz w:val="22"/>
            <w:szCs w:val="22"/>
          </w:rPr>
          <w:tab/>
        </w:r>
        <w:r w:rsidRPr="002E0CAA" w:rsidR="002E0CAA">
          <w:rPr>
            <w:rStyle w:val="Hyperlink"/>
            <w:noProof/>
          </w:rPr>
          <w:t>Standard errors and coefficients of variation for estimated percentage of overall perception of Food Log for primary respondents, NFS Pilot</w:t>
        </w:r>
        <w:r w:rsidRPr="002E0CAA" w:rsidR="002E0CAA">
          <w:rPr>
            <w:noProof/>
            <w:webHidden/>
          </w:rPr>
          <w:tab/>
        </w:r>
        <w:r w:rsidR="002E0CAA">
          <w:rPr>
            <w:noProof/>
            <w:webHidden/>
          </w:rPr>
          <w:tab/>
        </w:r>
        <w:r w:rsidRPr="002E0CAA" w:rsidR="002E0CAA">
          <w:rPr>
            <w:noProof/>
            <w:webHidden/>
          </w:rPr>
          <w:fldChar w:fldCharType="begin"/>
        </w:r>
        <w:r w:rsidRPr="002E0CAA" w:rsidR="002E0CAA">
          <w:rPr>
            <w:noProof/>
            <w:webHidden/>
          </w:rPr>
          <w:instrText xml:space="preserve"> PAGEREF _Toc93489544 \h </w:instrText>
        </w:r>
        <w:r w:rsidRPr="002E0CAA" w:rsidR="002E0CAA">
          <w:rPr>
            <w:noProof/>
            <w:webHidden/>
          </w:rPr>
        </w:r>
        <w:r w:rsidRPr="002E0CAA" w:rsidR="002E0CAA">
          <w:rPr>
            <w:noProof/>
            <w:webHidden/>
          </w:rPr>
          <w:fldChar w:fldCharType="separate"/>
        </w:r>
        <w:r w:rsidRPr="002E0CAA" w:rsidR="002E0CAA">
          <w:rPr>
            <w:noProof/>
            <w:webHidden/>
          </w:rPr>
          <w:t>18</w:t>
        </w:r>
        <w:r w:rsidRPr="002E0CAA" w:rsidR="002E0CAA">
          <w:rPr>
            <w:noProof/>
            <w:webHidden/>
          </w:rPr>
          <w:fldChar w:fldCharType="end"/>
        </w:r>
      </w:hyperlink>
    </w:p>
    <w:p w:rsidRPr="002E0CAA" w:rsidR="002E0CAA" w:rsidP="002E0CAA" w:rsidRDefault="002E0CAA" w14:paraId="2247DF39" w14:textId="0B37770B">
      <w:pPr>
        <w:spacing w:line="240" w:lineRule="auto"/>
        <w:ind w:firstLine="288"/>
        <w:rPr>
          <w:sz w:val="22"/>
          <w:szCs w:val="18"/>
          <w:lang w:val="en"/>
        </w:rPr>
      </w:pPr>
      <w:r w:rsidRPr="002E0CAA">
        <w:rPr>
          <w:lang w:val="en"/>
        </w:rPr>
        <w:t>Table B.6a.  Incentive Plan for the Field Test</w:t>
      </w:r>
      <w:r>
        <w:rPr>
          <w:lang w:val="en"/>
        </w:rPr>
        <w:t>……………………………………..</w:t>
      </w:r>
      <w:r>
        <w:rPr>
          <w:lang w:val="en"/>
        </w:rPr>
        <w:tab/>
      </w:r>
      <w:r w:rsidR="0093147F">
        <w:rPr>
          <w:lang w:val="en"/>
        </w:rPr>
        <w:t>20</w:t>
      </w:r>
    </w:p>
    <w:p w:rsidRPr="002E0CAA" w:rsidR="002E0CAA" w:rsidRDefault="0093147F" w14:paraId="1435254D" w14:textId="69DE9957">
      <w:pPr>
        <w:pStyle w:val="TOC1"/>
        <w:rPr>
          <w:rFonts w:asciiTheme="minorHAnsi" w:hAnsiTheme="minorHAnsi" w:eastAsiaTheme="minorEastAsia" w:cstheme="minorBidi"/>
          <w:noProof/>
          <w:sz w:val="22"/>
          <w:szCs w:val="22"/>
        </w:rPr>
      </w:pPr>
      <w:hyperlink w:history="1" w:anchor="_Toc93489545">
        <w:r w:rsidRPr="002E0CAA">
          <w:rPr>
            <w:rStyle w:val="Hyperlink"/>
            <w:noProof/>
            <w:lang w:val="en"/>
          </w:rPr>
          <w:t xml:space="preserve">Table B.6b. </w:t>
        </w:r>
        <w:r w:rsidRPr="002E0CAA">
          <w:rPr>
            <w:rFonts w:asciiTheme="minorHAnsi" w:hAnsiTheme="minorHAnsi" w:eastAsiaTheme="minorEastAsia" w:cstheme="minorBidi"/>
            <w:noProof/>
            <w:sz w:val="22"/>
            <w:szCs w:val="22"/>
          </w:rPr>
          <w:tab/>
        </w:r>
        <w:r w:rsidRPr="002E0CAA">
          <w:rPr>
            <w:rStyle w:val="Hyperlink"/>
            <w:noProof/>
            <w:lang w:val="en"/>
          </w:rPr>
          <w:t>Incentive Experiment for the Field Test</w:t>
        </w:r>
        <w:r w:rsidRPr="002E0CAA">
          <w:rPr>
            <w:noProof/>
            <w:webHidden/>
          </w:rPr>
          <w:tab/>
        </w:r>
        <w:r>
          <w:rPr>
            <w:noProof/>
            <w:webHidden/>
          </w:rPr>
          <w:tab/>
        </w:r>
        <w:r w:rsidRPr="002E0CAA">
          <w:rPr>
            <w:noProof/>
            <w:webHidden/>
          </w:rPr>
          <w:fldChar w:fldCharType="begin"/>
        </w:r>
        <w:r w:rsidRPr="002E0CAA">
          <w:rPr>
            <w:noProof/>
            <w:webHidden/>
          </w:rPr>
          <w:instrText xml:space="preserve"> PAGEREF _Toc93489545 \h </w:instrText>
        </w:r>
        <w:r w:rsidRPr="002E0CAA">
          <w:rPr>
            <w:noProof/>
            <w:webHidden/>
          </w:rPr>
        </w:r>
        <w:r w:rsidRPr="002E0CAA">
          <w:rPr>
            <w:noProof/>
            <w:webHidden/>
          </w:rPr>
          <w:fldChar w:fldCharType="separate"/>
        </w:r>
        <w:r w:rsidRPr="002E0CAA">
          <w:rPr>
            <w:noProof/>
            <w:webHidden/>
          </w:rPr>
          <w:t>2</w:t>
        </w:r>
        <w:r>
          <w:rPr>
            <w:noProof/>
            <w:webHidden/>
          </w:rPr>
          <w:t>1</w:t>
        </w:r>
        <w:r w:rsidRPr="002E0CAA">
          <w:rPr>
            <w:noProof/>
            <w:webHidden/>
          </w:rPr>
          <w:fldChar w:fldCharType="end"/>
        </w:r>
      </w:hyperlink>
    </w:p>
    <w:p w:rsidRPr="002E0CAA" w:rsidR="002E0CAA" w:rsidRDefault="0093147F" w14:paraId="55E4C4ED" w14:textId="1BAD8F3A">
      <w:pPr>
        <w:pStyle w:val="TOC1"/>
        <w:rPr>
          <w:rFonts w:asciiTheme="minorHAnsi" w:hAnsiTheme="minorHAnsi" w:eastAsiaTheme="minorEastAsia" w:cstheme="minorBidi"/>
          <w:noProof/>
          <w:sz w:val="22"/>
          <w:szCs w:val="22"/>
        </w:rPr>
      </w:pPr>
      <w:hyperlink w:history="1" w:anchor="_Toc93489546">
        <w:r w:rsidRPr="002E0CAA">
          <w:rPr>
            <w:rStyle w:val="Hyperlink"/>
            <w:noProof/>
            <w:lang w:val="en"/>
          </w:rPr>
          <w:t>Table B.7.</w:t>
        </w:r>
        <w:r w:rsidRPr="002E0CAA">
          <w:rPr>
            <w:rFonts w:asciiTheme="minorHAnsi" w:hAnsiTheme="minorHAnsi" w:eastAsiaTheme="minorEastAsia" w:cstheme="minorBidi"/>
            <w:noProof/>
            <w:sz w:val="22"/>
            <w:szCs w:val="22"/>
          </w:rPr>
          <w:tab/>
        </w:r>
        <w:r w:rsidRPr="002E0CAA">
          <w:rPr>
            <w:rStyle w:val="Hyperlink"/>
            <w:noProof/>
            <w:lang w:val="en"/>
          </w:rPr>
          <w:t>Minimum Detectable Differences for the Incentive Field Test, n=430 Households</w:t>
        </w:r>
        <w:r w:rsidRPr="002E0CAA">
          <w:rPr>
            <w:noProof/>
            <w:webHidden/>
          </w:rPr>
          <w:tab/>
        </w:r>
        <w:r>
          <w:rPr>
            <w:noProof/>
            <w:webHidden/>
          </w:rPr>
          <w:tab/>
        </w:r>
        <w:r w:rsidRPr="002E0CAA">
          <w:rPr>
            <w:noProof/>
            <w:webHidden/>
          </w:rPr>
          <w:fldChar w:fldCharType="begin"/>
        </w:r>
        <w:r w:rsidRPr="002E0CAA">
          <w:rPr>
            <w:noProof/>
            <w:webHidden/>
          </w:rPr>
          <w:instrText xml:space="preserve"> PAGEREF _Toc93489546 \h </w:instrText>
        </w:r>
        <w:r w:rsidRPr="002E0CAA">
          <w:rPr>
            <w:noProof/>
            <w:webHidden/>
          </w:rPr>
        </w:r>
        <w:r w:rsidRPr="002E0CAA">
          <w:rPr>
            <w:noProof/>
            <w:webHidden/>
          </w:rPr>
          <w:fldChar w:fldCharType="separate"/>
        </w:r>
        <w:r w:rsidRPr="002E0CAA">
          <w:rPr>
            <w:noProof/>
            <w:webHidden/>
          </w:rPr>
          <w:t>2</w:t>
        </w:r>
        <w:r>
          <w:rPr>
            <w:noProof/>
            <w:webHidden/>
          </w:rPr>
          <w:t>1</w:t>
        </w:r>
        <w:r w:rsidRPr="002E0CAA">
          <w:rPr>
            <w:noProof/>
            <w:webHidden/>
          </w:rPr>
          <w:fldChar w:fldCharType="end"/>
        </w:r>
      </w:hyperlink>
    </w:p>
    <w:p w:rsidR="002E0CAA" w:rsidP="00E42E44" w:rsidRDefault="0032494A" w14:paraId="04107C9D" w14:textId="77777777">
      <w:pPr>
        <w:pStyle w:val="T0-ChapPgHd"/>
        <w:rPr>
          <w:b/>
          <w:bCs/>
        </w:rPr>
      </w:pPr>
      <w:r w:rsidRPr="00E42E44">
        <w:rPr>
          <w:b/>
          <w:bCs/>
        </w:rPr>
        <w:fldChar w:fldCharType="end"/>
      </w:r>
    </w:p>
    <w:p w:rsidR="00E42E44" w:rsidP="00E42E44" w:rsidRDefault="00E42E44" w14:paraId="47CDCFA4" w14:textId="0F3F2238">
      <w:pPr>
        <w:pStyle w:val="T0-ChapPgHd"/>
      </w:pPr>
      <w:r>
        <w:t>Figures</w:t>
      </w:r>
      <w:r>
        <w:tab/>
      </w:r>
    </w:p>
    <w:p w:rsidRPr="001061E4" w:rsidR="00E42E44" w:rsidP="00E42E44" w:rsidRDefault="00E42E44" w14:paraId="3DA3A80F" w14:textId="77777777">
      <w:pPr>
        <w:pStyle w:val="T0-ChapPgHd"/>
        <w:rPr>
          <w:u w:val="none"/>
        </w:rPr>
      </w:pPr>
    </w:p>
    <w:p w:rsidRPr="002E64CB" w:rsidR="00E42E44" w:rsidP="00E42E44" w:rsidRDefault="009A2C88" w14:paraId="4A732D5A" w14:textId="614ED797">
      <w:pPr>
        <w:pStyle w:val="TOC1"/>
        <w:rPr>
          <w:rFonts w:asciiTheme="minorHAnsi" w:hAnsiTheme="minorHAnsi" w:eastAsiaTheme="minorEastAsia" w:cstheme="minorBidi"/>
          <w:noProof/>
          <w:sz w:val="22"/>
          <w:szCs w:val="22"/>
          <w:lang w:eastAsia="ja-JP"/>
        </w:rPr>
      </w:pPr>
      <w:hyperlink w:history="1" w:anchor="_Toc74292062">
        <w:r w:rsidRPr="002E64CB" w:rsidR="00DA7104">
          <w:rPr>
            <w:rStyle w:val="Hyperlink"/>
            <w:bCs/>
            <w:noProof/>
            <w:lang w:val="en"/>
          </w:rPr>
          <w:t xml:space="preserve">B.1. </w:t>
        </w:r>
        <w:r w:rsidRPr="002E64CB" w:rsidR="00DA7104">
          <w:rPr>
            <w:rFonts w:asciiTheme="minorHAnsi" w:hAnsiTheme="minorHAnsi" w:eastAsiaTheme="minorEastAsia" w:cstheme="minorBidi"/>
            <w:noProof/>
            <w:sz w:val="22"/>
            <w:szCs w:val="22"/>
            <w:lang w:eastAsia="ja-JP"/>
          </w:rPr>
          <w:tab/>
        </w:r>
        <w:r w:rsidRPr="002E64CB" w:rsidR="00DA7104">
          <w:rPr>
            <w:rStyle w:val="Hyperlink"/>
            <w:bCs/>
            <w:noProof/>
            <w:lang w:val="en"/>
          </w:rPr>
          <w:t>Response rate declines for major in-person surveys</w:t>
        </w:r>
        <w:r w:rsidRPr="002E64CB" w:rsidR="00DA7104">
          <w:rPr>
            <w:noProof/>
            <w:webHidden/>
          </w:rPr>
          <w:tab/>
        </w:r>
        <w:r w:rsidRPr="002E64CB" w:rsidR="00DA7104">
          <w:rPr>
            <w:noProof/>
            <w:webHidden/>
          </w:rPr>
          <w:tab/>
        </w:r>
        <w:r w:rsidR="00DA7104">
          <w:rPr>
            <w:noProof/>
            <w:webHidden/>
          </w:rPr>
          <w:t>8</w:t>
        </w:r>
      </w:hyperlink>
    </w:p>
    <w:p w:rsidRPr="002E64CB" w:rsidR="00E42E44" w:rsidP="00E42E44" w:rsidRDefault="009A2C88" w14:paraId="3F9FB0BC" w14:textId="28B1A368">
      <w:pPr>
        <w:pStyle w:val="TOC1"/>
        <w:rPr>
          <w:rFonts w:asciiTheme="minorHAnsi" w:hAnsiTheme="minorHAnsi" w:eastAsiaTheme="minorEastAsia" w:cstheme="minorBidi"/>
          <w:noProof/>
          <w:sz w:val="22"/>
          <w:szCs w:val="22"/>
          <w:lang w:eastAsia="ja-JP"/>
        </w:rPr>
      </w:pPr>
      <w:hyperlink w:history="1" w:anchor="_Toc74292064">
        <w:r w:rsidRPr="002E64CB" w:rsidR="00DA7104">
          <w:rPr>
            <w:rStyle w:val="Hyperlink"/>
            <w:bCs/>
            <w:noProof/>
            <w:lang w:val="en"/>
          </w:rPr>
          <w:t xml:space="preserve">B.2. </w:t>
        </w:r>
        <w:r w:rsidRPr="002E64CB" w:rsidR="00DA7104">
          <w:rPr>
            <w:rFonts w:asciiTheme="minorHAnsi" w:hAnsiTheme="minorHAnsi" w:eastAsiaTheme="minorEastAsia" w:cstheme="minorBidi"/>
            <w:noProof/>
            <w:sz w:val="22"/>
            <w:szCs w:val="22"/>
            <w:lang w:eastAsia="ja-JP"/>
          </w:rPr>
          <w:tab/>
        </w:r>
        <w:r w:rsidRPr="002E64CB" w:rsidR="00DA7104">
          <w:rPr>
            <w:rStyle w:val="Hyperlink"/>
            <w:bCs/>
            <w:noProof/>
            <w:lang w:val="en"/>
          </w:rPr>
          <w:t>Flow of Sample Design</w:t>
        </w:r>
        <w:r w:rsidRPr="002E64CB" w:rsidR="00DA7104">
          <w:rPr>
            <w:noProof/>
            <w:webHidden/>
          </w:rPr>
          <w:tab/>
        </w:r>
        <w:r w:rsidRPr="002E64CB" w:rsidR="00DA7104">
          <w:rPr>
            <w:noProof/>
            <w:webHidden/>
          </w:rPr>
          <w:tab/>
        </w:r>
        <w:r w:rsidRPr="002E64CB" w:rsidR="00DA7104">
          <w:rPr>
            <w:noProof/>
            <w:webHidden/>
          </w:rPr>
          <w:fldChar w:fldCharType="begin"/>
        </w:r>
        <w:r w:rsidRPr="002E64CB" w:rsidR="00DA7104">
          <w:rPr>
            <w:noProof/>
            <w:webHidden/>
          </w:rPr>
          <w:instrText xml:space="preserve"> PAGEREF _Toc74292064 \h </w:instrText>
        </w:r>
        <w:r w:rsidRPr="002E64CB" w:rsidR="00DA7104">
          <w:rPr>
            <w:noProof/>
            <w:webHidden/>
          </w:rPr>
        </w:r>
        <w:r w:rsidRPr="002E64CB" w:rsidR="00DA7104">
          <w:rPr>
            <w:noProof/>
            <w:webHidden/>
          </w:rPr>
          <w:fldChar w:fldCharType="separate"/>
        </w:r>
        <w:r w:rsidRPr="002E64CB" w:rsidR="00DA7104">
          <w:rPr>
            <w:noProof/>
            <w:webHidden/>
          </w:rPr>
          <w:t>1</w:t>
        </w:r>
        <w:r w:rsidR="00DA7104">
          <w:rPr>
            <w:noProof/>
            <w:webHidden/>
          </w:rPr>
          <w:t>2</w:t>
        </w:r>
        <w:r w:rsidRPr="002E64CB" w:rsidR="00DA7104">
          <w:rPr>
            <w:noProof/>
            <w:webHidden/>
          </w:rPr>
          <w:fldChar w:fldCharType="end"/>
        </w:r>
      </w:hyperlink>
    </w:p>
    <w:p w:rsidR="00E42E44" w:rsidP="00E42E44" w:rsidRDefault="00E42E44" w14:paraId="6C4BEA5F" w14:textId="77777777">
      <w:pPr>
        <w:pStyle w:val="T0-ChapPgHd"/>
      </w:pPr>
    </w:p>
    <w:p w:rsidRPr="00C13FB8" w:rsidR="00E42E44" w:rsidP="00E42E44" w:rsidRDefault="00E42E44" w14:paraId="376B22B1" w14:textId="77777777">
      <w:pPr>
        <w:pStyle w:val="T0-ChapPgHd"/>
        <w:rPr>
          <w:u w:val="single"/>
        </w:rPr>
      </w:pPr>
      <w:r w:rsidRPr="00C13FB8">
        <w:rPr>
          <w:u w:val="single"/>
        </w:rPr>
        <w:t>A</w:t>
      </w:r>
      <w:r>
        <w:rPr>
          <w:u w:val="single"/>
        </w:rPr>
        <w:t>ttachments</w:t>
      </w:r>
    </w:p>
    <w:p w:rsidR="00E42E44" w:rsidP="00E42E44" w:rsidRDefault="00E42E44" w14:paraId="241EB499" w14:textId="77777777">
      <w:pPr>
        <w:pStyle w:val="T0-ChapPgHd"/>
      </w:pPr>
    </w:p>
    <w:p w:rsidR="00E42E44" w:rsidP="00E42E44" w:rsidRDefault="00E42E44" w14:paraId="49031252" w14:textId="77777777">
      <w:pPr>
        <w:pStyle w:val="TOC1"/>
        <w:ind w:right="0"/>
        <w:rPr>
          <w:szCs w:val="24"/>
        </w:rPr>
      </w:pPr>
      <w:r>
        <w:rPr>
          <w:szCs w:val="24"/>
        </w:rPr>
        <w:t>U</w:t>
      </w:r>
      <w:r w:rsidRPr="000823FE">
        <w:rPr>
          <w:szCs w:val="24"/>
        </w:rPr>
        <w:t>.</w:t>
      </w:r>
      <w:r w:rsidRPr="000823FE">
        <w:rPr>
          <w:szCs w:val="24"/>
        </w:rPr>
        <w:tab/>
      </w:r>
      <w:r w:rsidRPr="00163D6F">
        <w:rPr>
          <w:szCs w:val="24"/>
        </w:rPr>
        <w:t xml:space="preserve">Final Analysis Report and Recommendations for Revisions to the FoodLogger from the First Round of Usability Testing </w:t>
      </w:r>
    </w:p>
    <w:p w:rsidR="00E42E44" w:rsidP="00E42E44" w:rsidRDefault="00E42E44" w14:paraId="15E2AB3C" w14:textId="77777777">
      <w:pPr>
        <w:pStyle w:val="TOC1"/>
        <w:ind w:right="0"/>
        <w:rPr>
          <w:szCs w:val="24"/>
        </w:rPr>
      </w:pPr>
      <w:r>
        <w:rPr>
          <w:szCs w:val="24"/>
        </w:rPr>
        <w:t>V1.</w:t>
      </w:r>
      <w:r>
        <w:rPr>
          <w:szCs w:val="24"/>
        </w:rPr>
        <w:tab/>
      </w:r>
      <w:r w:rsidRPr="000A6EF7">
        <w:rPr>
          <w:szCs w:val="24"/>
        </w:rPr>
        <w:t>Welcome to NFS Video Script</w:t>
      </w:r>
    </w:p>
    <w:p w:rsidR="00E42E44" w:rsidP="00E42E44" w:rsidRDefault="00E42E44" w14:paraId="33CFCF4D" w14:textId="77777777">
      <w:pPr>
        <w:pStyle w:val="TOC1"/>
        <w:ind w:right="0"/>
        <w:rPr>
          <w:szCs w:val="24"/>
        </w:rPr>
      </w:pPr>
      <w:r>
        <w:rPr>
          <w:szCs w:val="24"/>
        </w:rPr>
        <w:t>V2.</w:t>
      </w:r>
      <w:r>
        <w:rPr>
          <w:szCs w:val="24"/>
        </w:rPr>
        <w:tab/>
      </w:r>
      <w:r w:rsidRPr="000A6EF7">
        <w:rPr>
          <w:szCs w:val="24"/>
        </w:rPr>
        <w:t>Getting Started Video Script</w:t>
      </w:r>
    </w:p>
    <w:p w:rsidR="00E42E44" w:rsidP="00E42E44" w:rsidRDefault="00E42E44" w14:paraId="465080C8" w14:textId="77777777">
      <w:pPr>
        <w:pStyle w:val="TOC1"/>
        <w:ind w:right="0"/>
        <w:rPr>
          <w:szCs w:val="24"/>
        </w:rPr>
      </w:pPr>
      <w:r>
        <w:rPr>
          <w:szCs w:val="24"/>
        </w:rPr>
        <w:t>V3.</w:t>
      </w:r>
      <w:r>
        <w:rPr>
          <w:szCs w:val="24"/>
        </w:rPr>
        <w:tab/>
      </w:r>
      <w:r w:rsidRPr="000A6EF7">
        <w:rPr>
          <w:szCs w:val="24"/>
        </w:rPr>
        <w:t>Entering Grocery Store Food and Drink Video Script</w:t>
      </w:r>
    </w:p>
    <w:p w:rsidR="00E42E44" w:rsidP="00E42E44" w:rsidRDefault="00E42E44" w14:paraId="19696142" w14:textId="77777777">
      <w:pPr>
        <w:pStyle w:val="TOC1"/>
        <w:ind w:right="0"/>
        <w:rPr>
          <w:szCs w:val="24"/>
        </w:rPr>
      </w:pPr>
      <w:r>
        <w:rPr>
          <w:szCs w:val="24"/>
        </w:rPr>
        <w:t>V4.</w:t>
      </w:r>
      <w:r>
        <w:rPr>
          <w:szCs w:val="24"/>
        </w:rPr>
        <w:tab/>
      </w:r>
      <w:r w:rsidRPr="000A6EF7">
        <w:rPr>
          <w:szCs w:val="24"/>
        </w:rPr>
        <w:t>Entering Restaurant Food and Drink Video Script</w:t>
      </w:r>
    </w:p>
    <w:p w:rsidR="00E42E44" w:rsidP="00E42E44" w:rsidRDefault="00E42E44" w14:paraId="7AC4EA54" w14:textId="77777777">
      <w:pPr>
        <w:pStyle w:val="TOC1"/>
        <w:ind w:right="0"/>
        <w:rPr>
          <w:szCs w:val="24"/>
        </w:rPr>
      </w:pPr>
      <w:r>
        <w:rPr>
          <w:szCs w:val="24"/>
        </w:rPr>
        <w:t>V5.</w:t>
      </w:r>
      <w:r>
        <w:rPr>
          <w:szCs w:val="24"/>
        </w:rPr>
        <w:tab/>
      </w:r>
      <w:r w:rsidRPr="000A6EF7">
        <w:rPr>
          <w:szCs w:val="24"/>
        </w:rPr>
        <w:t>Completing Profile and Income Questionnaire Video Script</w:t>
      </w:r>
    </w:p>
    <w:p w:rsidR="00E42E44" w:rsidP="00E42E44" w:rsidRDefault="00E42E44" w14:paraId="6F5E920C" w14:textId="3ABE6859">
      <w:pPr>
        <w:pStyle w:val="TOC1"/>
        <w:ind w:right="0"/>
        <w:rPr>
          <w:szCs w:val="24"/>
        </w:rPr>
      </w:pPr>
      <w:r>
        <w:rPr>
          <w:szCs w:val="24"/>
        </w:rPr>
        <w:t>V6.</w:t>
      </w:r>
      <w:r>
        <w:rPr>
          <w:szCs w:val="24"/>
        </w:rPr>
        <w:tab/>
      </w:r>
      <w:r w:rsidRPr="000A6EF7">
        <w:rPr>
          <w:szCs w:val="24"/>
        </w:rPr>
        <w:t>Completing the Day Overview Video Script</w:t>
      </w:r>
    </w:p>
    <w:p w:rsidR="007C406A" w:rsidP="008362F9" w:rsidRDefault="007C406A" w14:paraId="35B5E9C9" w14:textId="1E4B6CF8">
      <w:pPr>
        <w:pStyle w:val="TOC1"/>
        <w:rPr>
          <w:szCs w:val="24"/>
        </w:rPr>
      </w:pPr>
      <w:r>
        <w:rPr>
          <w:szCs w:val="24"/>
        </w:rPr>
        <w:t>V7.</w:t>
      </w:r>
      <w:r>
        <w:rPr>
          <w:szCs w:val="24"/>
        </w:rPr>
        <w:tab/>
      </w:r>
      <w:r w:rsidRPr="007C406A">
        <w:rPr>
          <w:szCs w:val="24"/>
        </w:rPr>
        <w:t>Grocery Store Purchase Video Script</w:t>
      </w:r>
    </w:p>
    <w:p w:rsidR="007C406A" w:rsidP="00E42E44" w:rsidRDefault="007C406A" w14:paraId="4648D7B4" w14:textId="17FAFFE9">
      <w:pPr>
        <w:pStyle w:val="TOC1"/>
        <w:ind w:right="0"/>
        <w:rPr>
          <w:szCs w:val="24"/>
        </w:rPr>
      </w:pPr>
      <w:r>
        <w:rPr>
          <w:szCs w:val="24"/>
        </w:rPr>
        <w:t>V8.</w:t>
      </w:r>
      <w:r>
        <w:rPr>
          <w:szCs w:val="24"/>
        </w:rPr>
        <w:tab/>
      </w:r>
      <w:r w:rsidRPr="007C406A">
        <w:rPr>
          <w:szCs w:val="24"/>
        </w:rPr>
        <w:t>How to Report Meals from a Fast-Food Restaurant Video Script</w:t>
      </w:r>
    </w:p>
    <w:p w:rsidR="00E42E44" w:rsidP="00E42E44" w:rsidRDefault="00E42E44" w14:paraId="1A15C82E" w14:textId="77777777">
      <w:pPr>
        <w:pStyle w:val="TOC1"/>
        <w:ind w:right="0"/>
        <w:rPr>
          <w:rFonts w:asciiTheme="minorHAnsi" w:hAnsiTheme="minorHAnsi" w:eastAsiaTheme="minorEastAsia" w:cstheme="minorBidi"/>
          <w:noProof/>
          <w:sz w:val="22"/>
          <w:szCs w:val="22"/>
          <w:lang w:eastAsia="ja-JP"/>
        </w:rPr>
      </w:pPr>
      <w:r>
        <w:rPr>
          <w:szCs w:val="24"/>
        </w:rPr>
        <w:t>X.</w:t>
      </w:r>
      <w:r>
        <w:rPr>
          <w:szCs w:val="24"/>
        </w:rPr>
        <w:tab/>
        <w:t>Final Analysis Report and Recommendations for Revisions to the FoodLogger from the Second Round of Usability Testing</w:t>
      </w:r>
    </w:p>
    <w:p w:rsidR="009E3536" w:rsidP="003260E6" w:rsidRDefault="009E3536" w14:paraId="4E26BB84" w14:textId="50AD3CE4">
      <w:pPr>
        <w:pStyle w:val="TOC1"/>
      </w:pPr>
    </w:p>
    <w:p w:rsidR="00D652C4" w:rsidP="008F3BCB" w:rsidRDefault="00D652C4" w14:paraId="57A09D24" w14:textId="77777777">
      <w:pPr>
        <w:pStyle w:val="TOC1"/>
      </w:pPr>
    </w:p>
    <w:p w:rsidR="009215CA" w:rsidP="008F3BCB" w:rsidRDefault="00D652C4" w14:paraId="6C2A20A2" w14:textId="527E728E">
      <w:pPr>
        <w:pStyle w:val="TOC1"/>
      </w:pPr>
      <w:r>
        <w:t xml:space="preserve"> </w:t>
      </w:r>
    </w:p>
    <w:p w:rsidR="0032494A" w:rsidP="008F3BCB" w:rsidRDefault="0032494A" w14:paraId="1BFF84D4" w14:textId="5644841A">
      <w:pPr>
        <w:pStyle w:val="TOC5"/>
      </w:pPr>
    </w:p>
    <w:p w:rsidRPr="00182144" w:rsidR="0032494A" w:rsidP="008F3BCB" w:rsidRDefault="0032494A" w14:paraId="1D8CB8C2" w14:textId="77777777">
      <w:pPr>
        <w:pStyle w:val="TOC5"/>
        <w:rPr>
          <w:rFonts w:eastAsiaTheme="minorEastAsia"/>
        </w:rPr>
      </w:pPr>
    </w:p>
    <w:p w:rsidR="00AF28AE" w:rsidP="001B265D" w:rsidRDefault="00AF28AE" w14:paraId="3E1E90D7" w14:textId="77777777">
      <w:pPr>
        <w:pStyle w:val="Heading1"/>
        <w:sectPr w:rsidR="00AF28AE" w:rsidSect="00880640">
          <w:headerReference w:type="default" r:id="rId10"/>
          <w:footerReference w:type="default" r:id="rId11"/>
          <w:headerReference w:type="first" r:id="rId12"/>
          <w:footerReference w:type="first" r:id="rId13"/>
          <w:pgSz w:w="12240" w:h="15840" w:code="1"/>
          <w:pgMar w:top="1440" w:right="1440" w:bottom="1440" w:left="1440" w:header="720" w:footer="576" w:gutter="0"/>
          <w:pgNumType w:fmt="lowerRoman" w:start="2"/>
          <w:cols w:space="720"/>
          <w:titlePg/>
          <w:docGrid w:linePitch="326"/>
        </w:sectPr>
      </w:pPr>
    </w:p>
    <w:p w:rsidR="00271489" w:rsidP="00A73687" w:rsidRDefault="00271489" w14:paraId="35A74ACB" w14:textId="405A4BC1">
      <w:pPr>
        <w:pStyle w:val="Heading1"/>
        <w:jc w:val="center"/>
      </w:pPr>
      <w:bookmarkStart w:name="_Toc513794197" w:id="8"/>
      <w:bookmarkStart w:name="_Toc74205147" w:id="9"/>
      <w:r w:rsidRPr="00127EE4">
        <w:t xml:space="preserve">Part </w:t>
      </w:r>
      <w:r w:rsidR="001B265D">
        <w:t>B</w:t>
      </w:r>
      <w:r w:rsidRPr="00127EE4">
        <w:t xml:space="preserve">. </w:t>
      </w:r>
      <w:bookmarkStart w:name="_Toc409090898" w:id="10"/>
      <w:bookmarkStart w:name="_Toc400377717" w:id="11"/>
      <w:r w:rsidRPr="0074555B" w:rsidR="00127EE4">
        <w:t>Collections of Information Employing</w:t>
      </w:r>
      <w:bookmarkStart w:name="_Toc409090899" w:id="12"/>
      <w:bookmarkEnd w:id="10"/>
      <w:r w:rsidR="00067184">
        <w:t xml:space="preserve"> </w:t>
      </w:r>
      <w:r w:rsidRPr="0074555B" w:rsidR="00127EE4">
        <w:t>Statistical Methods</w:t>
      </w:r>
      <w:bookmarkEnd w:id="8"/>
      <w:bookmarkEnd w:id="9"/>
      <w:bookmarkEnd w:id="11"/>
      <w:bookmarkEnd w:id="12"/>
    </w:p>
    <w:p w:rsidR="00A73687" w:rsidP="00A73687" w:rsidRDefault="00A73687" w14:paraId="6318FF8E" w14:textId="77777777">
      <w:pPr>
        <w:pStyle w:val="Heading1"/>
        <w:jc w:val="center"/>
      </w:pPr>
    </w:p>
    <w:p w:rsidRPr="0074555B" w:rsidR="008A6A7C" w:rsidP="001B265D" w:rsidRDefault="008A6A7C" w14:paraId="3C204DAB" w14:textId="77777777">
      <w:pPr>
        <w:pStyle w:val="Heading2"/>
      </w:pPr>
      <w:bookmarkStart w:name="_Toc329341099" w:id="13"/>
      <w:bookmarkStart w:name="_Toc400377718" w:id="14"/>
      <w:bookmarkStart w:name="_Toc409090900" w:id="15"/>
      <w:bookmarkStart w:name="_Toc513794198" w:id="16"/>
      <w:bookmarkStart w:name="_Toc74205148" w:id="17"/>
      <w:bookmarkStart w:name="_Toc290021780" w:id="18"/>
      <w:r w:rsidRPr="0074555B">
        <w:t>B.1</w:t>
      </w:r>
      <w:r w:rsidRPr="0074555B">
        <w:tab/>
        <w:t>Respondent Universe and Sampling Methods</w:t>
      </w:r>
      <w:bookmarkEnd w:id="13"/>
      <w:bookmarkEnd w:id="14"/>
      <w:bookmarkEnd w:id="15"/>
      <w:bookmarkEnd w:id="16"/>
      <w:bookmarkEnd w:id="17"/>
    </w:p>
    <w:p w:rsidRPr="002232F7" w:rsidR="008A6A7C" w:rsidP="001B265D" w:rsidRDefault="008A6A7C" w14:paraId="3E5066AC" w14:textId="77777777">
      <w:pPr>
        <w:pStyle w:val="L1-FlLSp12"/>
        <w:rPr>
          <w:b/>
        </w:rPr>
      </w:pPr>
      <w:bookmarkStart w:name="_Toc316652505" w:id="19"/>
      <w:bookmarkStart w:name="_Toc325550963" w:id="20"/>
      <w:bookmarkStart w:name="_Toc400377719" w:id="21"/>
      <w:bookmarkStart w:name="_Toc290021779" w:id="22"/>
      <w:r w:rsidRPr="002232F7">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9"/>
      <w:bookmarkEnd w:id="20"/>
      <w:bookmarkEnd w:id="21"/>
    </w:p>
    <w:p w:rsidR="008A6A7C" w:rsidP="001B265D" w:rsidRDefault="008A6A7C" w14:paraId="2D7FAE40" w14:textId="77777777">
      <w:pPr>
        <w:pStyle w:val="L1-FlLSp12"/>
      </w:pPr>
    </w:p>
    <w:p w:rsidRPr="0074555B" w:rsidR="008A6A7C" w:rsidP="00E329A7" w:rsidRDefault="008A6A7C" w14:paraId="136E4927" w14:textId="0EF0E08A">
      <w:pPr>
        <w:pStyle w:val="Heading3"/>
      </w:pPr>
      <w:bookmarkStart w:name="_Toc400377720" w:id="23"/>
      <w:bookmarkStart w:name="_Toc513794199" w:id="24"/>
      <w:bookmarkStart w:name="_Toc74205149" w:id="25"/>
      <w:bookmarkEnd w:id="22"/>
      <w:r w:rsidRPr="0074555B">
        <w:t>Respondent Universe</w:t>
      </w:r>
      <w:bookmarkEnd w:id="23"/>
      <w:bookmarkEnd w:id="24"/>
      <w:bookmarkEnd w:id="25"/>
    </w:p>
    <w:bookmarkEnd w:id="18"/>
    <w:p w:rsidR="00797247" w:rsidP="00797247" w:rsidRDefault="00797247" w14:paraId="0D07ADAE" w14:textId="05A63C3D">
      <w:pPr>
        <w:pStyle w:val="L1-FlLSp12"/>
      </w:pPr>
      <w:r>
        <w:t xml:space="preserve">The respondent universe is described in this section with a general description of the sampling methods. More details on the sampling methods are provided in Section B.2. </w:t>
      </w:r>
    </w:p>
    <w:p w:rsidR="00797247" w:rsidP="00797247" w:rsidRDefault="00797247" w14:paraId="7A9EAFDE" w14:textId="77777777">
      <w:pPr>
        <w:pStyle w:val="L1-FlLSp12"/>
      </w:pPr>
    </w:p>
    <w:p w:rsidR="00920D26" w:rsidP="000B2E4C" w:rsidRDefault="008A75CE" w14:paraId="51A076AC" w14:textId="2B3ECBDB">
      <w:pPr>
        <w:pStyle w:val="L1-FlLSp12"/>
      </w:pPr>
      <w:r w:rsidRPr="000B2E4C">
        <w:t xml:space="preserve">The primary goal of the Field Test is to </w:t>
      </w:r>
      <w:r w:rsidR="00371B92">
        <w:t>evaluate and finalize main survey design procedures and data collection protocols</w:t>
      </w:r>
      <w:r w:rsidRPr="000B2E4C">
        <w:t xml:space="preserve"> for Full Survey data collection. </w:t>
      </w:r>
      <w:r w:rsidR="00920D26">
        <w:t>That is, the Field Test is</w:t>
      </w:r>
      <w:r w:rsidRPr="00920D26" w:rsidR="00920D26">
        <w:t xml:space="preserve"> a “dress rehearsal” for the </w:t>
      </w:r>
      <w:r w:rsidR="00351B9C">
        <w:t>F</w:t>
      </w:r>
      <w:r w:rsidRPr="00920D26" w:rsidR="00920D26">
        <w:t xml:space="preserve">ull </w:t>
      </w:r>
      <w:r w:rsidR="00351B9C">
        <w:t>S</w:t>
      </w:r>
      <w:r w:rsidRPr="00920D26" w:rsidR="00920D26">
        <w:t>urvey data collection.</w:t>
      </w:r>
      <w:r w:rsidR="00920D26">
        <w:t xml:space="preserve"> It will help </w:t>
      </w:r>
      <w:r w:rsidRPr="00920D26" w:rsidR="00920D26">
        <w:t>detect any problems that may arise in the</w:t>
      </w:r>
      <w:r w:rsidR="00351B9C">
        <w:t xml:space="preserve"> planned</w:t>
      </w:r>
      <w:r w:rsidRPr="00920D26" w:rsidR="00920D26">
        <w:t xml:space="preserve"> survey design and/or processing system. This dress rehearsal may also provide an opportunity to obtain data on survey costs and estimate population variances. Estimates of</w:t>
      </w:r>
      <w:r w:rsidR="00351B9C">
        <w:t xml:space="preserve"> more current</w:t>
      </w:r>
      <w:r w:rsidRPr="00920D26" w:rsidR="00920D26">
        <w:t xml:space="preserve"> population variances </w:t>
      </w:r>
      <w:r w:rsidR="00351B9C">
        <w:t>for</w:t>
      </w:r>
      <w:r w:rsidRPr="00920D26" w:rsidR="00920D26">
        <w:t xml:space="preserve"> the sample design under consideration </w:t>
      </w:r>
      <w:r w:rsidR="00351B9C">
        <w:t>would help to better</w:t>
      </w:r>
      <w:r w:rsidRPr="00920D26" w:rsidR="00920D26">
        <w:t xml:space="preserve"> predict the sampling errors of the proposed sample plans</w:t>
      </w:r>
      <w:r w:rsidR="00351B9C">
        <w:t xml:space="preserve"> in the Full Survey</w:t>
      </w:r>
      <w:r w:rsidRPr="00920D26" w:rsidR="00920D26">
        <w:t xml:space="preserve">, since the FoodAPS-1 </w:t>
      </w:r>
      <w:r w:rsidR="00D050D3">
        <w:t>w</w:t>
      </w:r>
      <w:r w:rsidR="00053051">
        <w:t>ould have been</w:t>
      </w:r>
      <w:r w:rsidRPr="00920D26" w:rsidR="00920D26">
        <w:t xml:space="preserve"> conducted almost ten years ago by the time this field test begins.</w:t>
      </w:r>
      <w:r w:rsidR="00920D26">
        <w:t xml:space="preserve"> </w:t>
      </w:r>
      <w:r w:rsidR="00351B9C">
        <w:t>Current a</w:t>
      </w:r>
      <w:r w:rsidRPr="00920D26" w:rsidR="00920D26">
        <w:t xml:space="preserve">dministrative costs, including average interview times as well as cash outlays, are obviously useful in deciding staffing and budgetary arrangements. </w:t>
      </w:r>
      <w:r w:rsidR="00920D26">
        <w:t>In addition, t</w:t>
      </w:r>
      <w:r w:rsidRPr="000B2E4C">
        <w:t>h</w:t>
      </w:r>
      <w:r w:rsidR="00920D26">
        <w:t xml:space="preserve">e Field Test will </w:t>
      </w:r>
      <w:r w:rsidRPr="000B2E4C">
        <w:t>include</w:t>
      </w:r>
      <w:r w:rsidR="00920D26">
        <w:t xml:space="preserve"> the implementation </w:t>
      </w:r>
      <w:r w:rsidRPr="000B2E4C">
        <w:t>of the new native smartphone app</w:t>
      </w:r>
      <w:r w:rsidR="00053051">
        <w:t>lication</w:t>
      </w:r>
      <w:r w:rsidRPr="000B2E4C">
        <w:t>, FoodLogger</w:t>
      </w:r>
      <w:r w:rsidR="00053051">
        <w:t xml:space="preserve">. FoodLogger will serve as the primary mode of data collection and was </w:t>
      </w:r>
      <w:r w:rsidR="00614655">
        <w:t>designed to reduce respondent burden and improve data quality</w:t>
      </w:r>
      <w:r w:rsidRPr="000B2E4C">
        <w:t xml:space="preserve">. </w:t>
      </w:r>
    </w:p>
    <w:p w:rsidR="000B21FE" w:rsidP="000B2E4C" w:rsidRDefault="000B21FE" w14:paraId="30D8935A" w14:textId="6B5DA35A">
      <w:pPr>
        <w:pStyle w:val="L1-FlLSp12"/>
      </w:pPr>
    </w:p>
    <w:p w:rsidR="000B21FE" w:rsidP="000B2E4C" w:rsidRDefault="000B21FE" w14:paraId="0250B2A1" w14:textId="1612899E">
      <w:pPr>
        <w:pStyle w:val="L1-FlLSp12"/>
      </w:pPr>
      <w:r>
        <w:t>The Field T</w:t>
      </w:r>
      <w:r w:rsidRPr="000B21FE">
        <w:t xml:space="preserve">est will not be a complete </w:t>
      </w:r>
      <w:r>
        <w:t>“dress rehearsal” for the Full S</w:t>
      </w:r>
      <w:r w:rsidRPr="000B21FE">
        <w:t xml:space="preserve">urvey, because </w:t>
      </w:r>
      <w:r>
        <w:t>in the Field T</w:t>
      </w:r>
      <w:r w:rsidRPr="000B21FE">
        <w:t xml:space="preserve">est a debriefing interview will be used in the place of a final interview in the </w:t>
      </w:r>
      <w:r>
        <w:t>planned Full S</w:t>
      </w:r>
      <w:r w:rsidRPr="000B21FE">
        <w:t xml:space="preserve">urvey. </w:t>
      </w:r>
      <w:r w:rsidRPr="00053051" w:rsidR="00053051">
        <w:t xml:space="preserve">The debriefing interview </w:t>
      </w:r>
      <w:r w:rsidR="00053051">
        <w:t>will collect</w:t>
      </w:r>
      <w:r w:rsidRPr="00053051" w:rsidR="00053051">
        <w:t xml:space="preserve"> information from respondents about their </w:t>
      </w:r>
      <w:r w:rsidR="00053051">
        <w:t>experiences and participation in study, including, but not limited to, whether the smartphone application was easy or difficult to use, what they found difficul</w:t>
      </w:r>
      <w:r w:rsidRPr="00053051" w:rsidR="00053051">
        <w:t>t about the survey protocol, and whether they’d participate in a similar survey in the future</w:t>
      </w:r>
      <w:r w:rsidR="00053051">
        <w:t>. This</w:t>
      </w:r>
      <w:r w:rsidR="00864AEC">
        <w:t xml:space="preserve"> information will help hone the survey protocols for the Full Survey and enable the Field Test to provide </w:t>
      </w:r>
      <w:r>
        <w:t>meaningful information for the Full S</w:t>
      </w:r>
      <w:r w:rsidRPr="000B21FE">
        <w:t xml:space="preserve">urvey </w:t>
      </w:r>
      <w:r w:rsidR="000F76BD">
        <w:t>about important or new design features (such as the app, the use of the mail screener, ada</w:t>
      </w:r>
      <w:r w:rsidR="00F11333">
        <w:t>p</w:t>
      </w:r>
      <w:r w:rsidR="000F76BD">
        <w:t xml:space="preserve">tive </w:t>
      </w:r>
      <w:r w:rsidR="00F11333">
        <w:t xml:space="preserve">survey </w:t>
      </w:r>
      <w:r w:rsidR="000F76BD">
        <w:t>design and so on)</w:t>
      </w:r>
      <w:r w:rsidR="00351B9C">
        <w:t xml:space="preserve">, </w:t>
      </w:r>
      <w:r w:rsidRPr="000B21FE" w:rsidR="00351B9C">
        <w:t>under current design constraints</w:t>
      </w:r>
      <w:r w:rsidR="00351B9C">
        <w:t xml:space="preserve"> and </w:t>
      </w:r>
      <w:r w:rsidR="00864AEC">
        <w:t>for similar target populations.</w:t>
      </w:r>
      <w:r w:rsidRPr="000B21FE">
        <w:t xml:space="preserve"> Such information is </w:t>
      </w:r>
      <w:r w:rsidR="00351B9C">
        <w:t>critical</w:t>
      </w:r>
      <w:r w:rsidRPr="000B21FE">
        <w:t xml:space="preserve"> to</w:t>
      </w:r>
      <w:r w:rsidR="000F76BD">
        <w:t xml:space="preserve"> the successful implementation of</w:t>
      </w:r>
      <w:r w:rsidRPr="000B21FE">
        <w:t xml:space="preserve"> a complex study such as </w:t>
      </w:r>
      <w:r>
        <w:t>the</w:t>
      </w:r>
      <w:r w:rsidRPr="000B21FE">
        <w:t xml:space="preserve"> FoodAPS-2</w:t>
      </w:r>
      <w:r>
        <w:t xml:space="preserve"> Full Survey</w:t>
      </w:r>
      <w:r w:rsidRPr="000B21FE">
        <w:t>.</w:t>
      </w:r>
    </w:p>
    <w:p w:rsidR="00920D26" w:rsidP="000B2E4C" w:rsidRDefault="00920D26" w14:paraId="6C1C9CBF" w14:textId="77777777">
      <w:pPr>
        <w:pStyle w:val="L1-FlLSp12"/>
      </w:pPr>
    </w:p>
    <w:p w:rsidR="00920D26" w:rsidP="00797247" w:rsidRDefault="00D13277" w14:paraId="202A0D8F" w14:textId="780E472C">
      <w:pPr>
        <w:pStyle w:val="L1-FlLSp12"/>
      </w:pPr>
      <w:r w:rsidRPr="004A2DE3">
        <w:t xml:space="preserve">The </w:t>
      </w:r>
      <w:r w:rsidRPr="004A2DE3" w:rsidR="00894D1B">
        <w:t>implementation of the Field Test w</w:t>
      </w:r>
      <w:r w:rsidRPr="00022B9D">
        <w:t>ill</w:t>
      </w:r>
      <w:r w:rsidRPr="00022B9D" w:rsidR="00894D1B">
        <w:t xml:space="preserve"> </w:t>
      </w:r>
      <w:r w:rsidR="00351B9C">
        <w:t>also</w:t>
      </w:r>
      <w:r w:rsidRPr="000B2E4C">
        <w:t xml:space="preserve"> aim to </w:t>
      </w:r>
      <w:r w:rsidRPr="000B2E4C" w:rsidR="00894D1B">
        <w:t xml:space="preserve">create a database that allows the </w:t>
      </w:r>
      <w:r w:rsidRPr="004A2DE3">
        <w:t xml:space="preserve">following </w:t>
      </w:r>
      <w:r w:rsidR="00371B92">
        <w:t>research question to be answered: What is an o</w:t>
      </w:r>
      <w:r w:rsidRPr="00371B92" w:rsidR="0016784F">
        <w:t xml:space="preserve">ptimal incentive strategy </w:t>
      </w:r>
      <w:r w:rsidR="00F7367D">
        <w:t>among stra</w:t>
      </w:r>
      <w:r w:rsidR="00995B0A">
        <w:t>te</w:t>
      </w:r>
      <w:r w:rsidR="00F7367D">
        <w:t xml:space="preserve">gies considered </w:t>
      </w:r>
      <w:r w:rsidR="00371B92">
        <w:t>that will</w:t>
      </w:r>
      <w:r w:rsidRPr="00371B92" w:rsidR="0016784F">
        <w:t xml:space="preserve"> stem the drop-off in reporting across the week</w:t>
      </w:r>
      <w:r w:rsidR="00371B92">
        <w:t>?</w:t>
      </w:r>
      <w:r w:rsidR="00C60BEF">
        <w:t xml:space="preserve"> </w:t>
      </w:r>
      <w:r w:rsidR="00364439">
        <w:t xml:space="preserve">It is critical to the success of FoodAPS </w:t>
      </w:r>
      <w:r w:rsidR="00351B9C">
        <w:t>that respondents complete</w:t>
      </w:r>
      <w:r w:rsidR="00364439">
        <w:t xml:space="preserve"> the Food Log </w:t>
      </w:r>
      <w:r w:rsidRPr="00920D26" w:rsidR="00364439">
        <w:t xml:space="preserve">each day of the data collection week. </w:t>
      </w:r>
      <w:r w:rsidR="004F3FA5">
        <w:t>B</w:t>
      </w:r>
      <w:r w:rsidRPr="001D68FB" w:rsidR="004F3FA5">
        <w:t xml:space="preserve">oth FoodAPS-1 and the </w:t>
      </w:r>
      <w:r w:rsidR="004F3FA5">
        <w:t>National Food Study (NFS)</w:t>
      </w:r>
      <w:r w:rsidRPr="001D68FB" w:rsidR="004F3FA5">
        <w:t xml:space="preserve"> Pilot</w:t>
      </w:r>
      <w:r w:rsidR="004F3FA5">
        <w:rPr>
          <w:rStyle w:val="FootnoteReference"/>
        </w:rPr>
        <w:footnoteReference w:id="2"/>
      </w:r>
      <w:r w:rsidR="004F3FA5">
        <w:t xml:space="preserve"> suffered from reporting attrition throughout the data collection week; </w:t>
      </w:r>
      <w:r w:rsidR="002732B1">
        <w:t xml:space="preserve">a goal for the Full Survey is to reduce </w:t>
      </w:r>
      <w:r w:rsidR="004F3FA5">
        <w:t xml:space="preserve">this attrition rate </w:t>
      </w:r>
      <w:r w:rsidR="002732B1">
        <w:t>and to minimize the potential for nonresponse bias</w:t>
      </w:r>
      <w:r w:rsidR="004F3FA5">
        <w:t>. Therefore</w:t>
      </w:r>
      <w:r w:rsidRPr="00920D26" w:rsidR="00920D26">
        <w:t xml:space="preserve">, the Field Test will include </w:t>
      </w:r>
      <w:r w:rsidR="003C5EC2">
        <w:t>an</w:t>
      </w:r>
      <w:r w:rsidRPr="00920D26" w:rsidR="00920D26">
        <w:t xml:space="preserve"> incentive experiment that varies the amount of incentive </w:t>
      </w:r>
      <w:r w:rsidR="002732B1">
        <w:t xml:space="preserve">a respondent can receive </w:t>
      </w:r>
      <w:r w:rsidRPr="00920D26" w:rsidR="00920D26">
        <w:t xml:space="preserve">for Food Log completion during the week. </w:t>
      </w:r>
      <w:r w:rsidRPr="000B2E4C" w:rsidR="00920D26">
        <w:t xml:space="preserve">To </w:t>
      </w:r>
      <w:r w:rsidR="002732B1">
        <w:t>evaluate the effectiveness of this protocol</w:t>
      </w:r>
      <w:r w:rsidRPr="000B2E4C" w:rsidR="00920D26">
        <w:t>,</w:t>
      </w:r>
      <w:r w:rsidR="00920D26">
        <w:t xml:space="preserve"> a split sample </w:t>
      </w:r>
      <w:r w:rsidR="00C406C8">
        <w:t xml:space="preserve">incentive </w:t>
      </w:r>
      <w:r w:rsidR="00920D26">
        <w:t>design is proposed</w:t>
      </w:r>
      <w:r w:rsidR="002732B1">
        <w:t xml:space="preserve">. The incentives experiment is described </w:t>
      </w:r>
      <w:r w:rsidR="00920D26">
        <w:t xml:space="preserve">in </w:t>
      </w:r>
      <w:r w:rsidR="002732B1">
        <w:t xml:space="preserve">the </w:t>
      </w:r>
      <w:r w:rsidR="00920D26">
        <w:t>section titled “Specialized Sampling Procedures”.</w:t>
      </w:r>
    </w:p>
    <w:p w:rsidR="00920D26" w:rsidP="00797247" w:rsidRDefault="00920D26" w14:paraId="2D6F9C66" w14:textId="77777777">
      <w:pPr>
        <w:pStyle w:val="L1-FlLSp12"/>
      </w:pPr>
    </w:p>
    <w:p w:rsidR="00A1158F" w:rsidP="00797247" w:rsidRDefault="00727905" w14:paraId="22BF1785" w14:textId="124ABB87">
      <w:pPr>
        <w:pStyle w:val="L1-FlLSp12"/>
      </w:pPr>
      <w:r>
        <w:t>The Field Test will also give us a preview</w:t>
      </w:r>
      <w:r w:rsidRPr="00A1158F" w:rsidR="00A1158F">
        <w:t xml:space="preserve"> of the proportion </w:t>
      </w:r>
      <w:r w:rsidR="000F76BD">
        <w:t>of Food Log</w:t>
      </w:r>
      <w:r>
        <w:t xml:space="preserve"> entries</w:t>
      </w:r>
      <w:r w:rsidR="000F76BD">
        <w:t xml:space="preserve"> completed on the app (FoodLogger), on the web, and by the phone. In particular, the uptake rate of </w:t>
      </w:r>
      <w:r w:rsidR="00F11333">
        <w:t xml:space="preserve">the </w:t>
      </w:r>
      <w:r w:rsidR="000F76BD">
        <w:t xml:space="preserve">FoodLogger will </w:t>
      </w:r>
      <w:r w:rsidR="00A1158F">
        <w:t>inform the Full Survey’s</w:t>
      </w:r>
      <w:r w:rsidRPr="00A1158F" w:rsidR="00A1158F">
        <w:t xml:space="preserve"> expectation</w:t>
      </w:r>
      <w:r w:rsidR="00A1158F">
        <w:t>s</w:t>
      </w:r>
      <w:r w:rsidRPr="00A1158F" w:rsidR="00A1158F">
        <w:t xml:space="preserve">. </w:t>
      </w:r>
      <w:r w:rsidR="000C6F23">
        <w:t xml:space="preserve">We expect about 22%, or about 95 </w:t>
      </w:r>
      <w:r w:rsidR="004E417C">
        <w:t>households, to use the web mode to complete their Food Log entries during the survey week</w:t>
      </w:r>
      <w:r w:rsidR="00B506A4">
        <w:rPr>
          <w:rStyle w:val="FootnoteReference"/>
        </w:rPr>
        <w:footnoteReference w:id="3"/>
      </w:r>
      <w:r w:rsidR="004E417C">
        <w:t xml:space="preserve">. </w:t>
      </w:r>
      <w:r w:rsidRPr="00A1158F" w:rsidR="00A1158F">
        <w:t>To some extent we can examine the burden and</w:t>
      </w:r>
      <w:r w:rsidR="004E417C">
        <w:t xml:space="preserve"> </w:t>
      </w:r>
      <w:r w:rsidRPr="00A1158F" w:rsidR="00A1158F">
        <w:t xml:space="preserve">completeness </w:t>
      </w:r>
      <w:r w:rsidR="00A534E4">
        <w:t>between those using FoodLog</w:t>
      </w:r>
      <w:r w:rsidR="00F11333">
        <w:t>g</w:t>
      </w:r>
      <w:r w:rsidR="00A534E4">
        <w:t>er</w:t>
      </w:r>
      <w:r w:rsidR="004E417C">
        <w:t>, i.e., the smartphone application,</w:t>
      </w:r>
      <w:r w:rsidR="00A534E4">
        <w:t xml:space="preserve"> and those</w:t>
      </w:r>
      <w:r w:rsidRPr="00A1158F" w:rsidR="00A1158F">
        <w:t xml:space="preserve"> completing </w:t>
      </w:r>
      <w:r w:rsidR="004E417C">
        <w:t>the Food Log entries on the web</w:t>
      </w:r>
      <w:r w:rsidR="004E417C">
        <w:rPr>
          <w:rStyle w:val="FootnoteReference"/>
        </w:rPr>
        <w:footnoteReference w:id="4"/>
      </w:r>
      <w:r w:rsidR="004E417C">
        <w:t>.</w:t>
      </w:r>
      <w:r w:rsidRPr="00A1158F" w:rsidR="00A1158F">
        <w:t xml:space="preserve"> </w:t>
      </w:r>
      <w:r w:rsidR="004E417C">
        <w:t>In particular, w</w:t>
      </w:r>
      <w:r w:rsidRPr="00A1158F" w:rsidR="00A1158F">
        <w:t xml:space="preserve">e can assess whether data completeness and accuracy differ by response mode after controlling for demographic characteristics of respondents who responded to different modes. </w:t>
      </w:r>
      <w:r>
        <w:t>We</w:t>
      </w:r>
      <w:r w:rsidR="00A1158F">
        <w:t xml:space="preserve"> can also </w:t>
      </w:r>
      <w:r>
        <w:t xml:space="preserve">broadly </w:t>
      </w:r>
      <w:r w:rsidR="00A1158F">
        <w:t>compare the</w:t>
      </w:r>
      <w:r w:rsidRPr="00A1158F" w:rsidR="00A1158F">
        <w:t xml:space="preserve"> characteristics of respondents across each mode of administration</w:t>
      </w:r>
      <w:r>
        <w:t>; this comparison</w:t>
      </w:r>
      <w:r w:rsidR="00A1158F">
        <w:t xml:space="preserve"> may provide indications of</w:t>
      </w:r>
      <w:r w:rsidRPr="00A1158F" w:rsidR="00A1158F">
        <w:t xml:space="preserve"> potential impacts on bias and completion rates</w:t>
      </w:r>
      <w:r>
        <w:t xml:space="preserve"> by mode and demographic characteristics in the Full </w:t>
      </w:r>
      <w:r w:rsidR="00D87F73">
        <w:t>Survey</w:t>
      </w:r>
      <w:r>
        <w:t>, allowing us to proactively address any potential issues</w:t>
      </w:r>
      <w:r w:rsidR="00A1158F">
        <w:t xml:space="preserve">. </w:t>
      </w:r>
    </w:p>
    <w:p w:rsidR="00A1158F" w:rsidP="00797247" w:rsidRDefault="00A1158F" w14:paraId="2FDC8D77" w14:textId="77777777">
      <w:pPr>
        <w:pStyle w:val="L1-FlLSp12"/>
      </w:pPr>
    </w:p>
    <w:p w:rsidR="00797247" w:rsidP="00797247" w:rsidRDefault="00797247" w14:paraId="35FC1F24" w14:textId="2D229F8A">
      <w:pPr>
        <w:pStyle w:val="L1-FlLSp12"/>
      </w:pPr>
      <w:r w:rsidRPr="001D68FB">
        <w:t>Although</w:t>
      </w:r>
      <w:r>
        <w:t xml:space="preserve"> the </w:t>
      </w:r>
      <w:r w:rsidRPr="008E76D1">
        <w:rPr>
          <w:lang w:val="en"/>
        </w:rPr>
        <w:t xml:space="preserve">FoodAPS-2 </w:t>
      </w:r>
      <w:r>
        <w:rPr>
          <w:lang w:val="en"/>
        </w:rPr>
        <w:t xml:space="preserve">Full Survey </w:t>
      </w:r>
      <w:r w:rsidRPr="008E76D1">
        <w:rPr>
          <w:lang w:val="en"/>
        </w:rPr>
        <w:t xml:space="preserve">sample design </w:t>
      </w:r>
      <w:r>
        <w:rPr>
          <w:lang w:val="en"/>
        </w:rPr>
        <w:t xml:space="preserve">ultimately </w:t>
      </w:r>
      <w:r w:rsidRPr="008E76D1">
        <w:rPr>
          <w:lang w:val="en"/>
        </w:rPr>
        <w:t>needs to provide adequate precision for key survey estimates</w:t>
      </w:r>
      <w:r>
        <w:rPr>
          <w:lang w:val="en"/>
        </w:rPr>
        <w:t xml:space="preserve"> in seven domains, </w:t>
      </w:r>
      <w:r w:rsidR="00727905">
        <w:rPr>
          <w:lang w:val="en"/>
        </w:rPr>
        <w:t>producing reliable estimates</w:t>
      </w:r>
      <w:r w:rsidR="00EE5C43">
        <w:rPr>
          <w:lang w:val="en"/>
        </w:rPr>
        <w:t xml:space="preserve"> </w:t>
      </w:r>
      <w:r w:rsidR="00B42251">
        <w:rPr>
          <w:lang w:val="en"/>
        </w:rPr>
        <w:t xml:space="preserve">for those seven domains </w:t>
      </w:r>
      <w:r w:rsidR="00EE5C43">
        <w:rPr>
          <w:lang w:val="en"/>
        </w:rPr>
        <w:t xml:space="preserve">is not a primary </w:t>
      </w:r>
      <w:r w:rsidR="002A0E03">
        <w:rPr>
          <w:lang w:val="en"/>
        </w:rPr>
        <w:t>goal</w:t>
      </w:r>
      <w:r w:rsidR="00EE5C43">
        <w:rPr>
          <w:lang w:val="en"/>
        </w:rPr>
        <w:t xml:space="preserve"> of the Field Test</w:t>
      </w:r>
      <w:r w:rsidR="00F7367D">
        <w:rPr>
          <w:lang w:val="en"/>
        </w:rPr>
        <w:t>.</w:t>
      </w:r>
      <w:r w:rsidR="00801F9E">
        <w:t xml:space="preserve"> </w:t>
      </w:r>
      <w:r w:rsidR="00AF5405">
        <w:t>S</w:t>
      </w:r>
      <w:r w:rsidRPr="00B14451" w:rsidR="00B14451">
        <w:t xml:space="preserve">ome of the domain-specific sample sizes </w:t>
      </w:r>
      <w:r w:rsidR="00B14451">
        <w:t>will likely</w:t>
      </w:r>
      <w:r w:rsidRPr="00B14451" w:rsidR="00B14451">
        <w:t xml:space="preserve"> be</w:t>
      </w:r>
      <w:r w:rsidR="00B14451">
        <w:t xml:space="preserve"> quite</w:t>
      </w:r>
      <w:r w:rsidRPr="00B14451" w:rsidR="00B14451">
        <w:t xml:space="preserve"> small, </w:t>
      </w:r>
      <w:r w:rsidR="00AF5405">
        <w:t xml:space="preserve">however, </w:t>
      </w:r>
      <w:r w:rsidRPr="00B14451" w:rsidR="00B14451">
        <w:rPr>
          <w:lang w:val="en"/>
        </w:rPr>
        <w:t>acquisition</w:t>
      </w:r>
      <w:r w:rsidRPr="00B14451" w:rsidR="00B14451">
        <w:t xml:space="preserve"> patterns can still be observed to a limited extent and described by analytic domain and this information may provide useful inputs for sample design planning for the Full Survey</w:t>
      </w:r>
      <w:r w:rsidR="00B14451">
        <w:t xml:space="preserve">. </w:t>
      </w:r>
      <w:r w:rsidRPr="00144DFF">
        <w:rPr>
          <w:lang w:val="en"/>
        </w:rPr>
        <w:t xml:space="preserve">The seven analytic domains for FoodAPS-2 </w:t>
      </w:r>
      <w:r w:rsidRPr="00144DFF" w:rsidR="001E7BDB">
        <w:rPr>
          <w:lang w:val="en"/>
        </w:rPr>
        <w:t>(defined</w:t>
      </w:r>
      <w:r w:rsidRPr="00144DFF" w:rsidR="00411436">
        <w:rPr>
          <w:lang w:val="en"/>
        </w:rPr>
        <w:t xml:space="preserve"> for each household</w:t>
      </w:r>
      <w:r w:rsidRPr="00144DFF" w:rsidR="001E7BDB">
        <w:rPr>
          <w:lang w:val="en"/>
        </w:rPr>
        <w:t xml:space="preserve"> at the time of the survey) </w:t>
      </w:r>
      <w:r w:rsidRPr="00144DFF">
        <w:rPr>
          <w:lang w:val="en"/>
        </w:rPr>
        <w:t>are</w:t>
      </w:r>
      <w:r w:rsidRPr="00144DFF" w:rsidR="001E7BDB">
        <w:rPr>
          <w:lang w:val="en"/>
        </w:rPr>
        <w:t xml:space="preserve"> household</w:t>
      </w:r>
      <w:r w:rsidRPr="00144DFF" w:rsidR="00411436">
        <w:rPr>
          <w:lang w:val="en"/>
        </w:rPr>
        <w:t>s</w:t>
      </w:r>
      <w:r w:rsidRPr="00144DFF">
        <w:rPr>
          <w:lang w:val="en"/>
        </w:rPr>
        <w:t xml:space="preserve">: (1) </w:t>
      </w:r>
      <w:r w:rsidRPr="00144DFF">
        <w:rPr>
          <w:szCs w:val="24"/>
          <w:lang w:val="en"/>
        </w:rPr>
        <w:t xml:space="preserve">SNAP, (2) WIC, (3) </w:t>
      </w:r>
      <w:r w:rsidRPr="00144DFF" w:rsidR="00411436">
        <w:rPr>
          <w:szCs w:val="24"/>
          <w:lang w:val="en"/>
        </w:rPr>
        <w:t>I</w:t>
      </w:r>
      <w:r w:rsidRPr="00144DFF">
        <w:rPr>
          <w:szCs w:val="24"/>
          <w:lang w:val="en"/>
        </w:rPr>
        <w:t xml:space="preserve">ncome-to-poverty ratio at or below 130 percent of the poverty guideline that are not SNAP or WIC, (4) </w:t>
      </w:r>
      <w:r w:rsidRPr="00144DFF" w:rsidR="00411436">
        <w:rPr>
          <w:szCs w:val="24"/>
          <w:lang w:val="en"/>
        </w:rPr>
        <w:t>I</w:t>
      </w:r>
      <w:r w:rsidRPr="00144DFF">
        <w:rPr>
          <w:szCs w:val="24"/>
          <w:lang w:val="en"/>
        </w:rPr>
        <w:t xml:space="preserve">ncome-to-poverty ratio above 130 percent of the poverty guideline that are not SNAP or WIC, (5) </w:t>
      </w:r>
      <w:r w:rsidRPr="00144DFF" w:rsidR="00411436">
        <w:rPr>
          <w:szCs w:val="24"/>
          <w:lang w:val="en"/>
        </w:rPr>
        <w:t>W</w:t>
      </w:r>
      <w:r w:rsidRPr="00144DFF">
        <w:rPr>
          <w:szCs w:val="24"/>
          <w:lang w:val="en"/>
        </w:rPr>
        <w:t xml:space="preserve">ith children, (6) </w:t>
      </w:r>
      <w:r w:rsidRPr="00144DFF" w:rsidR="00411436">
        <w:rPr>
          <w:szCs w:val="24"/>
          <w:lang w:val="en"/>
        </w:rPr>
        <w:t>W</w:t>
      </w:r>
      <w:r w:rsidRPr="00144DFF">
        <w:rPr>
          <w:szCs w:val="24"/>
          <w:lang w:val="en"/>
        </w:rPr>
        <w:t xml:space="preserve">ithout children, and (7) </w:t>
      </w:r>
      <w:r w:rsidRPr="00144DFF" w:rsidR="00411436">
        <w:rPr>
          <w:szCs w:val="24"/>
          <w:lang w:val="en"/>
        </w:rPr>
        <w:t>A</w:t>
      </w:r>
      <w:r w:rsidRPr="00144DFF">
        <w:rPr>
          <w:szCs w:val="24"/>
          <w:lang w:val="en"/>
        </w:rPr>
        <w:t>ll households.</w:t>
      </w:r>
      <w:r>
        <w:rPr>
          <w:szCs w:val="24"/>
          <w:lang w:val="en"/>
        </w:rPr>
        <w:t xml:space="preserve"> The last three domains are overlapping with the first four </w:t>
      </w:r>
      <w:r w:rsidR="001074AC">
        <w:rPr>
          <w:szCs w:val="24"/>
          <w:lang w:val="en"/>
        </w:rPr>
        <w:t>domains</w:t>
      </w:r>
      <w:r>
        <w:rPr>
          <w:szCs w:val="24"/>
          <w:lang w:val="en"/>
        </w:rPr>
        <w:t xml:space="preserve">. </w:t>
      </w:r>
    </w:p>
    <w:p w:rsidR="00797247" w:rsidP="00797247" w:rsidRDefault="00797247" w14:paraId="24437089" w14:textId="77777777">
      <w:pPr>
        <w:pStyle w:val="L1-FlLSp12"/>
      </w:pPr>
    </w:p>
    <w:p w:rsidR="002B07C0" w:rsidP="00F00915" w:rsidRDefault="00801F9E" w14:paraId="59A566EB" w14:textId="2F40D665">
      <w:pPr>
        <w:pStyle w:val="L1-FlLSp12"/>
      </w:pPr>
      <w:r>
        <w:t>T</w:t>
      </w:r>
      <w:r w:rsidR="0003778E">
        <w:t>o reduce cost</w:t>
      </w:r>
      <w:r w:rsidR="00940F46">
        <w:t xml:space="preserve"> and</w:t>
      </w:r>
      <w:r w:rsidR="00A1651C">
        <w:t xml:space="preserve"> </w:t>
      </w:r>
      <w:r w:rsidR="0003778E">
        <w:t>save time, w</w:t>
      </w:r>
      <w:r w:rsidRPr="00405CFC" w:rsidR="0003778E">
        <w:t xml:space="preserve">e </w:t>
      </w:r>
      <w:r w:rsidR="0003778E">
        <w:t>will</w:t>
      </w:r>
      <w:r w:rsidRPr="00405CFC" w:rsidR="0003778E">
        <w:t xml:space="preserve"> conduct the </w:t>
      </w:r>
      <w:r w:rsidR="0003778E">
        <w:t>Field Test</w:t>
      </w:r>
      <w:r w:rsidRPr="00405CFC" w:rsidR="0003778E">
        <w:t xml:space="preserve"> on 430</w:t>
      </w:r>
      <w:r w:rsidR="0003778E">
        <w:t xml:space="preserve"> households in the same 12 Primary Sampling Units (PSUs)</w:t>
      </w:r>
      <w:r w:rsidR="00A56B0B">
        <w:t>, the same 120 Secondary Sampling Units (SSUs)</w:t>
      </w:r>
      <w:r w:rsidR="001074AC">
        <w:t>,</w:t>
      </w:r>
      <w:r w:rsidR="00A56B0B">
        <w:t xml:space="preserve"> and use the same address sampling frames within SSUs</w:t>
      </w:r>
      <w:r w:rsidR="00A1651C">
        <w:t xml:space="preserve"> </w:t>
      </w:r>
      <w:r w:rsidR="0003778E">
        <w:t xml:space="preserve">in which the </w:t>
      </w:r>
      <w:r>
        <w:t xml:space="preserve">NFS </w:t>
      </w:r>
      <w:r w:rsidR="0003778E">
        <w:t>Pilot was conducted</w:t>
      </w:r>
      <w:r w:rsidR="002A0E03">
        <w:t xml:space="preserve">. </w:t>
      </w:r>
      <w:r w:rsidR="00A56B0B">
        <w:t xml:space="preserve">Therefore, to describe the Field Test sample design, the following background on the </w:t>
      </w:r>
      <w:r w:rsidR="00614655">
        <w:t xml:space="preserve">FoodAPS-1 and </w:t>
      </w:r>
      <w:r>
        <w:t xml:space="preserve">NFS </w:t>
      </w:r>
      <w:r w:rsidR="00A56B0B">
        <w:t>P</w:t>
      </w:r>
      <w:r w:rsidR="002B07C0">
        <w:t>ilot sample design</w:t>
      </w:r>
      <w:r w:rsidR="00614655">
        <w:t>s</w:t>
      </w:r>
      <w:r w:rsidR="002B07C0">
        <w:t xml:space="preserve"> </w:t>
      </w:r>
      <w:r w:rsidR="00614655">
        <w:t>are</w:t>
      </w:r>
      <w:r w:rsidR="002B07C0">
        <w:t xml:space="preserve"> provided.</w:t>
      </w:r>
    </w:p>
    <w:p w:rsidR="002B07C0" w:rsidP="00F00915" w:rsidRDefault="002B07C0" w14:paraId="2F766002" w14:textId="77777777">
      <w:pPr>
        <w:pStyle w:val="L1-FlLSp12"/>
      </w:pPr>
    </w:p>
    <w:p w:rsidRPr="000B2E4C" w:rsidR="002B07C0" w:rsidP="00F00915" w:rsidRDefault="002B07C0" w14:paraId="4FDD5A43" w14:textId="18EFEA8F">
      <w:pPr>
        <w:pStyle w:val="L1-FlLSp12"/>
        <w:rPr>
          <w:b/>
        </w:rPr>
      </w:pPr>
      <w:r w:rsidRPr="000B2E4C">
        <w:rPr>
          <w:b/>
        </w:rPr>
        <w:t xml:space="preserve">Background </w:t>
      </w:r>
      <w:r w:rsidRPr="0016784F" w:rsidR="0016784F">
        <w:rPr>
          <w:b/>
        </w:rPr>
        <w:t xml:space="preserve">on </w:t>
      </w:r>
      <w:r w:rsidR="00770C00">
        <w:rPr>
          <w:b/>
        </w:rPr>
        <w:t>NFS Pilot</w:t>
      </w:r>
      <w:r w:rsidRPr="000B2E4C" w:rsidR="00770C00">
        <w:rPr>
          <w:b/>
        </w:rPr>
        <w:t xml:space="preserve"> </w:t>
      </w:r>
      <w:r w:rsidRPr="000B2E4C">
        <w:rPr>
          <w:b/>
        </w:rPr>
        <w:t>Sampling Methodology</w:t>
      </w:r>
    </w:p>
    <w:p w:rsidR="002B07C0" w:rsidP="00F00915" w:rsidRDefault="002B07C0" w14:paraId="4A391E52" w14:textId="77777777">
      <w:pPr>
        <w:pStyle w:val="L1-FlLSp12"/>
      </w:pPr>
    </w:p>
    <w:p w:rsidR="00F00915" w:rsidP="00F00915" w:rsidRDefault="002A0E03" w14:paraId="2500FE88" w14:textId="616C7D65">
      <w:pPr>
        <w:pStyle w:val="L1-FlLSp12"/>
      </w:pPr>
      <w:r>
        <w:t xml:space="preserve">The sample for the </w:t>
      </w:r>
      <w:r w:rsidR="00801F9E">
        <w:t xml:space="preserve">NFS </w:t>
      </w:r>
      <w:r>
        <w:t>Pilot was selected late in 2016 and data were collected in the first half of 2017</w:t>
      </w:r>
      <w:r w:rsidR="0003778E">
        <w:t>.</w:t>
      </w:r>
      <w:r w:rsidR="00427CB9">
        <w:t xml:space="preserve"> </w:t>
      </w:r>
      <w:r w:rsidR="00411436">
        <w:t xml:space="preserve">One of the objectives of </w:t>
      </w:r>
      <w:r w:rsidR="00DA6E4C">
        <w:t xml:space="preserve">the NFS Pilot was to evaluate results against </w:t>
      </w:r>
      <w:r w:rsidR="00411436">
        <w:t>FoodAPS-1</w:t>
      </w:r>
      <w:r w:rsidR="00DA6E4C">
        <w:t xml:space="preserve"> results</w:t>
      </w:r>
      <w:r w:rsidR="00411436">
        <w:t xml:space="preserve">, therefore the NFS Pilot sample data was collected in a random subset of areas where FoodAPS-1 data were also collected. </w:t>
      </w:r>
      <w:r w:rsidR="00427CB9">
        <w:t xml:space="preserve">For the </w:t>
      </w:r>
      <w:r w:rsidR="00801F9E">
        <w:t xml:space="preserve">NFS </w:t>
      </w:r>
      <w:r w:rsidR="00427CB9">
        <w:t xml:space="preserve">Pilot, </w:t>
      </w:r>
      <w:r w:rsidR="00A56B0B">
        <w:t>t</w:t>
      </w:r>
      <w:r w:rsidRPr="00A56B0B" w:rsidR="00A56B0B">
        <w:t>he selection occurred in three stages. The first stage was a subsample of 12 PSUs from the 50 PSUs selected for FoodAPS-1, where PSUs were defined as counties or groups of counties</w:t>
      </w:r>
      <w:r w:rsidR="002235CB">
        <w:t>. The FoodAPS-1 PSUs were nationally representative and selected using a stratified probability proportionate-to-size (PPS) design</w:t>
      </w:r>
      <w:r w:rsidRPr="00A56B0B" w:rsidR="00A56B0B">
        <w:t xml:space="preserve">. </w:t>
      </w:r>
      <w:r w:rsidRPr="00C409C4" w:rsidR="00F00915">
        <w:t xml:space="preserve">In FoodAPS-1, there was one PSU selected with certainty, and the other 49 PSUs were selected using </w:t>
      </w:r>
      <w:proofErr w:type="spellStart"/>
      <w:r w:rsidRPr="00C409C4" w:rsidR="00F00915">
        <w:t>Chromy’s</w:t>
      </w:r>
      <w:proofErr w:type="spellEnd"/>
      <w:r w:rsidRPr="00C409C4" w:rsidR="00F00915">
        <w:t xml:space="preserve"> method of sequential random sampling </w:t>
      </w:r>
      <w:r w:rsidR="00F00915">
        <w:t>(</w:t>
      </w:r>
      <w:proofErr w:type="spellStart"/>
      <w:r w:rsidR="00F00915">
        <w:t>Chromy</w:t>
      </w:r>
      <w:proofErr w:type="spellEnd"/>
      <w:r w:rsidR="00F00915">
        <w:t xml:space="preserve">, 1979) </w:t>
      </w:r>
      <w:r w:rsidRPr="00C409C4" w:rsidR="00F00915">
        <w:t xml:space="preserve">in SAS Proc </w:t>
      </w:r>
      <w:proofErr w:type="spellStart"/>
      <w:r w:rsidRPr="00C409C4" w:rsidR="00F00915">
        <w:t>SurveySelect</w:t>
      </w:r>
      <w:proofErr w:type="spellEnd"/>
      <w:r w:rsidRPr="00C409C4" w:rsidR="00F00915">
        <w:t xml:space="preserve">. Prior to selection, the PSUs were sorted by metro status and region, which was defined by seven USDA Food and Nutrition Service (FNS) administrative regions. </w:t>
      </w:r>
      <w:bookmarkStart w:name="_Hlk78551956" w:id="26"/>
      <w:r w:rsidRPr="00C409C4" w:rsidR="00F00915">
        <w:t xml:space="preserve">The PSUs were selected using a composite measure of size that was a function of the estimated number of households in key sampling domains </w:t>
      </w:r>
      <w:r w:rsidR="008875C8">
        <w:t>(based on SNAP participation and income level)</w:t>
      </w:r>
      <w:bookmarkEnd w:id="26"/>
      <w:r w:rsidR="008875C8">
        <w:t xml:space="preserve"> </w:t>
      </w:r>
      <w:r w:rsidRPr="00C409C4" w:rsidR="00F00915">
        <w:t xml:space="preserve">and their associated overall sampling rates. </w:t>
      </w:r>
      <w:r w:rsidR="008875C8">
        <w:t>The estimated number of households by sampling domain was derived from the American Community Survey (ACS) Public Use Microdata Sample (PUMS) files.</w:t>
      </w:r>
      <w:r w:rsidRPr="00C409C4" w:rsidR="00F00915">
        <w:t xml:space="preserve"> </w:t>
      </w:r>
    </w:p>
    <w:p w:rsidR="00F00915" w:rsidP="00F00915" w:rsidRDefault="00F00915" w14:paraId="5E66C21E" w14:textId="77777777">
      <w:pPr>
        <w:pStyle w:val="L1-FlLSp12"/>
      </w:pPr>
    </w:p>
    <w:p w:rsidRPr="00C409C4" w:rsidR="0063682D" w:rsidP="0063682D" w:rsidRDefault="0063682D" w14:paraId="5001F5CE" w14:textId="4A54AD5E">
      <w:pPr>
        <w:pStyle w:val="L1-FlLSp12"/>
      </w:pPr>
      <w:r w:rsidRPr="00C409C4">
        <w:t xml:space="preserve">To select PSUs for the </w:t>
      </w:r>
      <w:r w:rsidR="00801F9E">
        <w:t>NFS</w:t>
      </w:r>
      <w:r w:rsidRPr="00C409C4" w:rsidR="00801F9E">
        <w:t xml:space="preserve"> </w:t>
      </w:r>
      <w:r w:rsidRPr="00C409C4">
        <w:t xml:space="preserve">Pilot, the one certainty PSU in FoodAPS-1 was assigned a measure of size of 1.5 to reflect the multiple selection hits from probability proportionate to size sampling, and the other PSUs each received a measure of size of 1. By assigning the measure of size in this manner for the </w:t>
      </w:r>
      <w:r w:rsidR="00801F9E">
        <w:t>NFS</w:t>
      </w:r>
      <w:r w:rsidRPr="00C409C4" w:rsidR="00801F9E">
        <w:t xml:space="preserve"> </w:t>
      </w:r>
      <w:r w:rsidRPr="00C409C4">
        <w:t xml:space="preserve">Pilot, the approach retained the key features of the composite measure of size assigned to PSUs in FoodAPS-1. To ensure a wide representation of different characteristics of geographic areas, </w:t>
      </w:r>
      <w:r w:rsidRPr="00144DFF">
        <w:t>the 50 PSUs were sorted by FNS region, urbanicity, and the percentage of the population on SNAP.</w:t>
      </w:r>
      <w:r w:rsidRPr="00C409C4">
        <w:t xml:space="preserve"> </w:t>
      </w:r>
      <w:r w:rsidRPr="00144DFF">
        <w:t>The subsample of 12 PSUs</w:t>
      </w:r>
      <w:r w:rsidRPr="00C409C4">
        <w:t xml:space="preserve"> obtained a diverse mix of communities (e.g. having both urban and rural communities) to ensure the web</w:t>
      </w:r>
      <w:r>
        <w:t>-based data collection procedures</w:t>
      </w:r>
      <w:r w:rsidRPr="00C409C4">
        <w:t xml:space="preserve"> </w:t>
      </w:r>
      <w:r>
        <w:t>were</w:t>
      </w:r>
      <w:r w:rsidRPr="00C409C4">
        <w:t xml:space="preserve"> tested under a variety of </w:t>
      </w:r>
      <w:r w:rsidRPr="00C409C4" w:rsidR="004E6E9A">
        <w:t>real-world</w:t>
      </w:r>
      <w:r w:rsidRPr="00C409C4">
        <w:t xml:space="preserve"> conditions. The subsample was selected using systematic sampling from the sorted list, and probabilities proportionate to the </w:t>
      </w:r>
      <w:r w:rsidRPr="000B2E4C">
        <w:t>measure of size</w:t>
      </w:r>
      <w:r w:rsidRPr="00C409C4">
        <w:t xml:space="preserve">. </w:t>
      </w:r>
      <w:r w:rsidRPr="00144DFF">
        <w:t>In the end, there were seven FNS regions and nine states that had at least one selected PSU. There were two PSUs that contained a mix of counties inside and outside metropolitan/micropolitan statistical areas.</w:t>
      </w:r>
    </w:p>
    <w:p w:rsidRPr="00C409C4" w:rsidR="0063682D" w:rsidP="0063682D" w:rsidRDefault="0063682D" w14:paraId="763FB7E0" w14:textId="77777777">
      <w:pPr>
        <w:pStyle w:val="L1-FlLSp12"/>
      </w:pPr>
    </w:p>
    <w:p w:rsidR="0063682D" w:rsidP="00F00915" w:rsidRDefault="0063682D" w14:paraId="3E20A1B1" w14:textId="3CF84A8F">
      <w:pPr>
        <w:pStyle w:val="L1-FlLSp12"/>
      </w:pPr>
      <w:r w:rsidRPr="00C409C4">
        <w:t>In the second stage</w:t>
      </w:r>
      <w:r>
        <w:t xml:space="preserve"> of </w:t>
      </w:r>
      <w:r w:rsidR="00391821">
        <w:t xml:space="preserve">sampling for </w:t>
      </w:r>
      <w:r>
        <w:t xml:space="preserve">the </w:t>
      </w:r>
      <w:r w:rsidR="00801F9E">
        <w:t xml:space="preserve">NFS </w:t>
      </w:r>
      <w:r>
        <w:t>Pilot</w:t>
      </w:r>
      <w:r w:rsidRPr="00C409C4">
        <w:t xml:space="preserve">, </w:t>
      </w:r>
      <w:r w:rsidRPr="00144DFF">
        <w:t>an average of 10 SSUs (individual block groups or combination of adjacent block groups) were selected per PSU</w:t>
      </w:r>
      <w:r w:rsidRPr="00C409C4">
        <w:t>.</w:t>
      </w:r>
      <w:r w:rsidRPr="00C409C4">
        <w:rPr>
          <w:rStyle w:val="FootnoteReference"/>
        </w:rPr>
        <w:footnoteReference w:id="5"/>
      </w:r>
      <w:r w:rsidRPr="00C409C4">
        <w:t xml:space="preserve"> While the </w:t>
      </w:r>
      <w:r w:rsidR="00801F9E">
        <w:t>NFS</w:t>
      </w:r>
      <w:r w:rsidRPr="00C409C4" w:rsidR="00801F9E">
        <w:t xml:space="preserve"> </w:t>
      </w:r>
      <w:r w:rsidRPr="00C409C4">
        <w:t xml:space="preserve">Pilot included fewer PSUs than FoodAPS-1 for cost efficiency, the number of sampled SSUs within a PSU was increased </w:t>
      </w:r>
      <w:r>
        <w:t xml:space="preserve">to 10 from 8 </w:t>
      </w:r>
      <w:r w:rsidRPr="00C409C4">
        <w:t xml:space="preserve">to spread the sample across the sampled PSU and cover diverse communities. </w:t>
      </w:r>
      <w:bookmarkStart w:name="_Hlk78563055" w:id="27"/>
      <w:r w:rsidRPr="00C409C4">
        <w:t xml:space="preserve">The SSUs were selected using a similar composite measure of size as in FoodAPS-1, where the composite measure of size was calculated as a function of the </w:t>
      </w:r>
      <w:r>
        <w:t>SSU</w:t>
      </w:r>
      <w:r w:rsidRPr="00C409C4">
        <w:t xml:space="preserve"> population count and the sampling fraction of the SNAP domain, and other sampling domains. </w:t>
      </w:r>
      <w:r w:rsidR="008875C8">
        <w:t xml:space="preserve">The SSU population count was based on the 2010-2014 ACS summary file data. </w:t>
      </w:r>
      <w:r>
        <w:t>T</w:t>
      </w:r>
      <w:r w:rsidRPr="00A56B0B" w:rsidR="00A56B0B">
        <w:t xml:space="preserve">he composite measure-of-size gives </w:t>
      </w:r>
      <w:r w:rsidR="00A56B0B">
        <w:t>SSUs</w:t>
      </w:r>
      <w:r w:rsidRPr="00A56B0B" w:rsidR="00A56B0B">
        <w:t xml:space="preserve"> with a larger number of SNAP participants a higher chance of selection.</w:t>
      </w:r>
      <w:r w:rsidR="00A56B0B">
        <w:t xml:space="preserve"> </w:t>
      </w:r>
    </w:p>
    <w:bookmarkEnd w:id="27"/>
    <w:p w:rsidR="002B07C0" w:rsidP="00F00915" w:rsidRDefault="002B07C0" w14:paraId="2B291AC8" w14:textId="77777777">
      <w:pPr>
        <w:pStyle w:val="L1-FlLSp12"/>
      </w:pPr>
    </w:p>
    <w:p w:rsidR="00A56B0B" w:rsidP="00F00915" w:rsidRDefault="002B07C0" w14:paraId="3881CFD0" w14:textId="5D3BB0D1">
      <w:pPr>
        <w:pStyle w:val="L1-FlLSp12"/>
      </w:pPr>
      <w:r w:rsidRPr="00C409C4">
        <w:t xml:space="preserve">In the third stage, residential addresses were selected within the selected </w:t>
      </w:r>
      <w:r w:rsidR="00EF452F">
        <w:t>SSUs</w:t>
      </w:r>
      <w:r w:rsidRPr="00C409C4" w:rsidR="00EF452F">
        <w:t xml:space="preserve"> </w:t>
      </w:r>
      <w:r w:rsidRPr="00C409C4">
        <w:t xml:space="preserve">from two strata (addresses on the state’s SNAP address </w:t>
      </w:r>
      <w:r w:rsidRPr="00C409C4" w:rsidR="004E6E9A">
        <w:t>list and</w:t>
      </w:r>
      <w:r w:rsidRPr="00C409C4">
        <w:t xml:space="preserve"> addresses not on the SNAP address list). To do so, a sampling frame of addresses was obtained from two sources of address listings. The first source of address listings was a list of all residential addresses from </w:t>
      </w:r>
      <w:r>
        <w:t xml:space="preserve">a vendor-maintained address-based sampling (ABS) frame based on </w:t>
      </w:r>
      <w:r w:rsidRPr="00C409C4">
        <w:t>the most recent United States Postal Service (USPS) computerized delivery sequence</w:t>
      </w:r>
      <w:r>
        <w:t xml:space="preserve"> (CDS)</w:t>
      </w:r>
      <w:r w:rsidRPr="00C409C4">
        <w:t xml:space="preserve"> file. The USPS address lists included street addresses along with the carrier route information from a qualified vendor who receives updated lists from the USPS on a bimonthly or weekly basis. For the second source for creating the frame of addresses, Westat obtained lists of addresses with SNAP participants from the states.</w:t>
      </w:r>
      <w:r w:rsidR="0016784F">
        <w:t xml:space="preserve"> The request was for lists as of June 30, 2016.</w:t>
      </w:r>
      <w:r w:rsidRPr="00C409C4">
        <w:t xml:space="preserve"> A matching operation was conducted to determine which ABS addresses were not on the SNAP administrative list of addresses. The matching operation effectively stratified the addresses into two strata, 1) SNAP list addresses and 2) addresses not on the SNAP list. </w:t>
      </w:r>
      <w:r>
        <w:t>The addresses were sorted geographically</w:t>
      </w:r>
      <w:r>
        <w:rPr>
          <w:rStyle w:val="FootnoteReference"/>
        </w:rPr>
        <w:footnoteReference w:id="6"/>
      </w:r>
      <w:r>
        <w:t>, and a</w:t>
      </w:r>
      <w:r w:rsidRPr="00C409C4">
        <w:t xml:space="preserve"> systematic random sample of addresses was selected within each stratum from these lists</w:t>
      </w:r>
      <w:r w:rsidRPr="00A56B0B" w:rsidR="00A56B0B">
        <w:t xml:space="preserve">, with addresses on the SNAP administrative lists sampled at a higher rate. Once addresses were selected, a screening interview was conducted to identify the sampling domain of both the SNAP and non-SNAP households. A random proportion of those who were classified as non-SNAP in the highest income category were </w:t>
      </w:r>
      <w:r w:rsidR="00A56B0B">
        <w:t>subsampled</w:t>
      </w:r>
      <w:r w:rsidRPr="00A56B0B" w:rsidR="00A56B0B">
        <w:t xml:space="preserve"> to reduce the number of </w:t>
      </w:r>
      <w:r w:rsidRPr="00A56B0B" w:rsidR="004E6E9A">
        <w:t>high-income</w:t>
      </w:r>
      <w:r w:rsidRPr="00A56B0B" w:rsidR="00A56B0B">
        <w:t xml:space="preserve"> participants in the sample.</w:t>
      </w:r>
      <w:r w:rsidR="00A56B0B">
        <w:t xml:space="preserve"> </w:t>
      </w:r>
      <w:r w:rsidRPr="00A56B0B" w:rsidR="00A56B0B">
        <w:t xml:space="preserve">The remaining households were eligible for the </w:t>
      </w:r>
      <w:r w:rsidR="00A56B0B">
        <w:t>main survey</w:t>
      </w:r>
      <w:r w:rsidRPr="00A56B0B" w:rsidR="00A56B0B">
        <w:t>.</w:t>
      </w:r>
      <w:r w:rsidR="00A56B0B">
        <w:t xml:space="preserve"> </w:t>
      </w:r>
    </w:p>
    <w:p w:rsidR="00A56B0B" w:rsidP="00797247" w:rsidRDefault="00A56B0B" w14:paraId="6FF7B63B" w14:textId="77777777">
      <w:pPr>
        <w:pStyle w:val="L1-FlLSp12"/>
      </w:pPr>
    </w:p>
    <w:p w:rsidR="00FE6C78" w:rsidP="00797247" w:rsidRDefault="007B3542" w14:paraId="183BCC96" w14:textId="594DDE3B">
      <w:pPr>
        <w:pStyle w:val="L1-FlLSp12"/>
      </w:pPr>
      <w:r>
        <w:t xml:space="preserve">As mentioned above, </w:t>
      </w:r>
      <w:r w:rsidR="00995B0A">
        <w:t>the</w:t>
      </w:r>
      <w:r w:rsidRPr="00C0319D" w:rsidR="00797247">
        <w:t xml:space="preserve"> same sampling frames constructed for the </w:t>
      </w:r>
      <w:r w:rsidR="00801F9E">
        <w:t xml:space="preserve">NFS </w:t>
      </w:r>
      <w:r w:rsidR="00797247">
        <w:t>Pilot</w:t>
      </w:r>
      <w:r w:rsidR="0003778E">
        <w:t xml:space="preserve"> will be used for the Field Test</w:t>
      </w:r>
      <w:r w:rsidRPr="00C0319D" w:rsidR="00797247">
        <w:t>, with the same stratification of SNAP and non</w:t>
      </w:r>
      <w:r w:rsidR="00797247">
        <w:t>-</w:t>
      </w:r>
      <w:r w:rsidRPr="00C0319D" w:rsidR="00797247">
        <w:t xml:space="preserve">SNAP addresses, while ensuring to avoid addresses </w:t>
      </w:r>
      <w:r w:rsidR="00D045E3">
        <w:t>selected</w:t>
      </w:r>
      <w:r w:rsidRPr="00C0319D" w:rsidR="00797247">
        <w:t xml:space="preserve"> in the </w:t>
      </w:r>
      <w:r w:rsidR="00801F9E">
        <w:t xml:space="preserve">NFS </w:t>
      </w:r>
      <w:r w:rsidR="00797247">
        <w:t>Pilot</w:t>
      </w:r>
      <w:r w:rsidR="00DA6E4C">
        <w:t xml:space="preserve"> by removing the NFS Pilot addresses from the sampling frame prior to selecting the Field Test sample</w:t>
      </w:r>
      <w:r w:rsidR="00797247">
        <w:t>.</w:t>
      </w:r>
      <w:r w:rsidR="006908AC">
        <w:t xml:space="preserve"> </w:t>
      </w:r>
      <w:r w:rsidRPr="00144DFF">
        <w:t xml:space="preserve">The address lists will be </w:t>
      </w:r>
      <w:r w:rsidRPr="00144DFF" w:rsidR="00DA6E4C">
        <w:t xml:space="preserve">at least </w:t>
      </w:r>
      <w:r w:rsidRPr="00144DFF">
        <w:t>five years old by the time the Field Test</w:t>
      </w:r>
      <w:r w:rsidRPr="00144DFF" w:rsidR="00532DF1">
        <w:t xml:space="preserve"> is conducted</w:t>
      </w:r>
      <w:r w:rsidRPr="00144DFF">
        <w:t>.</w:t>
      </w:r>
      <w:r w:rsidR="001D68FB">
        <w:t xml:space="preserve"> As a quality check, the total number of addresses will be compared to counts from an address vendor by SSU. If the counts differ significantly</w:t>
      </w:r>
      <w:r w:rsidR="00CC5F2C">
        <w:t>, a</w:t>
      </w:r>
      <w:r w:rsidR="001D68FB">
        <w:t xml:space="preserve"> new</w:t>
      </w:r>
      <w:r w:rsidR="00CC5F2C">
        <w:t xml:space="preserve"> ABS</w:t>
      </w:r>
      <w:r w:rsidR="001D68FB">
        <w:t xml:space="preserve"> address list will be requested. Due to the age of the SNAP administrative lists, t</w:t>
      </w:r>
      <w:r w:rsidR="00FE6C78">
        <w:t>here will be uncertainty about the number of SNAP respondents due to changes in household SNAP participation. T</w:t>
      </w:r>
      <w:r w:rsidR="001D68FB">
        <w:t>w</w:t>
      </w:r>
      <w:r w:rsidR="00FE6C78">
        <w:t xml:space="preserve">o </w:t>
      </w:r>
      <w:r w:rsidR="001D68FB">
        <w:t>approaches will be implemented to help reduce the uncertaint</w:t>
      </w:r>
      <w:r w:rsidR="00FE6C78">
        <w:t>y</w:t>
      </w:r>
      <w:r w:rsidR="00A80BBA">
        <w:t>. The first approach will involve further stratifying the addresses</w:t>
      </w:r>
      <w:r w:rsidR="00FE6C78">
        <w:t>, where the selected SSUs will be classified into high or low concentration</w:t>
      </w:r>
      <w:r w:rsidR="00526706">
        <w:t xml:space="preserve">, based on the percentage </w:t>
      </w:r>
      <w:r w:rsidR="00FE6C78">
        <w:t xml:space="preserve">of SNAP participating households from the </w:t>
      </w:r>
      <w:r w:rsidR="00DA6E4C">
        <w:t xml:space="preserve">most recently available </w:t>
      </w:r>
      <w:r w:rsidR="00FE6C78">
        <w:t xml:space="preserve">American Community Survey. </w:t>
      </w:r>
      <w:r w:rsidRPr="00144DFF" w:rsidR="00FE6C78">
        <w:t>A higher selection rate will be assigned to strata with higher concentration.</w:t>
      </w:r>
      <w:r w:rsidR="00DA6E4C">
        <w:t xml:space="preserve"> </w:t>
      </w:r>
      <w:r w:rsidR="002B531A">
        <w:t xml:space="preserve">The sampling rate will be </w:t>
      </w:r>
      <w:r w:rsidR="00526706">
        <w:t xml:space="preserve">initially </w:t>
      </w:r>
      <w:r w:rsidR="002B531A">
        <w:t xml:space="preserve">assigned </w:t>
      </w:r>
      <w:r w:rsidR="00526706">
        <w:t>to</w:t>
      </w:r>
      <w:r w:rsidR="002B531A">
        <w:t xml:space="preserve"> three times the rate for lower concentration areas to constrain the impact of unequal selection rates on variance estimates.</w:t>
      </w:r>
      <w:r w:rsidR="00526706">
        <w:t xml:space="preserve"> </w:t>
      </w:r>
      <w:r w:rsidRPr="00144DFF" w:rsidR="00526706">
        <w:t>The design effect due to assigning unequal selection rates will be reviewed and sampling rates will be adjusted if the design effect is greater than 1.3</w:t>
      </w:r>
      <w:r w:rsidR="00A80BBA">
        <w:t xml:space="preserve">. The second approach is to include a question on SNAP participation status on the mail screener. </w:t>
      </w:r>
    </w:p>
    <w:p w:rsidR="00797247" w:rsidP="00797247" w:rsidRDefault="00797247" w14:paraId="4842845C" w14:textId="77777777">
      <w:pPr>
        <w:pStyle w:val="L1-FlLSp12"/>
      </w:pPr>
    </w:p>
    <w:p w:rsidR="00E265F1" w:rsidP="00797247" w:rsidRDefault="00797247" w14:paraId="0E826B05" w14:textId="22438474">
      <w:pPr>
        <w:pStyle w:val="L1-FlLSp12"/>
      </w:pPr>
      <w:r>
        <w:t xml:space="preserve">The respondent universe percentages </w:t>
      </w:r>
      <w:r w:rsidRPr="009A1C4D">
        <w:t>of households</w:t>
      </w:r>
      <w:r>
        <w:t xml:space="preserve"> </w:t>
      </w:r>
      <w:r w:rsidRPr="009A1C4D">
        <w:t>in each sampling domain</w:t>
      </w:r>
      <w:r>
        <w:t xml:space="preserve"> from the </w:t>
      </w:r>
      <w:r w:rsidRPr="00625048">
        <w:t>201</w:t>
      </w:r>
      <w:r w:rsidRPr="00BD574E" w:rsidR="00625048">
        <w:t>9</w:t>
      </w:r>
      <w:r>
        <w:t xml:space="preserve"> Current Population Survey</w:t>
      </w:r>
      <w:r w:rsidRPr="009A1C4D">
        <w:t xml:space="preserve">, out of the approximately </w:t>
      </w:r>
      <w:r w:rsidRPr="00550A24">
        <w:t>12</w:t>
      </w:r>
      <w:r w:rsidRPr="00BD574E" w:rsidR="00550A24">
        <w:t>9</w:t>
      </w:r>
      <w:r w:rsidRPr="009A1C4D">
        <w:t xml:space="preserve"> m</w:t>
      </w:r>
      <w:r>
        <w:t>illion households in the nation</w:t>
      </w:r>
      <w:r w:rsidR="00801F9E">
        <w:t>,</w:t>
      </w:r>
      <w:r w:rsidR="00532DF1">
        <w:t xml:space="preserve"> are shown in Table B.1</w:t>
      </w:r>
      <w:r>
        <w:t xml:space="preserve">. Also shown in Table B.1 are the expected sample sizes for the Field Test, which are </w:t>
      </w:r>
      <w:r w:rsidR="004E6E9A">
        <w:t>like</w:t>
      </w:r>
      <w:r w:rsidR="006A3CAA">
        <w:t xml:space="preserve"> those </w:t>
      </w:r>
      <w:r>
        <w:t xml:space="preserve">that resulted from the </w:t>
      </w:r>
      <w:r w:rsidR="00770C00">
        <w:t xml:space="preserve">NFS </w:t>
      </w:r>
      <w:r>
        <w:t xml:space="preserve">Pilot. </w:t>
      </w:r>
      <w:r w:rsidRPr="009A1C4D">
        <w:t>The oversample of SNAP households is accomplished</w:t>
      </w:r>
      <w:r w:rsidR="001D68FB">
        <w:t xml:space="preserve"> as described above -- </w:t>
      </w:r>
      <w:r w:rsidR="00995B0A">
        <w:t>using</w:t>
      </w:r>
      <w:r w:rsidRPr="009A1C4D" w:rsidR="00995B0A">
        <w:t xml:space="preserve"> SNAP</w:t>
      </w:r>
      <w:r w:rsidRPr="009A1C4D">
        <w:t xml:space="preserve"> lists from state agencies</w:t>
      </w:r>
      <w:r w:rsidR="001D68FB">
        <w:t xml:space="preserve"> from the </w:t>
      </w:r>
      <w:r w:rsidR="00770C00">
        <w:t xml:space="preserve">NFS </w:t>
      </w:r>
      <w:r w:rsidR="001D68FB">
        <w:t>Pilot, using a mail screener, and using an oversample of addresses in high concentration of SNAP households in selected SSUs</w:t>
      </w:r>
      <w:r w:rsidRPr="009A1C4D">
        <w:t xml:space="preserve">. </w:t>
      </w:r>
      <w:r w:rsidRPr="00C26C6E">
        <w:t xml:space="preserve">There is no need to request new administrative SNAP </w:t>
      </w:r>
      <w:r w:rsidRPr="00726547">
        <w:t xml:space="preserve">lists for the Field Test, </w:t>
      </w:r>
      <w:r w:rsidR="00532DF1">
        <w:t>since</w:t>
      </w:r>
      <w:r w:rsidR="00850D97">
        <w:t xml:space="preserve"> 1)</w:t>
      </w:r>
      <w:r w:rsidR="00532DF1">
        <w:t xml:space="preserve"> </w:t>
      </w:r>
      <w:r w:rsidRPr="00726547">
        <w:t xml:space="preserve">we </w:t>
      </w:r>
      <w:r w:rsidR="00995B0A">
        <w:t>have</w:t>
      </w:r>
      <w:r w:rsidRPr="00726547" w:rsidR="00995B0A">
        <w:t xml:space="preserve"> proced</w:t>
      </w:r>
      <w:r w:rsidRPr="003F1EA4" w:rsidR="00995B0A">
        <w:t>ures</w:t>
      </w:r>
      <w:r w:rsidRPr="003F1EA4">
        <w:t xml:space="preserve"> for cleaning, matching, and forming strata using </w:t>
      </w:r>
      <w:r w:rsidRPr="00C26C6E">
        <w:t>the SNAP and address-based sample list</w:t>
      </w:r>
      <w:r w:rsidR="00532DF1">
        <w:t xml:space="preserve">s developed in the </w:t>
      </w:r>
      <w:r w:rsidR="00770C00">
        <w:t xml:space="preserve">NFS </w:t>
      </w:r>
      <w:r w:rsidR="00532DF1">
        <w:t>Pilot</w:t>
      </w:r>
      <w:r w:rsidR="00850D97">
        <w:t>, and 2) the above sampling procedures address potential concerns regarding the age of these lists</w:t>
      </w:r>
      <w:r w:rsidR="00844883">
        <w:t xml:space="preserve">. </w:t>
      </w:r>
      <w:r w:rsidRPr="00144DFF" w:rsidR="00BF3056">
        <w:t>For the Field Test, there will be no direct oversample procedure for WIC participants</w:t>
      </w:r>
      <w:r w:rsidRPr="00144DFF" w:rsidR="00532DF1">
        <w:t>;</w:t>
      </w:r>
      <w:r w:rsidR="00BF3056">
        <w:t xml:space="preserve"> however, we expect </w:t>
      </w:r>
      <w:r w:rsidR="00550A24">
        <w:t>12</w:t>
      </w:r>
      <w:r w:rsidR="00BF3056">
        <w:t xml:space="preserve"> percent of the SNAP households to also participate in WIC</w:t>
      </w:r>
      <w:r w:rsidR="00B07FBA">
        <w:t xml:space="preserve"> in addition to other</w:t>
      </w:r>
      <w:r w:rsidR="00DA4BE6">
        <w:t xml:space="preserve"> households in the ABS frame</w:t>
      </w:r>
      <w:r w:rsidR="00BF3056">
        <w:t>.</w:t>
      </w:r>
    </w:p>
    <w:p w:rsidR="004E31DB" w:rsidP="00797247" w:rsidRDefault="004E31DB" w14:paraId="6DCFB41E" w14:textId="5C0AF1A1">
      <w:pPr>
        <w:pStyle w:val="L1-FlLSp12"/>
      </w:pPr>
    </w:p>
    <w:p w:rsidRPr="003260E6" w:rsidR="00797247" w:rsidP="003260E6" w:rsidRDefault="00797247" w14:paraId="3DA0801F" w14:textId="2E1CCE8D">
      <w:pPr>
        <w:pStyle w:val="TT-TableTitle"/>
        <w:rPr>
          <w:rFonts w:ascii="Garamond" w:hAnsi="Garamond"/>
          <w:b/>
          <w:bCs/>
          <w:lang w:val="en"/>
        </w:rPr>
      </w:pPr>
      <w:bookmarkStart w:name="_Toc437956267" w:id="28"/>
      <w:bookmarkStart w:name="_Toc513794200" w:id="29"/>
      <w:bookmarkStart w:name="_Toc93489537" w:id="30"/>
      <w:r w:rsidRPr="003260E6">
        <w:rPr>
          <w:rFonts w:ascii="Garamond" w:hAnsi="Garamond"/>
          <w:b/>
          <w:bCs/>
          <w:lang w:val="en"/>
        </w:rPr>
        <w:t>Table B.1.</w:t>
      </w:r>
      <w:r w:rsidRPr="003260E6">
        <w:rPr>
          <w:rFonts w:ascii="Garamond" w:hAnsi="Garamond"/>
          <w:b/>
          <w:bCs/>
          <w:lang w:val="en"/>
        </w:rPr>
        <w:tab/>
        <w:t>Field Test Universe Percentages and Expected Sample Sizes</w:t>
      </w:r>
      <w:bookmarkEnd w:id="28"/>
      <w:bookmarkEnd w:id="29"/>
      <w:bookmarkEnd w:id="30"/>
    </w:p>
    <w:p w:rsidRPr="00FA31A2" w:rsidR="00E265F1" w:rsidP="00E265F1" w:rsidRDefault="00E265F1" w14:paraId="2E5E1CB6" w14:textId="77777777">
      <w:pPr>
        <w:pStyle w:val="TT-TableTitle"/>
      </w:pPr>
    </w:p>
    <w:tbl>
      <w:tblPr>
        <w:tblW w:w="5000" w:type="pct"/>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5310"/>
        <w:gridCol w:w="1350"/>
        <w:gridCol w:w="1350"/>
        <w:gridCol w:w="1350"/>
      </w:tblGrid>
      <w:tr w:rsidRPr="00FA31A2" w:rsidR="009849CD" w:rsidTr="00E42E44" w14:paraId="3BE77479" w14:textId="77777777">
        <w:trPr>
          <w:trHeight w:val="746"/>
        </w:trPr>
        <w:tc>
          <w:tcPr>
            <w:tcW w:w="2837" w:type="pct"/>
            <w:shd w:val="clear" w:color="auto" w:fill="B8CCE4" w:themeFill="accent1" w:themeFillTint="66"/>
            <w:noWrap/>
            <w:vAlign w:val="bottom"/>
            <w:hideMark/>
          </w:tcPr>
          <w:p w:rsidRPr="007A622E" w:rsidR="009849CD" w:rsidP="00E265F1" w:rsidRDefault="009849CD" w14:paraId="515FFE20" w14:textId="77777777">
            <w:pPr>
              <w:pStyle w:val="TH-TableHeading"/>
            </w:pPr>
            <w:r w:rsidRPr="007A622E">
              <w:t>Analysis domain</w:t>
            </w:r>
          </w:p>
        </w:tc>
        <w:tc>
          <w:tcPr>
            <w:tcW w:w="721" w:type="pct"/>
            <w:shd w:val="clear" w:color="auto" w:fill="B8CCE4" w:themeFill="accent1" w:themeFillTint="66"/>
          </w:tcPr>
          <w:p w:rsidR="009849CD" w:rsidP="00B91B07" w:rsidRDefault="00EB62F4" w14:paraId="41C72A8A" w14:textId="5C628339">
            <w:pPr>
              <w:pStyle w:val="TH-TableHeading"/>
            </w:pPr>
            <w:r>
              <w:t>Estimated p</w:t>
            </w:r>
            <w:r w:rsidR="009849CD">
              <w:t>opulation # of households</w:t>
            </w:r>
          </w:p>
          <w:p w:rsidRPr="00D652C4" w:rsidR="00E77061" w:rsidP="00B91B07" w:rsidRDefault="00E77061" w14:paraId="25BA883F" w14:textId="1F22C05D">
            <w:pPr>
              <w:pStyle w:val="TH-TableHeading"/>
              <w:rPr>
                <w:vertAlign w:val="superscript"/>
              </w:rPr>
            </w:pPr>
            <w:r>
              <w:t>(in millions)</w:t>
            </w:r>
            <w:r w:rsidR="001776E5">
              <w:rPr>
                <w:vertAlign w:val="superscript"/>
              </w:rPr>
              <w:t>a</w:t>
            </w:r>
          </w:p>
        </w:tc>
        <w:tc>
          <w:tcPr>
            <w:tcW w:w="721" w:type="pct"/>
            <w:shd w:val="clear" w:color="auto" w:fill="B8CCE4" w:themeFill="accent1" w:themeFillTint="66"/>
            <w:vAlign w:val="bottom"/>
          </w:tcPr>
          <w:p w:rsidRPr="007A622E" w:rsidR="009849CD" w:rsidP="00E265F1" w:rsidRDefault="009849CD" w14:paraId="6AA4FBCC" w14:textId="07A6D15D">
            <w:pPr>
              <w:pStyle w:val="TH-TableHeading"/>
            </w:pPr>
            <w:r>
              <w:t xml:space="preserve">Estimated population </w:t>
            </w:r>
            <w:proofErr w:type="spellStart"/>
            <w:r>
              <w:t>percentages</w:t>
            </w:r>
            <w:r>
              <w:rPr>
                <w:vertAlign w:val="superscript"/>
              </w:rPr>
              <w:t>a</w:t>
            </w:r>
            <w:proofErr w:type="spellEnd"/>
          </w:p>
        </w:tc>
        <w:tc>
          <w:tcPr>
            <w:tcW w:w="721" w:type="pct"/>
            <w:shd w:val="clear" w:color="auto" w:fill="B8CCE4" w:themeFill="accent1" w:themeFillTint="66"/>
            <w:vAlign w:val="bottom"/>
          </w:tcPr>
          <w:p w:rsidRPr="007A622E" w:rsidR="009849CD" w:rsidP="00E265F1" w:rsidRDefault="009849CD" w14:paraId="565CA9B5" w14:textId="5119978E">
            <w:pPr>
              <w:pStyle w:val="TH-TableHeading"/>
            </w:pPr>
            <w:r>
              <w:t>Estimated</w:t>
            </w:r>
            <w:r w:rsidRPr="007A622E">
              <w:t xml:space="preserve"> # of respondent households</w:t>
            </w:r>
          </w:p>
        </w:tc>
      </w:tr>
      <w:tr w:rsidRPr="00FA31A2" w:rsidR="009849CD" w:rsidTr="00D652C4" w14:paraId="0DBD588B" w14:textId="77777777">
        <w:trPr>
          <w:trHeight w:val="260"/>
        </w:trPr>
        <w:tc>
          <w:tcPr>
            <w:tcW w:w="2837" w:type="pct"/>
            <w:shd w:val="clear" w:color="auto" w:fill="auto"/>
            <w:noWrap/>
            <w:vAlign w:val="center"/>
            <w:hideMark/>
          </w:tcPr>
          <w:p w:rsidRPr="00FA31A2" w:rsidR="009849CD" w:rsidP="00E265F1" w:rsidRDefault="009849CD" w14:paraId="396C1921" w14:textId="77777777">
            <w:pPr>
              <w:pStyle w:val="TX-TableText"/>
            </w:pPr>
            <w:r w:rsidRPr="00FA31A2">
              <w:t>SNAP households</w:t>
            </w:r>
          </w:p>
        </w:tc>
        <w:tc>
          <w:tcPr>
            <w:tcW w:w="721" w:type="pct"/>
            <w:vAlign w:val="center"/>
          </w:tcPr>
          <w:p w:rsidR="009849CD" w:rsidP="00D652C4" w:rsidRDefault="00E77061" w14:paraId="0B60062F" w14:textId="03AD7DE5">
            <w:pPr>
              <w:pStyle w:val="TX-TableText"/>
              <w:jc w:val="right"/>
            </w:pPr>
            <w:r>
              <w:t>12</w:t>
            </w:r>
          </w:p>
        </w:tc>
        <w:tc>
          <w:tcPr>
            <w:tcW w:w="721" w:type="pct"/>
            <w:vAlign w:val="center"/>
          </w:tcPr>
          <w:p w:rsidRPr="00A22AA3" w:rsidR="009849CD" w:rsidP="00D652C4" w:rsidRDefault="009849CD" w14:paraId="030CD24C" w14:textId="000999DB">
            <w:pPr>
              <w:pStyle w:val="TX-TableText"/>
              <w:jc w:val="right"/>
            </w:pPr>
            <w:r>
              <w:t>9%</w:t>
            </w:r>
          </w:p>
        </w:tc>
        <w:tc>
          <w:tcPr>
            <w:tcW w:w="721" w:type="pct"/>
            <w:vAlign w:val="center"/>
          </w:tcPr>
          <w:p w:rsidRPr="00FA31A2" w:rsidR="009849CD" w:rsidP="00D652C4" w:rsidRDefault="009849CD" w14:paraId="1DEC4FC7" w14:textId="7FB05C52">
            <w:pPr>
              <w:pStyle w:val="TX-TableText"/>
              <w:jc w:val="right"/>
            </w:pPr>
            <w:r>
              <w:t>100</w:t>
            </w:r>
          </w:p>
        </w:tc>
      </w:tr>
      <w:tr w:rsidRPr="00FA31A2" w:rsidR="009849CD" w:rsidTr="00D652C4" w14:paraId="5BAFCD3B" w14:textId="77777777">
        <w:trPr>
          <w:trHeight w:val="215"/>
        </w:trPr>
        <w:tc>
          <w:tcPr>
            <w:tcW w:w="2837" w:type="pct"/>
            <w:shd w:val="clear" w:color="auto" w:fill="auto"/>
            <w:noWrap/>
            <w:vAlign w:val="center"/>
            <w:hideMark/>
          </w:tcPr>
          <w:p w:rsidRPr="00FA31A2" w:rsidR="009849CD" w:rsidP="00E265F1" w:rsidRDefault="009849CD" w14:paraId="33FA8F68" w14:textId="77777777">
            <w:pPr>
              <w:pStyle w:val="TX-TableText"/>
            </w:pPr>
            <w:r w:rsidRPr="00FA31A2">
              <w:t xml:space="preserve">WIC households </w:t>
            </w:r>
          </w:p>
        </w:tc>
        <w:tc>
          <w:tcPr>
            <w:tcW w:w="721" w:type="pct"/>
            <w:vAlign w:val="center"/>
          </w:tcPr>
          <w:p w:rsidR="009849CD" w:rsidP="00D652C4" w:rsidRDefault="00E77061" w14:paraId="2A551392" w14:textId="32F00368">
            <w:pPr>
              <w:pStyle w:val="TX-TableText"/>
              <w:jc w:val="right"/>
            </w:pPr>
            <w:r>
              <w:t>3</w:t>
            </w:r>
          </w:p>
        </w:tc>
        <w:tc>
          <w:tcPr>
            <w:tcW w:w="721" w:type="pct"/>
            <w:vAlign w:val="center"/>
          </w:tcPr>
          <w:p w:rsidR="009849CD" w:rsidP="00D652C4" w:rsidRDefault="009849CD" w14:paraId="2E5C6A7D" w14:textId="7DD9DF36">
            <w:pPr>
              <w:pStyle w:val="TX-TableText"/>
              <w:jc w:val="right"/>
            </w:pPr>
            <w:r>
              <w:t>2%</w:t>
            </w:r>
          </w:p>
        </w:tc>
        <w:tc>
          <w:tcPr>
            <w:tcW w:w="721" w:type="pct"/>
            <w:vAlign w:val="center"/>
          </w:tcPr>
          <w:p w:rsidRPr="00FA31A2" w:rsidR="009849CD" w:rsidP="00D652C4" w:rsidRDefault="00454B48" w14:paraId="2A6E11DB" w14:textId="1B5368A9">
            <w:pPr>
              <w:pStyle w:val="TX-TableText"/>
              <w:jc w:val="right"/>
            </w:pPr>
            <w:r>
              <w:t>14</w:t>
            </w:r>
          </w:p>
        </w:tc>
      </w:tr>
      <w:tr w:rsidRPr="00FA31A2" w:rsidR="009849CD" w:rsidTr="00D652C4" w14:paraId="2F17C0FF" w14:textId="77777777">
        <w:trPr>
          <w:trHeight w:val="300"/>
        </w:trPr>
        <w:tc>
          <w:tcPr>
            <w:tcW w:w="2837" w:type="pct"/>
            <w:shd w:val="clear" w:color="auto" w:fill="auto"/>
            <w:noWrap/>
            <w:vAlign w:val="center"/>
            <w:hideMark/>
          </w:tcPr>
          <w:p w:rsidRPr="00FA31A2" w:rsidR="009849CD" w:rsidP="00E265F1" w:rsidRDefault="009849CD" w14:paraId="02614600" w14:textId="77777777">
            <w:pPr>
              <w:pStyle w:val="TX-TableText"/>
            </w:pPr>
            <w:r w:rsidRPr="00FA31A2">
              <w:t>Non-SNAP and non-WIC households with income less than 130% poverty guideline</w:t>
            </w:r>
          </w:p>
        </w:tc>
        <w:tc>
          <w:tcPr>
            <w:tcW w:w="721" w:type="pct"/>
            <w:vAlign w:val="center"/>
          </w:tcPr>
          <w:p w:rsidR="009849CD" w:rsidP="00D652C4" w:rsidRDefault="00E77061" w14:paraId="570748BD" w14:textId="3D39E410">
            <w:pPr>
              <w:pStyle w:val="TX-TableText"/>
              <w:jc w:val="right"/>
            </w:pPr>
            <w:r>
              <w:t>13</w:t>
            </w:r>
          </w:p>
        </w:tc>
        <w:tc>
          <w:tcPr>
            <w:tcW w:w="721" w:type="pct"/>
            <w:vAlign w:val="center"/>
          </w:tcPr>
          <w:p w:rsidRPr="00A22AA3" w:rsidR="009849CD" w:rsidP="00D652C4" w:rsidRDefault="009849CD" w14:paraId="68C72140" w14:textId="1CDCA088">
            <w:pPr>
              <w:pStyle w:val="TX-TableText"/>
              <w:jc w:val="right"/>
            </w:pPr>
            <w:r>
              <w:t>10%</w:t>
            </w:r>
          </w:p>
        </w:tc>
        <w:tc>
          <w:tcPr>
            <w:tcW w:w="721" w:type="pct"/>
            <w:vAlign w:val="center"/>
          </w:tcPr>
          <w:p w:rsidRPr="00FA31A2" w:rsidR="009849CD" w:rsidP="00D652C4" w:rsidRDefault="009849CD" w14:paraId="3A537762" w14:textId="4D23E874">
            <w:pPr>
              <w:pStyle w:val="TX-TableText"/>
              <w:jc w:val="right"/>
            </w:pPr>
            <w:r>
              <w:t>83</w:t>
            </w:r>
          </w:p>
        </w:tc>
      </w:tr>
      <w:tr w:rsidRPr="00FA31A2" w:rsidR="009849CD" w:rsidTr="00D652C4" w14:paraId="507E72FA" w14:textId="77777777">
        <w:trPr>
          <w:trHeight w:val="300"/>
        </w:trPr>
        <w:tc>
          <w:tcPr>
            <w:tcW w:w="2837" w:type="pct"/>
            <w:shd w:val="clear" w:color="auto" w:fill="auto"/>
            <w:noWrap/>
            <w:vAlign w:val="center"/>
            <w:hideMark/>
          </w:tcPr>
          <w:p w:rsidRPr="00FA31A2" w:rsidR="009849CD" w:rsidP="00E265F1" w:rsidRDefault="009849CD" w14:paraId="3D53BAAC" w14:textId="77777777">
            <w:pPr>
              <w:pStyle w:val="TX-TableText"/>
            </w:pPr>
            <w:r w:rsidRPr="00FA31A2">
              <w:t xml:space="preserve">Non-SNAP and non-WIC households with income </w:t>
            </w:r>
            <w:r>
              <w:t>above</w:t>
            </w:r>
            <w:r w:rsidRPr="00FA31A2">
              <w:t xml:space="preserve"> 130% of poverty guideline</w:t>
            </w:r>
          </w:p>
        </w:tc>
        <w:tc>
          <w:tcPr>
            <w:tcW w:w="721" w:type="pct"/>
            <w:vAlign w:val="center"/>
          </w:tcPr>
          <w:p w:rsidR="009849CD" w:rsidP="00D652C4" w:rsidRDefault="00E77061" w14:paraId="02098959" w14:textId="2E99F9DD">
            <w:pPr>
              <w:pStyle w:val="TX-TableText"/>
              <w:jc w:val="right"/>
            </w:pPr>
            <w:r>
              <w:t>102</w:t>
            </w:r>
          </w:p>
        </w:tc>
        <w:tc>
          <w:tcPr>
            <w:tcW w:w="721" w:type="pct"/>
            <w:vAlign w:val="center"/>
          </w:tcPr>
          <w:p w:rsidRPr="00A22AA3" w:rsidR="009849CD" w:rsidP="00D652C4" w:rsidRDefault="009849CD" w14:paraId="502D2FA0" w14:textId="4D7E5180">
            <w:pPr>
              <w:pStyle w:val="TX-TableText"/>
              <w:jc w:val="right"/>
            </w:pPr>
            <w:r>
              <w:t>79%</w:t>
            </w:r>
          </w:p>
        </w:tc>
        <w:tc>
          <w:tcPr>
            <w:tcW w:w="721" w:type="pct"/>
            <w:vAlign w:val="center"/>
          </w:tcPr>
          <w:p w:rsidRPr="00FA31A2" w:rsidR="009849CD" w:rsidP="00D652C4" w:rsidRDefault="009849CD" w14:paraId="7088F07A" w14:textId="77777777">
            <w:pPr>
              <w:pStyle w:val="TX-TableText"/>
              <w:jc w:val="right"/>
            </w:pPr>
            <w:r w:rsidRPr="00A22AA3">
              <w:t>245</w:t>
            </w:r>
          </w:p>
        </w:tc>
      </w:tr>
      <w:tr w:rsidRPr="00FA31A2" w:rsidR="009849CD" w:rsidTr="00D652C4" w14:paraId="36A0ACFF" w14:textId="77777777">
        <w:trPr>
          <w:trHeight w:val="242"/>
        </w:trPr>
        <w:tc>
          <w:tcPr>
            <w:tcW w:w="2837" w:type="pct"/>
            <w:shd w:val="clear" w:color="auto" w:fill="auto"/>
            <w:noWrap/>
            <w:vAlign w:val="center"/>
            <w:hideMark/>
          </w:tcPr>
          <w:p w:rsidRPr="00FA31A2" w:rsidR="009849CD" w:rsidP="00E265F1" w:rsidRDefault="009849CD" w14:paraId="1E0DC800" w14:textId="77777777">
            <w:pPr>
              <w:pStyle w:val="TX-TableText"/>
            </w:pPr>
            <w:r w:rsidRPr="00FA31A2">
              <w:t>Total</w:t>
            </w:r>
          </w:p>
        </w:tc>
        <w:tc>
          <w:tcPr>
            <w:tcW w:w="721" w:type="pct"/>
            <w:vAlign w:val="center"/>
          </w:tcPr>
          <w:p w:rsidR="009849CD" w:rsidP="00D652C4" w:rsidRDefault="00E77061" w14:paraId="2D3C59FE" w14:textId="123C5AA8">
            <w:pPr>
              <w:pStyle w:val="TX-TableText"/>
              <w:jc w:val="right"/>
            </w:pPr>
            <w:r>
              <w:t>129</w:t>
            </w:r>
          </w:p>
        </w:tc>
        <w:tc>
          <w:tcPr>
            <w:tcW w:w="721" w:type="pct"/>
            <w:vAlign w:val="center"/>
          </w:tcPr>
          <w:p w:rsidRPr="00FA31A2" w:rsidR="009849CD" w:rsidP="00D652C4" w:rsidRDefault="001776E5" w14:paraId="11BE600D" w14:textId="4A5105A9">
            <w:pPr>
              <w:pStyle w:val="TX-TableText"/>
              <w:jc w:val="right"/>
            </w:pPr>
            <w:r>
              <w:t>-</w:t>
            </w:r>
          </w:p>
        </w:tc>
        <w:tc>
          <w:tcPr>
            <w:tcW w:w="721" w:type="pct"/>
            <w:vAlign w:val="center"/>
          </w:tcPr>
          <w:p w:rsidRPr="00FA31A2" w:rsidR="009849CD" w:rsidP="00D652C4" w:rsidRDefault="009849CD" w14:paraId="4F77811A" w14:textId="77777777">
            <w:pPr>
              <w:pStyle w:val="TX-TableText"/>
              <w:jc w:val="right"/>
            </w:pPr>
            <w:r w:rsidRPr="00FA31A2">
              <w:t>430</w:t>
            </w:r>
          </w:p>
        </w:tc>
      </w:tr>
    </w:tbl>
    <w:p w:rsidR="00797247" w:rsidP="00E265F1" w:rsidRDefault="00756176" w14:paraId="641E64CE" w14:textId="4A9DF2EA">
      <w:pPr>
        <w:pStyle w:val="TF-TblFN"/>
      </w:pPr>
      <w:r>
        <w:rPr>
          <w:vertAlign w:val="superscript"/>
        </w:rPr>
        <w:t>a</w:t>
      </w:r>
      <w:r w:rsidRPr="00733470" w:rsidR="00797247">
        <w:t xml:space="preserve"> </w:t>
      </w:r>
      <w:r w:rsidR="00797247">
        <w:t xml:space="preserve">Current Population Survey </w:t>
      </w:r>
      <w:r w:rsidRPr="00F14271" w:rsidR="00797247">
        <w:t>201</w:t>
      </w:r>
      <w:r w:rsidRPr="00F14271" w:rsidR="00F14271">
        <w:t>9</w:t>
      </w:r>
    </w:p>
    <w:p w:rsidRPr="00733470" w:rsidR="00E77061" w:rsidP="00E265F1" w:rsidRDefault="00E77061" w14:paraId="287CCC4F" w14:textId="37F892CF">
      <w:pPr>
        <w:pStyle w:val="TF-TblFN"/>
      </w:pPr>
      <w:r>
        <w:t xml:space="preserve">NOTE: </w:t>
      </w:r>
      <w:r w:rsidR="001776E5">
        <w:t xml:space="preserve">The SNAP and WIC analysis domains </w:t>
      </w:r>
      <w:r w:rsidR="009228B9">
        <w:t>are not mutually exclusive</w:t>
      </w:r>
      <w:r w:rsidR="001776E5">
        <w:t xml:space="preserve">, </w:t>
      </w:r>
      <w:r w:rsidR="009228B9">
        <w:t>so</w:t>
      </w:r>
      <w:r w:rsidR="001776E5">
        <w:t xml:space="preserve"> counts</w:t>
      </w:r>
      <w:r w:rsidR="009228B9">
        <w:t xml:space="preserve"> do </w:t>
      </w:r>
      <w:r>
        <w:t>not sum to totals.</w:t>
      </w:r>
    </w:p>
    <w:p w:rsidR="009A73F3" w:rsidP="00BA5AD3" w:rsidRDefault="009A73F3" w14:paraId="14A0FF52" w14:textId="77777777">
      <w:pPr>
        <w:pStyle w:val="L1-FlLSp12"/>
      </w:pPr>
    </w:p>
    <w:p w:rsidRPr="006A3E92" w:rsidR="008A6A7C" w:rsidP="00E329A7" w:rsidRDefault="00BA5AD3" w14:paraId="2B764751" w14:textId="6CE26032">
      <w:pPr>
        <w:pStyle w:val="Heading3"/>
      </w:pPr>
      <w:bookmarkStart w:name="_Toc513794202" w:id="31"/>
      <w:bookmarkStart w:name="_Toc74205150" w:id="32"/>
      <w:r>
        <w:t>Sample Sizes and Expected Response Rates</w:t>
      </w:r>
      <w:bookmarkEnd w:id="31"/>
      <w:bookmarkEnd w:id="32"/>
    </w:p>
    <w:p w:rsidR="00C23DF3" w:rsidP="00C23DF3" w:rsidRDefault="004E6E9A" w14:paraId="3CA0824B" w14:textId="26650A40">
      <w:pPr>
        <w:pStyle w:val="L1-FlLSp12"/>
        <w:rPr>
          <w:lang w:val="en"/>
        </w:rPr>
      </w:pPr>
      <w:r w:rsidRPr="005F647E">
        <w:rPr>
          <w:lang w:val="en"/>
        </w:rPr>
        <w:t>We</w:t>
      </w:r>
      <w:r w:rsidRPr="005F647E" w:rsidR="005F647E">
        <w:rPr>
          <w:lang w:val="en"/>
        </w:rPr>
        <w:t xml:space="preserve"> plan to </w:t>
      </w:r>
      <w:r w:rsidR="00A020D8">
        <w:rPr>
          <w:lang w:val="en"/>
        </w:rPr>
        <w:t xml:space="preserve">target </w:t>
      </w:r>
      <w:r w:rsidRPr="005F647E" w:rsidR="005F647E">
        <w:rPr>
          <w:lang w:val="en"/>
        </w:rPr>
        <w:t xml:space="preserve">the same nominal overall sample size (430 completed final interviews) as the </w:t>
      </w:r>
      <w:r w:rsidR="00801F9E">
        <w:rPr>
          <w:lang w:val="en"/>
        </w:rPr>
        <w:t>NFS</w:t>
      </w:r>
      <w:r w:rsidRPr="005F647E" w:rsidR="00801F9E">
        <w:rPr>
          <w:lang w:val="en"/>
        </w:rPr>
        <w:t xml:space="preserve"> </w:t>
      </w:r>
      <w:r w:rsidRPr="005F647E" w:rsidR="005F647E">
        <w:rPr>
          <w:lang w:val="en"/>
        </w:rPr>
        <w:t xml:space="preserve">Pilot. Table </w:t>
      </w:r>
      <w:r w:rsidR="005F647E">
        <w:rPr>
          <w:lang w:val="en"/>
        </w:rPr>
        <w:t>B.1</w:t>
      </w:r>
      <w:r w:rsidRPr="005F647E" w:rsidR="005F647E">
        <w:rPr>
          <w:lang w:val="en"/>
        </w:rPr>
        <w:t xml:space="preserve"> provided the target </w:t>
      </w:r>
      <w:r w:rsidR="00C50210">
        <w:rPr>
          <w:lang w:val="en"/>
        </w:rPr>
        <w:t xml:space="preserve">respondent </w:t>
      </w:r>
      <w:r w:rsidRPr="005F647E" w:rsidR="005F647E">
        <w:rPr>
          <w:lang w:val="en"/>
        </w:rPr>
        <w:t>sample sizes</w:t>
      </w:r>
      <w:r w:rsidR="0047687C">
        <w:rPr>
          <w:lang w:val="en"/>
        </w:rPr>
        <w:t xml:space="preserve"> by domain, where like the NFS Pilot, has an oversample of SNAP households</w:t>
      </w:r>
      <w:r w:rsidRPr="005F647E" w:rsidR="005F647E">
        <w:rPr>
          <w:lang w:val="en"/>
        </w:rPr>
        <w:t>.</w:t>
      </w:r>
      <w:r w:rsidR="00AA0071">
        <w:rPr>
          <w:lang w:val="en"/>
        </w:rPr>
        <w:t xml:space="preserve"> </w:t>
      </w:r>
      <w:r w:rsidR="00C23DF3">
        <w:rPr>
          <w:lang w:val="en"/>
        </w:rPr>
        <w:t xml:space="preserve">The definition of a completed household data collection for the Field Test will be based on the same definition of complete used for the NFS Pilot. The criteria for the Field Test are: </w:t>
      </w:r>
    </w:p>
    <w:p w:rsidR="00C23DF3" w:rsidP="00C23DF3" w:rsidRDefault="00C23DF3" w14:paraId="74B33F19" w14:textId="77777777">
      <w:pPr>
        <w:pStyle w:val="L1-FlLSp12"/>
        <w:rPr>
          <w:lang w:val="en"/>
        </w:rPr>
      </w:pPr>
    </w:p>
    <w:p w:rsidRPr="008645F9" w:rsidR="00C23DF3" w:rsidP="00C23DF3" w:rsidRDefault="00C23DF3" w14:paraId="1B88A9B4" w14:textId="533CACC9">
      <w:pPr>
        <w:pStyle w:val="L1-FlLSp12"/>
        <w:numPr>
          <w:ilvl w:val="0"/>
          <w:numId w:val="33"/>
        </w:numPr>
      </w:pPr>
      <w:r w:rsidRPr="008645F9">
        <w:t xml:space="preserve">The screening interview must </w:t>
      </w:r>
      <w:r>
        <w:t>be</w:t>
      </w:r>
      <w:r w:rsidRPr="008645F9">
        <w:t xml:space="preserve"> completed to the point where survey eligibility was </w:t>
      </w:r>
      <w:r w:rsidRPr="008645F9" w:rsidR="004E6E9A">
        <w:t>determined.</w:t>
      </w:r>
    </w:p>
    <w:p w:rsidRPr="0022491B" w:rsidR="00C23DF3" w:rsidP="00C23DF3" w:rsidRDefault="00C23DF3" w14:paraId="64E32F89" w14:textId="59BD7F0C">
      <w:pPr>
        <w:pStyle w:val="L1-FlLSp12"/>
        <w:numPr>
          <w:ilvl w:val="0"/>
          <w:numId w:val="33"/>
        </w:numPr>
      </w:pPr>
      <w:r w:rsidRPr="0022491B">
        <w:t xml:space="preserve">The Initial Interview must be </w:t>
      </w:r>
      <w:r w:rsidRPr="0022491B" w:rsidR="004E6E9A">
        <w:t>completed.</w:t>
      </w:r>
    </w:p>
    <w:p w:rsidRPr="0022491B" w:rsidR="00C23DF3" w:rsidP="00C23DF3" w:rsidRDefault="00C23DF3" w14:paraId="7AA3901B" w14:textId="55BFDC01">
      <w:pPr>
        <w:pStyle w:val="L1-FlLSp12"/>
        <w:numPr>
          <w:ilvl w:val="0"/>
          <w:numId w:val="33"/>
        </w:numPr>
      </w:pPr>
      <w:r w:rsidRPr="0022491B">
        <w:t xml:space="preserve">The Debriefing Interview must be </w:t>
      </w:r>
      <w:r w:rsidRPr="0022491B" w:rsidR="004E6E9A">
        <w:t>completed.</w:t>
      </w:r>
    </w:p>
    <w:p w:rsidR="00C23DF3" w:rsidP="005F647E" w:rsidRDefault="00C23DF3" w14:paraId="1A173716" w14:textId="77777777">
      <w:pPr>
        <w:pStyle w:val="L1-FlLSp12"/>
        <w:rPr>
          <w:lang w:val="en"/>
        </w:rPr>
      </w:pPr>
    </w:p>
    <w:p w:rsidR="005F647E" w:rsidP="005F647E" w:rsidRDefault="005F647E" w14:paraId="138454B6" w14:textId="45C19D69">
      <w:pPr>
        <w:pStyle w:val="L1-FlLSp12"/>
        <w:rPr>
          <w:lang w:val="en"/>
        </w:rPr>
      </w:pPr>
      <w:r w:rsidRPr="005F647E">
        <w:rPr>
          <w:lang w:val="en"/>
        </w:rPr>
        <w:t xml:space="preserve">To obtain 430 completed interviews, we plan to mail out </w:t>
      </w:r>
      <w:r w:rsidR="006B2E3A">
        <w:rPr>
          <w:lang w:val="en"/>
        </w:rPr>
        <w:t>4,</w:t>
      </w:r>
      <w:r w:rsidR="00C26C6E">
        <w:rPr>
          <w:lang w:val="en"/>
        </w:rPr>
        <w:t>125</w:t>
      </w:r>
      <w:r w:rsidRPr="005F647E">
        <w:rPr>
          <w:lang w:val="en"/>
        </w:rPr>
        <w:t xml:space="preserve"> mail screeners.</w:t>
      </w:r>
      <w:r w:rsidR="00C734C0">
        <w:rPr>
          <w:lang w:val="en"/>
        </w:rPr>
        <w:t xml:space="preserve"> An additional </w:t>
      </w:r>
      <w:r w:rsidR="00C26C6E">
        <w:rPr>
          <w:lang w:val="en"/>
        </w:rPr>
        <w:t>7</w:t>
      </w:r>
      <w:r w:rsidR="00C734C0">
        <w:rPr>
          <w:lang w:val="en"/>
        </w:rPr>
        <w:t xml:space="preserve">00 households sampled from administrative lists will go directly to the in-person screening stage for </w:t>
      </w:r>
      <w:r w:rsidRPr="00144DFF" w:rsidR="00C734C0">
        <w:rPr>
          <w:lang w:val="en"/>
        </w:rPr>
        <w:t>a total of 4,</w:t>
      </w:r>
      <w:r w:rsidRPr="00144DFF" w:rsidR="00C26C6E">
        <w:rPr>
          <w:lang w:val="en"/>
        </w:rPr>
        <w:t>825</w:t>
      </w:r>
      <w:r w:rsidRPr="00144DFF" w:rsidR="00C734C0">
        <w:rPr>
          <w:lang w:val="en"/>
        </w:rPr>
        <w:t xml:space="preserve"> unique households sampled.</w:t>
      </w:r>
      <w:r w:rsidRPr="005F647E">
        <w:rPr>
          <w:lang w:val="en"/>
        </w:rPr>
        <w:t xml:space="preserve"> We performed a preliminary evaluation based on FoodAPS-1 and </w:t>
      </w:r>
      <w:r w:rsidR="00801F9E">
        <w:rPr>
          <w:lang w:val="en"/>
        </w:rPr>
        <w:t>NFS</w:t>
      </w:r>
      <w:r w:rsidRPr="005F647E" w:rsidR="00801F9E">
        <w:rPr>
          <w:lang w:val="en"/>
        </w:rPr>
        <w:t xml:space="preserve"> </w:t>
      </w:r>
      <w:r w:rsidRPr="005F647E">
        <w:rPr>
          <w:lang w:val="en"/>
        </w:rPr>
        <w:t>Pilot data to test whether, given reasonable assumptions</w:t>
      </w:r>
      <w:r w:rsidR="0027724E">
        <w:rPr>
          <w:lang w:val="en"/>
        </w:rPr>
        <w:t xml:space="preserve"> related to response, contact and eligibility displayed in Table B.</w:t>
      </w:r>
      <w:r w:rsidR="00CC3759">
        <w:rPr>
          <w:lang w:val="en"/>
        </w:rPr>
        <w:t>2</w:t>
      </w:r>
      <w:r w:rsidRPr="005F647E">
        <w:rPr>
          <w:lang w:val="en"/>
        </w:rPr>
        <w:t xml:space="preserve">, </w:t>
      </w:r>
      <w:r w:rsidR="00930095">
        <w:rPr>
          <w:lang w:val="en"/>
        </w:rPr>
        <w:t>the planned number of mail screeners</w:t>
      </w:r>
      <w:r w:rsidRPr="005F647E" w:rsidR="00930095">
        <w:rPr>
          <w:lang w:val="en"/>
        </w:rPr>
        <w:t xml:space="preserve"> </w:t>
      </w:r>
      <w:r w:rsidRPr="005F647E">
        <w:rPr>
          <w:lang w:val="en"/>
        </w:rPr>
        <w:t>was likely to result in the target number of completes</w:t>
      </w:r>
      <w:r w:rsidR="00930095">
        <w:rPr>
          <w:lang w:val="en"/>
        </w:rPr>
        <w:t xml:space="preserve"> by </w:t>
      </w:r>
      <w:r w:rsidR="00B91B07">
        <w:rPr>
          <w:lang w:val="en"/>
        </w:rPr>
        <w:t>domain</w:t>
      </w:r>
      <w:r w:rsidRPr="005F647E">
        <w:rPr>
          <w:lang w:val="en"/>
        </w:rPr>
        <w:t xml:space="preserve">. This evaluation </w:t>
      </w:r>
      <w:r w:rsidR="00930095">
        <w:rPr>
          <w:lang w:val="en"/>
        </w:rPr>
        <w:t>was also</w:t>
      </w:r>
      <w:r w:rsidRPr="005F647E">
        <w:rPr>
          <w:lang w:val="en"/>
        </w:rPr>
        <w:t xml:space="preserve"> used to set initial sampling rates. </w:t>
      </w:r>
      <w:r w:rsidR="00CC3759">
        <w:rPr>
          <w:lang w:val="en"/>
        </w:rPr>
        <w:t>The evaluation is described in detail in this section.</w:t>
      </w:r>
    </w:p>
    <w:p w:rsidR="00CC3759" w:rsidP="005F647E" w:rsidRDefault="00CC3759" w14:paraId="080A2AF7" w14:textId="6A0A6462">
      <w:pPr>
        <w:pStyle w:val="L1-FlLSp12"/>
        <w:rPr>
          <w:lang w:val="en"/>
        </w:rPr>
      </w:pPr>
    </w:p>
    <w:p w:rsidRPr="00D652C4" w:rsidR="00CC3759" w:rsidP="00CC3759" w:rsidRDefault="00CC3759" w14:paraId="41AE723E" w14:textId="2FC09399">
      <w:pPr>
        <w:pStyle w:val="TT-TableTitle"/>
        <w:rPr>
          <w:rFonts w:ascii="Garamond" w:hAnsi="Garamond"/>
          <w:b/>
          <w:bCs/>
          <w:lang w:val="en"/>
        </w:rPr>
      </w:pPr>
      <w:bookmarkStart w:name="_Toc513794204" w:id="33"/>
      <w:bookmarkStart w:name="_Toc93489538" w:id="34"/>
      <w:r w:rsidRPr="00D652C4">
        <w:rPr>
          <w:rFonts w:ascii="Garamond" w:hAnsi="Garamond"/>
          <w:b/>
          <w:bCs/>
          <w:lang w:val="en"/>
        </w:rPr>
        <w:t xml:space="preserve">Table B.2. </w:t>
      </w:r>
      <w:r w:rsidRPr="00D652C4">
        <w:rPr>
          <w:rFonts w:ascii="Garamond" w:hAnsi="Garamond"/>
          <w:b/>
          <w:bCs/>
          <w:lang w:val="en"/>
        </w:rPr>
        <w:tab/>
        <w:t>Assumed Response Rates</w:t>
      </w:r>
      <w:r w:rsidRPr="00D652C4">
        <w:rPr>
          <w:rFonts w:ascii="Garamond" w:hAnsi="Garamond"/>
          <w:b/>
          <w:bCs/>
          <w:vertAlign w:val="superscript"/>
          <w:lang w:val="en"/>
        </w:rPr>
        <w:t>1</w:t>
      </w:r>
      <w:r w:rsidRPr="00D652C4">
        <w:rPr>
          <w:rFonts w:ascii="Garamond" w:hAnsi="Garamond"/>
          <w:b/>
          <w:bCs/>
          <w:lang w:val="en"/>
        </w:rPr>
        <w:t xml:space="preserve"> for the Field Test</w:t>
      </w:r>
      <w:bookmarkEnd w:id="33"/>
      <w:bookmarkEnd w:id="34"/>
    </w:p>
    <w:p w:rsidRPr="00DA393E" w:rsidR="00CC3759" w:rsidP="00CC3759" w:rsidRDefault="00CC3759" w14:paraId="5C6182D2" w14:textId="77777777">
      <w:pPr>
        <w:pStyle w:val="TT-TableTitle"/>
        <w:rPr>
          <w:lang w:val="en"/>
        </w:rPr>
      </w:pPr>
    </w:p>
    <w:tbl>
      <w:tblPr>
        <w:tblW w:w="9576" w:type="dxa"/>
        <w:tblBorders>
          <w:top w:val="single" w:color="auto" w:sz="4" w:space="0"/>
          <w:bottom w:val="single" w:color="auto" w:sz="4" w:space="0"/>
          <w:insideH w:val="single" w:color="auto" w:sz="4" w:space="0"/>
        </w:tblBorders>
        <w:tblLook w:val="04A0" w:firstRow="1" w:lastRow="0" w:firstColumn="1" w:lastColumn="0" w:noHBand="0" w:noVBand="1"/>
      </w:tblPr>
      <w:tblGrid>
        <w:gridCol w:w="4320"/>
        <w:gridCol w:w="2628"/>
        <w:gridCol w:w="2628"/>
      </w:tblGrid>
      <w:tr w:rsidRPr="00DA393E" w:rsidR="00CC3759" w:rsidTr="00E42E44" w14:paraId="019F64CD" w14:textId="77777777">
        <w:tc>
          <w:tcPr>
            <w:tcW w:w="4320" w:type="dxa"/>
            <w:shd w:val="clear" w:color="auto" w:fill="B8CCE4" w:themeFill="accent1" w:themeFillTint="66"/>
            <w:vAlign w:val="center"/>
          </w:tcPr>
          <w:p w:rsidRPr="00DA393E" w:rsidR="00CC3759" w:rsidP="00255348" w:rsidRDefault="00CC3759" w14:paraId="23E4AB60" w14:textId="77777777">
            <w:pPr>
              <w:pStyle w:val="TH-TableHeading"/>
            </w:pPr>
            <w:r>
              <w:t>Stage</w:t>
            </w:r>
          </w:p>
        </w:tc>
        <w:tc>
          <w:tcPr>
            <w:tcW w:w="2628" w:type="dxa"/>
            <w:shd w:val="clear" w:color="auto" w:fill="B8CCE4" w:themeFill="accent1" w:themeFillTint="66"/>
          </w:tcPr>
          <w:p w:rsidR="00CC3759" w:rsidP="00255348" w:rsidRDefault="00CC3759" w14:paraId="168F49BC" w14:textId="77777777">
            <w:pPr>
              <w:pStyle w:val="TH-TableHeading"/>
            </w:pPr>
            <w:r>
              <w:t>Expected sample size</w:t>
            </w:r>
          </w:p>
        </w:tc>
        <w:tc>
          <w:tcPr>
            <w:tcW w:w="2628" w:type="dxa"/>
            <w:shd w:val="clear" w:color="auto" w:fill="B8CCE4" w:themeFill="accent1" w:themeFillTint="66"/>
          </w:tcPr>
          <w:p w:rsidRPr="00DA393E" w:rsidR="00CC3759" w:rsidP="00255348" w:rsidRDefault="00CC3759" w14:paraId="120C6C32" w14:textId="77777777">
            <w:pPr>
              <w:pStyle w:val="TH-TableHeading"/>
            </w:pPr>
            <w:r>
              <w:t>Response Rate</w:t>
            </w:r>
          </w:p>
        </w:tc>
      </w:tr>
      <w:tr w:rsidRPr="00DA393E" w:rsidR="00CC3759" w:rsidTr="00CE0DBA" w14:paraId="72AE5455" w14:textId="77777777">
        <w:trPr>
          <w:trHeight w:val="288"/>
        </w:trPr>
        <w:tc>
          <w:tcPr>
            <w:tcW w:w="4320" w:type="dxa"/>
            <w:vAlign w:val="center"/>
          </w:tcPr>
          <w:p w:rsidRPr="00D652C4" w:rsidR="00CC3759" w:rsidP="00255348" w:rsidRDefault="00CC3759" w14:paraId="5AEACD82" w14:textId="77777777">
            <w:pPr>
              <w:pStyle w:val="TX-TableText"/>
              <w:rPr>
                <w:b/>
                <w:bCs/>
              </w:rPr>
            </w:pPr>
            <w:r w:rsidRPr="00D652C4">
              <w:rPr>
                <w:b/>
                <w:bCs/>
              </w:rPr>
              <w:t>Mailout sample</w:t>
            </w:r>
          </w:p>
        </w:tc>
        <w:tc>
          <w:tcPr>
            <w:tcW w:w="2628" w:type="dxa"/>
            <w:vAlign w:val="center"/>
          </w:tcPr>
          <w:p w:rsidR="00CC3759" w:rsidP="00CE0DBA" w:rsidRDefault="00CC3759" w14:paraId="7CDAE78A" w14:textId="77777777">
            <w:pPr>
              <w:pStyle w:val="TX-TableText"/>
              <w:jc w:val="right"/>
            </w:pPr>
            <w:r w:rsidRPr="004B46FE">
              <w:t>4,</w:t>
            </w:r>
            <w:r>
              <w:t>125</w:t>
            </w:r>
          </w:p>
        </w:tc>
        <w:tc>
          <w:tcPr>
            <w:tcW w:w="2628" w:type="dxa"/>
            <w:vAlign w:val="center"/>
          </w:tcPr>
          <w:p w:rsidR="00CC3759" w:rsidP="00CE0DBA" w:rsidRDefault="00CC3759" w14:paraId="74F19357" w14:textId="77777777">
            <w:pPr>
              <w:pStyle w:val="TX-TableText"/>
              <w:jc w:val="right"/>
            </w:pPr>
          </w:p>
        </w:tc>
      </w:tr>
      <w:tr w:rsidRPr="00DA393E" w:rsidR="00CC3759" w:rsidTr="00CE0DBA" w14:paraId="7454BA91" w14:textId="77777777">
        <w:trPr>
          <w:trHeight w:val="288"/>
        </w:trPr>
        <w:tc>
          <w:tcPr>
            <w:tcW w:w="4320" w:type="dxa"/>
            <w:vAlign w:val="center"/>
          </w:tcPr>
          <w:p w:rsidRPr="00DA393E" w:rsidR="00CC3759" w:rsidP="00D652C4" w:rsidRDefault="00CC3759" w14:paraId="24E63818" w14:textId="77777777">
            <w:pPr>
              <w:pStyle w:val="TX-TableText"/>
              <w:ind w:left="288"/>
            </w:pPr>
            <w:r>
              <w:t>Mail screener responses</w:t>
            </w:r>
          </w:p>
        </w:tc>
        <w:tc>
          <w:tcPr>
            <w:tcW w:w="2628" w:type="dxa"/>
            <w:vAlign w:val="center"/>
          </w:tcPr>
          <w:p w:rsidR="00CC3759" w:rsidP="00CE0DBA" w:rsidRDefault="00CC3759" w14:paraId="2F02A3E5" w14:textId="77777777">
            <w:pPr>
              <w:pStyle w:val="TX-TableText"/>
              <w:jc w:val="right"/>
            </w:pPr>
            <w:r>
              <w:t>825</w:t>
            </w:r>
          </w:p>
        </w:tc>
        <w:tc>
          <w:tcPr>
            <w:tcW w:w="2628" w:type="dxa"/>
            <w:vAlign w:val="center"/>
          </w:tcPr>
          <w:p w:rsidRPr="00DA393E" w:rsidR="00CC3759" w:rsidP="00CE0DBA" w:rsidRDefault="00CC3759" w14:paraId="1356645B" w14:textId="77777777">
            <w:pPr>
              <w:pStyle w:val="TX-TableText"/>
              <w:jc w:val="right"/>
            </w:pPr>
            <w:r>
              <w:t>20.0%</w:t>
            </w:r>
          </w:p>
        </w:tc>
      </w:tr>
      <w:tr w:rsidRPr="00DA393E" w:rsidR="00CC3759" w:rsidTr="00CE0DBA" w14:paraId="22279062" w14:textId="77777777">
        <w:trPr>
          <w:trHeight w:val="288"/>
        </w:trPr>
        <w:tc>
          <w:tcPr>
            <w:tcW w:w="4320" w:type="dxa"/>
            <w:vAlign w:val="center"/>
          </w:tcPr>
          <w:p w:rsidRPr="00DA393E" w:rsidR="00CC3759" w:rsidP="00D652C4" w:rsidRDefault="00CC3759" w14:paraId="71863FC3" w14:textId="77777777">
            <w:pPr>
              <w:pStyle w:val="TX-TableText"/>
              <w:ind w:left="288"/>
            </w:pPr>
            <w:r>
              <w:t>Screen-in rate for mail responses</w:t>
            </w:r>
          </w:p>
        </w:tc>
        <w:tc>
          <w:tcPr>
            <w:tcW w:w="2628" w:type="dxa"/>
            <w:vAlign w:val="center"/>
          </w:tcPr>
          <w:p w:rsidR="00CC3759" w:rsidP="00CE0DBA" w:rsidRDefault="00CC3759" w14:paraId="46491C0B" w14:textId="77777777">
            <w:pPr>
              <w:pStyle w:val="TX-TableText"/>
              <w:jc w:val="right"/>
            </w:pPr>
            <w:r>
              <w:t>582</w:t>
            </w:r>
          </w:p>
        </w:tc>
        <w:tc>
          <w:tcPr>
            <w:tcW w:w="2628" w:type="dxa"/>
            <w:vAlign w:val="center"/>
          </w:tcPr>
          <w:p w:rsidRPr="00DA393E" w:rsidR="00CC3759" w:rsidP="00CE0DBA" w:rsidRDefault="00CC3759" w14:paraId="7DC5A3BD" w14:textId="77777777">
            <w:pPr>
              <w:pStyle w:val="TX-TableText"/>
              <w:jc w:val="right"/>
            </w:pPr>
            <w:r>
              <w:t>70.5%</w:t>
            </w:r>
          </w:p>
        </w:tc>
      </w:tr>
      <w:tr w:rsidRPr="00DA393E" w:rsidR="00CC3759" w:rsidTr="00CE0DBA" w14:paraId="147598B6" w14:textId="77777777">
        <w:trPr>
          <w:trHeight w:val="288"/>
        </w:trPr>
        <w:tc>
          <w:tcPr>
            <w:tcW w:w="4320" w:type="dxa"/>
            <w:vAlign w:val="center"/>
          </w:tcPr>
          <w:p w:rsidRPr="00DA393E" w:rsidR="00CC3759" w:rsidP="00D652C4" w:rsidRDefault="00CC3759" w14:paraId="62DAC9DB" w14:textId="77777777">
            <w:pPr>
              <w:pStyle w:val="TX-TableText"/>
              <w:ind w:left="288"/>
            </w:pPr>
            <w:r>
              <w:t>Mail screener nonresponse</w:t>
            </w:r>
          </w:p>
        </w:tc>
        <w:tc>
          <w:tcPr>
            <w:tcW w:w="2628" w:type="dxa"/>
            <w:vAlign w:val="center"/>
          </w:tcPr>
          <w:p w:rsidR="00CC3759" w:rsidP="00CE0DBA" w:rsidRDefault="00CC3759" w14:paraId="7E7EB09E" w14:textId="77777777">
            <w:pPr>
              <w:pStyle w:val="TX-TableText"/>
              <w:jc w:val="right"/>
            </w:pPr>
            <w:r>
              <w:t>3,300</w:t>
            </w:r>
          </w:p>
        </w:tc>
        <w:tc>
          <w:tcPr>
            <w:tcW w:w="2628" w:type="dxa"/>
            <w:vAlign w:val="center"/>
          </w:tcPr>
          <w:p w:rsidRPr="00DA393E" w:rsidR="00CC3759" w:rsidP="00CE0DBA" w:rsidRDefault="00CC3759" w14:paraId="5D4AAA56" w14:textId="73CA1FB9">
            <w:pPr>
              <w:pStyle w:val="TX-TableText"/>
              <w:jc w:val="right"/>
            </w:pPr>
            <w:r>
              <w:t>80.0%</w:t>
            </w:r>
          </w:p>
        </w:tc>
      </w:tr>
      <w:tr w:rsidRPr="00DA393E" w:rsidR="00CC3759" w:rsidTr="00CE0DBA" w14:paraId="5A6519E9" w14:textId="77777777">
        <w:trPr>
          <w:trHeight w:val="288"/>
        </w:trPr>
        <w:tc>
          <w:tcPr>
            <w:tcW w:w="4320" w:type="dxa"/>
            <w:vAlign w:val="center"/>
          </w:tcPr>
          <w:p w:rsidR="00CC3759" w:rsidP="00D652C4" w:rsidRDefault="00CC3759" w14:paraId="7E702E11" w14:textId="77777777">
            <w:pPr>
              <w:pStyle w:val="TX-TableText"/>
              <w:ind w:left="288"/>
            </w:pPr>
            <w:r>
              <w:t>Subsample of nonrespondents</w:t>
            </w:r>
          </w:p>
        </w:tc>
        <w:tc>
          <w:tcPr>
            <w:tcW w:w="2628" w:type="dxa"/>
            <w:vAlign w:val="center"/>
          </w:tcPr>
          <w:p w:rsidR="00CC3759" w:rsidP="00CE0DBA" w:rsidRDefault="00CC3759" w14:paraId="30A44BF8" w14:textId="77777777">
            <w:pPr>
              <w:pStyle w:val="TX-TableText"/>
              <w:jc w:val="right"/>
            </w:pPr>
            <w:r>
              <w:t>1,100</w:t>
            </w:r>
          </w:p>
        </w:tc>
        <w:tc>
          <w:tcPr>
            <w:tcW w:w="2628" w:type="dxa"/>
            <w:vAlign w:val="center"/>
          </w:tcPr>
          <w:p w:rsidR="00CC3759" w:rsidP="00CE0DBA" w:rsidRDefault="00CC3759" w14:paraId="2A03446F" w14:textId="77777777">
            <w:pPr>
              <w:pStyle w:val="TX-TableText"/>
              <w:jc w:val="right"/>
            </w:pPr>
            <w:r>
              <w:t>33.3%</w:t>
            </w:r>
          </w:p>
        </w:tc>
      </w:tr>
      <w:tr w:rsidRPr="00DA393E" w:rsidR="00CC3759" w:rsidTr="00CE0DBA" w14:paraId="7CF7AA64" w14:textId="77777777">
        <w:trPr>
          <w:trHeight w:val="288"/>
        </w:trPr>
        <w:tc>
          <w:tcPr>
            <w:tcW w:w="4320" w:type="dxa"/>
            <w:vAlign w:val="center"/>
          </w:tcPr>
          <w:p w:rsidR="00CC3759" w:rsidP="00255348" w:rsidRDefault="00CC3759" w14:paraId="739FD356" w14:textId="77777777">
            <w:pPr>
              <w:pStyle w:val="TX-TableText"/>
            </w:pPr>
            <w:r>
              <w:t>Selected from admin lists (no mail screener)</w:t>
            </w:r>
          </w:p>
        </w:tc>
        <w:tc>
          <w:tcPr>
            <w:tcW w:w="2628" w:type="dxa"/>
            <w:vAlign w:val="center"/>
          </w:tcPr>
          <w:p w:rsidR="00CC3759" w:rsidP="00CE0DBA" w:rsidRDefault="00CC3759" w14:paraId="557B8653" w14:textId="77777777">
            <w:pPr>
              <w:pStyle w:val="TX-TableText"/>
              <w:jc w:val="right"/>
            </w:pPr>
            <w:r>
              <w:t>7</w:t>
            </w:r>
            <w:r w:rsidRPr="004B46FE">
              <w:t>00</w:t>
            </w:r>
          </w:p>
        </w:tc>
        <w:tc>
          <w:tcPr>
            <w:tcW w:w="2628" w:type="dxa"/>
            <w:vAlign w:val="center"/>
          </w:tcPr>
          <w:p w:rsidR="00CC3759" w:rsidP="00CE0DBA" w:rsidRDefault="00CC3759" w14:paraId="7EDCF032" w14:textId="77777777">
            <w:pPr>
              <w:pStyle w:val="TX-TableText"/>
              <w:jc w:val="right"/>
            </w:pPr>
            <w:r>
              <w:t>-</w:t>
            </w:r>
          </w:p>
        </w:tc>
      </w:tr>
      <w:tr w:rsidRPr="0067181A" w:rsidR="00CC3759" w:rsidTr="00CE0DBA" w14:paraId="2E03EF2E" w14:textId="77777777">
        <w:trPr>
          <w:trHeight w:val="288"/>
        </w:trPr>
        <w:tc>
          <w:tcPr>
            <w:tcW w:w="4320" w:type="dxa"/>
            <w:vAlign w:val="center"/>
          </w:tcPr>
          <w:p w:rsidRPr="0067181A" w:rsidR="00CC3759" w:rsidP="00255348" w:rsidRDefault="00CC3759" w14:paraId="4450C4D3" w14:textId="77777777">
            <w:pPr>
              <w:pStyle w:val="TX-TableText"/>
              <w:rPr>
                <w:b/>
              </w:rPr>
            </w:pPr>
            <w:r w:rsidRPr="0067181A">
              <w:rPr>
                <w:b/>
              </w:rPr>
              <w:t>Total for in-person screening</w:t>
            </w:r>
          </w:p>
        </w:tc>
        <w:tc>
          <w:tcPr>
            <w:tcW w:w="2628" w:type="dxa"/>
            <w:vAlign w:val="center"/>
          </w:tcPr>
          <w:p w:rsidRPr="0067181A" w:rsidR="00CC3759" w:rsidP="00CE0DBA" w:rsidRDefault="00CC3759" w14:paraId="699BAE4A" w14:textId="77777777">
            <w:pPr>
              <w:pStyle w:val="TX-TableText"/>
              <w:jc w:val="right"/>
            </w:pPr>
            <w:r w:rsidRPr="0067181A">
              <w:t>2,3</w:t>
            </w:r>
            <w:r>
              <w:t>82</w:t>
            </w:r>
          </w:p>
        </w:tc>
        <w:tc>
          <w:tcPr>
            <w:tcW w:w="2628" w:type="dxa"/>
            <w:vAlign w:val="center"/>
          </w:tcPr>
          <w:p w:rsidRPr="0067181A" w:rsidR="00CC3759" w:rsidP="00CE0DBA" w:rsidRDefault="00CC3759" w14:paraId="147A2C58" w14:textId="77777777">
            <w:pPr>
              <w:pStyle w:val="TX-TableText"/>
              <w:jc w:val="right"/>
            </w:pPr>
            <w:r w:rsidRPr="0067181A">
              <w:t>-</w:t>
            </w:r>
          </w:p>
        </w:tc>
      </w:tr>
      <w:tr w:rsidRPr="00DA393E" w:rsidR="00CC3759" w:rsidTr="00CE0DBA" w14:paraId="07954443" w14:textId="77777777">
        <w:trPr>
          <w:trHeight w:val="288"/>
        </w:trPr>
        <w:tc>
          <w:tcPr>
            <w:tcW w:w="4320" w:type="dxa"/>
            <w:vAlign w:val="center"/>
          </w:tcPr>
          <w:p w:rsidR="00CC3759" w:rsidP="00D652C4" w:rsidRDefault="00CC3759" w14:paraId="67FB8EED" w14:textId="77777777">
            <w:pPr>
              <w:pStyle w:val="TX-TableText"/>
              <w:ind w:left="288"/>
            </w:pPr>
            <w:r>
              <w:t>Occupied DU rate</w:t>
            </w:r>
          </w:p>
        </w:tc>
        <w:tc>
          <w:tcPr>
            <w:tcW w:w="2628" w:type="dxa"/>
            <w:vAlign w:val="center"/>
          </w:tcPr>
          <w:p w:rsidR="00CC3759" w:rsidP="00CE0DBA" w:rsidRDefault="00CC3759" w14:paraId="38A7046C" w14:textId="77777777">
            <w:pPr>
              <w:pStyle w:val="TX-TableText"/>
              <w:jc w:val="right"/>
            </w:pPr>
            <w:r w:rsidRPr="004B46FE">
              <w:t>2,02</w:t>
            </w:r>
            <w:r>
              <w:t>5</w:t>
            </w:r>
          </w:p>
        </w:tc>
        <w:tc>
          <w:tcPr>
            <w:tcW w:w="2628" w:type="dxa"/>
            <w:vAlign w:val="center"/>
          </w:tcPr>
          <w:p w:rsidR="00CC3759" w:rsidP="00CE0DBA" w:rsidRDefault="00CC3759" w14:paraId="7A617368" w14:textId="77777777">
            <w:pPr>
              <w:pStyle w:val="TX-TableText"/>
              <w:jc w:val="right"/>
            </w:pPr>
            <w:r>
              <w:t>85.0%</w:t>
            </w:r>
          </w:p>
        </w:tc>
      </w:tr>
      <w:tr w:rsidRPr="00DA393E" w:rsidR="00CC3759" w:rsidTr="00CE0DBA" w14:paraId="1F254CDE" w14:textId="77777777">
        <w:trPr>
          <w:trHeight w:val="288"/>
        </w:trPr>
        <w:tc>
          <w:tcPr>
            <w:tcW w:w="4320" w:type="dxa"/>
            <w:vAlign w:val="center"/>
          </w:tcPr>
          <w:p w:rsidR="00CC3759" w:rsidP="00D652C4" w:rsidRDefault="00CC3759" w14:paraId="04686BFA" w14:textId="77777777">
            <w:pPr>
              <w:pStyle w:val="TX-TableText"/>
              <w:ind w:left="288"/>
            </w:pPr>
            <w:r>
              <w:t>Screener completions</w:t>
            </w:r>
          </w:p>
        </w:tc>
        <w:tc>
          <w:tcPr>
            <w:tcW w:w="2628" w:type="dxa"/>
            <w:vAlign w:val="center"/>
          </w:tcPr>
          <w:p w:rsidR="00CC3759" w:rsidP="00CE0DBA" w:rsidRDefault="00CC3759" w14:paraId="3502FAB0" w14:textId="77777777">
            <w:pPr>
              <w:pStyle w:val="TX-TableText"/>
              <w:jc w:val="right"/>
            </w:pPr>
            <w:r w:rsidRPr="004B46FE">
              <w:t>73</w:t>
            </w:r>
            <w:r>
              <w:t>3</w:t>
            </w:r>
          </w:p>
        </w:tc>
        <w:tc>
          <w:tcPr>
            <w:tcW w:w="2628" w:type="dxa"/>
            <w:vAlign w:val="center"/>
          </w:tcPr>
          <w:p w:rsidR="00CC3759" w:rsidP="00CE0DBA" w:rsidRDefault="00CC3759" w14:paraId="4E57F380" w14:textId="77777777">
            <w:pPr>
              <w:pStyle w:val="TX-TableText"/>
              <w:jc w:val="right"/>
            </w:pPr>
            <w:r>
              <w:t>36.2%</w:t>
            </w:r>
          </w:p>
        </w:tc>
      </w:tr>
      <w:tr w:rsidRPr="00DA393E" w:rsidR="00CC3759" w:rsidTr="00CE0DBA" w14:paraId="745A528C" w14:textId="77777777">
        <w:trPr>
          <w:trHeight w:val="288"/>
        </w:trPr>
        <w:tc>
          <w:tcPr>
            <w:tcW w:w="4320" w:type="dxa"/>
            <w:vAlign w:val="center"/>
          </w:tcPr>
          <w:p w:rsidR="00CC3759" w:rsidP="00D652C4" w:rsidRDefault="00CC3759" w14:paraId="7502B28B" w14:textId="77777777">
            <w:pPr>
              <w:pStyle w:val="TX-TableText"/>
              <w:ind w:left="288"/>
            </w:pPr>
            <w:r>
              <w:t>Screened-in cases</w:t>
            </w:r>
          </w:p>
        </w:tc>
        <w:tc>
          <w:tcPr>
            <w:tcW w:w="2628" w:type="dxa"/>
            <w:vAlign w:val="center"/>
          </w:tcPr>
          <w:p w:rsidR="00CC3759" w:rsidP="00CE0DBA" w:rsidRDefault="00CC3759" w14:paraId="03886CCB" w14:textId="77777777">
            <w:pPr>
              <w:pStyle w:val="TX-TableText"/>
              <w:jc w:val="right"/>
            </w:pPr>
            <w:r>
              <w:t>660</w:t>
            </w:r>
          </w:p>
        </w:tc>
        <w:tc>
          <w:tcPr>
            <w:tcW w:w="2628" w:type="dxa"/>
            <w:vAlign w:val="center"/>
          </w:tcPr>
          <w:p w:rsidR="00CC3759" w:rsidP="00CE0DBA" w:rsidRDefault="00CC3759" w14:paraId="23C2699C" w14:textId="77777777">
            <w:pPr>
              <w:pStyle w:val="TX-TableText"/>
              <w:jc w:val="right"/>
            </w:pPr>
            <w:r>
              <w:t>90.0%</w:t>
            </w:r>
          </w:p>
        </w:tc>
      </w:tr>
      <w:tr w:rsidRPr="00DA393E" w:rsidR="00CC3759" w:rsidTr="00CE0DBA" w14:paraId="67FEDCB3" w14:textId="77777777">
        <w:trPr>
          <w:trHeight w:val="288"/>
        </w:trPr>
        <w:tc>
          <w:tcPr>
            <w:tcW w:w="4320" w:type="dxa"/>
            <w:vAlign w:val="center"/>
          </w:tcPr>
          <w:p w:rsidR="00CC3759" w:rsidP="00D652C4" w:rsidRDefault="00CC3759" w14:paraId="481DACA3" w14:textId="77777777">
            <w:pPr>
              <w:pStyle w:val="TX-TableText"/>
              <w:ind w:left="288"/>
            </w:pPr>
            <w:r>
              <w:t>Initial Interview respondents</w:t>
            </w:r>
          </w:p>
        </w:tc>
        <w:tc>
          <w:tcPr>
            <w:tcW w:w="2628" w:type="dxa"/>
            <w:vAlign w:val="center"/>
          </w:tcPr>
          <w:p w:rsidR="00CC3759" w:rsidP="00CE0DBA" w:rsidRDefault="00CC3759" w14:paraId="3574B2B8" w14:textId="77777777">
            <w:pPr>
              <w:pStyle w:val="TX-TableText"/>
              <w:jc w:val="right"/>
            </w:pPr>
            <w:r>
              <w:t>468</w:t>
            </w:r>
          </w:p>
        </w:tc>
        <w:tc>
          <w:tcPr>
            <w:tcW w:w="2628" w:type="dxa"/>
            <w:vAlign w:val="center"/>
          </w:tcPr>
          <w:p w:rsidR="00CC3759" w:rsidP="00CE0DBA" w:rsidRDefault="00CC3759" w14:paraId="58F91DF3" w14:textId="77777777">
            <w:pPr>
              <w:pStyle w:val="TX-TableText"/>
              <w:jc w:val="right"/>
            </w:pPr>
            <w:r>
              <w:t>70.9%</w:t>
            </w:r>
          </w:p>
        </w:tc>
      </w:tr>
      <w:tr w:rsidRPr="00DA393E" w:rsidR="00CC3759" w:rsidTr="00CE0DBA" w14:paraId="714FD2F0" w14:textId="77777777">
        <w:trPr>
          <w:trHeight w:val="288"/>
        </w:trPr>
        <w:tc>
          <w:tcPr>
            <w:tcW w:w="4320" w:type="dxa"/>
            <w:vAlign w:val="center"/>
          </w:tcPr>
          <w:p w:rsidRPr="00D652C4" w:rsidR="00CC3759" w:rsidP="00255348" w:rsidRDefault="00CC3759" w14:paraId="3765AEAC" w14:textId="77777777">
            <w:pPr>
              <w:pStyle w:val="TX-TableText"/>
              <w:rPr>
                <w:b/>
                <w:bCs/>
              </w:rPr>
            </w:pPr>
            <w:r w:rsidRPr="00D652C4">
              <w:rPr>
                <w:b/>
                <w:bCs/>
              </w:rPr>
              <w:t>Debriefing Interview respondents</w:t>
            </w:r>
          </w:p>
        </w:tc>
        <w:tc>
          <w:tcPr>
            <w:tcW w:w="2628" w:type="dxa"/>
            <w:vAlign w:val="center"/>
          </w:tcPr>
          <w:p w:rsidR="00CC3759" w:rsidP="00CE0DBA" w:rsidRDefault="00CC3759" w14:paraId="52EAC8B0" w14:textId="77777777">
            <w:pPr>
              <w:pStyle w:val="TX-TableText"/>
              <w:jc w:val="right"/>
            </w:pPr>
            <w:r>
              <w:t>430</w:t>
            </w:r>
          </w:p>
        </w:tc>
        <w:tc>
          <w:tcPr>
            <w:tcW w:w="2628" w:type="dxa"/>
            <w:vAlign w:val="center"/>
          </w:tcPr>
          <w:p w:rsidR="00CC3759" w:rsidP="00CE0DBA" w:rsidRDefault="00CC3759" w14:paraId="1421D75D" w14:textId="77777777">
            <w:pPr>
              <w:pStyle w:val="TX-TableText"/>
              <w:jc w:val="right"/>
            </w:pPr>
            <w:r>
              <w:t>92.0%</w:t>
            </w:r>
          </w:p>
        </w:tc>
      </w:tr>
    </w:tbl>
    <w:p w:rsidRPr="0084632D" w:rsidR="00CC3759" w:rsidP="0084632D" w:rsidRDefault="00CC3759" w14:paraId="1E5C3E52" w14:textId="77777777">
      <w:pPr>
        <w:pStyle w:val="NoSpacing"/>
        <w:jc w:val="left"/>
        <w:rPr>
          <w:sz w:val="18"/>
          <w:szCs w:val="18"/>
          <w:lang w:val="en"/>
        </w:rPr>
      </w:pPr>
      <w:r w:rsidRPr="0084632D">
        <w:rPr>
          <w:rFonts w:ascii="Garamond" w:hAnsi="Garamond"/>
          <w:b w:val="0"/>
          <w:sz w:val="18"/>
          <w:szCs w:val="18"/>
          <w:vertAlign w:val="superscript"/>
          <w:lang w:val="en"/>
        </w:rPr>
        <w:t>1</w:t>
      </w:r>
      <w:r w:rsidRPr="0084632D">
        <w:rPr>
          <w:rFonts w:ascii="Garamond" w:hAnsi="Garamond"/>
          <w:b w:val="0"/>
          <w:sz w:val="18"/>
          <w:szCs w:val="18"/>
          <w:lang w:val="en"/>
        </w:rPr>
        <w:t xml:space="preserve"> Response rates will be computed based on the American Association for Public Opinion Research Response Rate 3 (RR3) formula, given in </w:t>
      </w:r>
      <w:hyperlink w:history="1" r:id="rId14">
        <w:r w:rsidRPr="0084632D">
          <w:rPr>
            <w:rStyle w:val="Hyperlink"/>
            <w:rFonts w:ascii="Garamond" w:hAnsi="Garamond"/>
            <w:b w:val="0"/>
            <w:sz w:val="18"/>
            <w:szCs w:val="18"/>
            <w:lang w:val="en"/>
          </w:rPr>
          <w:t>https://www.aapor.org/AAPOR_Main/media/MainSiteFiles/Standard-Definitions2015_8thEd.pdf</w:t>
        </w:r>
      </w:hyperlink>
      <w:r w:rsidRPr="0084632D">
        <w:rPr>
          <w:rFonts w:ascii="Garamond" w:hAnsi="Garamond"/>
          <w:b w:val="0"/>
          <w:sz w:val="18"/>
          <w:szCs w:val="18"/>
          <w:lang w:val="en"/>
        </w:rPr>
        <w:t xml:space="preserve">. </w:t>
      </w:r>
    </w:p>
    <w:p w:rsidRPr="005F647E" w:rsidR="00CC3759" w:rsidP="00CC3759" w:rsidRDefault="00CC3759" w14:paraId="53CF9074" w14:textId="77777777">
      <w:pPr>
        <w:pStyle w:val="L1-FlLSp12"/>
        <w:rPr>
          <w:lang w:val="en"/>
        </w:rPr>
      </w:pPr>
    </w:p>
    <w:p w:rsidR="00CC3759" w:rsidP="00CC3759" w:rsidRDefault="00CC3759" w14:paraId="75642332" w14:textId="131291DC">
      <w:pPr>
        <w:pStyle w:val="L1-FlLSp12"/>
        <w:rPr>
          <w:lang w:val="en"/>
        </w:rPr>
      </w:pPr>
      <w:r>
        <w:rPr>
          <w:lang w:val="en"/>
        </w:rPr>
        <w:t xml:space="preserve">The assumed response rates in the evaluation for the Field Test in-person screener, Initial Interview, and Debriefing Interview are </w:t>
      </w:r>
      <w:r w:rsidR="004E6E9A">
        <w:rPr>
          <w:lang w:val="en"/>
        </w:rPr>
        <w:t>like</w:t>
      </w:r>
      <w:r>
        <w:rPr>
          <w:lang w:val="en"/>
        </w:rPr>
        <w:t xml:space="preserve"> the NFS Pilot response rates as shown in Table B.3. The approaches discussed </w:t>
      </w:r>
      <w:r w:rsidR="00567FFD">
        <w:rPr>
          <w:lang w:val="en"/>
        </w:rPr>
        <w:t>in Section B.3</w:t>
      </w:r>
      <w:r>
        <w:rPr>
          <w:lang w:val="en"/>
        </w:rPr>
        <w:t xml:space="preserve"> are designed to achieve a higher rate, however it is balanced with continued evidence of response rate decline since 2017 (Figure B.1). The COVID-19 pandemic may also impact response rates. For example, </w:t>
      </w:r>
      <w:r w:rsidRPr="00CC324B">
        <w:t xml:space="preserve">in a videoconference with </w:t>
      </w:r>
      <w:r>
        <w:t xml:space="preserve">the Agency for Health Research and Quality </w:t>
      </w:r>
      <w:r w:rsidRPr="00CC324B">
        <w:t>and Westat on August 11</w:t>
      </w:r>
      <w:r>
        <w:t xml:space="preserve">, </w:t>
      </w:r>
      <w:r w:rsidRPr="00CC324B">
        <w:t xml:space="preserve">Stephen Blumberg </w:t>
      </w:r>
      <w:r>
        <w:t xml:space="preserve">(National Center for Health Statistics) reported that for the National Health Interview Survey they had a 55 percent response rate for the adult survey in quarter 1 2020 for all in-person interviews. In quarter 2, the mode of collection switched to telephone and there was at least a </w:t>
      </w:r>
      <w:r w:rsidR="004E6E9A">
        <w:t>15-percentage</w:t>
      </w:r>
      <w:r>
        <w:t xml:space="preserve"> point drop</w:t>
      </w:r>
      <w:r w:rsidR="004E6E9A">
        <w:t>-</w:t>
      </w:r>
      <w:r>
        <w:t xml:space="preserve">in response rate. In quarter 3 the two modes are </w:t>
      </w:r>
      <w:r w:rsidR="004E6E9A">
        <w:t>mixed,</w:t>
      </w:r>
      <w:r>
        <w:t xml:space="preserve"> and the response rate is estimated to be about 46 percent, which is in between quarter 1 and quarter 2. </w:t>
      </w:r>
    </w:p>
    <w:p w:rsidR="00B91B07" w:rsidP="00B91B07" w:rsidRDefault="00B91B07" w14:paraId="5BCFE639" w14:textId="77777777">
      <w:pPr>
        <w:spacing w:line="240" w:lineRule="auto"/>
        <w:rPr>
          <w:rFonts w:ascii="Franklin Gothic Medium" w:hAnsi="Franklin Gothic Medium"/>
          <w:sz w:val="22"/>
          <w:lang w:val="en"/>
        </w:rPr>
      </w:pPr>
      <w:bookmarkStart w:name="_Toc513794203" w:id="35"/>
    </w:p>
    <w:p w:rsidRPr="00D652C4" w:rsidR="00B91B07" w:rsidP="00B91B07" w:rsidRDefault="00B91B07" w14:paraId="51C0043A" w14:textId="4A990611">
      <w:pPr>
        <w:pStyle w:val="TT-TableTitle"/>
        <w:rPr>
          <w:rFonts w:ascii="Garamond" w:hAnsi="Garamond"/>
          <w:b/>
          <w:bCs/>
          <w:lang w:val="en"/>
        </w:rPr>
      </w:pPr>
      <w:bookmarkStart w:name="_Toc93489539" w:id="36"/>
      <w:r w:rsidRPr="00D652C4">
        <w:rPr>
          <w:rFonts w:ascii="Garamond" w:hAnsi="Garamond"/>
          <w:b/>
          <w:bCs/>
          <w:lang w:val="en"/>
        </w:rPr>
        <w:t>Table B.3.</w:t>
      </w:r>
      <w:r w:rsidRPr="00D652C4">
        <w:rPr>
          <w:rFonts w:ascii="Garamond" w:hAnsi="Garamond"/>
          <w:b/>
          <w:bCs/>
          <w:lang w:val="en"/>
        </w:rPr>
        <w:tab/>
        <w:t>Comparison of assumed field test response rates vs. comparable NFS Pilot response rates, unweighted</w:t>
      </w:r>
      <w:bookmarkEnd w:id="35"/>
      <w:bookmarkEnd w:id="36"/>
    </w:p>
    <w:p w:rsidRPr="00613A1A" w:rsidR="00B91B07" w:rsidP="00B91B07" w:rsidRDefault="00B91B07" w14:paraId="4E6F1802" w14:textId="77777777">
      <w:pPr>
        <w:pStyle w:val="TT-TableTitle"/>
        <w:rPr>
          <w:lang w:val="en"/>
        </w:rPr>
      </w:pPr>
    </w:p>
    <w:tbl>
      <w:tblPr>
        <w:tblStyle w:val="TableWestatStandardFormat3"/>
        <w:tblW w:w="0" w:type="auto"/>
        <w:tblBorders>
          <w:top w:val="single" w:color="auto" w:sz="4" w:space="0"/>
          <w:insideH w:val="single" w:color="auto" w:sz="4" w:space="0"/>
        </w:tblBorders>
        <w:tblLook w:val="04A0" w:firstRow="1" w:lastRow="0" w:firstColumn="1" w:lastColumn="0" w:noHBand="0" w:noVBand="1"/>
      </w:tblPr>
      <w:tblGrid>
        <w:gridCol w:w="2045"/>
        <w:gridCol w:w="1620"/>
        <w:gridCol w:w="1620"/>
        <w:gridCol w:w="3960"/>
      </w:tblGrid>
      <w:tr w:rsidR="00B91B07" w:rsidTr="00E42E44" w14:paraId="26809C85" w14:textId="77777777">
        <w:trPr>
          <w:cnfStyle w:val="100000000000" w:firstRow="1" w:lastRow="0" w:firstColumn="0" w:lastColumn="0" w:oddVBand="0" w:evenVBand="0" w:oddHBand="0" w:evenHBand="0" w:firstRowFirstColumn="0" w:firstRowLastColumn="0" w:lastRowFirstColumn="0" w:lastRowLastColumn="0"/>
        </w:trPr>
        <w:tc>
          <w:tcPr>
            <w:tcW w:w="0" w:type="dxa"/>
            <w:shd w:val="clear" w:color="auto" w:fill="B8CCE4" w:themeFill="accent1" w:themeFillTint="66"/>
          </w:tcPr>
          <w:p w:rsidR="00B91B07" w:rsidP="00255348" w:rsidRDefault="00B91B07" w14:paraId="16F8F6FF" w14:textId="77777777">
            <w:pPr>
              <w:pStyle w:val="TH-TableHeading"/>
              <w:spacing w:before="48" w:after="48"/>
            </w:pPr>
          </w:p>
        </w:tc>
        <w:tc>
          <w:tcPr>
            <w:tcW w:w="0" w:type="dxa"/>
            <w:shd w:val="clear" w:color="auto" w:fill="B8CCE4" w:themeFill="accent1" w:themeFillTint="66"/>
            <w:vAlign w:val="bottom"/>
            <w:hideMark/>
          </w:tcPr>
          <w:p w:rsidRPr="006B2E3A" w:rsidR="00B91B07" w:rsidP="00255348" w:rsidRDefault="00B91B07" w14:paraId="6828482F" w14:textId="77777777">
            <w:pPr>
              <w:pStyle w:val="TH-TableHeading"/>
              <w:spacing w:before="48" w:after="48"/>
            </w:pPr>
            <w:r w:rsidRPr="006B2E3A">
              <w:t>Assumed Field Test</w:t>
            </w:r>
            <w:r>
              <w:t xml:space="preserve"> Response Rate (Lower Bound)</w:t>
            </w:r>
          </w:p>
        </w:tc>
        <w:tc>
          <w:tcPr>
            <w:tcW w:w="0" w:type="dxa"/>
            <w:shd w:val="clear" w:color="auto" w:fill="B8CCE4" w:themeFill="accent1" w:themeFillTint="66"/>
            <w:vAlign w:val="bottom"/>
            <w:hideMark/>
          </w:tcPr>
          <w:p w:rsidR="00B91B07" w:rsidP="00255348" w:rsidRDefault="00B91B07" w14:paraId="6C663213" w14:textId="77777777">
            <w:pPr>
              <w:pStyle w:val="TH-TableHeading"/>
              <w:spacing w:before="48" w:after="48"/>
            </w:pPr>
            <w:r>
              <w:t>NFS Pilot Unweighted Response Rate</w:t>
            </w:r>
          </w:p>
        </w:tc>
        <w:tc>
          <w:tcPr>
            <w:tcW w:w="0" w:type="dxa"/>
            <w:shd w:val="clear" w:color="auto" w:fill="B8CCE4" w:themeFill="accent1" w:themeFillTint="66"/>
            <w:vAlign w:val="bottom"/>
            <w:hideMark/>
          </w:tcPr>
          <w:p w:rsidR="00B91B07" w:rsidP="00255348" w:rsidRDefault="00B91B07" w14:paraId="279BFE89" w14:textId="77777777">
            <w:pPr>
              <w:pStyle w:val="TH-TableHeading"/>
              <w:spacing w:before="48" w:after="48"/>
            </w:pPr>
            <w:r>
              <w:t>Comments</w:t>
            </w:r>
          </w:p>
        </w:tc>
      </w:tr>
      <w:tr w:rsidR="00B91B07" w:rsidTr="00255348" w14:paraId="2A770246" w14:textId="77777777">
        <w:tc>
          <w:tcPr>
            <w:tcW w:w="2045" w:type="dxa"/>
            <w:hideMark/>
          </w:tcPr>
          <w:p w:rsidR="00B91B07" w:rsidP="00255348" w:rsidRDefault="00B91B07" w14:paraId="2F01707C" w14:textId="77777777">
            <w:pPr>
              <w:pStyle w:val="TX-TableText"/>
            </w:pPr>
            <w:r>
              <w:t>Screener</w:t>
            </w:r>
          </w:p>
        </w:tc>
        <w:tc>
          <w:tcPr>
            <w:tcW w:w="1620" w:type="dxa"/>
            <w:vAlign w:val="bottom"/>
            <w:hideMark/>
          </w:tcPr>
          <w:p w:rsidRPr="006B2E3A" w:rsidR="00B91B07" w:rsidP="00255348" w:rsidRDefault="00B91B07" w14:paraId="65451A8A" w14:textId="77777777">
            <w:pPr>
              <w:pStyle w:val="TX-TableText"/>
              <w:jc w:val="center"/>
            </w:pPr>
            <w:r w:rsidRPr="006B2E3A">
              <w:t>36.2</w:t>
            </w:r>
          </w:p>
        </w:tc>
        <w:tc>
          <w:tcPr>
            <w:tcW w:w="1620" w:type="dxa"/>
            <w:vAlign w:val="bottom"/>
            <w:hideMark/>
          </w:tcPr>
          <w:p w:rsidR="00B91B07" w:rsidP="00255348" w:rsidRDefault="00B91B07" w14:paraId="271803A4" w14:textId="77777777">
            <w:pPr>
              <w:pStyle w:val="TX-TableText"/>
              <w:jc w:val="center"/>
            </w:pPr>
            <w:r>
              <w:t>36.2</w:t>
            </w:r>
          </w:p>
        </w:tc>
        <w:tc>
          <w:tcPr>
            <w:tcW w:w="3960" w:type="dxa"/>
            <w:hideMark/>
          </w:tcPr>
          <w:p w:rsidR="00B91B07" w:rsidP="00255348" w:rsidRDefault="00B91B07" w14:paraId="5F506672" w14:textId="77777777">
            <w:pPr>
              <w:pStyle w:val="TX-TableText"/>
            </w:pPr>
            <w:r>
              <w:t>Same as NFS Pilot</w:t>
            </w:r>
          </w:p>
        </w:tc>
      </w:tr>
      <w:tr w:rsidR="00B91B07" w:rsidTr="00255348" w14:paraId="2571A8EA" w14:textId="77777777">
        <w:tc>
          <w:tcPr>
            <w:tcW w:w="2045" w:type="dxa"/>
            <w:shd w:val="clear" w:color="auto" w:fill="AFBED7"/>
            <w:hideMark/>
          </w:tcPr>
          <w:p w:rsidR="00B91B07" w:rsidP="00255348" w:rsidRDefault="00B91B07" w14:paraId="329F0F9F" w14:textId="77777777">
            <w:pPr>
              <w:pStyle w:val="TX-TableText"/>
            </w:pPr>
            <w:r>
              <w:t>Initial Interview</w:t>
            </w:r>
          </w:p>
        </w:tc>
        <w:tc>
          <w:tcPr>
            <w:tcW w:w="1620" w:type="dxa"/>
            <w:shd w:val="clear" w:color="auto" w:fill="AFBED7"/>
            <w:vAlign w:val="bottom"/>
            <w:hideMark/>
          </w:tcPr>
          <w:p w:rsidRPr="006B2E3A" w:rsidR="00B91B07" w:rsidP="00255348" w:rsidRDefault="00B91B07" w14:paraId="1B271896" w14:textId="77777777">
            <w:pPr>
              <w:pStyle w:val="TX-TableText"/>
              <w:jc w:val="center"/>
            </w:pPr>
            <w:r w:rsidRPr="006B2E3A">
              <w:t>70.9</w:t>
            </w:r>
          </w:p>
        </w:tc>
        <w:tc>
          <w:tcPr>
            <w:tcW w:w="1620" w:type="dxa"/>
            <w:shd w:val="clear" w:color="auto" w:fill="AFBED7"/>
            <w:vAlign w:val="bottom"/>
            <w:hideMark/>
          </w:tcPr>
          <w:p w:rsidR="00B91B07" w:rsidP="00255348" w:rsidRDefault="00B91B07" w14:paraId="45E6F374" w14:textId="77777777">
            <w:pPr>
              <w:pStyle w:val="TX-TableText"/>
              <w:jc w:val="center"/>
            </w:pPr>
            <w:r>
              <w:t>70.9</w:t>
            </w:r>
          </w:p>
        </w:tc>
        <w:tc>
          <w:tcPr>
            <w:tcW w:w="3960" w:type="dxa"/>
            <w:shd w:val="clear" w:color="auto" w:fill="AFBED7"/>
            <w:hideMark/>
          </w:tcPr>
          <w:p w:rsidR="00B91B07" w:rsidP="00255348" w:rsidRDefault="00B91B07" w14:paraId="4816957D" w14:textId="77777777">
            <w:pPr>
              <w:pStyle w:val="TX-TableText"/>
            </w:pPr>
            <w:r>
              <w:t>Same as NFS Pilot</w:t>
            </w:r>
          </w:p>
        </w:tc>
      </w:tr>
      <w:tr w:rsidR="00B91B07" w:rsidTr="00255348" w14:paraId="51DE28E8" w14:textId="77777777">
        <w:tc>
          <w:tcPr>
            <w:tcW w:w="2045" w:type="dxa"/>
            <w:vAlign w:val="center"/>
            <w:hideMark/>
          </w:tcPr>
          <w:p w:rsidR="00B91B07" w:rsidP="00255348" w:rsidRDefault="00B91B07" w14:paraId="1469DDF2" w14:textId="77777777">
            <w:pPr>
              <w:pStyle w:val="TX-TableText"/>
            </w:pPr>
            <w:r>
              <w:t>Debriefing Interview</w:t>
            </w:r>
          </w:p>
        </w:tc>
        <w:tc>
          <w:tcPr>
            <w:tcW w:w="1620" w:type="dxa"/>
            <w:vAlign w:val="center"/>
            <w:hideMark/>
          </w:tcPr>
          <w:p w:rsidRPr="006B2E3A" w:rsidR="00B91B07" w:rsidP="00255348" w:rsidRDefault="00B91B07" w14:paraId="3C744496" w14:textId="77777777">
            <w:pPr>
              <w:pStyle w:val="TX-TableText"/>
              <w:jc w:val="center"/>
            </w:pPr>
            <w:r w:rsidRPr="006B2E3A">
              <w:t>92.0</w:t>
            </w:r>
          </w:p>
        </w:tc>
        <w:tc>
          <w:tcPr>
            <w:tcW w:w="1620" w:type="dxa"/>
            <w:vAlign w:val="center"/>
            <w:hideMark/>
          </w:tcPr>
          <w:p w:rsidR="00B91B07" w:rsidP="00255348" w:rsidRDefault="00B91B07" w14:paraId="537806C2" w14:textId="77777777">
            <w:pPr>
              <w:pStyle w:val="TX-TableText"/>
              <w:jc w:val="center"/>
            </w:pPr>
            <w:r>
              <w:t>90.9</w:t>
            </w:r>
          </w:p>
        </w:tc>
        <w:tc>
          <w:tcPr>
            <w:tcW w:w="3960" w:type="dxa"/>
            <w:hideMark/>
          </w:tcPr>
          <w:p w:rsidR="00B91B07" w:rsidP="00255348" w:rsidRDefault="00B91B07" w14:paraId="3EA81944" w14:textId="1C1F4C20">
            <w:pPr>
              <w:pStyle w:val="TX-TableText"/>
            </w:pPr>
            <w:r>
              <w:t>Slightly higher than in NFS Pilot due to enhanced procedures (</w:t>
            </w:r>
            <w:r w:rsidR="004E6E9A">
              <w:t>follow-up</w:t>
            </w:r>
            <w:r>
              <w:t xml:space="preserve"> calls)</w:t>
            </w:r>
          </w:p>
        </w:tc>
      </w:tr>
      <w:tr w:rsidR="00B91B07" w:rsidTr="00255348" w14:paraId="5C91E7FE" w14:textId="77777777">
        <w:tc>
          <w:tcPr>
            <w:tcW w:w="2045" w:type="dxa"/>
            <w:shd w:val="clear" w:color="auto" w:fill="AFBED7"/>
            <w:hideMark/>
          </w:tcPr>
          <w:p w:rsidR="00B91B07" w:rsidP="00255348" w:rsidRDefault="00B91B07" w14:paraId="52D43900" w14:textId="77777777">
            <w:pPr>
              <w:pStyle w:val="TX-TableText"/>
            </w:pPr>
            <w:r>
              <w:t>Overall</w:t>
            </w:r>
          </w:p>
        </w:tc>
        <w:tc>
          <w:tcPr>
            <w:tcW w:w="1620" w:type="dxa"/>
            <w:shd w:val="clear" w:color="auto" w:fill="AFBED7"/>
            <w:vAlign w:val="bottom"/>
            <w:hideMark/>
          </w:tcPr>
          <w:p w:rsidRPr="006B2E3A" w:rsidR="00B91B07" w:rsidP="00255348" w:rsidRDefault="00B91B07" w14:paraId="329BA458" w14:textId="77777777">
            <w:pPr>
              <w:pStyle w:val="TX-TableText"/>
              <w:jc w:val="center"/>
            </w:pPr>
            <w:r w:rsidRPr="006B2E3A">
              <w:t>23.6</w:t>
            </w:r>
          </w:p>
        </w:tc>
        <w:tc>
          <w:tcPr>
            <w:tcW w:w="1620" w:type="dxa"/>
            <w:shd w:val="clear" w:color="auto" w:fill="AFBED7"/>
            <w:vAlign w:val="bottom"/>
            <w:hideMark/>
          </w:tcPr>
          <w:p w:rsidR="00B91B07" w:rsidP="00255348" w:rsidRDefault="00B91B07" w14:paraId="17FC9AAA" w14:textId="77777777">
            <w:pPr>
              <w:pStyle w:val="TX-TableText"/>
              <w:jc w:val="center"/>
            </w:pPr>
            <w:r>
              <w:t>23.3</w:t>
            </w:r>
          </w:p>
        </w:tc>
        <w:tc>
          <w:tcPr>
            <w:tcW w:w="3960" w:type="dxa"/>
            <w:shd w:val="clear" w:color="auto" w:fill="AFBED7"/>
          </w:tcPr>
          <w:p w:rsidR="00B91B07" w:rsidP="00255348" w:rsidRDefault="00B91B07" w14:paraId="50C6254D" w14:textId="77777777">
            <w:pPr>
              <w:pStyle w:val="TX-TableText"/>
            </w:pPr>
          </w:p>
        </w:tc>
      </w:tr>
    </w:tbl>
    <w:p w:rsidR="00B91B07" w:rsidP="00B91B07" w:rsidRDefault="00B91B07" w14:paraId="647DE020" w14:textId="77777777">
      <w:pPr>
        <w:pStyle w:val="L1-FlLSp12"/>
        <w:rPr>
          <w:lang w:val="en"/>
        </w:rPr>
      </w:pPr>
    </w:p>
    <w:p w:rsidR="00B91B07" w:rsidP="002E64CB" w:rsidRDefault="00B91B07" w14:paraId="4C0C1832" w14:textId="762CF365">
      <w:pPr>
        <w:pStyle w:val="TT-TableTitle"/>
        <w:rPr>
          <w:rFonts w:ascii="Garamond" w:hAnsi="Garamond"/>
          <w:b/>
          <w:bCs/>
          <w:lang w:val="en"/>
        </w:rPr>
      </w:pPr>
      <w:bookmarkStart w:name="_Toc74292062" w:id="37"/>
      <w:bookmarkStart w:name="_Toc93481590" w:id="38"/>
      <w:bookmarkStart w:name="_Toc93489540" w:id="39"/>
      <w:r w:rsidRPr="002E64CB">
        <w:rPr>
          <w:rFonts w:ascii="Garamond" w:hAnsi="Garamond"/>
          <w:b/>
          <w:bCs/>
          <w:lang w:val="en"/>
        </w:rPr>
        <w:t xml:space="preserve">Figure B.1. </w:t>
      </w:r>
      <w:r w:rsidRPr="002E64CB" w:rsidR="00FB5798">
        <w:rPr>
          <w:rFonts w:ascii="Garamond" w:hAnsi="Garamond"/>
          <w:b/>
          <w:bCs/>
          <w:lang w:val="en"/>
        </w:rPr>
        <w:tab/>
      </w:r>
      <w:r w:rsidRPr="002E64CB">
        <w:rPr>
          <w:rFonts w:ascii="Garamond" w:hAnsi="Garamond"/>
          <w:b/>
          <w:bCs/>
          <w:lang w:val="en"/>
        </w:rPr>
        <w:t>Response rate declines for major in-person surveys</w:t>
      </w:r>
      <w:bookmarkEnd w:id="37"/>
      <w:bookmarkEnd w:id="38"/>
      <w:bookmarkEnd w:id="39"/>
    </w:p>
    <w:p w:rsidRPr="002E64CB" w:rsidR="002E64CB" w:rsidP="002E64CB" w:rsidRDefault="002E64CB" w14:paraId="61FBE502" w14:textId="77777777">
      <w:pPr>
        <w:pStyle w:val="TT-TableTitle"/>
        <w:rPr>
          <w:rFonts w:ascii="Garamond" w:hAnsi="Garamond"/>
          <w:b/>
          <w:bCs/>
          <w:lang w:val="en"/>
        </w:rPr>
      </w:pPr>
    </w:p>
    <w:p w:rsidR="00B91B07" w:rsidP="00B91B07" w:rsidRDefault="00B91B07" w14:paraId="07091793" w14:textId="77777777">
      <w:pPr>
        <w:pStyle w:val="L1-FlLSp12"/>
        <w:rPr>
          <w:lang w:val="en"/>
        </w:rPr>
      </w:pPr>
      <w:r>
        <w:rPr>
          <w:noProof/>
        </w:rPr>
        <w:drawing>
          <wp:inline distT="0" distB="0" distL="0" distR="0" wp14:anchorId="17C9F81B" wp14:editId="3A3FD5C7">
            <wp:extent cx="5943600" cy="290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00045"/>
                    </a:xfrm>
                    <a:prstGeom prst="rect">
                      <a:avLst/>
                    </a:prstGeom>
                  </pic:spPr>
                </pic:pic>
              </a:graphicData>
            </a:graphic>
          </wp:inline>
        </w:drawing>
      </w:r>
    </w:p>
    <w:p w:rsidRPr="000B2E4C" w:rsidR="00B91B07" w:rsidP="00B91B07" w:rsidRDefault="00B91B07" w14:paraId="02DA1AFA" w14:textId="77777777">
      <w:pPr>
        <w:pStyle w:val="L1-FlLSp12"/>
        <w:rPr>
          <w:sz w:val="18"/>
          <w:lang w:val="en"/>
        </w:rPr>
      </w:pPr>
      <w:r w:rsidRPr="000B2E4C">
        <w:rPr>
          <w:sz w:val="18"/>
          <w:lang w:val="en"/>
        </w:rPr>
        <w:t xml:space="preserve">NCVS: National Crime Victimization Survey, NHIS: National Health Interview Survey, NHANES: National Health and Nutrition Examination Survey, CPS-ASEC: Current Population Survey – Annual </w:t>
      </w:r>
      <w:r>
        <w:rPr>
          <w:sz w:val="18"/>
          <w:szCs w:val="18"/>
          <w:lang w:val="en"/>
        </w:rPr>
        <w:t xml:space="preserve">Social and </w:t>
      </w:r>
      <w:r w:rsidRPr="000B2E4C">
        <w:rPr>
          <w:sz w:val="18"/>
          <w:lang w:val="en"/>
        </w:rPr>
        <w:t>Economic</w:t>
      </w:r>
      <w:r>
        <w:rPr>
          <w:sz w:val="18"/>
          <w:szCs w:val="18"/>
          <w:lang w:val="en"/>
        </w:rPr>
        <w:t xml:space="preserve"> Supplement</w:t>
      </w:r>
      <w:r w:rsidRPr="000B2E4C">
        <w:rPr>
          <w:sz w:val="18"/>
          <w:lang w:val="en"/>
        </w:rPr>
        <w:t>, MEPS: Me</w:t>
      </w:r>
      <w:r>
        <w:rPr>
          <w:sz w:val="18"/>
          <w:szCs w:val="18"/>
          <w:lang w:val="en"/>
        </w:rPr>
        <w:t>dical Expenditure Panel Survey</w:t>
      </w:r>
      <w:r w:rsidRPr="000B2E4C">
        <w:rPr>
          <w:sz w:val="18"/>
          <w:lang w:val="en"/>
        </w:rPr>
        <w:t xml:space="preserve">, NSDUH: </w:t>
      </w:r>
      <w:r>
        <w:rPr>
          <w:sz w:val="18"/>
          <w:szCs w:val="18"/>
          <w:lang w:val="en"/>
        </w:rPr>
        <w:t>National Survey on Drug Abuse and Health</w:t>
      </w:r>
      <w:r w:rsidRPr="000B2E4C">
        <w:rPr>
          <w:sz w:val="18"/>
          <w:lang w:val="en"/>
        </w:rPr>
        <w:t>, GSS: General Social Survey.</w:t>
      </w:r>
    </w:p>
    <w:p w:rsidRPr="000B2E4C" w:rsidR="00B91B07" w:rsidP="00B91B07" w:rsidRDefault="00B91B07" w14:paraId="0449A19F" w14:textId="77777777">
      <w:pPr>
        <w:pStyle w:val="L1-FlLSp12"/>
        <w:rPr>
          <w:sz w:val="18"/>
          <w:lang w:val="en"/>
        </w:rPr>
      </w:pPr>
      <w:r w:rsidRPr="000B2E4C">
        <w:rPr>
          <w:sz w:val="18"/>
          <w:lang w:val="en"/>
        </w:rPr>
        <w:t>Source: Internal Westat presentation on October 17, 2019, entitled “</w:t>
      </w:r>
      <w:r w:rsidRPr="000B2E4C">
        <w:rPr>
          <w:sz w:val="18"/>
        </w:rPr>
        <w:t xml:space="preserve">Connect, Convince and Convert – Current Trends and Training on Gaining Cooperation” by Williams, Woods and </w:t>
      </w:r>
      <w:proofErr w:type="spellStart"/>
      <w:r w:rsidRPr="000B2E4C">
        <w:rPr>
          <w:sz w:val="18"/>
        </w:rPr>
        <w:t>Genoversa</w:t>
      </w:r>
      <w:proofErr w:type="spellEnd"/>
      <w:r w:rsidRPr="000B2E4C">
        <w:rPr>
          <w:sz w:val="18"/>
        </w:rPr>
        <w:t>.</w:t>
      </w:r>
    </w:p>
    <w:p w:rsidR="00CC3759" w:rsidP="005F647E" w:rsidRDefault="00CC3759" w14:paraId="2CCD8391" w14:textId="77777777">
      <w:pPr>
        <w:pStyle w:val="L1-FlLSp12"/>
        <w:rPr>
          <w:lang w:val="en"/>
        </w:rPr>
      </w:pPr>
    </w:p>
    <w:p w:rsidR="005F647E" w:rsidP="005F647E" w:rsidRDefault="005F647E" w14:paraId="56B2816A" w14:textId="768C9AE0">
      <w:pPr>
        <w:pStyle w:val="L1-FlLSp12"/>
        <w:rPr>
          <w:lang w:val="en"/>
        </w:rPr>
      </w:pPr>
      <w:r w:rsidRPr="005F647E">
        <w:rPr>
          <w:lang w:val="en"/>
        </w:rPr>
        <w:t xml:space="preserve">The evaluation </w:t>
      </w:r>
      <w:r w:rsidR="00D51E54">
        <w:rPr>
          <w:lang w:val="en"/>
        </w:rPr>
        <w:t>to assess whether the planned number of mail screeners</w:t>
      </w:r>
      <w:r w:rsidRPr="005F647E" w:rsidR="00D51E54">
        <w:rPr>
          <w:lang w:val="en"/>
        </w:rPr>
        <w:t xml:space="preserve"> was likely to result in the target number of completes</w:t>
      </w:r>
      <w:r w:rsidR="00D51E54">
        <w:rPr>
          <w:lang w:val="en"/>
        </w:rPr>
        <w:t xml:space="preserve"> by domain</w:t>
      </w:r>
      <w:r w:rsidRPr="005F647E" w:rsidR="00D51E54">
        <w:rPr>
          <w:lang w:val="en"/>
        </w:rPr>
        <w:t xml:space="preserve"> </w:t>
      </w:r>
      <w:r w:rsidRPr="005F647E">
        <w:rPr>
          <w:lang w:val="en"/>
        </w:rPr>
        <w:t xml:space="preserve">used the </w:t>
      </w:r>
      <w:r w:rsidR="00801F9E">
        <w:rPr>
          <w:lang w:val="en"/>
        </w:rPr>
        <w:t>NFS</w:t>
      </w:r>
      <w:r w:rsidRPr="005F647E" w:rsidR="00801F9E">
        <w:rPr>
          <w:lang w:val="en"/>
        </w:rPr>
        <w:t xml:space="preserve"> </w:t>
      </w:r>
      <w:r w:rsidRPr="005F647E">
        <w:rPr>
          <w:lang w:val="en"/>
        </w:rPr>
        <w:t xml:space="preserve">Pilot sampling frame and simulated the planned sampling process. </w:t>
      </w:r>
      <w:r w:rsidRPr="00144DFF">
        <w:rPr>
          <w:lang w:val="en"/>
        </w:rPr>
        <w:t xml:space="preserve">The </w:t>
      </w:r>
      <w:r w:rsidRPr="00144DFF" w:rsidR="00801F9E">
        <w:rPr>
          <w:lang w:val="en"/>
        </w:rPr>
        <w:t xml:space="preserve">NFS </w:t>
      </w:r>
      <w:r w:rsidRPr="00144DFF">
        <w:rPr>
          <w:lang w:val="en"/>
        </w:rPr>
        <w:t xml:space="preserve">Pilot frame has 91,953 </w:t>
      </w:r>
      <w:r w:rsidRPr="00144DFF" w:rsidR="0061592C">
        <w:rPr>
          <w:lang w:val="en"/>
        </w:rPr>
        <w:t xml:space="preserve">dwelling unit </w:t>
      </w:r>
      <w:r w:rsidRPr="00144DFF">
        <w:rPr>
          <w:lang w:val="en"/>
        </w:rPr>
        <w:t>records</w:t>
      </w:r>
      <w:r w:rsidRPr="005F647E">
        <w:rPr>
          <w:lang w:val="en"/>
        </w:rPr>
        <w:t xml:space="preserve"> and includes SNAP status indicators, drawn from administrative lists obtained in July of 2016. Because the lists will be </w:t>
      </w:r>
      <w:r w:rsidR="00B5643B">
        <w:rPr>
          <w:lang w:val="en"/>
        </w:rPr>
        <w:t>about six</w:t>
      </w:r>
      <w:r w:rsidRPr="005F647E" w:rsidR="00756176">
        <w:rPr>
          <w:lang w:val="en"/>
        </w:rPr>
        <w:t xml:space="preserve"> </w:t>
      </w:r>
      <w:r w:rsidRPr="005F647E">
        <w:rPr>
          <w:lang w:val="en"/>
        </w:rPr>
        <w:t>years old at the time of data collection, we assumed that only half of addresses sampled as SNAP would still be SNAP addresses</w:t>
      </w:r>
      <w:r w:rsidR="003F5A9E">
        <w:rPr>
          <w:rStyle w:val="FootnoteReference"/>
          <w:lang w:val="en"/>
        </w:rPr>
        <w:footnoteReference w:id="7"/>
      </w:r>
      <w:r w:rsidRPr="005F647E">
        <w:rPr>
          <w:lang w:val="en"/>
        </w:rPr>
        <w:t>. We generated a “final” income domain for each record using the populati</w:t>
      </w:r>
      <w:r w:rsidR="00C70A4E">
        <w:rPr>
          <w:lang w:val="en"/>
        </w:rPr>
        <w:t>on prevalence rates from Table B.</w:t>
      </w:r>
      <w:r w:rsidR="005F5E4E">
        <w:rPr>
          <w:lang w:val="en"/>
        </w:rPr>
        <w:t>1</w:t>
      </w:r>
      <w:r w:rsidRPr="005F647E">
        <w:rPr>
          <w:lang w:val="en"/>
        </w:rPr>
        <w:t xml:space="preserve">. We also simulated a “screener” income domain for each record, assuming misclassification patterns similar to those in FoodAPS-1 and the </w:t>
      </w:r>
      <w:r w:rsidR="00801F9E">
        <w:rPr>
          <w:lang w:val="en"/>
        </w:rPr>
        <w:t>NFS</w:t>
      </w:r>
      <w:r w:rsidRPr="005F647E" w:rsidR="00801F9E">
        <w:rPr>
          <w:lang w:val="en"/>
        </w:rPr>
        <w:t xml:space="preserve"> </w:t>
      </w:r>
      <w:r w:rsidRPr="005F647E">
        <w:rPr>
          <w:lang w:val="en"/>
        </w:rPr>
        <w:t xml:space="preserve">Pilot. </w:t>
      </w:r>
      <w:r w:rsidR="00B51A3C">
        <w:rPr>
          <w:lang w:val="en"/>
        </w:rPr>
        <w:t>Misclassification issues</w:t>
      </w:r>
      <w:r w:rsidR="00B07FBA">
        <w:rPr>
          <w:lang w:val="en"/>
        </w:rPr>
        <w:t xml:space="preserve"> in FoodAPS-1</w:t>
      </w:r>
      <w:r w:rsidR="00B51A3C">
        <w:rPr>
          <w:lang w:val="en"/>
        </w:rPr>
        <w:t xml:space="preserve"> were studied in Krenzke and Kali (2016). Misclassification arises when a household classification into analytic domains from the short screener questionnaire is different from their classification based on the more thorough questions in the main survey. One example is that the screener response to household income tends to be lower than the sum of individual items on income that are asked during the main survey. This is a concern</w:t>
      </w:r>
      <w:r w:rsidR="004F58B8">
        <w:rPr>
          <w:lang w:val="en"/>
        </w:rPr>
        <w:t xml:space="preserve"> when attempting to achieve the sample size goal in</w:t>
      </w:r>
      <w:r w:rsidR="00B51A3C">
        <w:rPr>
          <w:lang w:val="en"/>
        </w:rPr>
        <w:t xml:space="preserve"> the low population percentage in the </w:t>
      </w:r>
      <w:r w:rsidR="004F58B8">
        <w:rPr>
          <w:lang w:val="en"/>
        </w:rPr>
        <w:t>low-income non</w:t>
      </w:r>
      <w:r w:rsidR="00C60179">
        <w:rPr>
          <w:lang w:val="en"/>
        </w:rPr>
        <w:t>-</w:t>
      </w:r>
      <w:r w:rsidR="004F58B8">
        <w:rPr>
          <w:lang w:val="en"/>
        </w:rPr>
        <w:t>SNAP non</w:t>
      </w:r>
      <w:r w:rsidR="00C60179">
        <w:rPr>
          <w:lang w:val="en"/>
        </w:rPr>
        <w:t>-</w:t>
      </w:r>
      <w:r w:rsidR="004F58B8">
        <w:rPr>
          <w:lang w:val="en"/>
        </w:rPr>
        <w:t>WIC domain.</w:t>
      </w:r>
    </w:p>
    <w:p w:rsidR="003C6640" w:rsidP="005F647E" w:rsidRDefault="003C6640" w14:paraId="052C0B2B" w14:textId="1BF37946">
      <w:pPr>
        <w:pStyle w:val="L1-FlLSp12"/>
        <w:rPr>
          <w:lang w:val="en"/>
        </w:rPr>
      </w:pPr>
    </w:p>
    <w:p w:rsidR="00C70A4E" w:rsidP="005F647E" w:rsidRDefault="00B91B07" w14:paraId="036A2055" w14:textId="3BF5984F">
      <w:pPr>
        <w:pStyle w:val="L1-FlLSp12"/>
        <w:rPr>
          <w:lang w:val="en"/>
        </w:rPr>
      </w:pPr>
      <w:r>
        <w:rPr>
          <w:lang w:val="en"/>
        </w:rPr>
        <w:t>As mentioned above, t</w:t>
      </w:r>
      <w:r w:rsidR="000C1EC4">
        <w:rPr>
          <w:lang w:val="en"/>
        </w:rPr>
        <w:t>h</w:t>
      </w:r>
      <w:r w:rsidR="00CF3929">
        <w:rPr>
          <w:lang w:val="en"/>
        </w:rPr>
        <w:t>e</w:t>
      </w:r>
      <w:r w:rsidR="000C1EC4">
        <w:rPr>
          <w:lang w:val="en"/>
        </w:rPr>
        <w:t xml:space="preserve"> evaluation</w:t>
      </w:r>
      <w:r w:rsidR="00CF3929">
        <w:rPr>
          <w:lang w:val="en"/>
        </w:rPr>
        <w:t xml:space="preserve"> </w:t>
      </w:r>
      <w:r>
        <w:rPr>
          <w:lang w:val="en"/>
        </w:rPr>
        <w:t xml:space="preserve">was used </w:t>
      </w:r>
      <w:r w:rsidR="00CF3929">
        <w:rPr>
          <w:lang w:val="en"/>
        </w:rPr>
        <w:t>to assign sampling rates</w:t>
      </w:r>
      <w:r>
        <w:rPr>
          <w:lang w:val="en"/>
        </w:rPr>
        <w:t>. To do so,</w:t>
      </w:r>
      <w:r w:rsidR="000C1EC4">
        <w:rPr>
          <w:lang w:val="en"/>
        </w:rPr>
        <w:t xml:space="preserve"> f</w:t>
      </w:r>
      <w:r w:rsidR="0061592C">
        <w:rPr>
          <w:lang w:val="en"/>
        </w:rPr>
        <w:t>or the mail screener, t</w:t>
      </w:r>
      <w:r w:rsidRPr="005F647E" w:rsidR="005F647E">
        <w:rPr>
          <w:lang w:val="en"/>
        </w:rPr>
        <w:t>he subsampling strat</w:t>
      </w:r>
      <w:r w:rsidR="000C1EC4">
        <w:rPr>
          <w:lang w:val="en"/>
        </w:rPr>
        <w:t>um</w:t>
      </w:r>
      <w:r w:rsidRPr="005F647E" w:rsidR="005F647E">
        <w:rPr>
          <w:lang w:val="en"/>
        </w:rPr>
        <w:t xml:space="preserve"> for households not participating in SNAP or WIC </w:t>
      </w:r>
      <w:r w:rsidR="00791CEF">
        <w:rPr>
          <w:lang w:val="en"/>
        </w:rPr>
        <w:t>was</w:t>
      </w:r>
      <w:r w:rsidRPr="005F647E" w:rsidR="00791CEF">
        <w:rPr>
          <w:lang w:val="en"/>
        </w:rPr>
        <w:t xml:space="preserve"> </w:t>
      </w:r>
      <w:r w:rsidRPr="005F647E" w:rsidR="005F647E">
        <w:rPr>
          <w:lang w:val="en"/>
        </w:rPr>
        <w:t>broken down into five categories, with cut points at income-to-poverty ratios of 100 percent, 130 percent, 185 percent, and 300 percent</w:t>
      </w:r>
      <w:r w:rsidRPr="00144DFF" w:rsidR="005F647E">
        <w:rPr>
          <w:lang w:val="en"/>
        </w:rPr>
        <w:t>. More granular screener information on income categories will control misclassification. For example, based on previous data, we can assume that 50 percent of households that screen in at 100 percent income-to-poverty will have a final income-to-poverty ratio less than 130 percent, but the comparable rate is only 30 percent for households that screen in with income-to-poverty ratios between 100 percent and 130 percent.</w:t>
      </w:r>
      <w:r w:rsidRPr="00144DFF" w:rsidR="00CF3929">
        <w:rPr>
          <w:lang w:val="en"/>
        </w:rPr>
        <w:t xml:space="preserve"> In the evaluation, w</w:t>
      </w:r>
      <w:r w:rsidRPr="00144DFF" w:rsidR="005F647E">
        <w:rPr>
          <w:lang w:val="en"/>
        </w:rPr>
        <w:t xml:space="preserve">e selected a simulated sample of </w:t>
      </w:r>
      <w:r w:rsidRPr="00144DFF" w:rsidR="00755DC9">
        <w:rPr>
          <w:lang w:val="en"/>
        </w:rPr>
        <w:t>4</w:t>
      </w:r>
      <w:r w:rsidRPr="00144DFF" w:rsidR="006E31AF">
        <w:rPr>
          <w:lang w:val="en"/>
        </w:rPr>
        <w:t>,000</w:t>
      </w:r>
      <w:r w:rsidRPr="00144DFF" w:rsidR="005F647E">
        <w:rPr>
          <w:lang w:val="en"/>
        </w:rPr>
        <w:t xml:space="preserve"> cases for mail screening</w:t>
      </w:r>
      <w:r w:rsidRPr="00144DFF" w:rsidR="00CF3929">
        <w:rPr>
          <w:lang w:val="en"/>
        </w:rPr>
        <w:t xml:space="preserve"> (since the time of the evaluation, we increased the total sample for mail screening to 4,125)</w:t>
      </w:r>
      <w:r w:rsidRPr="00144DFF" w:rsidR="005F647E">
        <w:rPr>
          <w:lang w:val="en"/>
        </w:rPr>
        <w:t xml:space="preserve">. We subsampled cases at each stage according to the assumed </w:t>
      </w:r>
      <w:r w:rsidRPr="00144DFF" w:rsidR="00C70A4E">
        <w:rPr>
          <w:lang w:val="en"/>
        </w:rPr>
        <w:t>response rates given in Table B.</w:t>
      </w:r>
      <w:r w:rsidRPr="00144DFF" w:rsidR="00DA47CF">
        <w:rPr>
          <w:lang w:val="en"/>
        </w:rPr>
        <w:t>3</w:t>
      </w:r>
      <w:r w:rsidRPr="00144DFF" w:rsidR="005F647E">
        <w:rPr>
          <w:lang w:val="en"/>
        </w:rPr>
        <w:t>.</w:t>
      </w:r>
      <w:r w:rsidRPr="005F647E" w:rsidR="005F647E">
        <w:rPr>
          <w:lang w:val="en"/>
        </w:rPr>
        <w:t xml:space="preserve"> </w:t>
      </w:r>
    </w:p>
    <w:p w:rsidRPr="005F647E" w:rsidR="005F647E" w:rsidP="005F647E" w:rsidRDefault="005F647E" w14:paraId="532179A4" w14:textId="07DB4EC9">
      <w:pPr>
        <w:pStyle w:val="L1-FlLSp12"/>
        <w:rPr>
          <w:lang w:val="en"/>
        </w:rPr>
      </w:pPr>
      <w:r w:rsidRPr="005F647E">
        <w:rPr>
          <w:lang w:val="en"/>
        </w:rPr>
        <w:t xml:space="preserve"> </w:t>
      </w:r>
    </w:p>
    <w:p w:rsidR="005F647E" w:rsidP="005F647E" w:rsidRDefault="005F647E" w14:paraId="75081C83" w14:textId="77B8388B">
      <w:pPr>
        <w:pStyle w:val="L1-FlLSp12"/>
        <w:rPr>
          <w:lang w:val="en"/>
        </w:rPr>
      </w:pPr>
      <w:r w:rsidRPr="005F647E">
        <w:rPr>
          <w:lang w:val="en"/>
        </w:rPr>
        <w:t xml:space="preserve">In </w:t>
      </w:r>
      <w:r w:rsidR="00B91B07">
        <w:rPr>
          <w:lang w:val="en"/>
        </w:rPr>
        <w:t>the evaluation</w:t>
      </w:r>
      <w:r w:rsidRPr="005F647E">
        <w:rPr>
          <w:lang w:val="en"/>
        </w:rPr>
        <w:t xml:space="preserve">, at each screening stage (mail screener and in-person screener), we subsampled cases with differential rates according to their subsampling stratum. We took all cases in the SNAP, WIC, and low-income (income-to-poverty ratio less than 130 percent) subsampling strata with certainty at both stages. We sampled higher-income cases to achieve the desired overall subsampling rate, but we </w:t>
      </w:r>
      <w:r w:rsidR="00701DBA">
        <w:rPr>
          <w:lang w:val="en"/>
        </w:rPr>
        <w:t>set</w:t>
      </w:r>
      <w:r w:rsidRPr="005F647E" w:rsidR="00701DBA">
        <w:rPr>
          <w:lang w:val="en"/>
        </w:rPr>
        <w:t xml:space="preserve"> </w:t>
      </w:r>
      <w:r w:rsidRPr="005F647E">
        <w:rPr>
          <w:lang w:val="en"/>
        </w:rPr>
        <w:t>the sampling fractions within each income band to be proportional to the square root of the prevalence of the low-income domain in that band (</w:t>
      </w:r>
      <w:proofErr w:type="spellStart"/>
      <w:r w:rsidRPr="005F647E">
        <w:rPr>
          <w:lang w:val="en"/>
        </w:rPr>
        <w:t>Kalton</w:t>
      </w:r>
      <w:proofErr w:type="spellEnd"/>
      <w:r w:rsidRPr="005F647E">
        <w:rPr>
          <w:lang w:val="en"/>
        </w:rPr>
        <w:t xml:space="preserve"> and Anderson, 1986; </w:t>
      </w:r>
      <w:proofErr w:type="spellStart"/>
      <w:r w:rsidRPr="005F647E">
        <w:rPr>
          <w:lang w:val="en"/>
        </w:rPr>
        <w:t>Kalton</w:t>
      </w:r>
      <w:proofErr w:type="spellEnd"/>
      <w:r w:rsidRPr="005F647E">
        <w:rPr>
          <w:lang w:val="en"/>
        </w:rPr>
        <w:t xml:space="preserve">, 2009). This is an efficient allocation that allows us to select more cases in lower income bands and reduce the number of </w:t>
      </w:r>
      <w:r w:rsidRPr="005F647E" w:rsidR="004E6E9A">
        <w:rPr>
          <w:lang w:val="en"/>
        </w:rPr>
        <w:t>high-income</w:t>
      </w:r>
      <w:r w:rsidRPr="005F647E">
        <w:rPr>
          <w:lang w:val="en"/>
        </w:rPr>
        <w:t xml:space="preserve"> cases selected.</w:t>
      </w:r>
    </w:p>
    <w:p w:rsidRPr="005F647E" w:rsidR="00C70A4E" w:rsidP="005F647E" w:rsidRDefault="00C70A4E" w14:paraId="5CE2B531" w14:textId="77777777">
      <w:pPr>
        <w:pStyle w:val="L1-FlLSp12"/>
        <w:rPr>
          <w:lang w:val="en"/>
        </w:rPr>
      </w:pPr>
    </w:p>
    <w:p w:rsidR="0003690B" w:rsidP="005F647E" w:rsidRDefault="005F647E" w14:paraId="068A8D9B" w14:textId="703BC1E0">
      <w:pPr>
        <w:pStyle w:val="L1-FlLSp12"/>
        <w:rPr>
          <w:lang w:val="en"/>
        </w:rPr>
      </w:pPr>
      <w:r w:rsidRPr="005F647E">
        <w:rPr>
          <w:lang w:val="en"/>
        </w:rPr>
        <w:t xml:space="preserve">We simulated this sampling process 500 times to evaluate whether the proposed Field Test sampling procedure would consistently achieve the target sample sizes at each stage. We found that the target of 430 completed </w:t>
      </w:r>
      <w:r w:rsidR="007B3DEB">
        <w:rPr>
          <w:lang w:val="en"/>
        </w:rPr>
        <w:t>debriefing</w:t>
      </w:r>
      <w:r w:rsidRPr="005F647E" w:rsidR="007B3DEB">
        <w:rPr>
          <w:lang w:val="en"/>
        </w:rPr>
        <w:t xml:space="preserve"> </w:t>
      </w:r>
      <w:r w:rsidRPr="005F647E">
        <w:rPr>
          <w:lang w:val="en"/>
        </w:rPr>
        <w:t>interviews was achieved in 70 percent of simulation runs, with a minimum final sample size of 3</w:t>
      </w:r>
      <w:r w:rsidR="00755DC9">
        <w:rPr>
          <w:lang w:val="en"/>
        </w:rPr>
        <w:t>97</w:t>
      </w:r>
      <w:r w:rsidRPr="005F647E">
        <w:rPr>
          <w:lang w:val="en"/>
        </w:rPr>
        <w:t xml:space="preserve"> and a maximum of 4</w:t>
      </w:r>
      <w:r w:rsidR="00755DC9">
        <w:rPr>
          <w:lang w:val="en"/>
        </w:rPr>
        <w:t>66</w:t>
      </w:r>
      <w:r w:rsidRPr="005F647E">
        <w:rPr>
          <w:lang w:val="en"/>
        </w:rPr>
        <w:t xml:space="preserve">. The average number of households in the final low-income domain was </w:t>
      </w:r>
      <w:r w:rsidR="00755DC9">
        <w:rPr>
          <w:lang w:val="en"/>
        </w:rPr>
        <w:t>83</w:t>
      </w:r>
      <w:r w:rsidRPr="005F647E">
        <w:rPr>
          <w:lang w:val="en"/>
        </w:rPr>
        <w:t xml:space="preserve">, with a minimum of </w:t>
      </w:r>
      <w:r w:rsidR="00755DC9">
        <w:rPr>
          <w:lang w:val="en"/>
        </w:rPr>
        <w:t>57</w:t>
      </w:r>
      <w:r w:rsidRPr="005F647E">
        <w:rPr>
          <w:lang w:val="en"/>
        </w:rPr>
        <w:t xml:space="preserve"> and a maximum of 1</w:t>
      </w:r>
      <w:r w:rsidR="00755DC9">
        <w:rPr>
          <w:lang w:val="en"/>
        </w:rPr>
        <w:t>17</w:t>
      </w:r>
      <w:r w:rsidRPr="005F647E">
        <w:rPr>
          <w:lang w:val="en"/>
        </w:rPr>
        <w:t xml:space="preserve">. This minimum is higher than the </w:t>
      </w:r>
      <w:r w:rsidR="00726547">
        <w:rPr>
          <w:lang w:val="en"/>
        </w:rPr>
        <w:t>45</w:t>
      </w:r>
      <w:r w:rsidRPr="005F647E">
        <w:rPr>
          <w:lang w:val="en"/>
        </w:rPr>
        <w:t xml:space="preserve"> low-income households in the </w:t>
      </w:r>
      <w:r w:rsidR="00895593">
        <w:rPr>
          <w:lang w:val="en"/>
        </w:rPr>
        <w:t>NFS</w:t>
      </w:r>
      <w:r w:rsidRPr="005F647E" w:rsidR="00895593">
        <w:rPr>
          <w:lang w:val="en"/>
        </w:rPr>
        <w:t xml:space="preserve"> </w:t>
      </w:r>
      <w:r w:rsidRPr="005F647E">
        <w:rPr>
          <w:lang w:val="en"/>
        </w:rPr>
        <w:t xml:space="preserve">Pilot, which is promising. In the simulation, the number of in-person screeners necessary is consistent with our expectations, ranging between </w:t>
      </w:r>
      <w:r w:rsidR="00755DC9">
        <w:rPr>
          <w:lang w:val="en"/>
        </w:rPr>
        <w:t xml:space="preserve">2,423 </w:t>
      </w:r>
      <w:r w:rsidRPr="005F647E">
        <w:rPr>
          <w:lang w:val="en"/>
        </w:rPr>
        <w:t xml:space="preserve">and </w:t>
      </w:r>
      <w:r w:rsidR="00755DC9">
        <w:rPr>
          <w:lang w:val="en"/>
        </w:rPr>
        <w:t>2,506</w:t>
      </w:r>
      <w:r w:rsidRPr="005F647E">
        <w:rPr>
          <w:lang w:val="en"/>
        </w:rPr>
        <w:t xml:space="preserve"> with an average of </w:t>
      </w:r>
      <w:r w:rsidR="00755DC9">
        <w:rPr>
          <w:lang w:val="en"/>
        </w:rPr>
        <w:t>2,465</w:t>
      </w:r>
      <w:r w:rsidRPr="005F647E">
        <w:rPr>
          <w:lang w:val="en"/>
        </w:rPr>
        <w:t xml:space="preserve">. The simulations show that, if our response rate assumptions are reasonably accurate, the planned initial sampling rates are likely to produce the required sample. </w:t>
      </w:r>
    </w:p>
    <w:p w:rsidR="0003690B" w:rsidP="005F647E" w:rsidRDefault="0003690B" w14:paraId="71FB7E07" w14:textId="77777777">
      <w:pPr>
        <w:pStyle w:val="L1-FlLSp12"/>
        <w:rPr>
          <w:lang w:val="en"/>
        </w:rPr>
      </w:pPr>
    </w:p>
    <w:p w:rsidR="00EF36B7" w:rsidP="005F647E" w:rsidRDefault="005F647E" w14:paraId="49099CFC" w14:textId="111AA0DE">
      <w:pPr>
        <w:pStyle w:val="L1-FlLSp12"/>
        <w:rPr>
          <w:lang w:val="en"/>
        </w:rPr>
      </w:pPr>
      <w:r w:rsidRPr="005F647E">
        <w:rPr>
          <w:lang w:val="en"/>
        </w:rPr>
        <w:t>The planned sample monitoring procedures will allow us to continually monitor whether the assumed response rates are reasonable</w:t>
      </w:r>
      <w:r w:rsidR="0003690B">
        <w:rPr>
          <w:lang w:val="en"/>
        </w:rPr>
        <w:t xml:space="preserve">. There is uncertainty about the impact that COVID-19 has on response rates, and therefore a reserve sample will be selected, </w:t>
      </w:r>
      <w:r w:rsidRPr="006249AD" w:rsidR="0003690B">
        <w:rPr>
          <w:lang w:val="en"/>
        </w:rPr>
        <w:t>sample</w:t>
      </w:r>
      <w:r w:rsidR="0003690B">
        <w:rPr>
          <w:lang w:val="en"/>
        </w:rPr>
        <w:t xml:space="preserve"> yield will be closely monitored, and more sample will be released in portions relative to need to achieve the desired 430 completes.</w:t>
      </w:r>
      <w:r w:rsidR="00995B0A">
        <w:rPr>
          <w:lang w:val="en"/>
        </w:rPr>
        <w:t xml:space="preserve"> </w:t>
      </w:r>
      <w:r w:rsidR="0003690B">
        <w:rPr>
          <w:lang w:val="en"/>
        </w:rPr>
        <w:t>S</w:t>
      </w:r>
      <w:r w:rsidR="003F1EA4">
        <w:rPr>
          <w:lang w:val="en"/>
        </w:rPr>
        <w:t>creener</w:t>
      </w:r>
      <w:r w:rsidRPr="005F647E">
        <w:rPr>
          <w:lang w:val="en"/>
        </w:rPr>
        <w:t xml:space="preserve"> </w:t>
      </w:r>
      <w:r w:rsidR="003F1EA4">
        <w:rPr>
          <w:lang w:val="en"/>
        </w:rPr>
        <w:t>sub</w:t>
      </w:r>
      <w:r w:rsidRPr="005F647E">
        <w:rPr>
          <w:lang w:val="en"/>
        </w:rPr>
        <w:t>sampling rates</w:t>
      </w:r>
      <w:r w:rsidR="0003690B">
        <w:rPr>
          <w:lang w:val="en"/>
        </w:rPr>
        <w:t xml:space="preserve"> will be reduced</w:t>
      </w:r>
      <w:r w:rsidRPr="005F647E">
        <w:rPr>
          <w:lang w:val="en"/>
        </w:rPr>
        <w:t xml:space="preserve"> </w:t>
      </w:r>
      <w:r w:rsidR="00215D7E">
        <w:rPr>
          <w:lang w:val="en"/>
        </w:rPr>
        <w:t>if a surplus is expected</w:t>
      </w:r>
      <w:r w:rsidRPr="005F647E">
        <w:rPr>
          <w:lang w:val="en"/>
        </w:rPr>
        <w:t>.</w:t>
      </w:r>
    </w:p>
    <w:p w:rsidR="004B19A9" w:rsidP="005F647E" w:rsidRDefault="004B19A9" w14:paraId="67B3F1DE" w14:textId="77777777">
      <w:pPr>
        <w:pStyle w:val="L1-FlLSp12"/>
        <w:rPr>
          <w:lang w:val="en"/>
        </w:rPr>
      </w:pPr>
    </w:p>
    <w:p w:rsidR="004B19A9" w:rsidP="005F647E" w:rsidRDefault="004B19A9" w14:paraId="113A5130" w14:textId="77777777">
      <w:pPr>
        <w:pStyle w:val="L1-FlLSp12"/>
        <w:rPr>
          <w:lang w:val="en"/>
        </w:rPr>
      </w:pPr>
    </w:p>
    <w:p w:rsidRPr="0074555B" w:rsidR="008A6A7C" w:rsidP="004B19A9" w:rsidRDefault="00AE2735" w14:paraId="5CA56432" w14:textId="7040240D">
      <w:pPr>
        <w:pStyle w:val="Heading2"/>
        <w:ind w:left="0" w:firstLine="0"/>
      </w:pPr>
      <w:r w:rsidRPr="00AE2735">
        <w:rPr>
          <w:lang w:val="en"/>
        </w:rPr>
        <w:t xml:space="preserve"> </w:t>
      </w:r>
      <w:bookmarkStart w:name="_Toc329341117" w:id="40"/>
      <w:bookmarkStart w:name="_Toc290021782" w:id="41"/>
      <w:bookmarkStart w:name="_Toc287257090" w:id="42"/>
      <w:bookmarkStart w:name="_Toc287257036" w:id="43"/>
      <w:bookmarkStart w:name="_Toc400377724" w:id="44"/>
      <w:bookmarkStart w:name="_Toc409090901" w:id="45"/>
      <w:bookmarkStart w:name="_Toc513794206" w:id="46"/>
      <w:bookmarkStart w:name="_Toc74205151" w:id="47"/>
      <w:r w:rsidRPr="0074555B" w:rsidR="008A6A7C">
        <w:t>B.2</w:t>
      </w:r>
      <w:r w:rsidRPr="0074555B" w:rsidR="008A6A7C">
        <w:tab/>
        <w:t>Procedures for the Collection of Information</w:t>
      </w:r>
      <w:bookmarkEnd w:id="40"/>
      <w:bookmarkEnd w:id="41"/>
      <w:bookmarkEnd w:id="42"/>
      <w:bookmarkEnd w:id="43"/>
      <w:bookmarkEnd w:id="44"/>
      <w:bookmarkEnd w:id="45"/>
      <w:bookmarkEnd w:id="46"/>
      <w:bookmarkEnd w:id="47"/>
    </w:p>
    <w:p w:rsidRPr="002232F7" w:rsidR="008A6A7C" w:rsidP="001B265D" w:rsidRDefault="008A6A7C" w14:paraId="5001AC4D" w14:textId="77777777">
      <w:pPr>
        <w:pStyle w:val="L1-FlLSp12"/>
        <w:rPr>
          <w:b/>
        </w:rPr>
      </w:pPr>
      <w:bookmarkStart w:name="_Toc400377725" w:id="48"/>
      <w:bookmarkStart w:name="_Toc290021783" w:id="49"/>
      <w:bookmarkStart w:name="_Toc280185474" w:id="50"/>
      <w:r w:rsidRPr="002232F7">
        <w:rPr>
          <w:b/>
        </w:rPr>
        <w:t>Describe the procedures for the collection of information including:</w:t>
      </w:r>
      <w:bookmarkEnd w:id="48"/>
    </w:p>
    <w:p w:rsidRPr="002232F7" w:rsidR="008A6A7C" w:rsidP="001B265D" w:rsidRDefault="008A6A7C" w14:paraId="6B3BF384" w14:textId="77777777">
      <w:pPr>
        <w:pStyle w:val="L1-FlLSp12"/>
        <w:rPr>
          <w:b/>
        </w:rPr>
      </w:pPr>
    </w:p>
    <w:p w:rsidRPr="002232F7" w:rsidR="008A6A7C" w:rsidP="004A7048" w:rsidRDefault="008A6A7C" w14:paraId="75F9FE38" w14:textId="77777777">
      <w:pPr>
        <w:pStyle w:val="N1-1stBullet"/>
        <w:rPr>
          <w:b/>
        </w:rPr>
      </w:pPr>
      <w:bookmarkStart w:name="_Toc325550967" w:id="51"/>
      <w:bookmarkStart w:name="_Toc316652509" w:id="52"/>
      <w:bookmarkStart w:name="_Toc400377726" w:id="53"/>
      <w:r w:rsidRPr="002232F7">
        <w:rPr>
          <w:b/>
        </w:rPr>
        <w:t>Statistical methodology for stratification and sample selection,</w:t>
      </w:r>
      <w:bookmarkEnd w:id="51"/>
      <w:bookmarkEnd w:id="52"/>
      <w:bookmarkEnd w:id="53"/>
    </w:p>
    <w:p w:rsidRPr="002232F7" w:rsidR="008A6A7C" w:rsidP="004A7048" w:rsidRDefault="008A6A7C" w14:paraId="129AA082" w14:textId="77777777">
      <w:pPr>
        <w:pStyle w:val="N1-1stBullet"/>
        <w:rPr>
          <w:b/>
        </w:rPr>
      </w:pPr>
      <w:bookmarkStart w:name="_Toc325550968" w:id="54"/>
      <w:bookmarkStart w:name="_Toc316652510" w:id="55"/>
      <w:bookmarkStart w:name="_Toc400377727" w:id="56"/>
      <w:r w:rsidRPr="002232F7">
        <w:rPr>
          <w:b/>
        </w:rPr>
        <w:t>Estimation procedure,</w:t>
      </w:r>
      <w:bookmarkEnd w:id="54"/>
      <w:bookmarkEnd w:id="55"/>
      <w:bookmarkEnd w:id="56"/>
    </w:p>
    <w:p w:rsidRPr="002232F7" w:rsidR="008A6A7C" w:rsidP="004A7048" w:rsidRDefault="008A6A7C" w14:paraId="510C5FEF" w14:textId="77777777">
      <w:pPr>
        <w:pStyle w:val="N1-1stBullet"/>
        <w:rPr>
          <w:b/>
        </w:rPr>
      </w:pPr>
      <w:bookmarkStart w:name="_Toc325550969" w:id="57"/>
      <w:bookmarkStart w:name="_Toc316652511" w:id="58"/>
      <w:bookmarkStart w:name="_Toc400377728" w:id="59"/>
      <w:r w:rsidRPr="002232F7">
        <w:rPr>
          <w:b/>
        </w:rPr>
        <w:t>Degree of accuracy needed for the purpose described in the justification,</w:t>
      </w:r>
      <w:bookmarkEnd w:id="57"/>
      <w:bookmarkEnd w:id="58"/>
      <w:bookmarkEnd w:id="59"/>
    </w:p>
    <w:p w:rsidRPr="002232F7" w:rsidR="008A6A7C" w:rsidP="004A7048" w:rsidRDefault="008A6A7C" w14:paraId="62C94351" w14:textId="77777777">
      <w:pPr>
        <w:pStyle w:val="N1-1stBullet"/>
        <w:rPr>
          <w:b/>
        </w:rPr>
      </w:pPr>
      <w:bookmarkStart w:name="_Toc325550970" w:id="60"/>
      <w:bookmarkStart w:name="_Toc316652512" w:id="61"/>
      <w:bookmarkStart w:name="_Toc400377729" w:id="62"/>
      <w:r w:rsidRPr="002232F7">
        <w:rPr>
          <w:b/>
        </w:rPr>
        <w:t>Unusual problems requiring specialized sampling procedures, and</w:t>
      </w:r>
      <w:bookmarkEnd w:id="60"/>
      <w:bookmarkEnd w:id="61"/>
      <w:bookmarkEnd w:id="62"/>
    </w:p>
    <w:p w:rsidR="008A6A7C" w:rsidP="004A7048" w:rsidRDefault="008A6A7C" w14:paraId="5E285F0E" w14:textId="65E728F5">
      <w:pPr>
        <w:pStyle w:val="N1-1stBullet"/>
        <w:rPr>
          <w:b/>
        </w:rPr>
      </w:pPr>
      <w:bookmarkStart w:name="_Toc325550971" w:id="63"/>
      <w:bookmarkStart w:name="_Toc316652513" w:id="64"/>
      <w:bookmarkStart w:name="_Toc400377730" w:id="65"/>
      <w:r w:rsidRPr="002232F7">
        <w:rPr>
          <w:b/>
        </w:rPr>
        <w:t>Any use of periodic (less frequent than annual) data collection cycles to reduce burden.</w:t>
      </w:r>
      <w:bookmarkEnd w:id="63"/>
      <w:bookmarkEnd w:id="64"/>
      <w:bookmarkEnd w:id="65"/>
    </w:p>
    <w:p w:rsidRPr="002232F7" w:rsidR="007F7DDA" w:rsidP="007F7DDA" w:rsidRDefault="007F7DDA" w14:paraId="701B3158" w14:textId="77777777">
      <w:pPr>
        <w:pStyle w:val="N1-1stBullet"/>
        <w:numPr>
          <w:ilvl w:val="0"/>
          <w:numId w:val="0"/>
        </w:numPr>
        <w:ind w:left="1152"/>
        <w:rPr>
          <w:b/>
        </w:rPr>
      </w:pPr>
    </w:p>
    <w:p w:rsidRPr="0074555B" w:rsidR="008A6A7C" w:rsidP="00E329A7" w:rsidRDefault="008A6A7C" w14:paraId="440C7A85" w14:textId="0C68659F">
      <w:pPr>
        <w:pStyle w:val="Heading3"/>
      </w:pPr>
      <w:bookmarkStart w:name="_Toc513794207" w:id="66"/>
      <w:bookmarkStart w:name="_Toc74205152" w:id="67"/>
      <w:bookmarkStart w:name="_Toc400377731" w:id="68"/>
      <w:bookmarkEnd w:id="49"/>
      <w:bookmarkEnd w:id="50"/>
      <w:r w:rsidRPr="0074555B">
        <w:t>Statistical Methodology</w:t>
      </w:r>
      <w:bookmarkEnd w:id="66"/>
      <w:bookmarkEnd w:id="67"/>
      <w:r w:rsidRPr="0074555B">
        <w:t xml:space="preserve"> </w:t>
      </w:r>
      <w:bookmarkEnd w:id="68"/>
    </w:p>
    <w:p w:rsidR="007664BC" w:rsidP="007664BC" w:rsidRDefault="007664BC" w14:paraId="36BEF4CF" w14:textId="715E334A">
      <w:pPr>
        <w:pStyle w:val="L1-FlLSp12"/>
        <w:rPr>
          <w:lang w:val="en"/>
        </w:rPr>
      </w:pPr>
      <w:r>
        <w:rPr>
          <w:lang w:eastAsia="zh-CN" w:bidi="he-IL"/>
        </w:rPr>
        <w:t xml:space="preserve">FoodAPS-2, as did FoodAPS-1, seeks to represent several population groups </w:t>
      </w:r>
      <w:r>
        <w:t xml:space="preserve">that </w:t>
      </w:r>
      <w:r w:rsidR="00D109AB">
        <w:t>have a low populati</w:t>
      </w:r>
      <w:r w:rsidR="003B4B4E">
        <w:t>on percentage (e.g., below 15 p</w:t>
      </w:r>
      <w:r w:rsidR="00D109AB">
        <w:t xml:space="preserve">ercent) </w:t>
      </w:r>
      <w:r>
        <w:t xml:space="preserve">and </w:t>
      </w:r>
      <w:r w:rsidR="00E71611">
        <w:t xml:space="preserve">are </w:t>
      </w:r>
      <w:r>
        <w:t>not easily identified from commonly available information, specifically, the SNAP, WIC, and non-SNAP non-WIC low-income household domains.</w:t>
      </w:r>
      <w:r w:rsidR="00D109AB">
        <w:t xml:space="preserve"> </w:t>
      </w:r>
      <w:r>
        <w:rPr>
          <w:lang w:val="en"/>
        </w:rPr>
        <w:t xml:space="preserve">SNAP, </w:t>
      </w:r>
      <w:r w:rsidR="004E6E9A">
        <w:rPr>
          <w:lang w:val="en"/>
        </w:rPr>
        <w:t>WIC,</w:t>
      </w:r>
      <w:r>
        <w:rPr>
          <w:lang w:val="en"/>
        </w:rPr>
        <w:t xml:space="preserve"> and low-income non-SNAP non-WIC households </w:t>
      </w:r>
      <w:r w:rsidR="00D109AB">
        <w:rPr>
          <w:lang w:val="en"/>
        </w:rPr>
        <w:t>would require large initial sample sizes under</w:t>
      </w:r>
      <w:r w:rsidR="00995B0A">
        <w:rPr>
          <w:lang w:val="en"/>
        </w:rPr>
        <w:t xml:space="preserve"> </w:t>
      </w:r>
      <w:r>
        <w:rPr>
          <w:lang w:val="en"/>
        </w:rPr>
        <w:t>simple random sampl</w:t>
      </w:r>
      <w:r w:rsidR="00D109AB">
        <w:rPr>
          <w:lang w:val="en"/>
        </w:rPr>
        <w:t>ing</w:t>
      </w:r>
      <w:r>
        <w:rPr>
          <w:lang w:val="en"/>
        </w:rPr>
        <w:t xml:space="preserve">. Table </w:t>
      </w:r>
      <w:r w:rsidR="005F4523">
        <w:rPr>
          <w:lang w:val="en"/>
        </w:rPr>
        <w:t>B.</w:t>
      </w:r>
      <w:r w:rsidR="00DA47CF">
        <w:rPr>
          <w:lang w:val="en"/>
        </w:rPr>
        <w:t>4</w:t>
      </w:r>
      <w:r w:rsidRPr="00DA393E">
        <w:rPr>
          <w:lang w:val="en"/>
        </w:rPr>
        <w:t xml:space="preserve"> </w:t>
      </w:r>
      <w:r>
        <w:rPr>
          <w:lang w:val="en"/>
        </w:rPr>
        <w:t xml:space="preserve">shows </w:t>
      </w:r>
      <w:r w:rsidRPr="00DA393E">
        <w:rPr>
          <w:lang w:val="en"/>
        </w:rPr>
        <w:t>the prevalence rates</w:t>
      </w:r>
      <w:r w:rsidR="005F4523">
        <w:rPr>
          <w:lang w:val="en"/>
        </w:rPr>
        <w:t>, as well as the resulting screening sample size that would be required to identify one household in the domain,</w:t>
      </w:r>
      <w:r w:rsidRPr="00DA393E">
        <w:rPr>
          <w:lang w:val="en"/>
        </w:rPr>
        <w:t xml:space="preserve"> for each of the first four key analytic domains</w:t>
      </w:r>
      <w:r>
        <w:rPr>
          <w:lang w:val="en"/>
        </w:rPr>
        <w:t xml:space="preserve"> specified for the FoodAPS-2 </w:t>
      </w:r>
      <w:r w:rsidR="00B527B9">
        <w:rPr>
          <w:lang w:val="en"/>
        </w:rPr>
        <w:t>Field Test</w:t>
      </w:r>
      <w:r w:rsidRPr="00DA393E">
        <w:rPr>
          <w:lang w:val="en"/>
        </w:rPr>
        <w:t>. As can be seen from this table, WIC households are particularly r</w:t>
      </w:r>
      <w:r>
        <w:rPr>
          <w:lang w:val="en"/>
        </w:rPr>
        <w:t xml:space="preserve">are, with a prevalence rate of </w:t>
      </w:r>
      <w:r w:rsidR="00C923BA">
        <w:rPr>
          <w:lang w:val="en"/>
        </w:rPr>
        <w:t>two</w:t>
      </w:r>
      <w:r w:rsidRPr="00DA393E" w:rsidR="00C923BA">
        <w:rPr>
          <w:lang w:val="en"/>
        </w:rPr>
        <w:t xml:space="preserve"> </w:t>
      </w:r>
      <w:r w:rsidRPr="00DA393E">
        <w:rPr>
          <w:lang w:val="en"/>
        </w:rPr>
        <w:t xml:space="preserve">percent. If one were to apply a simple screening exercise, </w:t>
      </w:r>
      <w:r w:rsidR="00C923BA">
        <w:rPr>
          <w:lang w:val="en"/>
        </w:rPr>
        <w:t>50</w:t>
      </w:r>
      <w:r w:rsidRPr="00DA393E" w:rsidR="00C923BA">
        <w:rPr>
          <w:lang w:val="en"/>
        </w:rPr>
        <w:t xml:space="preserve"> </w:t>
      </w:r>
      <w:r w:rsidRPr="00DA393E">
        <w:rPr>
          <w:lang w:val="en"/>
        </w:rPr>
        <w:t xml:space="preserve">households would need to be screened to identify one WIC household. Much less screening would be needed to identify a SNAP household and a low-income household, but still the screening task is sizable. </w:t>
      </w:r>
    </w:p>
    <w:p w:rsidR="007F7DDA" w:rsidP="007664BC" w:rsidRDefault="007F7DDA" w14:paraId="125317BC" w14:textId="77777777">
      <w:pPr>
        <w:pStyle w:val="L1-FlLSp12"/>
        <w:rPr>
          <w:lang w:val="en"/>
        </w:rPr>
      </w:pPr>
    </w:p>
    <w:p w:rsidRPr="003260E6" w:rsidR="007664BC" w:rsidP="003260E6" w:rsidRDefault="008E2CBB" w14:paraId="56C27DCB" w14:textId="41355ED5">
      <w:pPr>
        <w:pStyle w:val="TT-TableTitle"/>
        <w:rPr>
          <w:rFonts w:ascii="Garamond" w:hAnsi="Garamond"/>
          <w:b/>
          <w:bCs/>
          <w:lang w:val="en"/>
        </w:rPr>
      </w:pPr>
      <w:bookmarkStart w:name="_Toc513794208" w:id="69"/>
      <w:bookmarkStart w:name="_Toc93489541" w:id="70"/>
      <w:r w:rsidRPr="003260E6">
        <w:rPr>
          <w:rFonts w:ascii="Garamond" w:hAnsi="Garamond"/>
          <w:b/>
          <w:bCs/>
          <w:lang w:val="en"/>
        </w:rPr>
        <w:t>Table B.</w:t>
      </w:r>
      <w:r w:rsidRPr="003260E6" w:rsidR="00DA47CF">
        <w:rPr>
          <w:rFonts w:ascii="Garamond" w:hAnsi="Garamond"/>
          <w:b/>
          <w:bCs/>
          <w:lang w:val="en"/>
        </w:rPr>
        <w:t>4</w:t>
      </w:r>
      <w:r w:rsidRPr="003260E6" w:rsidR="007664BC">
        <w:rPr>
          <w:rFonts w:ascii="Garamond" w:hAnsi="Garamond"/>
          <w:b/>
          <w:bCs/>
          <w:lang w:val="en"/>
        </w:rPr>
        <w:t xml:space="preserve">. </w:t>
      </w:r>
      <w:r w:rsidRPr="003260E6" w:rsidR="007664BC">
        <w:rPr>
          <w:rFonts w:ascii="Garamond" w:hAnsi="Garamond"/>
          <w:b/>
          <w:bCs/>
          <w:lang w:val="en"/>
        </w:rPr>
        <w:tab/>
        <w:t>Screener Sample Size per Case for a Simple Screening Exercise</w:t>
      </w:r>
      <w:bookmarkEnd w:id="69"/>
      <w:bookmarkEnd w:id="70"/>
    </w:p>
    <w:p w:rsidRPr="00DA393E" w:rsidR="007F7DDA" w:rsidP="007F7DDA" w:rsidRDefault="007F7DDA" w14:paraId="430A9998" w14:textId="77777777">
      <w:pPr>
        <w:pStyle w:val="TT-TableTitle"/>
        <w:rPr>
          <w:lang w:val="en"/>
        </w:rPr>
      </w:pPr>
    </w:p>
    <w:tbl>
      <w:tblPr>
        <w:tblW w:w="9350" w:type="dxa"/>
        <w:tblBorders>
          <w:top w:val="single" w:color="auto" w:sz="4" w:space="0"/>
          <w:bottom w:val="single" w:color="auto" w:sz="4" w:space="0"/>
          <w:insideH w:val="single" w:color="auto" w:sz="4" w:space="0"/>
        </w:tblBorders>
        <w:tblLook w:val="04A0" w:firstRow="1" w:lastRow="0" w:firstColumn="1" w:lastColumn="0" w:noHBand="0" w:noVBand="1"/>
      </w:tblPr>
      <w:tblGrid>
        <w:gridCol w:w="6055"/>
        <w:gridCol w:w="1353"/>
        <w:gridCol w:w="1942"/>
      </w:tblGrid>
      <w:tr w:rsidRPr="00DA393E" w:rsidR="007664BC" w:rsidTr="00E42E44" w14:paraId="3E224BE7" w14:textId="77777777">
        <w:tc>
          <w:tcPr>
            <w:tcW w:w="0" w:type="auto"/>
            <w:shd w:val="clear" w:color="auto" w:fill="B8CCE4" w:themeFill="accent1" w:themeFillTint="66"/>
            <w:vAlign w:val="bottom"/>
          </w:tcPr>
          <w:p w:rsidRPr="00DA393E" w:rsidR="007664BC" w:rsidP="007F7DDA" w:rsidRDefault="007664BC" w14:paraId="7E60B15B" w14:textId="77777777">
            <w:pPr>
              <w:pStyle w:val="TH-TableHeading"/>
            </w:pPr>
            <w:r w:rsidRPr="00DA393E">
              <w:t>Analytic Domain</w:t>
            </w:r>
          </w:p>
        </w:tc>
        <w:tc>
          <w:tcPr>
            <w:tcW w:w="0" w:type="auto"/>
            <w:shd w:val="clear" w:color="auto" w:fill="B8CCE4" w:themeFill="accent1" w:themeFillTint="66"/>
            <w:vAlign w:val="bottom"/>
          </w:tcPr>
          <w:p w:rsidRPr="00DA393E" w:rsidR="007664BC" w:rsidP="007F7DDA" w:rsidRDefault="007664BC" w14:paraId="5E80DD61" w14:textId="7420EF07">
            <w:pPr>
              <w:pStyle w:val="TH-TableHeading"/>
            </w:pPr>
            <w:r w:rsidRPr="00DA393E">
              <w:t>Prevalence rate</w:t>
            </w:r>
          </w:p>
        </w:tc>
        <w:tc>
          <w:tcPr>
            <w:tcW w:w="0" w:type="auto"/>
            <w:shd w:val="clear" w:color="auto" w:fill="B8CCE4" w:themeFill="accent1" w:themeFillTint="66"/>
            <w:vAlign w:val="bottom"/>
          </w:tcPr>
          <w:p w:rsidRPr="00DA393E" w:rsidR="007664BC" w:rsidP="007F7DDA" w:rsidRDefault="007664BC" w14:paraId="10B9ACAE" w14:textId="77777777">
            <w:pPr>
              <w:pStyle w:val="TH-TableHeading"/>
            </w:pPr>
            <w:r w:rsidRPr="00DA393E">
              <w:t>Screening sample size per case</w:t>
            </w:r>
          </w:p>
        </w:tc>
      </w:tr>
      <w:tr w:rsidRPr="00DA393E" w:rsidR="007664BC" w:rsidTr="00854708" w14:paraId="00690AC7" w14:textId="77777777">
        <w:trPr>
          <w:trHeight w:val="288"/>
        </w:trPr>
        <w:tc>
          <w:tcPr>
            <w:tcW w:w="0" w:type="auto"/>
            <w:vAlign w:val="center"/>
          </w:tcPr>
          <w:p w:rsidRPr="00DA393E" w:rsidR="007664BC" w:rsidP="007F7DDA" w:rsidRDefault="007664BC" w14:paraId="44C6BBB4" w14:textId="77777777">
            <w:pPr>
              <w:pStyle w:val="TX-TableText"/>
            </w:pPr>
            <w:r w:rsidRPr="00DA393E">
              <w:t>1. SNAP households</w:t>
            </w:r>
          </w:p>
        </w:tc>
        <w:tc>
          <w:tcPr>
            <w:tcW w:w="0" w:type="auto"/>
            <w:vAlign w:val="center"/>
          </w:tcPr>
          <w:p w:rsidRPr="00DA393E" w:rsidR="007664BC" w:rsidP="00854708" w:rsidRDefault="00E03D7D" w14:paraId="171BB99E" w14:textId="0C5406A8">
            <w:pPr>
              <w:pStyle w:val="TX-TableText"/>
              <w:jc w:val="center"/>
            </w:pPr>
            <w:r>
              <w:t>9</w:t>
            </w:r>
            <w:r w:rsidRPr="00DA393E" w:rsidR="007664BC">
              <w:t>%</w:t>
            </w:r>
          </w:p>
        </w:tc>
        <w:tc>
          <w:tcPr>
            <w:tcW w:w="0" w:type="auto"/>
          </w:tcPr>
          <w:p w:rsidRPr="00DA393E" w:rsidR="007664BC" w:rsidP="00C23DF3" w:rsidRDefault="00E03D7D" w14:paraId="1DAC91FB" w14:textId="66DE38D0">
            <w:pPr>
              <w:pStyle w:val="TX-TableText"/>
              <w:jc w:val="center"/>
            </w:pPr>
            <w:r>
              <w:t>11</w:t>
            </w:r>
          </w:p>
        </w:tc>
      </w:tr>
      <w:tr w:rsidRPr="00DA393E" w:rsidR="007664BC" w:rsidTr="00854708" w14:paraId="1FD5856B" w14:textId="77777777">
        <w:trPr>
          <w:trHeight w:val="288"/>
        </w:trPr>
        <w:tc>
          <w:tcPr>
            <w:tcW w:w="0" w:type="auto"/>
            <w:vAlign w:val="center"/>
          </w:tcPr>
          <w:p w:rsidRPr="00DA393E" w:rsidR="007664BC" w:rsidP="007F7DDA" w:rsidRDefault="007664BC" w14:paraId="58CF176F" w14:textId="77777777">
            <w:pPr>
              <w:pStyle w:val="TX-TableText"/>
            </w:pPr>
            <w:r w:rsidRPr="00DA393E">
              <w:t>2</w:t>
            </w:r>
            <w:r>
              <w:t xml:space="preserve">. </w:t>
            </w:r>
            <w:r w:rsidRPr="00DA393E">
              <w:t>WIC households</w:t>
            </w:r>
          </w:p>
        </w:tc>
        <w:tc>
          <w:tcPr>
            <w:tcW w:w="0" w:type="auto"/>
            <w:vAlign w:val="center"/>
          </w:tcPr>
          <w:p w:rsidRPr="00DA393E" w:rsidR="007664BC" w:rsidP="00E03D7D" w:rsidRDefault="00E03D7D" w14:paraId="1BC2DE6F" w14:textId="07EB09C1">
            <w:pPr>
              <w:pStyle w:val="TX-TableText"/>
              <w:jc w:val="center"/>
            </w:pPr>
            <w:r>
              <w:t>2</w:t>
            </w:r>
            <w:r w:rsidRPr="00DA393E" w:rsidR="007664BC">
              <w:t>%</w:t>
            </w:r>
          </w:p>
        </w:tc>
        <w:tc>
          <w:tcPr>
            <w:tcW w:w="0" w:type="auto"/>
          </w:tcPr>
          <w:p w:rsidRPr="00DA393E" w:rsidR="007664BC" w:rsidP="00C23DF3" w:rsidRDefault="00E03D7D" w14:paraId="1DDC19C6" w14:textId="27C3B78B">
            <w:pPr>
              <w:pStyle w:val="TX-TableText"/>
              <w:jc w:val="center"/>
            </w:pPr>
            <w:r>
              <w:t>50</w:t>
            </w:r>
          </w:p>
        </w:tc>
      </w:tr>
      <w:tr w:rsidRPr="00DA393E" w:rsidR="007664BC" w:rsidTr="00854708" w14:paraId="610D285D" w14:textId="77777777">
        <w:trPr>
          <w:trHeight w:val="288"/>
        </w:trPr>
        <w:tc>
          <w:tcPr>
            <w:tcW w:w="0" w:type="auto"/>
            <w:vAlign w:val="center"/>
          </w:tcPr>
          <w:p w:rsidRPr="00DA393E" w:rsidR="007664BC" w:rsidP="007F7DDA" w:rsidRDefault="007664BC" w14:paraId="5D6C0E18" w14:textId="77777777">
            <w:pPr>
              <w:pStyle w:val="TX-TableText"/>
            </w:pPr>
            <w:r w:rsidRPr="00DA393E">
              <w:t>3</w:t>
            </w:r>
            <w:r>
              <w:t xml:space="preserve">. </w:t>
            </w:r>
            <w:r w:rsidRPr="00DA393E">
              <w:t>Households with income-to-poverty ratios at or below 130 percent of the poverty guideline that do not participate in SNAP or WIC</w:t>
            </w:r>
          </w:p>
        </w:tc>
        <w:tc>
          <w:tcPr>
            <w:tcW w:w="0" w:type="auto"/>
            <w:vAlign w:val="center"/>
          </w:tcPr>
          <w:p w:rsidRPr="00DA393E" w:rsidR="007664BC" w:rsidP="00854708" w:rsidRDefault="007664BC" w14:paraId="15659FB7" w14:textId="77777777">
            <w:pPr>
              <w:pStyle w:val="TX-TableText"/>
              <w:jc w:val="center"/>
            </w:pPr>
            <w:r w:rsidRPr="00DA393E">
              <w:t>10%</w:t>
            </w:r>
          </w:p>
        </w:tc>
        <w:tc>
          <w:tcPr>
            <w:tcW w:w="0" w:type="auto"/>
            <w:vAlign w:val="center"/>
          </w:tcPr>
          <w:p w:rsidRPr="00DA393E" w:rsidR="007664BC" w:rsidP="00854708" w:rsidRDefault="007664BC" w14:paraId="76ACDFA8" w14:textId="77777777">
            <w:pPr>
              <w:pStyle w:val="TX-TableText"/>
              <w:jc w:val="center"/>
            </w:pPr>
            <w:r w:rsidRPr="00DA393E">
              <w:t>10</w:t>
            </w:r>
          </w:p>
        </w:tc>
      </w:tr>
      <w:tr w:rsidRPr="00DA393E" w:rsidR="007664BC" w:rsidTr="00854708" w14:paraId="3EA11E58" w14:textId="77777777">
        <w:trPr>
          <w:trHeight w:val="288"/>
        </w:trPr>
        <w:tc>
          <w:tcPr>
            <w:tcW w:w="0" w:type="auto"/>
            <w:vAlign w:val="center"/>
          </w:tcPr>
          <w:p w:rsidRPr="00DA393E" w:rsidR="007664BC" w:rsidP="007F7DDA" w:rsidRDefault="007664BC" w14:paraId="50D26D32" w14:textId="77777777">
            <w:pPr>
              <w:pStyle w:val="TX-TableText"/>
            </w:pPr>
            <w:r w:rsidRPr="00DA393E">
              <w:t>4</w:t>
            </w:r>
            <w:r>
              <w:t xml:space="preserve">. </w:t>
            </w:r>
            <w:r w:rsidRPr="00DA393E">
              <w:t>Households with income-to-poverty ratios above 130 percent that do not participate in SNAP or WIC</w:t>
            </w:r>
          </w:p>
        </w:tc>
        <w:tc>
          <w:tcPr>
            <w:tcW w:w="0" w:type="auto"/>
            <w:vAlign w:val="center"/>
          </w:tcPr>
          <w:p w:rsidRPr="00DA393E" w:rsidR="007664BC" w:rsidP="00854708" w:rsidRDefault="007664BC" w14:paraId="33B40935" w14:textId="775B6772">
            <w:pPr>
              <w:pStyle w:val="TX-TableText"/>
              <w:jc w:val="center"/>
            </w:pPr>
            <w:r w:rsidRPr="00DA393E">
              <w:t>7</w:t>
            </w:r>
            <w:r w:rsidR="00E03D7D">
              <w:t>9</w:t>
            </w:r>
            <w:r w:rsidRPr="00DA393E">
              <w:t>%</w:t>
            </w:r>
          </w:p>
        </w:tc>
        <w:tc>
          <w:tcPr>
            <w:tcW w:w="0" w:type="auto"/>
            <w:vAlign w:val="center"/>
          </w:tcPr>
          <w:p w:rsidRPr="00DA393E" w:rsidR="007664BC" w:rsidP="00854708" w:rsidRDefault="007664BC" w14:paraId="1CD1FB44" w14:textId="77777777">
            <w:pPr>
              <w:pStyle w:val="TX-TableText"/>
              <w:jc w:val="center"/>
            </w:pPr>
            <w:r>
              <w:t>1.3</w:t>
            </w:r>
          </w:p>
        </w:tc>
      </w:tr>
    </w:tbl>
    <w:p w:rsidRPr="00F50077" w:rsidR="007664BC" w:rsidP="007F7DDA" w:rsidRDefault="007664BC" w14:paraId="4615EA1D" w14:textId="308F3B8E">
      <w:pPr>
        <w:pStyle w:val="TF-TblFN"/>
        <w:rPr>
          <w:lang w:val="en"/>
        </w:rPr>
      </w:pPr>
      <w:r w:rsidRPr="00F50077">
        <w:rPr>
          <w:lang w:val="en"/>
        </w:rPr>
        <w:t xml:space="preserve">Note: </w:t>
      </w:r>
      <w:r w:rsidRPr="00E03D7D">
        <w:rPr>
          <w:lang w:val="en"/>
        </w:rPr>
        <w:t xml:space="preserve">Population percentages were estimated from </w:t>
      </w:r>
      <w:r w:rsidRPr="00B527B9">
        <w:t xml:space="preserve">the </w:t>
      </w:r>
      <w:r w:rsidRPr="002D4B22">
        <w:t>201</w:t>
      </w:r>
      <w:r w:rsidRPr="002D4B22" w:rsidR="00E03D7D">
        <w:t>9</w:t>
      </w:r>
      <w:r w:rsidRPr="00F7367D">
        <w:t xml:space="preserve"> Current Population Survey</w:t>
      </w:r>
      <w:r w:rsidRPr="00B527B9">
        <w:t>.</w:t>
      </w:r>
    </w:p>
    <w:p w:rsidR="007664BC" w:rsidP="007664BC" w:rsidRDefault="007664BC" w14:paraId="51C333B3" w14:textId="77777777">
      <w:pPr>
        <w:pStyle w:val="L1-FlLSp12"/>
        <w:rPr>
          <w:lang w:val="en"/>
        </w:rPr>
      </w:pPr>
    </w:p>
    <w:p w:rsidRPr="00C409C4" w:rsidR="006C5CED" w:rsidP="006C5CED" w:rsidRDefault="007664BC" w14:paraId="65E5C097" w14:textId="75493BCD">
      <w:pPr>
        <w:pStyle w:val="L1-FlLSp12"/>
      </w:pPr>
      <w:r>
        <w:rPr>
          <w:lang w:val="en"/>
        </w:rPr>
        <w:t xml:space="preserve">A second challenge associated with these domains is the potential for misclassification. </w:t>
      </w:r>
      <w:r w:rsidRPr="00144DFF">
        <w:rPr>
          <w:lang w:val="en"/>
        </w:rPr>
        <w:t xml:space="preserve">The degree of misclassification is a parameter that </w:t>
      </w:r>
      <w:r w:rsidRPr="00144DFF" w:rsidR="005F4523">
        <w:rPr>
          <w:lang w:val="en"/>
        </w:rPr>
        <w:t>a</w:t>
      </w:r>
      <w:r w:rsidRPr="00144DFF">
        <w:rPr>
          <w:lang w:val="en"/>
        </w:rPr>
        <w:t>ffects the effective sample size</w:t>
      </w:r>
      <w:r w:rsidRPr="00144DFF" w:rsidR="005F4523">
        <w:rPr>
          <w:lang w:val="en"/>
        </w:rPr>
        <w:t xml:space="preserve"> if sampling domains are sampled at different rates</w:t>
      </w:r>
      <w:r w:rsidRPr="00144DFF">
        <w:rPr>
          <w:lang w:val="en"/>
        </w:rPr>
        <w:t xml:space="preserve">. Misclassification occurs when a sampled household is classified at any stage of the sampling process into a sampling domain other than its final analytic domain. This can occur </w:t>
      </w:r>
      <w:r w:rsidRPr="00144DFF" w:rsidR="004E6E9A">
        <w:rPr>
          <w:lang w:val="en"/>
        </w:rPr>
        <w:t>because of</w:t>
      </w:r>
      <w:r w:rsidRPr="00144DFF">
        <w:rPr>
          <w:lang w:val="en"/>
        </w:rPr>
        <w:t xml:space="preserve"> out-of-date administrative information or inaccurate self-identification. </w:t>
      </w:r>
      <w:r w:rsidRPr="00144DFF" w:rsidR="005C624B">
        <w:t>T</w:t>
      </w:r>
      <w:r w:rsidRPr="00144DFF" w:rsidR="006C5CED">
        <w:t>he</w:t>
      </w:r>
      <w:r w:rsidRPr="00C409C4" w:rsidR="006C5CED">
        <w:t xml:space="preserve"> planned procedures for the </w:t>
      </w:r>
      <w:r w:rsidR="005C624B">
        <w:t>Field Test</w:t>
      </w:r>
      <w:r w:rsidRPr="00D109AB" w:rsidR="00D109AB">
        <w:t xml:space="preserve"> </w:t>
      </w:r>
      <w:r w:rsidR="00D109AB">
        <w:t xml:space="preserve">are designed to </w:t>
      </w:r>
      <w:r w:rsidRPr="007D298E" w:rsidR="00D109AB">
        <w:t>address the challenges discussed above</w:t>
      </w:r>
      <w:r w:rsidR="00F00915">
        <w:t>. The multi-stage sample consists of a sample of</w:t>
      </w:r>
      <w:r w:rsidRPr="00C409C4" w:rsidR="006C5CED">
        <w:t xml:space="preserve"> PSUs, </w:t>
      </w:r>
      <w:r w:rsidR="00F00915">
        <w:t xml:space="preserve">a sample of </w:t>
      </w:r>
      <w:r w:rsidRPr="00C409C4" w:rsidR="006C5CED">
        <w:t xml:space="preserve">SSUs within those PSUs, and then </w:t>
      </w:r>
      <w:r w:rsidR="00F00915">
        <w:t xml:space="preserve">a sample of </w:t>
      </w:r>
      <w:r w:rsidRPr="00C409C4" w:rsidR="006C5CED">
        <w:t xml:space="preserve">dwelling units within the </w:t>
      </w:r>
      <w:r w:rsidR="00D109AB">
        <w:t>S</w:t>
      </w:r>
      <w:r w:rsidRPr="00C409C4" w:rsidR="006C5CED">
        <w:t>SUs. As mentioned in Section B.1, to reduce cost</w:t>
      </w:r>
      <w:r w:rsidR="00B5643B">
        <w:t xml:space="preserve"> and</w:t>
      </w:r>
      <w:r w:rsidR="00F00915">
        <w:t xml:space="preserve"> save time</w:t>
      </w:r>
      <w:r w:rsidRPr="00C409C4" w:rsidR="006C5CED">
        <w:t>, we will select the sample of dwelling units in the same PSUs and SSUs as</w:t>
      </w:r>
      <w:r w:rsidR="005C624B">
        <w:t xml:space="preserve"> used</w:t>
      </w:r>
      <w:r w:rsidRPr="00C409C4" w:rsidR="006C5CED">
        <w:t xml:space="preserve"> in the </w:t>
      </w:r>
      <w:r w:rsidR="00895593">
        <w:t>NFS</w:t>
      </w:r>
      <w:r w:rsidRPr="00C409C4" w:rsidR="00895593">
        <w:t xml:space="preserve"> </w:t>
      </w:r>
      <w:r w:rsidRPr="00C409C4" w:rsidR="006C5CED">
        <w:t>Pilot, and use the same frame and stratification of</w:t>
      </w:r>
      <w:r w:rsidR="00D109AB">
        <w:t xml:space="preserve"> dwelling units</w:t>
      </w:r>
      <w:r w:rsidRPr="00C409C4" w:rsidR="006C5CED">
        <w:t xml:space="preserve"> </w:t>
      </w:r>
      <w:r w:rsidR="00D109AB">
        <w:t>(</w:t>
      </w:r>
      <w:r w:rsidRPr="00C409C4" w:rsidR="006C5CED">
        <w:t>DUs</w:t>
      </w:r>
      <w:r w:rsidR="00D109AB">
        <w:t>)</w:t>
      </w:r>
      <w:r w:rsidRPr="00C409C4" w:rsidR="006C5CED">
        <w:t xml:space="preserve">. </w:t>
      </w:r>
      <w:r w:rsidR="00F00915">
        <w:t xml:space="preserve">Much of the background on the </w:t>
      </w:r>
      <w:r w:rsidR="00895593">
        <w:t xml:space="preserve">NFS </w:t>
      </w:r>
      <w:r w:rsidR="00791CEF">
        <w:t xml:space="preserve">Pilot sample </w:t>
      </w:r>
      <w:r w:rsidR="00F00915">
        <w:t>was provided in Section B.1</w:t>
      </w:r>
      <w:r w:rsidR="00791CEF">
        <w:t xml:space="preserve">. </w:t>
      </w:r>
    </w:p>
    <w:p w:rsidRPr="00C409C4" w:rsidR="006C5CED" w:rsidP="006C5CED" w:rsidRDefault="006C5CED" w14:paraId="3532B602" w14:textId="77777777">
      <w:pPr>
        <w:pStyle w:val="L1-FlLSp12"/>
      </w:pPr>
    </w:p>
    <w:p w:rsidRPr="00C409C4" w:rsidR="006C5CED" w:rsidP="006C5CED" w:rsidRDefault="00EB67B2" w14:paraId="7818BA4F" w14:textId="6BFDCEB3">
      <w:pPr>
        <w:pStyle w:val="L1-FlLSp12"/>
      </w:pPr>
      <w:r w:rsidRPr="00C409C4">
        <w:t xml:space="preserve">As in the </w:t>
      </w:r>
      <w:r w:rsidR="00895593">
        <w:t>NFS</w:t>
      </w:r>
      <w:r w:rsidRPr="00C409C4" w:rsidR="00895593">
        <w:t xml:space="preserve"> </w:t>
      </w:r>
      <w:r w:rsidRPr="00C409C4">
        <w:t xml:space="preserve">Pilot, we will apply systematic sampling, with households </w:t>
      </w:r>
      <w:r>
        <w:t xml:space="preserve">on the SNAP address list </w:t>
      </w:r>
      <w:r w:rsidRPr="00C409C4">
        <w:t xml:space="preserve">sampled at a higher rate. </w:t>
      </w:r>
      <w:r>
        <w:t>For the households not on the SNAP address list, w</w:t>
      </w:r>
      <w:r w:rsidRPr="00C409C4" w:rsidDel="00B70848" w:rsidR="006C5CED">
        <w:t xml:space="preserve">e will draw an initial sample </w:t>
      </w:r>
      <w:r w:rsidRPr="00C409C4" w:rsidR="006C5CED">
        <w:t xml:space="preserve">and </w:t>
      </w:r>
      <w:r w:rsidRPr="00C409C4" w:rsidDel="00B70848" w:rsidR="006C5CED">
        <w:t>send sampled households a mail screener asking their income level</w:t>
      </w:r>
      <w:r w:rsidR="00255348">
        <w:t>, current WIC participation status,</w:t>
      </w:r>
      <w:r w:rsidR="0021580C">
        <w:t xml:space="preserve"> and current SNAP status</w:t>
      </w:r>
      <w:r w:rsidRPr="00C409C4" w:rsidDel="00B70848" w:rsidR="006C5CED">
        <w:t>.</w:t>
      </w:r>
      <w:r w:rsidR="00E316CB">
        <w:t xml:space="preserve"> </w:t>
      </w:r>
      <w:r>
        <w:t>The mail screener will help to efficiently classify cases prior to in-person visits. For example, any household selected from the non</w:t>
      </w:r>
      <w:r w:rsidR="00F06670">
        <w:t>-</w:t>
      </w:r>
      <w:r>
        <w:t xml:space="preserve">SNAP household list that responds as a SNAP participant will be kept in the sample for in-person screening. A subsample of </w:t>
      </w:r>
      <w:r w:rsidR="004E6E9A">
        <w:t>high-income</w:t>
      </w:r>
      <w:r>
        <w:t xml:space="preserve"> households will occur prior to the in-person screener being conducted. </w:t>
      </w:r>
      <w:r w:rsidRPr="00C409C4" w:rsidR="006C5CED">
        <w:t xml:space="preserve">This process also will avoid overlap between the </w:t>
      </w:r>
      <w:r w:rsidR="00895593">
        <w:t>NFS</w:t>
      </w:r>
      <w:r w:rsidRPr="00C409C4" w:rsidR="00895593">
        <w:t xml:space="preserve"> </w:t>
      </w:r>
      <w:r w:rsidRPr="00C409C4" w:rsidR="006C5CED">
        <w:t>Pilot and Field Test samples</w:t>
      </w:r>
      <w:r w:rsidR="005C624B">
        <w:t xml:space="preserve"> by removing the </w:t>
      </w:r>
      <w:r w:rsidR="00895593">
        <w:t xml:space="preserve">NFS </w:t>
      </w:r>
      <w:r w:rsidR="005C624B">
        <w:t>sample from the selection process</w:t>
      </w:r>
      <w:r w:rsidRPr="00C409C4" w:rsidR="006C5CED">
        <w:t>.</w:t>
      </w:r>
      <w:r w:rsidR="005C624B">
        <w:t xml:space="preserve"> </w:t>
      </w:r>
      <w:r w:rsidR="00E342F2">
        <w:t>Sampling weights will be calibrated to the original number of addresses</w:t>
      </w:r>
      <w:r w:rsidR="00B62CC4">
        <w:t xml:space="preserve"> in 2016 </w:t>
      </w:r>
      <w:r w:rsidR="00E342F2">
        <w:t xml:space="preserve">in the </w:t>
      </w:r>
      <w:r w:rsidR="00895593">
        <w:t xml:space="preserve">NFS </w:t>
      </w:r>
      <w:r w:rsidR="00E342F2">
        <w:t>areas</w:t>
      </w:r>
      <w:r w:rsidRPr="00144DFF" w:rsidR="00E342F2">
        <w:t>. The calibration adjustment is expected to be small due to the low sampling rates</w:t>
      </w:r>
      <w:r w:rsidRPr="00144DFF" w:rsidR="004F6263">
        <w:t>.</w:t>
      </w:r>
      <w:r w:rsidRPr="00144DFF" w:rsidR="00DE401F">
        <w:t xml:space="preserve"> That is, the impact on estimates due to removing </w:t>
      </w:r>
      <w:r w:rsidRPr="00144DFF" w:rsidR="00895593">
        <w:t xml:space="preserve">NFS </w:t>
      </w:r>
      <w:r w:rsidRPr="00144DFF" w:rsidR="00DE401F">
        <w:t>cases prior to sampl</w:t>
      </w:r>
      <w:r w:rsidRPr="00144DFF" w:rsidR="00E17E06">
        <w:t>ing</w:t>
      </w:r>
      <w:r w:rsidRPr="00144DFF" w:rsidR="00DE401F">
        <w:t xml:space="preserve"> is expected to be minimal</w:t>
      </w:r>
      <w:r w:rsidRPr="00144DFF" w:rsidR="00B64E0B">
        <w:t>,</w:t>
      </w:r>
      <w:r w:rsidRPr="00144DFF" w:rsidR="00DE401F">
        <w:t xml:space="preserve"> because t</w:t>
      </w:r>
      <w:r w:rsidRPr="00144DFF" w:rsidR="006C5CED">
        <w:t xml:space="preserve">he </w:t>
      </w:r>
      <w:r w:rsidRPr="00144DFF" w:rsidR="00895593">
        <w:t xml:space="preserve">NFS </w:t>
      </w:r>
      <w:r w:rsidRPr="00144DFF" w:rsidR="006C5CED">
        <w:t xml:space="preserve">sampling frame contains </w:t>
      </w:r>
      <w:r w:rsidRPr="00144DFF" w:rsidR="00847B9B">
        <w:rPr>
          <w:lang w:val="en"/>
        </w:rPr>
        <w:t xml:space="preserve">91,953 </w:t>
      </w:r>
      <w:r w:rsidRPr="00144DFF" w:rsidR="006C5CED">
        <w:t>dwelling units, and the sampling rates across the strata (defined by SNAP/non</w:t>
      </w:r>
      <w:r w:rsidRPr="00144DFF" w:rsidR="00E71611">
        <w:t>-</w:t>
      </w:r>
      <w:r w:rsidRPr="00144DFF" w:rsidR="006C5CED">
        <w:t xml:space="preserve">SNAP within each SSU) </w:t>
      </w:r>
      <w:r w:rsidRPr="00144DFF" w:rsidR="00DE401F">
        <w:t xml:space="preserve">were very low, </w:t>
      </w:r>
      <w:r w:rsidRPr="00144DFF" w:rsidR="006C5CED">
        <w:t>rang</w:t>
      </w:r>
      <w:r w:rsidRPr="00144DFF" w:rsidR="00DE401F">
        <w:t>ing</w:t>
      </w:r>
      <w:r w:rsidRPr="00144DFF" w:rsidR="006C5CED">
        <w:t xml:space="preserve"> from 0.008 to 0.213 with a median of 0.022.</w:t>
      </w:r>
      <w:r w:rsidR="00E342F2">
        <w:t xml:space="preserve"> </w:t>
      </w:r>
    </w:p>
    <w:p w:rsidRPr="00C409C4" w:rsidR="006C5CED" w:rsidP="006C5CED" w:rsidRDefault="006C5CED" w14:paraId="67B07351" w14:textId="77777777">
      <w:pPr>
        <w:pStyle w:val="L1-FlLSp12"/>
      </w:pPr>
    </w:p>
    <w:p w:rsidR="00E316CB" w:rsidP="00E316CB" w:rsidRDefault="00E316CB" w14:paraId="5FE71B2A" w14:textId="32C3453A">
      <w:pPr>
        <w:pStyle w:val="L1-FlLSp12"/>
      </w:pPr>
      <w:r>
        <w:t>The sample screening flow for the Field Test</w:t>
      </w:r>
      <w:r w:rsidR="00E342F2">
        <w:t xml:space="preserve"> is</w:t>
      </w:r>
      <w:r>
        <w:t xml:space="preserve"> shown in Figure B.</w:t>
      </w:r>
      <w:r w:rsidR="002E64CB">
        <w:t>2</w:t>
      </w:r>
      <w:r>
        <w:t xml:space="preserve">. </w:t>
      </w:r>
      <w:r w:rsidRPr="00C409C4" w:rsidDel="00B70848">
        <w:t xml:space="preserve">The challenge </w:t>
      </w:r>
      <w:r w:rsidRPr="00C409C4">
        <w:t xml:space="preserve">in FoodAPS-1 and the </w:t>
      </w:r>
      <w:r w:rsidR="00895593">
        <w:t>NFS</w:t>
      </w:r>
      <w:r w:rsidRPr="00C409C4" w:rsidR="00895593">
        <w:t xml:space="preserve"> </w:t>
      </w:r>
      <w:r w:rsidRPr="00C409C4">
        <w:t xml:space="preserve">Pilot was </w:t>
      </w:r>
      <w:r w:rsidRPr="00C409C4" w:rsidDel="00B70848">
        <w:t xml:space="preserve">classifying the households into the correct income domain based on screener information alone. The resulting misclassification of the </w:t>
      </w:r>
      <w:r w:rsidRPr="00C409C4" w:rsidDel="00B70848" w:rsidR="004E6E9A">
        <w:t>low-income</w:t>
      </w:r>
      <w:r w:rsidRPr="00C409C4" w:rsidDel="00B70848">
        <w:t xml:space="preserve"> group heavily drives the sample size needed to achieve the target number of completes for this group and, thus, survey costs</w:t>
      </w:r>
      <w:r>
        <w:t xml:space="preserve">. </w:t>
      </w:r>
    </w:p>
    <w:p w:rsidR="00E52C3A" w:rsidP="00E52C3A" w:rsidRDefault="00E52C3A" w14:paraId="263E1640" w14:textId="77777777">
      <w:pPr>
        <w:pStyle w:val="L1-FlLSp12"/>
      </w:pPr>
    </w:p>
    <w:p w:rsidRPr="00D652C4" w:rsidR="00E52C3A" w:rsidP="0098239A" w:rsidRDefault="00E52C3A" w14:paraId="36E85790" w14:textId="6E63E4DF">
      <w:pPr>
        <w:pStyle w:val="TT-TableTitle"/>
        <w:rPr>
          <w:rFonts w:ascii="Garamond" w:hAnsi="Garamond"/>
          <w:b/>
          <w:bCs/>
          <w:lang w:val="en"/>
        </w:rPr>
      </w:pPr>
      <w:bookmarkStart w:name="_Toc513794209" w:id="71"/>
      <w:bookmarkStart w:name="_Toc513794450" w:id="72"/>
      <w:bookmarkStart w:name="_Toc74205166" w:id="73"/>
      <w:bookmarkStart w:name="_Toc74223356" w:id="74"/>
      <w:bookmarkStart w:name="_Toc74223856" w:id="75"/>
      <w:bookmarkStart w:name="_Toc74223939" w:id="76"/>
      <w:bookmarkStart w:name="_Toc74292064" w:id="77"/>
      <w:bookmarkStart w:name="_Toc93481592" w:id="78"/>
      <w:bookmarkStart w:name="_Toc93489542" w:id="79"/>
      <w:r w:rsidRPr="00D652C4">
        <w:rPr>
          <w:rFonts w:ascii="Garamond" w:hAnsi="Garamond"/>
          <w:b/>
          <w:bCs/>
          <w:lang w:val="en"/>
        </w:rPr>
        <w:t>Figure B.</w:t>
      </w:r>
      <w:r w:rsidR="002E64CB">
        <w:rPr>
          <w:rFonts w:ascii="Garamond" w:hAnsi="Garamond"/>
          <w:b/>
          <w:bCs/>
          <w:lang w:val="en"/>
        </w:rPr>
        <w:t>2</w:t>
      </w:r>
      <w:r w:rsidRPr="00D652C4">
        <w:rPr>
          <w:rFonts w:ascii="Garamond" w:hAnsi="Garamond"/>
          <w:b/>
          <w:bCs/>
          <w:lang w:val="en"/>
        </w:rPr>
        <w:t xml:space="preserve">. </w:t>
      </w:r>
      <w:r w:rsidRPr="00D652C4">
        <w:rPr>
          <w:rFonts w:ascii="Garamond" w:hAnsi="Garamond"/>
          <w:b/>
          <w:bCs/>
          <w:lang w:val="en"/>
        </w:rPr>
        <w:tab/>
        <w:t>Flow of Sample Design</w:t>
      </w:r>
      <w:bookmarkEnd w:id="71"/>
      <w:bookmarkEnd w:id="72"/>
      <w:bookmarkEnd w:id="73"/>
      <w:bookmarkEnd w:id="74"/>
      <w:bookmarkEnd w:id="75"/>
      <w:bookmarkEnd w:id="76"/>
      <w:bookmarkEnd w:id="77"/>
      <w:bookmarkEnd w:id="78"/>
      <w:bookmarkEnd w:id="79"/>
    </w:p>
    <w:p w:rsidRPr="00643A53" w:rsidR="0098239A" w:rsidP="0098239A" w:rsidRDefault="0098239A" w14:paraId="036AF0C4" w14:textId="77777777">
      <w:pPr>
        <w:pStyle w:val="TT-TableTitle"/>
        <w:rPr>
          <w:lang w:val="en"/>
        </w:rPr>
      </w:pPr>
    </w:p>
    <w:p w:rsidR="00E52C3A" w:rsidP="00E52C3A" w:rsidRDefault="00E52C3A" w14:paraId="0A73FFA4" w14:textId="54A75634">
      <w:r w:rsidRPr="004558E7">
        <w:rPr>
          <w:noProof/>
        </w:rPr>
        <w:t xml:space="preserve"> </w:t>
      </w:r>
      <w:r w:rsidRPr="00E342F2" w:rsidR="00E342F2">
        <w:rPr>
          <w:noProof/>
        </w:rPr>
        <w:t xml:space="preserve"> </w:t>
      </w:r>
      <w:r w:rsidR="00C923BA">
        <w:rPr>
          <w:noProof/>
        </w:rPr>
        <w:drawing>
          <wp:inline distT="0" distB="0" distL="0" distR="0" wp14:anchorId="32A2EC3F" wp14:editId="2F4E012F">
            <wp:extent cx="5404128" cy="3994355"/>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4128" cy="3994355"/>
                    </a:xfrm>
                    <a:prstGeom prst="rect">
                      <a:avLst/>
                    </a:prstGeom>
                  </pic:spPr>
                </pic:pic>
              </a:graphicData>
            </a:graphic>
          </wp:inline>
        </w:drawing>
      </w:r>
    </w:p>
    <w:p w:rsidR="0098239A" w:rsidP="00E316CB" w:rsidRDefault="0098239A" w14:paraId="1D3A7372" w14:textId="7F14F51F">
      <w:pPr>
        <w:pStyle w:val="L1-FlLSp12"/>
      </w:pPr>
    </w:p>
    <w:p w:rsidR="0098239A" w:rsidP="00E316CB" w:rsidRDefault="0098239A" w14:paraId="620CA437" w14:textId="77777777">
      <w:pPr>
        <w:pStyle w:val="L1-FlLSp12"/>
      </w:pPr>
    </w:p>
    <w:p w:rsidR="00A35F1A" w:rsidP="00E316CB" w:rsidRDefault="00E316CB" w14:paraId="3C07BB1E" w14:textId="757F5246">
      <w:pPr>
        <w:pStyle w:val="L1-FlLSp12"/>
        <w:rPr>
          <w:szCs w:val="24"/>
        </w:rPr>
      </w:pPr>
      <w:r>
        <w:t xml:space="preserve">For addresses that cannot be classified into a domain based on the administrative data, a mail screener will be used to screen the households. We will send a screener and an advance letter to the sampled addresses explaining the study. </w:t>
      </w:r>
      <w:r w:rsidR="00542100">
        <w:rPr>
          <w:szCs w:val="24"/>
        </w:rPr>
        <w:t>U</w:t>
      </w:r>
      <w:r>
        <w:rPr>
          <w:szCs w:val="24"/>
        </w:rPr>
        <w:t>s</w:t>
      </w:r>
      <w:r w:rsidR="00542100">
        <w:rPr>
          <w:szCs w:val="24"/>
        </w:rPr>
        <w:t>ing</w:t>
      </w:r>
      <w:r>
        <w:rPr>
          <w:szCs w:val="24"/>
        </w:rPr>
        <w:t xml:space="preserve"> the </w:t>
      </w:r>
      <w:r w:rsidR="00542100">
        <w:rPr>
          <w:szCs w:val="24"/>
        </w:rPr>
        <w:t xml:space="preserve">mail </w:t>
      </w:r>
      <w:r>
        <w:rPr>
          <w:szCs w:val="24"/>
        </w:rPr>
        <w:t>screener information</w:t>
      </w:r>
      <w:r w:rsidR="00542100">
        <w:rPr>
          <w:szCs w:val="24"/>
        </w:rPr>
        <w:t xml:space="preserve"> and frame data</w:t>
      </w:r>
      <w:r w:rsidR="00C34058">
        <w:rPr>
          <w:rStyle w:val="FootnoteReference"/>
          <w:szCs w:val="24"/>
        </w:rPr>
        <w:footnoteReference w:id="8"/>
      </w:r>
      <w:r>
        <w:rPr>
          <w:szCs w:val="24"/>
        </w:rPr>
        <w:t xml:space="preserve"> </w:t>
      </w:r>
      <w:r w:rsidR="00542100">
        <w:rPr>
          <w:szCs w:val="24"/>
        </w:rPr>
        <w:t xml:space="preserve">in an </w:t>
      </w:r>
      <w:r>
        <w:rPr>
          <w:szCs w:val="24"/>
        </w:rPr>
        <w:t>income prediction model</w:t>
      </w:r>
      <w:r w:rsidR="00542100">
        <w:rPr>
          <w:szCs w:val="24"/>
        </w:rPr>
        <w:t xml:space="preserve">, we will </w:t>
      </w:r>
      <w:r>
        <w:rPr>
          <w:szCs w:val="24"/>
        </w:rPr>
        <w:t>classify households into an income domain.</w:t>
      </w:r>
      <w:r w:rsidR="00F97F80">
        <w:rPr>
          <w:szCs w:val="24"/>
        </w:rPr>
        <w:t xml:space="preserve"> The</w:t>
      </w:r>
      <w:r w:rsidRPr="0030590D" w:rsidR="00F97F80">
        <w:rPr>
          <w:szCs w:val="24"/>
        </w:rPr>
        <w:t xml:space="preserve"> income prediction model</w:t>
      </w:r>
      <w:r w:rsidR="00F97F80">
        <w:rPr>
          <w:szCs w:val="24"/>
        </w:rPr>
        <w:t xml:space="preserve"> will</w:t>
      </w:r>
      <w:r w:rsidRPr="0030590D" w:rsidR="00F97F80">
        <w:rPr>
          <w:szCs w:val="24"/>
        </w:rPr>
        <w:t xml:space="preserve"> incorporate </w:t>
      </w:r>
      <w:r w:rsidR="001D4F04">
        <w:rPr>
          <w:szCs w:val="24"/>
        </w:rPr>
        <w:t xml:space="preserve">mail </w:t>
      </w:r>
      <w:r w:rsidRPr="0030590D" w:rsidR="00F97F80">
        <w:rPr>
          <w:szCs w:val="24"/>
        </w:rPr>
        <w:t>screener income domain along with other information about the household to predict the household's final income domain more accurately.</w:t>
      </w:r>
      <w:r w:rsidR="00F97F80">
        <w:rPr>
          <w:szCs w:val="24"/>
        </w:rPr>
        <w:t xml:space="preserve"> </w:t>
      </w:r>
      <w:r>
        <w:rPr>
          <w:szCs w:val="24"/>
        </w:rPr>
        <w:t xml:space="preserve"> </w:t>
      </w:r>
      <w:r w:rsidRPr="00EB4B25" w:rsidR="00EB4B25">
        <w:rPr>
          <w:szCs w:val="24"/>
        </w:rPr>
        <w:t xml:space="preserve">The estimation of the </w:t>
      </w:r>
      <w:r w:rsidR="00E97F08">
        <w:rPr>
          <w:szCs w:val="24"/>
        </w:rPr>
        <w:t xml:space="preserve">model </w:t>
      </w:r>
      <w:r w:rsidRPr="00EB4B25" w:rsidR="00EB4B25">
        <w:rPr>
          <w:szCs w:val="24"/>
        </w:rPr>
        <w:t xml:space="preserve">parameters from FoodAPS-1 will be validated using </w:t>
      </w:r>
      <w:r w:rsidR="00EB4B25">
        <w:rPr>
          <w:szCs w:val="24"/>
        </w:rPr>
        <w:t xml:space="preserve">NFS Pilot data. </w:t>
      </w:r>
      <w:r w:rsidRPr="0063763C" w:rsidR="00EB4B25">
        <w:rPr>
          <w:szCs w:val="24"/>
        </w:rPr>
        <w:t>That</w:t>
      </w:r>
      <w:r w:rsidR="00EB4B25">
        <w:rPr>
          <w:szCs w:val="24"/>
        </w:rPr>
        <w:t xml:space="preserve"> is, we plan to use the FoodAPS-1 data to predict data collected in the NFS Pilot data. </w:t>
      </w:r>
      <w:r w:rsidRPr="004A46B3" w:rsidR="00F97F80">
        <w:t>Before data collection begins, we will explore</w:t>
      </w:r>
      <w:r w:rsidR="00F97F80">
        <w:t xml:space="preserve"> data from FoodAPS-1 and the </w:t>
      </w:r>
      <w:r w:rsidR="002549EF">
        <w:t>NF</w:t>
      </w:r>
      <w:r w:rsidR="00F97F80">
        <w:t>S Pilot, including</w:t>
      </w:r>
      <w:r w:rsidRPr="004A46B3" w:rsidR="00F97F80">
        <w:t xml:space="preserve"> area-level characteristics, and relevant household characteristics collected by the screener</w:t>
      </w:r>
      <w:r w:rsidR="00F97F80">
        <w:t xml:space="preserve"> and</w:t>
      </w:r>
      <w:r w:rsidRPr="004A46B3" w:rsidR="00F97F80">
        <w:t xml:space="preserve"> initial interview to identify the strongest additional predictors of final income domain. </w:t>
      </w:r>
      <w:r w:rsidR="00EB4B25">
        <w:rPr>
          <w:szCs w:val="24"/>
        </w:rPr>
        <w:t xml:space="preserve">The same model and estimated parameters would be used to predict responses for </w:t>
      </w:r>
      <w:r w:rsidRPr="00EB4B25" w:rsidR="00EB4B25">
        <w:rPr>
          <w:szCs w:val="24"/>
        </w:rPr>
        <w:t xml:space="preserve">the Field Test. If </w:t>
      </w:r>
      <w:r w:rsidR="00A90A3E">
        <w:rPr>
          <w:szCs w:val="24"/>
        </w:rPr>
        <w:t xml:space="preserve">the same model structure is </w:t>
      </w:r>
      <w:r w:rsidRPr="00EB4B25" w:rsidR="00EB4B25">
        <w:rPr>
          <w:szCs w:val="24"/>
        </w:rPr>
        <w:t xml:space="preserve">used for the Full Survey, the parameters can be </w:t>
      </w:r>
      <w:r w:rsidR="00A90A3E">
        <w:rPr>
          <w:szCs w:val="24"/>
        </w:rPr>
        <w:t>re-estimated</w:t>
      </w:r>
      <w:r w:rsidRPr="00EB4B25" w:rsidR="00EB4B25">
        <w:rPr>
          <w:szCs w:val="24"/>
        </w:rPr>
        <w:t xml:space="preserve"> using the Field Test data</w:t>
      </w:r>
      <w:r w:rsidR="00EB4B25">
        <w:rPr>
          <w:szCs w:val="24"/>
        </w:rPr>
        <w:t>.</w:t>
      </w:r>
      <w:r w:rsidRPr="00EB4B25" w:rsidR="00EB4B25">
        <w:rPr>
          <w:szCs w:val="24"/>
        </w:rPr>
        <w:t xml:space="preserve"> </w:t>
      </w:r>
    </w:p>
    <w:p w:rsidR="00A35F1A" w:rsidP="00E316CB" w:rsidRDefault="00A35F1A" w14:paraId="646312D2" w14:textId="77777777">
      <w:pPr>
        <w:pStyle w:val="L1-FlLSp12"/>
        <w:rPr>
          <w:szCs w:val="24"/>
        </w:rPr>
      </w:pPr>
    </w:p>
    <w:p w:rsidR="00A35F1A" w:rsidP="00F97F80" w:rsidRDefault="00542100" w14:paraId="453F752B" w14:textId="38B53647">
      <w:pPr>
        <w:pStyle w:val="L1-FlLSp12"/>
      </w:pPr>
      <w:r>
        <w:t xml:space="preserve">The </w:t>
      </w:r>
      <w:r w:rsidRPr="00C409C4" w:rsidR="00E316CB">
        <w:t xml:space="preserve">income prediction model </w:t>
      </w:r>
      <w:r>
        <w:t xml:space="preserve">will aim </w:t>
      </w:r>
      <w:r w:rsidRPr="00C409C4" w:rsidR="00E316CB">
        <w:t xml:space="preserve">to reduce the misclassification and improve the efficiency of the sampling </w:t>
      </w:r>
      <w:r w:rsidRPr="00C409C4" w:rsidR="004E6E9A">
        <w:t>process before</w:t>
      </w:r>
      <w:r w:rsidRPr="00C409C4" w:rsidR="00E316CB">
        <w:t xml:space="preserve"> we send interviewers out to screen households in person. </w:t>
      </w:r>
      <w:r w:rsidR="00E316CB">
        <w:rPr>
          <w:szCs w:val="24"/>
        </w:rPr>
        <w:t xml:space="preserve">The motivation for the income prediction model is as follows. </w:t>
      </w:r>
      <w:r w:rsidRPr="0030590D" w:rsidR="00E316CB">
        <w:rPr>
          <w:szCs w:val="24"/>
        </w:rPr>
        <w:t xml:space="preserve">Both FoodAPS-1 and the </w:t>
      </w:r>
      <w:r w:rsidR="002549EF">
        <w:rPr>
          <w:szCs w:val="24"/>
        </w:rPr>
        <w:t>NF</w:t>
      </w:r>
      <w:r w:rsidR="004B65DA">
        <w:rPr>
          <w:szCs w:val="24"/>
        </w:rPr>
        <w:t>S</w:t>
      </w:r>
      <w:r w:rsidRPr="0030590D" w:rsidR="004B65DA">
        <w:rPr>
          <w:szCs w:val="24"/>
        </w:rPr>
        <w:t xml:space="preserve"> </w:t>
      </w:r>
      <w:r w:rsidRPr="0030590D" w:rsidR="00E316CB">
        <w:rPr>
          <w:szCs w:val="24"/>
        </w:rPr>
        <w:t xml:space="preserve">Pilot subsampled screened cases for the main study based on assigned screener income domain alone. However, while the existing screener is effective at identifying SNAP and WIC households, it is much less effective at separating out households by income domain; </w:t>
      </w:r>
      <w:r w:rsidRPr="00144DFF" w:rsidR="00E316CB">
        <w:rPr>
          <w:szCs w:val="24"/>
        </w:rPr>
        <w:t xml:space="preserve">only 36 to 46 percent of households that screened into a low-income domain in FoodAPS-1 or the </w:t>
      </w:r>
      <w:r w:rsidRPr="00144DFF" w:rsidR="002549EF">
        <w:rPr>
          <w:szCs w:val="24"/>
        </w:rPr>
        <w:t>NF</w:t>
      </w:r>
      <w:r w:rsidRPr="00144DFF" w:rsidR="004B65DA">
        <w:rPr>
          <w:szCs w:val="24"/>
        </w:rPr>
        <w:t xml:space="preserve">S </w:t>
      </w:r>
      <w:r w:rsidRPr="00144DFF" w:rsidR="00E316CB">
        <w:rPr>
          <w:szCs w:val="24"/>
        </w:rPr>
        <w:t xml:space="preserve">Pilot remained in that domain after the final interview. Improving this rate would mean that we are identifying low-income households more </w:t>
      </w:r>
      <w:r w:rsidRPr="00144DFF" w:rsidR="004E6E9A">
        <w:rPr>
          <w:szCs w:val="24"/>
        </w:rPr>
        <w:t>accurately and</w:t>
      </w:r>
      <w:r w:rsidRPr="00144DFF" w:rsidR="00E316CB">
        <w:rPr>
          <w:szCs w:val="24"/>
        </w:rPr>
        <w:t xml:space="preserve"> would reduce screening costs as well as reduce weight variation due to misclassification (and thus increase effective sample sizes). </w:t>
      </w:r>
      <w:r w:rsidRPr="00144DFF" w:rsidR="00A35F1A">
        <w:t>This model will allow us to generate timely and improved predictions of final income domain for each</w:t>
      </w:r>
      <w:r w:rsidR="00A35F1A">
        <w:t xml:space="preserve"> case while the survey is still in the field.</w:t>
      </w:r>
    </w:p>
    <w:p w:rsidR="00A35F1A" w:rsidP="00E316CB" w:rsidRDefault="00A35F1A" w14:paraId="41D0B493" w14:textId="77777777"/>
    <w:p w:rsidR="00E316CB" w:rsidP="00E316CB" w:rsidRDefault="00E316CB" w14:paraId="2CEC1F46" w14:textId="66FB5007">
      <w:pPr>
        <w:pStyle w:val="L1-FlLSp12"/>
      </w:pPr>
      <w:r>
        <w:t>D</w:t>
      </w:r>
      <w:r w:rsidRPr="00775BE4">
        <w:t xml:space="preserve">ue to their prevalence, it is likely more households with incomes above 130 percent of the poverty level will respond than </w:t>
      </w:r>
      <w:r w:rsidR="00542100">
        <w:t>are</w:t>
      </w:r>
      <w:r w:rsidRPr="00775BE4">
        <w:t xml:space="preserve"> needed. We will</w:t>
      </w:r>
      <w:r w:rsidR="00995B0A">
        <w:t xml:space="preserve"> </w:t>
      </w:r>
      <w:r w:rsidR="00BF3056">
        <w:t xml:space="preserve">subsample </w:t>
      </w:r>
      <w:r>
        <w:t>some of these households</w:t>
      </w:r>
      <w:r w:rsidRPr="00A1651C">
        <w:t>. To</w:t>
      </w:r>
      <w:r w:rsidR="00995B0A">
        <w:t xml:space="preserve"> </w:t>
      </w:r>
      <w:r w:rsidRPr="00A1651C" w:rsidR="00BF3056">
        <w:t>reduce</w:t>
      </w:r>
      <w:r w:rsidRPr="000B2E4C" w:rsidR="00BF3056">
        <w:t xml:space="preserve"> </w:t>
      </w:r>
      <w:r w:rsidRPr="000B2E4C">
        <w:t>bias</w:t>
      </w:r>
      <w:r w:rsidRPr="00A1651C" w:rsidR="00BF3056">
        <w:t xml:space="preserve"> due to nonresponse</w:t>
      </w:r>
      <w:r w:rsidRPr="000B2E4C">
        <w:t xml:space="preserve">, we will continue to include one-third of the households that do not respond to the </w:t>
      </w:r>
      <w:r w:rsidRPr="00A1651C">
        <w:t xml:space="preserve">mail </w:t>
      </w:r>
      <w:r w:rsidRPr="000B2E4C">
        <w:t>screener (income level remains unknown)</w:t>
      </w:r>
      <w:r w:rsidRPr="00A1651C">
        <w:t>.</w:t>
      </w:r>
      <w:r>
        <w:t xml:space="preserve"> </w:t>
      </w:r>
      <w:r w:rsidRPr="00C409C4">
        <w:t xml:space="preserve">The selected addresses will be administered an in-person screening interview to identify the sampling domain of both the SNAP and non-SNAP households. </w:t>
      </w:r>
      <w:r>
        <w:t>That is, those cases that screen-in via the mail screener</w:t>
      </w:r>
      <w:r w:rsidR="00BF3056">
        <w:t>, and the one-third of the households that do not respond to the mail screener,</w:t>
      </w:r>
      <w:r>
        <w:t xml:space="preserve"> will be assigned to a field interview</w:t>
      </w:r>
      <w:r w:rsidR="004614D3">
        <w:t>er</w:t>
      </w:r>
      <w:r>
        <w:t xml:space="preserve"> who will visit the address and conduct a second screener in-person that will ultimately determine the household’s eligibility status to participate in the study. </w:t>
      </w:r>
      <w:r w:rsidRPr="00C409C4">
        <w:t xml:space="preserve">Among the screener completes, all who report to be on SNAP will be retained for the initial interview. A random proportion of those who are classified as non-SNAP in the highest income category will be screened out </w:t>
      </w:r>
      <w:r w:rsidRPr="00C409C4" w:rsidR="004E6E9A">
        <w:t>to</w:t>
      </w:r>
      <w:r w:rsidRPr="00C409C4">
        <w:t xml:space="preserve"> reduce the number of </w:t>
      </w:r>
      <w:r w:rsidRPr="00C409C4" w:rsidR="004E6E9A">
        <w:t>high-income</w:t>
      </w:r>
      <w:r w:rsidRPr="00C409C4">
        <w:t xml:space="preserve"> participants in the sample. The remaining households will continue on with the survey.</w:t>
      </w:r>
      <w:r w:rsidR="00BF3056">
        <w:t xml:space="preserve"> </w:t>
      </w:r>
    </w:p>
    <w:p w:rsidR="00864BC9" w:rsidP="00864BC9" w:rsidRDefault="00864BC9" w14:paraId="783D9CAE" w14:textId="77777777">
      <w:pPr>
        <w:pStyle w:val="L1-FlLSp12"/>
      </w:pPr>
      <w:bookmarkStart w:name="_Toc409090902" w:id="80"/>
    </w:p>
    <w:p w:rsidR="00864BC9" w:rsidP="00864BC9" w:rsidRDefault="00864BC9" w14:paraId="6EB0C927" w14:textId="165A4409">
      <w:pPr>
        <w:pStyle w:val="L1-FlLSp12"/>
      </w:pPr>
      <w:r w:rsidRPr="00CB0BBE">
        <w:rPr>
          <w:b/>
        </w:rPr>
        <w:t>Approaches to Reduce Coverage Error</w:t>
      </w:r>
      <w:r>
        <w:t xml:space="preserve">. </w:t>
      </w:r>
      <w:r w:rsidR="00FE1AB5">
        <w:t>We will conduct an operational test on two</w:t>
      </w:r>
      <w:r>
        <w:t xml:space="preserve"> approaches to reduce coverage error. First, r</w:t>
      </w:r>
      <w:r w:rsidRPr="00246A40">
        <w:t>esearch</w:t>
      </w:r>
      <w:r>
        <w:t xml:space="preserve"> presented in Link (2010)</w:t>
      </w:r>
      <w:r w:rsidRPr="00246A40">
        <w:t xml:space="preserve"> has shown that the </w:t>
      </w:r>
      <w:r w:rsidR="007411B3">
        <w:t>Computerized Delivery Sequence (</w:t>
      </w:r>
      <w:r w:rsidRPr="00246A40">
        <w:t>CDS</w:t>
      </w:r>
      <w:r w:rsidR="007411B3">
        <w:t>)</w:t>
      </w:r>
      <w:r>
        <w:t>-based ABS</w:t>
      </w:r>
      <w:r w:rsidRPr="00246A40">
        <w:t xml:space="preserve"> lists have about a 98 percent coverage rate for</w:t>
      </w:r>
      <w:r>
        <w:t xml:space="preserve"> </w:t>
      </w:r>
      <w:r w:rsidRPr="00246A40">
        <w:t>residential addresses overall. However, some of the addresses are not usable for in-person</w:t>
      </w:r>
      <w:r>
        <w:t xml:space="preserve"> </w:t>
      </w:r>
      <w:r w:rsidRPr="00246A40">
        <w:t xml:space="preserve">surveys because the interviewers could not locate them if they were sampled. These </w:t>
      </w:r>
      <w:r>
        <w:t>u</w:t>
      </w:r>
      <w:r w:rsidRPr="00246A40">
        <w:t>nlocatable</w:t>
      </w:r>
      <w:r>
        <w:t xml:space="preserve"> </w:t>
      </w:r>
      <w:r w:rsidRPr="00246A40">
        <w:t>addresses include P.O. boxes, rural routes, highway contract boxes, and simplified addresses.</w:t>
      </w:r>
      <w:r>
        <w:t xml:space="preserve"> </w:t>
      </w:r>
      <w:r w:rsidRPr="00246A40">
        <w:t>These unlocatable addresses</w:t>
      </w:r>
      <w:r w:rsidR="00941A56">
        <w:t>, if</w:t>
      </w:r>
      <w:r w:rsidR="009565BB">
        <w:t xml:space="preserve"> </w:t>
      </w:r>
      <w:r w:rsidRPr="00246A40">
        <w:t>dropped from the sampling frame, create</w:t>
      </w:r>
      <w:r>
        <w:t xml:space="preserve"> </w:t>
      </w:r>
      <w:r w:rsidRPr="00246A40">
        <w:t>some noncoverage for which compensation is needed. Prior studies have estimated the resulting</w:t>
      </w:r>
      <w:r>
        <w:t xml:space="preserve"> </w:t>
      </w:r>
      <w:r w:rsidRPr="00246A40">
        <w:t>coverage rate to be approximately 92 percent (</w:t>
      </w:r>
      <w:proofErr w:type="spellStart"/>
      <w:r w:rsidRPr="00246A40">
        <w:t>Kalton</w:t>
      </w:r>
      <w:proofErr w:type="spellEnd"/>
      <w:r w:rsidRPr="00246A40">
        <w:t xml:space="preserve">, Kali, and </w:t>
      </w:r>
      <w:proofErr w:type="spellStart"/>
      <w:r w:rsidRPr="00246A40">
        <w:t>Sigman</w:t>
      </w:r>
      <w:proofErr w:type="spellEnd"/>
      <w:r w:rsidRPr="00246A40">
        <w:t xml:space="preserve">, 2014). </w:t>
      </w:r>
      <w:bookmarkStart w:name="_Hlk78893796" w:id="81"/>
      <w:r w:rsidRPr="00246A40">
        <w:t>Unlocatable</w:t>
      </w:r>
      <w:r>
        <w:t xml:space="preserve"> </w:t>
      </w:r>
      <w:r w:rsidRPr="00246A40">
        <w:t xml:space="preserve">addresses are particularly prevalent in certain highly rural areas. </w:t>
      </w:r>
      <w:r w:rsidR="00941A56">
        <w:t xml:space="preserve">However, our plan is to keep the unlocatable addresses and send the </w:t>
      </w:r>
      <w:r w:rsidRPr="00144DFF" w:rsidR="00941A56">
        <w:t>mail screener</w:t>
      </w:r>
      <w:r w:rsidRPr="00144DFF" w:rsidR="002D7EAB">
        <w:t xml:space="preserve"> which includes a request for the respondent to provide a physical street address</w:t>
      </w:r>
      <w:bookmarkEnd w:id="81"/>
      <w:r w:rsidRPr="00144DFF" w:rsidR="00941A56">
        <w:t xml:space="preserve">. That way the coverage is </w:t>
      </w:r>
      <w:r w:rsidRPr="00144DFF" w:rsidR="009565BB">
        <w:t>effectively maintained at</w:t>
      </w:r>
      <w:r w:rsidRPr="00144DFF" w:rsidR="00941A56">
        <w:t xml:space="preserve"> 98 percent.</w:t>
      </w:r>
    </w:p>
    <w:p w:rsidR="0098239A" w:rsidP="00864BC9" w:rsidRDefault="0098239A" w14:paraId="0EAB8009" w14:textId="77777777">
      <w:pPr>
        <w:pStyle w:val="L1-FlLSp12"/>
      </w:pPr>
    </w:p>
    <w:p w:rsidR="00864BC9" w:rsidP="00864BC9" w:rsidRDefault="00FE1AB5" w14:paraId="7D24524C" w14:textId="5E120DBA">
      <w:pPr>
        <w:pStyle w:val="L1-FlLSp12"/>
      </w:pPr>
      <w:r>
        <w:t>Second, t</w:t>
      </w:r>
      <w:r w:rsidRPr="00724BCD" w:rsidR="00864BC9">
        <w:t>here will be more than one household living at some</w:t>
      </w:r>
      <w:r w:rsidR="00864BC9">
        <w:t xml:space="preserve"> </w:t>
      </w:r>
      <w:r w:rsidRPr="00724BCD" w:rsidR="00864BC9">
        <w:t>sampled addresses. In order to capture them in the sample, we will apply our Hidden DU</w:t>
      </w:r>
      <w:r w:rsidR="00864BC9">
        <w:t xml:space="preserve"> </w:t>
      </w:r>
      <w:r w:rsidRPr="00724BCD" w:rsidR="00864BC9">
        <w:t>procedure</w:t>
      </w:r>
      <w:r w:rsidR="00864BC9">
        <w:t xml:space="preserve">. </w:t>
      </w:r>
      <w:r w:rsidRPr="003D3672" w:rsidR="00864BC9">
        <w:rPr>
          <w:lang w:val="en"/>
        </w:rPr>
        <w:t xml:space="preserve">We want to be sure that every household has been given </w:t>
      </w:r>
      <w:r w:rsidR="00864BC9">
        <w:rPr>
          <w:lang w:val="en"/>
        </w:rPr>
        <w:t>a chance to participate in the survey</w:t>
      </w:r>
      <w:r w:rsidRPr="003D3672" w:rsidR="00864BC9">
        <w:rPr>
          <w:lang w:val="en"/>
        </w:rPr>
        <w:t xml:space="preserve">. </w:t>
      </w:r>
      <w:r w:rsidR="00864BC9">
        <w:rPr>
          <w:lang w:val="en"/>
        </w:rPr>
        <w:t xml:space="preserve">Therefore, in the screener questionnaire, we will </w:t>
      </w:r>
      <w:r w:rsidR="001755D7">
        <w:rPr>
          <w:lang w:val="en"/>
        </w:rPr>
        <w:t xml:space="preserve">apply the Hidden DU procedure by </w:t>
      </w:r>
      <w:r w:rsidR="00864BC9">
        <w:rPr>
          <w:lang w:val="en"/>
        </w:rPr>
        <w:t>ask</w:t>
      </w:r>
      <w:r w:rsidR="001755D7">
        <w:rPr>
          <w:lang w:val="en"/>
        </w:rPr>
        <w:t>ing</w:t>
      </w:r>
      <w:r w:rsidR="00864BC9">
        <w:rPr>
          <w:lang w:val="en"/>
        </w:rPr>
        <w:t xml:space="preserve"> if </w:t>
      </w:r>
      <w:r w:rsidRPr="00EF0567" w:rsidR="00815932">
        <w:t>there any other person or group of people who lives and receives mail {here/at ADDRESS</w:t>
      </w:r>
      <w:proofErr w:type="gramStart"/>
      <w:r w:rsidRPr="00EF0567" w:rsidR="00815932">
        <w:t>}</w:t>
      </w:r>
      <w:r w:rsidR="00864BC9">
        <w:t>, and</w:t>
      </w:r>
      <w:proofErr w:type="gramEnd"/>
      <w:r w:rsidR="00864BC9">
        <w:t xml:space="preserve"> add th</w:t>
      </w:r>
      <w:r w:rsidR="00815932">
        <w:t xml:space="preserve">em </w:t>
      </w:r>
      <w:r w:rsidR="00864BC9">
        <w:t>to the sample.</w:t>
      </w:r>
    </w:p>
    <w:p w:rsidR="00864BC9" w:rsidP="00864BC9" w:rsidRDefault="00864BC9" w14:paraId="25754EDA" w14:textId="77777777">
      <w:pPr>
        <w:pStyle w:val="L1-FlLSp12"/>
      </w:pPr>
    </w:p>
    <w:p w:rsidR="00864BC9" w:rsidP="00E52C3A" w:rsidRDefault="00864BC9" w14:paraId="1684E578" w14:textId="7C810E3A">
      <w:pPr>
        <w:pStyle w:val="L1-FlLSp12"/>
      </w:pPr>
      <w:r>
        <w:t xml:space="preserve">From the </w:t>
      </w:r>
      <w:r w:rsidRPr="009567C4">
        <w:rPr>
          <w:lang w:val="en"/>
        </w:rPr>
        <w:t>households responding to the mail screener, sampled households on SNAP lists, and a subset of non-responding households</w:t>
      </w:r>
      <w:r>
        <w:rPr>
          <w:lang w:val="en"/>
        </w:rPr>
        <w:t>, we</w:t>
      </w:r>
      <w:r w:rsidRPr="009567C4">
        <w:rPr>
          <w:lang w:val="en"/>
        </w:rPr>
        <w:t xml:space="preserve"> will select</w:t>
      </w:r>
      <w:r>
        <w:rPr>
          <w:lang w:val="en"/>
        </w:rPr>
        <w:t xml:space="preserve"> the sample</w:t>
      </w:r>
      <w:r w:rsidRPr="009567C4">
        <w:rPr>
          <w:lang w:val="en"/>
        </w:rPr>
        <w:t xml:space="preserve"> for in-person data collection.</w:t>
      </w:r>
      <w:r>
        <w:rPr>
          <w:lang w:val="en"/>
        </w:rPr>
        <w:t xml:space="preserve"> We will assign </w:t>
      </w:r>
      <w:r>
        <w:t>these cases to a field interviewer who will visit the address and conduct a second screener in person that will ultimately determine the household’s eligibility status to participate in the study.</w:t>
      </w:r>
      <w:r w:rsidR="00E52C3A">
        <w:t xml:space="preserve"> </w:t>
      </w:r>
    </w:p>
    <w:p w:rsidR="008A6A7C" w:rsidP="001B265D" w:rsidRDefault="008A6A7C" w14:paraId="444F26EC" w14:textId="77777777">
      <w:pPr>
        <w:pStyle w:val="L1-FlLSp12"/>
      </w:pPr>
    </w:p>
    <w:p w:rsidRPr="0074555B" w:rsidR="008A6A7C" w:rsidP="00E329A7" w:rsidRDefault="00157B91" w14:paraId="2B94F910" w14:textId="0DCB71C3">
      <w:pPr>
        <w:pStyle w:val="Heading3"/>
      </w:pPr>
      <w:bookmarkStart w:name="_Toc513794210" w:id="82"/>
      <w:bookmarkStart w:name="_Toc74205153" w:id="83"/>
      <w:r>
        <w:t>Estimation</w:t>
      </w:r>
      <w:bookmarkEnd w:id="82"/>
      <w:bookmarkEnd w:id="83"/>
    </w:p>
    <w:p w:rsidR="00DA4E09" w:rsidP="00694FC6" w:rsidRDefault="001E10CD" w14:paraId="022FA5A3" w14:textId="516A2378">
      <w:pPr>
        <w:pStyle w:val="L1-FlLSp12"/>
        <w:rPr>
          <w:szCs w:val="24"/>
        </w:rPr>
      </w:pPr>
      <w:r w:rsidRPr="001E10CD">
        <w:rPr>
          <w:iCs/>
        </w:rPr>
        <w:t xml:space="preserve">The </w:t>
      </w:r>
      <w:r>
        <w:rPr>
          <w:iCs/>
        </w:rPr>
        <w:t>estimation process for t</w:t>
      </w:r>
      <w:r w:rsidRPr="001E10CD">
        <w:rPr>
          <w:iCs/>
        </w:rPr>
        <w:t xml:space="preserve">he FoodAPS-2 Field Test </w:t>
      </w:r>
      <w:r>
        <w:rPr>
          <w:iCs/>
        </w:rPr>
        <w:t>will include weighting</w:t>
      </w:r>
      <w:r w:rsidR="00DA4E09">
        <w:rPr>
          <w:iCs/>
        </w:rPr>
        <w:t xml:space="preserve"> and</w:t>
      </w:r>
      <w:r>
        <w:rPr>
          <w:iCs/>
        </w:rPr>
        <w:t xml:space="preserve"> variance estimation</w:t>
      </w:r>
      <w:r w:rsidR="00E7275D">
        <w:rPr>
          <w:iCs/>
        </w:rPr>
        <w:t xml:space="preserve">. </w:t>
      </w:r>
      <w:r w:rsidR="00DA4E09">
        <w:t>S</w:t>
      </w:r>
      <w:r w:rsidR="009113E7">
        <w:rPr>
          <w:szCs w:val="24"/>
        </w:rPr>
        <w:t>urvey weights will be used</w:t>
      </w:r>
      <w:r w:rsidR="004B65DA">
        <w:rPr>
          <w:szCs w:val="24"/>
        </w:rPr>
        <w:t xml:space="preserve"> when calculating statistics and estimating model parameters</w:t>
      </w:r>
      <w:r w:rsidRPr="001309DA" w:rsidR="001309DA">
        <w:rPr>
          <w:szCs w:val="24"/>
        </w:rPr>
        <w:t xml:space="preserve">. </w:t>
      </w:r>
    </w:p>
    <w:p w:rsidR="00DA4E09" w:rsidP="00694FC6" w:rsidRDefault="00DA4E09" w14:paraId="6038D73F" w14:textId="77777777">
      <w:pPr>
        <w:pStyle w:val="L1-FlLSp12"/>
        <w:rPr>
          <w:szCs w:val="24"/>
        </w:rPr>
      </w:pPr>
    </w:p>
    <w:p w:rsidRPr="006E3E9C" w:rsidR="006E3E9C" w:rsidRDefault="00DA4E09" w14:paraId="2D1F8310" w14:textId="6660A661">
      <w:pPr>
        <w:pStyle w:val="L1-FlLSp12"/>
        <w:rPr>
          <w:szCs w:val="24"/>
        </w:rPr>
      </w:pPr>
      <w:r>
        <w:rPr>
          <w:szCs w:val="24"/>
        </w:rPr>
        <w:t xml:space="preserve">To help </w:t>
      </w:r>
      <w:r w:rsidR="006A55D7">
        <w:rPr>
          <w:szCs w:val="24"/>
        </w:rPr>
        <w:t>identify</w:t>
      </w:r>
      <w:r w:rsidR="00C14CC9">
        <w:rPr>
          <w:szCs w:val="24"/>
        </w:rPr>
        <w:t xml:space="preserve"> potential</w:t>
      </w:r>
      <w:r w:rsidR="006A55D7">
        <w:rPr>
          <w:szCs w:val="24"/>
        </w:rPr>
        <w:t xml:space="preserve"> issues with data</w:t>
      </w:r>
      <w:r>
        <w:rPr>
          <w:szCs w:val="24"/>
        </w:rPr>
        <w:t xml:space="preserve"> quality, </w:t>
      </w:r>
      <w:r w:rsidR="00E80617">
        <w:rPr>
          <w:szCs w:val="24"/>
        </w:rPr>
        <w:t xml:space="preserve">and although not the primary analytic goal of this Field Test, </w:t>
      </w:r>
      <w:r>
        <w:rPr>
          <w:szCs w:val="24"/>
        </w:rPr>
        <w:t xml:space="preserve">it </w:t>
      </w:r>
      <w:r w:rsidR="006A55D7">
        <w:rPr>
          <w:szCs w:val="24"/>
        </w:rPr>
        <w:t>may</w:t>
      </w:r>
      <w:r>
        <w:rPr>
          <w:szCs w:val="24"/>
        </w:rPr>
        <w:t xml:space="preserve"> be helpful to </w:t>
      </w:r>
      <w:r w:rsidR="006A55D7">
        <w:rPr>
          <w:szCs w:val="24"/>
        </w:rPr>
        <w:t>check</w:t>
      </w:r>
      <w:r>
        <w:rPr>
          <w:szCs w:val="24"/>
        </w:rPr>
        <w:t xml:space="preserve"> results</w:t>
      </w:r>
      <w:r w:rsidR="006A55D7">
        <w:rPr>
          <w:szCs w:val="24"/>
        </w:rPr>
        <w:t xml:space="preserve"> against</w:t>
      </w:r>
      <w:r>
        <w:rPr>
          <w:szCs w:val="24"/>
        </w:rPr>
        <w:t xml:space="preserve"> the NFS Pilot and FoodAPS-1</w:t>
      </w:r>
      <w:r w:rsidR="00E80617">
        <w:rPr>
          <w:szCs w:val="24"/>
        </w:rPr>
        <w:t xml:space="preserve"> samples</w:t>
      </w:r>
      <w:r w:rsidR="009C4AF1">
        <w:rPr>
          <w:szCs w:val="24"/>
        </w:rPr>
        <w:t xml:space="preserve">. </w:t>
      </w:r>
      <w:r w:rsidRPr="005406B5" w:rsidR="009C4AF1">
        <w:rPr>
          <w:szCs w:val="24"/>
        </w:rPr>
        <w:t xml:space="preserve">We fully acknowledge the inherent limitations in these comparisons given the </w:t>
      </w:r>
      <w:r w:rsidRPr="00E42E44" w:rsidR="00E80617">
        <w:rPr>
          <w:szCs w:val="24"/>
        </w:rPr>
        <w:t>potential differences in socio-demographic distributions from the two samples which were collected 5-6 and 11 years ago, respectively. If such comparisons are completed for the Field Test, the analyses will be appropriately caveated by noting these limitations</w:t>
      </w:r>
      <w:r w:rsidR="00D9184A">
        <w:rPr>
          <w:szCs w:val="24"/>
        </w:rPr>
        <w:t xml:space="preserve">. That said, for the Field Test we will still create </w:t>
      </w:r>
      <w:r w:rsidRPr="005406B5" w:rsidR="001309DA">
        <w:rPr>
          <w:szCs w:val="24"/>
        </w:rPr>
        <w:t xml:space="preserve">sampling weights in the same manner as in the </w:t>
      </w:r>
      <w:r w:rsidRPr="005406B5" w:rsidR="00AD595A">
        <w:rPr>
          <w:szCs w:val="24"/>
        </w:rPr>
        <w:t>NF</w:t>
      </w:r>
      <w:r w:rsidRPr="005406B5" w:rsidR="004B65DA">
        <w:rPr>
          <w:szCs w:val="24"/>
        </w:rPr>
        <w:t xml:space="preserve">S </w:t>
      </w:r>
      <w:r w:rsidRPr="005406B5" w:rsidR="001309DA">
        <w:rPr>
          <w:szCs w:val="24"/>
        </w:rPr>
        <w:t>Pilot</w:t>
      </w:r>
      <w:r w:rsidRPr="005406B5" w:rsidR="006A55D7">
        <w:rPr>
          <w:rStyle w:val="FootnoteReference"/>
          <w:szCs w:val="24"/>
        </w:rPr>
        <w:footnoteReference w:id="9"/>
      </w:r>
      <w:r w:rsidRPr="005406B5" w:rsidR="001309DA">
        <w:rPr>
          <w:szCs w:val="24"/>
        </w:rPr>
        <w:t xml:space="preserve">. </w:t>
      </w:r>
      <w:r w:rsidR="00D9184A">
        <w:rPr>
          <w:szCs w:val="24"/>
        </w:rPr>
        <w:t xml:space="preserve">Base </w:t>
      </w:r>
      <w:r w:rsidRPr="005406B5" w:rsidR="006E3E9C">
        <w:rPr>
          <w:szCs w:val="24"/>
        </w:rPr>
        <w:t>weights will be co</w:t>
      </w:r>
      <w:r w:rsidRPr="006E3E9C" w:rsidR="006E3E9C">
        <w:rPr>
          <w:szCs w:val="24"/>
        </w:rPr>
        <w:t>nstructed as the inverse of the selection probability</w:t>
      </w:r>
      <w:r w:rsidR="006E3E9C">
        <w:rPr>
          <w:szCs w:val="24"/>
        </w:rPr>
        <w:t xml:space="preserve"> to account for the differential probabilities of selection</w:t>
      </w:r>
      <w:r w:rsidRPr="006E3E9C" w:rsidR="006E3E9C">
        <w:rPr>
          <w:szCs w:val="24"/>
        </w:rPr>
        <w:t xml:space="preserve">. To reduce nonresponse and noncoverage bias, the weights </w:t>
      </w:r>
      <w:r w:rsidR="006E3E9C">
        <w:rPr>
          <w:szCs w:val="24"/>
        </w:rPr>
        <w:t>will be</w:t>
      </w:r>
      <w:r w:rsidRPr="006E3E9C" w:rsidR="006E3E9C">
        <w:rPr>
          <w:szCs w:val="24"/>
        </w:rPr>
        <w:t xml:space="preserve"> calibrated to control totals derived from the Current Population Survey Annual Social and Economic Supplement and American Community Survey. Minimal weight trimming </w:t>
      </w:r>
      <w:r w:rsidR="006E3E9C">
        <w:rPr>
          <w:szCs w:val="24"/>
        </w:rPr>
        <w:t>will be</w:t>
      </w:r>
      <w:r w:rsidRPr="006E3E9C" w:rsidR="006E3E9C">
        <w:rPr>
          <w:szCs w:val="24"/>
        </w:rPr>
        <w:t xml:space="preserve"> performed within domains to decrease variation of the weights and prevent a small number of observations from dominating domain estimates. After trimming, the raking process </w:t>
      </w:r>
      <w:r w:rsidR="006E3E9C">
        <w:rPr>
          <w:szCs w:val="24"/>
        </w:rPr>
        <w:t>will be</w:t>
      </w:r>
      <w:r w:rsidRPr="006E3E9C" w:rsidR="006E3E9C">
        <w:rPr>
          <w:szCs w:val="24"/>
        </w:rPr>
        <w:t xml:space="preserve"> repeated to produce the final household weights. </w:t>
      </w:r>
      <w:r w:rsidR="006E3E9C">
        <w:rPr>
          <w:szCs w:val="24"/>
        </w:rPr>
        <w:t xml:space="preserve">The raking dimension will be the same as for the </w:t>
      </w:r>
      <w:r w:rsidR="00770C00">
        <w:rPr>
          <w:szCs w:val="24"/>
        </w:rPr>
        <w:t xml:space="preserve">NFS </w:t>
      </w:r>
      <w:r w:rsidR="006E3E9C">
        <w:rPr>
          <w:szCs w:val="24"/>
        </w:rPr>
        <w:t>Pilot</w:t>
      </w:r>
      <w:r w:rsidRPr="006E3E9C" w:rsidR="006E3E9C">
        <w:rPr>
          <w:szCs w:val="24"/>
        </w:rPr>
        <w:t>: 1) Race/ethnicity of the primary respondent (Hispanic, non-Hispanic white race only, non-Hispanic black race only, all other non-Hispanic persons); 2) Household size (1, 2 to 4, 5 or more); 3) Number of children under 18 in the household (0, 1, 2, 3, 4 or more); 4) Whether one or more people 60 years of age and over reside in household (Yes, No); 5) SNAP participation (On SNAP, Not on SNAP); and 6) Annual household income ($0 to $14,999, $15,000 to $49,999, $50,000 and over).</w:t>
      </w:r>
      <w:r w:rsidR="004B65DA">
        <w:rPr>
          <w:szCs w:val="24"/>
        </w:rPr>
        <w:t xml:space="preserve"> </w:t>
      </w:r>
    </w:p>
    <w:p w:rsidRPr="001309DA" w:rsidR="001309DA" w:rsidP="001309DA" w:rsidRDefault="001309DA" w14:paraId="16E62BF6" w14:textId="77777777">
      <w:pPr>
        <w:pStyle w:val="L1-FlLSp12"/>
        <w:rPr>
          <w:szCs w:val="24"/>
        </w:rPr>
      </w:pPr>
    </w:p>
    <w:p w:rsidRPr="00710D8F" w:rsidR="001309DA" w:rsidP="001309DA" w:rsidRDefault="001309DA" w14:paraId="07A4A371" w14:textId="7E0C6063">
      <w:pPr>
        <w:pStyle w:val="L1-FlLSp12"/>
        <w:rPr>
          <w:iCs/>
          <w:szCs w:val="24"/>
        </w:rPr>
      </w:pPr>
      <w:r w:rsidRPr="001309DA">
        <w:rPr>
          <w:szCs w:val="24"/>
        </w:rPr>
        <w:t xml:space="preserve">Replicate weights will allow for variance estimation under a complex sample design. As in the </w:t>
      </w:r>
      <w:r w:rsidR="00781C57">
        <w:rPr>
          <w:szCs w:val="24"/>
        </w:rPr>
        <w:t>NF</w:t>
      </w:r>
      <w:r w:rsidR="008E369D">
        <w:rPr>
          <w:szCs w:val="24"/>
        </w:rPr>
        <w:t>S</w:t>
      </w:r>
      <w:r w:rsidRPr="001309DA" w:rsidR="008E369D">
        <w:rPr>
          <w:szCs w:val="24"/>
        </w:rPr>
        <w:t xml:space="preserve"> </w:t>
      </w:r>
      <w:r w:rsidRPr="001309DA">
        <w:rPr>
          <w:szCs w:val="24"/>
        </w:rPr>
        <w:t>Pilot, we will create twenty-four replicates from the twelve PSUs using the jackknife (JK1) replication method. The replicate weights will be calibrated to control totals in the same manner as the full sample weights.</w:t>
      </w:r>
      <w:r w:rsidR="00710D8F">
        <w:rPr>
          <w:szCs w:val="24"/>
        </w:rPr>
        <w:t xml:space="preserve"> </w:t>
      </w:r>
      <w:r w:rsidR="006A55D7">
        <w:rPr>
          <w:iCs/>
          <w:szCs w:val="24"/>
        </w:rPr>
        <w:t>Any</w:t>
      </w:r>
      <w:r w:rsidRPr="00710D8F" w:rsidR="006A55D7">
        <w:rPr>
          <w:iCs/>
          <w:szCs w:val="24"/>
        </w:rPr>
        <w:t xml:space="preserve"> </w:t>
      </w:r>
      <w:r w:rsidRPr="00710D8F" w:rsidR="00710D8F">
        <w:rPr>
          <w:iCs/>
          <w:szCs w:val="24"/>
        </w:rPr>
        <w:t>analys</w:t>
      </w:r>
      <w:r w:rsidR="00C14CC9">
        <w:rPr>
          <w:iCs/>
          <w:szCs w:val="24"/>
        </w:rPr>
        <w:t>e</w:t>
      </w:r>
      <w:r w:rsidRPr="00710D8F" w:rsidR="00710D8F">
        <w:rPr>
          <w:iCs/>
          <w:szCs w:val="24"/>
        </w:rPr>
        <w:t>s will use appropriate software (e.g., SAS</w:t>
      </w:r>
      <w:r w:rsidRPr="00710D8F" w:rsidR="00710D8F">
        <w:rPr>
          <w:iCs/>
          <w:szCs w:val="24"/>
          <w:vertAlign w:val="superscript"/>
        </w:rPr>
        <w:t>®</w:t>
      </w:r>
      <w:r w:rsidRPr="00710D8F" w:rsidR="00710D8F">
        <w:rPr>
          <w:iCs/>
          <w:szCs w:val="24"/>
        </w:rPr>
        <w:t xml:space="preserve"> Proc </w:t>
      </w:r>
      <w:proofErr w:type="spellStart"/>
      <w:r w:rsidRPr="00710D8F" w:rsidR="00710D8F">
        <w:rPr>
          <w:iCs/>
          <w:szCs w:val="24"/>
        </w:rPr>
        <w:t>SurveyReg</w:t>
      </w:r>
      <w:proofErr w:type="spellEnd"/>
      <w:r w:rsidRPr="00710D8F" w:rsidR="00710D8F">
        <w:rPr>
          <w:iCs/>
          <w:szCs w:val="24"/>
        </w:rPr>
        <w:t>) to make use of the replicate weights for variance estimation. We will report all statistics and models using survey weights.</w:t>
      </w:r>
    </w:p>
    <w:p w:rsidR="001309DA" w:rsidP="001309DA" w:rsidRDefault="001309DA" w14:paraId="7B6A2078" w14:textId="3169CD73">
      <w:pPr>
        <w:pStyle w:val="L1-FlLSp12"/>
        <w:rPr>
          <w:szCs w:val="24"/>
        </w:rPr>
      </w:pPr>
    </w:p>
    <w:p w:rsidR="00A71480" w:rsidP="00476C19" w:rsidRDefault="00A71480" w14:paraId="72A28BE7" w14:textId="73CC2968">
      <w:pPr>
        <w:pStyle w:val="L1-FlLSp12"/>
        <w:rPr>
          <w:iCs/>
          <w:szCs w:val="24"/>
        </w:rPr>
      </w:pPr>
      <w:r w:rsidRPr="00A71480">
        <w:rPr>
          <w:szCs w:val="24"/>
        </w:rPr>
        <w:t>For use in analysis, we will attach nutrient and Food Pattern Equivalent (FPE) values</w:t>
      </w:r>
      <w:r w:rsidR="002869F5">
        <w:rPr>
          <w:szCs w:val="24"/>
        </w:rPr>
        <w:t xml:space="preserve"> (Bowman, et al. (2018))</w:t>
      </w:r>
      <w:r w:rsidRPr="00A71480">
        <w:rPr>
          <w:szCs w:val="24"/>
        </w:rPr>
        <w:t xml:space="preserve"> and location information</w:t>
      </w:r>
      <w:r w:rsidR="00F34E81">
        <w:rPr>
          <w:szCs w:val="24"/>
        </w:rPr>
        <w:t xml:space="preserve"> of food acquisition</w:t>
      </w:r>
      <w:r w:rsidRPr="00A71480">
        <w:rPr>
          <w:szCs w:val="24"/>
        </w:rPr>
        <w:t>. Respondents will record acquisitions of foods and beverages by scanning UPCs, entering Produce Look-Up (PLU) codes, or entering free text when they are unable to identify a match. In each case, we will ensure that the food item acquired matches food codes from the USDA databases</w:t>
      </w:r>
      <w:r w:rsidR="00BC014F">
        <w:rPr>
          <w:szCs w:val="24"/>
        </w:rPr>
        <w:t xml:space="preserve"> </w:t>
      </w:r>
      <w:r w:rsidRPr="008E369D" w:rsidR="00BC014F">
        <w:rPr>
          <w:szCs w:val="24"/>
        </w:rPr>
        <w:t>(</w:t>
      </w:r>
      <w:r w:rsidRPr="00781C57" w:rsidR="00BC014F">
        <w:t>Food and Nutrient Database for Dietary Studies (FNDDS)</w:t>
      </w:r>
      <w:r w:rsidRPr="00781C57" w:rsidR="00BC014F">
        <w:rPr>
          <w:rStyle w:val="FootnoteReference"/>
        </w:rPr>
        <w:footnoteReference w:id="10"/>
      </w:r>
      <w:r w:rsidRPr="00781C57" w:rsidR="00BC014F">
        <w:t xml:space="preserve"> and Food Data Central, formerly the National Nutrient Database for Standard Reference</w:t>
      </w:r>
      <w:r w:rsidRPr="008E369D" w:rsidR="00BC014F">
        <w:rPr>
          <w:szCs w:val="24"/>
        </w:rPr>
        <w:t>)</w:t>
      </w:r>
      <w:r w:rsidRPr="008E369D" w:rsidR="00DC711F">
        <w:rPr>
          <w:rStyle w:val="FootnoteReference"/>
          <w:szCs w:val="24"/>
        </w:rPr>
        <w:footnoteReference w:id="11"/>
      </w:r>
      <w:r w:rsidRPr="008E369D">
        <w:rPr>
          <w:szCs w:val="24"/>
        </w:rPr>
        <w:t xml:space="preserve"> </w:t>
      </w:r>
      <w:r w:rsidRPr="00A71480">
        <w:rPr>
          <w:szCs w:val="24"/>
        </w:rPr>
        <w:t xml:space="preserve">so that we can append complete nutrient and FPE values to the resulting dataset. The methods to ensure these links vary depending on how the respondent reported the acquisitions.  ERS’ Linkages database provides established links between </w:t>
      </w:r>
      <w:r w:rsidRPr="00A71480">
        <w:rPr>
          <w:iCs/>
          <w:szCs w:val="24"/>
        </w:rPr>
        <w:t xml:space="preserve">UPCs, USDA food codes, nutrients, and prices for many food items. </w:t>
      </w:r>
      <w:r w:rsidRPr="00476C19" w:rsidR="00476C19">
        <w:rPr>
          <w:iCs/>
          <w:szCs w:val="24"/>
        </w:rPr>
        <w:t xml:space="preserve">Links among PLUs, UPCs, other IDs, nutrient database food codes, and USDA food categories fall into </w:t>
      </w:r>
      <w:r w:rsidRPr="00A71480">
        <w:rPr>
          <w:iCs/>
          <w:szCs w:val="24"/>
        </w:rPr>
        <w:t>a grey area requiring matching and review. For location and distance information</w:t>
      </w:r>
      <w:r w:rsidR="00F34E81">
        <w:rPr>
          <w:iCs/>
          <w:szCs w:val="24"/>
        </w:rPr>
        <w:t xml:space="preserve"> of food acquisition</w:t>
      </w:r>
      <w:r w:rsidRPr="00A71480">
        <w:rPr>
          <w:iCs/>
          <w:szCs w:val="24"/>
        </w:rPr>
        <w:t xml:space="preserve">, we will determine travel distances to stores and restaurants by GIS and produce geocodes for </w:t>
      </w:r>
      <w:r w:rsidR="00D54763">
        <w:rPr>
          <w:iCs/>
          <w:szCs w:val="24"/>
        </w:rPr>
        <w:t xml:space="preserve">a </w:t>
      </w:r>
      <w:r w:rsidRPr="00A71480">
        <w:rPr>
          <w:iCs/>
          <w:szCs w:val="24"/>
        </w:rPr>
        <w:t>respondent’s residence and frequented food places that will be obtained during data collection through Google Maps.</w:t>
      </w:r>
    </w:p>
    <w:p w:rsidR="00667A92" w:rsidP="00A71480" w:rsidRDefault="00667A92" w14:paraId="1339C592" w14:textId="77777777">
      <w:pPr>
        <w:pStyle w:val="L1-FlLSp12"/>
        <w:rPr>
          <w:iCs/>
          <w:szCs w:val="24"/>
        </w:rPr>
      </w:pPr>
    </w:p>
    <w:p w:rsidRPr="00461423" w:rsidR="00461423" w:rsidP="00A71480" w:rsidRDefault="00A71480" w14:paraId="258592FB" w14:textId="201A8E87">
      <w:pPr>
        <w:pStyle w:val="L1-FlLSp12"/>
        <w:rPr>
          <w:szCs w:val="24"/>
        </w:rPr>
      </w:pPr>
      <w:r w:rsidRPr="00144DFF">
        <w:rPr>
          <w:iCs/>
          <w:szCs w:val="24"/>
        </w:rPr>
        <w:t xml:space="preserve">The evaluation </w:t>
      </w:r>
      <w:r w:rsidRPr="00144DFF" w:rsidR="00667A92">
        <w:rPr>
          <w:iCs/>
          <w:szCs w:val="24"/>
        </w:rPr>
        <w:t xml:space="preserve">of the FoodAPS-2 </w:t>
      </w:r>
      <w:r w:rsidRPr="00144DFF" w:rsidR="00291C70">
        <w:rPr>
          <w:iCs/>
          <w:szCs w:val="24"/>
        </w:rPr>
        <w:t xml:space="preserve">Field Test </w:t>
      </w:r>
      <w:r w:rsidRPr="00144DFF" w:rsidR="00667A92">
        <w:rPr>
          <w:iCs/>
          <w:szCs w:val="24"/>
        </w:rPr>
        <w:t xml:space="preserve">data </w:t>
      </w:r>
      <w:r w:rsidRPr="00144DFF">
        <w:rPr>
          <w:iCs/>
          <w:szCs w:val="24"/>
        </w:rPr>
        <w:t xml:space="preserve">will focus on three aspects of data quality: data completeness, accuracy, and response rates. Measures for assessing completeness include the average total number of items reported, number of events reported, number of free events reported, the expenditures reported, and the number of missing values for key variables. We will assess the accuracy of the data by examining the percentage of outliers and comparing to alternative sources of data such as administrative records and receipts. We will </w:t>
      </w:r>
      <w:r w:rsidR="00A249BB">
        <w:rPr>
          <w:iCs/>
          <w:szCs w:val="24"/>
        </w:rPr>
        <w:t>calculate</w:t>
      </w:r>
      <w:r w:rsidRPr="00144DFF" w:rsidR="00A249BB">
        <w:rPr>
          <w:iCs/>
          <w:szCs w:val="24"/>
        </w:rPr>
        <w:t xml:space="preserve"> </w:t>
      </w:r>
      <w:r w:rsidRPr="00144DFF" w:rsidR="001E10CD">
        <w:rPr>
          <w:iCs/>
          <w:szCs w:val="24"/>
        </w:rPr>
        <w:t xml:space="preserve">weighted </w:t>
      </w:r>
      <w:r w:rsidRPr="00144DFF">
        <w:rPr>
          <w:iCs/>
          <w:szCs w:val="24"/>
        </w:rPr>
        <w:t xml:space="preserve">response rates from the point of screening to the completion of the </w:t>
      </w:r>
      <w:r w:rsidRPr="00144DFF" w:rsidR="00A50D74">
        <w:rPr>
          <w:iCs/>
          <w:szCs w:val="24"/>
        </w:rPr>
        <w:t>debriefing interview</w:t>
      </w:r>
      <w:r w:rsidRPr="00144DFF">
        <w:rPr>
          <w:iCs/>
          <w:szCs w:val="24"/>
        </w:rPr>
        <w:t>.</w:t>
      </w:r>
      <w:r w:rsidRPr="00144DFF" w:rsidR="00B44313">
        <w:rPr>
          <w:iCs/>
          <w:szCs w:val="24"/>
        </w:rPr>
        <w:t xml:space="preserve"> </w:t>
      </w:r>
      <w:r w:rsidRPr="00144DFF" w:rsidR="00710D8F">
        <w:rPr>
          <w:iCs/>
          <w:szCs w:val="24"/>
        </w:rPr>
        <w:t>In addition,</w:t>
      </w:r>
      <w:r w:rsidR="0002248E">
        <w:rPr>
          <w:iCs/>
          <w:szCs w:val="24"/>
        </w:rPr>
        <w:t xml:space="preserve"> closely aligning with the NFS Pilot results,</w:t>
      </w:r>
      <w:r w:rsidRPr="00144DFF" w:rsidR="00710D8F">
        <w:rPr>
          <w:iCs/>
          <w:szCs w:val="24"/>
        </w:rPr>
        <w:t xml:space="preserve"> a</w:t>
      </w:r>
      <w:r w:rsidRPr="00144DFF" w:rsidR="00B44313">
        <w:rPr>
          <w:iCs/>
          <w:szCs w:val="24"/>
        </w:rPr>
        <w:t xml:space="preserve">bout 75 percent </w:t>
      </w:r>
      <w:r w:rsidR="00A249BB">
        <w:rPr>
          <w:iCs/>
          <w:szCs w:val="24"/>
        </w:rPr>
        <w:t xml:space="preserve">of the household completes </w:t>
      </w:r>
      <w:r w:rsidRPr="00144DFF" w:rsidR="00B44313">
        <w:rPr>
          <w:iCs/>
          <w:szCs w:val="24"/>
        </w:rPr>
        <w:t xml:space="preserve">are expected to complete </w:t>
      </w:r>
      <w:r w:rsidR="00A249BB">
        <w:rPr>
          <w:iCs/>
          <w:szCs w:val="24"/>
        </w:rPr>
        <w:t xml:space="preserve">their Food Log entries </w:t>
      </w:r>
      <w:r w:rsidRPr="00144DFF" w:rsidR="00B44313">
        <w:rPr>
          <w:iCs/>
          <w:szCs w:val="24"/>
        </w:rPr>
        <w:t xml:space="preserve">by smartphone, about </w:t>
      </w:r>
      <w:r w:rsidRPr="00144DFF" w:rsidR="00CF0D98">
        <w:rPr>
          <w:iCs/>
          <w:szCs w:val="24"/>
        </w:rPr>
        <w:t>22</w:t>
      </w:r>
      <w:r w:rsidRPr="00144DFF" w:rsidR="00B44313">
        <w:rPr>
          <w:iCs/>
          <w:szCs w:val="24"/>
        </w:rPr>
        <w:t xml:space="preserve"> percent via web, and </w:t>
      </w:r>
      <w:r w:rsidRPr="00144DFF" w:rsidR="00CF0D98">
        <w:rPr>
          <w:iCs/>
          <w:szCs w:val="24"/>
        </w:rPr>
        <w:t>3 percent</w:t>
      </w:r>
      <w:r w:rsidRPr="00144DFF" w:rsidR="00B44313">
        <w:rPr>
          <w:iCs/>
          <w:szCs w:val="24"/>
        </w:rPr>
        <w:t xml:space="preserve"> by telephone.</w:t>
      </w:r>
      <w:r w:rsidRPr="00144DFF" w:rsidR="00461423">
        <w:rPr>
          <w:szCs w:val="24"/>
        </w:rPr>
        <w:t xml:space="preserve"> </w:t>
      </w:r>
      <w:r w:rsidRPr="00144DFF" w:rsidR="00056340">
        <w:rPr>
          <w:szCs w:val="24"/>
        </w:rPr>
        <w:t>We will also examine data completeness and accuracy by response mode. Specifically, we will assess whether</w:t>
      </w:r>
      <w:r w:rsidR="00056340">
        <w:rPr>
          <w:szCs w:val="24"/>
        </w:rPr>
        <w:t xml:space="preserve"> data completeness and accuracy differ by response mode </w:t>
      </w:r>
      <w:r w:rsidR="001E10CD">
        <w:rPr>
          <w:szCs w:val="24"/>
        </w:rPr>
        <w:t>(</w:t>
      </w:r>
      <w:r w:rsidRPr="001E10CD" w:rsidR="001E10CD">
        <w:rPr>
          <w:szCs w:val="24"/>
        </w:rPr>
        <w:t xml:space="preserve">given </w:t>
      </w:r>
      <w:r w:rsidR="00B57105">
        <w:rPr>
          <w:szCs w:val="24"/>
        </w:rPr>
        <w:t xml:space="preserve">that we expect less than </w:t>
      </w:r>
      <w:r w:rsidR="00A249BB">
        <w:rPr>
          <w:szCs w:val="24"/>
        </w:rPr>
        <w:t>3</w:t>
      </w:r>
      <w:r w:rsidR="00B57105">
        <w:rPr>
          <w:szCs w:val="24"/>
        </w:rPr>
        <w:t>% of respondents to report by phone,</w:t>
      </w:r>
      <w:r w:rsidRPr="001E10CD" w:rsidR="001E10CD">
        <w:rPr>
          <w:szCs w:val="24"/>
        </w:rPr>
        <w:t xml:space="preserve"> this analysis will focus on a comparison between the web and smartphone</w:t>
      </w:r>
      <w:r w:rsidR="001E10CD">
        <w:rPr>
          <w:szCs w:val="24"/>
        </w:rPr>
        <w:t xml:space="preserve">) </w:t>
      </w:r>
      <w:r w:rsidR="00056340">
        <w:rPr>
          <w:szCs w:val="24"/>
        </w:rPr>
        <w:t xml:space="preserve">after controlling for demographic characteristics of respondents who responded to different modes. </w:t>
      </w:r>
      <w:r w:rsidR="00535176">
        <w:t xml:space="preserve">To a certain extent, </w:t>
      </w:r>
      <w:r w:rsidRPr="00A1158F" w:rsidR="00535176">
        <w:t xml:space="preserve">characteristics of respondents </w:t>
      </w:r>
      <w:r w:rsidR="00535176">
        <w:t xml:space="preserve">can be compared </w:t>
      </w:r>
      <w:r w:rsidRPr="00A1158F" w:rsidR="00535176">
        <w:t xml:space="preserve">across each mode of administration </w:t>
      </w:r>
      <w:r w:rsidR="00535176">
        <w:t>to provide indications of</w:t>
      </w:r>
      <w:r w:rsidRPr="00A1158F" w:rsidR="00535176">
        <w:t xml:space="preserve"> potential impacts on bias and completion rates</w:t>
      </w:r>
      <w:r w:rsidR="00535176">
        <w:t>.</w:t>
      </w:r>
    </w:p>
    <w:p w:rsidR="009A73F3" w:rsidP="00967F34" w:rsidRDefault="009A73F3" w14:paraId="6E9B67A0" w14:textId="77777777">
      <w:pPr>
        <w:pStyle w:val="L1-FlLSp12"/>
        <w:rPr>
          <w:szCs w:val="24"/>
        </w:rPr>
      </w:pPr>
    </w:p>
    <w:p w:rsidR="00EF6A3E" w:rsidP="00EF6A3E" w:rsidRDefault="00157B91" w14:paraId="52CF5D8B" w14:textId="614C8087">
      <w:pPr>
        <w:pStyle w:val="Heading3"/>
      </w:pPr>
      <w:bookmarkStart w:name="_Toc513794211" w:id="84"/>
      <w:bookmarkStart w:name="_Toc74205154" w:id="85"/>
      <w:r>
        <w:t>Degree of Accuracy</w:t>
      </w:r>
      <w:bookmarkEnd w:id="84"/>
      <w:bookmarkEnd w:id="85"/>
    </w:p>
    <w:p w:rsidR="00572D06" w:rsidP="00467C13" w:rsidRDefault="009534CA" w14:paraId="4CFBE62F" w14:textId="7B3A0795">
      <w:pPr>
        <w:pStyle w:val="L1-FlLSp12"/>
      </w:pPr>
      <w:r>
        <w:t xml:space="preserve">Because the Field Test </w:t>
      </w:r>
      <w:r w:rsidR="0093618C">
        <w:t xml:space="preserve">sample </w:t>
      </w:r>
      <w:r>
        <w:t>design follows very closely to the NFS Pilot, the degree of accuracy will be about the same. Table B.5</w:t>
      </w:r>
      <w:r w:rsidR="004A4445">
        <w:t>a</w:t>
      </w:r>
      <w:r>
        <w:t xml:space="preserve"> provide</w:t>
      </w:r>
      <w:r w:rsidR="0093618C">
        <w:t>s</w:t>
      </w:r>
      <w:r>
        <w:t xml:space="preserve"> the standard errors</w:t>
      </w:r>
      <w:r w:rsidR="0093618C">
        <w:t xml:space="preserve"> and coefficients of variation (CVs) f</w:t>
      </w:r>
      <w:r>
        <w:t>or select foo</w:t>
      </w:r>
      <w:r w:rsidR="0093618C">
        <w:t>d acquisition estimated averages</w:t>
      </w:r>
      <w:r w:rsidR="00245887">
        <w:t xml:space="preserve"> from the NFS Pilot</w:t>
      </w:r>
      <w:r>
        <w:t xml:space="preserve">. </w:t>
      </w:r>
      <w:r w:rsidR="0093618C">
        <w:t>The table shows that the CVs range from 7.4 percent to 10.1 percent across the eight estimates.</w:t>
      </w:r>
      <w:r w:rsidR="004A4445">
        <w:t xml:space="preserve"> Table B.5b provides the standard errors and CVs for the</w:t>
      </w:r>
      <w:r w:rsidRPr="004A4445" w:rsidR="004A4445">
        <w:t xml:space="preserve"> estimated percentage of overall perception of Food Log for primary respondents</w:t>
      </w:r>
      <w:r w:rsidR="004A4445">
        <w:t xml:space="preserve"> from</w:t>
      </w:r>
      <w:r w:rsidRPr="004A4445" w:rsidR="004A4445">
        <w:t xml:space="preserve"> NFS Pilot</w:t>
      </w:r>
      <w:r w:rsidR="004A4445">
        <w:t xml:space="preserve"> data. The table shows that the CVs range from 8.2 percent to </w:t>
      </w:r>
      <w:r w:rsidR="000E3B5D">
        <w:t>25.0</w:t>
      </w:r>
      <w:r w:rsidR="004A4445">
        <w:t xml:space="preserve"> percent across the five estimates. Note that by calculation</w:t>
      </w:r>
      <w:r w:rsidR="000E3B5D">
        <w:t xml:space="preserve"> the CV is a relative term</w:t>
      </w:r>
      <w:r w:rsidR="00245887">
        <w:t xml:space="preserve"> in that</w:t>
      </w:r>
      <w:r w:rsidR="004A4445">
        <w:t xml:space="preserve"> when a CV’s denominator for percentages is small, the CV will be</w:t>
      </w:r>
      <w:r w:rsidR="000E3B5D">
        <w:t xml:space="preserve"> quite</w:t>
      </w:r>
      <w:r w:rsidR="004A4445">
        <w:t xml:space="preserve"> large. </w:t>
      </w:r>
      <w:r w:rsidR="00245887">
        <w:t xml:space="preserve">As shown in the table, the standard errors are reasonable. </w:t>
      </w:r>
    </w:p>
    <w:p w:rsidR="00E42E44" w:rsidP="009534CA" w:rsidRDefault="00E42E44" w14:paraId="174CE242" w14:textId="73DB8D2E">
      <w:pPr>
        <w:spacing w:line="240" w:lineRule="auto"/>
        <w:rPr>
          <w:rFonts w:ascii="Franklin Gothic Medium" w:hAnsi="Franklin Gothic Medium"/>
        </w:rPr>
      </w:pPr>
    </w:p>
    <w:p w:rsidRPr="003260E6" w:rsidR="00DA7104" w:rsidP="00DA7104" w:rsidRDefault="00DA7104" w14:paraId="54C2CCC8" w14:textId="51B36E97">
      <w:pPr>
        <w:pStyle w:val="TT-TableTitle"/>
        <w:rPr>
          <w:rFonts w:ascii="Garamond" w:hAnsi="Garamond"/>
          <w:b/>
          <w:bCs/>
          <w:lang w:val="en"/>
        </w:rPr>
      </w:pPr>
      <w:bookmarkStart w:name="_Toc93489543" w:id="86"/>
      <w:r w:rsidRPr="003260E6">
        <w:rPr>
          <w:rFonts w:ascii="Garamond" w:hAnsi="Garamond"/>
          <w:b/>
          <w:bCs/>
          <w:lang w:val="en"/>
        </w:rPr>
        <w:t>Table B</w:t>
      </w:r>
      <w:r>
        <w:rPr>
          <w:rFonts w:ascii="Garamond" w:hAnsi="Garamond"/>
          <w:b/>
          <w:bCs/>
          <w:lang w:val="en"/>
        </w:rPr>
        <w:t>.5a.</w:t>
      </w:r>
      <w:r w:rsidRPr="003260E6">
        <w:rPr>
          <w:rFonts w:ascii="Garamond" w:hAnsi="Garamond"/>
          <w:b/>
          <w:bCs/>
          <w:lang w:val="en"/>
        </w:rPr>
        <w:t xml:space="preserve"> </w:t>
      </w:r>
      <w:r w:rsidRPr="003260E6">
        <w:rPr>
          <w:rFonts w:ascii="Garamond" w:hAnsi="Garamond"/>
          <w:b/>
          <w:bCs/>
          <w:lang w:val="en"/>
        </w:rPr>
        <w:tab/>
      </w:r>
      <w:r>
        <w:rPr>
          <w:rFonts w:ascii="Garamond" w:hAnsi="Garamond"/>
          <w:b/>
          <w:bCs/>
          <w:lang w:val="en"/>
        </w:rPr>
        <w:t>Standard errors and coefficients of variation for average household food acquisitions during survey week, NFS Pilot</w:t>
      </w:r>
      <w:bookmarkEnd w:id="86"/>
    </w:p>
    <w:p w:rsidR="009534CA" w:rsidP="009534CA" w:rsidRDefault="009534CA" w14:paraId="45361247" w14:textId="77777777">
      <w:pPr>
        <w:spacing w:line="240" w:lineRule="auto"/>
        <w:rPr>
          <w:rFonts w:ascii="Franklin Gothic Medium" w:hAnsi="Franklin Gothic Medium"/>
        </w:rPr>
      </w:pPr>
    </w:p>
    <w:tbl>
      <w:tblPr>
        <w:tblW w:w="3513" w:type="pct"/>
        <w:tblBorders>
          <w:top w:val="single" w:color="000000" w:sz="6" w:space="0"/>
        </w:tblBorders>
        <w:tblCellMar>
          <w:left w:w="0" w:type="dxa"/>
          <w:right w:w="0" w:type="dxa"/>
        </w:tblCellMar>
        <w:tblLook w:val="0000" w:firstRow="0" w:lastRow="0" w:firstColumn="0" w:lastColumn="0" w:noHBand="0" w:noVBand="0"/>
      </w:tblPr>
      <w:tblGrid>
        <w:gridCol w:w="2614"/>
        <w:gridCol w:w="1030"/>
        <w:gridCol w:w="903"/>
        <w:gridCol w:w="904"/>
        <w:gridCol w:w="1120"/>
      </w:tblGrid>
      <w:tr w:rsidRPr="00AA39AD" w:rsidR="009534CA" w:rsidTr="00E42E44" w14:paraId="67134CFA" w14:textId="77777777">
        <w:trPr>
          <w:cantSplit/>
          <w:tblHeader/>
        </w:trPr>
        <w:tc>
          <w:tcPr>
            <w:tcW w:w="1989" w:type="pct"/>
            <w:tcBorders>
              <w:bottom w:val="single" w:color="000000" w:sz="6" w:space="0"/>
            </w:tcBorders>
            <w:shd w:val="clear" w:color="auto" w:fill="B8CCE4" w:themeFill="accent1" w:themeFillTint="66"/>
            <w:tcMar>
              <w:left w:w="60" w:type="dxa"/>
              <w:right w:w="60" w:type="dxa"/>
            </w:tcMar>
            <w:vAlign w:val="bottom"/>
          </w:tcPr>
          <w:p w:rsidRPr="00AA39AD" w:rsidR="009534CA" w:rsidP="000F76BD" w:rsidRDefault="009534CA" w14:paraId="4667FAD2" w14:textId="77777777">
            <w:pPr>
              <w:keepNext/>
              <w:adjustRightInd w:val="0"/>
              <w:spacing w:before="60" w:after="60"/>
              <w:jc w:val="center"/>
              <w:rPr>
                <w:rFonts w:ascii="Franklin Gothic Medium" w:hAnsi="Franklin Gothic Medium" w:cs="Times"/>
                <w:b/>
                <w:bCs/>
                <w:color w:val="000000"/>
                <w:sz w:val="18"/>
                <w:szCs w:val="18"/>
              </w:rPr>
            </w:pPr>
            <w:r w:rsidRPr="00AA39AD">
              <w:rPr>
                <w:rFonts w:ascii="Franklin Gothic Medium" w:hAnsi="Franklin Gothic Medium" w:cs="Times"/>
                <w:b/>
                <w:bCs/>
                <w:color w:val="000000"/>
                <w:sz w:val="18"/>
                <w:szCs w:val="18"/>
              </w:rPr>
              <w:t>Food acquisition estimates</w:t>
            </w:r>
          </w:p>
        </w:tc>
        <w:tc>
          <w:tcPr>
            <w:tcW w:w="784" w:type="pct"/>
            <w:tcBorders>
              <w:top w:val="single" w:color="000000" w:sz="6" w:space="0"/>
              <w:left w:val="single" w:color="000000" w:sz="6" w:space="0"/>
              <w:bottom w:val="single" w:color="000000" w:sz="6" w:space="0"/>
            </w:tcBorders>
            <w:shd w:val="clear" w:color="auto" w:fill="B8CCE4" w:themeFill="accent1" w:themeFillTint="66"/>
            <w:tcMar>
              <w:left w:w="60" w:type="dxa"/>
              <w:right w:w="60" w:type="dxa"/>
            </w:tcMar>
            <w:vAlign w:val="bottom"/>
          </w:tcPr>
          <w:p w:rsidRPr="00AA39AD" w:rsidR="009534CA" w:rsidP="000F76BD" w:rsidRDefault="009534CA" w14:paraId="1E0E19A4" w14:textId="77777777">
            <w:pPr>
              <w:keepNext/>
              <w:adjustRightInd w:val="0"/>
              <w:spacing w:before="60" w:after="60"/>
              <w:jc w:val="center"/>
              <w:rPr>
                <w:rFonts w:ascii="Franklin Gothic Medium" w:hAnsi="Franklin Gothic Medium" w:cs="Times"/>
                <w:b/>
                <w:bCs/>
                <w:color w:val="000000"/>
                <w:sz w:val="18"/>
                <w:szCs w:val="18"/>
              </w:rPr>
            </w:pPr>
            <w:r w:rsidRPr="00AA39AD">
              <w:rPr>
                <w:rFonts w:ascii="Franklin Gothic Medium" w:hAnsi="Franklin Gothic Medium" w:cs="Times"/>
                <w:b/>
                <w:bCs/>
                <w:color w:val="000000"/>
                <w:sz w:val="18"/>
                <w:szCs w:val="18"/>
              </w:rPr>
              <w:t>Unweighted Count</w:t>
            </w:r>
          </w:p>
        </w:tc>
        <w:tc>
          <w:tcPr>
            <w:tcW w:w="687" w:type="pct"/>
            <w:tcBorders>
              <w:top w:val="single" w:color="000000" w:sz="6" w:space="0"/>
              <w:bottom w:val="single" w:color="000000" w:sz="6" w:space="0"/>
            </w:tcBorders>
            <w:shd w:val="clear" w:color="auto" w:fill="B8CCE4" w:themeFill="accent1" w:themeFillTint="66"/>
            <w:tcMar>
              <w:left w:w="60" w:type="dxa"/>
              <w:right w:w="60" w:type="dxa"/>
            </w:tcMar>
            <w:vAlign w:val="bottom"/>
          </w:tcPr>
          <w:p w:rsidRPr="00AA39AD" w:rsidR="009534CA" w:rsidP="000F76BD" w:rsidRDefault="009534CA" w14:paraId="1DFA69C5" w14:textId="77777777">
            <w:pPr>
              <w:keepNext/>
              <w:adjustRightInd w:val="0"/>
              <w:spacing w:before="60" w:after="60"/>
              <w:jc w:val="center"/>
              <w:rPr>
                <w:rFonts w:ascii="Franklin Gothic Medium" w:hAnsi="Franklin Gothic Medium" w:cs="Times"/>
                <w:b/>
                <w:bCs/>
                <w:color w:val="000000"/>
                <w:sz w:val="18"/>
                <w:szCs w:val="18"/>
              </w:rPr>
            </w:pPr>
            <w:r w:rsidRPr="00AA39AD">
              <w:rPr>
                <w:rFonts w:ascii="Franklin Gothic Medium" w:hAnsi="Franklin Gothic Medium" w:cs="Times"/>
                <w:b/>
                <w:bCs/>
                <w:color w:val="000000"/>
                <w:sz w:val="18"/>
                <w:szCs w:val="18"/>
              </w:rPr>
              <w:t>Weighted Mean</w:t>
            </w:r>
          </w:p>
        </w:tc>
        <w:tc>
          <w:tcPr>
            <w:tcW w:w="688" w:type="pct"/>
            <w:tcBorders>
              <w:top w:val="single" w:color="000000" w:sz="6" w:space="0"/>
              <w:bottom w:val="single" w:color="000000" w:sz="6" w:space="0"/>
              <w:right w:val="single" w:color="000000" w:sz="6" w:space="0"/>
            </w:tcBorders>
            <w:shd w:val="clear" w:color="auto" w:fill="B8CCE4" w:themeFill="accent1" w:themeFillTint="66"/>
            <w:tcMar>
              <w:left w:w="60" w:type="dxa"/>
              <w:right w:w="60" w:type="dxa"/>
            </w:tcMar>
            <w:vAlign w:val="bottom"/>
          </w:tcPr>
          <w:p w:rsidRPr="00AA39AD" w:rsidR="009534CA" w:rsidP="00F11333" w:rsidRDefault="00F11333" w14:paraId="2AB85F18" w14:textId="0E540B63">
            <w:pPr>
              <w:keepNext/>
              <w:adjustRightInd w:val="0"/>
              <w:spacing w:before="60" w:after="60"/>
              <w:jc w:val="center"/>
              <w:rPr>
                <w:rFonts w:ascii="Franklin Gothic Medium" w:hAnsi="Franklin Gothic Medium" w:cs="Times"/>
                <w:b/>
                <w:bCs/>
                <w:color w:val="000000"/>
                <w:sz w:val="18"/>
                <w:szCs w:val="18"/>
              </w:rPr>
            </w:pPr>
            <w:r>
              <w:rPr>
                <w:rFonts w:ascii="Franklin Gothic Medium" w:hAnsi="Franklin Gothic Medium" w:cs="Times"/>
                <w:b/>
                <w:bCs/>
                <w:color w:val="000000"/>
                <w:sz w:val="18"/>
                <w:szCs w:val="18"/>
              </w:rPr>
              <w:t>Standard Error</w:t>
            </w:r>
          </w:p>
        </w:tc>
        <w:tc>
          <w:tcPr>
            <w:tcW w:w="852" w:type="pct"/>
            <w:tcBorders>
              <w:top w:val="single" w:color="000000" w:sz="6" w:space="0"/>
              <w:bottom w:val="single" w:color="000000" w:sz="6" w:space="0"/>
              <w:right w:val="single" w:color="000000" w:sz="6" w:space="0"/>
            </w:tcBorders>
            <w:shd w:val="clear" w:color="auto" w:fill="B8CCE4" w:themeFill="accent1" w:themeFillTint="66"/>
          </w:tcPr>
          <w:p w:rsidRPr="00AA39AD" w:rsidR="009534CA" w:rsidP="000F76BD" w:rsidRDefault="009534CA" w14:paraId="7E24DBDB" w14:textId="249FB480">
            <w:pPr>
              <w:keepNext/>
              <w:adjustRightInd w:val="0"/>
              <w:spacing w:before="60" w:after="60"/>
              <w:jc w:val="center"/>
              <w:rPr>
                <w:rFonts w:ascii="Franklin Gothic Medium" w:hAnsi="Franklin Gothic Medium" w:cs="Times"/>
                <w:b/>
                <w:bCs/>
                <w:color w:val="000000"/>
                <w:sz w:val="18"/>
                <w:szCs w:val="18"/>
              </w:rPr>
            </w:pPr>
            <w:r>
              <w:rPr>
                <w:rFonts w:ascii="Franklin Gothic Medium" w:hAnsi="Franklin Gothic Medium" w:cs="Times"/>
                <w:b/>
                <w:bCs/>
                <w:color w:val="000000"/>
                <w:sz w:val="18"/>
                <w:szCs w:val="18"/>
              </w:rPr>
              <w:t>C</w:t>
            </w:r>
            <w:r w:rsidR="00F11333">
              <w:rPr>
                <w:rFonts w:ascii="Franklin Gothic Medium" w:hAnsi="Franklin Gothic Medium" w:cs="Times"/>
                <w:b/>
                <w:bCs/>
                <w:color w:val="000000"/>
                <w:sz w:val="18"/>
                <w:szCs w:val="18"/>
              </w:rPr>
              <w:t>oefficient of V</w:t>
            </w:r>
            <w:r>
              <w:rPr>
                <w:rFonts w:ascii="Franklin Gothic Medium" w:hAnsi="Franklin Gothic Medium" w:cs="Times"/>
                <w:b/>
                <w:bCs/>
                <w:color w:val="000000"/>
                <w:sz w:val="18"/>
                <w:szCs w:val="18"/>
              </w:rPr>
              <w:t>ariation</w:t>
            </w:r>
          </w:p>
        </w:tc>
      </w:tr>
      <w:tr w:rsidRPr="00AA39AD" w:rsidR="009534CA" w:rsidTr="00E42E44" w14:paraId="7FA5056B" w14:textId="77777777">
        <w:trPr>
          <w:cantSplit/>
        </w:trPr>
        <w:tc>
          <w:tcPr>
            <w:tcW w:w="1989" w:type="pct"/>
            <w:tcBorders>
              <w:top w:val="single" w:color="000000" w:sz="6" w:space="0"/>
            </w:tcBorders>
            <w:shd w:val="clear" w:color="auto" w:fill="FFFFFF"/>
            <w:tcMar>
              <w:left w:w="60" w:type="dxa"/>
              <w:right w:w="60" w:type="dxa"/>
            </w:tcMar>
          </w:tcPr>
          <w:p w:rsidRPr="00AA39AD" w:rsidR="009534CA" w:rsidP="000F76BD" w:rsidRDefault="009534CA" w14:paraId="6A7D0CBA" w14:textId="77777777">
            <w:pPr>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food events</w:t>
            </w:r>
          </w:p>
        </w:tc>
        <w:tc>
          <w:tcPr>
            <w:tcW w:w="784" w:type="pct"/>
            <w:tcBorders>
              <w:top w:val="single" w:color="000000" w:sz="6" w:space="0"/>
              <w:left w:val="single" w:color="000000" w:sz="6" w:space="0"/>
            </w:tcBorders>
            <w:shd w:val="clear" w:color="auto" w:fill="FFFFFF"/>
            <w:tcMar>
              <w:left w:w="60" w:type="dxa"/>
              <w:right w:w="60" w:type="dxa"/>
            </w:tcMar>
          </w:tcPr>
          <w:p w:rsidRPr="00D066B0" w:rsidR="009534CA" w:rsidP="000F76BD" w:rsidRDefault="009534CA" w14:paraId="5A5E29B7" w14:textId="7777777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tcBorders>
              <w:top w:val="single" w:color="000000" w:sz="6" w:space="0"/>
            </w:tcBorders>
            <w:shd w:val="clear" w:color="auto" w:fill="FFFFFF"/>
            <w:tcMar>
              <w:left w:w="60" w:type="dxa"/>
              <w:right w:w="60" w:type="dxa"/>
            </w:tcMar>
          </w:tcPr>
          <w:p w:rsidRPr="00D066B0" w:rsidR="009534CA" w:rsidP="000E3B5D" w:rsidRDefault="009534CA" w14:paraId="69732BC4" w14:textId="55494DAE">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10.64</w:t>
            </w:r>
          </w:p>
        </w:tc>
        <w:tc>
          <w:tcPr>
            <w:tcW w:w="688" w:type="pct"/>
            <w:tcBorders>
              <w:top w:val="single" w:color="000000" w:sz="6" w:space="0"/>
              <w:right w:val="single" w:color="000000" w:sz="6" w:space="0"/>
            </w:tcBorders>
            <w:shd w:val="clear" w:color="auto" w:fill="FFFFFF"/>
            <w:tcMar>
              <w:left w:w="60" w:type="dxa"/>
              <w:right w:w="60" w:type="dxa"/>
            </w:tcMar>
          </w:tcPr>
          <w:p w:rsidRPr="00D066B0" w:rsidR="009534CA" w:rsidP="000E3B5D" w:rsidRDefault="009534CA" w14:paraId="0262F9B0" w14:textId="4CCC443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0.903</w:t>
            </w:r>
          </w:p>
        </w:tc>
        <w:tc>
          <w:tcPr>
            <w:tcW w:w="852" w:type="pct"/>
            <w:tcBorders>
              <w:top w:val="single" w:color="000000" w:sz="6" w:space="0"/>
              <w:right w:val="single" w:color="000000" w:sz="6" w:space="0"/>
            </w:tcBorders>
            <w:shd w:val="clear" w:color="auto" w:fill="FFFFFF"/>
            <w:vAlign w:val="center"/>
          </w:tcPr>
          <w:p w:rsidR="009534CA" w:rsidP="000F76BD" w:rsidRDefault="009534CA" w14:paraId="2A11959A" w14:textId="77777777">
            <w:pPr>
              <w:spacing w:line="240" w:lineRule="auto"/>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8.5%</w:t>
            </w:r>
          </w:p>
        </w:tc>
      </w:tr>
      <w:tr w:rsidRPr="00AA39AD" w:rsidR="009534CA" w:rsidTr="00E42E44" w14:paraId="562E830C" w14:textId="77777777">
        <w:trPr>
          <w:cantSplit/>
        </w:trPr>
        <w:tc>
          <w:tcPr>
            <w:tcW w:w="1989" w:type="pct"/>
            <w:shd w:val="clear" w:color="auto" w:fill="FFFFFF"/>
            <w:tcMar>
              <w:left w:w="60" w:type="dxa"/>
              <w:right w:w="60" w:type="dxa"/>
            </w:tcMar>
          </w:tcPr>
          <w:p w:rsidRPr="00AA39AD" w:rsidR="009534CA" w:rsidP="000F76BD" w:rsidRDefault="009534CA" w14:paraId="78CDCDDB" w14:textId="77777777">
            <w:pPr>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food items</w:t>
            </w:r>
          </w:p>
        </w:tc>
        <w:tc>
          <w:tcPr>
            <w:tcW w:w="784" w:type="pct"/>
            <w:tcBorders>
              <w:left w:val="single" w:color="000000" w:sz="6" w:space="0"/>
            </w:tcBorders>
            <w:shd w:val="clear" w:color="auto" w:fill="FFFFFF"/>
            <w:tcMar>
              <w:left w:w="60" w:type="dxa"/>
              <w:right w:w="60" w:type="dxa"/>
            </w:tcMar>
          </w:tcPr>
          <w:p w:rsidRPr="00D066B0" w:rsidR="009534CA" w:rsidP="000F76BD" w:rsidRDefault="009534CA" w14:paraId="0A5F51A8" w14:textId="7777777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shd w:val="clear" w:color="auto" w:fill="FFFFFF"/>
            <w:tcMar>
              <w:left w:w="60" w:type="dxa"/>
              <w:right w:w="60" w:type="dxa"/>
            </w:tcMar>
          </w:tcPr>
          <w:p w:rsidRPr="00D066B0" w:rsidR="009534CA" w:rsidP="000E3B5D" w:rsidRDefault="009534CA" w14:paraId="05CC60B1" w14:textId="0F3FD81A">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33.6</w:t>
            </w:r>
            <w:r w:rsidR="000E3B5D">
              <w:rPr>
                <w:rFonts w:ascii="Franklin Gothic Medium" w:hAnsi="Franklin Gothic Medium" w:cs="Times"/>
                <w:color w:val="000000"/>
                <w:sz w:val="18"/>
                <w:szCs w:val="18"/>
              </w:rPr>
              <w:t>8</w:t>
            </w:r>
          </w:p>
        </w:tc>
        <w:tc>
          <w:tcPr>
            <w:tcW w:w="688" w:type="pct"/>
            <w:tcBorders>
              <w:right w:val="single" w:color="000000" w:sz="6" w:space="0"/>
            </w:tcBorders>
            <w:shd w:val="clear" w:color="auto" w:fill="FFFFFF"/>
            <w:tcMar>
              <w:left w:w="60" w:type="dxa"/>
              <w:right w:w="60" w:type="dxa"/>
            </w:tcMar>
          </w:tcPr>
          <w:p w:rsidRPr="00D066B0" w:rsidR="009534CA" w:rsidP="000E3B5D" w:rsidRDefault="009534CA" w14:paraId="0CA624CB" w14:textId="2354036D">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2.49</w:t>
            </w:r>
            <w:r w:rsidR="000E3B5D">
              <w:rPr>
                <w:rFonts w:ascii="Franklin Gothic Medium" w:hAnsi="Franklin Gothic Medium" w:cs="Times"/>
                <w:color w:val="000000"/>
                <w:sz w:val="18"/>
                <w:szCs w:val="18"/>
              </w:rPr>
              <w:t>3</w:t>
            </w:r>
          </w:p>
        </w:tc>
        <w:tc>
          <w:tcPr>
            <w:tcW w:w="852" w:type="pct"/>
            <w:tcBorders>
              <w:right w:val="single" w:color="000000" w:sz="6" w:space="0"/>
            </w:tcBorders>
            <w:shd w:val="clear" w:color="auto" w:fill="FFFFFF"/>
            <w:vAlign w:val="center"/>
          </w:tcPr>
          <w:p w:rsidR="009534CA" w:rsidP="000F76BD" w:rsidRDefault="009534CA" w14:paraId="5CDE45F4" w14:textId="77777777">
            <w:pPr>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7.4%</w:t>
            </w:r>
          </w:p>
        </w:tc>
      </w:tr>
      <w:tr w:rsidRPr="00AA39AD" w:rsidR="009534CA" w:rsidTr="00E42E44" w14:paraId="14C7D6DD" w14:textId="77777777">
        <w:trPr>
          <w:cantSplit/>
        </w:trPr>
        <w:tc>
          <w:tcPr>
            <w:tcW w:w="1989" w:type="pct"/>
            <w:shd w:val="clear" w:color="auto" w:fill="FFFFFF"/>
            <w:tcMar>
              <w:left w:w="60" w:type="dxa"/>
              <w:right w:w="60" w:type="dxa"/>
            </w:tcMar>
          </w:tcPr>
          <w:p w:rsidRPr="00AA39AD" w:rsidR="009534CA" w:rsidP="000F76BD" w:rsidRDefault="009534CA" w14:paraId="5166424B" w14:textId="77777777">
            <w:pPr>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FAFH events</w:t>
            </w:r>
          </w:p>
        </w:tc>
        <w:tc>
          <w:tcPr>
            <w:tcW w:w="784" w:type="pct"/>
            <w:tcBorders>
              <w:left w:val="single" w:color="000000" w:sz="6" w:space="0"/>
            </w:tcBorders>
            <w:shd w:val="clear" w:color="auto" w:fill="FFFFFF"/>
            <w:tcMar>
              <w:left w:w="60" w:type="dxa"/>
              <w:right w:w="60" w:type="dxa"/>
            </w:tcMar>
          </w:tcPr>
          <w:p w:rsidRPr="00D066B0" w:rsidR="009534CA" w:rsidP="000F76BD" w:rsidRDefault="009534CA" w14:paraId="5B0A1667" w14:textId="7777777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shd w:val="clear" w:color="auto" w:fill="FFFFFF"/>
            <w:tcMar>
              <w:left w:w="60" w:type="dxa"/>
              <w:right w:w="60" w:type="dxa"/>
            </w:tcMar>
          </w:tcPr>
          <w:p w:rsidRPr="00D066B0" w:rsidR="009534CA" w:rsidP="000E3B5D" w:rsidRDefault="009534CA" w14:paraId="2D0A617C" w14:textId="574C9D6B">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6.03</w:t>
            </w:r>
          </w:p>
        </w:tc>
        <w:tc>
          <w:tcPr>
            <w:tcW w:w="688" w:type="pct"/>
            <w:tcBorders>
              <w:right w:val="single" w:color="000000" w:sz="6" w:space="0"/>
            </w:tcBorders>
            <w:shd w:val="clear" w:color="auto" w:fill="FFFFFF"/>
            <w:tcMar>
              <w:left w:w="60" w:type="dxa"/>
              <w:right w:w="60" w:type="dxa"/>
            </w:tcMar>
          </w:tcPr>
          <w:p w:rsidRPr="00D066B0" w:rsidR="009534CA" w:rsidP="000E3B5D" w:rsidRDefault="009534CA" w14:paraId="024A9363" w14:textId="6191CB1C">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0.61</w:t>
            </w:r>
            <w:r w:rsidR="000E3B5D">
              <w:rPr>
                <w:rFonts w:ascii="Franklin Gothic Medium" w:hAnsi="Franklin Gothic Medium" w:cs="Times"/>
                <w:color w:val="000000"/>
                <w:sz w:val="18"/>
                <w:szCs w:val="18"/>
              </w:rPr>
              <w:t>2</w:t>
            </w:r>
          </w:p>
        </w:tc>
        <w:tc>
          <w:tcPr>
            <w:tcW w:w="852" w:type="pct"/>
            <w:tcBorders>
              <w:right w:val="single" w:color="000000" w:sz="6" w:space="0"/>
            </w:tcBorders>
            <w:shd w:val="clear" w:color="auto" w:fill="FFFFFF"/>
            <w:vAlign w:val="center"/>
          </w:tcPr>
          <w:p w:rsidR="009534CA" w:rsidP="000F76BD" w:rsidRDefault="009534CA" w14:paraId="0204FF6E" w14:textId="77777777">
            <w:pPr>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10.1%</w:t>
            </w:r>
          </w:p>
        </w:tc>
      </w:tr>
      <w:tr w:rsidRPr="00AA39AD" w:rsidR="009534CA" w:rsidTr="00E42E44" w14:paraId="0DFCAFCE" w14:textId="77777777">
        <w:trPr>
          <w:cantSplit/>
        </w:trPr>
        <w:tc>
          <w:tcPr>
            <w:tcW w:w="1989" w:type="pct"/>
            <w:shd w:val="clear" w:color="auto" w:fill="FFFFFF"/>
            <w:tcMar>
              <w:left w:w="60" w:type="dxa"/>
              <w:right w:w="60" w:type="dxa"/>
            </w:tcMar>
          </w:tcPr>
          <w:p w:rsidRPr="00AA39AD" w:rsidR="009534CA" w:rsidP="000F76BD" w:rsidRDefault="009534CA" w14:paraId="518A93BA" w14:textId="77777777">
            <w:pPr>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FAFH items</w:t>
            </w:r>
          </w:p>
        </w:tc>
        <w:tc>
          <w:tcPr>
            <w:tcW w:w="784" w:type="pct"/>
            <w:tcBorders>
              <w:left w:val="single" w:color="000000" w:sz="6" w:space="0"/>
            </w:tcBorders>
            <w:shd w:val="clear" w:color="auto" w:fill="FFFFFF"/>
            <w:tcMar>
              <w:left w:w="60" w:type="dxa"/>
              <w:right w:w="60" w:type="dxa"/>
            </w:tcMar>
          </w:tcPr>
          <w:p w:rsidRPr="00D066B0" w:rsidR="009534CA" w:rsidP="000F76BD" w:rsidRDefault="009534CA" w14:paraId="4C5228AB" w14:textId="7777777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shd w:val="clear" w:color="auto" w:fill="FFFFFF"/>
            <w:tcMar>
              <w:left w:w="60" w:type="dxa"/>
              <w:right w:w="60" w:type="dxa"/>
            </w:tcMar>
          </w:tcPr>
          <w:p w:rsidRPr="00D066B0" w:rsidR="009534CA" w:rsidP="000E3B5D" w:rsidRDefault="009534CA" w14:paraId="06EF178B" w14:textId="7BB3F788">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1</w:t>
            </w:r>
            <w:r w:rsidR="000E3B5D">
              <w:rPr>
                <w:rFonts w:ascii="Franklin Gothic Medium" w:hAnsi="Franklin Gothic Medium" w:cs="Times"/>
                <w:color w:val="000000"/>
                <w:sz w:val="18"/>
                <w:szCs w:val="18"/>
              </w:rPr>
              <w:t>2</w:t>
            </w:r>
            <w:r w:rsidRPr="00D066B0">
              <w:rPr>
                <w:rFonts w:ascii="Franklin Gothic Medium" w:hAnsi="Franklin Gothic Medium" w:cs="Times"/>
                <w:color w:val="000000"/>
                <w:sz w:val="18"/>
                <w:szCs w:val="18"/>
              </w:rPr>
              <w:t>.</w:t>
            </w:r>
            <w:r w:rsidR="000E3B5D">
              <w:rPr>
                <w:rFonts w:ascii="Franklin Gothic Medium" w:hAnsi="Franklin Gothic Medium" w:cs="Times"/>
                <w:color w:val="000000"/>
                <w:sz w:val="18"/>
                <w:szCs w:val="18"/>
              </w:rPr>
              <w:t>00</w:t>
            </w:r>
          </w:p>
        </w:tc>
        <w:tc>
          <w:tcPr>
            <w:tcW w:w="688" w:type="pct"/>
            <w:tcBorders>
              <w:right w:val="single" w:color="000000" w:sz="6" w:space="0"/>
            </w:tcBorders>
            <w:shd w:val="clear" w:color="auto" w:fill="FFFFFF"/>
            <w:tcMar>
              <w:left w:w="60" w:type="dxa"/>
              <w:right w:w="60" w:type="dxa"/>
            </w:tcMar>
          </w:tcPr>
          <w:p w:rsidRPr="00D066B0" w:rsidR="009534CA" w:rsidP="000E3B5D" w:rsidRDefault="009534CA" w14:paraId="1D66E6CC" w14:textId="2B7B751E">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1.150</w:t>
            </w:r>
          </w:p>
        </w:tc>
        <w:tc>
          <w:tcPr>
            <w:tcW w:w="852" w:type="pct"/>
            <w:tcBorders>
              <w:right w:val="single" w:color="000000" w:sz="6" w:space="0"/>
            </w:tcBorders>
            <w:shd w:val="clear" w:color="auto" w:fill="FFFFFF"/>
            <w:vAlign w:val="center"/>
          </w:tcPr>
          <w:p w:rsidR="009534CA" w:rsidP="000F76BD" w:rsidRDefault="009534CA" w14:paraId="0FB0D589" w14:textId="77777777">
            <w:pPr>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9.6%</w:t>
            </w:r>
          </w:p>
        </w:tc>
      </w:tr>
      <w:tr w:rsidRPr="00AA39AD" w:rsidR="009534CA" w:rsidTr="00E42E44" w14:paraId="255462CA" w14:textId="77777777">
        <w:trPr>
          <w:cantSplit/>
        </w:trPr>
        <w:tc>
          <w:tcPr>
            <w:tcW w:w="1989" w:type="pct"/>
            <w:shd w:val="clear" w:color="auto" w:fill="FFFFFF"/>
            <w:tcMar>
              <w:left w:w="60" w:type="dxa"/>
              <w:right w:w="60" w:type="dxa"/>
            </w:tcMar>
          </w:tcPr>
          <w:p w:rsidRPr="00AA39AD" w:rsidR="009534CA" w:rsidP="000F76BD" w:rsidRDefault="009534CA" w14:paraId="31F12CCE" w14:textId="77777777">
            <w:pPr>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FAH events</w:t>
            </w:r>
          </w:p>
        </w:tc>
        <w:tc>
          <w:tcPr>
            <w:tcW w:w="784" w:type="pct"/>
            <w:tcBorders>
              <w:left w:val="single" w:color="000000" w:sz="6" w:space="0"/>
            </w:tcBorders>
            <w:shd w:val="clear" w:color="auto" w:fill="FFFFFF"/>
            <w:tcMar>
              <w:left w:w="60" w:type="dxa"/>
              <w:right w:w="60" w:type="dxa"/>
            </w:tcMar>
          </w:tcPr>
          <w:p w:rsidRPr="00D066B0" w:rsidR="009534CA" w:rsidP="000F76BD" w:rsidRDefault="009534CA" w14:paraId="0C50B2CE" w14:textId="7777777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shd w:val="clear" w:color="auto" w:fill="FFFFFF"/>
            <w:tcMar>
              <w:left w:w="60" w:type="dxa"/>
              <w:right w:w="60" w:type="dxa"/>
            </w:tcMar>
          </w:tcPr>
          <w:p w:rsidRPr="00D066B0" w:rsidR="009534CA" w:rsidP="000E3B5D" w:rsidRDefault="009534CA" w14:paraId="0EE845C2" w14:textId="1393FB4B">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4.61</w:t>
            </w:r>
          </w:p>
        </w:tc>
        <w:tc>
          <w:tcPr>
            <w:tcW w:w="688" w:type="pct"/>
            <w:tcBorders>
              <w:right w:val="single" w:color="000000" w:sz="6" w:space="0"/>
            </w:tcBorders>
            <w:shd w:val="clear" w:color="auto" w:fill="FFFFFF"/>
            <w:tcMar>
              <w:left w:w="60" w:type="dxa"/>
              <w:right w:w="60" w:type="dxa"/>
            </w:tcMar>
          </w:tcPr>
          <w:p w:rsidRPr="00D066B0" w:rsidR="009534CA" w:rsidP="000E3B5D" w:rsidRDefault="009534CA" w14:paraId="7FC8CA70" w14:textId="194E1180">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0.396</w:t>
            </w:r>
          </w:p>
        </w:tc>
        <w:tc>
          <w:tcPr>
            <w:tcW w:w="852" w:type="pct"/>
            <w:tcBorders>
              <w:right w:val="single" w:color="000000" w:sz="6" w:space="0"/>
            </w:tcBorders>
            <w:shd w:val="clear" w:color="auto" w:fill="FFFFFF"/>
            <w:vAlign w:val="center"/>
          </w:tcPr>
          <w:p w:rsidR="009534CA" w:rsidP="000F76BD" w:rsidRDefault="009534CA" w14:paraId="550B15E9" w14:textId="77777777">
            <w:pPr>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8.6%</w:t>
            </w:r>
          </w:p>
        </w:tc>
      </w:tr>
      <w:tr w:rsidRPr="00AA39AD" w:rsidR="009534CA" w:rsidTr="00E42E44" w14:paraId="1E098BAB" w14:textId="77777777">
        <w:trPr>
          <w:cantSplit/>
        </w:trPr>
        <w:tc>
          <w:tcPr>
            <w:tcW w:w="1989" w:type="pct"/>
            <w:shd w:val="clear" w:color="auto" w:fill="FFFFFF"/>
            <w:tcMar>
              <w:left w:w="60" w:type="dxa"/>
              <w:right w:w="60" w:type="dxa"/>
            </w:tcMar>
          </w:tcPr>
          <w:p w:rsidRPr="00AA39AD" w:rsidR="009534CA" w:rsidP="000F76BD" w:rsidRDefault="009534CA" w14:paraId="315E9C60" w14:textId="77777777">
            <w:pPr>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FAH items</w:t>
            </w:r>
          </w:p>
        </w:tc>
        <w:tc>
          <w:tcPr>
            <w:tcW w:w="784" w:type="pct"/>
            <w:tcBorders>
              <w:left w:val="single" w:color="000000" w:sz="6" w:space="0"/>
            </w:tcBorders>
            <w:shd w:val="clear" w:color="auto" w:fill="FFFFFF"/>
            <w:tcMar>
              <w:left w:w="60" w:type="dxa"/>
              <w:right w:w="60" w:type="dxa"/>
            </w:tcMar>
          </w:tcPr>
          <w:p w:rsidRPr="00D066B0" w:rsidR="009534CA" w:rsidP="000F76BD" w:rsidRDefault="009534CA" w14:paraId="15A1E32C" w14:textId="7777777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shd w:val="clear" w:color="auto" w:fill="FFFFFF"/>
            <w:tcMar>
              <w:left w:w="60" w:type="dxa"/>
              <w:right w:w="60" w:type="dxa"/>
            </w:tcMar>
          </w:tcPr>
          <w:p w:rsidRPr="00D066B0" w:rsidR="009534CA" w:rsidP="000E3B5D" w:rsidRDefault="009534CA" w14:paraId="7E94CFB8" w14:textId="73BD9B5F">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21.68</w:t>
            </w:r>
          </w:p>
        </w:tc>
        <w:tc>
          <w:tcPr>
            <w:tcW w:w="688" w:type="pct"/>
            <w:tcBorders>
              <w:right w:val="single" w:color="000000" w:sz="6" w:space="0"/>
            </w:tcBorders>
            <w:shd w:val="clear" w:color="auto" w:fill="FFFFFF"/>
            <w:tcMar>
              <w:left w:w="60" w:type="dxa"/>
              <w:right w:w="60" w:type="dxa"/>
            </w:tcMar>
          </w:tcPr>
          <w:p w:rsidRPr="00D066B0" w:rsidR="009534CA" w:rsidP="000E3B5D" w:rsidRDefault="009534CA" w14:paraId="2DF1C3A6" w14:textId="1BD1C72D">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1.65</w:t>
            </w:r>
            <w:r w:rsidR="000E3B5D">
              <w:rPr>
                <w:rFonts w:ascii="Franklin Gothic Medium" w:hAnsi="Franklin Gothic Medium" w:cs="Times"/>
                <w:color w:val="000000"/>
                <w:sz w:val="18"/>
                <w:szCs w:val="18"/>
              </w:rPr>
              <w:t>1</w:t>
            </w:r>
          </w:p>
        </w:tc>
        <w:tc>
          <w:tcPr>
            <w:tcW w:w="852" w:type="pct"/>
            <w:tcBorders>
              <w:right w:val="single" w:color="000000" w:sz="6" w:space="0"/>
            </w:tcBorders>
            <w:shd w:val="clear" w:color="auto" w:fill="FFFFFF"/>
            <w:vAlign w:val="center"/>
          </w:tcPr>
          <w:p w:rsidR="009534CA" w:rsidP="000F76BD" w:rsidRDefault="009534CA" w14:paraId="2EEB903F" w14:textId="77777777">
            <w:pPr>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7.6%</w:t>
            </w:r>
          </w:p>
        </w:tc>
      </w:tr>
      <w:tr w:rsidRPr="00AA39AD" w:rsidR="009534CA" w:rsidTr="00E42E44" w14:paraId="61DD45EC" w14:textId="77777777">
        <w:trPr>
          <w:cantSplit/>
        </w:trPr>
        <w:tc>
          <w:tcPr>
            <w:tcW w:w="1989" w:type="pct"/>
            <w:tcBorders>
              <w:bottom w:val="nil"/>
            </w:tcBorders>
            <w:shd w:val="clear" w:color="auto" w:fill="FFFFFF"/>
            <w:tcMar>
              <w:left w:w="60" w:type="dxa"/>
              <w:right w:w="60" w:type="dxa"/>
            </w:tcMar>
          </w:tcPr>
          <w:p w:rsidRPr="00AA39AD" w:rsidR="009534CA" w:rsidP="000F76BD" w:rsidRDefault="009534CA" w14:paraId="6F3FDD3C" w14:textId="77777777">
            <w:pPr>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free events</w:t>
            </w:r>
          </w:p>
        </w:tc>
        <w:tc>
          <w:tcPr>
            <w:tcW w:w="784" w:type="pct"/>
            <w:tcBorders>
              <w:left w:val="single" w:color="000000" w:sz="6" w:space="0"/>
              <w:bottom w:val="nil"/>
            </w:tcBorders>
            <w:shd w:val="clear" w:color="auto" w:fill="FFFFFF"/>
            <w:tcMar>
              <w:left w:w="60" w:type="dxa"/>
              <w:right w:w="60" w:type="dxa"/>
            </w:tcMar>
          </w:tcPr>
          <w:p w:rsidRPr="00D066B0" w:rsidR="009534CA" w:rsidP="000F76BD" w:rsidRDefault="009534CA" w14:paraId="001736E5" w14:textId="77777777">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tcBorders>
              <w:bottom w:val="nil"/>
            </w:tcBorders>
            <w:shd w:val="clear" w:color="auto" w:fill="FFFFFF"/>
            <w:tcMar>
              <w:left w:w="60" w:type="dxa"/>
              <w:right w:w="60" w:type="dxa"/>
            </w:tcMar>
          </w:tcPr>
          <w:p w:rsidRPr="00D066B0" w:rsidR="009534CA" w:rsidP="000E3B5D" w:rsidRDefault="009534CA" w14:paraId="15A1987B" w14:textId="4CB83992">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2.72</w:t>
            </w:r>
          </w:p>
        </w:tc>
        <w:tc>
          <w:tcPr>
            <w:tcW w:w="688" w:type="pct"/>
            <w:tcBorders>
              <w:bottom w:val="nil"/>
              <w:right w:val="single" w:color="000000" w:sz="6" w:space="0"/>
            </w:tcBorders>
            <w:shd w:val="clear" w:color="auto" w:fill="FFFFFF"/>
            <w:tcMar>
              <w:left w:w="60" w:type="dxa"/>
              <w:right w:w="60" w:type="dxa"/>
            </w:tcMar>
          </w:tcPr>
          <w:p w:rsidRPr="00D066B0" w:rsidR="009534CA" w:rsidP="000E3B5D" w:rsidRDefault="009534CA" w14:paraId="73635D61" w14:textId="258EA1BF">
            <w:pPr>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0.22</w:t>
            </w:r>
            <w:r w:rsidR="000E3B5D">
              <w:rPr>
                <w:rFonts w:ascii="Franklin Gothic Medium" w:hAnsi="Franklin Gothic Medium" w:cs="Times"/>
                <w:color w:val="000000"/>
                <w:sz w:val="18"/>
                <w:szCs w:val="18"/>
              </w:rPr>
              <w:t>5</w:t>
            </w:r>
          </w:p>
        </w:tc>
        <w:tc>
          <w:tcPr>
            <w:tcW w:w="852" w:type="pct"/>
            <w:tcBorders>
              <w:bottom w:val="nil"/>
              <w:right w:val="single" w:color="000000" w:sz="6" w:space="0"/>
            </w:tcBorders>
            <w:shd w:val="clear" w:color="auto" w:fill="FFFFFF"/>
            <w:vAlign w:val="center"/>
          </w:tcPr>
          <w:p w:rsidR="009534CA" w:rsidP="000F76BD" w:rsidRDefault="009534CA" w14:paraId="460250A9" w14:textId="77777777">
            <w:pPr>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8.3%</w:t>
            </w:r>
          </w:p>
        </w:tc>
      </w:tr>
      <w:tr w:rsidRPr="00AA39AD" w:rsidR="009534CA" w:rsidTr="00E42E44" w14:paraId="49D71E5E" w14:textId="77777777">
        <w:trPr>
          <w:cantSplit/>
        </w:trPr>
        <w:tc>
          <w:tcPr>
            <w:tcW w:w="1989" w:type="pct"/>
            <w:tcBorders>
              <w:top w:val="nil"/>
              <w:bottom w:val="single" w:color="000000" w:sz="6" w:space="0"/>
            </w:tcBorders>
            <w:shd w:val="clear" w:color="auto" w:fill="FFFFFF"/>
            <w:tcMar>
              <w:left w:w="60" w:type="dxa"/>
              <w:right w:w="60" w:type="dxa"/>
            </w:tcMar>
          </w:tcPr>
          <w:p w:rsidRPr="00AA39AD" w:rsidR="009534CA" w:rsidP="000F76BD" w:rsidRDefault="009534CA" w14:paraId="00D06979" w14:textId="77777777">
            <w:pPr>
              <w:keepNext/>
              <w:adjustRightInd w:val="0"/>
              <w:spacing w:before="60" w:after="60"/>
              <w:rPr>
                <w:rFonts w:ascii="Franklin Gothic Medium" w:hAnsi="Franklin Gothic Medium" w:cs="Times"/>
                <w:color w:val="000000"/>
                <w:sz w:val="18"/>
                <w:szCs w:val="18"/>
              </w:rPr>
            </w:pPr>
            <w:r w:rsidRPr="00AA39AD">
              <w:rPr>
                <w:rFonts w:ascii="Franklin Gothic Medium" w:hAnsi="Franklin Gothic Medium" w:cs="Times"/>
                <w:color w:val="000000"/>
                <w:sz w:val="18"/>
                <w:szCs w:val="18"/>
              </w:rPr>
              <w:t>Average number of free items</w:t>
            </w:r>
          </w:p>
        </w:tc>
        <w:tc>
          <w:tcPr>
            <w:tcW w:w="784" w:type="pct"/>
            <w:tcBorders>
              <w:top w:val="nil"/>
              <w:left w:val="single" w:color="000000" w:sz="6" w:space="0"/>
              <w:bottom w:val="single" w:color="000000" w:sz="6" w:space="0"/>
            </w:tcBorders>
            <w:shd w:val="clear" w:color="auto" w:fill="FFFFFF"/>
            <w:tcMar>
              <w:left w:w="60" w:type="dxa"/>
              <w:right w:w="60" w:type="dxa"/>
            </w:tcMar>
          </w:tcPr>
          <w:p w:rsidRPr="00D066B0" w:rsidR="009534CA" w:rsidP="000F76BD" w:rsidRDefault="009534CA" w14:paraId="566AE84D" w14:textId="77777777">
            <w:pPr>
              <w:keepNext/>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430</w:t>
            </w:r>
          </w:p>
        </w:tc>
        <w:tc>
          <w:tcPr>
            <w:tcW w:w="687" w:type="pct"/>
            <w:tcBorders>
              <w:top w:val="nil"/>
              <w:bottom w:val="single" w:color="000000" w:sz="6" w:space="0"/>
            </w:tcBorders>
            <w:shd w:val="clear" w:color="auto" w:fill="FFFFFF"/>
            <w:tcMar>
              <w:left w:w="60" w:type="dxa"/>
              <w:right w:w="60" w:type="dxa"/>
            </w:tcMar>
          </w:tcPr>
          <w:p w:rsidRPr="00D066B0" w:rsidR="009534CA" w:rsidP="000E3B5D" w:rsidRDefault="009534CA" w14:paraId="5E5EA54B" w14:textId="32867966">
            <w:pPr>
              <w:keepNext/>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5.7</w:t>
            </w:r>
            <w:r w:rsidR="000E3B5D">
              <w:rPr>
                <w:rFonts w:ascii="Franklin Gothic Medium" w:hAnsi="Franklin Gothic Medium" w:cs="Times"/>
                <w:color w:val="000000"/>
                <w:sz w:val="18"/>
                <w:szCs w:val="18"/>
              </w:rPr>
              <w:t>2</w:t>
            </w:r>
          </w:p>
        </w:tc>
        <w:tc>
          <w:tcPr>
            <w:tcW w:w="688" w:type="pct"/>
            <w:tcBorders>
              <w:top w:val="nil"/>
              <w:bottom w:val="single" w:color="000000" w:sz="6" w:space="0"/>
              <w:right w:val="single" w:color="000000" w:sz="6" w:space="0"/>
            </w:tcBorders>
            <w:shd w:val="clear" w:color="auto" w:fill="FFFFFF"/>
            <w:tcMar>
              <w:left w:w="60" w:type="dxa"/>
              <w:right w:w="60" w:type="dxa"/>
            </w:tcMar>
          </w:tcPr>
          <w:p w:rsidRPr="00D066B0" w:rsidR="009534CA" w:rsidP="000E3B5D" w:rsidRDefault="009534CA" w14:paraId="6FF812F2" w14:textId="19DA8D89">
            <w:pPr>
              <w:keepNext/>
              <w:adjustRightInd w:val="0"/>
              <w:spacing w:before="60" w:after="60"/>
              <w:jc w:val="center"/>
              <w:rPr>
                <w:rFonts w:ascii="Franklin Gothic Medium" w:hAnsi="Franklin Gothic Medium" w:cs="Times"/>
                <w:color w:val="000000"/>
                <w:sz w:val="18"/>
                <w:szCs w:val="18"/>
              </w:rPr>
            </w:pPr>
            <w:r w:rsidRPr="00D066B0">
              <w:rPr>
                <w:rFonts w:ascii="Franklin Gothic Medium" w:hAnsi="Franklin Gothic Medium" w:cs="Times"/>
                <w:color w:val="000000"/>
                <w:sz w:val="18"/>
                <w:szCs w:val="18"/>
              </w:rPr>
              <w:t>0.489</w:t>
            </w:r>
          </w:p>
        </w:tc>
        <w:tc>
          <w:tcPr>
            <w:tcW w:w="852" w:type="pct"/>
            <w:tcBorders>
              <w:top w:val="nil"/>
              <w:bottom w:val="single" w:color="000000" w:sz="6" w:space="0"/>
              <w:right w:val="single" w:color="000000" w:sz="6" w:space="0"/>
            </w:tcBorders>
            <w:shd w:val="clear" w:color="auto" w:fill="FFFFFF"/>
            <w:vAlign w:val="center"/>
          </w:tcPr>
          <w:p w:rsidR="009534CA" w:rsidP="000F76BD" w:rsidRDefault="009534CA" w14:paraId="1AFBD2EA" w14:textId="77777777">
            <w:pPr>
              <w:jc w:val="center"/>
              <w:rPr>
                <w:rFonts w:ascii="Franklin Gothic Medium" w:hAnsi="Franklin Gothic Medium" w:cs="Calibri"/>
                <w:color w:val="000000"/>
                <w:sz w:val="18"/>
                <w:szCs w:val="18"/>
              </w:rPr>
            </w:pPr>
            <w:r>
              <w:rPr>
                <w:rFonts w:ascii="Franklin Gothic Medium" w:hAnsi="Franklin Gothic Medium" w:cs="Calibri"/>
                <w:color w:val="000000"/>
                <w:sz w:val="18"/>
                <w:szCs w:val="18"/>
              </w:rPr>
              <w:t>8.6%</w:t>
            </w:r>
          </w:p>
        </w:tc>
      </w:tr>
    </w:tbl>
    <w:p w:rsidR="009534CA" w:rsidP="009534CA" w:rsidRDefault="009534CA" w14:paraId="5CB4E14D" w14:textId="77777777"/>
    <w:p w:rsidR="00467C13" w:rsidP="004A4445" w:rsidRDefault="00467C13" w14:paraId="31447B7A" w14:textId="77777777">
      <w:pPr>
        <w:pStyle w:val="L1-FlLSp12"/>
      </w:pPr>
    </w:p>
    <w:p w:rsidR="00E42E44" w:rsidRDefault="00E42E44" w14:paraId="78C962C0" w14:textId="77777777">
      <w:pPr>
        <w:spacing w:line="240" w:lineRule="auto"/>
        <w:rPr>
          <w:rFonts w:ascii="Franklin Gothic Medium" w:hAnsi="Franklin Gothic Medium"/>
        </w:rPr>
      </w:pPr>
      <w:r>
        <w:rPr>
          <w:rFonts w:ascii="Franklin Gothic Medium" w:hAnsi="Franklin Gothic Medium"/>
        </w:rPr>
        <w:br w:type="page"/>
      </w:r>
    </w:p>
    <w:p w:rsidRPr="003260E6" w:rsidR="00DA7104" w:rsidP="00DA7104" w:rsidRDefault="00DA7104" w14:paraId="553489BB" w14:textId="654A52DF">
      <w:pPr>
        <w:pStyle w:val="TT-TableTitle"/>
        <w:rPr>
          <w:rFonts w:ascii="Garamond" w:hAnsi="Garamond"/>
          <w:b/>
          <w:bCs/>
          <w:lang w:val="en"/>
        </w:rPr>
      </w:pPr>
      <w:bookmarkStart w:name="_Toc93489544" w:id="87"/>
      <w:r w:rsidRPr="003260E6">
        <w:rPr>
          <w:rFonts w:ascii="Garamond" w:hAnsi="Garamond"/>
          <w:b/>
          <w:bCs/>
          <w:lang w:val="en"/>
        </w:rPr>
        <w:t>Table B</w:t>
      </w:r>
      <w:r>
        <w:rPr>
          <w:rFonts w:ascii="Garamond" w:hAnsi="Garamond"/>
          <w:b/>
          <w:bCs/>
          <w:lang w:val="en"/>
        </w:rPr>
        <w:t>.5b.</w:t>
      </w:r>
      <w:r w:rsidRPr="003260E6">
        <w:rPr>
          <w:rFonts w:ascii="Garamond" w:hAnsi="Garamond"/>
          <w:b/>
          <w:bCs/>
          <w:lang w:val="en"/>
        </w:rPr>
        <w:t xml:space="preserve"> </w:t>
      </w:r>
      <w:r w:rsidRPr="003260E6">
        <w:rPr>
          <w:rFonts w:ascii="Garamond" w:hAnsi="Garamond"/>
          <w:b/>
          <w:bCs/>
          <w:lang w:val="en"/>
        </w:rPr>
        <w:tab/>
      </w:r>
      <w:r w:rsidRPr="00DA7104">
        <w:rPr>
          <w:rFonts w:ascii="Garamond" w:hAnsi="Garamond"/>
          <w:b/>
          <w:bCs/>
        </w:rPr>
        <w:t>Standard errors and coefficients of variation for estimated percentage of overall perception of Food Log for primary respondents, NFS Pilot</w:t>
      </w:r>
      <w:bookmarkEnd w:id="87"/>
    </w:p>
    <w:p w:rsidR="00DA7104" w:rsidP="00E42E44" w:rsidRDefault="00DA7104" w14:paraId="05585347" w14:textId="77777777">
      <w:pPr>
        <w:spacing w:line="240" w:lineRule="auto"/>
        <w:rPr>
          <w:rFonts w:ascii="Franklin Gothic Medium" w:hAnsi="Franklin Gothic Medium"/>
        </w:rPr>
      </w:pPr>
    </w:p>
    <w:p w:rsidR="00467C13" w:rsidP="00E42E44" w:rsidRDefault="00467C13" w14:paraId="29580AC7" w14:textId="77777777">
      <w:pPr>
        <w:spacing w:line="240" w:lineRule="auto"/>
      </w:pPr>
    </w:p>
    <w:tbl>
      <w:tblPr>
        <w:tblW w:w="4398" w:type="pct"/>
        <w:tblInd w:w="3" w:type="dxa"/>
        <w:tblLayout w:type="fixed"/>
        <w:tblCellMar>
          <w:left w:w="0" w:type="dxa"/>
          <w:right w:w="0" w:type="dxa"/>
        </w:tblCellMar>
        <w:tblLook w:val="0000" w:firstRow="0" w:lastRow="0" w:firstColumn="0" w:lastColumn="0" w:noHBand="0" w:noVBand="0"/>
      </w:tblPr>
      <w:tblGrid>
        <w:gridCol w:w="2574"/>
        <w:gridCol w:w="1707"/>
        <w:gridCol w:w="1707"/>
        <w:gridCol w:w="1117"/>
        <w:gridCol w:w="1124"/>
      </w:tblGrid>
      <w:tr w:rsidRPr="005B036C" w:rsidR="00F11333" w:rsidTr="00E42E44" w14:paraId="78317709" w14:textId="77777777">
        <w:trPr>
          <w:cantSplit/>
        </w:trPr>
        <w:tc>
          <w:tcPr>
            <w:tcW w:w="1564" w:type="pct"/>
            <w:tcBorders>
              <w:top w:val="single" w:color="000000" w:sz="6" w:space="0"/>
              <w:left w:val="nil"/>
              <w:bottom w:val="nil"/>
              <w:right w:val="nil"/>
            </w:tcBorders>
            <w:shd w:val="clear" w:color="auto" w:fill="B8CCE4" w:themeFill="accent1" w:themeFillTint="66"/>
            <w:tcMar>
              <w:left w:w="60" w:type="dxa"/>
              <w:right w:w="60" w:type="dxa"/>
            </w:tcMar>
          </w:tcPr>
          <w:p w:rsidR="00F11333" w:rsidP="000F76BD" w:rsidRDefault="00F11333" w14:paraId="45604DE9" w14:textId="77777777">
            <w:pPr>
              <w:pStyle w:val="TX-TableText"/>
              <w:rPr>
                <w:b/>
                <w:sz w:val="18"/>
                <w:szCs w:val="18"/>
              </w:rPr>
            </w:pPr>
          </w:p>
          <w:p w:rsidR="00F11333" w:rsidP="000F76BD" w:rsidRDefault="00F11333" w14:paraId="4E8FDA68" w14:textId="7D4E715F">
            <w:pPr>
              <w:pStyle w:val="TX-TableText"/>
              <w:rPr>
                <w:b/>
                <w:sz w:val="18"/>
                <w:szCs w:val="18"/>
              </w:rPr>
            </w:pPr>
            <w:r>
              <w:rPr>
                <w:b/>
                <w:sz w:val="18"/>
                <w:szCs w:val="18"/>
              </w:rPr>
              <w:t>Overall perception of Food Log</w:t>
            </w:r>
          </w:p>
        </w:tc>
        <w:tc>
          <w:tcPr>
            <w:tcW w:w="1037" w:type="pct"/>
            <w:tcBorders>
              <w:top w:val="single" w:color="000000" w:sz="6" w:space="0"/>
              <w:left w:val="nil"/>
              <w:bottom w:val="nil"/>
              <w:right w:val="nil"/>
            </w:tcBorders>
            <w:shd w:val="clear" w:color="auto" w:fill="B8CCE4" w:themeFill="accent1" w:themeFillTint="66"/>
          </w:tcPr>
          <w:p w:rsidR="00F11333" w:rsidP="000F76BD" w:rsidRDefault="00F11333" w14:paraId="7DF35CF7" w14:textId="77777777">
            <w:pPr>
              <w:pStyle w:val="TX-TableText"/>
              <w:jc w:val="center"/>
              <w:rPr>
                <w:b/>
                <w:sz w:val="18"/>
                <w:szCs w:val="18"/>
              </w:rPr>
            </w:pPr>
          </w:p>
          <w:p w:rsidRPr="00E42E44" w:rsidR="00F11333" w:rsidP="000F76BD" w:rsidRDefault="00F11333" w14:paraId="7FBA94F4" w14:textId="40224665">
            <w:pPr>
              <w:pStyle w:val="TX-TableText"/>
              <w:jc w:val="center"/>
              <w:rPr>
                <w:b/>
                <w:sz w:val="18"/>
                <w:szCs w:val="18"/>
              </w:rPr>
            </w:pPr>
            <w:r w:rsidRPr="00E42E44">
              <w:rPr>
                <w:b/>
                <w:sz w:val="18"/>
                <w:szCs w:val="18"/>
              </w:rPr>
              <w:t>Unweighted Count</w:t>
            </w:r>
          </w:p>
        </w:tc>
        <w:tc>
          <w:tcPr>
            <w:tcW w:w="1037" w:type="pct"/>
            <w:tcBorders>
              <w:top w:val="single" w:color="000000" w:sz="6" w:space="0"/>
              <w:left w:val="nil"/>
              <w:bottom w:val="nil"/>
              <w:right w:val="nil"/>
            </w:tcBorders>
            <w:shd w:val="clear" w:color="auto" w:fill="B8CCE4" w:themeFill="accent1" w:themeFillTint="66"/>
            <w:tcMar>
              <w:left w:w="60" w:type="dxa"/>
              <w:right w:w="60" w:type="dxa"/>
            </w:tcMar>
          </w:tcPr>
          <w:p w:rsidRPr="00E42E44" w:rsidR="00F11333" w:rsidP="000F76BD" w:rsidRDefault="00F11333" w14:paraId="33F1584A" w14:textId="37A4EAD5">
            <w:pPr>
              <w:pStyle w:val="TX-TableText"/>
              <w:jc w:val="center"/>
              <w:rPr>
                <w:b/>
                <w:sz w:val="18"/>
                <w:szCs w:val="18"/>
              </w:rPr>
            </w:pPr>
            <w:r w:rsidRPr="00E42E44">
              <w:rPr>
                <w:b/>
                <w:sz w:val="18"/>
                <w:szCs w:val="18"/>
              </w:rPr>
              <w:t>Weighted Percentage</w:t>
            </w:r>
          </w:p>
        </w:tc>
        <w:tc>
          <w:tcPr>
            <w:tcW w:w="679" w:type="pct"/>
            <w:tcBorders>
              <w:top w:val="single" w:color="000000" w:themeColor="text1" w:sz="4" w:space="0"/>
              <w:left w:val="nil"/>
              <w:bottom w:val="nil"/>
              <w:right w:val="single" w:color="auto" w:sz="4" w:space="0"/>
            </w:tcBorders>
            <w:shd w:val="clear" w:color="auto" w:fill="B8CCE4" w:themeFill="accent1" w:themeFillTint="66"/>
          </w:tcPr>
          <w:p w:rsidRPr="00E42E44" w:rsidR="00F11333" w:rsidP="000F76BD" w:rsidRDefault="00F11333" w14:paraId="4CD4EE44" w14:textId="066CB3E7">
            <w:pPr>
              <w:pStyle w:val="TX-TableText"/>
              <w:jc w:val="center"/>
              <w:rPr>
                <w:b/>
                <w:sz w:val="18"/>
                <w:szCs w:val="18"/>
              </w:rPr>
            </w:pPr>
            <w:r w:rsidRPr="00E42E44">
              <w:rPr>
                <w:b/>
                <w:sz w:val="18"/>
                <w:szCs w:val="18"/>
              </w:rPr>
              <w:t>Standard Error</w:t>
            </w:r>
          </w:p>
        </w:tc>
        <w:tc>
          <w:tcPr>
            <w:tcW w:w="683" w:type="pct"/>
            <w:tcBorders>
              <w:top w:val="single" w:color="000000" w:themeColor="text1" w:sz="4" w:space="0"/>
              <w:left w:val="single" w:color="auto" w:sz="4" w:space="0"/>
              <w:bottom w:val="nil"/>
              <w:right w:val="single" w:color="000000" w:themeColor="text1" w:sz="4" w:space="0"/>
            </w:tcBorders>
            <w:shd w:val="clear" w:color="auto" w:fill="B8CCE4" w:themeFill="accent1" w:themeFillTint="66"/>
          </w:tcPr>
          <w:p w:rsidRPr="00E42E44" w:rsidR="00F11333" w:rsidP="000F76BD" w:rsidRDefault="00F11333" w14:paraId="1FC58950" w14:textId="7F50BD2A">
            <w:pPr>
              <w:pStyle w:val="TX-TableText"/>
              <w:jc w:val="center"/>
              <w:rPr>
                <w:b/>
                <w:sz w:val="18"/>
                <w:szCs w:val="18"/>
              </w:rPr>
            </w:pPr>
            <w:r w:rsidRPr="00E42E44">
              <w:rPr>
                <w:b/>
                <w:sz w:val="18"/>
                <w:szCs w:val="18"/>
              </w:rPr>
              <w:t>Coefficient of Variation</w:t>
            </w:r>
          </w:p>
        </w:tc>
      </w:tr>
      <w:tr w:rsidRPr="005B036C" w:rsidR="00F11333" w:rsidTr="00E42E44" w14:paraId="6718826F" w14:textId="571CF8A4">
        <w:trPr>
          <w:cantSplit/>
        </w:trPr>
        <w:tc>
          <w:tcPr>
            <w:tcW w:w="1564" w:type="pct"/>
            <w:tcBorders>
              <w:top w:val="single" w:color="000000" w:sz="6" w:space="0"/>
              <w:left w:val="nil"/>
              <w:bottom w:val="nil"/>
              <w:right w:val="nil"/>
            </w:tcBorders>
            <w:shd w:val="clear" w:color="auto" w:fill="FFFFFF"/>
            <w:tcMar>
              <w:left w:w="60" w:type="dxa"/>
              <w:right w:w="60" w:type="dxa"/>
            </w:tcMar>
          </w:tcPr>
          <w:p w:rsidRPr="005B036C" w:rsidR="00F11333" w:rsidP="000F76BD" w:rsidRDefault="00F11333" w14:paraId="7127F2E6" w14:textId="77777777">
            <w:pPr>
              <w:pStyle w:val="TX-TableText"/>
              <w:rPr>
                <w:b/>
                <w:sz w:val="18"/>
                <w:szCs w:val="18"/>
              </w:rPr>
            </w:pPr>
            <w:r>
              <w:rPr>
                <w:b/>
                <w:sz w:val="18"/>
                <w:szCs w:val="18"/>
              </w:rPr>
              <w:t>Primary respondents only</w:t>
            </w:r>
          </w:p>
        </w:tc>
        <w:tc>
          <w:tcPr>
            <w:tcW w:w="1037" w:type="pct"/>
            <w:tcBorders>
              <w:top w:val="single" w:color="000000" w:sz="6" w:space="0"/>
              <w:left w:val="nil"/>
              <w:bottom w:val="nil"/>
              <w:right w:val="nil"/>
            </w:tcBorders>
            <w:shd w:val="clear" w:color="auto" w:fill="FFFFFF"/>
          </w:tcPr>
          <w:p w:rsidRPr="005B036C" w:rsidR="00F11333" w:rsidP="000F76BD" w:rsidRDefault="00F11333" w14:paraId="5F1B81BC" w14:textId="77777777">
            <w:pPr>
              <w:pStyle w:val="TX-TableText"/>
              <w:jc w:val="center"/>
              <w:rPr>
                <w:sz w:val="18"/>
                <w:szCs w:val="18"/>
              </w:rPr>
            </w:pPr>
          </w:p>
        </w:tc>
        <w:tc>
          <w:tcPr>
            <w:tcW w:w="1037" w:type="pct"/>
            <w:tcBorders>
              <w:top w:val="single" w:color="000000" w:sz="6" w:space="0"/>
              <w:left w:val="nil"/>
              <w:bottom w:val="nil"/>
              <w:right w:val="nil"/>
            </w:tcBorders>
            <w:shd w:val="clear" w:color="auto" w:fill="FFFFFF"/>
            <w:tcMar>
              <w:left w:w="60" w:type="dxa"/>
              <w:right w:w="60" w:type="dxa"/>
            </w:tcMar>
          </w:tcPr>
          <w:p w:rsidRPr="005B036C" w:rsidR="00F11333" w:rsidP="000F76BD" w:rsidRDefault="00F11333" w14:paraId="249E4DE7" w14:textId="2075B7DE">
            <w:pPr>
              <w:pStyle w:val="TX-TableText"/>
              <w:jc w:val="center"/>
              <w:rPr>
                <w:sz w:val="18"/>
                <w:szCs w:val="18"/>
              </w:rPr>
            </w:pPr>
          </w:p>
        </w:tc>
        <w:tc>
          <w:tcPr>
            <w:tcW w:w="679" w:type="pct"/>
            <w:tcBorders>
              <w:top w:val="single" w:color="000000" w:themeColor="text1" w:sz="4" w:space="0"/>
              <w:left w:val="nil"/>
              <w:bottom w:val="nil"/>
              <w:right w:val="single" w:color="auto" w:sz="4" w:space="0"/>
            </w:tcBorders>
            <w:shd w:val="clear" w:color="auto" w:fill="FFFFFF"/>
          </w:tcPr>
          <w:p w:rsidRPr="005B036C" w:rsidR="00F11333" w:rsidP="000F76BD" w:rsidRDefault="00F11333" w14:paraId="681F6391" w14:textId="77777777">
            <w:pPr>
              <w:pStyle w:val="TX-TableText"/>
              <w:jc w:val="center"/>
              <w:rPr>
                <w:sz w:val="18"/>
                <w:szCs w:val="18"/>
              </w:rPr>
            </w:pPr>
          </w:p>
        </w:tc>
        <w:tc>
          <w:tcPr>
            <w:tcW w:w="683" w:type="pct"/>
            <w:tcBorders>
              <w:top w:val="single" w:color="000000" w:themeColor="text1" w:sz="4" w:space="0"/>
              <w:left w:val="single" w:color="auto" w:sz="4" w:space="0"/>
              <w:bottom w:val="nil"/>
              <w:right w:val="single" w:color="000000" w:themeColor="text1" w:sz="4" w:space="0"/>
            </w:tcBorders>
            <w:shd w:val="clear" w:color="auto" w:fill="FFFFFF"/>
          </w:tcPr>
          <w:p w:rsidRPr="005B036C" w:rsidR="00F11333" w:rsidP="000F76BD" w:rsidRDefault="00F11333" w14:paraId="0D7B7D7A" w14:textId="77777777">
            <w:pPr>
              <w:pStyle w:val="TX-TableText"/>
              <w:jc w:val="center"/>
              <w:rPr>
                <w:sz w:val="18"/>
                <w:szCs w:val="18"/>
              </w:rPr>
            </w:pPr>
          </w:p>
        </w:tc>
      </w:tr>
      <w:tr w:rsidRPr="00557C31" w:rsidR="00F11333" w:rsidTr="00E42E44" w14:paraId="628B41F5" w14:textId="55897940">
        <w:trPr>
          <w:cantSplit/>
        </w:trPr>
        <w:tc>
          <w:tcPr>
            <w:tcW w:w="1564" w:type="pct"/>
            <w:tcBorders>
              <w:top w:val="nil"/>
              <w:left w:val="nil"/>
              <w:bottom w:val="nil"/>
              <w:right w:val="nil"/>
            </w:tcBorders>
            <w:shd w:val="clear" w:color="auto" w:fill="FFFFFF"/>
            <w:tcMar>
              <w:left w:w="60" w:type="dxa"/>
              <w:right w:w="60" w:type="dxa"/>
            </w:tcMar>
          </w:tcPr>
          <w:p w:rsidR="00F11333" w:rsidP="00F11333" w:rsidRDefault="00F11333" w14:paraId="3250DBB4" w14:textId="77777777">
            <w:pPr>
              <w:pStyle w:val="TX-TableText"/>
              <w:ind w:left="203" w:hanging="23"/>
              <w:rPr>
                <w:sz w:val="18"/>
                <w:szCs w:val="18"/>
              </w:rPr>
            </w:pPr>
            <w:r>
              <w:rPr>
                <w:sz w:val="18"/>
                <w:szCs w:val="18"/>
              </w:rPr>
              <w:t>"Very easy"/</w:t>
            </w:r>
          </w:p>
          <w:p w:rsidRPr="005B036C" w:rsidR="00F11333" w:rsidP="00F11333" w:rsidRDefault="00F11333" w14:paraId="63095A23" w14:textId="77777777">
            <w:pPr>
              <w:pStyle w:val="TX-TableText"/>
              <w:ind w:left="203" w:hanging="23"/>
              <w:rPr>
                <w:sz w:val="18"/>
                <w:szCs w:val="18"/>
              </w:rPr>
            </w:pPr>
            <w:r>
              <w:rPr>
                <w:sz w:val="18"/>
                <w:szCs w:val="18"/>
              </w:rPr>
              <w:t>”Never” had problems</w:t>
            </w:r>
            <w:r w:rsidRPr="005B036C">
              <w:rPr>
                <w:sz w:val="18"/>
                <w:szCs w:val="18"/>
              </w:rPr>
              <w:t xml:space="preserve"> </w:t>
            </w:r>
          </w:p>
        </w:tc>
        <w:tc>
          <w:tcPr>
            <w:tcW w:w="1037" w:type="pct"/>
            <w:tcBorders>
              <w:top w:val="nil"/>
              <w:left w:val="nil"/>
              <w:bottom w:val="nil"/>
              <w:right w:val="nil"/>
            </w:tcBorders>
            <w:shd w:val="clear" w:color="auto" w:fill="FFFFFF"/>
            <w:vAlign w:val="center"/>
          </w:tcPr>
          <w:p w:rsidRPr="00557C31" w:rsidR="00F11333" w:rsidP="00F11333" w:rsidRDefault="00F11333" w14:paraId="4AE339AE" w14:textId="0A6DB4ED">
            <w:pPr>
              <w:pStyle w:val="TX-TableText"/>
              <w:jc w:val="center"/>
              <w:rPr>
                <w:rFonts w:cs="Arial"/>
                <w:color w:val="000000"/>
                <w:sz w:val="18"/>
                <w:szCs w:val="18"/>
              </w:rPr>
            </w:pPr>
            <w:r w:rsidRPr="00557C31">
              <w:rPr>
                <w:rFonts w:cs="Arial"/>
                <w:color w:val="000000"/>
                <w:sz w:val="18"/>
                <w:szCs w:val="18"/>
              </w:rPr>
              <w:t>189</w:t>
            </w:r>
          </w:p>
        </w:tc>
        <w:tc>
          <w:tcPr>
            <w:tcW w:w="1037" w:type="pct"/>
            <w:tcBorders>
              <w:top w:val="nil"/>
              <w:left w:val="nil"/>
              <w:bottom w:val="nil"/>
              <w:right w:val="nil"/>
            </w:tcBorders>
            <w:shd w:val="clear" w:color="auto" w:fill="FFFFFF"/>
            <w:tcMar>
              <w:left w:w="60" w:type="dxa"/>
              <w:right w:w="60" w:type="dxa"/>
            </w:tcMar>
            <w:vAlign w:val="center"/>
          </w:tcPr>
          <w:p w:rsidRPr="00557C31" w:rsidR="00F11333" w:rsidP="00F11333" w:rsidRDefault="00F11333" w14:paraId="78D3D112" w14:textId="3D4CEB14">
            <w:pPr>
              <w:pStyle w:val="TX-TableText"/>
              <w:jc w:val="center"/>
              <w:rPr>
                <w:sz w:val="18"/>
                <w:szCs w:val="18"/>
              </w:rPr>
            </w:pPr>
            <w:r w:rsidRPr="00557C31">
              <w:rPr>
                <w:rFonts w:cs="Arial"/>
                <w:color w:val="000000"/>
                <w:sz w:val="18"/>
                <w:szCs w:val="18"/>
              </w:rPr>
              <w:t>47.67</w:t>
            </w:r>
            <w:r>
              <w:rPr>
                <w:rFonts w:cs="Arial"/>
                <w:color w:val="000000"/>
                <w:sz w:val="18"/>
                <w:szCs w:val="18"/>
              </w:rPr>
              <w:t>%</w:t>
            </w:r>
          </w:p>
        </w:tc>
        <w:tc>
          <w:tcPr>
            <w:tcW w:w="679" w:type="pct"/>
            <w:tcBorders>
              <w:top w:val="nil"/>
              <w:left w:val="nil"/>
              <w:bottom w:val="nil"/>
              <w:right w:val="single" w:color="auto" w:sz="4" w:space="0"/>
            </w:tcBorders>
            <w:shd w:val="clear" w:color="auto" w:fill="FFFFFF"/>
            <w:vAlign w:val="center"/>
          </w:tcPr>
          <w:p w:rsidRPr="00557C31" w:rsidR="00F11333" w:rsidP="00F11333" w:rsidRDefault="00F11333" w14:paraId="71089001" w14:textId="77777777">
            <w:pPr>
              <w:pStyle w:val="TX-TableText"/>
              <w:jc w:val="center"/>
              <w:rPr>
                <w:sz w:val="18"/>
                <w:szCs w:val="18"/>
              </w:rPr>
            </w:pPr>
            <w:r w:rsidRPr="00557C31">
              <w:rPr>
                <w:rFonts w:cs="Arial"/>
                <w:color w:val="000000"/>
                <w:sz w:val="18"/>
                <w:szCs w:val="18"/>
              </w:rPr>
              <w:t>3.92</w:t>
            </w:r>
            <w:r>
              <w:rPr>
                <w:rFonts w:cs="Arial"/>
                <w:color w:val="000000"/>
                <w:sz w:val="18"/>
                <w:szCs w:val="18"/>
              </w:rPr>
              <w:t>%</w:t>
            </w:r>
          </w:p>
        </w:tc>
        <w:tc>
          <w:tcPr>
            <w:tcW w:w="683" w:type="pct"/>
            <w:tcBorders>
              <w:top w:val="nil"/>
              <w:left w:val="single" w:color="auto" w:sz="4" w:space="0"/>
              <w:bottom w:val="nil"/>
              <w:right w:val="single" w:color="000000" w:themeColor="text1" w:sz="4" w:space="0"/>
            </w:tcBorders>
            <w:shd w:val="clear" w:color="auto" w:fill="FFFFFF"/>
            <w:vAlign w:val="center"/>
          </w:tcPr>
          <w:p w:rsidRPr="00557C31" w:rsidR="00F11333" w:rsidP="00F11333" w:rsidRDefault="00F11333" w14:paraId="15FD747A" w14:textId="4CBEA0BE">
            <w:pPr>
              <w:pStyle w:val="TX-TableText"/>
              <w:jc w:val="center"/>
              <w:rPr>
                <w:rFonts w:cs="Arial"/>
                <w:color w:val="000000"/>
                <w:sz w:val="18"/>
                <w:szCs w:val="18"/>
              </w:rPr>
            </w:pPr>
            <w:r>
              <w:rPr>
                <w:rFonts w:cs="Arial"/>
                <w:color w:val="000000"/>
                <w:sz w:val="18"/>
                <w:szCs w:val="18"/>
              </w:rPr>
              <w:t>8.2%</w:t>
            </w:r>
          </w:p>
        </w:tc>
      </w:tr>
      <w:tr w:rsidRPr="00557C31" w:rsidR="00F11333" w:rsidTr="00E42E44" w14:paraId="68A3B96E" w14:textId="376A3933">
        <w:trPr>
          <w:cantSplit/>
        </w:trPr>
        <w:tc>
          <w:tcPr>
            <w:tcW w:w="1564" w:type="pct"/>
            <w:tcBorders>
              <w:top w:val="nil"/>
              <w:left w:val="nil"/>
              <w:bottom w:val="nil"/>
              <w:right w:val="nil"/>
            </w:tcBorders>
            <w:shd w:val="clear" w:color="auto" w:fill="FFFFFF"/>
            <w:tcMar>
              <w:left w:w="60" w:type="dxa"/>
              <w:right w:w="60" w:type="dxa"/>
            </w:tcMar>
          </w:tcPr>
          <w:p w:rsidR="00F11333" w:rsidP="00F11333" w:rsidRDefault="00F11333" w14:paraId="136E4992" w14:textId="77777777">
            <w:pPr>
              <w:pStyle w:val="TX-TableText"/>
              <w:ind w:left="203" w:hanging="23"/>
              <w:rPr>
                <w:sz w:val="18"/>
                <w:szCs w:val="18"/>
              </w:rPr>
            </w:pPr>
            <w:r w:rsidRPr="005B036C">
              <w:rPr>
                <w:sz w:val="18"/>
                <w:szCs w:val="18"/>
              </w:rPr>
              <w:t>"Somewhat easy"</w:t>
            </w:r>
            <w:r>
              <w:rPr>
                <w:sz w:val="18"/>
                <w:szCs w:val="18"/>
              </w:rPr>
              <w:t xml:space="preserve">/ </w:t>
            </w:r>
          </w:p>
          <w:p w:rsidRPr="005B036C" w:rsidR="00F11333" w:rsidP="00F11333" w:rsidRDefault="00F11333" w14:paraId="0909194B" w14:textId="77777777">
            <w:pPr>
              <w:pStyle w:val="TX-TableText"/>
              <w:ind w:left="203" w:hanging="23"/>
              <w:rPr>
                <w:sz w:val="18"/>
                <w:szCs w:val="18"/>
              </w:rPr>
            </w:pPr>
            <w:r>
              <w:rPr>
                <w:sz w:val="18"/>
                <w:szCs w:val="18"/>
              </w:rPr>
              <w:t>”Rarely” had problems</w:t>
            </w:r>
          </w:p>
        </w:tc>
        <w:tc>
          <w:tcPr>
            <w:tcW w:w="1037" w:type="pct"/>
            <w:tcBorders>
              <w:top w:val="nil"/>
              <w:left w:val="nil"/>
              <w:bottom w:val="nil"/>
              <w:right w:val="nil"/>
            </w:tcBorders>
            <w:shd w:val="clear" w:color="auto" w:fill="FFFFFF"/>
            <w:vAlign w:val="center"/>
          </w:tcPr>
          <w:p w:rsidRPr="00557C31" w:rsidR="00F11333" w:rsidP="00F11333" w:rsidRDefault="00F11333" w14:paraId="519338C7" w14:textId="2DC29CC6">
            <w:pPr>
              <w:pStyle w:val="TX-TableText"/>
              <w:jc w:val="center"/>
              <w:rPr>
                <w:rFonts w:cs="Arial"/>
                <w:color w:val="000000"/>
                <w:sz w:val="18"/>
                <w:szCs w:val="18"/>
              </w:rPr>
            </w:pPr>
            <w:r w:rsidRPr="00557C31">
              <w:rPr>
                <w:rFonts w:cs="Arial"/>
                <w:color w:val="000000"/>
                <w:sz w:val="18"/>
                <w:szCs w:val="18"/>
              </w:rPr>
              <w:t>84</w:t>
            </w:r>
          </w:p>
        </w:tc>
        <w:tc>
          <w:tcPr>
            <w:tcW w:w="1037" w:type="pct"/>
            <w:tcBorders>
              <w:top w:val="nil"/>
              <w:left w:val="nil"/>
              <w:bottom w:val="nil"/>
              <w:right w:val="nil"/>
            </w:tcBorders>
            <w:shd w:val="clear" w:color="auto" w:fill="FFFFFF"/>
            <w:tcMar>
              <w:left w:w="60" w:type="dxa"/>
              <w:right w:w="60" w:type="dxa"/>
            </w:tcMar>
            <w:vAlign w:val="center"/>
          </w:tcPr>
          <w:p w:rsidRPr="00557C31" w:rsidR="00F11333" w:rsidP="00F11333" w:rsidRDefault="00F11333" w14:paraId="3D1C0F03" w14:textId="0A2892C5">
            <w:pPr>
              <w:pStyle w:val="TX-TableText"/>
              <w:jc w:val="center"/>
              <w:rPr>
                <w:sz w:val="18"/>
                <w:szCs w:val="18"/>
              </w:rPr>
            </w:pPr>
            <w:r w:rsidRPr="00557C31">
              <w:rPr>
                <w:rFonts w:cs="Arial"/>
                <w:color w:val="000000"/>
                <w:sz w:val="18"/>
                <w:szCs w:val="18"/>
              </w:rPr>
              <w:t>22.99</w:t>
            </w:r>
            <w:r>
              <w:rPr>
                <w:rFonts w:cs="Arial"/>
                <w:color w:val="000000"/>
                <w:sz w:val="18"/>
                <w:szCs w:val="18"/>
              </w:rPr>
              <w:t>%</w:t>
            </w:r>
          </w:p>
        </w:tc>
        <w:tc>
          <w:tcPr>
            <w:tcW w:w="679" w:type="pct"/>
            <w:tcBorders>
              <w:top w:val="nil"/>
              <w:left w:val="nil"/>
              <w:bottom w:val="nil"/>
              <w:right w:val="single" w:color="auto" w:sz="4" w:space="0"/>
            </w:tcBorders>
            <w:shd w:val="clear" w:color="auto" w:fill="FFFFFF"/>
            <w:vAlign w:val="center"/>
          </w:tcPr>
          <w:p w:rsidRPr="00557C31" w:rsidR="00F11333" w:rsidP="00F11333" w:rsidRDefault="00F11333" w14:paraId="7878CBD7" w14:textId="77777777">
            <w:pPr>
              <w:pStyle w:val="TX-TableText"/>
              <w:jc w:val="center"/>
              <w:rPr>
                <w:sz w:val="18"/>
                <w:szCs w:val="18"/>
              </w:rPr>
            </w:pPr>
            <w:r w:rsidRPr="00557C31">
              <w:rPr>
                <w:rFonts w:cs="Arial"/>
                <w:color w:val="000000"/>
                <w:sz w:val="18"/>
                <w:szCs w:val="18"/>
              </w:rPr>
              <w:t>2.12</w:t>
            </w:r>
            <w:r>
              <w:rPr>
                <w:rFonts w:cs="Arial"/>
                <w:color w:val="000000"/>
                <w:sz w:val="18"/>
                <w:szCs w:val="18"/>
              </w:rPr>
              <w:t>%</w:t>
            </w:r>
          </w:p>
        </w:tc>
        <w:tc>
          <w:tcPr>
            <w:tcW w:w="683" w:type="pct"/>
            <w:tcBorders>
              <w:top w:val="nil"/>
              <w:left w:val="single" w:color="auto" w:sz="4" w:space="0"/>
              <w:bottom w:val="nil"/>
              <w:right w:val="single" w:color="000000" w:themeColor="text1" w:sz="4" w:space="0"/>
            </w:tcBorders>
            <w:shd w:val="clear" w:color="auto" w:fill="FFFFFF"/>
            <w:vAlign w:val="center"/>
          </w:tcPr>
          <w:p w:rsidRPr="00557C31" w:rsidR="00F11333" w:rsidP="00F11333" w:rsidRDefault="00F11333" w14:paraId="01211AF2" w14:textId="26626CB8">
            <w:pPr>
              <w:pStyle w:val="TX-TableText"/>
              <w:jc w:val="center"/>
              <w:rPr>
                <w:rFonts w:cs="Arial"/>
                <w:color w:val="000000"/>
                <w:sz w:val="18"/>
                <w:szCs w:val="18"/>
              </w:rPr>
            </w:pPr>
            <w:r>
              <w:rPr>
                <w:rFonts w:cs="Arial"/>
                <w:color w:val="000000"/>
                <w:sz w:val="18"/>
                <w:szCs w:val="18"/>
              </w:rPr>
              <w:t>9.2%</w:t>
            </w:r>
          </w:p>
        </w:tc>
      </w:tr>
      <w:tr w:rsidRPr="00557C31" w:rsidR="00F11333" w:rsidTr="00E42E44" w14:paraId="3FC3D30F" w14:textId="6E1358FA">
        <w:trPr>
          <w:cantSplit/>
        </w:trPr>
        <w:tc>
          <w:tcPr>
            <w:tcW w:w="1564" w:type="pct"/>
            <w:tcBorders>
              <w:top w:val="nil"/>
              <w:left w:val="nil"/>
              <w:right w:val="nil"/>
            </w:tcBorders>
            <w:shd w:val="clear" w:color="auto" w:fill="FFFFFF"/>
            <w:tcMar>
              <w:left w:w="60" w:type="dxa"/>
              <w:right w:w="60" w:type="dxa"/>
            </w:tcMar>
          </w:tcPr>
          <w:p w:rsidR="00F11333" w:rsidP="00F11333" w:rsidRDefault="00F11333" w14:paraId="6C0D9B5B" w14:textId="77777777">
            <w:pPr>
              <w:pStyle w:val="TX-TableText"/>
              <w:ind w:left="203" w:hanging="23"/>
              <w:rPr>
                <w:sz w:val="18"/>
                <w:szCs w:val="18"/>
              </w:rPr>
            </w:pPr>
            <w:r w:rsidRPr="005B036C">
              <w:rPr>
                <w:sz w:val="18"/>
                <w:szCs w:val="18"/>
              </w:rPr>
              <w:t>"Neither</w:t>
            </w:r>
            <w:r>
              <w:rPr>
                <w:sz w:val="18"/>
                <w:szCs w:val="18"/>
              </w:rPr>
              <w:t xml:space="preserve"> difficult nor easy”/</w:t>
            </w:r>
          </w:p>
          <w:p w:rsidRPr="005B036C" w:rsidR="00F11333" w:rsidP="00F11333" w:rsidRDefault="00F11333" w14:paraId="610DEF90" w14:textId="77777777">
            <w:pPr>
              <w:pStyle w:val="TX-TableText"/>
              <w:ind w:left="203" w:hanging="23"/>
              <w:rPr>
                <w:sz w:val="18"/>
                <w:szCs w:val="18"/>
              </w:rPr>
            </w:pPr>
            <w:r>
              <w:rPr>
                <w:sz w:val="18"/>
                <w:szCs w:val="18"/>
              </w:rPr>
              <w:t>”Sometimes” had problems</w:t>
            </w:r>
          </w:p>
        </w:tc>
        <w:tc>
          <w:tcPr>
            <w:tcW w:w="1037" w:type="pct"/>
            <w:tcBorders>
              <w:top w:val="nil"/>
              <w:left w:val="nil"/>
              <w:right w:val="nil"/>
            </w:tcBorders>
            <w:shd w:val="clear" w:color="auto" w:fill="FFFFFF"/>
            <w:vAlign w:val="center"/>
          </w:tcPr>
          <w:p w:rsidRPr="00557C31" w:rsidR="00F11333" w:rsidP="00F11333" w:rsidRDefault="00F11333" w14:paraId="5379A47D" w14:textId="1E052602">
            <w:pPr>
              <w:pStyle w:val="TX-TableText"/>
              <w:jc w:val="center"/>
              <w:rPr>
                <w:rFonts w:cs="Arial"/>
                <w:color w:val="000000"/>
                <w:sz w:val="18"/>
                <w:szCs w:val="18"/>
              </w:rPr>
            </w:pPr>
            <w:r w:rsidRPr="00557C31">
              <w:rPr>
                <w:rFonts w:cs="Arial"/>
                <w:color w:val="000000"/>
                <w:sz w:val="18"/>
                <w:szCs w:val="18"/>
              </w:rPr>
              <w:t>40</w:t>
            </w:r>
          </w:p>
        </w:tc>
        <w:tc>
          <w:tcPr>
            <w:tcW w:w="1037" w:type="pct"/>
            <w:tcBorders>
              <w:top w:val="nil"/>
              <w:left w:val="nil"/>
              <w:right w:val="nil"/>
            </w:tcBorders>
            <w:shd w:val="clear" w:color="auto" w:fill="FFFFFF"/>
            <w:tcMar>
              <w:left w:w="60" w:type="dxa"/>
              <w:right w:w="60" w:type="dxa"/>
            </w:tcMar>
            <w:vAlign w:val="center"/>
          </w:tcPr>
          <w:p w:rsidRPr="00557C31" w:rsidR="00F11333" w:rsidP="00F11333" w:rsidRDefault="00F11333" w14:paraId="6EAC4ABD" w14:textId="17F60063">
            <w:pPr>
              <w:pStyle w:val="TX-TableText"/>
              <w:jc w:val="center"/>
              <w:rPr>
                <w:sz w:val="18"/>
                <w:szCs w:val="18"/>
              </w:rPr>
            </w:pPr>
            <w:r w:rsidRPr="00557C31">
              <w:rPr>
                <w:rFonts w:cs="Arial"/>
                <w:color w:val="000000"/>
                <w:sz w:val="18"/>
                <w:szCs w:val="18"/>
              </w:rPr>
              <w:t>11.24</w:t>
            </w:r>
            <w:r>
              <w:rPr>
                <w:rFonts w:cs="Arial"/>
                <w:color w:val="000000"/>
                <w:sz w:val="18"/>
                <w:szCs w:val="18"/>
              </w:rPr>
              <w:t>%</w:t>
            </w:r>
          </w:p>
        </w:tc>
        <w:tc>
          <w:tcPr>
            <w:tcW w:w="679" w:type="pct"/>
            <w:tcBorders>
              <w:top w:val="nil"/>
              <w:left w:val="nil"/>
              <w:right w:val="single" w:color="auto" w:sz="4" w:space="0"/>
            </w:tcBorders>
            <w:shd w:val="clear" w:color="auto" w:fill="FFFFFF"/>
            <w:vAlign w:val="center"/>
          </w:tcPr>
          <w:p w:rsidRPr="00557C31" w:rsidR="00F11333" w:rsidP="00F11333" w:rsidRDefault="00F11333" w14:paraId="62BC3649" w14:textId="77777777">
            <w:pPr>
              <w:pStyle w:val="TX-TableText"/>
              <w:jc w:val="center"/>
              <w:rPr>
                <w:sz w:val="18"/>
                <w:szCs w:val="18"/>
              </w:rPr>
            </w:pPr>
            <w:r w:rsidRPr="00557C31">
              <w:rPr>
                <w:rFonts w:cs="Arial"/>
                <w:color w:val="000000"/>
                <w:sz w:val="18"/>
                <w:szCs w:val="18"/>
              </w:rPr>
              <w:t>2.15</w:t>
            </w:r>
            <w:r>
              <w:rPr>
                <w:rFonts w:cs="Arial"/>
                <w:color w:val="000000"/>
                <w:sz w:val="18"/>
                <w:szCs w:val="18"/>
              </w:rPr>
              <w:t>%</w:t>
            </w:r>
          </w:p>
        </w:tc>
        <w:tc>
          <w:tcPr>
            <w:tcW w:w="683" w:type="pct"/>
            <w:tcBorders>
              <w:top w:val="nil"/>
              <w:left w:val="single" w:color="auto" w:sz="4" w:space="0"/>
              <w:right w:val="single" w:color="000000" w:themeColor="text1" w:sz="4" w:space="0"/>
            </w:tcBorders>
            <w:shd w:val="clear" w:color="auto" w:fill="FFFFFF"/>
            <w:vAlign w:val="center"/>
          </w:tcPr>
          <w:p w:rsidRPr="00557C31" w:rsidR="00F11333" w:rsidP="00F11333" w:rsidRDefault="00F11333" w14:paraId="77496F52" w14:textId="6FDF8335">
            <w:pPr>
              <w:pStyle w:val="TX-TableText"/>
              <w:jc w:val="center"/>
              <w:rPr>
                <w:rFonts w:cs="Arial"/>
                <w:color w:val="000000"/>
                <w:sz w:val="18"/>
                <w:szCs w:val="18"/>
              </w:rPr>
            </w:pPr>
            <w:r>
              <w:rPr>
                <w:rFonts w:cs="Arial"/>
                <w:color w:val="000000"/>
                <w:sz w:val="18"/>
                <w:szCs w:val="18"/>
              </w:rPr>
              <w:t>19.1%</w:t>
            </w:r>
          </w:p>
        </w:tc>
      </w:tr>
      <w:tr w:rsidRPr="00557C31" w:rsidR="00F11333" w:rsidTr="00E42E44" w14:paraId="5BE1A329" w14:textId="574095F2">
        <w:trPr>
          <w:cantSplit/>
        </w:trPr>
        <w:tc>
          <w:tcPr>
            <w:tcW w:w="1564" w:type="pct"/>
            <w:tcBorders>
              <w:top w:val="nil"/>
              <w:left w:val="nil"/>
              <w:right w:val="nil"/>
            </w:tcBorders>
            <w:shd w:val="clear" w:color="auto" w:fill="FFFFFF"/>
            <w:tcMar>
              <w:left w:w="60" w:type="dxa"/>
              <w:right w:w="60" w:type="dxa"/>
            </w:tcMar>
          </w:tcPr>
          <w:p w:rsidR="00F11333" w:rsidP="00F11333" w:rsidRDefault="00F11333" w14:paraId="5684B38D" w14:textId="77777777">
            <w:pPr>
              <w:pStyle w:val="TX-TableText"/>
              <w:ind w:left="203" w:hanging="23"/>
              <w:rPr>
                <w:sz w:val="18"/>
                <w:szCs w:val="18"/>
              </w:rPr>
            </w:pPr>
            <w:r>
              <w:rPr>
                <w:sz w:val="18"/>
                <w:szCs w:val="18"/>
              </w:rPr>
              <w:t>"Somewhat difficult”/</w:t>
            </w:r>
          </w:p>
          <w:p w:rsidRPr="005B036C" w:rsidR="00F11333" w:rsidP="00F11333" w:rsidRDefault="00F11333" w14:paraId="3BE8FE8A" w14:textId="77777777">
            <w:pPr>
              <w:pStyle w:val="TX-TableText"/>
              <w:ind w:left="203" w:hanging="23"/>
              <w:rPr>
                <w:sz w:val="18"/>
                <w:szCs w:val="18"/>
              </w:rPr>
            </w:pPr>
            <w:r>
              <w:rPr>
                <w:sz w:val="18"/>
                <w:szCs w:val="18"/>
              </w:rPr>
              <w:t>”Often” had problems</w:t>
            </w:r>
          </w:p>
        </w:tc>
        <w:tc>
          <w:tcPr>
            <w:tcW w:w="1037" w:type="pct"/>
            <w:tcBorders>
              <w:top w:val="nil"/>
              <w:left w:val="nil"/>
              <w:right w:val="nil"/>
            </w:tcBorders>
            <w:shd w:val="clear" w:color="auto" w:fill="FFFFFF"/>
            <w:vAlign w:val="center"/>
          </w:tcPr>
          <w:p w:rsidRPr="00557C31" w:rsidR="00F11333" w:rsidP="00F11333" w:rsidRDefault="00F11333" w14:paraId="5C543620" w14:textId="468FD88B">
            <w:pPr>
              <w:pStyle w:val="TX-TableText"/>
              <w:jc w:val="center"/>
              <w:rPr>
                <w:rFonts w:cs="Arial"/>
                <w:color w:val="000000"/>
                <w:sz w:val="18"/>
                <w:szCs w:val="18"/>
              </w:rPr>
            </w:pPr>
            <w:r w:rsidRPr="00557C31">
              <w:rPr>
                <w:rFonts w:cs="Arial"/>
                <w:color w:val="000000"/>
                <w:sz w:val="18"/>
                <w:szCs w:val="18"/>
              </w:rPr>
              <w:t>35</w:t>
            </w:r>
          </w:p>
        </w:tc>
        <w:tc>
          <w:tcPr>
            <w:tcW w:w="1037" w:type="pct"/>
            <w:tcBorders>
              <w:top w:val="nil"/>
              <w:left w:val="nil"/>
              <w:right w:val="nil"/>
            </w:tcBorders>
            <w:shd w:val="clear" w:color="auto" w:fill="FFFFFF"/>
            <w:tcMar>
              <w:left w:w="60" w:type="dxa"/>
              <w:right w:w="60" w:type="dxa"/>
            </w:tcMar>
            <w:vAlign w:val="center"/>
          </w:tcPr>
          <w:p w:rsidRPr="00557C31" w:rsidR="00F11333" w:rsidP="00F11333" w:rsidRDefault="00F11333" w14:paraId="7479D78F" w14:textId="7CA83708">
            <w:pPr>
              <w:pStyle w:val="TX-TableText"/>
              <w:jc w:val="center"/>
              <w:rPr>
                <w:sz w:val="18"/>
                <w:szCs w:val="18"/>
              </w:rPr>
            </w:pPr>
            <w:r w:rsidRPr="00557C31">
              <w:rPr>
                <w:rFonts w:cs="Arial"/>
                <w:color w:val="000000"/>
                <w:sz w:val="18"/>
                <w:szCs w:val="18"/>
              </w:rPr>
              <w:t>10.44</w:t>
            </w:r>
            <w:r>
              <w:rPr>
                <w:rFonts w:cs="Arial"/>
                <w:color w:val="000000"/>
                <w:sz w:val="18"/>
                <w:szCs w:val="18"/>
              </w:rPr>
              <w:t>%</w:t>
            </w:r>
          </w:p>
        </w:tc>
        <w:tc>
          <w:tcPr>
            <w:tcW w:w="679" w:type="pct"/>
            <w:tcBorders>
              <w:top w:val="nil"/>
              <w:left w:val="nil"/>
              <w:right w:val="single" w:color="auto" w:sz="4" w:space="0"/>
            </w:tcBorders>
            <w:shd w:val="clear" w:color="auto" w:fill="FFFFFF"/>
            <w:vAlign w:val="center"/>
          </w:tcPr>
          <w:p w:rsidRPr="00557C31" w:rsidR="00F11333" w:rsidP="00F11333" w:rsidRDefault="00F11333" w14:paraId="014F8A94" w14:textId="77777777">
            <w:pPr>
              <w:pStyle w:val="TX-TableText"/>
              <w:jc w:val="center"/>
              <w:rPr>
                <w:sz w:val="18"/>
                <w:szCs w:val="18"/>
              </w:rPr>
            </w:pPr>
            <w:r w:rsidRPr="00557C31">
              <w:rPr>
                <w:rFonts w:cs="Arial"/>
                <w:color w:val="000000"/>
                <w:sz w:val="18"/>
                <w:szCs w:val="18"/>
              </w:rPr>
              <w:t>1.84</w:t>
            </w:r>
            <w:r>
              <w:rPr>
                <w:rFonts w:cs="Arial"/>
                <w:color w:val="000000"/>
                <w:sz w:val="18"/>
                <w:szCs w:val="18"/>
              </w:rPr>
              <w:t>%</w:t>
            </w:r>
          </w:p>
        </w:tc>
        <w:tc>
          <w:tcPr>
            <w:tcW w:w="683" w:type="pct"/>
            <w:tcBorders>
              <w:top w:val="nil"/>
              <w:left w:val="single" w:color="auto" w:sz="4" w:space="0"/>
              <w:right w:val="single" w:color="000000" w:themeColor="text1" w:sz="4" w:space="0"/>
            </w:tcBorders>
            <w:shd w:val="clear" w:color="auto" w:fill="FFFFFF"/>
            <w:vAlign w:val="center"/>
          </w:tcPr>
          <w:p w:rsidRPr="00557C31" w:rsidR="00F11333" w:rsidP="00F11333" w:rsidRDefault="00F11333" w14:paraId="63C55A2D" w14:textId="7F1BE1AF">
            <w:pPr>
              <w:pStyle w:val="TX-TableText"/>
              <w:jc w:val="center"/>
              <w:rPr>
                <w:rFonts w:cs="Arial"/>
                <w:color w:val="000000"/>
                <w:sz w:val="18"/>
                <w:szCs w:val="18"/>
              </w:rPr>
            </w:pPr>
            <w:r>
              <w:rPr>
                <w:rFonts w:cs="Arial"/>
                <w:color w:val="000000"/>
                <w:sz w:val="18"/>
                <w:szCs w:val="18"/>
              </w:rPr>
              <w:t>17.6%</w:t>
            </w:r>
          </w:p>
        </w:tc>
      </w:tr>
      <w:tr w:rsidRPr="00557C31" w:rsidR="00F11333" w:rsidTr="00E42E44" w14:paraId="4003EDCD" w14:textId="25215474">
        <w:trPr>
          <w:cantSplit/>
        </w:trPr>
        <w:tc>
          <w:tcPr>
            <w:tcW w:w="1564" w:type="pct"/>
            <w:tcBorders>
              <w:top w:val="nil"/>
              <w:left w:val="nil"/>
              <w:right w:val="nil"/>
            </w:tcBorders>
            <w:shd w:val="clear" w:color="auto" w:fill="FFFFFF"/>
            <w:tcMar>
              <w:left w:w="60" w:type="dxa"/>
              <w:right w:w="60" w:type="dxa"/>
            </w:tcMar>
          </w:tcPr>
          <w:p w:rsidRPr="005B036C" w:rsidR="00F11333" w:rsidP="00F11333" w:rsidRDefault="00F11333" w14:paraId="7A3D3475" w14:textId="77777777">
            <w:pPr>
              <w:pStyle w:val="TX-TableText"/>
              <w:ind w:left="203" w:hanging="23"/>
              <w:rPr>
                <w:sz w:val="18"/>
                <w:szCs w:val="18"/>
              </w:rPr>
            </w:pPr>
            <w:r w:rsidRPr="005B036C">
              <w:rPr>
                <w:sz w:val="18"/>
                <w:szCs w:val="18"/>
              </w:rPr>
              <w:t>"Very difficult"</w:t>
            </w:r>
            <w:r>
              <w:rPr>
                <w:sz w:val="18"/>
                <w:szCs w:val="18"/>
              </w:rPr>
              <w:t>/ ”Almost always” had problems</w:t>
            </w:r>
          </w:p>
        </w:tc>
        <w:tc>
          <w:tcPr>
            <w:tcW w:w="1037" w:type="pct"/>
            <w:tcBorders>
              <w:top w:val="nil"/>
              <w:left w:val="nil"/>
              <w:right w:val="nil"/>
            </w:tcBorders>
            <w:shd w:val="clear" w:color="auto" w:fill="FFFFFF"/>
            <w:vAlign w:val="center"/>
          </w:tcPr>
          <w:p w:rsidRPr="00557C31" w:rsidR="00F11333" w:rsidP="00F11333" w:rsidRDefault="00F11333" w14:paraId="044F6EE8" w14:textId="177320B8">
            <w:pPr>
              <w:pStyle w:val="TX-TableText"/>
              <w:jc w:val="center"/>
              <w:rPr>
                <w:rFonts w:cs="Arial"/>
                <w:color w:val="000000"/>
                <w:sz w:val="18"/>
                <w:szCs w:val="18"/>
              </w:rPr>
            </w:pPr>
            <w:r w:rsidRPr="00557C31">
              <w:rPr>
                <w:rFonts w:cs="Arial"/>
                <w:color w:val="000000"/>
                <w:sz w:val="18"/>
                <w:szCs w:val="18"/>
              </w:rPr>
              <w:t>28</w:t>
            </w:r>
          </w:p>
        </w:tc>
        <w:tc>
          <w:tcPr>
            <w:tcW w:w="1037" w:type="pct"/>
            <w:tcBorders>
              <w:top w:val="nil"/>
              <w:left w:val="nil"/>
              <w:right w:val="nil"/>
            </w:tcBorders>
            <w:shd w:val="clear" w:color="auto" w:fill="FFFFFF"/>
            <w:tcMar>
              <w:left w:w="60" w:type="dxa"/>
              <w:right w:w="60" w:type="dxa"/>
            </w:tcMar>
            <w:vAlign w:val="center"/>
          </w:tcPr>
          <w:p w:rsidRPr="00557C31" w:rsidR="00F11333" w:rsidP="00F11333" w:rsidRDefault="00F11333" w14:paraId="1912612C" w14:textId="25AD4C28">
            <w:pPr>
              <w:pStyle w:val="TX-TableText"/>
              <w:jc w:val="center"/>
              <w:rPr>
                <w:sz w:val="18"/>
                <w:szCs w:val="18"/>
              </w:rPr>
            </w:pPr>
            <w:r w:rsidRPr="00557C31">
              <w:rPr>
                <w:rFonts w:cs="Arial"/>
                <w:color w:val="000000"/>
                <w:sz w:val="18"/>
                <w:szCs w:val="18"/>
              </w:rPr>
              <w:t>7.65</w:t>
            </w:r>
            <w:r>
              <w:rPr>
                <w:rFonts w:cs="Arial"/>
                <w:color w:val="000000"/>
                <w:sz w:val="18"/>
                <w:szCs w:val="18"/>
              </w:rPr>
              <w:t>%</w:t>
            </w:r>
          </w:p>
        </w:tc>
        <w:tc>
          <w:tcPr>
            <w:tcW w:w="679" w:type="pct"/>
            <w:tcBorders>
              <w:top w:val="nil"/>
              <w:left w:val="nil"/>
              <w:right w:val="single" w:color="auto" w:sz="4" w:space="0"/>
            </w:tcBorders>
            <w:shd w:val="clear" w:color="auto" w:fill="FFFFFF"/>
            <w:vAlign w:val="center"/>
          </w:tcPr>
          <w:p w:rsidRPr="00557C31" w:rsidR="00F11333" w:rsidP="00F11333" w:rsidRDefault="00F11333" w14:paraId="7126816A" w14:textId="77777777">
            <w:pPr>
              <w:pStyle w:val="TX-TableText"/>
              <w:jc w:val="center"/>
              <w:rPr>
                <w:sz w:val="18"/>
                <w:szCs w:val="18"/>
              </w:rPr>
            </w:pPr>
            <w:r w:rsidRPr="00557C31">
              <w:rPr>
                <w:rFonts w:cs="Arial"/>
                <w:color w:val="000000"/>
                <w:sz w:val="18"/>
                <w:szCs w:val="18"/>
              </w:rPr>
              <w:t>1.91</w:t>
            </w:r>
            <w:r>
              <w:rPr>
                <w:rFonts w:cs="Arial"/>
                <w:color w:val="000000"/>
                <w:sz w:val="18"/>
                <w:szCs w:val="18"/>
              </w:rPr>
              <w:t>%</w:t>
            </w:r>
          </w:p>
        </w:tc>
        <w:tc>
          <w:tcPr>
            <w:tcW w:w="683" w:type="pct"/>
            <w:tcBorders>
              <w:top w:val="nil"/>
              <w:left w:val="single" w:color="auto" w:sz="4" w:space="0"/>
              <w:right w:val="single" w:color="000000" w:themeColor="text1" w:sz="4" w:space="0"/>
            </w:tcBorders>
            <w:shd w:val="clear" w:color="auto" w:fill="FFFFFF"/>
            <w:vAlign w:val="center"/>
          </w:tcPr>
          <w:p w:rsidRPr="00557C31" w:rsidR="00F11333" w:rsidP="00F11333" w:rsidRDefault="00F11333" w14:paraId="0AB1B365" w14:textId="77FD0D75">
            <w:pPr>
              <w:pStyle w:val="TX-TableText"/>
              <w:jc w:val="center"/>
              <w:rPr>
                <w:rFonts w:cs="Arial"/>
                <w:color w:val="000000"/>
                <w:sz w:val="18"/>
                <w:szCs w:val="18"/>
              </w:rPr>
            </w:pPr>
            <w:r>
              <w:rPr>
                <w:rFonts w:cs="Arial"/>
                <w:color w:val="000000"/>
                <w:sz w:val="18"/>
                <w:szCs w:val="18"/>
              </w:rPr>
              <w:t>25.0%</w:t>
            </w:r>
          </w:p>
        </w:tc>
      </w:tr>
      <w:tr w:rsidRPr="00557C31" w:rsidR="00F11333" w:rsidTr="00E42E44" w14:paraId="0A5102CF" w14:textId="3F6E7170">
        <w:trPr>
          <w:cantSplit/>
        </w:trPr>
        <w:tc>
          <w:tcPr>
            <w:tcW w:w="1564" w:type="pct"/>
            <w:tcBorders>
              <w:top w:val="nil"/>
              <w:left w:val="nil"/>
              <w:bottom w:val="single" w:color="auto" w:sz="4" w:space="0"/>
              <w:right w:val="nil"/>
            </w:tcBorders>
            <w:shd w:val="clear" w:color="auto" w:fill="FFFFFF"/>
            <w:tcMar>
              <w:left w:w="60" w:type="dxa"/>
              <w:right w:w="60" w:type="dxa"/>
            </w:tcMar>
          </w:tcPr>
          <w:p w:rsidRPr="005B036C" w:rsidR="00F11333" w:rsidP="00F11333" w:rsidRDefault="00F11333" w14:paraId="209BF2B7" w14:textId="77777777">
            <w:pPr>
              <w:pStyle w:val="TX-TableText"/>
              <w:rPr>
                <w:sz w:val="18"/>
                <w:szCs w:val="18"/>
              </w:rPr>
            </w:pPr>
            <w:r>
              <w:rPr>
                <w:sz w:val="18"/>
                <w:szCs w:val="18"/>
              </w:rPr>
              <w:t>Total</w:t>
            </w:r>
          </w:p>
        </w:tc>
        <w:tc>
          <w:tcPr>
            <w:tcW w:w="1037" w:type="pct"/>
            <w:tcBorders>
              <w:top w:val="nil"/>
              <w:left w:val="nil"/>
              <w:bottom w:val="single" w:color="auto" w:sz="4" w:space="0"/>
              <w:right w:val="nil"/>
            </w:tcBorders>
            <w:shd w:val="clear" w:color="auto" w:fill="FFFFFF"/>
            <w:vAlign w:val="center"/>
          </w:tcPr>
          <w:p w:rsidRPr="00557C31" w:rsidR="00F11333" w:rsidP="00F11333" w:rsidRDefault="00F11333" w14:paraId="1CEDDC73" w14:textId="36BAEC9D">
            <w:pPr>
              <w:pStyle w:val="TX-TableText"/>
              <w:jc w:val="center"/>
              <w:rPr>
                <w:sz w:val="18"/>
                <w:szCs w:val="18"/>
              </w:rPr>
            </w:pPr>
            <w:r w:rsidRPr="00557C31">
              <w:rPr>
                <w:sz w:val="18"/>
                <w:szCs w:val="18"/>
              </w:rPr>
              <w:t>376</w:t>
            </w:r>
          </w:p>
        </w:tc>
        <w:tc>
          <w:tcPr>
            <w:tcW w:w="1037" w:type="pct"/>
            <w:tcBorders>
              <w:top w:val="nil"/>
              <w:left w:val="nil"/>
              <w:bottom w:val="single" w:color="auto" w:sz="4" w:space="0"/>
              <w:right w:val="nil"/>
            </w:tcBorders>
            <w:shd w:val="clear" w:color="auto" w:fill="FFFFFF"/>
            <w:tcMar>
              <w:left w:w="60" w:type="dxa"/>
              <w:right w:w="60" w:type="dxa"/>
            </w:tcMar>
            <w:vAlign w:val="center"/>
          </w:tcPr>
          <w:p w:rsidRPr="00557C31" w:rsidR="00F11333" w:rsidP="00F11333" w:rsidRDefault="00F11333" w14:paraId="19BB1ABE" w14:textId="765E5B9F">
            <w:pPr>
              <w:pStyle w:val="TX-TableText"/>
              <w:jc w:val="center"/>
              <w:rPr>
                <w:sz w:val="18"/>
                <w:szCs w:val="18"/>
              </w:rPr>
            </w:pPr>
            <w:r w:rsidRPr="00557C31">
              <w:rPr>
                <w:sz w:val="18"/>
                <w:szCs w:val="18"/>
              </w:rPr>
              <w:t>100.00%</w:t>
            </w:r>
          </w:p>
        </w:tc>
        <w:tc>
          <w:tcPr>
            <w:tcW w:w="679" w:type="pct"/>
            <w:tcBorders>
              <w:top w:val="nil"/>
              <w:left w:val="nil"/>
              <w:bottom w:val="single" w:color="auto" w:sz="4" w:space="0"/>
              <w:right w:val="single" w:color="auto" w:sz="4" w:space="0"/>
            </w:tcBorders>
            <w:shd w:val="clear" w:color="auto" w:fill="FFFFFF"/>
            <w:vAlign w:val="center"/>
          </w:tcPr>
          <w:p w:rsidRPr="00557C31" w:rsidR="00F11333" w:rsidP="00F11333" w:rsidRDefault="00F11333" w14:paraId="39FDB0B5" w14:textId="77777777">
            <w:pPr>
              <w:pStyle w:val="TX-TableText"/>
              <w:jc w:val="center"/>
              <w:rPr>
                <w:sz w:val="18"/>
                <w:szCs w:val="18"/>
              </w:rPr>
            </w:pPr>
          </w:p>
        </w:tc>
        <w:tc>
          <w:tcPr>
            <w:tcW w:w="683" w:type="pct"/>
            <w:tcBorders>
              <w:top w:val="nil"/>
              <w:left w:val="single" w:color="auto" w:sz="4" w:space="0"/>
              <w:bottom w:val="single" w:color="auto" w:sz="4" w:space="0"/>
              <w:right w:val="single" w:color="000000" w:themeColor="text1" w:sz="4" w:space="0"/>
            </w:tcBorders>
            <w:shd w:val="clear" w:color="auto" w:fill="FFFFFF"/>
            <w:vAlign w:val="center"/>
          </w:tcPr>
          <w:p w:rsidRPr="00557C31" w:rsidR="00F11333" w:rsidP="00F11333" w:rsidRDefault="00F11333" w14:paraId="0B02B1A1" w14:textId="77777777">
            <w:pPr>
              <w:pStyle w:val="TX-TableText"/>
              <w:jc w:val="center"/>
              <w:rPr>
                <w:sz w:val="18"/>
                <w:szCs w:val="18"/>
              </w:rPr>
            </w:pPr>
          </w:p>
        </w:tc>
      </w:tr>
    </w:tbl>
    <w:p w:rsidR="00572D06" w:rsidP="00E42E44" w:rsidRDefault="00AD0B6B" w14:paraId="127EEA1A" w14:textId="120093CA">
      <w:pPr>
        <w:pStyle w:val="L1-FlLSp12"/>
      </w:pPr>
      <w:r>
        <w:t xml:space="preserve"> </w:t>
      </w:r>
      <w:r w:rsidR="00467C13">
        <w:t xml:space="preserve"> </w:t>
      </w:r>
    </w:p>
    <w:p w:rsidR="009A73F3" w:rsidP="001B265D" w:rsidRDefault="009A73F3" w14:paraId="5AE35691" w14:textId="77777777">
      <w:pPr>
        <w:pStyle w:val="L1-FlLSp12"/>
      </w:pPr>
    </w:p>
    <w:p w:rsidR="00EF6A3E" w:rsidP="00E329A7" w:rsidRDefault="00327463" w14:paraId="33BA575B" w14:textId="70C1BFC7">
      <w:pPr>
        <w:pStyle w:val="Heading3"/>
      </w:pPr>
      <w:bookmarkStart w:name="_Toc513794215" w:id="88"/>
      <w:bookmarkStart w:name="_Toc74205155" w:id="89"/>
      <w:r>
        <w:t>Specialized Sampling Procedures</w:t>
      </w:r>
      <w:bookmarkEnd w:id="88"/>
      <w:bookmarkEnd w:id="89"/>
    </w:p>
    <w:p w:rsidR="00ED1C42" w:rsidP="004030DC" w:rsidRDefault="00C70A4E" w14:paraId="53AA4383" w14:textId="2BC8BCFE">
      <w:pPr>
        <w:pStyle w:val="L1-FlLSp12"/>
        <w:rPr>
          <w:rFonts w:eastAsiaTheme="minorEastAsia"/>
        </w:rPr>
      </w:pPr>
      <w:r>
        <w:rPr>
          <w:rFonts w:eastAsiaTheme="minorEastAsia"/>
          <w:b/>
        </w:rPr>
        <w:t xml:space="preserve">Incentive: </w:t>
      </w:r>
      <w:r w:rsidR="0061379A">
        <w:rPr>
          <w:rFonts w:eastAsiaTheme="minorEastAsia"/>
        </w:rPr>
        <w:t xml:space="preserve">The </w:t>
      </w:r>
      <w:r w:rsidR="00781C57">
        <w:rPr>
          <w:rFonts w:eastAsiaTheme="minorEastAsia"/>
        </w:rPr>
        <w:t>NF</w:t>
      </w:r>
      <w:r w:rsidR="009652EE">
        <w:rPr>
          <w:rFonts w:eastAsiaTheme="minorEastAsia"/>
        </w:rPr>
        <w:t xml:space="preserve">S </w:t>
      </w:r>
      <w:r w:rsidR="00BF2AFE">
        <w:rPr>
          <w:rFonts w:eastAsiaTheme="minorEastAsia"/>
        </w:rPr>
        <w:t>Pilot</w:t>
      </w:r>
      <w:r w:rsidR="0061379A">
        <w:rPr>
          <w:rFonts w:eastAsiaTheme="minorEastAsia"/>
        </w:rPr>
        <w:t xml:space="preserve"> offered incentives for completing each household interview (Initial and Final), with additional incentives for each household member for completing the Food</w:t>
      </w:r>
      <w:r w:rsidR="00A1651C">
        <w:rPr>
          <w:rFonts w:eastAsiaTheme="minorEastAsia"/>
        </w:rPr>
        <w:t xml:space="preserve"> </w:t>
      </w:r>
      <w:r w:rsidR="0061379A">
        <w:rPr>
          <w:rFonts w:eastAsiaTheme="minorEastAsia"/>
        </w:rPr>
        <w:t>Log each day and the Income Worksheet (</w:t>
      </w:r>
      <w:r w:rsidR="00781C57">
        <w:rPr>
          <w:rFonts w:eastAsiaTheme="minorEastAsia"/>
        </w:rPr>
        <w:t>when</w:t>
      </w:r>
      <w:r w:rsidR="0061379A">
        <w:rPr>
          <w:rFonts w:eastAsiaTheme="minorEastAsia"/>
        </w:rPr>
        <w:t xml:space="preserve"> applicable)</w:t>
      </w:r>
      <w:r w:rsidR="00DC2FEA">
        <w:rPr>
          <w:rFonts w:eastAsiaTheme="minorEastAsia"/>
        </w:rPr>
        <w:t>.</w:t>
      </w:r>
      <w:r w:rsidR="0061379A">
        <w:rPr>
          <w:rFonts w:eastAsiaTheme="minorEastAsia"/>
        </w:rPr>
        <w:t xml:space="preserve"> </w:t>
      </w:r>
      <w:r w:rsidR="00ED1C42">
        <w:rPr>
          <w:rFonts w:eastAsiaTheme="minorEastAsia"/>
        </w:rPr>
        <w:t>Table B.</w:t>
      </w:r>
      <w:r w:rsidR="00CB2656">
        <w:rPr>
          <w:rFonts w:eastAsiaTheme="minorEastAsia"/>
        </w:rPr>
        <w:t>6</w:t>
      </w:r>
      <w:r w:rsidR="00DC2FEA">
        <w:rPr>
          <w:rFonts w:eastAsiaTheme="minorEastAsia"/>
        </w:rPr>
        <w:t>a</w:t>
      </w:r>
      <w:r w:rsidR="00ED1C42">
        <w:rPr>
          <w:rFonts w:eastAsiaTheme="minorEastAsia"/>
        </w:rPr>
        <w:t xml:space="preserve"> (the top panel) displays the incentives for 1 to 4 person households, but incentive amounts for larger households can be extrapolated from the information provided. For example, a 5-person household in the </w:t>
      </w:r>
      <w:r w:rsidR="00781C57">
        <w:rPr>
          <w:rFonts w:eastAsiaTheme="minorEastAsia"/>
        </w:rPr>
        <w:t>NF</w:t>
      </w:r>
      <w:r w:rsidR="009652EE">
        <w:rPr>
          <w:rFonts w:eastAsiaTheme="minorEastAsia"/>
        </w:rPr>
        <w:t xml:space="preserve">S </w:t>
      </w:r>
      <w:r w:rsidR="00ED1C42">
        <w:rPr>
          <w:rFonts w:eastAsiaTheme="minorEastAsia"/>
        </w:rPr>
        <w:t>Pilot could earn a maximum of $210: $189 (the 4-person maximum given in the table) plus $21 ($3 times 7 days, the maximum an additional person could earn for Food</w:t>
      </w:r>
      <w:r w:rsidR="00A1651C">
        <w:rPr>
          <w:rFonts w:eastAsiaTheme="minorEastAsia"/>
        </w:rPr>
        <w:t xml:space="preserve"> </w:t>
      </w:r>
      <w:r w:rsidR="00ED1C42">
        <w:rPr>
          <w:rFonts w:eastAsiaTheme="minorEastAsia"/>
        </w:rPr>
        <w:t>Log completion).</w:t>
      </w:r>
      <w:r w:rsidRPr="00DE4CBA" w:rsidR="00ED1C42">
        <w:rPr>
          <w:rFonts w:eastAsiaTheme="minorEastAsia"/>
        </w:rPr>
        <w:t xml:space="preserve"> </w:t>
      </w:r>
    </w:p>
    <w:p w:rsidR="00ED1C42" w:rsidP="004030DC" w:rsidRDefault="00ED1C42" w14:paraId="156C8136" w14:textId="77777777">
      <w:pPr>
        <w:pStyle w:val="L1-FlLSp12"/>
        <w:rPr>
          <w:rFonts w:eastAsiaTheme="minorEastAsia"/>
        </w:rPr>
      </w:pPr>
    </w:p>
    <w:p w:rsidR="00E7275D" w:rsidP="00CB3438" w:rsidRDefault="004030DC" w14:paraId="21961DF2" w14:textId="514DFD1E">
      <w:pPr>
        <w:pStyle w:val="L1-FlLSp12"/>
        <w:rPr>
          <w:rFonts w:eastAsiaTheme="minorEastAsia"/>
        </w:rPr>
      </w:pPr>
      <w:r>
        <w:rPr>
          <w:rFonts w:eastAsiaTheme="minorEastAsia"/>
        </w:rPr>
        <w:t>We plan to</w:t>
      </w:r>
      <w:r w:rsidRPr="00DE4CBA">
        <w:rPr>
          <w:rFonts w:eastAsiaTheme="minorEastAsia"/>
        </w:rPr>
        <w:t xml:space="preserve"> assess</w:t>
      </w:r>
      <w:r>
        <w:rPr>
          <w:rFonts w:eastAsiaTheme="minorEastAsia"/>
        </w:rPr>
        <w:t xml:space="preserve"> a change in the incentive plan</w:t>
      </w:r>
      <w:r w:rsidR="00E7275D">
        <w:rPr>
          <w:rFonts w:eastAsiaTheme="minorEastAsia"/>
        </w:rPr>
        <w:t xml:space="preserve"> between the NFS Pilot and the Field Test</w:t>
      </w:r>
      <w:r>
        <w:rPr>
          <w:rFonts w:eastAsiaTheme="minorEastAsia"/>
        </w:rPr>
        <w:t xml:space="preserve">. </w:t>
      </w:r>
      <w:r w:rsidRPr="00E7275D" w:rsidR="00E7275D">
        <w:rPr>
          <w:rFonts w:eastAsiaTheme="minorEastAsia"/>
        </w:rPr>
        <w:t>Table B.</w:t>
      </w:r>
      <w:r w:rsidR="00CB2656">
        <w:rPr>
          <w:rFonts w:eastAsiaTheme="minorEastAsia"/>
        </w:rPr>
        <w:t>6</w:t>
      </w:r>
      <w:r w:rsidRPr="00E7275D" w:rsidR="00E7275D">
        <w:rPr>
          <w:rFonts w:eastAsiaTheme="minorEastAsia"/>
        </w:rPr>
        <w:t xml:space="preserve">a summarizes the revised incentive scheme that we plan to test for effectiveness in the Field Test (see the bottom panel), compared to the incentive scheme used in the NFS Pilot (see the top panel). </w:t>
      </w:r>
      <w:r w:rsidR="005C2AE5">
        <w:rPr>
          <w:rFonts w:eastAsiaTheme="minorEastAsia"/>
        </w:rPr>
        <w:t>T</w:t>
      </w:r>
      <w:r w:rsidRPr="00DE4CBA" w:rsidR="005C2AE5">
        <w:rPr>
          <w:rFonts w:eastAsiaTheme="minorEastAsia"/>
        </w:rPr>
        <w:t>o achieve the</w:t>
      </w:r>
      <w:r w:rsidR="00C14CC9">
        <w:rPr>
          <w:rFonts w:eastAsiaTheme="minorEastAsia"/>
        </w:rPr>
        <w:t xml:space="preserve"> intended</w:t>
      </w:r>
      <w:r w:rsidRPr="00DE4CBA" w:rsidR="005C2AE5">
        <w:rPr>
          <w:rFonts w:eastAsiaTheme="minorEastAsia"/>
        </w:rPr>
        <w:t xml:space="preserve"> </w:t>
      </w:r>
      <w:r w:rsidR="005C2AE5">
        <w:rPr>
          <w:rFonts w:eastAsiaTheme="minorEastAsia"/>
        </w:rPr>
        <w:t>overall</w:t>
      </w:r>
      <w:r w:rsidRPr="00DE4CBA" w:rsidR="005C2AE5">
        <w:rPr>
          <w:rFonts w:eastAsiaTheme="minorEastAsia"/>
        </w:rPr>
        <w:t xml:space="preserve"> response rate, it is critical to </w:t>
      </w:r>
      <w:r w:rsidR="00C14CC9">
        <w:rPr>
          <w:rFonts w:eastAsiaTheme="minorEastAsia"/>
        </w:rPr>
        <w:t>maximize</w:t>
      </w:r>
      <w:r w:rsidRPr="00DE4CBA" w:rsidR="005C2AE5">
        <w:rPr>
          <w:rFonts w:eastAsiaTheme="minorEastAsia"/>
        </w:rPr>
        <w:t xml:space="preserve"> response rate to both th</w:t>
      </w:r>
      <w:r w:rsidR="005C2AE5">
        <w:rPr>
          <w:rFonts w:eastAsiaTheme="minorEastAsia"/>
        </w:rPr>
        <w:t>e mail and in-person screeners. T</w:t>
      </w:r>
      <w:r w:rsidRPr="005C2AE5" w:rsidR="005C2AE5">
        <w:rPr>
          <w:rFonts w:eastAsiaTheme="minorEastAsia"/>
        </w:rPr>
        <w:t xml:space="preserve">he Field Test is adding two additional incentives at the screening stage to increase initial response rates. </w:t>
      </w:r>
      <w:r w:rsidR="004E6E9A">
        <w:rPr>
          <w:rFonts w:eastAsiaTheme="minorEastAsia"/>
        </w:rPr>
        <w:t xml:space="preserve">The first is a $5 unconditional incentive to be mailed with the mail screener and the second is a $5 incentive given to the household upon completion of the in-person screening interview. </w:t>
      </w:r>
      <w:r w:rsidR="008F4412">
        <w:rPr>
          <w:rFonts w:eastAsiaTheme="minorEastAsia"/>
        </w:rPr>
        <w:t>T</w:t>
      </w:r>
      <w:r w:rsidRPr="00DE4CBA" w:rsidR="008F4412">
        <w:rPr>
          <w:rFonts w:eastAsiaTheme="minorEastAsia"/>
        </w:rPr>
        <w:t>here will</w:t>
      </w:r>
      <w:r w:rsidR="008F4412">
        <w:rPr>
          <w:rFonts w:eastAsiaTheme="minorEastAsia"/>
        </w:rPr>
        <w:t xml:space="preserve"> also</w:t>
      </w:r>
      <w:r w:rsidRPr="00DE4CBA" w:rsidR="008F4412">
        <w:rPr>
          <w:rFonts w:eastAsiaTheme="minorEastAsia"/>
        </w:rPr>
        <w:t xml:space="preserve"> be an opportunity to earn incentives for each of the interviews and </w:t>
      </w:r>
      <w:r w:rsidR="008F4412">
        <w:rPr>
          <w:rFonts w:eastAsiaTheme="minorEastAsia"/>
        </w:rPr>
        <w:t xml:space="preserve">for </w:t>
      </w:r>
      <w:r w:rsidR="00741936">
        <w:rPr>
          <w:rFonts w:eastAsiaTheme="minorEastAsia"/>
        </w:rPr>
        <w:t>completing the Food Log</w:t>
      </w:r>
      <w:r w:rsidR="005441E3">
        <w:rPr>
          <w:rFonts w:eastAsiaTheme="minorEastAsia"/>
        </w:rPr>
        <w:t xml:space="preserve"> </w:t>
      </w:r>
      <w:r w:rsidR="008F4412">
        <w:rPr>
          <w:rFonts w:eastAsiaTheme="minorEastAsia"/>
        </w:rPr>
        <w:t>each day</w:t>
      </w:r>
      <w:r w:rsidRPr="00DE4CBA" w:rsidR="008F4412">
        <w:rPr>
          <w:rFonts w:eastAsiaTheme="minorEastAsia"/>
        </w:rPr>
        <w:t xml:space="preserve">. </w:t>
      </w:r>
      <w:r w:rsidR="00D15878">
        <w:rPr>
          <w:rFonts w:eastAsiaTheme="minorEastAsia"/>
        </w:rPr>
        <w:t>After the household completes the Debriefing Interview and returns any loaned equipment</w:t>
      </w:r>
      <w:r w:rsidRPr="00DE4CBA" w:rsidR="008F4412">
        <w:rPr>
          <w:rFonts w:eastAsiaTheme="minorEastAsia"/>
        </w:rPr>
        <w:t xml:space="preserve">, we will mail the household a check for the total earned incentive. </w:t>
      </w:r>
      <w:r w:rsidRPr="00E7275D" w:rsidR="00E7275D">
        <w:rPr>
          <w:rFonts w:eastAsiaTheme="minorEastAsia"/>
        </w:rPr>
        <w:t xml:space="preserve">In addition, the Field Test incentive is adjusted to account partially for inflation and is therefore higher than the amount used for the NFS Pilot and FoodAPS-1. </w:t>
      </w:r>
    </w:p>
    <w:p w:rsidRPr="009A2C88" w:rsidR="009A2C88" w:rsidP="009A2C88" w:rsidRDefault="009A2C88" w14:paraId="4CC1947D" w14:textId="77777777">
      <w:pPr>
        <w:pStyle w:val="L1-FlLSp12"/>
        <w:rPr>
          <w:rFonts w:eastAsiaTheme="minorEastAsia"/>
        </w:rPr>
      </w:pPr>
    </w:p>
    <w:p w:rsidRPr="009A2C88" w:rsidR="009A2C88" w:rsidP="009A2C88" w:rsidRDefault="009A2C88" w14:paraId="396A5308" w14:textId="38A03694">
      <w:pPr>
        <w:pStyle w:val="L1-FlLSp12"/>
        <w:rPr>
          <w:rFonts w:eastAsiaTheme="minorEastAsia"/>
        </w:rPr>
      </w:pPr>
      <w:r>
        <w:rPr>
          <w:rFonts w:eastAsiaTheme="minorEastAsia"/>
        </w:rPr>
        <w:t>For the incentives experiment randomization to</w:t>
      </w:r>
      <w:r w:rsidR="00EC4D7E">
        <w:rPr>
          <w:rFonts w:eastAsiaTheme="minorEastAsia"/>
        </w:rPr>
        <w:t xml:space="preserve"> either</w:t>
      </w:r>
      <w:r>
        <w:rPr>
          <w:rFonts w:eastAsiaTheme="minorEastAsia"/>
        </w:rPr>
        <w:t xml:space="preserve"> the control or experimental condition</w:t>
      </w:r>
      <w:r w:rsidR="00EC4D7E">
        <w:rPr>
          <w:rFonts w:eastAsiaTheme="minorEastAsia"/>
        </w:rPr>
        <w:t>s</w:t>
      </w:r>
      <w:r>
        <w:rPr>
          <w:rFonts w:eastAsiaTheme="minorEastAsia"/>
        </w:rPr>
        <w:t xml:space="preserve"> will occur at the time of address sample selection. </w:t>
      </w:r>
      <w:proofErr w:type="gramStart"/>
      <w:r>
        <w:rPr>
          <w:rFonts w:eastAsiaTheme="minorEastAsia"/>
        </w:rPr>
        <w:t>In particular each</w:t>
      </w:r>
      <w:proofErr w:type="gramEnd"/>
      <w:r>
        <w:rPr>
          <w:rFonts w:eastAsiaTheme="minorEastAsia"/>
        </w:rPr>
        <w:t xml:space="preserve"> </w:t>
      </w:r>
      <w:r w:rsidRPr="009A2C88">
        <w:rPr>
          <w:rFonts w:eastAsiaTheme="minorEastAsia"/>
        </w:rPr>
        <w:t>sampled address will be randomly assigned</w:t>
      </w:r>
      <w:r>
        <w:rPr>
          <w:rFonts w:eastAsiaTheme="minorEastAsia"/>
        </w:rPr>
        <w:t>, following a Bernoulli trial,</w:t>
      </w:r>
      <w:r w:rsidRPr="009A2C88">
        <w:rPr>
          <w:rFonts w:eastAsiaTheme="minorEastAsia"/>
        </w:rPr>
        <w:t xml:space="preserve"> to either the control condition or the experimental condition so that roughly 50% of the sampled addresses fall into each category</w:t>
      </w:r>
      <w:r>
        <w:rPr>
          <w:rFonts w:eastAsiaTheme="minorEastAsia"/>
        </w:rPr>
        <w:t xml:space="preserve"> for the incentives experiment</w:t>
      </w:r>
      <w:r w:rsidRPr="009A2C88">
        <w:rPr>
          <w:rFonts w:eastAsiaTheme="minorEastAsia"/>
        </w:rPr>
        <w:t>. All individuals within each sampled address</w:t>
      </w:r>
      <w:r w:rsidR="00EC4D7E">
        <w:rPr>
          <w:rFonts w:eastAsiaTheme="minorEastAsia"/>
        </w:rPr>
        <w:t xml:space="preserve"> (</w:t>
      </w:r>
      <w:r w:rsidRPr="009A2C88">
        <w:rPr>
          <w:rFonts w:eastAsiaTheme="minorEastAsia"/>
        </w:rPr>
        <w:t>i.e., household</w:t>
      </w:r>
      <w:r w:rsidR="00EC4D7E">
        <w:rPr>
          <w:rFonts w:eastAsiaTheme="minorEastAsia"/>
        </w:rPr>
        <w:t>)</w:t>
      </w:r>
      <w:r w:rsidRPr="009A2C88">
        <w:rPr>
          <w:rFonts w:eastAsiaTheme="minorEastAsia"/>
        </w:rPr>
        <w:t xml:space="preserve"> that is determined to be eligible for the study and agrees to </w:t>
      </w:r>
      <w:proofErr w:type="spellStart"/>
      <w:r w:rsidRPr="009A2C88">
        <w:rPr>
          <w:rFonts w:eastAsiaTheme="minorEastAsia"/>
        </w:rPr>
        <w:t>particpate</w:t>
      </w:r>
      <w:proofErr w:type="spellEnd"/>
      <w:r w:rsidRPr="009A2C88">
        <w:rPr>
          <w:rFonts w:eastAsiaTheme="minorEastAsia"/>
        </w:rPr>
        <w:t xml:space="preserve"> will be assigned to the same condition that the address was assigned </w:t>
      </w:r>
      <w:r>
        <w:rPr>
          <w:rFonts w:eastAsiaTheme="minorEastAsia"/>
        </w:rPr>
        <w:t xml:space="preserve">to </w:t>
      </w:r>
      <w:r w:rsidRPr="009A2C88">
        <w:rPr>
          <w:rFonts w:eastAsiaTheme="minorEastAsia"/>
        </w:rPr>
        <w:t xml:space="preserve">at the time of sample selection. For example if an address was assigned to the control group during sample selection and if the household at that address is determined to be eligible and agrees to participate, then all members of that household </w:t>
      </w:r>
      <w:r w:rsidR="00EC4D7E">
        <w:rPr>
          <w:rFonts w:eastAsiaTheme="minorEastAsia"/>
        </w:rPr>
        <w:t>will</w:t>
      </w:r>
      <w:r w:rsidRPr="009A2C88">
        <w:rPr>
          <w:rFonts w:eastAsiaTheme="minorEastAsia"/>
        </w:rPr>
        <w:t xml:space="preserve"> also </w:t>
      </w:r>
      <w:r w:rsidR="00EC4D7E">
        <w:rPr>
          <w:rFonts w:eastAsiaTheme="minorEastAsia"/>
        </w:rPr>
        <w:t xml:space="preserve">be </w:t>
      </w:r>
      <w:r w:rsidRPr="009A2C88">
        <w:rPr>
          <w:rFonts w:eastAsiaTheme="minorEastAsia"/>
        </w:rPr>
        <w:t>assi</w:t>
      </w:r>
      <w:r>
        <w:rPr>
          <w:rFonts w:eastAsiaTheme="minorEastAsia"/>
        </w:rPr>
        <w:t>gne</w:t>
      </w:r>
      <w:r w:rsidRPr="009A2C88">
        <w:rPr>
          <w:rFonts w:eastAsiaTheme="minorEastAsia"/>
        </w:rPr>
        <w:t xml:space="preserve">d to the control group. </w:t>
      </w:r>
    </w:p>
    <w:p w:rsidRPr="009A2C88" w:rsidR="009A2C88" w:rsidP="009A2C88" w:rsidRDefault="009A2C88" w14:paraId="3F0028A8" w14:textId="77777777">
      <w:pPr>
        <w:pStyle w:val="L1-FlLSp12"/>
        <w:rPr>
          <w:rFonts w:eastAsiaTheme="minorEastAsia"/>
        </w:rPr>
      </w:pPr>
    </w:p>
    <w:p w:rsidR="00E7275D" w:rsidP="009A2C88" w:rsidRDefault="009A2C88" w14:paraId="403C847F" w14:textId="1A14B5F9">
      <w:pPr>
        <w:pStyle w:val="L1-FlLSp12"/>
        <w:rPr>
          <w:rFonts w:eastAsiaTheme="minorEastAsia"/>
        </w:rPr>
      </w:pPr>
      <w:r w:rsidRPr="009A2C88">
        <w:rPr>
          <w:rFonts w:eastAsiaTheme="minorEastAsia"/>
        </w:rPr>
        <w:t xml:space="preserve">Given that there are multiple stages of recruitment, each of which may result in a household or individual refusing to participate, when evaluating the incentives experiment ERS will assess the extent to </w:t>
      </w:r>
      <w:r>
        <w:rPr>
          <w:rFonts w:eastAsiaTheme="minorEastAsia"/>
        </w:rPr>
        <w:t>which</w:t>
      </w:r>
      <w:r w:rsidRPr="009A2C88">
        <w:rPr>
          <w:rFonts w:eastAsiaTheme="minorEastAsia"/>
        </w:rPr>
        <w:t xml:space="preserve">, if any, there are any </w:t>
      </w:r>
      <w:r>
        <w:rPr>
          <w:rFonts w:eastAsiaTheme="minorEastAsia"/>
        </w:rPr>
        <w:t>differences</w:t>
      </w:r>
      <w:r w:rsidRPr="009A2C88">
        <w:rPr>
          <w:rFonts w:eastAsiaTheme="minorEastAsia"/>
        </w:rPr>
        <w:t xml:space="preserve"> across distributions of </w:t>
      </w:r>
      <w:r>
        <w:rPr>
          <w:rFonts w:eastAsiaTheme="minorEastAsia"/>
        </w:rPr>
        <w:t>underlying</w:t>
      </w:r>
      <w:r w:rsidRPr="009A2C88">
        <w:rPr>
          <w:rFonts w:eastAsiaTheme="minorEastAsia"/>
        </w:rPr>
        <w:t xml:space="preserve"> </w:t>
      </w:r>
      <w:proofErr w:type="spellStart"/>
      <w:r w:rsidRPr="009A2C88">
        <w:rPr>
          <w:rFonts w:eastAsiaTheme="minorEastAsia"/>
        </w:rPr>
        <w:t>charcteristics</w:t>
      </w:r>
      <w:proofErr w:type="spellEnd"/>
      <w:r w:rsidRPr="009A2C88">
        <w:rPr>
          <w:rFonts w:eastAsiaTheme="minorEastAsia"/>
        </w:rPr>
        <w:t xml:space="preserve"> of the households or individuals. These characteristics may </w:t>
      </w:r>
      <w:r w:rsidR="00A758B9">
        <w:rPr>
          <w:rFonts w:eastAsiaTheme="minorEastAsia"/>
        </w:rPr>
        <w:t>include sample frame</w:t>
      </w:r>
      <w:r w:rsidRPr="009A2C88">
        <w:rPr>
          <w:rFonts w:eastAsiaTheme="minorEastAsia"/>
        </w:rPr>
        <w:t xml:space="preserve"> </w:t>
      </w:r>
      <w:r w:rsidR="00A758B9">
        <w:rPr>
          <w:rFonts w:eastAsiaTheme="minorEastAsia"/>
        </w:rPr>
        <w:t xml:space="preserve">information or be information that </w:t>
      </w:r>
      <w:r w:rsidR="00EC4D7E">
        <w:rPr>
          <w:rFonts w:eastAsiaTheme="minorEastAsia"/>
        </w:rPr>
        <w:t>was</w:t>
      </w:r>
      <w:r w:rsidR="00A758B9">
        <w:rPr>
          <w:rFonts w:eastAsiaTheme="minorEastAsia"/>
        </w:rPr>
        <w:t xml:space="preserve"> observed or reported during data collection. </w:t>
      </w:r>
      <w:r w:rsidRPr="009A2C88">
        <w:rPr>
          <w:rFonts w:eastAsiaTheme="minorEastAsia"/>
        </w:rPr>
        <w:t xml:space="preserve">If there are discrepancies, ERS will identify those when reporting on the incentives experiment and as appropriate </w:t>
      </w:r>
      <w:r w:rsidR="00A758B9">
        <w:rPr>
          <w:rFonts w:eastAsiaTheme="minorEastAsia"/>
        </w:rPr>
        <w:t xml:space="preserve">or warranted </w:t>
      </w:r>
      <w:r w:rsidRPr="009A2C88">
        <w:rPr>
          <w:rFonts w:eastAsiaTheme="minorEastAsia"/>
        </w:rPr>
        <w:t>make statistical adjustments in the analysis to control for potential confounding.</w:t>
      </w:r>
    </w:p>
    <w:p w:rsidR="00A758B9" w:rsidP="009A2C88" w:rsidRDefault="00A758B9" w14:paraId="59123C23" w14:textId="77777777">
      <w:pPr>
        <w:pStyle w:val="L1-FlLSp12"/>
        <w:rPr>
          <w:rFonts w:eastAsiaTheme="minorEastAsia"/>
        </w:rPr>
      </w:pPr>
    </w:p>
    <w:p w:rsidR="00DC2FEA" w:rsidP="008F4412" w:rsidRDefault="00A758B9" w14:paraId="3736947A" w14:textId="2631C30D">
      <w:pPr>
        <w:pStyle w:val="L1-FlLSp12"/>
        <w:rPr>
          <w:rFonts w:eastAsiaTheme="minorEastAsia"/>
        </w:rPr>
      </w:pPr>
      <w:r>
        <w:rPr>
          <w:rFonts w:eastAsiaTheme="minorEastAsia"/>
        </w:rPr>
        <w:t>For the analysis, t</w:t>
      </w:r>
      <w:r w:rsidRPr="00D162F3" w:rsidR="00E7275D">
        <w:rPr>
          <w:rFonts w:eastAsiaTheme="minorEastAsia"/>
        </w:rPr>
        <w:t xml:space="preserve">here are two </w:t>
      </w:r>
      <w:r w:rsidRPr="00D162F3" w:rsidR="005C2AE5">
        <w:rPr>
          <w:rFonts w:eastAsiaTheme="minorEastAsia"/>
        </w:rPr>
        <w:t>main comparisons</w:t>
      </w:r>
      <w:r w:rsidRPr="00D162F3" w:rsidR="008F4412">
        <w:rPr>
          <w:rFonts w:eastAsiaTheme="minorEastAsia"/>
        </w:rPr>
        <w:t xml:space="preserve"> that will be done</w:t>
      </w:r>
      <w:r w:rsidRPr="00D162F3" w:rsidR="005C2AE5">
        <w:rPr>
          <w:rFonts w:eastAsiaTheme="minorEastAsia"/>
        </w:rPr>
        <w:t xml:space="preserve">. First, </w:t>
      </w:r>
      <w:r w:rsidRPr="00D162F3" w:rsidR="008F4412">
        <w:rPr>
          <w:rFonts w:eastAsiaTheme="minorEastAsia"/>
        </w:rPr>
        <w:t>w</w:t>
      </w:r>
      <w:r w:rsidRPr="00D162F3" w:rsidR="005C2AE5">
        <w:rPr>
          <w:rFonts w:eastAsiaTheme="minorEastAsia"/>
        </w:rPr>
        <w:t xml:space="preserve">hile a mail screener was not administered in the NFS Pilot, the in-person weighted screener response rates from the Field Test </w:t>
      </w:r>
      <w:r w:rsidRPr="00D162F3" w:rsidR="008F4412">
        <w:rPr>
          <w:rFonts w:eastAsiaTheme="minorEastAsia"/>
        </w:rPr>
        <w:t xml:space="preserve">(with a pre-paid mail screener monetary incentive and conditional in-person screener incentive) </w:t>
      </w:r>
      <w:r w:rsidRPr="00D162F3" w:rsidR="005C2AE5">
        <w:rPr>
          <w:rFonts w:eastAsiaTheme="minorEastAsia"/>
        </w:rPr>
        <w:t>can be compared to that of the NFS Pilot</w:t>
      </w:r>
      <w:r w:rsidRPr="00D162F3" w:rsidR="008F4412">
        <w:rPr>
          <w:rFonts w:eastAsiaTheme="minorEastAsia"/>
        </w:rPr>
        <w:t xml:space="preserve"> (no monetary incentive)</w:t>
      </w:r>
      <w:r w:rsidRPr="00D162F3" w:rsidR="005C2AE5">
        <w:rPr>
          <w:rFonts w:eastAsiaTheme="minorEastAsia"/>
        </w:rPr>
        <w:t>. Second,</w:t>
      </w:r>
      <w:r w:rsidRPr="00D162F3" w:rsidR="008F4412">
        <w:rPr>
          <w:rFonts w:eastAsiaTheme="minorEastAsia"/>
        </w:rPr>
        <w:t xml:space="preserve"> as described further below, the attrition rate of food log reporting during the week</w:t>
      </w:r>
      <w:r w:rsidRPr="00D162F3" w:rsidR="005C2AE5">
        <w:rPr>
          <w:rFonts w:eastAsiaTheme="minorEastAsia"/>
        </w:rPr>
        <w:t xml:space="preserve"> </w:t>
      </w:r>
      <w:r w:rsidRPr="00D162F3" w:rsidR="008F4412">
        <w:rPr>
          <w:rFonts w:eastAsiaTheme="minorEastAsia"/>
        </w:rPr>
        <w:t xml:space="preserve">will be compared among the Field Test </w:t>
      </w:r>
      <w:r w:rsidR="00D162F3">
        <w:rPr>
          <w:rFonts w:eastAsiaTheme="minorEastAsia"/>
        </w:rPr>
        <w:t>experimental</w:t>
      </w:r>
      <w:r w:rsidRPr="00D162F3" w:rsidR="008F4412">
        <w:rPr>
          <w:rFonts w:eastAsiaTheme="minorEastAsia"/>
        </w:rPr>
        <w:t xml:space="preserve"> groups.</w:t>
      </w:r>
    </w:p>
    <w:p w:rsidR="00E42E44" w:rsidP="008F4412" w:rsidRDefault="00E42E44" w14:paraId="679CDEBF" w14:textId="081A3FAC">
      <w:pPr>
        <w:pStyle w:val="L1-FlLSp12"/>
        <w:rPr>
          <w:rFonts w:eastAsiaTheme="minorEastAsia"/>
        </w:rPr>
      </w:pPr>
    </w:p>
    <w:p w:rsidR="0093147F" w:rsidRDefault="0093147F" w14:paraId="338ECD29" w14:textId="77777777">
      <w:pPr>
        <w:spacing w:line="240" w:lineRule="auto"/>
        <w:rPr>
          <w:b/>
          <w:bCs/>
          <w:sz w:val="22"/>
          <w:szCs w:val="18"/>
          <w:lang w:val="en"/>
        </w:rPr>
      </w:pPr>
      <w:r>
        <w:rPr>
          <w:b/>
          <w:bCs/>
          <w:sz w:val="22"/>
          <w:szCs w:val="18"/>
          <w:lang w:val="en"/>
        </w:rPr>
        <w:br w:type="page"/>
      </w:r>
    </w:p>
    <w:p w:rsidRPr="002E0CAA" w:rsidR="00DC2FEA" w:rsidP="00E42E44" w:rsidRDefault="003260E6" w14:paraId="22DD8EF1" w14:textId="4055B85E">
      <w:pPr>
        <w:spacing w:line="240" w:lineRule="auto"/>
        <w:rPr>
          <w:b/>
          <w:bCs/>
          <w:sz w:val="22"/>
          <w:szCs w:val="18"/>
          <w:lang w:val="en"/>
        </w:rPr>
      </w:pPr>
      <w:r w:rsidRPr="002E0CAA">
        <w:rPr>
          <w:b/>
          <w:bCs/>
          <w:sz w:val="22"/>
          <w:szCs w:val="18"/>
          <w:lang w:val="en"/>
        </w:rPr>
        <w:t>Table B.6</w:t>
      </w:r>
      <w:r w:rsidRPr="002E0CAA" w:rsidR="00DC2FEA">
        <w:rPr>
          <w:b/>
          <w:bCs/>
          <w:sz w:val="22"/>
          <w:szCs w:val="18"/>
          <w:lang w:val="en"/>
        </w:rPr>
        <w:t xml:space="preserve">a. </w:t>
      </w:r>
      <w:r w:rsidRPr="002E0CAA" w:rsidR="00DC2FEA">
        <w:rPr>
          <w:b/>
          <w:bCs/>
          <w:sz w:val="22"/>
          <w:szCs w:val="18"/>
          <w:lang w:val="en"/>
        </w:rPr>
        <w:tab/>
        <w:t>Incentive Plan for the Field Test</w:t>
      </w:r>
    </w:p>
    <w:p w:rsidRPr="00DE4CBA" w:rsidR="00DC2FEA" w:rsidP="00DC2FEA" w:rsidRDefault="00DC2FEA" w14:paraId="28C17869" w14:textId="77777777">
      <w:pPr>
        <w:pStyle w:val="TT-TableTitle"/>
        <w:rPr>
          <w:rFonts w:eastAsiaTheme="minorEastAsia"/>
        </w:rPr>
      </w:pPr>
    </w:p>
    <w:tbl>
      <w:tblPr>
        <w:tblStyle w:val="TableWestatStandardFormat"/>
        <w:tblW w:w="5000" w:type="pct"/>
        <w:tblLayout w:type="fixed"/>
        <w:tblLook w:val="04A0" w:firstRow="1" w:lastRow="0" w:firstColumn="1" w:lastColumn="0" w:noHBand="0" w:noVBand="1"/>
      </w:tblPr>
      <w:tblGrid>
        <w:gridCol w:w="689"/>
        <w:gridCol w:w="1252"/>
        <w:gridCol w:w="1258"/>
        <w:gridCol w:w="1140"/>
        <w:gridCol w:w="910"/>
        <w:gridCol w:w="1142"/>
        <w:gridCol w:w="1028"/>
        <w:gridCol w:w="895"/>
        <w:gridCol w:w="1046"/>
      </w:tblGrid>
      <w:tr w:rsidRPr="00DE4CBA" w:rsidR="00DC2FEA" w:rsidTr="00E42E44" w14:paraId="29F503B8" w14:textId="77777777">
        <w:trPr>
          <w:cnfStyle w:val="100000000000" w:firstRow="1" w:lastRow="0" w:firstColumn="0" w:lastColumn="0" w:oddVBand="0" w:evenVBand="0" w:oddHBand="0" w:evenHBand="0" w:firstRowFirstColumn="0" w:firstRowLastColumn="0" w:lastRowFirstColumn="0" w:lastRowLastColumn="0"/>
          <w:trHeight w:val="720"/>
        </w:trPr>
        <w:tc>
          <w:tcPr>
            <w:tcW w:w="0" w:type="pct"/>
            <w:shd w:val="clear" w:color="auto" w:fill="B8CCE4" w:themeFill="accent1" w:themeFillTint="66"/>
            <w:vAlign w:val="bottom"/>
            <w:hideMark/>
          </w:tcPr>
          <w:p w:rsidRPr="00DE4CBA" w:rsidR="00DC2FEA" w:rsidP="00A1651C" w:rsidRDefault="00DC2FEA" w14:paraId="21352B37" w14:textId="77777777">
            <w:pPr>
              <w:pStyle w:val="TH-TableHeading"/>
              <w:spacing w:before="48" w:after="48"/>
              <w:rPr>
                <w:rFonts w:eastAsiaTheme="minorEastAsia"/>
                <w:lang w:val="en"/>
              </w:rPr>
            </w:pPr>
            <w:r w:rsidRPr="00DE4CBA">
              <w:rPr>
                <w:rFonts w:eastAsiaTheme="minorEastAsia"/>
                <w:lang w:val="en"/>
              </w:rPr>
              <w:t>HH Size</w:t>
            </w:r>
          </w:p>
        </w:tc>
        <w:tc>
          <w:tcPr>
            <w:tcW w:w="0" w:type="pct"/>
            <w:shd w:val="clear" w:color="auto" w:fill="B8CCE4" w:themeFill="accent1" w:themeFillTint="66"/>
            <w:vAlign w:val="bottom"/>
            <w:hideMark/>
          </w:tcPr>
          <w:p w:rsidRPr="00DE4CBA" w:rsidR="00DC2FEA" w:rsidP="00A1651C" w:rsidRDefault="00DC2FEA" w14:paraId="0FC79302" w14:textId="77777777">
            <w:pPr>
              <w:pStyle w:val="TH-TableHeading"/>
              <w:spacing w:before="48" w:after="48"/>
              <w:rPr>
                <w:rFonts w:eastAsiaTheme="minorEastAsia"/>
                <w:vertAlign w:val="superscript"/>
                <w:lang w:val="en"/>
              </w:rPr>
            </w:pPr>
            <w:r w:rsidRPr="00DE4CBA">
              <w:rPr>
                <w:rFonts w:eastAsiaTheme="minorEastAsia"/>
                <w:lang w:val="en"/>
              </w:rPr>
              <w:t>Mail Screener</w:t>
            </w:r>
          </w:p>
        </w:tc>
        <w:tc>
          <w:tcPr>
            <w:tcW w:w="0" w:type="pct"/>
            <w:shd w:val="clear" w:color="auto" w:fill="B8CCE4" w:themeFill="accent1" w:themeFillTint="66"/>
            <w:vAlign w:val="bottom"/>
            <w:hideMark/>
          </w:tcPr>
          <w:p w:rsidRPr="00DE4CBA" w:rsidR="00DC2FEA" w:rsidP="00A1651C" w:rsidRDefault="00DC2FEA" w14:paraId="765F65C7" w14:textId="77777777">
            <w:pPr>
              <w:pStyle w:val="TH-TableHeading"/>
              <w:spacing w:before="48" w:after="48"/>
              <w:rPr>
                <w:rFonts w:eastAsiaTheme="minorEastAsia"/>
                <w:vertAlign w:val="superscript"/>
                <w:lang w:val="en"/>
              </w:rPr>
            </w:pPr>
            <w:r w:rsidRPr="00DE4CBA">
              <w:rPr>
                <w:rFonts w:eastAsiaTheme="minorEastAsia"/>
                <w:lang w:val="en"/>
              </w:rPr>
              <w:t>In-Person Screener</w:t>
            </w:r>
          </w:p>
        </w:tc>
        <w:tc>
          <w:tcPr>
            <w:tcW w:w="0" w:type="pct"/>
            <w:shd w:val="clear" w:color="auto" w:fill="B8CCE4" w:themeFill="accent1" w:themeFillTint="66"/>
            <w:vAlign w:val="bottom"/>
            <w:hideMark/>
          </w:tcPr>
          <w:p w:rsidRPr="00DE4CBA" w:rsidR="00DC2FEA" w:rsidP="00A1651C" w:rsidRDefault="00DC2FEA" w14:paraId="44D06A05" w14:textId="77777777">
            <w:pPr>
              <w:pStyle w:val="TH-TableHeading"/>
              <w:spacing w:before="48" w:after="48"/>
              <w:rPr>
                <w:rFonts w:eastAsiaTheme="minorEastAsia"/>
                <w:lang w:val="en"/>
              </w:rPr>
            </w:pPr>
            <w:r w:rsidRPr="00DE4CBA">
              <w:rPr>
                <w:rFonts w:eastAsiaTheme="minorEastAsia"/>
                <w:lang w:val="en"/>
              </w:rPr>
              <w:t>Initial Interview + Training</w:t>
            </w:r>
          </w:p>
        </w:tc>
        <w:tc>
          <w:tcPr>
            <w:tcW w:w="0" w:type="pct"/>
            <w:shd w:val="clear" w:color="auto" w:fill="B8CCE4" w:themeFill="accent1" w:themeFillTint="66"/>
            <w:vAlign w:val="bottom"/>
            <w:hideMark/>
          </w:tcPr>
          <w:p w:rsidRPr="00DE4CBA" w:rsidR="00DC2FEA" w:rsidP="00A1651C" w:rsidRDefault="00DC2FEA" w14:paraId="0A801CDC" w14:textId="1AAB1A43">
            <w:pPr>
              <w:pStyle w:val="TH-TableHeading"/>
              <w:spacing w:before="48" w:after="48"/>
              <w:rPr>
                <w:rFonts w:eastAsiaTheme="minorEastAsia"/>
                <w:lang w:val="en"/>
              </w:rPr>
            </w:pPr>
            <w:r w:rsidRPr="00DE4CBA">
              <w:rPr>
                <w:rFonts w:eastAsiaTheme="minorEastAsia"/>
                <w:lang w:val="en"/>
              </w:rPr>
              <w:t>Food</w:t>
            </w:r>
            <w:r w:rsidR="00A85ACB">
              <w:rPr>
                <w:rFonts w:eastAsiaTheme="minorEastAsia"/>
                <w:lang w:val="en"/>
              </w:rPr>
              <w:t xml:space="preserve"> </w:t>
            </w:r>
            <w:r w:rsidRPr="00DE4CBA">
              <w:rPr>
                <w:rFonts w:eastAsiaTheme="minorEastAsia"/>
                <w:lang w:val="en"/>
              </w:rPr>
              <w:t xml:space="preserve">Log </w:t>
            </w:r>
            <w:r w:rsidR="00A1651C">
              <w:rPr>
                <w:rFonts w:eastAsiaTheme="minorEastAsia"/>
                <w:vertAlign w:val="superscript"/>
                <w:lang w:val="en"/>
              </w:rPr>
              <w:t>a</w:t>
            </w:r>
          </w:p>
        </w:tc>
        <w:tc>
          <w:tcPr>
            <w:tcW w:w="0" w:type="pct"/>
            <w:shd w:val="clear" w:color="auto" w:fill="B8CCE4" w:themeFill="accent1" w:themeFillTint="66"/>
            <w:vAlign w:val="bottom"/>
            <w:hideMark/>
          </w:tcPr>
          <w:p w:rsidRPr="00DE4CBA" w:rsidR="00DC2FEA" w:rsidP="00A1651C" w:rsidRDefault="00DC2FEA" w14:paraId="6FDFCBA2" w14:textId="77777777">
            <w:pPr>
              <w:pStyle w:val="TH-TableHeading"/>
              <w:spacing w:before="48" w:after="48"/>
              <w:rPr>
                <w:rFonts w:eastAsiaTheme="minorEastAsia"/>
                <w:lang w:val="en"/>
              </w:rPr>
            </w:pPr>
            <w:r w:rsidRPr="00DE4CBA">
              <w:rPr>
                <w:rFonts w:eastAsiaTheme="minorEastAsia"/>
                <w:lang w:val="en"/>
              </w:rPr>
              <w:t>Final Interview</w:t>
            </w:r>
            <w:r>
              <w:rPr>
                <w:rFonts w:eastAsiaTheme="minorEastAsia"/>
                <w:lang w:val="en"/>
              </w:rPr>
              <w:t xml:space="preserve">/Debriefing </w:t>
            </w:r>
            <w:proofErr w:type="spellStart"/>
            <w:r>
              <w:rPr>
                <w:rFonts w:eastAsiaTheme="minorEastAsia"/>
                <w:lang w:val="en"/>
              </w:rPr>
              <w:t>Interview+Bonus</w:t>
            </w:r>
            <w:proofErr w:type="spellEnd"/>
          </w:p>
        </w:tc>
        <w:tc>
          <w:tcPr>
            <w:tcW w:w="0" w:type="pct"/>
            <w:shd w:val="clear" w:color="auto" w:fill="B8CCE4" w:themeFill="accent1" w:themeFillTint="66"/>
            <w:vAlign w:val="bottom"/>
            <w:hideMark/>
          </w:tcPr>
          <w:p w:rsidRPr="00F6056C" w:rsidR="00DC2FEA" w:rsidP="00A1651C" w:rsidRDefault="00DC2FEA" w14:paraId="7793EA07" w14:textId="0AD55C4F">
            <w:pPr>
              <w:pStyle w:val="TH-TableHeading"/>
              <w:spacing w:before="48" w:after="48"/>
              <w:rPr>
                <w:rFonts w:eastAsiaTheme="minorEastAsia"/>
                <w:vertAlign w:val="superscript"/>
                <w:lang w:val="en"/>
              </w:rPr>
            </w:pPr>
            <w:r>
              <w:rPr>
                <w:rFonts w:eastAsiaTheme="minorEastAsia"/>
                <w:lang w:val="en"/>
              </w:rPr>
              <w:t xml:space="preserve">Income </w:t>
            </w:r>
            <w:proofErr w:type="spellStart"/>
            <w:r>
              <w:rPr>
                <w:rFonts w:eastAsiaTheme="minorEastAsia"/>
                <w:lang w:val="en"/>
              </w:rPr>
              <w:t>Wksht</w:t>
            </w:r>
            <w:r w:rsidR="00A1651C">
              <w:rPr>
                <w:rFonts w:eastAsiaTheme="minorEastAsia"/>
                <w:vertAlign w:val="superscript"/>
                <w:lang w:val="en"/>
              </w:rPr>
              <w:t>b</w:t>
            </w:r>
            <w:proofErr w:type="spellEnd"/>
          </w:p>
        </w:tc>
        <w:tc>
          <w:tcPr>
            <w:tcW w:w="0" w:type="pct"/>
            <w:shd w:val="clear" w:color="auto" w:fill="B8CCE4" w:themeFill="accent1" w:themeFillTint="66"/>
            <w:vAlign w:val="bottom"/>
            <w:hideMark/>
          </w:tcPr>
          <w:p w:rsidR="00DC2FEA" w:rsidP="00A1651C" w:rsidRDefault="00DC2FEA" w14:paraId="00860934" w14:textId="77777777">
            <w:pPr>
              <w:pStyle w:val="TH-TableHeading"/>
              <w:spacing w:before="48" w:after="48"/>
              <w:rPr>
                <w:rFonts w:eastAsiaTheme="minorEastAsia"/>
                <w:lang w:val="en"/>
              </w:rPr>
            </w:pPr>
            <w:r w:rsidRPr="00DE4CBA">
              <w:rPr>
                <w:rFonts w:eastAsiaTheme="minorEastAsia"/>
                <w:lang w:val="en"/>
              </w:rPr>
              <w:t xml:space="preserve">Profile </w:t>
            </w:r>
            <w:proofErr w:type="spellStart"/>
            <w:r w:rsidRPr="00DE4CBA">
              <w:rPr>
                <w:rFonts w:eastAsiaTheme="minorEastAsia"/>
                <w:lang w:val="en"/>
              </w:rPr>
              <w:t>Quex</w:t>
            </w:r>
            <w:proofErr w:type="spellEnd"/>
          </w:p>
          <w:p w:rsidRPr="00DE4CBA" w:rsidR="00DC2FEA" w:rsidP="00A1651C" w:rsidRDefault="00DC2FEA" w14:paraId="311BD0B4" w14:textId="77777777">
            <w:pPr>
              <w:pStyle w:val="TH-TableHeading"/>
              <w:spacing w:before="48" w:after="48"/>
              <w:rPr>
                <w:rFonts w:eastAsiaTheme="minorEastAsia"/>
                <w:lang w:val="en"/>
              </w:rPr>
            </w:pPr>
            <w:r w:rsidRPr="00DE4CBA">
              <w:rPr>
                <w:rFonts w:eastAsiaTheme="minorEastAsia"/>
                <w:lang w:val="en"/>
              </w:rPr>
              <w:t>($2 pp)</w:t>
            </w:r>
          </w:p>
        </w:tc>
        <w:tc>
          <w:tcPr>
            <w:tcW w:w="0" w:type="pct"/>
            <w:shd w:val="clear" w:color="auto" w:fill="B8CCE4" w:themeFill="accent1" w:themeFillTint="66"/>
            <w:vAlign w:val="bottom"/>
            <w:hideMark/>
          </w:tcPr>
          <w:p w:rsidRPr="00DE4CBA" w:rsidR="00DC2FEA" w:rsidP="00A1651C" w:rsidRDefault="00DC2FEA" w14:paraId="132267CE" w14:textId="77777777">
            <w:pPr>
              <w:pStyle w:val="TH-TableHeading"/>
              <w:spacing w:before="48" w:after="48"/>
              <w:rPr>
                <w:rFonts w:eastAsiaTheme="minorEastAsia"/>
                <w:lang w:val="en"/>
              </w:rPr>
            </w:pPr>
            <w:r w:rsidRPr="00DE4CBA">
              <w:rPr>
                <w:rFonts w:eastAsiaTheme="minorEastAsia"/>
                <w:lang w:val="en"/>
              </w:rPr>
              <w:t>Max Total (Full Survey)</w:t>
            </w:r>
          </w:p>
        </w:tc>
      </w:tr>
      <w:tr w:rsidRPr="00DE4CBA" w:rsidR="00DC2FEA" w:rsidTr="00A1651C" w14:paraId="0967DE57" w14:textId="77777777">
        <w:trPr>
          <w:trHeight w:val="300"/>
        </w:trPr>
        <w:tc>
          <w:tcPr>
            <w:tcW w:w="5000" w:type="pct"/>
            <w:gridSpan w:val="9"/>
            <w:tcBorders>
              <w:top w:val="single" w:color="auto" w:sz="4" w:space="0"/>
              <w:bottom w:val="single" w:color="auto" w:sz="4" w:space="0"/>
            </w:tcBorders>
            <w:noWrap/>
          </w:tcPr>
          <w:p w:rsidRPr="00DE4CBA" w:rsidR="00DC2FEA" w:rsidP="00A1651C" w:rsidRDefault="00770C00" w14:paraId="379C7CAE" w14:textId="4DCFEEA6">
            <w:pPr>
              <w:pStyle w:val="TX-TableText"/>
              <w:jc w:val="center"/>
              <w:rPr>
                <w:rFonts w:eastAsiaTheme="minorEastAsia"/>
                <w:lang w:val="en"/>
              </w:rPr>
            </w:pPr>
            <w:r>
              <w:rPr>
                <w:rFonts w:eastAsiaTheme="minorEastAsia"/>
                <w:lang w:val="en"/>
              </w:rPr>
              <w:t xml:space="preserve">NFS </w:t>
            </w:r>
            <w:r w:rsidR="00DC2FEA">
              <w:rPr>
                <w:rFonts w:eastAsiaTheme="minorEastAsia"/>
                <w:lang w:val="en"/>
              </w:rPr>
              <w:t>Pilot</w:t>
            </w:r>
          </w:p>
        </w:tc>
      </w:tr>
      <w:tr w:rsidRPr="00DE4CBA" w:rsidR="00DC2FEA" w:rsidTr="00A1651C" w14:paraId="10A30816" w14:textId="77777777">
        <w:trPr>
          <w:trHeight w:val="300"/>
        </w:trPr>
        <w:tc>
          <w:tcPr>
            <w:tcW w:w="368" w:type="pct"/>
            <w:tcBorders>
              <w:top w:val="single" w:color="auto" w:sz="4" w:space="0"/>
              <w:bottom w:val="nil"/>
            </w:tcBorders>
            <w:shd w:val="clear" w:color="auto" w:fill="AFBED7"/>
            <w:noWrap/>
          </w:tcPr>
          <w:p w:rsidRPr="00DE4CBA" w:rsidR="00DC2FEA" w:rsidP="00A1651C" w:rsidRDefault="00DC2FEA" w14:paraId="70C97789" w14:textId="77777777">
            <w:pPr>
              <w:pStyle w:val="TX-TableText"/>
              <w:rPr>
                <w:rFonts w:eastAsiaTheme="minorEastAsia"/>
                <w:lang w:val="en"/>
              </w:rPr>
            </w:pPr>
            <w:r>
              <w:rPr>
                <w:rFonts w:eastAsiaTheme="minorEastAsia"/>
                <w:lang w:val="en"/>
              </w:rPr>
              <w:t>1</w:t>
            </w:r>
          </w:p>
        </w:tc>
        <w:tc>
          <w:tcPr>
            <w:tcW w:w="669" w:type="pct"/>
            <w:tcBorders>
              <w:top w:val="single" w:color="auto" w:sz="4" w:space="0"/>
              <w:bottom w:val="nil"/>
            </w:tcBorders>
            <w:shd w:val="clear" w:color="auto" w:fill="AFBED7"/>
            <w:noWrap/>
          </w:tcPr>
          <w:p w:rsidRPr="00DE4CBA" w:rsidR="00DC2FEA" w:rsidP="00A1651C" w:rsidRDefault="00DC2FEA" w14:paraId="7BFBAAFE" w14:textId="77777777">
            <w:pPr>
              <w:pStyle w:val="TX-TableText"/>
              <w:jc w:val="center"/>
              <w:rPr>
                <w:rFonts w:eastAsiaTheme="minorEastAsia"/>
                <w:lang w:val="en"/>
              </w:rPr>
            </w:pPr>
            <w:r>
              <w:rPr>
                <w:rFonts w:eastAsiaTheme="minorEastAsia"/>
                <w:lang w:val="en"/>
              </w:rPr>
              <w:t>n/a</w:t>
            </w:r>
          </w:p>
        </w:tc>
        <w:tc>
          <w:tcPr>
            <w:tcW w:w="672" w:type="pct"/>
            <w:tcBorders>
              <w:top w:val="single" w:color="auto" w:sz="4" w:space="0"/>
              <w:bottom w:val="nil"/>
            </w:tcBorders>
            <w:shd w:val="clear" w:color="auto" w:fill="AFBED7"/>
            <w:noWrap/>
          </w:tcPr>
          <w:p w:rsidRPr="00DE4CBA" w:rsidR="00DC2FEA" w:rsidP="00A1651C" w:rsidRDefault="00D16052" w14:paraId="00DBC598" w14:textId="311B465F">
            <w:pPr>
              <w:pStyle w:val="TX-TableText"/>
              <w:jc w:val="center"/>
              <w:rPr>
                <w:rFonts w:eastAsiaTheme="minorEastAsia"/>
                <w:lang w:val="en"/>
              </w:rPr>
            </w:pPr>
            <w:r>
              <w:rPr>
                <w:rFonts w:eastAsiaTheme="minorEastAsia"/>
                <w:lang w:val="en"/>
              </w:rPr>
              <w:t>$5</w:t>
            </w:r>
          </w:p>
        </w:tc>
        <w:tc>
          <w:tcPr>
            <w:tcW w:w="609" w:type="pct"/>
            <w:tcBorders>
              <w:top w:val="single" w:color="auto" w:sz="4" w:space="0"/>
              <w:bottom w:val="nil"/>
            </w:tcBorders>
            <w:shd w:val="clear" w:color="auto" w:fill="AFBED7"/>
            <w:noWrap/>
          </w:tcPr>
          <w:p w:rsidRPr="00DE4CBA" w:rsidR="00DC2FEA" w:rsidP="00A1651C" w:rsidRDefault="00DC2FEA" w14:paraId="0A37FA51" w14:textId="77777777">
            <w:pPr>
              <w:pStyle w:val="TX-TableText"/>
              <w:jc w:val="center"/>
              <w:rPr>
                <w:rFonts w:eastAsiaTheme="minorEastAsia"/>
                <w:lang w:val="en"/>
              </w:rPr>
            </w:pPr>
            <w:r>
              <w:rPr>
                <w:rFonts w:eastAsiaTheme="minorEastAsia"/>
                <w:lang w:val="en"/>
              </w:rPr>
              <w:t>$50</w:t>
            </w:r>
          </w:p>
        </w:tc>
        <w:tc>
          <w:tcPr>
            <w:tcW w:w="486" w:type="pct"/>
            <w:tcBorders>
              <w:top w:val="single" w:color="auto" w:sz="4" w:space="0"/>
              <w:bottom w:val="nil"/>
            </w:tcBorders>
            <w:shd w:val="clear" w:color="auto" w:fill="AFBED7"/>
            <w:noWrap/>
          </w:tcPr>
          <w:p w:rsidRPr="00DE4CBA" w:rsidR="00DC2FEA" w:rsidP="00A1651C" w:rsidRDefault="00DC2FEA" w14:paraId="208A9B58" w14:textId="77777777">
            <w:pPr>
              <w:pStyle w:val="TX-TableText"/>
              <w:jc w:val="center"/>
              <w:rPr>
                <w:rFonts w:eastAsiaTheme="minorEastAsia"/>
                <w:lang w:val="en"/>
              </w:rPr>
            </w:pPr>
            <w:r>
              <w:rPr>
                <w:rFonts w:eastAsiaTheme="minorEastAsia"/>
                <w:lang w:val="en"/>
              </w:rPr>
              <w:t>$21</w:t>
            </w:r>
          </w:p>
        </w:tc>
        <w:tc>
          <w:tcPr>
            <w:tcW w:w="610" w:type="pct"/>
            <w:tcBorders>
              <w:top w:val="single" w:color="auto" w:sz="4" w:space="0"/>
              <w:bottom w:val="nil"/>
            </w:tcBorders>
            <w:shd w:val="clear" w:color="auto" w:fill="AFBED7"/>
            <w:noWrap/>
          </w:tcPr>
          <w:p w:rsidRPr="00DE4CBA" w:rsidR="00DC2FEA" w:rsidP="00A1651C" w:rsidRDefault="00DC2FEA" w14:paraId="00763A81" w14:textId="77777777">
            <w:pPr>
              <w:pStyle w:val="TX-TableText"/>
              <w:jc w:val="center"/>
              <w:rPr>
                <w:rFonts w:eastAsiaTheme="minorEastAsia"/>
                <w:lang w:val="en"/>
              </w:rPr>
            </w:pPr>
            <w:r>
              <w:rPr>
                <w:rFonts w:eastAsiaTheme="minorEastAsia"/>
                <w:lang w:val="en"/>
              </w:rPr>
              <w:t>$50</w:t>
            </w:r>
          </w:p>
        </w:tc>
        <w:tc>
          <w:tcPr>
            <w:tcW w:w="549" w:type="pct"/>
            <w:tcBorders>
              <w:top w:val="single" w:color="auto" w:sz="4" w:space="0"/>
              <w:bottom w:val="nil"/>
            </w:tcBorders>
            <w:shd w:val="clear" w:color="auto" w:fill="AFBED7"/>
            <w:noWrap/>
          </w:tcPr>
          <w:p w:rsidRPr="00DE4CBA" w:rsidR="00DC2FEA" w:rsidP="00A1651C" w:rsidRDefault="00DC2FEA" w14:paraId="52AF132F" w14:textId="77777777">
            <w:pPr>
              <w:pStyle w:val="TX-TableText"/>
              <w:jc w:val="center"/>
              <w:rPr>
                <w:rFonts w:eastAsiaTheme="minorEastAsia"/>
                <w:lang w:val="en"/>
              </w:rPr>
            </w:pPr>
            <w:r>
              <w:rPr>
                <w:rFonts w:eastAsiaTheme="minorEastAsia"/>
                <w:lang w:val="en"/>
              </w:rPr>
              <w:t>$5</w:t>
            </w:r>
          </w:p>
        </w:tc>
        <w:tc>
          <w:tcPr>
            <w:tcW w:w="478" w:type="pct"/>
            <w:tcBorders>
              <w:top w:val="single" w:color="auto" w:sz="4" w:space="0"/>
              <w:bottom w:val="nil"/>
            </w:tcBorders>
            <w:shd w:val="clear" w:color="auto" w:fill="AFBED7"/>
            <w:noWrap/>
          </w:tcPr>
          <w:p w:rsidRPr="00DE4CBA" w:rsidR="00DC2FEA" w:rsidP="00A1651C" w:rsidRDefault="00DC2FEA" w14:paraId="217FC9A2" w14:textId="77777777">
            <w:pPr>
              <w:pStyle w:val="TX-TableText"/>
              <w:jc w:val="center"/>
              <w:rPr>
                <w:rFonts w:eastAsiaTheme="minorEastAsia"/>
                <w:lang w:val="en"/>
              </w:rPr>
            </w:pPr>
            <w:r>
              <w:rPr>
                <w:rFonts w:eastAsiaTheme="minorEastAsia"/>
                <w:lang w:val="en"/>
              </w:rPr>
              <w:t>n/a</w:t>
            </w:r>
          </w:p>
        </w:tc>
        <w:tc>
          <w:tcPr>
            <w:tcW w:w="559" w:type="pct"/>
            <w:tcBorders>
              <w:top w:val="single" w:color="auto" w:sz="4" w:space="0"/>
              <w:bottom w:val="nil"/>
            </w:tcBorders>
            <w:shd w:val="clear" w:color="auto" w:fill="AFBED7"/>
            <w:noWrap/>
          </w:tcPr>
          <w:p w:rsidRPr="00DE4CBA" w:rsidR="00DC2FEA" w:rsidP="00A1651C" w:rsidRDefault="00DC2FEA" w14:paraId="3E670120" w14:textId="7E676FAB">
            <w:pPr>
              <w:pStyle w:val="TX-TableText"/>
              <w:jc w:val="center"/>
              <w:rPr>
                <w:rFonts w:eastAsiaTheme="minorEastAsia"/>
                <w:lang w:val="en"/>
              </w:rPr>
            </w:pPr>
            <w:r>
              <w:rPr>
                <w:rFonts w:eastAsiaTheme="minorEastAsia"/>
                <w:lang w:val="en"/>
              </w:rPr>
              <w:t>$1</w:t>
            </w:r>
            <w:r w:rsidR="00D16052">
              <w:rPr>
                <w:rFonts w:eastAsiaTheme="minorEastAsia"/>
                <w:lang w:val="en"/>
              </w:rPr>
              <w:t>31</w:t>
            </w:r>
          </w:p>
        </w:tc>
      </w:tr>
      <w:tr w:rsidRPr="00DE4CBA" w:rsidR="00DC2FEA" w:rsidTr="00A1651C" w14:paraId="752A2D79" w14:textId="77777777">
        <w:trPr>
          <w:trHeight w:val="300"/>
        </w:trPr>
        <w:tc>
          <w:tcPr>
            <w:tcW w:w="368" w:type="pct"/>
            <w:tcBorders>
              <w:top w:val="nil"/>
              <w:bottom w:val="nil"/>
            </w:tcBorders>
            <w:noWrap/>
          </w:tcPr>
          <w:p w:rsidRPr="00DE4CBA" w:rsidR="00DC2FEA" w:rsidP="00A1651C" w:rsidRDefault="00DC2FEA" w14:paraId="5979F734" w14:textId="77777777">
            <w:pPr>
              <w:pStyle w:val="TX-TableText"/>
              <w:rPr>
                <w:rFonts w:eastAsiaTheme="minorEastAsia"/>
                <w:lang w:val="en"/>
              </w:rPr>
            </w:pPr>
            <w:r>
              <w:rPr>
                <w:rFonts w:eastAsiaTheme="minorEastAsia"/>
                <w:lang w:val="en"/>
              </w:rPr>
              <w:t>2</w:t>
            </w:r>
          </w:p>
        </w:tc>
        <w:tc>
          <w:tcPr>
            <w:tcW w:w="669" w:type="pct"/>
            <w:tcBorders>
              <w:top w:val="nil"/>
              <w:bottom w:val="nil"/>
            </w:tcBorders>
            <w:noWrap/>
          </w:tcPr>
          <w:p w:rsidRPr="00DE4CBA" w:rsidR="00DC2FEA" w:rsidP="00A1651C" w:rsidRDefault="00DC2FEA" w14:paraId="370D5D1C" w14:textId="77777777">
            <w:pPr>
              <w:pStyle w:val="TX-TableText"/>
              <w:jc w:val="center"/>
              <w:rPr>
                <w:rFonts w:eastAsiaTheme="minorEastAsia"/>
                <w:lang w:val="en"/>
              </w:rPr>
            </w:pPr>
            <w:r w:rsidRPr="004C09DA">
              <w:rPr>
                <w:rFonts w:eastAsiaTheme="minorEastAsia"/>
                <w:lang w:val="en"/>
              </w:rPr>
              <w:t>n/a</w:t>
            </w:r>
          </w:p>
        </w:tc>
        <w:tc>
          <w:tcPr>
            <w:tcW w:w="672" w:type="pct"/>
            <w:tcBorders>
              <w:top w:val="nil"/>
              <w:bottom w:val="nil"/>
            </w:tcBorders>
            <w:noWrap/>
          </w:tcPr>
          <w:p w:rsidRPr="00DE4CBA" w:rsidR="00DC2FEA" w:rsidP="00A1651C" w:rsidRDefault="00D16052" w14:paraId="16B9BF22" w14:textId="6133E60F">
            <w:pPr>
              <w:pStyle w:val="TX-TableText"/>
              <w:jc w:val="center"/>
              <w:rPr>
                <w:rFonts w:eastAsiaTheme="minorEastAsia"/>
                <w:lang w:val="en"/>
              </w:rPr>
            </w:pPr>
            <w:r>
              <w:rPr>
                <w:rFonts w:eastAsiaTheme="minorEastAsia"/>
                <w:lang w:val="en"/>
              </w:rPr>
              <w:t>$5</w:t>
            </w:r>
          </w:p>
        </w:tc>
        <w:tc>
          <w:tcPr>
            <w:tcW w:w="609" w:type="pct"/>
            <w:tcBorders>
              <w:top w:val="nil"/>
              <w:bottom w:val="nil"/>
            </w:tcBorders>
            <w:noWrap/>
          </w:tcPr>
          <w:p w:rsidRPr="00DE4CBA" w:rsidR="00DC2FEA" w:rsidP="00A1651C" w:rsidRDefault="00DC2FEA" w14:paraId="6EE64B86" w14:textId="77777777">
            <w:pPr>
              <w:pStyle w:val="TX-TableText"/>
              <w:jc w:val="center"/>
              <w:rPr>
                <w:rFonts w:eastAsiaTheme="minorEastAsia"/>
                <w:lang w:val="en"/>
              </w:rPr>
            </w:pPr>
            <w:r>
              <w:rPr>
                <w:rFonts w:eastAsiaTheme="minorEastAsia"/>
                <w:lang w:val="en"/>
              </w:rPr>
              <w:t>$50</w:t>
            </w:r>
          </w:p>
        </w:tc>
        <w:tc>
          <w:tcPr>
            <w:tcW w:w="486" w:type="pct"/>
            <w:tcBorders>
              <w:top w:val="nil"/>
              <w:bottom w:val="nil"/>
            </w:tcBorders>
            <w:noWrap/>
          </w:tcPr>
          <w:p w:rsidRPr="00DE4CBA" w:rsidR="00DC2FEA" w:rsidP="00A1651C" w:rsidRDefault="00DC2FEA" w14:paraId="13EC3B29" w14:textId="77777777">
            <w:pPr>
              <w:pStyle w:val="TX-TableText"/>
              <w:jc w:val="center"/>
              <w:rPr>
                <w:rFonts w:eastAsiaTheme="minorEastAsia"/>
                <w:lang w:val="en"/>
              </w:rPr>
            </w:pPr>
            <w:r>
              <w:rPr>
                <w:rFonts w:eastAsiaTheme="minorEastAsia"/>
                <w:lang w:val="en"/>
              </w:rPr>
              <w:t>$42</w:t>
            </w:r>
          </w:p>
        </w:tc>
        <w:tc>
          <w:tcPr>
            <w:tcW w:w="610" w:type="pct"/>
            <w:tcBorders>
              <w:top w:val="nil"/>
              <w:bottom w:val="nil"/>
            </w:tcBorders>
            <w:noWrap/>
          </w:tcPr>
          <w:p w:rsidRPr="00DE4CBA" w:rsidR="00DC2FEA" w:rsidP="00A1651C" w:rsidRDefault="00DC2FEA" w14:paraId="68A64186" w14:textId="77777777">
            <w:pPr>
              <w:pStyle w:val="TX-TableText"/>
              <w:jc w:val="center"/>
              <w:rPr>
                <w:rFonts w:eastAsiaTheme="minorEastAsia"/>
                <w:lang w:val="en"/>
              </w:rPr>
            </w:pPr>
            <w:r>
              <w:rPr>
                <w:rFonts w:eastAsiaTheme="minorEastAsia"/>
                <w:lang w:val="en"/>
              </w:rPr>
              <w:t>$50</w:t>
            </w:r>
          </w:p>
        </w:tc>
        <w:tc>
          <w:tcPr>
            <w:tcW w:w="549" w:type="pct"/>
            <w:tcBorders>
              <w:top w:val="nil"/>
              <w:bottom w:val="nil"/>
            </w:tcBorders>
            <w:noWrap/>
          </w:tcPr>
          <w:p w:rsidRPr="00DE4CBA" w:rsidR="00DC2FEA" w:rsidP="00A1651C" w:rsidRDefault="00DC2FEA" w14:paraId="4D2CA345" w14:textId="77777777">
            <w:pPr>
              <w:pStyle w:val="TX-TableText"/>
              <w:jc w:val="center"/>
              <w:rPr>
                <w:rFonts w:eastAsiaTheme="minorEastAsia"/>
                <w:lang w:val="en"/>
              </w:rPr>
            </w:pPr>
            <w:r>
              <w:rPr>
                <w:rFonts w:eastAsiaTheme="minorEastAsia"/>
                <w:lang w:val="en"/>
              </w:rPr>
              <w:t>$5</w:t>
            </w:r>
          </w:p>
        </w:tc>
        <w:tc>
          <w:tcPr>
            <w:tcW w:w="478" w:type="pct"/>
            <w:tcBorders>
              <w:top w:val="nil"/>
              <w:bottom w:val="nil"/>
            </w:tcBorders>
            <w:noWrap/>
          </w:tcPr>
          <w:p w:rsidRPr="00DE4CBA" w:rsidR="00DC2FEA" w:rsidP="00A1651C" w:rsidRDefault="00DC2FEA" w14:paraId="448075FE" w14:textId="77777777">
            <w:pPr>
              <w:pStyle w:val="TX-TableText"/>
              <w:jc w:val="center"/>
              <w:rPr>
                <w:rFonts w:eastAsiaTheme="minorEastAsia"/>
                <w:lang w:val="en"/>
              </w:rPr>
            </w:pPr>
            <w:r>
              <w:rPr>
                <w:rFonts w:eastAsiaTheme="minorEastAsia"/>
                <w:lang w:val="en"/>
              </w:rPr>
              <w:t>n/a</w:t>
            </w:r>
          </w:p>
        </w:tc>
        <w:tc>
          <w:tcPr>
            <w:tcW w:w="559" w:type="pct"/>
            <w:tcBorders>
              <w:top w:val="nil"/>
              <w:bottom w:val="nil"/>
            </w:tcBorders>
            <w:noWrap/>
          </w:tcPr>
          <w:p w:rsidRPr="00DE4CBA" w:rsidR="00DC2FEA" w:rsidP="00A1651C" w:rsidRDefault="00DC2FEA" w14:paraId="0F3B68A5" w14:textId="1F0DBFDE">
            <w:pPr>
              <w:pStyle w:val="TX-TableText"/>
              <w:jc w:val="center"/>
              <w:rPr>
                <w:rFonts w:eastAsiaTheme="minorEastAsia"/>
                <w:lang w:val="en"/>
              </w:rPr>
            </w:pPr>
            <w:r>
              <w:rPr>
                <w:rFonts w:eastAsiaTheme="minorEastAsia"/>
                <w:lang w:val="en"/>
              </w:rPr>
              <w:t>$1</w:t>
            </w:r>
            <w:r w:rsidR="00D16052">
              <w:rPr>
                <w:rFonts w:eastAsiaTheme="minorEastAsia"/>
                <w:lang w:val="en"/>
              </w:rPr>
              <w:t>52</w:t>
            </w:r>
          </w:p>
        </w:tc>
      </w:tr>
      <w:tr w:rsidRPr="00DE4CBA" w:rsidR="00DC2FEA" w:rsidTr="00A1651C" w14:paraId="469D6E5D" w14:textId="77777777">
        <w:trPr>
          <w:trHeight w:val="300"/>
        </w:trPr>
        <w:tc>
          <w:tcPr>
            <w:tcW w:w="368" w:type="pct"/>
            <w:tcBorders>
              <w:bottom w:val="nil"/>
            </w:tcBorders>
            <w:shd w:val="clear" w:color="auto" w:fill="AFBED7"/>
            <w:noWrap/>
          </w:tcPr>
          <w:p w:rsidRPr="00DE4CBA" w:rsidR="00DC2FEA" w:rsidP="00A1651C" w:rsidRDefault="00DC2FEA" w14:paraId="6E1F6940" w14:textId="77777777">
            <w:pPr>
              <w:pStyle w:val="TX-TableText"/>
              <w:rPr>
                <w:rFonts w:eastAsiaTheme="minorEastAsia"/>
                <w:lang w:val="en"/>
              </w:rPr>
            </w:pPr>
            <w:r>
              <w:rPr>
                <w:rFonts w:eastAsiaTheme="minorEastAsia"/>
                <w:lang w:val="en"/>
              </w:rPr>
              <w:t>3</w:t>
            </w:r>
          </w:p>
        </w:tc>
        <w:tc>
          <w:tcPr>
            <w:tcW w:w="669" w:type="pct"/>
            <w:tcBorders>
              <w:bottom w:val="nil"/>
            </w:tcBorders>
            <w:shd w:val="clear" w:color="auto" w:fill="AFBED7"/>
            <w:noWrap/>
          </w:tcPr>
          <w:p w:rsidRPr="00DE4CBA" w:rsidR="00DC2FEA" w:rsidP="00A1651C" w:rsidRDefault="00DC2FEA" w14:paraId="4615A47A" w14:textId="77777777">
            <w:pPr>
              <w:pStyle w:val="TX-TableText"/>
              <w:jc w:val="center"/>
              <w:rPr>
                <w:rFonts w:eastAsiaTheme="minorEastAsia"/>
                <w:lang w:val="en"/>
              </w:rPr>
            </w:pPr>
            <w:r w:rsidRPr="004C09DA">
              <w:rPr>
                <w:rFonts w:eastAsiaTheme="minorEastAsia"/>
                <w:lang w:val="en"/>
              </w:rPr>
              <w:t>n/a</w:t>
            </w:r>
          </w:p>
        </w:tc>
        <w:tc>
          <w:tcPr>
            <w:tcW w:w="672" w:type="pct"/>
            <w:tcBorders>
              <w:bottom w:val="nil"/>
            </w:tcBorders>
            <w:shd w:val="clear" w:color="auto" w:fill="AFBED7"/>
            <w:noWrap/>
          </w:tcPr>
          <w:p w:rsidRPr="00DE4CBA" w:rsidR="00DC2FEA" w:rsidP="00A1651C" w:rsidRDefault="00D16052" w14:paraId="4753A946" w14:textId="6D866922">
            <w:pPr>
              <w:pStyle w:val="TX-TableText"/>
              <w:jc w:val="center"/>
              <w:rPr>
                <w:rFonts w:eastAsiaTheme="minorEastAsia"/>
                <w:lang w:val="en"/>
              </w:rPr>
            </w:pPr>
            <w:r>
              <w:rPr>
                <w:rFonts w:eastAsiaTheme="minorEastAsia"/>
                <w:lang w:val="en"/>
              </w:rPr>
              <w:t>$5</w:t>
            </w:r>
          </w:p>
        </w:tc>
        <w:tc>
          <w:tcPr>
            <w:tcW w:w="609" w:type="pct"/>
            <w:tcBorders>
              <w:bottom w:val="nil"/>
            </w:tcBorders>
            <w:shd w:val="clear" w:color="auto" w:fill="AFBED7"/>
            <w:noWrap/>
          </w:tcPr>
          <w:p w:rsidRPr="00DE4CBA" w:rsidR="00DC2FEA" w:rsidP="00A1651C" w:rsidRDefault="00DC2FEA" w14:paraId="6F91AACF" w14:textId="77777777">
            <w:pPr>
              <w:pStyle w:val="TX-TableText"/>
              <w:jc w:val="center"/>
              <w:rPr>
                <w:rFonts w:eastAsiaTheme="minorEastAsia"/>
                <w:lang w:val="en"/>
              </w:rPr>
            </w:pPr>
            <w:r>
              <w:rPr>
                <w:rFonts w:eastAsiaTheme="minorEastAsia"/>
                <w:lang w:val="en"/>
              </w:rPr>
              <w:t>$50</w:t>
            </w:r>
          </w:p>
        </w:tc>
        <w:tc>
          <w:tcPr>
            <w:tcW w:w="486" w:type="pct"/>
            <w:tcBorders>
              <w:bottom w:val="nil"/>
            </w:tcBorders>
            <w:shd w:val="clear" w:color="auto" w:fill="AFBED7"/>
            <w:noWrap/>
          </w:tcPr>
          <w:p w:rsidRPr="00DE4CBA" w:rsidR="00DC2FEA" w:rsidP="00A1651C" w:rsidRDefault="00DC2FEA" w14:paraId="4252B2DF" w14:textId="77777777">
            <w:pPr>
              <w:pStyle w:val="TX-TableText"/>
              <w:jc w:val="center"/>
              <w:rPr>
                <w:rFonts w:eastAsiaTheme="minorEastAsia"/>
                <w:lang w:val="en"/>
              </w:rPr>
            </w:pPr>
            <w:r>
              <w:rPr>
                <w:rFonts w:eastAsiaTheme="minorEastAsia"/>
                <w:lang w:val="en"/>
              </w:rPr>
              <w:t>$63</w:t>
            </w:r>
          </w:p>
        </w:tc>
        <w:tc>
          <w:tcPr>
            <w:tcW w:w="610" w:type="pct"/>
            <w:tcBorders>
              <w:bottom w:val="nil"/>
            </w:tcBorders>
            <w:shd w:val="clear" w:color="auto" w:fill="AFBED7"/>
            <w:noWrap/>
          </w:tcPr>
          <w:p w:rsidRPr="00DE4CBA" w:rsidR="00DC2FEA" w:rsidP="00A1651C" w:rsidRDefault="00DC2FEA" w14:paraId="79A4EF99" w14:textId="77777777">
            <w:pPr>
              <w:pStyle w:val="TX-TableText"/>
              <w:jc w:val="center"/>
              <w:rPr>
                <w:rFonts w:eastAsiaTheme="minorEastAsia"/>
                <w:lang w:val="en"/>
              </w:rPr>
            </w:pPr>
            <w:r>
              <w:rPr>
                <w:rFonts w:eastAsiaTheme="minorEastAsia"/>
                <w:lang w:val="en"/>
              </w:rPr>
              <w:t>$50</w:t>
            </w:r>
          </w:p>
        </w:tc>
        <w:tc>
          <w:tcPr>
            <w:tcW w:w="549" w:type="pct"/>
            <w:tcBorders>
              <w:bottom w:val="nil"/>
            </w:tcBorders>
            <w:shd w:val="clear" w:color="auto" w:fill="AFBED7"/>
            <w:noWrap/>
          </w:tcPr>
          <w:p w:rsidRPr="00DE4CBA" w:rsidR="00DC2FEA" w:rsidP="00A1651C" w:rsidRDefault="00DC2FEA" w14:paraId="4788B193" w14:textId="77777777">
            <w:pPr>
              <w:pStyle w:val="TX-TableText"/>
              <w:jc w:val="center"/>
              <w:rPr>
                <w:rFonts w:eastAsiaTheme="minorEastAsia"/>
                <w:lang w:val="en"/>
              </w:rPr>
            </w:pPr>
            <w:r>
              <w:rPr>
                <w:rFonts w:eastAsiaTheme="minorEastAsia"/>
                <w:lang w:val="en"/>
              </w:rPr>
              <w:t>$5</w:t>
            </w:r>
          </w:p>
        </w:tc>
        <w:tc>
          <w:tcPr>
            <w:tcW w:w="478" w:type="pct"/>
            <w:tcBorders>
              <w:bottom w:val="nil"/>
            </w:tcBorders>
            <w:shd w:val="clear" w:color="auto" w:fill="AFBED7"/>
            <w:noWrap/>
          </w:tcPr>
          <w:p w:rsidRPr="00DE4CBA" w:rsidR="00DC2FEA" w:rsidP="00A1651C" w:rsidRDefault="00DC2FEA" w14:paraId="62112AF1" w14:textId="77777777">
            <w:pPr>
              <w:pStyle w:val="TX-TableText"/>
              <w:jc w:val="center"/>
              <w:rPr>
                <w:rFonts w:eastAsiaTheme="minorEastAsia"/>
                <w:lang w:val="en"/>
              </w:rPr>
            </w:pPr>
            <w:r>
              <w:rPr>
                <w:rFonts w:eastAsiaTheme="minorEastAsia"/>
                <w:lang w:val="en"/>
              </w:rPr>
              <w:t>n/a</w:t>
            </w:r>
          </w:p>
        </w:tc>
        <w:tc>
          <w:tcPr>
            <w:tcW w:w="559" w:type="pct"/>
            <w:tcBorders>
              <w:bottom w:val="nil"/>
            </w:tcBorders>
            <w:shd w:val="clear" w:color="auto" w:fill="AFBED7"/>
            <w:noWrap/>
          </w:tcPr>
          <w:p w:rsidRPr="00DE4CBA" w:rsidR="00DC2FEA" w:rsidP="00A1651C" w:rsidRDefault="00DC2FEA" w14:paraId="47A957E3" w14:textId="587C341D">
            <w:pPr>
              <w:pStyle w:val="TX-TableText"/>
              <w:jc w:val="center"/>
              <w:rPr>
                <w:rFonts w:eastAsiaTheme="minorEastAsia"/>
                <w:lang w:val="en"/>
              </w:rPr>
            </w:pPr>
            <w:r>
              <w:rPr>
                <w:rFonts w:eastAsiaTheme="minorEastAsia"/>
                <w:lang w:val="en"/>
              </w:rPr>
              <w:t>$1</w:t>
            </w:r>
            <w:r w:rsidR="00D16052">
              <w:rPr>
                <w:rFonts w:eastAsiaTheme="minorEastAsia"/>
                <w:lang w:val="en"/>
              </w:rPr>
              <w:t>73</w:t>
            </w:r>
          </w:p>
        </w:tc>
      </w:tr>
      <w:tr w:rsidRPr="00DE4CBA" w:rsidR="00DC2FEA" w:rsidTr="00A1651C" w14:paraId="096D78AD" w14:textId="77777777">
        <w:trPr>
          <w:trHeight w:val="300"/>
        </w:trPr>
        <w:tc>
          <w:tcPr>
            <w:tcW w:w="368" w:type="pct"/>
            <w:tcBorders>
              <w:top w:val="nil"/>
              <w:bottom w:val="single" w:color="auto" w:sz="4" w:space="0"/>
            </w:tcBorders>
            <w:noWrap/>
          </w:tcPr>
          <w:p w:rsidRPr="00163F0E" w:rsidR="00DC2FEA" w:rsidP="00A1651C" w:rsidRDefault="00DC2FEA" w14:paraId="209FC9E4" w14:textId="13218548">
            <w:pPr>
              <w:pStyle w:val="TX-TableText"/>
              <w:rPr>
                <w:rFonts w:eastAsiaTheme="minorEastAsia"/>
                <w:vertAlign w:val="superscript"/>
                <w:lang w:val="en"/>
              </w:rPr>
            </w:pPr>
            <w:r>
              <w:rPr>
                <w:rFonts w:eastAsiaTheme="minorEastAsia"/>
                <w:lang w:val="en"/>
              </w:rPr>
              <w:t>4</w:t>
            </w:r>
            <w:r w:rsidR="00F30A0D">
              <w:rPr>
                <w:rFonts w:eastAsiaTheme="minorEastAsia"/>
                <w:vertAlign w:val="superscript"/>
                <w:lang w:val="en"/>
              </w:rPr>
              <w:t>c</w:t>
            </w:r>
          </w:p>
        </w:tc>
        <w:tc>
          <w:tcPr>
            <w:tcW w:w="669" w:type="pct"/>
            <w:tcBorders>
              <w:top w:val="nil"/>
              <w:bottom w:val="single" w:color="auto" w:sz="4" w:space="0"/>
            </w:tcBorders>
            <w:noWrap/>
          </w:tcPr>
          <w:p w:rsidRPr="00DE4CBA" w:rsidR="00DC2FEA" w:rsidP="00A1651C" w:rsidRDefault="00DC2FEA" w14:paraId="2D10FD15" w14:textId="77777777">
            <w:pPr>
              <w:pStyle w:val="TX-TableText"/>
              <w:jc w:val="center"/>
              <w:rPr>
                <w:rFonts w:eastAsiaTheme="minorEastAsia"/>
                <w:lang w:val="en"/>
              </w:rPr>
            </w:pPr>
            <w:r w:rsidRPr="004C09DA">
              <w:rPr>
                <w:rFonts w:eastAsiaTheme="minorEastAsia"/>
                <w:lang w:val="en"/>
              </w:rPr>
              <w:t>n/a</w:t>
            </w:r>
          </w:p>
        </w:tc>
        <w:tc>
          <w:tcPr>
            <w:tcW w:w="672" w:type="pct"/>
            <w:tcBorders>
              <w:top w:val="nil"/>
              <w:bottom w:val="single" w:color="auto" w:sz="4" w:space="0"/>
            </w:tcBorders>
            <w:noWrap/>
          </w:tcPr>
          <w:p w:rsidRPr="00DE4CBA" w:rsidR="00DC2FEA" w:rsidP="00A1651C" w:rsidRDefault="00D16052" w14:paraId="7FC9CC84" w14:textId="2FE812A1">
            <w:pPr>
              <w:pStyle w:val="TX-TableText"/>
              <w:jc w:val="center"/>
              <w:rPr>
                <w:rFonts w:eastAsiaTheme="minorEastAsia"/>
                <w:lang w:val="en"/>
              </w:rPr>
            </w:pPr>
            <w:r>
              <w:rPr>
                <w:rFonts w:eastAsiaTheme="minorEastAsia"/>
                <w:lang w:val="en"/>
              </w:rPr>
              <w:t>$5</w:t>
            </w:r>
          </w:p>
        </w:tc>
        <w:tc>
          <w:tcPr>
            <w:tcW w:w="609" w:type="pct"/>
            <w:tcBorders>
              <w:top w:val="nil"/>
              <w:bottom w:val="single" w:color="auto" w:sz="4" w:space="0"/>
            </w:tcBorders>
            <w:noWrap/>
          </w:tcPr>
          <w:p w:rsidRPr="00DE4CBA" w:rsidR="00DC2FEA" w:rsidP="00A1651C" w:rsidRDefault="00DC2FEA" w14:paraId="7BB7E580" w14:textId="77777777">
            <w:pPr>
              <w:pStyle w:val="TX-TableText"/>
              <w:jc w:val="center"/>
              <w:rPr>
                <w:rFonts w:eastAsiaTheme="minorEastAsia"/>
                <w:lang w:val="en"/>
              </w:rPr>
            </w:pPr>
            <w:r>
              <w:rPr>
                <w:rFonts w:eastAsiaTheme="minorEastAsia"/>
                <w:lang w:val="en"/>
              </w:rPr>
              <w:t>$50</w:t>
            </w:r>
          </w:p>
        </w:tc>
        <w:tc>
          <w:tcPr>
            <w:tcW w:w="486" w:type="pct"/>
            <w:tcBorders>
              <w:top w:val="nil"/>
              <w:bottom w:val="single" w:color="auto" w:sz="4" w:space="0"/>
            </w:tcBorders>
            <w:noWrap/>
          </w:tcPr>
          <w:p w:rsidRPr="00DE4CBA" w:rsidR="00DC2FEA" w:rsidP="00A1651C" w:rsidRDefault="00DC2FEA" w14:paraId="58EC61F3" w14:textId="77777777">
            <w:pPr>
              <w:pStyle w:val="TX-TableText"/>
              <w:jc w:val="center"/>
              <w:rPr>
                <w:rFonts w:eastAsiaTheme="minorEastAsia"/>
                <w:lang w:val="en"/>
              </w:rPr>
            </w:pPr>
            <w:r>
              <w:rPr>
                <w:rFonts w:eastAsiaTheme="minorEastAsia"/>
                <w:lang w:val="en"/>
              </w:rPr>
              <w:t>$84</w:t>
            </w:r>
          </w:p>
        </w:tc>
        <w:tc>
          <w:tcPr>
            <w:tcW w:w="610" w:type="pct"/>
            <w:tcBorders>
              <w:top w:val="nil"/>
              <w:bottom w:val="single" w:color="auto" w:sz="4" w:space="0"/>
            </w:tcBorders>
            <w:noWrap/>
          </w:tcPr>
          <w:p w:rsidRPr="00DE4CBA" w:rsidR="00DC2FEA" w:rsidP="00A1651C" w:rsidRDefault="00DC2FEA" w14:paraId="7F768A41" w14:textId="77777777">
            <w:pPr>
              <w:pStyle w:val="TX-TableText"/>
              <w:jc w:val="center"/>
              <w:rPr>
                <w:rFonts w:eastAsiaTheme="minorEastAsia"/>
                <w:lang w:val="en"/>
              </w:rPr>
            </w:pPr>
            <w:r>
              <w:rPr>
                <w:rFonts w:eastAsiaTheme="minorEastAsia"/>
                <w:lang w:val="en"/>
              </w:rPr>
              <w:t>$50</w:t>
            </w:r>
          </w:p>
        </w:tc>
        <w:tc>
          <w:tcPr>
            <w:tcW w:w="549" w:type="pct"/>
            <w:tcBorders>
              <w:top w:val="nil"/>
              <w:bottom w:val="single" w:color="auto" w:sz="4" w:space="0"/>
            </w:tcBorders>
            <w:noWrap/>
          </w:tcPr>
          <w:p w:rsidRPr="00DE4CBA" w:rsidR="00DC2FEA" w:rsidP="00A1651C" w:rsidRDefault="00DC2FEA" w14:paraId="01A2DDCC" w14:textId="77777777">
            <w:pPr>
              <w:pStyle w:val="TX-TableText"/>
              <w:jc w:val="center"/>
              <w:rPr>
                <w:rFonts w:eastAsiaTheme="minorEastAsia"/>
                <w:lang w:val="en"/>
              </w:rPr>
            </w:pPr>
            <w:r>
              <w:rPr>
                <w:rFonts w:eastAsiaTheme="minorEastAsia"/>
                <w:lang w:val="en"/>
              </w:rPr>
              <w:t>$5</w:t>
            </w:r>
          </w:p>
        </w:tc>
        <w:tc>
          <w:tcPr>
            <w:tcW w:w="478" w:type="pct"/>
            <w:tcBorders>
              <w:top w:val="nil"/>
              <w:bottom w:val="single" w:color="auto" w:sz="4" w:space="0"/>
            </w:tcBorders>
            <w:noWrap/>
          </w:tcPr>
          <w:p w:rsidRPr="00DE4CBA" w:rsidR="00DC2FEA" w:rsidP="00A1651C" w:rsidRDefault="00DC2FEA" w14:paraId="60238A16" w14:textId="77777777">
            <w:pPr>
              <w:pStyle w:val="TX-TableText"/>
              <w:jc w:val="center"/>
              <w:rPr>
                <w:rFonts w:eastAsiaTheme="minorEastAsia"/>
                <w:lang w:val="en"/>
              </w:rPr>
            </w:pPr>
            <w:r>
              <w:rPr>
                <w:rFonts w:eastAsiaTheme="minorEastAsia"/>
                <w:lang w:val="en"/>
              </w:rPr>
              <w:t>n/a</w:t>
            </w:r>
          </w:p>
        </w:tc>
        <w:tc>
          <w:tcPr>
            <w:tcW w:w="559" w:type="pct"/>
            <w:tcBorders>
              <w:top w:val="nil"/>
              <w:bottom w:val="single" w:color="auto" w:sz="4" w:space="0"/>
            </w:tcBorders>
            <w:noWrap/>
          </w:tcPr>
          <w:p w:rsidRPr="00DE4CBA" w:rsidR="00DC2FEA" w:rsidP="00A1651C" w:rsidRDefault="00DC2FEA" w14:paraId="4E7569ED" w14:textId="751F7903">
            <w:pPr>
              <w:pStyle w:val="TX-TableText"/>
              <w:jc w:val="center"/>
              <w:rPr>
                <w:rFonts w:eastAsiaTheme="minorEastAsia"/>
                <w:lang w:val="en"/>
              </w:rPr>
            </w:pPr>
            <w:r>
              <w:rPr>
                <w:rFonts w:eastAsiaTheme="minorEastAsia"/>
                <w:lang w:val="en"/>
              </w:rPr>
              <w:t>$1</w:t>
            </w:r>
            <w:r w:rsidR="00D16052">
              <w:rPr>
                <w:rFonts w:eastAsiaTheme="minorEastAsia"/>
                <w:lang w:val="en"/>
              </w:rPr>
              <w:t>94</w:t>
            </w:r>
          </w:p>
        </w:tc>
      </w:tr>
      <w:tr w:rsidRPr="00DE4CBA" w:rsidR="00DC2FEA" w:rsidTr="00A1651C" w14:paraId="73DCE04A" w14:textId="77777777">
        <w:trPr>
          <w:trHeight w:val="300"/>
        </w:trPr>
        <w:tc>
          <w:tcPr>
            <w:tcW w:w="5000" w:type="pct"/>
            <w:gridSpan w:val="9"/>
            <w:tcBorders>
              <w:top w:val="single" w:color="auto" w:sz="4" w:space="0"/>
              <w:bottom w:val="single" w:color="auto" w:sz="4" w:space="0"/>
            </w:tcBorders>
            <w:noWrap/>
          </w:tcPr>
          <w:p w:rsidRPr="00DE4CBA" w:rsidR="00DC2FEA" w:rsidP="00A1651C" w:rsidRDefault="00DC2FEA" w14:paraId="47BB3494" w14:textId="77777777">
            <w:pPr>
              <w:pStyle w:val="TX-TableText"/>
              <w:jc w:val="center"/>
              <w:rPr>
                <w:rFonts w:eastAsiaTheme="minorEastAsia"/>
                <w:lang w:val="en"/>
              </w:rPr>
            </w:pPr>
            <w:r>
              <w:rPr>
                <w:rFonts w:eastAsiaTheme="minorEastAsia"/>
                <w:lang w:val="en"/>
              </w:rPr>
              <w:t>Proposed for Field Test</w:t>
            </w:r>
          </w:p>
        </w:tc>
      </w:tr>
      <w:tr w:rsidRPr="00DE4CBA" w:rsidR="00DC2FEA" w:rsidTr="00A1651C" w14:paraId="0B0F2135" w14:textId="77777777">
        <w:trPr>
          <w:trHeight w:val="300"/>
        </w:trPr>
        <w:tc>
          <w:tcPr>
            <w:tcW w:w="368" w:type="pct"/>
            <w:tcBorders>
              <w:top w:val="single" w:color="auto" w:sz="4" w:space="0"/>
              <w:bottom w:val="nil"/>
            </w:tcBorders>
            <w:shd w:val="clear" w:color="auto" w:fill="AFBED7"/>
            <w:noWrap/>
          </w:tcPr>
          <w:p w:rsidRPr="00DE4CBA" w:rsidR="00DC2FEA" w:rsidP="00A1651C" w:rsidRDefault="00DC2FEA" w14:paraId="7B955E81" w14:textId="77777777">
            <w:pPr>
              <w:pStyle w:val="TX-TableText"/>
              <w:rPr>
                <w:rFonts w:eastAsiaTheme="minorEastAsia"/>
                <w:lang w:val="en"/>
              </w:rPr>
            </w:pPr>
            <w:r w:rsidRPr="00DE4CBA">
              <w:rPr>
                <w:rFonts w:eastAsiaTheme="minorEastAsia"/>
                <w:lang w:val="en"/>
              </w:rPr>
              <w:t>1</w:t>
            </w:r>
          </w:p>
        </w:tc>
        <w:tc>
          <w:tcPr>
            <w:tcW w:w="669" w:type="pct"/>
            <w:tcBorders>
              <w:top w:val="single" w:color="auto" w:sz="4" w:space="0"/>
              <w:bottom w:val="nil"/>
            </w:tcBorders>
            <w:shd w:val="clear" w:color="auto" w:fill="AFBED7"/>
            <w:noWrap/>
          </w:tcPr>
          <w:p w:rsidRPr="00DE4CBA" w:rsidR="00DC2FEA" w:rsidP="00A1651C" w:rsidRDefault="00DC2FEA" w14:paraId="2C578329" w14:textId="77777777">
            <w:pPr>
              <w:pStyle w:val="TX-TableText"/>
              <w:jc w:val="center"/>
              <w:rPr>
                <w:rFonts w:eastAsiaTheme="minorEastAsia"/>
                <w:lang w:val="en"/>
              </w:rPr>
            </w:pPr>
            <w:r w:rsidRPr="00DE4CBA">
              <w:rPr>
                <w:rFonts w:eastAsiaTheme="minorEastAsia"/>
                <w:lang w:val="en"/>
              </w:rPr>
              <w:t>$</w:t>
            </w:r>
            <w:r>
              <w:rPr>
                <w:rFonts w:eastAsiaTheme="minorEastAsia"/>
                <w:lang w:val="en"/>
              </w:rPr>
              <w:t>5</w:t>
            </w:r>
          </w:p>
        </w:tc>
        <w:tc>
          <w:tcPr>
            <w:tcW w:w="672" w:type="pct"/>
            <w:tcBorders>
              <w:top w:val="single" w:color="auto" w:sz="4" w:space="0"/>
              <w:bottom w:val="nil"/>
            </w:tcBorders>
            <w:shd w:val="clear" w:color="auto" w:fill="AFBED7"/>
            <w:noWrap/>
          </w:tcPr>
          <w:p w:rsidRPr="00DE4CBA" w:rsidR="00DC2FEA" w:rsidP="00A1651C" w:rsidRDefault="00DC2FEA" w14:paraId="344F7EF5" w14:textId="77777777">
            <w:pPr>
              <w:pStyle w:val="TX-TableText"/>
              <w:jc w:val="center"/>
              <w:rPr>
                <w:rFonts w:eastAsiaTheme="minorEastAsia"/>
                <w:lang w:val="en"/>
              </w:rPr>
            </w:pPr>
            <w:r w:rsidRPr="00DE4CBA">
              <w:rPr>
                <w:rFonts w:eastAsiaTheme="minorEastAsia"/>
                <w:lang w:val="en"/>
              </w:rPr>
              <w:t>$5</w:t>
            </w:r>
          </w:p>
        </w:tc>
        <w:tc>
          <w:tcPr>
            <w:tcW w:w="609" w:type="pct"/>
            <w:tcBorders>
              <w:top w:val="single" w:color="auto" w:sz="4" w:space="0"/>
              <w:bottom w:val="nil"/>
            </w:tcBorders>
            <w:shd w:val="clear" w:color="auto" w:fill="AFBED7"/>
            <w:noWrap/>
          </w:tcPr>
          <w:p w:rsidRPr="00DE4CBA" w:rsidR="00DC2FEA" w:rsidP="00A1651C" w:rsidRDefault="00DC2FEA" w14:paraId="68C64648" w14:textId="77777777">
            <w:pPr>
              <w:pStyle w:val="TX-TableText"/>
              <w:jc w:val="center"/>
              <w:rPr>
                <w:rFonts w:eastAsiaTheme="minorEastAsia"/>
                <w:lang w:val="en"/>
              </w:rPr>
            </w:pPr>
            <w:r w:rsidRPr="00DE4CBA">
              <w:rPr>
                <w:rFonts w:eastAsiaTheme="minorEastAsia"/>
                <w:lang w:val="en"/>
              </w:rPr>
              <w:t>$40</w:t>
            </w:r>
          </w:p>
        </w:tc>
        <w:tc>
          <w:tcPr>
            <w:tcW w:w="486" w:type="pct"/>
            <w:tcBorders>
              <w:top w:val="single" w:color="auto" w:sz="4" w:space="0"/>
              <w:bottom w:val="nil"/>
            </w:tcBorders>
            <w:shd w:val="clear" w:color="auto" w:fill="AFBED7"/>
            <w:noWrap/>
          </w:tcPr>
          <w:p w:rsidRPr="00DE4CBA" w:rsidR="00DC2FEA" w:rsidP="00A1651C" w:rsidRDefault="00DC2FEA" w14:paraId="19832AB9" w14:textId="25C11668">
            <w:pPr>
              <w:pStyle w:val="TX-TableText"/>
              <w:jc w:val="center"/>
              <w:rPr>
                <w:rFonts w:eastAsiaTheme="minorEastAsia"/>
                <w:lang w:val="en"/>
              </w:rPr>
            </w:pPr>
            <w:r w:rsidRPr="00DE4CBA">
              <w:rPr>
                <w:rFonts w:eastAsiaTheme="minorEastAsia"/>
                <w:lang w:val="en"/>
              </w:rPr>
              <w:t>$</w:t>
            </w:r>
            <w:r w:rsidR="00E106FF">
              <w:rPr>
                <w:rFonts w:eastAsiaTheme="minorEastAsia"/>
                <w:lang w:val="en"/>
              </w:rPr>
              <w:t>35/</w:t>
            </w:r>
            <w:r>
              <w:rPr>
                <w:rFonts w:eastAsiaTheme="minorEastAsia"/>
                <w:lang w:val="en"/>
              </w:rPr>
              <w:t>5</w:t>
            </w:r>
            <w:r w:rsidRPr="00DE4CBA">
              <w:rPr>
                <w:rFonts w:eastAsiaTheme="minorEastAsia"/>
                <w:lang w:val="en"/>
              </w:rPr>
              <w:t>5</w:t>
            </w:r>
          </w:p>
        </w:tc>
        <w:tc>
          <w:tcPr>
            <w:tcW w:w="610" w:type="pct"/>
            <w:tcBorders>
              <w:top w:val="single" w:color="auto" w:sz="4" w:space="0"/>
              <w:bottom w:val="nil"/>
            </w:tcBorders>
            <w:shd w:val="clear" w:color="auto" w:fill="AFBED7"/>
            <w:noWrap/>
          </w:tcPr>
          <w:p w:rsidRPr="00DE4CBA" w:rsidR="00DC2FEA" w:rsidP="00A1651C" w:rsidRDefault="00DC2FEA" w14:paraId="580ACAA1" w14:textId="77777777">
            <w:pPr>
              <w:pStyle w:val="TX-TableText"/>
              <w:jc w:val="center"/>
              <w:rPr>
                <w:rFonts w:eastAsiaTheme="minorEastAsia"/>
                <w:lang w:val="en"/>
              </w:rPr>
            </w:pPr>
            <w:r w:rsidRPr="00DE4CBA">
              <w:rPr>
                <w:rFonts w:eastAsiaTheme="minorEastAsia"/>
                <w:lang w:val="en"/>
              </w:rPr>
              <w:t>$</w:t>
            </w:r>
            <w:r>
              <w:rPr>
                <w:rFonts w:eastAsiaTheme="minorEastAsia"/>
                <w:lang w:val="en"/>
              </w:rPr>
              <w:t>16</w:t>
            </w:r>
          </w:p>
        </w:tc>
        <w:tc>
          <w:tcPr>
            <w:tcW w:w="549" w:type="pct"/>
            <w:tcBorders>
              <w:top w:val="single" w:color="auto" w:sz="4" w:space="0"/>
              <w:bottom w:val="nil"/>
            </w:tcBorders>
            <w:shd w:val="clear" w:color="auto" w:fill="AFBED7"/>
            <w:noWrap/>
          </w:tcPr>
          <w:p w:rsidRPr="00DE4CBA" w:rsidR="00DC2FEA" w:rsidP="00A1651C" w:rsidRDefault="00DC2FEA" w14:paraId="310C7102" w14:textId="77777777">
            <w:pPr>
              <w:pStyle w:val="TX-TableText"/>
              <w:jc w:val="center"/>
              <w:rPr>
                <w:rFonts w:eastAsiaTheme="minorEastAsia"/>
                <w:lang w:val="en"/>
              </w:rPr>
            </w:pPr>
            <w:r w:rsidRPr="00DE4CBA">
              <w:rPr>
                <w:rFonts w:eastAsiaTheme="minorEastAsia"/>
                <w:lang w:val="en"/>
              </w:rPr>
              <w:t>$2</w:t>
            </w:r>
          </w:p>
        </w:tc>
        <w:tc>
          <w:tcPr>
            <w:tcW w:w="478" w:type="pct"/>
            <w:tcBorders>
              <w:top w:val="single" w:color="auto" w:sz="4" w:space="0"/>
              <w:bottom w:val="nil"/>
            </w:tcBorders>
            <w:shd w:val="clear" w:color="auto" w:fill="AFBED7"/>
            <w:noWrap/>
          </w:tcPr>
          <w:p w:rsidRPr="00DE4CBA" w:rsidR="00DC2FEA" w:rsidP="00A1651C" w:rsidRDefault="00DC2FEA" w14:paraId="4558307E" w14:textId="77777777">
            <w:pPr>
              <w:pStyle w:val="TX-TableText"/>
              <w:jc w:val="center"/>
              <w:rPr>
                <w:rFonts w:eastAsiaTheme="minorEastAsia"/>
                <w:lang w:val="en"/>
              </w:rPr>
            </w:pPr>
            <w:r w:rsidRPr="00DE4CBA">
              <w:rPr>
                <w:rFonts w:eastAsiaTheme="minorEastAsia"/>
                <w:lang w:val="en"/>
              </w:rPr>
              <w:t>$2</w:t>
            </w:r>
          </w:p>
        </w:tc>
        <w:tc>
          <w:tcPr>
            <w:tcW w:w="559" w:type="pct"/>
            <w:tcBorders>
              <w:top w:val="single" w:color="auto" w:sz="4" w:space="0"/>
              <w:bottom w:val="nil"/>
            </w:tcBorders>
            <w:shd w:val="clear" w:color="auto" w:fill="AFBED7"/>
            <w:noWrap/>
          </w:tcPr>
          <w:p w:rsidR="00D15878" w:rsidP="00A1651C" w:rsidRDefault="00DC2FEA" w14:paraId="11088EEE" w14:textId="77777777">
            <w:pPr>
              <w:pStyle w:val="TX-TableText"/>
              <w:jc w:val="center"/>
              <w:rPr>
                <w:rFonts w:eastAsiaTheme="minorEastAsia"/>
                <w:lang w:val="en"/>
              </w:rPr>
            </w:pPr>
            <w:r w:rsidRPr="00DE4CBA">
              <w:rPr>
                <w:rFonts w:eastAsiaTheme="minorEastAsia"/>
                <w:lang w:val="en"/>
              </w:rPr>
              <w:t>$</w:t>
            </w:r>
            <w:r w:rsidR="00E37F29">
              <w:rPr>
                <w:rFonts w:eastAsiaTheme="minorEastAsia"/>
                <w:lang w:val="en"/>
              </w:rPr>
              <w:t>105/</w:t>
            </w:r>
          </w:p>
          <w:p w:rsidRPr="00DE4CBA" w:rsidR="00DC2FEA" w:rsidP="00A1651C" w:rsidRDefault="00DC2FEA" w14:paraId="634938A6" w14:textId="4E042B93">
            <w:pPr>
              <w:pStyle w:val="TX-TableText"/>
              <w:jc w:val="center"/>
              <w:rPr>
                <w:rFonts w:eastAsiaTheme="minorEastAsia"/>
                <w:lang w:val="en"/>
              </w:rPr>
            </w:pPr>
            <w:r w:rsidRPr="00DE4CBA">
              <w:rPr>
                <w:rFonts w:eastAsiaTheme="minorEastAsia"/>
                <w:lang w:val="en"/>
              </w:rPr>
              <w:t>1</w:t>
            </w:r>
            <w:r>
              <w:rPr>
                <w:rFonts w:eastAsiaTheme="minorEastAsia"/>
                <w:lang w:val="en"/>
              </w:rPr>
              <w:t>25</w:t>
            </w:r>
          </w:p>
        </w:tc>
      </w:tr>
      <w:tr w:rsidRPr="00DE4CBA" w:rsidR="00DC2FEA" w:rsidTr="00A1651C" w14:paraId="0BF55130" w14:textId="77777777">
        <w:trPr>
          <w:trHeight w:val="300"/>
        </w:trPr>
        <w:tc>
          <w:tcPr>
            <w:tcW w:w="368" w:type="pct"/>
            <w:tcBorders>
              <w:top w:val="nil"/>
              <w:bottom w:val="nil"/>
            </w:tcBorders>
            <w:noWrap/>
            <w:hideMark/>
          </w:tcPr>
          <w:p w:rsidRPr="00DE4CBA" w:rsidR="00DC2FEA" w:rsidP="00A1651C" w:rsidRDefault="00DC2FEA" w14:paraId="5E79AD1E" w14:textId="77777777">
            <w:pPr>
              <w:pStyle w:val="TX-TableText"/>
              <w:rPr>
                <w:rFonts w:eastAsiaTheme="minorEastAsia"/>
                <w:lang w:val="en"/>
              </w:rPr>
            </w:pPr>
            <w:r w:rsidRPr="00DE4CBA">
              <w:rPr>
                <w:rFonts w:eastAsiaTheme="minorEastAsia"/>
                <w:lang w:val="en"/>
              </w:rPr>
              <w:t>2</w:t>
            </w:r>
          </w:p>
        </w:tc>
        <w:tc>
          <w:tcPr>
            <w:tcW w:w="669" w:type="pct"/>
            <w:tcBorders>
              <w:top w:val="nil"/>
              <w:bottom w:val="nil"/>
            </w:tcBorders>
            <w:noWrap/>
            <w:hideMark/>
          </w:tcPr>
          <w:p w:rsidRPr="00DE4CBA" w:rsidR="00DC2FEA" w:rsidP="00A1651C" w:rsidRDefault="00DC2FEA" w14:paraId="7CF340F2" w14:textId="77777777">
            <w:pPr>
              <w:pStyle w:val="TX-TableText"/>
              <w:jc w:val="center"/>
              <w:rPr>
                <w:rFonts w:eastAsiaTheme="minorEastAsia"/>
                <w:lang w:val="en"/>
              </w:rPr>
            </w:pPr>
            <w:r w:rsidRPr="00DE4CBA">
              <w:rPr>
                <w:rFonts w:eastAsiaTheme="minorEastAsia"/>
                <w:lang w:val="en"/>
              </w:rPr>
              <w:t>$</w:t>
            </w:r>
            <w:r>
              <w:rPr>
                <w:rFonts w:eastAsiaTheme="minorEastAsia"/>
                <w:lang w:val="en"/>
              </w:rPr>
              <w:t>5</w:t>
            </w:r>
          </w:p>
        </w:tc>
        <w:tc>
          <w:tcPr>
            <w:tcW w:w="672" w:type="pct"/>
            <w:tcBorders>
              <w:top w:val="nil"/>
              <w:bottom w:val="nil"/>
            </w:tcBorders>
            <w:noWrap/>
            <w:hideMark/>
          </w:tcPr>
          <w:p w:rsidRPr="00DE4CBA" w:rsidR="00DC2FEA" w:rsidP="00A1651C" w:rsidRDefault="00DC2FEA" w14:paraId="1B0F7715" w14:textId="77777777">
            <w:pPr>
              <w:pStyle w:val="TX-TableText"/>
              <w:jc w:val="center"/>
              <w:rPr>
                <w:rFonts w:eastAsiaTheme="minorEastAsia"/>
                <w:lang w:val="en"/>
              </w:rPr>
            </w:pPr>
            <w:r w:rsidRPr="00DE4CBA">
              <w:rPr>
                <w:rFonts w:eastAsiaTheme="minorEastAsia"/>
                <w:lang w:val="en"/>
              </w:rPr>
              <w:t>$5</w:t>
            </w:r>
          </w:p>
        </w:tc>
        <w:tc>
          <w:tcPr>
            <w:tcW w:w="609" w:type="pct"/>
            <w:tcBorders>
              <w:top w:val="nil"/>
              <w:bottom w:val="nil"/>
            </w:tcBorders>
            <w:noWrap/>
            <w:hideMark/>
          </w:tcPr>
          <w:p w:rsidRPr="00DE4CBA" w:rsidR="00DC2FEA" w:rsidP="00A1651C" w:rsidRDefault="00DC2FEA" w14:paraId="3B581B26" w14:textId="77777777">
            <w:pPr>
              <w:pStyle w:val="TX-TableText"/>
              <w:jc w:val="center"/>
              <w:rPr>
                <w:rFonts w:eastAsiaTheme="minorEastAsia"/>
                <w:lang w:val="en"/>
              </w:rPr>
            </w:pPr>
            <w:r w:rsidRPr="00DE4CBA">
              <w:rPr>
                <w:rFonts w:eastAsiaTheme="minorEastAsia"/>
                <w:lang w:val="en"/>
              </w:rPr>
              <w:t>$40</w:t>
            </w:r>
          </w:p>
        </w:tc>
        <w:tc>
          <w:tcPr>
            <w:tcW w:w="486" w:type="pct"/>
            <w:tcBorders>
              <w:top w:val="nil"/>
              <w:bottom w:val="nil"/>
            </w:tcBorders>
            <w:noWrap/>
            <w:hideMark/>
          </w:tcPr>
          <w:p w:rsidR="00D15878" w:rsidP="00A1651C" w:rsidRDefault="00DC2FEA" w14:paraId="190977E1" w14:textId="77777777">
            <w:pPr>
              <w:pStyle w:val="TX-TableText"/>
              <w:jc w:val="center"/>
              <w:rPr>
                <w:rFonts w:eastAsiaTheme="minorEastAsia"/>
                <w:lang w:val="en"/>
              </w:rPr>
            </w:pPr>
            <w:r w:rsidRPr="00DE4CBA">
              <w:rPr>
                <w:rFonts w:eastAsiaTheme="minorEastAsia"/>
                <w:lang w:val="en"/>
              </w:rPr>
              <w:t>$</w:t>
            </w:r>
            <w:r w:rsidR="00E106FF">
              <w:rPr>
                <w:rFonts w:eastAsiaTheme="minorEastAsia"/>
                <w:lang w:val="en"/>
              </w:rPr>
              <w:t>70/</w:t>
            </w:r>
          </w:p>
          <w:p w:rsidRPr="00DE4CBA" w:rsidR="00DC2FEA" w:rsidP="00A1651C" w:rsidRDefault="00DC2FEA" w14:paraId="3E165553" w14:textId="0FF7306D">
            <w:pPr>
              <w:pStyle w:val="TX-TableText"/>
              <w:jc w:val="center"/>
              <w:rPr>
                <w:rFonts w:eastAsiaTheme="minorEastAsia"/>
                <w:lang w:val="en"/>
              </w:rPr>
            </w:pPr>
            <w:r>
              <w:rPr>
                <w:rFonts w:eastAsiaTheme="minorEastAsia"/>
                <w:lang w:val="en"/>
              </w:rPr>
              <w:t>11</w:t>
            </w:r>
            <w:r w:rsidRPr="00DE4CBA">
              <w:rPr>
                <w:rFonts w:eastAsiaTheme="minorEastAsia"/>
                <w:lang w:val="en"/>
              </w:rPr>
              <w:t>0</w:t>
            </w:r>
          </w:p>
        </w:tc>
        <w:tc>
          <w:tcPr>
            <w:tcW w:w="610" w:type="pct"/>
            <w:tcBorders>
              <w:top w:val="nil"/>
              <w:bottom w:val="nil"/>
            </w:tcBorders>
            <w:noWrap/>
            <w:hideMark/>
          </w:tcPr>
          <w:p w:rsidRPr="00DE4CBA" w:rsidR="00DC2FEA" w:rsidP="00A1651C" w:rsidRDefault="00DC2FEA" w14:paraId="79D426CB" w14:textId="77777777">
            <w:pPr>
              <w:pStyle w:val="TX-TableText"/>
              <w:jc w:val="center"/>
              <w:rPr>
                <w:rFonts w:eastAsiaTheme="minorEastAsia"/>
                <w:lang w:val="en"/>
              </w:rPr>
            </w:pPr>
            <w:r w:rsidRPr="00DE4CBA">
              <w:rPr>
                <w:rFonts w:eastAsiaTheme="minorEastAsia"/>
                <w:lang w:val="en"/>
              </w:rPr>
              <w:t>$</w:t>
            </w:r>
            <w:r>
              <w:rPr>
                <w:rFonts w:eastAsiaTheme="minorEastAsia"/>
                <w:lang w:val="en"/>
              </w:rPr>
              <w:t>16</w:t>
            </w:r>
          </w:p>
        </w:tc>
        <w:tc>
          <w:tcPr>
            <w:tcW w:w="549" w:type="pct"/>
            <w:tcBorders>
              <w:top w:val="nil"/>
              <w:bottom w:val="nil"/>
            </w:tcBorders>
            <w:noWrap/>
            <w:hideMark/>
          </w:tcPr>
          <w:p w:rsidRPr="00DE4CBA" w:rsidR="00DC2FEA" w:rsidP="00A1651C" w:rsidRDefault="00DC2FEA" w14:paraId="5AE12B30" w14:textId="77777777">
            <w:pPr>
              <w:pStyle w:val="TX-TableText"/>
              <w:jc w:val="center"/>
              <w:rPr>
                <w:rFonts w:eastAsiaTheme="minorEastAsia"/>
                <w:lang w:val="en"/>
              </w:rPr>
            </w:pPr>
            <w:r w:rsidRPr="00DE4CBA">
              <w:rPr>
                <w:rFonts w:eastAsiaTheme="minorEastAsia"/>
                <w:lang w:val="en"/>
              </w:rPr>
              <w:t>$4</w:t>
            </w:r>
          </w:p>
        </w:tc>
        <w:tc>
          <w:tcPr>
            <w:tcW w:w="478" w:type="pct"/>
            <w:tcBorders>
              <w:top w:val="nil"/>
              <w:bottom w:val="nil"/>
            </w:tcBorders>
            <w:noWrap/>
            <w:hideMark/>
          </w:tcPr>
          <w:p w:rsidRPr="00DE4CBA" w:rsidR="00DC2FEA" w:rsidP="00A1651C" w:rsidRDefault="00DC2FEA" w14:paraId="0B42AA94" w14:textId="77777777">
            <w:pPr>
              <w:pStyle w:val="TX-TableText"/>
              <w:jc w:val="center"/>
              <w:rPr>
                <w:rFonts w:eastAsiaTheme="minorEastAsia"/>
                <w:lang w:val="en"/>
              </w:rPr>
            </w:pPr>
            <w:r w:rsidRPr="00DE4CBA">
              <w:rPr>
                <w:rFonts w:eastAsiaTheme="minorEastAsia"/>
                <w:lang w:val="en"/>
              </w:rPr>
              <w:t>$4</w:t>
            </w:r>
          </w:p>
        </w:tc>
        <w:tc>
          <w:tcPr>
            <w:tcW w:w="559" w:type="pct"/>
            <w:tcBorders>
              <w:top w:val="nil"/>
              <w:bottom w:val="nil"/>
            </w:tcBorders>
            <w:noWrap/>
            <w:hideMark/>
          </w:tcPr>
          <w:p w:rsidR="00D15878" w:rsidP="00A1651C" w:rsidRDefault="00DC2FEA" w14:paraId="65AFE455" w14:textId="77777777">
            <w:pPr>
              <w:pStyle w:val="TX-TableText"/>
              <w:jc w:val="center"/>
              <w:rPr>
                <w:rFonts w:eastAsiaTheme="minorEastAsia"/>
                <w:lang w:val="en"/>
              </w:rPr>
            </w:pPr>
            <w:r w:rsidRPr="00DE4CBA">
              <w:rPr>
                <w:rFonts w:eastAsiaTheme="minorEastAsia"/>
                <w:lang w:val="en"/>
              </w:rPr>
              <w:t>$</w:t>
            </w:r>
            <w:r w:rsidR="00E37F29">
              <w:rPr>
                <w:rFonts w:eastAsiaTheme="minorEastAsia"/>
                <w:lang w:val="en"/>
              </w:rPr>
              <w:t>144/</w:t>
            </w:r>
          </w:p>
          <w:p w:rsidRPr="00DE4CBA" w:rsidR="00DC2FEA" w:rsidP="00A1651C" w:rsidRDefault="00DC2FEA" w14:paraId="1796B6F3" w14:textId="4BADCD75">
            <w:pPr>
              <w:pStyle w:val="TX-TableText"/>
              <w:jc w:val="center"/>
              <w:rPr>
                <w:rFonts w:eastAsiaTheme="minorEastAsia"/>
                <w:lang w:val="en"/>
              </w:rPr>
            </w:pPr>
            <w:r w:rsidRPr="00DE4CBA">
              <w:rPr>
                <w:rFonts w:eastAsiaTheme="minorEastAsia"/>
                <w:lang w:val="en"/>
              </w:rPr>
              <w:t>1</w:t>
            </w:r>
            <w:r>
              <w:rPr>
                <w:rFonts w:eastAsiaTheme="minorEastAsia"/>
                <w:lang w:val="en"/>
              </w:rPr>
              <w:t>84</w:t>
            </w:r>
          </w:p>
        </w:tc>
      </w:tr>
      <w:tr w:rsidRPr="00DE4CBA" w:rsidR="00DC2FEA" w:rsidTr="00A1651C" w14:paraId="25734389" w14:textId="77777777">
        <w:trPr>
          <w:trHeight w:val="300"/>
        </w:trPr>
        <w:tc>
          <w:tcPr>
            <w:tcW w:w="368" w:type="pct"/>
            <w:tcBorders>
              <w:bottom w:val="nil"/>
            </w:tcBorders>
            <w:shd w:val="clear" w:color="auto" w:fill="AFBED7"/>
            <w:noWrap/>
            <w:hideMark/>
          </w:tcPr>
          <w:p w:rsidRPr="00DE4CBA" w:rsidR="00DC2FEA" w:rsidP="00A1651C" w:rsidRDefault="00DC2FEA" w14:paraId="5D3847CC" w14:textId="77777777">
            <w:pPr>
              <w:pStyle w:val="TX-TableText"/>
              <w:rPr>
                <w:rFonts w:eastAsiaTheme="minorEastAsia"/>
                <w:lang w:val="en"/>
              </w:rPr>
            </w:pPr>
            <w:r w:rsidRPr="00DE4CBA">
              <w:rPr>
                <w:rFonts w:eastAsiaTheme="minorEastAsia"/>
                <w:lang w:val="en"/>
              </w:rPr>
              <w:t>3</w:t>
            </w:r>
          </w:p>
        </w:tc>
        <w:tc>
          <w:tcPr>
            <w:tcW w:w="669" w:type="pct"/>
            <w:tcBorders>
              <w:bottom w:val="nil"/>
            </w:tcBorders>
            <w:shd w:val="clear" w:color="auto" w:fill="AFBED7"/>
            <w:noWrap/>
            <w:hideMark/>
          </w:tcPr>
          <w:p w:rsidRPr="00DE4CBA" w:rsidR="00DC2FEA" w:rsidP="00A1651C" w:rsidRDefault="00DC2FEA" w14:paraId="53274123" w14:textId="77777777">
            <w:pPr>
              <w:pStyle w:val="TX-TableText"/>
              <w:jc w:val="center"/>
              <w:rPr>
                <w:rFonts w:eastAsiaTheme="minorEastAsia"/>
                <w:lang w:val="en"/>
              </w:rPr>
            </w:pPr>
            <w:r w:rsidRPr="00DE4CBA">
              <w:rPr>
                <w:rFonts w:eastAsiaTheme="minorEastAsia"/>
                <w:lang w:val="en"/>
              </w:rPr>
              <w:t>$</w:t>
            </w:r>
            <w:r>
              <w:rPr>
                <w:rFonts w:eastAsiaTheme="minorEastAsia"/>
                <w:lang w:val="en"/>
              </w:rPr>
              <w:t>5</w:t>
            </w:r>
          </w:p>
        </w:tc>
        <w:tc>
          <w:tcPr>
            <w:tcW w:w="672" w:type="pct"/>
            <w:tcBorders>
              <w:bottom w:val="nil"/>
            </w:tcBorders>
            <w:shd w:val="clear" w:color="auto" w:fill="AFBED7"/>
            <w:noWrap/>
            <w:hideMark/>
          </w:tcPr>
          <w:p w:rsidRPr="00DE4CBA" w:rsidR="00DC2FEA" w:rsidP="00A1651C" w:rsidRDefault="00DC2FEA" w14:paraId="23FAC85D" w14:textId="77777777">
            <w:pPr>
              <w:pStyle w:val="TX-TableText"/>
              <w:jc w:val="center"/>
              <w:rPr>
                <w:rFonts w:eastAsiaTheme="minorEastAsia"/>
                <w:lang w:val="en"/>
              </w:rPr>
            </w:pPr>
            <w:r w:rsidRPr="00DE4CBA">
              <w:rPr>
                <w:rFonts w:eastAsiaTheme="minorEastAsia"/>
                <w:lang w:val="en"/>
              </w:rPr>
              <w:t>$5</w:t>
            </w:r>
          </w:p>
        </w:tc>
        <w:tc>
          <w:tcPr>
            <w:tcW w:w="609" w:type="pct"/>
            <w:tcBorders>
              <w:bottom w:val="nil"/>
            </w:tcBorders>
            <w:shd w:val="clear" w:color="auto" w:fill="AFBED7"/>
            <w:noWrap/>
            <w:hideMark/>
          </w:tcPr>
          <w:p w:rsidRPr="00DE4CBA" w:rsidR="00DC2FEA" w:rsidP="00A1651C" w:rsidRDefault="00DC2FEA" w14:paraId="66E559CC" w14:textId="77777777">
            <w:pPr>
              <w:pStyle w:val="TX-TableText"/>
              <w:jc w:val="center"/>
              <w:rPr>
                <w:rFonts w:eastAsiaTheme="minorEastAsia"/>
                <w:lang w:val="en"/>
              </w:rPr>
            </w:pPr>
            <w:r w:rsidRPr="00DE4CBA">
              <w:rPr>
                <w:rFonts w:eastAsiaTheme="minorEastAsia"/>
                <w:lang w:val="en"/>
              </w:rPr>
              <w:t>$40</w:t>
            </w:r>
          </w:p>
        </w:tc>
        <w:tc>
          <w:tcPr>
            <w:tcW w:w="486" w:type="pct"/>
            <w:tcBorders>
              <w:bottom w:val="nil"/>
            </w:tcBorders>
            <w:shd w:val="clear" w:color="auto" w:fill="AFBED7"/>
            <w:noWrap/>
            <w:hideMark/>
          </w:tcPr>
          <w:p w:rsidR="00D15878" w:rsidP="00A1651C" w:rsidRDefault="00DC2FEA" w14:paraId="4B0FA83D" w14:textId="77777777">
            <w:pPr>
              <w:pStyle w:val="TX-TableText"/>
              <w:jc w:val="center"/>
              <w:rPr>
                <w:rFonts w:eastAsiaTheme="minorEastAsia"/>
                <w:lang w:val="en"/>
              </w:rPr>
            </w:pPr>
            <w:r w:rsidRPr="00DE4CBA">
              <w:rPr>
                <w:rFonts w:eastAsiaTheme="minorEastAsia"/>
                <w:lang w:val="en"/>
              </w:rPr>
              <w:t>$</w:t>
            </w:r>
            <w:r w:rsidR="00E106FF">
              <w:rPr>
                <w:rFonts w:eastAsiaTheme="minorEastAsia"/>
                <w:lang w:val="en"/>
              </w:rPr>
              <w:t>105/</w:t>
            </w:r>
          </w:p>
          <w:p w:rsidRPr="00DE4CBA" w:rsidR="00DC2FEA" w:rsidP="00A1651C" w:rsidRDefault="00DC2FEA" w14:paraId="07B2C1ED" w14:textId="4077B2B5">
            <w:pPr>
              <w:pStyle w:val="TX-TableText"/>
              <w:jc w:val="center"/>
              <w:rPr>
                <w:rFonts w:eastAsiaTheme="minorEastAsia"/>
                <w:lang w:val="en"/>
              </w:rPr>
            </w:pPr>
            <w:r w:rsidRPr="00DE4CBA">
              <w:rPr>
                <w:rFonts w:eastAsiaTheme="minorEastAsia"/>
                <w:lang w:val="en"/>
              </w:rPr>
              <w:t>1</w:t>
            </w:r>
            <w:r>
              <w:rPr>
                <w:rFonts w:eastAsiaTheme="minorEastAsia"/>
                <w:lang w:val="en"/>
              </w:rPr>
              <w:t>6</w:t>
            </w:r>
            <w:r w:rsidRPr="00DE4CBA">
              <w:rPr>
                <w:rFonts w:eastAsiaTheme="minorEastAsia"/>
                <w:lang w:val="en"/>
              </w:rPr>
              <w:t>5</w:t>
            </w:r>
          </w:p>
        </w:tc>
        <w:tc>
          <w:tcPr>
            <w:tcW w:w="610" w:type="pct"/>
            <w:tcBorders>
              <w:bottom w:val="nil"/>
            </w:tcBorders>
            <w:shd w:val="clear" w:color="auto" w:fill="AFBED7"/>
            <w:noWrap/>
            <w:hideMark/>
          </w:tcPr>
          <w:p w:rsidRPr="00DE4CBA" w:rsidR="00DC2FEA" w:rsidP="00A1651C" w:rsidRDefault="00DC2FEA" w14:paraId="6FC65A44" w14:textId="77777777">
            <w:pPr>
              <w:pStyle w:val="TX-TableText"/>
              <w:jc w:val="center"/>
              <w:rPr>
                <w:rFonts w:eastAsiaTheme="minorEastAsia"/>
                <w:lang w:val="en"/>
              </w:rPr>
            </w:pPr>
            <w:r w:rsidRPr="00DE4CBA">
              <w:rPr>
                <w:rFonts w:eastAsiaTheme="minorEastAsia"/>
                <w:lang w:val="en"/>
              </w:rPr>
              <w:t>$</w:t>
            </w:r>
            <w:r>
              <w:rPr>
                <w:rFonts w:eastAsiaTheme="minorEastAsia"/>
                <w:lang w:val="en"/>
              </w:rPr>
              <w:t>16</w:t>
            </w:r>
          </w:p>
        </w:tc>
        <w:tc>
          <w:tcPr>
            <w:tcW w:w="549" w:type="pct"/>
            <w:tcBorders>
              <w:bottom w:val="nil"/>
            </w:tcBorders>
            <w:shd w:val="clear" w:color="auto" w:fill="AFBED7"/>
            <w:noWrap/>
            <w:hideMark/>
          </w:tcPr>
          <w:p w:rsidRPr="00DE4CBA" w:rsidR="00DC2FEA" w:rsidP="00A1651C" w:rsidRDefault="00DC2FEA" w14:paraId="2781D33F" w14:textId="77777777">
            <w:pPr>
              <w:pStyle w:val="TX-TableText"/>
              <w:jc w:val="center"/>
              <w:rPr>
                <w:rFonts w:eastAsiaTheme="minorEastAsia"/>
                <w:lang w:val="en"/>
              </w:rPr>
            </w:pPr>
            <w:r w:rsidRPr="00DE4CBA">
              <w:rPr>
                <w:rFonts w:eastAsiaTheme="minorEastAsia"/>
                <w:lang w:val="en"/>
              </w:rPr>
              <w:t>$6</w:t>
            </w:r>
          </w:p>
        </w:tc>
        <w:tc>
          <w:tcPr>
            <w:tcW w:w="478" w:type="pct"/>
            <w:tcBorders>
              <w:bottom w:val="nil"/>
            </w:tcBorders>
            <w:shd w:val="clear" w:color="auto" w:fill="AFBED7"/>
            <w:noWrap/>
            <w:hideMark/>
          </w:tcPr>
          <w:p w:rsidRPr="00DE4CBA" w:rsidR="00DC2FEA" w:rsidP="00A1651C" w:rsidRDefault="00DC2FEA" w14:paraId="3A91EB22" w14:textId="77777777">
            <w:pPr>
              <w:pStyle w:val="TX-TableText"/>
              <w:jc w:val="center"/>
              <w:rPr>
                <w:rFonts w:eastAsiaTheme="minorEastAsia"/>
                <w:lang w:val="en"/>
              </w:rPr>
            </w:pPr>
            <w:r w:rsidRPr="00DE4CBA">
              <w:rPr>
                <w:rFonts w:eastAsiaTheme="minorEastAsia"/>
                <w:lang w:val="en"/>
              </w:rPr>
              <w:t>$6</w:t>
            </w:r>
          </w:p>
        </w:tc>
        <w:tc>
          <w:tcPr>
            <w:tcW w:w="559" w:type="pct"/>
            <w:tcBorders>
              <w:bottom w:val="nil"/>
            </w:tcBorders>
            <w:shd w:val="clear" w:color="auto" w:fill="AFBED7"/>
            <w:noWrap/>
            <w:hideMark/>
          </w:tcPr>
          <w:p w:rsidR="00D15878" w:rsidP="00A1651C" w:rsidRDefault="00DC2FEA" w14:paraId="2E7FD19A" w14:textId="77777777">
            <w:pPr>
              <w:pStyle w:val="TX-TableText"/>
              <w:jc w:val="center"/>
              <w:rPr>
                <w:rFonts w:eastAsiaTheme="minorEastAsia"/>
                <w:lang w:val="en"/>
              </w:rPr>
            </w:pPr>
            <w:r w:rsidRPr="00DE4CBA">
              <w:rPr>
                <w:rFonts w:eastAsiaTheme="minorEastAsia"/>
                <w:lang w:val="en"/>
              </w:rPr>
              <w:t>$</w:t>
            </w:r>
            <w:r w:rsidR="00E37F29">
              <w:rPr>
                <w:rFonts w:eastAsiaTheme="minorEastAsia"/>
                <w:lang w:val="en"/>
              </w:rPr>
              <w:t>183/</w:t>
            </w:r>
          </w:p>
          <w:p w:rsidRPr="00DE4CBA" w:rsidR="00DC2FEA" w:rsidP="00A1651C" w:rsidRDefault="00DC2FEA" w14:paraId="0AF649A0" w14:textId="150CFE2D">
            <w:pPr>
              <w:pStyle w:val="TX-TableText"/>
              <w:jc w:val="center"/>
              <w:rPr>
                <w:rFonts w:eastAsiaTheme="minorEastAsia"/>
                <w:lang w:val="en"/>
              </w:rPr>
            </w:pPr>
            <w:r w:rsidRPr="00DE4CBA">
              <w:rPr>
                <w:rFonts w:eastAsiaTheme="minorEastAsia"/>
                <w:lang w:val="en"/>
              </w:rPr>
              <w:t>2</w:t>
            </w:r>
            <w:r>
              <w:rPr>
                <w:rFonts w:eastAsiaTheme="minorEastAsia"/>
                <w:lang w:val="en"/>
              </w:rPr>
              <w:t>43</w:t>
            </w:r>
          </w:p>
        </w:tc>
      </w:tr>
      <w:tr w:rsidRPr="00DE4CBA" w:rsidR="00DC2FEA" w:rsidTr="00A1651C" w14:paraId="4EAFCD63" w14:textId="77777777">
        <w:trPr>
          <w:trHeight w:val="300"/>
        </w:trPr>
        <w:tc>
          <w:tcPr>
            <w:tcW w:w="368" w:type="pct"/>
            <w:tcBorders>
              <w:top w:val="nil"/>
            </w:tcBorders>
            <w:noWrap/>
            <w:hideMark/>
          </w:tcPr>
          <w:p w:rsidRPr="00163F0E" w:rsidR="00DC2FEA" w:rsidP="00A1651C" w:rsidRDefault="00DC2FEA" w14:paraId="51F2B264" w14:textId="063AEB2C">
            <w:pPr>
              <w:pStyle w:val="TX-TableText"/>
              <w:rPr>
                <w:rFonts w:eastAsiaTheme="minorEastAsia"/>
                <w:vertAlign w:val="superscript"/>
                <w:lang w:val="en"/>
              </w:rPr>
            </w:pPr>
            <w:r w:rsidRPr="00DE4CBA">
              <w:rPr>
                <w:rFonts w:eastAsiaTheme="minorEastAsia"/>
                <w:lang w:val="en"/>
              </w:rPr>
              <w:t>4</w:t>
            </w:r>
            <w:r w:rsidR="00A1651C">
              <w:rPr>
                <w:rFonts w:eastAsiaTheme="minorEastAsia"/>
                <w:vertAlign w:val="superscript"/>
                <w:lang w:val="en"/>
              </w:rPr>
              <w:t>c</w:t>
            </w:r>
          </w:p>
        </w:tc>
        <w:tc>
          <w:tcPr>
            <w:tcW w:w="669" w:type="pct"/>
            <w:tcBorders>
              <w:top w:val="nil"/>
            </w:tcBorders>
            <w:noWrap/>
            <w:hideMark/>
          </w:tcPr>
          <w:p w:rsidRPr="00DE4CBA" w:rsidR="00DC2FEA" w:rsidP="00A1651C" w:rsidRDefault="00DC2FEA" w14:paraId="66B27513" w14:textId="77777777">
            <w:pPr>
              <w:pStyle w:val="TX-TableText"/>
              <w:jc w:val="center"/>
              <w:rPr>
                <w:rFonts w:eastAsiaTheme="minorEastAsia"/>
                <w:lang w:val="en"/>
              </w:rPr>
            </w:pPr>
            <w:r w:rsidRPr="00DE4CBA">
              <w:rPr>
                <w:rFonts w:eastAsiaTheme="minorEastAsia"/>
                <w:lang w:val="en"/>
              </w:rPr>
              <w:t>$</w:t>
            </w:r>
            <w:r>
              <w:rPr>
                <w:rFonts w:eastAsiaTheme="minorEastAsia"/>
                <w:lang w:val="en"/>
              </w:rPr>
              <w:t>5</w:t>
            </w:r>
          </w:p>
        </w:tc>
        <w:tc>
          <w:tcPr>
            <w:tcW w:w="672" w:type="pct"/>
            <w:tcBorders>
              <w:top w:val="nil"/>
            </w:tcBorders>
            <w:noWrap/>
            <w:hideMark/>
          </w:tcPr>
          <w:p w:rsidRPr="00DE4CBA" w:rsidR="00DC2FEA" w:rsidP="00A1651C" w:rsidRDefault="00DC2FEA" w14:paraId="6742566E" w14:textId="77777777">
            <w:pPr>
              <w:pStyle w:val="TX-TableText"/>
              <w:jc w:val="center"/>
              <w:rPr>
                <w:rFonts w:eastAsiaTheme="minorEastAsia"/>
                <w:lang w:val="en"/>
              </w:rPr>
            </w:pPr>
            <w:r w:rsidRPr="00DE4CBA">
              <w:rPr>
                <w:rFonts w:eastAsiaTheme="minorEastAsia"/>
                <w:lang w:val="en"/>
              </w:rPr>
              <w:t>$5</w:t>
            </w:r>
          </w:p>
        </w:tc>
        <w:tc>
          <w:tcPr>
            <w:tcW w:w="609" w:type="pct"/>
            <w:tcBorders>
              <w:top w:val="nil"/>
            </w:tcBorders>
            <w:noWrap/>
            <w:hideMark/>
          </w:tcPr>
          <w:p w:rsidRPr="00DE4CBA" w:rsidR="00DC2FEA" w:rsidP="00A1651C" w:rsidRDefault="00DC2FEA" w14:paraId="76FAB5D0" w14:textId="77777777">
            <w:pPr>
              <w:pStyle w:val="TX-TableText"/>
              <w:jc w:val="center"/>
              <w:rPr>
                <w:rFonts w:eastAsiaTheme="minorEastAsia"/>
                <w:lang w:val="en"/>
              </w:rPr>
            </w:pPr>
            <w:r w:rsidRPr="00DE4CBA">
              <w:rPr>
                <w:rFonts w:eastAsiaTheme="minorEastAsia"/>
                <w:lang w:val="en"/>
              </w:rPr>
              <w:t>$40</w:t>
            </w:r>
          </w:p>
        </w:tc>
        <w:tc>
          <w:tcPr>
            <w:tcW w:w="486" w:type="pct"/>
            <w:tcBorders>
              <w:top w:val="nil"/>
            </w:tcBorders>
            <w:noWrap/>
            <w:hideMark/>
          </w:tcPr>
          <w:p w:rsidR="00D15878" w:rsidP="00A1651C" w:rsidRDefault="00DC2FEA" w14:paraId="321C6540" w14:textId="77777777">
            <w:pPr>
              <w:pStyle w:val="TX-TableText"/>
              <w:jc w:val="center"/>
              <w:rPr>
                <w:rFonts w:eastAsiaTheme="minorEastAsia"/>
                <w:lang w:val="en"/>
              </w:rPr>
            </w:pPr>
            <w:r w:rsidRPr="00DE4CBA">
              <w:rPr>
                <w:rFonts w:eastAsiaTheme="minorEastAsia"/>
                <w:lang w:val="en"/>
              </w:rPr>
              <w:t>$</w:t>
            </w:r>
            <w:r w:rsidR="00E106FF">
              <w:rPr>
                <w:rFonts w:eastAsiaTheme="minorEastAsia"/>
                <w:lang w:val="en"/>
              </w:rPr>
              <w:t>140/</w:t>
            </w:r>
          </w:p>
          <w:p w:rsidRPr="00DE4CBA" w:rsidR="00DC2FEA" w:rsidP="00A1651C" w:rsidRDefault="00DC2FEA" w14:paraId="0B1DF66F" w14:textId="67047C2B">
            <w:pPr>
              <w:pStyle w:val="TX-TableText"/>
              <w:jc w:val="center"/>
              <w:rPr>
                <w:rFonts w:eastAsiaTheme="minorEastAsia"/>
                <w:lang w:val="en"/>
              </w:rPr>
            </w:pPr>
            <w:r>
              <w:rPr>
                <w:rFonts w:eastAsiaTheme="minorEastAsia"/>
                <w:lang w:val="en"/>
              </w:rPr>
              <w:t>220</w:t>
            </w:r>
          </w:p>
        </w:tc>
        <w:tc>
          <w:tcPr>
            <w:tcW w:w="610" w:type="pct"/>
            <w:tcBorders>
              <w:top w:val="nil"/>
            </w:tcBorders>
            <w:noWrap/>
            <w:hideMark/>
          </w:tcPr>
          <w:p w:rsidRPr="00DE4CBA" w:rsidR="00DC2FEA" w:rsidP="00A1651C" w:rsidRDefault="00DC2FEA" w14:paraId="1783BC32" w14:textId="77777777">
            <w:pPr>
              <w:pStyle w:val="TX-TableText"/>
              <w:jc w:val="center"/>
              <w:rPr>
                <w:rFonts w:eastAsiaTheme="minorEastAsia"/>
                <w:lang w:val="en"/>
              </w:rPr>
            </w:pPr>
            <w:r w:rsidRPr="00DE4CBA">
              <w:rPr>
                <w:rFonts w:eastAsiaTheme="minorEastAsia"/>
                <w:lang w:val="en"/>
              </w:rPr>
              <w:t>$</w:t>
            </w:r>
            <w:r>
              <w:rPr>
                <w:rFonts w:eastAsiaTheme="minorEastAsia"/>
                <w:lang w:val="en"/>
              </w:rPr>
              <w:t>16</w:t>
            </w:r>
          </w:p>
        </w:tc>
        <w:tc>
          <w:tcPr>
            <w:tcW w:w="549" w:type="pct"/>
            <w:tcBorders>
              <w:top w:val="nil"/>
            </w:tcBorders>
            <w:noWrap/>
            <w:hideMark/>
          </w:tcPr>
          <w:p w:rsidRPr="00DE4CBA" w:rsidR="00DC2FEA" w:rsidP="00A1651C" w:rsidRDefault="00DC2FEA" w14:paraId="33D782A9" w14:textId="77777777">
            <w:pPr>
              <w:pStyle w:val="TX-TableText"/>
              <w:jc w:val="center"/>
              <w:rPr>
                <w:rFonts w:eastAsiaTheme="minorEastAsia"/>
                <w:lang w:val="en"/>
              </w:rPr>
            </w:pPr>
            <w:r w:rsidRPr="00DE4CBA">
              <w:rPr>
                <w:rFonts w:eastAsiaTheme="minorEastAsia"/>
                <w:lang w:val="en"/>
              </w:rPr>
              <w:t>$8</w:t>
            </w:r>
          </w:p>
        </w:tc>
        <w:tc>
          <w:tcPr>
            <w:tcW w:w="478" w:type="pct"/>
            <w:tcBorders>
              <w:top w:val="nil"/>
            </w:tcBorders>
            <w:noWrap/>
            <w:hideMark/>
          </w:tcPr>
          <w:p w:rsidRPr="00DE4CBA" w:rsidR="00DC2FEA" w:rsidP="00A1651C" w:rsidRDefault="00DC2FEA" w14:paraId="6DBC6595" w14:textId="77777777">
            <w:pPr>
              <w:pStyle w:val="TX-TableText"/>
              <w:jc w:val="center"/>
              <w:rPr>
                <w:rFonts w:eastAsiaTheme="minorEastAsia"/>
                <w:lang w:val="en"/>
              </w:rPr>
            </w:pPr>
            <w:r w:rsidRPr="00DE4CBA">
              <w:rPr>
                <w:rFonts w:eastAsiaTheme="minorEastAsia"/>
                <w:lang w:val="en"/>
              </w:rPr>
              <w:t>$8</w:t>
            </w:r>
          </w:p>
        </w:tc>
        <w:tc>
          <w:tcPr>
            <w:tcW w:w="559" w:type="pct"/>
            <w:tcBorders>
              <w:top w:val="nil"/>
            </w:tcBorders>
            <w:noWrap/>
            <w:hideMark/>
          </w:tcPr>
          <w:p w:rsidR="00D15878" w:rsidP="00A1651C" w:rsidRDefault="00DC2FEA" w14:paraId="488E43F9" w14:textId="77777777">
            <w:pPr>
              <w:pStyle w:val="TX-TableText"/>
              <w:jc w:val="center"/>
              <w:rPr>
                <w:rFonts w:eastAsiaTheme="minorEastAsia"/>
                <w:lang w:val="en"/>
              </w:rPr>
            </w:pPr>
            <w:r w:rsidRPr="00DE4CBA">
              <w:rPr>
                <w:rFonts w:eastAsiaTheme="minorEastAsia"/>
                <w:lang w:val="en"/>
              </w:rPr>
              <w:t>$</w:t>
            </w:r>
            <w:r w:rsidR="00E37F29">
              <w:rPr>
                <w:rFonts w:eastAsiaTheme="minorEastAsia"/>
                <w:lang w:val="en"/>
              </w:rPr>
              <w:t>222/</w:t>
            </w:r>
          </w:p>
          <w:p w:rsidRPr="00DE4CBA" w:rsidR="00DC2FEA" w:rsidP="00A1651C" w:rsidRDefault="00DC2FEA" w14:paraId="6F91FD50" w14:textId="06B428CF">
            <w:pPr>
              <w:pStyle w:val="TX-TableText"/>
              <w:jc w:val="center"/>
              <w:rPr>
                <w:rFonts w:eastAsiaTheme="minorEastAsia"/>
                <w:lang w:val="en"/>
              </w:rPr>
            </w:pPr>
            <w:r>
              <w:rPr>
                <w:rFonts w:eastAsiaTheme="minorEastAsia"/>
                <w:lang w:val="en"/>
              </w:rPr>
              <w:t>302</w:t>
            </w:r>
          </w:p>
        </w:tc>
      </w:tr>
    </w:tbl>
    <w:p w:rsidR="00DC2FEA" w:rsidP="00DC2FEA" w:rsidRDefault="00A1651C" w14:paraId="49673B63" w14:textId="53724FB7">
      <w:pPr>
        <w:pStyle w:val="TF-TblFN"/>
        <w:rPr>
          <w:rFonts w:eastAsiaTheme="minorEastAsia"/>
        </w:rPr>
      </w:pPr>
      <w:r>
        <w:rPr>
          <w:rFonts w:eastAsiaTheme="minorEastAsia"/>
          <w:vertAlign w:val="superscript"/>
        </w:rPr>
        <w:t>a</w:t>
      </w:r>
      <w:r w:rsidR="00995B0A">
        <w:rPr>
          <w:rFonts w:eastAsiaTheme="minorEastAsia"/>
          <w:vertAlign w:val="superscript"/>
        </w:rPr>
        <w:t xml:space="preserve"> </w:t>
      </w:r>
      <w:r w:rsidRPr="00DE4CBA" w:rsidR="00DC2FEA">
        <w:rPr>
          <w:rFonts w:eastAsiaTheme="minorEastAsia"/>
        </w:rPr>
        <w:t>$</w:t>
      </w:r>
      <w:r w:rsidR="00DC2FEA">
        <w:rPr>
          <w:rFonts w:eastAsiaTheme="minorEastAsia"/>
        </w:rPr>
        <w:t>3 (</w:t>
      </w:r>
      <w:r w:rsidR="00770C00">
        <w:rPr>
          <w:rFonts w:eastAsiaTheme="minorEastAsia"/>
        </w:rPr>
        <w:t>NFS Pilot</w:t>
      </w:r>
      <w:r w:rsidR="00DC2FEA">
        <w:rPr>
          <w:rFonts w:eastAsiaTheme="minorEastAsia"/>
        </w:rPr>
        <w:t>)</w:t>
      </w:r>
      <w:r w:rsidR="00E37F29">
        <w:rPr>
          <w:rFonts w:eastAsiaTheme="minorEastAsia"/>
        </w:rPr>
        <w:t xml:space="preserve"> per person per day</w:t>
      </w:r>
      <w:r w:rsidR="00DC2FEA">
        <w:rPr>
          <w:rFonts w:eastAsiaTheme="minorEastAsia"/>
        </w:rPr>
        <w:t>/</w:t>
      </w:r>
      <w:r w:rsidR="00E37F29">
        <w:rPr>
          <w:rFonts w:eastAsiaTheme="minorEastAsia"/>
        </w:rPr>
        <w:t>$5 per person per day (Field Test Control condition)/</w:t>
      </w:r>
      <w:r w:rsidR="00DC2FEA">
        <w:rPr>
          <w:rFonts w:eastAsiaTheme="minorEastAsia"/>
        </w:rPr>
        <w:t>$</w:t>
      </w:r>
      <w:r w:rsidRPr="00DE4CBA" w:rsidR="00DC2FEA">
        <w:rPr>
          <w:rFonts w:eastAsiaTheme="minorEastAsia"/>
        </w:rPr>
        <w:t>5</w:t>
      </w:r>
      <w:r w:rsidR="00E37F29">
        <w:rPr>
          <w:rFonts w:eastAsiaTheme="minorEastAsia"/>
        </w:rPr>
        <w:t xml:space="preserve"> per person per day for the first three days </w:t>
      </w:r>
      <w:r w:rsidR="00E106FF">
        <w:rPr>
          <w:rFonts w:eastAsiaTheme="minorEastAsia"/>
        </w:rPr>
        <w:t xml:space="preserve">and </w:t>
      </w:r>
      <w:r w:rsidR="00DC2FEA">
        <w:rPr>
          <w:rFonts w:eastAsiaTheme="minorEastAsia"/>
        </w:rPr>
        <w:t>$10</w:t>
      </w:r>
      <w:r w:rsidR="00E37F29">
        <w:rPr>
          <w:rFonts w:eastAsiaTheme="minorEastAsia"/>
        </w:rPr>
        <w:t xml:space="preserve"> per per</w:t>
      </w:r>
      <w:r w:rsidR="00520989">
        <w:rPr>
          <w:rFonts w:eastAsiaTheme="minorEastAsia"/>
        </w:rPr>
        <w:t>s</w:t>
      </w:r>
      <w:r w:rsidR="00E37F29">
        <w:rPr>
          <w:rFonts w:eastAsiaTheme="minorEastAsia"/>
        </w:rPr>
        <w:t>on per day for the rest of the four days</w:t>
      </w:r>
      <w:r w:rsidR="00DC2FEA">
        <w:rPr>
          <w:rFonts w:eastAsiaTheme="minorEastAsia"/>
        </w:rPr>
        <w:t xml:space="preserve"> (Field Test</w:t>
      </w:r>
      <w:r w:rsidR="00E37F29">
        <w:rPr>
          <w:rFonts w:eastAsiaTheme="minorEastAsia"/>
        </w:rPr>
        <w:t xml:space="preserve"> Experimental Condition</w:t>
      </w:r>
      <w:r w:rsidR="00DC2FEA">
        <w:rPr>
          <w:rFonts w:eastAsiaTheme="minorEastAsia"/>
        </w:rPr>
        <w:t>)</w:t>
      </w:r>
      <w:r w:rsidRPr="00DE4CBA" w:rsidR="00DC2FEA">
        <w:rPr>
          <w:rFonts w:eastAsiaTheme="minorEastAsia"/>
        </w:rPr>
        <w:t xml:space="preserve"> for a completed daily report.</w:t>
      </w:r>
    </w:p>
    <w:p w:rsidR="00DC2FEA" w:rsidP="00DC2FEA" w:rsidRDefault="00A1651C" w14:paraId="185E1870" w14:textId="3BBE71C3">
      <w:pPr>
        <w:pStyle w:val="TF-TblFN"/>
        <w:rPr>
          <w:rFonts w:eastAsiaTheme="minorEastAsia"/>
        </w:rPr>
      </w:pPr>
      <w:r>
        <w:rPr>
          <w:rFonts w:eastAsiaTheme="minorEastAsia"/>
          <w:vertAlign w:val="superscript"/>
        </w:rPr>
        <w:t>b</w:t>
      </w:r>
      <w:r w:rsidR="00DC2FEA">
        <w:rPr>
          <w:rFonts w:eastAsiaTheme="minorEastAsia"/>
        </w:rPr>
        <w:t xml:space="preserve"> $5 per household in </w:t>
      </w:r>
      <w:r w:rsidR="00770C00">
        <w:rPr>
          <w:rFonts w:eastAsiaTheme="minorEastAsia"/>
        </w:rPr>
        <w:t>NFS Pilot</w:t>
      </w:r>
      <w:r w:rsidR="00DC2FEA">
        <w:rPr>
          <w:rFonts w:eastAsiaTheme="minorEastAsia"/>
        </w:rPr>
        <w:t>; $2 per person in the Field Test</w:t>
      </w:r>
    </w:p>
    <w:p w:rsidR="000D33D3" w:rsidP="00DC2FEA" w:rsidRDefault="00A1651C" w14:paraId="1E233A78" w14:textId="77777777">
      <w:pPr>
        <w:pStyle w:val="TF-TblFN"/>
        <w:rPr>
          <w:rFonts w:eastAsiaTheme="minorEastAsia"/>
        </w:rPr>
      </w:pPr>
      <w:r>
        <w:rPr>
          <w:rFonts w:eastAsiaTheme="minorEastAsia"/>
          <w:vertAlign w:val="superscript"/>
        </w:rPr>
        <w:t>c</w:t>
      </w:r>
      <w:r w:rsidR="00DC2FEA">
        <w:rPr>
          <w:rFonts w:eastAsiaTheme="minorEastAsia"/>
        </w:rPr>
        <w:t xml:space="preserve"> </w:t>
      </w:r>
      <w:proofErr w:type="gramStart"/>
      <w:r w:rsidR="00DC2FEA">
        <w:rPr>
          <w:rFonts w:eastAsiaTheme="minorEastAsia"/>
        </w:rPr>
        <w:t>For</w:t>
      </w:r>
      <w:proofErr w:type="gramEnd"/>
      <w:r w:rsidR="00DC2FEA">
        <w:rPr>
          <w:rFonts w:eastAsiaTheme="minorEastAsia"/>
        </w:rPr>
        <w:t xml:space="preserve"> larger households, add </w:t>
      </w:r>
      <w:r w:rsidRPr="00BF2AFE" w:rsidR="00DC2FEA">
        <w:rPr>
          <w:rFonts w:eastAsiaTheme="minorEastAsia"/>
        </w:rPr>
        <w:t>$21 (</w:t>
      </w:r>
      <w:r w:rsidR="00770C00">
        <w:rPr>
          <w:rFonts w:eastAsiaTheme="minorEastAsia"/>
        </w:rPr>
        <w:t>NFS Pilot</w:t>
      </w:r>
      <w:r w:rsidRPr="00BF2AFE" w:rsidR="00DC2FEA">
        <w:rPr>
          <w:rFonts w:eastAsiaTheme="minorEastAsia"/>
        </w:rPr>
        <w:t>) or $</w:t>
      </w:r>
      <w:r w:rsidR="00E37F29">
        <w:rPr>
          <w:rFonts w:eastAsiaTheme="minorEastAsia"/>
        </w:rPr>
        <w:t>39</w:t>
      </w:r>
    </w:p>
    <w:p w:rsidRPr="00BF2AFE" w:rsidR="00DC2FEA" w:rsidP="00DC2FEA" w:rsidRDefault="00E37F29" w14:paraId="6CDC4180" w14:textId="52E7B54D">
      <w:pPr>
        <w:pStyle w:val="TF-TblFN"/>
        <w:rPr>
          <w:rFonts w:eastAsiaTheme="minorEastAsia"/>
        </w:rPr>
      </w:pPr>
      <w:r>
        <w:rPr>
          <w:rFonts w:eastAsiaTheme="minorEastAsia"/>
        </w:rPr>
        <w:t xml:space="preserve"> (Field Test Control Condition)/$</w:t>
      </w:r>
      <w:r w:rsidR="00E106FF">
        <w:rPr>
          <w:rFonts w:eastAsiaTheme="minorEastAsia"/>
        </w:rPr>
        <w:t>5</w:t>
      </w:r>
      <w:r w:rsidR="00DC2FEA">
        <w:rPr>
          <w:rFonts w:eastAsiaTheme="minorEastAsia"/>
        </w:rPr>
        <w:t>9</w:t>
      </w:r>
      <w:r w:rsidRPr="00BF2AFE" w:rsidR="00DC2FEA">
        <w:rPr>
          <w:rFonts w:eastAsiaTheme="minorEastAsia"/>
        </w:rPr>
        <w:t xml:space="preserve"> (Field Test</w:t>
      </w:r>
      <w:r>
        <w:rPr>
          <w:rFonts w:eastAsiaTheme="minorEastAsia"/>
        </w:rPr>
        <w:t xml:space="preserve"> Ex</w:t>
      </w:r>
      <w:r w:rsidR="00E106FF">
        <w:rPr>
          <w:rFonts w:eastAsiaTheme="minorEastAsia"/>
        </w:rPr>
        <w:t xml:space="preserve">perimental </w:t>
      </w:r>
      <w:r>
        <w:rPr>
          <w:rFonts w:eastAsiaTheme="minorEastAsia"/>
        </w:rPr>
        <w:t>C</w:t>
      </w:r>
      <w:r w:rsidR="00E106FF">
        <w:rPr>
          <w:rFonts w:eastAsiaTheme="minorEastAsia"/>
        </w:rPr>
        <w:t>ondition</w:t>
      </w:r>
      <w:r w:rsidRPr="00BF2AFE" w:rsidR="00DC2FEA">
        <w:rPr>
          <w:rFonts w:eastAsiaTheme="minorEastAsia"/>
        </w:rPr>
        <w:t>) for each additional person</w:t>
      </w:r>
      <w:r w:rsidR="00DC2FEA">
        <w:rPr>
          <w:rFonts w:eastAsiaTheme="minorEastAsia"/>
        </w:rPr>
        <w:t xml:space="preserve"> to the 4 person HH maximum</w:t>
      </w:r>
    </w:p>
    <w:p w:rsidR="00DC2FEA" w:rsidP="00CB3438" w:rsidRDefault="00DC2FEA" w14:paraId="0D5EEF18" w14:textId="77777777">
      <w:pPr>
        <w:pStyle w:val="L1-FlLSp12"/>
        <w:rPr>
          <w:rFonts w:eastAsiaTheme="minorEastAsia"/>
        </w:rPr>
      </w:pPr>
    </w:p>
    <w:p w:rsidR="00FC6EFE" w:rsidP="00CB3438" w:rsidRDefault="00D15878" w14:paraId="0BEF2535" w14:textId="377180FD">
      <w:pPr>
        <w:pStyle w:val="L1-FlLSp12"/>
        <w:rPr>
          <w:rFonts w:eastAsiaTheme="minorEastAsia"/>
        </w:rPr>
      </w:pPr>
      <w:r>
        <w:rPr>
          <w:rFonts w:eastAsiaTheme="minorEastAsia"/>
        </w:rPr>
        <w:t xml:space="preserve">Completing the Food Log each day of the data collection week </w:t>
      </w:r>
      <w:r w:rsidR="00DC2FEA">
        <w:rPr>
          <w:rFonts w:eastAsiaTheme="minorEastAsia"/>
        </w:rPr>
        <w:t xml:space="preserve">is also very critical for the success of FoodAPS. As a result, the Field Test will include one </w:t>
      </w:r>
      <w:r w:rsidRPr="00DE4CBA" w:rsidR="00DC2FEA">
        <w:rPr>
          <w:rFonts w:eastAsiaTheme="minorEastAsia"/>
        </w:rPr>
        <w:t>incentive experiment</w:t>
      </w:r>
      <w:r w:rsidR="00DC2FEA">
        <w:rPr>
          <w:rFonts w:eastAsiaTheme="minorEastAsia"/>
        </w:rPr>
        <w:t xml:space="preserve"> that varies the amount of incentive for </w:t>
      </w:r>
      <w:r>
        <w:rPr>
          <w:rFonts w:eastAsiaTheme="minorEastAsia"/>
        </w:rPr>
        <w:t xml:space="preserve">Food Log </w:t>
      </w:r>
      <w:r w:rsidR="00DC2FEA">
        <w:rPr>
          <w:rFonts w:eastAsiaTheme="minorEastAsia"/>
        </w:rPr>
        <w:t>completion</w:t>
      </w:r>
      <w:r w:rsidR="007362C9">
        <w:rPr>
          <w:rFonts w:eastAsiaTheme="minorEastAsia"/>
        </w:rPr>
        <w:t xml:space="preserve"> to reduce the attrition of food log reporting during the week</w:t>
      </w:r>
      <w:r w:rsidR="00DC2FEA">
        <w:rPr>
          <w:rFonts w:eastAsiaTheme="minorEastAsia"/>
        </w:rPr>
        <w:t xml:space="preserve">. </w:t>
      </w:r>
      <w:r w:rsidRPr="007362C9" w:rsidR="007362C9">
        <w:rPr>
          <w:rFonts w:eastAsiaTheme="minorEastAsia"/>
        </w:rPr>
        <w:t>Previous research demonstrates the effectiveness of incentives at increasing response rates (Singer</w:t>
      </w:r>
      <w:r w:rsidR="00C36F7A">
        <w:rPr>
          <w:rFonts w:eastAsiaTheme="minorEastAsia"/>
        </w:rPr>
        <w:t xml:space="preserve">, </w:t>
      </w:r>
      <w:r w:rsidRPr="00C36F7A" w:rsidR="00C36F7A">
        <w:rPr>
          <w:rFonts w:eastAsiaTheme="minorEastAsia"/>
        </w:rPr>
        <w:t xml:space="preserve">Van </w:t>
      </w:r>
      <w:proofErr w:type="spellStart"/>
      <w:r w:rsidRPr="00C36F7A" w:rsidR="00C36F7A">
        <w:rPr>
          <w:rFonts w:eastAsiaTheme="minorEastAsia"/>
        </w:rPr>
        <w:t>Hoewyk</w:t>
      </w:r>
      <w:proofErr w:type="spellEnd"/>
      <w:r w:rsidRPr="00C36F7A" w:rsidR="00C36F7A">
        <w:rPr>
          <w:rFonts w:eastAsiaTheme="minorEastAsia"/>
        </w:rPr>
        <w:t xml:space="preserve">, </w:t>
      </w:r>
      <w:proofErr w:type="spellStart"/>
      <w:r w:rsidRPr="00C36F7A" w:rsidR="00C36F7A">
        <w:rPr>
          <w:rFonts w:eastAsiaTheme="minorEastAsia"/>
        </w:rPr>
        <w:t>Gebler</w:t>
      </w:r>
      <w:proofErr w:type="spellEnd"/>
      <w:r w:rsidRPr="00C36F7A" w:rsidR="00C36F7A">
        <w:rPr>
          <w:rFonts w:eastAsiaTheme="minorEastAsia"/>
        </w:rPr>
        <w:t>, Raghunathan, and McGonagle</w:t>
      </w:r>
      <w:r w:rsidRPr="007362C9" w:rsidR="007362C9">
        <w:rPr>
          <w:rFonts w:eastAsiaTheme="minorEastAsia"/>
        </w:rPr>
        <w:t xml:space="preserve"> 1999) and having positive effects on data quality, attrition, and item nonresponse (</w:t>
      </w:r>
      <w:proofErr w:type="spellStart"/>
      <w:r w:rsidRPr="007362C9" w:rsidR="007362C9">
        <w:rPr>
          <w:rFonts w:eastAsiaTheme="minorEastAsia"/>
        </w:rPr>
        <w:t>Bonke</w:t>
      </w:r>
      <w:proofErr w:type="spellEnd"/>
      <w:r w:rsidRPr="007362C9" w:rsidR="007362C9">
        <w:rPr>
          <w:rFonts w:eastAsiaTheme="minorEastAsia"/>
        </w:rPr>
        <w:t xml:space="preserve"> and </w:t>
      </w:r>
      <w:proofErr w:type="spellStart"/>
      <w:r w:rsidRPr="007362C9" w:rsidR="007362C9">
        <w:rPr>
          <w:rFonts w:eastAsiaTheme="minorEastAsia"/>
        </w:rPr>
        <w:t>Fallesen</w:t>
      </w:r>
      <w:proofErr w:type="spellEnd"/>
      <w:r w:rsidRPr="007362C9" w:rsidR="007362C9">
        <w:rPr>
          <w:rFonts w:eastAsiaTheme="minorEastAsia"/>
        </w:rPr>
        <w:t xml:space="preserve"> 2010; Martin, </w:t>
      </w:r>
      <w:proofErr w:type="spellStart"/>
      <w:r w:rsidRPr="007362C9" w:rsidR="007362C9">
        <w:rPr>
          <w:rFonts w:eastAsiaTheme="minorEastAsia"/>
        </w:rPr>
        <w:t>Abreau</w:t>
      </w:r>
      <w:proofErr w:type="spellEnd"/>
      <w:r w:rsidRPr="007362C9" w:rsidR="007362C9">
        <w:rPr>
          <w:rFonts w:eastAsiaTheme="minorEastAsia"/>
        </w:rPr>
        <w:t xml:space="preserve">, and Winters 2001; Singer 2002; and Singer, Van </w:t>
      </w:r>
      <w:proofErr w:type="spellStart"/>
      <w:r w:rsidRPr="007362C9" w:rsidR="007362C9">
        <w:rPr>
          <w:rFonts w:eastAsiaTheme="minorEastAsia"/>
        </w:rPr>
        <w:t>Hoewyk</w:t>
      </w:r>
      <w:proofErr w:type="spellEnd"/>
      <w:r w:rsidRPr="007362C9" w:rsidR="007362C9">
        <w:rPr>
          <w:rFonts w:eastAsiaTheme="minorEastAsia"/>
        </w:rPr>
        <w:t xml:space="preserve"> and Maher 1998). </w:t>
      </w:r>
      <w:proofErr w:type="spellStart"/>
      <w:r w:rsidRPr="007362C9" w:rsidR="007362C9">
        <w:rPr>
          <w:rFonts w:eastAsiaTheme="minorEastAsia"/>
        </w:rPr>
        <w:t>Chromy</w:t>
      </w:r>
      <w:proofErr w:type="spellEnd"/>
      <w:r w:rsidRPr="007362C9" w:rsidR="007362C9">
        <w:rPr>
          <w:rFonts w:eastAsiaTheme="minorEastAsia"/>
        </w:rPr>
        <w:t xml:space="preserve"> and Horvitz (1978) found strong evidence </w:t>
      </w:r>
      <w:r w:rsidR="007362C9">
        <w:rPr>
          <w:rFonts w:eastAsiaTheme="minorEastAsia"/>
        </w:rPr>
        <w:t>that supports</w:t>
      </w:r>
      <w:r w:rsidRPr="007362C9" w:rsidR="007362C9">
        <w:rPr>
          <w:rFonts w:eastAsiaTheme="minorEastAsia"/>
        </w:rPr>
        <w:t xml:space="preserve"> a variable incentive protocol.</w:t>
      </w:r>
      <w:r w:rsidR="007362C9">
        <w:rPr>
          <w:rFonts w:eastAsiaTheme="minorEastAsia"/>
        </w:rPr>
        <w:t xml:space="preserve"> </w:t>
      </w:r>
      <w:r w:rsidR="00CD6FA8">
        <w:rPr>
          <w:rFonts w:eastAsiaTheme="minorEastAsia"/>
        </w:rPr>
        <w:t>These studies provide motivation for</w:t>
      </w:r>
      <w:r w:rsidR="007362C9">
        <w:rPr>
          <w:rFonts w:eastAsiaTheme="minorEastAsia"/>
        </w:rPr>
        <w:t xml:space="preserve"> our</w:t>
      </w:r>
      <w:r w:rsidR="00056340">
        <w:rPr>
          <w:rFonts w:eastAsiaTheme="minorEastAsia"/>
        </w:rPr>
        <w:t xml:space="preserve"> experiment</w:t>
      </w:r>
      <w:r w:rsidR="00CD6FA8">
        <w:rPr>
          <w:rFonts w:eastAsiaTheme="minorEastAsia"/>
        </w:rPr>
        <w:t>, which</w:t>
      </w:r>
      <w:r w:rsidR="00056340">
        <w:rPr>
          <w:rFonts w:eastAsiaTheme="minorEastAsia"/>
        </w:rPr>
        <w:t xml:space="preserve"> </w:t>
      </w:r>
      <w:r w:rsidR="00DC2FEA">
        <w:rPr>
          <w:rFonts w:eastAsiaTheme="minorEastAsia"/>
        </w:rPr>
        <w:t>will</w:t>
      </w:r>
      <w:r w:rsidR="00056340">
        <w:rPr>
          <w:rFonts w:eastAsiaTheme="minorEastAsia"/>
        </w:rPr>
        <w:t xml:space="preserve"> var</w:t>
      </w:r>
      <w:r w:rsidR="00F30A0D">
        <w:rPr>
          <w:rFonts w:eastAsiaTheme="minorEastAsia"/>
        </w:rPr>
        <w:t>y</w:t>
      </w:r>
      <w:r w:rsidR="00056340">
        <w:rPr>
          <w:rFonts w:eastAsiaTheme="minorEastAsia"/>
        </w:rPr>
        <w:t xml:space="preserve"> the amount </w:t>
      </w:r>
      <w:r w:rsidR="00147F94">
        <w:rPr>
          <w:rFonts w:eastAsiaTheme="minorEastAsia"/>
        </w:rPr>
        <w:t xml:space="preserve">of the incentive offered for completing each day’s food </w:t>
      </w:r>
      <w:r w:rsidR="00A1651C">
        <w:rPr>
          <w:rFonts w:eastAsiaTheme="minorEastAsia"/>
        </w:rPr>
        <w:t>acquisition</w:t>
      </w:r>
      <w:r w:rsidR="004B6C6A">
        <w:rPr>
          <w:rFonts w:eastAsiaTheme="minorEastAsia"/>
        </w:rPr>
        <w:t xml:space="preserve"> (as shown in Table B.</w:t>
      </w:r>
      <w:r w:rsidR="0045083C">
        <w:rPr>
          <w:rFonts w:eastAsiaTheme="minorEastAsia"/>
        </w:rPr>
        <w:t>6</w:t>
      </w:r>
      <w:r w:rsidR="00DC2FEA">
        <w:rPr>
          <w:rFonts w:eastAsiaTheme="minorEastAsia"/>
        </w:rPr>
        <w:t>b</w:t>
      </w:r>
      <w:r w:rsidR="004B6C6A">
        <w:rPr>
          <w:rFonts w:eastAsiaTheme="minorEastAsia"/>
        </w:rPr>
        <w:t>)</w:t>
      </w:r>
      <w:r w:rsidR="00FC6EFE">
        <w:rPr>
          <w:rFonts w:eastAsiaTheme="minorEastAsia"/>
        </w:rPr>
        <w:t xml:space="preserve">. </w:t>
      </w:r>
    </w:p>
    <w:p w:rsidR="00FC6EFE" w:rsidP="00CB3438" w:rsidRDefault="00FC6EFE" w14:paraId="6C10F82B" w14:textId="77777777">
      <w:pPr>
        <w:pStyle w:val="L1-FlLSp12"/>
        <w:rPr>
          <w:rFonts w:eastAsiaTheme="minorEastAsia"/>
        </w:rPr>
      </w:pPr>
    </w:p>
    <w:p w:rsidR="00056340" w:rsidP="00CB3438" w:rsidRDefault="00147F94" w14:paraId="4CD7B438" w14:textId="4CEDD572">
      <w:pPr>
        <w:pStyle w:val="L1-FlLSp12"/>
        <w:rPr>
          <w:rFonts w:eastAsiaTheme="minorEastAsia"/>
        </w:rPr>
      </w:pPr>
      <w:r>
        <w:rPr>
          <w:rFonts w:eastAsiaTheme="minorEastAsia"/>
        </w:rPr>
        <w:t xml:space="preserve">The control condition of the experiment offers $5 per person for completing each day’s </w:t>
      </w:r>
      <w:r w:rsidR="00D15878">
        <w:rPr>
          <w:rFonts w:eastAsiaTheme="minorEastAsia"/>
        </w:rPr>
        <w:t>F</w:t>
      </w:r>
      <w:r>
        <w:rPr>
          <w:rFonts w:eastAsiaTheme="minorEastAsia"/>
        </w:rPr>
        <w:t xml:space="preserve">ood </w:t>
      </w:r>
      <w:r w:rsidR="00D15878">
        <w:rPr>
          <w:rFonts w:eastAsiaTheme="minorEastAsia"/>
        </w:rPr>
        <w:t>L</w:t>
      </w:r>
      <w:r>
        <w:rPr>
          <w:rFonts w:eastAsiaTheme="minorEastAsia"/>
        </w:rPr>
        <w:t>og</w:t>
      </w:r>
      <w:r w:rsidR="009E7539">
        <w:rPr>
          <w:rFonts w:eastAsiaTheme="minorEastAsia"/>
        </w:rPr>
        <w:t>.</w:t>
      </w:r>
      <w:r>
        <w:rPr>
          <w:rFonts w:eastAsiaTheme="minorEastAsia"/>
        </w:rPr>
        <w:t xml:space="preserve"> yielding a maximum of $</w:t>
      </w:r>
      <w:r w:rsidR="009E7539">
        <w:rPr>
          <w:rFonts w:eastAsiaTheme="minorEastAsia"/>
        </w:rPr>
        <w:t>3</w:t>
      </w:r>
      <w:r>
        <w:rPr>
          <w:rFonts w:eastAsiaTheme="minorEastAsia"/>
        </w:rPr>
        <w:t>5 per person for seven</w:t>
      </w:r>
      <w:r w:rsidR="00F30A0D">
        <w:rPr>
          <w:rFonts w:eastAsiaTheme="minorEastAsia"/>
        </w:rPr>
        <w:t>-</w:t>
      </w:r>
      <w:r>
        <w:rPr>
          <w:rFonts w:eastAsiaTheme="minorEastAsia"/>
        </w:rPr>
        <w:t xml:space="preserve">day reporting. By contrast, the experimental condition offers $5 per person per day for the first three days of food log reporting. Starting on Day 4, the daily incentive amount is increased to $10. The maximum amount of incentive for completing all seven day’s food acquisition is $55 per person. This experiment tests whether doubling the amount of incentive at Day 4 would decrease the trend of underreporting food </w:t>
      </w:r>
      <w:r w:rsidR="00A1651C">
        <w:rPr>
          <w:rFonts w:eastAsiaTheme="minorEastAsia"/>
        </w:rPr>
        <w:t>acquisitions</w:t>
      </w:r>
      <w:r>
        <w:rPr>
          <w:rFonts w:eastAsiaTheme="minorEastAsia"/>
        </w:rPr>
        <w:t xml:space="preserve"> </w:t>
      </w:r>
      <w:r w:rsidR="008B4203">
        <w:rPr>
          <w:rFonts w:eastAsiaTheme="minorEastAsia"/>
        </w:rPr>
        <w:t>during</w:t>
      </w:r>
      <w:r>
        <w:rPr>
          <w:rFonts w:eastAsiaTheme="minorEastAsia"/>
        </w:rPr>
        <w:t xml:space="preserve"> the </w:t>
      </w:r>
      <w:r w:rsidR="00A1651C">
        <w:rPr>
          <w:rFonts w:eastAsiaTheme="minorEastAsia"/>
        </w:rPr>
        <w:t>latter</w:t>
      </w:r>
      <w:r>
        <w:rPr>
          <w:rFonts w:eastAsiaTheme="minorEastAsia"/>
        </w:rPr>
        <w:t xml:space="preserve"> half of the </w:t>
      </w:r>
      <w:r w:rsidR="005441E3">
        <w:rPr>
          <w:rFonts w:eastAsiaTheme="minorEastAsia"/>
        </w:rPr>
        <w:t>seven-day</w:t>
      </w:r>
      <w:r>
        <w:rPr>
          <w:rFonts w:eastAsiaTheme="minorEastAsia"/>
        </w:rPr>
        <w:t xml:space="preserve"> data collection period observed in FoodAPS-1 and </w:t>
      </w:r>
      <w:r w:rsidR="00770C00">
        <w:rPr>
          <w:rFonts w:eastAsiaTheme="minorEastAsia"/>
        </w:rPr>
        <w:t>NFS pilot</w:t>
      </w:r>
      <w:r>
        <w:rPr>
          <w:rFonts w:eastAsiaTheme="minorEastAsia"/>
        </w:rPr>
        <w:t>.</w:t>
      </w:r>
      <w:r w:rsidR="00FC6EFE">
        <w:rPr>
          <w:rFonts w:eastAsiaTheme="minorEastAsia"/>
        </w:rPr>
        <w:t xml:space="preserve"> </w:t>
      </w:r>
    </w:p>
    <w:p w:rsidR="00A1651C" w:rsidRDefault="00A1651C" w14:paraId="619B18D4" w14:textId="23934A99">
      <w:pPr>
        <w:spacing w:line="240" w:lineRule="auto"/>
        <w:rPr>
          <w:rFonts w:ascii="Franklin Gothic Medium" w:hAnsi="Franklin Gothic Medium" w:eastAsiaTheme="minorEastAsia"/>
          <w:sz w:val="22"/>
        </w:rPr>
      </w:pPr>
    </w:p>
    <w:p w:rsidRPr="003260E6" w:rsidR="004B6C6A" w:rsidP="004B6C6A" w:rsidRDefault="003260E6" w14:paraId="42D61FE4" w14:textId="4235C528">
      <w:pPr>
        <w:pStyle w:val="TT-TableTitle"/>
        <w:rPr>
          <w:rFonts w:ascii="Garamond" w:hAnsi="Garamond"/>
          <w:b/>
          <w:bCs/>
          <w:lang w:val="en"/>
        </w:rPr>
      </w:pPr>
      <w:bookmarkStart w:name="_Toc93489545" w:id="90"/>
      <w:r>
        <w:rPr>
          <w:rFonts w:ascii="Garamond" w:hAnsi="Garamond"/>
          <w:b/>
          <w:bCs/>
          <w:lang w:val="en"/>
        </w:rPr>
        <w:t>Table B.6</w:t>
      </w:r>
      <w:r w:rsidRPr="003260E6" w:rsidR="00DC2FEA">
        <w:rPr>
          <w:rFonts w:ascii="Garamond" w:hAnsi="Garamond"/>
          <w:b/>
          <w:bCs/>
          <w:lang w:val="en"/>
        </w:rPr>
        <w:t>b</w:t>
      </w:r>
      <w:r w:rsidRPr="003260E6" w:rsidR="004B6C6A">
        <w:rPr>
          <w:rFonts w:ascii="Garamond" w:hAnsi="Garamond"/>
          <w:b/>
          <w:bCs/>
          <w:lang w:val="en"/>
        </w:rPr>
        <w:t xml:space="preserve">. </w:t>
      </w:r>
      <w:r w:rsidRPr="003260E6" w:rsidR="004B6C6A">
        <w:rPr>
          <w:rFonts w:ascii="Garamond" w:hAnsi="Garamond"/>
          <w:b/>
          <w:bCs/>
          <w:lang w:val="en"/>
        </w:rPr>
        <w:tab/>
        <w:t>Incentive Experiment for the Field Test</w:t>
      </w:r>
      <w:bookmarkEnd w:id="90"/>
    </w:p>
    <w:p w:rsidRPr="00D652C4" w:rsidR="00D15878" w:rsidP="004B6C6A" w:rsidRDefault="00D15878" w14:paraId="0C276F17" w14:textId="77777777">
      <w:pPr>
        <w:pStyle w:val="TT-TableTitle"/>
        <w:rPr>
          <w:rFonts w:ascii="Garamond" w:hAnsi="Garamond" w:eastAsiaTheme="minorEastAsia"/>
          <w:b/>
          <w:bCs/>
        </w:rPr>
      </w:pPr>
    </w:p>
    <w:tbl>
      <w:tblPr>
        <w:tblStyle w:val="TableWestatStandardFormat"/>
        <w:tblW w:w="0" w:type="auto"/>
        <w:tblLayout w:type="fixed"/>
        <w:tblLook w:val="04A0" w:firstRow="1" w:lastRow="0" w:firstColumn="1" w:lastColumn="0" w:noHBand="0" w:noVBand="1"/>
      </w:tblPr>
      <w:tblGrid>
        <w:gridCol w:w="1349"/>
        <w:gridCol w:w="712"/>
        <w:gridCol w:w="712"/>
        <w:gridCol w:w="712"/>
        <w:gridCol w:w="712"/>
        <w:gridCol w:w="702"/>
        <w:gridCol w:w="702"/>
        <w:gridCol w:w="702"/>
        <w:gridCol w:w="236"/>
        <w:gridCol w:w="1635"/>
      </w:tblGrid>
      <w:tr w:rsidRPr="00DE4CBA" w:rsidR="004B6C6A" w:rsidTr="00E42E44" w14:paraId="657D1BA1" w14:textId="27C1BC5E">
        <w:trPr>
          <w:cnfStyle w:val="100000000000" w:firstRow="1" w:lastRow="0" w:firstColumn="0" w:lastColumn="0" w:oddVBand="0" w:evenVBand="0" w:oddHBand="0" w:evenHBand="0" w:firstRowFirstColumn="0" w:firstRowLastColumn="0" w:lastRowFirstColumn="0" w:lastRowLastColumn="0"/>
          <w:trHeight w:val="720"/>
        </w:trPr>
        <w:tc>
          <w:tcPr>
            <w:tcW w:w="0" w:type="dxa"/>
            <w:shd w:val="clear" w:color="auto" w:fill="B8CCE4" w:themeFill="accent1" w:themeFillTint="66"/>
            <w:vAlign w:val="bottom"/>
            <w:hideMark/>
          </w:tcPr>
          <w:p w:rsidRPr="00DE4CBA" w:rsidR="004B6C6A" w:rsidP="004B6C6A" w:rsidRDefault="004B6C6A" w14:paraId="7B4736D7" w14:textId="793B95F3">
            <w:pPr>
              <w:pStyle w:val="TH-TableHeading"/>
              <w:spacing w:before="48" w:after="48"/>
              <w:rPr>
                <w:rFonts w:eastAsiaTheme="minorEastAsia"/>
                <w:lang w:val="en"/>
              </w:rPr>
            </w:pPr>
          </w:p>
        </w:tc>
        <w:tc>
          <w:tcPr>
            <w:tcW w:w="0" w:type="dxa"/>
            <w:shd w:val="clear" w:color="auto" w:fill="B8CCE4" w:themeFill="accent1" w:themeFillTint="66"/>
            <w:vAlign w:val="bottom"/>
            <w:hideMark/>
          </w:tcPr>
          <w:p w:rsidR="004B6C6A" w:rsidP="00B07FBA" w:rsidRDefault="004B6C6A" w14:paraId="398525E8" w14:textId="7DF474C6">
            <w:pPr>
              <w:pStyle w:val="TH-TableHeading"/>
              <w:spacing w:before="48" w:after="48"/>
              <w:rPr>
                <w:rFonts w:eastAsiaTheme="minorEastAsia"/>
                <w:lang w:val="en"/>
              </w:rPr>
            </w:pPr>
            <w:r>
              <w:rPr>
                <w:rFonts w:eastAsiaTheme="minorEastAsia"/>
                <w:lang w:val="en"/>
              </w:rPr>
              <w:t xml:space="preserve">Day </w:t>
            </w:r>
          </w:p>
          <w:p w:rsidRPr="00DE4CBA" w:rsidR="004B6C6A" w:rsidP="00B07FBA" w:rsidRDefault="004B6C6A" w14:paraId="760FC871" w14:textId="383D8AA7">
            <w:pPr>
              <w:pStyle w:val="TH-TableHeading"/>
              <w:spacing w:before="48" w:after="48"/>
              <w:rPr>
                <w:rFonts w:eastAsiaTheme="minorEastAsia"/>
                <w:vertAlign w:val="superscript"/>
                <w:lang w:val="en"/>
              </w:rPr>
            </w:pPr>
            <w:r>
              <w:rPr>
                <w:rFonts w:eastAsiaTheme="minorEastAsia"/>
                <w:lang w:val="en"/>
              </w:rPr>
              <w:t>1</w:t>
            </w:r>
          </w:p>
        </w:tc>
        <w:tc>
          <w:tcPr>
            <w:tcW w:w="0" w:type="dxa"/>
            <w:shd w:val="clear" w:color="auto" w:fill="B8CCE4" w:themeFill="accent1" w:themeFillTint="66"/>
            <w:vAlign w:val="bottom"/>
            <w:hideMark/>
          </w:tcPr>
          <w:p w:rsidR="004B6C6A" w:rsidP="00B07FBA" w:rsidRDefault="004B6C6A" w14:paraId="0BE70106" w14:textId="2BFCFF70">
            <w:pPr>
              <w:pStyle w:val="TH-TableHeading"/>
              <w:spacing w:before="48" w:after="48"/>
              <w:rPr>
                <w:rFonts w:eastAsiaTheme="minorEastAsia"/>
                <w:lang w:val="en"/>
              </w:rPr>
            </w:pPr>
            <w:r>
              <w:rPr>
                <w:rFonts w:eastAsiaTheme="minorEastAsia"/>
                <w:lang w:val="en"/>
              </w:rPr>
              <w:t xml:space="preserve">Day </w:t>
            </w:r>
          </w:p>
          <w:p w:rsidRPr="00DE4CBA" w:rsidR="004B6C6A" w:rsidP="00B07FBA" w:rsidRDefault="004B6C6A" w14:paraId="56899E72" w14:textId="6A0C896D">
            <w:pPr>
              <w:pStyle w:val="TH-TableHeading"/>
              <w:spacing w:before="48" w:after="48"/>
              <w:rPr>
                <w:rFonts w:eastAsiaTheme="minorEastAsia"/>
                <w:vertAlign w:val="superscript"/>
                <w:lang w:val="en"/>
              </w:rPr>
            </w:pPr>
            <w:r>
              <w:rPr>
                <w:rFonts w:eastAsiaTheme="minorEastAsia"/>
                <w:lang w:val="en"/>
              </w:rPr>
              <w:t>2</w:t>
            </w:r>
          </w:p>
        </w:tc>
        <w:tc>
          <w:tcPr>
            <w:tcW w:w="0" w:type="dxa"/>
            <w:shd w:val="clear" w:color="auto" w:fill="B8CCE4" w:themeFill="accent1" w:themeFillTint="66"/>
            <w:vAlign w:val="bottom"/>
            <w:hideMark/>
          </w:tcPr>
          <w:p w:rsidR="004B6C6A" w:rsidP="00B07FBA" w:rsidRDefault="004B6C6A" w14:paraId="02195394" w14:textId="7E00FFD3">
            <w:pPr>
              <w:pStyle w:val="TH-TableHeading"/>
              <w:spacing w:before="48" w:after="48"/>
              <w:rPr>
                <w:rFonts w:eastAsiaTheme="minorEastAsia"/>
                <w:lang w:val="en"/>
              </w:rPr>
            </w:pPr>
            <w:r>
              <w:rPr>
                <w:rFonts w:eastAsiaTheme="minorEastAsia"/>
                <w:lang w:val="en"/>
              </w:rPr>
              <w:t xml:space="preserve">Day </w:t>
            </w:r>
          </w:p>
          <w:p w:rsidRPr="00DE4CBA" w:rsidR="004B6C6A" w:rsidP="00B07FBA" w:rsidRDefault="004B6C6A" w14:paraId="78905DF1" w14:textId="026A0859">
            <w:pPr>
              <w:pStyle w:val="TH-TableHeading"/>
              <w:spacing w:before="48" w:after="48"/>
              <w:rPr>
                <w:rFonts w:eastAsiaTheme="minorEastAsia"/>
                <w:lang w:val="en"/>
              </w:rPr>
            </w:pPr>
            <w:r>
              <w:rPr>
                <w:rFonts w:eastAsiaTheme="minorEastAsia"/>
                <w:lang w:val="en"/>
              </w:rPr>
              <w:t>3</w:t>
            </w:r>
          </w:p>
        </w:tc>
        <w:tc>
          <w:tcPr>
            <w:tcW w:w="0" w:type="dxa"/>
            <w:shd w:val="clear" w:color="auto" w:fill="B8CCE4" w:themeFill="accent1" w:themeFillTint="66"/>
            <w:vAlign w:val="bottom"/>
            <w:hideMark/>
          </w:tcPr>
          <w:p w:rsidR="004B6C6A" w:rsidP="004B6C6A" w:rsidRDefault="004B6C6A" w14:paraId="6D0B0F73" w14:textId="38CEE05A">
            <w:pPr>
              <w:pStyle w:val="TH-TableHeading"/>
              <w:spacing w:before="48" w:after="48"/>
              <w:rPr>
                <w:rFonts w:eastAsiaTheme="minorEastAsia"/>
                <w:lang w:val="en"/>
              </w:rPr>
            </w:pPr>
            <w:r>
              <w:rPr>
                <w:rFonts w:eastAsiaTheme="minorEastAsia"/>
                <w:lang w:val="en"/>
              </w:rPr>
              <w:t xml:space="preserve">Day </w:t>
            </w:r>
          </w:p>
          <w:p w:rsidRPr="00DE4CBA" w:rsidR="004B6C6A" w:rsidP="004B6C6A" w:rsidRDefault="004B6C6A" w14:paraId="5570E148" w14:textId="4F30F1E1">
            <w:pPr>
              <w:pStyle w:val="TH-TableHeading"/>
              <w:spacing w:before="48" w:after="48"/>
              <w:rPr>
                <w:rFonts w:eastAsiaTheme="minorEastAsia"/>
                <w:lang w:val="en"/>
              </w:rPr>
            </w:pPr>
            <w:r>
              <w:rPr>
                <w:rFonts w:eastAsiaTheme="minorEastAsia"/>
                <w:lang w:val="en"/>
              </w:rPr>
              <w:t>4</w:t>
            </w:r>
          </w:p>
        </w:tc>
        <w:tc>
          <w:tcPr>
            <w:tcW w:w="0" w:type="dxa"/>
            <w:shd w:val="clear" w:color="auto" w:fill="B8CCE4" w:themeFill="accent1" w:themeFillTint="66"/>
            <w:vAlign w:val="bottom"/>
            <w:hideMark/>
          </w:tcPr>
          <w:p w:rsidR="004B6C6A" w:rsidP="00B07FBA" w:rsidRDefault="004B6C6A" w14:paraId="4548363E" w14:textId="23BC25C6">
            <w:pPr>
              <w:pStyle w:val="TH-TableHeading"/>
              <w:spacing w:before="48" w:after="48"/>
              <w:rPr>
                <w:rFonts w:eastAsiaTheme="minorEastAsia"/>
                <w:lang w:val="en"/>
              </w:rPr>
            </w:pPr>
            <w:r>
              <w:rPr>
                <w:rFonts w:eastAsiaTheme="minorEastAsia"/>
                <w:lang w:val="en"/>
              </w:rPr>
              <w:t>Day</w:t>
            </w:r>
          </w:p>
          <w:p w:rsidRPr="00DE4CBA" w:rsidR="004B6C6A" w:rsidP="00B07FBA" w:rsidRDefault="004B6C6A" w14:paraId="667F7560" w14:textId="55EF8894">
            <w:pPr>
              <w:pStyle w:val="TH-TableHeading"/>
              <w:spacing w:before="48" w:after="48"/>
              <w:rPr>
                <w:rFonts w:eastAsiaTheme="minorEastAsia"/>
                <w:lang w:val="en"/>
              </w:rPr>
            </w:pPr>
            <w:r>
              <w:rPr>
                <w:rFonts w:eastAsiaTheme="minorEastAsia"/>
                <w:lang w:val="en"/>
              </w:rPr>
              <w:t>5</w:t>
            </w:r>
          </w:p>
        </w:tc>
        <w:tc>
          <w:tcPr>
            <w:tcW w:w="0" w:type="dxa"/>
            <w:shd w:val="clear" w:color="auto" w:fill="B8CCE4" w:themeFill="accent1" w:themeFillTint="66"/>
            <w:vAlign w:val="bottom"/>
            <w:hideMark/>
          </w:tcPr>
          <w:p w:rsidR="004B6C6A" w:rsidP="00B07FBA" w:rsidRDefault="004B6C6A" w14:paraId="538E4F08" w14:textId="615787F4">
            <w:pPr>
              <w:pStyle w:val="TH-TableHeading"/>
              <w:spacing w:before="48" w:after="48"/>
              <w:rPr>
                <w:rFonts w:eastAsiaTheme="minorEastAsia"/>
                <w:lang w:val="en"/>
              </w:rPr>
            </w:pPr>
            <w:r>
              <w:rPr>
                <w:rFonts w:eastAsiaTheme="minorEastAsia"/>
                <w:lang w:val="en"/>
              </w:rPr>
              <w:t>Day</w:t>
            </w:r>
          </w:p>
          <w:p w:rsidRPr="00F6056C" w:rsidR="004B6C6A" w:rsidP="00B07FBA" w:rsidRDefault="004B6C6A" w14:paraId="42C6C522" w14:textId="1BEA0B0B">
            <w:pPr>
              <w:pStyle w:val="TH-TableHeading"/>
              <w:spacing w:before="48" w:after="48"/>
              <w:rPr>
                <w:rFonts w:eastAsiaTheme="minorEastAsia"/>
                <w:vertAlign w:val="superscript"/>
                <w:lang w:val="en"/>
              </w:rPr>
            </w:pPr>
            <w:r>
              <w:rPr>
                <w:rFonts w:eastAsiaTheme="minorEastAsia"/>
                <w:lang w:val="en"/>
              </w:rPr>
              <w:t xml:space="preserve">6 </w:t>
            </w:r>
          </w:p>
        </w:tc>
        <w:tc>
          <w:tcPr>
            <w:tcW w:w="0" w:type="dxa"/>
            <w:shd w:val="clear" w:color="auto" w:fill="B8CCE4" w:themeFill="accent1" w:themeFillTint="66"/>
            <w:vAlign w:val="bottom"/>
            <w:hideMark/>
          </w:tcPr>
          <w:p w:rsidR="004B6C6A" w:rsidP="00B07FBA" w:rsidRDefault="004B6C6A" w14:paraId="067E115C" w14:textId="7CB653AC">
            <w:pPr>
              <w:pStyle w:val="TH-TableHeading"/>
              <w:spacing w:before="48" w:after="48"/>
              <w:rPr>
                <w:rFonts w:eastAsiaTheme="minorEastAsia"/>
                <w:lang w:val="en"/>
              </w:rPr>
            </w:pPr>
            <w:r>
              <w:rPr>
                <w:rFonts w:eastAsiaTheme="minorEastAsia"/>
                <w:lang w:val="en"/>
              </w:rPr>
              <w:t>Day</w:t>
            </w:r>
          </w:p>
          <w:p w:rsidRPr="00DE4CBA" w:rsidR="004B6C6A" w:rsidP="004B6C6A" w:rsidRDefault="004B6C6A" w14:paraId="41B38FBC" w14:textId="2DFDE007">
            <w:pPr>
              <w:pStyle w:val="TH-TableHeading"/>
              <w:spacing w:before="48" w:after="48"/>
              <w:rPr>
                <w:rFonts w:eastAsiaTheme="minorEastAsia"/>
                <w:lang w:val="en"/>
              </w:rPr>
            </w:pPr>
            <w:r>
              <w:rPr>
                <w:rFonts w:eastAsiaTheme="minorEastAsia"/>
                <w:lang w:val="en"/>
              </w:rPr>
              <w:t>7</w:t>
            </w:r>
          </w:p>
        </w:tc>
        <w:tc>
          <w:tcPr>
            <w:tcW w:w="0" w:type="dxa"/>
            <w:shd w:val="clear" w:color="auto" w:fill="B8CCE4" w:themeFill="accent1" w:themeFillTint="66"/>
            <w:vAlign w:val="bottom"/>
          </w:tcPr>
          <w:p w:rsidRPr="00DE4CBA" w:rsidR="004B6C6A" w:rsidP="00B07FBA" w:rsidRDefault="004B6C6A" w14:paraId="209DEC40" w14:textId="167D9A55">
            <w:pPr>
              <w:pStyle w:val="TH-TableHeading"/>
              <w:spacing w:before="48" w:after="48"/>
              <w:rPr>
                <w:rFonts w:eastAsiaTheme="minorEastAsia"/>
                <w:lang w:val="en"/>
              </w:rPr>
            </w:pPr>
          </w:p>
        </w:tc>
        <w:tc>
          <w:tcPr>
            <w:tcW w:w="0" w:type="dxa"/>
            <w:shd w:val="clear" w:color="auto" w:fill="B8CCE4" w:themeFill="accent1" w:themeFillTint="66"/>
          </w:tcPr>
          <w:p w:rsidR="004B6C6A" w:rsidP="00B07FBA" w:rsidRDefault="004B6C6A" w14:paraId="59A219D5" w14:textId="71B10975">
            <w:pPr>
              <w:pStyle w:val="TH-TableHeading"/>
              <w:spacing w:before="48" w:after="48"/>
              <w:rPr>
                <w:rFonts w:eastAsiaTheme="minorEastAsia"/>
                <w:lang w:val="en"/>
              </w:rPr>
            </w:pPr>
            <w:r>
              <w:rPr>
                <w:rFonts w:eastAsiaTheme="minorEastAsia"/>
                <w:lang w:val="en"/>
              </w:rPr>
              <w:t>Max Total</w:t>
            </w:r>
          </w:p>
          <w:p w:rsidR="004B6C6A" w:rsidP="00B07FBA" w:rsidRDefault="004B6C6A" w14:paraId="5EACB898" w14:textId="2FC4B0DC">
            <w:pPr>
              <w:pStyle w:val="TH-TableHeading"/>
              <w:spacing w:before="48" w:after="48"/>
              <w:rPr>
                <w:rFonts w:eastAsiaTheme="minorEastAsia"/>
                <w:lang w:val="en"/>
              </w:rPr>
            </w:pPr>
            <w:r>
              <w:rPr>
                <w:rFonts w:eastAsiaTheme="minorEastAsia"/>
                <w:lang w:val="en"/>
              </w:rPr>
              <w:t>(7-day Food Log)</w:t>
            </w:r>
          </w:p>
        </w:tc>
      </w:tr>
      <w:tr w:rsidRPr="00DE4CBA" w:rsidR="004B6C6A" w:rsidTr="00D652C4" w14:paraId="44760200" w14:textId="7EAADAC1">
        <w:trPr>
          <w:trHeight w:val="300"/>
        </w:trPr>
        <w:tc>
          <w:tcPr>
            <w:tcW w:w="1349" w:type="dxa"/>
            <w:tcBorders>
              <w:top w:val="single" w:color="auto" w:sz="4" w:space="0"/>
              <w:bottom w:val="nil"/>
            </w:tcBorders>
            <w:shd w:val="clear" w:color="auto" w:fill="auto"/>
            <w:noWrap/>
          </w:tcPr>
          <w:p w:rsidRPr="00DE4CBA" w:rsidR="004B6C6A" w:rsidP="00B07FBA" w:rsidRDefault="004B6C6A" w14:paraId="5A5915CE" w14:textId="74B1DDD9">
            <w:pPr>
              <w:pStyle w:val="TX-TableText"/>
              <w:rPr>
                <w:rFonts w:eastAsiaTheme="minorEastAsia"/>
                <w:lang w:val="en"/>
              </w:rPr>
            </w:pPr>
            <w:r>
              <w:rPr>
                <w:rFonts w:eastAsiaTheme="minorEastAsia"/>
                <w:lang w:val="en"/>
              </w:rPr>
              <w:t>Control</w:t>
            </w:r>
          </w:p>
        </w:tc>
        <w:tc>
          <w:tcPr>
            <w:tcW w:w="712" w:type="dxa"/>
            <w:tcBorders>
              <w:top w:val="single" w:color="auto" w:sz="4" w:space="0"/>
              <w:bottom w:val="nil"/>
            </w:tcBorders>
            <w:shd w:val="clear" w:color="auto" w:fill="auto"/>
            <w:noWrap/>
          </w:tcPr>
          <w:p w:rsidRPr="00DE4CBA" w:rsidR="004B6C6A" w:rsidP="00B07FBA" w:rsidRDefault="004B6C6A" w14:paraId="26A65A80" w14:textId="0F1C6155">
            <w:pPr>
              <w:pStyle w:val="TX-TableText"/>
              <w:jc w:val="center"/>
              <w:rPr>
                <w:rFonts w:eastAsiaTheme="minorEastAsia"/>
                <w:lang w:val="en"/>
              </w:rPr>
            </w:pPr>
            <w:r>
              <w:rPr>
                <w:rFonts w:eastAsiaTheme="minorEastAsia"/>
                <w:lang w:val="en"/>
              </w:rPr>
              <w:t>$5</w:t>
            </w:r>
          </w:p>
        </w:tc>
        <w:tc>
          <w:tcPr>
            <w:tcW w:w="712" w:type="dxa"/>
            <w:tcBorders>
              <w:top w:val="single" w:color="auto" w:sz="4" w:space="0"/>
              <w:bottom w:val="nil"/>
            </w:tcBorders>
            <w:shd w:val="clear" w:color="auto" w:fill="auto"/>
            <w:noWrap/>
          </w:tcPr>
          <w:p w:rsidRPr="00DE4CBA" w:rsidR="004B6C6A" w:rsidP="00B07FBA" w:rsidRDefault="004B6C6A" w14:paraId="56EAB219" w14:textId="6BA6592A">
            <w:pPr>
              <w:pStyle w:val="TX-TableText"/>
              <w:jc w:val="center"/>
              <w:rPr>
                <w:rFonts w:eastAsiaTheme="minorEastAsia"/>
                <w:lang w:val="en"/>
              </w:rPr>
            </w:pPr>
            <w:r>
              <w:rPr>
                <w:rFonts w:eastAsiaTheme="minorEastAsia"/>
                <w:lang w:val="en"/>
              </w:rPr>
              <w:t>$5</w:t>
            </w:r>
          </w:p>
        </w:tc>
        <w:tc>
          <w:tcPr>
            <w:tcW w:w="712" w:type="dxa"/>
            <w:tcBorders>
              <w:top w:val="single" w:color="auto" w:sz="4" w:space="0"/>
              <w:bottom w:val="nil"/>
            </w:tcBorders>
            <w:shd w:val="clear" w:color="auto" w:fill="auto"/>
            <w:noWrap/>
          </w:tcPr>
          <w:p w:rsidRPr="00DE4CBA" w:rsidR="004B6C6A" w:rsidP="00B07FBA" w:rsidRDefault="004B6C6A" w14:paraId="04BF3B82" w14:textId="0A0C869F">
            <w:pPr>
              <w:pStyle w:val="TX-TableText"/>
              <w:jc w:val="center"/>
              <w:rPr>
                <w:rFonts w:eastAsiaTheme="minorEastAsia"/>
                <w:lang w:val="en"/>
              </w:rPr>
            </w:pPr>
            <w:r>
              <w:rPr>
                <w:rFonts w:eastAsiaTheme="minorEastAsia"/>
                <w:lang w:val="en"/>
              </w:rPr>
              <w:t>$5</w:t>
            </w:r>
          </w:p>
        </w:tc>
        <w:tc>
          <w:tcPr>
            <w:tcW w:w="712" w:type="dxa"/>
            <w:tcBorders>
              <w:top w:val="single" w:color="auto" w:sz="4" w:space="0"/>
              <w:bottom w:val="nil"/>
            </w:tcBorders>
            <w:shd w:val="clear" w:color="auto" w:fill="auto"/>
            <w:noWrap/>
          </w:tcPr>
          <w:p w:rsidRPr="00DE4CBA" w:rsidR="004B6C6A" w:rsidP="00B07FBA" w:rsidRDefault="004B6C6A" w14:paraId="375A9636" w14:textId="005ED461">
            <w:pPr>
              <w:pStyle w:val="TX-TableText"/>
              <w:jc w:val="center"/>
              <w:rPr>
                <w:rFonts w:eastAsiaTheme="minorEastAsia"/>
                <w:lang w:val="en"/>
              </w:rPr>
            </w:pPr>
            <w:r>
              <w:rPr>
                <w:rFonts w:eastAsiaTheme="minorEastAsia"/>
                <w:lang w:val="en"/>
              </w:rPr>
              <w:t>$5</w:t>
            </w:r>
          </w:p>
        </w:tc>
        <w:tc>
          <w:tcPr>
            <w:tcW w:w="702" w:type="dxa"/>
            <w:tcBorders>
              <w:top w:val="single" w:color="auto" w:sz="4" w:space="0"/>
              <w:bottom w:val="nil"/>
            </w:tcBorders>
            <w:shd w:val="clear" w:color="auto" w:fill="auto"/>
            <w:noWrap/>
          </w:tcPr>
          <w:p w:rsidRPr="00DE4CBA" w:rsidR="004B6C6A" w:rsidP="00B07FBA" w:rsidRDefault="004B6C6A" w14:paraId="294160FF" w14:textId="779FE1A4">
            <w:pPr>
              <w:pStyle w:val="TX-TableText"/>
              <w:jc w:val="center"/>
              <w:rPr>
                <w:rFonts w:eastAsiaTheme="minorEastAsia"/>
                <w:lang w:val="en"/>
              </w:rPr>
            </w:pPr>
            <w:r>
              <w:rPr>
                <w:rFonts w:eastAsiaTheme="minorEastAsia"/>
                <w:lang w:val="en"/>
              </w:rPr>
              <w:t>$5</w:t>
            </w:r>
          </w:p>
        </w:tc>
        <w:tc>
          <w:tcPr>
            <w:tcW w:w="702" w:type="dxa"/>
            <w:tcBorders>
              <w:top w:val="single" w:color="auto" w:sz="4" w:space="0"/>
              <w:bottom w:val="nil"/>
            </w:tcBorders>
            <w:shd w:val="clear" w:color="auto" w:fill="auto"/>
            <w:noWrap/>
          </w:tcPr>
          <w:p w:rsidRPr="00DE4CBA" w:rsidR="004B6C6A" w:rsidP="00B07FBA" w:rsidRDefault="004B6C6A" w14:paraId="4C32E623" w14:textId="61CBE904">
            <w:pPr>
              <w:pStyle w:val="TX-TableText"/>
              <w:jc w:val="center"/>
              <w:rPr>
                <w:rFonts w:eastAsiaTheme="minorEastAsia"/>
                <w:lang w:val="en"/>
              </w:rPr>
            </w:pPr>
            <w:r>
              <w:rPr>
                <w:rFonts w:eastAsiaTheme="minorEastAsia"/>
                <w:lang w:val="en"/>
              </w:rPr>
              <w:t>$5</w:t>
            </w:r>
          </w:p>
        </w:tc>
        <w:tc>
          <w:tcPr>
            <w:tcW w:w="702" w:type="dxa"/>
            <w:tcBorders>
              <w:top w:val="single" w:color="auto" w:sz="4" w:space="0"/>
              <w:bottom w:val="nil"/>
            </w:tcBorders>
            <w:shd w:val="clear" w:color="auto" w:fill="auto"/>
            <w:noWrap/>
          </w:tcPr>
          <w:p w:rsidRPr="00DE4CBA" w:rsidR="004B6C6A" w:rsidP="00B07FBA" w:rsidRDefault="004B6C6A" w14:paraId="57B39BD7" w14:textId="1E0E2EAA">
            <w:pPr>
              <w:pStyle w:val="TX-TableText"/>
              <w:jc w:val="center"/>
              <w:rPr>
                <w:rFonts w:eastAsiaTheme="minorEastAsia"/>
                <w:lang w:val="en"/>
              </w:rPr>
            </w:pPr>
            <w:r>
              <w:rPr>
                <w:rFonts w:eastAsiaTheme="minorEastAsia"/>
                <w:lang w:val="en"/>
              </w:rPr>
              <w:t>$5</w:t>
            </w:r>
          </w:p>
        </w:tc>
        <w:tc>
          <w:tcPr>
            <w:tcW w:w="236" w:type="dxa"/>
            <w:tcBorders>
              <w:top w:val="single" w:color="auto" w:sz="4" w:space="0"/>
              <w:bottom w:val="nil"/>
            </w:tcBorders>
            <w:shd w:val="clear" w:color="auto" w:fill="auto"/>
            <w:noWrap/>
          </w:tcPr>
          <w:p w:rsidRPr="00DE4CBA" w:rsidR="004B6C6A" w:rsidP="00B07FBA" w:rsidRDefault="004B6C6A" w14:paraId="206E59C1" w14:textId="6B965B02">
            <w:pPr>
              <w:pStyle w:val="TX-TableText"/>
              <w:jc w:val="center"/>
              <w:rPr>
                <w:rFonts w:eastAsiaTheme="minorEastAsia"/>
                <w:lang w:val="en"/>
              </w:rPr>
            </w:pPr>
          </w:p>
        </w:tc>
        <w:tc>
          <w:tcPr>
            <w:tcW w:w="1635" w:type="dxa"/>
            <w:tcBorders>
              <w:top w:val="single" w:color="auto" w:sz="4" w:space="0"/>
              <w:bottom w:val="nil"/>
            </w:tcBorders>
            <w:shd w:val="clear" w:color="auto" w:fill="auto"/>
          </w:tcPr>
          <w:p w:rsidR="004B6C6A" w:rsidP="009E7539" w:rsidRDefault="004B6C6A" w14:paraId="63BF7615" w14:textId="022E5B69">
            <w:pPr>
              <w:pStyle w:val="TX-TableText"/>
              <w:jc w:val="center"/>
              <w:rPr>
                <w:rFonts w:eastAsiaTheme="minorEastAsia"/>
                <w:lang w:val="en"/>
              </w:rPr>
            </w:pPr>
            <w:r>
              <w:rPr>
                <w:rFonts w:eastAsiaTheme="minorEastAsia"/>
                <w:lang w:val="en"/>
              </w:rPr>
              <w:t>$</w:t>
            </w:r>
            <w:r w:rsidR="009E7539">
              <w:rPr>
                <w:rFonts w:eastAsiaTheme="minorEastAsia"/>
                <w:lang w:val="en"/>
              </w:rPr>
              <w:t>3</w:t>
            </w:r>
            <w:r>
              <w:rPr>
                <w:rFonts w:eastAsiaTheme="minorEastAsia"/>
                <w:lang w:val="en"/>
              </w:rPr>
              <w:t>5</w:t>
            </w:r>
          </w:p>
        </w:tc>
      </w:tr>
      <w:tr w:rsidRPr="00DE4CBA" w:rsidR="004B6C6A" w:rsidTr="00D652C4" w14:paraId="7BBF2DDE" w14:textId="0447AE6D">
        <w:trPr>
          <w:trHeight w:val="300"/>
        </w:trPr>
        <w:tc>
          <w:tcPr>
            <w:tcW w:w="1349" w:type="dxa"/>
            <w:tcBorders>
              <w:top w:val="nil"/>
              <w:bottom w:val="nil"/>
            </w:tcBorders>
            <w:noWrap/>
          </w:tcPr>
          <w:p w:rsidRPr="00DE4CBA" w:rsidR="004B6C6A" w:rsidP="00B07FBA" w:rsidRDefault="004B6C6A" w14:paraId="7E379F60" w14:textId="709DCDB8">
            <w:pPr>
              <w:pStyle w:val="TX-TableText"/>
              <w:rPr>
                <w:rFonts w:eastAsiaTheme="minorEastAsia"/>
                <w:lang w:val="en"/>
              </w:rPr>
            </w:pPr>
            <w:r>
              <w:rPr>
                <w:rFonts w:eastAsiaTheme="minorEastAsia"/>
                <w:lang w:val="en"/>
              </w:rPr>
              <w:t>Experimental</w:t>
            </w:r>
          </w:p>
        </w:tc>
        <w:tc>
          <w:tcPr>
            <w:tcW w:w="712" w:type="dxa"/>
            <w:tcBorders>
              <w:top w:val="nil"/>
              <w:bottom w:val="nil"/>
            </w:tcBorders>
            <w:noWrap/>
          </w:tcPr>
          <w:p w:rsidRPr="00DE4CBA" w:rsidR="004B6C6A" w:rsidP="00B07FBA" w:rsidRDefault="004B6C6A" w14:paraId="36EA1CDD" w14:textId="5DDCFA1B">
            <w:pPr>
              <w:pStyle w:val="TX-TableText"/>
              <w:jc w:val="center"/>
              <w:rPr>
                <w:rFonts w:eastAsiaTheme="minorEastAsia"/>
                <w:lang w:val="en"/>
              </w:rPr>
            </w:pPr>
            <w:r>
              <w:rPr>
                <w:rFonts w:eastAsiaTheme="minorEastAsia"/>
                <w:lang w:val="en"/>
              </w:rPr>
              <w:t>$5</w:t>
            </w:r>
          </w:p>
        </w:tc>
        <w:tc>
          <w:tcPr>
            <w:tcW w:w="712" w:type="dxa"/>
            <w:tcBorders>
              <w:top w:val="nil"/>
              <w:bottom w:val="nil"/>
            </w:tcBorders>
            <w:noWrap/>
          </w:tcPr>
          <w:p w:rsidRPr="00DE4CBA" w:rsidR="004B6C6A" w:rsidP="00B07FBA" w:rsidRDefault="004B6C6A" w14:paraId="4E620ED8" w14:textId="50562198">
            <w:pPr>
              <w:pStyle w:val="TX-TableText"/>
              <w:jc w:val="center"/>
              <w:rPr>
                <w:rFonts w:eastAsiaTheme="minorEastAsia"/>
                <w:lang w:val="en"/>
              </w:rPr>
            </w:pPr>
            <w:r>
              <w:rPr>
                <w:rFonts w:eastAsiaTheme="minorEastAsia"/>
                <w:lang w:val="en"/>
              </w:rPr>
              <w:t>$5</w:t>
            </w:r>
          </w:p>
        </w:tc>
        <w:tc>
          <w:tcPr>
            <w:tcW w:w="712" w:type="dxa"/>
            <w:tcBorders>
              <w:top w:val="nil"/>
              <w:bottom w:val="nil"/>
            </w:tcBorders>
            <w:noWrap/>
          </w:tcPr>
          <w:p w:rsidRPr="00DE4CBA" w:rsidR="004B6C6A" w:rsidP="00B07FBA" w:rsidRDefault="004B6C6A" w14:paraId="22E05607" w14:textId="0CF71F27">
            <w:pPr>
              <w:pStyle w:val="TX-TableText"/>
              <w:jc w:val="center"/>
              <w:rPr>
                <w:rFonts w:eastAsiaTheme="minorEastAsia"/>
                <w:lang w:val="en"/>
              </w:rPr>
            </w:pPr>
            <w:r>
              <w:rPr>
                <w:rFonts w:eastAsiaTheme="minorEastAsia"/>
                <w:lang w:val="en"/>
              </w:rPr>
              <w:t>$5</w:t>
            </w:r>
          </w:p>
        </w:tc>
        <w:tc>
          <w:tcPr>
            <w:tcW w:w="712" w:type="dxa"/>
            <w:tcBorders>
              <w:top w:val="nil"/>
              <w:bottom w:val="nil"/>
            </w:tcBorders>
            <w:noWrap/>
          </w:tcPr>
          <w:p w:rsidRPr="00DE4CBA" w:rsidR="004B6C6A" w:rsidP="004B6C6A" w:rsidRDefault="004B6C6A" w14:paraId="1351110E" w14:textId="746B2AB8">
            <w:pPr>
              <w:pStyle w:val="TX-TableText"/>
              <w:jc w:val="center"/>
              <w:rPr>
                <w:rFonts w:eastAsiaTheme="minorEastAsia"/>
                <w:lang w:val="en"/>
              </w:rPr>
            </w:pPr>
            <w:r>
              <w:rPr>
                <w:rFonts w:eastAsiaTheme="minorEastAsia"/>
                <w:lang w:val="en"/>
              </w:rPr>
              <w:t>$10</w:t>
            </w:r>
          </w:p>
        </w:tc>
        <w:tc>
          <w:tcPr>
            <w:tcW w:w="702" w:type="dxa"/>
            <w:tcBorders>
              <w:top w:val="nil"/>
              <w:bottom w:val="nil"/>
            </w:tcBorders>
            <w:noWrap/>
          </w:tcPr>
          <w:p w:rsidRPr="00DE4CBA" w:rsidR="004B6C6A" w:rsidP="004B6C6A" w:rsidRDefault="004B6C6A" w14:paraId="2807F6A4" w14:textId="5AA180A8">
            <w:pPr>
              <w:pStyle w:val="TX-TableText"/>
              <w:jc w:val="center"/>
              <w:rPr>
                <w:rFonts w:eastAsiaTheme="minorEastAsia"/>
                <w:lang w:val="en"/>
              </w:rPr>
            </w:pPr>
            <w:r>
              <w:rPr>
                <w:rFonts w:eastAsiaTheme="minorEastAsia"/>
                <w:lang w:val="en"/>
              </w:rPr>
              <w:t>$10</w:t>
            </w:r>
          </w:p>
        </w:tc>
        <w:tc>
          <w:tcPr>
            <w:tcW w:w="702" w:type="dxa"/>
            <w:tcBorders>
              <w:top w:val="nil"/>
              <w:bottom w:val="nil"/>
            </w:tcBorders>
            <w:noWrap/>
          </w:tcPr>
          <w:p w:rsidRPr="00DE4CBA" w:rsidR="004B6C6A" w:rsidP="004B6C6A" w:rsidRDefault="004B6C6A" w14:paraId="548DC007" w14:textId="03D36C4C">
            <w:pPr>
              <w:pStyle w:val="TX-TableText"/>
              <w:jc w:val="center"/>
              <w:rPr>
                <w:rFonts w:eastAsiaTheme="minorEastAsia"/>
                <w:lang w:val="en"/>
              </w:rPr>
            </w:pPr>
            <w:r>
              <w:rPr>
                <w:rFonts w:eastAsiaTheme="minorEastAsia"/>
                <w:lang w:val="en"/>
              </w:rPr>
              <w:t>$10</w:t>
            </w:r>
          </w:p>
        </w:tc>
        <w:tc>
          <w:tcPr>
            <w:tcW w:w="702" w:type="dxa"/>
            <w:tcBorders>
              <w:top w:val="nil"/>
              <w:bottom w:val="nil"/>
            </w:tcBorders>
            <w:noWrap/>
          </w:tcPr>
          <w:p w:rsidRPr="00DE4CBA" w:rsidR="004B6C6A" w:rsidP="004B6C6A" w:rsidRDefault="004B6C6A" w14:paraId="5D0CAD33" w14:textId="307DC11B">
            <w:pPr>
              <w:pStyle w:val="TX-TableText"/>
              <w:jc w:val="center"/>
              <w:rPr>
                <w:rFonts w:eastAsiaTheme="minorEastAsia"/>
                <w:lang w:val="en"/>
              </w:rPr>
            </w:pPr>
            <w:r>
              <w:rPr>
                <w:rFonts w:eastAsiaTheme="minorEastAsia"/>
                <w:lang w:val="en"/>
              </w:rPr>
              <w:t>$10</w:t>
            </w:r>
          </w:p>
        </w:tc>
        <w:tc>
          <w:tcPr>
            <w:tcW w:w="236" w:type="dxa"/>
            <w:tcBorders>
              <w:top w:val="nil"/>
              <w:bottom w:val="nil"/>
            </w:tcBorders>
            <w:noWrap/>
          </w:tcPr>
          <w:p w:rsidRPr="00DE4CBA" w:rsidR="004B6C6A" w:rsidP="00B07FBA" w:rsidRDefault="004B6C6A" w14:paraId="4A5D6381" w14:textId="7EBE8B81">
            <w:pPr>
              <w:pStyle w:val="TX-TableText"/>
              <w:jc w:val="center"/>
              <w:rPr>
                <w:rFonts w:eastAsiaTheme="minorEastAsia"/>
                <w:lang w:val="en"/>
              </w:rPr>
            </w:pPr>
          </w:p>
        </w:tc>
        <w:tc>
          <w:tcPr>
            <w:tcW w:w="1635" w:type="dxa"/>
            <w:tcBorders>
              <w:top w:val="nil"/>
              <w:bottom w:val="nil"/>
            </w:tcBorders>
          </w:tcPr>
          <w:p w:rsidR="004B6C6A" w:rsidP="00B07FBA" w:rsidRDefault="004B6C6A" w14:paraId="09112A0A" w14:textId="73B1BA5E">
            <w:pPr>
              <w:pStyle w:val="TX-TableText"/>
              <w:jc w:val="center"/>
              <w:rPr>
                <w:rFonts w:eastAsiaTheme="minorEastAsia"/>
                <w:lang w:val="en"/>
              </w:rPr>
            </w:pPr>
            <w:r>
              <w:rPr>
                <w:rFonts w:eastAsiaTheme="minorEastAsia"/>
                <w:lang w:val="en"/>
              </w:rPr>
              <w:t>$55</w:t>
            </w:r>
          </w:p>
        </w:tc>
      </w:tr>
    </w:tbl>
    <w:p w:rsidR="00A50D74" w:rsidP="004030DC" w:rsidRDefault="00A50D74" w14:paraId="670E82D1" w14:textId="77777777">
      <w:pPr>
        <w:pStyle w:val="L1-FlLSp12"/>
        <w:rPr>
          <w:rFonts w:eastAsiaTheme="minorEastAsia"/>
        </w:rPr>
      </w:pPr>
    </w:p>
    <w:p w:rsidR="00A50D74" w:rsidP="004030DC" w:rsidRDefault="00A50D74" w14:paraId="3E858E9B" w14:textId="04CA001B">
      <w:pPr>
        <w:pStyle w:val="L1-FlLSp12"/>
        <w:rPr>
          <w:rFonts w:eastAsiaTheme="minorEastAsia"/>
        </w:rPr>
      </w:pPr>
      <w:bookmarkStart w:name="_Hlk74661319" w:id="91"/>
      <w:r>
        <w:rPr>
          <w:rFonts w:eastAsiaTheme="minorEastAsia"/>
        </w:rPr>
        <w:t>The purpose of the experiment</w:t>
      </w:r>
      <w:r w:rsidR="00AE197E">
        <w:rPr>
          <w:rFonts w:eastAsiaTheme="minorEastAsia"/>
        </w:rPr>
        <w:t xml:space="preserve"> is to examine which incentive schema is cost efficient</w:t>
      </w:r>
      <w:r w:rsidR="0010466B">
        <w:rPr>
          <w:rFonts w:eastAsiaTheme="minorEastAsia"/>
        </w:rPr>
        <w:t xml:space="preserve"> and provides more complete</w:t>
      </w:r>
      <w:r w:rsidR="00D15878">
        <w:rPr>
          <w:rFonts w:eastAsiaTheme="minorEastAsia"/>
        </w:rPr>
        <w:t xml:space="preserve"> 7-day Food Logs</w:t>
      </w:r>
      <w:r w:rsidR="00AE197E">
        <w:rPr>
          <w:rFonts w:eastAsiaTheme="minorEastAsia"/>
        </w:rPr>
        <w:t xml:space="preserve"> f</w:t>
      </w:r>
      <w:r w:rsidR="00D15878">
        <w:rPr>
          <w:rFonts w:eastAsiaTheme="minorEastAsia"/>
        </w:rPr>
        <w:t>o</w:t>
      </w:r>
      <w:r w:rsidR="00AE197E">
        <w:rPr>
          <w:rFonts w:eastAsiaTheme="minorEastAsia"/>
        </w:rPr>
        <w:t>r FoodAPS</w:t>
      </w:r>
      <w:r w:rsidR="00301969">
        <w:rPr>
          <w:rFonts w:eastAsiaTheme="minorEastAsia"/>
        </w:rPr>
        <w:t xml:space="preserve">.  This will inform the </w:t>
      </w:r>
      <w:r w:rsidR="003C7CA0">
        <w:rPr>
          <w:rFonts w:eastAsiaTheme="minorEastAsia"/>
        </w:rPr>
        <w:t>F</w:t>
      </w:r>
      <w:r w:rsidR="00301969">
        <w:rPr>
          <w:rFonts w:eastAsiaTheme="minorEastAsia"/>
        </w:rPr>
        <w:t xml:space="preserve">ull </w:t>
      </w:r>
      <w:r w:rsidR="003C7CA0">
        <w:rPr>
          <w:rFonts w:eastAsiaTheme="minorEastAsia"/>
        </w:rPr>
        <w:t>Survey</w:t>
      </w:r>
      <w:r w:rsidR="00301969">
        <w:rPr>
          <w:rFonts w:eastAsiaTheme="minorEastAsia"/>
        </w:rPr>
        <w:t>.</w:t>
      </w:r>
      <w:r w:rsidR="00AE197E">
        <w:rPr>
          <w:rFonts w:eastAsiaTheme="minorEastAsia"/>
        </w:rPr>
        <w:t xml:space="preserve"> </w:t>
      </w:r>
      <w:r w:rsidR="00A62896">
        <w:rPr>
          <w:rFonts w:eastAsiaTheme="minorEastAsia"/>
        </w:rPr>
        <w:t>The measures of interest will be at the person level. The minimum detectable difference for 80% power and a 0.05 lev</w:t>
      </w:r>
      <w:r w:rsidR="00AA07D9">
        <w:rPr>
          <w:rFonts w:eastAsiaTheme="minorEastAsia"/>
        </w:rPr>
        <w:t>el of significance is given in T</w:t>
      </w:r>
      <w:r w:rsidR="00A62896">
        <w:rPr>
          <w:rFonts w:eastAsiaTheme="minorEastAsia"/>
        </w:rPr>
        <w:t>able B.</w:t>
      </w:r>
      <w:r w:rsidR="0045083C">
        <w:rPr>
          <w:rFonts w:eastAsiaTheme="minorEastAsia"/>
        </w:rPr>
        <w:t>7</w:t>
      </w:r>
      <w:r w:rsidR="00A62896">
        <w:rPr>
          <w:rFonts w:eastAsiaTheme="minorEastAsia"/>
        </w:rPr>
        <w:t xml:space="preserve">. For example, if the percentage of </w:t>
      </w:r>
      <w:r w:rsidR="00D15878">
        <w:rPr>
          <w:rFonts w:eastAsiaTheme="minorEastAsia"/>
        </w:rPr>
        <w:t xml:space="preserve">7-day Food Logs </w:t>
      </w:r>
      <w:r w:rsidR="00A62896">
        <w:rPr>
          <w:rFonts w:eastAsiaTheme="minorEastAsia"/>
        </w:rPr>
        <w:t>completed is</w:t>
      </w:r>
      <w:r w:rsidR="003C7CA0">
        <w:rPr>
          <w:rFonts w:eastAsiaTheme="minorEastAsia"/>
        </w:rPr>
        <w:t xml:space="preserve"> </w:t>
      </w:r>
      <w:r w:rsidR="003C0D21">
        <w:rPr>
          <w:rFonts w:eastAsiaTheme="minorEastAsia"/>
        </w:rPr>
        <w:t xml:space="preserve">75.0 </w:t>
      </w:r>
      <w:r w:rsidR="00A62896">
        <w:rPr>
          <w:rFonts w:eastAsiaTheme="minorEastAsia"/>
        </w:rPr>
        <w:t>percent</w:t>
      </w:r>
      <w:r w:rsidR="003C0D21">
        <w:rPr>
          <w:rFonts w:eastAsiaTheme="minorEastAsia"/>
        </w:rPr>
        <w:t xml:space="preserve"> in the control group</w:t>
      </w:r>
      <w:r w:rsidR="00A62896">
        <w:rPr>
          <w:rFonts w:eastAsiaTheme="minorEastAsia"/>
        </w:rPr>
        <w:t>, with a person</w:t>
      </w:r>
      <w:r w:rsidR="0045083C">
        <w:rPr>
          <w:rFonts w:eastAsiaTheme="minorEastAsia"/>
        </w:rPr>
        <w:t>-</w:t>
      </w:r>
      <w:r w:rsidR="00A62896">
        <w:rPr>
          <w:rFonts w:eastAsiaTheme="minorEastAsia"/>
        </w:rPr>
        <w:t xml:space="preserve">level sample size of about 1,290 among 430 households (assuming three persons per household) adjusted for design effect, the sample size per group will be large enough to detect a </w:t>
      </w:r>
      <w:r w:rsidR="00301969">
        <w:rPr>
          <w:rFonts w:eastAsiaTheme="minorEastAsia"/>
        </w:rPr>
        <w:t xml:space="preserve">completion rate </w:t>
      </w:r>
      <w:r w:rsidR="00A62896">
        <w:rPr>
          <w:rFonts w:eastAsiaTheme="minorEastAsia"/>
        </w:rPr>
        <w:t xml:space="preserve">difference of </w:t>
      </w:r>
      <w:r w:rsidR="00301969">
        <w:rPr>
          <w:rFonts w:eastAsiaTheme="minorEastAsia"/>
        </w:rPr>
        <w:t>7.2</w:t>
      </w:r>
      <w:r w:rsidR="00A62896">
        <w:rPr>
          <w:rFonts w:eastAsiaTheme="minorEastAsia"/>
        </w:rPr>
        <w:t xml:space="preserve"> percentage points</w:t>
      </w:r>
      <w:r w:rsidR="003C0D21">
        <w:rPr>
          <w:rFonts w:eastAsiaTheme="minorEastAsia"/>
        </w:rPr>
        <w:t>, e.g., a treatment group completion percent of 82.2</w:t>
      </w:r>
      <w:r w:rsidR="00A62896">
        <w:rPr>
          <w:rFonts w:eastAsiaTheme="minorEastAsia"/>
        </w:rPr>
        <w:t>.</w:t>
      </w:r>
      <w:bookmarkEnd w:id="91"/>
    </w:p>
    <w:p w:rsidR="00A94DA0" w:rsidP="004030DC" w:rsidRDefault="00A94DA0" w14:paraId="4345F6DF" w14:textId="25284182">
      <w:pPr>
        <w:pStyle w:val="L1-FlLSp12"/>
        <w:rPr>
          <w:rFonts w:eastAsiaTheme="minorEastAsia"/>
        </w:rPr>
      </w:pPr>
    </w:p>
    <w:p w:rsidRPr="003260E6" w:rsidR="0084061B" w:rsidP="0084061B" w:rsidRDefault="003260E6" w14:paraId="35FA5E2E" w14:textId="5ADB19FC">
      <w:pPr>
        <w:pStyle w:val="TT-TableTitle"/>
        <w:rPr>
          <w:rFonts w:ascii="Garamond" w:hAnsi="Garamond"/>
          <w:b/>
          <w:bCs/>
          <w:lang w:val="en"/>
        </w:rPr>
      </w:pPr>
      <w:bookmarkStart w:name="_Toc93489546" w:id="92"/>
      <w:r>
        <w:rPr>
          <w:rFonts w:ascii="Garamond" w:hAnsi="Garamond"/>
          <w:b/>
          <w:bCs/>
          <w:lang w:val="en"/>
        </w:rPr>
        <w:t>Table B.7</w:t>
      </w:r>
      <w:r w:rsidRPr="003260E6" w:rsidR="0084061B">
        <w:rPr>
          <w:rFonts w:ascii="Garamond" w:hAnsi="Garamond"/>
          <w:b/>
          <w:bCs/>
          <w:lang w:val="en"/>
        </w:rPr>
        <w:t>.</w:t>
      </w:r>
      <w:r w:rsidRPr="003260E6" w:rsidR="0084061B">
        <w:rPr>
          <w:rFonts w:ascii="Garamond" w:hAnsi="Garamond"/>
          <w:b/>
          <w:bCs/>
          <w:lang w:val="en"/>
        </w:rPr>
        <w:tab/>
        <w:t>Minimum Detectable Differences for the Incentive Field Test</w:t>
      </w:r>
      <w:r w:rsidRPr="003260E6" w:rsidR="00A62896">
        <w:rPr>
          <w:rFonts w:ascii="Garamond" w:hAnsi="Garamond"/>
          <w:b/>
          <w:bCs/>
          <w:lang w:val="en"/>
        </w:rPr>
        <w:t>, n=</w:t>
      </w:r>
      <w:r w:rsidRPr="003260E6" w:rsidR="0084061B">
        <w:rPr>
          <w:rFonts w:ascii="Garamond" w:hAnsi="Garamond"/>
          <w:b/>
          <w:bCs/>
          <w:lang w:val="en"/>
        </w:rPr>
        <w:t>430</w:t>
      </w:r>
      <w:r w:rsidRPr="003260E6" w:rsidR="00A62896">
        <w:rPr>
          <w:rFonts w:ascii="Garamond" w:hAnsi="Garamond"/>
          <w:b/>
          <w:bCs/>
          <w:lang w:val="en"/>
        </w:rPr>
        <w:t xml:space="preserve"> Households</w:t>
      </w:r>
      <w:bookmarkEnd w:id="92"/>
    </w:p>
    <w:p w:rsidRPr="00DA393E" w:rsidR="0084061B" w:rsidP="0084061B" w:rsidRDefault="0084061B" w14:paraId="726F10A4" w14:textId="77777777">
      <w:pPr>
        <w:pStyle w:val="TT-TableTitle"/>
        <w:rPr>
          <w:lang w:val="en"/>
        </w:rPr>
      </w:pPr>
    </w:p>
    <w:tbl>
      <w:tblPr>
        <w:tblW w:w="8745" w:type="dxa"/>
        <w:tblBorders>
          <w:top w:val="single" w:color="auto" w:sz="4" w:space="0"/>
          <w:bottom w:val="single" w:color="auto" w:sz="4" w:space="0"/>
          <w:insideH w:val="single" w:color="auto" w:sz="4" w:space="0"/>
        </w:tblBorders>
        <w:tblLook w:val="04A0" w:firstRow="1" w:lastRow="0" w:firstColumn="1" w:lastColumn="0" w:noHBand="0" w:noVBand="1"/>
      </w:tblPr>
      <w:tblGrid>
        <w:gridCol w:w="3645"/>
        <w:gridCol w:w="5100"/>
      </w:tblGrid>
      <w:tr w:rsidRPr="00DA393E" w:rsidR="0084061B" w:rsidTr="00E42E44" w14:paraId="2FF805AB" w14:textId="77777777">
        <w:tc>
          <w:tcPr>
            <w:tcW w:w="0" w:type="auto"/>
            <w:shd w:val="clear" w:color="auto" w:fill="B8CCE4" w:themeFill="accent1" w:themeFillTint="66"/>
            <w:vAlign w:val="bottom"/>
          </w:tcPr>
          <w:p w:rsidRPr="00DA393E" w:rsidR="0084061B" w:rsidP="0084061B" w:rsidRDefault="0084061B" w14:paraId="29DE4536" w14:textId="5457288D">
            <w:pPr>
              <w:pStyle w:val="TH-TableHeading"/>
            </w:pPr>
            <w:r>
              <w:t>Estimated Percentage</w:t>
            </w:r>
          </w:p>
        </w:tc>
        <w:tc>
          <w:tcPr>
            <w:tcW w:w="0" w:type="auto"/>
            <w:shd w:val="clear" w:color="auto" w:fill="B8CCE4" w:themeFill="accent1" w:themeFillTint="66"/>
            <w:vAlign w:val="bottom"/>
          </w:tcPr>
          <w:p w:rsidR="00A62896" w:rsidP="005C2E03" w:rsidRDefault="00A62896" w14:paraId="3A7923B6" w14:textId="77777777">
            <w:pPr>
              <w:pStyle w:val="TH-TableHeading"/>
            </w:pPr>
            <w:r>
              <w:t xml:space="preserve">Minimum Detectable Difference </w:t>
            </w:r>
          </w:p>
          <w:p w:rsidRPr="00DA393E" w:rsidR="0084061B" w:rsidP="005C2E03" w:rsidRDefault="00A62896" w14:paraId="7F1DA962" w14:textId="689515FB">
            <w:pPr>
              <w:pStyle w:val="TH-TableHeading"/>
            </w:pPr>
            <w:r>
              <w:t xml:space="preserve">for </w:t>
            </w:r>
            <w:r w:rsidR="0084061B">
              <w:t>Person Measures</w:t>
            </w:r>
          </w:p>
        </w:tc>
      </w:tr>
      <w:tr w:rsidRPr="00DA393E" w:rsidR="0084061B" w:rsidTr="0084061B" w14:paraId="335E8C8B" w14:textId="77777777">
        <w:trPr>
          <w:trHeight w:val="288"/>
        </w:trPr>
        <w:tc>
          <w:tcPr>
            <w:tcW w:w="0" w:type="auto"/>
            <w:vAlign w:val="center"/>
          </w:tcPr>
          <w:p w:rsidRPr="00DA393E" w:rsidR="0084061B" w:rsidP="006E52E1" w:rsidRDefault="0084061B" w14:paraId="58FE4EB5" w14:textId="610EF882">
            <w:pPr>
              <w:pStyle w:val="TX-TableText"/>
              <w:jc w:val="center"/>
            </w:pPr>
            <w:r>
              <w:t>75</w:t>
            </w:r>
          </w:p>
        </w:tc>
        <w:tc>
          <w:tcPr>
            <w:tcW w:w="0" w:type="auto"/>
          </w:tcPr>
          <w:p w:rsidRPr="00DA393E" w:rsidR="0084061B" w:rsidP="005C2E03" w:rsidRDefault="00510EF7" w14:paraId="381FB48E" w14:textId="424BC89A">
            <w:pPr>
              <w:pStyle w:val="TX-TableText"/>
              <w:jc w:val="center"/>
            </w:pPr>
            <w:r>
              <w:t>7.2</w:t>
            </w:r>
          </w:p>
        </w:tc>
      </w:tr>
      <w:tr w:rsidRPr="00DA393E" w:rsidR="0084061B" w:rsidTr="0084061B" w14:paraId="29FE03BE" w14:textId="77777777">
        <w:trPr>
          <w:trHeight w:val="288"/>
        </w:trPr>
        <w:tc>
          <w:tcPr>
            <w:tcW w:w="0" w:type="auto"/>
            <w:vAlign w:val="center"/>
          </w:tcPr>
          <w:p w:rsidRPr="00DA393E" w:rsidR="0084061B" w:rsidP="006E52E1" w:rsidRDefault="0084061B" w14:paraId="4D428BFC" w14:textId="38F555EF">
            <w:pPr>
              <w:pStyle w:val="TX-TableText"/>
              <w:jc w:val="center"/>
            </w:pPr>
            <w:r>
              <w:t>90</w:t>
            </w:r>
          </w:p>
        </w:tc>
        <w:tc>
          <w:tcPr>
            <w:tcW w:w="0" w:type="auto"/>
          </w:tcPr>
          <w:p w:rsidRPr="00DA393E" w:rsidR="0084061B" w:rsidP="005C2E03" w:rsidRDefault="00510EF7" w14:paraId="7D6BC1FD" w14:textId="7484A96E">
            <w:pPr>
              <w:pStyle w:val="TX-TableText"/>
              <w:jc w:val="center"/>
            </w:pPr>
            <w:r>
              <w:t>4.7</w:t>
            </w:r>
          </w:p>
        </w:tc>
      </w:tr>
    </w:tbl>
    <w:p w:rsidR="00A94DA0" w:rsidP="004030DC" w:rsidRDefault="00A94DA0" w14:paraId="1FC095F9" w14:textId="77777777">
      <w:pPr>
        <w:pStyle w:val="L1-FlLSp12"/>
        <w:rPr>
          <w:rFonts w:eastAsiaTheme="minorEastAsia"/>
        </w:rPr>
      </w:pPr>
    </w:p>
    <w:p w:rsidR="004030DC" w:rsidRDefault="004030DC" w14:paraId="494B7374" w14:textId="6EFADCD4">
      <w:pPr>
        <w:pStyle w:val="L1-FlLSp12"/>
        <w:rPr>
          <w:rFonts w:eastAsiaTheme="minorEastAsia"/>
        </w:rPr>
      </w:pPr>
      <w:r w:rsidRPr="00497559">
        <w:rPr>
          <w:rFonts w:eastAsiaTheme="minorEastAsia"/>
        </w:rPr>
        <w:t>The current Field Test sample size of 430 complete</w:t>
      </w:r>
      <w:r w:rsidR="00F30A0D">
        <w:rPr>
          <w:rFonts w:eastAsiaTheme="minorEastAsia"/>
        </w:rPr>
        <w:t>d households</w:t>
      </w:r>
      <w:r w:rsidRPr="00497559">
        <w:rPr>
          <w:rFonts w:eastAsiaTheme="minorEastAsia"/>
        </w:rPr>
        <w:t xml:space="preserve"> is sufficient to support the proposed experiment by itself, without comparing to other data.</w:t>
      </w:r>
      <w:r w:rsidRPr="00DE4CBA">
        <w:rPr>
          <w:rFonts w:eastAsiaTheme="minorEastAsia"/>
        </w:rPr>
        <w:t xml:space="preserve"> </w:t>
      </w:r>
    </w:p>
    <w:p w:rsidRPr="00DE4CBA" w:rsidR="00335C04" w:rsidP="004030DC" w:rsidRDefault="00335C04" w14:paraId="3960A892" w14:textId="77777777">
      <w:pPr>
        <w:pStyle w:val="L1-FlLSp12"/>
        <w:rPr>
          <w:rFonts w:eastAsiaTheme="minorEastAsia"/>
        </w:rPr>
      </w:pPr>
    </w:p>
    <w:p w:rsidRPr="005F647E" w:rsidR="00C70A4E" w:rsidP="00C70A4E" w:rsidRDefault="00C70A4E" w14:paraId="5C35EE7B" w14:textId="06710715">
      <w:pPr>
        <w:pStyle w:val="L1-FlLSp12"/>
        <w:rPr>
          <w:lang w:val="en"/>
        </w:rPr>
      </w:pPr>
      <w:r>
        <w:rPr>
          <w:b/>
          <w:lang w:val="en"/>
        </w:rPr>
        <w:t>Defining sampling rates</w:t>
      </w:r>
      <w:r w:rsidR="008E2CBB">
        <w:rPr>
          <w:b/>
          <w:lang w:val="en"/>
        </w:rPr>
        <w:t>/income prediction modeling</w:t>
      </w:r>
      <w:r>
        <w:rPr>
          <w:b/>
          <w:lang w:val="en"/>
        </w:rPr>
        <w:t>:</w:t>
      </w:r>
      <w:r w:rsidRPr="000B2E4C">
        <w:rPr>
          <w:lang w:val="en"/>
        </w:rPr>
        <w:t xml:space="preserve"> </w:t>
      </w:r>
      <w:r w:rsidRPr="000B2E4C" w:rsidR="00553AFB">
        <w:rPr>
          <w:lang w:val="en"/>
        </w:rPr>
        <w:t xml:space="preserve">As noted earlier, </w:t>
      </w:r>
      <w:r w:rsidRPr="00F7367D" w:rsidR="00995B0A">
        <w:rPr>
          <w:lang w:val="en"/>
        </w:rPr>
        <w:t>w</w:t>
      </w:r>
      <w:r w:rsidRPr="005249A7" w:rsidR="00995B0A">
        <w:rPr>
          <w:lang w:val="en"/>
        </w:rPr>
        <w:t>e</w:t>
      </w:r>
      <w:r w:rsidRPr="005F647E">
        <w:rPr>
          <w:lang w:val="en"/>
        </w:rPr>
        <w:t xml:space="preserve"> plan to improve the sampling rates</w:t>
      </w:r>
      <w:r>
        <w:rPr>
          <w:lang w:val="en"/>
        </w:rPr>
        <w:t xml:space="preserve"> for screener subsampling</w:t>
      </w:r>
      <w:r w:rsidRPr="005F647E">
        <w:rPr>
          <w:lang w:val="en"/>
        </w:rPr>
        <w:t xml:space="preserve"> further by building a predictive model to estimate the final income domain based on screener and American Community Survey (ACS) information</w:t>
      </w:r>
      <w:r w:rsidR="00BF2AFE">
        <w:rPr>
          <w:lang w:val="en"/>
        </w:rPr>
        <w:t>, as discussed in Section B.2</w:t>
      </w:r>
      <w:r w:rsidRPr="005F647E">
        <w:rPr>
          <w:lang w:val="en"/>
        </w:rPr>
        <w:t xml:space="preserve">. The sampling </w:t>
      </w:r>
      <w:r>
        <w:rPr>
          <w:lang w:val="en"/>
        </w:rPr>
        <w:t>rates</w:t>
      </w:r>
      <w:r w:rsidRPr="005F647E">
        <w:rPr>
          <w:lang w:val="en"/>
        </w:rPr>
        <w:t xml:space="preserve"> </w:t>
      </w:r>
      <w:r>
        <w:rPr>
          <w:lang w:val="en"/>
        </w:rPr>
        <w:t xml:space="preserve">used in FoodAPS-1 and the </w:t>
      </w:r>
      <w:r w:rsidR="00770C00">
        <w:rPr>
          <w:lang w:val="en"/>
        </w:rPr>
        <w:t xml:space="preserve">NFS </w:t>
      </w:r>
      <w:r>
        <w:rPr>
          <w:lang w:val="en"/>
        </w:rPr>
        <w:t>Pilot are based only on</w:t>
      </w:r>
      <w:r w:rsidRPr="005F647E">
        <w:rPr>
          <w:lang w:val="en"/>
        </w:rPr>
        <w:t xml:space="preserve"> screener income subsampling stratum. However, other screener variables (e.g., number of household members) and ACS variables such as tract-lev</w:t>
      </w:r>
      <w:r>
        <w:rPr>
          <w:lang w:val="en"/>
        </w:rPr>
        <w:t xml:space="preserve">el education or income </w:t>
      </w:r>
      <w:r w:rsidR="00FC6EFE">
        <w:rPr>
          <w:lang w:val="en"/>
        </w:rPr>
        <w:t xml:space="preserve">percentages </w:t>
      </w:r>
      <w:r>
        <w:rPr>
          <w:lang w:val="en"/>
        </w:rPr>
        <w:t>may allow us to estimate the household’s true income category more precisely, and both reduce misclassification and weight variation</w:t>
      </w:r>
      <w:r w:rsidRPr="005F647E">
        <w:rPr>
          <w:lang w:val="en"/>
        </w:rPr>
        <w:t xml:space="preserve">. </w:t>
      </w:r>
    </w:p>
    <w:p w:rsidR="00DE4CBA" w:rsidP="00327463" w:rsidRDefault="00AA6ECA" w14:paraId="470E7C69" w14:textId="6E348883">
      <w:pPr>
        <w:pStyle w:val="L1-FlLSp12"/>
        <w:rPr>
          <w:rFonts w:eastAsiaTheme="minorEastAsia"/>
        </w:rPr>
      </w:pPr>
      <w:r>
        <w:rPr>
          <w:rFonts w:eastAsiaTheme="minorEastAsia"/>
        </w:rPr>
        <w:t xml:space="preserve"> </w:t>
      </w:r>
    </w:p>
    <w:p w:rsidR="00047A76" w:rsidP="00327463" w:rsidRDefault="00047A76" w14:paraId="7A7552CB" w14:textId="77777777">
      <w:pPr>
        <w:pStyle w:val="L1-FlLSp12"/>
        <w:rPr>
          <w:rFonts w:eastAsiaTheme="minorEastAsia"/>
        </w:rPr>
      </w:pPr>
    </w:p>
    <w:p w:rsidRPr="008126AB" w:rsidR="00D50A82" w:rsidP="00115E3C" w:rsidRDefault="00D50A82" w14:paraId="36D4D0D9" w14:textId="7FDB2026">
      <w:pPr>
        <w:pStyle w:val="Heading3"/>
        <w:tabs>
          <w:tab w:val="clear" w:pos="1152"/>
        </w:tabs>
        <w:ind w:left="0" w:firstLine="0"/>
      </w:pPr>
      <w:bookmarkStart w:name="_Toc513794217" w:id="93"/>
      <w:bookmarkStart w:name="_Toc74205156" w:id="94"/>
      <w:bookmarkEnd w:id="80"/>
      <w:r w:rsidRPr="008126AB">
        <w:t xml:space="preserve">Any </w:t>
      </w:r>
      <w:r>
        <w:t>U</w:t>
      </w:r>
      <w:r w:rsidRPr="008126AB">
        <w:t>se of Periodic (</w:t>
      </w:r>
      <w:r>
        <w:t>Less Frequent T</w:t>
      </w:r>
      <w:r w:rsidRPr="008126AB">
        <w:t>han Annual) Data Collection Cycles to Reduce Burden</w:t>
      </w:r>
      <w:bookmarkEnd w:id="93"/>
      <w:bookmarkEnd w:id="94"/>
    </w:p>
    <w:p w:rsidRPr="00D91578" w:rsidR="00D91578" w:rsidP="00D91578" w:rsidRDefault="006C1475" w14:paraId="7138852F" w14:textId="61A0AAAE">
      <w:pPr>
        <w:spacing w:line="360" w:lineRule="atLeast"/>
        <w:rPr>
          <w:b/>
        </w:rPr>
      </w:pPr>
      <w:r w:rsidRPr="006C1475">
        <w:rPr>
          <w:color w:val="000000" w:themeColor="text1"/>
          <w:szCs w:val="24"/>
          <w:lang w:val="en"/>
        </w:rPr>
        <w:t xml:space="preserve">Data collection for the Field Test will be conducted over a six-month period. The first couple months of data collection will focus on recruiting sampled households via a mail screener. </w:t>
      </w:r>
      <w:r w:rsidRPr="006C1475">
        <w:rPr>
          <w:color w:val="000000" w:themeColor="text1"/>
          <w:szCs w:val="24"/>
        </w:rPr>
        <w:t xml:space="preserve">Field data collection for the Field Test will be conducted over a four-month period. </w:t>
      </w:r>
      <w:r w:rsidR="00D91578">
        <w:rPr>
          <w:color w:val="000000" w:themeColor="text1"/>
          <w:szCs w:val="24"/>
          <w:lang w:val="en"/>
        </w:rPr>
        <w:t>The use of periodic data collection cycles to reduce burden is not applicable for the Field Test</w:t>
      </w:r>
      <w:r w:rsidR="00ED1C42">
        <w:rPr>
          <w:color w:val="000000" w:themeColor="text1"/>
          <w:szCs w:val="24"/>
          <w:lang w:val="en"/>
        </w:rPr>
        <w:t xml:space="preserve"> as each eligible household will be invited for an initial in-person interview, recording food </w:t>
      </w:r>
      <w:r w:rsidR="000D4E3B">
        <w:rPr>
          <w:color w:val="000000" w:themeColor="text1"/>
          <w:szCs w:val="24"/>
          <w:lang w:val="en"/>
        </w:rPr>
        <w:t>acquisitions</w:t>
      </w:r>
      <w:r w:rsidR="00ED1C42">
        <w:rPr>
          <w:color w:val="000000" w:themeColor="text1"/>
          <w:szCs w:val="24"/>
          <w:lang w:val="en"/>
        </w:rPr>
        <w:t xml:space="preserve"> over the course of one week, completion of a Profile Questionnaire and an Income Worksheet during that week, and then a final in-person </w:t>
      </w:r>
      <w:r w:rsidR="00553AFB">
        <w:rPr>
          <w:color w:val="000000" w:themeColor="text1"/>
          <w:szCs w:val="24"/>
          <w:lang w:val="en"/>
        </w:rPr>
        <w:t xml:space="preserve">debriefing </w:t>
      </w:r>
      <w:r w:rsidR="00ED1C42">
        <w:rPr>
          <w:color w:val="000000" w:themeColor="text1"/>
          <w:szCs w:val="24"/>
          <w:lang w:val="en"/>
        </w:rPr>
        <w:t xml:space="preserve">interview at the end of the </w:t>
      </w:r>
      <w:r w:rsidR="009F53E9">
        <w:rPr>
          <w:color w:val="000000" w:themeColor="text1"/>
          <w:szCs w:val="24"/>
          <w:lang w:val="en"/>
        </w:rPr>
        <w:t xml:space="preserve">seven-day data collection </w:t>
      </w:r>
      <w:r w:rsidR="00ED1C42">
        <w:rPr>
          <w:color w:val="000000" w:themeColor="text1"/>
          <w:szCs w:val="24"/>
          <w:lang w:val="en"/>
        </w:rPr>
        <w:t xml:space="preserve">week.  </w:t>
      </w:r>
      <w:r w:rsidR="00D91578">
        <w:rPr>
          <w:color w:val="000000" w:themeColor="text1"/>
          <w:szCs w:val="24"/>
          <w:lang w:val="en"/>
        </w:rPr>
        <w:t xml:space="preserve"> </w:t>
      </w:r>
    </w:p>
    <w:p w:rsidRPr="009567C4" w:rsidR="00D91578" w:rsidP="00D91578" w:rsidRDefault="00D91578" w14:paraId="4F3AF3C3" w14:textId="174C6B91">
      <w:pPr>
        <w:spacing w:line="360" w:lineRule="atLeast"/>
        <w:rPr>
          <w:color w:val="000000" w:themeColor="text1"/>
          <w:szCs w:val="24"/>
          <w:lang w:eastAsia="zh-CN" w:bidi="he-IL"/>
        </w:rPr>
      </w:pPr>
    </w:p>
    <w:p w:rsidR="00D50A82" w:rsidP="001B265D" w:rsidRDefault="00D50A82" w14:paraId="27305B45" w14:textId="77777777">
      <w:pPr>
        <w:pStyle w:val="L1-FlLSp12"/>
      </w:pPr>
    </w:p>
    <w:p w:rsidRPr="008126AB" w:rsidR="008A6A7C" w:rsidP="00E329A7" w:rsidRDefault="008A6A7C" w14:paraId="052A4022" w14:textId="77777777">
      <w:pPr>
        <w:pStyle w:val="Heading2"/>
      </w:pPr>
      <w:bookmarkStart w:name="_Toc400377751" w:id="95"/>
      <w:bookmarkStart w:name="_Toc409090905" w:id="96"/>
      <w:bookmarkStart w:name="_Toc513794218" w:id="97"/>
      <w:bookmarkStart w:name="_Toc74205157" w:id="98"/>
      <w:r w:rsidRPr="008126AB">
        <w:t>B.3</w:t>
      </w:r>
      <w:r w:rsidRPr="008126AB">
        <w:tab/>
        <w:t>Methods to Maximize Response Rates and to Deal With Issues of Nonresponse</w:t>
      </w:r>
      <w:bookmarkEnd w:id="95"/>
      <w:bookmarkEnd w:id="96"/>
      <w:bookmarkEnd w:id="97"/>
      <w:bookmarkEnd w:id="98"/>
    </w:p>
    <w:p w:rsidRPr="002232F7" w:rsidR="008A6A7C" w:rsidP="001B265D" w:rsidRDefault="008A6A7C" w14:paraId="40EB1891" w14:textId="77777777">
      <w:pPr>
        <w:pStyle w:val="L1-FlLSp12"/>
        <w:rPr>
          <w:b/>
        </w:rPr>
      </w:pPr>
      <w:bookmarkStart w:name="_Toc400377752" w:id="99"/>
      <w:r w:rsidRPr="002232F7">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0A4805">
        <w:rPr>
          <w:b/>
        </w:rPr>
        <w:t>“</w:t>
      </w:r>
      <w:r w:rsidRPr="002232F7">
        <w:rPr>
          <w:b/>
        </w:rPr>
        <w:t>reliable</w:t>
      </w:r>
      <w:r w:rsidR="000A4805">
        <w:rPr>
          <w:b/>
        </w:rPr>
        <w:t>”</w:t>
      </w:r>
      <w:r w:rsidRPr="002232F7">
        <w:rPr>
          <w:b/>
        </w:rPr>
        <w:t xml:space="preserve"> data that can be generalized to the universe studied.</w:t>
      </w:r>
      <w:bookmarkEnd w:id="99"/>
    </w:p>
    <w:p w:rsidR="008A6A7C" w:rsidP="001B265D" w:rsidRDefault="008A6A7C" w14:paraId="161A3FB4" w14:textId="77777777">
      <w:pPr>
        <w:pStyle w:val="L1-FlLSp12"/>
      </w:pPr>
    </w:p>
    <w:p w:rsidR="00190A09" w:rsidP="001B265D" w:rsidRDefault="003F0A21" w14:paraId="53D3ADF9" w14:textId="4D751E22">
      <w:pPr>
        <w:pStyle w:val="L1-FlLSp12"/>
        <w:rPr>
          <w:lang w:val="en"/>
        </w:rPr>
      </w:pPr>
      <w:r>
        <w:t>Planned</w:t>
      </w:r>
      <w:r w:rsidR="00190A09">
        <w:t xml:space="preserve"> methods to maximize response rates </w:t>
      </w:r>
      <w:r>
        <w:t xml:space="preserve">in the Field Test </w:t>
      </w:r>
      <w:r w:rsidR="00190A09">
        <w:t xml:space="preserve">and deal with issues of nonresponse </w:t>
      </w:r>
      <w:r w:rsidR="00AE197E">
        <w:t xml:space="preserve">are </w:t>
      </w:r>
      <w:r>
        <w:t>described below</w:t>
      </w:r>
      <w:r w:rsidR="00190A09">
        <w:t xml:space="preserve">. </w:t>
      </w:r>
      <w:r>
        <w:t xml:space="preserve">As mentioned in Section B.1, </w:t>
      </w:r>
      <w:proofErr w:type="spellStart"/>
      <w:r>
        <w:t>t</w:t>
      </w:r>
      <w:r>
        <w:rPr>
          <w:lang w:val="en"/>
        </w:rPr>
        <w:t>he</w:t>
      </w:r>
      <w:proofErr w:type="spellEnd"/>
      <w:r>
        <w:rPr>
          <w:lang w:val="en"/>
        </w:rPr>
        <w:t xml:space="preserve"> approaches planned for the Field Test are designed to achieve a </w:t>
      </w:r>
      <w:r w:rsidR="003E4FAC">
        <w:rPr>
          <w:lang w:val="en"/>
        </w:rPr>
        <w:t xml:space="preserve">slightly </w:t>
      </w:r>
      <w:r>
        <w:rPr>
          <w:lang w:val="en"/>
        </w:rPr>
        <w:t xml:space="preserve">higher rate than in the </w:t>
      </w:r>
      <w:r w:rsidR="003E4FAC">
        <w:rPr>
          <w:lang w:val="en"/>
        </w:rPr>
        <w:t>NF</w:t>
      </w:r>
      <w:r w:rsidR="00770C00">
        <w:rPr>
          <w:lang w:val="en"/>
        </w:rPr>
        <w:t>S Pilot</w:t>
      </w:r>
      <w:r>
        <w:rPr>
          <w:lang w:val="en"/>
        </w:rPr>
        <w:t>. However, they are balanced with continued evidence of response rates declines since 2017.</w:t>
      </w:r>
    </w:p>
    <w:p w:rsidR="003E4FAC" w:rsidP="001B265D" w:rsidRDefault="003E4FAC" w14:paraId="03BBB70B" w14:textId="77777777">
      <w:pPr>
        <w:pStyle w:val="L1-FlLSp12"/>
        <w:rPr>
          <w:lang w:val="en"/>
        </w:rPr>
      </w:pPr>
    </w:p>
    <w:p w:rsidR="003E4FAC" w:rsidP="003E4FAC" w:rsidRDefault="003E4FAC" w14:paraId="5369D06D" w14:textId="26478FB9">
      <w:pPr>
        <w:pStyle w:val="Heading3"/>
      </w:pPr>
      <w:bookmarkStart w:name="_Toc74205158" w:id="100"/>
      <w:r>
        <w:rPr>
          <w:lang w:val="en"/>
        </w:rPr>
        <w:t>Maximizing Response Rates</w:t>
      </w:r>
      <w:bookmarkEnd w:id="100"/>
    </w:p>
    <w:p w:rsidR="008A6A7C" w:rsidP="001B265D" w:rsidRDefault="00D2792E" w14:paraId="080AABBE" w14:textId="5DC3218F">
      <w:pPr>
        <w:pStyle w:val="L1-FlLSp12"/>
      </w:pPr>
      <w:r>
        <w:t>Overall, we plan to maximize response rates in the Field Test b</w:t>
      </w:r>
      <w:r w:rsidRPr="0069672B" w:rsidR="008A6A7C">
        <w:t>y explaining the importance and potential usefulness of the study findings in the</w:t>
      </w:r>
      <w:r w:rsidR="00557023">
        <w:t xml:space="preserve"> </w:t>
      </w:r>
      <w:r w:rsidR="00E57FE0">
        <w:t>FoodAPS-2</w:t>
      </w:r>
      <w:r w:rsidR="006617ED">
        <w:t xml:space="preserve"> Field Test</w:t>
      </w:r>
      <w:r w:rsidRPr="0069672B" w:rsidR="008A6A7C">
        <w:t xml:space="preserve"> introductory letter, </w:t>
      </w:r>
      <w:r>
        <w:t xml:space="preserve">by </w:t>
      </w:r>
      <w:r w:rsidR="00FE59B2">
        <w:t>providing interviewers wi</w:t>
      </w:r>
      <w:r w:rsidR="00B76A0A">
        <w:t>th</w:t>
      </w:r>
      <w:r w:rsidR="00FE59B2">
        <w:t xml:space="preserve"> the tools to gain the households</w:t>
      </w:r>
      <w:r w:rsidR="00E57FE0">
        <w:t>’</w:t>
      </w:r>
      <w:r w:rsidR="00FE59B2">
        <w:t xml:space="preserve"> cooperation, </w:t>
      </w:r>
      <w:r>
        <w:t xml:space="preserve">by </w:t>
      </w:r>
      <w:r w:rsidR="00FE59B2">
        <w:t xml:space="preserve">explaining the incentive structure, </w:t>
      </w:r>
      <w:r w:rsidRPr="0069672B" w:rsidR="008A6A7C">
        <w:t xml:space="preserve">and </w:t>
      </w:r>
      <w:r>
        <w:t xml:space="preserve">by </w:t>
      </w:r>
      <w:r w:rsidRPr="0069672B" w:rsidR="008A6A7C">
        <w:t>implementing a series of follow-up reminders</w:t>
      </w:r>
      <w:r w:rsidR="00E57FE0">
        <w:t xml:space="preserve"> and targeted call-backs to under-reporters</w:t>
      </w:r>
      <w:r w:rsidR="00F83457">
        <w:t>. We expect</w:t>
      </w:r>
      <w:r w:rsidRPr="0069672B" w:rsidR="008A6A7C">
        <w:t xml:space="preserve"> </w:t>
      </w:r>
      <w:r w:rsidR="00CC25F7">
        <w:t xml:space="preserve">an in-person screener response rate of </w:t>
      </w:r>
      <w:r w:rsidR="003C0D21">
        <w:t>36</w:t>
      </w:r>
      <w:r w:rsidR="00CC25F7">
        <w:t>%</w:t>
      </w:r>
      <w:r w:rsidR="00190A09">
        <w:t xml:space="preserve"> (</w:t>
      </w:r>
      <w:r w:rsidR="00C14CC9">
        <w:t xml:space="preserve">the </w:t>
      </w:r>
      <w:r w:rsidR="003C0D21">
        <w:t xml:space="preserve">same as </w:t>
      </w:r>
      <w:r w:rsidR="000A5023">
        <w:t>the 36</w:t>
      </w:r>
      <w:r w:rsidR="00190A09">
        <w:t xml:space="preserve">% for the </w:t>
      </w:r>
      <w:r w:rsidR="00E33515">
        <w:t xml:space="preserve">NFS </w:t>
      </w:r>
      <w:r w:rsidR="003C0D21">
        <w:t>Pilot</w:t>
      </w:r>
      <w:r w:rsidR="00190A09">
        <w:t>)</w:t>
      </w:r>
      <w:r w:rsidR="00CC25F7">
        <w:t xml:space="preserve">; </w:t>
      </w:r>
      <w:r w:rsidRPr="00CC25F7" w:rsidR="00CC25F7">
        <w:t>a</w:t>
      </w:r>
      <w:r w:rsidRPr="00CC25F7" w:rsidR="009F511C">
        <w:t xml:space="preserve">n overall completion rate of </w:t>
      </w:r>
      <w:r w:rsidR="00190A09">
        <w:t>7</w:t>
      </w:r>
      <w:r w:rsidR="008017C1">
        <w:t>1</w:t>
      </w:r>
      <w:r w:rsidR="00190A09">
        <w:t xml:space="preserve">% </w:t>
      </w:r>
      <w:r w:rsidRPr="00CC25F7" w:rsidR="009F511C">
        <w:t>for the Initial Interview</w:t>
      </w:r>
      <w:r w:rsidRPr="00CC25F7" w:rsidR="006452FD">
        <w:t xml:space="preserve"> </w:t>
      </w:r>
      <w:r w:rsidRPr="00CC25F7" w:rsidR="009F511C">
        <w:t>conditioning on being screened in as eligible</w:t>
      </w:r>
      <w:r w:rsidR="00190A09">
        <w:t>;</w:t>
      </w:r>
      <w:r w:rsidRPr="00CC25F7" w:rsidR="009F511C">
        <w:t xml:space="preserve"> </w:t>
      </w:r>
      <w:r>
        <w:t xml:space="preserve">and </w:t>
      </w:r>
      <w:r w:rsidR="00B76A0A">
        <w:t xml:space="preserve">a </w:t>
      </w:r>
      <w:r w:rsidRPr="00CC25F7" w:rsidR="00CC25F7">
        <w:t xml:space="preserve">completion rate of </w:t>
      </w:r>
      <w:r w:rsidR="003C0D21">
        <w:t>92</w:t>
      </w:r>
      <w:r w:rsidR="00D150CB">
        <w:t xml:space="preserve">% for </w:t>
      </w:r>
      <w:r w:rsidR="003C0D21">
        <w:t>the debriefing interview</w:t>
      </w:r>
      <w:r w:rsidRPr="00144DFF" w:rsidR="000A5023">
        <w:t>. The product of the response rates arrives at an overall response rate</w:t>
      </w:r>
      <w:r w:rsidRPr="00144DFF" w:rsidR="00422C40">
        <w:t xml:space="preserve"> of 24%</w:t>
      </w:r>
      <w:r w:rsidRPr="00144DFF" w:rsidR="000A5023">
        <w:t>.</w:t>
      </w:r>
      <w:r w:rsidRPr="00144DFF" w:rsidR="008440D3">
        <w:t xml:space="preserve"> </w:t>
      </w:r>
      <w:r w:rsidRPr="00144DFF" w:rsidR="008A6A7C">
        <w:t>Th</w:t>
      </w:r>
      <w:r w:rsidRPr="00144DFF" w:rsidR="00E57FE0">
        <w:t xml:space="preserve">e following </w:t>
      </w:r>
      <w:r w:rsidRPr="00144DFF" w:rsidR="008A6A7C">
        <w:t>procedures will be used to maximize response rates:</w:t>
      </w:r>
    </w:p>
    <w:p w:rsidR="00E329A7" w:rsidP="001B265D" w:rsidRDefault="00E329A7" w14:paraId="1C6B5937" w14:textId="77777777">
      <w:pPr>
        <w:pStyle w:val="L1-FlLSp12"/>
      </w:pPr>
    </w:p>
    <w:p w:rsidRPr="00144DFF" w:rsidR="009D5EAB" w:rsidP="009D5EAB" w:rsidRDefault="009D5EAB" w14:paraId="7E5B8C4D" w14:textId="77777777">
      <w:pPr>
        <w:pStyle w:val="N1-1stBullet"/>
      </w:pPr>
      <w:r w:rsidRPr="00144DFF">
        <w:t>Implement standardized training for field data collectors.</w:t>
      </w:r>
    </w:p>
    <w:p w:rsidR="008A6A7C" w:rsidP="00E329A7" w:rsidRDefault="008A6A7C" w14:paraId="5D4A4781" w14:textId="196C3604">
      <w:pPr>
        <w:pStyle w:val="N1-1stBullet"/>
      </w:pPr>
      <w:r>
        <w:t>Mail an introductory letter stating the importance of the study and their participation</w:t>
      </w:r>
      <w:r w:rsidR="004B4930">
        <w:t xml:space="preserve"> and the incentives they will receive upon full participation</w:t>
      </w:r>
      <w:r w:rsidR="00206A17">
        <w:t>.</w:t>
      </w:r>
    </w:p>
    <w:p w:rsidR="008405CB" w:rsidP="008405CB" w:rsidRDefault="00995B0A" w14:paraId="79038AD5" w14:textId="5B225AD1">
      <w:pPr>
        <w:pStyle w:val="N1-1stBullet"/>
      </w:pPr>
      <w:r>
        <w:t>Provide an</w:t>
      </w:r>
      <w:r w:rsidR="00D2792E">
        <w:t xml:space="preserve"> </w:t>
      </w:r>
      <w:r w:rsidR="00ED1C42">
        <w:t xml:space="preserve">unconditional incentive </w:t>
      </w:r>
      <w:r w:rsidR="00D2792E">
        <w:t>of $</w:t>
      </w:r>
      <w:r w:rsidR="00E16B9F">
        <w:t>5</w:t>
      </w:r>
      <w:r w:rsidR="00D2792E">
        <w:t xml:space="preserve"> </w:t>
      </w:r>
      <w:r w:rsidR="00ED1C42">
        <w:t xml:space="preserve">for the mail screener and </w:t>
      </w:r>
      <w:r w:rsidR="00D2792E">
        <w:t xml:space="preserve">a </w:t>
      </w:r>
      <w:r w:rsidR="00ED1C42">
        <w:t xml:space="preserve">conditional incentive </w:t>
      </w:r>
      <w:r w:rsidR="00D2792E">
        <w:t xml:space="preserve">of $5 </w:t>
      </w:r>
      <w:r w:rsidR="00ED1C42">
        <w:t>for the in-person screener.</w:t>
      </w:r>
      <w:r w:rsidRPr="008405CB" w:rsidR="008405CB">
        <w:t xml:space="preserve"> </w:t>
      </w:r>
    </w:p>
    <w:p w:rsidR="008405CB" w:rsidRDefault="008405CB" w14:paraId="14841894" w14:textId="7AA50ED8">
      <w:pPr>
        <w:pStyle w:val="N1-1stBullet"/>
      </w:pPr>
      <w:r w:rsidRPr="00876EAA">
        <w:t xml:space="preserve">Make </w:t>
      </w:r>
      <w:r>
        <w:t>multiple</w:t>
      </w:r>
      <w:r w:rsidRPr="00876EAA">
        <w:t xml:space="preserve"> </w:t>
      </w:r>
      <w:r>
        <w:t xml:space="preserve">visits to a sampled address </w:t>
      </w:r>
      <w:r w:rsidRPr="00876EAA">
        <w:t xml:space="preserve">without reaching someone before considering whether to treat the case as </w:t>
      </w:r>
      <w:r>
        <w:t>“</w:t>
      </w:r>
      <w:r w:rsidRPr="00876EAA">
        <w:t>unable to contact.</w:t>
      </w:r>
      <w:r>
        <w:t>”</w:t>
      </w:r>
    </w:p>
    <w:p w:rsidR="008405CB" w:rsidP="008405CB" w:rsidRDefault="008405CB" w14:paraId="0EBFED75" w14:textId="1096D145">
      <w:pPr>
        <w:pStyle w:val="N1-1stBullet"/>
      </w:pPr>
      <w:r>
        <w:t xml:space="preserve">Make a refusal conversion attempt to convert households that refuse to participate after the interviewer’s initial visit to complete the Household </w:t>
      </w:r>
      <w:r w:rsidR="00626BE4">
        <w:t xml:space="preserve">in-person </w:t>
      </w:r>
      <w:r>
        <w:t xml:space="preserve">Screener. </w:t>
      </w:r>
    </w:p>
    <w:p w:rsidRPr="005E1CA5" w:rsidR="00ED1C42" w:rsidRDefault="008405CB" w14:paraId="6760F425" w14:textId="3DB6869A">
      <w:pPr>
        <w:pStyle w:val="N1-1stBullet"/>
      </w:pPr>
      <w:r w:rsidRPr="005B19E9">
        <w:t>Provide a toll-free number for respondents to call to verify the study</w:t>
      </w:r>
      <w:r>
        <w:t>’</w:t>
      </w:r>
      <w:r w:rsidRPr="005B19E9">
        <w:t>s legitimacy or to ask other questions about the study.</w:t>
      </w:r>
    </w:p>
    <w:p w:rsidR="004C28DE" w:rsidP="00E329A7" w:rsidRDefault="004C28DE" w14:paraId="6A0E2091" w14:textId="19BE12BB">
      <w:pPr>
        <w:pStyle w:val="N1-1stBullet"/>
      </w:pPr>
      <w:r w:rsidRPr="004C28DE">
        <w:t xml:space="preserve">In accordance with the </w:t>
      </w:r>
      <w:r w:rsidRPr="004C1FDC">
        <w:rPr>
          <w:bCs/>
          <w:lang w:val="en"/>
        </w:rPr>
        <w:t>Confidential Information Protection and Statistical Efficiency Act</w:t>
      </w:r>
      <w:r w:rsidRPr="004C28DE">
        <w:rPr>
          <w:lang w:val="en"/>
        </w:rPr>
        <w:t xml:space="preserve"> ("</w:t>
      </w:r>
      <w:r w:rsidRPr="004C1FDC">
        <w:rPr>
          <w:bCs/>
          <w:lang w:val="en"/>
        </w:rPr>
        <w:t>CIPSEA</w:t>
      </w:r>
      <w:r w:rsidRPr="004C28DE">
        <w:rPr>
          <w:lang w:val="en"/>
        </w:rPr>
        <w:t xml:space="preserve">") enacted in </w:t>
      </w:r>
      <w:r w:rsidRPr="004C28DE" w:rsidR="005E2D82">
        <w:rPr>
          <w:lang w:val="en"/>
        </w:rPr>
        <w:t>2002</w:t>
      </w:r>
      <w:r w:rsidR="00B20934">
        <w:rPr>
          <w:lang w:val="en"/>
        </w:rPr>
        <w:t>,</w:t>
      </w:r>
      <w:r w:rsidRPr="004C28DE">
        <w:rPr>
          <w:lang w:val="en"/>
        </w:rPr>
        <w:t xml:space="preserve"> </w:t>
      </w:r>
      <w:r w:rsidR="003E4FAC">
        <w:rPr>
          <w:lang w:val="en"/>
        </w:rPr>
        <w:t xml:space="preserve">assure </w:t>
      </w:r>
      <w:r w:rsidRPr="004C28DE">
        <w:rPr>
          <w:lang w:val="en"/>
        </w:rPr>
        <w:t>respondents that the information they provide will be kept confidential.</w:t>
      </w:r>
    </w:p>
    <w:p w:rsidR="008A6A7C" w:rsidP="00E329A7" w:rsidRDefault="009F511C" w14:paraId="05A6065E" w14:textId="7A40DC73">
      <w:pPr>
        <w:pStyle w:val="N1-1stBullet"/>
      </w:pPr>
      <w:r>
        <w:t xml:space="preserve">Provide in-person interviewing for the Screener, Initial Interview, training, </w:t>
      </w:r>
      <w:r w:rsidR="00AE197E">
        <w:t>and debriefing interview</w:t>
      </w:r>
      <w:r w:rsidR="00AC236E">
        <w:t>.</w:t>
      </w:r>
    </w:p>
    <w:p w:rsidR="009D5EAB" w:rsidP="00E329A7" w:rsidRDefault="009D5EAB" w14:paraId="5704661D" w14:textId="2BE149DB">
      <w:pPr>
        <w:pStyle w:val="N1-1stBullet"/>
      </w:pPr>
      <w:r>
        <w:t xml:space="preserve">Provide </w:t>
      </w:r>
      <w:r w:rsidR="00B21140">
        <w:t xml:space="preserve">optional </w:t>
      </w:r>
      <w:r>
        <w:t xml:space="preserve">YouTube videos </w:t>
      </w:r>
      <w:r w:rsidR="00B21140">
        <w:t xml:space="preserve">and other resources </w:t>
      </w:r>
      <w:r>
        <w:t>to respondents that reinforce material presented during training on how to use the FoodLogger app.</w:t>
      </w:r>
    </w:p>
    <w:p w:rsidR="00D337F9" w:rsidP="00E329A7" w:rsidRDefault="00D337F9" w14:paraId="5616BF76" w14:textId="23258CA4">
      <w:pPr>
        <w:pStyle w:val="N1-1stBullet"/>
      </w:pPr>
      <w:r>
        <w:t xml:space="preserve">Offer </w:t>
      </w:r>
      <w:r w:rsidRPr="00BF3287">
        <w:t xml:space="preserve">telephone </w:t>
      </w:r>
      <w:r w:rsidR="00D2792E">
        <w:t xml:space="preserve">interviews </w:t>
      </w:r>
      <w:r w:rsidRPr="00BF3287">
        <w:t xml:space="preserve">as </w:t>
      </w:r>
      <w:r>
        <w:t>an</w:t>
      </w:r>
      <w:r w:rsidRPr="00BF3287">
        <w:t xml:space="preserve"> alternative mode</w:t>
      </w:r>
      <w:r w:rsidR="00D2792E">
        <w:t xml:space="preserve"> for recording FoodLogger information</w:t>
      </w:r>
      <w:r>
        <w:t>, for households identified as having limitations/barriers with respect to the technology needed to participate otherwise</w:t>
      </w:r>
      <w:r w:rsidRPr="00BF3287">
        <w:t xml:space="preserve">. </w:t>
      </w:r>
    </w:p>
    <w:p w:rsidR="002C4ADF" w:rsidP="002C4ADF" w:rsidRDefault="002C4ADF" w14:paraId="7389405A" w14:textId="5E5691D4">
      <w:pPr>
        <w:pStyle w:val="N1-1stBullet"/>
      </w:pPr>
      <w:r>
        <w:t xml:space="preserve">Loan study equipment (barcode UPC scanner, laptop, iPhone, and/or MiFi device) to households determined by the field interviewer to need the equipment in order </w:t>
      </w:r>
      <w:r w:rsidR="000D4E3B">
        <w:t>to</w:t>
      </w:r>
      <w:r>
        <w:t xml:space="preserve"> complete the FoodLog</w:t>
      </w:r>
      <w:r w:rsidR="00F83457">
        <w:t>ger</w:t>
      </w:r>
      <w:r>
        <w:t>.</w:t>
      </w:r>
    </w:p>
    <w:p w:rsidR="009F511C" w:rsidP="00E329A7" w:rsidRDefault="009F511C" w14:paraId="4D4F0A35" w14:textId="253F1F7F">
      <w:pPr>
        <w:pStyle w:val="N1-1stBullet"/>
      </w:pPr>
      <w:r>
        <w:t>Provide multiple reminder email messages</w:t>
      </w:r>
      <w:r w:rsidR="00D337F9">
        <w:t>,</w:t>
      </w:r>
      <w:r>
        <w:t xml:space="preserve"> text </w:t>
      </w:r>
      <w:r w:rsidR="00B35B12">
        <w:t>updates</w:t>
      </w:r>
      <w:r w:rsidR="00D337F9">
        <w:t>, and/or interactive voice response (</w:t>
      </w:r>
      <w:r w:rsidRPr="00BF3287" w:rsidR="00D337F9">
        <w:rPr>
          <w:szCs w:val="24"/>
        </w:rPr>
        <w:t>IVR</w:t>
      </w:r>
      <w:r w:rsidR="00D337F9">
        <w:rPr>
          <w:szCs w:val="24"/>
        </w:rPr>
        <w:t>)</w:t>
      </w:r>
      <w:r w:rsidRPr="00BF3287" w:rsidR="00D337F9">
        <w:rPr>
          <w:szCs w:val="24"/>
        </w:rPr>
        <w:t xml:space="preserve"> calls</w:t>
      </w:r>
      <w:r w:rsidR="00AC236E">
        <w:t xml:space="preserve"> </w:t>
      </w:r>
      <w:r>
        <w:t xml:space="preserve">throughout the data collection week </w:t>
      </w:r>
      <w:r w:rsidR="00206A17">
        <w:t>informing respondents of the incentives they have earned and motivating them to complete their</w:t>
      </w:r>
      <w:r>
        <w:t xml:space="preserve"> FoodLog</w:t>
      </w:r>
      <w:r w:rsidR="003E4FAC">
        <w:t>ger</w:t>
      </w:r>
      <w:r>
        <w:t xml:space="preserve">. </w:t>
      </w:r>
    </w:p>
    <w:p w:rsidR="009F511C" w:rsidP="00E329A7" w:rsidRDefault="008A6A7C" w14:paraId="6C4766B9" w14:textId="176CF3D5">
      <w:pPr>
        <w:pStyle w:val="N1-1stBullet"/>
      </w:pPr>
      <w:r>
        <w:t xml:space="preserve">Provide </w:t>
      </w:r>
      <w:r w:rsidR="009F511C">
        <w:t>incremental incentives based on respondents’ reporting behavior to encourage</w:t>
      </w:r>
      <w:r w:rsidR="00D337F9">
        <w:t xml:space="preserve"> complete</w:t>
      </w:r>
      <w:r w:rsidR="009F511C">
        <w:t xml:space="preserve"> reporting of food acquisition</w:t>
      </w:r>
      <w:r w:rsidR="00206A17">
        <w:t>.</w:t>
      </w:r>
      <w:r w:rsidR="009F511C">
        <w:t xml:space="preserve"> </w:t>
      </w:r>
    </w:p>
    <w:p w:rsidRPr="005B19E9" w:rsidR="00ED1C42" w:rsidP="007B1B93" w:rsidRDefault="00ED1C42" w14:paraId="73F036BF" w14:textId="503B0CB4">
      <w:pPr>
        <w:pStyle w:val="N1-1stBullet"/>
      </w:pPr>
      <w:r>
        <w:t>Streamline the FoodLog</w:t>
      </w:r>
      <w:r w:rsidR="00F83457">
        <w:t>ger</w:t>
      </w:r>
      <w:r>
        <w:t xml:space="preserve"> to take full advantage of </w:t>
      </w:r>
      <w:r w:rsidR="00AE197E">
        <w:t xml:space="preserve">GPS and </w:t>
      </w:r>
      <w:r>
        <w:t xml:space="preserve">Google </w:t>
      </w:r>
      <w:r w:rsidR="000D4E3B">
        <w:t>functionalities</w:t>
      </w:r>
      <w:r>
        <w:t xml:space="preserve"> and to integrate various lookup databases.</w:t>
      </w:r>
    </w:p>
    <w:p w:rsidR="004B4930" w:rsidP="00E329A7" w:rsidRDefault="004B4930" w14:paraId="6589AFB6" w14:textId="36D106A6">
      <w:pPr>
        <w:pStyle w:val="N1-1stBullet"/>
      </w:pPr>
      <w:r>
        <w:t>Allow access to the FoodLog</w:t>
      </w:r>
      <w:r w:rsidR="00F83457">
        <w:t>ger</w:t>
      </w:r>
      <w:r>
        <w:t xml:space="preserve"> through computers or smartphones</w:t>
      </w:r>
      <w:r w:rsidR="00200D10">
        <w:t>.</w:t>
      </w:r>
    </w:p>
    <w:p w:rsidR="004B4930" w:rsidP="00E329A7" w:rsidRDefault="00035410" w14:paraId="25A7649D" w14:textId="4906D019">
      <w:pPr>
        <w:pStyle w:val="N1-1stBullet"/>
      </w:pPr>
      <w:r>
        <w:t>Provide s</w:t>
      </w:r>
      <w:r w:rsidR="004B4930">
        <w:t>martphone application of the FoodLog</w:t>
      </w:r>
      <w:r w:rsidR="00F83457">
        <w:t>ger</w:t>
      </w:r>
      <w:r w:rsidR="004B4930">
        <w:t xml:space="preserve"> </w:t>
      </w:r>
      <w:r>
        <w:t xml:space="preserve">that </w:t>
      </w:r>
      <w:r w:rsidR="004B4930">
        <w:t xml:space="preserve">has the full functionality of </w:t>
      </w:r>
      <w:r w:rsidR="00B21140">
        <w:t xml:space="preserve">passively tracking GPS locations, </w:t>
      </w:r>
      <w:r w:rsidR="004B4930">
        <w:t>scanning</w:t>
      </w:r>
      <w:r w:rsidR="00B21140">
        <w:t xml:space="preserve"> barcodes of food items</w:t>
      </w:r>
      <w:r w:rsidR="004B4930">
        <w:t xml:space="preserve">, </w:t>
      </w:r>
      <w:r w:rsidR="00B21140">
        <w:t xml:space="preserve">and </w:t>
      </w:r>
      <w:r w:rsidR="004B4930">
        <w:t>taking pictures</w:t>
      </w:r>
      <w:r w:rsidR="00B21140">
        <w:t xml:space="preserve"> of food items and receipts</w:t>
      </w:r>
      <w:r w:rsidR="004B4930">
        <w:t>, increasing convenience for respondents.</w:t>
      </w:r>
    </w:p>
    <w:p w:rsidRPr="00876EAA" w:rsidR="009A73F3" w:rsidP="004A7048" w:rsidRDefault="009A73F3" w14:paraId="5E7CD2AA" w14:textId="77777777">
      <w:pPr>
        <w:pStyle w:val="L1-FlLSp12"/>
      </w:pPr>
    </w:p>
    <w:p w:rsidR="003E4FAC" w:rsidP="000B2E4C" w:rsidRDefault="008A6A7C" w14:paraId="7321E8EF" w14:textId="77777777">
      <w:pPr>
        <w:pStyle w:val="L1-FlLSp12"/>
      </w:pPr>
      <w:bookmarkStart w:name="_Toc74205159" w:id="101"/>
      <w:r w:rsidRPr="003E4FAC">
        <w:rPr>
          <w:rStyle w:val="Heading3Char"/>
        </w:rPr>
        <w:t>Nonresponse Bias Analysis</w:t>
      </w:r>
      <w:bookmarkEnd w:id="101"/>
    </w:p>
    <w:p w:rsidR="003E4FAC" w:rsidP="000B2E4C" w:rsidRDefault="003E4FAC" w14:paraId="24389D4F" w14:textId="24FE51FC">
      <w:pPr>
        <w:pStyle w:val="L1-FlLSp12"/>
      </w:pPr>
    </w:p>
    <w:p w:rsidR="0065007E" w:rsidP="000B2E4C" w:rsidRDefault="00F85847" w14:paraId="69F6A005" w14:textId="1707B12F">
      <w:pPr>
        <w:pStyle w:val="L1-FlLSp12"/>
      </w:pPr>
      <w:r>
        <w:t>T</w:t>
      </w:r>
      <w:r w:rsidRPr="00F85847">
        <w:t xml:space="preserve">he magnitude of nonresponse bias in a survey estimate depends on the response rate and the extent to which the respondents and nonrespondents differ on the outcome of interest. </w:t>
      </w:r>
      <w:r>
        <w:t>In a nonresponse bias analysis conducted on</w:t>
      </w:r>
      <w:r w:rsidR="00C14CC9">
        <w:t xml:space="preserve"> the</w:t>
      </w:r>
      <w:r>
        <w:t xml:space="preserve"> </w:t>
      </w:r>
      <w:r w:rsidRPr="00144DFF">
        <w:t xml:space="preserve">FoodAPS-1 sample by Petraglia, et al. (2016), </w:t>
      </w:r>
      <w:r w:rsidRPr="00144DFF" w:rsidR="00F24471">
        <w:t>a 42 percent response rate was reported, and t</w:t>
      </w:r>
      <w:r w:rsidRPr="00144DFF">
        <w:t>he respondents differed significantly from nonrespondents on several socio-economic characteristics. A main</w:t>
      </w:r>
      <w:r w:rsidRPr="00F85847">
        <w:t xml:space="preserve"> difference was that higher response rates were found to be associated with SNAP participation and lower income. However, these differences were largely reduced through the weighting process. In addition, the weighting variables were correlated with food insecurity, total amount spent on </w:t>
      </w:r>
      <w:r w:rsidR="002D198B">
        <w:t>food-at home (</w:t>
      </w:r>
      <w:r w:rsidRPr="00F85847">
        <w:t>FAH</w:t>
      </w:r>
      <w:r w:rsidR="002D198B">
        <w:t>)</w:t>
      </w:r>
      <w:r w:rsidRPr="00F85847">
        <w:t xml:space="preserve"> events, total amount spent on </w:t>
      </w:r>
      <w:r w:rsidR="002D198B">
        <w:t>food-away-from-home (</w:t>
      </w:r>
      <w:r w:rsidRPr="00F85847">
        <w:t>FAFH</w:t>
      </w:r>
      <w:r w:rsidR="002D198B">
        <w:t>)</w:t>
      </w:r>
      <w:r w:rsidRPr="00F85847">
        <w:t xml:space="preserve"> events, and number of free events, suggesting that the weighting adjustments should also have reduced bias in these outcome estimates. Overall, the analysis did not indicate that nonresponse bias is a concern, although the extent of bias remaining after weighting adjustments is unknown. </w:t>
      </w:r>
    </w:p>
    <w:p w:rsidR="00F24471" w:rsidP="000B2E4C" w:rsidRDefault="00F24471" w14:paraId="23783DD6" w14:textId="77777777">
      <w:pPr>
        <w:pStyle w:val="L1-FlLSp12"/>
      </w:pPr>
    </w:p>
    <w:p w:rsidR="0065007E" w:rsidP="00C742C6" w:rsidRDefault="0065007E" w14:paraId="1CA14E98" w14:textId="70C782CE">
      <w:pPr>
        <w:pStyle w:val="L1-FlLSp12"/>
      </w:pPr>
      <w:r w:rsidRPr="0065007E">
        <w:t>There has been a significant downward trend in response rates which</w:t>
      </w:r>
      <w:r>
        <w:t xml:space="preserve"> confounds </w:t>
      </w:r>
      <w:r w:rsidR="00C14CC9">
        <w:t xml:space="preserve">direct comparison of </w:t>
      </w:r>
      <w:r>
        <w:t>the Field T</w:t>
      </w:r>
      <w:r w:rsidRPr="0065007E">
        <w:t xml:space="preserve">est rate to the FoodAPS-1 rates. </w:t>
      </w:r>
      <w:r w:rsidR="00DA763A">
        <w:t>Thus, we will use both FoodAPS-1 and NFS Pilot response rates as reference points to compare Field Test response rates a</w:t>
      </w:r>
      <w:r w:rsidR="00593E4E">
        <w:t xml:space="preserve">nd caveat the findings </w:t>
      </w:r>
      <w:r w:rsidR="005441E3">
        <w:t>accordingly.</w:t>
      </w:r>
      <w:r w:rsidRPr="0065007E">
        <w:t xml:space="preserve"> We will compare response rates from the point of screening to the completion of the </w:t>
      </w:r>
      <w:r w:rsidR="009D5EAB">
        <w:t>debriefing</w:t>
      </w:r>
      <w:r w:rsidRPr="0065007E">
        <w:t xml:space="preserve"> interview. We will estimate and compare response rates for the </w:t>
      </w:r>
      <w:r w:rsidR="00D77BF7">
        <w:t xml:space="preserve">in-person </w:t>
      </w:r>
      <w:r w:rsidRPr="0065007E">
        <w:t xml:space="preserve">Screener, Initial Interview, </w:t>
      </w:r>
      <w:r w:rsidR="004E7C9C">
        <w:t>Food Log</w:t>
      </w:r>
      <w:r w:rsidRPr="0065007E" w:rsidR="004E7C9C">
        <w:t xml:space="preserve"> </w:t>
      </w:r>
      <w:r w:rsidRPr="0065007E">
        <w:t xml:space="preserve">(overall and by day), and </w:t>
      </w:r>
      <w:r w:rsidR="00AE197E">
        <w:t>debriefing interview</w:t>
      </w:r>
      <w:r w:rsidRPr="0065007E">
        <w:t xml:space="preserve"> to the response rates from FoodAPS-1. </w:t>
      </w:r>
      <w:r w:rsidR="00DD7BA6">
        <w:t xml:space="preserve">For the Field Test, we will </w:t>
      </w:r>
      <w:r w:rsidR="00C773C9">
        <w:t>conduct a nonresponse bias analysis, such as computing</w:t>
      </w:r>
      <w:r w:rsidR="00DD7BA6">
        <w:t xml:space="preserve"> response rates by subgroups to determine if there are any indications of nonresponse bias. We will use area characteristics for screener response rates, and in addition </w:t>
      </w:r>
      <w:r w:rsidR="00C773C9">
        <w:t>household characteristics collected in th</w:t>
      </w:r>
      <w:r w:rsidR="00700BC4">
        <w:t>e</w:t>
      </w:r>
      <w:r w:rsidR="00C773C9">
        <w:t xml:space="preserve"> screener</w:t>
      </w:r>
      <w:r w:rsidR="00DD7BA6">
        <w:t xml:space="preserve"> for interview response rates conditional on completed screeners.</w:t>
      </w:r>
      <w:r w:rsidRPr="0065007E" w:rsidR="00DD7BA6">
        <w:t xml:space="preserve"> </w:t>
      </w:r>
      <w:r w:rsidRPr="0065007E">
        <w:t>An objective of the Field Test is to be able to use that experience to estimate a likely response rate for a full rollout of the data collection. The regression model will provide insights into the household characteristics that are associated with response.</w:t>
      </w:r>
      <w:r w:rsidR="00EA7336">
        <w:t xml:space="preserve"> </w:t>
      </w:r>
      <w:r w:rsidRPr="00144DFF" w:rsidR="00EA7336">
        <w:t>The nonresponse patterns revealed from the Field Test can</w:t>
      </w:r>
      <w:r w:rsidRPr="00144DFF" w:rsidR="003076D1">
        <w:t xml:space="preserve"> help to anticipate nonresponse patterns in the Full Survey when assigning sampling rates to achieve sample size goals by domain.</w:t>
      </w:r>
      <w:r w:rsidR="003076D1">
        <w:t xml:space="preserve"> </w:t>
      </w:r>
      <w:r w:rsidRPr="00520989" w:rsidR="003076D1">
        <w:t>N</w:t>
      </w:r>
      <w:r w:rsidRPr="00520989" w:rsidR="00EA7336">
        <w:t>onresponse follow-up strategies</w:t>
      </w:r>
      <w:r w:rsidRPr="00841018" w:rsidR="00F45E12">
        <w:t xml:space="preserve"> could also </w:t>
      </w:r>
      <w:r w:rsidRPr="00520989" w:rsidR="00F45E12">
        <w:t>be improved. Paradata collected during the Field Test on number of contacts needed until completion and the association with survey outcomes can be used to adjust contact protocols. For example, would reducing the standard number of contacts change survey estimates, or would increasing the number of contacts reduce bias due to nonresponse?</w:t>
      </w:r>
      <w:r w:rsidR="00F45E12">
        <w:t xml:space="preserve"> </w:t>
      </w:r>
      <w:r w:rsidR="00F8570D">
        <w:t>The response propensity model that informs responsive design could include new covariates that are identified from the Field Test. In addition, the nonresponse adjustments in the weighting process can be informed by observing associations between auxiliary data (e.g., screener and tract-level data from the ACS) and survey outcomes, as well as response indicators.</w:t>
      </w:r>
    </w:p>
    <w:p w:rsidR="008A6A7C" w:rsidP="006E52E1" w:rsidRDefault="008A6A7C" w14:paraId="0F4A2D35" w14:textId="2ED04A61">
      <w:pPr>
        <w:pStyle w:val="N1-1stBullet"/>
        <w:numPr>
          <w:ilvl w:val="0"/>
          <w:numId w:val="0"/>
        </w:numPr>
        <w:ind w:left="1152"/>
      </w:pPr>
    </w:p>
    <w:p w:rsidRPr="00AD629E" w:rsidR="009A73F3" w:rsidP="001B265D" w:rsidRDefault="009A73F3" w14:paraId="75AAA35D" w14:textId="77777777">
      <w:pPr>
        <w:pStyle w:val="L1-FlLSp12"/>
      </w:pPr>
    </w:p>
    <w:p w:rsidRPr="008126AB" w:rsidR="008A6A7C" w:rsidP="00E329A7" w:rsidRDefault="008A6A7C" w14:paraId="2BB50EBD" w14:textId="77777777">
      <w:pPr>
        <w:pStyle w:val="Heading2"/>
      </w:pPr>
      <w:bookmarkStart w:name="_Toc329341130" w:id="102"/>
      <w:bookmarkStart w:name="_Toc400377755" w:id="103"/>
      <w:bookmarkStart w:name="_Toc409090906" w:id="104"/>
      <w:bookmarkStart w:name="_Toc513794219" w:id="105"/>
      <w:bookmarkStart w:name="_Toc74205160" w:id="106"/>
      <w:r w:rsidRPr="008126AB">
        <w:t>B.4</w:t>
      </w:r>
      <w:r w:rsidRPr="008126AB">
        <w:tab/>
        <w:t>Test of Procedures or Methods to be Undertaken</w:t>
      </w:r>
      <w:bookmarkEnd w:id="102"/>
      <w:bookmarkEnd w:id="103"/>
      <w:bookmarkEnd w:id="104"/>
      <w:bookmarkEnd w:id="105"/>
      <w:bookmarkEnd w:id="106"/>
    </w:p>
    <w:p w:rsidRPr="002232F7" w:rsidR="008A6A7C" w:rsidP="001B265D" w:rsidRDefault="008A6A7C" w14:paraId="5C03433F" w14:textId="77777777">
      <w:pPr>
        <w:pStyle w:val="L1-FlLSp12"/>
        <w:rPr>
          <w:b/>
        </w:rPr>
      </w:pPr>
      <w:r w:rsidRPr="002232F7">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8126AB" w:rsidR="008A6A7C" w:rsidP="001B265D" w:rsidRDefault="008A6A7C" w14:paraId="0437B8E2" w14:textId="77777777">
      <w:pPr>
        <w:pStyle w:val="L1-FlLSp12"/>
      </w:pPr>
    </w:p>
    <w:p w:rsidR="004E7C9C" w:rsidP="002B2C88" w:rsidRDefault="00AE197E" w14:paraId="39D2BA7A" w14:textId="77777777">
      <w:pPr>
        <w:pStyle w:val="L1-FlLSp12"/>
      </w:pPr>
      <w:r>
        <w:t>The development of</w:t>
      </w:r>
      <w:r w:rsidR="00D150CB">
        <w:t xml:space="preserve"> </w:t>
      </w:r>
      <w:r w:rsidR="00FA5AC1">
        <w:t>FoodLogger</w:t>
      </w:r>
      <w:r>
        <w:t xml:space="preserve"> is a result of collaborative effort between Westat, ERS, </w:t>
      </w:r>
      <w:r w:rsidR="00254866">
        <w:t xml:space="preserve">Census </w:t>
      </w:r>
      <w:r>
        <w:t xml:space="preserve">and NASS. Weekly meetings have been held to </w:t>
      </w:r>
      <w:r w:rsidR="00A1651C">
        <w:t>discuss</w:t>
      </w:r>
      <w:r>
        <w:t xml:space="preserve"> developments of the concepts and the functionalities of the </w:t>
      </w:r>
      <w:r w:rsidR="00FA5AC1">
        <w:t>FoodLogger</w:t>
      </w:r>
      <w:r>
        <w:t xml:space="preserve">. </w:t>
      </w:r>
      <w:r w:rsidR="00FA5AC1">
        <w:t>The</w:t>
      </w:r>
      <w:r>
        <w:t xml:space="preserve"> Census Bureau </w:t>
      </w:r>
      <w:r w:rsidR="00343A1A">
        <w:t xml:space="preserve">is </w:t>
      </w:r>
      <w:r w:rsidR="00FA5AC1">
        <w:t>independently evaluat</w:t>
      </w:r>
      <w:r w:rsidR="00343A1A">
        <w:t>ing</w:t>
      </w:r>
      <w:r w:rsidR="00FA5AC1">
        <w:t xml:space="preserve"> the functionality and usability of the smartphone application by conducting two rounds of formative usability testing. </w:t>
      </w:r>
      <w:r>
        <w:t xml:space="preserve">The purposes of the usability testing </w:t>
      </w:r>
      <w:r w:rsidR="009D5EAB">
        <w:t>are</w:t>
      </w:r>
      <w:r>
        <w:t xml:space="preserve"> to test the functions (what can the app do?) and the </w:t>
      </w:r>
      <w:r w:rsidR="00A1651C">
        <w:t>usability</w:t>
      </w:r>
      <w:r>
        <w:t xml:space="preserve"> (how easy is it to use the app?) of the app. </w:t>
      </w:r>
      <w:r w:rsidR="002B2C88">
        <w:t xml:space="preserve">Said differently, the usability testing will assess the user experience and ensure respondents enter food acquisition data effectively, and with satisfaction. </w:t>
      </w:r>
    </w:p>
    <w:p w:rsidR="004E7C9C" w:rsidP="002B2C88" w:rsidRDefault="004E7C9C" w14:paraId="22380E41" w14:textId="4D204E98">
      <w:pPr>
        <w:pStyle w:val="L1-FlLSp12"/>
      </w:pPr>
    </w:p>
    <w:p w:rsidR="0086241F" w:rsidP="0086241F" w:rsidRDefault="00146AD3" w14:paraId="2D0E5167" w14:textId="1D984D34">
      <w:pPr>
        <w:pStyle w:val="L1-FlLSp12"/>
      </w:pPr>
      <w:bookmarkStart w:name="_Hlk80088510" w:id="107"/>
      <w:r w:rsidRPr="000E75C5">
        <w:t xml:space="preserve">The first round of usability </w:t>
      </w:r>
      <w:r w:rsidRPr="000E75C5" w:rsidR="004E7C9C">
        <w:t>testing was completed on May 24, 2021 and</w:t>
      </w:r>
      <w:r w:rsidRPr="000E75C5">
        <w:t xml:space="preserve"> the key findings and recommendations for improvements and modi</w:t>
      </w:r>
      <w:r w:rsidR="005441E3">
        <w:t>fi</w:t>
      </w:r>
      <w:r w:rsidRPr="000E75C5">
        <w:t xml:space="preserve">cations to the FoodLogger were presented by Census to ERS and Westat on June 17, 2021. </w:t>
      </w:r>
      <w:r w:rsidRPr="00125297" w:rsidR="000E75C5">
        <w:t>The</w:t>
      </w:r>
      <w:r w:rsidR="004158E2">
        <w:t xml:space="preserve"> final analysis report from the first round, which includes the</w:t>
      </w:r>
      <w:r w:rsidRPr="00125297" w:rsidR="000E75C5">
        <w:t xml:space="preserve"> full set of recommendations</w:t>
      </w:r>
      <w:r w:rsidR="004158E2">
        <w:t xml:space="preserve">, </w:t>
      </w:r>
      <w:r w:rsidRPr="00125297" w:rsidR="000E75C5">
        <w:t xml:space="preserve">is included as </w:t>
      </w:r>
      <w:r w:rsidRPr="00144DFF" w:rsidR="000E75C5">
        <w:t>Attachment U.</w:t>
      </w:r>
      <w:r w:rsidR="000E75C5">
        <w:t xml:space="preserve"> </w:t>
      </w:r>
      <w:r w:rsidRPr="000E75C5" w:rsidR="0086241F">
        <w:t xml:space="preserve">The </w:t>
      </w:r>
      <w:r w:rsidR="0086241F">
        <w:t>second</w:t>
      </w:r>
      <w:r w:rsidRPr="000E75C5" w:rsidR="0086241F">
        <w:t xml:space="preserve"> round of usability testing was completed on </w:t>
      </w:r>
      <w:r w:rsidR="0086241F">
        <w:t>July 23</w:t>
      </w:r>
      <w:r w:rsidRPr="000E75C5" w:rsidR="0086241F">
        <w:t>, 2021 and the key findings and recommendations for improvements and modi</w:t>
      </w:r>
      <w:r w:rsidR="0086241F">
        <w:t>fi</w:t>
      </w:r>
      <w:r w:rsidRPr="000E75C5" w:rsidR="0086241F">
        <w:t xml:space="preserve">cations to the FoodLogger were presented by Census to ERS and Westat on </w:t>
      </w:r>
      <w:r w:rsidR="0086241F">
        <w:t>August 2</w:t>
      </w:r>
      <w:r w:rsidRPr="000E75C5" w:rsidR="0086241F">
        <w:t xml:space="preserve">, 2021. </w:t>
      </w:r>
      <w:r w:rsidRPr="00125297" w:rsidR="0086241F">
        <w:t xml:space="preserve">The </w:t>
      </w:r>
      <w:r w:rsidR="004158E2">
        <w:t xml:space="preserve">final analysis report from the second round, which includes the </w:t>
      </w:r>
      <w:r w:rsidRPr="00125297" w:rsidR="0086241F">
        <w:t>full set of recommendations</w:t>
      </w:r>
      <w:r w:rsidR="004158E2">
        <w:t>,</w:t>
      </w:r>
      <w:r w:rsidRPr="00125297" w:rsidR="0086241F">
        <w:t xml:space="preserve"> is included as </w:t>
      </w:r>
      <w:r w:rsidRPr="00144DFF" w:rsidR="0086241F">
        <w:t xml:space="preserve">Attachment </w:t>
      </w:r>
      <w:r w:rsidR="000A6EF7">
        <w:t>X</w:t>
      </w:r>
      <w:r w:rsidRPr="00144DFF" w:rsidR="0086241F">
        <w:t>.</w:t>
      </w:r>
      <w:r w:rsidR="0086241F">
        <w:t xml:space="preserve"> </w:t>
      </w:r>
    </w:p>
    <w:p w:rsidR="000E75C5" w:rsidP="00146AD3" w:rsidRDefault="000E75C5" w14:paraId="0C02AF6A" w14:textId="1955B00A">
      <w:pPr>
        <w:pStyle w:val="L1-FlLSp12"/>
      </w:pPr>
    </w:p>
    <w:p w:rsidR="00C21504" w:rsidP="00A0692A" w:rsidRDefault="0086241F" w14:paraId="3280C939" w14:textId="76D684A0">
      <w:pPr>
        <w:pStyle w:val="L1-FlLSp12"/>
      </w:pPr>
      <w:bookmarkStart w:name="_Hlk80110710" w:id="108"/>
      <w:r>
        <w:t xml:space="preserve">A consistent finding across each round of usability testing was that </w:t>
      </w:r>
      <w:r w:rsidR="00A0692A">
        <w:t xml:space="preserve">a majority of the participants rated each of the critical tasks as “Extremely Easy” or “Easy” to perform in the FoodLogger (see Table 5 of Attachment U and </w:t>
      </w:r>
      <w:r w:rsidR="000A6EF7">
        <w:t xml:space="preserve">X </w:t>
      </w:r>
      <w:r w:rsidR="00A0692A">
        <w:t xml:space="preserve">for a summary of the self-reported easiness of task performance for the first and second rounds, respectively). This provides overwhelming evidence that the FoodLogger is </w:t>
      </w:r>
      <w:r w:rsidR="008A2D24">
        <w:t>usable</w:t>
      </w:r>
      <w:r w:rsidR="00A0692A">
        <w:t xml:space="preserve"> and is easy to use when entering food acquisition data. That said, Westat </w:t>
      </w:r>
      <w:r w:rsidR="00C21504">
        <w:t xml:space="preserve">has made modifications to the FoodLogger </w:t>
      </w:r>
      <w:r w:rsidRPr="000E75C5" w:rsidR="00A0692A">
        <w:t>based on results of each round of usability testing</w:t>
      </w:r>
      <w:r w:rsidR="00C21504">
        <w:t>.</w:t>
      </w:r>
      <w:bookmarkEnd w:id="108"/>
    </w:p>
    <w:p w:rsidR="00C21504" w:rsidP="00A0692A" w:rsidRDefault="00C21504" w14:paraId="4FBB031E" w14:textId="77777777">
      <w:pPr>
        <w:pStyle w:val="L1-FlLSp12"/>
      </w:pPr>
    </w:p>
    <w:p w:rsidR="00404804" w:rsidP="00146AD3" w:rsidRDefault="000E75C5" w14:paraId="40004B4C" w14:textId="32B69D55">
      <w:pPr>
        <w:pStyle w:val="L1-FlLSp12"/>
      </w:pPr>
      <w:r>
        <w:t xml:space="preserve">During the first round of usability testing, the </w:t>
      </w:r>
      <w:r w:rsidRPr="000E75C5" w:rsidR="00146AD3">
        <w:t xml:space="preserve">following usability issues </w:t>
      </w:r>
      <w:r w:rsidR="00311ABB">
        <w:t xml:space="preserve">were </w:t>
      </w:r>
      <w:r w:rsidRPr="000E75C5" w:rsidR="00146AD3">
        <w:t>designated as a high priority: (1) making all options</w:t>
      </w:r>
      <w:r w:rsidR="00404804">
        <w:t xml:space="preserve"> for reporting (e.g., barcode scan, PLU entry, and type food description for both individual food items and “combo meals”)</w:t>
      </w:r>
      <w:r w:rsidRPr="000E75C5" w:rsidR="00146AD3">
        <w:t xml:space="preserve"> available for all “food event”</w:t>
      </w:r>
      <w:r>
        <w:t xml:space="preserve"> types</w:t>
      </w:r>
      <w:r w:rsidRPr="000E75C5" w:rsidR="00146AD3">
        <w:t>; (2) improve respondent instructions and data entry process for barcode scanning and PLU entry</w:t>
      </w:r>
      <w:r w:rsidR="00404804">
        <w:t xml:space="preserve"> to mitigate broken workflows</w:t>
      </w:r>
      <w:r w:rsidRPr="000E75C5" w:rsidR="00146AD3">
        <w:t xml:space="preserve">; </w:t>
      </w:r>
      <w:r w:rsidR="00404804">
        <w:t xml:space="preserve">and </w:t>
      </w:r>
      <w:r w:rsidRPr="000E75C5" w:rsidR="00146AD3">
        <w:t xml:space="preserve">(3) </w:t>
      </w:r>
      <w:r w:rsidR="00404804">
        <w:t xml:space="preserve">align response options for food item weight, volume, </w:t>
      </w:r>
      <w:r w:rsidR="00311ABB">
        <w:t>size</w:t>
      </w:r>
      <w:r w:rsidR="00404804">
        <w:t xml:space="preserve">, and package questions to correspond with appropriate measurements and measurement units and ensure they are mutually exclusive. </w:t>
      </w:r>
    </w:p>
    <w:p w:rsidR="00404804" w:rsidP="00146AD3" w:rsidRDefault="00404804" w14:paraId="7F50904D" w14:textId="77777777">
      <w:pPr>
        <w:pStyle w:val="L1-FlLSp12"/>
      </w:pPr>
    </w:p>
    <w:p w:rsidR="00E0716F" w:rsidP="00146AD3" w:rsidRDefault="00404804" w14:paraId="5459F614" w14:textId="3B780995">
      <w:pPr>
        <w:pStyle w:val="L1-FlLSp12"/>
      </w:pPr>
      <w:r>
        <w:t xml:space="preserve">Modifications to the </w:t>
      </w:r>
      <w:r w:rsidR="00E0716F">
        <w:t xml:space="preserve">Food Log questionnaire and the </w:t>
      </w:r>
      <w:r>
        <w:t xml:space="preserve">FoodLogger to address items (2) and (3) have been implemented </w:t>
      </w:r>
      <w:r w:rsidR="00311ABB">
        <w:t xml:space="preserve">and </w:t>
      </w:r>
      <w:r>
        <w:t xml:space="preserve">are currently being evaluated via a second and final round of usability testing. These modifications include </w:t>
      </w:r>
      <w:r w:rsidR="00311ABB">
        <w:t xml:space="preserve">improved respondent training on data entry procedures, </w:t>
      </w:r>
      <w:r>
        <w:t xml:space="preserve">changing the color and font size of the error messages a respondent receives when a barcode is incorrectly scanned or a PLU code is not found in one of the linked food item databases. </w:t>
      </w:r>
      <w:r w:rsidR="00311ABB">
        <w:t xml:space="preserve">Improved decision rules and database querying instructions were programmed into the FoodLogger so when a barcode, PLU code, or food item matches </w:t>
      </w:r>
      <w:r w:rsidR="000E75C5">
        <w:t>a</w:t>
      </w:r>
      <w:r w:rsidR="00311ABB">
        <w:t xml:space="preserve"> linked food item database, the questions on package, weight, volume, and size are skipped. This is because those food item details are contained in the linked databases. This has the added benefit of reducing respondent burden and improving data quality. In instances where food items are not found in one of the linked databases, </w:t>
      </w:r>
      <w:r>
        <w:t>“</w:t>
      </w:r>
      <w:r w:rsidR="00311ABB">
        <w:t>o</w:t>
      </w:r>
      <w:r>
        <w:t xml:space="preserve">ther” response options were added to questions on packaging, weight, volume, and size questions. It is also worth noting that </w:t>
      </w:r>
      <w:r w:rsidR="00311ABB">
        <w:t xml:space="preserve">part of the purpose of the Field Test is to collect data on a larger and representative sample </w:t>
      </w:r>
      <w:r w:rsidR="00E0716F">
        <w:t xml:space="preserve">of the target population and ERS will use the </w:t>
      </w:r>
      <w:r w:rsidR="00311ABB">
        <w:t>findings from the Field Test to make additional improvements to these questions and their sequencing</w:t>
      </w:r>
      <w:r w:rsidR="00E0716F">
        <w:t xml:space="preserve"> within the Food Log</w:t>
      </w:r>
      <w:r w:rsidR="00311ABB">
        <w:t xml:space="preserve">. </w:t>
      </w:r>
    </w:p>
    <w:p w:rsidR="00E0716F" w:rsidP="00146AD3" w:rsidRDefault="00E0716F" w14:paraId="5DEC85E8" w14:textId="77777777">
      <w:pPr>
        <w:pStyle w:val="L1-FlLSp12"/>
      </w:pPr>
    </w:p>
    <w:p w:rsidR="00146AD3" w:rsidP="002B2C88" w:rsidRDefault="00E0716F" w14:paraId="143FAA89" w14:textId="5D6247BE">
      <w:pPr>
        <w:pStyle w:val="L1-FlLSp12"/>
      </w:pPr>
      <w:r>
        <w:t xml:space="preserve">With respect to issue (1), while there are certainly acquisition scenarios for which respondents may acquire an item typically classified as FAFH (e.g., a prepared or ready-to-eat meal) at a food place typically classified as a FAH establishment (e.g., grocery store), and vice-versa, ERS believes that the decision to implement this significant structural change to the programming of the FoodLogger will be best informed by the data collected via the Field Test. The current structure was informed by and designed to balance respondent burden and data quality. The current structure intends to minimize the number of paths a respondent can follow within the FoodLogger thereby mitigating the potential occurrence of measurement errors. If the findings from the Field Test suggest that the prevalence of these types of acquisition scenarios is high, then such a structural change to the FoodLogger will be made prior to conducting the Full Survey.  </w:t>
      </w:r>
    </w:p>
    <w:p w:rsidR="001E6AB5" w:rsidP="002B2C88" w:rsidRDefault="001E6AB5" w14:paraId="1E6730F9" w14:textId="4006524F">
      <w:pPr>
        <w:pStyle w:val="L1-FlLSp12"/>
      </w:pPr>
    </w:p>
    <w:p w:rsidRPr="001E6AB5" w:rsidR="001E6AB5" w:rsidP="001E6AB5" w:rsidRDefault="001E6AB5" w14:paraId="51D10BF7" w14:textId="77777777">
      <w:pPr>
        <w:pStyle w:val="L1-FlLSp12"/>
      </w:pPr>
      <w:bookmarkStart w:name="_Hlk80110745" w:id="109"/>
      <w:r w:rsidRPr="001E6AB5">
        <w:t>During the second round of usability testing the following issues, distinct from those identified during the first round, were designated as major findings or high priority usability issues: (1) older respondents struggled the most with respect to the technology, including FoodLogger installation; (2) barcode scanning and the questionnaire sequencing from unmatched barcodes; (3) type-ahead feature may be burdensome when trying to find an exact match to the name of the food item to be reported; (4) combo meal entry; and, (5) uploading a receipt.</w:t>
      </w:r>
    </w:p>
    <w:p w:rsidRPr="001E6AB5" w:rsidR="001E6AB5" w:rsidP="001E6AB5" w:rsidRDefault="001E6AB5" w14:paraId="5BC4DD2B" w14:textId="77777777">
      <w:pPr>
        <w:pStyle w:val="L1-FlLSp12"/>
      </w:pPr>
    </w:p>
    <w:p w:rsidRPr="001E6AB5" w:rsidR="001E6AB5" w:rsidP="001E6AB5" w:rsidRDefault="001E6AB5" w14:paraId="2A659DAE" w14:textId="005C4E6C">
      <w:pPr>
        <w:pStyle w:val="L1-FlLSp12"/>
      </w:pPr>
      <w:r w:rsidRPr="001E6AB5">
        <w:t xml:space="preserve">With respect to issue (1) it is important to note that one of the limitations of the usability testing is that it was conducted virtually via MS Teams because of the COVID-19 Pandemic. The data collection procedures for the Field Test include an in-person training on how to use the FoodLogger via a series of comprehensive videos of survey concepts and procedures (Attachments V1-V6) and an assessment by the interviewer as to whether the respondent should proceed with the survey using the FoodLogger or, if they struggle with the technology, another collection mode. Both the in-person training and the assessment by the interviewer will mitigate the occurrence of similar technological issues in the Field Test. </w:t>
      </w:r>
      <w:r w:rsidR="007C406A">
        <w:t>In addition, although not part of the required in-person training two optional videos (Attachments V7 and V8) providing additional training on concepts relating to grocery store and fast food restaurant purchases will be made available to all respondents to view at their discretion or as needed.</w:t>
      </w:r>
    </w:p>
    <w:p w:rsidRPr="001E6AB5" w:rsidR="001E6AB5" w:rsidP="001E6AB5" w:rsidRDefault="001E6AB5" w14:paraId="175ED4A2" w14:textId="77777777">
      <w:pPr>
        <w:pStyle w:val="L1-FlLSp12"/>
      </w:pPr>
    </w:p>
    <w:p w:rsidRPr="001E6AB5" w:rsidR="001E6AB5" w:rsidP="001E6AB5" w:rsidRDefault="001E6AB5" w14:paraId="2C101C13" w14:textId="77777777">
      <w:pPr>
        <w:pStyle w:val="L1-FlLSp12"/>
      </w:pPr>
      <w:r w:rsidRPr="001E6AB5">
        <w:t>To address issue (2) error messages for erroneous or unmatched scans will be displayed in the FoodLogger in red font. This will be a different color from all the other text on the screen making an unsuccessful scan more salient and prominent to the user. It will also be stressed in training that not all barcodes will be identified by the FoodLogger or the barcode scanner (Attachment V3). The implications of a successful or unsuccessful scan will also be reiterated in training. If the scan is successful, the respondent will have fewer follow-up questions to answer about the food item. If the scan is unsuccessful, the respondent will need to type a name or description of the food item and answer follow-up questions about the item.</w:t>
      </w:r>
    </w:p>
    <w:p w:rsidRPr="001E6AB5" w:rsidR="001E6AB5" w:rsidP="001E6AB5" w:rsidRDefault="001E6AB5" w14:paraId="0111DAD9" w14:textId="77777777">
      <w:pPr>
        <w:pStyle w:val="L1-FlLSp12"/>
      </w:pPr>
    </w:p>
    <w:p w:rsidRPr="001E6AB5" w:rsidR="001E6AB5" w:rsidP="001E6AB5" w:rsidRDefault="001E6AB5" w14:paraId="2505776C" w14:textId="77777777">
      <w:pPr>
        <w:pStyle w:val="L1-FlLSp12"/>
      </w:pPr>
      <w:r w:rsidRPr="001E6AB5">
        <w:t xml:space="preserve">For item (3), the recommendation was to populate the type-ahead list with only generic food item names and not brand names where appropriate. This recommendation is contrary to the level of detail that FoodAPS requires for nutrition coding and other critical calculations, like the Healthy-Eating-Index. Nutrition information for a food item is tied very closely to specific products. ERS believes that keeping this level of detail in the procedures for the Field Test will provide an opportunity to reevaluate this reporting requirement and make empirically supported revisions to the requirements for the Full Survey as appropriate. </w:t>
      </w:r>
    </w:p>
    <w:p w:rsidRPr="001E6AB5" w:rsidR="001E6AB5" w:rsidP="001E6AB5" w:rsidRDefault="001E6AB5" w14:paraId="5DC333BD" w14:textId="77777777">
      <w:pPr>
        <w:pStyle w:val="L1-FlLSp12"/>
      </w:pPr>
    </w:p>
    <w:p w:rsidRPr="001E6AB5" w:rsidR="001E6AB5" w:rsidP="001E6AB5" w:rsidRDefault="001E6AB5" w14:paraId="24A4C645" w14:textId="77777777">
      <w:pPr>
        <w:pStyle w:val="L1-FlLSp12"/>
      </w:pPr>
      <w:r w:rsidRPr="001E6AB5">
        <w:t>To resolve the combo meal entry usability issue identified in the second round, the recommendation was to reconcile the data entry order and ask the respondent to enter all individual food items in a combo meal before entering the cost. This recommendation goes against concept of a “combo meal” which is a group of separate food items offered together for one price. The in-person training for the Field Test (Attachment V4) will stress the concept of a combo meal and instruct the respondent on how to appropriately enter these details within the FoodLogger.</w:t>
      </w:r>
    </w:p>
    <w:p w:rsidRPr="001E6AB5" w:rsidR="001E6AB5" w:rsidP="001E6AB5" w:rsidRDefault="001E6AB5" w14:paraId="605716BD" w14:textId="77777777">
      <w:pPr>
        <w:pStyle w:val="L1-FlLSp12"/>
      </w:pPr>
    </w:p>
    <w:p w:rsidRPr="001E6AB5" w:rsidR="001E6AB5" w:rsidP="001E6AB5" w:rsidRDefault="001E6AB5" w14:paraId="08102A0E" w14:textId="77777777">
      <w:pPr>
        <w:pStyle w:val="L1-FlLSp12"/>
      </w:pPr>
      <w:r w:rsidRPr="001E6AB5">
        <w:t xml:space="preserve">Finally, the second round found that only one of the five participants were able to upload a receipt without major issues. The recommendation was to provide detailed training on uploading an electronic receipt. This is exactly the procedure to be executed in the Field Test. The training will stress how to upload a receipt via the available methods (Attachment V4). Respondents will also be encouraged to save hard copies of all receipts and Westat will have a help-desk call-in number and project email that the respondents can utilize if they have difficulty on or questions about certain tasks, procedures, and survey concepts.  </w:t>
      </w:r>
    </w:p>
    <w:bookmarkEnd w:id="107"/>
    <w:bookmarkEnd w:id="109"/>
    <w:p w:rsidR="00E63A30" w:rsidP="002B2C88" w:rsidRDefault="00E63A30" w14:paraId="35CFC8A1" w14:textId="77777777">
      <w:pPr>
        <w:pStyle w:val="L1-FlLSp12"/>
      </w:pPr>
    </w:p>
    <w:p w:rsidR="00A03E3A" w:rsidP="002B2C88" w:rsidRDefault="00A03E3A" w14:paraId="41629C43" w14:textId="1220ED63">
      <w:pPr>
        <w:pStyle w:val="L1-FlLSp12"/>
      </w:pPr>
      <w:r>
        <w:t>An experiment is built in the FoodLogger that asks respondents to take a picture of a food/drink item on a random sa</w:t>
      </w:r>
      <w:r w:rsidR="004E57C8">
        <w:t>m</w:t>
      </w:r>
      <w:r>
        <w:t>ple of 30% of FAFH events</w:t>
      </w:r>
      <w:r w:rsidR="004E57C8">
        <w:t xml:space="preserve"> from food places that are not recognized in an external database. This experiment allows us to achieve two objectives: 1) to gain a better understanding of the burden associated with taking pictures of food items acquired and 2) to assess to what extent, if any, those pictures can be used for food item identification and nutrition coding.</w:t>
      </w:r>
    </w:p>
    <w:p w:rsidR="00A03E3A" w:rsidP="002B2C88" w:rsidRDefault="00A03E3A" w14:paraId="2FFA64DE" w14:textId="77777777">
      <w:pPr>
        <w:pStyle w:val="L1-FlLSp12"/>
      </w:pPr>
    </w:p>
    <w:p w:rsidR="00F56000" w:rsidP="002B2C88" w:rsidRDefault="00F56000" w14:paraId="3134FBE4" w14:textId="1B0BF3BD">
      <w:pPr>
        <w:pStyle w:val="L1-FlLSp12"/>
      </w:pPr>
    </w:p>
    <w:p w:rsidR="004A7048" w:rsidP="001B265D" w:rsidRDefault="004A7048" w14:paraId="53A3D478" w14:textId="77777777">
      <w:pPr>
        <w:pStyle w:val="L1-FlLSp12"/>
      </w:pPr>
    </w:p>
    <w:p w:rsidRPr="008126AB" w:rsidR="008A6A7C" w:rsidP="00E329A7" w:rsidRDefault="008A6A7C" w14:paraId="4F1AD191" w14:textId="77777777">
      <w:pPr>
        <w:pStyle w:val="Heading2"/>
      </w:pPr>
      <w:bookmarkStart w:name="_Toc400377756" w:id="110"/>
      <w:bookmarkStart w:name="_Toc409090907" w:id="111"/>
      <w:bookmarkStart w:name="_Toc513794220" w:id="112"/>
      <w:bookmarkStart w:name="_Toc74205161" w:id="113"/>
      <w:r w:rsidRPr="008126AB">
        <w:t>B.5</w:t>
      </w:r>
      <w:r w:rsidRPr="008126AB">
        <w:tab/>
        <w:t>Individuals Consulted on Statistical Aspects and Individuals Collecting and/or Analyzing Data</w:t>
      </w:r>
      <w:bookmarkEnd w:id="110"/>
      <w:bookmarkEnd w:id="111"/>
      <w:bookmarkEnd w:id="112"/>
      <w:bookmarkEnd w:id="113"/>
    </w:p>
    <w:p w:rsidRPr="00974E38" w:rsidR="008A6A7C" w:rsidP="001B265D" w:rsidRDefault="008A6A7C" w14:paraId="52E67693" w14:textId="77777777">
      <w:pPr>
        <w:pStyle w:val="L1-FlLSp12"/>
        <w:rPr>
          <w:b/>
        </w:rPr>
      </w:pPr>
      <w:r w:rsidRPr="00974E38">
        <w:rPr>
          <w:b/>
        </w:rPr>
        <w:t>Provide the name and telephone number of individuals consulted on statistical aspects of the design and the name of the agency unit, contractor(s), grantee(s), or other person(s) who will actually collect and/or analyze the information for the agency.</w:t>
      </w:r>
    </w:p>
    <w:p w:rsidR="008A6A7C" w:rsidP="001B265D" w:rsidRDefault="008A6A7C" w14:paraId="6E5FC981" w14:textId="77777777">
      <w:pPr>
        <w:pStyle w:val="L1-FlLSp12"/>
      </w:pPr>
    </w:p>
    <w:bookmarkEnd w:id="2"/>
    <w:bookmarkEnd w:id="3"/>
    <w:bookmarkEnd w:id="4"/>
    <w:bookmarkEnd w:id="5"/>
    <w:bookmarkEnd w:id="6"/>
    <w:bookmarkEnd w:id="7"/>
    <w:p w:rsidRPr="008440D3" w:rsidR="002C1798" w:rsidP="002C1798" w:rsidRDefault="002C1798" w14:paraId="492C5FAC" w14:textId="486A23A5">
      <w:pPr>
        <w:spacing w:line="360" w:lineRule="atLeast"/>
      </w:pPr>
      <w:r>
        <w:t xml:space="preserve">The sampling plans were reviewed by Wendy </w:t>
      </w:r>
      <w:r w:rsidRPr="00993AC8">
        <w:t xml:space="preserve">Van de </w:t>
      </w:r>
      <w:proofErr w:type="spellStart"/>
      <w:r w:rsidRPr="00993AC8">
        <w:t>Kerckhove</w:t>
      </w:r>
      <w:proofErr w:type="spellEnd"/>
      <w:r>
        <w:t xml:space="preserve">, Elizabeth Petraglia, Ting Yan, Jill </w:t>
      </w:r>
      <w:proofErr w:type="spellStart"/>
      <w:r w:rsidRPr="008440D3">
        <w:t>De</w:t>
      </w:r>
      <w:r w:rsidRPr="008440D3" w:rsidR="00200715">
        <w:t>M</w:t>
      </w:r>
      <w:r w:rsidRPr="008440D3">
        <w:t>atteis</w:t>
      </w:r>
      <w:proofErr w:type="spellEnd"/>
      <w:r w:rsidRPr="008440D3">
        <w:t xml:space="preserve">, Tom Krenzke, Erika Bonilla, David Cantor, Janice Machado, and Laurie May at Westat. In addition, </w:t>
      </w:r>
      <w:r w:rsidR="007472E7">
        <w:t>Jeffrey Gonzalez</w:t>
      </w:r>
      <w:r w:rsidRPr="008440D3" w:rsidR="00206322">
        <w:t xml:space="preserve">, </w:t>
      </w:r>
      <w:r w:rsidR="009D5EAB">
        <w:t>Linda Kantor and Elina Page</w:t>
      </w:r>
      <w:r w:rsidRPr="008440D3">
        <w:t xml:space="preserve"> of ERS</w:t>
      </w:r>
      <w:r w:rsidR="009D5EAB">
        <w:t xml:space="preserve">, </w:t>
      </w:r>
      <w:r w:rsidRPr="008440D3">
        <w:t>Brady West from the University of Michigan Survey Research Center (U-M SRC)</w:t>
      </w:r>
      <w:r w:rsidR="009D5EAB">
        <w:t xml:space="preserve">, </w:t>
      </w:r>
      <w:r w:rsidR="002D198B">
        <w:t xml:space="preserve">Lin Wang from the </w:t>
      </w:r>
      <w:r w:rsidRPr="002D198B" w:rsidR="002D198B">
        <w:t>Human Factors Research Group, Center for Behavioral Science Methods</w:t>
      </w:r>
      <w:r w:rsidR="002D198B">
        <w:t xml:space="preserve"> at the </w:t>
      </w:r>
      <w:r w:rsidRPr="002D198B" w:rsidR="002D198B">
        <w:t>U.S. Census Bureau</w:t>
      </w:r>
      <w:r w:rsidR="002D198B">
        <w:t xml:space="preserve">, </w:t>
      </w:r>
      <w:r w:rsidR="00DE1644">
        <w:t xml:space="preserve">Joseph Rodhouse and Darcy Miller from the National Agricultural Statistics Service (NASS), </w:t>
      </w:r>
      <w:r w:rsidR="009D5EAB">
        <w:t>and John Kirlin of Kirlin Analytic Services</w:t>
      </w:r>
      <w:r w:rsidRPr="008440D3">
        <w:t xml:space="preserve"> have reviewed </w:t>
      </w:r>
      <w:r w:rsidR="002D198B">
        <w:t xml:space="preserve">components of this supporting statement. </w:t>
      </w:r>
      <w:r w:rsidRPr="008440D3">
        <w:t>This supporting statement was revised per comments from the Westat team, ERS,</w:t>
      </w:r>
      <w:r w:rsidR="00DE1644">
        <w:t xml:space="preserve"> NASS,</w:t>
      </w:r>
      <w:r w:rsidRPr="008440D3">
        <w:t xml:space="preserve"> and U-M SRC. All data collection and analysis will be conducted by Westat. </w:t>
      </w:r>
    </w:p>
    <w:p w:rsidRPr="008440D3" w:rsidR="002C1798" w:rsidP="002C1798" w:rsidRDefault="002C1798" w14:paraId="465F37C8" w14:textId="77777777">
      <w:pPr>
        <w:pStyle w:val="L1-FlLSp12"/>
      </w:pPr>
    </w:p>
    <w:tbl>
      <w:tblPr>
        <w:tblStyle w:val="TableWestatStandardFormat"/>
        <w:tblW w:w="5000" w:type="pct"/>
        <w:tblBorders>
          <w:top w:val="single" w:color="auto" w:sz="4" w:space="0"/>
          <w:insideH w:val="single" w:color="auto" w:sz="4" w:space="0"/>
        </w:tblBorders>
        <w:tblLook w:val="01E0" w:firstRow="1" w:lastRow="1" w:firstColumn="1" w:lastColumn="1" w:noHBand="0" w:noVBand="0"/>
      </w:tblPr>
      <w:tblGrid>
        <w:gridCol w:w="1893"/>
        <w:gridCol w:w="2518"/>
        <w:gridCol w:w="1529"/>
        <w:gridCol w:w="3420"/>
      </w:tblGrid>
      <w:tr w:rsidRPr="008440D3" w:rsidR="00146D38" w:rsidTr="00E42E44" w14:paraId="1EBA3C96" w14:textId="77777777">
        <w:trPr>
          <w:cnfStyle w:val="100000000000" w:firstRow="1" w:lastRow="0" w:firstColumn="0" w:lastColumn="0" w:oddVBand="0" w:evenVBand="0" w:oddHBand="0" w:evenHBand="0" w:firstRowFirstColumn="0" w:firstRowLastColumn="0" w:lastRowFirstColumn="0" w:lastRowLastColumn="0"/>
          <w:tblHeader/>
        </w:trPr>
        <w:tc>
          <w:tcPr>
            <w:tcW w:w="0" w:type="pct"/>
            <w:shd w:val="clear" w:color="auto" w:fill="B8CCE4" w:themeFill="accent1" w:themeFillTint="66"/>
            <w:vAlign w:val="bottom"/>
          </w:tcPr>
          <w:p w:rsidRPr="008440D3" w:rsidR="002C1798" w:rsidP="00047A76" w:rsidRDefault="002C1798" w14:paraId="4DEBCC85" w14:textId="77777777">
            <w:pPr>
              <w:pStyle w:val="TH-TableHeading"/>
            </w:pPr>
            <w:bookmarkStart w:name="_Toc329675004" w:id="114"/>
            <w:bookmarkStart w:name="_Toc409090908" w:id="115"/>
            <w:bookmarkStart w:name="_Hlk74137309" w:id="116"/>
            <w:r w:rsidRPr="008440D3">
              <w:t>Name</w:t>
            </w:r>
            <w:bookmarkEnd w:id="114"/>
            <w:bookmarkEnd w:id="115"/>
          </w:p>
        </w:tc>
        <w:tc>
          <w:tcPr>
            <w:tcW w:w="0" w:type="pct"/>
            <w:shd w:val="clear" w:color="auto" w:fill="B8CCE4" w:themeFill="accent1" w:themeFillTint="66"/>
            <w:vAlign w:val="bottom"/>
          </w:tcPr>
          <w:p w:rsidRPr="008440D3" w:rsidR="002C1798" w:rsidP="00047A76" w:rsidRDefault="002C1798" w14:paraId="6A11F47D" w14:textId="77777777">
            <w:pPr>
              <w:pStyle w:val="TH-TableHeading"/>
            </w:pPr>
            <w:bookmarkStart w:name="_Toc329675005" w:id="117"/>
            <w:bookmarkStart w:name="_Toc409090909" w:id="118"/>
            <w:r w:rsidRPr="008440D3">
              <w:t>Affiliation</w:t>
            </w:r>
            <w:bookmarkEnd w:id="117"/>
            <w:bookmarkEnd w:id="118"/>
          </w:p>
        </w:tc>
        <w:tc>
          <w:tcPr>
            <w:tcW w:w="0" w:type="pct"/>
            <w:shd w:val="clear" w:color="auto" w:fill="B8CCE4" w:themeFill="accent1" w:themeFillTint="66"/>
            <w:vAlign w:val="bottom"/>
          </w:tcPr>
          <w:p w:rsidRPr="008440D3" w:rsidR="002C1798" w:rsidP="00047A76" w:rsidRDefault="002C1798" w14:paraId="4DDD4802" w14:textId="77777777">
            <w:pPr>
              <w:pStyle w:val="TH-TableHeading"/>
            </w:pPr>
            <w:bookmarkStart w:name="_Toc329675006" w:id="119"/>
            <w:bookmarkStart w:name="_Toc409090910" w:id="120"/>
            <w:r w:rsidRPr="008440D3">
              <w:t>Telephone number</w:t>
            </w:r>
            <w:bookmarkEnd w:id="119"/>
            <w:bookmarkEnd w:id="120"/>
          </w:p>
        </w:tc>
        <w:tc>
          <w:tcPr>
            <w:tcW w:w="0" w:type="pct"/>
            <w:shd w:val="clear" w:color="auto" w:fill="B8CCE4" w:themeFill="accent1" w:themeFillTint="66"/>
            <w:vAlign w:val="bottom"/>
          </w:tcPr>
          <w:p w:rsidRPr="008440D3" w:rsidR="002C1798" w:rsidP="00047A76" w:rsidRDefault="00047A76" w14:paraId="3D206472" w14:textId="7371D247">
            <w:pPr>
              <w:pStyle w:val="TH-TableHeading"/>
            </w:pPr>
            <w:bookmarkStart w:name="_Toc329675007" w:id="121"/>
            <w:bookmarkStart w:name="_Toc409090911" w:id="122"/>
            <w:r>
              <w:t>E</w:t>
            </w:r>
            <w:r w:rsidRPr="008440D3" w:rsidR="002C1798">
              <w:t>-mail</w:t>
            </w:r>
            <w:bookmarkEnd w:id="121"/>
            <w:bookmarkEnd w:id="122"/>
          </w:p>
        </w:tc>
      </w:tr>
      <w:tr w:rsidRPr="00D04F41" w:rsidR="00047A76" w:rsidTr="00D652C4" w14:paraId="75369BEB" w14:textId="77777777">
        <w:tc>
          <w:tcPr>
            <w:tcW w:w="1011" w:type="pct"/>
          </w:tcPr>
          <w:p w:rsidRPr="008440D3" w:rsidR="002C1798" w:rsidP="007472E7" w:rsidRDefault="007472E7" w14:paraId="69B311CB" w14:textId="6BFB0540">
            <w:pPr>
              <w:pStyle w:val="TX-TableText"/>
            </w:pPr>
            <w:r>
              <w:t>Jeffrey Gonzalez</w:t>
            </w:r>
          </w:p>
        </w:tc>
        <w:tc>
          <w:tcPr>
            <w:tcW w:w="1345" w:type="pct"/>
          </w:tcPr>
          <w:p w:rsidRPr="008440D3" w:rsidR="002C1798" w:rsidP="00047A76" w:rsidRDefault="002C1798" w14:paraId="496671D3" w14:textId="093B3E6B">
            <w:pPr>
              <w:pStyle w:val="TX-TableText"/>
            </w:pPr>
            <w:r w:rsidRPr="008440D3">
              <w:t>Project Officer,</w:t>
            </w:r>
            <w:r w:rsidR="00047A76">
              <w:t xml:space="preserve"> </w:t>
            </w:r>
            <w:r w:rsidRPr="008440D3">
              <w:t>ERS</w:t>
            </w:r>
          </w:p>
        </w:tc>
        <w:tc>
          <w:tcPr>
            <w:tcW w:w="817" w:type="pct"/>
          </w:tcPr>
          <w:p w:rsidRPr="008440D3" w:rsidR="002C1798" w:rsidP="00047A76" w:rsidRDefault="002C1798" w14:paraId="7A297DEC" w14:textId="77777777">
            <w:pPr>
              <w:pStyle w:val="TX-TableText"/>
            </w:pPr>
            <w:r w:rsidRPr="008440D3">
              <w:t>202-694-5398</w:t>
            </w:r>
          </w:p>
        </w:tc>
        <w:tc>
          <w:tcPr>
            <w:tcW w:w="1827" w:type="pct"/>
          </w:tcPr>
          <w:p w:rsidRPr="00D04F41" w:rsidR="002C1798" w:rsidP="007472E7" w:rsidRDefault="009A2C88" w14:paraId="24D0B182" w14:textId="1C20CC6E">
            <w:pPr>
              <w:pStyle w:val="TX-TableText"/>
            </w:pPr>
            <w:hyperlink w:history="1" r:id="rId17">
              <w:r w:rsidRPr="00D8577E" w:rsidR="00601696">
                <w:rPr>
                  <w:rStyle w:val="Hyperlink"/>
                </w:rPr>
                <w:t>jeffrey.gonzalez@usda.gov</w:t>
              </w:r>
            </w:hyperlink>
          </w:p>
        </w:tc>
      </w:tr>
      <w:tr w:rsidRPr="002F60ED" w:rsidR="00047A76" w:rsidTr="00D652C4" w14:paraId="47C10C6A" w14:textId="77777777">
        <w:tc>
          <w:tcPr>
            <w:tcW w:w="1011" w:type="pct"/>
          </w:tcPr>
          <w:p w:rsidRPr="00A144CC" w:rsidR="002C1798" w:rsidP="00047A76" w:rsidRDefault="002C1798" w14:paraId="4B088274" w14:textId="77777777">
            <w:pPr>
              <w:pStyle w:val="TX-TableText"/>
            </w:pPr>
            <w:r>
              <w:t>Brady West</w:t>
            </w:r>
          </w:p>
        </w:tc>
        <w:tc>
          <w:tcPr>
            <w:tcW w:w="1345" w:type="pct"/>
          </w:tcPr>
          <w:p w:rsidRPr="00A144CC" w:rsidR="002C1798" w:rsidP="00047A76" w:rsidRDefault="002C1798" w14:paraId="20816E30" w14:textId="77777777">
            <w:pPr>
              <w:pStyle w:val="TX-TableText"/>
            </w:pPr>
            <w:r>
              <w:t>Research Associate Professor, University of Michigan Survey Research Center</w:t>
            </w:r>
          </w:p>
        </w:tc>
        <w:tc>
          <w:tcPr>
            <w:tcW w:w="817" w:type="pct"/>
          </w:tcPr>
          <w:p w:rsidRPr="00A144CC" w:rsidR="002C1798" w:rsidP="00047A76" w:rsidRDefault="002C1798" w14:paraId="206CFD4F" w14:textId="77777777">
            <w:pPr>
              <w:pStyle w:val="TX-TableText"/>
            </w:pPr>
            <w:r w:rsidRPr="003A57AC">
              <w:t>734-647-4615</w:t>
            </w:r>
          </w:p>
        </w:tc>
        <w:tc>
          <w:tcPr>
            <w:tcW w:w="1827" w:type="pct"/>
          </w:tcPr>
          <w:p w:rsidRPr="00A144CC" w:rsidR="002C1798" w:rsidP="00047A76" w:rsidRDefault="009A2C88" w14:paraId="103E7953" w14:textId="27DC31E0">
            <w:pPr>
              <w:pStyle w:val="TX-TableText"/>
            </w:pPr>
            <w:hyperlink w:history="1" r:id="rId18">
              <w:r w:rsidRPr="00D8577E" w:rsidR="00601696">
                <w:rPr>
                  <w:rStyle w:val="Hyperlink"/>
                </w:rPr>
                <w:t>Bwest@umich.edu</w:t>
              </w:r>
            </w:hyperlink>
          </w:p>
        </w:tc>
      </w:tr>
      <w:tr w:rsidRPr="002F60ED" w:rsidR="00047A76" w:rsidTr="00D652C4" w14:paraId="1E87644F" w14:textId="77777777">
        <w:tc>
          <w:tcPr>
            <w:tcW w:w="1011" w:type="pct"/>
          </w:tcPr>
          <w:p w:rsidRPr="00A144CC" w:rsidR="002C1798" w:rsidP="00047A76" w:rsidRDefault="002C1798" w14:paraId="54061F3D" w14:textId="77777777">
            <w:pPr>
              <w:pStyle w:val="TX-TableText"/>
            </w:pPr>
            <w:r w:rsidRPr="00A144CC">
              <w:t>Laurie May</w:t>
            </w:r>
          </w:p>
        </w:tc>
        <w:tc>
          <w:tcPr>
            <w:tcW w:w="1345" w:type="pct"/>
          </w:tcPr>
          <w:p w:rsidRPr="00A144CC" w:rsidR="002C1798" w:rsidP="00047A76" w:rsidRDefault="002C1798" w14:paraId="09E9541C" w14:textId="77777777">
            <w:pPr>
              <w:pStyle w:val="TX-TableText"/>
            </w:pPr>
            <w:r>
              <w:t>Corporate Officer</w:t>
            </w:r>
            <w:r w:rsidRPr="00A144CC">
              <w:t>, Westat</w:t>
            </w:r>
          </w:p>
        </w:tc>
        <w:tc>
          <w:tcPr>
            <w:tcW w:w="817" w:type="pct"/>
          </w:tcPr>
          <w:p w:rsidRPr="00A144CC" w:rsidR="002C1798" w:rsidP="00047A76" w:rsidRDefault="002C1798" w14:paraId="574C6DB1" w14:textId="77777777">
            <w:pPr>
              <w:pStyle w:val="TX-TableText"/>
            </w:pPr>
            <w:r w:rsidRPr="00A144CC">
              <w:t>301-517-4076</w:t>
            </w:r>
          </w:p>
        </w:tc>
        <w:tc>
          <w:tcPr>
            <w:tcW w:w="1827" w:type="pct"/>
          </w:tcPr>
          <w:p w:rsidRPr="00A144CC" w:rsidR="002C1798" w:rsidP="00047A76" w:rsidRDefault="009A2C88" w14:paraId="2A190FFF" w14:textId="77777777">
            <w:pPr>
              <w:pStyle w:val="TX-TableText"/>
            </w:pPr>
            <w:hyperlink w:history="1" r:id="rId19">
              <w:r w:rsidRPr="00047A76" w:rsidR="002C1798">
                <w:t>LaurieMay@westat.com</w:t>
              </w:r>
            </w:hyperlink>
          </w:p>
        </w:tc>
      </w:tr>
      <w:tr w:rsidRPr="002F60ED" w:rsidR="00047A76" w:rsidTr="00D652C4" w14:paraId="561D8BDF" w14:textId="77777777">
        <w:tc>
          <w:tcPr>
            <w:tcW w:w="1011" w:type="pct"/>
          </w:tcPr>
          <w:p w:rsidRPr="00A144CC" w:rsidR="002C1798" w:rsidP="00047A76" w:rsidRDefault="002C1798" w14:paraId="4B1FE6CB" w14:textId="77777777">
            <w:pPr>
              <w:pStyle w:val="TX-TableText"/>
            </w:pPr>
            <w:r w:rsidRPr="00A144CC">
              <w:t>Janice Machado</w:t>
            </w:r>
          </w:p>
        </w:tc>
        <w:tc>
          <w:tcPr>
            <w:tcW w:w="1345" w:type="pct"/>
          </w:tcPr>
          <w:p w:rsidRPr="00A144CC" w:rsidR="002C1798" w:rsidP="00047A76" w:rsidRDefault="002C1798" w14:paraId="21E5C726" w14:textId="77777777">
            <w:pPr>
              <w:pStyle w:val="TX-TableText"/>
            </w:pPr>
            <w:r w:rsidRPr="00A144CC">
              <w:t>Project Director, Westat</w:t>
            </w:r>
          </w:p>
        </w:tc>
        <w:tc>
          <w:tcPr>
            <w:tcW w:w="817" w:type="pct"/>
          </w:tcPr>
          <w:p w:rsidRPr="00A144CC" w:rsidR="002C1798" w:rsidP="00047A76" w:rsidRDefault="002C1798" w14:paraId="0715C8A3" w14:textId="77777777">
            <w:pPr>
              <w:pStyle w:val="TX-TableText"/>
            </w:pPr>
            <w:r w:rsidRPr="00A144CC">
              <w:t>301-294- 2801</w:t>
            </w:r>
          </w:p>
        </w:tc>
        <w:tc>
          <w:tcPr>
            <w:tcW w:w="1827" w:type="pct"/>
          </w:tcPr>
          <w:p w:rsidRPr="00A144CC" w:rsidR="002C1798" w:rsidP="00047A76" w:rsidRDefault="009A2C88" w14:paraId="69BEC1CC" w14:textId="1C0A8F9D">
            <w:pPr>
              <w:pStyle w:val="TX-TableText"/>
            </w:pPr>
            <w:hyperlink w:history="1" r:id="rId20">
              <w:r w:rsidRPr="00D8577E" w:rsidR="00601696">
                <w:rPr>
                  <w:rStyle w:val="Hyperlink"/>
                </w:rPr>
                <w:t>JaniceMachado@westat.com</w:t>
              </w:r>
            </w:hyperlink>
          </w:p>
        </w:tc>
      </w:tr>
      <w:tr w:rsidRPr="002F60ED" w:rsidR="00047A76" w:rsidTr="00D652C4" w14:paraId="0CA987E5" w14:textId="77777777">
        <w:tc>
          <w:tcPr>
            <w:tcW w:w="1011" w:type="pct"/>
          </w:tcPr>
          <w:p w:rsidRPr="00A144CC" w:rsidR="002C1798" w:rsidP="00047A76" w:rsidRDefault="002C1798" w14:paraId="468BBEE8" w14:textId="77777777">
            <w:pPr>
              <w:pStyle w:val="TX-TableText"/>
            </w:pPr>
            <w:r>
              <w:t>David Cantor</w:t>
            </w:r>
          </w:p>
        </w:tc>
        <w:tc>
          <w:tcPr>
            <w:tcW w:w="1345" w:type="pct"/>
          </w:tcPr>
          <w:p w:rsidRPr="00A144CC" w:rsidR="002C1798" w:rsidP="00047A76" w:rsidRDefault="002C1798" w14:paraId="5CA7F841" w14:textId="158529DE">
            <w:pPr>
              <w:pStyle w:val="TX-TableText"/>
            </w:pPr>
            <w:r w:rsidRPr="00A144CC">
              <w:t>Vice President,</w:t>
            </w:r>
            <w:r w:rsidR="00047A76">
              <w:t xml:space="preserve"> </w:t>
            </w:r>
            <w:r w:rsidRPr="00A144CC">
              <w:t>Westat</w:t>
            </w:r>
          </w:p>
        </w:tc>
        <w:tc>
          <w:tcPr>
            <w:tcW w:w="817" w:type="pct"/>
          </w:tcPr>
          <w:p w:rsidRPr="00A144CC" w:rsidR="002C1798" w:rsidP="00047A76" w:rsidRDefault="002C1798" w14:paraId="32EBB18D" w14:textId="77777777">
            <w:pPr>
              <w:pStyle w:val="TX-TableText"/>
            </w:pPr>
            <w:r w:rsidRPr="00A144CC">
              <w:t>301-294-</w:t>
            </w:r>
            <w:r>
              <w:t>2080</w:t>
            </w:r>
          </w:p>
        </w:tc>
        <w:tc>
          <w:tcPr>
            <w:tcW w:w="1827" w:type="pct"/>
          </w:tcPr>
          <w:p w:rsidRPr="00A144CC" w:rsidR="002C1798" w:rsidP="00047A76" w:rsidRDefault="009A2C88" w14:paraId="17074332" w14:textId="433BE3D3">
            <w:pPr>
              <w:pStyle w:val="TX-TableText"/>
            </w:pPr>
            <w:hyperlink w:history="1" r:id="rId21">
              <w:r w:rsidRPr="00D8577E" w:rsidR="00601696">
                <w:rPr>
                  <w:rStyle w:val="Hyperlink"/>
                </w:rPr>
                <w:t>DavidCantor@westat.com</w:t>
              </w:r>
            </w:hyperlink>
          </w:p>
        </w:tc>
      </w:tr>
      <w:tr w:rsidRPr="002F60ED" w:rsidR="00047A76" w:rsidTr="00D652C4" w14:paraId="462147C5" w14:textId="77777777">
        <w:tc>
          <w:tcPr>
            <w:tcW w:w="1011" w:type="pct"/>
          </w:tcPr>
          <w:p w:rsidRPr="00A144CC" w:rsidR="002C1798" w:rsidP="00047A76" w:rsidRDefault="002C1798" w14:paraId="5ECF0E8B" w14:textId="77777777">
            <w:pPr>
              <w:pStyle w:val="TX-TableText"/>
            </w:pPr>
            <w:r w:rsidRPr="00A144CC">
              <w:t>Erika Bonilla</w:t>
            </w:r>
          </w:p>
        </w:tc>
        <w:tc>
          <w:tcPr>
            <w:tcW w:w="1345" w:type="pct"/>
          </w:tcPr>
          <w:p w:rsidRPr="00A144CC" w:rsidR="002C1798" w:rsidP="00047A76" w:rsidRDefault="002C1798" w14:paraId="486DC6BC" w14:textId="77777777">
            <w:pPr>
              <w:pStyle w:val="TX-TableText"/>
            </w:pPr>
            <w:r w:rsidRPr="00A144CC">
              <w:t>Study Manager, Westat</w:t>
            </w:r>
          </w:p>
        </w:tc>
        <w:tc>
          <w:tcPr>
            <w:tcW w:w="817" w:type="pct"/>
          </w:tcPr>
          <w:p w:rsidRPr="00A144CC" w:rsidR="002C1798" w:rsidP="00047A76" w:rsidRDefault="002C1798" w14:paraId="366DE4C7" w14:textId="77777777">
            <w:pPr>
              <w:pStyle w:val="TX-TableText"/>
            </w:pPr>
            <w:r w:rsidRPr="00A144CC">
              <w:t>301-610-4879</w:t>
            </w:r>
          </w:p>
        </w:tc>
        <w:tc>
          <w:tcPr>
            <w:tcW w:w="1827" w:type="pct"/>
          </w:tcPr>
          <w:p w:rsidRPr="00A144CC" w:rsidR="002C1798" w:rsidP="00047A76" w:rsidRDefault="009A2C88" w14:paraId="30EE6EE6" w14:textId="5E593AB7">
            <w:pPr>
              <w:pStyle w:val="TX-TableText"/>
            </w:pPr>
            <w:hyperlink w:history="1" r:id="rId22">
              <w:r w:rsidRPr="00D8577E" w:rsidR="00601696">
                <w:rPr>
                  <w:rStyle w:val="Hyperlink"/>
                </w:rPr>
                <w:t>ErikaBonilla@westat.com</w:t>
              </w:r>
            </w:hyperlink>
          </w:p>
        </w:tc>
      </w:tr>
      <w:tr w:rsidRPr="002F60ED" w:rsidR="00047A76" w:rsidTr="00D652C4" w14:paraId="503E880A" w14:textId="77777777">
        <w:tc>
          <w:tcPr>
            <w:tcW w:w="1011" w:type="pct"/>
          </w:tcPr>
          <w:p w:rsidRPr="00A144CC" w:rsidR="002C1798" w:rsidP="00047A76" w:rsidRDefault="002C1798" w14:paraId="05CB1EB8" w14:textId="77777777">
            <w:pPr>
              <w:pStyle w:val="TX-TableText"/>
            </w:pPr>
            <w:r w:rsidRPr="00A144CC">
              <w:t>Tom Krenzke</w:t>
            </w:r>
          </w:p>
        </w:tc>
        <w:tc>
          <w:tcPr>
            <w:tcW w:w="1345" w:type="pct"/>
          </w:tcPr>
          <w:p w:rsidRPr="00A144CC" w:rsidR="002C1798" w:rsidP="00047A76" w:rsidRDefault="00B37CFB" w14:paraId="5C663DA0" w14:textId="5A6BAE5B">
            <w:pPr>
              <w:pStyle w:val="TX-TableText"/>
            </w:pPr>
            <w:r>
              <w:t>Vice President</w:t>
            </w:r>
            <w:r w:rsidR="002C1798">
              <w:t>, Westat</w:t>
            </w:r>
          </w:p>
        </w:tc>
        <w:tc>
          <w:tcPr>
            <w:tcW w:w="817" w:type="pct"/>
          </w:tcPr>
          <w:p w:rsidRPr="00A144CC" w:rsidR="002C1798" w:rsidP="00047A76" w:rsidRDefault="002C1798" w14:paraId="59571996" w14:textId="77777777">
            <w:pPr>
              <w:pStyle w:val="TX-TableText"/>
            </w:pPr>
            <w:r w:rsidRPr="00A144CC">
              <w:t>301-251-4203</w:t>
            </w:r>
          </w:p>
        </w:tc>
        <w:tc>
          <w:tcPr>
            <w:tcW w:w="1827" w:type="pct"/>
          </w:tcPr>
          <w:p w:rsidRPr="00A144CC" w:rsidR="002C1798" w:rsidP="00047A76" w:rsidRDefault="009A2C88" w14:paraId="7D7D6FFF" w14:textId="2A2E905C">
            <w:pPr>
              <w:pStyle w:val="TX-TableText"/>
            </w:pPr>
            <w:hyperlink w:history="1" r:id="rId23">
              <w:r w:rsidRPr="00D8577E" w:rsidR="00601696">
                <w:rPr>
                  <w:rStyle w:val="Hyperlink"/>
                </w:rPr>
                <w:t>TomKrenzke@westat.com</w:t>
              </w:r>
            </w:hyperlink>
          </w:p>
        </w:tc>
      </w:tr>
      <w:tr w:rsidRPr="002F60ED" w:rsidR="00047A76" w:rsidTr="00D652C4" w14:paraId="18A806AA" w14:textId="77777777">
        <w:tc>
          <w:tcPr>
            <w:tcW w:w="1011" w:type="pct"/>
          </w:tcPr>
          <w:p w:rsidRPr="00A144CC" w:rsidR="002C1798" w:rsidP="00047A76" w:rsidRDefault="002C1798" w14:paraId="09F5D1F6" w14:textId="447B16D7">
            <w:pPr>
              <w:pStyle w:val="TX-TableText"/>
            </w:pPr>
            <w:r>
              <w:t xml:space="preserve">Jill </w:t>
            </w:r>
            <w:proofErr w:type="spellStart"/>
            <w:r>
              <w:t>De</w:t>
            </w:r>
            <w:r w:rsidR="00200715">
              <w:t>M</w:t>
            </w:r>
            <w:r>
              <w:t>atteis</w:t>
            </w:r>
            <w:proofErr w:type="spellEnd"/>
          </w:p>
        </w:tc>
        <w:tc>
          <w:tcPr>
            <w:tcW w:w="1345" w:type="pct"/>
          </w:tcPr>
          <w:p w:rsidRPr="00A144CC" w:rsidR="002C1798" w:rsidP="00047A76" w:rsidRDefault="00B37CFB" w14:paraId="3684742E" w14:textId="700CC22E">
            <w:pPr>
              <w:pStyle w:val="TX-TableText"/>
            </w:pPr>
            <w:r>
              <w:t>Vice President</w:t>
            </w:r>
            <w:r w:rsidR="002C1798">
              <w:t>, Westat</w:t>
            </w:r>
          </w:p>
        </w:tc>
        <w:tc>
          <w:tcPr>
            <w:tcW w:w="817" w:type="pct"/>
          </w:tcPr>
          <w:p w:rsidRPr="00A144CC" w:rsidR="002C1798" w:rsidP="00047A76" w:rsidRDefault="002C1798" w14:paraId="1269C9D4" w14:textId="77777777">
            <w:pPr>
              <w:pStyle w:val="TX-TableText"/>
            </w:pPr>
            <w:r>
              <w:t>301-517-4046</w:t>
            </w:r>
          </w:p>
        </w:tc>
        <w:tc>
          <w:tcPr>
            <w:tcW w:w="1827" w:type="pct"/>
          </w:tcPr>
          <w:p w:rsidRPr="00A144CC" w:rsidR="002C1798" w:rsidP="00047A76" w:rsidRDefault="009A2C88" w14:paraId="7F707792" w14:textId="122B986D">
            <w:pPr>
              <w:pStyle w:val="TX-TableText"/>
            </w:pPr>
            <w:hyperlink w:history="1" r:id="rId24">
              <w:r w:rsidRPr="00D8577E" w:rsidR="00601696">
                <w:rPr>
                  <w:rStyle w:val="Hyperlink"/>
                </w:rPr>
                <w:t>JillDematteis@westat.com</w:t>
              </w:r>
            </w:hyperlink>
          </w:p>
        </w:tc>
      </w:tr>
      <w:tr w:rsidRPr="002F60ED" w:rsidR="00047A76" w:rsidTr="00D652C4" w14:paraId="48B0E3FA" w14:textId="77777777">
        <w:tc>
          <w:tcPr>
            <w:tcW w:w="1011" w:type="pct"/>
          </w:tcPr>
          <w:p w:rsidRPr="00A144CC" w:rsidR="002C1798" w:rsidP="00047A76" w:rsidRDefault="002C1798" w14:paraId="4E296857" w14:textId="6CDA387D">
            <w:pPr>
              <w:pStyle w:val="TX-TableText"/>
            </w:pPr>
            <w:r w:rsidRPr="00A144CC">
              <w:t>Ting Yan</w:t>
            </w:r>
          </w:p>
        </w:tc>
        <w:tc>
          <w:tcPr>
            <w:tcW w:w="1345" w:type="pct"/>
          </w:tcPr>
          <w:p w:rsidRPr="00A144CC" w:rsidR="002C1798" w:rsidP="00047A76" w:rsidRDefault="002C1798" w14:paraId="25949F4F" w14:textId="0AB614D1">
            <w:pPr>
              <w:pStyle w:val="TX-TableText"/>
            </w:pPr>
            <w:r w:rsidRPr="00A144CC">
              <w:t>Senior Statistician</w:t>
            </w:r>
            <w:r>
              <w:t>, Westat</w:t>
            </w:r>
          </w:p>
        </w:tc>
        <w:tc>
          <w:tcPr>
            <w:tcW w:w="817" w:type="pct"/>
          </w:tcPr>
          <w:p w:rsidRPr="00A144CC" w:rsidR="002C1798" w:rsidP="00047A76" w:rsidRDefault="002C1798" w14:paraId="51B05B09" w14:textId="06493DB7">
            <w:pPr>
              <w:pStyle w:val="TX-TableText"/>
            </w:pPr>
            <w:r w:rsidRPr="00A144CC">
              <w:t>301-250-3302</w:t>
            </w:r>
          </w:p>
        </w:tc>
        <w:tc>
          <w:tcPr>
            <w:tcW w:w="1827" w:type="pct"/>
          </w:tcPr>
          <w:p w:rsidRPr="00A144CC" w:rsidR="002C1798" w:rsidP="00047A76" w:rsidRDefault="009A2C88" w14:paraId="75A15117" w14:textId="52151B16">
            <w:pPr>
              <w:pStyle w:val="TX-TableText"/>
            </w:pPr>
            <w:hyperlink w:history="1" r:id="rId25">
              <w:r w:rsidRPr="00D8577E" w:rsidR="00601696">
                <w:rPr>
                  <w:rStyle w:val="Hyperlink"/>
                </w:rPr>
                <w:t>TingYan@westat.com</w:t>
              </w:r>
            </w:hyperlink>
          </w:p>
        </w:tc>
      </w:tr>
      <w:tr w:rsidRPr="002F60ED" w:rsidR="00047A76" w:rsidTr="00D652C4" w14:paraId="2B2E70DE" w14:textId="77777777">
        <w:tc>
          <w:tcPr>
            <w:tcW w:w="1011" w:type="pct"/>
          </w:tcPr>
          <w:p w:rsidRPr="00A144CC" w:rsidR="002C1798" w:rsidP="00047A76" w:rsidRDefault="002C1798" w14:paraId="01146D85" w14:textId="77777777">
            <w:pPr>
              <w:pStyle w:val="TX-TableText"/>
            </w:pPr>
            <w:r w:rsidRPr="00A144CC">
              <w:t xml:space="preserve">Wendy Van de </w:t>
            </w:r>
            <w:proofErr w:type="spellStart"/>
            <w:r w:rsidRPr="00A144CC">
              <w:t>Kerckhove</w:t>
            </w:r>
            <w:proofErr w:type="spellEnd"/>
          </w:p>
        </w:tc>
        <w:tc>
          <w:tcPr>
            <w:tcW w:w="1345" w:type="pct"/>
          </w:tcPr>
          <w:p w:rsidRPr="00A144CC" w:rsidR="002C1798" w:rsidP="00047A76" w:rsidRDefault="002C1798" w14:paraId="07BA3EEB" w14:textId="77777777">
            <w:pPr>
              <w:pStyle w:val="TX-TableText"/>
            </w:pPr>
            <w:r w:rsidRPr="00A144CC">
              <w:t>Senior Statistician</w:t>
            </w:r>
            <w:r>
              <w:t>, Westat</w:t>
            </w:r>
          </w:p>
        </w:tc>
        <w:tc>
          <w:tcPr>
            <w:tcW w:w="817" w:type="pct"/>
          </w:tcPr>
          <w:p w:rsidRPr="00A144CC" w:rsidR="002C1798" w:rsidP="00047A76" w:rsidRDefault="002C1798" w14:paraId="0F0C684F" w14:textId="77777777">
            <w:pPr>
              <w:pStyle w:val="TX-TableText"/>
            </w:pPr>
            <w:r w:rsidRPr="00A144CC">
              <w:t>240-453-2785</w:t>
            </w:r>
          </w:p>
        </w:tc>
        <w:tc>
          <w:tcPr>
            <w:tcW w:w="1827" w:type="pct"/>
          </w:tcPr>
          <w:p w:rsidRPr="00A144CC" w:rsidR="002C1798" w:rsidP="00047A76" w:rsidRDefault="009A2C88" w14:paraId="6A0A60BF" w14:textId="58BAD0EB">
            <w:pPr>
              <w:pStyle w:val="TX-TableText"/>
            </w:pPr>
            <w:hyperlink w:history="1" r:id="rId26">
              <w:r w:rsidRPr="00D8577E" w:rsidR="00601696">
                <w:rPr>
                  <w:rStyle w:val="Hyperlink"/>
                </w:rPr>
                <w:t>WendyVandeKerckhove@westat.com</w:t>
              </w:r>
            </w:hyperlink>
          </w:p>
        </w:tc>
      </w:tr>
      <w:tr w:rsidRPr="002F60ED" w:rsidR="00047A76" w:rsidTr="00D652C4" w14:paraId="7D8F085D" w14:textId="77777777">
        <w:tc>
          <w:tcPr>
            <w:tcW w:w="1011" w:type="pct"/>
          </w:tcPr>
          <w:p w:rsidRPr="00A144CC" w:rsidR="002C1798" w:rsidP="00047A76" w:rsidRDefault="002C1798" w14:paraId="2FACBEFB" w14:textId="77777777">
            <w:pPr>
              <w:pStyle w:val="TX-TableText"/>
            </w:pPr>
            <w:r>
              <w:t>Elizabeth Petraglia</w:t>
            </w:r>
          </w:p>
        </w:tc>
        <w:tc>
          <w:tcPr>
            <w:tcW w:w="1345" w:type="pct"/>
          </w:tcPr>
          <w:p w:rsidRPr="00A144CC" w:rsidR="002C1798" w:rsidP="00047A76" w:rsidRDefault="002C1798" w14:paraId="11275DDB" w14:textId="77777777">
            <w:pPr>
              <w:pStyle w:val="TX-TableText"/>
            </w:pPr>
            <w:r w:rsidRPr="00A144CC">
              <w:t>Senior Statistician</w:t>
            </w:r>
            <w:r>
              <w:t>, Westat</w:t>
            </w:r>
          </w:p>
        </w:tc>
        <w:tc>
          <w:tcPr>
            <w:tcW w:w="817" w:type="pct"/>
          </w:tcPr>
          <w:p w:rsidRPr="00A144CC" w:rsidR="002C1798" w:rsidP="00047A76" w:rsidRDefault="002C1798" w14:paraId="2E4856A7" w14:textId="77777777">
            <w:pPr>
              <w:pStyle w:val="TX-TableText"/>
            </w:pPr>
            <w:r w:rsidRPr="00A144CC">
              <w:t>240-314-</w:t>
            </w:r>
            <w:r>
              <w:t>7535</w:t>
            </w:r>
          </w:p>
        </w:tc>
        <w:tc>
          <w:tcPr>
            <w:tcW w:w="1827" w:type="pct"/>
          </w:tcPr>
          <w:p w:rsidRPr="00593E4E" w:rsidR="002C1798" w:rsidP="00047A76" w:rsidRDefault="009A2C88" w14:paraId="28311212" w14:textId="151F4455">
            <w:pPr>
              <w:pStyle w:val="TX-TableText"/>
            </w:pPr>
            <w:hyperlink w:history="1" r:id="rId27">
              <w:r w:rsidRPr="00593E4E" w:rsidR="00601696">
                <w:rPr>
                  <w:rStyle w:val="Hyperlink"/>
                </w:rPr>
                <w:t>ElizabethPetraglia@westat.com</w:t>
              </w:r>
            </w:hyperlink>
          </w:p>
        </w:tc>
      </w:tr>
      <w:tr w:rsidRPr="002F60ED" w:rsidR="00FA5AC1" w:rsidTr="00D652C4" w14:paraId="135B0C1F" w14:textId="77777777">
        <w:tc>
          <w:tcPr>
            <w:tcW w:w="1011" w:type="pct"/>
          </w:tcPr>
          <w:p w:rsidR="00FA5AC1" w:rsidP="00047A76" w:rsidRDefault="00FA5AC1" w14:paraId="72FE6618" w14:textId="049E48CF">
            <w:pPr>
              <w:pStyle w:val="TX-TableText"/>
            </w:pPr>
            <w:r>
              <w:t>Linda Kantor</w:t>
            </w:r>
          </w:p>
        </w:tc>
        <w:tc>
          <w:tcPr>
            <w:tcW w:w="1345" w:type="pct"/>
          </w:tcPr>
          <w:p w:rsidRPr="00A144CC" w:rsidR="00FA5AC1" w:rsidP="00047A76" w:rsidRDefault="00DE1644" w14:paraId="249F9C95" w14:textId="76E58923">
            <w:pPr>
              <w:pStyle w:val="TX-TableText"/>
            </w:pPr>
            <w:r>
              <w:t xml:space="preserve">Economist, </w:t>
            </w:r>
            <w:r w:rsidR="00715D2D">
              <w:t>ERS</w:t>
            </w:r>
          </w:p>
        </w:tc>
        <w:tc>
          <w:tcPr>
            <w:tcW w:w="817" w:type="pct"/>
          </w:tcPr>
          <w:p w:rsidRPr="00D652C4" w:rsidR="00FA5AC1" w:rsidP="00047A76" w:rsidRDefault="002D198B" w14:paraId="1A46CF55" w14:textId="2AE64D1B">
            <w:pPr>
              <w:pStyle w:val="TX-TableText"/>
            </w:pPr>
            <w:r w:rsidRPr="00D652C4">
              <w:t>202-694-5392</w:t>
            </w:r>
          </w:p>
        </w:tc>
        <w:tc>
          <w:tcPr>
            <w:tcW w:w="1827" w:type="pct"/>
          </w:tcPr>
          <w:p w:rsidRPr="00D652C4" w:rsidR="00FA5AC1" w:rsidP="00047A76" w:rsidRDefault="00593E4E" w14:paraId="298CA322" w14:textId="6028C851">
            <w:pPr>
              <w:pStyle w:val="TX-TableText"/>
            </w:pPr>
            <w:r w:rsidRPr="00D652C4">
              <w:t>Linda.Kantor@usda.gov</w:t>
            </w:r>
          </w:p>
        </w:tc>
      </w:tr>
      <w:tr w:rsidRPr="002F60ED" w:rsidR="00FA5AC1" w:rsidTr="00D652C4" w14:paraId="6A160B08" w14:textId="77777777">
        <w:tc>
          <w:tcPr>
            <w:tcW w:w="1011" w:type="pct"/>
          </w:tcPr>
          <w:p w:rsidR="00FA5AC1" w:rsidP="00047A76" w:rsidRDefault="00FA5AC1" w14:paraId="7051ABAB" w14:textId="319FC3D6">
            <w:pPr>
              <w:pStyle w:val="TX-TableText"/>
            </w:pPr>
            <w:r>
              <w:t xml:space="preserve">Elina </w:t>
            </w:r>
            <w:r w:rsidR="00DE1644">
              <w:t xml:space="preserve">T. </w:t>
            </w:r>
            <w:r>
              <w:t>Page</w:t>
            </w:r>
          </w:p>
        </w:tc>
        <w:tc>
          <w:tcPr>
            <w:tcW w:w="1345" w:type="pct"/>
          </w:tcPr>
          <w:p w:rsidRPr="00A144CC" w:rsidR="00FA5AC1" w:rsidP="00047A76" w:rsidRDefault="00DE1644" w14:paraId="0833A21B" w14:textId="4F7724E4">
            <w:pPr>
              <w:pStyle w:val="TX-TableText"/>
            </w:pPr>
            <w:r>
              <w:t xml:space="preserve">Economist, </w:t>
            </w:r>
            <w:r w:rsidR="00715D2D">
              <w:t>ERS</w:t>
            </w:r>
          </w:p>
        </w:tc>
        <w:tc>
          <w:tcPr>
            <w:tcW w:w="817" w:type="pct"/>
          </w:tcPr>
          <w:p w:rsidRPr="00D652C4" w:rsidR="00FA5AC1" w:rsidP="00047A76" w:rsidRDefault="002D198B" w14:paraId="3FDE9756" w14:textId="1799BE85">
            <w:pPr>
              <w:pStyle w:val="TX-TableText"/>
            </w:pPr>
            <w:r w:rsidRPr="00D652C4">
              <w:t>202-694-5032</w:t>
            </w:r>
          </w:p>
        </w:tc>
        <w:tc>
          <w:tcPr>
            <w:tcW w:w="1827" w:type="pct"/>
          </w:tcPr>
          <w:p w:rsidRPr="00D652C4" w:rsidR="00FA5AC1" w:rsidP="00047A76" w:rsidRDefault="00593E4E" w14:paraId="59609A8D" w14:textId="002EA7CC">
            <w:pPr>
              <w:pStyle w:val="TX-TableText"/>
            </w:pPr>
            <w:r w:rsidRPr="00D652C4">
              <w:t>Elina.t.page@usda.gov</w:t>
            </w:r>
          </w:p>
        </w:tc>
      </w:tr>
      <w:tr w:rsidRPr="002F60ED" w:rsidR="00DE1644" w:rsidTr="00D652C4" w14:paraId="70862A7B" w14:textId="77777777">
        <w:tc>
          <w:tcPr>
            <w:tcW w:w="1011" w:type="pct"/>
          </w:tcPr>
          <w:p w:rsidR="00DE1644" w:rsidP="00047A76" w:rsidRDefault="00DE1644" w14:paraId="317AEF44" w14:textId="4E09FDAC">
            <w:pPr>
              <w:pStyle w:val="TX-TableText"/>
            </w:pPr>
            <w:r>
              <w:t>Joseph Rodhouse</w:t>
            </w:r>
          </w:p>
        </w:tc>
        <w:tc>
          <w:tcPr>
            <w:tcW w:w="1345" w:type="pct"/>
          </w:tcPr>
          <w:p w:rsidR="00DE1644" w:rsidP="00047A76" w:rsidRDefault="00DE1644" w14:paraId="5439C710" w14:textId="5FC9D753">
            <w:pPr>
              <w:pStyle w:val="TX-TableText"/>
            </w:pPr>
            <w:r>
              <w:t>Mathematical Statistician, NASS</w:t>
            </w:r>
          </w:p>
        </w:tc>
        <w:tc>
          <w:tcPr>
            <w:tcW w:w="817" w:type="pct"/>
          </w:tcPr>
          <w:p w:rsidRPr="00DE1644" w:rsidR="00DE1644" w:rsidP="00047A76" w:rsidRDefault="00DE1644" w14:paraId="479695F7" w14:textId="1B5149D2">
            <w:pPr>
              <w:pStyle w:val="TX-TableText"/>
            </w:pPr>
            <w:r w:rsidRPr="00D652C4">
              <w:rPr>
                <w:rFonts w:cs="Arial"/>
                <w:color w:val="000000"/>
              </w:rPr>
              <w:t>202-692-0289</w:t>
            </w:r>
          </w:p>
        </w:tc>
        <w:tc>
          <w:tcPr>
            <w:tcW w:w="1827" w:type="pct"/>
          </w:tcPr>
          <w:p w:rsidRPr="00DE1644" w:rsidR="00DE1644" w:rsidP="00047A76" w:rsidRDefault="009A2C88" w14:paraId="770406CF" w14:textId="2D36D45F">
            <w:pPr>
              <w:pStyle w:val="TX-TableText"/>
            </w:pPr>
            <w:hyperlink w:history="1" r:id="rId28">
              <w:r w:rsidRPr="005E1DC5" w:rsidR="00DE1644">
                <w:rPr>
                  <w:rStyle w:val="Hyperlink"/>
                </w:rPr>
                <w:t>Joseph.Rodhouse@usda.gov</w:t>
              </w:r>
            </w:hyperlink>
          </w:p>
        </w:tc>
      </w:tr>
      <w:tr w:rsidRPr="002F60ED" w:rsidR="00DE1644" w:rsidTr="00D652C4" w14:paraId="0B61DB3F" w14:textId="77777777">
        <w:tc>
          <w:tcPr>
            <w:tcW w:w="1011" w:type="pct"/>
          </w:tcPr>
          <w:p w:rsidR="00DE1644" w:rsidP="00047A76" w:rsidRDefault="00DE1644" w14:paraId="01F43936" w14:textId="15EBAC87">
            <w:pPr>
              <w:pStyle w:val="TX-TableText"/>
            </w:pPr>
            <w:r>
              <w:t>Darcy Miller</w:t>
            </w:r>
          </w:p>
        </w:tc>
        <w:tc>
          <w:tcPr>
            <w:tcW w:w="1345" w:type="pct"/>
          </w:tcPr>
          <w:p w:rsidR="00DE1644" w:rsidP="00047A76" w:rsidRDefault="00DE1644" w14:paraId="11437CB9" w14:textId="40C08486">
            <w:pPr>
              <w:pStyle w:val="TX-TableText"/>
            </w:pPr>
            <w:r>
              <w:t>Mathematical Statistician, NASS</w:t>
            </w:r>
          </w:p>
        </w:tc>
        <w:tc>
          <w:tcPr>
            <w:tcW w:w="817" w:type="pct"/>
          </w:tcPr>
          <w:p w:rsidRPr="00DE1644" w:rsidR="00DE1644" w:rsidP="00047A76" w:rsidRDefault="00DE1644" w14:paraId="65149036" w14:textId="1ADEFBB9">
            <w:pPr>
              <w:pStyle w:val="TX-TableText"/>
            </w:pPr>
            <w:r w:rsidRPr="00DE1644">
              <w:t>202</w:t>
            </w:r>
            <w:r>
              <w:t>-</w:t>
            </w:r>
            <w:r w:rsidRPr="00DE1644">
              <w:t>690-2652</w:t>
            </w:r>
          </w:p>
        </w:tc>
        <w:tc>
          <w:tcPr>
            <w:tcW w:w="1827" w:type="pct"/>
          </w:tcPr>
          <w:p w:rsidRPr="00DE1644" w:rsidR="00DE1644" w:rsidP="00047A76" w:rsidRDefault="00DE1644" w14:paraId="60ED51A4" w14:textId="6DEDC9B6">
            <w:pPr>
              <w:pStyle w:val="TX-TableText"/>
            </w:pPr>
            <w:r>
              <w:t>Darcy.Miller@usda.gov</w:t>
            </w:r>
          </w:p>
        </w:tc>
      </w:tr>
      <w:tr w:rsidRPr="002F60ED" w:rsidR="002D198B" w:rsidTr="00D652C4" w14:paraId="2E9ED821" w14:textId="77777777">
        <w:tc>
          <w:tcPr>
            <w:tcW w:w="1011" w:type="pct"/>
          </w:tcPr>
          <w:p w:rsidR="002D198B" w:rsidP="00047A76" w:rsidRDefault="002D198B" w14:paraId="3C9EE00E" w14:textId="6EEE9F77">
            <w:pPr>
              <w:pStyle w:val="TX-TableText"/>
            </w:pPr>
            <w:r>
              <w:t>Lin Wang</w:t>
            </w:r>
          </w:p>
        </w:tc>
        <w:tc>
          <w:tcPr>
            <w:tcW w:w="1345" w:type="pct"/>
          </w:tcPr>
          <w:p w:rsidR="002D198B" w:rsidP="00047A76" w:rsidRDefault="00DE1644" w14:paraId="36065B05" w14:textId="5BEA2000">
            <w:pPr>
              <w:pStyle w:val="TX-TableText"/>
            </w:pPr>
            <w:r>
              <w:t xml:space="preserve">Research Psychologist, </w:t>
            </w:r>
            <w:r w:rsidR="002D198B">
              <w:t>U.S. Census Bureau</w:t>
            </w:r>
          </w:p>
        </w:tc>
        <w:tc>
          <w:tcPr>
            <w:tcW w:w="817" w:type="pct"/>
          </w:tcPr>
          <w:p w:rsidRPr="00D652C4" w:rsidR="002D198B" w:rsidP="00047A76" w:rsidRDefault="00DE1644" w14:paraId="2CDE91CE" w14:textId="742488FF">
            <w:pPr>
              <w:pStyle w:val="TX-TableText"/>
            </w:pPr>
            <w:r w:rsidRPr="00D652C4">
              <w:t>301-763-9069</w:t>
            </w:r>
          </w:p>
        </w:tc>
        <w:tc>
          <w:tcPr>
            <w:tcW w:w="1827" w:type="pct"/>
          </w:tcPr>
          <w:p w:rsidRPr="002D198B" w:rsidR="002D198B" w:rsidP="00047A76" w:rsidRDefault="00DE1644" w14:paraId="718C4E25" w14:textId="0031E3B9">
            <w:pPr>
              <w:pStyle w:val="TX-TableText"/>
            </w:pPr>
            <w:r>
              <w:t>Lin.wang@census.gov</w:t>
            </w:r>
          </w:p>
        </w:tc>
      </w:tr>
      <w:tr w:rsidRPr="002F60ED" w:rsidR="00FA5AC1" w:rsidTr="00D652C4" w14:paraId="00FA7D8C" w14:textId="77777777">
        <w:tc>
          <w:tcPr>
            <w:tcW w:w="1011" w:type="pct"/>
          </w:tcPr>
          <w:p w:rsidR="00FA5AC1" w:rsidP="00047A76" w:rsidRDefault="00FA5AC1" w14:paraId="7E68B764" w14:textId="08865CE2">
            <w:pPr>
              <w:pStyle w:val="TX-TableText"/>
            </w:pPr>
            <w:r>
              <w:t>John Kirlin</w:t>
            </w:r>
          </w:p>
        </w:tc>
        <w:tc>
          <w:tcPr>
            <w:tcW w:w="1345" w:type="pct"/>
          </w:tcPr>
          <w:p w:rsidRPr="00A144CC" w:rsidR="00FA5AC1" w:rsidP="00047A76" w:rsidRDefault="00FA5AC1" w14:paraId="12506C98" w14:textId="355B70CF">
            <w:pPr>
              <w:pStyle w:val="TX-TableText"/>
            </w:pPr>
            <w:r>
              <w:t>President, Kirlin Analytic Services</w:t>
            </w:r>
          </w:p>
        </w:tc>
        <w:tc>
          <w:tcPr>
            <w:tcW w:w="817" w:type="pct"/>
          </w:tcPr>
          <w:p w:rsidRPr="00A144CC" w:rsidR="00FA5AC1" w:rsidP="00047A76" w:rsidRDefault="00FA5AC1" w14:paraId="3262C109" w14:textId="100390EA">
            <w:pPr>
              <w:pStyle w:val="TX-TableText"/>
            </w:pPr>
            <w:r>
              <w:t>540-786-1042</w:t>
            </w:r>
          </w:p>
        </w:tc>
        <w:tc>
          <w:tcPr>
            <w:tcW w:w="1827" w:type="pct"/>
          </w:tcPr>
          <w:p w:rsidR="00FA5AC1" w:rsidP="00047A76" w:rsidRDefault="009A2C88" w14:paraId="11944A7E" w14:textId="6BCE80A7">
            <w:pPr>
              <w:pStyle w:val="TX-TableText"/>
            </w:pPr>
            <w:hyperlink w:history="1" r:id="rId29">
              <w:r w:rsidRPr="00D8577E" w:rsidR="00601696">
                <w:rPr>
                  <w:rStyle w:val="Hyperlink"/>
                </w:rPr>
                <w:t>johnkir516@hotmail.com</w:t>
              </w:r>
            </w:hyperlink>
          </w:p>
        </w:tc>
      </w:tr>
      <w:bookmarkEnd w:id="116"/>
    </w:tbl>
    <w:p w:rsidR="002C1798" w:rsidP="002C1798" w:rsidRDefault="002C1798" w14:paraId="3F24D268" w14:textId="77777777">
      <w:pPr>
        <w:pStyle w:val="L1-FlLSp12"/>
      </w:pPr>
    </w:p>
    <w:p w:rsidR="00B45518" w:rsidRDefault="00B45518" w14:paraId="37FFAA5B" w14:textId="15D0B1E3">
      <w:pPr>
        <w:spacing w:line="240" w:lineRule="auto"/>
      </w:pPr>
      <w:r>
        <w:br w:type="page"/>
      </w:r>
    </w:p>
    <w:p w:rsidR="008A6A7C" w:rsidP="008F0B77" w:rsidRDefault="00B45518" w14:paraId="0245217E" w14:textId="49A28E9D">
      <w:pPr>
        <w:pStyle w:val="Heading2"/>
        <w:jc w:val="center"/>
      </w:pPr>
      <w:bookmarkStart w:name="_Toc513794221" w:id="123"/>
      <w:bookmarkStart w:name="_Toc74205162" w:id="124"/>
      <w:r>
        <w:t>References</w:t>
      </w:r>
      <w:bookmarkEnd w:id="123"/>
      <w:bookmarkEnd w:id="124"/>
    </w:p>
    <w:p w:rsidR="007362C9" w:rsidP="007362C9" w:rsidRDefault="007362C9" w14:paraId="730D247A" w14:textId="77777777">
      <w:pPr>
        <w:ind w:left="720" w:hanging="720"/>
        <w:rPr>
          <w:rStyle w:val="Hyperlink"/>
        </w:rPr>
      </w:pPr>
    </w:p>
    <w:p w:rsidRPr="007362C9" w:rsidR="007362C9" w:rsidP="007362C9" w:rsidRDefault="007362C9" w14:paraId="5A3D601E" w14:textId="77777777">
      <w:pPr>
        <w:ind w:left="720" w:hanging="720"/>
        <w:rPr>
          <w:color w:val="000000"/>
          <w:lang w:val="en"/>
        </w:rPr>
      </w:pPr>
      <w:proofErr w:type="spellStart"/>
      <w:r w:rsidRPr="007362C9">
        <w:rPr>
          <w:color w:val="000000"/>
          <w:lang w:val="en"/>
        </w:rPr>
        <w:t>Bonke</w:t>
      </w:r>
      <w:proofErr w:type="spellEnd"/>
      <w:r w:rsidRPr="007362C9">
        <w:rPr>
          <w:color w:val="000000"/>
          <w:lang w:val="en"/>
        </w:rPr>
        <w:t xml:space="preserve">, J., &amp; </w:t>
      </w:r>
      <w:proofErr w:type="spellStart"/>
      <w:r w:rsidRPr="007362C9">
        <w:rPr>
          <w:color w:val="000000"/>
          <w:lang w:val="en"/>
        </w:rPr>
        <w:t>Fallesen</w:t>
      </w:r>
      <w:proofErr w:type="spellEnd"/>
      <w:r w:rsidRPr="007362C9">
        <w:rPr>
          <w:color w:val="000000"/>
          <w:lang w:val="en"/>
        </w:rPr>
        <w:t xml:space="preserve">, P. (2010). The Impact of Incentives and Interview Methods on Response Quantity and Quality in Diary- and Booklet-Based Surveys. </w:t>
      </w:r>
      <w:r w:rsidRPr="00593E4E">
        <w:rPr>
          <w:i/>
          <w:color w:val="000000"/>
          <w:lang w:val="en"/>
        </w:rPr>
        <w:t>Survey Research Methods</w:t>
      </w:r>
      <w:r w:rsidRPr="007362C9">
        <w:rPr>
          <w:color w:val="000000"/>
          <w:lang w:val="en"/>
        </w:rPr>
        <w:t>, Vol. 4 No. 2, 91-101.</w:t>
      </w:r>
    </w:p>
    <w:p w:rsidR="007362C9" w:rsidP="00231237" w:rsidRDefault="007362C9" w14:paraId="5B400814" w14:textId="77777777">
      <w:pPr>
        <w:ind w:left="720" w:hanging="720"/>
      </w:pPr>
    </w:p>
    <w:p w:rsidR="00231237" w:rsidP="00231237" w:rsidRDefault="00231237" w14:paraId="71894D5B" w14:textId="4104410B">
      <w:pPr>
        <w:ind w:left="720" w:hanging="720"/>
        <w:rPr>
          <w:rStyle w:val="Hyperlink"/>
        </w:rPr>
      </w:pPr>
      <w:r w:rsidRPr="00231237">
        <w:t>Bowman</w:t>
      </w:r>
      <w:r>
        <w:t>,</w:t>
      </w:r>
      <w:r w:rsidRPr="00231237">
        <w:t xml:space="preserve"> S</w:t>
      </w:r>
      <w:r>
        <w:t>.</w:t>
      </w:r>
      <w:r w:rsidRPr="00231237">
        <w:t>A</w:t>
      </w:r>
      <w:r>
        <w:t>.</w:t>
      </w:r>
      <w:r w:rsidRPr="00231237">
        <w:t>, Clemens</w:t>
      </w:r>
      <w:r>
        <w:t>,</w:t>
      </w:r>
      <w:r w:rsidRPr="00231237">
        <w:t xml:space="preserve"> J</w:t>
      </w:r>
      <w:r>
        <w:t>.</w:t>
      </w:r>
      <w:r w:rsidRPr="00231237">
        <w:t>C</w:t>
      </w:r>
      <w:r>
        <w:t>.</w:t>
      </w:r>
      <w:r w:rsidRPr="00231237">
        <w:t>, Shimizu</w:t>
      </w:r>
      <w:r>
        <w:t>,</w:t>
      </w:r>
      <w:r w:rsidRPr="00231237">
        <w:t xml:space="preserve"> M</w:t>
      </w:r>
      <w:r>
        <w:t>.</w:t>
      </w:r>
      <w:r w:rsidRPr="00231237">
        <w:t>, Friday</w:t>
      </w:r>
      <w:r>
        <w:t>,</w:t>
      </w:r>
      <w:r w:rsidRPr="00231237">
        <w:t xml:space="preserve"> J</w:t>
      </w:r>
      <w:r>
        <w:t>.</w:t>
      </w:r>
      <w:r w:rsidRPr="00231237">
        <w:t>E</w:t>
      </w:r>
      <w:r>
        <w:t>.</w:t>
      </w:r>
      <w:r w:rsidRPr="00231237">
        <w:t xml:space="preserve">, and </w:t>
      </w:r>
      <w:proofErr w:type="spellStart"/>
      <w:r w:rsidRPr="00231237">
        <w:t>Moshfegh</w:t>
      </w:r>
      <w:proofErr w:type="spellEnd"/>
      <w:r>
        <w:t>,</w:t>
      </w:r>
      <w:r w:rsidRPr="00231237">
        <w:t xml:space="preserve"> A</w:t>
      </w:r>
      <w:r>
        <w:t>.</w:t>
      </w:r>
      <w:r w:rsidRPr="00231237">
        <w:t xml:space="preserve">J. </w:t>
      </w:r>
      <w:r>
        <w:t>(</w:t>
      </w:r>
      <w:r w:rsidRPr="00231237">
        <w:t>2018</w:t>
      </w:r>
      <w:r>
        <w:t>)</w:t>
      </w:r>
      <w:r w:rsidRPr="00231237">
        <w:t xml:space="preserve">. </w:t>
      </w:r>
      <w:r w:rsidRPr="000B2E4C">
        <w:t>Food Patterns Equivalents Database 2015-2016: Methodology and User Guide</w:t>
      </w:r>
      <w:r w:rsidRPr="00231237">
        <w:rPr>
          <w:b/>
          <w:bCs/>
        </w:rPr>
        <w:t xml:space="preserve"> </w:t>
      </w:r>
      <w:r w:rsidRPr="00231237">
        <w:t xml:space="preserve">[Online]. Food Surveys Research Group, Beltsville Human Nutrition Research Center, Agricultural Research Service, U.S. Department of Agriculture, Beltsville, Maryland. September 2018. Available at: </w:t>
      </w:r>
      <w:hyperlink w:history="1" r:id="rId30">
        <w:r w:rsidRPr="00231237">
          <w:rPr>
            <w:rStyle w:val="Hyperlink"/>
          </w:rPr>
          <w:t>http://www.ars.usda.gov/nea/bhnrc/fsrg</w:t>
        </w:r>
      </w:hyperlink>
    </w:p>
    <w:p w:rsidRPr="00231237" w:rsidR="00231237" w:rsidP="00231237" w:rsidRDefault="00231237" w14:paraId="3300DA02" w14:textId="77777777">
      <w:pPr>
        <w:ind w:left="720" w:hanging="720"/>
      </w:pPr>
    </w:p>
    <w:p w:rsidR="0059798B" w:rsidP="00B45518" w:rsidRDefault="0059798B" w14:paraId="33E908C5" w14:textId="26DD6A22">
      <w:pPr>
        <w:ind w:left="720" w:hanging="720"/>
      </w:pPr>
      <w:proofErr w:type="spellStart"/>
      <w:r>
        <w:t>Chromy</w:t>
      </w:r>
      <w:proofErr w:type="spellEnd"/>
      <w:r>
        <w:t xml:space="preserve">, J. (1979). </w:t>
      </w:r>
      <w:r w:rsidRPr="0059798B">
        <w:t>Sequenti</w:t>
      </w:r>
      <w:r>
        <w:t xml:space="preserve">al Sampling Selection Methods. </w:t>
      </w:r>
      <w:r w:rsidRPr="0059798B">
        <w:t>Proceedings of the Survey Research Methods Section: American Statistical Association, Vol. 2.</w:t>
      </w:r>
    </w:p>
    <w:p w:rsidR="00BC486C" w:rsidP="00B45518" w:rsidRDefault="00BC486C" w14:paraId="173D6B5A" w14:textId="53DA697D">
      <w:pPr>
        <w:ind w:left="720" w:hanging="720"/>
      </w:pPr>
    </w:p>
    <w:p w:rsidRPr="00BC486C" w:rsidR="00BC486C" w:rsidP="00BC486C" w:rsidRDefault="00BC486C" w14:paraId="25DF9AB6" w14:textId="56911FAC">
      <w:pPr>
        <w:ind w:left="720" w:hanging="720"/>
      </w:pPr>
      <w:proofErr w:type="spellStart"/>
      <w:r w:rsidRPr="00BC486C">
        <w:t>Chromy</w:t>
      </w:r>
      <w:proofErr w:type="spellEnd"/>
      <w:r w:rsidRPr="00BC486C">
        <w:t>, J. R., &amp; Horvitz, D. G. (1978). The use of monetary incentives in national assessment household surveys. </w:t>
      </w:r>
      <w:r w:rsidRPr="00BC486C">
        <w:rPr>
          <w:i/>
          <w:iCs/>
        </w:rPr>
        <w:t>Journal of the American Statistical Association</w:t>
      </w:r>
      <w:r w:rsidRPr="00BC486C">
        <w:t>, </w:t>
      </w:r>
      <w:r w:rsidRPr="00BC486C">
        <w:rPr>
          <w:i/>
          <w:iCs/>
        </w:rPr>
        <w:t>73</w:t>
      </w:r>
      <w:r w:rsidRPr="00BC486C">
        <w:t>(363), 473-478.</w:t>
      </w:r>
    </w:p>
    <w:p w:rsidR="0059798B" w:rsidP="00B45518" w:rsidRDefault="0059798B" w14:paraId="1420D0E5" w14:textId="77777777">
      <w:pPr>
        <w:ind w:left="720" w:hanging="720"/>
      </w:pPr>
    </w:p>
    <w:p w:rsidR="00B45518" w:rsidP="00B45518" w:rsidRDefault="00B45518" w14:paraId="0758837C" w14:textId="155DCB5D">
      <w:pPr>
        <w:ind w:left="720" w:hanging="720"/>
      </w:pPr>
      <w:proofErr w:type="spellStart"/>
      <w:r>
        <w:t>Kalton</w:t>
      </w:r>
      <w:proofErr w:type="spellEnd"/>
      <w:r>
        <w:t xml:space="preserve">, G. (2009). Methods for oversampling rare subpopulations in social surveys. </w:t>
      </w:r>
      <w:r>
        <w:rPr>
          <w:i/>
        </w:rPr>
        <w:t>Survey Methodology,</w:t>
      </w:r>
      <w:r>
        <w:t xml:space="preserve"> 35(2), pp. 145-141.</w:t>
      </w:r>
    </w:p>
    <w:p w:rsidRPr="00464AC9" w:rsidR="00B45518" w:rsidP="00B45518" w:rsidRDefault="00B45518" w14:paraId="1109A5DB" w14:textId="77777777">
      <w:pPr>
        <w:ind w:left="720" w:hanging="720"/>
      </w:pPr>
    </w:p>
    <w:p w:rsidR="00B45518" w:rsidP="00B45518" w:rsidRDefault="00B45518" w14:paraId="69B8EFEE" w14:textId="61C26087">
      <w:pPr>
        <w:ind w:left="720" w:hanging="720"/>
      </w:pPr>
      <w:proofErr w:type="spellStart"/>
      <w:r>
        <w:t>Kalton</w:t>
      </w:r>
      <w:proofErr w:type="spellEnd"/>
      <w:r>
        <w:t xml:space="preserve">, G. and Anderson, D.W. (1986). Sampling rare populations. </w:t>
      </w:r>
      <w:r w:rsidRPr="00464AC9">
        <w:rPr>
          <w:i/>
        </w:rPr>
        <w:t>Journal of the Royal Statistical Society,</w:t>
      </w:r>
      <w:r>
        <w:rPr>
          <w:i/>
        </w:rPr>
        <w:t xml:space="preserve"> Series</w:t>
      </w:r>
      <w:r w:rsidRPr="00464AC9">
        <w:rPr>
          <w:i/>
        </w:rPr>
        <w:t xml:space="preserve"> A</w:t>
      </w:r>
      <w:r>
        <w:t>, 149, pp. 65-82.</w:t>
      </w:r>
    </w:p>
    <w:p w:rsidR="00B45518" w:rsidP="00B45518" w:rsidRDefault="00B45518" w14:paraId="78FDFCD2" w14:textId="19B8001E">
      <w:pPr>
        <w:ind w:left="720" w:hanging="720"/>
      </w:pPr>
    </w:p>
    <w:p w:rsidR="00B45518" w:rsidP="00B45518" w:rsidRDefault="00B45518" w14:paraId="42E9410F" w14:textId="42CEF664">
      <w:pPr>
        <w:ind w:left="720" w:hanging="720"/>
      </w:pPr>
      <w:proofErr w:type="spellStart"/>
      <w:r>
        <w:t>Kalton</w:t>
      </w:r>
      <w:proofErr w:type="spellEnd"/>
      <w:r>
        <w:t xml:space="preserve">, G., Kali, </w:t>
      </w:r>
      <w:r w:rsidR="00A456E9">
        <w:t xml:space="preserve">J. and </w:t>
      </w:r>
      <w:proofErr w:type="spellStart"/>
      <w:r>
        <w:t>Sigman</w:t>
      </w:r>
      <w:proofErr w:type="spellEnd"/>
      <w:r w:rsidR="00A456E9">
        <w:t>, R.</w:t>
      </w:r>
      <w:r>
        <w:t xml:space="preserve"> (2014), Handling Frame Problems When Address-Based Sampling is Used for In-Person Household Surveys, </w:t>
      </w:r>
      <w:r w:rsidRPr="00163F0E">
        <w:rPr>
          <w:i/>
        </w:rPr>
        <w:t>Journal of Survey Statistics and Methodology,</w:t>
      </w:r>
      <w:r>
        <w:t xml:space="preserve"> 2, 283-304.</w:t>
      </w:r>
    </w:p>
    <w:p w:rsidR="00714BEF" w:rsidP="00B45518" w:rsidRDefault="00714BEF" w14:paraId="77044AD3" w14:textId="2875B7EA">
      <w:pPr>
        <w:ind w:left="720" w:hanging="720"/>
      </w:pPr>
    </w:p>
    <w:p w:rsidR="00B27DB2" w:rsidP="00163F0E" w:rsidRDefault="00714BEF" w14:paraId="7F519CA6" w14:textId="32FE901C">
      <w:pPr>
        <w:ind w:left="720" w:hanging="720"/>
        <w:rPr>
          <w:szCs w:val="24"/>
        </w:rPr>
      </w:pPr>
      <w:r w:rsidRPr="00A71D59">
        <w:rPr>
          <w:szCs w:val="24"/>
        </w:rPr>
        <w:t xml:space="preserve">Krenzke, T., and Kali, J. (2016). </w:t>
      </w:r>
      <w:r w:rsidRPr="00A71D59">
        <w:rPr>
          <w:i/>
          <w:szCs w:val="24"/>
        </w:rPr>
        <w:t>Review of the FoodAPS 2012 Sample Design</w:t>
      </w:r>
      <w:r w:rsidRPr="00A71D59">
        <w:rPr>
          <w:szCs w:val="24"/>
        </w:rPr>
        <w:t>. Written for the Economic Research Service, U.S. Department of Agriculture. Washington, D.C</w:t>
      </w:r>
      <w:r w:rsidR="00DA73EF">
        <w:rPr>
          <w:szCs w:val="24"/>
        </w:rPr>
        <w:t>.</w:t>
      </w:r>
    </w:p>
    <w:p w:rsidR="00DA73EF" w:rsidP="00163F0E" w:rsidRDefault="00DA73EF" w14:paraId="6AEB5DBB" w14:textId="12FF7432">
      <w:pPr>
        <w:ind w:left="720" w:hanging="720"/>
        <w:rPr>
          <w:szCs w:val="24"/>
        </w:rPr>
      </w:pPr>
    </w:p>
    <w:p w:rsidR="00DA73EF" w:rsidP="00163F0E" w:rsidRDefault="00DA73EF" w14:paraId="6D196586" w14:textId="60F15D34">
      <w:pPr>
        <w:ind w:left="720" w:hanging="720"/>
      </w:pPr>
      <w:r>
        <w:t>Link, M.W. (2010, November). Address Based Sampling: What Do We Know So Far? Webinar, American Statistical Association.</w:t>
      </w:r>
    </w:p>
    <w:p w:rsidR="00B27DB2" w:rsidP="00163F0E" w:rsidRDefault="00B27DB2" w14:paraId="084107BD" w14:textId="77777777">
      <w:pPr>
        <w:ind w:left="720" w:hanging="720"/>
      </w:pPr>
    </w:p>
    <w:p w:rsidR="00714BEF" w:rsidP="00163F0E" w:rsidRDefault="00714BEF" w14:paraId="24B8D9B6" w14:textId="2B4F6A03">
      <w:pPr>
        <w:ind w:left="720" w:hanging="720"/>
      </w:pPr>
      <w:r>
        <w:t>Mercer, A</w:t>
      </w:r>
      <w:r w:rsidR="00345CB6">
        <w:t>.</w:t>
      </w:r>
      <w:r>
        <w:t xml:space="preserve">, </w:t>
      </w:r>
      <w:proofErr w:type="spellStart"/>
      <w:r>
        <w:t>Caporaso</w:t>
      </w:r>
      <w:proofErr w:type="spellEnd"/>
      <w:r>
        <w:t xml:space="preserve">, </w:t>
      </w:r>
      <w:r w:rsidR="00345CB6">
        <w:t xml:space="preserve">A., </w:t>
      </w:r>
      <w:r>
        <w:t>Cantor,</w:t>
      </w:r>
      <w:r w:rsidR="00345CB6">
        <w:t xml:space="preserve"> D.</w:t>
      </w:r>
      <w:r>
        <w:t xml:space="preserve"> and Townsend</w:t>
      </w:r>
      <w:r w:rsidR="00345CB6">
        <w:t>, R</w:t>
      </w:r>
      <w:r>
        <w:t xml:space="preserve">. </w:t>
      </w:r>
      <w:r w:rsidR="00345CB6">
        <w:t>(</w:t>
      </w:r>
      <w:r>
        <w:t>2015</w:t>
      </w:r>
      <w:r w:rsidR="00345CB6">
        <w:t>)</w:t>
      </w:r>
      <w:r>
        <w:t xml:space="preserve">. How Much Gets You How Much? Monetary Incentives and Response Rates in Household Surveys. </w:t>
      </w:r>
      <w:r w:rsidRPr="004030DC">
        <w:rPr>
          <w:i/>
        </w:rPr>
        <w:t>Public Opinion Quarterly</w:t>
      </w:r>
      <w:r>
        <w:t xml:space="preserve"> 79 (1):105-29.</w:t>
      </w:r>
    </w:p>
    <w:p w:rsidR="00F85847" w:rsidP="00163F0E" w:rsidRDefault="00F85847" w14:paraId="2F1D5EC4" w14:textId="592C8386">
      <w:pPr>
        <w:ind w:left="720" w:hanging="720"/>
      </w:pPr>
    </w:p>
    <w:p w:rsidR="00F85847" w:rsidP="00F85847" w:rsidRDefault="00F85847" w14:paraId="279FAED5" w14:textId="1B33833C">
      <w:pPr>
        <w:ind w:left="720" w:hanging="720"/>
      </w:pPr>
      <w:r w:rsidRPr="00F85847">
        <w:t xml:space="preserve">Petraglia, E., Van de </w:t>
      </w:r>
      <w:proofErr w:type="spellStart"/>
      <w:r w:rsidRPr="00F85847">
        <w:t>Kerckhove</w:t>
      </w:r>
      <w:proofErr w:type="spellEnd"/>
      <w:r w:rsidRPr="00F85847">
        <w:t xml:space="preserve">, W, and Krenzke, T. (2016). </w:t>
      </w:r>
      <w:r w:rsidRPr="00F85847">
        <w:rPr>
          <w:i/>
          <w:iCs/>
        </w:rPr>
        <w:t xml:space="preserve">Review of the Potential for Nonresponse Bias in FoodAPS 2012. </w:t>
      </w:r>
      <w:r w:rsidRPr="00F85847">
        <w:t xml:space="preserve">Prepared for the Economic Research Service, U.S. Department of Agriculture. Washington, D.C., accessible at </w:t>
      </w:r>
      <w:hyperlink w:history="1" r:id="rId31">
        <w:r w:rsidRPr="00F85847">
          <w:rPr>
            <w:rStyle w:val="Hyperlink"/>
          </w:rPr>
          <w:t>https://www.ers.usda.gov/media/9070/potentialnonresponsebias.pdf</w:t>
        </w:r>
      </w:hyperlink>
      <w:r w:rsidRPr="00F85847">
        <w:t>.</w:t>
      </w:r>
    </w:p>
    <w:p w:rsidR="00345CB6" w:rsidP="00F85847" w:rsidRDefault="00345CB6" w14:paraId="223E42F4" w14:textId="77777777">
      <w:pPr>
        <w:ind w:left="720" w:hanging="720"/>
      </w:pPr>
    </w:p>
    <w:p w:rsidRPr="00A456E9" w:rsidR="00A456E9" w:rsidP="00A456E9" w:rsidRDefault="00A456E9" w14:paraId="22D9009B" w14:textId="1B9A6C28">
      <w:pPr>
        <w:ind w:left="720" w:hanging="720"/>
        <w:rPr>
          <w:lang w:val="en"/>
        </w:rPr>
      </w:pPr>
      <w:r w:rsidRPr="00A456E9">
        <w:rPr>
          <w:lang w:val="en"/>
        </w:rPr>
        <w:t>Martin, E., Abreu, D., Winters, F. (2001) Money and Motive: Effects of Incentives on Panel</w:t>
      </w:r>
      <w:r>
        <w:rPr>
          <w:lang w:val="en"/>
        </w:rPr>
        <w:t xml:space="preserve"> </w:t>
      </w:r>
      <w:r w:rsidRPr="00A456E9">
        <w:rPr>
          <w:lang w:val="en"/>
        </w:rPr>
        <w:t xml:space="preserve">Attritions in the Survey of Income and Program Participation. </w:t>
      </w:r>
      <w:r w:rsidRPr="00593E4E">
        <w:rPr>
          <w:i/>
          <w:lang w:val="en"/>
        </w:rPr>
        <w:t>Journal of Official Statistics</w:t>
      </w:r>
      <w:r w:rsidRPr="00A456E9">
        <w:rPr>
          <w:lang w:val="en"/>
        </w:rPr>
        <w:t>, Vol. 17 No. 2, 267-284</w:t>
      </w:r>
    </w:p>
    <w:p w:rsidRPr="00A456E9" w:rsidR="00A456E9" w:rsidP="00A456E9" w:rsidRDefault="00A456E9" w14:paraId="79F8F7E6" w14:textId="77777777">
      <w:pPr>
        <w:ind w:left="720" w:hanging="720"/>
        <w:rPr>
          <w:lang w:val="en"/>
        </w:rPr>
      </w:pPr>
    </w:p>
    <w:p w:rsidRPr="00A456E9" w:rsidR="00A456E9" w:rsidP="00A456E9" w:rsidRDefault="00A456E9" w14:paraId="625FF43A" w14:textId="3E3BB848">
      <w:pPr>
        <w:ind w:left="720" w:hanging="720"/>
        <w:rPr>
          <w:lang w:val="en"/>
        </w:rPr>
      </w:pPr>
      <w:r w:rsidRPr="00A456E9">
        <w:rPr>
          <w:lang w:val="en"/>
        </w:rPr>
        <w:t>Singer, E</w:t>
      </w:r>
      <w:r>
        <w:rPr>
          <w:lang w:val="en"/>
        </w:rPr>
        <w:t>.</w:t>
      </w:r>
      <w:r w:rsidRPr="00A456E9">
        <w:rPr>
          <w:lang w:val="en"/>
        </w:rPr>
        <w:t xml:space="preserve">, </w:t>
      </w:r>
      <w:r>
        <w:rPr>
          <w:lang w:val="en"/>
        </w:rPr>
        <w:t xml:space="preserve">Van </w:t>
      </w:r>
      <w:proofErr w:type="spellStart"/>
      <w:r w:rsidRPr="00A456E9">
        <w:rPr>
          <w:lang w:val="en"/>
        </w:rPr>
        <w:t>Hoewyk</w:t>
      </w:r>
      <w:proofErr w:type="spellEnd"/>
      <w:r w:rsidRPr="00A456E9">
        <w:rPr>
          <w:lang w:val="en"/>
        </w:rPr>
        <w:t>,</w:t>
      </w:r>
      <w:r>
        <w:rPr>
          <w:lang w:val="en"/>
        </w:rPr>
        <w:t xml:space="preserve"> J.</w:t>
      </w:r>
      <w:r w:rsidRPr="00A456E9">
        <w:rPr>
          <w:lang w:val="en"/>
        </w:rPr>
        <w:t xml:space="preserve"> and Maher</w:t>
      </w:r>
      <w:r>
        <w:rPr>
          <w:lang w:val="en"/>
        </w:rPr>
        <w:t>, M</w:t>
      </w:r>
      <w:r w:rsidRPr="00A456E9">
        <w:rPr>
          <w:lang w:val="en"/>
        </w:rPr>
        <w:t xml:space="preserve">. </w:t>
      </w:r>
      <w:r>
        <w:rPr>
          <w:lang w:val="en"/>
        </w:rPr>
        <w:t>(</w:t>
      </w:r>
      <w:r w:rsidRPr="00A456E9">
        <w:rPr>
          <w:lang w:val="en"/>
        </w:rPr>
        <w:t>1998</w:t>
      </w:r>
      <w:r>
        <w:rPr>
          <w:lang w:val="en"/>
        </w:rPr>
        <w:t>)</w:t>
      </w:r>
      <w:r w:rsidRPr="00A456E9">
        <w:rPr>
          <w:lang w:val="en"/>
        </w:rPr>
        <w:t xml:space="preserve">. “Does the Payment of Incentives Create Expectation Effects?” </w:t>
      </w:r>
      <w:r w:rsidRPr="00593E4E">
        <w:rPr>
          <w:i/>
          <w:lang w:val="en"/>
        </w:rPr>
        <w:t>Public Opinion Quarterly</w:t>
      </w:r>
      <w:r w:rsidRPr="00A456E9">
        <w:rPr>
          <w:lang w:val="en"/>
        </w:rPr>
        <w:t xml:space="preserve"> 62:152-64.</w:t>
      </w:r>
    </w:p>
    <w:p w:rsidRPr="00A456E9" w:rsidR="00A456E9" w:rsidP="00A456E9" w:rsidRDefault="00A456E9" w14:paraId="16293056" w14:textId="77777777">
      <w:pPr>
        <w:ind w:left="720" w:hanging="720"/>
        <w:rPr>
          <w:lang w:val="en"/>
        </w:rPr>
      </w:pPr>
    </w:p>
    <w:p w:rsidRPr="00A456E9" w:rsidR="00A456E9" w:rsidP="00A456E9" w:rsidRDefault="00A456E9" w14:paraId="5FDD42BC" w14:textId="2B68ED3B">
      <w:pPr>
        <w:ind w:left="720" w:hanging="720"/>
        <w:rPr>
          <w:lang w:val="en"/>
        </w:rPr>
      </w:pPr>
      <w:r w:rsidRPr="00A456E9">
        <w:rPr>
          <w:lang w:val="en"/>
        </w:rPr>
        <w:t xml:space="preserve">Singer, E. Van </w:t>
      </w:r>
      <w:proofErr w:type="spellStart"/>
      <w:r w:rsidRPr="00A456E9">
        <w:rPr>
          <w:lang w:val="en"/>
        </w:rPr>
        <w:t>Hoewyk</w:t>
      </w:r>
      <w:proofErr w:type="spellEnd"/>
      <w:r w:rsidRPr="00A456E9">
        <w:rPr>
          <w:lang w:val="en"/>
        </w:rPr>
        <w:t xml:space="preserve">, J., </w:t>
      </w:r>
      <w:proofErr w:type="spellStart"/>
      <w:r w:rsidRPr="00A456E9">
        <w:rPr>
          <w:lang w:val="en"/>
        </w:rPr>
        <w:t>Gebler</w:t>
      </w:r>
      <w:proofErr w:type="spellEnd"/>
      <w:r w:rsidRPr="00A456E9">
        <w:rPr>
          <w:lang w:val="en"/>
        </w:rPr>
        <w:t xml:space="preserve">, N., </w:t>
      </w:r>
      <w:r>
        <w:rPr>
          <w:lang w:val="en"/>
        </w:rPr>
        <w:t>Raghunathan, T., and</w:t>
      </w:r>
      <w:r w:rsidRPr="00A456E9">
        <w:rPr>
          <w:lang w:val="en"/>
        </w:rPr>
        <w:t xml:space="preserve"> McGonagle, K. (1999)</w:t>
      </w:r>
      <w:r w:rsidR="00345CB6">
        <w:rPr>
          <w:lang w:val="en"/>
        </w:rPr>
        <w:t>.</w:t>
      </w:r>
      <w:r w:rsidRPr="00A456E9">
        <w:rPr>
          <w:lang w:val="en"/>
        </w:rPr>
        <w:t xml:space="preserve"> The Effect of Incentives on Response Rates in Interviewer-Mediated Surveys. </w:t>
      </w:r>
      <w:r w:rsidRPr="00593E4E">
        <w:rPr>
          <w:i/>
          <w:lang w:val="en"/>
        </w:rPr>
        <w:t>Journal of Offic</w:t>
      </w:r>
      <w:r w:rsidR="00F61E34">
        <w:rPr>
          <w:i/>
          <w:lang w:val="en"/>
        </w:rPr>
        <w:t>i</w:t>
      </w:r>
      <w:r w:rsidRPr="00593E4E">
        <w:rPr>
          <w:i/>
          <w:lang w:val="en"/>
        </w:rPr>
        <w:t>al Statistics</w:t>
      </w:r>
      <w:r w:rsidRPr="00A456E9">
        <w:rPr>
          <w:lang w:val="en"/>
        </w:rPr>
        <w:t>, Vol.15, No. 2, pp. 217-230</w:t>
      </w:r>
    </w:p>
    <w:p w:rsidRPr="00A456E9" w:rsidR="00A456E9" w:rsidP="00A456E9" w:rsidRDefault="00A456E9" w14:paraId="46562201" w14:textId="77777777">
      <w:pPr>
        <w:ind w:left="720" w:hanging="720"/>
        <w:rPr>
          <w:lang w:val="en"/>
        </w:rPr>
      </w:pPr>
    </w:p>
    <w:p w:rsidRPr="00A456E9" w:rsidR="00A456E9" w:rsidP="00A456E9" w:rsidRDefault="00A456E9" w14:paraId="60B25502" w14:textId="4A4FED15">
      <w:pPr>
        <w:ind w:left="720" w:hanging="720"/>
        <w:rPr>
          <w:lang w:val="en"/>
        </w:rPr>
      </w:pPr>
      <w:r>
        <w:rPr>
          <w:lang w:val="en"/>
        </w:rPr>
        <w:t xml:space="preserve">Singer, E. (2002). </w:t>
      </w:r>
      <w:r w:rsidRPr="00593E4E">
        <w:rPr>
          <w:i/>
          <w:lang w:val="en"/>
        </w:rPr>
        <w:t>The Use of Incentives to Reduce Nonresponse in Household Surveys</w:t>
      </w:r>
      <w:r>
        <w:rPr>
          <w:lang w:val="en"/>
        </w:rPr>
        <w:t xml:space="preserve">. </w:t>
      </w:r>
      <w:r w:rsidRPr="00A456E9">
        <w:rPr>
          <w:lang w:val="en"/>
        </w:rPr>
        <w:t>in Survey Nonresponse, eds. Robert M. Groves, Dan A. Dillm</w:t>
      </w:r>
      <w:r w:rsidR="00F61E34">
        <w:rPr>
          <w:lang w:val="en"/>
        </w:rPr>
        <w:t>a</w:t>
      </w:r>
      <w:r w:rsidRPr="00A456E9">
        <w:rPr>
          <w:lang w:val="en"/>
        </w:rPr>
        <w:t>n, John L, Eltinge, and Roderick J. A. Little, pp. 163-77.</w:t>
      </w:r>
    </w:p>
    <w:p w:rsidR="001505CA" w:rsidP="001505CA" w:rsidRDefault="001505CA" w14:paraId="30931DC1" w14:textId="77777777">
      <w:pPr>
        <w:ind w:left="720" w:hanging="720"/>
      </w:pPr>
    </w:p>
    <w:p w:rsidR="00F85847" w:rsidP="00163F0E" w:rsidRDefault="00F85847" w14:paraId="1BBE8692" w14:textId="77777777">
      <w:pPr>
        <w:ind w:left="720" w:hanging="720"/>
      </w:pPr>
    </w:p>
    <w:sectPr w:rsidR="00F85847" w:rsidSect="0080304D">
      <w:footerReference w:type="first" r:id="rId32"/>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B33FE" w14:textId="77777777" w:rsidR="009A2C88" w:rsidRDefault="009A2C88">
      <w:pPr>
        <w:spacing w:line="240" w:lineRule="auto"/>
      </w:pPr>
      <w:r>
        <w:separator/>
      </w:r>
    </w:p>
  </w:endnote>
  <w:endnote w:type="continuationSeparator" w:id="0">
    <w:p w14:paraId="470DCB62" w14:textId="77777777" w:rsidR="009A2C88" w:rsidRDefault="009A2C88">
      <w:pPr>
        <w:spacing w:line="240" w:lineRule="auto"/>
      </w:pPr>
      <w:r>
        <w:continuationSeparator/>
      </w:r>
    </w:p>
  </w:endnote>
  <w:endnote w:type="continuationNotice" w:id="1">
    <w:p w14:paraId="76B23988" w14:textId="77777777" w:rsidR="009A2C88" w:rsidRDefault="009A2C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59"/>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7FF86" w14:textId="77777777" w:rsidR="009A2C88" w:rsidRDefault="009A2C88" w:rsidP="00D6308A">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FB036" w14:textId="7B8AFB57" w:rsidR="009A2C88" w:rsidRPr="00E60620" w:rsidRDefault="009A2C88" w:rsidP="00E60620">
    <w:pPr>
      <w:pStyle w:val="Footer"/>
      <w:jc w:val="center"/>
    </w:pPr>
    <w:r>
      <w:fldChar w:fldCharType="begin"/>
    </w:r>
    <w:r>
      <w:instrText xml:space="preserve"> PAGE   \* MERGEFORMAT </w:instrText>
    </w:r>
    <w: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75DF" w14:textId="4AED7574" w:rsidR="009A2C88" w:rsidRPr="00D6415D" w:rsidRDefault="009A2C88"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Pr>
        <w:noProof/>
      </w:rPr>
      <w:t>ii</w:t>
    </w:r>
    <w:r w:rsidRPr="00D6415D">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348B" w14:textId="73B2494F" w:rsidR="009A2C88" w:rsidRPr="00D6415D" w:rsidRDefault="009A2C88"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Pr>
        <w:noProof/>
      </w:rPr>
      <w:t>5</w:t>
    </w:r>
    <w:r w:rsidRPr="00D6415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1DFC6" w14:textId="77777777" w:rsidR="009A2C88" w:rsidRDefault="009A2C88">
      <w:pPr>
        <w:spacing w:line="240" w:lineRule="auto"/>
      </w:pPr>
      <w:r>
        <w:separator/>
      </w:r>
    </w:p>
  </w:footnote>
  <w:footnote w:type="continuationSeparator" w:id="0">
    <w:p w14:paraId="3A8D4B23" w14:textId="77777777" w:rsidR="009A2C88" w:rsidRDefault="009A2C88">
      <w:pPr>
        <w:spacing w:line="240" w:lineRule="auto"/>
      </w:pPr>
      <w:r>
        <w:continuationSeparator/>
      </w:r>
    </w:p>
  </w:footnote>
  <w:footnote w:type="continuationNotice" w:id="1">
    <w:p w14:paraId="5DD5FCCB" w14:textId="77777777" w:rsidR="009A2C88" w:rsidRDefault="009A2C88">
      <w:pPr>
        <w:spacing w:line="240" w:lineRule="auto"/>
      </w:pPr>
    </w:p>
  </w:footnote>
  <w:footnote w:id="2">
    <w:p w14:paraId="11C1024D" w14:textId="77777777" w:rsidR="009A2C88" w:rsidRDefault="009A2C88" w:rsidP="004F3FA5">
      <w:pPr>
        <w:pStyle w:val="FootnoteText"/>
      </w:pPr>
      <w:r>
        <w:rPr>
          <w:rStyle w:val="FootnoteReference"/>
        </w:rPr>
        <w:footnoteRef/>
      </w:r>
      <w:r>
        <w:t xml:space="preserve"> The National Food Study Pilot was also known internally at USDA as the Alternative Data Collection Method (ADCM) Pilot. For background information on the ADCM Pilot, see </w:t>
      </w:r>
      <w:r w:rsidRPr="00A16D2F">
        <w:t>https://www.reginfo.gov/public/do/DownloadDocument?objectID=68178702</w:t>
      </w:r>
      <w:r>
        <w:t>.</w:t>
      </w:r>
    </w:p>
  </w:footnote>
  <w:footnote w:id="3">
    <w:p w14:paraId="6EB56CCD" w14:textId="0F4B79FE" w:rsidR="009A2C88" w:rsidRDefault="009A2C88">
      <w:pPr>
        <w:pStyle w:val="FootnoteText"/>
      </w:pPr>
      <w:r>
        <w:rPr>
          <w:rStyle w:val="FootnoteReference"/>
        </w:rPr>
        <w:footnoteRef/>
      </w:r>
      <w:r>
        <w:t xml:space="preserve"> Expectations regarding the distribution of respondents using </w:t>
      </w:r>
      <w:r w:rsidRPr="00B42251">
        <w:t>the smartphone, web, and phone</w:t>
      </w:r>
      <w:r>
        <w:t xml:space="preserve"> to complete their Food Log entries during the survey week are derived from the ADCM Pilot. </w:t>
      </w:r>
    </w:p>
  </w:footnote>
  <w:footnote w:id="4">
    <w:p w14:paraId="2BCA61A4" w14:textId="0F84ACE0" w:rsidR="009A2C88" w:rsidRDefault="009A2C88">
      <w:pPr>
        <w:pStyle w:val="FootnoteText"/>
      </w:pPr>
      <w:r>
        <w:rPr>
          <w:rStyle w:val="FootnoteReference"/>
        </w:rPr>
        <w:footnoteRef/>
      </w:r>
      <w:r>
        <w:t xml:space="preserve"> We expect the percentage of cases completing their Food Log entries by phone to be small (3% of less) so this subgroup will be excluded from any analyses comparing data collection modes with respect to respondent burden and data completeness. </w:t>
      </w:r>
    </w:p>
  </w:footnote>
  <w:footnote w:id="5">
    <w:p w14:paraId="4C6B217B" w14:textId="77777777" w:rsidR="009A2C88" w:rsidRDefault="009A2C88" w:rsidP="0063682D">
      <w:pPr>
        <w:pStyle w:val="FootnoteText"/>
      </w:pPr>
      <w:r>
        <w:rPr>
          <w:rStyle w:val="FootnoteReference"/>
        </w:rPr>
        <w:footnoteRef/>
      </w:r>
      <w:r>
        <w:t xml:space="preserve"> </w:t>
      </w:r>
      <w:r w:rsidRPr="00A712CE">
        <w:t>On average there are about 69 block groups per county in the US with about 604 housing units in each.</w:t>
      </w:r>
    </w:p>
  </w:footnote>
  <w:footnote w:id="6">
    <w:p w14:paraId="675E2532" w14:textId="77777777" w:rsidR="009A2C88" w:rsidRDefault="009A2C88" w:rsidP="002B07C0">
      <w:pPr>
        <w:pStyle w:val="FootnoteText"/>
      </w:pPr>
      <w:r>
        <w:rPr>
          <w:rStyle w:val="FootnoteReference"/>
        </w:rPr>
        <w:footnoteRef/>
      </w:r>
      <w:r>
        <w:t xml:space="preserve"> The geographic sort used the following when available: </w:t>
      </w:r>
      <w:r w:rsidRPr="00791CEF">
        <w:t>ZIP, carrier route, walk sequence, and street name</w:t>
      </w:r>
      <w:r>
        <w:t xml:space="preserve">. </w:t>
      </w:r>
      <w:r w:rsidRPr="00791CEF">
        <w:t xml:space="preserve">Street name </w:t>
      </w:r>
      <w:r>
        <w:t>was</w:t>
      </w:r>
      <w:r w:rsidRPr="00791CEF">
        <w:t xml:space="preserve"> used for the SNAP households that were not on the ABS list and have missing values of carrier route and walk sequence</w:t>
      </w:r>
      <w:r>
        <w:t>.</w:t>
      </w:r>
    </w:p>
  </w:footnote>
  <w:footnote w:id="7">
    <w:p w14:paraId="4659CDC4" w14:textId="358C33E0" w:rsidR="009A2C88" w:rsidRDefault="009A2C88">
      <w:pPr>
        <w:pStyle w:val="FootnoteText"/>
      </w:pPr>
      <w:r>
        <w:rPr>
          <w:rStyle w:val="FootnoteReference"/>
        </w:rPr>
        <w:footnoteRef/>
      </w:r>
      <w:r>
        <w:t xml:space="preserve"> It is important to note that by “SNAP addresses” we do not mean that the same SNAP-eligible HH resides at the address as at the time of the ADCM. The household could have moved since the ADCM; as long as the current HH residing at that address receives SNAP, the address will count as a SNAP HH for the Field Test. WIC addresses were also collected at the time of the NFS Pilot, however, these were not used for sample selection purposes.</w:t>
      </w:r>
    </w:p>
  </w:footnote>
  <w:footnote w:id="8">
    <w:p w14:paraId="2F4524AC" w14:textId="0D7C97CA" w:rsidR="009A2C88" w:rsidRDefault="009A2C88">
      <w:pPr>
        <w:pStyle w:val="FootnoteText"/>
      </w:pPr>
      <w:r>
        <w:rPr>
          <w:rStyle w:val="FootnoteReference"/>
        </w:rPr>
        <w:footnoteRef/>
      </w:r>
      <w:r>
        <w:t xml:space="preserve"> Variables considered for the model will include, but are not limited to: tract-level demographic, income, and housing information from ACS, administrative data on food access/food desert status, paradata such as number of screener attempts and interviewer observations, and household screener responses for household size, household demographics (e.g., overall HH size, anyone less than 18 years old in HH, anyone age 65 and older in HH, and reported screener income group (including reported SNAP and/or WIC status)). </w:t>
      </w:r>
    </w:p>
  </w:footnote>
  <w:footnote w:id="9">
    <w:p w14:paraId="368A7DAE" w14:textId="62A46775" w:rsidR="009A2C88" w:rsidRDefault="009A2C88">
      <w:pPr>
        <w:pStyle w:val="FootnoteText"/>
      </w:pPr>
      <w:r>
        <w:rPr>
          <w:rStyle w:val="FootnoteReference"/>
        </w:rPr>
        <w:footnoteRef/>
      </w:r>
      <w:r>
        <w:t xml:space="preserve"> </w:t>
      </w:r>
      <w:r w:rsidRPr="006A55D7">
        <w:t>The NFS Pilot analysis report is not publicly available, but a redacted version is available upon request for further information.</w:t>
      </w:r>
    </w:p>
  </w:footnote>
  <w:footnote w:id="10">
    <w:p w14:paraId="4A23CDBB" w14:textId="7DC8AB5A" w:rsidR="009A2C88" w:rsidRDefault="009A2C88" w:rsidP="00BC014F">
      <w:pPr>
        <w:pStyle w:val="FootnoteText"/>
      </w:pPr>
      <w:r>
        <w:rPr>
          <w:rStyle w:val="FootnoteReference"/>
        </w:rPr>
        <w:footnoteRef/>
      </w:r>
      <w:r>
        <w:t xml:space="preserve"> </w:t>
      </w:r>
      <w:r w:rsidRPr="00BC014F">
        <w:t xml:space="preserve">U.S. Department of Agriculture, Agricultural Research Service. 2020. </w:t>
      </w:r>
      <w:r w:rsidRPr="00BC014F">
        <w:rPr>
          <w:i/>
          <w:iCs/>
        </w:rPr>
        <w:t xml:space="preserve">USDA Food and Nutrient Database for Dietary Studies 2017-2018. </w:t>
      </w:r>
      <w:r w:rsidRPr="00BC014F">
        <w:t xml:space="preserve">Food Surveys Research Group Home Page, </w:t>
      </w:r>
      <w:hyperlink r:id="rId1" w:history="1">
        <w:r w:rsidRPr="00BC014F">
          <w:rPr>
            <w:rStyle w:val="Hyperlink"/>
          </w:rPr>
          <w:t>http://www.ars.usda.gov/nea/bhnrc/fsrg</w:t>
        </w:r>
      </w:hyperlink>
    </w:p>
  </w:footnote>
  <w:footnote w:id="11">
    <w:p w14:paraId="15F7CB40" w14:textId="02DE6781" w:rsidR="009A2C88" w:rsidRDefault="009A2C88" w:rsidP="00DC711F">
      <w:pPr>
        <w:pStyle w:val="FootnoteText"/>
      </w:pPr>
      <w:r>
        <w:rPr>
          <w:rStyle w:val="FootnoteReference"/>
        </w:rPr>
        <w:footnoteRef/>
      </w:r>
      <w:r>
        <w:t xml:space="preserve"> </w:t>
      </w:r>
      <w:r w:rsidRPr="00DC711F">
        <w:t xml:space="preserve">Food Data Central: </w:t>
      </w:r>
      <w:r w:rsidRPr="00DC711F">
        <w:rPr>
          <w:lang w:val="en"/>
        </w:rPr>
        <w:t xml:space="preserve">U.S. Department of Agriculture, Agricultural Research Service. FoodData Central, 2019. </w:t>
      </w:r>
      <w:r w:rsidRPr="000B2E4C">
        <w:t>fdc.nal.usda.gov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A236B" w14:textId="77777777" w:rsidR="009A2C88" w:rsidRDefault="009A2C88" w:rsidP="00541C40">
    <w:pPr>
      <w:pStyle w:val="Header"/>
      <w:ind w:right="4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82A33" w14:textId="77777777" w:rsidR="009A2C88" w:rsidRDefault="009A2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6249F" w14:textId="77777777" w:rsidR="009A2C88" w:rsidRPr="007C2CD6" w:rsidRDefault="009A2C88" w:rsidP="007C2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0B46"/>
    <w:multiLevelType w:val="multilevel"/>
    <w:tmpl w:val="3CCA7D96"/>
    <w:lvl w:ilvl="0">
      <w:start w:val="1"/>
      <w:numFmt w:val="decimal"/>
      <w:lvlText w:val="%1."/>
      <w:lvlJc w:val="left"/>
      <w:pPr>
        <w:tabs>
          <w:tab w:val="num" w:pos="1152"/>
        </w:tabs>
        <w:ind w:left="1152" w:hanging="576"/>
      </w:pPr>
      <w:rPr>
        <w:rFonts w:hint="default"/>
        <w:color w:val="auto"/>
        <w:sz w:val="24"/>
        <w:szCs w:val="24"/>
      </w:rPr>
    </w:lvl>
    <w:lvl w:ilvl="1">
      <w:start w:val="1"/>
      <w:numFmt w:val="decimal"/>
      <w:isLgl/>
      <w:lvlText w:val="%1.%2"/>
      <w:lvlJc w:val="left"/>
      <w:pPr>
        <w:ind w:left="1296" w:hanging="720"/>
      </w:pPr>
      <w:rPr>
        <w:rFonts w:hint="default"/>
      </w:rPr>
    </w:lvl>
    <w:lvl w:ilvl="2">
      <w:start w:val="2"/>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 w15:restartNumberingAfterBreak="0">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02F3"/>
    <w:multiLevelType w:val="hybridMultilevel"/>
    <w:tmpl w:val="6C16194A"/>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63A09"/>
    <w:multiLevelType w:val="hybridMultilevel"/>
    <w:tmpl w:val="33B6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5AD2"/>
    <w:multiLevelType w:val="hybridMultilevel"/>
    <w:tmpl w:val="CE42555A"/>
    <w:lvl w:ilvl="0" w:tplc="21E6F6F0">
      <w:start w:val="1"/>
      <w:numFmt w:val="bullet"/>
      <w:pStyle w:val="BulletRedLastSS"/>
      <w:lvlText w:val=""/>
      <w:lvlJc w:val="left"/>
      <w:pPr>
        <w:ind w:left="1260" w:hanging="360"/>
      </w:pPr>
      <w:rPr>
        <w:rFonts w:ascii="Wingdings" w:hAnsi="Wingdings" w:hint="default"/>
        <w:color w:val="FFC000"/>
        <w:sz w:val="16"/>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B769BE"/>
    <w:multiLevelType w:val="hybridMultilevel"/>
    <w:tmpl w:val="B0FE84F6"/>
    <w:lvl w:ilvl="0" w:tplc="3D4A9B9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222E4"/>
    <w:multiLevelType w:val="hybridMultilevel"/>
    <w:tmpl w:val="8FF4E6BA"/>
    <w:lvl w:ilvl="0" w:tplc="3210FFBA">
      <w:start w:val="1"/>
      <w:numFmt w:val="decimal"/>
      <w:pStyle w:val="NL-1stNumberedBullet"/>
      <w:lvlText w:val="%1."/>
      <w:lvlJc w:val="left"/>
      <w:pPr>
        <w:ind w:left="720" w:hanging="360"/>
      </w:pPr>
      <w:rPr>
        <w:rFonts w:ascii="Calibri" w:hAnsi="Calibri" w:hint="default"/>
        <w:b/>
        <w:i w:val="0"/>
        <w:color w:val="E39B3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5B87F8B"/>
    <w:multiLevelType w:val="hybridMultilevel"/>
    <w:tmpl w:val="71B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01F13"/>
    <w:multiLevelType w:val="hybridMultilevel"/>
    <w:tmpl w:val="9EF2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6" w15:restartNumberingAfterBreak="0">
    <w:nsid w:val="444001FB"/>
    <w:multiLevelType w:val="hybridMultilevel"/>
    <w:tmpl w:val="64D2340E"/>
    <w:lvl w:ilvl="0" w:tplc="52C47964">
      <w:start w:val="1"/>
      <w:numFmt w:val="decimal"/>
      <w:lvlText w:val="%1."/>
      <w:lvlJc w:val="left"/>
      <w:pPr>
        <w:tabs>
          <w:tab w:val="num" w:pos="720"/>
        </w:tabs>
        <w:ind w:left="720" w:hanging="360"/>
      </w:pPr>
    </w:lvl>
    <w:lvl w:ilvl="1" w:tplc="8B6295E0">
      <w:start w:val="1"/>
      <w:numFmt w:val="decimal"/>
      <w:lvlText w:val="%2."/>
      <w:lvlJc w:val="left"/>
      <w:pPr>
        <w:tabs>
          <w:tab w:val="num" w:pos="1440"/>
        </w:tabs>
        <w:ind w:left="1440" w:hanging="360"/>
      </w:pPr>
    </w:lvl>
    <w:lvl w:ilvl="2" w:tplc="183E4BB6" w:tentative="1">
      <w:start w:val="1"/>
      <w:numFmt w:val="decimal"/>
      <w:lvlText w:val="%3."/>
      <w:lvlJc w:val="left"/>
      <w:pPr>
        <w:tabs>
          <w:tab w:val="num" w:pos="2160"/>
        </w:tabs>
        <w:ind w:left="2160" w:hanging="360"/>
      </w:pPr>
    </w:lvl>
    <w:lvl w:ilvl="3" w:tplc="F0C445EE" w:tentative="1">
      <w:start w:val="1"/>
      <w:numFmt w:val="decimal"/>
      <w:lvlText w:val="%4."/>
      <w:lvlJc w:val="left"/>
      <w:pPr>
        <w:tabs>
          <w:tab w:val="num" w:pos="2880"/>
        </w:tabs>
        <w:ind w:left="2880" w:hanging="360"/>
      </w:pPr>
    </w:lvl>
    <w:lvl w:ilvl="4" w:tplc="2AE648C6" w:tentative="1">
      <w:start w:val="1"/>
      <w:numFmt w:val="decimal"/>
      <w:lvlText w:val="%5."/>
      <w:lvlJc w:val="left"/>
      <w:pPr>
        <w:tabs>
          <w:tab w:val="num" w:pos="3600"/>
        </w:tabs>
        <w:ind w:left="3600" w:hanging="360"/>
      </w:pPr>
    </w:lvl>
    <w:lvl w:ilvl="5" w:tplc="58EE0190" w:tentative="1">
      <w:start w:val="1"/>
      <w:numFmt w:val="decimal"/>
      <w:lvlText w:val="%6."/>
      <w:lvlJc w:val="left"/>
      <w:pPr>
        <w:tabs>
          <w:tab w:val="num" w:pos="4320"/>
        </w:tabs>
        <w:ind w:left="4320" w:hanging="360"/>
      </w:pPr>
    </w:lvl>
    <w:lvl w:ilvl="6" w:tplc="30266C76" w:tentative="1">
      <w:start w:val="1"/>
      <w:numFmt w:val="decimal"/>
      <w:lvlText w:val="%7."/>
      <w:lvlJc w:val="left"/>
      <w:pPr>
        <w:tabs>
          <w:tab w:val="num" w:pos="5040"/>
        </w:tabs>
        <w:ind w:left="5040" w:hanging="360"/>
      </w:pPr>
    </w:lvl>
    <w:lvl w:ilvl="7" w:tplc="46626E5A" w:tentative="1">
      <w:start w:val="1"/>
      <w:numFmt w:val="decimal"/>
      <w:lvlText w:val="%8."/>
      <w:lvlJc w:val="left"/>
      <w:pPr>
        <w:tabs>
          <w:tab w:val="num" w:pos="5760"/>
        </w:tabs>
        <w:ind w:left="5760" w:hanging="360"/>
      </w:pPr>
    </w:lvl>
    <w:lvl w:ilvl="8" w:tplc="0B5410C2" w:tentative="1">
      <w:start w:val="1"/>
      <w:numFmt w:val="decimal"/>
      <w:lvlText w:val="%9."/>
      <w:lvlJc w:val="left"/>
      <w:pPr>
        <w:tabs>
          <w:tab w:val="num" w:pos="6480"/>
        </w:tabs>
        <w:ind w:left="6480" w:hanging="360"/>
      </w:pPr>
    </w:lvl>
  </w:abstractNum>
  <w:abstractNum w:abstractNumId="17" w15:restartNumberingAfterBreak="0">
    <w:nsid w:val="467F29C0"/>
    <w:multiLevelType w:val="hybridMultilevel"/>
    <w:tmpl w:val="1BF8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D0FB4"/>
    <w:multiLevelType w:val="hybridMultilevel"/>
    <w:tmpl w:val="2206CB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19">
      <w:start w:val="1"/>
      <w:numFmt w:val="lowerLetter"/>
      <w:lvlText w:val="%4."/>
      <w:lvlJc w:val="left"/>
      <w:pPr>
        <w:tabs>
          <w:tab w:val="num" w:pos="1440"/>
        </w:tabs>
        <w:ind w:left="14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C1760"/>
    <w:multiLevelType w:val="hybridMultilevel"/>
    <w:tmpl w:val="F90ABD26"/>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22442"/>
    <w:multiLevelType w:val="hybridMultilevel"/>
    <w:tmpl w:val="BC00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0219B"/>
    <w:multiLevelType w:val="hybridMultilevel"/>
    <w:tmpl w:val="D7F8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317F"/>
    <w:multiLevelType w:val="hybridMultilevel"/>
    <w:tmpl w:val="10A6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0"/>
  </w:num>
  <w:num w:numId="2">
    <w:abstractNumId w:val="3"/>
  </w:num>
  <w:num w:numId="3">
    <w:abstractNumId w:val="6"/>
  </w:num>
  <w:num w:numId="4">
    <w:abstractNumId w:val="14"/>
    <w:lvlOverride w:ilvl="0">
      <w:startOverride w:val="1"/>
    </w:lvlOverride>
  </w:num>
  <w:num w:numId="5">
    <w:abstractNumId w:val="25"/>
  </w:num>
  <w:num w:numId="6">
    <w:abstractNumId w:val="8"/>
  </w:num>
  <w:num w:numId="7">
    <w:abstractNumId w:val="15"/>
  </w:num>
  <w:num w:numId="8">
    <w:abstractNumId w:val="19"/>
  </w:num>
  <w:num w:numId="9">
    <w:abstractNumId w:val="23"/>
  </w:num>
  <w:num w:numId="10">
    <w:abstractNumId w:val="29"/>
  </w:num>
  <w:num w:numId="11">
    <w:abstractNumId w:val="12"/>
  </w:num>
  <w:num w:numId="12">
    <w:abstractNumId w:val="18"/>
  </w:num>
  <w:num w:numId="13">
    <w:abstractNumId w:val="24"/>
  </w:num>
  <w:num w:numId="14">
    <w:abstractNumId w:val="2"/>
  </w:num>
  <w:num w:numId="15">
    <w:abstractNumId w:val="21"/>
  </w:num>
  <w:num w:numId="16">
    <w:abstractNumId w:val="1"/>
  </w:num>
  <w:num w:numId="17">
    <w:abstractNumId w:val="28"/>
  </w:num>
  <w:num w:numId="18">
    <w:abstractNumId w:val="26"/>
  </w:num>
  <w:num w:numId="19">
    <w:abstractNumId w:val="7"/>
  </w:num>
  <w:num w:numId="20">
    <w:abstractNumId w:val="3"/>
  </w:num>
  <w:num w:numId="21">
    <w:abstractNumId w:val="22"/>
  </w:num>
  <w:num w:numId="22">
    <w:abstractNumId w:val="13"/>
  </w:num>
  <w:num w:numId="23">
    <w:abstractNumId w:val="11"/>
  </w:num>
  <w:num w:numId="24">
    <w:abstractNumId w:val="4"/>
  </w:num>
  <w:num w:numId="25">
    <w:abstractNumId w:val="3"/>
  </w:num>
  <w:num w:numId="26">
    <w:abstractNumId w:val="5"/>
  </w:num>
  <w:num w:numId="27">
    <w:abstractNumId w:val="0"/>
  </w:num>
  <w:num w:numId="28">
    <w:abstractNumId w:val="9"/>
  </w:num>
  <w:num w:numId="29">
    <w:abstractNumId w:val="3"/>
  </w:num>
  <w:num w:numId="30">
    <w:abstractNumId w:val="20"/>
  </w:num>
  <w:num w:numId="31">
    <w:abstractNumId w:val="17"/>
  </w:num>
  <w:num w:numId="32">
    <w:abstractNumId w:val="16"/>
  </w:num>
  <w:num w:numId="3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440"/>
  <w:drawingGridHorizontalSpacing w:val="187"/>
  <w:displayHorizontalDrawingGridEvery w:val="0"/>
  <w:displayVerticalDrawingGridEvery w:val="0"/>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489"/>
    <w:rsid w:val="00000B1B"/>
    <w:rsid w:val="00004A85"/>
    <w:rsid w:val="0000677C"/>
    <w:rsid w:val="000067AF"/>
    <w:rsid w:val="000105D4"/>
    <w:rsid w:val="00010C0B"/>
    <w:rsid w:val="000110A1"/>
    <w:rsid w:val="00012D73"/>
    <w:rsid w:val="00017D1C"/>
    <w:rsid w:val="000210DC"/>
    <w:rsid w:val="00022342"/>
    <w:rsid w:val="0002248E"/>
    <w:rsid w:val="00022B9D"/>
    <w:rsid w:val="0002671A"/>
    <w:rsid w:val="0002734B"/>
    <w:rsid w:val="00030A47"/>
    <w:rsid w:val="00032916"/>
    <w:rsid w:val="00032D14"/>
    <w:rsid w:val="000340F0"/>
    <w:rsid w:val="000350E9"/>
    <w:rsid w:val="00035410"/>
    <w:rsid w:val="00035988"/>
    <w:rsid w:val="0003690B"/>
    <w:rsid w:val="00036AF4"/>
    <w:rsid w:val="000374C0"/>
    <w:rsid w:val="0003778E"/>
    <w:rsid w:val="00041207"/>
    <w:rsid w:val="0004138B"/>
    <w:rsid w:val="00043871"/>
    <w:rsid w:val="00044705"/>
    <w:rsid w:val="000447C2"/>
    <w:rsid w:val="00047085"/>
    <w:rsid w:val="00047A76"/>
    <w:rsid w:val="00050ED5"/>
    <w:rsid w:val="00051E4C"/>
    <w:rsid w:val="00051FAB"/>
    <w:rsid w:val="000527C5"/>
    <w:rsid w:val="00053051"/>
    <w:rsid w:val="000537FD"/>
    <w:rsid w:val="00056340"/>
    <w:rsid w:val="00057524"/>
    <w:rsid w:val="00057925"/>
    <w:rsid w:val="00057CE3"/>
    <w:rsid w:val="0006157D"/>
    <w:rsid w:val="00062C2F"/>
    <w:rsid w:val="00063D35"/>
    <w:rsid w:val="0006498E"/>
    <w:rsid w:val="0006554E"/>
    <w:rsid w:val="00066207"/>
    <w:rsid w:val="00067184"/>
    <w:rsid w:val="0007137E"/>
    <w:rsid w:val="00073632"/>
    <w:rsid w:val="00073F2D"/>
    <w:rsid w:val="00076495"/>
    <w:rsid w:val="000770CB"/>
    <w:rsid w:val="00080929"/>
    <w:rsid w:val="00080A1C"/>
    <w:rsid w:val="000840DC"/>
    <w:rsid w:val="00085F88"/>
    <w:rsid w:val="00090706"/>
    <w:rsid w:val="00090CCD"/>
    <w:rsid w:val="000918A0"/>
    <w:rsid w:val="00091A23"/>
    <w:rsid w:val="0009241D"/>
    <w:rsid w:val="00092F4F"/>
    <w:rsid w:val="00096F11"/>
    <w:rsid w:val="00097164"/>
    <w:rsid w:val="000A055D"/>
    <w:rsid w:val="000A4805"/>
    <w:rsid w:val="000A5023"/>
    <w:rsid w:val="000A6021"/>
    <w:rsid w:val="000A6EF7"/>
    <w:rsid w:val="000B21FE"/>
    <w:rsid w:val="000B2D3D"/>
    <w:rsid w:val="000B2E4C"/>
    <w:rsid w:val="000B2F07"/>
    <w:rsid w:val="000B46B4"/>
    <w:rsid w:val="000C1EC4"/>
    <w:rsid w:val="000C33DB"/>
    <w:rsid w:val="000C3A96"/>
    <w:rsid w:val="000C4C6E"/>
    <w:rsid w:val="000C58B2"/>
    <w:rsid w:val="000C6F23"/>
    <w:rsid w:val="000D02CD"/>
    <w:rsid w:val="000D33D3"/>
    <w:rsid w:val="000D39A9"/>
    <w:rsid w:val="000D4885"/>
    <w:rsid w:val="000D4E3B"/>
    <w:rsid w:val="000D50F8"/>
    <w:rsid w:val="000D51B5"/>
    <w:rsid w:val="000D7532"/>
    <w:rsid w:val="000E07BE"/>
    <w:rsid w:val="000E3226"/>
    <w:rsid w:val="000E32E5"/>
    <w:rsid w:val="000E3B5D"/>
    <w:rsid w:val="000E633F"/>
    <w:rsid w:val="000E75C5"/>
    <w:rsid w:val="000F4114"/>
    <w:rsid w:val="000F4CFB"/>
    <w:rsid w:val="000F5C49"/>
    <w:rsid w:val="000F65F3"/>
    <w:rsid w:val="000F76BD"/>
    <w:rsid w:val="00101C84"/>
    <w:rsid w:val="0010330F"/>
    <w:rsid w:val="001037FC"/>
    <w:rsid w:val="00103AC6"/>
    <w:rsid w:val="0010466B"/>
    <w:rsid w:val="001074AC"/>
    <w:rsid w:val="001078B6"/>
    <w:rsid w:val="00112C5B"/>
    <w:rsid w:val="00113D5E"/>
    <w:rsid w:val="0011468D"/>
    <w:rsid w:val="00114C6E"/>
    <w:rsid w:val="00115E3C"/>
    <w:rsid w:val="00116C48"/>
    <w:rsid w:val="00117697"/>
    <w:rsid w:val="001201F4"/>
    <w:rsid w:val="00120A6B"/>
    <w:rsid w:val="00120BAE"/>
    <w:rsid w:val="00120DB3"/>
    <w:rsid w:val="00121A4A"/>
    <w:rsid w:val="001249D2"/>
    <w:rsid w:val="00127EE4"/>
    <w:rsid w:val="001309DA"/>
    <w:rsid w:val="00134337"/>
    <w:rsid w:val="00134EFB"/>
    <w:rsid w:val="0013579C"/>
    <w:rsid w:val="001358D2"/>
    <w:rsid w:val="00137425"/>
    <w:rsid w:val="00140ED7"/>
    <w:rsid w:val="00143C08"/>
    <w:rsid w:val="00144DFF"/>
    <w:rsid w:val="00145588"/>
    <w:rsid w:val="00145AF1"/>
    <w:rsid w:val="00145F5D"/>
    <w:rsid w:val="00146AD3"/>
    <w:rsid w:val="00146D38"/>
    <w:rsid w:val="00146E08"/>
    <w:rsid w:val="00147D20"/>
    <w:rsid w:val="00147F94"/>
    <w:rsid w:val="00150369"/>
    <w:rsid w:val="001505CA"/>
    <w:rsid w:val="001515A1"/>
    <w:rsid w:val="00152B01"/>
    <w:rsid w:val="00154269"/>
    <w:rsid w:val="00155014"/>
    <w:rsid w:val="00156208"/>
    <w:rsid w:val="00157B91"/>
    <w:rsid w:val="00160342"/>
    <w:rsid w:val="00161A7B"/>
    <w:rsid w:val="00162E28"/>
    <w:rsid w:val="001636C3"/>
    <w:rsid w:val="00163D6F"/>
    <w:rsid w:val="00163F0E"/>
    <w:rsid w:val="001659AC"/>
    <w:rsid w:val="0016784F"/>
    <w:rsid w:val="00171556"/>
    <w:rsid w:val="0017175D"/>
    <w:rsid w:val="00171F6D"/>
    <w:rsid w:val="001725F1"/>
    <w:rsid w:val="00173F47"/>
    <w:rsid w:val="001755D7"/>
    <w:rsid w:val="001768BA"/>
    <w:rsid w:val="001776E5"/>
    <w:rsid w:val="00177B70"/>
    <w:rsid w:val="00182655"/>
    <w:rsid w:val="001829F7"/>
    <w:rsid w:val="001833B0"/>
    <w:rsid w:val="00183462"/>
    <w:rsid w:val="00184A10"/>
    <w:rsid w:val="00185DA2"/>
    <w:rsid w:val="00190A09"/>
    <w:rsid w:val="00190EA7"/>
    <w:rsid w:val="0019341C"/>
    <w:rsid w:val="00195DD0"/>
    <w:rsid w:val="00197B5C"/>
    <w:rsid w:val="00197BDF"/>
    <w:rsid w:val="001A05FD"/>
    <w:rsid w:val="001A10A2"/>
    <w:rsid w:val="001A1114"/>
    <w:rsid w:val="001A48C2"/>
    <w:rsid w:val="001A65F0"/>
    <w:rsid w:val="001B097C"/>
    <w:rsid w:val="001B1838"/>
    <w:rsid w:val="001B265D"/>
    <w:rsid w:val="001B61FF"/>
    <w:rsid w:val="001B6819"/>
    <w:rsid w:val="001B6AA1"/>
    <w:rsid w:val="001C1DE2"/>
    <w:rsid w:val="001C2BEE"/>
    <w:rsid w:val="001C36D0"/>
    <w:rsid w:val="001C4A08"/>
    <w:rsid w:val="001C555E"/>
    <w:rsid w:val="001C69DD"/>
    <w:rsid w:val="001C6D8F"/>
    <w:rsid w:val="001D0187"/>
    <w:rsid w:val="001D043D"/>
    <w:rsid w:val="001D1D7F"/>
    <w:rsid w:val="001D1E06"/>
    <w:rsid w:val="001D1F70"/>
    <w:rsid w:val="001D4F04"/>
    <w:rsid w:val="001D524A"/>
    <w:rsid w:val="001D68FB"/>
    <w:rsid w:val="001D69C9"/>
    <w:rsid w:val="001D74FC"/>
    <w:rsid w:val="001E10CD"/>
    <w:rsid w:val="001E1D72"/>
    <w:rsid w:val="001E22E8"/>
    <w:rsid w:val="001E3800"/>
    <w:rsid w:val="001E4EDB"/>
    <w:rsid w:val="001E4F9D"/>
    <w:rsid w:val="001E5F24"/>
    <w:rsid w:val="001E6079"/>
    <w:rsid w:val="001E6AB5"/>
    <w:rsid w:val="001E7076"/>
    <w:rsid w:val="001E7BDB"/>
    <w:rsid w:val="001E7DF3"/>
    <w:rsid w:val="001F0A1A"/>
    <w:rsid w:val="001F1DEB"/>
    <w:rsid w:val="001F29A3"/>
    <w:rsid w:val="001F2C2D"/>
    <w:rsid w:val="001F44CB"/>
    <w:rsid w:val="001F580C"/>
    <w:rsid w:val="001F66E4"/>
    <w:rsid w:val="001F6BF1"/>
    <w:rsid w:val="00200715"/>
    <w:rsid w:val="00200D10"/>
    <w:rsid w:val="002024B6"/>
    <w:rsid w:val="00203CA4"/>
    <w:rsid w:val="00203EFB"/>
    <w:rsid w:val="0020415E"/>
    <w:rsid w:val="0020526D"/>
    <w:rsid w:val="00206322"/>
    <w:rsid w:val="00206A17"/>
    <w:rsid w:val="00210629"/>
    <w:rsid w:val="00210B36"/>
    <w:rsid w:val="00210C8A"/>
    <w:rsid w:val="0021138E"/>
    <w:rsid w:val="002120F1"/>
    <w:rsid w:val="00212FFB"/>
    <w:rsid w:val="002143C2"/>
    <w:rsid w:val="00214B46"/>
    <w:rsid w:val="0021580C"/>
    <w:rsid w:val="00215D7E"/>
    <w:rsid w:val="002175BF"/>
    <w:rsid w:val="00217CFB"/>
    <w:rsid w:val="002211B8"/>
    <w:rsid w:val="0022221F"/>
    <w:rsid w:val="002230D5"/>
    <w:rsid w:val="002232F7"/>
    <w:rsid w:val="00223493"/>
    <w:rsid w:val="002235CB"/>
    <w:rsid w:val="0022491B"/>
    <w:rsid w:val="00231237"/>
    <w:rsid w:val="00241635"/>
    <w:rsid w:val="00241957"/>
    <w:rsid w:val="0024563B"/>
    <w:rsid w:val="00245887"/>
    <w:rsid w:val="00246C5D"/>
    <w:rsid w:val="002517A2"/>
    <w:rsid w:val="002539BB"/>
    <w:rsid w:val="00254866"/>
    <w:rsid w:val="002549EF"/>
    <w:rsid w:val="00255348"/>
    <w:rsid w:val="00255CED"/>
    <w:rsid w:val="00265027"/>
    <w:rsid w:val="00265627"/>
    <w:rsid w:val="00266495"/>
    <w:rsid w:val="00267642"/>
    <w:rsid w:val="00267F75"/>
    <w:rsid w:val="00271489"/>
    <w:rsid w:val="0027207E"/>
    <w:rsid w:val="002732B1"/>
    <w:rsid w:val="002747D9"/>
    <w:rsid w:val="0027493A"/>
    <w:rsid w:val="0027724E"/>
    <w:rsid w:val="00277BDF"/>
    <w:rsid w:val="00282312"/>
    <w:rsid w:val="00282651"/>
    <w:rsid w:val="00283B00"/>
    <w:rsid w:val="00284AAA"/>
    <w:rsid w:val="002851B1"/>
    <w:rsid w:val="002869F5"/>
    <w:rsid w:val="00291C70"/>
    <w:rsid w:val="0029208E"/>
    <w:rsid w:val="00292A5D"/>
    <w:rsid w:val="00294412"/>
    <w:rsid w:val="00296961"/>
    <w:rsid w:val="002A09F7"/>
    <w:rsid w:val="002A0BE7"/>
    <w:rsid w:val="002A0E03"/>
    <w:rsid w:val="002A1C71"/>
    <w:rsid w:val="002A1C76"/>
    <w:rsid w:val="002A1FFD"/>
    <w:rsid w:val="002A3E33"/>
    <w:rsid w:val="002A4D1F"/>
    <w:rsid w:val="002A4F06"/>
    <w:rsid w:val="002A5FAC"/>
    <w:rsid w:val="002A6821"/>
    <w:rsid w:val="002B05BC"/>
    <w:rsid w:val="002B07C0"/>
    <w:rsid w:val="002B2225"/>
    <w:rsid w:val="002B2C88"/>
    <w:rsid w:val="002B531A"/>
    <w:rsid w:val="002B53BD"/>
    <w:rsid w:val="002B57AA"/>
    <w:rsid w:val="002B584C"/>
    <w:rsid w:val="002B5A06"/>
    <w:rsid w:val="002B6E94"/>
    <w:rsid w:val="002C09E8"/>
    <w:rsid w:val="002C1675"/>
    <w:rsid w:val="002C1798"/>
    <w:rsid w:val="002C4ADF"/>
    <w:rsid w:val="002D04AB"/>
    <w:rsid w:val="002D1420"/>
    <w:rsid w:val="002D198B"/>
    <w:rsid w:val="002D1B31"/>
    <w:rsid w:val="002D21A3"/>
    <w:rsid w:val="002D2452"/>
    <w:rsid w:val="002D3E8C"/>
    <w:rsid w:val="002D408E"/>
    <w:rsid w:val="002D4AA7"/>
    <w:rsid w:val="002D4B22"/>
    <w:rsid w:val="002D727B"/>
    <w:rsid w:val="002D7EAB"/>
    <w:rsid w:val="002E0CAA"/>
    <w:rsid w:val="002E29EA"/>
    <w:rsid w:val="002E3A09"/>
    <w:rsid w:val="002E63E7"/>
    <w:rsid w:val="002E64CB"/>
    <w:rsid w:val="002E7B7A"/>
    <w:rsid w:val="002E7DD6"/>
    <w:rsid w:val="002F0F19"/>
    <w:rsid w:val="002F126A"/>
    <w:rsid w:val="002F4714"/>
    <w:rsid w:val="002F5259"/>
    <w:rsid w:val="002F60ED"/>
    <w:rsid w:val="00300500"/>
    <w:rsid w:val="00300AB5"/>
    <w:rsid w:val="00301969"/>
    <w:rsid w:val="00302E5C"/>
    <w:rsid w:val="00304009"/>
    <w:rsid w:val="00304D30"/>
    <w:rsid w:val="00306197"/>
    <w:rsid w:val="0030691F"/>
    <w:rsid w:val="003076D1"/>
    <w:rsid w:val="003078B2"/>
    <w:rsid w:val="0031088D"/>
    <w:rsid w:val="00311ABB"/>
    <w:rsid w:val="00312592"/>
    <w:rsid w:val="00313902"/>
    <w:rsid w:val="0031462A"/>
    <w:rsid w:val="00315646"/>
    <w:rsid w:val="00315FDF"/>
    <w:rsid w:val="00322842"/>
    <w:rsid w:val="00323FC9"/>
    <w:rsid w:val="0032494A"/>
    <w:rsid w:val="003254F9"/>
    <w:rsid w:val="003260E6"/>
    <w:rsid w:val="00326D93"/>
    <w:rsid w:val="0032730D"/>
    <w:rsid w:val="00327463"/>
    <w:rsid w:val="003326C4"/>
    <w:rsid w:val="0033551E"/>
    <w:rsid w:val="00335C04"/>
    <w:rsid w:val="003426C4"/>
    <w:rsid w:val="003433F3"/>
    <w:rsid w:val="00343A1A"/>
    <w:rsid w:val="00345CB6"/>
    <w:rsid w:val="00351B9C"/>
    <w:rsid w:val="00355C67"/>
    <w:rsid w:val="003564D5"/>
    <w:rsid w:val="003566F5"/>
    <w:rsid w:val="00360484"/>
    <w:rsid w:val="00360A6F"/>
    <w:rsid w:val="00363959"/>
    <w:rsid w:val="00363E01"/>
    <w:rsid w:val="00363FFF"/>
    <w:rsid w:val="00364439"/>
    <w:rsid w:val="0037039F"/>
    <w:rsid w:val="00371B92"/>
    <w:rsid w:val="003729EB"/>
    <w:rsid w:val="00380015"/>
    <w:rsid w:val="00382039"/>
    <w:rsid w:val="00382689"/>
    <w:rsid w:val="00382DB9"/>
    <w:rsid w:val="00382EAE"/>
    <w:rsid w:val="00383C29"/>
    <w:rsid w:val="00383FCE"/>
    <w:rsid w:val="00384C4E"/>
    <w:rsid w:val="00384CB7"/>
    <w:rsid w:val="003850F0"/>
    <w:rsid w:val="00386786"/>
    <w:rsid w:val="0039123D"/>
    <w:rsid w:val="00391821"/>
    <w:rsid w:val="00391E99"/>
    <w:rsid w:val="00392857"/>
    <w:rsid w:val="003946E1"/>
    <w:rsid w:val="00395957"/>
    <w:rsid w:val="0039691A"/>
    <w:rsid w:val="00396CF5"/>
    <w:rsid w:val="00397441"/>
    <w:rsid w:val="00397A6C"/>
    <w:rsid w:val="00397B0B"/>
    <w:rsid w:val="003A16D3"/>
    <w:rsid w:val="003A2A86"/>
    <w:rsid w:val="003A33F2"/>
    <w:rsid w:val="003A4615"/>
    <w:rsid w:val="003A522C"/>
    <w:rsid w:val="003A5336"/>
    <w:rsid w:val="003A57AC"/>
    <w:rsid w:val="003A5B7B"/>
    <w:rsid w:val="003A5F51"/>
    <w:rsid w:val="003A6AB6"/>
    <w:rsid w:val="003A6B2B"/>
    <w:rsid w:val="003A77C4"/>
    <w:rsid w:val="003B0490"/>
    <w:rsid w:val="003B1A43"/>
    <w:rsid w:val="003B2111"/>
    <w:rsid w:val="003B4268"/>
    <w:rsid w:val="003B4B4E"/>
    <w:rsid w:val="003C0D21"/>
    <w:rsid w:val="003C0D40"/>
    <w:rsid w:val="003C2170"/>
    <w:rsid w:val="003C263D"/>
    <w:rsid w:val="003C3199"/>
    <w:rsid w:val="003C35B5"/>
    <w:rsid w:val="003C3716"/>
    <w:rsid w:val="003C5EC2"/>
    <w:rsid w:val="003C61D1"/>
    <w:rsid w:val="003C6640"/>
    <w:rsid w:val="003C6AA0"/>
    <w:rsid w:val="003C7936"/>
    <w:rsid w:val="003C7CA0"/>
    <w:rsid w:val="003D3B85"/>
    <w:rsid w:val="003D7B05"/>
    <w:rsid w:val="003E196D"/>
    <w:rsid w:val="003E2501"/>
    <w:rsid w:val="003E4FAC"/>
    <w:rsid w:val="003E510D"/>
    <w:rsid w:val="003E5471"/>
    <w:rsid w:val="003E5FC5"/>
    <w:rsid w:val="003F0A21"/>
    <w:rsid w:val="003F1EA4"/>
    <w:rsid w:val="003F3309"/>
    <w:rsid w:val="003F5A9E"/>
    <w:rsid w:val="003F6229"/>
    <w:rsid w:val="004030DC"/>
    <w:rsid w:val="00403324"/>
    <w:rsid w:val="0040377D"/>
    <w:rsid w:val="00404660"/>
    <w:rsid w:val="00404804"/>
    <w:rsid w:val="00411436"/>
    <w:rsid w:val="004144E2"/>
    <w:rsid w:val="0041478D"/>
    <w:rsid w:val="00414A7D"/>
    <w:rsid w:val="00414B36"/>
    <w:rsid w:val="004153AF"/>
    <w:rsid w:val="004158E2"/>
    <w:rsid w:val="00416248"/>
    <w:rsid w:val="00417366"/>
    <w:rsid w:val="00417779"/>
    <w:rsid w:val="00420416"/>
    <w:rsid w:val="00420DEE"/>
    <w:rsid w:val="004218F3"/>
    <w:rsid w:val="00421E98"/>
    <w:rsid w:val="00422C40"/>
    <w:rsid w:val="00427041"/>
    <w:rsid w:val="004273F4"/>
    <w:rsid w:val="00427CB9"/>
    <w:rsid w:val="00431211"/>
    <w:rsid w:val="004354B6"/>
    <w:rsid w:val="004358C9"/>
    <w:rsid w:val="00437898"/>
    <w:rsid w:val="0045083C"/>
    <w:rsid w:val="004528FF"/>
    <w:rsid w:val="00453A29"/>
    <w:rsid w:val="00454AE9"/>
    <w:rsid w:val="00454B48"/>
    <w:rsid w:val="00454E78"/>
    <w:rsid w:val="00456FD7"/>
    <w:rsid w:val="00461423"/>
    <w:rsid w:val="004614D3"/>
    <w:rsid w:val="0046388D"/>
    <w:rsid w:val="00467C13"/>
    <w:rsid w:val="004703C0"/>
    <w:rsid w:val="0047041E"/>
    <w:rsid w:val="00470696"/>
    <w:rsid w:val="0047489D"/>
    <w:rsid w:val="00474957"/>
    <w:rsid w:val="004762B0"/>
    <w:rsid w:val="0047687C"/>
    <w:rsid w:val="00476C19"/>
    <w:rsid w:val="0047782E"/>
    <w:rsid w:val="0048039E"/>
    <w:rsid w:val="00480743"/>
    <w:rsid w:val="00481D46"/>
    <w:rsid w:val="00481DB2"/>
    <w:rsid w:val="00483543"/>
    <w:rsid w:val="00486B47"/>
    <w:rsid w:val="00490F99"/>
    <w:rsid w:val="00491969"/>
    <w:rsid w:val="00492074"/>
    <w:rsid w:val="00492F3F"/>
    <w:rsid w:val="00493E51"/>
    <w:rsid w:val="00494A6D"/>
    <w:rsid w:val="00497559"/>
    <w:rsid w:val="004A2DE3"/>
    <w:rsid w:val="004A4445"/>
    <w:rsid w:val="004A4DDA"/>
    <w:rsid w:val="004A7048"/>
    <w:rsid w:val="004B10FA"/>
    <w:rsid w:val="004B19A9"/>
    <w:rsid w:val="004B3AEF"/>
    <w:rsid w:val="004B4930"/>
    <w:rsid w:val="004B65DA"/>
    <w:rsid w:val="004B6C6A"/>
    <w:rsid w:val="004C1FDC"/>
    <w:rsid w:val="004C2157"/>
    <w:rsid w:val="004C282D"/>
    <w:rsid w:val="004C2846"/>
    <w:rsid w:val="004C28DE"/>
    <w:rsid w:val="004C3EDF"/>
    <w:rsid w:val="004C587C"/>
    <w:rsid w:val="004D0D4C"/>
    <w:rsid w:val="004D3719"/>
    <w:rsid w:val="004D5772"/>
    <w:rsid w:val="004D7610"/>
    <w:rsid w:val="004E2BB3"/>
    <w:rsid w:val="004E31DB"/>
    <w:rsid w:val="004E3AD4"/>
    <w:rsid w:val="004E417C"/>
    <w:rsid w:val="004E4C62"/>
    <w:rsid w:val="004E57C8"/>
    <w:rsid w:val="004E6E9A"/>
    <w:rsid w:val="004E7AC1"/>
    <w:rsid w:val="004E7C9C"/>
    <w:rsid w:val="004F0DB7"/>
    <w:rsid w:val="004F1AD8"/>
    <w:rsid w:val="004F37E1"/>
    <w:rsid w:val="004F3FA5"/>
    <w:rsid w:val="004F58B8"/>
    <w:rsid w:val="004F5D92"/>
    <w:rsid w:val="004F6263"/>
    <w:rsid w:val="005013F5"/>
    <w:rsid w:val="00501EE6"/>
    <w:rsid w:val="005058C5"/>
    <w:rsid w:val="00505F13"/>
    <w:rsid w:val="0050640D"/>
    <w:rsid w:val="00510EF7"/>
    <w:rsid w:val="00511C83"/>
    <w:rsid w:val="0051381C"/>
    <w:rsid w:val="00517BD9"/>
    <w:rsid w:val="00520989"/>
    <w:rsid w:val="00521856"/>
    <w:rsid w:val="005218B8"/>
    <w:rsid w:val="00523BA6"/>
    <w:rsid w:val="005249A7"/>
    <w:rsid w:val="00526706"/>
    <w:rsid w:val="00530B25"/>
    <w:rsid w:val="0053207D"/>
    <w:rsid w:val="005322DB"/>
    <w:rsid w:val="00532DF1"/>
    <w:rsid w:val="00533E9B"/>
    <w:rsid w:val="00535176"/>
    <w:rsid w:val="0053682D"/>
    <w:rsid w:val="005406B5"/>
    <w:rsid w:val="00541040"/>
    <w:rsid w:val="00541C40"/>
    <w:rsid w:val="00542100"/>
    <w:rsid w:val="00542155"/>
    <w:rsid w:val="00542599"/>
    <w:rsid w:val="00543598"/>
    <w:rsid w:val="005440B9"/>
    <w:rsid w:val="005441E3"/>
    <w:rsid w:val="005444F4"/>
    <w:rsid w:val="00544C72"/>
    <w:rsid w:val="005504EC"/>
    <w:rsid w:val="0055058D"/>
    <w:rsid w:val="00550A24"/>
    <w:rsid w:val="005522D3"/>
    <w:rsid w:val="00553AFB"/>
    <w:rsid w:val="005546FF"/>
    <w:rsid w:val="005547B9"/>
    <w:rsid w:val="00554ADC"/>
    <w:rsid w:val="00557023"/>
    <w:rsid w:val="00561257"/>
    <w:rsid w:val="005620ED"/>
    <w:rsid w:val="00563F27"/>
    <w:rsid w:val="00565DC6"/>
    <w:rsid w:val="0056724F"/>
    <w:rsid w:val="00567FFD"/>
    <w:rsid w:val="00570285"/>
    <w:rsid w:val="00572D06"/>
    <w:rsid w:val="00575C11"/>
    <w:rsid w:val="005767DC"/>
    <w:rsid w:val="005808FB"/>
    <w:rsid w:val="00580B23"/>
    <w:rsid w:val="00580C36"/>
    <w:rsid w:val="00581781"/>
    <w:rsid w:val="00583450"/>
    <w:rsid w:val="00584D19"/>
    <w:rsid w:val="00587704"/>
    <w:rsid w:val="00593313"/>
    <w:rsid w:val="00593E4E"/>
    <w:rsid w:val="0059493F"/>
    <w:rsid w:val="00596337"/>
    <w:rsid w:val="005966E8"/>
    <w:rsid w:val="00596C37"/>
    <w:rsid w:val="005974CF"/>
    <w:rsid w:val="0059798B"/>
    <w:rsid w:val="00597A9C"/>
    <w:rsid w:val="005A1039"/>
    <w:rsid w:val="005A31EE"/>
    <w:rsid w:val="005A4EC8"/>
    <w:rsid w:val="005A53B2"/>
    <w:rsid w:val="005A7798"/>
    <w:rsid w:val="005B06AF"/>
    <w:rsid w:val="005B1DD6"/>
    <w:rsid w:val="005B25AC"/>
    <w:rsid w:val="005B7031"/>
    <w:rsid w:val="005C1586"/>
    <w:rsid w:val="005C1BC5"/>
    <w:rsid w:val="005C2AE5"/>
    <w:rsid w:val="005C2E03"/>
    <w:rsid w:val="005C624B"/>
    <w:rsid w:val="005D0250"/>
    <w:rsid w:val="005D1174"/>
    <w:rsid w:val="005D46D8"/>
    <w:rsid w:val="005D5BBC"/>
    <w:rsid w:val="005D5CE0"/>
    <w:rsid w:val="005E2D82"/>
    <w:rsid w:val="005E3AA1"/>
    <w:rsid w:val="005E53FF"/>
    <w:rsid w:val="005F0DC6"/>
    <w:rsid w:val="005F33C9"/>
    <w:rsid w:val="005F4523"/>
    <w:rsid w:val="005F470A"/>
    <w:rsid w:val="005F5509"/>
    <w:rsid w:val="005F5E4E"/>
    <w:rsid w:val="005F647E"/>
    <w:rsid w:val="005F669E"/>
    <w:rsid w:val="005F6A7A"/>
    <w:rsid w:val="005F76F3"/>
    <w:rsid w:val="005F7BFC"/>
    <w:rsid w:val="005F7D5D"/>
    <w:rsid w:val="005F7EBB"/>
    <w:rsid w:val="00600746"/>
    <w:rsid w:val="006014AF"/>
    <w:rsid w:val="00601696"/>
    <w:rsid w:val="00602535"/>
    <w:rsid w:val="00602999"/>
    <w:rsid w:val="00612516"/>
    <w:rsid w:val="0061379A"/>
    <w:rsid w:val="006138E0"/>
    <w:rsid w:val="00613A1A"/>
    <w:rsid w:val="00614494"/>
    <w:rsid w:val="00614655"/>
    <w:rsid w:val="0061592C"/>
    <w:rsid w:val="00615EC4"/>
    <w:rsid w:val="00616257"/>
    <w:rsid w:val="006178F7"/>
    <w:rsid w:val="006249AD"/>
    <w:rsid w:val="00625048"/>
    <w:rsid w:val="00626BE4"/>
    <w:rsid w:val="00626DCB"/>
    <w:rsid w:val="00627545"/>
    <w:rsid w:val="00627604"/>
    <w:rsid w:val="00627956"/>
    <w:rsid w:val="006313A0"/>
    <w:rsid w:val="0063151E"/>
    <w:rsid w:val="0063239F"/>
    <w:rsid w:val="00633A51"/>
    <w:rsid w:val="00634884"/>
    <w:rsid w:val="0063682D"/>
    <w:rsid w:val="00637433"/>
    <w:rsid w:val="0063763C"/>
    <w:rsid w:val="00642221"/>
    <w:rsid w:val="00642D9A"/>
    <w:rsid w:val="00644471"/>
    <w:rsid w:val="00644DF8"/>
    <w:rsid w:val="006452FD"/>
    <w:rsid w:val="0064778E"/>
    <w:rsid w:val="00647D6A"/>
    <w:rsid w:val="0065007E"/>
    <w:rsid w:val="00650AFB"/>
    <w:rsid w:val="00651022"/>
    <w:rsid w:val="0065264E"/>
    <w:rsid w:val="00657599"/>
    <w:rsid w:val="006615F5"/>
    <w:rsid w:val="006617ED"/>
    <w:rsid w:val="0066643F"/>
    <w:rsid w:val="00667A92"/>
    <w:rsid w:val="0067077F"/>
    <w:rsid w:val="0067139D"/>
    <w:rsid w:val="0067181A"/>
    <w:rsid w:val="006728EB"/>
    <w:rsid w:val="00672E8F"/>
    <w:rsid w:val="00674E8C"/>
    <w:rsid w:val="006756A3"/>
    <w:rsid w:val="00675DFB"/>
    <w:rsid w:val="0068253C"/>
    <w:rsid w:val="00682608"/>
    <w:rsid w:val="00683296"/>
    <w:rsid w:val="0068381B"/>
    <w:rsid w:val="00683820"/>
    <w:rsid w:val="006849A8"/>
    <w:rsid w:val="00686EE1"/>
    <w:rsid w:val="006901D7"/>
    <w:rsid w:val="00690552"/>
    <w:rsid w:val="006908AC"/>
    <w:rsid w:val="00694FC6"/>
    <w:rsid w:val="006A0637"/>
    <w:rsid w:val="006A0B1C"/>
    <w:rsid w:val="006A17A3"/>
    <w:rsid w:val="006A238C"/>
    <w:rsid w:val="006A3CAA"/>
    <w:rsid w:val="006A46F6"/>
    <w:rsid w:val="006A5579"/>
    <w:rsid w:val="006A55D7"/>
    <w:rsid w:val="006A778D"/>
    <w:rsid w:val="006B16C1"/>
    <w:rsid w:val="006B2E3A"/>
    <w:rsid w:val="006B4775"/>
    <w:rsid w:val="006B55A8"/>
    <w:rsid w:val="006C1124"/>
    <w:rsid w:val="006C1475"/>
    <w:rsid w:val="006C5CED"/>
    <w:rsid w:val="006D0B4A"/>
    <w:rsid w:val="006D17D7"/>
    <w:rsid w:val="006D3571"/>
    <w:rsid w:val="006D735C"/>
    <w:rsid w:val="006E100E"/>
    <w:rsid w:val="006E270B"/>
    <w:rsid w:val="006E31AF"/>
    <w:rsid w:val="006E3E9C"/>
    <w:rsid w:val="006E52E1"/>
    <w:rsid w:val="006E775D"/>
    <w:rsid w:val="006F0E7E"/>
    <w:rsid w:val="006F20C0"/>
    <w:rsid w:val="006F358D"/>
    <w:rsid w:val="006F3A7C"/>
    <w:rsid w:val="006F4181"/>
    <w:rsid w:val="006F58A1"/>
    <w:rsid w:val="006F6E44"/>
    <w:rsid w:val="006F7AEB"/>
    <w:rsid w:val="0070039E"/>
    <w:rsid w:val="00700BC4"/>
    <w:rsid w:val="00701DBA"/>
    <w:rsid w:val="00702301"/>
    <w:rsid w:val="0070248F"/>
    <w:rsid w:val="007035CD"/>
    <w:rsid w:val="00705A09"/>
    <w:rsid w:val="00707A44"/>
    <w:rsid w:val="007100C9"/>
    <w:rsid w:val="00710D8F"/>
    <w:rsid w:val="0071152E"/>
    <w:rsid w:val="00711751"/>
    <w:rsid w:val="00714BEF"/>
    <w:rsid w:val="00715D2D"/>
    <w:rsid w:val="00720946"/>
    <w:rsid w:val="00721588"/>
    <w:rsid w:val="007217FF"/>
    <w:rsid w:val="007223AE"/>
    <w:rsid w:val="0072337A"/>
    <w:rsid w:val="00725371"/>
    <w:rsid w:val="00725A67"/>
    <w:rsid w:val="00725F1C"/>
    <w:rsid w:val="00726547"/>
    <w:rsid w:val="00727565"/>
    <w:rsid w:val="00727905"/>
    <w:rsid w:val="007304BD"/>
    <w:rsid w:val="00731A44"/>
    <w:rsid w:val="007326B2"/>
    <w:rsid w:val="007362C9"/>
    <w:rsid w:val="007372AD"/>
    <w:rsid w:val="00737C5C"/>
    <w:rsid w:val="007411B3"/>
    <w:rsid w:val="00741936"/>
    <w:rsid w:val="00741FAB"/>
    <w:rsid w:val="0074389B"/>
    <w:rsid w:val="00744F53"/>
    <w:rsid w:val="00745FAB"/>
    <w:rsid w:val="00746947"/>
    <w:rsid w:val="00746DD9"/>
    <w:rsid w:val="007472E7"/>
    <w:rsid w:val="00747B83"/>
    <w:rsid w:val="0075015F"/>
    <w:rsid w:val="007503F4"/>
    <w:rsid w:val="007505DB"/>
    <w:rsid w:val="007524E3"/>
    <w:rsid w:val="007546F1"/>
    <w:rsid w:val="00754B85"/>
    <w:rsid w:val="00755DC9"/>
    <w:rsid w:val="007560FB"/>
    <w:rsid w:val="00756176"/>
    <w:rsid w:val="0076468D"/>
    <w:rsid w:val="00765116"/>
    <w:rsid w:val="007664BC"/>
    <w:rsid w:val="00770C00"/>
    <w:rsid w:val="00770E81"/>
    <w:rsid w:val="00770F1D"/>
    <w:rsid w:val="00773D6A"/>
    <w:rsid w:val="0077411E"/>
    <w:rsid w:val="00774268"/>
    <w:rsid w:val="0077775D"/>
    <w:rsid w:val="00781C57"/>
    <w:rsid w:val="007822CF"/>
    <w:rsid w:val="0078383E"/>
    <w:rsid w:val="00791CEF"/>
    <w:rsid w:val="00793192"/>
    <w:rsid w:val="00793E62"/>
    <w:rsid w:val="00795760"/>
    <w:rsid w:val="00796E38"/>
    <w:rsid w:val="00797247"/>
    <w:rsid w:val="007A2EAD"/>
    <w:rsid w:val="007A4BF5"/>
    <w:rsid w:val="007A5A5F"/>
    <w:rsid w:val="007A5AB5"/>
    <w:rsid w:val="007A5D49"/>
    <w:rsid w:val="007A76FF"/>
    <w:rsid w:val="007A7CB3"/>
    <w:rsid w:val="007B0DD6"/>
    <w:rsid w:val="007B1018"/>
    <w:rsid w:val="007B1B93"/>
    <w:rsid w:val="007B2A23"/>
    <w:rsid w:val="007B3542"/>
    <w:rsid w:val="007B3DEB"/>
    <w:rsid w:val="007B6578"/>
    <w:rsid w:val="007B6DC4"/>
    <w:rsid w:val="007C0946"/>
    <w:rsid w:val="007C16E5"/>
    <w:rsid w:val="007C28BE"/>
    <w:rsid w:val="007C2CD6"/>
    <w:rsid w:val="007C2D80"/>
    <w:rsid w:val="007C406A"/>
    <w:rsid w:val="007C4F1F"/>
    <w:rsid w:val="007C77C0"/>
    <w:rsid w:val="007D44E3"/>
    <w:rsid w:val="007E06A9"/>
    <w:rsid w:val="007E136F"/>
    <w:rsid w:val="007E397A"/>
    <w:rsid w:val="007E3C8E"/>
    <w:rsid w:val="007E454C"/>
    <w:rsid w:val="007E4FBD"/>
    <w:rsid w:val="007E54A4"/>
    <w:rsid w:val="007E5DE4"/>
    <w:rsid w:val="007E5FDD"/>
    <w:rsid w:val="007E76CD"/>
    <w:rsid w:val="007F0030"/>
    <w:rsid w:val="007F1D1B"/>
    <w:rsid w:val="007F252F"/>
    <w:rsid w:val="007F3AD3"/>
    <w:rsid w:val="007F5CDB"/>
    <w:rsid w:val="007F767F"/>
    <w:rsid w:val="007F7AC5"/>
    <w:rsid w:val="007F7DDA"/>
    <w:rsid w:val="008017C1"/>
    <w:rsid w:val="008019DE"/>
    <w:rsid w:val="00801F9E"/>
    <w:rsid w:val="008021F7"/>
    <w:rsid w:val="0080304D"/>
    <w:rsid w:val="008033D4"/>
    <w:rsid w:val="00807DBE"/>
    <w:rsid w:val="00810DBF"/>
    <w:rsid w:val="0081347C"/>
    <w:rsid w:val="00813912"/>
    <w:rsid w:val="008140B5"/>
    <w:rsid w:val="00815932"/>
    <w:rsid w:val="00816586"/>
    <w:rsid w:val="00817C84"/>
    <w:rsid w:val="00820C97"/>
    <w:rsid w:val="008236A1"/>
    <w:rsid w:val="0082531C"/>
    <w:rsid w:val="008261A7"/>
    <w:rsid w:val="00826A21"/>
    <w:rsid w:val="00833627"/>
    <w:rsid w:val="00835841"/>
    <w:rsid w:val="008362F9"/>
    <w:rsid w:val="008405CB"/>
    <w:rsid w:val="0084061B"/>
    <w:rsid w:val="00841018"/>
    <w:rsid w:val="008440D3"/>
    <w:rsid w:val="00844883"/>
    <w:rsid w:val="0084632D"/>
    <w:rsid w:val="008478CF"/>
    <w:rsid w:val="00847B9B"/>
    <w:rsid w:val="00850A8B"/>
    <w:rsid w:val="00850D97"/>
    <w:rsid w:val="008530C7"/>
    <w:rsid w:val="00853851"/>
    <w:rsid w:val="00854708"/>
    <w:rsid w:val="00855029"/>
    <w:rsid w:val="00855CFD"/>
    <w:rsid w:val="008562F2"/>
    <w:rsid w:val="008572E3"/>
    <w:rsid w:val="0086027D"/>
    <w:rsid w:val="008612B2"/>
    <w:rsid w:val="0086241F"/>
    <w:rsid w:val="0086324B"/>
    <w:rsid w:val="008645F9"/>
    <w:rsid w:val="00864AEC"/>
    <w:rsid w:val="00864BC9"/>
    <w:rsid w:val="00865B3B"/>
    <w:rsid w:val="00865D76"/>
    <w:rsid w:val="00866437"/>
    <w:rsid w:val="00866EC3"/>
    <w:rsid w:val="00866EFD"/>
    <w:rsid w:val="00870B07"/>
    <w:rsid w:val="00872466"/>
    <w:rsid w:val="008742BF"/>
    <w:rsid w:val="008743DA"/>
    <w:rsid w:val="008750B5"/>
    <w:rsid w:val="0088021E"/>
    <w:rsid w:val="00880640"/>
    <w:rsid w:val="008810A8"/>
    <w:rsid w:val="00883ED6"/>
    <w:rsid w:val="008858CE"/>
    <w:rsid w:val="00885E14"/>
    <w:rsid w:val="008874B0"/>
    <w:rsid w:val="008875C8"/>
    <w:rsid w:val="00887EC8"/>
    <w:rsid w:val="00887F1F"/>
    <w:rsid w:val="00891171"/>
    <w:rsid w:val="00892178"/>
    <w:rsid w:val="00894610"/>
    <w:rsid w:val="00894729"/>
    <w:rsid w:val="00894D1B"/>
    <w:rsid w:val="00895593"/>
    <w:rsid w:val="00895E95"/>
    <w:rsid w:val="008A0662"/>
    <w:rsid w:val="008A0A1C"/>
    <w:rsid w:val="008A29F5"/>
    <w:rsid w:val="008A2D24"/>
    <w:rsid w:val="008A3FB6"/>
    <w:rsid w:val="008A4C2B"/>
    <w:rsid w:val="008A6A7C"/>
    <w:rsid w:val="008A7554"/>
    <w:rsid w:val="008A75CE"/>
    <w:rsid w:val="008B0617"/>
    <w:rsid w:val="008B17B0"/>
    <w:rsid w:val="008B4203"/>
    <w:rsid w:val="008B5002"/>
    <w:rsid w:val="008B577C"/>
    <w:rsid w:val="008C463A"/>
    <w:rsid w:val="008C7516"/>
    <w:rsid w:val="008D2C12"/>
    <w:rsid w:val="008D3620"/>
    <w:rsid w:val="008D45A5"/>
    <w:rsid w:val="008E2452"/>
    <w:rsid w:val="008E2CBB"/>
    <w:rsid w:val="008E369D"/>
    <w:rsid w:val="008E4411"/>
    <w:rsid w:val="008E6CDD"/>
    <w:rsid w:val="008E7433"/>
    <w:rsid w:val="008F0B77"/>
    <w:rsid w:val="008F1CCD"/>
    <w:rsid w:val="008F2573"/>
    <w:rsid w:val="008F3BCB"/>
    <w:rsid w:val="008F4412"/>
    <w:rsid w:val="008F53CF"/>
    <w:rsid w:val="008F6388"/>
    <w:rsid w:val="008F6CF7"/>
    <w:rsid w:val="008F7DE4"/>
    <w:rsid w:val="00905688"/>
    <w:rsid w:val="009113E7"/>
    <w:rsid w:val="00911EF2"/>
    <w:rsid w:val="00913AC9"/>
    <w:rsid w:val="00917829"/>
    <w:rsid w:val="00917B08"/>
    <w:rsid w:val="00920D26"/>
    <w:rsid w:val="009215CA"/>
    <w:rsid w:val="00922361"/>
    <w:rsid w:val="009228B9"/>
    <w:rsid w:val="00922CCE"/>
    <w:rsid w:val="00923737"/>
    <w:rsid w:val="00923C66"/>
    <w:rsid w:val="0092421E"/>
    <w:rsid w:val="00925370"/>
    <w:rsid w:val="0092551B"/>
    <w:rsid w:val="00930095"/>
    <w:rsid w:val="0093147F"/>
    <w:rsid w:val="00933E3A"/>
    <w:rsid w:val="00934894"/>
    <w:rsid w:val="009355F7"/>
    <w:rsid w:val="0093618C"/>
    <w:rsid w:val="00936907"/>
    <w:rsid w:val="00940319"/>
    <w:rsid w:val="00940F46"/>
    <w:rsid w:val="00941A56"/>
    <w:rsid w:val="00941BF0"/>
    <w:rsid w:val="009432A6"/>
    <w:rsid w:val="00943950"/>
    <w:rsid w:val="00943A24"/>
    <w:rsid w:val="00944CFB"/>
    <w:rsid w:val="00950A60"/>
    <w:rsid w:val="00950AF6"/>
    <w:rsid w:val="009534CA"/>
    <w:rsid w:val="0095362B"/>
    <w:rsid w:val="0095373F"/>
    <w:rsid w:val="00955ED5"/>
    <w:rsid w:val="009565BB"/>
    <w:rsid w:val="00956BB1"/>
    <w:rsid w:val="009577D0"/>
    <w:rsid w:val="00960083"/>
    <w:rsid w:val="009652EE"/>
    <w:rsid w:val="00967F34"/>
    <w:rsid w:val="009710E1"/>
    <w:rsid w:val="0097142D"/>
    <w:rsid w:val="00971FDA"/>
    <w:rsid w:val="009736DD"/>
    <w:rsid w:val="009744DD"/>
    <w:rsid w:val="00974E38"/>
    <w:rsid w:val="0098037C"/>
    <w:rsid w:val="0098239A"/>
    <w:rsid w:val="009834E1"/>
    <w:rsid w:val="009849CD"/>
    <w:rsid w:val="00984F5C"/>
    <w:rsid w:val="0098667B"/>
    <w:rsid w:val="009871D3"/>
    <w:rsid w:val="00990C60"/>
    <w:rsid w:val="009917CA"/>
    <w:rsid w:val="00991AB7"/>
    <w:rsid w:val="00992616"/>
    <w:rsid w:val="00992641"/>
    <w:rsid w:val="00993672"/>
    <w:rsid w:val="009939E5"/>
    <w:rsid w:val="00993DE3"/>
    <w:rsid w:val="009943A4"/>
    <w:rsid w:val="00995B0A"/>
    <w:rsid w:val="009A20F0"/>
    <w:rsid w:val="009A23F9"/>
    <w:rsid w:val="009A2C88"/>
    <w:rsid w:val="009A73F3"/>
    <w:rsid w:val="009B1798"/>
    <w:rsid w:val="009B1DC5"/>
    <w:rsid w:val="009B1FD4"/>
    <w:rsid w:val="009B3659"/>
    <w:rsid w:val="009B3CF7"/>
    <w:rsid w:val="009B4331"/>
    <w:rsid w:val="009B4E79"/>
    <w:rsid w:val="009B57EC"/>
    <w:rsid w:val="009B61F2"/>
    <w:rsid w:val="009B6BD4"/>
    <w:rsid w:val="009C1CFF"/>
    <w:rsid w:val="009C2696"/>
    <w:rsid w:val="009C4246"/>
    <w:rsid w:val="009C4AF1"/>
    <w:rsid w:val="009C675E"/>
    <w:rsid w:val="009D1677"/>
    <w:rsid w:val="009D254B"/>
    <w:rsid w:val="009D5EAB"/>
    <w:rsid w:val="009D7204"/>
    <w:rsid w:val="009D7623"/>
    <w:rsid w:val="009E1C42"/>
    <w:rsid w:val="009E2BF7"/>
    <w:rsid w:val="009E3536"/>
    <w:rsid w:val="009E687C"/>
    <w:rsid w:val="009E7539"/>
    <w:rsid w:val="009F1914"/>
    <w:rsid w:val="009F3C96"/>
    <w:rsid w:val="009F511C"/>
    <w:rsid w:val="009F53E9"/>
    <w:rsid w:val="009F56C0"/>
    <w:rsid w:val="00A0199D"/>
    <w:rsid w:val="00A020D8"/>
    <w:rsid w:val="00A02168"/>
    <w:rsid w:val="00A03E3A"/>
    <w:rsid w:val="00A0692A"/>
    <w:rsid w:val="00A1158F"/>
    <w:rsid w:val="00A12521"/>
    <w:rsid w:val="00A12A39"/>
    <w:rsid w:val="00A12F93"/>
    <w:rsid w:val="00A144CC"/>
    <w:rsid w:val="00A15A6F"/>
    <w:rsid w:val="00A1651C"/>
    <w:rsid w:val="00A16A23"/>
    <w:rsid w:val="00A16D2F"/>
    <w:rsid w:val="00A20174"/>
    <w:rsid w:val="00A208AB"/>
    <w:rsid w:val="00A21F64"/>
    <w:rsid w:val="00A24342"/>
    <w:rsid w:val="00A24702"/>
    <w:rsid w:val="00A249BB"/>
    <w:rsid w:val="00A257BE"/>
    <w:rsid w:val="00A2618E"/>
    <w:rsid w:val="00A26E08"/>
    <w:rsid w:val="00A3355C"/>
    <w:rsid w:val="00A33C7A"/>
    <w:rsid w:val="00A34B6C"/>
    <w:rsid w:val="00A35F1A"/>
    <w:rsid w:val="00A37704"/>
    <w:rsid w:val="00A37A3C"/>
    <w:rsid w:val="00A42AFC"/>
    <w:rsid w:val="00A4358B"/>
    <w:rsid w:val="00A44935"/>
    <w:rsid w:val="00A456E9"/>
    <w:rsid w:val="00A45E07"/>
    <w:rsid w:val="00A47416"/>
    <w:rsid w:val="00A5064E"/>
    <w:rsid w:val="00A50D74"/>
    <w:rsid w:val="00A511B0"/>
    <w:rsid w:val="00A5128A"/>
    <w:rsid w:val="00A534E4"/>
    <w:rsid w:val="00A54E31"/>
    <w:rsid w:val="00A56B0B"/>
    <w:rsid w:val="00A57F79"/>
    <w:rsid w:val="00A60C13"/>
    <w:rsid w:val="00A62896"/>
    <w:rsid w:val="00A62F91"/>
    <w:rsid w:val="00A63C82"/>
    <w:rsid w:val="00A64769"/>
    <w:rsid w:val="00A653B4"/>
    <w:rsid w:val="00A668DB"/>
    <w:rsid w:val="00A71480"/>
    <w:rsid w:val="00A73687"/>
    <w:rsid w:val="00A755BD"/>
    <w:rsid w:val="00A75648"/>
    <w:rsid w:val="00A758B9"/>
    <w:rsid w:val="00A77D80"/>
    <w:rsid w:val="00A80085"/>
    <w:rsid w:val="00A80BBA"/>
    <w:rsid w:val="00A80C12"/>
    <w:rsid w:val="00A84149"/>
    <w:rsid w:val="00A8528A"/>
    <w:rsid w:val="00A85ACB"/>
    <w:rsid w:val="00A877F4"/>
    <w:rsid w:val="00A90A3E"/>
    <w:rsid w:val="00A9104B"/>
    <w:rsid w:val="00A93B3F"/>
    <w:rsid w:val="00A94DA0"/>
    <w:rsid w:val="00A97111"/>
    <w:rsid w:val="00AA0071"/>
    <w:rsid w:val="00AA01D2"/>
    <w:rsid w:val="00AA07D9"/>
    <w:rsid w:val="00AA13FF"/>
    <w:rsid w:val="00AA2781"/>
    <w:rsid w:val="00AA4867"/>
    <w:rsid w:val="00AA4E4E"/>
    <w:rsid w:val="00AA6ECA"/>
    <w:rsid w:val="00AB3C39"/>
    <w:rsid w:val="00AC236E"/>
    <w:rsid w:val="00AC314D"/>
    <w:rsid w:val="00AC3352"/>
    <w:rsid w:val="00AC3D71"/>
    <w:rsid w:val="00AC64BC"/>
    <w:rsid w:val="00AC6E7A"/>
    <w:rsid w:val="00AD0971"/>
    <w:rsid w:val="00AD0B6B"/>
    <w:rsid w:val="00AD595A"/>
    <w:rsid w:val="00AD5980"/>
    <w:rsid w:val="00AD6A02"/>
    <w:rsid w:val="00AE197E"/>
    <w:rsid w:val="00AE2735"/>
    <w:rsid w:val="00AE3C51"/>
    <w:rsid w:val="00AF1251"/>
    <w:rsid w:val="00AF28AE"/>
    <w:rsid w:val="00AF3094"/>
    <w:rsid w:val="00AF43A7"/>
    <w:rsid w:val="00AF5405"/>
    <w:rsid w:val="00AF5A9B"/>
    <w:rsid w:val="00AF6667"/>
    <w:rsid w:val="00B0017C"/>
    <w:rsid w:val="00B00A30"/>
    <w:rsid w:val="00B06CAC"/>
    <w:rsid w:val="00B07FBA"/>
    <w:rsid w:val="00B104DE"/>
    <w:rsid w:val="00B10719"/>
    <w:rsid w:val="00B115B8"/>
    <w:rsid w:val="00B118D4"/>
    <w:rsid w:val="00B11E90"/>
    <w:rsid w:val="00B14451"/>
    <w:rsid w:val="00B20934"/>
    <w:rsid w:val="00B21140"/>
    <w:rsid w:val="00B2164F"/>
    <w:rsid w:val="00B21A4E"/>
    <w:rsid w:val="00B231D1"/>
    <w:rsid w:val="00B25586"/>
    <w:rsid w:val="00B2572A"/>
    <w:rsid w:val="00B25926"/>
    <w:rsid w:val="00B264C3"/>
    <w:rsid w:val="00B27DB2"/>
    <w:rsid w:val="00B27F2F"/>
    <w:rsid w:val="00B30798"/>
    <w:rsid w:val="00B35B12"/>
    <w:rsid w:val="00B37CFB"/>
    <w:rsid w:val="00B37D76"/>
    <w:rsid w:val="00B42251"/>
    <w:rsid w:val="00B43AD0"/>
    <w:rsid w:val="00B44313"/>
    <w:rsid w:val="00B45518"/>
    <w:rsid w:val="00B506A4"/>
    <w:rsid w:val="00B51A3C"/>
    <w:rsid w:val="00B527B9"/>
    <w:rsid w:val="00B54406"/>
    <w:rsid w:val="00B54566"/>
    <w:rsid w:val="00B55900"/>
    <w:rsid w:val="00B55B95"/>
    <w:rsid w:val="00B55BAD"/>
    <w:rsid w:val="00B5643B"/>
    <w:rsid w:val="00B57105"/>
    <w:rsid w:val="00B57F6F"/>
    <w:rsid w:val="00B61145"/>
    <w:rsid w:val="00B61FC6"/>
    <w:rsid w:val="00B62CC4"/>
    <w:rsid w:val="00B63BD7"/>
    <w:rsid w:val="00B64E0B"/>
    <w:rsid w:val="00B65122"/>
    <w:rsid w:val="00B66484"/>
    <w:rsid w:val="00B6687F"/>
    <w:rsid w:val="00B70876"/>
    <w:rsid w:val="00B745DC"/>
    <w:rsid w:val="00B74B72"/>
    <w:rsid w:val="00B755EB"/>
    <w:rsid w:val="00B75B04"/>
    <w:rsid w:val="00B76A0A"/>
    <w:rsid w:val="00B7723E"/>
    <w:rsid w:val="00B812E5"/>
    <w:rsid w:val="00B84911"/>
    <w:rsid w:val="00B84D69"/>
    <w:rsid w:val="00B84F01"/>
    <w:rsid w:val="00B91B07"/>
    <w:rsid w:val="00B9263B"/>
    <w:rsid w:val="00B9677F"/>
    <w:rsid w:val="00BA0C23"/>
    <w:rsid w:val="00BA48D5"/>
    <w:rsid w:val="00BA4999"/>
    <w:rsid w:val="00BA5AD3"/>
    <w:rsid w:val="00BB06E9"/>
    <w:rsid w:val="00BB1664"/>
    <w:rsid w:val="00BB233A"/>
    <w:rsid w:val="00BB23FD"/>
    <w:rsid w:val="00BB339D"/>
    <w:rsid w:val="00BB3850"/>
    <w:rsid w:val="00BB46EA"/>
    <w:rsid w:val="00BB7B29"/>
    <w:rsid w:val="00BC014F"/>
    <w:rsid w:val="00BC0930"/>
    <w:rsid w:val="00BC3A85"/>
    <w:rsid w:val="00BC486C"/>
    <w:rsid w:val="00BC6E81"/>
    <w:rsid w:val="00BC7598"/>
    <w:rsid w:val="00BD001F"/>
    <w:rsid w:val="00BD1970"/>
    <w:rsid w:val="00BD45CC"/>
    <w:rsid w:val="00BD49DE"/>
    <w:rsid w:val="00BD4AB9"/>
    <w:rsid w:val="00BD574E"/>
    <w:rsid w:val="00BD5994"/>
    <w:rsid w:val="00BD6F8A"/>
    <w:rsid w:val="00BD7DF6"/>
    <w:rsid w:val="00BE2DB6"/>
    <w:rsid w:val="00BE3B60"/>
    <w:rsid w:val="00BE4CF0"/>
    <w:rsid w:val="00BE6197"/>
    <w:rsid w:val="00BE6A1C"/>
    <w:rsid w:val="00BF2625"/>
    <w:rsid w:val="00BF2AFE"/>
    <w:rsid w:val="00BF3056"/>
    <w:rsid w:val="00BF31E2"/>
    <w:rsid w:val="00BF458F"/>
    <w:rsid w:val="00BF610E"/>
    <w:rsid w:val="00C02332"/>
    <w:rsid w:val="00C033B2"/>
    <w:rsid w:val="00C045FA"/>
    <w:rsid w:val="00C05B17"/>
    <w:rsid w:val="00C06140"/>
    <w:rsid w:val="00C07120"/>
    <w:rsid w:val="00C14B4C"/>
    <w:rsid w:val="00C14CC9"/>
    <w:rsid w:val="00C15056"/>
    <w:rsid w:val="00C15146"/>
    <w:rsid w:val="00C15446"/>
    <w:rsid w:val="00C16990"/>
    <w:rsid w:val="00C17876"/>
    <w:rsid w:val="00C17B50"/>
    <w:rsid w:val="00C21504"/>
    <w:rsid w:val="00C23317"/>
    <w:rsid w:val="00C23DF3"/>
    <w:rsid w:val="00C245B3"/>
    <w:rsid w:val="00C2469B"/>
    <w:rsid w:val="00C26C6E"/>
    <w:rsid w:val="00C274BD"/>
    <w:rsid w:val="00C31396"/>
    <w:rsid w:val="00C3322B"/>
    <w:rsid w:val="00C34058"/>
    <w:rsid w:val="00C36F7A"/>
    <w:rsid w:val="00C406C8"/>
    <w:rsid w:val="00C41ADD"/>
    <w:rsid w:val="00C44186"/>
    <w:rsid w:val="00C45EEF"/>
    <w:rsid w:val="00C46781"/>
    <w:rsid w:val="00C467A9"/>
    <w:rsid w:val="00C47C5A"/>
    <w:rsid w:val="00C47F02"/>
    <w:rsid w:val="00C50210"/>
    <w:rsid w:val="00C50612"/>
    <w:rsid w:val="00C518C9"/>
    <w:rsid w:val="00C560F1"/>
    <w:rsid w:val="00C579DF"/>
    <w:rsid w:val="00C57C94"/>
    <w:rsid w:val="00C600AE"/>
    <w:rsid w:val="00C60179"/>
    <w:rsid w:val="00C60BEF"/>
    <w:rsid w:val="00C61ED2"/>
    <w:rsid w:val="00C63ECB"/>
    <w:rsid w:val="00C6414E"/>
    <w:rsid w:val="00C646C5"/>
    <w:rsid w:val="00C70A4E"/>
    <w:rsid w:val="00C734C0"/>
    <w:rsid w:val="00C742C6"/>
    <w:rsid w:val="00C7573B"/>
    <w:rsid w:val="00C773C9"/>
    <w:rsid w:val="00C8014C"/>
    <w:rsid w:val="00C81152"/>
    <w:rsid w:val="00C8565D"/>
    <w:rsid w:val="00C8737D"/>
    <w:rsid w:val="00C874FE"/>
    <w:rsid w:val="00C901D9"/>
    <w:rsid w:val="00C90BF4"/>
    <w:rsid w:val="00C91576"/>
    <w:rsid w:val="00C923BA"/>
    <w:rsid w:val="00C9296E"/>
    <w:rsid w:val="00C94119"/>
    <w:rsid w:val="00C9473F"/>
    <w:rsid w:val="00C952B6"/>
    <w:rsid w:val="00CA053D"/>
    <w:rsid w:val="00CA1620"/>
    <w:rsid w:val="00CA3223"/>
    <w:rsid w:val="00CA6334"/>
    <w:rsid w:val="00CB2656"/>
    <w:rsid w:val="00CB3438"/>
    <w:rsid w:val="00CB386A"/>
    <w:rsid w:val="00CB6421"/>
    <w:rsid w:val="00CC01B2"/>
    <w:rsid w:val="00CC0CA5"/>
    <w:rsid w:val="00CC25F7"/>
    <w:rsid w:val="00CC324B"/>
    <w:rsid w:val="00CC329E"/>
    <w:rsid w:val="00CC3759"/>
    <w:rsid w:val="00CC393E"/>
    <w:rsid w:val="00CC4103"/>
    <w:rsid w:val="00CC5F2C"/>
    <w:rsid w:val="00CC784B"/>
    <w:rsid w:val="00CD0E16"/>
    <w:rsid w:val="00CD14AC"/>
    <w:rsid w:val="00CD49D5"/>
    <w:rsid w:val="00CD6FA8"/>
    <w:rsid w:val="00CD70C0"/>
    <w:rsid w:val="00CE0DBA"/>
    <w:rsid w:val="00CE1525"/>
    <w:rsid w:val="00CE1E9B"/>
    <w:rsid w:val="00CE2BD0"/>
    <w:rsid w:val="00CE4EC5"/>
    <w:rsid w:val="00CE5485"/>
    <w:rsid w:val="00CE6820"/>
    <w:rsid w:val="00CF0D98"/>
    <w:rsid w:val="00CF0FF4"/>
    <w:rsid w:val="00CF10E3"/>
    <w:rsid w:val="00CF2F50"/>
    <w:rsid w:val="00CF3929"/>
    <w:rsid w:val="00CF3DAA"/>
    <w:rsid w:val="00CF5A1D"/>
    <w:rsid w:val="00CF63C0"/>
    <w:rsid w:val="00CF6CFA"/>
    <w:rsid w:val="00CF7EBB"/>
    <w:rsid w:val="00D026CE"/>
    <w:rsid w:val="00D045E3"/>
    <w:rsid w:val="00D04E83"/>
    <w:rsid w:val="00D050D3"/>
    <w:rsid w:val="00D10383"/>
    <w:rsid w:val="00D105BF"/>
    <w:rsid w:val="00D109AB"/>
    <w:rsid w:val="00D114D7"/>
    <w:rsid w:val="00D114DC"/>
    <w:rsid w:val="00D11796"/>
    <w:rsid w:val="00D13277"/>
    <w:rsid w:val="00D150CB"/>
    <w:rsid w:val="00D15878"/>
    <w:rsid w:val="00D16052"/>
    <w:rsid w:val="00D162F3"/>
    <w:rsid w:val="00D17069"/>
    <w:rsid w:val="00D20FDF"/>
    <w:rsid w:val="00D21909"/>
    <w:rsid w:val="00D228E3"/>
    <w:rsid w:val="00D23762"/>
    <w:rsid w:val="00D256B0"/>
    <w:rsid w:val="00D26547"/>
    <w:rsid w:val="00D278BC"/>
    <w:rsid w:val="00D2792E"/>
    <w:rsid w:val="00D302BC"/>
    <w:rsid w:val="00D30C5B"/>
    <w:rsid w:val="00D337F9"/>
    <w:rsid w:val="00D358CC"/>
    <w:rsid w:val="00D40CE8"/>
    <w:rsid w:val="00D4108F"/>
    <w:rsid w:val="00D4330A"/>
    <w:rsid w:val="00D436FD"/>
    <w:rsid w:val="00D45783"/>
    <w:rsid w:val="00D46B7E"/>
    <w:rsid w:val="00D50A82"/>
    <w:rsid w:val="00D51E54"/>
    <w:rsid w:val="00D528BE"/>
    <w:rsid w:val="00D54763"/>
    <w:rsid w:val="00D564BE"/>
    <w:rsid w:val="00D6308A"/>
    <w:rsid w:val="00D63563"/>
    <w:rsid w:val="00D6415D"/>
    <w:rsid w:val="00D652C4"/>
    <w:rsid w:val="00D65960"/>
    <w:rsid w:val="00D66E2E"/>
    <w:rsid w:val="00D676A2"/>
    <w:rsid w:val="00D70C50"/>
    <w:rsid w:val="00D71D7D"/>
    <w:rsid w:val="00D737EE"/>
    <w:rsid w:val="00D77BF7"/>
    <w:rsid w:val="00D80610"/>
    <w:rsid w:val="00D81429"/>
    <w:rsid w:val="00D81872"/>
    <w:rsid w:val="00D8208F"/>
    <w:rsid w:val="00D87F73"/>
    <w:rsid w:val="00D91578"/>
    <w:rsid w:val="00D9184A"/>
    <w:rsid w:val="00D94CD3"/>
    <w:rsid w:val="00DA1F21"/>
    <w:rsid w:val="00DA216E"/>
    <w:rsid w:val="00DA47CF"/>
    <w:rsid w:val="00DA4BE6"/>
    <w:rsid w:val="00DA4E09"/>
    <w:rsid w:val="00DA5C42"/>
    <w:rsid w:val="00DA6E4C"/>
    <w:rsid w:val="00DA7104"/>
    <w:rsid w:val="00DA73EF"/>
    <w:rsid w:val="00DA763A"/>
    <w:rsid w:val="00DB4B6E"/>
    <w:rsid w:val="00DB50EF"/>
    <w:rsid w:val="00DB55C5"/>
    <w:rsid w:val="00DB7FB3"/>
    <w:rsid w:val="00DC06EC"/>
    <w:rsid w:val="00DC19C5"/>
    <w:rsid w:val="00DC2FEA"/>
    <w:rsid w:val="00DC5575"/>
    <w:rsid w:val="00DC711F"/>
    <w:rsid w:val="00DD1904"/>
    <w:rsid w:val="00DD302E"/>
    <w:rsid w:val="00DD4B5E"/>
    <w:rsid w:val="00DD4E06"/>
    <w:rsid w:val="00DD7853"/>
    <w:rsid w:val="00DD7BA6"/>
    <w:rsid w:val="00DE14B0"/>
    <w:rsid w:val="00DE1644"/>
    <w:rsid w:val="00DE24CF"/>
    <w:rsid w:val="00DE375C"/>
    <w:rsid w:val="00DE3DBF"/>
    <w:rsid w:val="00DE401F"/>
    <w:rsid w:val="00DE4CBA"/>
    <w:rsid w:val="00DE658E"/>
    <w:rsid w:val="00DE6710"/>
    <w:rsid w:val="00DE7305"/>
    <w:rsid w:val="00DF435E"/>
    <w:rsid w:val="00DF4F6E"/>
    <w:rsid w:val="00DF75B5"/>
    <w:rsid w:val="00E00624"/>
    <w:rsid w:val="00E023B8"/>
    <w:rsid w:val="00E03D7D"/>
    <w:rsid w:val="00E0716F"/>
    <w:rsid w:val="00E106C9"/>
    <w:rsid w:val="00E106FF"/>
    <w:rsid w:val="00E11011"/>
    <w:rsid w:val="00E11D52"/>
    <w:rsid w:val="00E120BF"/>
    <w:rsid w:val="00E1521A"/>
    <w:rsid w:val="00E16B9F"/>
    <w:rsid w:val="00E17E06"/>
    <w:rsid w:val="00E2353A"/>
    <w:rsid w:val="00E254B3"/>
    <w:rsid w:val="00E26171"/>
    <w:rsid w:val="00E265CF"/>
    <w:rsid w:val="00E265F1"/>
    <w:rsid w:val="00E3012C"/>
    <w:rsid w:val="00E30E6D"/>
    <w:rsid w:val="00E314C7"/>
    <w:rsid w:val="00E316CB"/>
    <w:rsid w:val="00E329A7"/>
    <w:rsid w:val="00E32CC3"/>
    <w:rsid w:val="00E3309B"/>
    <w:rsid w:val="00E33515"/>
    <w:rsid w:val="00E33761"/>
    <w:rsid w:val="00E342F2"/>
    <w:rsid w:val="00E343F2"/>
    <w:rsid w:val="00E37F29"/>
    <w:rsid w:val="00E42E44"/>
    <w:rsid w:val="00E47194"/>
    <w:rsid w:val="00E4730F"/>
    <w:rsid w:val="00E50E06"/>
    <w:rsid w:val="00E52C3A"/>
    <w:rsid w:val="00E53677"/>
    <w:rsid w:val="00E542C1"/>
    <w:rsid w:val="00E57E9B"/>
    <w:rsid w:val="00E57FE0"/>
    <w:rsid w:val="00E60620"/>
    <w:rsid w:val="00E60834"/>
    <w:rsid w:val="00E6096F"/>
    <w:rsid w:val="00E62BCD"/>
    <w:rsid w:val="00E63A30"/>
    <w:rsid w:val="00E65595"/>
    <w:rsid w:val="00E6598A"/>
    <w:rsid w:val="00E70DFB"/>
    <w:rsid w:val="00E71611"/>
    <w:rsid w:val="00E7275D"/>
    <w:rsid w:val="00E73828"/>
    <w:rsid w:val="00E77061"/>
    <w:rsid w:val="00E77472"/>
    <w:rsid w:val="00E80617"/>
    <w:rsid w:val="00E80A78"/>
    <w:rsid w:val="00E80BBF"/>
    <w:rsid w:val="00E81E93"/>
    <w:rsid w:val="00E831CA"/>
    <w:rsid w:val="00E843A8"/>
    <w:rsid w:val="00E85AA6"/>
    <w:rsid w:val="00E8681F"/>
    <w:rsid w:val="00E87D7D"/>
    <w:rsid w:val="00E90931"/>
    <w:rsid w:val="00E9298D"/>
    <w:rsid w:val="00E936A1"/>
    <w:rsid w:val="00E95F2D"/>
    <w:rsid w:val="00E96930"/>
    <w:rsid w:val="00E976F7"/>
    <w:rsid w:val="00E97F08"/>
    <w:rsid w:val="00EA3D37"/>
    <w:rsid w:val="00EA40D4"/>
    <w:rsid w:val="00EA6750"/>
    <w:rsid w:val="00EA7336"/>
    <w:rsid w:val="00EB01BD"/>
    <w:rsid w:val="00EB1D8A"/>
    <w:rsid w:val="00EB2438"/>
    <w:rsid w:val="00EB32D6"/>
    <w:rsid w:val="00EB4B25"/>
    <w:rsid w:val="00EB4C1D"/>
    <w:rsid w:val="00EB62F4"/>
    <w:rsid w:val="00EB674C"/>
    <w:rsid w:val="00EB67B2"/>
    <w:rsid w:val="00EC17B6"/>
    <w:rsid w:val="00EC4D7E"/>
    <w:rsid w:val="00EC5256"/>
    <w:rsid w:val="00EC5F71"/>
    <w:rsid w:val="00ED192E"/>
    <w:rsid w:val="00ED1C42"/>
    <w:rsid w:val="00ED2C53"/>
    <w:rsid w:val="00ED3B35"/>
    <w:rsid w:val="00ED40A4"/>
    <w:rsid w:val="00ED4216"/>
    <w:rsid w:val="00ED5A92"/>
    <w:rsid w:val="00EE210D"/>
    <w:rsid w:val="00EE593E"/>
    <w:rsid w:val="00EE5AE9"/>
    <w:rsid w:val="00EE5C43"/>
    <w:rsid w:val="00EE67A7"/>
    <w:rsid w:val="00EF0567"/>
    <w:rsid w:val="00EF36B7"/>
    <w:rsid w:val="00EF3B4D"/>
    <w:rsid w:val="00EF415D"/>
    <w:rsid w:val="00EF452F"/>
    <w:rsid w:val="00EF4608"/>
    <w:rsid w:val="00EF46DE"/>
    <w:rsid w:val="00EF566A"/>
    <w:rsid w:val="00EF6A3E"/>
    <w:rsid w:val="00F00915"/>
    <w:rsid w:val="00F058E5"/>
    <w:rsid w:val="00F06670"/>
    <w:rsid w:val="00F07B2A"/>
    <w:rsid w:val="00F11333"/>
    <w:rsid w:val="00F11E48"/>
    <w:rsid w:val="00F12702"/>
    <w:rsid w:val="00F138F1"/>
    <w:rsid w:val="00F14271"/>
    <w:rsid w:val="00F1603A"/>
    <w:rsid w:val="00F16A7B"/>
    <w:rsid w:val="00F178A8"/>
    <w:rsid w:val="00F24471"/>
    <w:rsid w:val="00F27450"/>
    <w:rsid w:val="00F30A0D"/>
    <w:rsid w:val="00F32B18"/>
    <w:rsid w:val="00F34E81"/>
    <w:rsid w:val="00F37723"/>
    <w:rsid w:val="00F431EE"/>
    <w:rsid w:val="00F433FA"/>
    <w:rsid w:val="00F4404B"/>
    <w:rsid w:val="00F45E12"/>
    <w:rsid w:val="00F47997"/>
    <w:rsid w:val="00F5181E"/>
    <w:rsid w:val="00F51B67"/>
    <w:rsid w:val="00F52382"/>
    <w:rsid w:val="00F54A25"/>
    <w:rsid w:val="00F55D25"/>
    <w:rsid w:val="00F56000"/>
    <w:rsid w:val="00F56E33"/>
    <w:rsid w:val="00F6056C"/>
    <w:rsid w:val="00F61E34"/>
    <w:rsid w:val="00F670E4"/>
    <w:rsid w:val="00F7142F"/>
    <w:rsid w:val="00F72113"/>
    <w:rsid w:val="00F73187"/>
    <w:rsid w:val="00F7367D"/>
    <w:rsid w:val="00F7536D"/>
    <w:rsid w:val="00F7641C"/>
    <w:rsid w:val="00F817E1"/>
    <w:rsid w:val="00F81E79"/>
    <w:rsid w:val="00F83457"/>
    <w:rsid w:val="00F8440C"/>
    <w:rsid w:val="00F849DF"/>
    <w:rsid w:val="00F8570D"/>
    <w:rsid w:val="00F85847"/>
    <w:rsid w:val="00F86879"/>
    <w:rsid w:val="00F923AE"/>
    <w:rsid w:val="00F92ACF"/>
    <w:rsid w:val="00F94EDD"/>
    <w:rsid w:val="00F95819"/>
    <w:rsid w:val="00F9733C"/>
    <w:rsid w:val="00F97F80"/>
    <w:rsid w:val="00FA3840"/>
    <w:rsid w:val="00FA52E1"/>
    <w:rsid w:val="00FA5AC1"/>
    <w:rsid w:val="00FA794F"/>
    <w:rsid w:val="00FB02A3"/>
    <w:rsid w:val="00FB133C"/>
    <w:rsid w:val="00FB2FBC"/>
    <w:rsid w:val="00FB386B"/>
    <w:rsid w:val="00FB5798"/>
    <w:rsid w:val="00FC1D72"/>
    <w:rsid w:val="00FC2E6C"/>
    <w:rsid w:val="00FC6EFE"/>
    <w:rsid w:val="00FD0D2C"/>
    <w:rsid w:val="00FD1505"/>
    <w:rsid w:val="00FD48BA"/>
    <w:rsid w:val="00FD55C2"/>
    <w:rsid w:val="00FD5C52"/>
    <w:rsid w:val="00FD5EEF"/>
    <w:rsid w:val="00FE1AB5"/>
    <w:rsid w:val="00FE2B47"/>
    <w:rsid w:val="00FE4559"/>
    <w:rsid w:val="00FE57E3"/>
    <w:rsid w:val="00FE59B2"/>
    <w:rsid w:val="00FE6903"/>
    <w:rsid w:val="00FE6C78"/>
    <w:rsid w:val="00FF1233"/>
    <w:rsid w:val="00FF150A"/>
    <w:rsid w:val="00FF1595"/>
    <w:rsid w:val="00FF15B4"/>
    <w:rsid w:val="00FF1A78"/>
    <w:rsid w:val="00FF26BD"/>
    <w:rsid w:val="00FF3CD7"/>
    <w:rsid w:val="00FF76E3"/>
    <w:rsid w:val="00FF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4573333"/>
  <w15:docId w15:val="{D10E43C2-E495-4F0B-ACB4-FD4F185E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basedOn w:val="DefaultParagraphFont"/>
    <w:uiPriority w:val="99"/>
    <w:unhideWhenUsed/>
    <w:qFormat/>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71489"/>
    <w:pPr>
      <w:tabs>
        <w:tab w:val="left" w:pos="432"/>
      </w:tabs>
      <w:spacing w:line="240" w:lineRule="auto"/>
      <w:ind w:firstLine="432"/>
      <w:jc w:val="both"/>
    </w:pPr>
    <w:rPr>
      <w:rFonts w:ascii="Times New Roman" w:hAnsi="Times New Roman"/>
      <w:szCs w:val="24"/>
    </w:rPr>
  </w:style>
  <w:style w:type="paragraph" w:customStyle="1" w:styleId="BulletRedLastSS">
    <w:name w:val="Bullet_Red (Last SS)"/>
    <w:basedOn w:val="Normal"/>
    <w:next w:val="Normal"/>
    <w:qFormat/>
    <w:rsid w:val="002C4ADF"/>
    <w:pPr>
      <w:numPr>
        <w:numId w:val="26"/>
      </w:numPr>
      <w:tabs>
        <w:tab w:val="left" w:pos="360"/>
      </w:tabs>
      <w:spacing w:after="120" w:line="264" w:lineRule="auto"/>
      <w:ind w:right="360"/>
    </w:pPr>
    <w:rPr>
      <w:rFonts w:ascii="Times New Roman" w:hAnsi="Times New Roman"/>
      <w:szCs w:val="24"/>
    </w:rPr>
  </w:style>
  <w:style w:type="paragraph" w:customStyle="1" w:styleId="Tabletext0">
    <w:name w:val="Table text"/>
    <w:basedOn w:val="Normal"/>
    <w:qFormat/>
    <w:rsid w:val="00797247"/>
    <w:pPr>
      <w:contextualSpacing/>
    </w:pPr>
    <w:rPr>
      <w:rFonts w:ascii="Arial" w:eastAsiaTheme="minorEastAsia" w:hAnsi="Arial" w:cstheme="minorBidi"/>
      <w:color w:val="1F497D" w:themeColor="text2"/>
      <w:sz w:val="18"/>
      <w:szCs w:val="18"/>
      <w:lang w:val="en" w:eastAsia="ko-KR"/>
    </w:rPr>
  </w:style>
  <w:style w:type="paragraph" w:customStyle="1" w:styleId="Tabletitle0">
    <w:name w:val="Table title"/>
    <w:basedOn w:val="TT-TableTitle"/>
    <w:link w:val="TabletitleChar"/>
    <w:qFormat/>
    <w:rsid w:val="00797247"/>
    <w:pPr>
      <w:tabs>
        <w:tab w:val="clear" w:pos="1440"/>
      </w:tabs>
      <w:spacing w:before="120" w:after="120" w:line="280" w:lineRule="atLeast"/>
    </w:pPr>
    <w:rPr>
      <w:rFonts w:ascii="Times New Roman" w:hAnsi="Times New Roman"/>
      <w:b/>
      <w:color w:val="14487C"/>
      <w:sz w:val="24"/>
      <w:szCs w:val="22"/>
    </w:rPr>
  </w:style>
  <w:style w:type="character" w:customStyle="1" w:styleId="TabletitleChar">
    <w:name w:val="Table title Char"/>
    <w:basedOn w:val="DefaultParagraphFont"/>
    <w:link w:val="Tabletitle0"/>
    <w:rsid w:val="00797247"/>
    <w:rPr>
      <w:b/>
      <w:color w:val="14487C"/>
      <w:sz w:val="24"/>
      <w:szCs w:val="22"/>
    </w:rPr>
  </w:style>
  <w:style w:type="table" w:customStyle="1" w:styleId="Table5-WPN17-XXX">
    <w:name w:val="Table 5-WPN 17-XXX"/>
    <w:basedOn w:val="TableNormal"/>
    <w:uiPriority w:val="99"/>
    <w:rsid w:val="00AD0B6B"/>
    <w:rPr>
      <w:rFonts w:asciiTheme="minorHAnsi" w:hAnsiTheme="minorHAnsi"/>
      <w:color w:val="14487C"/>
    </w:rPr>
    <w:tblPr>
      <w:tblStyleRowBandSize w:val="1"/>
      <w:tblStyleColBandSize w:val="1"/>
      <w:tblInd w:w="115" w:type="dxa"/>
      <w:tblBorders>
        <w:bottom w:val="single" w:sz="4" w:space="0" w:color="14487C"/>
      </w:tblBorders>
      <w:tblCellMar>
        <w:left w:w="115" w:type="dxa"/>
        <w:right w:w="0" w:type="dxa"/>
      </w:tblCellMar>
    </w:tblPr>
    <w:tblStylePr w:type="firstRow">
      <w:pPr>
        <w:wordWrap/>
        <w:spacing w:beforeLines="20" w:before="20" w:beforeAutospacing="0" w:afterLines="20" w:after="20" w:afterAutospacing="0"/>
        <w:jc w:val="center"/>
      </w:pPr>
      <w:rPr>
        <w:rFonts w:asciiTheme="minorHAnsi" w:hAnsiTheme="minorHAnsi"/>
        <w:b w:val="0"/>
        <w:color w:val="FFFFFF" w:themeColor="background1"/>
        <w:sz w:val="20"/>
      </w:rPr>
      <w:tblPr/>
      <w:tcPr>
        <w:tcBorders>
          <w:insideV w:val="single" w:sz="18" w:space="0" w:color="FFFFFF" w:themeColor="background1"/>
        </w:tcBorders>
        <w:shd w:val="clear" w:color="auto" w:fill="14487C"/>
      </w:tcPr>
    </w:tblStylePr>
    <w:tblStylePr w:type="lastRow">
      <w:tblPr/>
      <w:tcPr>
        <w:tcBorders>
          <w:bottom w:val="nil"/>
        </w:tcBorders>
      </w:tcPr>
    </w:tblStylePr>
    <w:tblStylePr w:type="firstCol">
      <w:rPr>
        <w:rFonts w:asciiTheme="minorHAnsi" w:hAnsiTheme="minorHAnsi"/>
        <w:b w:val="0"/>
        <w:color w:val="14487C"/>
        <w:sz w:val="20"/>
      </w:rPr>
    </w:tblStylePr>
    <w:tblStylePr w:type="band2Vert">
      <w:pPr>
        <w:jc w:val="left"/>
      </w:pPr>
      <w:rPr>
        <w:rFonts w:asciiTheme="minorHAnsi" w:hAnsiTheme="minorHAnsi"/>
        <w:color w:val="14487C"/>
        <w:sz w:val="22"/>
      </w:rPr>
    </w:tblStylePr>
    <w:tblStylePr w:type="band2Horz">
      <w:tblPr/>
      <w:tcPr>
        <w:tcBorders>
          <w:insideV w:val="single" w:sz="18" w:space="0" w:color="FFFFFF" w:themeColor="background1"/>
        </w:tcBorders>
        <w:shd w:val="clear" w:color="auto" w:fill="B8CCE4" w:themeFill="accent1" w:themeFillTint="66"/>
      </w:tcPr>
    </w:tblStylePr>
  </w:style>
  <w:style w:type="paragraph" w:customStyle="1" w:styleId="NL-1stNumberedBullet">
    <w:name w:val="NL-1st Numbered Bullet"/>
    <w:qFormat/>
    <w:rsid w:val="00864BC9"/>
    <w:pPr>
      <w:numPr>
        <w:numId w:val="28"/>
      </w:numPr>
      <w:spacing w:before="120" w:after="120" w:line="240" w:lineRule="atLeast"/>
    </w:pPr>
    <w:rPr>
      <w:rFonts w:asciiTheme="minorHAnsi" w:hAnsiTheme="minorHAnsi"/>
      <w:noProof/>
      <w:snapToGrid w:val="0"/>
      <w:sz w:val="22"/>
      <w:szCs w:val="22"/>
    </w:rPr>
  </w:style>
  <w:style w:type="character" w:customStyle="1" w:styleId="UnresolvedMention1">
    <w:name w:val="Unresolved Mention1"/>
    <w:basedOn w:val="DefaultParagraphFont"/>
    <w:uiPriority w:val="99"/>
    <w:semiHidden/>
    <w:unhideWhenUsed/>
    <w:rsid w:val="00601696"/>
    <w:rPr>
      <w:color w:val="605E5C"/>
      <w:shd w:val="clear" w:color="auto" w:fill="E1DFDD"/>
    </w:rPr>
  </w:style>
  <w:style w:type="character" w:customStyle="1" w:styleId="UnresolvedMention2">
    <w:name w:val="Unresolved Mention2"/>
    <w:basedOn w:val="DefaultParagraphFont"/>
    <w:uiPriority w:val="99"/>
    <w:semiHidden/>
    <w:unhideWhenUsed/>
    <w:rsid w:val="00DE1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1777">
      <w:bodyDiv w:val="1"/>
      <w:marLeft w:val="0"/>
      <w:marRight w:val="0"/>
      <w:marTop w:val="0"/>
      <w:marBottom w:val="0"/>
      <w:divBdr>
        <w:top w:val="none" w:sz="0" w:space="0" w:color="auto"/>
        <w:left w:val="none" w:sz="0" w:space="0" w:color="auto"/>
        <w:bottom w:val="none" w:sz="0" w:space="0" w:color="auto"/>
        <w:right w:val="none" w:sz="0" w:space="0" w:color="auto"/>
      </w:divBdr>
    </w:div>
    <w:div w:id="510920852">
      <w:bodyDiv w:val="1"/>
      <w:marLeft w:val="0"/>
      <w:marRight w:val="0"/>
      <w:marTop w:val="0"/>
      <w:marBottom w:val="0"/>
      <w:divBdr>
        <w:top w:val="none" w:sz="0" w:space="0" w:color="auto"/>
        <w:left w:val="none" w:sz="0" w:space="0" w:color="auto"/>
        <w:bottom w:val="none" w:sz="0" w:space="0" w:color="auto"/>
        <w:right w:val="none" w:sz="0" w:space="0" w:color="auto"/>
      </w:divBdr>
    </w:div>
    <w:div w:id="805119679">
      <w:bodyDiv w:val="1"/>
      <w:marLeft w:val="0"/>
      <w:marRight w:val="0"/>
      <w:marTop w:val="0"/>
      <w:marBottom w:val="0"/>
      <w:divBdr>
        <w:top w:val="none" w:sz="0" w:space="0" w:color="auto"/>
        <w:left w:val="none" w:sz="0" w:space="0" w:color="auto"/>
        <w:bottom w:val="none" w:sz="0" w:space="0" w:color="auto"/>
        <w:right w:val="none" w:sz="0" w:space="0" w:color="auto"/>
      </w:divBdr>
    </w:div>
    <w:div w:id="1068576178">
      <w:bodyDiv w:val="1"/>
      <w:marLeft w:val="0"/>
      <w:marRight w:val="0"/>
      <w:marTop w:val="0"/>
      <w:marBottom w:val="0"/>
      <w:divBdr>
        <w:top w:val="none" w:sz="0" w:space="0" w:color="auto"/>
        <w:left w:val="none" w:sz="0" w:space="0" w:color="auto"/>
        <w:bottom w:val="none" w:sz="0" w:space="0" w:color="auto"/>
        <w:right w:val="none" w:sz="0" w:space="0" w:color="auto"/>
      </w:divBdr>
    </w:div>
    <w:div w:id="1126123063">
      <w:bodyDiv w:val="1"/>
      <w:marLeft w:val="0"/>
      <w:marRight w:val="0"/>
      <w:marTop w:val="0"/>
      <w:marBottom w:val="0"/>
      <w:divBdr>
        <w:top w:val="none" w:sz="0" w:space="0" w:color="auto"/>
        <w:left w:val="none" w:sz="0" w:space="0" w:color="auto"/>
        <w:bottom w:val="none" w:sz="0" w:space="0" w:color="auto"/>
        <w:right w:val="none" w:sz="0" w:space="0" w:color="auto"/>
      </w:divBdr>
    </w:div>
    <w:div w:id="1129980888">
      <w:bodyDiv w:val="1"/>
      <w:marLeft w:val="0"/>
      <w:marRight w:val="0"/>
      <w:marTop w:val="0"/>
      <w:marBottom w:val="0"/>
      <w:divBdr>
        <w:top w:val="none" w:sz="0" w:space="0" w:color="auto"/>
        <w:left w:val="none" w:sz="0" w:space="0" w:color="auto"/>
        <w:bottom w:val="none" w:sz="0" w:space="0" w:color="auto"/>
        <w:right w:val="none" w:sz="0" w:space="0" w:color="auto"/>
      </w:divBdr>
    </w:div>
    <w:div w:id="1321499291">
      <w:bodyDiv w:val="1"/>
      <w:marLeft w:val="0"/>
      <w:marRight w:val="0"/>
      <w:marTop w:val="0"/>
      <w:marBottom w:val="0"/>
      <w:divBdr>
        <w:top w:val="none" w:sz="0" w:space="0" w:color="auto"/>
        <w:left w:val="none" w:sz="0" w:space="0" w:color="auto"/>
        <w:bottom w:val="none" w:sz="0" w:space="0" w:color="auto"/>
        <w:right w:val="none" w:sz="0" w:space="0" w:color="auto"/>
      </w:divBdr>
    </w:div>
    <w:div w:id="1341392564">
      <w:bodyDiv w:val="1"/>
      <w:marLeft w:val="0"/>
      <w:marRight w:val="0"/>
      <w:marTop w:val="0"/>
      <w:marBottom w:val="0"/>
      <w:divBdr>
        <w:top w:val="none" w:sz="0" w:space="0" w:color="auto"/>
        <w:left w:val="none" w:sz="0" w:space="0" w:color="auto"/>
        <w:bottom w:val="none" w:sz="0" w:space="0" w:color="auto"/>
        <w:right w:val="none" w:sz="0" w:space="0" w:color="auto"/>
      </w:divBdr>
    </w:div>
    <w:div w:id="1373379133">
      <w:bodyDiv w:val="1"/>
      <w:marLeft w:val="0"/>
      <w:marRight w:val="0"/>
      <w:marTop w:val="0"/>
      <w:marBottom w:val="0"/>
      <w:divBdr>
        <w:top w:val="none" w:sz="0" w:space="0" w:color="auto"/>
        <w:left w:val="none" w:sz="0" w:space="0" w:color="auto"/>
        <w:bottom w:val="none" w:sz="0" w:space="0" w:color="auto"/>
        <w:right w:val="none" w:sz="0" w:space="0" w:color="auto"/>
      </w:divBdr>
    </w:div>
    <w:div w:id="1384985911">
      <w:bodyDiv w:val="1"/>
      <w:marLeft w:val="0"/>
      <w:marRight w:val="0"/>
      <w:marTop w:val="0"/>
      <w:marBottom w:val="0"/>
      <w:divBdr>
        <w:top w:val="none" w:sz="0" w:space="0" w:color="auto"/>
        <w:left w:val="none" w:sz="0" w:space="0" w:color="auto"/>
        <w:bottom w:val="none" w:sz="0" w:space="0" w:color="auto"/>
        <w:right w:val="none" w:sz="0" w:space="0" w:color="auto"/>
      </w:divBdr>
      <w:divsChild>
        <w:div w:id="74977186">
          <w:marLeft w:val="1440"/>
          <w:marRight w:val="0"/>
          <w:marTop w:val="100"/>
          <w:marBottom w:val="0"/>
          <w:divBdr>
            <w:top w:val="none" w:sz="0" w:space="0" w:color="auto"/>
            <w:left w:val="none" w:sz="0" w:space="0" w:color="auto"/>
            <w:bottom w:val="none" w:sz="0" w:space="0" w:color="auto"/>
            <w:right w:val="none" w:sz="0" w:space="0" w:color="auto"/>
          </w:divBdr>
        </w:div>
        <w:div w:id="318657521">
          <w:marLeft w:val="1440"/>
          <w:marRight w:val="0"/>
          <w:marTop w:val="100"/>
          <w:marBottom w:val="0"/>
          <w:divBdr>
            <w:top w:val="none" w:sz="0" w:space="0" w:color="auto"/>
            <w:left w:val="none" w:sz="0" w:space="0" w:color="auto"/>
            <w:bottom w:val="none" w:sz="0" w:space="0" w:color="auto"/>
            <w:right w:val="none" w:sz="0" w:space="0" w:color="auto"/>
          </w:divBdr>
        </w:div>
      </w:divsChild>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 w:id="1693144880">
      <w:bodyDiv w:val="1"/>
      <w:marLeft w:val="0"/>
      <w:marRight w:val="0"/>
      <w:marTop w:val="0"/>
      <w:marBottom w:val="0"/>
      <w:divBdr>
        <w:top w:val="none" w:sz="0" w:space="0" w:color="auto"/>
        <w:left w:val="none" w:sz="0" w:space="0" w:color="auto"/>
        <w:bottom w:val="none" w:sz="0" w:space="0" w:color="auto"/>
        <w:right w:val="none" w:sz="0" w:space="0" w:color="auto"/>
      </w:divBdr>
    </w:div>
    <w:div w:id="1808234813">
      <w:bodyDiv w:val="1"/>
      <w:marLeft w:val="0"/>
      <w:marRight w:val="0"/>
      <w:marTop w:val="0"/>
      <w:marBottom w:val="0"/>
      <w:divBdr>
        <w:top w:val="none" w:sz="0" w:space="0" w:color="auto"/>
        <w:left w:val="none" w:sz="0" w:space="0" w:color="auto"/>
        <w:bottom w:val="none" w:sz="0" w:space="0" w:color="auto"/>
        <w:right w:val="none" w:sz="0" w:space="0" w:color="auto"/>
      </w:divBdr>
    </w:div>
    <w:div w:id="1859541474">
      <w:bodyDiv w:val="1"/>
      <w:marLeft w:val="0"/>
      <w:marRight w:val="0"/>
      <w:marTop w:val="0"/>
      <w:marBottom w:val="0"/>
      <w:divBdr>
        <w:top w:val="none" w:sz="0" w:space="0" w:color="auto"/>
        <w:left w:val="none" w:sz="0" w:space="0" w:color="auto"/>
        <w:bottom w:val="none" w:sz="0" w:space="0" w:color="auto"/>
        <w:right w:val="none" w:sz="0" w:space="0" w:color="auto"/>
      </w:divBdr>
    </w:div>
    <w:div w:id="1908031139">
      <w:bodyDiv w:val="1"/>
      <w:marLeft w:val="0"/>
      <w:marRight w:val="0"/>
      <w:marTop w:val="0"/>
      <w:marBottom w:val="0"/>
      <w:divBdr>
        <w:top w:val="none" w:sz="0" w:space="0" w:color="auto"/>
        <w:left w:val="none" w:sz="0" w:space="0" w:color="auto"/>
        <w:bottom w:val="none" w:sz="0" w:space="0" w:color="auto"/>
        <w:right w:val="none" w:sz="0" w:space="0" w:color="auto"/>
      </w:divBdr>
    </w:div>
    <w:div w:id="2027822910">
      <w:bodyDiv w:val="1"/>
      <w:marLeft w:val="0"/>
      <w:marRight w:val="0"/>
      <w:marTop w:val="0"/>
      <w:marBottom w:val="0"/>
      <w:divBdr>
        <w:top w:val="none" w:sz="0" w:space="0" w:color="auto"/>
        <w:left w:val="none" w:sz="0" w:space="0" w:color="auto"/>
        <w:bottom w:val="none" w:sz="0" w:space="0" w:color="auto"/>
        <w:right w:val="none" w:sz="0" w:space="0" w:color="auto"/>
      </w:divBdr>
      <w:divsChild>
        <w:div w:id="54738604">
          <w:marLeft w:val="0"/>
          <w:marRight w:val="0"/>
          <w:marTop w:val="0"/>
          <w:marBottom w:val="0"/>
          <w:divBdr>
            <w:top w:val="none" w:sz="0" w:space="0" w:color="auto"/>
            <w:left w:val="none" w:sz="0" w:space="0" w:color="auto"/>
            <w:bottom w:val="none" w:sz="0" w:space="0" w:color="auto"/>
            <w:right w:val="none" w:sz="0" w:space="0" w:color="auto"/>
          </w:divBdr>
        </w:div>
        <w:div w:id="730886088">
          <w:marLeft w:val="0"/>
          <w:marRight w:val="0"/>
          <w:marTop w:val="0"/>
          <w:marBottom w:val="0"/>
          <w:divBdr>
            <w:top w:val="none" w:sz="0" w:space="0" w:color="auto"/>
            <w:left w:val="none" w:sz="0" w:space="0" w:color="auto"/>
            <w:bottom w:val="none" w:sz="0" w:space="0" w:color="auto"/>
            <w:right w:val="none" w:sz="0" w:space="0" w:color="auto"/>
          </w:divBdr>
        </w:div>
        <w:div w:id="1571887636">
          <w:marLeft w:val="0"/>
          <w:marRight w:val="0"/>
          <w:marTop w:val="0"/>
          <w:marBottom w:val="0"/>
          <w:divBdr>
            <w:top w:val="none" w:sz="0" w:space="0" w:color="auto"/>
            <w:left w:val="none" w:sz="0" w:space="0" w:color="auto"/>
            <w:bottom w:val="none" w:sz="0" w:space="0" w:color="auto"/>
            <w:right w:val="none" w:sz="0" w:space="0" w:color="auto"/>
          </w:divBdr>
        </w:div>
        <w:div w:id="1633515541">
          <w:marLeft w:val="0"/>
          <w:marRight w:val="0"/>
          <w:marTop w:val="0"/>
          <w:marBottom w:val="0"/>
          <w:divBdr>
            <w:top w:val="none" w:sz="0" w:space="0" w:color="auto"/>
            <w:left w:val="none" w:sz="0" w:space="0" w:color="auto"/>
            <w:bottom w:val="none" w:sz="0" w:space="0" w:color="auto"/>
            <w:right w:val="none" w:sz="0" w:space="0" w:color="auto"/>
          </w:divBdr>
        </w:div>
        <w:div w:id="189295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Bwest@umich.edu" TargetMode="External"/><Relationship Id="rId26" Type="http://schemas.openxmlformats.org/officeDocument/2006/relationships/hyperlink" Target="mailto:WendyVandeKerckhove@westat.com" TargetMode="External"/><Relationship Id="rId3" Type="http://schemas.openxmlformats.org/officeDocument/2006/relationships/styles" Target="styles.xml"/><Relationship Id="rId21" Type="http://schemas.openxmlformats.org/officeDocument/2006/relationships/hyperlink" Target="mailto:DavidCantor@westa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jeffrey.gonzalez@usda.gov" TargetMode="External"/><Relationship Id="rId25" Type="http://schemas.openxmlformats.org/officeDocument/2006/relationships/hyperlink" Target="mailto:TingYan@westa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JaniceMachado@westat.com" TargetMode="External"/><Relationship Id="rId29" Type="http://schemas.openxmlformats.org/officeDocument/2006/relationships/hyperlink" Target="mailto:johnkir516@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JillDematteis@westat.co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mailto:TomKrenzke@westat.com" TargetMode="External"/><Relationship Id="rId28" Type="http://schemas.openxmlformats.org/officeDocument/2006/relationships/hyperlink" Target="mailto:Joseph.Rodhouse@usda.gov" TargetMode="External"/><Relationship Id="rId10" Type="http://schemas.openxmlformats.org/officeDocument/2006/relationships/header" Target="header2.xml"/><Relationship Id="rId19" Type="http://schemas.openxmlformats.org/officeDocument/2006/relationships/hyperlink" Target="mailto:LaurieMay@westat.com" TargetMode="External"/><Relationship Id="rId31" Type="http://schemas.openxmlformats.org/officeDocument/2006/relationships/hyperlink" Target="https://www.ers.usda.gov/media/9070/potentialnonresponsebia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apor.org/AAPOR_Main/media/MainSiteFiles/Standard-Definitions2015_8thEd.pdf" TargetMode="External"/><Relationship Id="rId22" Type="http://schemas.openxmlformats.org/officeDocument/2006/relationships/hyperlink" Target="mailto:ErikaBonilla@westat.com" TargetMode="External"/><Relationship Id="rId27" Type="http://schemas.openxmlformats.org/officeDocument/2006/relationships/hyperlink" Target="mailto:ElizabethPetraglia@westat.com" TargetMode="External"/><Relationship Id="rId30" Type="http://schemas.openxmlformats.org/officeDocument/2006/relationships/hyperlink" Target="http://www.ars.usda.gov/nea/bhnrc/fsrg"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rs.usda.gov/nea/bhnrc/fs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1273-FA84-4A10-9301-A4362376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11800</Words>
  <Characters>66640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 Atere</dc:creator>
  <cp:keywords/>
  <dc:description/>
  <cp:lastModifiedBy>Gonzalez, Jeffrey - REE-ERS, Washington, DC</cp:lastModifiedBy>
  <cp:revision>2</cp:revision>
  <cp:lastPrinted>2018-05-11T12:26:00Z</cp:lastPrinted>
  <dcterms:created xsi:type="dcterms:W3CDTF">2022-02-16T04:24:00Z</dcterms:created>
  <dcterms:modified xsi:type="dcterms:W3CDTF">2022-02-16T04:24:00Z</dcterms:modified>
</cp:coreProperties>
</file>