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06CE" w:rsidR="007F3998" w:rsidRDefault="000358F4" w14:paraId="11DBF4A6" w14:textId="0C03F8D5">
      <w:pPr>
        <w:rPr>
          <w:b/>
          <w:bCs/>
        </w:rPr>
      </w:pPr>
      <w:r w:rsidRPr="004E06CE">
        <w:rPr>
          <w:b/>
          <w:bCs/>
        </w:rPr>
        <w:t>CRP Enrollment</w:t>
      </w:r>
      <w:r w:rsidR="004E06CE">
        <w:rPr>
          <w:b/>
          <w:bCs/>
        </w:rPr>
        <w:t>: Relevant Literature on</w:t>
      </w:r>
      <w:r w:rsidRPr="004E06CE">
        <w:rPr>
          <w:b/>
          <w:bCs/>
        </w:rPr>
        <w:t xml:space="preserve"> Nudges</w:t>
      </w:r>
      <w:r w:rsidR="004E06CE">
        <w:rPr>
          <w:b/>
          <w:bCs/>
        </w:rPr>
        <w:t xml:space="preserve"> and Experiments</w:t>
      </w:r>
    </w:p>
    <w:p w:rsidR="000358F4" w:rsidRDefault="000358F4" w14:paraId="273A0D00" w14:textId="79119130"/>
    <w:p w:rsidR="004E06CE" w:rsidP="004E06CE" w:rsidRDefault="004E06CE" w14:paraId="246D32F1" w14:textId="60CB7C31">
      <w:pPr>
        <w:rPr>
          <w:b/>
          <w:bCs/>
        </w:rPr>
      </w:pPr>
      <w:r w:rsidRPr="004E06CE">
        <w:rPr>
          <w:b/>
          <w:bCs/>
        </w:rPr>
        <w:t>Background Nudges</w:t>
      </w:r>
      <w:r w:rsidR="009B7633">
        <w:rPr>
          <w:b/>
          <w:bCs/>
        </w:rPr>
        <w:t>: Defaults</w:t>
      </w:r>
      <w:r w:rsidR="00DE2B31">
        <w:rPr>
          <w:b/>
          <w:bCs/>
        </w:rPr>
        <w:t xml:space="preserve"> and A</w:t>
      </w:r>
      <w:r w:rsidR="009B7633">
        <w:rPr>
          <w:b/>
          <w:bCs/>
        </w:rPr>
        <w:t>nchoring</w:t>
      </w:r>
    </w:p>
    <w:p w:rsidR="004E06CE" w:rsidP="004E06CE" w:rsidRDefault="004E06CE" w14:paraId="2A91A0F3" w14:textId="2D98CAD1"/>
    <w:p w:rsidR="00690402" w:rsidP="004E06CE" w:rsidRDefault="004E06CE" w14:paraId="58942582" w14:textId="1E6AEF51">
      <w:r w:rsidRPr="004E06CE">
        <w:t>Nudges are “any aspect of the choice architecture that alters people’s behavior in a predictable way without forbidding any options or significantly changing their economic incentives</w:t>
      </w:r>
      <w:r w:rsidR="009B7633">
        <w:t>,</w:t>
      </w:r>
      <w:r w:rsidRPr="004E06CE">
        <w:t xml:space="preserve">” </w:t>
      </w:r>
      <w:r w:rsidRPr="00ED4F29">
        <w:fldChar w:fldCharType="begin" w:fldLock="1"/>
      </w:r>
      <w:r w:rsidR="00106DA9">
        <w:instrText>ADDIN CSL_CITATION {"citationItems":[{"id":"ITEM-1","itemData":{"author":[{"dropping-particle":"","family":"Thaler","given":"Richard H.","non-dropping-particle":"","parse-names":false,"suffix":""},{"dropping-particle":"","family":"Sunstein","given":"Cass","non-dropping-particle":"","parse-names":false,"suffix":""}],"id":"ITEM-1","issued":{"date-parts":[["2009"]]},"publisher":"Penguin","title":"Nudge: Improving decisions about health, wealth, and happiness","type":"book"},"locator":"6","uris":["http://www.mendeley.com/documents/?uuid=cbde888f-54bc-46a2-892e-c7f81d05ee64"]}],"mendeley":{"formattedCitation":"(Thaler and Sunstein 2009, p.6)","plainTextFormattedCitation":"(Thaler and Sunstein 2009, p.6)","previouslyFormattedCitation":"(Thaler and Sunstein 2009, p.6)"},"properties":{"noteIndex":0},"schema":"https://github.com/citation-style-language/schema/raw/master/csl-citation.json"}</w:instrText>
      </w:r>
      <w:r w:rsidRPr="00ED4F29">
        <w:fldChar w:fldCharType="separate"/>
      </w:r>
      <w:r w:rsidRPr="000C32F7">
        <w:rPr>
          <w:noProof/>
        </w:rPr>
        <w:t>(Thaler and Sunstein 2009, p.6)</w:t>
      </w:r>
      <w:r w:rsidRPr="00ED4F29">
        <w:fldChar w:fldCharType="end"/>
      </w:r>
      <w:r w:rsidRPr="00ED4F29">
        <w:t>.</w:t>
      </w:r>
      <w:r w:rsidRPr="004E06CE">
        <w:t xml:space="preserve"> </w:t>
      </w:r>
      <w:r w:rsidR="006009EF">
        <w:t xml:space="preserve">In other words, nudges are </w:t>
      </w:r>
      <w:r w:rsidRPr="004E06CE" w:rsidR="006009EF">
        <w:t>low-cost interventions made at the time of a decision</w:t>
      </w:r>
      <w:r w:rsidR="006009EF">
        <w:t>,</w:t>
      </w:r>
      <w:r w:rsidRPr="00324D93" w:rsidR="006009EF">
        <w:t xml:space="preserve"> </w:t>
      </w:r>
      <w:r w:rsidR="006009EF">
        <w:t xml:space="preserve">for example, default options, feedback, and anchors. </w:t>
      </w:r>
      <w:r w:rsidR="00A80509">
        <w:t>Nudges</w:t>
      </w:r>
      <w:r w:rsidRPr="004E06CE">
        <w:t xml:space="preserve"> can have large effects on behavior</w:t>
      </w:r>
      <w:r>
        <w:t xml:space="preserve">; </w:t>
      </w:r>
      <w:r w:rsidR="00324D93">
        <w:t>i</w:t>
      </w:r>
      <w:r w:rsidRPr="00A441A3">
        <w:t xml:space="preserve">n a meta analysis of 100 experiments using nudges, Hummel and Maedche find that two thirds of the effects are statistically significant and the median effect size is 21% </w:t>
      </w:r>
      <w:r w:rsidRPr="00A441A3">
        <w:fldChar w:fldCharType="begin" w:fldLock="1"/>
      </w:r>
      <w:r w:rsidR="00106DA9">
        <w:instrText>ADDIN CSL_CITATION {"citationItems":[{"id":"ITEM-1","itemData":{"DOI":"10.1016/j.socec.2019.03.005","ISSN":"22148051","abstract":"Changes in the choice architecture, so-called nudges, have been employed in a variety of contexts to alter people's behavior. Although nudging has gained a widespread popularity, the effect sizes of its influences vary considerably across studies. In addition, nudges have proven to be ineffective or even backfire in selected studies which raises the question whether, and under which conditions, nudges are effective. Therefore, we conduct a quantitative review on nudging with 100 primary publications including 317 effect sizes from different research areas. We derive four key results. (1) A morphological box on nudging based on eight dimensions, (2) an assessment of the effectiveness of different nudging interventions, (3) a categorization of the relative importance of the application context and the nudge category, and (4) a comparison of nudging and digital nudging. Thereby, we shed light on the (in)effectiveness of nudging and we show how the findings of the past can be used for future research. Practitioners, especially government officials, can use the results to review and adjust their policy making.","author":[{"dropping-particle":"","family":"Hummel","given":"Dennis","non-dropping-particle":"","parse-names":false,"suffix":""},{"dropping-particle":"","family":"Maedche","given":"Alexander","non-dropping-particle":"","parse-names":false,"suffix":""}],"container-title":"Journal of Behavioral and Experimental Economics ","id":"ITEM-1","issue":"March","issued":{"date-parts":[["2019","6","1"]]},"page":"47-58","publisher":"Elsevier","title":"How effective is nudging? A quantitative review on the effect sizes and limits of empirical nudging studies","type":"article-journal","volume":"80"},"uris":["http://www.mendeley.com/documents/?uuid=11c85df1-2c7c-4daa-b36c-e3f8b7f15489"]}],"mendeley":{"formattedCitation":"(Hummel and Maedche 2019)","plainTextFormattedCitation":"(Hummel and Maedche 2019)","previouslyFormattedCitation":"(Hummel and Maedche 2019)"},"properties":{"noteIndex":0},"schema":"https://github.com/citation-style-language/schema/raw/master/csl-citation.json"}</w:instrText>
      </w:r>
      <w:r w:rsidRPr="00A441A3">
        <w:fldChar w:fldCharType="separate"/>
      </w:r>
      <w:r w:rsidRPr="000C32F7">
        <w:rPr>
          <w:noProof/>
        </w:rPr>
        <w:t>(Hummel and Maedche 2019)</w:t>
      </w:r>
      <w:r w:rsidRPr="00A441A3">
        <w:fldChar w:fldCharType="end"/>
      </w:r>
      <w:r w:rsidRPr="00A441A3">
        <w:t>.</w:t>
      </w:r>
      <w:r w:rsidR="00324D93">
        <w:t xml:space="preserve"> </w:t>
      </w:r>
      <w:r w:rsidR="000E44B3">
        <w:t xml:space="preserve">Nudges are an important tool for policy makers </w:t>
      </w:r>
      <w:r w:rsidR="00530EB7">
        <w:t>as relatively small interventions with</w:t>
      </w:r>
      <w:r w:rsidR="000E44B3">
        <w:t xml:space="preserve"> the potential to adjust behavior without significantly changing the incentives or choice options for decision makers </w:t>
      </w:r>
      <w:r w:rsidR="00690402">
        <w:fldChar w:fldCharType="begin" w:fldLock="1"/>
      </w:r>
      <w:r w:rsidR="008C15A8">
        <w:instrText>ADDIN CSL_CITATION {"citationItems":[{"id":"ITEM-1","itemData":{"DOI":"10.1177/0956797617702501","ISBN":"0956797617702","ISSN":"14679280","PMID":"28581899","abstract":"Governments are increasingly adopting behavioral science techniques for changing individual behavior in pursuit of policy objectives. The types of “nudge” interventions that governments are now adopting alter people’s decisions without coercion or significant changes to economic incentives. We calculated ratios of impact to cost for nudge interventions and for traditional policy tools, such as tax incentives and other financial inducements, and we found that nudge interventions often compare favorably with traditional interventions. We conclude that nudging is a valuable approach that should be used more often in conjunction with traditional policies, but more calculations are needed to determine the relative effectiveness of nudging.","author":[{"dropping-particle":"","family":"Benartzi","given":"Shlomo","non-dropping-particle":"","parse-names":false,"suffix":""},{"dropping-particle":"","family":"Beshears","given":"John","non-dropping-particle":"","parse-names":false,"suffix":""},{"dropping-particle":"","family":"Milkman","given":"Katherine L.","non-dropping-particle":"","parse-names":false,"suffix":""},{"dropping-particle":"","family":"Sunstein","given":"Cass R.","non-dropping-particle":"","parse-names":false,"suffix":""},{"dropping-particle":"","family":"Thaler","given":"Richard H.","non-dropping-particle":"","parse-names":false,"suffix":""},{"dropping-particle":"","family":"Shankar","given":"Maya","non-dropping-particle":"","parse-names":false,"suffix":""},{"dropping-particle":"","family":"Tucker-Ray","given":"Will","non-dropping-particle":"","parse-names":false,"suffix":""},{"dropping-particle":"","family":"Congdon","given":"William J.","non-dropping-particle":"","parse-names":false,"suffix":""},{"dropping-particle":"","family":"Galing","given":"Steven","non-dropping-particle":"","parse-names":false,"suffix":""}],"container-title":"Psychological Science","id":"ITEM-1","issue":"8","issued":{"date-parts":[["2017"]]},"page":"1041-1055","title":"Should Governments Invest More in Nudging?","type":"article-journal","volume":"28"},"uris":["http://www.mendeley.com/documents/?uuid=ca5fbfa3-5a44-4e73-9d03-a4c8708d8d2a"]}],"mendeley":{"formattedCitation":"(Benartzi et al. 2017)","plainTextFormattedCitation":"(Benartzi et al. 2017)","previouslyFormattedCitation":"(Benartzi et al. 2017)"},"properties":{"noteIndex":0},"schema":"https://github.com/citation-style-language/schema/raw/master/csl-citation.json"}</w:instrText>
      </w:r>
      <w:r w:rsidR="00690402">
        <w:fldChar w:fldCharType="separate"/>
      </w:r>
      <w:r w:rsidRPr="00690402" w:rsidR="00690402">
        <w:rPr>
          <w:noProof/>
        </w:rPr>
        <w:t>(Benartzi et al. 2017)</w:t>
      </w:r>
      <w:r w:rsidR="00690402">
        <w:fldChar w:fldCharType="end"/>
      </w:r>
      <w:r w:rsidR="00530EB7">
        <w:t>.</w:t>
      </w:r>
    </w:p>
    <w:p w:rsidR="00106DA9" w:rsidP="004E06CE" w:rsidRDefault="00106DA9" w14:paraId="3400B957" w14:textId="1AD318AC"/>
    <w:p w:rsidRPr="00CB2AF3" w:rsidR="00252CFE" w:rsidP="00DE2B31" w:rsidRDefault="009B7633" w14:paraId="3907AEBA" w14:textId="47C97B72">
      <w:r>
        <w:t xml:space="preserve">Defaults are choices or settings which </w:t>
      </w:r>
      <w:r w:rsidR="006009EF">
        <w:t>require an individual to make a</w:t>
      </w:r>
      <w:r>
        <w:t xml:space="preserve"> deliberate action to </w:t>
      </w:r>
      <w:r w:rsidR="006009EF">
        <w:t>deviate from the default</w:t>
      </w:r>
      <w:r>
        <w:t xml:space="preserve">. </w:t>
      </w:r>
      <w:r w:rsidRPr="00DE2B31" w:rsidR="00DE2B31">
        <w:rPr>
          <w:i/>
          <w:iCs/>
        </w:rPr>
        <w:t>Status quo</w:t>
      </w:r>
      <w:r w:rsidR="00DE2B31">
        <w:t xml:space="preserve"> bias describes the reluctance of a decision-maker to change from the default. </w:t>
      </w:r>
      <w:r>
        <w:t xml:space="preserve">A good example of this is </w:t>
      </w:r>
      <w:r w:rsidR="00DE2B31">
        <w:t xml:space="preserve">the dramatic differences in </w:t>
      </w:r>
      <w:r>
        <w:t xml:space="preserve">organ donor </w:t>
      </w:r>
      <w:r w:rsidR="00DE2B31">
        <w:t>registration between countries that have an opt-in or an opt-out system</w:t>
      </w:r>
      <w:r w:rsidR="00EC60E2">
        <w:t xml:space="preserve"> </w:t>
      </w:r>
      <w:r w:rsidR="00EC60E2">
        <w:fldChar w:fldCharType="begin" w:fldLock="1"/>
      </w:r>
      <w:r w:rsidR="00510556">
        <w:instrText>ADDIN CSL_CITATION {"citationItems":[{"id":"ITEM-1","itemData":{"DOI":"10.1126/science.1091721","ISSN":"00368075","PMID":"14631022","author":[{"dropping-particle":"","family":"Johnson","given":"Eric J.","non-dropping-particle":"","parse-names":false,"suffix":""},{"dropping-particle":"","family":"Goldstein","given":"Daniel","non-dropping-particle":"","parse-names":false,"suffix":""}],"container-title":"Science","id":"ITEM-1","issue":"5649","issued":{"date-parts":[["2003"]]},"page":"1338-1339","title":"Do Defaults Save Lives?","type":"article","volume":"302"},"uris":["http://www.mendeley.com/documents/?uuid=4ffc985c-8a10-3ee5-b084-16377a25955d"]}],"mendeley":{"formattedCitation":"(Johnson and Goldstein 2003)","plainTextFormattedCitation":"(Johnson and Goldstein 2003)","previouslyFormattedCitation":"(Johnson and Goldstein 2003)"},"properties":{"noteIndex":0},"schema":"https://github.com/citation-style-language/schema/raw/master/csl-citation.json"}</w:instrText>
      </w:r>
      <w:r w:rsidR="00EC60E2">
        <w:fldChar w:fldCharType="separate"/>
      </w:r>
      <w:r w:rsidRPr="006009EF" w:rsidR="006009EF">
        <w:rPr>
          <w:noProof/>
        </w:rPr>
        <w:t>(Johnson and Goldstein 2003)</w:t>
      </w:r>
      <w:r w:rsidR="00EC60E2">
        <w:fldChar w:fldCharType="end"/>
      </w:r>
      <w:r>
        <w:t xml:space="preserve">. </w:t>
      </w:r>
      <w:r w:rsidR="008C15A8">
        <w:t xml:space="preserve">Defaults have been shown to have large behavioral impacts in a number of contexts, including to increase voluntary contributions </w:t>
      </w:r>
      <w:r w:rsidR="008C15A8">
        <w:rPr>
          <w:b/>
          <w:bCs/>
        </w:rPr>
        <w:fldChar w:fldCharType="begin" w:fldLock="1"/>
      </w:r>
      <w:r w:rsidR="008C15A8">
        <w:rPr>
          <w:b/>
          <w:bCs/>
        </w:rPr>
        <w:instrText>ADDIN CSL_CITATION {"citationItems":[{"id":"ITEM-1","itemData":{"DOI":"10.1016/j.jpubeco.2007.08.001","ISSN":"00472727","abstract":"This research examines how three common contextual factors can affect contributions in the linear voluntary contributions mechanism (VCM). Using business student subjects and a low marginal per capita rate of return, the results show that contributions in the last of ten rounds range from 18% for the traditional VCM with no initial cheap talk, no voting, and a status quo of not giving to 94% in a VCM with initial cheap talk, voting, and a status quo of giving. The results demonstrate that context can make the VCM produce sustained efficiencies similar to incentive-compatible public-good mechanisms. © 2007 Published by Elsevier B.V.","author":[{"dropping-particle":"","family":"Messer","given":"Kent D.","non-dropping-particle":"","parse-names":false,"suffix":""},{"dropping-particle":"","family":"Zarghamee","given":"Homa","non-dropping-particle":"","parse-names":false,"suffix":""},{"dropping-particle":"","family":"Kaiser","given":"Harry M.","non-dropping-particle":"","parse-names":false,"suffix":""},{"dropping-particle":"","family":"Schulze","given":"William D.","non-dropping-particle":"","parse-names":false,"suffix":""}],"container-title":"Journal of Public Economics","id":"ITEM-1","issue":"9","issued":{"date-parts":[["2007"]]},"page":"1783-1799","title":"New hope for the voluntary contributions mechanism: The effects of context","type":"article-journal","volume":"91"},"uris":["http://www.mendeley.com/documents/?uuid=801402c1-e428-4a3a-a534-f0c58d6eb543"]},{"id":"ITEM-2","itemData":{"DOI":"10.1007/s10640-012-9631-x","ISSN":"09246460","abstract":"A number of studies of the positively-framed voluntary contribution mechanism (VCM) public goods game have examined the role of context on participant behavior. Relatively little attention, however, has been given to the effects of context in negatively-framed VCM games even though this setting is relevant to a wide array of real world challenges, such as common pool resource use and pollution externalities. This study uses a carefully-controlled laboratory experiment to investigate the degree to which the context in which decisions are made influences decision making in a negatively-framed VCM laboratory experiment. The context treatments that we evaluate vary communication, voting, and the status quo of the initial endowment. Results indicate that providing groups the opportunity to communicate and vote significantly reduces choices that impose external costs. Importantly, the pro-social effects of communication and voting are strongest when the status quo endowment is the private account, which generates costs on other participants. This result suggests that the effect of the status quo endowment is a function of whether the social dilemma is framed positively or negatively when communication between participants is allowed. © 2013 Springer Science+Business Media Dordrecht.","author":[{"dropping-particle":"","family":"Messer","given":"Kent D.","non-dropping-particle":"","parse-names":false,"suffix":""},{"dropping-particle":"","family":"Suter","given":"Jordan F.","non-dropping-particle":"","parse-names":false,"suffix":""},{"dropping-particle":"","family":"Yan","given":"Jubo","non-dropping-particle":"","parse-names":false,"suffix":""}],"container-title":"Environmental and Resource Economics","id":"ITEM-2","issue":"3","issued":{"date-parts":[["2013"]]},"page":"387-405","title":"Context Effects in a Negatively Framed Social Dilemma Experiment","type":"article-journal","volume":"55"},"uris":["http://www.mendeley.com/documents/?uuid=f3074cbe-910c-4e0e-9616-69adc3fdd0ad"]}],"mendeley":{"formattedCitation":"(Messer et al. 2007; Messer, Suter and Yan 2013)","plainTextFormattedCitation":"(Messer et al. 2007; Messer, Suter and Yan 2013)","previouslyFormattedCitation":"(Messer et al. 2007; Messer, Suter and Yan 2013)"},"properties":{"noteIndex":0},"schema":"https://github.com/citation-style-language/schema/raw/master/csl-citation.json"}</w:instrText>
      </w:r>
      <w:r w:rsidR="008C15A8">
        <w:rPr>
          <w:b/>
          <w:bCs/>
        </w:rPr>
        <w:fldChar w:fldCharType="separate"/>
      </w:r>
      <w:r w:rsidRPr="008C15A8" w:rsidR="008C15A8">
        <w:rPr>
          <w:bCs/>
          <w:noProof/>
        </w:rPr>
        <w:t>(Messer et al. 2007; Messer, Suter and Yan 2013)</w:t>
      </w:r>
      <w:r w:rsidR="008C15A8">
        <w:rPr>
          <w:b/>
          <w:bCs/>
        </w:rPr>
        <w:fldChar w:fldCharType="end"/>
      </w:r>
      <w:r w:rsidR="00CB2AF3">
        <w:t>, reducing over</w:t>
      </w:r>
      <w:r w:rsidR="00A80509">
        <w:t>-</w:t>
      </w:r>
      <w:r w:rsidR="00CB2AF3">
        <w:t xml:space="preserve">prescription of opioids </w:t>
      </w:r>
      <w:r w:rsidR="00CB2AF3">
        <w:fldChar w:fldCharType="begin" w:fldLock="1"/>
      </w:r>
      <w:r w:rsidR="00CB2AF3">
        <w:instrText>ADDIN CSL_CITATION {"citationItems":[{"id":"ITEM-1","itemData":{"DOI":"10.1001/jamasurg.2018.2083","ISSN":"21686254","PMID":"30027289","abstract":"Importance: Reliance on prescription opioids for postprocedural analgesia has contributed to the opioid epidemic. With the implementation of electronic medical record (EMR) systems, there has been increasing use of computerized order entry systems for medication prescriptions, which is now more common than handwritten prescriptions. The EMR can autopopulate a default number of pills prescribed, and 1 potential method to alter prescriber behavior is to change the default number presented via the EMR system. Objective: To investigate the association of lowering the default number of pills presented when prescribing opioids in an EMR system with the amount of opioid prescribed after procedures. Design, Setting, and Participants: A prepost intervention study was conducted to compare postprocedural prescribing patterns during the 3 months before the default change (February 18 to May 17, 2017) with the 3 months after the default change (May 18 to August 18, 2017). The setting was a multihospital health care system that uses Epic EMR (Hyperspace 2015 IU2; Epic Systems Corporation). Participants were all patients in the study period undergoing 1 of the 10 most common operations and discharged by postoperative day 1. Intervention: The default number of opioid pills autopopulated in the EMR when prescribing discharge analgesia was lowered from 30 to 12. Main Outcomes and Measures: Linear regression estimating the change in the median number of opioid pills and the total dose of opioid prescribed was performed. Opioid doses were converted into morphine milligram equivalents (MME) for comparison. The frequency of patients requiring analgesic prescription refills was also evaluated. Results: There were 1447 procedures (mean [SD] age, 54.4 [17.3] years; 66.9% female) before the default change and 1463 procedures (mean [SD] age, 54.5 [16.4] years; 67.0% female) after the default change. After the default change, the median number of opioid pills prescribed decreased from 30 (interquartile range, 15-30) to 20 (interquartile range, 12-30) per prescription (P &lt;.001). The percentage of prescriptions written for 30 pills decreased from 39.7% (554 of 1397) before the default change to 12.9% (183 of 1420) after the default change (P &lt;.001), and the percentage of prescriptions written for 12 pills increased from 2.1% (29 of 1397) before the default change to 24.6% (349 of 1420) after the default change (P &lt;.001). Regression analysis demonstrated a decrease of 5.22 (95% CI, -…","author":[{"dropping-particle":"","family":"Chiu","given":"Alexander S.","non-dropping-particle":"","parse-names":false,"suffix":""},{"dropping-particle":"","family":"Jean","given":"Raymond A.","non-dropping-particle":"","parse-names":false,"suffix":""},{"dropping-particle":"","family":"Hoag","given":"Jessica R.","non-dropping-particle":"","parse-names":false,"suffix":""},{"dropping-particle":"","family":"Freedman-Weiss","given":"Mollie","non-dropping-particle":"","parse-names":false,"suffix":""},{"dropping-particle":"","family":"Healy","given":"James M.","non-dropping-particle":"","parse-names":false,"suffix":""},{"dropping-particle":"","family":"Pei","given":"Kevin Y.","non-dropping-particle":"","parse-names":false,"suffix":""}],"container-title":"JAMA Surgery","id":"ITEM-1","issue":"11","issued":{"date-parts":[["2018"]]},"page":"1012-1019","title":"Association of Lowering Default Pill Counts in Electronic Medical Record Systems with Postoperative Opioid Prescribing","type":"article-journal","volume":"153"},"uris":["http://www.mendeley.com/documents/?uuid=05137124-ac0d-4bc6-8e7f-ef05a3f540d9"]}],"mendeley":{"formattedCitation":"(Chiu et al. 2018)","plainTextFormattedCitation":"(Chiu et al. 2018)","previouslyFormattedCitation":"(Chiu et al. 2018)"},"properties":{"noteIndex":0},"schema":"https://github.com/citation-style-language/schema/raw/master/csl-citation.json"}</w:instrText>
      </w:r>
      <w:r w:rsidR="00CB2AF3">
        <w:fldChar w:fldCharType="separate"/>
      </w:r>
      <w:r w:rsidRPr="00CB2AF3" w:rsidR="00CB2AF3">
        <w:rPr>
          <w:noProof/>
        </w:rPr>
        <w:t>(Chiu et al. 2018)</w:t>
      </w:r>
      <w:r w:rsidR="00CB2AF3">
        <w:fldChar w:fldCharType="end"/>
      </w:r>
      <w:r w:rsidR="00D10304">
        <w:t xml:space="preserve"> and tipping behavior for taxi rides </w:t>
      </w:r>
      <w:r w:rsidR="00D10304">
        <w:fldChar w:fldCharType="begin" w:fldLock="1"/>
      </w:r>
      <w:r w:rsidR="00A70F46">
        <w:instrText>ADDIN CSL_CITATION {"citationItems":[{"id":"ITEM-1","itemData":{"DOI":"10.1257/app.6.3.1","ISSN":"19457790","abstract":"We examine the role of defaults in high-frequency, small-scale choices using unique data on over 13 million New York City taxi rides. Using a regression discontinuity design, we show that default tip suggestions have a large impact on tip amounts. These results are supported by a secondary analysis that uses the quasi-random assignment of customers to different cars to examine default effects on a wider range of fares. Finally, we highlight a potential cost of setting defaults too high, as a higher proportion of customers opt to leave no credit card tip when presented with the higher suggested amounts.","author":[{"dropping-particle":"","family":"Haggag","given":"Kareem","non-dropping-particle":"","parse-names":false,"suffix":""},{"dropping-particle":"","family":"Paci","given":"Giovanni","non-dropping-particle":"","parse-names":false,"suffix":""}],"container-title":"American Economic Journal: Applied Economics","id":"ITEM-1","issue":"3","issued":{"date-parts":[["2014"]]},"page":"1-19","publisher":"American Economic Association","title":"Default tips","type":"article-journal","volume":"6"},"uris":["http://www.mendeley.com/documents/?uuid=3b02f0c6-a2cb-31c7-b6ad-03850fe9f178"]}],"mendeley":{"formattedCitation":"(Haggag and Paci 2014)","plainTextFormattedCitation":"(Haggag and Paci 2014)","previouslyFormattedCitation":"(Haggag and Paci 2014)"},"properties":{"noteIndex":0},"schema":"https://github.com/citation-style-language/schema/raw/master/csl-citation.json"}</w:instrText>
      </w:r>
      <w:r w:rsidR="00D10304">
        <w:fldChar w:fldCharType="separate"/>
      </w:r>
      <w:r w:rsidRPr="00D10304" w:rsidR="00D10304">
        <w:rPr>
          <w:noProof/>
        </w:rPr>
        <w:t>(Haggag and Paci 2014)</w:t>
      </w:r>
      <w:r w:rsidR="00D10304">
        <w:fldChar w:fldCharType="end"/>
      </w:r>
      <w:r w:rsidR="00D10304">
        <w:t>.</w:t>
      </w:r>
    </w:p>
    <w:p w:rsidR="00DE2B31" w:rsidP="00DE2B31" w:rsidRDefault="00DE2B31" w14:paraId="1983E735" w14:textId="77777777"/>
    <w:p w:rsidRPr="00CB2AF3" w:rsidR="004E06CE" w:rsidP="004E06CE" w:rsidRDefault="009B7633" w14:paraId="42E7400D" w14:textId="286C4F6A">
      <w:r>
        <w:t xml:space="preserve">Anchoring is a cognitive bias that describes a tendency to rely too heavily on the first piece of information available when making a decision. </w:t>
      </w:r>
      <w:r w:rsidR="00A80509">
        <w:t xml:space="preserve">It is a well-studied and well-documented behavioral bias in the literature </w:t>
      </w:r>
      <w:r w:rsidR="00A80509">
        <w:fldChar w:fldCharType="begin" w:fldLock="1"/>
      </w:r>
      <w:r w:rsidR="00A80509">
        <w:instrText>ADDIN CSL_CITATION {"citationItems":[{"id":"ITEM-1","itemData":{"abstract":"Human beings are hardly rational economical agents, at least they do not comply with the classical economical theories of economic transactions. They do not formulate utility functions, the pursuit of which they are expected to conduct with relentlessness and consistency. This is hardly a surprising insight but one which most people, except possibly economical model builders, instinctively hold. On the other hand every model by necessity involves drastic simplifications, in order to be manageable and clearly show the salient features. To abandon a simple model which has shown itself useful only makes sense when its predictions start to diverge too much from real life. This is a book addressed to a general public, and thus the author, a psychologist turned economist, does not make any attempt to show how classical economical models fail and how they can be suitably modified, but constricts himself to elaborate on the obvious shortcomings, which to most readers must be intuitively obvious and hence gratifying, as man merely as a rational agent is to most of us seen as unnecessarily restrictive, with the implications that any theories that neglect those, must by necessity be radically flawed. The author is careful to point out that he does not make a claim for the irrationality of man, on the contrary, without some rationality assumptions, predictions become impossible, only that he wants to make the notion of human rationality more nuanced, pointing out its limits. The author shares with most academic economists a sanguine belief in the possibility of quantization in the social world, thus not doubting its ontological aspect, only its present epistemology. The starting point, which provides the title of the book, is the distinction between fast and slow thinking, which roughly corresponds to the basic division between the subconscious and conscious pioneered by the nowadays discounted Freud 1. We all have an uncanny ability to recognize faces, something which so far has not been possible to simulate on a computer in spite of its superior computing power. We do so very quickly and with no apparent effort in spite of all the computation that must be involved. Furthermore the act is not deliberate but involuntary and automatic. We cannot will ourselves not to recognize a well-known face. Those cognitive gifts are given to us by God to serve us well in our daily life. Although nowadays we prefer to formulate it in terms of natural selection and survival (and …","author":[{"dropping-particle":"","family":"Kahneman","given":"D","non-dropping-particle":"","parse-names":false,"suffix":""}],"id":"ITEM-1","issued":{"date-parts":[["2011"]]},"title":"Thinking, Fast and Slow","type":"report"},"uris":["http://www.mendeley.com/documents/?uuid=1f611a9d-28cc-3af8-9830-ee51a7eb910d"]}],"mendeley":{"formattedCitation":"(Kahneman 2011)","plainTextFormattedCitation":"(Kahneman 2011)","previouslyFormattedCitation":"(2011)"},"properties":{"noteIndex":0},"schema":"https://github.com/citation-style-language/schema/raw/master/csl-citation.json"}</w:instrText>
      </w:r>
      <w:r w:rsidR="00A80509">
        <w:fldChar w:fldCharType="separate"/>
      </w:r>
      <w:r w:rsidRPr="00A80509" w:rsidR="00A80509">
        <w:rPr>
          <w:noProof/>
        </w:rPr>
        <w:t>(Kahneman 2011)</w:t>
      </w:r>
      <w:r w:rsidR="00A80509">
        <w:fldChar w:fldCharType="end"/>
      </w:r>
      <w:r w:rsidR="00A80509">
        <w:t xml:space="preserve">. </w:t>
      </w:r>
      <w:r w:rsidR="00DE2B31">
        <w:t xml:space="preserve">﻿In the context of </w:t>
      </w:r>
      <w:r w:rsidR="00A80509">
        <w:t>consumer</w:t>
      </w:r>
      <w:r w:rsidR="00DE2B31">
        <w:t xml:space="preserve"> goods, psychologists and behavioral economists have reported that anchoring can influence valuations </w:t>
      </w:r>
      <w:r w:rsidR="00510556">
        <w:fldChar w:fldCharType="begin" w:fldLock="1"/>
      </w:r>
      <w:r w:rsidR="000216DA">
        <w:instrText>ADDIN CSL_CITATION {"citationItems":[{"id":"ITEM-1","itemData":{"DOI":"10.1162/00335530360535153","ISSN":"0033-5533","abstract":"In six experiments we show that initial valuations of familiar products and simple hedonic experiences are strongly influenced by arbitrary \"anchors\" (sometimes derived from a person'S social security number). Because subsequent valuations are also coherent with respect to salient differences in perceived quality or quantity of these products and experiences, the entire pattern of valuations can easily create an illusion of order, as if it is being generated by stable underlying preferences. The experiments show that this combination of coherent arbitrariness (1) cannot be interpreted as a rational response to information, (2) does not decrease as a result of experience with a good, (3) is not necessarily reduced by market forces, and (4) is not unique to cash prices. The results imply that demand curves estimated from market data need not reveal true consumer preferences, in any normatively significant sense of the term.","author":[{"dropping-particle":"","family":"Ariely","given":"D.","non-dropping-particle":"","parse-names":false,"suffix":""},{"dropping-particle":"","family":"Loewenstein","given":"G.","non-dropping-particle":"","parse-names":false,"suffix":""},{"dropping-particle":"","family":"Prelec","given":"D.","non-dropping-particle":"","parse-names":false,"suffix":""}],"container-title":"The Quarterly Journal of Economics","id":"ITEM-1","issue":"1","issued":{"date-parts":[["2003","2","1"]]},"page":"73-106","publisher":"Oxford Academic","title":"\"Coherent Arbitrariness\": Stable Demand Curves Without Stable Preferences","type":"article-journal","volume":"118"},"uris":["http://www.mendeley.com/documents/?uuid=e29d6557-9e1f-3c10-9fa1-a73c73e99164"]},{"id":"ITEM-2","itemData":{"DOI":"10.1257/aer.104.1.277","ISSN":"00028282","abstract":"Some researchers have argued that anchoring in economic valuations casts doubt on the assumption of consistent and stable preferences. We present new evidence that explores the strength of certain anchoring results. We then present a theoretical framework that provides insights into why we should be cautious of initial empirical findings in general. The model importantly highlights that the rate of false positives depends not only on the observed significance level, but also on statistical power, research priors, and the number of scholars exploring the question. Importantly, a few independent replications dramatically increase the chances that the original finding is true.","author":[{"dropping-particle":"","family":"Maniadis","given":"Zacharias","non-dropping-particle":"","parse-names":false,"suffix":""},{"dropping-particle":"","family":"Tufano","given":"Fabio","non-dropping-particle":"","parse-names":false,"suffix":""},{"dropping-particle":"","family":"List","given":"John A.","non-dropping-particle":"","parse-names":false,"suffix":""}],"container-title":"American Economic Review","id":"ITEM-2","issued":{"date-parts":[["2014"]]},"title":"One swallow doesn't make a summer: New evidence on anchoring effects","type":"article-journal"},"uris":["http://www.mendeley.com/documents/?uuid=ee8b8dff-d2ea-4655-8934-8ca3bb8990cc"]}],"mendeley":{"formattedCitation":"(Ariely, Loewenstein and Prelec 2003; Maniadis, Tufano and List 2014)","plainTextFormattedCitation":"(Ariely, Loewenstein and Prelec 2003; Maniadis, Tufano and List 2014)","previouslyFormattedCitation":"(Ariely, Loewenstein and Prelec 2003; Maniadis, Tufano and List 2014)"},"properties":{"noteIndex":0},"schema":"https://github.com/citation-style-language/schema/raw/master/csl-citation.json"}</w:instrText>
      </w:r>
      <w:r w:rsidR="00510556">
        <w:fldChar w:fldCharType="separate"/>
      </w:r>
      <w:r w:rsidRPr="00510556" w:rsidR="00510556">
        <w:rPr>
          <w:noProof/>
        </w:rPr>
        <w:t>(Ariely, Loewenstein and Prelec 2003; Maniadis, Tufano and List 2014)</w:t>
      </w:r>
      <w:r w:rsidR="00510556">
        <w:fldChar w:fldCharType="end"/>
      </w:r>
      <w:r w:rsidR="00DE2B31">
        <w:t>.</w:t>
      </w:r>
      <w:r w:rsidR="00A80509">
        <w:t xml:space="preserve"> </w:t>
      </w:r>
      <w:r w:rsidR="00DE2B31">
        <w:t xml:space="preserve">Results from these studies, and their interpretations, have generated </w:t>
      </w:r>
      <w:r w:rsidR="00A80509">
        <w:t>disagreement</w:t>
      </w:r>
      <w:r w:rsidR="00DE2B31">
        <w:t xml:space="preserve"> </w:t>
      </w:r>
      <w:r w:rsidR="00A80509">
        <w:t>about the</w:t>
      </w:r>
      <w:r w:rsidR="00DE2B31">
        <w:t xml:space="preserve"> stability of consumer preferences</w:t>
      </w:r>
      <w:r w:rsidR="008C15A8">
        <w:t xml:space="preserve"> </w:t>
      </w:r>
      <w:r w:rsidR="008C15A8">
        <w:fldChar w:fldCharType="begin" w:fldLock="1"/>
      </w:r>
      <w:r w:rsidR="00CB2AF3">
        <w:instrText>ADDIN CSL_CITATION {"citationItems":[{"id":"ITEM-1","itemData":{"DOI":"10.1257/aer.104.1.277","ISSN":"00028282","abstract":"Some researchers have argued that anchoring in economic valuations casts doubt on the assumption of consistent and stable preferences. We present new evidence that explores the strength of certain anchoring results. We then present a theoretical framework that provides insights into why we should be cautious of initial empirical findings in general. The model importantly highlights that the rate of false positives depends not only on the observed significance level, but also on statistical power, research priors, and the number of scholars exploring the question. Importantly, a few independent replications dramatically increase the chances that the original finding is true.","author":[{"dropping-particle":"","family":"Maniadis","given":"Zacharias","non-dropping-particle":"","parse-names":false,"suffix":""},{"dropping-particle":"","family":"Tufano","given":"Fabio","non-dropping-particle":"","parse-names":false,"suffix":""},{"dropping-particle":"","family":"List","given":"John A.","non-dropping-particle":"","parse-names":false,"suffix":""}],"container-title":"American Economic Review","id":"ITEM-1","issued":{"date-parts":[["2014"]]},"title":"One swallow doesn't make a summer: New evidence on anchoring effects","type":"article-journal"},"uris":["http://www.mendeley.com/documents/?uuid=ee8b8dff-d2ea-4655-8934-8ca3bb8990cc"]},{"id":"ITEM-2","itemData":{"abstract":"Despite decades of research on heuristics and biases, empirical evidence on the effect of large incentives-as present in relevant economic decisions-on cognitive biases is scant. This paper tests the effect of incentives on four widely documented biases: base rate neglect, anchoring, failure of contingent thinking, and intuitive reasoning in the Cognitive Reflection Test. In laboratory experiments with 1,236 college students in Nairobi, we implement three incentive levels: no incentives, standard lab payments, and very high incentives that increase the stakes by a factor of 100 to more than a monthly income. We find that cognitive effort as measured by response times increases by 40% with very high stakes. Performance, on the other hand, improves very mildly or not at all as incentives increase, with the largest improvements due to a reduced reliance on intuitions. In none of the tasks are very high stakes sufficient to de-bias participants, or come even close to doing so. These results contrast with predictions by experimental economists who forecast larger performance improvements. JEL classification: D01","author":[{"dropping-particle":"","family":"Enke","given":"Benjamin","non-dropping-particle":"","parse-names":false,"suffix":""},{"dropping-particle":"","family":"Gneezy","given":"Uri","non-dropping-particle":"","parse-names":false,"suffix":""},{"dropping-particle":"","family":"Hall","given":"Brian","non-dropping-particle":"","parse-names":false,"suffix":""},{"dropping-particle":"","family":"Martin","given":"David","non-dropping-particle":"","parse-names":false,"suffix":""},{"dropping-particle":"","family":"Nelidov","given":"Vadim","non-dropping-particle":"","parse-names":false,"suffix":""},{"dropping-particle":"","family":"Offerman","given":"Theo","non-dropping-particle":"","parse-names":false,"suffix":""},{"dropping-particle":"","family":"Ven","given":"Jeroen","non-dropping-particle":"Van De","parse-names":false,"suffix":""}],"id":"ITEM-2","issued":{"date-parts":[["2020"]]},"title":"Cognitive Biases: Mistakes or Missing Stakes?","type":"report"},"uris":["http://www.mendeley.com/documents/?uuid=c0d0ca15-7c5d-4d61-b865-f0a87dd06ced"]}],"mendeley":{"formattedCitation":"(Maniadis et al. 2014; Enke et al. 2020)","plainTextFormattedCitation":"(Maniadis et al. 2014; Enke et al. 2020)","previouslyFormattedCitation":"(Maniadis et al. 2014; Enke et al. 2020)"},"properties":{"noteIndex":0},"schema":"https://github.com/citation-style-language/schema/raw/master/csl-citation.json"}</w:instrText>
      </w:r>
      <w:r w:rsidR="008C15A8">
        <w:fldChar w:fldCharType="separate"/>
      </w:r>
      <w:r w:rsidRPr="00CB2AF3" w:rsidR="00CB2AF3">
        <w:rPr>
          <w:noProof/>
        </w:rPr>
        <w:t>(Maniadis et al. 2014; Enke et al. 2020)</w:t>
      </w:r>
      <w:r w:rsidR="008C15A8">
        <w:fldChar w:fldCharType="end"/>
      </w:r>
      <w:r w:rsidR="00DE2B31">
        <w:t>.</w:t>
      </w:r>
      <w:r w:rsidR="00530EB7">
        <w:t xml:space="preserve"> </w:t>
      </w:r>
      <w:r w:rsidR="00252CFE">
        <w:t xml:space="preserve">There is </w:t>
      </w:r>
      <w:r w:rsidR="00A80509">
        <w:t>further</w:t>
      </w:r>
      <w:r w:rsidR="00252CFE">
        <w:t xml:space="preserve"> disagreement if</w:t>
      </w:r>
      <w:r w:rsidR="00530EB7">
        <w:t xml:space="preserve"> anchoring influence</w:t>
      </w:r>
      <w:r w:rsidR="00252CFE">
        <w:t>s</w:t>
      </w:r>
      <w:r w:rsidR="00DE2B31">
        <w:t xml:space="preserve"> </w:t>
      </w:r>
      <w:r w:rsidR="00530EB7">
        <w:t>inexperienced consumers’ valuations</w:t>
      </w:r>
      <w:r w:rsidR="00252CFE">
        <w:t xml:space="preserve"> </w:t>
      </w:r>
      <w:r w:rsidR="00530EB7">
        <w:t xml:space="preserve">more </w:t>
      </w:r>
      <w:r w:rsidR="00252CFE">
        <w:t xml:space="preserve">than </w:t>
      </w:r>
      <w:r w:rsidR="00530EB7">
        <w:t xml:space="preserve">experienced </w:t>
      </w:r>
      <w:r w:rsidR="00252CFE">
        <w:t xml:space="preserve">consumers </w:t>
      </w:r>
      <w:r w:rsidR="00252CFE">
        <w:fldChar w:fldCharType="begin" w:fldLock="1"/>
      </w:r>
      <w:r w:rsidR="00252CFE">
        <w:instrText>ADDIN CSL_CITATION {"citationItems":[{"id":"ITEM-1","itemData":{"DOI":"10.1111/ecin.12201","ISSN":"14657295","abstract":"A pillar of behavioral research is that preferences are constructed during the process of choice. A prominent finding is that uninformative numerical \"anchors\" influence judgment and valuation. It remains unclear whether such processes influence market equilibria. We conduct two experiments that extend the study of anchoring to field settings. The first experiment produces evidence that some consumers' valuations can be anchored in novel situations; there is no evidence that experienced agents are influenced by anchors. The second experiment finds that anchors have only transient effects on market outcomes that converge to equilibrium predictions after a few market periods. (JEL C93, D11)","author":[{"dropping-particle":"","family":"Alevy","given":"Jonathan E.","non-dropping-particle":"","parse-names":false,"suffix":""},{"dropping-particle":"","family":"Landry","given":"Craig E.","non-dropping-particle":"","parse-names":false,"suffix":""},{"dropping-particle":"","family":"List","given":"John A.","non-dropping-particle":"","parse-names":false,"suffix":""}],"container-title":"Economic Inquiry","id":"ITEM-1","issue":"3","issued":{"date-parts":[["2015"]]},"page":"1522-1538","title":"Field experiments on the anchoring of economic valuations","type":"article-journal","volume":"53"},"uris":["http://www.mendeley.com/documents/?uuid=3c1f8178-a352-44bc-8bef-1d22fb1efe16"]},{"id":"ITEM-2","itemData":{"DOI":"10.2753/MTP","abstract":"eBay is one of the most successful consumer-related online auction sites. This paper desc study to determine the effects of partitioned prices- that is, separate item costs and shipp the winning bids submitted by consumers on this site. Consumers appear to be subject t and adjustment heuristic that leads many to ignore the less-salient shipping costs when experienced bidders exhibit these effects. This behavior is particularly striking in an envi sellers set variable shipping costs. The results have implications for consumers and seller similar online auction sites that allow sellers to set their own prices for shipping and other Retailers conducting auctions on other Web sites should find the results useful as well. As","author":[{"dropping-particle":"","family":"Clark","given":"John","non-dropping-particle":"","parse-names":false,"suffix":""},{"dropping-particle":"","family":"Ward","given":"Sidne","non-dropping-particle":"","parse-names":false,"suffix":""}],"container-title":"Journal of Marketing Theory and Practice","id":"ITEM-2","issue":"1","issued":{"date-parts":[["2008"]]},"page":"57-66","title":"Consumer Behavior in Online Auctions: An Examination of Partitioned Prices on eBay","type":"article-journal","volume":"16"},"uris":["http://www.mendeley.com/documents/?uuid=7cd5480c-be18-4ff8-9c03-cdf4f707b9e6"]},{"id":"ITEM-3","itemData":{"DOI":"10.1016/j.jeem.2011.06.002","ISSN":"00950696","abstract":"The objective of the present paper is to investigate the robustness of the well-known result that pre-set default options determine people's choices. We do so by conducting a field experiment among environmental economists attending a large international conference on environmental economics. The participants were, at the time of registration, randomly allocated to different treatments related to carbon offsetting. What differs from earlier default studies is that our subjects have good knowledge about the good at hand. We investigate whether the choices of these experienced individuals are affected by a pre-set default option, and we also study the effect of a treatment with no pre-set default option. Our results, together with previous findings, indicate that the effect of a default option attenuates with experience. © 2011 Elsevier Inc.","author":[{"dropping-particle":"","family":"Löfgren","given":"Åsa","non-dropping-particle":"","parse-names":false,"suffix":""},{"dropping-particle":"","family":"Martinsson","given":"Peter","non-dropping-particle":"","parse-names":false,"suffix":""},{"dropping-particle":"","family":"Hennlock","given":"Magnus","non-dropping-particle":"","parse-names":false,"suffix":""},{"dropping-particle":"","family":"Sterner","given":"Thomas","non-dropping-particle":"","parse-names":false,"suffix":""}],"container-title":"Journal of Environmental Economics and Management","id":"ITEM-3","issue":"1","issued":{"date-parts":[["2012"]]},"page":"66-72","title":"Are experienced people affected by a pre-set default option-Results from a field experiment","type":"article-journal","volume":"63"},"uris":["http://www.mendeley.com/documents/?uuid=e693a959-e279-4573-8e7f-71c8a2265550"]}],"mendeley":{"formattedCitation":"(Alevy, Landry and List 2015; Clark and Ward 2008; Löfgren et al. 2012)","plainTextFormattedCitation":"(Alevy, Landry and List 2015; Clark and Ward 2008; Löfgren et al. 2012)","previouslyFormattedCitation":"(Alevy, Landry and List 2015; Clark and Ward 2008; Löfgren et al. 2012)"},"properties":{"noteIndex":0},"schema":"https://github.com/citation-style-language/schema/raw/master/csl-citation.json"}</w:instrText>
      </w:r>
      <w:r w:rsidR="00252CFE">
        <w:fldChar w:fldCharType="separate"/>
      </w:r>
      <w:r w:rsidRPr="00252CFE" w:rsidR="00252CFE">
        <w:rPr>
          <w:noProof/>
        </w:rPr>
        <w:t>(Alevy, Landry and List 2015; Clark and Ward 2008; Löfgren et al. 2012)</w:t>
      </w:r>
      <w:r w:rsidR="00252CFE">
        <w:fldChar w:fldCharType="end"/>
      </w:r>
      <w:r w:rsidR="00252CFE">
        <w:t xml:space="preserve">. </w:t>
      </w:r>
      <w:r w:rsidR="00A80509">
        <w:t>There is some evidence of the</w:t>
      </w:r>
      <w:r w:rsidR="00530EB7">
        <w:t xml:space="preserve"> impact</w:t>
      </w:r>
      <w:r w:rsidR="00A80509">
        <w:t xml:space="preserve"> of </w:t>
      </w:r>
      <w:r w:rsidR="00530EB7">
        <w:t xml:space="preserve">anchoring </w:t>
      </w:r>
      <w:r w:rsidR="00252CFE">
        <w:t>on market outcomes fad</w:t>
      </w:r>
      <w:r w:rsidR="00A80509">
        <w:t>ing</w:t>
      </w:r>
      <w:r w:rsidR="00252CFE">
        <w:t xml:space="preserve"> over time</w:t>
      </w:r>
      <w:r w:rsidR="00530EB7">
        <w:t xml:space="preserve"> </w:t>
      </w:r>
      <w:r w:rsidR="00530EB7">
        <w:fldChar w:fldCharType="begin" w:fldLock="1"/>
      </w:r>
      <w:r w:rsidR="00252CFE">
        <w:instrText>ADDIN CSL_CITATION {"citationItems":[{"id":"ITEM-1","itemData":{"DOI":"10.1111/ecin.12201","ISSN":"14657295","abstract":"A pillar of behavioral research is that preferences are constructed during the process of choice. A prominent finding is that uninformative numerical \"anchors\" influence judgment and valuation. It remains unclear whether such processes influence market equilibria. We conduct two experiments that extend the study of anchoring to field settings. The first experiment produces evidence that some consumers' valuations can be anchored in novel situations; there is no evidence that experienced agents are influenced by anchors. The second experiment finds that anchors have only transient effects on market outcomes that converge to equilibrium predictions after a few market periods. (JEL C93, D11)","author":[{"dropping-particle":"","family":"Alevy","given":"Jonathan E.","non-dropping-particle":"","parse-names":false,"suffix":""},{"dropping-particle":"","family":"Landry","given":"Craig E.","non-dropping-particle":"","parse-names":false,"suffix":""},{"dropping-particle":"","family":"List","given":"John A.","non-dropping-particle":"","parse-names":false,"suffix":""}],"container-title":"Economic Inquiry","id":"ITEM-1","issue":"3","issued":{"date-parts":[["2015"]]},"page":"1522-1538","title":"Field experiments on the anchoring of economic valuations","type":"article-journal","volume":"53"},"uris":["http://www.mendeley.com/documents/?uuid=3c1f8178-a352-44bc-8bef-1d22fb1efe16"]}],"mendeley":{"formattedCitation":"(Alevy et al. 2015)","plainTextFormattedCitation":"(Alevy et al. 2015)","previouslyFormattedCitation":"(Alevy et al. 2015)"},"properties":{"noteIndex":0},"schema":"https://github.com/citation-style-language/schema/raw/master/csl-citation.json"}</w:instrText>
      </w:r>
      <w:r w:rsidR="00530EB7">
        <w:fldChar w:fldCharType="separate"/>
      </w:r>
      <w:r w:rsidRPr="00252CFE" w:rsidR="00252CFE">
        <w:rPr>
          <w:noProof/>
        </w:rPr>
        <w:t>(Alevy et al. 2015)</w:t>
      </w:r>
      <w:r w:rsidR="00530EB7">
        <w:fldChar w:fldCharType="end"/>
      </w:r>
      <w:r w:rsidR="00252CFE">
        <w:t>.</w:t>
      </w:r>
      <w:r w:rsidR="00530EB7">
        <w:t xml:space="preserve"> </w:t>
      </w:r>
      <w:r w:rsidR="00DE2B31">
        <w:t>Anchoring has</w:t>
      </w:r>
      <w:r w:rsidR="008C15A8">
        <w:t xml:space="preserve"> also</w:t>
      </w:r>
      <w:r w:rsidR="00DE2B31">
        <w:t xml:space="preserve"> been shown </w:t>
      </w:r>
      <w:r w:rsidR="008C15A8">
        <w:t>change behavior across many contexts, including</w:t>
      </w:r>
      <w:r w:rsidR="00530EB7">
        <w:t>:</w:t>
      </w:r>
      <w:r w:rsidR="008C15A8">
        <w:t xml:space="preserve"> WTP for environmental action</w:t>
      </w:r>
      <w:r w:rsidR="00DE2B31">
        <w:t xml:space="preserve"> </w:t>
      </w:r>
      <w:r w:rsidR="002917E5">
        <w:rPr>
          <w:b/>
          <w:bCs/>
        </w:rPr>
        <w:fldChar w:fldCharType="begin" w:fldLock="1"/>
      </w:r>
      <w:r w:rsidR="002917E5">
        <w:rPr>
          <w:b/>
          <w:bCs/>
        </w:rPr>
        <w:instrText>ADDIN CSL_CITATION {"citationItems":[{"id":"ITEM-1","itemData":{"DOI":"10.1016/j.reseneeco.2019.07.001","ISSN":"09287655","abstract":"Watersheds throughout the world have been severely polluted by nutrient-laden runoff that comes from industrial, agricultural, and residential sources. Efforts to reduce this runoff have focused on industrial and agricultural sources, while little attention has been paid to encouraging residents to reduce runoff from their properties. To study residents’ willingness to adopt landscaping practices that reduce runoff, we conducted a field experiment in the Delaware River watershed. In the experiment, over three hundred adults participated in a series of random-price auctions that revealed their willingness to pay (WTP) for five products that reduce nutrient runoff. To study how WTP can be influenced by attributes of the choice architecture, we randomized the starting bid values (anchors) and the way in which the external benefits of the five practices were framed. Compared to a neutral framing, a positive framing (using the product can improve water quality) increased average WTP by about one-third, while the estimated effect of a negative framing (failing to use the product can worsen water quality) was also positive, but smaller and not statistically different from zero. The estimated effect on average WTP from the anchor depends on how bids of $0 are modeled, but the results imply that higher anchors lead to higher WTP. Although we believe the magnitudes of our results should be considered suggestive and we recommend replications with higher statistical power, the results add to the evidence base that environmental programs can achieve policy-relevant gains in program performance through a series of small changes to the decision environment.","author":[{"dropping-particle":"","family":"Li","given":"Tongzhe","non-dropping-particle":"","parse-names":false,"suffix":""},{"dropping-particle":"","family":"Fooks","given":"Jacob R.","non-dropping-particle":"","parse-names":false,"suffix":""},{"dropping-particle":"","family":"Messer","given":"Kent D.","non-dropping-particle":"","parse-names":false,"suffix":""},{"dropping-particle":"","family":"Ferraro","given":"Paul J.","non-dropping-particle":"","parse-names":false,"suffix":""}],"container-title":"Resource and Energy Economics","id":"ITEM-1","issue":"xxxx","issued":{"date-parts":[["2019"]]},"page":"101107","publisher":"Elsevier B.V.","title":"A field experiment to estimate the effects of anchoring and framing on residents’ willingness to purchase water runoff management technologies","type":"article-journal"},"uris":["http://www.mendeley.com/documents/?uuid=abf79714-7f2e-42ce-85fd-a98477063155"]}],"mendeley":{"formattedCitation":"(Li et al. 2019)","plainTextFormattedCitation":"(Li et al. 2019)","previouslyFormattedCitation":"(Li et al. 2019)"},"properties":{"noteIndex":0},"schema":"https://github.com/citation-style-language/schema/raw/master/csl-citation.json"}</w:instrText>
      </w:r>
      <w:r w:rsidR="002917E5">
        <w:rPr>
          <w:b/>
          <w:bCs/>
        </w:rPr>
        <w:fldChar w:fldCharType="separate"/>
      </w:r>
      <w:r w:rsidRPr="002917E5" w:rsidR="002917E5">
        <w:rPr>
          <w:bCs/>
          <w:noProof/>
        </w:rPr>
        <w:t>(Li et al. 2019)</w:t>
      </w:r>
      <w:r w:rsidR="002917E5">
        <w:rPr>
          <w:b/>
          <w:bCs/>
        </w:rPr>
        <w:fldChar w:fldCharType="end"/>
      </w:r>
      <w:r w:rsidR="00CB2AF3">
        <w:t xml:space="preserve">, the value of bids on initial public offering auctions </w:t>
      </w:r>
      <w:r w:rsidR="00CB2AF3">
        <w:fldChar w:fldCharType="begin" w:fldLock="1"/>
      </w:r>
      <w:r w:rsidR="000E44B3">
        <w:instrText>ADDIN CSL_CITATION {"citationItems":[{"id":"ITEM-1","itemData":{"DOI":"10.1016/j.finmar.2017.09.002","ISSN":"13864181","abstract":"We study institutional investors’ bidding behavior in initial public offering (IPO) auctions. Our findings suggest that institutional investors exhibit cognitive reference point (CRP) anchoring. That is, investors focus on integer numbers closest to non-integer endpoints of proposed IPO price range as CRPs when making IPO bids. When institutional investors round up (down) the endpoints of the proposed IPO price range to arrive at CRPs, we find: (1) the average bid price is higher (lower), (2) the subsequent IPO offer price is higher (lower), and (3) IPO first day return is lower (higher).","author":[{"dropping-particle":"","family":"Gao","given":"Shenghao","non-dropping-particle":"","parse-names":false,"suffix":""},{"dropping-particle":"","family":"Meng","given":"Qingbin","non-dropping-particle":"","parse-names":false,"suffix":""},{"dropping-particle":"","family":"Chan","given":"Jesse Y.","non-dropping-particle":"","parse-names":false,"suffix":""},{"dropping-particle":"","family":"Chan","given":"Kam C.","non-dropping-particle":"","parse-names":false,"suffix":""}],"container-title":"Journal of Financial Markets","id":"ITEM-1","issued":{"date-parts":[["2018"]]},"page":"124-140","publisher":"Elsevier B.V.","title":"Cognitive reference points, institutional investors’ bid prices, and IPO pricing: Evidence from IPO auctions in China","type":"article-journal","volume":"38"},"uris":["http://www.mendeley.com/documents/?uuid=3f2ceea8-ab05-41af-bfdd-2aec8c82dfbb"]}],"mendeley":{"formattedCitation":"(Gao et al. 2018)","plainTextFormattedCitation":"(Gao et al. 2018)","previouslyFormattedCitation":"(Gao et al. 2018)"},"properties":{"noteIndex":0},"schema":"https://github.com/citation-style-language/schema/raw/master/csl-citation.json"}</w:instrText>
      </w:r>
      <w:r w:rsidR="00CB2AF3">
        <w:fldChar w:fldCharType="separate"/>
      </w:r>
      <w:r w:rsidRPr="00CB2AF3" w:rsidR="00CB2AF3">
        <w:rPr>
          <w:noProof/>
        </w:rPr>
        <w:t>(Gao et al. 2018)</w:t>
      </w:r>
      <w:r w:rsidR="00CB2AF3">
        <w:fldChar w:fldCharType="end"/>
      </w:r>
      <w:r w:rsidR="00CB2AF3">
        <w:t xml:space="preserve">, </w:t>
      </w:r>
      <w:r w:rsidR="00530EB7">
        <w:t xml:space="preserve">farmers’ bidding practices </w:t>
      </w:r>
      <w:r w:rsidR="00530EB7">
        <w:fldChar w:fldCharType="begin" w:fldLock="1"/>
      </w:r>
      <w:r w:rsidR="00530EB7">
        <w:instrText>ADDIN CSL_CITATION {"citationItems":[{"id":"ITEM-1","itemData":{"DOI":"10.1016/j.joep.2015.03.008","ISSN":"01674870","abstract":"Auctioning goods is a widespread practice, particularly in the agricultural sector. The outcome of auctions can be affected by various factors. One of these factors can be anchoring effects, which describe the influence of present available information on numerical values in human decisions. However, the influence of anchoring effects in auctions carried out offline - that is, live events that are not taking place on the internet - is largely unknown. For this reason, we analyze anchoring effects of exogenously provided values using an experimental common value auction with entrepreneurs. In total, 48 groups each made of five farmers participate in a series of four auctions for envelopes containing a €10 banknote with a 50% probability of occurrence. Our results indicate that anchoring based on exogenously presented values can either result in negative adjustment in open bid auctions, or no adjustment in closed-seal bid auctions. Furthermore, the results show that previous bids affect following bids, which may also be an anchoring effect.","author":[{"dropping-particle":"","family":"Holst","given":"Gesa Sophie","non-dropping-particle":"","parse-names":false,"suffix":""},{"dropping-particle":"","family":"Hermann","given":"Daniel","non-dropping-particle":"","parse-names":false,"suffix":""},{"dropping-particle":"","family":"Musshoff","given":"Oliver","non-dropping-particle":"","parse-names":false,"suffix":""}],"container-title":"Journal of Economic Psychology","id":"ITEM-1","issued":{"date-parts":[["2015"]]},"page":"106-117","publisher":"Elsevier B.V.","title":"Anchoring effects in an experimental auction - Are farmers anchored?","type":"article-journal","volume":"48"},"uris":["http://www.mendeley.com/documents/?uuid=d2e1818a-1ab3-41ba-aa8b-effcb103849e"]}],"mendeley":{"formattedCitation":"(Holst, Hermann and Musshoff 2015)","plainTextFormattedCitation":"(Holst, Hermann and Musshoff 2015)","previouslyFormattedCitation":"(Holst, Hermann and Musshoff 2015)"},"properties":{"noteIndex":0},"schema":"https://github.com/citation-style-language/schema/raw/master/csl-citation.json"}</w:instrText>
      </w:r>
      <w:r w:rsidR="00530EB7">
        <w:fldChar w:fldCharType="separate"/>
      </w:r>
      <w:r w:rsidRPr="00530EB7" w:rsidR="00530EB7">
        <w:rPr>
          <w:noProof/>
        </w:rPr>
        <w:t>(Holst, Hermann and Musshoff 2015)</w:t>
      </w:r>
      <w:r w:rsidR="00530EB7">
        <w:fldChar w:fldCharType="end"/>
      </w:r>
      <w:r w:rsidR="00530EB7">
        <w:t xml:space="preserve">, </w:t>
      </w:r>
      <w:r w:rsidR="00252CFE">
        <w:t xml:space="preserve">and others </w:t>
      </w:r>
      <w:r w:rsidR="00252CFE">
        <w:fldChar w:fldCharType="begin" w:fldLock="1"/>
      </w:r>
      <w:r w:rsidR="00D10304">
        <w:instrText>ADDIN CSL_CITATION {"citationItems":[{"id":"ITEM-1","itemData":{"DOI":"10.1016/j.socec.2010.10.008","ISSN":"10535357","abstract":"The anchoring effect is one of the most robust cognitive heuristics. This paper reviews the literature in this area including various different models, explanations and underlying mechanisms used to explain anchoring effects. The anchoring effect is both robust and has many implications in all decision making processes. This review paper documents the many different domains and tasks in which the effect has been shown. It also considers mood and individual difference (ability, personality, information styles) correlates of anchoring as well as the effect of motivation and knowledge on decisions affected by anchoring. Finally the review looks at the applicants of the anchoring effects in everyday life. © 2010 Elsevier Inc.","author":[{"dropping-particle":"","family":"Furnham","given":"Adrian","non-dropping-particle":"","parse-names":false,"suffix":""},{"dropping-particle":"","family":"Boo","given":"Hua Chu","non-dropping-particle":"","parse-names":false,"suffix":""}],"container-title":"Journal of Socio-Economics","id":"ITEM-1","issue":"1","issued":{"date-parts":[["2011"]]},"page":"35-42","publisher":"Elsevier Inc.","title":"A literature review of the anchoring effect","type":"article-journal","volume":"40"},"uris":["http://www.mendeley.com/documents/?uuid=e96e2518-0418-4dfc-9f6c-7fee5fbbe8d1"]}],"mendeley":{"formattedCitation":"(Furnham and Boo 2011)","manualFormatting":"(see a review in Furnham and Boo 2011)","plainTextFormattedCitation":"(Furnham and Boo 2011)","previouslyFormattedCitation":"(Furnham and Boo 2011)"},"properties":{"noteIndex":0},"schema":"https://github.com/citation-style-language/schema/raw/master/csl-citation.json"}</w:instrText>
      </w:r>
      <w:r w:rsidR="00252CFE">
        <w:fldChar w:fldCharType="separate"/>
      </w:r>
      <w:r w:rsidRPr="00252CFE" w:rsidR="00252CFE">
        <w:rPr>
          <w:noProof/>
        </w:rPr>
        <w:t>(</w:t>
      </w:r>
      <w:r w:rsidR="00252CFE">
        <w:rPr>
          <w:noProof/>
        </w:rPr>
        <w:t xml:space="preserve">see a review in </w:t>
      </w:r>
      <w:r w:rsidRPr="00252CFE" w:rsidR="00252CFE">
        <w:rPr>
          <w:noProof/>
        </w:rPr>
        <w:t>Furnham and Boo 2011)</w:t>
      </w:r>
      <w:r w:rsidR="00252CFE">
        <w:fldChar w:fldCharType="end"/>
      </w:r>
      <w:r w:rsidR="00252CFE">
        <w:t>.</w:t>
      </w:r>
    </w:p>
    <w:p w:rsidR="004E06CE" w:rsidP="004E06CE" w:rsidRDefault="004E06CE" w14:paraId="17AF82CA" w14:textId="27E859E1">
      <w:pPr>
        <w:rPr>
          <w:b/>
          <w:bCs/>
        </w:rPr>
      </w:pPr>
    </w:p>
    <w:p w:rsidR="00CB2AF3" w:rsidP="004E06CE" w:rsidRDefault="00CB2AF3" w14:paraId="17CCC3F7" w14:textId="3C17C8AE">
      <w:r>
        <w:t xml:space="preserve">Other nudge strategies include additional information and feedback. Feedback nudges have been shown to have long and persistent effects on water consumption </w:t>
      </w:r>
      <w:r>
        <w:fldChar w:fldCharType="begin" w:fldLock="1"/>
      </w:r>
      <w:r>
        <w:instrText>ADDIN CSL_CITATION {"citationItems":[{"id":"ITEM-1","itemData":{"DOI":"10.1093/erae/jbz022","ISSN":"14643618","abstract":"We test whether social comparison nudges can promote water-saving behaviour among farmers as a complement to traditional CAP measures. We conducted a randomised controlled trial among 200 farmers equipped with irrigation smart meters in South-West France. Treated farmers received weekly information on individual and group water consumption over four months. Our results rule out medium to large effect-sizes of the nudge. Moreover, they suggest that the nudge was effective at reducing the consumption of those who irrigate the most, although it appears to have reduced the proportion of those who do not consume water at all.","author":[{"dropping-particle":"","family":"Chabé-Ferret","given":"Sylvain","non-dropping-particle":"","parse-names":false,"suffix":""},{"dropping-particle":"","family":"Coent","given":"Philippe","non-dropping-particle":"Le","parse-names":false,"suffix":""},{"dropping-particle":"","family":"Reynaud","given":"Arnaud","non-dropping-particle":"","parse-names":false,"suffix":""},{"dropping-particle":"","family":"Subervie","given":"Julie","non-dropping-particle":"","parse-names":false,"suffix":""},{"dropping-particle":"","family":"Lepercq","given":"Daniel","non-dropping-particle":"","parse-names":false,"suffix":""}],"container-title":"European Review of Agricultural Economics","id":"ITEM-1","issue":"3","issued":{"date-parts":[["2019"]]},"page":"393-416","title":"Can we nudge farmers into saving water? Evidence from a randomised experiment","type":"article-journal","volume":"46"},"uris":["http://www.mendeley.com/documents/?uuid=a6d631e3-c99e-4dc7-8fb2-cc5a3e4a7d65"]}],"mendeley":{"formattedCitation":"(Chabé-Ferret et al. 2019)","plainTextFormattedCitation":"(Chabé-Ferret et al. 2019)","previouslyFormattedCitation":"(Chabé-Ferret et al. 2019)"},"properties":{"noteIndex":0},"schema":"https://github.com/citation-style-language/schema/raw/master/csl-citation.json"}</w:instrText>
      </w:r>
      <w:r>
        <w:fldChar w:fldCharType="separate"/>
      </w:r>
      <w:r w:rsidRPr="00CB2AF3">
        <w:rPr>
          <w:noProof/>
        </w:rPr>
        <w:t>(Chabé-Ferret et al. 2019)</w:t>
      </w:r>
      <w:r>
        <w:fldChar w:fldCharType="end"/>
      </w:r>
      <w:r>
        <w:t>. Information and social comparisons</w:t>
      </w:r>
      <w:r w:rsidR="000E44B3">
        <w:t xml:space="preserve"> increase compliance with water protection rules </w:t>
      </w:r>
      <w:r w:rsidR="000E44B3">
        <w:fldChar w:fldCharType="begin" w:fldLock="1"/>
      </w:r>
      <w:r w:rsidR="00530EB7">
        <w:instrText>ADDIN CSL_CITATION {"citationItems":[{"id":"ITEM-1","itemData":{"DOI":"10.1111/1477-9552.12352","ISSN":"14779552","abstract":"Increasing popularity of economic experiments for policy impact analysis has led to an on-going debate about the suitability of students to substitute professionals as experimental subjects. To date, subject pool effects in agricultural and resource economics experiments have not been sufficiently studied. In order to identify differences and similarities between students and non-students, we carry out an experiment in the form of a multi-period business management game that is adapted to an agri-environmental context. We compare the compliance behaviour of German agricultural students and German farmers with regard to water protection rules and analyse their responses to two different green nudge interventions. The experimental results reveal that the direction of the response to the policy treatments is similar. Even unexpected behaviour could be reproduced by the student sample. Nevertheless, the magnitude of the treatment effects differed between the two samples. This implies that experimenters in the field of agricultural and resource economics could use the subject pool of students to analyse the direction of nudge policies. If predictions should be made about the magnitude effects, we suggest using a professional subject pool.","author":[{"dropping-particle":"","family":"Peth","given":"Denise","non-dropping-particle":"","parse-names":false,"suffix":""},{"dropping-particle":"","family":"Mußhoff","given":"Oliver","non-dropping-particle":"","parse-names":false,"suffix":""}],"container-title":"Journal of Agricultural Economics","id":"ITEM-1","issue":"2","issued":{"date-parts":[["2020"]]},"page":"601-615","title":"Comparing Compliance Behaviour of Students and Farmers. An Extra-laboratory Experiment in the Context of Agri-environmental Nudges in Germany","type":"article-journal","volume":"71"},"uris":["http://www.mendeley.com/documents/?uuid=d0dfd7ea-4f8f-4d14-be4d-adc6aa361837"]}],"mendeley":{"formattedCitation":"(Peth and Mußhoff 2020)","plainTextFormattedCitation":"(Peth and Mußhoff 2020)","previouslyFormattedCitation":"(Peth and Mußhoff 2020)"},"properties":{"noteIndex":0},"schema":"https://github.com/citation-style-language/schema/raw/master/csl-citation.json"}</w:instrText>
      </w:r>
      <w:r w:rsidR="000E44B3">
        <w:fldChar w:fldCharType="separate"/>
      </w:r>
      <w:r w:rsidRPr="000E44B3" w:rsidR="000E44B3">
        <w:rPr>
          <w:noProof/>
        </w:rPr>
        <w:t>(Peth and Mußhoff 2020)</w:t>
      </w:r>
      <w:r w:rsidR="000E44B3">
        <w:fldChar w:fldCharType="end"/>
      </w:r>
      <w:r w:rsidR="00252CFE">
        <w:t>.</w:t>
      </w:r>
    </w:p>
    <w:p w:rsidR="00CB2AF3" w:rsidP="004E06CE" w:rsidRDefault="00CB2AF3" w14:paraId="03059E3D" w14:textId="09943E2A"/>
    <w:p w:rsidRPr="00CB2AF3" w:rsidR="00CB2AF3" w:rsidP="004E06CE" w:rsidRDefault="00CB2AF3" w14:paraId="172186FD" w14:textId="77777777"/>
    <w:p w:rsidR="004E06CE" w:rsidP="004E06CE" w:rsidRDefault="004E06CE" w14:paraId="717420EE" w14:textId="0080260F">
      <w:pPr>
        <w:rPr>
          <w:b/>
          <w:bCs/>
        </w:rPr>
      </w:pPr>
      <w:r w:rsidRPr="004E06CE">
        <w:rPr>
          <w:b/>
          <w:bCs/>
        </w:rPr>
        <w:lastRenderedPageBreak/>
        <w:t>Experimental Papers on Conservation</w:t>
      </w:r>
    </w:p>
    <w:p w:rsidR="00106DA9" w:rsidP="004E06CE" w:rsidRDefault="00106DA9" w14:paraId="4F40B66F" w14:textId="0932D0C0">
      <w:pPr>
        <w:rPr>
          <w:b/>
          <w:bCs/>
        </w:rPr>
      </w:pPr>
    </w:p>
    <w:p w:rsidR="00BF42EE" w:rsidP="00BF42EE" w:rsidRDefault="00BF42EE" w14:paraId="25C0102E" w14:textId="102C5C49">
      <w:pPr>
        <w:rPr>
          <w:b/>
          <w:bCs/>
        </w:rPr>
      </w:pPr>
      <w:r>
        <w:t>Review papers are available for the hundreds of experimental economics studies on auction and auction-like “games” (in the economic sense of the term)</w:t>
      </w:r>
      <w:r>
        <w:t xml:space="preserve"> (</w:t>
      </w:r>
      <w:r>
        <w:t xml:space="preserve">e.g.: </w:t>
      </w:r>
      <w:r>
        <w:t>Dechenaux et al. 2015) a</w:t>
      </w:r>
      <w:r>
        <w:t xml:space="preserve">nd for the specific domain of </w:t>
      </w:r>
      <w:r>
        <w:t>conservation auctions (Schilizzi 2017)</w:t>
      </w:r>
      <w:r>
        <w:t>.</w:t>
      </w:r>
      <w:r>
        <w:t xml:space="preserve"> </w:t>
      </w:r>
      <w:r>
        <w:t xml:space="preserve">A subset of the conservation auction literature looks at the issue of information provision during the auctions </w:t>
      </w:r>
      <w:r>
        <w:rPr>
          <w:b/>
          <w:bCs/>
        </w:rPr>
        <w:fldChar w:fldCharType="begin" w:fldLock="1"/>
      </w:r>
      <w:r>
        <w:rPr>
          <w:b/>
          <w:bCs/>
        </w:rPr>
        <w:instrText>ADDIN CSL_CITATION {"citationItems":[{"id":"ITEM-1","itemData":{"abstract":"Understanding how institutions affect resource allocation efficiency persists as a leading concern in land economics. A large body of research has been seeking to explain individual land use decisions under various policies while accounting for complications associated with information and heterogeneity. Empirical and theoretical approaches offer valuable insights but some questions remain difficult to answer. Economists have increasingly turned to experimental economics techniques in both the laboratory and the field because of the degree of control that the researcher can provide in the setting; their similarity to the natural-scientific process, including replicability; and the ability to use salient financial incentives that engage research participants in a manner that engenders credibility to their responses. Experiments thus are an essential tool for economists seeking to provide the most complete advice on how institutions affect land behavior. This chapter has several objectives. The chapter introduces the methodological approach of experiments to land economists, who may be unfamiliar with the technique. Attention is given to research settings where experiments might best be employed. Throughout this section, the existing research findings in land economics is emphasized—especially relating to land conservation auctions—along with emerging topics. The second half of the chapter provides a more intensive understanding of economics experiments in land conservation by conveying the results of an original experiment. The experimental research examines how efficiently a conservation auction delivers ecosystem services under varying information structures.","author":[{"dropping-particle":"","family":"Messer","given":"Kent D.","non-dropping-particle":"","parse-names":false,"suffix":""},{"dropping-particle":"","family":"Duke","given":"Joshua M.","non-dropping-particle":"","parse-names":false,"suffix":""},{"dropping-particle":"","family":"Lynch","given":"Lori","non-dropping-particle":"","parse-names":false,"suffix":""},{"dropping-particle":"","family":"Kent D. Messer","given":"","non-dropping-particle":"","parse-names":false,"suffix":""},{"dropping-particle":"","family":"Lori Lynch","given":"","non-dropping-particle":"","parse-names":false,"suffix":""}],"container-title":"The Oxford Handbook of Land Economics","id":"ITEM-1","issued":{"date-parts":[["2014"]]},"page":"481","publisher":"Oxford University Press","title":"Applying Experiments to Land Economics: Public Information and Auction Efficiency in Ecosystem Service Markets","type":"chapter"},"uris":["http://www.mendeley.com/documents/?uuid=cf862877-e397-41f1-af31-88063bdd256d"]}],"mendeley":{"formattedCitation":"(Messer et al. 2014)","plainTextFormattedCitation":"(Messer et al. 2014)","previouslyFormattedCitation":"(Messer et al. 2014)"},"properties":{"noteIndex":0},"schema":"https://github.com/citation-style-language/schema/raw/master/csl-citation.json"}</w:instrText>
      </w:r>
      <w:r>
        <w:rPr>
          <w:b/>
          <w:bCs/>
        </w:rPr>
        <w:fldChar w:fldCharType="separate"/>
      </w:r>
      <w:r w:rsidRPr="00CB2AF3">
        <w:rPr>
          <w:bCs/>
          <w:noProof/>
        </w:rPr>
        <w:t>(Messer et al. 2014)</w:t>
      </w:r>
      <w:r>
        <w:rPr>
          <w:b/>
          <w:bCs/>
        </w:rPr>
        <w:fldChar w:fldCharType="end"/>
      </w:r>
    </w:p>
    <w:p w:rsidR="00BF42EE" w:rsidP="004E06CE" w:rsidRDefault="00BF42EE" w14:paraId="62751F05" w14:textId="77777777"/>
    <w:p w:rsidR="00BF42EE" w:rsidP="004E06CE" w:rsidRDefault="00BF42EE" w14:paraId="7D7F0507" w14:textId="7A2ADDE3">
      <w:r>
        <w:t>In addition, the following literature review of conservation auctions is repeated here and is from the ERS white paper on payments (Attachment H to this ICR package).</w:t>
      </w:r>
    </w:p>
    <w:p w:rsidR="00BF42EE" w:rsidP="004E06CE" w:rsidRDefault="00BF42EE" w14:paraId="769576D6" w14:textId="5EFCEC92"/>
    <w:p w:rsidR="00BF42EE" w:rsidP="00BF42EE" w:rsidRDefault="00BF42EE" w14:paraId="22619196" w14:textId="77777777">
      <w:pPr>
        <w:rPr>
          <w:rFonts w:ascii="Calibri" w:hAnsi="Calibri" w:cs="Calibri"/>
        </w:rPr>
      </w:pPr>
      <w:r>
        <w:rPr>
          <w:rFonts w:ascii="Calibri" w:hAnsi="Calibri" w:cs="Calibri"/>
        </w:rPr>
        <w:t>“</w:t>
      </w:r>
      <w:r>
        <w:rPr>
          <w:rFonts w:ascii="Calibri" w:hAnsi="Calibri" w:cs="Calibri"/>
        </w:rPr>
        <w:t>In looking for experimental studies of conservation auctions, we identified thirty candidate studies.  More than half of these studies did not include sufficient information on payments to participants or estimates of relevant treatment effects to be included here.  Eleven studies provide sufficient information and involved estimation of a treatment effect on either average rent or total cost.  Some of these studies find that withholding information on ranking can reduce information rents (Cason and Gangadharan 2004, Banerjee et al. 2015), while other studies find that withholding ranking information can also reduce benefits (Conte and Griffin 2007).   Several studies suggest that pay-as-bid (discriminatory pricing) can reduce costs (Cason and Gangadharan) relative to uniform pricing, but that ordering can reverse if contract compliance decisions are taken into account (Kawasaki et al. 2012).  Other key issues covered in these studies include the way in which the dynamic of repeated auctions can improve net benefits even while increasing rents (Fooks et al. 2015), the prevalence of adverse selection in these auctions (Arnold et al. 2013), incentives for offer quality improvement (Banerjee et al. 2018), the impact of excessively restrictive bid caps (Hellerstein et al 2015), the impact of using benefit-cost ratio ranking (Iftekar and Tisdell 2014, Fooks et al. 2015), multiple, interacting auctions (Tisdell and Iftekar 2013), and the role of communication and trust between participants and program administrators (Vogt et al. 2013).</w:t>
      </w:r>
    </w:p>
    <w:p w:rsidR="00BF42EE" w:rsidP="00BF42EE" w:rsidRDefault="00BF42EE" w14:paraId="65AB29A0" w14:textId="77777777">
      <w:pPr>
        <w:rPr>
          <w:rFonts w:ascii="Calibri" w:hAnsi="Calibri" w:cs="Calibri"/>
        </w:rPr>
      </w:pPr>
    </w:p>
    <w:p w:rsidR="00BF42EE" w:rsidP="00BF42EE" w:rsidRDefault="00BF42EE" w14:paraId="6F8473EC" w14:textId="77777777">
      <w:pPr>
        <w:rPr>
          <w:rFonts w:ascii="Calibri" w:hAnsi="Calibri" w:cs="Calibri"/>
        </w:rPr>
      </w:pPr>
      <w:r>
        <w:rPr>
          <w:rFonts w:ascii="Calibri" w:hAnsi="Calibri" w:cs="Calibri"/>
        </w:rPr>
        <w:t>…</w:t>
      </w:r>
    </w:p>
    <w:p w:rsidRPr="00BF42EE" w:rsidR="00BF42EE" w:rsidP="00BF42EE" w:rsidRDefault="00BF42EE" w14:paraId="322684E6" w14:textId="777AB1D3">
      <w:r>
        <w:t>In the studies identified in the above charts, participants were asked to make offers in multiple auctions.  Total number of auctions ranged from a low of 8 to a high of 65.  In about half of the studies, auctions included multiple rounds, which are opportunities to revise offers within an auction.</w:t>
      </w:r>
      <w:r>
        <w:rPr>
          <w:rStyle w:val="FootnoteReference"/>
        </w:rPr>
        <w:footnoteReference w:id="1"/>
      </w:r>
      <w:r>
        <w:t xml:space="preserve">    Usually a participant is given a single item (e.g.: a field) on which to make an offer, but in some cases participants were given multiple items.  The combination of auctions, rounds, and multiple items mean that over the course of a single session a participant could be making a lot of offer decisions.  The most involved experiments involved 91 (Banerjee et al, 2015), 108 (Cason and Gangadharan, 2004), and 130 decisions (Fooks et al., 2016).</w:t>
      </w:r>
      <w:r>
        <w:rPr>
          <w:rFonts w:ascii="Calibri" w:hAnsi="Calibri" w:cs="Calibri"/>
        </w:rPr>
        <w:t>”</w:t>
      </w:r>
      <w:r>
        <w:rPr>
          <w:rFonts w:ascii="Calibri" w:hAnsi="Calibri" w:cs="Calibri"/>
        </w:rPr>
        <w:t xml:space="preserve"> </w:t>
      </w:r>
    </w:p>
    <w:p w:rsidR="004E06CE" w:rsidP="004E06CE" w:rsidRDefault="004E06CE" w14:paraId="128489A6" w14:textId="3AB8A660"/>
    <w:p w:rsidR="004E06CE" w:rsidP="004E06CE" w:rsidRDefault="004E06CE" w14:paraId="58D38192" w14:textId="4019E75C">
      <w:pPr>
        <w:rPr>
          <w:b/>
          <w:bCs/>
        </w:rPr>
      </w:pPr>
      <w:r>
        <w:rPr>
          <w:b/>
          <w:bCs/>
        </w:rPr>
        <w:lastRenderedPageBreak/>
        <w:t>References</w:t>
      </w:r>
    </w:p>
    <w:p w:rsidRPr="004E06CE" w:rsidR="004E06CE" w:rsidP="004E06CE" w:rsidRDefault="004E06CE" w14:paraId="3CCD9D06" w14:textId="77777777">
      <w:pPr>
        <w:rPr>
          <w:b/>
          <w:bCs/>
        </w:rPr>
      </w:pPr>
    </w:p>
    <w:p w:rsidRPr="00A80509" w:rsidR="00A80509" w:rsidP="00A80509" w:rsidRDefault="004E06CE" w14:paraId="37773241" w14:textId="03290146">
      <w:pPr>
        <w:widowControl w:val="0"/>
        <w:autoSpaceDE w:val="0"/>
        <w:autoSpaceDN w:val="0"/>
        <w:adjustRightInd w:val="0"/>
        <w:ind w:left="480" w:hanging="480"/>
        <w:rPr>
          <w:rFonts w:ascii="Calibri" w:hAnsi="Calibri" w:cs="Calibri"/>
          <w:noProof/>
        </w:rPr>
      </w:pPr>
      <w:r>
        <w:fldChar w:fldCharType="begin" w:fldLock="1"/>
      </w:r>
      <w:r>
        <w:instrText xml:space="preserve">ADDIN Mendeley Bibliography CSL_BIBLIOGRAPHY </w:instrText>
      </w:r>
      <w:r>
        <w:fldChar w:fldCharType="separate"/>
      </w:r>
      <w:r w:rsidRPr="00A80509" w:rsidR="00A80509">
        <w:rPr>
          <w:rFonts w:ascii="Calibri" w:hAnsi="Calibri" w:cs="Calibri"/>
          <w:noProof/>
        </w:rPr>
        <w:t xml:space="preserve">Alevy, J.E., C.E. Landry, and J.A. List. 2015. “Field experiments on the anchoring of economic valuations.” </w:t>
      </w:r>
      <w:r w:rsidRPr="00A80509" w:rsidR="00A80509">
        <w:rPr>
          <w:rFonts w:ascii="Calibri" w:hAnsi="Calibri" w:cs="Calibri"/>
          <w:i/>
          <w:iCs/>
          <w:noProof/>
        </w:rPr>
        <w:t>Economic Inquiry</w:t>
      </w:r>
      <w:r w:rsidRPr="00A80509" w:rsidR="00A80509">
        <w:rPr>
          <w:rFonts w:ascii="Calibri" w:hAnsi="Calibri" w:cs="Calibri"/>
          <w:noProof/>
        </w:rPr>
        <w:t xml:space="preserve"> 53(3):1522–1538.</w:t>
      </w:r>
    </w:p>
    <w:p w:rsidRPr="00A80509" w:rsidR="00A80509" w:rsidP="00A80509" w:rsidRDefault="00A80509" w14:paraId="72CFB024" w14:textId="77777777">
      <w:pPr>
        <w:widowControl w:val="0"/>
        <w:autoSpaceDE w:val="0"/>
        <w:autoSpaceDN w:val="0"/>
        <w:adjustRightInd w:val="0"/>
        <w:ind w:left="480" w:hanging="480"/>
        <w:rPr>
          <w:rFonts w:ascii="Calibri" w:hAnsi="Calibri" w:cs="Calibri"/>
          <w:noProof/>
        </w:rPr>
      </w:pPr>
      <w:r w:rsidRPr="00A80509">
        <w:rPr>
          <w:rFonts w:ascii="Calibri" w:hAnsi="Calibri" w:cs="Calibri"/>
          <w:noProof/>
        </w:rPr>
        <w:t xml:space="preserve">Ariely, D., G. Loewenstein, and D. Prelec. 2003. “‘Coherent Arbitrariness’: Stable Demand Curves Without Stable Preferences.” </w:t>
      </w:r>
      <w:r w:rsidRPr="00A80509">
        <w:rPr>
          <w:rFonts w:ascii="Calibri" w:hAnsi="Calibri" w:cs="Calibri"/>
          <w:i/>
          <w:iCs/>
          <w:noProof/>
        </w:rPr>
        <w:t>The Quarterly Journal of Economics</w:t>
      </w:r>
      <w:r w:rsidRPr="00A80509">
        <w:rPr>
          <w:rFonts w:ascii="Calibri" w:hAnsi="Calibri" w:cs="Calibri"/>
          <w:noProof/>
        </w:rPr>
        <w:t xml:space="preserve"> 118(1):73–106. Available at: https://academic.oup.com/qje/article-lookup/doi/10.1162/00335530360535153 [Accessed August 13, 2020].</w:t>
      </w:r>
    </w:p>
    <w:p w:rsidR="00BF42EE" w:rsidP="00BF42EE" w:rsidRDefault="00A80509" w14:paraId="4B754D38" w14:textId="75AA12C4">
      <w:pPr>
        <w:widowControl w:val="0"/>
        <w:autoSpaceDE w:val="0"/>
        <w:autoSpaceDN w:val="0"/>
        <w:adjustRightInd w:val="0"/>
        <w:ind w:left="480" w:hanging="480"/>
        <w:rPr>
          <w:rFonts w:ascii="Calibri" w:hAnsi="Calibri" w:cs="Calibri"/>
          <w:noProof/>
        </w:rPr>
      </w:pPr>
      <w:r w:rsidRPr="00A80509">
        <w:rPr>
          <w:rFonts w:ascii="Calibri" w:hAnsi="Calibri" w:cs="Calibri"/>
          <w:noProof/>
        </w:rPr>
        <w:t xml:space="preserve">Arnold, M.A., J.M. Duke, and K.D. Messer. 2013. “Adverse selection in reverse auctions for ecosystem services.” </w:t>
      </w:r>
      <w:r w:rsidRPr="00A80509">
        <w:rPr>
          <w:rFonts w:ascii="Calibri" w:hAnsi="Calibri" w:cs="Calibri"/>
          <w:i/>
          <w:iCs/>
          <w:noProof/>
        </w:rPr>
        <w:t>Land Economics</w:t>
      </w:r>
      <w:r w:rsidRPr="00A80509">
        <w:rPr>
          <w:rFonts w:ascii="Calibri" w:hAnsi="Calibri" w:cs="Calibri"/>
          <w:noProof/>
        </w:rPr>
        <w:t xml:space="preserve"> 89(3):387–412.</w:t>
      </w:r>
    </w:p>
    <w:p w:rsidR="00BF42EE" w:rsidP="00BF42EE" w:rsidRDefault="00BF42EE" w14:paraId="77E4DBD3" w14:textId="77777777">
      <w:pPr>
        <w:autoSpaceDE w:val="0"/>
        <w:autoSpaceDN w:val="0"/>
        <w:adjustRightInd w:val="0"/>
        <w:ind w:left="720" w:hanging="720"/>
        <w:rPr>
          <w:rFonts w:ascii="Calibri" w:hAnsi="Calibri" w:cs="Calibri"/>
          <w:color w:val="000000" w:themeColor="text1"/>
        </w:rPr>
      </w:pPr>
      <w:r>
        <w:rPr>
          <w:rFonts w:ascii="Calibri" w:hAnsi="Calibri" w:cs="Calibri"/>
        </w:rPr>
        <w:t>Banerjee, S., Kwasnica, A.M. and Shortle, J.S., 2015. Information and auction performance: a laboratory study of conservation auctions for spatially contiguous land management. Environmental and Resource Economics, 61(3), pp.409-431</w:t>
      </w:r>
      <w:r>
        <w:rPr>
          <w:rFonts w:ascii="Calibri" w:hAnsi="Calibri" w:cs="Calibri"/>
          <w:color w:val="000000" w:themeColor="text1"/>
        </w:rPr>
        <w:t xml:space="preserve">Bardsley, N., Cubitt, R., Loomes, G., Moffat, P., Starmer, C., &amp; Sugden, R. (2010). </w:t>
      </w:r>
      <w:r>
        <w:rPr>
          <w:rFonts w:ascii="Calibri" w:hAnsi="Calibri" w:cs="Calibri"/>
          <w:i/>
          <w:color w:val="000000" w:themeColor="text1"/>
        </w:rPr>
        <w:t>Experimental economics: Rethinking the rules</w:t>
      </w:r>
      <w:r>
        <w:rPr>
          <w:rFonts w:ascii="Calibri" w:hAnsi="Calibri" w:cs="Calibri"/>
          <w:color w:val="000000" w:themeColor="text1"/>
        </w:rPr>
        <w:t>. Princeton University Press.</w:t>
      </w:r>
    </w:p>
    <w:p w:rsidR="00BF42EE" w:rsidP="00BF42EE" w:rsidRDefault="00BF42EE" w14:paraId="3716054A" w14:textId="77777777">
      <w:pPr>
        <w:autoSpaceDE w:val="0"/>
        <w:autoSpaceDN w:val="0"/>
        <w:adjustRightInd w:val="0"/>
        <w:ind w:left="720" w:hanging="720"/>
        <w:rPr>
          <w:rFonts w:ascii="Calibri" w:hAnsi="Calibri" w:cs="Calibri"/>
          <w:color w:val="000000" w:themeColor="text1"/>
        </w:rPr>
      </w:pPr>
      <w:r>
        <w:rPr>
          <w:rFonts w:ascii="Calibri" w:hAnsi="Calibri" w:cs="Calibri"/>
        </w:rPr>
        <w:t>Banerjee, S. and Conte, M.N., 2018. Information access, conservation practice choice, and rent seeking in conservation procurement auctions: evidence from a laboratory experiment. American Journal of Agricultural Economics, 100(5), pp.1407-1426.</w:t>
      </w:r>
    </w:p>
    <w:p w:rsidRPr="00A80509" w:rsidR="00A80509" w:rsidP="00A80509" w:rsidRDefault="00A80509" w14:paraId="74C88848" w14:textId="38D48168">
      <w:pPr>
        <w:widowControl w:val="0"/>
        <w:autoSpaceDE w:val="0"/>
        <w:autoSpaceDN w:val="0"/>
        <w:adjustRightInd w:val="0"/>
        <w:ind w:left="480" w:hanging="480"/>
        <w:rPr>
          <w:rFonts w:ascii="Calibri" w:hAnsi="Calibri" w:cs="Calibri"/>
          <w:noProof/>
        </w:rPr>
      </w:pPr>
      <w:r w:rsidRPr="00A80509">
        <w:rPr>
          <w:rFonts w:ascii="Calibri" w:hAnsi="Calibri" w:cs="Calibri"/>
          <w:noProof/>
        </w:rPr>
        <w:t xml:space="preserve">Benartzi, S., J. Beshears, K.L. Milkman, C.R. Sunstein, R.H. Thaler, M. Shankar, W. Tucker-Ray, W.J. Congdon, and S. Galing. 2017. “Should Governments Invest More in Nudging?” </w:t>
      </w:r>
      <w:r w:rsidRPr="00A80509">
        <w:rPr>
          <w:rFonts w:ascii="Calibri" w:hAnsi="Calibri" w:cs="Calibri"/>
          <w:i/>
          <w:iCs/>
          <w:noProof/>
        </w:rPr>
        <w:t>Psychological Science</w:t>
      </w:r>
      <w:r w:rsidRPr="00A80509">
        <w:rPr>
          <w:rFonts w:ascii="Calibri" w:hAnsi="Calibri" w:cs="Calibri"/>
          <w:noProof/>
        </w:rPr>
        <w:t xml:space="preserve"> 28(8):1041–1055.</w:t>
      </w:r>
    </w:p>
    <w:p w:rsidRPr="00A80509" w:rsidR="00BF42EE" w:rsidP="00BF42EE" w:rsidRDefault="00BF42EE" w14:paraId="3D6B4378" w14:textId="6BE52768">
      <w:pPr>
        <w:widowControl w:val="0"/>
        <w:autoSpaceDE w:val="0"/>
        <w:autoSpaceDN w:val="0"/>
        <w:adjustRightInd w:val="0"/>
        <w:ind w:left="480" w:hanging="480"/>
        <w:rPr>
          <w:rFonts w:ascii="Calibri" w:hAnsi="Calibri" w:cs="Calibri"/>
        </w:rPr>
      </w:pPr>
      <w:r>
        <w:rPr>
          <w:rFonts w:ascii="Calibri" w:hAnsi="Calibri" w:cs="Calibri"/>
          <w:noProof/>
        </w:rPr>
        <w:t>Cason</w:t>
      </w:r>
      <w:r>
        <w:rPr>
          <w:rFonts w:ascii="Calibri" w:hAnsi="Calibri" w:cs="Calibri"/>
        </w:rPr>
        <w:t>, T.N. and Gangadharan, L., 2004. Auction design for voluntary conservation programs. American Journal of Agricultural Economics, 86(5), pp.1211-1217.</w:t>
      </w:r>
    </w:p>
    <w:p w:rsidRPr="00A80509" w:rsidR="00A80509" w:rsidP="00A80509" w:rsidRDefault="00A80509" w14:paraId="59A6EDF3" w14:textId="77777777">
      <w:pPr>
        <w:widowControl w:val="0"/>
        <w:autoSpaceDE w:val="0"/>
        <w:autoSpaceDN w:val="0"/>
        <w:adjustRightInd w:val="0"/>
        <w:ind w:left="480" w:hanging="480"/>
        <w:rPr>
          <w:rFonts w:ascii="Calibri" w:hAnsi="Calibri" w:cs="Calibri"/>
          <w:noProof/>
        </w:rPr>
      </w:pPr>
      <w:r w:rsidRPr="00A80509">
        <w:rPr>
          <w:rFonts w:ascii="Calibri" w:hAnsi="Calibri" w:cs="Calibri"/>
          <w:noProof/>
        </w:rPr>
        <w:t xml:space="preserve">Chabé-Ferret, S., P. Le Coent, A. Reynaud, J. Subervie, and D. Lepercq. 2019. “Can we nudge farmers into saving water? Evidence from a randomised experiment.” </w:t>
      </w:r>
      <w:r w:rsidRPr="00A80509">
        <w:rPr>
          <w:rFonts w:ascii="Calibri" w:hAnsi="Calibri" w:cs="Calibri"/>
          <w:i/>
          <w:iCs/>
          <w:noProof/>
        </w:rPr>
        <w:t>European Review of Agricultural Economics</w:t>
      </w:r>
      <w:r w:rsidRPr="00A80509">
        <w:rPr>
          <w:rFonts w:ascii="Calibri" w:hAnsi="Calibri" w:cs="Calibri"/>
          <w:noProof/>
        </w:rPr>
        <w:t xml:space="preserve"> 46(3):393–416.</w:t>
      </w:r>
    </w:p>
    <w:p w:rsidRPr="00A80509" w:rsidR="00A80509" w:rsidP="00A80509" w:rsidRDefault="00A80509" w14:paraId="7403740B" w14:textId="77777777">
      <w:pPr>
        <w:widowControl w:val="0"/>
        <w:autoSpaceDE w:val="0"/>
        <w:autoSpaceDN w:val="0"/>
        <w:adjustRightInd w:val="0"/>
        <w:ind w:left="480" w:hanging="480"/>
        <w:rPr>
          <w:rFonts w:ascii="Calibri" w:hAnsi="Calibri" w:cs="Calibri"/>
          <w:noProof/>
        </w:rPr>
      </w:pPr>
      <w:r w:rsidRPr="00A80509">
        <w:rPr>
          <w:rFonts w:ascii="Calibri" w:hAnsi="Calibri" w:cs="Calibri"/>
          <w:noProof/>
        </w:rPr>
        <w:t xml:space="preserve">Chiu, A.S., R.A. Jean, J.R. Hoag, M. Freedman-Weiss, J.M. Healy, and K.Y. Pei. 2018. “Association of Lowering Default Pill Counts in Electronic Medical Record Systems with Postoperative Opioid Prescribing.” </w:t>
      </w:r>
      <w:r w:rsidRPr="00A80509">
        <w:rPr>
          <w:rFonts w:ascii="Calibri" w:hAnsi="Calibri" w:cs="Calibri"/>
          <w:i/>
          <w:iCs/>
          <w:noProof/>
        </w:rPr>
        <w:t>JAMA Surgery</w:t>
      </w:r>
      <w:r w:rsidRPr="00A80509">
        <w:rPr>
          <w:rFonts w:ascii="Calibri" w:hAnsi="Calibri" w:cs="Calibri"/>
          <w:noProof/>
        </w:rPr>
        <w:t xml:space="preserve"> 153(11):1012–1019.</w:t>
      </w:r>
    </w:p>
    <w:p w:rsidR="00A80509" w:rsidP="00A80509" w:rsidRDefault="00A80509" w14:paraId="4387B1FF" w14:textId="189EEDD4">
      <w:pPr>
        <w:widowControl w:val="0"/>
        <w:autoSpaceDE w:val="0"/>
        <w:autoSpaceDN w:val="0"/>
        <w:adjustRightInd w:val="0"/>
        <w:ind w:left="480" w:hanging="480"/>
        <w:rPr>
          <w:rFonts w:ascii="Calibri" w:hAnsi="Calibri" w:cs="Calibri"/>
          <w:noProof/>
        </w:rPr>
      </w:pPr>
      <w:r w:rsidRPr="00A80509">
        <w:rPr>
          <w:rFonts w:ascii="Calibri" w:hAnsi="Calibri" w:cs="Calibri"/>
          <w:noProof/>
        </w:rPr>
        <w:t xml:space="preserve">Clark, J., and S. Ward. 2008. “Consumer Behavior in Online Auctions: An Examination of Partitioned Prices on eBay.” </w:t>
      </w:r>
      <w:r w:rsidRPr="00A80509">
        <w:rPr>
          <w:rFonts w:ascii="Calibri" w:hAnsi="Calibri" w:cs="Calibri"/>
          <w:i/>
          <w:iCs/>
          <w:noProof/>
        </w:rPr>
        <w:t>Journal of Marketing Theory and Practice</w:t>
      </w:r>
      <w:r w:rsidRPr="00A80509">
        <w:rPr>
          <w:rFonts w:ascii="Calibri" w:hAnsi="Calibri" w:cs="Calibri"/>
          <w:noProof/>
        </w:rPr>
        <w:t xml:space="preserve"> 16(1):57–66.</w:t>
      </w:r>
    </w:p>
    <w:p w:rsidRPr="00A80509" w:rsidR="00A80509" w:rsidP="00BF42EE" w:rsidRDefault="00BF42EE" w14:paraId="47C461F9" w14:textId="7E1A4BD9">
      <w:pPr>
        <w:pStyle w:val="NoSpacing"/>
        <w:spacing w:before="120"/>
        <w:ind w:left="720" w:hanging="720"/>
        <w:rPr>
          <w:rFonts w:ascii="Calibri" w:hAnsi="Calibri" w:cs="Calibri"/>
          <w:noProof/>
        </w:rPr>
      </w:pPr>
      <w:r>
        <w:rPr>
          <w:rFonts w:ascii="Calibri" w:hAnsi="Calibri" w:cs="Calibri"/>
        </w:rPr>
        <w:t>Conte, M.N. and Griffin, R.M., 2017. Quality information and procurement auction outcomes: evidence from a payment for ecosystem services laboratory experiment. American Journal of Agricultural Economics, 99(3), pp.571-591.</w:t>
      </w:r>
    </w:p>
    <w:p w:rsidR="00BF42EE" w:rsidP="00BF42EE" w:rsidRDefault="00BF42EE" w14:paraId="6ADC34BD" w14:textId="77777777">
      <w:pPr>
        <w:pStyle w:val="NoSpacing"/>
        <w:spacing w:before="120"/>
        <w:ind w:left="720" w:hanging="720"/>
      </w:pPr>
      <w:r w:rsidRPr="00BF42EE">
        <w:rPr>
          <w:rFonts w:ascii="Calibri" w:hAnsi="Calibri" w:cs="Calibri"/>
        </w:rPr>
        <w:t>Dechenaux</w:t>
      </w:r>
      <w:r>
        <w:t xml:space="preserve">, E., Kovenock, D., &amp; Sheremeta, R. M. (2015). A survey of experimental research on contests, all-pay auctions and tournaments. </w:t>
      </w:r>
      <w:r>
        <w:rPr>
          <w:i/>
          <w:iCs/>
        </w:rPr>
        <w:t>Experimental Economics</w:t>
      </w:r>
      <w:r>
        <w:t xml:space="preserve">, </w:t>
      </w:r>
      <w:r>
        <w:rPr>
          <w:i/>
          <w:iCs/>
        </w:rPr>
        <w:t>18</w:t>
      </w:r>
      <w:r>
        <w:t>(4), 609-669.</w:t>
      </w:r>
    </w:p>
    <w:p w:rsidRPr="00A80509" w:rsidR="00A80509" w:rsidP="00A80509" w:rsidRDefault="00A80509" w14:paraId="53EF5B3B" w14:textId="77777777">
      <w:pPr>
        <w:widowControl w:val="0"/>
        <w:autoSpaceDE w:val="0"/>
        <w:autoSpaceDN w:val="0"/>
        <w:adjustRightInd w:val="0"/>
        <w:ind w:left="480" w:hanging="480"/>
        <w:rPr>
          <w:rFonts w:ascii="Calibri" w:hAnsi="Calibri" w:cs="Calibri"/>
          <w:noProof/>
        </w:rPr>
      </w:pPr>
      <w:r w:rsidRPr="00A80509">
        <w:rPr>
          <w:rFonts w:ascii="Calibri" w:hAnsi="Calibri" w:cs="Calibri"/>
          <w:noProof/>
        </w:rPr>
        <w:t xml:space="preserve">Enke, B., U. Gneezy, B. Hall, D. Martin, V. Nelidov, T. Offerman, and J. Van De Ven. 2020. “Cognitive Biases: Mistakes or Missing Stakes?” </w:t>
      </w:r>
    </w:p>
    <w:p w:rsidR="00A80509" w:rsidP="00A80509" w:rsidRDefault="00A80509" w14:paraId="23332F71" w14:textId="075765F1">
      <w:pPr>
        <w:widowControl w:val="0"/>
        <w:autoSpaceDE w:val="0"/>
        <w:autoSpaceDN w:val="0"/>
        <w:adjustRightInd w:val="0"/>
        <w:ind w:left="480" w:hanging="480"/>
        <w:rPr>
          <w:rFonts w:ascii="Calibri" w:hAnsi="Calibri" w:cs="Calibri"/>
          <w:noProof/>
        </w:rPr>
      </w:pPr>
      <w:r w:rsidRPr="00A80509">
        <w:rPr>
          <w:rFonts w:ascii="Calibri" w:hAnsi="Calibri" w:cs="Calibri"/>
          <w:noProof/>
        </w:rPr>
        <w:t xml:space="preserve">Furnham, A., and H.C. Boo. 2011. “A literature review of the anchoring effect.” </w:t>
      </w:r>
      <w:r w:rsidRPr="00A80509">
        <w:rPr>
          <w:rFonts w:ascii="Calibri" w:hAnsi="Calibri" w:cs="Calibri"/>
          <w:i/>
          <w:iCs/>
          <w:noProof/>
        </w:rPr>
        <w:t>Journal of Socio-Economics</w:t>
      </w:r>
      <w:r w:rsidRPr="00A80509">
        <w:rPr>
          <w:rFonts w:ascii="Calibri" w:hAnsi="Calibri" w:cs="Calibri"/>
          <w:noProof/>
        </w:rPr>
        <w:t xml:space="preserve"> 40(1):35–42. Available at: http://dx.doi.org/10.1016/j.socec.2010.10.008.</w:t>
      </w:r>
    </w:p>
    <w:p w:rsidR="00BF42EE" w:rsidP="00BF42EE" w:rsidRDefault="00BF42EE" w14:paraId="556CBA4B" w14:textId="77777777">
      <w:pPr>
        <w:autoSpaceDE w:val="0"/>
        <w:autoSpaceDN w:val="0"/>
        <w:adjustRightInd w:val="0"/>
        <w:ind w:left="720" w:hanging="720"/>
        <w:rPr>
          <w:rFonts w:ascii="Calibri" w:hAnsi="Calibri" w:cs="Calibri"/>
          <w:color w:val="000000" w:themeColor="text1"/>
        </w:rPr>
      </w:pPr>
      <w:r>
        <w:rPr>
          <w:rFonts w:ascii="Calibri" w:hAnsi="Calibri" w:cs="Calibri"/>
          <w:color w:val="000000" w:themeColor="text1"/>
        </w:rPr>
        <w:t>Fooks, J., K.D. Messer, and J. Duke. 2015</w:t>
      </w:r>
      <w:r>
        <w:rPr>
          <w:rFonts w:ascii="Calibri" w:hAnsi="Calibri" w:cs="Calibri"/>
          <w:i/>
          <w:color w:val="000000" w:themeColor="text1"/>
        </w:rPr>
        <w:t>.</w:t>
      </w:r>
      <w:r>
        <w:rPr>
          <w:rFonts w:ascii="Calibri" w:hAnsi="Calibri" w:cs="Calibri"/>
          <w:color w:val="000000" w:themeColor="text1"/>
        </w:rPr>
        <w:t xml:space="preserve"> “Dynamic Entry, Reverse Auctions, and the Purchase of Environmental Services.” </w:t>
      </w:r>
      <w:r>
        <w:rPr>
          <w:rFonts w:ascii="Calibri" w:hAnsi="Calibri" w:cs="Calibri"/>
          <w:i/>
          <w:color w:val="000000" w:themeColor="text1"/>
        </w:rPr>
        <w:t xml:space="preserve">Land Economics. </w:t>
      </w:r>
      <w:r>
        <w:rPr>
          <w:rFonts w:ascii="Calibri" w:hAnsi="Calibri" w:cs="Calibri"/>
          <w:color w:val="000000" w:themeColor="text1"/>
        </w:rPr>
        <w:t>91(1): 57-75.</w:t>
      </w:r>
    </w:p>
    <w:p w:rsidRPr="00A80509" w:rsidR="00A80509" w:rsidP="00A80509" w:rsidRDefault="00A80509" w14:paraId="7DAFC555" w14:textId="77777777">
      <w:pPr>
        <w:widowControl w:val="0"/>
        <w:autoSpaceDE w:val="0"/>
        <w:autoSpaceDN w:val="0"/>
        <w:adjustRightInd w:val="0"/>
        <w:ind w:left="480" w:hanging="480"/>
        <w:rPr>
          <w:rFonts w:ascii="Calibri" w:hAnsi="Calibri" w:cs="Calibri"/>
          <w:noProof/>
        </w:rPr>
      </w:pPr>
      <w:r w:rsidRPr="00A80509">
        <w:rPr>
          <w:rFonts w:ascii="Calibri" w:hAnsi="Calibri" w:cs="Calibri"/>
          <w:noProof/>
        </w:rPr>
        <w:t xml:space="preserve">Gao, S., Q. Meng, J.Y. Chan, and K.C. Chan. 2018. “Cognitive reference points, institutional </w:t>
      </w:r>
      <w:r w:rsidRPr="00A80509">
        <w:rPr>
          <w:rFonts w:ascii="Calibri" w:hAnsi="Calibri" w:cs="Calibri"/>
          <w:noProof/>
        </w:rPr>
        <w:lastRenderedPageBreak/>
        <w:t xml:space="preserve">investors’ bid prices, and IPO pricing: Evidence from IPO auctions in China.” </w:t>
      </w:r>
      <w:r w:rsidRPr="00A80509">
        <w:rPr>
          <w:rFonts w:ascii="Calibri" w:hAnsi="Calibri" w:cs="Calibri"/>
          <w:i/>
          <w:iCs/>
          <w:noProof/>
        </w:rPr>
        <w:t>Journal of Financial Markets</w:t>
      </w:r>
      <w:r w:rsidRPr="00A80509">
        <w:rPr>
          <w:rFonts w:ascii="Calibri" w:hAnsi="Calibri" w:cs="Calibri"/>
          <w:noProof/>
        </w:rPr>
        <w:t xml:space="preserve"> 38:124–140. Available at: http://dx.doi.org/10.1016/j.finmar.2017.09.002.</w:t>
      </w:r>
    </w:p>
    <w:p w:rsidRPr="00A80509" w:rsidR="00A80509" w:rsidP="00A80509" w:rsidRDefault="00A80509" w14:paraId="5B32526D" w14:textId="77777777">
      <w:pPr>
        <w:widowControl w:val="0"/>
        <w:autoSpaceDE w:val="0"/>
        <w:autoSpaceDN w:val="0"/>
        <w:adjustRightInd w:val="0"/>
        <w:ind w:left="480" w:hanging="480"/>
        <w:rPr>
          <w:rFonts w:ascii="Calibri" w:hAnsi="Calibri" w:cs="Calibri"/>
          <w:noProof/>
        </w:rPr>
      </w:pPr>
      <w:r w:rsidRPr="00A80509">
        <w:rPr>
          <w:rFonts w:ascii="Calibri" w:hAnsi="Calibri" w:cs="Calibri"/>
          <w:noProof/>
        </w:rPr>
        <w:t xml:space="preserve">Haggag, K., and G. Paci. 2014. “Default tips.” </w:t>
      </w:r>
      <w:r w:rsidRPr="00A80509">
        <w:rPr>
          <w:rFonts w:ascii="Calibri" w:hAnsi="Calibri" w:cs="Calibri"/>
          <w:i/>
          <w:iCs/>
          <w:noProof/>
        </w:rPr>
        <w:t>American Economic Journal: Applied Economics</w:t>
      </w:r>
      <w:r w:rsidRPr="00A80509">
        <w:rPr>
          <w:rFonts w:ascii="Calibri" w:hAnsi="Calibri" w:cs="Calibri"/>
          <w:noProof/>
        </w:rPr>
        <w:t xml:space="preserve"> 6(3):1–19.</w:t>
      </w:r>
    </w:p>
    <w:p w:rsidRPr="00BF42EE" w:rsidR="00A80509" w:rsidP="00BF42EE" w:rsidRDefault="00BF42EE" w14:paraId="3A9B39E4" w14:textId="151C69FA">
      <w:pPr>
        <w:pStyle w:val="NoSpacing"/>
        <w:spacing w:before="120"/>
        <w:ind w:left="720" w:hanging="720"/>
        <w:rPr>
          <w:rFonts w:ascii="Calibri" w:hAnsi="Calibri" w:cs="Calibri"/>
          <w:color w:val="000000" w:themeColor="text1"/>
        </w:rPr>
      </w:pPr>
      <w:r>
        <w:rPr>
          <w:rFonts w:ascii="Calibri" w:hAnsi="Calibri" w:cs="Calibri"/>
        </w:rPr>
        <w:t>Hellerstein, D., Higgins, N.A. and Roberts, M., 2015. Options for improving conservation programs: Insights from auction theory and economic experiments. Amber Waves, February.</w:t>
      </w:r>
    </w:p>
    <w:p w:rsidRPr="00A80509" w:rsidR="00A80509" w:rsidP="00A80509" w:rsidRDefault="00A80509" w14:paraId="7008BFA9" w14:textId="77777777">
      <w:pPr>
        <w:widowControl w:val="0"/>
        <w:autoSpaceDE w:val="0"/>
        <w:autoSpaceDN w:val="0"/>
        <w:adjustRightInd w:val="0"/>
        <w:ind w:left="480" w:hanging="480"/>
        <w:rPr>
          <w:rFonts w:ascii="Calibri" w:hAnsi="Calibri" w:cs="Calibri"/>
          <w:noProof/>
        </w:rPr>
      </w:pPr>
      <w:r w:rsidRPr="00A80509">
        <w:rPr>
          <w:rFonts w:ascii="Calibri" w:hAnsi="Calibri" w:cs="Calibri"/>
          <w:noProof/>
        </w:rPr>
        <w:t xml:space="preserve">Holst, G.S., D. Hermann, and O. Musshoff. 2015. “Anchoring effects in an experimental auction - Are farmers anchored?” </w:t>
      </w:r>
      <w:r w:rsidRPr="00A80509">
        <w:rPr>
          <w:rFonts w:ascii="Calibri" w:hAnsi="Calibri" w:cs="Calibri"/>
          <w:i/>
          <w:iCs/>
          <w:noProof/>
        </w:rPr>
        <w:t>Journal of Economic Psychology</w:t>
      </w:r>
      <w:r w:rsidRPr="00A80509">
        <w:rPr>
          <w:rFonts w:ascii="Calibri" w:hAnsi="Calibri" w:cs="Calibri"/>
          <w:noProof/>
        </w:rPr>
        <w:t xml:space="preserve"> 48:106–117. Available at: http://dx.doi.org/10.1016/j.joep.2015.03.008.</w:t>
      </w:r>
    </w:p>
    <w:p w:rsidRPr="00A80509" w:rsidR="00A80509" w:rsidP="00A80509" w:rsidRDefault="00A80509" w14:paraId="1AAD9C73" w14:textId="77777777">
      <w:pPr>
        <w:widowControl w:val="0"/>
        <w:autoSpaceDE w:val="0"/>
        <w:autoSpaceDN w:val="0"/>
        <w:adjustRightInd w:val="0"/>
        <w:ind w:left="480" w:hanging="480"/>
        <w:rPr>
          <w:rFonts w:ascii="Calibri" w:hAnsi="Calibri" w:cs="Calibri"/>
          <w:noProof/>
        </w:rPr>
      </w:pPr>
      <w:r w:rsidRPr="00A80509">
        <w:rPr>
          <w:rFonts w:ascii="Calibri" w:hAnsi="Calibri" w:cs="Calibri"/>
          <w:noProof/>
        </w:rPr>
        <w:t xml:space="preserve">Hummel, D., and A. Maedche. 2019. “How effective is nudging? A quantitative review on the effect sizes and limits of empirical nudging studies.” </w:t>
      </w:r>
      <w:r w:rsidRPr="00A80509">
        <w:rPr>
          <w:rFonts w:ascii="Calibri" w:hAnsi="Calibri" w:cs="Calibri"/>
          <w:i/>
          <w:iCs/>
          <w:noProof/>
        </w:rPr>
        <w:t xml:space="preserve">Journal of Behavioral and Experimental Economics </w:t>
      </w:r>
      <w:r w:rsidRPr="00A80509">
        <w:rPr>
          <w:rFonts w:ascii="Calibri" w:hAnsi="Calibri" w:cs="Calibri"/>
          <w:noProof/>
        </w:rPr>
        <w:t xml:space="preserve"> 80(March):47–58. Available at: https://doi.org/10.1016/j.socec.2019.03.005 [Accessed October 1, 2020].</w:t>
      </w:r>
    </w:p>
    <w:p w:rsidR="00BF42EE" w:rsidP="00BF42EE" w:rsidRDefault="00BF42EE" w14:paraId="02BC9B5F" w14:textId="77777777">
      <w:pPr>
        <w:widowControl w:val="0"/>
        <w:autoSpaceDE w:val="0"/>
        <w:autoSpaceDN w:val="0"/>
        <w:adjustRightInd w:val="0"/>
        <w:ind w:left="480" w:hanging="480"/>
        <w:rPr>
          <w:rFonts w:ascii="Calibri" w:hAnsi="Calibri" w:cs="Calibri"/>
        </w:rPr>
      </w:pPr>
      <w:r>
        <w:rPr>
          <w:rFonts w:ascii="Calibri" w:hAnsi="Calibri" w:cs="Calibri"/>
        </w:rPr>
        <w:t xml:space="preserve">Iftekhar, M.S. and Tisdell, J.G., 2014. Wildlife corridor market design: An experimental analysis of </w:t>
      </w:r>
      <w:r>
        <w:rPr>
          <w:rFonts w:ascii="Calibri" w:hAnsi="Calibri" w:cs="Calibri"/>
          <w:noProof/>
        </w:rPr>
        <w:t>the</w:t>
      </w:r>
      <w:r>
        <w:rPr>
          <w:rFonts w:ascii="Calibri" w:hAnsi="Calibri" w:cs="Calibri"/>
        </w:rPr>
        <w:t xml:space="preserve"> impact of project selection criteria and bidding flexibility. Ecological economics, 104, pp.50-60.</w:t>
      </w:r>
    </w:p>
    <w:p w:rsidRPr="00A80509" w:rsidR="00A80509" w:rsidP="00A80509" w:rsidRDefault="00A80509" w14:paraId="1157AA8B" w14:textId="77777777">
      <w:pPr>
        <w:widowControl w:val="0"/>
        <w:autoSpaceDE w:val="0"/>
        <w:autoSpaceDN w:val="0"/>
        <w:adjustRightInd w:val="0"/>
        <w:ind w:left="480" w:hanging="480"/>
        <w:rPr>
          <w:rFonts w:ascii="Calibri" w:hAnsi="Calibri" w:cs="Calibri"/>
          <w:noProof/>
        </w:rPr>
      </w:pPr>
      <w:r w:rsidRPr="00A80509">
        <w:rPr>
          <w:rFonts w:ascii="Calibri" w:hAnsi="Calibri" w:cs="Calibri"/>
          <w:noProof/>
        </w:rPr>
        <w:t xml:space="preserve">Johnson, E.J., and D. Goldstein. 2003. “Do Defaults Save Lives?” </w:t>
      </w:r>
      <w:r w:rsidRPr="00A80509">
        <w:rPr>
          <w:rFonts w:ascii="Calibri" w:hAnsi="Calibri" w:cs="Calibri"/>
          <w:i/>
          <w:iCs/>
          <w:noProof/>
        </w:rPr>
        <w:t>Science</w:t>
      </w:r>
      <w:r w:rsidRPr="00A80509">
        <w:rPr>
          <w:rFonts w:ascii="Calibri" w:hAnsi="Calibri" w:cs="Calibri"/>
          <w:noProof/>
        </w:rPr>
        <w:t xml:space="preserve"> 302(5649):1338–1339.</w:t>
      </w:r>
    </w:p>
    <w:p w:rsidR="00A80509" w:rsidP="00A80509" w:rsidRDefault="00A80509" w14:paraId="6B3643E6" w14:textId="7FE7C740">
      <w:pPr>
        <w:widowControl w:val="0"/>
        <w:autoSpaceDE w:val="0"/>
        <w:autoSpaceDN w:val="0"/>
        <w:adjustRightInd w:val="0"/>
        <w:ind w:left="480" w:hanging="480"/>
        <w:rPr>
          <w:rFonts w:ascii="Calibri" w:hAnsi="Calibri" w:cs="Calibri"/>
          <w:noProof/>
        </w:rPr>
      </w:pPr>
      <w:r w:rsidRPr="00A80509">
        <w:rPr>
          <w:rFonts w:ascii="Calibri" w:hAnsi="Calibri" w:cs="Calibri"/>
          <w:noProof/>
        </w:rPr>
        <w:t>Kahneman, D. 2011. “Thinking, Fast and Slow.” Available at: https://books.google.com/books?hl=en&amp;lr=&amp;id=SHvzzuCnuv8C&amp;oi=fnd&amp;pg=PP2&amp;ots=NTohLC_mHz&amp;sig=oGGNNovasu-_1DIwJusqI3joL9U [Accessed October 28, 2020].</w:t>
      </w:r>
    </w:p>
    <w:p w:rsidRPr="00A80509" w:rsidR="00BF42EE" w:rsidP="00BF42EE" w:rsidRDefault="00BF42EE" w14:paraId="79D3D7E2" w14:textId="2B193F5F">
      <w:pPr>
        <w:widowControl w:val="0"/>
        <w:autoSpaceDE w:val="0"/>
        <w:autoSpaceDN w:val="0"/>
        <w:adjustRightInd w:val="0"/>
        <w:ind w:left="480" w:hanging="480"/>
        <w:rPr>
          <w:rFonts w:ascii="Calibri" w:hAnsi="Calibri" w:cs="Calibri"/>
        </w:rPr>
      </w:pPr>
      <w:r>
        <w:rPr>
          <w:rFonts w:ascii="Calibri" w:hAnsi="Calibri" w:cs="Calibri"/>
          <w:noProof/>
        </w:rPr>
        <w:t>Kawasaki</w:t>
      </w:r>
      <w:r>
        <w:rPr>
          <w:rFonts w:ascii="Calibri" w:hAnsi="Calibri" w:cs="Calibri"/>
        </w:rPr>
        <w:t>, K., Fujie, T., Koito, K., Inoue, N. and Sasaki, H., 2012. Conservation auctions and compliance: theory and evidence from laboratory experiments. Environmental and Resource Economics, 52(2), pp.157-179.</w:t>
      </w:r>
    </w:p>
    <w:p w:rsidRPr="00A80509" w:rsidR="00A80509" w:rsidP="00A80509" w:rsidRDefault="00A80509" w14:paraId="4190F54F" w14:textId="77777777">
      <w:pPr>
        <w:widowControl w:val="0"/>
        <w:autoSpaceDE w:val="0"/>
        <w:autoSpaceDN w:val="0"/>
        <w:adjustRightInd w:val="0"/>
        <w:ind w:left="480" w:hanging="480"/>
        <w:rPr>
          <w:rFonts w:ascii="Calibri" w:hAnsi="Calibri" w:cs="Calibri"/>
          <w:noProof/>
        </w:rPr>
      </w:pPr>
      <w:r w:rsidRPr="00A80509">
        <w:rPr>
          <w:rFonts w:ascii="Calibri" w:hAnsi="Calibri" w:cs="Calibri"/>
          <w:noProof/>
        </w:rPr>
        <w:t xml:space="preserve">Löfgren, Å., P. Martinsson, M. Hennlock, and T. Sterner. 2012. “Are experienced people affected by a pre-set default option-Results from a field experiment.” </w:t>
      </w:r>
      <w:r w:rsidRPr="00A80509">
        <w:rPr>
          <w:rFonts w:ascii="Calibri" w:hAnsi="Calibri" w:cs="Calibri"/>
          <w:i/>
          <w:iCs/>
          <w:noProof/>
        </w:rPr>
        <w:t>Journal of Environmental Economics and Management</w:t>
      </w:r>
      <w:r w:rsidRPr="00A80509">
        <w:rPr>
          <w:rFonts w:ascii="Calibri" w:hAnsi="Calibri" w:cs="Calibri"/>
          <w:noProof/>
        </w:rPr>
        <w:t xml:space="preserve"> 63(1):66–72.</w:t>
      </w:r>
    </w:p>
    <w:p w:rsidRPr="00A80509" w:rsidR="00A80509" w:rsidP="00A80509" w:rsidRDefault="00A80509" w14:paraId="711FB4E8" w14:textId="77777777">
      <w:pPr>
        <w:widowControl w:val="0"/>
        <w:autoSpaceDE w:val="0"/>
        <w:autoSpaceDN w:val="0"/>
        <w:adjustRightInd w:val="0"/>
        <w:ind w:left="480" w:hanging="480"/>
        <w:rPr>
          <w:rFonts w:ascii="Calibri" w:hAnsi="Calibri" w:cs="Calibri"/>
          <w:noProof/>
        </w:rPr>
      </w:pPr>
      <w:r w:rsidRPr="00A80509">
        <w:rPr>
          <w:rFonts w:ascii="Calibri" w:hAnsi="Calibri" w:cs="Calibri"/>
          <w:noProof/>
        </w:rPr>
        <w:t xml:space="preserve">Maniadis, Z., F. Tufano, and J.A. List. 2014. “One swallow doesn’t make a summer: New evidence on anchoring effects.” </w:t>
      </w:r>
      <w:r w:rsidRPr="00A80509">
        <w:rPr>
          <w:rFonts w:ascii="Calibri" w:hAnsi="Calibri" w:cs="Calibri"/>
          <w:i/>
          <w:iCs/>
          <w:noProof/>
        </w:rPr>
        <w:t>American Economic Review</w:t>
      </w:r>
      <w:r w:rsidRPr="00A80509">
        <w:rPr>
          <w:rFonts w:ascii="Calibri" w:hAnsi="Calibri" w:cs="Calibri"/>
          <w:noProof/>
        </w:rPr>
        <w:t>.</w:t>
      </w:r>
    </w:p>
    <w:p w:rsidRPr="00A80509" w:rsidR="00A80509" w:rsidP="00A80509" w:rsidRDefault="00A80509" w14:paraId="686C26FC" w14:textId="77777777">
      <w:pPr>
        <w:widowControl w:val="0"/>
        <w:autoSpaceDE w:val="0"/>
        <w:autoSpaceDN w:val="0"/>
        <w:adjustRightInd w:val="0"/>
        <w:ind w:left="480" w:hanging="480"/>
        <w:rPr>
          <w:rFonts w:ascii="Calibri" w:hAnsi="Calibri" w:cs="Calibri"/>
          <w:noProof/>
        </w:rPr>
      </w:pPr>
      <w:r w:rsidRPr="00A80509">
        <w:rPr>
          <w:rFonts w:ascii="Calibri" w:hAnsi="Calibri" w:cs="Calibri"/>
          <w:noProof/>
        </w:rPr>
        <w:t xml:space="preserve">Messer, K.D., J.M. Duke, L. Lynch, Kent D. Messer, and Lori Lynch. 2014. “Applying Experiments to Land Economics: Public Information and Auction Efficiency in Ecosystem Service Markets.” In </w:t>
      </w:r>
      <w:r w:rsidRPr="00A80509">
        <w:rPr>
          <w:rFonts w:ascii="Calibri" w:hAnsi="Calibri" w:cs="Calibri"/>
          <w:i/>
          <w:iCs/>
          <w:noProof/>
        </w:rPr>
        <w:t>The Oxford Handbook of Land Economics</w:t>
      </w:r>
      <w:r w:rsidRPr="00A80509">
        <w:rPr>
          <w:rFonts w:ascii="Calibri" w:hAnsi="Calibri" w:cs="Calibri"/>
          <w:noProof/>
        </w:rPr>
        <w:t>. Oxford University Press, p. 481.</w:t>
      </w:r>
    </w:p>
    <w:p w:rsidRPr="00A80509" w:rsidR="00A80509" w:rsidP="00A80509" w:rsidRDefault="00A80509" w14:paraId="18207162" w14:textId="77777777">
      <w:pPr>
        <w:widowControl w:val="0"/>
        <w:autoSpaceDE w:val="0"/>
        <w:autoSpaceDN w:val="0"/>
        <w:adjustRightInd w:val="0"/>
        <w:ind w:left="480" w:hanging="480"/>
        <w:rPr>
          <w:rFonts w:ascii="Calibri" w:hAnsi="Calibri" w:cs="Calibri"/>
          <w:noProof/>
        </w:rPr>
      </w:pPr>
      <w:r w:rsidRPr="00A80509">
        <w:rPr>
          <w:rFonts w:ascii="Calibri" w:hAnsi="Calibri" w:cs="Calibri"/>
          <w:noProof/>
        </w:rPr>
        <w:t xml:space="preserve">Messer, K.D., J.F. Suter, and J. Yan. 2013. “Context Effects in a Negatively Framed Social Dilemma Experiment.” </w:t>
      </w:r>
      <w:r w:rsidRPr="00A80509">
        <w:rPr>
          <w:rFonts w:ascii="Calibri" w:hAnsi="Calibri" w:cs="Calibri"/>
          <w:i/>
          <w:iCs/>
          <w:noProof/>
        </w:rPr>
        <w:t>Environmental and Resource Economics</w:t>
      </w:r>
      <w:r w:rsidRPr="00A80509">
        <w:rPr>
          <w:rFonts w:ascii="Calibri" w:hAnsi="Calibri" w:cs="Calibri"/>
          <w:noProof/>
        </w:rPr>
        <w:t xml:space="preserve"> 55(3):387–405.</w:t>
      </w:r>
    </w:p>
    <w:p w:rsidRPr="00A80509" w:rsidR="00A80509" w:rsidP="00A80509" w:rsidRDefault="00A80509" w14:paraId="2FAA7C4B" w14:textId="77777777">
      <w:pPr>
        <w:widowControl w:val="0"/>
        <w:autoSpaceDE w:val="0"/>
        <w:autoSpaceDN w:val="0"/>
        <w:adjustRightInd w:val="0"/>
        <w:ind w:left="480" w:hanging="480"/>
        <w:rPr>
          <w:rFonts w:ascii="Calibri" w:hAnsi="Calibri" w:cs="Calibri"/>
          <w:noProof/>
        </w:rPr>
      </w:pPr>
      <w:r w:rsidRPr="00A80509">
        <w:rPr>
          <w:rFonts w:ascii="Calibri" w:hAnsi="Calibri" w:cs="Calibri"/>
          <w:noProof/>
        </w:rPr>
        <w:t xml:space="preserve">Messer, K.D., H. Zarghamee, H.M. Kaiser, and W.D. Schulze. 2007. “New hope for the voluntary contributions mechanism: The effects of context.” </w:t>
      </w:r>
      <w:r w:rsidRPr="00A80509">
        <w:rPr>
          <w:rFonts w:ascii="Calibri" w:hAnsi="Calibri" w:cs="Calibri"/>
          <w:i/>
          <w:iCs/>
          <w:noProof/>
        </w:rPr>
        <w:t>Journal of Public Economics</w:t>
      </w:r>
      <w:r w:rsidRPr="00A80509">
        <w:rPr>
          <w:rFonts w:ascii="Calibri" w:hAnsi="Calibri" w:cs="Calibri"/>
          <w:noProof/>
        </w:rPr>
        <w:t xml:space="preserve"> 91(9):1783–1799.</w:t>
      </w:r>
    </w:p>
    <w:p w:rsidRPr="00A80509" w:rsidR="00A80509" w:rsidP="00A80509" w:rsidRDefault="00A80509" w14:paraId="5126BCC1" w14:textId="77777777">
      <w:pPr>
        <w:widowControl w:val="0"/>
        <w:autoSpaceDE w:val="0"/>
        <w:autoSpaceDN w:val="0"/>
        <w:adjustRightInd w:val="0"/>
        <w:ind w:left="480" w:hanging="480"/>
        <w:rPr>
          <w:rFonts w:ascii="Calibri" w:hAnsi="Calibri" w:cs="Calibri"/>
          <w:noProof/>
        </w:rPr>
      </w:pPr>
      <w:r w:rsidRPr="00A80509">
        <w:rPr>
          <w:rFonts w:ascii="Calibri" w:hAnsi="Calibri" w:cs="Calibri"/>
          <w:noProof/>
        </w:rPr>
        <w:t xml:space="preserve">Peth, D., and O. Mußhoff. 2020. “Comparing Compliance Behaviour of Students and Farmers. An Extra-laboratory Experiment in the Context of Agri-environmental Nudges in Germany.” </w:t>
      </w:r>
      <w:r w:rsidRPr="00A80509">
        <w:rPr>
          <w:rFonts w:ascii="Calibri" w:hAnsi="Calibri" w:cs="Calibri"/>
          <w:i/>
          <w:iCs/>
          <w:noProof/>
        </w:rPr>
        <w:t>Journal of Agricultural Economics</w:t>
      </w:r>
      <w:r w:rsidRPr="00A80509">
        <w:rPr>
          <w:rFonts w:ascii="Calibri" w:hAnsi="Calibri" w:cs="Calibri"/>
          <w:noProof/>
        </w:rPr>
        <w:t xml:space="preserve"> 71(2):601–615.</w:t>
      </w:r>
    </w:p>
    <w:p w:rsidR="00BF42EE" w:rsidP="00BF42EE" w:rsidRDefault="00BF42EE" w14:paraId="741F3145" w14:textId="77777777">
      <w:pPr>
        <w:widowControl w:val="0"/>
        <w:autoSpaceDE w:val="0"/>
        <w:autoSpaceDN w:val="0"/>
        <w:adjustRightInd w:val="0"/>
        <w:ind w:left="480" w:hanging="480"/>
      </w:pPr>
      <w:r w:rsidRPr="00BF42EE">
        <w:rPr>
          <w:rFonts w:ascii="Calibri" w:hAnsi="Calibri" w:cs="Calibri"/>
          <w:noProof/>
        </w:rPr>
        <w:t>Schilizzi</w:t>
      </w:r>
      <w:r>
        <w:t xml:space="preserve">, S. G. (2017). An overview of laboratory research on conservation auctions. </w:t>
      </w:r>
      <w:r>
        <w:rPr>
          <w:i/>
          <w:iCs/>
        </w:rPr>
        <w:t>Land Use Policy</w:t>
      </w:r>
      <w:r>
        <w:t xml:space="preserve">, </w:t>
      </w:r>
      <w:r>
        <w:rPr>
          <w:i/>
          <w:iCs/>
        </w:rPr>
        <w:t>63</w:t>
      </w:r>
      <w:r>
        <w:t>, 572-583.</w:t>
      </w:r>
    </w:p>
    <w:p w:rsidR="00A80509" w:rsidP="00A80509" w:rsidRDefault="00A80509" w14:paraId="56241D0A" w14:textId="2D86AAD2">
      <w:pPr>
        <w:widowControl w:val="0"/>
        <w:autoSpaceDE w:val="0"/>
        <w:autoSpaceDN w:val="0"/>
        <w:adjustRightInd w:val="0"/>
        <w:ind w:left="480" w:hanging="480"/>
        <w:rPr>
          <w:rFonts w:ascii="Calibri" w:hAnsi="Calibri" w:cs="Calibri"/>
          <w:noProof/>
        </w:rPr>
      </w:pPr>
      <w:r w:rsidRPr="00A80509">
        <w:rPr>
          <w:rFonts w:ascii="Calibri" w:hAnsi="Calibri" w:cs="Calibri"/>
          <w:noProof/>
        </w:rPr>
        <w:lastRenderedPageBreak/>
        <w:t xml:space="preserve">Thaler, R.H., and C. Sunstein. 2009. </w:t>
      </w:r>
      <w:r w:rsidRPr="00A80509">
        <w:rPr>
          <w:rFonts w:ascii="Calibri" w:hAnsi="Calibri" w:cs="Calibri"/>
          <w:i/>
          <w:iCs/>
          <w:noProof/>
        </w:rPr>
        <w:t>Nudge: Improving decisions about health, wealth, and happiness</w:t>
      </w:r>
      <w:r w:rsidRPr="00A80509">
        <w:rPr>
          <w:rFonts w:ascii="Calibri" w:hAnsi="Calibri" w:cs="Calibri"/>
          <w:noProof/>
        </w:rPr>
        <w:t>. Penguin.</w:t>
      </w:r>
    </w:p>
    <w:p w:rsidR="00BF42EE" w:rsidP="00BF42EE" w:rsidRDefault="00BF42EE" w14:paraId="3EABC634" w14:textId="77777777">
      <w:pPr>
        <w:widowControl w:val="0"/>
        <w:autoSpaceDE w:val="0"/>
        <w:autoSpaceDN w:val="0"/>
        <w:adjustRightInd w:val="0"/>
        <w:ind w:left="480" w:hanging="480"/>
        <w:rPr>
          <w:rFonts w:ascii="Calibri" w:hAnsi="Calibri" w:cs="Calibri"/>
        </w:rPr>
      </w:pPr>
      <w:r>
        <w:rPr>
          <w:rFonts w:ascii="Calibri" w:hAnsi="Calibri" w:cs="Calibri"/>
          <w:noProof/>
        </w:rPr>
        <w:t>Tisdell</w:t>
      </w:r>
      <w:r>
        <w:rPr>
          <w:rFonts w:ascii="Calibri" w:hAnsi="Calibri" w:cs="Calibri"/>
        </w:rPr>
        <w:t>, J.G. and Iftekhar, M.S., 2013. Fisheries quota allocation: Laboratory experiments on simultaneous and combinatorial auctions. Marine Policy, 38, pp.228-234.</w:t>
      </w:r>
    </w:p>
    <w:p w:rsidR="00BF42EE" w:rsidP="00BF42EE" w:rsidRDefault="00BF42EE" w14:paraId="38523947" w14:textId="77777777">
      <w:pPr>
        <w:widowControl w:val="0"/>
        <w:autoSpaceDE w:val="0"/>
        <w:autoSpaceDN w:val="0"/>
        <w:adjustRightInd w:val="0"/>
        <w:ind w:left="480" w:hanging="480"/>
        <w:rPr>
          <w:rFonts w:ascii="Calibri" w:hAnsi="Calibri" w:cs="Calibri"/>
        </w:rPr>
      </w:pPr>
      <w:r>
        <w:rPr>
          <w:rFonts w:ascii="Calibri" w:hAnsi="Calibri" w:cs="Calibri"/>
          <w:noProof/>
        </w:rPr>
        <w:t>Vogt</w:t>
      </w:r>
      <w:r>
        <w:rPr>
          <w:rFonts w:ascii="Calibri" w:hAnsi="Calibri" w:cs="Calibri"/>
        </w:rPr>
        <w:t>, N., Reeson, A.F. and Bizer, K., 2013. Communication, competition and social gift exchange in an auction for public good provision. Ecological economics, 93, pp.11-19.</w:t>
      </w:r>
    </w:p>
    <w:p w:rsidRPr="00A80509" w:rsidR="00BF42EE" w:rsidP="00A80509" w:rsidRDefault="00BF42EE" w14:paraId="22540FA2" w14:textId="77777777">
      <w:pPr>
        <w:widowControl w:val="0"/>
        <w:autoSpaceDE w:val="0"/>
        <w:autoSpaceDN w:val="0"/>
        <w:adjustRightInd w:val="0"/>
        <w:ind w:left="480" w:hanging="480"/>
        <w:rPr>
          <w:rFonts w:ascii="Calibri" w:hAnsi="Calibri" w:cs="Calibri"/>
          <w:noProof/>
        </w:rPr>
      </w:pPr>
    </w:p>
    <w:p w:rsidR="004E06CE" w:rsidP="00A80509" w:rsidRDefault="004E06CE" w14:paraId="33872E83" w14:textId="427AFC2C">
      <w:pPr>
        <w:widowControl w:val="0"/>
        <w:autoSpaceDE w:val="0"/>
        <w:autoSpaceDN w:val="0"/>
        <w:adjustRightInd w:val="0"/>
        <w:ind w:left="480" w:hanging="480"/>
      </w:pPr>
      <w:r>
        <w:fldChar w:fldCharType="end"/>
      </w:r>
    </w:p>
    <w:p w:rsidR="004E06CE" w:rsidP="004E06CE" w:rsidRDefault="004E06CE" w14:paraId="0E281380" w14:textId="4FC6112C"/>
    <w:p w:rsidR="004E06CE" w:rsidP="004E06CE" w:rsidRDefault="004E06CE" w14:paraId="7C8DB3A6" w14:textId="77777777"/>
    <w:sectPr w:rsidR="004E06CE" w:rsidSect="006B20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FC557" w14:textId="77777777" w:rsidR="0011136C" w:rsidRDefault="0011136C" w:rsidP="004E06CE">
      <w:r>
        <w:separator/>
      </w:r>
    </w:p>
  </w:endnote>
  <w:endnote w:type="continuationSeparator" w:id="0">
    <w:p w14:paraId="202C53A0" w14:textId="77777777" w:rsidR="0011136C" w:rsidRDefault="0011136C" w:rsidP="004E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DEC3" w14:textId="77777777" w:rsidR="0011136C" w:rsidRDefault="0011136C" w:rsidP="004E06CE">
      <w:r>
        <w:separator/>
      </w:r>
    </w:p>
  </w:footnote>
  <w:footnote w:type="continuationSeparator" w:id="0">
    <w:p w14:paraId="299D925A" w14:textId="77777777" w:rsidR="0011136C" w:rsidRDefault="0011136C" w:rsidP="004E06CE">
      <w:r>
        <w:continuationSeparator/>
      </w:r>
    </w:p>
  </w:footnote>
  <w:footnote w:id="1">
    <w:p w14:paraId="7B36FC63" w14:textId="77777777" w:rsidR="00BF42EE" w:rsidRDefault="00BF42EE" w:rsidP="00BF42EE">
      <w:pPr>
        <w:pStyle w:val="FootnoteText"/>
      </w:pPr>
      <w:r>
        <w:rPr>
          <w:rStyle w:val="FootnoteReference"/>
        </w:rPr>
        <w:footnoteRef/>
      </w:r>
      <w:r>
        <w:t xml:space="preserve"> The terminology used in this literature is extremely inconsistent.  The studies use the terms sessions, rounds, periods, trials, and eras.  Typically the term “session” refers to a single experimental session, or group of participants doing one full run of the experiment.  Here we use the term “round” to refer to one full auction, but several of the papers refer to these as “periods” and use the term  “rounds” to refer to the revision opportunities within an auction.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87C30"/>
    <w:multiLevelType w:val="hybridMultilevel"/>
    <w:tmpl w:val="59A2F6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78"/>
    <w:rsid w:val="000015D8"/>
    <w:rsid w:val="0000553D"/>
    <w:rsid w:val="00010471"/>
    <w:rsid w:val="000216DA"/>
    <w:rsid w:val="00025AB8"/>
    <w:rsid w:val="00030DF4"/>
    <w:rsid w:val="000358F4"/>
    <w:rsid w:val="00036C2B"/>
    <w:rsid w:val="00040F1C"/>
    <w:rsid w:val="000565A2"/>
    <w:rsid w:val="00057755"/>
    <w:rsid w:val="000670E2"/>
    <w:rsid w:val="00093894"/>
    <w:rsid w:val="000A5BB0"/>
    <w:rsid w:val="000B2775"/>
    <w:rsid w:val="000B39B8"/>
    <w:rsid w:val="000E414E"/>
    <w:rsid w:val="000E44B3"/>
    <w:rsid w:val="00106DA9"/>
    <w:rsid w:val="0011136C"/>
    <w:rsid w:val="00121348"/>
    <w:rsid w:val="00175A4C"/>
    <w:rsid w:val="00194F30"/>
    <w:rsid w:val="001B7EF7"/>
    <w:rsid w:val="001C256F"/>
    <w:rsid w:val="001C4D86"/>
    <w:rsid w:val="001C59A6"/>
    <w:rsid w:val="001D3379"/>
    <w:rsid w:val="001F205B"/>
    <w:rsid w:val="0021641E"/>
    <w:rsid w:val="002171E0"/>
    <w:rsid w:val="002210CD"/>
    <w:rsid w:val="002239E9"/>
    <w:rsid w:val="00251969"/>
    <w:rsid w:val="00252CFE"/>
    <w:rsid w:val="0026414F"/>
    <w:rsid w:val="00290953"/>
    <w:rsid w:val="002917E5"/>
    <w:rsid w:val="00293993"/>
    <w:rsid w:val="002B635A"/>
    <w:rsid w:val="002D01D7"/>
    <w:rsid w:val="002D3DCE"/>
    <w:rsid w:val="002E0274"/>
    <w:rsid w:val="002F4AF5"/>
    <w:rsid w:val="00323389"/>
    <w:rsid w:val="00324D93"/>
    <w:rsid w:val="00331A78"/>
    <w:rsid w:val="00331B1B"/>
    <w:rsid w:val="003732B4"/>
    <w:rsid w:val="003B16D5"/>
    <w:rsid w:val="003B550A"/>
    <w:rsid w:val="003C1587"/>
    <w:rsid w:val="003C7A48"/>
    <w:rsid w:val="003C7F39"/>
    <w:rsid w:val="003D2D4D"/>
    <w:rsid w:val="004037D5"/>
    <w:rsid w:val="00413699"/>
    <w:rsid w:val="00415BCD"/>
    <w:rsid w:val="00425AAF"/>
    <w:rsid w:val="00430FE0"/>
    <w:rsid w:val="004310C4"/>
    <w:rsid w:val="0044388F"/>
    <w:rsid w:val="00444718"/>
    <w:rsid w:val="00462836"/>
    <w:rsid w:val="0046528C"/>
    <w:rsid w:val="004721C2"/>
    <w:rsid w:val="00475D92"/>
    <w:rsid w:val="00483897"/>
    <w:rsid w:val="00491446"/>
    <w:rsid w:val="004A59FC"/>
    <w:rsid w:val="004D01C5"/>
    <w:rsid w:val="004E06CE"/>
    <w:rsid w:val="004E33F6"/>
    <w:rsid w:val="004E6454"/>
    <w:rsid w:val="004F4C0E"/>
    <w:rsid w:val="00510556"/>
    <w:rsid w:val="005144F0"/>
    <w:rsid w:val="00522BDA"/>
    <w:rsid w:val="00530EB7"/>
    <w:rsid w:val="00583A7A"/>
    <w:rsid w:val="005A73BA"/>
    <w:rsid w:val="005E2E05"/>
    <w:rsid w:val="005E4872"/>
    <w:rsid w:val="005F1B22"/>
    <w:rsid w:val="005F7C0C"/>
    <w:rsid w:val="006009EF"/>
    <w:rsid w:val="00601CF1"/>
    <w:rsid w:val="00606964"/>
    <w:rsid w:val="00621600"/>
    <w:rsid w:val="0063044A"/>
    <w:rsid w:val="0066408E"/>
    <w:rsid w:val="00664B00"/>
    <w:rsid w:val="00665666"/>
    <w:rsid w:val="006747C9"/>
    <w:rsid w:val="00690402"/>
    <w:rsid w:val="00694E36"/>
    <w:rsid w:val="00696852"/>
    <w:rsid w:val="0069742E"/>
    <w:rsid w:val="006B20DB"/>
    <w:rsid w:val="006B3383"/>
    <w:rsid w:val="006C7ACB"/>
    <w:rsid w:val="006D4D81"/>
    <w:rsid w:val="006E1AA3"/>
    <w:rsid w:val="007043C3"/>
    <w:rsid w:val="00714F12"/>
    <w:rsid w:val="007331BD"/>
    <w:rsid w:val="00757297"/>
    <w:rsid w:val="0077009E"/>
    <w:rsid w:val="007733D8"/>
    <w:rsid w:val="00773771"/>
    <w:rsid w:val="00774BCB"/>
    <w:rsid w:val="00777942"/>
    <w:rsid w:val="00782E45"/>
    <w:rsid w:val="0078307F"/>
    <w:rsid w:val="00790D9A"/>
    <w:rsid w:val="007A1E25"/>
    <w:rsid w:val="007A3D22"/>
    <w:rsid w:val="007A4A9E"/>
    <w:rsid w:val="007A7890"/>
    <w:rsid w:val="007D1974"/>
    <w:rsid w:val="007F0861"/>
    <w:rsid w:val="007F3998"/>
    <w:rsid w:val="0080586F"/>
    <w:rsid w:val="00811C94"/>
    <w:rsid w:val="0081455A"/>
    <w:rsid w:val="00814A46"/>
    <w:rsid w:val="00820F33"/>
    <w:rsid w:val="008401CE"/>
    <w:rsid w:val="00846D30"/>
    <w:rsid w:val="0085104C"/>
    <w:rsid w:val="00860DC6"/>
    <w:rsid w:val="0086258E"/>
    <w:rsid w:val="00876C6D"/>
    <w:rsid w:val="00883D5C"/>
    <w:rsid w:val="008B39BA"/>
    <w:rsid w:val="008B6DB8"/>
    <w:rsid w:val="008C15A8"/>
    <w:rsid w:val="008C3621"/>
    <w:rsid w:val="008D47DE"/>
    <w:rsid w:val="008D794A"/>
    <w:rsid w:val="008E3A62"/>
    <w:rsid w:val="008F358D"/>
    <w:rsid w:val="00905261"/>
    <w:rsid w:val="009122E2"/>
    <w:rsid w:val="00922678"/>
    <w:rsid w:val="00925929"/>
    <w:rsid w:val="0096431F"/>
    <w:rsid w:val="00964764"/>
    <w:rsid w:val="00977E2B"/>
    <w:rsid w:val="009923FC"/>
    <w:rsid w:val="009B662C"/>
    <w:rsid w:val="009B7633"/>
    <w:rsid w:val="009C060B"/>
    <w:rsid w:val="009C578D"/>
    <w:rsid w:val="009D0C2C"/>
    <w:rsid w:val="009D455B"/>
    <w:rsid w:val="009D6C0B"/>
    <w:rsid w:val="009E135C"/>
    <w:rsid w:val="00A04704"/>
    <w:rsid w:val="00A63826"/>
    <w:rsid w:val="00A70F46"/>
    <w:rsid w:val="00A725A7"/>
    <w:rsid w:val="00A76763"/>
    <w:rsid w:val="00A80509"/>
    <w:rsid w:val="00A80CF3"/>
    <w:rsid w:val="00AA0679"/>
    <w:rsid w:val="00AF103A"/>
    <w:rsid w:val="00AF28F4"/>
    <w:rsid w:val="00AF6429"/>
    <w:rsid w:val="00B05EA6"/>
    <w:rsid w:val="00B072D9"/>
    <w:rsid w:val="00B1113F"/>
    <w:rsid w:val="00B13357"/>
    <w:rsid w:val="00B14777"/>
    <w:rsid w:val="00B169AB"/>
    <w:rsid w:val="00B16A36"/>
    <w:rsid w:val="00B20E79"/>
    <w:rsid w:val="00B24D45"/>
    <w:rsid w:val="00B25E4E"/>
    <w:rsid w:val="00B302B2"/>
    <w:rsid w:val="00B30481"/>
    <w:rsid w:val="00B31EF7"/>
    <w:rsid w:val="00B44F97"/>
    <w:rsid w:val="00B46C06"/>
    <w:rsid w:val="00B57EAB"/>
    <w:rsid w:val="00B72255"/>
    <w:rsid w:val="00B74F44"/>
    <w:rsid w:val="00B76F2C"/>
    <w:rsid w:val="00BA023B"/>
    <w:rsid w:val="00BA0929"/>
    <w:rsid w:val="00BA4C3E"/>
    <w:rsid w:val="00BA5F2E"/>
    <w:rsid w:val="00BB6A83"/>
    <w:rsid w:val="00BD02A4"/>
    <w:rsid w:val="00BD4BDE"/>
    <w:rsid w:val="00BD775A"/>
    <w:rsid w:val="00BE4317"/>
    <w:rsid w:val="00BF1E76"/>
    <w:rsid w:val="00BF42EE"/>
    <w:rsid w:val="00C11CA9"/>
    <w:rsid w:val="00C17C3C"/>
    <w:rsid w:val="00C22F8D"/>
    <w:rsid w:val="00C30F70"/>
    <w:rsid w:val="00C318D8"/>
    <w:rsid w:val="00C66BC8"/>
    <w:rsid w:val="00C71A59"/>
    <w:rsid w:val="00C760EE"/>
    <w:rsid w:val="00C90942"/>
    <w:rsid w:val="00CA49C1"/>
    <w:rsid w:val="00CA5320"/>
    <w:rsid w:val="00CB2AF3"/>
    <w:rsid w:val="00CD4784"/>
    <w:rsid w:val="00CD60E0"/>
    <w:rsid w:val="00CF2015"/>
    <w:rsid w:val="00D10304"/>
    <w:rsid w:val="00D122F7"/>
    <w:rsid w:val="00D211CE"/>
    <w:rsid w:val="00D4064F"/>
    <w:rsid w:val="00D74613"/>
    <w:rsid w:val="00D811FD"/>
    <w:rsid w:val="00DA6660"/>
    <w:rsid w:val="00DB5BF9"/>
    <w:rsid w:val="00DC11C4"/>
    <w:rsid w:val="00DC4498"/>
    <w:rsid w:val="00DD1492"/>
    <w:rsid w:val="00DD2156"/>
    <w:rsid w:val="00DE2B31"/>
    <w:rsid w:val="00DE562E"/>
    <w:rsid w:val="00E03ACF"/>
    <w:rsid w:val="00E17158"/>
    <w:rsid w:val="00E34C0F"/>
    <w:rsid w:val="00E45A04"/>
    <w:rsid w:val="00E56DFD"/>
    <w:rsid w:val="00E61E13"/>
    <w:rsid w:val="00E658E5"/>
    <w:rsid w:val="00E96A2E"/>
    <w:rsid w:val="00EB684F"/>
    <w:rsid w:val="00EC22BA"/>
    <w:rsid w:val="00EC60E2"/>
    <w:rsid w:val="00EE37CD"/>
    <w:rsid w:val="00EE7317"/>
    <w:rsid w:val="00EF44F7"/>
    <w:rsid w:val="00EF5FFD"/>
    <w:rsid w:val="00F12F72"/>
    <w:rsid w:val="00F160F0"/>
    <w:rsid w:val="00F42D31"/>
    <w:rsid w:val="00F50AB1"/>
    <w:rsid w:val="00F54031"/>
    <w:rsid w:val="00F5479B"/>
    <w:rsid w:val="00F61417"/>
    <w:rsid w:val="00F75617"/>
    <w:rsid w:val="00F76487"/>
    <w:rsid w:val="00F9670D"/>
    <w:rsid w:val="00FC2E72"/>
    <w:rsid w:val="00FC4BD4"/>
    <w:rsid w:val="00FD4242"/>
    <w:rsid w:val="00FD4B29"/>
    <w:rsid w:val="00FE26E9"/>
    <w:rsid w:val="00FE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4279C0"/>
  <w15:chartTrackingRefBased/>
  <w15:docId w15:val="{CECFBEA1-A003-AF4C-B27E-8805CE61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6CE"/>
    <w:pPr>
      <w:ind w:left="720"/>
      <w:contextualSpacing/>
    </w:pPr>
  </w:style>
  <w:style w:type="paragraph" w:styleId="Header">
    <w:name w:val="header"/>
    <w:basedOn w:val="Normal"/>
    <w:link w:val="HeaderChar"/>
    <w:uiPriority w:val="99"/>
    <w:unhideWhenUsed/>
    <w:rsid w:val="004E06CE"/>
    <w:pPr>
      <w:tabs>
        <w:tab w:val="center" w:pos="4680"/>
        <w:tab w:val="right" w:pos="9360"/>
      </w:tabs>
    </w:pPr>
  </w:style>
  <w:style w:type="character" w:customStyle="1" w:styleId="HeaderChar">
    <w:name w:val="Header Char"/>
    <w:basedOn w:val="DefaultParagraphFont"/>
    <w:link w:val="Header"/>
    <w:uiPriority w:val="99"/>
    <w:rsid w:val="004E06CE"/>
  </w:style>
  <w:style w:type="paragraph" w:styleId="Footer">
    <w:name w:val="footer"/>
    <w:basedOn w:val="Normal"/>
    <w:link w:val="FooterChar"/>
    <w:uiPriority w:val="99"/>
    <w:unhideWhenUsed/>
    <w:rsid w:val="004E06CE"/>
    <w:pPr>
      <w:tabs>
        <w:tab w:val="center" w:pos="4680"/>
        <w:tab w:val="right" w:pos="9360"/>
      </w:tabs>
    </w:pPr>
  </w:style>
  <w:style w:type="character" w:customStyle="1" w:styleId="FooterChar">
    <w:name w:val="Footer Char"/>
    <w:basedOn w:val="DefaultParagraphFont"/>
    <w:link w:val="Footer"/>
    <w:uiPriority w:val="99"/>
    <w:rsid w:val="004E06CE"/>
  </w:style>
  <w:style w:type="paragraph" w:styleId="FootnoteText">
    <w:name w:val="footnote text"/>
    <w:basedOn w:val="Normal"/>
    <w:link w:val="FootnoteTextChar"/>
    <w:uiPriority w:val="99"/>
    <w:semiHidden/>
    <w:unhideWhenUsed/>
    <w:rsid w:val="00BF42EE"/>
    <w:rPr>
      <w:sz w:val="20"/>
      <w:szCs w:val="20"/>
    </w:rPr>
  </w:style>
  <w:style w:type="character" w:customStyle="1" w:styleId="FootnoteTextChar">
    <w:name w:val="Footnote Text Char"/>
    <w:basedOn w:val="DefaultParagraphFont"/>
    <w:link w:val="FootnoteText"/>
    <w:uiPriority w:val="99"/>
    <w:semiHidden/>
    <w:rsid w:val="00BF42EE"/>
    <w:rPr>
      <w:sz w:val="20"/>
      <w:szCs w:val="20"/>
    </w:rPr>
  </w:style>
  <w:style w:type="character" w:styleId="FootnoteReference">
    <w:name w:val="footnote reference"/>
    <w:basedOn w:val="DefaultParagraphFont"/>
    <w:uiPriority w:val="99"/>
    <w:semiHidden/>
    <w:unhideWhenUsed/>
    <w:rsid w:val="00BF42EE"/>
    <w:rPr>
      <w:vertAlign w:val="superscript"/>
    </w:rPr>
  </w:style>
  <w:style w:type="paragraph" w:styleId="Bibliography">
    <w:name w:val="Bibliography"/>
    <w:basedOn w:val="Normal"/>
    <w:next w:val="Normal"/>
    <w:uiPriority w:val="37"/>
    <w:unhideWhenUsed/>
    <w:rsid w:val="00BF42EE"/>
  </w:style>
  <w:style w:type="character" w:customStyle="1" w:styleId="NoSpacingChar">
    <w:name w:val="No Spacing Char"/>
    <w:basedOn w:val="DefaultParagraphFont"/>
    <w:link w:val="NoSpacing"/>
    <w:uiPriority w:val="1"/>
    <w:locked/>
    <w:rsid w:val="00BF42EE"/>
  </w:style>
  <w:style w:type="paragraph" w:styleId="NoSpacing">
    <w:name w:val="No Spacing"/>
    <w:link w:val="NoSpacingChar"/>
    <w:uiPriority w:val="1"/>
    <w:qFormat/>
    <w:rsid w:val="00BF4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40064">
      <w:bodyDiv w:val="1"/>
      <w:marLeft w:val="0"/>
      <w:marRight w:val="0"/>
      <w:marTop w:val="0"/>
      <w:marBottom w:val="0"/>
      <w:divBdr>
        <w:top w:val="none" w:sz="0" w:space="0" w:color="auto"/>
        <w:left w:val="none" w:sz="0" w:space="0" w:color="auto"/>
        <w:bottom w:val="none" w:sz="0" w:space="0" w:color="auto"/>
        <w:right w:val="none" w:sz="0" w:space="0" w:color="auto"/>
      </w:divBdr>
    </w:div>
    <w:div w:id="485442311">
      <w:bodyDiv w:val="1"/>
      <w:marLeft w:val="0"/>
      <w:marRight w:val="0"/>
      <w:marTop w:val="0"/>
      <w:marBottom w:val="0"/>
      <w:divBdr>
        <w:top w:val="none" w:sz="0" w:space="0" w:color="auto"/>
        <w:left w:val="none" w:sz="0" w:space="0" w:color="auto"/>
        <w:bottom w:val="none" w:sz="0" w:space="0" w:color="auto"/>
        <w:right w:val="none" w:sz="0" w:space="0" w:color="auto"/>
      </w:divBdr>
    </w:div>
    <w:div w:id="570584531">
      <w:bodyDiv w:val="1"/>
      <w:marLeft w:val="0"/>
      <w:marRight w:val="0"/>
      <w:marTop w:val="0"/>
      <w:marBottom w:val="0"/>
      <w:divBdr>
        <w:top w:val="none" w:sz="0" w:space="0" w:color="auto"/>
        <w:left w:val="none" w:sz="0" w:space="0" w:color="auto"/>
        <w:bottom w:val="none" w:sz="0" w:space="0" w:color="auto"/>
        <w:right w:val="none" w:sz="0" w:space="0" w:color="auto"/>
      </w:divBdr>
    </w:div>
    <w:div w:id="683896149">
      <w:bodyDiv w:val="1"/>
      <w:marLeft w:val="0"/>
      <w:marRight w:val="0"/>
      <w:marTop w:val="0"/>
      <w:marBottom w:val="0"/>
      <w:divBdr>
        <w:top w:val="none" w:sz="0" w:space="0" w:color="auto"/>
        <w:left w:val="none" w:sz="0" w:space="0" w:color="auto"/>
        <w:bottom w:val="none" w:sz="0" w:space="0" w:color="auto"/>
        <w:right w:val="none" w:sz="0" w:space="0" w:color="auto"/>
      </w:divBdr>
    </w:div>
    <w:div w:id="749892592">
      <w:bodyDiv w:val="1"/>
      <w:marLeft w:val="0"/>
      <w:marRight w:val="0"/>
      <w:marTop w:val="0"/>
      <w:marBottom w:val="0"/>
      <w:divBdr>
        <w:top w:val="none" w:sz="0" w:space="0" w:color="auto"/>
        <w:left w:val="none" w:sz="0" w:space="0" w:color="auto"/>
        <w:bottom w:val="none" w:sz="0" w:space="0" w:color="auto"/>
        <w:right w:val="none" w:sz="0" w:space="0" w:color="auto"/>
      </w:divBdr>
    </w:div>
    <w:div w:id="1455714006">
      <w:bodyDiv w:val="1"/>
      <w:marLeft w:val="0"/>
      <w:marRight w:val="0"/>
      <w:marTop w:val="0"/>
      <w:marBottom w:val="0"/>
      <w:divBdr>
        <w:top w:val="none" w:sz="0" w:space="0" w:color="auto"/>
        <w:left w:val="none" w:sz="0" w:space="0" w:color="auto"/>
        <w:bottom w:val="none" w:sz="0" w:space="0" w:color="auto"/>
        <w:right w:val="none" w:sz="0" w:space="0" w:color="auto"/>
      </w:divBdr>
    </w:div>
    <w:div w:id="1487086950">
      <w:bodyDiv w:val="1"/>
      <w:marLeft w:val="0"/>
      <w:marRight w:val="0"/>
      <w:marTop w:val="0"/>
      <w:marBottom w:val="0"/>
      <w:divBdr>
        <w:top w:val="none" w:sz="0" w:space="0" w:color="auto"/>
        <w:left w:val="none" w:sz="0" w:space="0" w:color="auto"/>
        <w:bottom w:val="none" w:sz="0" w:space="0" w:color="auto"/>
        <w:right w:val="none" w:sz="0" w:space="0" w:color="auto"/>
      </w:divBdr>
    </w:div>
    <w:div w:id="1495680953">
      <w:bodyDiv w:val="1"/>
      <w:marLeft w:val="0"/>
      <w:marRight w:val="0"/>
      <w:marTop w:val="0"/>
      <w:marBottom w:val="0"/>
      <w:divBdr>
        <w:top w:val="none" w:sz="0" w:space="0" w:color="auto"/>
        <w:left w:val="none" w:sz="0" w:space="0" w:color="auto"/>
        <w:bottom w:val="none" w:sz="0" w:space="0" w:color="auto"/>
        <w:right w:val="none" w:sz="0" w:space="0" w:color="auto"/>
      </w:divBdr>
    </w:div>
    <w:div w:id="1501695479">
      <w:bodyDiv w:val="1"/>
      <w:marLeft w:val="0"/>
      <w:marRight w:val="0"/>
      <w:marTop w:val="0"/>
      <w:marBottom w:val="0"/>
      <w:divBdr>
        <w:top w:val="none" w:sz="0" w:space="0" w:color="auto"/>
        <w:left w:val="none" w:sz="0" w:space="0" w:color="auto"/>
        <w:bottom w:val="none" w:sz="0" w:space="0" w:color="auto"/>
        <w:right w:val="none" w:sz="0" w:space="0" w:color="auto"/>
      </w:divBdr>
    </w:div>
    <w:div w:id="1560558390">
      <w:bodyDiv w:val="1"/>
      <w:marLeft w:val="0"/>
      <w:marRight w:val="0"/>
      <w:marTop w:val="0"/>
      <w:marBottom w:val="0"/>
      <w:divBdr>
        <w:top w:val="none" w:sz="0" w:space="0" w:color="auto"/>
        <w:left w:val="none" w:sz="0" w:space="0" w:color="auto"/>
        <w:bottom w:val="none" w:sz="0" w:space="0" w:color="auto"/>
        <w:right w:val="none" w:sz="0" w:space="0" w:color="auto"/>
      </w:divBdr>
    </w:div>
    <w:div w:id="1587691201">
      <w:bodyDiv w:val="1"/>
      <w:marLeft w:val="0"/>
      <w:marRight w:val="0"/>
      <w:marTop w:val="0"/>
      <w:marBottom w:val="0"/>
      <w:divBdr>
        <w:top w:val="none" w:sz="0" w:space="0" w:color="auto"/>
        <w:left w:val="none" w:sz="0" w:space="0" w:color="auto"/>
        <w:bottom w:val="none" w:sz="0" w:space="0" w:color="auto"/>
        <w:right w:val="none" w:sz="0" w:space="0" w:color="auto"/>
      </w:divBdr>
    </w:div>
    <w:div w:id="1633553718">
      <w:bodyDiv w:val="1"/>
      <w:marLeft w:val="0"/>
      <w:marRight w:val="0"/>
      <w:marTop w:val="0"/>
      <w:marBottom w:val="0"/>
      <w:divBdr>
        <w:top w:val="none" w:sz="0" w:space="0" w:color="auto"/>
        <w:left w:val="none" w:sz="0" w:space="0" w:color="auto"/>
        <w:bottom w:val="none" w:sz="0" w:space="0" w:color="auto"/>
        <w:right w:val="none" w:sz="0" w:space="0" w:color="auto"/>
      </w:divBdr>
    </w:div>
    <w:div w:id="1652834003">
      <w:bodyDiv w:val="1"/>
      <w:marLeft w:val="0"/>
      <w:marRight w:val="0"/>
      <w:marTop w:val="0"/>
      <w:marBottom w:val="0"/>
      <w:divBdr>
        <w:top w:val="none" w:sz="0" w:space="0" w:color="auto"/>
        <w:left w:val="none" w:sz="0" w:space="0" w:color="auto"/>
        <w:bottom w:val="none" w:sz="0" w:space="0" w:color="auto"/>
        <w:right w:val="none" w:sz="0" w:space="0" w:color="auto"/>
      </w:divBdr>
    </w:div>
    <w:div w:id="1693799794">
      <w:bodyDiv w:val="1"/>
      <w:marLeft w:val="0"/>
      <w:marRight w:val="0"/>
      <w:marTop w:val="0"/>
      <w:marBottom w:val="0"/>
      <w:divBdr>
        <w:top w:val="none" w:sz="0" w:space="0" w:color="auto"/>
        <w:left w:val="none" w:sz="0" w:space="0" w:color="auto"/>
        <w:bottom w:val="none" w:sz="0" w:space="0" w:color="auto"/>
        <w:right w:val="none" w:sz="0" w:space="0" w:color="auto"/>
      </w:divBdr>
    </w:div>
    <w:div w:id="1961912703">
      <w:bodyDiv w:val="1"/>
      <w:marLeft w:val="0"/>
      <w:marRight w:val="0"/>
      <w:marTop w:val="0"/>
      <w:marBottom w:val="0"/>
      <w:divBdr>
        <w:top w:val="none" w:sz="0" w:space="0" w:color="auto"/>
        <w:left w:val="none" w:sz="0" w:space="0" w:color="auto"/>
        <w:bottom w:val="none" w:sz="0" w:space="0" w:color="auto"/>
        <w:right w:val="none" w:sz="0" w:space="0" w:color="auto"/>
      </w:divBdr>
    </w:div>
    <w:div w:id="205484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ABE1C-FD20-8447-9C64-DD0EC8D0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9484</Words>
  <Characters>53780</Characters>
  <Application>Microsoft Office Word</Application>
  <DocSecurity>0</DocSecurity>
  <Lines>1120</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dc:creator>
  <cp:keywords/>
  <dc:description/>
  <cp:lastModifiedBy>Wallander, Steve - REE-ERS, Washington, DC</cp:lastModifiedBy>
  <cp:revision>12</cp:revision>
  <dcterms:created xsi:type="dcterms:W3CDTF">2020-10-28T16:06:00Z</dcterms:created>
  <dcterms:modified xsi:type="dcterms:W3CDTF">2021-12-08T12:51:00Z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http://www.zotero.org/styles/american-journal-of-agricultural-economics</vt:lpwstr>
  </property>
  <property fmtid="{D5CDD505-2E9C-101B-9397-08002B2CF9AE}" pid="3" name="Mendeley Recent Style Name 0_1">
    <vt:lpwstr>American Journal of Agricultural Economics</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http://www.zotero.org/styles/journal-of-economic-behavior-and-organization</vt:lpwstr>
  </property>
  <property fmtid="{D5CDD505-2E9C-101B-9397-08002B2CF9AE}" pid="15" name="Mendeley Recent Style Name 6_1">
    <vt:lpwstr>Journal of Economic Behavior and Organization</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bea0d43c-6c3b-3696-882b-8f5ffacfb929</vt:lpwstr>
  </property>
  <property fmtid="{D5CDD505-2E9C-101B-9397-08002B2CF9AE}" pid="24" name="Mendeley Citation Style_1">
    <vt:lpwstr>http://www.zotero.org/styles/american-journal-of-agricultural-economics</vt:lpwstr>
  </property>
</Properties>
</file>