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1810" w:rsidRPr="00772131" w:rsidP="00AA1810" w14:paraId="550F8840" w14:textId="4FAE8D46">
      <w:pPr>
        <w:jc w:val="right"/>
        <w:rPr>
          <w:bCs/>
        </w:rPr>
      </w:pPr>
      <w:r>
        <w:rPr>
          <w:bCs/>
        </w:rPr>
        <w:t>November</w:t>
      </w:r>
      <w:r w:rsidR="00772131">
        <w:rPr>
          <w:bCs/>
        </w:rPr>
        <w:t xml:space="preserve"> 2022</w:t>
      </w:r>
    </w:p>
    <w:p w:rsidR="00AA1810" w:rsidRPr="00540857" w:rsidP="00540857" w14:paraId="03D88804" w14:textId="77777777">
      <w:pPr>
        <w:pStyle w:val="Heading1"/>
        <w:jc w:val="center"/>
        <w:rPr>
          <w:rFonts w:ascii="Times New Roman" w:hAnsi="Times New Roman" w:cs="Times New Roman"/>
          <w:b/>
          <w:bCs/>
          <w:color w:val="auto"/>
          <w:sz w:val="24"/>
          <w:szCs w:val="24"/>
        </w:rPr>
      </w:pPr>
      <w:r w:rsidRPr="00540857">
        <w:rPr>
          <w:rFonts w:ascii="Times New Roman" w:hAnsi="Times New Roman" w:cs="Times New Roman"/>
          <w:b/>
          <w:bCs/>
          <w:color w:val="auto"/>
          <w:sz w:val="24"/>
          <w:szCs w:val="24"/>
        </w:rPr>
        <w:t>SUPPORTING STATEMENT</w:t>
      </w:r>
    </w:p>
    <w:p w:rsidR="00AA1810" w:rsidRPr="00540857" w:rsidP="00AA1810" w14:paraId="24E6BF7F" w14:textId="47686D77">
      <w:pPr>
        <w:jc w:val="center"/>
        <w:rPr>
          <w:b/>
          <w:bCs/>
          <w:caps/>
        </w:rPr>
      </w:pPr>
      <w:r w:rsidRPr="00EF2B5E">
        <w:rPr>
          <w:b/>
          <w:bCs/>
        </w:rPr>
        <w:t>H</w:t>
      </w:r>
      <w:r w:rsidR="00EF2B5E">
        <w:rPr>
          <w:b/>
          <w:bCs/>
        </w:rPr>
        <w:t>o</w:t>
      </w:r>
      <w:r w:rsidRPr="00EF2B5E">
        <w:rPr>
          <w:b/>
          <w:bCs/>
        </w:rPr>
        <w:t>rse</w:t>
      </w:r>
      <w:r w:rsidRPr="00540857">
        <w:rPr>
          <w:b/>
          <w:bCs/>
          <w:caps/>
        </w:rPr>
        <w:t xml:space="preserve"> </w:t>
      </w:r>
      <w:r w:rsidRPr="00EF2B5E">
        <w:rPr>
          <w:b/>
          <w:bCs/>
        </w:rPr>
        <w:t>Protection Regulations</w:t>
      </w:r>
    </w:p>
    <w:p w:rsidR="00AA1810" w:rsidRPr="00540857" w:rsidP="00AA1810" w14:paraId="434D2DE6" w14:textId="77777777">
      <w:pPr>
        <w:jc w:val="center"/>
        <w:rPr>
          <w:b/>
          <w:bCs/>
        </w:rPr>
      </w:pPr>
      <w:r w:rsidRPr="00540857">
        <w:rPr>
          <w:b/>
          <w:bCs/>
        </w:rPr>
        <w:t>OMB NO. 0579-0056</w:t>
      </w:r>
    </w:p>
    <w:p w:rsidR="00AA1810" w:rsidRPr="00C73F81" w:rsidP="00AA1810" w14:paraId="02E6A454" w14:textId="77777777">
      <w:pPr>
        <w:rPr>
          <w:b/>
          <w:u w:val="single"/>
        </w:rPr>
      </w:pPr>
    </w:p>
    <w:p w:rsidR="00AA1810" w:rsidRPr="002F7857" w:rsidP="00AA1810" w14:paraId="653AE0D6" w14:textId="77777777">
      <w:pPr>
        <w:rPr>
          <w:b/>
        </w:rPr>
      </w:pPr>
      <w:r w:rsidRPr="002F7857">
        <w:rPr>
          <w:b/>
        </w:rPr>
        <w:t>A.  Justification</w:t>
      </w:r>
    </w:p>
    <w:p w:rsidR="00AA1810" w:rsidRPr="002F7857" w:rsidP="00AA1810" w14:paraId="1ED06609" w14:textId="77777777">
      <w:pPr>
        <w:rPr>
          <w:b/>
        </w:rPr>
      </w:pPr>
    </w:p>
    <w:p w:rsidR="00AA1810" w:rsidRPr="00C73F81" w:rsidP="00AA1810" w14:paraId="3BE72E27" w14:textId="77777777">
      <w:pPr>
        <w:rPr>
          <w:b/>
        </w:rPr>
      </w:pPr>
      <w:r w:rsidRPr="00C346D1">
        <w:rPr>
          <w:b/>
        </w:rPr>
        <w:t>1.  Explain the circumstances that make the collection of information necessary.  Identify any legal or administrative requirements that n</w:t>
      </w:r>
      <w:r w:rsidRPr="00C73F81">
        <w:rPr>
          <w:b/>
        </w:rPr>
        <w:t>ecessitate the collection.  Attach a copy of the appropriate section of each statute and regulation mandating or authorizing the collection of information.</w:t>
      </w:r>
    </w:p>
    <w:p w:rsidR="00AA1810" w:rsidRPr="00C73F81" w:rsidP="00AA1810" w14:paraId="2EE26191" w14:textId="77777777"/>
    <w:p w:rsidR="00AA1810" w:rsidP="00AA1810" w14:paraId="3DC5B185" w14:textId="1B86F2AE">
      <w:r w:rsidRPr="00C73F81">
        <w:t>The Horse Protection Act (HPA) of 1970 (P.L. 91-540), as amended July 13, 1976 (P.L. 94-360), was enacted to prevent showing, exhibiting, selling, or auctioning of “sore” horses, and certain transportation of sore horses in connection therewith, at horse shows, horse exhibitions, horse sales, and horse auctions.  “Soring” is a process whereby chemical or mechanical agents, or a combination thereof, are applied to the limbs(s) of a horse in order to exaggerate its gait(s).  A “sore” horse is one that has been subjected to prohibited practices and, as a result, suffers, or can reasonably be expected to suffer, physical pain or distress, inflammation, or lameness when walking, trotting or otherwise moving.  A horse that is “sore” is prohibited from entering or participating in HPA-regulated events because exhibitors, owners, and trainers of such horse may obtain unfair advantage over individuals exhibiting horses that are not “sore.”</w:t>
      </w:r>
    </w:p>
    <w:p w:rsidR="002B76DE" w:rsidP="00AA1810" w14:paraId="64381DD8" w14:textId="77777777"/>
    <w:p w:rsidR="00AA1810" w:rsidRPr="00C73F81" w:rsidP="00AA1810" w14:paraId="57DDE233" w14:textId="77777777">
      <w:r w:rsidRPr="00C73F81">
        <w:t xml:space="preserve">Section 1828 of the HPA authorizes the promulgation of regulations to implement the provisions of the Act.  Those regulations are found in Title 9, Chapter I, Part 11, of the Code of Federal Regulations.  Part 11 delineates the responsibilities of horse industry organizations (HIOs), designated qualified persons (DQPs), management of regulated horse events, and persons who have control over regulated horses [Sections 1823 and 1824 of the HPA].  An HIO wishing to certify a program to license DQPs to inspect horses for compliance under the HPA must satisfy and abide by the requirements of the HPA and regulations.  After requesting and receiving USDA certification from </w:t>
      </w:r>
      <w:r w:rsidR="006C36E0">
        <w:t>Animal and Plant Health Inspection Service (</w:t>
      </w:r>
      <w:r w:rsidRPr="00C73F81">
        <w:t>APHIS</w:t>
      </w:r>
      <w:r w:rsidR="006C36E0">
        <w:t>)</w:t>
      </w:r>
      <w:r w:rsidRPr="00C73F81">
        <w:t>, HIOs must maintain an acceptable DQP program and recordkeeping systems.  Managers and operators of HPA-regulated events may appoint and retain the services of DQPs to inspect and detect a horse that is sore or otherwise noncompliant with the HPA, and both managers and DQPs are required to provide and/or maintain certain information.  Persons who own, train, show, exhibit, sell, transport, or otherwise have custody of, or direction or control over any horse shown, exhibited, sold, or auctioned or entered for the purpose of being shown, exhibited, sold, or auctioned at any horse show, horse exhibition, or horse sale or auction must also satisfy and abide by the requirements of the HPA and regulations.</w:t>
      </w:r>
    </w:p>
    <w:p w:rsidR="00AA1810" w:rsidRPr="00C73F81" w:rsidP="00AA1810" w14:paraId="763BAC98" w14:textId="77777777"/>
    <w:p w:rsidR="00AA1810" w:rsidRPr="00C73F81" w:rsidP="00AA1810" w14:paraId="6A593CE6" w14:textId="77777777">
      <w:r w:rsidRPr="00C73F81">
        <w:t xml:space="preserve">APHIS works with HIOs on an ongoing basis to oversee their performance under the HPA.  Throughout the year, APHIS uses training sessions, conference calls, and open letters to HIOs, event managers, exhibitors, owners, trainers, custodians, and farriers involved in HPA-covered activities to provide communication and feedback to address issues and strengthen enforcement under the Act.  Data collected throughout the year from within APHIS and from the HIOs and event management provide an account of the HIOs’ performance and progress toward </w:t>
      </w:r>
      <w:r w:rsidRPr="00C73F81">
        <w:t>eliminating the soring of horses and promoting fair competition.  HIOs, through their certified licensing programs for DQPs, provide the primary means of detecting sored horses.</w:t>
      </w:r>
    </w:p>
    <w:p w:rsidR="00AA1810" w:rsidRPr="00C73F81" w:rsidP="00AA1810" w14:paraId="7C824327" w14:textId="77777777"/>
    <w:p w:rsidR="00AA1810" w:rsidRPr="00C73F81" w:rsidP="00AA1810" w14:paraId="2C573C2F" w14:textId="77777777">
      <w:r w:rsidRPr="00C73F81">
        <w:t>Title 9, Chapter I, Part 12, of the Code of Federal Regulations provides the Rules of Practice applicable to adjudicatory, administrative proceedings under Sections 1825(a), (b) and (c) of the HPA.  Subpart A incorporates the Uniform Rules of Practice for the Department of Agriculture promulgated in subpart H of part 1, subtitle A, title 7, Code of Federal Regulations.  Subpart B sets forth Supplemental Rules of Practice allowing stipulations in settlement of particular matters if specified procedures are followed.</w:t>
      </w:r>
    </w:p>
    <w:p w:rsidR="00AA1810" w:rsidRPr="00C73F81" w:rsidP="00AA1810" w14:paraId="29ACAB38" w14:textId="77777777"/>
    <w:p w:rsidR="00AA1810" w:rsidRPr="00C73F81" w:rsidP="00AA1810" w14:paraId="60315C82" w14:textId="77777777">
      <w:pPr>
        <w:rPr>
          <w:b/>
        </w:rPr>
      </w:pPr>
      <w:r w:rsidRPr="00C73F81">
        <w:t>APHIS is asking OMB to approve, for an additional 3 years, the use of these information collection activities to enforce the HPA.</w:t>
      </w:r>
    </w:p>
    <w:p w:rsidR="00AA1810" w:rsidP="00AA1810" w14:paraId="60B6C6E9" w14:textId="77777777">
      <w:pPr>
        <w:rPr>
          <w:b/>
        </w:rPr>
      </w:pPr>
    </w:p>
    <w:p w:rsidR="00AA1810" w:rsidRPr="00C346D1" w:rsidP="00AA1810" w14:paraId="5EF9B0C2" w14:textId="77777777">
      <w:pPr>
        <w:rPr>
          <w:b/>
        </w:rPr>
      </w:pPr>
    </w:p>
    <w:p w:rsidR="00AA1810" w:rsidRPr="002F7857" w:rsidP="00AA1810" w14:paraId="2BFEF3B2" w14:textId="77777777">
      <w:pPr>
        <w:rPr>
          <w:b/>
        </w:rPr>
      </w:pPr>
      <w:r w:rsidRPr="00C346D1">
        <w:rPr>
          <w:b/>
        </w:rPr>
        <w:t xml:space="preserve">2.  </w:t>
      </w:r>
      <w:r w:rsidRPr="00C73F81">
        <w:rPr>
          <w:b/>
        </w:rPr>
        <w:t>Indicate how, by whom, how frequently, and for what purpose the information is to be used.  Except for a new collection, indicate the actual use the agency has made of the information received from the current collection.</w:t>
      </w:r>
    </w:p>
    <w:p w:rsidR="00AA1810" w:rsidRPr="00C346D1" w:rsidP="00AA1810" w14:paraId="6ED7B8BF" w14:textId="77777777">
      <w:pPr>
        <w:rPr>
          <w:b/>
        </w:rPr>
      </w:pPr>
    </w:p>
    <w:p w:rsidR="00AA1810" w:rsidRPr="00C73F81" w:rsidP="00AA1810" w14:paraId="64D7635B" w14:textId="77777777">
      <w:r w:rsidRPr="00C73F81">
        <w:t>APHIS uses the following information collection activities to enforce the Horse Protection Act.</w:t>
      </w:r>
    </w:p>
    <w:p w:rsidR="00AA1810" w:rsidRPr="00C73F81" w:rsidP="00AA1810" w14:paraId="360B9085" w14:textId="77777777">
      <w:pPr>
        <w:rPr>
          <w:b/>
        </w:rPr>
      </w:pPr>
    </w:p>
    <w:p w:rsidR="00AA1810" w:rsidRPr="00E02180" w:rsidP="00AA1810" w14:paraId="74B41ED2" w14:textId="45843100">
      <w:pPr>
        <w:rPr>
          <w:b/>
          <w:u w:val="single"/>
        </w:rPr>
      </w:pPr>
      <w:r w:rsidRPr="00E02180">
        <w:rPr>
          <w:b/>
          <w:u w:val="single"/>
        </w:rPr>
        <w:t>Access to and Inspection of Event Management Records</w:t>
      </w:r>
      <w:r w:rsidRPr="00E02180" w:rsidR="00E02180">
        <w:rPr>
          <w:b/>
          <w:u w:val="single"/>
        </w:rPr>
        <w:t>; (9 CFR 11.5(a)(1) and 11.23(a)); (Business</w:t>
      </w:r>
      <w:r w:rsidR="00D7249F">
        <w:rPr>
          <w:b/>
          <w:u w:val="single"/>
        </w:rPr>
        <w:t>;</w:t>
      </w:r>
      <w:r w:rsidRPr="00E02180" w:rsidR="00E02180">
        <w:rPr>
          <w:b/>
          <w:u w:val="single"/>
        </w:rPr>
        <w:t xml:space="preserve"> Not-for-Profit)</w:t>
      </w:r>
    </w:p>
    <w:p w:rsidR="00AA1810" w:rsidRPr="00C73F81" w:rsidP="00AA1810" w14:paraId="3D0F5CB2" w14:textId="77777777">
      <w:r w:rsidRPr="00C73F81">
        <w:t>The management of any regulated event must provide APHIS representatives with unlimited access to any records required to be kept by regulation or otherwise maintained and must permit any APHIS representative to examine and make copies of any and all records pertaining to any horse, either required in any part of the regulations, or otherwise maintained, during ordinary business hours or such other times as may be mutually agreed upon.  Such access is needed to ensure required records are being kept and to access and use information relevant to enforcement of the regulations.</w:t>
      </w:r>
    </w:p>
    <w:p w:rsidR="00AA1810" w:rsidRPr="00C73F81" w:rsidP="00AA1810" w14:paraId="1163DCA1" w14:textId="77777777">
      <w:pPr>
        <w:rPr>
          <w:b/>
        </w:rPr>
      </w:pPr>
    </w:p>
    <w:p w:rsidR="00AA1810" w:rsidRPr="00E02180" w:rsidP="00AA1810" w14:paraId="3F13B64C" w14:textId="0B253040">
      <w:pPr>
        <w:rPr>
          <w:b/>
          <w:u w:val="single"/>
        </w:rPr>
      </w:pPr>
      <w:r w:rsidRPr="00E02180">
        <w:rPr>
          <w:b/>
          <w:u w:val="single"/>
        </w:rPr>
        <w:t xml:space="preserve">Request for Certification of DQP Program and Detailed Outline of Such a Program, Including Standards of Conduct and Procedures for Enforcing Such Standards; </w:t>
      </w:r>
      <w:r w:rsidR="00F41410">
        <w:rPr>
          <w:b/>
          <w:u w:val="single"/>
        </w:rPr>
        <w:br/>
      </w:r>
      <w:r w:rsidRPr="00E02180">
        <w:rPr>
          <w:b/>
          <w:u w:val="single"/>
        </w:rPr>
        <w:t>(</w:t>
      </w:r>
      <w:r w:rsidRPr="00E02180">
        <w:rPr>
          <w:b/>
          <w:u w:val="single"/>
        </w:rPr>
        <w:t>9 CFR 11.7(b) and 11.7(d)(7)</w:t>
      </w:r>
      <w:r w:rsidRPr="00E02180">
        <w:rPr>
          <w:b/>
          <w:u w:val="single"/>
        </w:rPr>
        <w:t>); (Business)</w:t>
      </w:r>
    </w:p>
    <w:p w:rsidR="00AA1810" w:rsidRPr="00C73F81" w:rsidP="00AA1810" w14:paraId="72456915" w14:textId="77777777">
      <w:r w:rsidRPr="00C73F81">
        <w:t>DQPs can only be licensed through USDA certified programs known as HIOs that have received approval to select, train, and monitor these individuals in the performance of their duties.  Any HIO or association desiring Department certification to train and license DQP’s under the Act shall submit to the Administrator a formal request in writing for certification of its DQP program and a detailed outline of such program for Department approval.  These detailed requests are needed to ensure that HIOs’ programs will meet the requirements of the regulations.  The request must include the following elements:</w:t>
      </w:r>
    </w:p>
    <w:p w:rsidR="00AA1810" w:rsidRPr="00C73F81" w:rsidP="00AA1810" w14:paraId="6BDD44E9" w14:textId="77777777"/>
    <w:p w:rsidR="00AA1810" w:rsidRPr="00C73F81" w:rsidP="00AA1810" w14:paraId="22A98945" w14:textId="77777777">
      <w:pPr>
        <w:tabs>
          <w:tab w:val="left" w:pos="360"/>
          <w:tab w:val="left" w:pos="900"/>
        </w:tabs>
      </w:pPr>
      <w:r w:rsidRPr="00C73F81">
        <w:tab/>
        <w:t>(1)  The criteria to be used in selecting DQP candidates and the minimum qualifications and knowledge regarding horses each candidate must have in order to be admitted to the program.</w:t>
      </w:r>
    </w:p>
    <w:p w:rsidR="00AA1810" w:rsidRPr="00C73F81" w:rsidP="00AA1810" w14:paraId="5D03E1D3" w14:textId="77777777">
      <w:pPr>
        <w:tabs>
          <w:tab w:val="left" w:pos="360"/>
          <w:tab w:val="left" w:pos="900"/>
        </w:tabs>
      </w:pPr>
    </w:p>
    <w:p w:rsidR="00AA1810" w:rsidRPr="00C73F81" w:rsidP="00AA1810" w14:paraId="78FB399C" w14:textId="77777777">
      <w:pPr>
        <w:tabs>
          <w:tab w:val="left" w:pos="360"/>
          <w:tab w:val="left" w:pos="900"/>
        </w:tabs>
      </w:pPr>
      <w:r w:rsidRPr="00C73F81">
        <w:tab/>
        <w:t xml:space="preserve">(2)  A copy of the formal training program, classroom and practical, required to be completed by each DQP candidate before being licensed by such horse industry organization or association, </w:t>
      </w:r>
      <w:r w:rsidRPr="00C73F81">
        <w:t>including the minimum number of hours, classroom and practical, and the subject matter of the training program. Such training program must include the following:</w:t>
      </w:r>
    </w:p>
    <w:p w:rsidR="00AA1810" w:rsidRPr="00C73F81" w:rsidP="00AA1810" w14:paraId="58DE0D55" w14:textId="77777777">
      <w:pPr>
        <w:tabs>
          <w:tab w:val="left" w:pos="360"/>
          <w:tab w:val="left" w:pos="900"/>
        </w:tabs>
      </w:pPr>
    </w:p>
    <w:p w:rsidR="00AA1810" w:rsidRPr="00C73F81" w:rsidP="00AA1810" w14:paraId="59B252DD" w14:textId="50BFDE97">
      <w:pPr>
        <w:tabs>
          <w:tab w:val="left" w:pos="360"/>
          <w:tab w:val="left" w:pos="900"/>
        </w:tabs>
      </w:pPr>
      <w:r w:rsidRPr="00C73F81">
        <w:tab/>
      </w:r>
      <w:r w:rsidRPr="00C73F81">
        <w:tab/>
        <w:t xml:space="preserve">(i)  Two hours of classroom instruction on the anatomy and physiology of the limbs of a horse. </w:t>
      </w:r>
      <w:r w:rsidR="00313790">
        <w:t xml:space="preserve"> </w:t>
      </w:r>
      <w:r w:rsidRPr="00C73F81">
        <w:t>The instructor teaching the course must be specified, and a resume of said instructor's background, experience, and qualifications to teach such course shall be provided to the Administrator.</w:t>
      </w:r>
    </w:p>
    <w:p w:rsidR="00AA1810" w:rsidRPr="00C73F81" w:rsidP="00AA1810" w14:paraId="2921D216" w14:textId="77777777">
      <w:pPr>
        <w:tabs>
          <w:tab w:val="left" w:pos="360"/>
          <w:tab w:val="left" w:pos="900"/>
        </w:tabs>
      </w:pPr>
    </w:p>
    <w:p w:rsidR="00AA1810" w:rsidRPr="00C73F81" w:rsidP="00AA1810" w14:paraId="11855BC1" w14:textId="6BCB1B72">
      <w:pPr>
        <w:tabs>
          <w:tab w:val="left" w:pos="360"/>
          <w:tab w:val="left" w:pos="900"/>
        </w:tabs>
      </w:pPr>
      <w:r w:rsidRPr="00C73F81">
        <w:tab/>
      </w:r>
      <w:r w:rsidRPr="00C73F81">
        <w:tab/>
        <w:t xml:space="preserve">(ii)  Two hours of classroom instruction on the HPA and regulations and their interpretation. </w:t>
      </w:r>
      <w:r w:rsidR="00313790">
        <w:t xml:space="preserve"> </w:t>
      </w:r>
      <w:r w:rsidRPr="00C73F81">
        <w:t xml:space="preserve">Instructors for this course must be furnished or recommended by the Department. </w:t>
      </w:r>
    </w:p>
    <w:p w:rsidR="00AA1810" w:rsidRPr="00C73F81" w:rsidP="00AA1810" w14:paraId="441DB2B6" w14:textId="77777777">
      <w:pPr>
        <w:tabs>
          <w:tab w:val="left" w:pos="360"/>
          <w:tab w:val="left" w:pos="900"/>
        </w:tabs>
      </w:pPr>
    </w:p>
    <w:p w:rsidR="00AA1810" w:rsidRPr="00C73F81" w:rsidP="00AA1810" w14:paraId="425DC16A" w14:textId="69E8E763">
      <w:pPr>
        <w:tabs>
          <w:tab w:val="left" w:pos="360"/>
          <w:tab w:val="left" w:pos="900"/>
        </w:tabs>
      </w:pPr>
      <w:r w:rsidRPr="00C73F81">
        <w:tab/>
      </w:r>
      <w:r w:rsidRPr="00C73F81">
        <w:tab/>
        <w:t>(iii)  Four hours of classroom instruction on the history of soring, the physical examination procedures necessary to detect soring, the detection and diagnosis of soring, and related subjects.</w:t>
      </w:r>
      <w:r w:rsidR="00313790">
        <w:t xml:space="preserve"> </w:t>
      </w:r>
      <w:r w:rsidRPr="00C73F81">
        <w:t xml:space="preserve"> The instructor teaching the course must be specified and a summary of said instructor's background, experience, and qualifications to teach such course must be provided to the Administrator.</w:t>
      </w:r>
    </w:p>
    <w:p w:rsidR="00AA1810" w:rsidRPr="00C73F81" w:rsidP="00AA1810" w14:paraId="21D1DC6C" w14:textId="77777777">
      <w:pPr>
        <w:tabs>
          <w:tab w:val="left" w:pos="360"/>
          <w:tab w:val="left" w:pos="900"/>
        </w:tabs>
      </w:pPr>
    </w:p>
    <w:p w:rsidR="00AA1810" w:rsidRPr="00C73F81" w:rsidP="00AA1810" w14:paraId="0B01D7B4" w14:textId="068800E3">
      <w:pPr>
        <w:tabs>
          <w:tab w:val="left" w:pos="360"/>
          <w:tab w:val="left" w:pos="900"/>
        </w:tabs>
      </w:pPr>
      <w:r w:rsidRPr="00C73F81">
        <w:tab/>
      </w:r>
      <w:r w:rsidRPr="00C73F81">
        <w:tab/>
        <w:t xml:space="preserve">(iv)  Four hours of practical instruction in clinics and seminars utilizing live horses with actual application of the knowledge gained in the above subjects. </w:t>
      </w:r>
      <w:r w:rsidR="00313790">
        <w:t xml:space="preserve"> </w:t>
      </w:r>
      <w:r w:rsidRPr="00C73F81">
        <w:t xml:space="preserve">Methods and procedures required to perform a thorough and uniform examination of a horse shall be included. </w:t>
      </w:r>
      <w:r w:rsidR="00313790">
        <w:t xml:space="preserve"> </w:t>
      </w:r>
      <w:r w:rsidRPr="00C73F81">
        <w:t xml:space="preserve">The names of the instructors and a resume of their background, academic and practical experience, and qualifications to present such instruction shall be provided to the Administrator. </w:t>
      </w:r>
    </w:p>
    <w:p w:rsidR="00AA1810" w:rsidRPr="00C73F81" w:rsidP="00AA1810" w14:paraId="60BCDE45" w14:textId="77777777">
      <w:pPr>
        <w:tabs>
          <w:tab w:val="left" w:pos="360"/>
          <w:tab w:val="left" w:pos="900"/>
        </w:tabs>
      </w:pPr>
    </w:p>
    <w:p w:rsidR="00AA1810" w:rsidRPr="00C73F81" w:rsidP="00AA1810" w14:paraId="48A7DAA7" w14:textId="77777777">
      <w:pPr>
        <w:tabs>
          <w:tab w:val="left" w:pos="360"/>
          <w:tab w:val="left" w:pos="900"/>
        </w:tabs>
      </w:pPr>
      <w:r w:rsidRPr="00C73F81">
        <w:tab/>
      </w:r>
      <w:r w:rsidRPr="00C73F81">
        <w:tab/>
        <w:t>(v)  One hour of classroom instruction regarding the DQP standards of conduct promulgated by the licensing organization or association.</w:t>
      </w:r>
    </w:p>
    <w:p w:rsidR="00AA1810" w:rsidRPr="00C73F81" w:rsidP="00AA1810" w14:paraId="6A7C0D7C" w14:textId="77777777">
      <w:pPr>
        <w:tabs>
          <w:tab w:val="left" w:pos="360"/>
          <w:tab w:val="left" w:pos="900"/>
        </w:tabs>
      </w:pPr>
    </w:p>
    <w:p w:rsidR="00AA1810" w:rsidRPr="00C73F81" w:rsidP="00AA1810" w14:paraId="341E3F90" w14:textId="77777777">
      <w:pPr>
        <w:tabs>
          <w:tab w:val="left" w:pos="360"/>
          <w:tab w:val="left" w:pos="900"/>
        </w:tabs>
      </w:pPr>
      <w:r w:rsidRPr="00C73F81">
        <w:tab/>
      </w:r>
      <w:r w:rsidRPr="00C73F81">
        <w:tab/>
        <w:t>(vi)  One hour of classroom instruction on recordkeeping and reporting requirements and procedures.</w:t>
      </w:r>
    </w:p>
    <w:p w:rsidR="00AA1810" w:rsidRPr="00C73F81" w:rsidP="00AA1810" w14:paraId="07795846" w14:textId="77777777">
      <w:pPr>
        <w:tabs>
          <w:tab w:val="left" w:pos="360"/>
          <w:tab w:val="left" w:pos="900"/>
        </w:tabs>
      </w:pPr>
    </w:p>
    <w:p w:rsidR="00AA1810" w:rsidRPr="00C73F81" w:rsidP="00AA1810" w14:paraId="553C2A8E" w14:textId="7371A657">
      <w:pPr>
        <w:tabs>
          <w:tab w:val="left" w:pos="360"/>
          <w:tab w:val="left" w:pos="900"/>
        </w:tabs>
      </w:pPr>
      <w:r w:rsidRPr="00C73F81">
        <w:tab/>
        <w:t xml:space="preserve">(3)  A sample of a written examination which must be passed by DQP candidates for successful completion of the program along with sample answers and the scoring </w:t>
      </w:r>
      <w:r w:rsidRPr="00C73F81" w:rsidR="00313790">
        <w:t>thereof and</w:t>
      </w:r>
      <w:r w:rsidRPr="00C73F81">
        <w:t xml:space="preserve"> proposed passing and failing standards.</w:t>
      </w:r>
    </w:p>
    <w:p w:rsidR="00AA1810" w:rsidRPr="00C73F81" w:rsidP="00AA1810" w14:paraId="00395B1D" w14:textId="77777777">
      <w:pPr>
        <w:tabs>
          <w:tab w:val="left" w:pos="360"/>
          <w:tab w:val="left" w:pos="900"/>
        </w:tabs>
      </w:pPr>
    </w:p>
    <w:p w:rsidR="00AA1810" w:rsidRPr="00C73F81" w:rsidP="00AA1810" w14:paraId="33690CA0" w14:textId="77777777">
      <w:pPr>
        <w:tabs>
          <w:tab w:val="left" w:pos="360"/>
          <w:tab w:val="left" w:pos="900"/>
        </w:tabs>
      </w:pPr>
      <w:r w:rsidRPr="00C73F81">
        <w:tab/>
        <w:t>(4)  The criteria to be used to determine the qualifications and performance abilities of DQP candidates selected for the training program and the criteria used to indicate successful completion of the training program, in addition to the written examination.</w:t>
      </w:r>
    </w:p>
    <w:p w:rsidR="00AA1810" w:rsidRPr="00C73F81" w:rsidP="00AA1810" w14:paraId="60162C98" w14:textId="77777777">
      <w:pPr>
        <w:tabs>
          <w:tab w:val="left" w:pos="360"/>
          <w:tab w:val="left" w:pos="900"/>
        </w:tabs>
      </w:pPr>
    </w:p>
    <w:p w:rsidR="00AA1810" w:rsidRPr="00C73F81" w:rsidP="00AA1810" w14:paraId="4DB99C9C" w14:textId="6A074ED0">
      <w:pPr>
        <w:tabs>
          <w:tab w:val="left" w:pos="360"/>
          <w:tab w:val="left" w:pos="900"/>
        </w:tabs>
      </w:pPr>
      <w:r w:rsidRPr="00C73F81">
        <w:tab/>
        <w:t xml:space="preserve">(5)  The criteria and schedule for a continuing education program and the criteria and methods of monitoring and appraising performance for continued licensing of DQPs. </w:t>
      </w:r>
      <w:r w:rsidR="00313790">
        <w:t xml:space="preserve"> </w:t>
      </w:r>
      <w:r w:rsidRPr="00C73F81">
        <w:t>A continuing education program for DQPs shall consist of not less than 4 hours of instruction per year.</w:t>
      </w:r>
    </w:p>
    <w:p w:rsidR="00AA1810" w:rsidRPr="00C73F81" w:rsidP="00AA1810" w14:paraId="64B9DAE5" w14:textId="77777777">
      <w:pPr>
        <w:tabs>
          <w:tab w:val="left" w:pos="360"/>
          <w:tab w:val="left" w:pos="900"/>
        </w:tabs>
      </w:pPr>
    </w:p>
    <w:p w:rsidR="00AA1810" w:rsidRPr="00C73F81" w:rsidP="00AA1810" w14:paraId="490F754F" w14:textId="77777777">
      <w:pPr>
        <w:tabs>
          <w:tab w:val="left" w:pos="360"/>
          <w:tab w:val="left" w:pos="900"/>
        </w:tabs>
      </w:pPr>
      <w:r w:rsidRPr="00C73F81">
        <w:tab/>
        <w:t xml:space="preserve">(6)  Procedures for monitoring horses in the unloading, preparation, warm-up, and barn areas, or other such areas. </w:t>
      </w:r>
    </w:p>
    <w:p w:rsidR="00AA1810" w:rsidRPr="00C73F81" w:rsidP="00AA1810" w14:paraId="2CA984BB" w14:textId="77777777">
      <w:pPr>
        <w:tabs>
          <w:tab w:val="left" w:pos="360"/>
          <w:tab w:val="left" w:pos="900"/>
        </w:tabs>
      </w:pPr>
      <w:r w:rsidRPr="00C73F81">
        <w:tab/>
        <w:t xml:space="preserve">(7)  The methods to be used to </w:t>
      </w:r>
      <w:r w:rsidRPr="00C73F81">
        <w:t>insure</w:t>
      </w:r>
      <w:r w:rsidRPr="00C73F81">
        <w:t xml:space="preserve"> uniform interpretation and enforcement of the Horse Protection Act and regulations by DQPs and uniform procedures for inspecting horses for compliance with the Act and regulations.</w:t>
      </w:r>
    </w:p>
    <w:p w:rsidR="00AA1810" w:rsidRPr="00C73F81" w:rsidP="00AA1810" w14:paraId="7E55CE86" w14:textId="77777777">
      <w:pPr>
        <w:tabs>
          <w:tab w:val="left" w:pos="360"/>
          <w:tab w:val="left" w:pos="900"/>
        </w:tabs>
      </w:pPr>
    </w:p>
    <w:p w:rsidR="00AA1810" w:rsidRPr="00C73F81" w:rsidP="00AA1810" w14:paraId="3CE0EDA8" w14:textId="35678177">
      <w:pPr>
        <w:ind w:firstLine="360"/>
      </w:pPr>
      <w:r w:rsidRPr="00C73F81">
        <w:t xml:space="preserve">(8)  Standards of conduct for DQPs promulgated by the organization or association. </w:t>
      </w:r>
      <w:r w:rsidR="00313790">
        <w:t xml:space="preserve"> </w:t>
      </w:r>
      <w:r w:rsidRPr="00C73F81">
        <w:t>Note: Requirements set forth in 9 CFR 11.7(d)(7)</w:t>
      </w:r>
      <w:r w:rsidRPr="00C73F81">
        <w:rPr>
          <w:b/>
        </w:rPr>
        <w:t xml:space="preserve"> </w:t>
      </w:r>
      <w:r w:rsidRPr="00C73F81">
        <w:t>are that each HIO shall promulgate standards and shall provide administrative procedures for initiating, maintaining, and enforcing such standards.  Minimum standards are set forth in the regulations.  Such standards are needed to ensure that DQPs properly enforce the regulations.</w:t>
      </w:r>
    </w:p>
    <w:p w:rsidR="00AA1810" w:rsidRPr="00C73F81" w:rsidP="00AA1810" w14:paraId="1C0A0CFE" w14:textId="77777777">
      <w:pPr>
        <w:tabs>
          <w:tab w:val="left" w:pos="360"/>
          <w:tab w:val="left" w:pos="900"/>
        </w:tabs>
        <w:ind w:left="360"/>
      </w:pPr>
      <w:r w:rsidRPr="00C73F81">
        <w:t xml:space="preserve"> </w:t>
      </w:r>
    </w:p>
    <w:p w:rsidR="00AA1810" w:rsidRPr="00C73F81" w:rsidP="00AA1810" w14:paraId="48A12046" w14:textId="77777777">
      <w:pPr>
        <w:tabs>
          <w:tab w:val="left" w:pos="360"/>
          <w:tab w:val="left" w:pos="900"/>
        </w:tabs>
      </w:pPr>
      <w:r w:rsidRPr="00C73F81">
        <w:tab/>
        <w:t>(9)  A formal request for Department certification of the DQP program.</w:t>
      </w:r>
    </w:p>
    <w:p w:rsidR="00AA1810" w:rsidRPr="00C73F81" w:rsidP="00AA1810" w14:paraId="685FF984" w14:textId="77777777"/>
    <w:p w:rsidR="00AA1810" w:rsidRPr="00E02180" w:rsidP="00AA1810" w14:paraId="44F41FDC" w14:textId="77777777">
      <w:pPr>
        <w:rPr>
          <w:b/>
          <w:u w:val="single"/>
        </w:rPr>
      </w:pPr>
      <w:r w:rsidRPr="00E02180">
        <w:rPr>
          <w:b/>
          <w:u w:val="single"/>
        </w:rPr>
        <w:t>List of DQPs and Notification to USDA of Changes to the List and Any Warnings or Revocations Issued to Any DQP; (</w:t>
      </w:r>
      <w:r w:rsidRPr="00E02180">
        <w:rPr>
          <w:b/>
          <w:u w:val="single"/>
        </w:rPr>
        <w:t>9 CFR 11.7(c)(2) and (3)</w:t>
      </w:r>
      <w:r w:rsidRPr="00E02180">
        <w:rPr>
          <w:b/>
          <w:u w:val="single"/>
        </w:rPr>
        <w:t>)</w:t>
      </w:r>
      <w:r>
        <w:rPr>
          <w:b/>
          <w:u w:val="single"/>
        </w:rPr>
        <w:t>;</w:t>
      </w:r>
      <w:r w:rsidRPr="00E02180">
        <w:rPr>
          <w:b/>
          <w:u w:val="single"/>
        </w:rPr>
        <w:t xml:space="preserve"> (Business)</w:t>
      </w:r>
    </w:p>
    <w:p w:rsidR="00AA1810" w:rsidRPr="00C73F81" w:rsidP="00AA1810" w14:paraId="64770BC5" w14:textId="77777777">
      <w:r w:rsidRPr="00C73F81">
        <w:t>HIOs must submit a list to the APHIS Administrator of names and addresses of all DQPs that have successfully completed the certified DQP program and been licensed under the HPA and regulations.  They must then notify the USDA of any additions or deletions of names of licensed DQPs from the list or of any change in the address of any licensed DQP or any warnings and license revocations issued to any DQP licensed by the HIO within 10 days of such change.  This information is needed to ensure that the list of licensed DQPs contains current information, and it is used when APHIS performs visits to horse shows to review the performance of the DQPs.</w:t>
      </w:r>
    </w:p>
    <w:p w:rsidR="00AA1810" w:rsidRPr="00C73F81" w:rsidP="00AA1810" w14:paraId="460B5E08" w14:textId="77777777">
      <w:pPr>
        <w:rPr>
          <w:b/>
        </w:rPr>
      </w:pPr>
    </w:p>
    <w:p w:rsidR="00AA1810" w:rsidRPr="00E02180" w:rsidP="00AA1810" w14:paraId="3D232E1A" w14:textId="77777777">
      <w:pPr>
        <w:rPr>
          <w:b/>
          <w:u w:val="single"/>
        </w:rPr>
      </w:pPr>
      <w:r w:rsidRPr="00E02180">
        <w:rPr>
          <w:b/>
          <w:u w:val="single"/>
        </w:rPr>
        <w:t>HIO Report of Violations and Recordkeeping; (</w:t>
      </w:r>
      <w:r w:rsidRPr="00E02180">
        <w:rPr>
          <w:b/>
          <w:u w:val="single"/>
        </w:rPr>
        <w:t>9 CFR 11.7(d)(3) and 11.21(d)</w:t>
      </w:r>
      <w:r w:rsidRPr="00E02180">
        <w:rPr>
          <w:b/>
          <w:u w:val="single"/>
        </w:rPr>
        <w:t>); (Business)</w:t>
      </w:r>
    </w:p>
    <w:p w:rsidR="00AA1810" w:rsidRPr="00C73F81" w:rsidP="00AA1810" w14:paraId="09AC6315" w14:textId="54DE5C0E">
      <w:pPr>
        <w:autoSpaceDE w:val="0"/>
        <w:autoSpaceDN w:val="0"/>
        <w:adjustRightInd w:val="0"/>
      </w:pPr>
      <w:r w:rsidRPr="00C73F81">
        <w:t xml:space="preserve">This report is received by USDA from HIOs on a monthly basis.  The report provides the identity of all regulated horse events that have retained the services of DQPs licensed by the HIO during the month covered by the report and the identity of all horses at each regulated horse event that the licensed DQP recommended be disqualified or excused for any reason.  Information concerning the identity of regulated horse events must include the name and location of the event, the name and address of the manager, and the date(s) of the event.  Information concerning the identity of disqualified or excused horses must include the registered name of each horse and the name and address of the owner, trainer, exhibitor, or other person having custody of or responsibility for the care of the horse. </w:t>
      </w:r>
      <w:r w:rsidR="00F6327B">
        <w:t xml:space="preserve"> </w:t>
      </w:r>
      <w:r w:rsidRPr="00C73F81">
        <w:t>This information helps APHIS verify that the HIO applied the proper penalty for the alleged violation of the Act or regulations to the responsible parties and also helps us verify if soring is continuing in a specific area or not.</w:t>
      </w:r>
    </w:p>
    <w:p w:rsidR="00AA1810" w:rsidRPr="00C73F81" w:rsidP="00AA1810" w14:paraId="3561C29E" w14:textId="77777777">
      <w:pPr>
        <w:autoSpaceDE w:val="0"/>
        <w:autoSpaceDN w:val="0"/>
        <w:adjustRightInd w:val="0"/>
      </w:pPr>
    </w:p>
    <w:p w:rsidR="00AA1810" w:rsidRPr="00E02180" w:rsidP="00AA1810" w14:paraId="027404C3" w14:textId="77777777">
      <w:pPr>
        <w:rPr>
          <w:b/>
          <w:u w:val="single"/>
        </w:rPr>
      </w:pPr>
      <w:r w:rsidRPr="00E02180">
        <w:rPr>
          <w:b/>
          <w:u w:val="single"/>
        </w:rPr>
        <w:t>Certified DQP Program Written Warning to DQP of Unsatisfactory Performance; (</w:t>
      </w:r>
      <w:r w:rsidRPr="00E02180">
        <w:rPr>
          <w:b/>
          <w:u w:val="single"/>
        </w:rPr>
        <w:t>9 CFR 11.7(f)(1)</w:t>
      </w:r>
      <w:r w:rsidRPr="00E02180">
        <w:rPr>
          <w:b/>
          <w:u w:val="single"/>
        </w:rPr>
        <w:t>); (Business)</w:t>
      </w:r>
    </w:p>
    <w:p w:rsidR="00AA1810" w:rsidRPr="002F7857" w:rsidP="00AA1810" w14:paraId="37E76CC1" w14:textId="77777777">
      <w:r w:rsidRPr="00C73F81">
        <w:t xml:space="preserve">The HIO will report unsatisfactory DQP performance to APHIS. APHIS uses this information to review DQP performance. </w:t>
      </w:r>
    </w:p>
    <w:p w:rsidR="00AA1810" w:rsidRPr="00C346D1" w:rsidP="00AA1810" w14:paraId="4443FFA2" w14:textId="77777777">
      <w:pPr>
        <w:rPr>
          <w:b/>
        </w:rPr>
      </w:pPr>
    </w:p>
    <w:p w:rsidR="00AA1810" w:rsidRPr="00E02180" w:rsidP="00AA1810" w14:paraId="7FB2BA52" w14:textId="77777777">
      <w:pPr>
        <w:rPr>
          <w:b/>
          <w:u w:val="single"/>
        </w:rPr>
      </w:pPr>
      <w:r w:rsidRPr="00E02180">
        <w:rPr>
          <w:b/>
          <w:u w:val="single"/>
        </w:rPr>
        <w:t>Certified DQP Program Cancellation of DQP License After Warning; (</w:t>
      </w:r>
      <w:r w:rsidRPr="00E02180">
        <w:rPr>
          <w:b/>
          <w:u w:val="single"/>
        </w:rPr>
        <w:t>9 CFR 11.7(f)(1)</w:t>
      </w:r>
      <w:r w:rsidRPr="00E02180">
        <w:rPr>
          <w:b/>
          <w:u w:val="single"/>
        </w:rPr>
        <w:t>); (Business)</w:t>
      </w:r>
    </w:p>
    <w:p w:rsidR="00AA1810" w:rsidRPr="000F7046" w:rsidP="00AA1810" w14:paraId="31572B97" w14:textId="1C6DAFCC">
      <w:r w:rsidRPr="00C73F81">
        <w:t xml:space="preserve">The HIO will report canceled DQP licenses to APHIS. APHIS uses the information to ensure </w:t>
      </w:r>
      <w:r w:rsidRPr="000F7046">
        <w:t>that the list of licensed DQPs contains current information.</w:t>
      </w:r>
    </w:p>
    <w:p w:rsidR="00F6327B" w14:paraId="174064F4" w14:textId="77777777">
      <w:pPr>
        <w:rPr>
          <w:b/>
          <w:u w:val="single"/>
        </w:rPr>
      </w:pPr>
      <w:r>
        <w:rPr>
          <w:b/>
          <w:u w:val="single"/>
        </w:rPr>
        <w:br w:type="page"/>
      </w:r>
    </w:p>
    <w:p w:rsidR="00AA1810" w:rsidRPr="000F7046" w:rsidP="00AA1810" w14:paraId="78300C94" w14:textId="717E599A">
      <w:pPr>
        <w:rPr>
          <w:b/>
          <w:u w:val="single"/>
        </w:rPr>
      </w:pPr>
      <w:r w:rsidRPr="000F7046">
        <w:rPr>
          <w:b/>
          <w:u w:val="single"/>
        </w:rPr>
        <w:t>Request by DQP to USDA to Appeal License Cancellation; (</w:t>
      </w:r>
      <w:r w:rsidRPr="000F7046">
        <w:rPr>
          <w:b/>
          <w:u w:val="single"/>
        </w:rPr>
        <w:t>9 CFR 11.7(f)(1)</w:t>
      </w:r>
      <w:r w:rsidRPr="000F7046">
        <w:rPr>
          <w:b/>
          <w:u w:val="single"/>
        </w:rPr>
        <w:t>); (Individual)</w:t>
      </w:r>
    </w:p>
    <w:p w:rsidR="00AA1810" w:rsidRPr="00C73F81" w:rsidP="00AA1810" w14:paraId="665F89F7" w14:textId="77777777">
      <w:r w:rsidRPr="000F7046">
        <w:t>This request is submitted by DQPs within 30 days of confirmation of cancellation of a license by an HIO.   A request is necessary for the USDA</w:t>
      </w:r>
      <w:r w:rsidRPr="00C73F81">
        <w:t xml:space="preserve"> to be aware of the DQP’s desire to appeal.</w:t>
      </w:r>
    </w:p>
    <w:p w:rsidR="00AA1810" w:rsidRPr="00C73F81" w:rsidP="00AA1810" w14:paraId="7A3CC0D6" w14:textId="77777777"/>
    <w:p w:rsidR="00AA1810" w:rsidRPr="00E02180" w:rsidP="00AA1810" w14:paraId="07BED878" w14:textId="228BBC59">
      <w:pPr>
        <w:rPr>
          <w:b/>
          <w:u w:val="single"/>
        </w:rPr>
      </w:pPr>
      <w:r w:rsidRPr="00E02180">
        <w:rPr>
          <w:b/>
          <w:u w:val="single"/>
        </w:rPr>
        <w:t>Appeal of Revocation</w:t>
      </w:r>
      <w:r w:rsidR="00EB563C">
        <w:rPr>
          <w:b/>
          <w:u w:val="single"/>
        </w:rPr>
        <w:t xml:space="preserve"> and DQP Access to Records</w:t>
      </w:r>
      <w:r w:rsidR="00772131">
        <w:rPr>
          <w:b/>
          <w:u w:val="single"/>
        </w:rPr>
        <w:t xml:space="preserve"> (previously titled Appeal of Revocation)</w:t>
      </w:r>
      <w:r w:rsidRPr="00E02180">
        <w:rPr>
          <w:b/>
          <w:u w:val="single"/>
        </w:rPr>
        <w:t>; (</w:t>
      </w:r>
      <w:r w:rsidRPr="00E02180">
        <w:rPr>
          <w:b/>
          <w:u w:val="single"/>
        </w:rPr>
        <w:t>9 CFR 11.7(g)</w:t>
      </w:r>
      <w:r w:rsidRPr="00E02180">
        <w:rPr>
          <w:b/>
          <w:u w:val="single"/>
        </w:rPr>
        <w:t>); (Business)</w:t>
      </w:r>
    </w:p>
    <w:p w:rsidR="00AA1810" w:rsidP="00AA1810" w14:paraId="3F83177C" w14:textId="77777777">
      <w:r w:rsidRPr="00C73F81">
        <w:t>Any horse industry organization whose DQP program certification has been revoked may appeal such revocation to the Administrator in writing within 30 days after the date of such revocation and, if requested, shall be afforded an opportunity for a hearing.  All DQP licenses issued by a horse industry organization whose DQP program certification has been revoked shall expire 30 days after the date of such revocation, or 15 days after the date the revocation becomes final after appeal, unless they are transferred to a horse industry organization having a program currently certified by the Department.  A request is necessary for the Administrator to be aware of the HIO’s desire to appeal, and a written request provides documentation for legal purposes.</w:t>
      </w:r>
    </w:p>
    <w:p w:rsidR="00E02180" w:rsidP="00AA1810" w14:paraId="2328CA1D" w14:textId="77777777"/>
    <w:p w:rsidR="00AA1810" w:rsidRPr="00E02180" w:rsidP="00AA1810" w14:paraId="6EDE7ABF" w14:textId="77777777">
      <w:pPr>
        <w:rPr>
          <w:b/>
          <w:u w:val="single"/>
        </w:rPr>
      </w:pPr>
      <w:r w:rsidRPr="00E02180">
        <w:rPr>
          <w:b/>
          <w:u w:val="single"/>
        </w:rPr>
        <w:t>Written Notification to USDA and Certified DQP Programs by Event Management of Unsatisfactory DQP Performance; (</w:t>
      </w:r>
      <w:r w:rsidRPr="00E02180">
        <w:rPr>
          <w:b/>
          <w:u w:val="single"/>
        </w:rPr>
        <w:t>9 CFR 11.20(b)(1)</w:t>
      </w:r>
      <w:r w:rsidRPr="00E02180">
        <w:rPr>
          <w:b/>
          <w:u w:val="single"/>
        </w:rPr>
        <w:t>); (Business)</w:t>
      </w:r>
    </w:p>
    <w:p w:rsidR="00AA1810" w:rsidRPr="00C73F81" w:rsidP="00AA1810" w14:paraId="6817E4C6" w14:textId="77777777">
      <w:r w:rsidRPr="00C73F81">
        <w:t>This notification is submitted to USDA by event management when DQP performance has failed. This information is reviewed by USDA and the certified DQP program to determine whether further action is necessary to ensure adequate DQP performance.</w:t>
      </w:r>
    </w:p>
    <w:p w:rsidR="00AA1810" w:rsidRPr="00C73F81" w:rsidP="00AA1810" w14:paraId="77B075A4" w14:textId="77777777"/>
    <w:p w:rsidR="00AA1810" w:rsidRPr="00EB563C" w:rsidP="00AA1810" w14:paraId="479DFC21" w14:textId="77777777">
      <w:pPr>
        <w:rPr>
          <w:b/>
          <w:u w:val="single"/>
        </w:rPr>
      </w:pPr>
      <w:r w:rsidRPr="00EB563C">
        <w:rPr>
          <w:b/>
          <w:u w:val="single"/>
        </w:rPr>
        <w:t>Records of Events Containing Tennessee Walking Horses or Racking Horses Maintained by Management; (</w:t>
      </w:r>
      <w:r w:rsidRPr="00EB563C">
        <w:rPr>
          <w:b/>
          <w:u w:val="single"/>
        </w:rPr>
        <w:t>9 CFR 11.22(a) and (d)</w:t>
      </w:r>
      <w:r w:rsidRPr="00EB563C">
        <w:rPr>
          <w:b/>
          <w:u w:val="single"/>
        </w:rPr>
        <w:t>); (</w:t>
      </w:r>
      <w:r w:rsidRPr="00EB563C" w:rsidR="00EB563C">
        <w:rPr>
          <w:b/>
          <w:u w:val="single"/>
        </w:rPr>
        <w:t>Business</w:t>
      </w:r>
      <w:r w:rsidR="00EB563C">
        <w:rPr>
          <w:b/>
          <w:u w:val="single"/>
        </w:rPr>
        <w:t>; Not-for-Profit</w:t>
      </w:r>
      <w:r w:rsidRPr="00EB563C" w:rsidR="00EB563C">
        <w:rPr>
          <w:b/>
          <w:u w:val="single"/>
        </w:rPr>
        <w:t>)</w:t>
      </w:r>
    </w:p>
    <w:p w:rsidR="00AA1810" w:rsidRPr="00C73F81" w:rsidP="00AA1810" w14:paraId="12DE5907" w14:textId="77777777">
      <w:bookmarkStart w:id="0" w:name="OLE_LINK1"/>
      <w:r w:rsidRPr="00C73F81">
        <w:t>These records must be kept by event management for at least 90 days.  The Administrator may, in specific cases, require that horse event records be maintained by management for a period in excess of 90 days.  These records are used by APHIS to follow-up if further information is needed in the investigation of alleged violations of the Act or regulations.</w:t>
      </w:r>
    </w:p>
    <w:p w:rsidR="00AA1810" w:rsidRPr="00C73F81" w:rsidP="00AA1810" w14:paraId="770A2F9D" w14:textId="77777777"/>
    <w:p w:rsidR="00AA1810" w:rsidRPr="00EB563C" w:rsidP="00AA1810" w14:paraId="5CD1A493" w14:textId="77777777">
      <w:pPr>
        <w:rPr>
          <w:b/>
          <w:u w:val="single"/>
        </w:rPr>
      </w:pPr>
      <w:r w:rsidRPr="00EB563C">
        <w:rPr>
          <w:b/>
          <w:u w:val="single"/>
        </w:rPr>
        <w:t>Providing Contact Information for Recordkeeper; (</w:t>
      </w:r>
      <w:r w:rsidRPr="00EB563C">
        <w:rPr>
          <w:b/>
          <w:u w:val="single"/>
        </w:rPr>
        <w:t>9 CFR 11.22(b) and (c)</w:t>
      </w:r>
      <w:r w:rsidRPr="00EB563C">
        <w:rPr>
          <w:b/>
          <w:u w:val="single"/>
        </w:rPr>
        <w:t>); (Business; Not-for-Profit)</w:t>
      </w:r>
    </w:p>
    <w:p w:rsidR="00AA1810" w:rsidRPr="00C73F81" w:rsidP="00AA1810" w14:paraId="71A3960F" w14:textId="77777777">
      <w:r w:rsidRPr="00C73F81">
        <w:t>The management of any regulated horse event must designate a person to maintain the required records.  Management must furnish to any APHIS representative, upon request, the name and address (including street address, or post office box, and ZIP code) of the person designated to maintain the records.  This information is used by APHIS to access the records if necessary.</w:t>
      </w:r>
    </w:p>
    <w:p w:rsidR="00AA1810" w:rsidRPr="00C73F81" w:rsidP="00AA1810" w14:paraId="2BC0A48D" w14:textId="77777777"/>
    <w:p w:rsidR="00AA1810" w:rsidRPr="00EB563C" w:rsidP="00AA1810" w14:paraId="18758CAB" w14:textId="77777777">
      <w:pPr>
        <w:rPr>
          <w:b/>
          <w:u w:val="single"/>
        </w:rPr>
      </w:pPr>
      <w:r w:rsidRPr="00EB563C">
        <w:rPr>
          <w:b/>
          <w:u w:val="single"/>
        </w:rPr>
        <w:t>Inspection of Horse Industry Organization Records; (</w:t>
      </w:r>
      <w:r w:rsidRPr="00EB563C">
        <w:rPr>
          <w:b/>
          <w:u w:val="single"/>
        </w:rPr>
        <w:t>9 CFR 11.23(b)</w:t>
      </w:r>
      <w:r w:rsidRPr="00EB563C">
        <w:rPr>
          <w:b/>
          <w:u w:val="single"/>
        </w:rPr>
        <w:t>); (Business)</w:t>
      </w:r>
    </w:p>
    <w:p w:rsidR="00AA1810" w:rsidRPr="00C73F81" w:rsidP="00AA1810" w14:paraId="70A22E9F" w14:textId="77777777">
      <w:r w:rsidRPr="00C346D1">
        <w:t>Horse industry organizations with certified DQP programs must permit any APHIS representative, upon request, to examine and copy any and all records relating to the DQP program that are required by any part of the</w:t>
      </w:r>
      <w:r w:rsidRPr="00C73F81">
        <w:t xml:space="preserve"> regulations.  Such access is needed to ensure required records are being kept and to access and use information relevant to assessing compliance with the Act and regulations. </w:t>
      </w:r>
    </w:p>
    <w:p w:rsidR="00AA1810" w:rsidRPr="00C73F81" w:rsidP="00AA1810" w14:paraId="18E373F0" w14:textId="77777777"/>
    <w:bookmarkEnd w:id="0"/>
    <w:p w:rsidR="00AA1810" w:rsidRPr="00EB563C" w:rsidP="00AA1810" w14:paraId="68E3807F" w14:textId="77777777">
      <w:pPr>
        <w:rPr>
          <w:b/>
          <w:u w:val="single"/>
        </w:rPr>
      </w:pPr>
      <w:r w:rsidRPr="00EB563C">
        <w:rPr>
          <w:b/>
          <w:u w:val="single"/>
        </w:rPr>
        <w:t>Management Report to USDA of Any Regulated Horse Event Involving Tennessee Walking Horses or Racking Horses</w:t>
      </w:r>
      <w:r w:rsidRPr="00EB563C" w:rsidR="00EB563C">
        <w:rPr>
          <w:b/>
          <w:u w:val="single"/>
        </w:rPr>
        <w:t>; (9 CFR 11.24(a)); (Business; Not-for-Profit)</w:t>
      </w:r>
    </w:p>
    <w:p w:rsidR="00AA1810" w:rsidRPr="00C73F81" w:rsidP="00AA1810" w14:paraId="7AC57ED2" w14:textId="36FDDFB4">
      <w:r w:rsidRPr="00C73F81">
        <w:t xml:space="preserve">Within 5 days following the conclusion of any regulated horse event containing Tennessee Walking Horses or racking horses, the management of such event must submit to the Regional </w:t>
      </w:r>
      <w:r w:rsidRPr="00C73F81">
        <w:t xml:space="preserve">Director for the State in which the event was held, the information required by the regulations for each horse excused or disqualified and the reasons for such action. </w:t>
      </w:r>
      <w:r w:rsidR="00F6327B">
        <w:t xml:space="preserve"> </w:t>
      </w:r>
      <w:r w:rsidRPr="00C73F81">
        <w:t xml:space="preserve">If no horses are excused or disqualified, management must submit a report so stating.  This information is necessary to determine whether management provided compliance inspections at HPA-regulated events, and, if so, the findings of such inspections.  APHIS uses this information to assess HIO performance and compliance with the Act and the regulations. </w:t>
      </w:r>
    </w:p>
    <w:p w:rsidR="00AA1810" w:rsidRPr="00C73F81" w:rsidP="00AA1810" w14:paraId="059F33B5" w14:textId="77777777"/>
    <w:p w:rsidR="00AA1810" w:rsidRPr="006C36E0" w:rsidP="00AA1810" w14:paraId="478F4C25" w14:textId="77777777">
      <w:pPr>
        <w:rPr>
          <w:b/>
          <w:u w:val="single"/>
        </w:rPr>
      </w:pPr>
      <w:r w:rsidRPr="006C36E0">
        <w:rPr>
          <w:b/>
          <w:u w:val="single"/>
        </w:rPr>
        <w:t>Management Report to USDA of Any Regulated Horse Event Not Involving Tennessee Walking Horses or Racking Horses; (</w:t>
      </w:r>
      <w:r w:rsidRPr="006C36E0">
        <w:rPr>
          <w:b/>
          <w:u w:val="single"/>
        </w:rPr>
        <w:t>9 CFR 11.24(b)</w:t>
      </w:r>
      <w:r w:rsidRPr="006C36E0">
        <w:rPr>
          <w:b/>
          <w:u w:val="single"/>
        </w:rPr>
        <w:t>); (Business)</w:t>
      </w:r>
    </w:p>
    <w:p w:rsidR="00AA1810" w:rsidRPr="00C73F81" w:rsidP="00AA1810" w14:paraId="5F68F36B" w14:textId="77777777">
      <w:r w:rsidRPr="00C73F81">
        <w:t xml:space="preserve">Within 5 days following the conclusion of any regulated horse event that does not contain Tennessee Walking Horses or racking horses, the management of such event must inform the Regional Director for the State in which the event was held, of any case where a horse was excused or disqualified because it was found to be sore.  This information is necessary to determine whether management provided compliance inspections at HPA-regulated events, and, if so, the findings of such inspections.  APHIS uses this information to assess HIO performance and compliance with the Act and the regulations. </w:t>
      </w:r>
    </w:p>
    <w:p w:rsidR="00AA1810" w:rsidRPr="00C73F81" w:rsidP="00AA1810" w14:paraId="584F30C1" w14:textId="77777777"/>
    <w:p w:rsidR="00AA1810" w:rsidRPr="006C36E0" w:rsidP="00AA1810" w14:paraId="710E30A1" w14:textId="77777777">
      <w:pPr>
        <w:rPr>
          <w:b/>
          <w:u w:val="single"/>
        </w:rPr>
      </w:pPr>
      <w:r w:rsidRPr="006C36E0">
        <w:rPr>
          <w:b/>
          <w:u w:val="single"/>
        </w:rPr>
        <w:t>Required Information in Rulebooks and Rulebook Submission; (</w:t>
      </w:r>
      <w:r w:rsidRPr="006C36E0">
        <w:rPr>
          <w:b/>
          <w:u w:val="single"/>
        </w:rPr>
        <w:t>9 CFR 11.25(a) and (e) and 11.41</w:t>
      </w:r>
      <w:r w:rsidRPr="006C36E0">
        <w:rPr>
          <w:b/>
          <w:u w:val="single"/>
        </w:rPr>
        <w:t>); (Business)</w:t>
      </w:r>
    </w:p>
    <w:p w:rsidR="00AA1810" w:rsidRPr="00C73F81" w:rsidP="00AA1810" w14:paraId="486C8C7F" w14:textId="447BD7E1">
      <w:r w:rsidRPr="00C346D1">
        <w:t>In accordance with 9 CFR 11.41, HIOs having certified DQP programs and sponsoring regulated horse events must furnish their rulebooks to USDA by March 1 of each year.  Section 11.25(a) requires that e</w:t>
      </w:r>
      <w:r w:rsidRPr="00C73F81">
        <w:t xml:space="preserve">ach HIO must include in its rulebook penalties that equal or exceed the penalties listed in Section 11.25(c) and must also require dismissal of horses that cannot be inspected [a penalty listed in Section 11.25(d)].  Section 11.25(e) requires that each HIO provide a process in its rulebook for alleged violators to appeal penalties. </w:t>
      </w:r>
      <w:r w:rsidR="00F6327B">
        <w:t xml:space="preserve"> </w:t>
      </w:r>
      <w:r w:rsidRPr="00C73F81">
        <w:t>The process must be approved by the Department.  These provisions are necessary to allow APHIS to assess compliance with the regulations by ensuring that certain provisions are incorporated into the rulebook.</w:t>
      </w:r>
    </w:p>
    <w:p w:rsidR="00AA1810" w:rsidRPr="00C73F81" w:rsidP="00AA1810" w14:paraId="0756AF4B" w14:textId="77777777"/>
    <w:p w:rsidR="00AA1810" w:rsidRPr="006C36E0" w:rsidP="00AA1810" w14:paraId="238F8AD8" w14:textId="77777777">
      <w:pPr>
        <w:rPr>
          <w:b/>
          <w:u w:val="single"/>
        </w:rPr>
      </w:pPr>
      <w:r w:rsidRPr="006C36E0">
        <w:rPr>
          <w:b/>
          <w:u w:val="single"/>
        </w:rPr>
        <w:t>Appeals and Reports</w:t>
      </w:r>
      <w:r w:rsidRPr="006C36E0" w:rsidR="006C36E0">
        <w:rPr>
          <w:b/>
          <w:u w:val="single"/>
        </w:rPr>
        <w:t>; (9 CFR 11.25(e)); (Business)</w:t>
      </w:r>
    </w:p>
    <w:p w:rsidR="00AA1810" w:rsidRPr="00C73F81" w:rsidP="00AA1810" w14:paraId="54CE3598" w14:textId="77777777">
      <w:r w:rsidRPr="00C346D1">
        <w:t xml:space="preserve">The HIO must submit to the Department all decisions on penalty appeals within 30 days of the completion of the appeal. </w:t>
      </w:r>
      <w:r w:rsidRPr="00C73F81">
        <w:t xml:space="preserve"> When a penalty is overturned on appeal, the HIO must also submit evidence composing the record of the HIO's decision on the appeal.  This provision is necessary to allow the Department to ensure appropriate due process is provided to alleged violators of the Act or regulations and to ensure accurate records of penalties enforced.</w:t>
      </w:r>
    </w:p>
    <w:p w:rsidR="00AA1810" w:rsidRPr="002F7857" w:rsidP="00AA1810" w14:paraId="05EAD9BF" w14:textId="77777777">
      <w:pPr>
        <w:rPr>
          <w:b/>
        </w:rPr>
      </w:pPr>
    </w:p>
    <w:p w:rsidR="00AA1810" w:rsidRPr="006C36E0" w:rsidP="00AA1810" w14:paraId="1DB0197B" w14:textId="30F4F4E0">
      <w:pPr>
        <w:rPr>
          <w:b/>
          <w:u w:val="single"/>
        </w:rPr>
      </w:pPr>
      <w:r w:rsidRPr="006C36E0">
        <w:rPr>
          <w:b/>
          <w:u w:val="single"/>
        </w:rPr>
        <w:t>Certified DQP Program Quarterly Reports on Disciplinary Action</w:t>
      </w:r>
      <w:r w:rsidRPr="006C36E0" w:rsidR="006C36E0">
        <w:rPr>
          <w:b/>
          <w:u w:val="single"/>
        </w:rPr>
        <w:t xml:space="preserve"> and Recordkeeping</w:t>
      </w:r>
      <w:r w:rsidR="00772131">
        <w:rPr>
          <w:b/>
          <w:u w:val="single"/>
        </w:rPr>
        <w:t xml:space="preserve"> (previously titled </w:t>
      </w:r>
      <w:r w:rsidRPr="006C36E0" w:rsidR="007D4531">
        <w:rPr>
          <w:b/>
          <w:u w:val="single"/>
        </w:rPr>
        <w:t>Certified DQP Program Quarterly Reports on Disciplinary Action</w:t>
      </w:r>
      <w:r w:rsidR="007D4531">
        <w:rPr>
          <w:b/>
          <w:u w:val="single"/>
        </w:rPr>
        <w:t>s)</w:t>
      </w:r>
      <w:r w:rsidRPr="006C36E0" w:rsidR="006C36E0">
        <w:rPr>
          <w:b/>
          <w:u w:val="single"/>
        </w:rPr>
        <w:t>; (9</w:t>
      </w:r>
      <w:r w:rsidR="006C36E0">
        <w:rPr>
          <w:b/>
          <w:u w:val="single"/>
        </w:rPr>
        <w:t> </w:t>
      </w:r>
      <w:r w:rsidRPr="006C36E0" w:rsidR="006C36E0">
        <w:rPr>
          <w:b/>
          <w:u w:val="single"/>
        </w:rPr>
        <w:t>CFR 11.41); (Business)</w:t>
      </w:r>
    </w:p>
    <w:p w:rsidR="00AA1810" w:rsidP="00AA1810" w14:paraId="07CE33CB" w14:textId="204D30CD">
      <w:r w:rsidRPr="00C73F81">
        <w:t xml:space="preserve">HIOs having certified DQP programs and sponsoring regulated horse events must furnish to USDA quarterly reports of all disciplinary actions taken against the management of any horse show, horse exhibition, horse sale, or horse auction, any exhibitor, or any licensed DQP, for alleged violations of the Horse Protection Act or regulations, and the results thereof.  The first report is an annual report due by March 1 of each year.  In order to be able to submit these reports, HIOs must therefore keep records of disciplinary actions for one quarter (until a quarterly report is submitted) and keep quarterly reports for three to nine months until an annual </w:t>
      </w:r>
      <w:r w:rsidRPr="00C73F81">
        <w:t xml:space="preserve">report is submitted.  APHIS uses this information to assess the HIOs’ enforcement of the HPA and compliance with the Act and the regulations. </w:t>
      </w:r>
    </w:p>
    <w:p w:rsidR="00C4063E" w:rsidRPr="00C73F81" w:rsidP="00AA1810" w14:paraId="4C55F2BA" w14:textId="77777777"/>
    <w:p w:rsidR="00AA1810" w:rsidRPr="00B8111C" w:rsidP="00AA1810" w14:paraId="0CA59764" w14:textId="77777777">
      <w:pPr>
        <w:rPr>
          <w:bCs/>
        </w:rPr>
      </w:pPr>
    </w:p>
    <w:p w:rsidR="00AA1810" w:rsidRPr="00B8111C" w:rsidP="00AA1810" w14:paraId="47AD83FC" w14:textId="77777777">
      <w:pPr>
        <w:rPr>
          <w:b/>
        </w:rPr>
      </w:pPr>
      <w:r w:rsidRPr="00B8111C">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A1810" w:rsidRPr="00B8111C" w:rsidP="00AA1810" w14:paraId="66AD3E46" w14:textId="77777777"/>
    <w:p w:rsidR="00AA1810" w:rsidRPr="00C73F81" w:rsidP="00AA1810" w14:paraId="1F3AFA91" w14:textId="2FB0F74A">
      <w:pPr>
        <w:pStyle w:val="ListParagraph"/>
        <w:ind w:left="0"/>
      </w:pPr>
      <w:bookmarkStart w:id="1" w:name="_Hlk114126241"/>
      <w:r w:rsidRPr="00B8111C">
        <w:t xml:space="preserve">All of the </w:t>
      </w:r>
      <w:r w:rsidRPr="00B8111C">
        <w:t>required information may</w:t>
      </w:r>
      <w:r w:rsidRPr="00C73F81">
        <w:t xml:space="preserve"> be submitted </w:t>
      </w:r>
      <w:r>
        <w:t xml:space="preserve">electronically </w:t>
      </w:r>
      <w:r w:rsidRPr="00C73F81">
        <w:t>via email</w:t>
      </w:r>
      <w:r>
        <w:t xml:space="preserve"> or </w:t>
      </w:r>
      <w:r w:rsidRPr="00C73F81">
        <w:t>fax</w:t>
      </w:r>
      <w:r>
        <w:t xml:space="preserve">.  Approximately 25% of the required information is submitted by </w:t>
      </w:r>
      <w:r w:rsidRPr="00C73F81">
        <w:t>regular mail, courier services (such as FedEx, UPS, etc.) to APHIS at the respondents’ preference.  The use of electronic submissions (fax and e-mail) affords a decrease in notification time, record of submission, and reduction of paperwork, costs, and mailing activities.</w:t>
      </w:r>
    </w:p>
    <w:p w:rsidR="00AA1810" w:rsidRPr="00C73F81" w:rsidP="00AA1810" w14:paraId="34AB5F2C" w14:textId="77777777">
      <w:pPr>
        <w:pStyle w:val="DefaultText"/>
      </w:pPr>
    </w:p>
    <w:bookmarkEnd w:id="1"/>
    <w:p w:rsidR="00626122" w:rsidRPr="00B8111C" w:rsidP="00AA1810" w14:paraId="0261B4E7" w14:textId="77777777">
      <w:pPr>
        <w:rPr>
          <w:bCs/>
        </w:rPr>
      </w:pPr>
    </w:p>
    <w:p w:rsidR="00AA1810" w:rsidRPr="00C73F81" w:rsidP="00AA1810" w14:paraId="0C820A04" w14:textId="7965BFA8">
      <w:pPr>
        <w:rPr>
          <w:b/>
        </w:rPr>
      </w:pPr>
      <w:r w:rsidRPr="00C346D1">
        <w:rPr>
          <w:b/>
        </w:rPr>
        <w:t>4.  Describe efforts to identify duplication.  Show specifically why any similar information already available cannot be used or modified for use</w:t>
      </w:r>
      <w:r w:rsidRPr="00C73F81">
        <w:rPr>
          <w:b/>
        </w:rPr>
        <w:t xml:space="preserve"> for the purpose described in item 2 above.</w:t>
      </w:r>
    </w:p>
    <w:p w:rsidR="00AA1810" w:rsidRPr="00C73F81" w:rsidP="00AA1810" w14:paraId="73C6EFAD" w14:textId="77777777"/>
    <w:p w:rsidR="00AA1810" w:rsidRPr="00C73F81" w:rsidP="00AA1810" w14:paraId="31E5B0D7" w14:textId="77777777">
      <w:r w:rsidRPr="00C73F81">
        <w:t>APHIS is the only Federal Agency responsible for administering the Horse Protection Act.  The information it collects while administering the Act is not available from any other sources.</w:t>
      </w:r>
    </w:p>
    <w:p w:rsidR="00AA1810" w:rsidRPr="00C73F81" w:rsidP="00AA1810" w14:paraId="53BDFEA6" w14:textId="77777777"/>
    <w:p w:rsidR="00AA1810" w:rsidRPr="00C73F81" w:rsidP="00AA1810" w14:paraId="3ADEF847" w14:textId="77777777"/>
    <w:p w:rsidR="00AA1810" w:rsidRPr="00C73F81" w:rsidP="00AA1810" w14:paraId="16E78AB2" w14:textId="77777777">
      <w:pPr>
        <w:rPr>
          <w:b/>
        </w:rPr>
      </w:pPr>
      <w:r w:rsidRPr="00C73F81">
        <w:rPr>
          <w:b/>
        </w:rPr>
        <w:t>5.  If the collection of information impacts small businesses or other small entities, describe any methods used to minimize burden.</w:t>
      </w:r>
    </w:p>
    <w:p w:rsidR="00AA1810" w:rsidRPr="00C73F81" w:rsidP="00AA1810" w14:paraId="4BC08C68" w14:textId="77777777"/>
    <w:p w:rsidR="00AA1810" w:rsidRPr="00C73F81" w:rsidP="00AA1810" w14:paraId="34D73F09" w14:textId="77777777">
      <w:r w:rsidRPr="00DA3C3D">
        <w:t>All business</w:t>
      </w:r>
      <w:r w:rsidRPr="00DA3C3D">
        <w:rPr>
          <w:b/>
        </w:rPr>
        <w:t xml:space="preserve"> </w:t>
      </w:r>
      <w:r w:rsidRPr="00DA3C3D">
        <w:t xml:space="preserve">respondents are considered small businesses.  The information collection and </w:t>
      </w:r>
      <w:r w:rsidRPr="00C73F81">
        <w:t xml:space="preserve">records requirements are the minimum needed to verify compliance with the HPA and Federal regulations.  </w:t>
      </w:r>
    </w:p>
    <w:p w:rsidR="00AA1810" w:rsidP="00AA1810" w14:paraId="4099FA29" w14:textId="77777777"/>
    <w:p w:rsidR="006F61DA" w:rsidRPr="00C73F81" w:rsidP="00AA1810" w14:paraId="6E1ED214" w14:textId="77777777"/>
    <w:p w:rsidR="00AA1810" w:rsidRPr="00C73F81" w:rsidP="00AA1810" w14:paraId="2F6E4BA4" w14:textId="77777777">
      <w:pPr>
        <w:rPr>
          <w:b/>
        </w:rPr>
      </w:pPr>
      <w:r w:rsidRPr="00C73F81">
        <w:rPr>
          <w:b/>
        </w:rPr>
        <w:t>6.  Describe the consequence to Federal program or policy activities if the collection is not conducted or is conducted less frequently, as well as any technical or legal obstacles to reducing burden.</w:t>
      </w:r>
    </w:p>
    <w:p w:rsidR="00AA1810" w:rsidRPr="00C73F81" w:rsidP="00AA1810" w14:paraId="3558AE84" w14:textId="77777777">
      <w:pPr>
        <w:rPr>
          <w:b/>
        </w:rPr>
      </w:pPr>
    </w:p>
    <w:p w:rsidR="00AA1810" w:rsidRPr="00C73F81" w:rsidP="00AA1810" w14:paraId="262BD2EC" w14:textId="7F4B69CA">
      <w:r w:rsidRPr="00C73F81">
        <w:t>If the information were collected less frequently or not collected, APHIS would not be able to accurately assess compliance with the HPA.</w:t>
      </w:r>
    </w:p>
    <w:p w:rsidR="00AA1810" w:rsidP="00AA1810" w14:paraId="7A4780D2" w14:textId="77777777"/>
    <w:p w:rsidR="00AA1810" w:rsidRPr="00C73F81" w:rsidP="00AA1810" w14:paraId="2425F75F" w14:textId="77777777"/>
    <w:p w:rsidR="00AA1810" w:rsidRPr="00C73F81" w:rsidP="004C28F2" w14:paraId="5F8FAD62" w14:textId="77777777">
      <w:pPr>
        <w:pStyle w:val="BodyTextIndent"/>
        <w:spacing w:after="120"/>
        <w:ind w:left="0" w:firstLine="0"/>
        <w:rPr>
          <w:szCs w:val="24"/>
        </w:rPr>
      </w:pPr>
      <w:r w:rsidRPr="00C73F81">
        <w:rPr>
          <w:szCs w:val="24"/>
        </w:rPr>
        <w:t>7.  Explain any special circumstances that would cause an information collection to be conducted in a manner:</w:t>
      </w:r>
    </w:p>
    <w:p w:rsidR="00AA1810" w:rsidRPr="00C73F81" w:rsidP="007D4531" w14:paraId="25FB7972" w14:textId="77777777">
      <w:pPr>
        <w:numPr>
          <w:ilvl w:val="0"/>
          <w:numId w:val="1"/>
        </w:numPr>
        <w:tabs>
          <w:tab w:val="clear" w:pos="360"/>
        </w:tabs>
        <w:spacing w:before="120" w:after="120"/>
        <w:ind w:left="720"/>
        <w:rPr>
          <w:b/>
        </w:rPr>
      </w:pPr>
      <w:r w:rsidRPr="00C73F81">
        <w:rPr>
          <w:b/>
        </w:rPr>
        <w:t>requiring respondents to report information to the agency more often than quarterly;</w:t>
      </w:r>
    </w:p>
    <w:p w:rsidR="00AA1810" w:rsidRPr="00C73F81" w:rsidP="007D4531" w14:paraId="3B6ED305" w14:textId="77777777">
      <w:pPr>
        <w:numPr>
          <w:ilvl w:val="0"/>
          <w:numId w:val="1"/>
        </w:numPr>
        <w:tabs>
          <w:tab w:val="clear" w:pos="360"/>
        </w:tabs>
        <w:spacing w:before="120" w:after="120"/>
        <w:ind w:left="720"/>
        <w:rPr>
          <w:b/>
        </w:rPr>
      </w:pPr>
      <w:r w:rsidRPr="00C73F81">
        <w:rPr>
          <w:b/>
        </w:rPr>
        <w:t>requiring respondents to prepare a written response to a collection of information in fewer than 30 days after receipt of it;</w:t>
      </w:r>
    </w:p>
    <w:p w:rsidR="00AA1810" w:rsidRPr="00C73F81" w:rsidP="007D4531" w14:paraId="25A24108" w14:textId="77777777">
      <w:pPr>
        <w:spacing w:before="120" w:after="120"/>
        <w:ind w:left="720"/>
      </w:pPr>
      <w:r w:rsidRPr="00C73F81">
        <w:t>DQPs subject to license cancellation must submit their appeals to the USDA within 30 days of notification.</w:t>
      </w:r>
    </w:p>
    <w:p w:rsidR="00AA1810" w:rsidRPr="00C73F81" w:rsidP="007D4531" w14:paraId="5CA59E0E" w14:textId="77777777">
      <w:pPr>
        <w:spacing w:before="120" w:after="120"/>
        <w:ind w:left="720"/>
      </w:pPr>
      <w:r w:rsidRPr="00C73F81">
        <w:t xml:space="preserve">Show management staff reporting unsatisfactory DQP performance must submit their reports to the USDA immediately after the event for review and potential action.  </w:t>
      </w:r>
    </w:p>
    <w:p w:rsidR="00AA1810" w:rsidRPr="00C73F81" w:rsidP="007D4531" w14:paraId="58AD6A3B" w14:textId="77777777">
      <w:pPr>
        <w:spacing w:before="120" w:after="120"/>
        <w:ind w:left="720"/>
      </w:pPr>
      <w:r w:rsidRPr="00C73F81">
        <w:t>Event management reports of any horse show, exhibition, auction, or sale at which they conducted inspections of horses must be submitted to USDA within 5 days of the event.</w:t>
      </w:r>
    </w:p>
    <w:p w:rsidR="00AA1810" w:rsidRPr="00C73F81" w:rsidP="007D4531" w14:paraId="0FD14FE6" w14:textId="77777777">
      <w:pPr>
        <w:numPr>
          <w:ilvl w:val="0"/>
          <w:numId w:val="2"/>
        </w:numPr>
        <w:tabs>
          <w:tab w:val="clear" w:pos="360"/>
        </w:tabs>
        <w:spacing w:before="120" w:after="120"/>
        <w:ind w:left="720"/>
        <w:rPr>
          <w:b/>
        </w:rPr>
      </w:pPr>
      <w:r w:rsidRPr="00C73F81">
        <w:rPr>
          <w:b/>
        </w:rPr>
        <w:t>requiring respondents to submit more than an original and two copies of any document;</w:t>
      </w:r>
    </w:p>
    <w:p w:rsidR="00AA1810" w:rsidRPr="00C73F81" w:rsidP="007D4531" w14:paraId="6BF2E4B2" w14:textId="77777777">
      <w:pPr>
        <w:numPr>
          <w:ilvl w:val="0"/>
          <w:numId w:val="3"/>
        </w:numPr>
        <w:tabs>
          <w:tab w:val="clear" w:pos="360"/>
        </w:tabs>
        <w:spacing w:before="120" w:after="120"/>
        <w:ind w:left="720"/>
        <w:rPr>
          <w:b/>
        </w:rPr>
      </w:pPr>
      <w:r w:rsidRPr="00C73F81">
        <w:rPr>
          <w:b/>
        </w:rPr>
        <w:t>requiring respondents to retain records, other than health, medical, government contract, grant-in-aid, or tax records for more than three years;</w:t>
      </w:r>
    </w:p>
    <w:p w:rsidR="00AA1810" w:rsidRPr="00C73F81" w:rsidP="007D4531" w14:paraId="603C7F11" w14:textId="77777777">
      <w:pPr>
        <w:numPr>
          <w:ilvl w:val="0"/>
          <w:numId w:val="3"/>
        </w:numPr>
        <w:tabs>
          <w:tab w:val="clear" w:pos="360"/>
        </w:tabs>
        <w:spacing w:before="120" w:after="120"/>
        <w:ind w:left="720"/>
        <w:rPr>
          <w:b/>
        </w:rPr>
      </w:pPr>
      <w:r w:rsidRPr="00C73F81">
        <w:rPr>
          <w:b/>
        </w:rPr>
        <w:t>in connection with a statistical survey, that is not designed to produce valid and reliable results that can be generalized to the universe of study;</w:t>
      </w:r>
    </w:p>
    <w:p w:rsidR="00AA1810" w:rsidRPr="00C73F81" w:rsidP="007D4531" w14:paraId="0BE39981" w14:textId="77777777">
      <w:pPr>
        <w:numPr>
          <w:ilvl w:val="0"/>
          <w:numId w:val="4"/>
        </w:numPr>
        <w:tabs>
          <w:tab w:val="clear" w:pos="360"/>
        </w:tabs>
        <w:spacing w:before="120" w:after="120"/>
        <w:ind w:left="720"/>
        <w:rPr>
          <w:b/>
        </w:rPr>
      </w:pPr>
      <w:r w:rsidRPr="00C73F81">
        <w:rPr>
          <w:b/>
        </w:rPr>
        <w:t>requiring the use of a statistical data classification that has not been reviewed and approved by OMB;</w:t>
      </w:r>
    </w:p>
    <w:p w:rsidR="00AA1810" w:rsidRPr="00C73F81" w:rsidP="007D4531" w14:paraId="358493AD" w14:textId="77777777">
      <w:pPr>
        <w:numPr>
          <w:ilvl w:val="0"/>
          <w:numId w:val="5"/>
        </w:numPr>
        <w:tabs>
          <w:tab w:val="clear" w:pos="360"/>
        </w:tabs>
        <w:spacing w:before="120" w:after="120"/>
        <w:ind w:left="720"/>
        <w:rPr>
          <w:b/>
        </w:rPr>
      </w:pPr>
      <w:r w:rsidRPr="00C73F8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810" w:rsidRPr="004C28F2" w:rsidP="007D4531" w14:paraId="3A2214F6" w14:textId="77777777">
      <w:pPr>
        <w:numPr>
          <w:ilvl w:val="0"/>
          <w:numId w:val="6"/>
        </w:numPr>
        <w:tabs>
          <w:tab w:val="num" w:pos="288"/>
          <w:tab w:val="clear" w:pos="360"/>
        </w:tabs>
        <w:spacing w:before="120" w:after="240"/>
        <w:ind w:left="720"/>
      </w:pPr>
      <w:r w:rsidRPr="00C73F81">
        <w:rPr>
          <w:b/>
        </w:rPr>
        <w:t>requiring respondents to submit proprietary trade secret, or other confidential information unless the agency can demonstrate that it has instituted procedures to protect the information's confidentiality to the extent permitted by law.</w:t>
      </w:r>
    </w:p>
    <w:p w:rsidR="00AA1810" w:rsidRPr="00C73F81" w:rsidP="00AA1810" w14:paraId="488AF549" w14:textId="77777777">
      <w:pPr>
        <w:pStyle w:val="300"/>
        <w:rPr>
          <w:sz w:val="24"/>
          <w:szCs w:val="24"/>
        </w:rPr>
      </w:pPr>
      <w:r w:rsidRPr="00C73F81">
        <w:rPr>
          <w:sz w:val="24"/>
          <w:szCs w:val="24"/>
        </w:rPr>
        <w:t>No other special circumstances exist that would require this collection to be conducted in a manner inconsistent with the guidelines in 5 CFR 1320.5.</w:t>
      </w:r>
    </w:p>
    <w:p w:rsidR="00AA1810" w:rsidP="00AA1810" w14:paraId="15F0DC25" w14:textId="77777777"/>
    <w:p w:rsidR="00AA1810" w:rsidRPr="002F7857" w:rsidP="00AA1810" w14:paraId="543A3D20" w14:textId="77777777"/>
    <w:p w:rsidR="00AA1810" w:rsidRPr="00C73F81" w:rsidP="00AA1810" w14:paraId="5947CB9E" w14:textId="77777777">
      <w:pPr>
        <w:rPr>
          <w:b/>
        </w:rPr>
      </w:pPr>
      <w:r w:rsidRPr="00464488">
        <w:rPr>
          <w:rStyle w:val="InitialStyle"/>
          <w:rFonts w:ascii="Times New Roman" w:hAnsi="Times New Roman"/>
          <w:b/>
        </w:rPr>
        <w:t xml:space="preserve">8.  </w:t>
      </w:r>
      <w:r w:rsidRPr="00464488">
        <w:rPr>
          <w:b/>
          <w:bCs/>
        </w:rPr>
        <w:t>Des</w:t>
      </w:r>
      <w:r w:rsidRPr="00C346D1">
        <w:rPr>
          <w:b/>
          <w:bCs/>
        </w:rPr>
        <w:t>cribe efforts to consult with persons outside the agency to obtain their views on the availability of data, frequency of collection, the clarity of</w:t>
      </w:r>
      <w:r w:rsidRPr="00C73F81">
        <w:rPr>
          <w:b/>
          <w:bCs/>
        </w:rPr>
        <w:t xml:space="preserve"> instructions and recordkeeping, disclosure, or reporting format (if any), and on the data elements to be recorded, disclosed, or reported.</w:t>
      </w:r>
      <w:r w:rsidRPr="00C73F81">
        <w:rPr>
          <w:rStyle w:val="InitialStyle"/>
          <w:b/>
        </w:rPr>
        <w:t xml:space="preserve"> </w:t>
      </w:r>
      <w:r w:rsidRPr="00C73F81">
        <w:rPr>
          <w:b/>
        </w:rPr>
        <w:t>If applicable, provide a copy and identify the date and page number of publication in the Federal Register of the Agency's notice, soliciting comments on the information collection prior to submission to OMB.</w:t>
      </w:r>
    </w:p>
    <w:p w:rsidR="00AA1810" w:rsidRPr="00C73F81" w:rsidP="00AA1810" w14:paraId="325B41D1" w14:textId="77777777">
      <w:pPr>
        <w:pStyle w:val="BodyTextIndent2"/>
        <w:ind w:left="0"/>
        <w:jc w:val="left"/>
        <w:rPr>
          <w:szCs w:val="24"/>
        </w:rPr>
      </w:pPr>
    </w:p>
    <w:p w:rsidR="00792A94" w:rsidP="00A54420" w14:paraId="0618CDDB" w14:textId="51680101">
      <w:bookmarkStart w:id="2" w:name="_Hlk118370275"/>
      <w:r>
        <w:t xml:space="preserve">APHIS engaged in productive consultations with the following individuals concerning the information activities associated with this program.  It contacted these respondents by email and phone to discuss the information APHIS collects to administer </w:t>
      </w:r>
      <w:r>
        <w:t xml:space="preserve">its horse protection regulations.   </w:t>
      </w:r>
    </w:p>
    <w:p w:rsidR="00A54420" w:rsidP="00A54420" w14:paraId="5B9BC297" w14:textId="6B337EBC">
      <w:r>
        <w:t xml:space="preserve">The individuals had no concerns with </w:t>
      </w:r>
      <w:r w:rsidR="00792A94">
        <w:t xml:space="preserve">how the Agency and the respondents obtain the necessary data and how frequently; how much data is available; the convenience and clarity of reporting formats and other collection instruments; and the clarity of, and necessity for, any recordkeeping requirements </w:t>
      </w:r>
      <w:r>
        <w:t>and had no further recommendation.</w:t>
      </w:r>
      <w:bookmarkEnd w:id="2"/>
    </w:p>
    <w:p w:rsidR="006F61DA" w:rsidP="006F61DA" w14:paraId="64F1AFD7" w14:textId="420FBCBB">
      <w:pPr>
        <w:pStyle w:val="ListParagraph"/>
        <w:autoSpaceDE/>
        <w:autoSpaceDN/>
        <w:ind w:left="0"/>
        <w:contextualSpacing w:val="0"/>
      </w:pPr>
      <w:r>
        <w:t>Victor Gibson</w:t>
      </w:r>
      <w:r>
        <w:t>, Rep</w:t>
      </w:r>
      <w:r w:rsidRPr="00C73F81">
        <w:t>resentative</w:t>
      </w:r>
    </w:p>
    <w:p w:rsidR="006F61DA" w:rsidRPr="00C73F81" w:rsidP="006F61DA" w14:paraId="26F3C564" w14:textId="77777777">
      <w:pPr>
        <w:pStyle w:val="ListParagraph"/>
        <w:autoSpaceDE/>
        <w:autoSpaceDN/>
        <w:ind w:left="0"/>
        <w:contextualSpacing w:val="0"/>
      </w:pPr>
      <w:r>
        <w:t>DQP Services HIO</w:t>
      </w:r>
    </w:p>
    <w:p w:rsidR="00D66027" w:rsidP="006F61DA" w14:paraId="70E85196" w14:textId="77777777">
      <w:r w:rsidRPr="00A13009">
        <w:t xml:space="preserve">Unionville, TN </w:t>
      </w:r>
    </w:p>
    <w:p w:rsidR="00C64B84" w:rsidP="006F61DA" w14:paraId="1B8ED38B" w14:textId="649D3CF6">
      <w:pPr>
        <w:pStyle w:val="ListParagraph"/>
        <w:autoSpaceDE/>
        <w:autoSpaceDN/>
        <w:ind w:left="0"/>
        <w:contextualSpacing w:val="0"/>
      </w:pPr>
      <w:r>
        <w:t xml:space="preserve">Phone: </w:t>
      </w:r>
      <w:r w:rsidRPr="006525C2" w:rsidR="006525C2">
        <w:t>229</w:t>
      </w:r>
      <w:r>
        <w:t>.</w:t>
      </w:r>
      <w:r w:rsidRPr="006525C2" w:rsidR="006525C2">
        <w:t>376</w:t>
      </w:r>
      <w:r>
        <w:t>.</w:t>
      </w:r>
      <w:r w:rsidRPr="006525C2" w:rsidR="006525C2">
        <w:t>6407</w:t>
      </w:r>
    </w:p>
    <w:p w:rsidR="00C64B84" w:rsidP="006F61DA" w14:paraId="51562C46" w14:textId="55D5BFAF">
      <w:pPr>
        <w:pStyle w:val="NoSpacing"/>
        <w:rPr>
          <w:rFonts w:ascii="Times New Roman" w:hAnsi="Times New Roman"/>
          <w:sz w:val="24"/>
          <w:szCs w:val="24"/>
        </w:rPr>
      </w:pPr>
      <w:r>
        <w:rPr>
          <w:rFonts w:ascii="Times New Roman" w:hAnsi="Times New Roman"/>
          <w:sz w:val="24"/>
          <w:szCs w:val="24"/>
        </w:rPr>
        <w:t xml:space="preserve">Email: </w:t>
      </w:r>
      <w:r w:rsidRPr="004C28F2">
        <w:rPr>
          <w:rFonts w:ascii="Times New Roman" w:hAnsi="Times New Roman"/>
          <w:sz w:val="24"/>
          <w:szCs w:val="24"/>
        </w:rPr>
        <w:t>victordgibson55@yahoo.com</w:t>
      </w:r>
    </w:p>
    <w:p w:rsidR="00AA1810" w:rsidRPr="00C346D1" w:rsidP="00C64B84" w14:paraId="71ED5CC8" w14:textId="77777777">
      <w:pPr>
        <w:ind w:firstLine="720"/>
      </w:pPr>
    </w:p>
    <w:p w:rsidR="006525C2" w:rsidP="006F61DA" w14:paraId="3A0D5F51" w14:textId="77777777">
      <w:pPr>
        <w:pStyle w:val="ListParagraph"/>
        <w:autoSpaceDE/>
        <w:autoSpaceDN/>
        <w:ind w:left="0"/>
        <w:contextualSpacing w:val="0"/>
      </w:pPr>
      <w:r w:rsidRPr="008C137F">
        <w:t>Mitsy Marquez</w:t>
      </w:r>
      <w:r w:rsidR="006F61DA">
        <w:t>, Representative</w:t>
      </w:r>
    </w:p>
    <w:p w:rsidR="006F61DA" w:rsidRPr="00C73F81" w:rsidP="006F61DA" w14:paraId="2E0E673D" w14:textId="77777777">
      <w:pPr>
        <w:pStyle w:val="ListParagraph"/>
        <w:autoSpaceDE/>
        <w:autoSpaceDN/>
        <w:ind w:left="0"/>
        <w:contextualSpacing w:val="0"/>
      </w:pPr>
      <w:r>
        <w:t>CFTA</w:t>
      </w:r>
      <w:r w:rsidRPr="00C73F81">
        <w:t xml:space="preserve"> HIO</w:t>
      </w:r>
    </w:p>
    <w:p w:rsidR="00D66027" w:rsidP="006F61DA" w14:paraId="799B6D91" w14:textId="77777777">
      <w:r w:rsidRPr="008C137F">
        <w:t>Norco, CA</w:t>
      </w:r>
    </w:p>
    <w:p w:rsidR="00C64B84" w:rsidP="006F61DA" w14:paraId="5AC74EC8" w14:textId="77777777">
      <w:pPr>
        <w:pStyle w:val="ListParagraph"/>
        <w:autoSpaceDE/>
        <w:autoSpaceDN/>
        <w:ind w:left="0"/>
        <w:contextualSpacing w:val="0"/>
      </w:pPr>
      <w:r>
        <w:t xml:space="preserve">Phone:  </w:t>
      </w:r>
      <w:r w:rsidRPr="006525C2" w:rsidR="006525C2">
        <w:t>909.744.0150</w:t>
      </w:r>
    </w:p>
    <w:p w:rsidR="00C64B84" w:rsidRPr="00B8111C" w:rsidP="006F61DA" w14:paraId="2B263948" w14:textId="3BF94372">
      <w:pPr>
        <w:rPr>
          <w:rStyle w:val="Hyperlink"/>
          <w:color w:val="auto"/>
        </w:rPr>
      </w:pPr>
      <w:r>
        <w:t xml:space="preserve">Email: </w:t>
      </w:r>
      <w:r w:rsidRPr="004C28F2">
        <w:t>mitsy.marquez</w:t>
      </w:r>
      <w:r w:rsidRPr="00B8111C">
        <w:t>@abc.com</w:t>
      </w:r>
    </w:p>
    <w:p w:rsidR="00C64B84" w:rsidRPr="00B8111C" w:rsidP="00626122" w14:paraId="747044D6" w14:textId="4F7683A6"/>
    <w:p w:rsidR="006525C2" w:rsidRPr="00B8111C" w:rsidP="006F61DA" w14:paraId="120DC31A" w14:textId="306912A6">
      <w:pPr>
        <w:pStyle w:val="ListParagraph"/>
        <w:autoSpaceDE/>
        <w:autoSpaceDN/>
        <w:ind w:left="0"/>
        <w:contextualSpacing w:val="0"/>
      </w:pPr>
      <w:r w:rsidRPr="00B8111C">
        <w:t>Teresa Bippen</w:t>
      </w:r>
      <w:r w:rsidRPr="00B8111C" w:rsidR="006F61DA">
        <w:t>, Representative</w:t>
      </w:r>
    </w:p>
    <w:p w:rsidR="006F61DA" w:rsidRPr="00C73F81" w:rsidP="006F61DA" w14:paraId="35026B94" w14:textId="77777777">
      <w:pPr>
        <w:pStyle w:val="ListParagraph"/>
        <w:autoSpaceDE/>
        <w:autoSpaceDN/>
        <w:ind w:left="0"/>
        <w:contextualSpacing w:val="0"/>
      </w:pPr>
      <w:r>
        <w:t>FOSH</w:t>
      </w:r>
      <w:r w:rsidRPr="00C73F81">
        <w:t xml:space="preserve"> HIO</w:t>
      </w:r>
    </w:p>
    <w:p w:rsidR="00D66027" w:rsidP="006F61DA" w14:paraId="38E5C9E8" w14:textId="77777777">
      <w:r w:rsidRPr="008C137F">
        <w:t xml:space="preserve">St. Louis, MO  </w:t>
      </w:r>
    </w:p>
    <w:p w:rsidR="00C64B84" w:rsidP="006F61DA" w14:paraId="627FAB83" w14:textId="77777777">
      <w:pPr>
        <w:pStyle w:val="ListParagraph"/>
        <w:autoSpaceDE/>
        <w:autoSpaceDN/>
        <w:ind w:left="0"/>
        <w:contextualSpacing w:val="0"/>
      </w:pPr>
      <w:r>
        <w:t xml:space="preserve">Phone:  </w:t>
      </w:r>
      <w:r w:rsidRPr="006525C2" w:rsidR="006525C2">
        <w:t>314.409</w:t>
      </w:r>
      <w:r>
        <w:t>.</w:t>
      </w:r>
      <w:r w:rsidRPr="006525C2" w:rsidR="006525C2">
        <w:t>3861</w:t>
      </w:r>
    </w:p>
    <w:p w:rsidR="00C64B84" w:rsidRPr="00F41410" w:rsidP="006F61DA" w14:paraId="56E39F73" w14:textId="7F388D51">
      <w:pPr>
        <w:rPr>
          <w:rStyle w:val="Hyperlink"/>
          <w:color w:val="auto"/>
        </w:rPr>
      </w:pPr>
      <w:r>
        <w:t xml:space="preserve">Email: </w:t>
      </w:r>
      <w:r w:rsidRPr="004C28F2">
        <w:t>tbippen1957@yahoo.</w:t>
      </w:r>
      <w:r w:rsidRPr="00F41410">
        <w:t>com</w:t>
      </w:r>
    </w:p>
    <w:p w:rsidR="00C64B84" w:rsidRPr="00F41410" w:rsidP="00F41410" w14:paraId="7568D6F7" w14:textId="77777777">
      <w:pPr>
        <w:rPr>
          <w:b/>
          <w:u w:val="single"/>
        </w:rPr>
      </w:pPr>
    </w:p>
    <w:p w:rsidR="00D66027" w:rsidP="00D66027" w14:paraId="520BB9EA" w14:textId="7BB2EBAE">
      <w:r w:rsidRPr="00F41410">
        <w:t xml:space="preserve">On </w:t>
      </w:r>
      <w:r w:rsidRPr="00F41410" w:rsidR="00694D86">
        <w:t>Tuesday, March 8, 2022</w:t>
      </w:r>
      <w:r w:rsidRPr="00F41410">
        <w:t xml:space="preserve">, APHIS published in </w:t>
      </w:r>
      <w:r w:rsidRPr="00694D86">
        <w:t>the Federal Register (</w:t>
      </w:r>
      <w:r w:rsidRPr="00694D86" w:rsidR="00694D86">
        <w:t>87 FR 12926</w:t>
      </w:r>
      <w:r w:rsidRPr="00694D86">
        <w:t>), a 60-day notice seeking public comments on its plans to request a 3-year approval of this collection of information.</w:t>
      </w:r>
      <w:r w:rsidRPr="00694D86" w:rsidR="00694D86">
        <w:t xml:space="preserve">  On Tuesday, March 29, 2022, APHIS published </w:t>
      </w:r>
      <w:r w:rsidR="00694D86">
        <w:t xml:space="preserve">a notice in the </w:t>
      </w:r>
      <w:r w:rsidRPr="00694D86" w:rsidR="00694D86">
        <w:t>Federal Register (87</w:t>
      </w:r>
      <w:r w:rsidR="00694D86">
        <w:t> </w:t>
      </w:r>
      <w:r w:rsidRPr="00694D86" w:rsidR="00694D86">
        <w:t xml:space="preserve">FR 17977), correcting a phone number in the original notice.  </w:t>
      </w:r>
      <w:r w:rsidR="00B8111C">
        <w:t xml:space="preserve">APHIS did not receive any </w:t>
      </w:r>
      <w:r w:rsidRPr="00694D86" w:rsidR="00694D86">
        <w:t>public comments.</w:t>
      </w:r>
    </w:p>
    <w:p w:rsidR="00D66027" w:rsidRPr="002F7857" w:rsidP="00AA1810" w14:paraId="26E82D56" w14:textId="77777777">
      <w:pPr>
        <w:pStyle w:val="NormalWeb"/>
        <w:shd w:val="clear" w:color="auto" w:fill="FFFFFF"/>
        <w:spacing w:before="0" w:beforeAutospacing="0" w:after="0" w:afterAutospacing="0"/>
      </w:pPr>
    </w:p>
    <w:p w:rsidR="00AA1810" w:rsidRPr="002F7857" w:rsidP="00AA1810" w14:paraId="3420023A" w14:textId="77777777"/>
    <w:p w:rsidR="00AA1810" w:rsidRPr="00C73F81" w:rsidP="00AA1810" w14:paraId="4B023792" w14:textId="77777777">
      <w:r w:rsidRPr="00C346D1">
        <w:rPr>
          <w:b/>
        </w:rPr>
        <w:t xml:space="preserve">9.  Explain any decision to provide any payment or gift to respondents, other than </w:t>
      </w:r>
      <w:r w:rsidRPr="00C73F81">
        <w:rPr>
          <w:b/>
        </w:rPr>
        <w:t>remuneration of contractors or grantees.</w:t>
      </w:r>
    </w:p>
    <w:p w:rsidR="00AA1810" w:rsidRPr="00C73F81" w:rsidP="00AA1810" w14:paraId="2F1AC756" w14:textId="77777777"/>
    <w:p w:rsidR="00AA1810" w:rsidRPr="00C73F81" w:rsidP="00AA1810" w14:paraId="315E0C47" w14:textId="77777777">
      <w:r w:rsidRPr="00C73F81">
        <w:t>There are no payments of gifts provided to respondents.</w:t>
      </w:r>
    </w:p>
    <w:p w:rsidR="00AA1810" w:rsidP="00AA1810" w14:paraId="0009D810" w14:textId="77777777"/>
    <w:p w:rsidR="00AA1810" w:rsidRPr="002F7857" w:rsidP="00AA1810" w14:paraId="14B2903E" w14:textId="77777777"/>
    <w:p w:rsidR="00AA1810" w:rsidRPr="00C346D1" w:rsidP="00AA1810" w14:paraId="2154575E" w14:textId="77777777">
      <w:pPr>
        <w:rPr>
          <w:b/>
        </w:rPr>
      </w:pPr>
      <w:r w:rsidRPr="00C346D1">
        <w:rPr>
          <w:b/>
        </w:rPr>
        <w:t>10.  Describe any assurance of confidentiality provided to respondents and the basis for the assurance in statute, regulation, or agency policy.</w:t>
      </w:r>
    </w:p>
    <w:p w:rsidR="00AA1810" w:rsidRPr="00C73F81" w:rsidP="00AA1810" w14:paraId="3BA8852A" w14:textId="77777777"/>
    <w:p w:rsidR="00AA1810" w:rsidRPr="00C73F81" w:rsidP="00AA1810" w14:paraId="4B095F9E" w14:textId="77777777">
      <w:r w:rsidRPr="00C73F81">
        <w:t>No assurance of confidentiality is provided to any respondent.</w:t>
      </w:r>
    </w:p>
    <w:p w:rsidR="00AA1810" w:rsidP="00AA1810" w14:paraId="41A6158D" w14:textId="0C3C3D22"/>
    <w:p w:rsidR="00EF2B5E" w:rsidP="00AA1810" w14:paraId="7E01FF17" w14:textId="2DA408F9"/>
    <w:p w:rsidR="00AA1810" w:rsidRPr="00C73F81" w:rsidP="00AA1810" w14:paraId="56CD1542" w14:textId="49FD4724">
      <w:pPr>
        <w:rPr>
          <w:b/>
        </w:rPr>
      </w:pPr>
      <w:r w:rsidRPr="00C73F81">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810" w:rsidRPr="00C73F81" w:rsidP="00AA1810" w14:paraId="14B5656A" w14:textId="77777777"/>
    <w:p w:rsidR="00AA1810" w:rsidRPr="00C73F81" w:rsidP="00AA1810" w14:paraId="0E003E38" w14:textId="77777777">
      <w:r w:rsidRPr="00C73F81">
        <w:t>There are no questions of a sensitive nature asked of the respondents.</w:t>
      </w:r>
    </w:p>
    <w:p w:rsidR="00AA1810" w:rsidRPr="00C73F81" w:rsidP="00AA1810" w14:paraId="3A5FB25A" w14:textId="77777777"/>
    <w:p w:rsidR="00AA1810" w:rsidRPr="00C346D1" w:rsidP="00AA1810" w14:paraId="2376D6CD" w14:textId="77777777">
      <w:pPr>
        <w:rPr>
          <w:b/>
        </w:rPr>
      </w:pPr>
      <w:r w:rsidRPr="00C346D1">
        <w:rPr>
          <w:b/>
        </w:rPr>
        <w:t>12.  Provide estimates of the hour burden of the collection of information.  The statement should:</w:t>
      </w:r>
    </w:p>
    <w:p w:rsidR="00AA1810" w:rsidRPr="00C73F81" w:rsidP="00AA1810" w14:paraId="211B3843" w14:textId="77777777">
      <w:pPr>
        <w:rPr>
          <w:b/>
        </w:rPr>
      </w:pPr>
    </w:p>
    <w:p w:rsidR="00AA1810" w:rsidRPr="00C73F81" w:rsidP="00AA1810" w14:paraId="2C4A2840" w14:textId="77777777">
      <w:pPr>
        <w:numPr>
          <w:ilvl w:val="0"/>
          <w:numId w:val="7"/>
        </w:numPr>
        <w:tabs>
          <w:tab w:val="clear" w:pos="360"/>
        </w:tabs>
        <w:ind w:left="720"/>
        <w:rPr>
          <w:b/>
        </w:rPr>
      </w:pPr>
      <w:r w:rsidRPr="00C73F81">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A1810" w:rsidRPr="00C73F81" w:rsidP="00AA1810" w14:paraId="33F6E4C9" w14:textId="77777777">
      <w:pPr>
        <w:ind w:left="720" w:hanging="360"/>
        <w:rPr>
          <w:b/>
        </w:rPr>
      </w:pPr>
    </w:p>
    <w:p w:rsidR="00AA1810" w:rsidP="00AA1810" w14:paraId="21B3BC14" w14:textId="77777777">
      <w:pPr>
        <w:ind w:left="720"/>
      </w:pPr>
      <w:r w:rsidRPr="00C73F81">
        <w:t>See APHIS Form 71.</w:t>
      </w:r>
    </w:p>
    <w:p w:rsidR="00464488" w:rsidRPr="00C73F81" w:rsidP="00AA1810" w14:paraId="07430291" w14:textId="77777777">
      <w:pPr>
        <w:ind w:left="720"/>
      </w:pPr>
    </w:p>
    <w:p w:rsidR="00AA1810" w:rsidRPr="00C346D1" w:rsidP="00AA1810" w14:paraId="30C62A1A" w14:textId="77777777">
      <w:pPr>
        <w:numPr>
          <w:ilvl w:val="0"/>
          <w:numId w:val="8"/>
        </w:numPr>
      </w:pPr>
      <w:r w:rsidRPr="002F7857">
        <w:rPr>
          <w:b/>
        </w:rPr>
        <w:t xml:space="preserve">Provide estimates of annualized cost to respondents for the hour burdens for collections of information, identifying and </w:t>
      </w:r>
      <w:r w:rsidRPr="00C346D1">
        <w:rPr>
          <w:b/>
        </w:rPr>
        <w:t>using appropriate wage rate categories.</w:t>
      </w:r>
    </w:p>
    <w:p w:rsidR="00AA1810" w:rsidRPr="00C73F81" w:rsidP="00AA1810" w14:paraId="3D49EE7A" w14:textId="77777777">
      <w:pPr>
        <w:ind w:left="720" w:hanging="360"/>
        <w:rPr>
          <w:b/>
        </w:rPr>
      </w:pPr>
    </w:p>
    <w:p w:rsidR="00AA1810" w:rsidRPr="002F7857" w:rsidP="00AA1810" w14:paraId="584E9FA7" w14:textId="700A4ED8">
      <w:pPr>
        <w:ind w:left="720"/>
      </w:pPr>
      <w:r w:rsidRPr="00C73F81">
        <w:t>APHIS estimates the total annualized cost to the respondents to be $</w:t>
      </w:r>
      <w:r w:rsidR="00F3573D">
        <w:t>10</w:t>
      </w:r>
      <w:r w:rsidR="006C66EB">
        <w:t>4,</w:t>
      </w:r>
      <w:r w:rsidR="00540857">
        <w:t>982</w:t>
      </w:r>
      <w:r w:rsidRPr="002F7857">
        <w:t>.  A</w:t>
      </w:r>
      <w:r w:rsidRPr="00C346D1">
        <w:t xml:space="preserve">PHIS arrived at this figure by multiplying the total burden hours </w:t>
      </w:r>
      <w:r>
        <w:t>(</w:t>
      </w:r>
      <w:r w:rsidR="004D29DB">
        <w:t>2,6</w:t>
      </w:r>
      <w:r w:rsidR="006F61DA">
        <w:t>50</w:t>
      </w:r>
      <w:r>
        <w:t>)</w:t>
      </w:r>
      <w:r w:rsidRPr="006F61DA" w:rsidR="006C66EB">
        <w:rPr>
          <w:rFonts w:cs="Calibri"/>
        </w:rPr>
        <w:t xml:space="preserve"> by the estimated average hourly wage of the above respondents ($</w:t>
      </w:r>
      <w:r w:rsidR="00B30BD7">
        <w:rPr>
          <w:rFonts w:cs="Calibri"/>
        </w:rPr>
        <w:t>27.</w:t>
      </w:r>
      <w:r w:rsidR="00743D80">
        <w:rPr>
          <w:rFonts w:cs="Calibri"/>
        </w:rPr>
        <w:t>34</w:t>
      </w:r>
      <w:r w:rsidRPr="006F61DA" w:rsidR="006C66EB">
        <w:rPr>
          <w:rFonts w:cs="Calibri"/>
        </w:rPr>
        <w:t>) and then multiplying the result by 1.449 to capture benefit costs</w:t>
      </w:r>
      <w:r w:rsidR="00743D80">
        <w:rPr>
          <w:rFonts w:cs="Calibri"/>
        </w:rPr>
        <w:t>.</w:t>
      </w:r>
    </w:p>
    <w:p w:rsidR="00AA1810" w:rsidP="00AA1810" w14:paraId="5B4FA1A2" w14:textId="65244A3B">
      <w:pPr>
        <w:ind w:left="720"/>
        <w:rPr>
          <w:highlight w:val="yellow"/>
        </w:rPr>
      </w:pPr>
    </w:p>
    <w:p w:rsidR="00694D86" w:rsidP="00694D86" w14:paraId="5DD2F396" w14:textId="77777777">
      <w:pPr>
        <w:ind w:left="720"/>
        <w:rPr>
          <w:bCs/>
        </w:rPr>
      </w:pPr>
      <w:r>
        <w:rPr>
          <w:bCs/>
        </w:rPr>
        <w:t>The average hourly rates used to calculate the estimates include the following:</w:t>
      </w:r>
    </w:p>
    <w:p w:rsidR="00694D86" w:rsidP="00694D86" w14:paraId="00D7AD18" w14:textId="77777777">
      <w:pPr>
        <w:rPr>
          <w:bCs/>
        </w:rPr>
      </w:pPr>
    </w:p>
    <w:tbl>
      <w:tblPr>
        <w:tblStyle w:val="PlainTable2"/>
        <w:tblW w:w="0" w:type="auto"/>
        <w:tblInd w:w="719" w:type="dxa"/>
        <w:tblLook w:val="04A0"/>
      </w:tblPr>
      <w:tblGrid>
        <w:gridCol w:w="978"/>
        <w:gridCol w:w="1093"/>
        <w:gridCol w:w="6570"/>
      </w:tblGrid>
      <w:tr w14:paraId="3AD7878F" w14:textId="77777777" w:rsidTr="003E6333">
        <w:tblPrEx>
          <w:tblW w:w="0" w:type="auto"/>
          <w:tblInd w:w="719" w:type="dxa"/>
          <w:tblLook w:val="04A0"/>
        </w:tblPrEx>
        <w:tc>
          <w:tcPr>
            <w:tcW w:w="978" w:type="dxa"/>
            <w:vAlign w:val="bottom"/>
            <w:hideMark/>
          </w:tcPr>
          <w:p w:rsidR="00694D86" w:rsidRPr="00626122" w:rsidP="00540857" w14:paraId="6D182D49" w14:textId="77777777">
            <w:pPr>
              <w:jc w:val="center"/>
              <w:rPr>
                <w:bCs w:val="0"/>
                <w:sz w:val="22"/>
                <w:szCs w:val="22"/>
              </w:rPr>
            </w:pPr>
            <w:r w:rsidRPr="00626122">
              <w:rPr>
                <w:bCs w:val="0"/>
                <w:sz w:val="22"/>
                <w:szCs w:val="22"/>
              </w:rPr>
              <w:t>SOCC Code</w:t>
            </w:r>
          </w:p>
        </w:tc>
        <w:tc>
          <w:tcPr>
            <w:tcW w:w="1093" w:type="dxa"/>
            <w:vAlign w:val="bottom"/>
            <w:hideMark/>
          </w:tcPr>
          <w:p w:rsidR="00694D86" w:rsidRPr="00626122" w:rsidP="00540857" w14:paraId="538E32DE" w14:textId="7BD2E132">
            <w:pPr>
              <w:jc w:val="center"/>
              <w:rPr>
                <w:bCs w:val="0"/>
                <w:sz w:val="22"/>
                <w:szCs w:val="22"/>
              </w:rPr>
            </w:pPr>
            <w:r w:rsidRPr="00626122">
              <w:rPr>
                <w:bCs w:val="0"/>
                <w:sz w:val="22"/>
                <w:szCs w:val="22"/>
              </w:rPr>
              <w:t>Average</w:t>
            </w:r>
            <w:r w:rsidRPr="00626122" w:rsidR="00540857">
              <w:rPr>
                <w:bCs w:val="0"/>
                <w:sz w:val="22"/>
                <w:szCs w:val="22"/>
              </w:rPr>
              <w:t xml:space="preserve"> </w:t>
            </w:r>
            <w:r w:rsidRPr="00626122">
              <w:rPr>
                <w:bCs w:val="0"/>
                <w:sz w:val="22"/>
                <w:szCs w:val="22"/>
              </w:rPr>
              <w:t>Salary</w:t>
            </w:r>
          </w:p>
        </w:tc>
        <w:tc>
          <w:tcPr>
            <w:tcW w:w="6570" w:type="dxa"/>
            <w:vAlign w:val="bottom"/>
            <w:hideMark/>
          </w:tcPr>
          <w:p w:rsidR="00694D86" w:rsidRPr="00626122" w:rsidP="00540857" w14:paraId="114262DE" w14:textId="77777777">
            <w:pPr>
              <w:rPr>
                <w:bCs w:val="0"/>
                <w:sz w:val="22"/>
                <w:szCs w:val="22"/>
              </w:rPr>
            </w:pPr>
            <w:r w:rsidRPr="00626122">
              <w:rPr>
                <w:bCs w:val="0"/>
                <w:sz w:val="22"/>
                <w:szCs w:val="22"/>
              </w:rPr>
              <w:t>Occupation Description</w:t>
            </w:r>
          </w:p>
        </w:tc>
      </w:tr>
      <w:tr w14:paraId="1386DBCC" w14:textId="77777777" w:rsidTr="003E6333">
        <w:tblPrEx>
          <w:tblW w:w="0" w:type="auto"/>
          <w:tblInd w:w="719" w:type="dxa"/>
          <w:tblLook w:val="04A0"/>
        </w:tblPrEx>
        <w:trPr>
          <w:trHeight w:val="431"/>
        </w:trPr>
        <w:tc>
          <w:tcPr>
            <w:tcW w:w="978" w:type="dxa"/>
            <w:vAlign w:val="center"/>
            <w:hideMark/>
          </w:tcPr>
          <w:p w:rsidR="00694D86" w:rsidRPr="00626122" w:rsidP="00540857" w14:paraId="79785987" w14:textId="0FEC8172">
            <w:pPr>
              <w:jc w:val="center"/>
              <w:rPr>
                <w:b w:val="0"/>
                <w:sz w:val="22"/>
                <w:szCs w:val="22"/>
              </w:rPr>
            </w:pPr>
            <w:r w:rsidRPr="00626122">
              <w:rPr>
                <w:bCs w:val="0"/>
                <w:sz w:val="22"/>
                <w:szCs w:val="22"/>
              </w:rPr>
              <w:t>39-2011</w:t>
            </w:r>
          </w:p>
        </w:tc>
        <w:tc>
          <w:tcPr>
            <w:tcW w:w="1093" w:type="dxa"/>
            <w:vAlign w:val="center"/>
            <w:hideMark/>
          </w:tcPr>
          <w:p w:rsidR="00694D86" w:rsidRPr="00626122" w:rsidP="00540857" w14:paraId="190F956B" w14:textId="700FD2E0">
            <w:pPr>
              <w:jc w:val="center"/>
              <w:rPr>
                <w:bCs/>
                <w:sz w:val="22"/>
                <w:szCs w:val="22"/>
              </w:rPr>
            </w:pPr>
            <w:r w:rsidRPr="00626122">
              <w:rPr>
                <w:bCs/>
                <w:sz w:val="22"/>
                <w:szCs w:val="22"/>
              </w:rPr>
              <w:t>$18.</w:t>
            </w:r>
            <w:r w:rsidR="00B339E7">
              <w:rPr>
                <w:bCs/>
                <w:sz w:val="22"/>
                <w:szCs w:val="22"/>
              </w:rPr>
              <w:t>38</w:t>
            </w:r>
          </w:p>
        </w:tc>
        <w:tc>
          <w:tcPr>
            <w:tcW w:w="6570" w:type="dxa"/>
            <w:vAlign w:val="center"/>
            <w:hideMark/>
          </w:tcPr>
          <w:p w:rsidR="00694D86" w:rsidRPr="00626122" w:rsidP="00743D80" w14:paraId="05E3E9A4" w14:textId="5BD10879">
            <w:pPr>
              <w:rPr>
                <w:bCs/>
                <w:sz w:val="22"/>
                <w:szCs w:val="22"/>
              </w:rPr>
            </w:pPr>
            <w:r w:rsidRPr="00626122">
              <w:rPr>
                <w:rStyle w:val="InitialStyle"/>
                <w:rFonts w:ascii="Times New Roman" w:hAnsi="Times New Roman"/>
                <w:sz w:val="22"/>
                <w:szCs w:val="22"/>
              </w:rPr>
              <w:t>Animal trainers</w:t>
            </w:r>
          </w:p>
        </w:tc>
      </w:tr>
      <w:tr w14:paraId="14DE190F" w14:textId="77777777" w:rsidTr="003E6333">
        <w:tblPrEx>
          <w:tblW w:w="0" w:type="auto"/>
          <w:tblInd w:w="719" w:type="dxa"/>
          <w:tblLook w:val="04A0"/>
        </w:tblPrEx>
        <w:trPr>
          <w:trHeight w:val="539"/>
        </w:trPr>
        <w:tc>
          <w:tcPr>
            <w:tcW w:w="978" w:type="dxa"/>
            <w:vAlign w:val="center"/>
            <w:hideMark/>
          </w:tcPr>
          <w:p w:rsidR="00694D86" w:rsidRPr="00626122" w:rsidP="00540857" w14:paraId="37AAE2D3" w14:textId="6A26BFEF">
            <w:pPr>
              <w:jc w:val="center"/>
              <w:rPr>
                <w:bCs w:val="0"/>
                <w:sz w:val="22"/>
                <w:szCs w:val="22"/>
              </w:rPr>
            </w:pPr>
            <w:r w:rsidRPr="00626122">
              <w:rPr>
                <w:bCs w:val="0"/>
                <w:sz w:val="22"/>
                <w:szCs w:val="22"/>
              </w:rPr>
              <w:t>11-9013</w:t>
            </w:r>
          </w:p>
        </w:tc>
        <w:tc>
          <w:tcPr>
            <w:tcW w:w="1093" w:type="dxa"/>
            <w:vAlign w:val="center"/>
            <w:hideMark/>
          </w:tcPr>
          <w:p w:rsidR="00694D86" w:rsidRPr="00626122" w:rsidP="00540857" w14:paraId="31CC7798" w14:textId="33DB7063">
            <w:pPr>
              <w:jc w:val="center"/>
              <w:rPr>
                <w:bCs/>
                <w:sz w:val="22"/>
                <w:szCs w:val="22"/>
              </w:rPr>
            </w:pPr>
            <w:r w:rsidRPr="00626122">
              <w:rPr>
                <w:bCs/>
                <w:sz w:val="22"/>
                <w:szCs w:val="22"/>
              </w:rPr>
              <w:t>$3</w:t>
            </w:r>
            <w:r w:rsidR="00B339E7">
              <w:rPr>
                <w:bCs/>
                <w:sz w:val="22"/>
                <w:szCs w:val="22"/>
              </w:rPr>
              <w:t>7.71</w:t>
            </w:r>
          </w:p>
        </w:tc>
        <w:tc>
          <w:tcPr>
            <w:tcW w:w="6570" w:type="dxa"/>
            <w:vAlign w:val="center"/>
            <w:hideMark/>
          </w:tcPr>
          <w:p w:rsidR="00694D86" w:rsidRPr="00626122" w:rsidP="00743D80" w14:paraId="0C14CBE0" w14:textId="0A87E407">
            <w:pPr>
              <w:rPr>
                <w:bCs/>
                <w:sz w:val="22"/>
                <w:szCs w:val="22"/>
              </w:rPr>
            </w:pPr>
            <w:r w:rsidRPr="00626122">
              <w:rPr>
                <w:rStyle w:val="InitialStyle"/>
                <w:rFonts w:ascii="Times New Roman" w:hAnsi="Times New Roman"/>
                <w:sz w:val="22"/>
                <w:szCs w:val="22"/>
              </w:rPr>
              <w:t>Agricultural managers/event managers (</w:t>
            </w:r>
            <w:r w:rsidRPr="00626122">
              <w:rPr>
                <w:sz w:val="22"/>
                <w:szCs w:val="22"/>
              </w:rPr>
              <w:t>farmers, ranchers and other agricultural managers)</w:t>
            </w:r>
          </w:p>
        </w:tc>
      </w:tr>
      <w:tr w14:paraId="29303F1A" w14:textId="77777777" w:rsidTr="003E6333">
        <w:tblPrEx>
          <w:tblW w:w="0" w:type="auto"/>
          <w:tblInd w:w="719" w:type="dxa"/>
          <w:tblLook w:val="04A0"/>
        </w:tblPrEx>
        <w:trPr>
          <w:trHeight w:val="828"/>
        </w:trPr>
        <w:tc>
          <w:tcPr>
            <w:tcW w:w="978" w:type="dxa"/>
            <w:vAlign w:val="center"/>
            <w:hideMark/>
          </w:tcPr>
          <w:p w:rsidR="00694D86" w:rsidRPr="00626122" w:rsidP="00540857" w14:paraId="27740F45" w14:textId="3137EEF1">
            <w:pPr>
              <w:jc w:val="center"/>
              <w:rPr>
                <w:bCs w:val="0"/>
                <w:sz w:val="22"/>
                <w:szCs w:val="22"/>
              </w:rPr>
            </w:pPr>
            <w:r w:rsidRPr="00626122">
              <w:rPr>
                <w:bCs w:val="0"/>
                <w:sz w:val="22"/>
                <w:szCs w:val="22"/>
              </w:rPr>
              <w:t>43-1011</w:t>
            </w:r>
          </w:p>
        </w:tc>
        <w:tc>
          <w:tcPr>
            <w:tcW w:w="1093" w:type="dxa"/>
            <w:vAlign w:val="center"/>
            <w:hideMark/>
          </w:tcPr>
          <w:p w:rsidR="00694D86" w:rsidRPr="00626122" w:rsidP="00540857" w14:paraId="2A7A9419" w14:textId="14F3807C">
            <w:pPr>
              <w:jc w:val="center"/>
              <w:rPr>
                <w:bCs/>
                <w:sz w:val="22"/>
                <w:szCs w:val="22"/>
              </w:rPr>
            </w:pPr>
            <w:r w:rsidRPr="00626122">
              <w:rPr>
                <w:bCs/>
                <w:sz w:val="22"/>
                <w:szCs w:val="22"/>
              </w:rPr>
              <w:t>$</w:t>
            </w:r>
            <w:r w:rsidR="00B339E7">
              <w:rPr>
                <w:bCs/>
                <w:sz w:val="22"/>
                <w:szCs w:val="22"/>
              </w:rPr>
              <w:t>30.47</w:t>
            </w:r>
          </w:p>
        </w:tc>
        <w:tc>
          <w:tcPr>
            <w:tcW w:w="6570" w:type="dxa"/>
            <w:vAlign w:val="center"/>
            <w:hideMark/>
          </w:tcPr>
          <w:p w:rsidR="00694D86" w:rsidRPr="00626122" w:rsidP="00743D80" w14:paraId="3B90483E" w14:textId="30DC8F99">
            <w:pPr>
              <w:rPr>
                <w:rStyle w:val="InitialStyle"/>
                <w:rFonts w:ascii="Times New Roman" w:hAnsi="Times New Roman"/>
                <w:sz w:val="22"/>
                <w:szCs w:val="22"/>
              </w:rPr>
            </w:pPr>
            <w:r w:rsidRPr="00626122">
              <w:rPr>
                <w:sz w:val="22"/>
                <w:szCs w:val="22"/>
              </w:rPr>
              <w:t>Supervisors of office and administrative support workers (HIO personnel (first-line supervisors of office and administrative support workers)</w:t>
            </w:r>
          </w:p>
        </w:tc>
      </w:tr>
      <w:tr w14:paraId="0C672951" w14:textId="77777777" w:rsidTr="003E6333">
        <w:tblPrEx>
          <w:tblW w:w="0" w:type="auto"/>
          <w:tblInd w:w="719" w:type="dxa"/>
          <w:tblLook w:val="04A0"/>
        </w:tblPrEx>
        <w:trPr>
          <w:trHeight w:val="828"/>
        </w:trPr>
        <w:tc>
          <w:tcPr>
            <w:tcW w:w="978" w:type="dxa"/>
            <w:vAlign w:val="center"/>
            <w:hideMark/>
          </w:tcPr>
          <w:p w:rsidR="00694D86" w:rsidRPr="00626122" w:rsidP="00540857" w14:paraId="3AF19459" w14:textId="77777777">
            <w:pPr>
              <w:jc w:val="center"/>
              <w:rPr>
                <w:sz w:val="22"/>
                <w:szCs w:val="22"/>
              </w:rPr>
            </w:pPr>
            <w:r w:rsidRPr="00626122">
              <w:rPr>
                <w:bCs w:val="0"/>
                <w:sz w:val="22"/>
                <w:szCs w:val="22"/>
              </w:rPr>
              <w:t>45-1011</w:t>
            </w:r>
          </w:p>
        </w:tc>
        <w:tc>
          <w:tcPr>
            <w:tcW w:w="1093" w:type="dxa"/>
            <w:vAlign w:val="center"/>
            <w:hideMark/>
          </w:tcPr>
          <w:p w:rsidR="00694D86" w:rsidRPr="00626122" w:rsidP="00540857" w14:paraId="60D4F43F" w14:textId="49CD2890">
            <w:pPr>
              <w:jc w:val="center"/>
              <w:rPr>
                <w:bCs/>
                <w:sz w:val="22"/>
                <w:szCs w:val="22"/>
              </w:rPr>
            </w:pPr>
            <w:r w:rsidRPr="00626122">
              <w:rPr>
                <w:bCs/>
                <w:sz w:val="22"/>
                <w:szCs w:val="22"/>
              </w:rPr>
              <w:t>$2</w:t>
            </w:r>
            <w:r w:rsidR="00B339E7">
              <w:rPr>
                <w:bCs/>
                <w:sz w:val="22"/>
                <w:szCs w:val="22"/>
              </w:rPr>
              <w:t>2.80</w:t>
            </w:r>
          </w:p>
        </w:tc>
        <w:tc>
          <w:tcPr>
            <w:tcW w:w="6570" w:type="dxa"/>
            <w:vAlign w:val="center"/>
            <w:hideMark/>
          </w:tcPr>
          <w:p w:rsidR="00694D86" w:rsidRPr="00626122" w:rsidP="00743D80" w14:paraId="64AAED86" w14:textId="187DA7C4">
            <w:pPr>
              <w:rPr>
                <w:rStyle w:val="InitialStyle"/>
                <w:rFonts w:ascii="Times New Roman" w:hAnsi="Times New Roman"/>
                <w:sz w:val="22"/>
                <w:szCs w:val="22"/>
              </w:rPr>
            </w:pPr>
            <w:r w:rsidRPr="00626122">
              <w:rPr>
                <w:rStyle w:val="InitialStyle"/>
                <w:rFonts w:ascii="Times New Roman" w:hAnsi="Times New Roman"/>
                <w:sz w:val="22"/>
                <w:szCs w:val="22"/>
              </w:rPr>
              <w:t>Importers and individuals transiting various commodities not eligible for importation into the United States (first-line supervisors of farming, fishing, and forestry workers occupations)</w:t>
            </w:r>
          </w:p>
        </w:tc>
      </w:tr>
      <w:tr w14:paraId="7B752B8D" w14:textId="77777777" w:rsidTr="003E6333">
        <w:tblPrEx>
          <w:tblW w:w="0" w:type="auto"/>
          <w:tblInd w:w="719" w:type="dxa"/>
          <w:tblLook w:val="04A0"/>
        </w:tblPrEx>
        <w:trPr>
          <w:trHeight w:val="432"/>
        </w:trPr>
        <w:tc>
          <w:tcPr>
            <w:tcW w:w="978" w:type="dxa"/>
          </w:tcPr>
          <w:p w:rsidR="00694D86" w:rsidRPr="00743D80" w14:paraId="2894332E" w14:textId="77777777">
            <w:pPr>
              <w:jc w:val="center"/>
              <w:rPr>
                <w:sz w:val="22"/>
                <w:szCs w:val="22"/>
              </w:rPr>
            </w:pPr>
          </w:p>
        </w:tc>
        <w:tc>
          <w:tcPr>
            <w:tcW w:w="1093" w:type="dxa"/>
            <w:vAlign w:val="center"/>
            <w:hideMark/>
          </w:tcPr>
          <w:p w:rsidR="00694D86" w:rsidRPr="00743D80" w:rsidP="00743D80" w14:paraId="587C2CE6" w14:textId="6A7F1655">
            <w:pPr>
              <w:jc w:val="center"/>
              <w:rPr>
                <w:b/>
                <w:sz w:val="22"/>
                <w:szCs w:val="22"/>
              </w:rPr>
            </w:pPr>
            <w:r w:rsidRPr="00743D80">
              <w:rPr>
                <w:b/>
                <w:sz w:val="22"/>
                <w:szCs w:val="22"/>
              </w:rPr>
              <w:t>$</w:t>
            </w:r>
            <w:r w:rsidRPr="00743D80" w:rsidR="00743D80">
              <w:rPr>
                <w:b/>
                <w:sz w:val="22"/>
                <w:szCs w:val="22"/>
              </w:rPr>
              <w:t>27.34</w:t>
            </w:r>
          </w:p>
        </w:tc>
        <w:tc>
          <w:tcPr>
            <w:tcW w:w="6570" w:type="dxa"/>
            <w:vAlign w:val="center"/>
            <w:hideMark/>
          </w:tcPr>
          <w:p w:rsidR="00694D86" w:rsidRPr="00743D80" w:rsidP="00743D80" w14:paraId="2ED34E72" w14:textId="77777777">
            <w:pPr>
              <w:rPr>
                <w:rStyle w:val="InitialStyle"/>
                <w:rFonts w:ascii="Times New Roman" w:hAnsi="Times New Roman"/>
                <w:sz w:val="22"/>
                <w:szCs w:val="22"/>
              </w:rPr>
            </w:pPr>
            <w:r w:rsidRPr="00743D80">
              <w:rPr>
                <w:rStyle w:val="InitialStyle"/>
                <w:rFonts w:ascii="Times New Roman" w:hAnsi="Times New Roman"/>
                <w:b/>
                <w:sz w:val="22"/>
                <w:szCs w:val="22"/>
              </w:rPr>
              <w:t>Average Hourly Salary</w:t>
            </w:r>
          </w:p>
        </w:tc>
      </w:tr>
    </w:tbl>
    <w:p w:rsidR="00694D86" w:rsidP="00694D86" w14:paraId="5914ACA5" w14:textId="77777777">
      <w:pPr>
        <w:rPr>
          <w:rFonts w:eastAsia="Times New Roman"/>
          <w:bCs/>
        </w:rPr>
      </w:pPr>
    </w:p>
    <w:p w:rsidR="00743D80" w:rsidP="00743D80" w14:paraId="25A4A2EA" w14:textId="0A1B240C">
      <w:pPr>
        <w:ind w:left="720"/>
      </w:pPr>
      <w:r>
        <w:t>The rates were found at the U.S. Bureau of Labor Statistics website https://www.bls.gov/</w:t>
      </w:r>
      <w:r>
        <w:br/>
      </w:r>
      <w:r>
        <w:t>oes</w:t>
      </w:r>
      <w:r>
        <w:t xml:space="preserve">/current/oes_stru.htm.  </w:t>
      </w:r>
      <w:bookmarkStart w:id="3" w:name="_Hlk105403155"/>
      <w:r w:rsidR="00B339E7">
        <w:t xml:space="preserve">The average hourly salary in the last renewal was overstated by 43 cents.  The average hourly salary for agricultural managers has decreased by 92 cents per hour due to market changes.  These two changes reflect </w:t>
      </w:r>
      <w:r w:rsidRPr="006F61DA">
        <w:rPr>
          <w:rFonts w:cs="Calibri"/>
        </w:rPr>
        <w:t xml:space="preserve">a slightly </w:t>
      </w:r>
      <w:r w:rsidR="00B339E7">
        <w:rPr>
          <w:rFonts w:cs="Calibri"/>
        </w:rPr>
        <w:t xml:space="preserve">overall </w:t>
      </w:r>
      <w:r w:rsidRPr="006F61DA">
        <w:rPr>
          <w:rFonts w:cs="Calibri"/>
        </w:rPr>
        <w:t>decreased average salary from that reported in the previous submission</w:t>
      </w:r>
      <w:bookmarkEnd w:id="3"/>
      <w:r w:rsidR="003C0FB7">
        <w:rPr>
          <w:rFonts w:cs="Calibri"/>
        </w:rPr>
        <w:t>.</w:t>
      </w:r>
    </w:p>
    <w:p w:rsidR="00743D80" w:rsidP="00743D80" w14:paraId="380AAD05" w14:textId="77777777"/>
    <w:p w:rsidR="00743D80" w:rsidP="00743D80" w14:paraId="0C9C73A2" w14:textId="616FA020">
      <w:pPr>
        <w:ind w:left="720"/>
      </w:pPr>
      <w:r>
        <w:t>According to DOL BLS news release USDL-22-0469 dated March 18, 2022 (see https://www.bls.gov/news.release/pdf/ecec.pdf), benefits account for 31 percent of employee costs, and wages account for the remaining 69 percent.  Mathematically, total costs can be calculated as a function of wages, resulting in a multiplier of 1.449.</w:t>
      </w:r>
    </w:p>
    <w:p w:rsidR="00743D80" w:rsidP="00200018" w14:paraId="125EC9AA" w14:textId="77777777"/>
    <w:p w:rsidR="00743D80" w:rsidRPr="00B8111C" w:rsidP="00AA1810" w14:paraId="5109F0AF" w14:textId="77777777">
      <w:pPr>
        <w:rPr>
          <w:bCs/>
        </w:rPr>
      </w:pPr>
    </w:p>
    <w:p w:rsidR="00AA1810" w:rsidRPr="00C73F81" w:rsidP="00AA1810" w14:paraId="50F6DC27" w14:textId="50B6A940">
      <w:pPr>
        <w:rPr>
          <w:b/>
        </w:rPr>
      </w:pPr>
      <w:r>
        <w:rPr>
          <w:b/>
        </w:rPr>
        <w:t>1</w:t>
      </w:r>
      <w:r w:rsidRPr="00C346D1">
        <w:rPr>
          <w:b/>
        </w:rPr>
        <w:t xml:space="preserve">3.  Provide estimates of the total annual cost burden to respondents or record keepers resulting from the collection of </w:t>
      </w:r>
      <w:r w:rsidRPr="00C73F81">
        <w:rPr>
          <w:b/>
        </w:rPr>
        <w:t>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A1810" w:rsidRPr="00C73F81" w:rsidP="00AA1810" w14:paraId="2968B1F1" w14:textId="77777777"/>
    <w:p w:rsidR="00AA1810" w:rsidRPr="00C73F81" w:rsidP="00AA1810" w14:paraId="307F2200" w14:textId="77777777">
      <w:r w:rsidRPr="00C73F81">
        <w:t>There is no additional cost burden to the respondents.</w:t>
      </w:r>
    </w:p>
    <w:p w:rsidR="00AA1810" w:rsidP="00AA1810" w14:paraId="18481D5D" w14:textId="77777777">
      <w:pPr>
        <w:rPr>
          <w:b/>
        </w:rPr>
      </w:pPr>
    </w:p>
    <w:p w:rsidR="00E82FB9" w14:paraId="406065BE" w14:textId="7F653E6D">
      <w:pPr>
        <w:rPr>
          <w:b/>
        </w:rPr>
      </w:pPr>
    </w:p>
    <w:p w:rsidR="00AA1810" w:rsidRPr="00C73F81" w:rsidP="00AA1810" w14:paraId="5AAFE47B" w14:textId="4D2BEF2F">
      <w:pPr>
        <w:rPr>
          <w:b/>
        </w:rPr>
      </w:pPr>
      <w:r w:rsidRPr="00C73F81">
        <w:rPr>
          <w:b/>
        </w:rPr>
        <w:t>14.  Provide estimates of annualized cost to the Federal government</w:t>
      </w:r>
      <w:r w:rsidRPr="00C73F81">
        <w:t xml:space="preserve">.  </w:t>
      </w:r>
      <w:r w:rsidRPr="00C73F81">
        <w:rPr>
          <w:b/>
        </w:rPr>
        <w:t>Also, provide a description of the method used to estimate cost and any other expense that would not have been incurred without this collection of information.</w:t>
      </w:r>
    </w:p>
    <w:p w:rsidR="00AA1810" w:rsidRPr="00C73F81" w:rsidP="00AA1810" w14:paraId="28DD39F9" w14:textId="77777777">
      <w:r w:rsidRPr="00C73F81">
        <w:tab/>
      </w:r>
    </w:p>
    <w:p w:rsidR="000A69C0" w:rsidP="00AA1810" w14:paraId="4A05BF87" w14:textId="77777777">
      <w:r w:rsidRPr="00C73F81">
        <w:t xml:space="preserve">See APHIS Form 79.  The estimated annual cost for the Federal Government is </w:t>
      </w:r>
      <w:r w:rsidRPr="000A69C0">
        <w:t>$</w:t>
      </w:r>
      <w:r w:rsidRPr="000A69C0" w:rsidR="006C66EB">
        <w:t>5</w:t>
      </w:r>
      <w:r w:rsidRPr="000A69C0">
        <w:t>7</w:t>
      </w:r>
      <w:r w:rsidRPr="000A69C0" w:rsidR="006C66EB">
        <w:t>,</w:t>
      </w:r>
      <w:r w:rsidRPr="000A69C0">
        <w:t>604</w:t>
      </w:r>
      <w:r w:rsidRPr="000A69C0" w:rsidR="006C66EB">
        <w:t>.</w:t>
      </w:r>
    </w:p>
    <w:p w:rsidR="000A69C0" w:rsidP="00AA1810" w14:paraId="59916F1D" w14:textId="77777777"/>
    <w:p w:rsidR="006C66EB" w:rsidP="00AA1810" w14:paraId="3B6099E8" w14:textId="77777777"/>
    <w:p w:rsidR="00AA1810" w:rsidRPr="00C73F81" w:rsidP="00AA1810" w14:paraId="03FD221E" w14:textId="77777777">
      <w:pPr>
        <w:rPr>
          <w:b/>
        </w:rPr>
      </w:pPr>
      <w:r w:rsidRPr="00C346D1">
        <w:rPr>
          <w:b/>
        </w:rPr>
        <w:t xml:space="preserve">15.  </w:t>
      </w:r>
      <w:r w:rsidRPr="00C73F81">
        <w:rPr>
          <w:b/>
        </w:rPr>
        <w:t>Explain the reasons for any program changes or adjustments reported in Items 13 or 14 of the OMB Form 83-1.</w:t>
      </w:r>
    </w:p>
    <w:p w:rsidR="00AA1810" w:rsidRPr="00C73F81" w:rsidP="00AA1810" w14:paraId="21127B4B" w14:textId="77777777"/>
    <w:tbl>
      <w:tblPr>
        <w:tblStyle w:val="GridTableLight"/>
        <w:tblW w:w="5053" w:type="pct"/>
        <w:tblInd w:w="85" w:type="dxa"/>
        <w:tblLook w:val="04A0"/>
      </w:tblPr>
      <w:tblGrid>
        <w:gridCol w:w="1174"/>
        <w:gridCol w:w="1377"/>
        <w:gridCol w:w="1380"/>
        <w:gridCol w:w="1380"/>
        <w:gridCol w:w="1380"/>
        <w:gridCol w:w="1380"/>
        <w:gridCol w:w="1378"/>
      </w:tblGrid>
      <w:tr w14:paraId="785636AC" w14:textId="77777777" w:rsidTr="00E82FB9">
        <w:tblPrEx>
          <w:tblW w:w="5053" w:type="pct"/>
          <w:tblInd w:w="85" w:type="dxa"/>
          <w:tblLook w:val="04A0"/>
        </w:tblPrEx>
        <w:tc>
          <w:tcPr>
            <w:tcW w:w="622" w:type="pct"/>
            <w:vAlign w:val="bottom"/>
            <w:hideMark/>
          </w:tcPr>
          <w:p w:rsidR="00AA1810" w:rsidRPr="00B30BD7" w:rsidP="00540857" w14:paraId="5D10AE08" w14:textId="77777777">
            <w:pPr>
              <w:jc w:val="center"/>
              <w:rPr>
                <w:rFonts w:ascii="Arial" w:hAnsi="Arial" w:cs="Arial"/>
                <w:sz w:val="20"/>
                <w:szCs w:val="20"/>
              </w:rPr>
            </w:pPr>
          </w:p>
        </w:tc>
        <w:tc>
          <w:tcPr>
            <w:tcW w:w="729" w:type="pct"/>
            <w:vAlign w:val="bottom"/>
            <w:hideMark/>
          </w:tcPr>
          <w:p w:rsidR="00AA1810" w:rsidRPr="00E82FB9" w:rsidP="00540857" w14:paraId="63F1552D" w14:textId="77777777">
            <w:pPr>
              <w:jc w:val="center"/>
              <w:rPr>
                <w:rFonts w:ascii="Arial" w:hAnsi="Arial" w:cs="Arial"/>
                <w:b/>
                <w:bCs/>
                <w:sz w:val="16"/>
                <w:szCs w:val="16"/>
              </w:rPr>
            </w:pPr>
            <w:r w:rsidRPr="00E82FB9">
              <w:rPr>
                <w:rFonts w:ascii="Arial" w:hAnsi="Arial" w:cs="Arial"/>
                <w:b/>
                <w:bCs/>
                <w:sz w:val="16"/>
                <w:szCs w:val="16"/>
              </w:rPr>
              <w:t>Requested</w:t>
            </w:r>
          </w:p>
        </w:tc>
        <w:tc>
          <w:tcPr>
            <w:tcW w:w="730" w:type="pct"/>
            <w:vAlign w:val="bottom"/>
            <w:hideMark/>
          </w:tcPr>
          <w:p w:rsidR="00AA1810" w:rsidRPr="00E82FB9" w:rsidP="00540857" w14:paraId="3C5D8B3F" w14:textId="77777777">
            <w:pPr>
              <w:jc w:val="center"/>
              <w:rPr>
                <w:rFonts w:ascii="Arial" w:hAnsi="Arial" w:cs="Arial"/>
                <w:b/>
                <w:bCs/>
                <w:sz w:val="16"/>
                <w:szCs w:val="16"/>
              </w:rPr>
            </w:pPr>
            <w:r w:rsidRPr="00E82FB9">
              <w:rPr>
                <w:rFonts w:ascii="Arial" w:hAnsi="Arial" w:cs="Arial"/>
                <w:b/>
                <w:bCs/>
                <w:sz w:val="16"/>
                <w:szCs w:val="16"/>
              </w:rPr>
              <w:t>Program Change Due to New Statute</w:t>
            </w:r>
          </w:p>
        </w:tc>
        <w:tc>
          <w:tcPr>
            <w:tcW w:w="730" w:type="pct"/>
            <w:vAlign w:val="bottom"/>
            <w:hideMark/>
          </w:tcPr>
          <w:p w:rsidR="00AA1810" w:rsidRPr="00E82FB9" w:rsidP="00540857" w14:paraId="6BB3B8F1" w14:textId="77777777">
            <w:pPr>
              <w:jc w:val="center"/>
              <w:rPr>
                <w:rFonts w:ascii="Arial" w:hAnsi="Arial" w:cs="Arial"/>
                <w:b/>
                <w:bCs/>
                <w:sz w:val="16"/>
                <w:szCs w:val="16"/>
              </w:rPr>
            </w:pPr>
            <w:r w:rsidRPr="00E82FB9">
              <w:rPr>
                <w:rFonts w:ascii="Arial" w:hAnsi="Arial" w:cs="Arial"/>
                <w:b/>
                <w:bCs/>
                <w:sz w:val="16"/>
                <w:szCs w:val="16"/>
              </w:rPr>
              <w:t>Program Change Due to Agency Discretion</w:t>
            </w:r>
          </w:p>
        </w:tc>
        <w:tc>
          <w:tcPr>
            <w:tcW w:w="730" w:type="pct"/>
            <w:vAlign w:val="bottom"/>
            <w:hideMark/>
          </w:tcPr>
          <w:p w:rsidR="00AA1810" w:rsidRPr="00E82FB9" w:rsidP="00540857" w14:paraId="68CAD336" w14:textId="77777777">
            <w:pPr>
              <w:jc w:val="center"/>
              <w:rPr>
                <w:rFonts w:ascii="Arial" w:hAnsi="Arial" w:cs="Arial"/>
                <w:b/>
                <w:bCs/>
                <w:sz w:val="16"/>
                <w:szCs w:val="16"/>
              </w:rPr>
            </w:pPr>
            <w:r w:rsidRPr="00E82FB9">
              <w:rPr>
                <w:rFonts w:ascii="Arial" w:hAnsi="Arial" w:cs="Arial"/>
                <w:b/>
                <w:bCs/>
                <w:sz w:val="16"/>
                <w:szCs w:val="16"/>
              </w:rPr>
              <w:t>Change Due to Adjustment in Agency Estimate</w:t>
            </w:r>
          </w:p>
        </w:tc>
        <w:tc>
          <w:tcPr>
            <w:tcW w:w="730" w:type="pct"/>
            <w:vAlign w:val="bottom"/>
            <w:hideMark/>
          </w:tcPr>
          <w:p w:rsidR="00AA1810" w:rsidRPr="00E82FB9" w:rsidP="00540857" w14:paraId="48159A8E" w14:textId="210339D2">
            <w:pPr>
              <w:jc w:val="center"/>
              <w:rPr>
                <w:rFonts w:ascii="Arial" w:hAnsi="Arial" w:cs="Arial"/>
                <w:b/>
                <w:bCs/>
                <w:sz w:val="16"/>
                <w:szCs w:val="16"/>
              </w:rPr>
            </w:pPr>
            <w:r w:rsidRPr="00E82FB9">
              <w:rPr>
                <w:rFonts w:ascii="Arial" w:hAnsi="Arial" w:cs="Arial"/>
                <w:b/>
                <w:bCs/>
                <w:sz w:val="16"/>
                <w:szCs w:val="16"/>
              </w:rPr>
              <w:t xml:space="preserve">Change Due to Potential Violation </w:t>
            </w:r>
            <w:r w:rsidR="00E82FB9">
              <w:rPr>
                <w:rFonts w:ascii="Arial" w:hAnsi="Arial" w:cs="Arial"/>
                <w:b/>
                <w:bCs/>
                <w:sz w:val="16"/>
                <w:szCs w:val="16"/>
              </w:rPr>
              <w:br/>
            </w:r>
            <w:r w:rsidRPr="00E82FB9">
              <w:rPr>
                <w:rFonts w:ascii="Arial" w:hAnsi="Arial" w:cs="Arial"/>
                <w:b/>
                <w:bCs/>
                <w:sz w:val="16"/>
                <w:szCs w:val="16"/>
              </w:rPr>
              <w:t>of the PRA</w:t>
            </w:r>
          </w:p>
        </w:tc>
        <w:tc>
          <w:tcPr>
            <w:tcW w:w="730" w:type="pct"/>
            <w:vAlign w:val="bottom"/>
            <w:hideMark/>
          </w:tcPr>
          <w:p w:rsidR="00AA1810" w:rsidRPr="00E82FB9" w:rsidP="00540857" w14:paraId="7FD70E8D" w14:textId="77777777">
            <w:pPr>
              <w:jc w:val="center"/>
              <w:rPr>
                <w:rFonts w:ascii="Arial" w:hAnsi="Arial" w:cs="Arial"/>
                <w:b/>
                <w:bCs/>
                <w:sz w:val="16"/>
                <w:szCs w:val="16"/>
              </w:rPr>
            </w:pPr>
            <w:r w:rsidRPr="00E82FB9">
              <w:rPr>
                <w:rFonts w:ascii="Arial" w:hAnsi="Arial" w:cs="Arial"/>
                <w:b/>
                <w:bCs/>
                <w:sz w:val="16"/>
                <w:szCs w:val="16"/>
              </w:rPr>
              <w:t>Previously Approved</w:t>
            </w:r>
          </w:p>
        </w:tc>
      </w:tr>
      <w:tr w14:paraId="25700B14" w14:textId="77777777" w:rsidTr="00E82FB9">
        <w:tblPrEx>
          <w:tblW w:w="5053" w:type="pct"/>
          <w:tblInd w:w="85" w:type="dxa"/>
          <w:tblLook w:val="04A0"/>
        </w:tblPrEx>
        <w:trPr>
          <w:trHeight w:val="720"/>
        </w:trPr>
        <w:tc>
          <w:tcPr>
            <w:tcW w:w="622" w:type="pct"/>
            <w:vAlign w:val="center"/>
            <w:hideMark/>
          </w:tcPr>
          <w:p w:rsidR="00AA1810" w:rsidRPr="00E82FB9" w:rsidP="00E82FB9" w14:paraId="1E7C63A4" w14:textId="77777777">
            <w:pPr>
              <w:rPr>
                <w:rFonts w:ascii="Arial" w:hAnsi="Arial" w:cs="Arial"/>
                <w:b/>
                <w:bCs/>
                <w:sz w:val="16"/>
                <w:szCs w:val="16"/>
              </w:rPr>
            </w:pPr>
            <w:r w:rsidRPr="00E82FB9">
              <w:rPr>
                <w:rFonts w:ascii="Arial" w:hAnsi="Arial" w:cs="Arial"/>
                <w:b/>
                <w:bCs/>
                <w:sz w:val="16"/>
                <w:szCs w:val="16"/>
              </w:rPr>
              <w:t>Annual Number of Responses</w:t>
            </w:r>
          </w:p>
        </w:tc>
        <w:tc>
          <w:tcPr>
            <w:tcW w:w="729" w:type="pct"/>
            <w:vAlign w:val="center"/>
            <w:hideMark/>
          </w:tcPr>
          <w:p w:rsidR="00AA1810" w:rsidRPr="00E82FB9" w:rsidP="00540857" w14:paraId="2507477F" w14:textId="77777777">
            <w:pPr>
              <w:jc w:val="center"/>
              <w:rPr>
                <w:rFonts w:ascii="Times New Roman" w:hAnsi="Times New Roman"/>
                <w:sz w:val="22"/>
                <w:szCs w:val="22"/>
              </w:rPr>
            </w:pPr>
            <w:r w:rsidRPr="00E82FB9">
              <w:rPr>
                <w:rFonts w:ascii="Times New Roman" w:hAnsi="Times New Roman"/>
                <w:sz w:val="22"/>
                <w:szCs w:val="22"/>
              </w:rPr>
              <w:t>2</w:t>
            </w:r>
            <w:r w:rsidRPr="00E82FB9" w:rsidR="00A47682">
              <w:rPr>
                <w:rFonts w:ascii="Times New Roman" w:hAnsi="Times New Roman"/>
                <w:sz w:val="22"/>
                <w:szCs w:val="22"/>
              </w:rPr>
              <w:t>,</w:t>
            </w:r>
            <w:r w:rsidRPr="00E82FB9">
              <w:rPr>
                <w:rFonts w:ascii="Times New Roman" w:hAnsi="Times New Roman"/>
                <w:sz w:val="22"/>
                <w:szCs w:val="22"/>
              </w:rPr>
              <w:t>258</w:t>
            </w:r>
          </w:p>
        </w:tc>
        <w:tc>
          <w:tcPr>
            <w:tcW w:w="730" w:type="pct"/>
            <w:vAlign w:val="center"/>
            <w:hideMark/>
          </w:tcPr>
          <w:p w:rsidR="00AA1810" w:rsidRPr="00E82FB9" w:rsidP="00540857" w14:paraId="234EA077" w14:textId="77777777">
            <w:pPr>
              <w:jc w:val="center"/>
              <w:rPr>
                <w:rFonts w:ascii="Times New Roman" w:hAnsi="Times New Roman"/>
                <w:sz w:val="22"/>
                <w:szCs w:val="22"/>
              </w:rPr>
            </w:pPr>
            <w:r w:rsidRPr="00E82FB9">
              <w:rPr>
                <w:rFonts w:ascii="Times New Roman" w:hAnsi="Times New Roman"/>
                <w:sz w:val="22"/>
                <w:szCs w:val="22"/>
              </w:rPr>
              <w:t>0</w:t>
            </w:r>
          </w:p>
        </w:tc>
        <w:tc>
          <w:tcPr>
            <w:tcW w:w="730" w:type="pct"/>
            <w:vAlign w:val="center"/>
            <w:hideMark/>
          </w:tcPr>
          <w:p w:rsidR="00AA1810" w:rsidRPr="00E82FB9" w:rsidP="00540857" w14:paraId="1A6EBA18" w14:textId="77777777">
            <w:pPr>
              <w:jc w:val="center"/>
              <w:rPr>
                <w:rFonts w:ascii="Times New Roman" w:hAnsi="Times New Roman"/>
                <w:sz w:val="22"/>
                <w:szCs w:val="22"/>
              </w:rPr>
            </w:pPr>
            <w:r w:rsidRPr="00E82FB9">
              <w:rPr>
                <w:rFonts w:ascii="Times New Roman" w:hAnsi="Times New Roman"/>
                <w:sz w:val="22"/>
                <w:szCs w:val="22"/>
              </w:rPr>
              <w:t>0</w:t>
            </w:r>
          </w:p>
        </w:tc>
        <w:tc>
          <w:tcPr>
            <w:tcW w:w="730" w:type="pct"/>
            <w:vAlign w:val="center"/>
            <w:hideMark/>
          </w:tcPr>
          <w:p w:rsidR="00AA1810" w:rsidRPr="00E82FB9" w:rsidP="00540857" w14:paraId="24E5DB6D" w14:textId="77777777">
            <w:pPr>
              <w:jc w:val="center"/>
              <w:rPr>
                <w:rFonts w:ascii="Times New Roman" w:hAnsi="Times New Roman"/>
                <w:sz w:val="22"/>
                <w:szCs w:val="22"/>
              </w:rPr>
            </w:pPr>
            <w:r w:rsidRPr="00E82FB9">
              <w:rPr>
                <w:rFonts w:ascii="Times New Roman" w:hAnsi="Times New Roman"/>
                <w:sz w:val="22"/>
                <w:szCs w:val="22"/>
              </w:rPr>
              <w:t>693</w:t>
            </w:r>
          </w:p>
        </w:tc>
        <w:tc>
          <w:tcPr>
            <w:tcW w:w="730" w:type="pct"/>
            <w:vAlign w:val="center"/>
            <w:hideMark/>
          </w:tcPr>
          <w:p w:rsidR="00AA1810" w:rsidRPr="00E82FB9" w:rsidP="00540857" w14:paraId="211F9AA0" w14:textId="77777777">
            <w:pPr>
              <w:jc w:val="center"/>
              <w:rPr>
                <w:rFonts w:ascii="Times New Roman" w:hAnsi="Times New Roman"/>
                <w:sz w:val="22"/>
                <w:szCs w:val="22"/>
              </w:rPr>
            </w:pPr>
            <w:r w:rsidRPr="00E82FB9">
              <w:rPr>
                <w:rFonts w:ascii="Times New Roman" w:hAnsi="Times New Roman"/>
                <w:sz w:val="22"/>
                <w:szCs w:val="22"/>
              </w:rPr>
              <w:t>0</w:t>
            </w:r>
          </w:p>
        </w:tc>
        <w:tc>
          <w:tcPr>
            <w:tcW w:w="730" w:type="pct"/>
            <w:vAlign w:val="center"/>
            <w:hideMark/>
          </w:tcPr>
          <w:p w:rsidR="00AA1810" w:rsidRPr="00E82FB9" w:rsidP="00540857" w14:paraId="547B9E2D" w14:textId="77777777">
            <w:pPr>
              <w:jc w:val="center"/>
              <w:rPr>
                <w:rFonts w:ascii="Times New Roman" w:hAnsi="Times New Roman"/>
                <w:sz w:val="22"/>
                <w:szCs w:val="22"/>
              </w:rPr>
            </w:pPr>
            <w:r w:rsidRPr="00E82FB9">
              <w:rPr>
                <w:rFonts w:ascii="Times New Roman" w:hAnsi="Times New Roman"/>
                <w:sz w:val="22"/>
                <w:szCs w:val="22"/>
              </w:rPr>
              <w:t>1,565</w:t>
            </w:r>
          </w:p>
        </w:tc>
      </w:tr>
      <w:tr w14:paraId="050C85D8" w14:textId="77777777" w:rsidTr="00E82FB9">
        <w:tblPrEx>
          <w:tblW w:w="5053" w:type="pct"/>
          <w:tblInd w:w="85" w:type="dxa"/>
          <w:tblLook w:val="04A0"/>
        </w:tblPrEx>
        <w:trPr>
          <w:trHeight w:val="720"/>
        </w:trPr>
        <w:tc>
          <w:tcPr>
            <w:tcW w:w="622" w:type="pct"/>
            <w:vAlign w:val="center"/>
            <w:hideMark/>
          </w:tcPr>
          <w:p w:rsidR="00AA1810" w:rsidRPr="00E82FB9" w:rsidP="00E82FB9" w14:paraId="5665B2DD" w14:textId="77777777">
            <w:pPr>
              <w:rPr>
                <w:rFonts w:ascii="Arial" w:hAnsi="Arial" w:cs="Arial"/>
                <w:b/>
                <w:bCs/>
                <w:sz w:val="16"/>
                <w:szCs w:val="16"/>
              </w:rPr>
            </w:pPr>
            <w:r w:rsidRPr="00E82FB9">
              <w:rPr>
                <w:rFonts w:ascii="Arial" w:hAnsi="Arial" w:cs="Arial"/>
                <w:b/>
                <w:bCs/>
                <w:sz w:val="16"/>
                <w:szCs w:val="16"/>
              </w:rPr>
              <w:t>Annual Time Burden (Hr)</w:t>
            </w:r>
          </w:p>
        </w:tc>
        <w:tc>
          <w:tcPr>
            <w:tcW w:w="729" w:type="pct"/>
            <w:vAlign w:val="center"/>
            <w:hideMark/>
          </w:tcPr>
          <w:p w:rsidR="00AA1810" w:rsidRPr="00E82FB9" w:rsidP="00540857" w14:paraId="168BB5C2" w14:textId="77777777">
            <w:pPr>
              <w:jc w:val="center"/>
              <w:rPr>
                <w:rFonts w:ascii="Times New Roman" w:hAnsi="Times New Roman"/>
                <w:sz w:val="22"/>
                <w:szCs w:val="22"/>
              </w:rPr>
            </w:pPr>
            <w:r w:rsidRPr="00E82FB9">
              <w:rPr>
                <w:rFonts w:ascii="Times New Roman" w:hAnsi="Times New Roman"/>
                <w:sz w:val="22"/>
                <w:szCs w:val="22"/>
              </w:rPr>
              <w:t>2,</w:t>
            </w:r>
            <w:r w:rsidRPr="00E82FB9" w:rsidR="00A02F16">
              <w:rPr>
                <w:rFonts w:ascii="Times New Roman" w:hAnsi="Times New Roman"/>
                <w:sz w:val="22"/>
                <w:szCs w:val="22"/>
              </w:rPr>
              <w:t>6</w:t>
            </w:r>
            <w:r w:rsidRPr="00E82FB9" w:rsidR="000A69C0">
              <w:rPr>
                <w:rFonts w:ascii="Times New Roman" w:hAnsi="Times New Roman"/>
                <w:sz w:val="22"/>
                <w:szCs w:val="22"/>
              </w:rPr>
              <w:t>50</w:t>
            </w:r>
          </w:p>
        </w:tc>
        <w:tc>
          <w:tcPr>
            <w:tcW w:w="730" w:type="pct"/>
            <w:vAlign w:val="center"/>
            <w:hideMark/>
          </w:tcPr>
          <w:p w:rsidR="00AA1810" w:rsidRPr="00E82FB9" w:rsidP="00540857" w14:paraId="08C8956B" w14:textId="77777777">
            <w:pPr>
              <w:jc w:val="center"/>
              <w:rPr>
                <w:rFonts w:ascii="Times New Roman" w:hAnsi="Times New Roman"/>
                <w:sz w:val="22"/>
                <w:szCs w:val="22"/>
              </w:rPr>
            </w:pPr>
            <w:r w:rsidRPr="00E82FB9">
              <w:rPr>
                <w:rFonts w:ascii="Times New Roman" w:hAnsi="Times New Roman"/>
                <w:sz w:val="22"/>
                <w:szCs w:val="22"/>
              </w:rPr>
              <w:t>0</w:t>
            </w:r>
          </w:p>
        </w:tc>
        <w:tc>
          <w:tcPr>
            <w:tcW w:w="730" w:type="pct"/>
            <w:vAlign w:val="center"/>
            <w:hideMark/>
          </w:tcPr>
          <w:p w:rsidR="00AA1810" w:rsidRPr="00E82FB9" w:rsidP="00540857" w14:paraId="1218D75B" w14:textId="77777777">
            <w:pPr>
              <w:jc w:val="center"/>
              <w:rPr>
                <w:rFonts w:ascii="Times New Roman" w:hAnsi="Times New Roman"/>
                <w:sz w:val="22"/>
                <w:szCs w:val="22"/>
              </w:rPr>
            </w:pPr>
            <w:r w:rsidRPr="00E82FB9">
              <w:rPr>
                <w:rFonts w:ascii="Times New Roman" w:hAnsi="Times New Roman"/>
                <w:sz w:val="22"/>
                <w:szCs w:val="22"/>
              </w:rPr>
              <w:t>0</w:t>
            </w:r>
          </w:p>
        </w:tc>
        <w:tc>
          <w:tcPr>
            <w:tcW w:w="730" w:type="pct"/>
            <w:vAlign w:val="center"/>
            <w:hideMark/>
          </w:tcPr>
          <w:p w:rsidR="00AA1810" w:rsidRPr="00E82FB9" w:rsidP="00540857" w14:paraId="5E0A7B59" w14:textId="77777777">
            <w:pPr>
              <w:jc w:val="center"/>
              <w:rPr>
                <w:rFonts w:ascii="Times New Roman" w:hAnsi="Times New Roman"/>
                <w:sz w:val="22"/>
                <w:szCs w:val="22"/>
              </w:rPr>
            </w:pPr>
            <w:r w:rsidRPr="00E82FB9">
              <w:rPr>
                <w:rFonts w:ascii="Times New Roman" w:hAnsi="Times New Roman"/>
                <w:sz w:val="22"/>
                <w:szCs w:val="22"/>
              </w:rPr>
              <w:t>604</w:t>
            </w:r>
          </w:p>
        </w:tc>
        <w:tc>
          <w:tcPr>
            <w:tcW w:w="730" w:type="pct"/>
            <w:vAlign w:val="center"/>
            <w:hideMark/>
          </w:tcPr>
          <w:p w:rsidR="00AA1810" w:rsidRPr="00E82FB9" w:rsidP="00540857" w14:paraId="532AF580" w14:textId="77777777">
            <w:pPr>
              <w:jc w:val="center"/>
              <w:rPr>
                <w:rFonts w:ascii="Times New Roman" w:hAnsi="Times New Roman"/>
                <w:sz w:val="22"/>
                <w:szCs w:val="22"/>
              </w:rPr>
            </w:pPr>
            <w:r w:rsidRPr="00E82FB9">
              <w:rPr>
                <w:rFonts w:ascii="Times New Roman" w:hAnsi="Times New Roman"/>
                <w:sz w:val="22"/>
                <w:szCs w:val="22"/>
              </w:rPr>
              <w:t>0</w:t>
            </w:r>
          </w:p>
        </w:tc>
        <w:tc>
          <w:tcPr>
            <w:tcW w:w="730" w:type="pct"/>
            <w:vAlign w:val="center"/>
            <w:hideMark/>
          </w:tcPr>
          <w:p w:rsidR="00AA1810" w:rsidRPr="00E82FB9" w:rsidP="00540857" w14:paraId="3219061E" w14:textId="77777777">
            <w:pPr>
              <w:jc w:val="center"/>
              <w:rPr>
                <w:rFonts w:ascii="Times New Roman" w:hAnsi="Times New Roman"/>
                <w:sz w:val="22"/>
                <w:szCs w:val="22"/>
              </w:rPr>
            </w:pPr>
            <w:r w:rsidRPr="00E82FB9">
              <w:rPr>
                <w:rFonts w:ascii="Times New Roman" w:hAnsi="Times New Roman"/>
                <w:sz w:val="22"/>
                <w:szCs w:val="22"/>
              </w:rPr>
              <w:t>2,046</w:t>
            </w:r>
          </w:p>
        </w:tc>
      </w:tr>
    </w:tbl>
    <w:p w:rsidR="00AA1810" w:rsidRPr="000F7046" w:rsidP="00AA1810" w14:paraId="4C7753E2" w14:textId="77777777"/>
    <w:p w:rsidR="006C66EB" w:rsidRPr="000F7046" w:rsidP="00AA1810" w14:paraId="18D9E995" w14:textId="7B58B320">
      <w:r w:rsidRPr="000F7046">
        <w:t xml:space="preserve">This request for renewal is for 2,258 estimated </w:t>
      </w:r>
      <w:r w:rsidR="00891454">
        <w:t xml:space="preserve">annual </w:t>
      </w:r>
      <w:r w:rsidRPr="000F7046">
        <w:t xml:space="preserve">responses and 2,650 estimated </w:t>
      </w:r>
      <w:r w:rsidR="00891454">
        <w:t xml:space="preserve">annual </w:t>
      </w:r>
      <w:r w:rsidRPr="000F7046">
        <w:t>burden hours, reflecting a</w:t>
      </w:r>
      <w:r w:rsidRPr="000F7046" w:rsidR="00A37389">
        <w:t>n</w:t>
      </w:r>
      <w:r w:rsidRPr="000F7046">
        <w:t xml:space="preserve"> increase of </w:t>
      </w:r>
      <w:r w:rsidRPr="000F7046" w:rsidR="00A37389">
        <w:t>693</w:t>
      </w:r>
      <w:r w:rsidRPr="000F7046">
        <w:t xml:space="preserve"> responses and </w:t>
      </w:r>
      <w:r w:rsidRPr="000F7046" w:rsidR="00A37389">
        <w:t>604</w:t>
      </w:r>
      <w:r w:rsidRPr="000F7046">
        <w:t xml:space="preserve"> burden </w:t>
      </w:r>
      <w:r w:rsidRPr="000F7046" w:rsidR="00256637">
        <w:t xml:space="preserve">hours </w:t>
      </w:r>
      <w:r w:rsidRPr="000F7046">
        <w:t>from the previous renewal request.  The number of respondents increas</w:t>
      </w:r>
      <w:r w:rsidR="00891454">
        <w:t>ing</w:t>
      </w:r>
      <w:r w:rsidRPr="000F7046">
        <w:t xml:space="preserve"> from</w:t>
      </w:r>
      <w:r w:rsidRPr="000F7046" w:rsidR="00A37389">
        <w:t xml:space="preserve"> 289 to 442</w:t>
      </w:r>
      <w:r w:rsidRPr="000F7046">
        <w:t>.</w:t>
      </w:r>
    </w:p>
    <w:p w:rsidR="006C66EB" w:rsidRPr="00932A59" w:rsidP="00AA1810" w14:paraId="7AE2C2DB" w14:textId="77777777"/>
    <w:p w:rsidR="00256637" w:rsidP="00AA1810" w14:paraId="685A4192" w14:textId="77777777">
      <w:r w:rsidRPr="00932A59">
        <w:t xml:space="preserve">Adjustments to the Agency estimates resulted in an increase </w:t>
      </w:r>
      <w:r w:rsidRPr="00932A59" w:rsidR="00932A59">
        <w:t xml:space="preserve">in the number of reported events attended by the HIOs and USDA. In </w:t>
      </w:r>
      <w:r>
        <w:t xml:space="preserve">fiscal year </w:t>
      </w:r>
      <w:r w:rsidRPr="00932A59" w:rsidR="00932A59">
        <w:t>2019, there was an increase in the number of regulated events organized by the horse industry. However,</w:t>
      </w:r>
      <w:r>
        <w:t xml:space="preserve"> in fiscal years 2020 and 2021, the SARS-CoV-2 pandemic resulted in a dramatically reduced number of events and therefore were not utilized to calculate the estimate for this renewal since it would not accurately reflect the expected or typical burden</w:t>
      </w:r>
      <w:r w:rsidR="001B65F1">
        <w:t>.</w:t>
      </w:r>
    </w:p>
    <w:p w:rsidR="005B3DDB" w:rsidP="005B3DDB" w14:paraId="77C16994" w14:textId="77777777">
      <w:pPr>
        <w:pStyle w:val="296"/>
      </w:pPr>
    </w:p>
    <w:p w:rsidR="00B339E7" w14:paraId="6E2DC7E2" w14:textId="77777777">
      <w:pPr>
        <w:rPr>
          <w:rFonts w:eastAsia="Times New Roman"/>
        </w:rPr>
      </w:pPr>
      <w:r>
        <w:br w:type="page"/>
      </w:r>
    </w:p>
    <w:p w:rsidR="00C4063E" w:rsidP="00C4063E" w14:paraId="73347816" w14:textId="4E42A7D7">
      <w:pPr>
        <w:pStyle w:val="296"/>
      </w:pPr>
      <w:r>
        <w:t xml:space="preserve">Specific adjustments to Agency estimates </w:t>
      </w:r>
      <w:r w:rsidR="003E6333">
        <w:t>are</w:t>
      </w:r>
      <w:r>
        <w:t>:</w:t>
      </w:r>
    </w:p>
    <w:p w:rsidR="005B3DDB" w:rsidP="00C4063E" w14:paraId="1150D665" w14:textId="3528A451">
      <w:pPr>
        <w:pStyle w:val="296"/>
        <w:jc w:val="center"/>
      </w:pPr>
      <w:r w:rsidRPr="005B3DDB">
        <w:rPr>
          <w:sz w:val="18"/>
          <w:szCs w:val="18"/>
        </w:rPr>
        <w:t>(B) Business; (NP) Not-for-Profit</w:t>
      </w:r>
    </w:p>
    <w:tbl>
      <w:tblPr>
        <w:tblStyle w:val="TableGrid"/>
        <w:tblW w:w="9625" w:type="dxa"/>
        <w:tblLayout w:type="fixed"/>
        <w:tblLook w:val="04A0"/>
      </w:tblPr>
      <w:tblGrid>
        <w:gridCol w:w="1041"/>
        <w:gridCol w:w="2974"/>
        <w:gridCol w:w="677"/>
        <w:gridCol w:w="1233"/>
        <w:gridCol w:w="1233"/>
        <w:gridCol w:w="1387"/>
        <w:gridCol w:w="1080"/>
      </w:tblGrid>
      <w:tr w14:paraId="64DB2DAA" w14:textId="77777777" w:rsidTr="00B8407B">
        <w:tblPrEx>
          <w:tblW w:w="9625" w:type="dxa"/>
          <w:tblLayout w:type="fixed"/>
          <w:tblLook w:val="04A0"/>
        </w:tblPrEx>
        <w:trPr>
          <w:tblHeader/>
        </w:trPr>
        <w:tc>
          <w:tcPr>
            <w:tcW w:w="1041" w:type="dxa"/>
            <w:shd w:val="clear" w:color="auto" w:fill="D9D9D9" w:themeFill="background1" w:themeFillShade="D9"/>
            <w:vAlign w:val="bottom"/>
          </w:tcPr>
          <w:p w:rsidR="00E82FB9" w:rsidRPr="00AF7B72" w:rsidP="007C61F1" w14:paraId="1C5C9664" w14:textId="77777777">
            <w:pPr>
              <w:overflowPunct w:val="0"/>
              <w:autoSpaceDE w:val="0"/>
              <w:autoSpaceDN w:val="0"/>
              <w:jc w:val="center"/>
              <w:textAlignment w:val="baseline"/>
              <w:rPr>
                <w:b/>
                <w:bCs/>
                <w:sz w:val="18"/>
                <w:szCs w:val="18"/>
              </w:rPr>
            </w:pPr>
            <w:r w:rsidRPr="00AF7B72">
              <w:rPr>
                <w:b/>
                <w:bCs/>
                <w:sz w:val="18"/>
                <w:szCs w:val="18"/>
              </w:rPr>
              <w:t>9 CFR</w:t>
            </w:r>
          </w:p>
        </w:tc>
        <w:tc>
          <w:tcPr>
            <w:tcW w:w="2974" w:type="dxa"/>
            <w:shd w:val="clear" w:color="auto" w:fill="D9D9D9" w:themeFill="background1" w:themeFillShade="D9"/>
            <w:vAlign w:val="bottom"/>
          </w:tcPr>
          <w:p w:rsidR="00E82FB9" w:rsidRPr="00AF7B72" w:rsidP="007C61F1" w14:paraId="270246AF" w14:textId="77777777">
            <w:pPr>
              <w:overflowPunct w:val="0"/>
              <w:autoSpaceDE w:val="0"/>
              <w:autoSpaceDN w:val="0"/>
              <w:jc w:val="center"/>
              <w:textAlignment w:val="baseline"/>
              <w:rPr>
                <w:b/>
                <w:bCs/>
                <w:sz w:val="18"/>
                <w:szCs w:val="18"/>
              </w:rPr>
            </w:pPr>
            <w:r w:rsidRPr="00AF7B72">
              <w:rPr>
                <w:b/>
                <w:bCs/>
                <w:sz w:val="18"/>
                <w:szCs w:val="18"/>
              </w:rPr>
              <w:t>ACTIVITY</w:t>
            </w:r>
          </w:p>
        </w:tc>
        <w:tc>
          <w:tcPr>
            <w:tcW w:w="677" w:type="dxa"/>
            <w:shd w:val="clear" w:color="auto" w:fill="D9D9D9" w:themeFill="background1" w:themeFillShade="D9"/>
            <w:vAlign w:val="bottom"/>
          </w:tcPr>
          <w:p w:rsidR="00E82FB9" w:rsidRPr="00AF7B72" w:rsidP="007C61F1" w14:paraId="1D5E5E93" w14:textId="77777777">
            <w:pPr>
              <w:overflowPunct w:val="0"/>
              <w:autoSpaceDE w:val="0"/>
              <w:autoSpaceDN w:val="0"/>
              <w:jc w:val="center"/>
              <w:textAlignment w:val="baseline"/>
              <w:rPr>
                <w:b/>
                <w:bCs/>
                <w:sz w:val="18"/>
                <w:szCs w:val="18"/>
              </w:rPr>
            </w:pPr>
            <w:r w:rsidRPr="00AF7B72">
              <w:rPr>
                <w:b/>
                <w:bCs/>
                <w:sz w:val="18"/>
                <w:szCs w:val="18"/>
              </w:rPr>
              <w:t>RESP</w:t>
            </w:r>
          </w:p>
        </w:tc>
        <w:tc>
          <w:tcPr>
            <w:tcW w:w="1233" w:type="dxa"/>
            <w:shd w:val="clear" w:color="auto" w:fill="D9D9D9" w:themeFill="background1" w:themeFillShade="D9"/>
            <w:vAlign w:val="bottom"/>
          </w:tcPr>
          <w:p w:rsidR="00E82FB9" w:rsidRPr="00AF7B72" w:rsidP="007C61F1" w14:paraId="485EED51" w14:textId="6140D0CF">
            <w:pPr>
              <w:overflowPunct w:val="0"/>
              <w:autoSpaceDE w:val="0"/>
              <w:autoSpaceDN w:val="0"/>
              <w:jc w:val="center"/>
              <w:textAlignment w:val="baseline"/>
              <w:rPr>
                <w:b/>
                <w:bCs/>
                <w:sz w:val="18"/>
                <w:szCs w:val="18"/>
              </w:rPr>
            </w:pPr>
            <w:r w:rsidRPr="00AF7B72">
              <w:rPr>
                <w:b/>
                <w:bCs/>
                <w:sz w:val="18"/>
                <w:szCs w:val="18"/>
              </w:rPr>
              <w:t>PREVIOUS RESP</w:t>
            </w:r>
            <w:r w:rsidR="00B8407B">
              <w:rPr>
                <w:b/>
                <w:bCs/>
                <w:sz w:val="18"/>
                <w:szCs w:val="18"/>
              </w:rPr>
              <w:t>.</w:t>
            </w:r>
            <w:r>
              <w:rPr>
                <w:b/>
                <w:bCs/>
                <w:sz w:val="18"/>
                <w:szCs w:val="18"/>
              </w:rPr>
              <w:t>/H</w:t>
            </w:r>
            <w:r w:rsidR="00B8407B">
              <w:rPr>
                <w:b/>
                <w:bCs/>
                <w:sz w:val="18"/>
                <w:szCs w:val="18"/>
              </w:rPr>
              <w:t>RS</w:t>
            </w:r>
          </w:p>
        </w:tc>
        <w:tc>
          <w:tcPr>
            <w:tcW w:w="1233" w:type="dxa"/>
            <w:shd w:val="clear" w:color="auto" w:fill="D9D9D9" w:themeFill="background1" w:themeFillShade="D9"/>
            <w:vAlign w:val="bottom"/>
          </w:tcPr>
          <w:p w:rsidR="00E82FB9" w:rsidRPr="00AF7B72" w:rsidP="007C61F1" w14:paraId="7CC313F0" w14:textId="0548127B">
            <w:pPr>
              <w:overflowPunct w:val="0"/>
              <w:autoSpaceDE w:val="0"/>
              <w:autoSpaceDN w:val="0"/>
              <w:jc w:val="center"/>
              <w:textAlignment w:val="baseline"/>
              <w:rPr>
                <w:b/>
                <w:bCs/>
                <w:sz w:val="18"/>
                <w:szCs w:val="18"/>
              </w:rPr>
            </w:pPr>
            <w:r w:rsidRPr="00AF7B72">
              <w:rPr>
                <w:b/>
                <w:bCs/>
                <w:sz w:val="18"/>
                <w:szCs w:val="18"/>
              </w:rPr>
              <w:t>NEW RESP</w:t>
            </w:r>
            <w:r w:rsidR="00B8407B">
              <w:rPr>
                <w:b/>
                <w:bCs/>
                <w:sz w:val="18"/>
                <w:szCs w:val="18"/>
              </w:rPr>
              <w:t>./HRS</w:t>
            </w:r>
          </w:p>
        </w:tc>
        <w:tc>
          <w:tcPr>
            <w:tcW w:w="1387" w:type="dxa"/>
            <w:shd w:val="clear" w:color="auto" w:fill="D9D9D9" w:themeFill="background1" w:themeFillShade="D9"/>
            <w:vAlign w:val="bottom"/>
          </w:tcPr>
          <w:p w:rsidR="00E82FB9" w:rsidP="007C61F1" w14:paraId="62E0E462" w14:textId="77777777">
            <w:pPr>
              <w:overflowPunct w:val="0"/>
              <w:autoSpaceDE w:val="0"/>
              <w:autoSpaceDN w:val="0"/>
              <w:jc w:val="center"/>
              <w:textAlignment w:val="baseline"/>
              <w:rPr>
                <w:b/>
                <w:bCs/>
                <w:sz w:val="18"/>
                <w:szCs w:val="18"/>
              </w:rPr>
            </w:pPr>
            <w:r w:rsidRPr="00AF7B72">
              <w:rPr>
                <w:b/>
                <w:bCs/>
                <w:sz w:val="18"/>
                <w:szCs w:val="18"/>
              </w:rPr>
              <w:t>DIFFERENCE</w:t>
            </w:r>
          </w:p>
          <w:p w:rsidR="00E82FB9" w:rsidRPr="00AF7B72" w:rsidP="007C61F1" w14:paraId="68A669BA" w14:textId="38F99CF3">
            <w:pPr>
              <w:overflowPunct w:val="0"/>
              <w:autoSpaceDE w:val="0"/>
              <w:autoSpaceDN w:val="0"/>
              <w:jc w:val="center"/>
              <w:textAlignment w:val="baseline"/>
              <w:rPr>
                <w:b/>
                <w:bCs/>
                <w:sz w:val="18"/>
                <w:szCs w:val="18"/>
              </w:rPr>
            </w:pPr>
            <w:r>
              <w:rPr>
                <w:b/>
                <w:bCs/>
                <w:sz w:val="18"/>
                <w:szCs w:val="18"/>
              </w:rPr>
              <w:t>RES</w:t>
            </w:r>
            <w:r w:rsidR="00B8407B">
              <w:rPr>
                <w:b/>
                <w:bCs/>
                <w:sz w:val="18"/>
                <w:szCs w:val="18"/>
              </w:rPr>
              <w:t>P.</w:t>
            </w:r>
            <w:r>
              <w:rPr>
                <w:b/>
                <w:bCs/>
                <w:sz w:val="18"/>
                <w:szCs w:val="18"/>
              </w:rPr>
              <w:t>/HRS</w:t>
            </w:r>
          </w:p>
        </w:tc>
        <w:tc>
          <w:tcPr>
            <w:tcW w:w="1080" w:type="dxa"/>
            <w:shd w:val="clear" w:color="auto" w:fill="D9D9D9" w:themeFill="background1" w:themeFillShade="D9"/>
            <w:vAlign w:val="bottom"/>
          </w:tcPr>
          <w:p w:rsidR="00E82FB9" w:rsidRPr="00AF7B72" w:rsidP="007C61F1" w14:paraId="5332F483" w14:textId="77777777">
            <w:pPr>
              <w:overflowPunct w:val="0"/>
              <w:autoSpaceDE w:val="0"/>
              <w:autoSpaceDN w:val="0"/>
              <w:jc w:val="center"/>
              <w:textAlignment w:val="baseline"/>
              <w:rPr>
                <w:b/>
                <w:bCs/>
                <w:sz w:val="18"/>
                <w:szCs w:val="18"/>
              </w:rPr>
            </w:pPr>
            <w:r w:rsidRPr="00AF7B72">
              <w:rPr>
                <w:b/>
                <w:bCs/>
                <w:sz w:val="18"/>
                <w:szCs w:val="18"/>
              </w:rPr>
              <w:t>TYPE OF CHANGE</w:t>
            </w:r>
          </w:p>
        </w:tc>
      </w:tr>
      <w:tr w14:paraId="2E54EC26" w14:textId="77777777" w:rsidTr="003E6333">
        <w:tblPrEx>
          <w:tblW w:w="9625" w:type="dxa"/>
          <w:tblLayout w:type="fixed"/>
          <w:tblLook w:val="04A0"/>
        </w:tblPrEx>
        <w:trPr>
          <w:trHeight w:val="576"/>
        </w:trPr>
        <w:tc>
          <w:tcPr>
            <w:tcW w:w="1041" w:type="dxa"/>
            <w:vAlign w:val="center"/>
          </w:tcPr>
          <w:p w:rsidR="00E82FB9" w:rsidRPr="00C55BE1" w:rsidP="007C61F1" w14:paraId="4773B810" w14:textId="2BF57881">
            <w:pPr>
              <w:overflowPunct w:val="0"/>
              <w:autoSpaceDE w:val="0"/>
              <w:autoSpaceDN w:val="0"/>
              <w:jc w:val="center"/>
              <w:textAlignment w:val="baseline"/>
              <w:rPr>
                <w:sz w:val="18"/>
                <w:szCs w:val="18"/>
              </w:rPr>
            </w:pPr>
            <w:r>
              <w:rPr>
                <w:sz w:val="18"/>
                <w:szCs w:val="18"/>
              </w:rPr>
              <w:t>11.5(a)(1); 11.23(a)</w:t>
            </w:r>
          </w:p>
        </w:tc>
        <w:tc>
          <w:tcPr>
            <w:tcW w:w="2974" w:type="dxa"/>
            <w:vAlign w:val="center"/>
          </w:tcPr>
          <w:p w:rsidR="00E82FB9" w:rsidRPr="004F4B9D" w:rsidP="007C61F1" w14:paraId="3D690778" w14:textId="37EE7EF4">
            <w:pPr>
              <w:overflowPunct w:val="0"/>
              <w:autoSpaceDE w:val="0"/>
              <w:autoSpaceDN w:val="0"/>
              <w:textAlignment w:val="baseline"/>
              <w:rPr>
                <w:sz w:val="18"/>
                <w:szCs w:val="18"/>
              </w:rPr>
            </w:pPr>
            <w:r w:rsidRPr="00E82FB9">
              <w:rPr>
                <w:sz w:val="20"/>
                <w:szCs w:val="20"/>
              </w:rPr>
              <w:t>Access to and Inspection of Event Management Records</w:t>
            </w:r>
          </w:p>
        </w:tc>
        <w:tc>
          <w:tcPr>
            <w:tcW w:w="677" w:type="dxa"/>
            <w:vAlign w:val="center"/>
          </w:tcPr>
          <w:p w:rsidR="00E82FB9" w:rsidRPr="00C55BE1" w:rsidP="007C61F1" w14:paraId="01504F47" w14:textId="50E7B26D">
            <w:pPr>
              <w:overflowPunct w:val="0"/>
              <w:autoSpaceDE w:val="0"/>
              <w:autoSpaceDN w:val="0"/>
              <w:jc w:val="center"/>
              <w:textAlignment w:val="baseline"/>
              <w:rPr>
                <w:sz w:val="18"/>
                <w:szCs w:val="18"/>
              </w:rPr>
            </w:pPr>
            <w:r>
              <w:rPr>
                <w:sz w:val="18"/>
                <w:szCs w:val="18"/>
              </w:rPr>
              <w:t>B</w:t>
            </w:r>
          </w:p>
        </w:tc>
        <w:tc>
          <w:tcPr>
            <w:tcW w:w="1233" w:type="dxa"/>
            <w:vAlign w:val="center"/>
          </w:tcPr>
          <w:p w:rsidR="00E82FB9" w:rsidRPr="006C54BC" w:rsidP="007C61F1" w14:paraId="00FE119E" w14:textId="41F46E54">
            <w:pPr>
              <w:overflowPunct w:val="0"/>
              <w:autoSpaceDE w:val="0"/>
              <w:autoSpaceDN w:val="0"/>
              <w:jc w:val="center"/>
              <w:textAlignment w:val="baseline"/>
              <w:rPr>
                <w:sz w:val="18"/>
                <w:szCs w:val="18"/>
              </w:rPr>
            </w:pPr>
            <w:r>
              <w:rPr>
                <w:sz w:val="18"/>
                <w:szCs w:val="18"/>
              </w:rPr>
              <w:t>20/20</w:t>
            </w:r>
          </w:p>
        </w:tc>
        <w:tc>
          <w:tcPr>
            <w:tcW w:w="1233" w:type="dxa"/>
            <w:vAlign w:val="center"/>
          </w:tcPr>
          <w:p w:rsidR="00E82FB9" w:rsidRPr="006C54BC" w:rsidP="007C61F1" w14:paraId="2DF67E11" w14:textId="4EF7124D">
            <w:pPr>
              <w:overflowPunct w:val="0"/>
              <w:autoSpaceDE w:val="0"/>
              <w:autoSpaceDN w:val="0"/>
              <w:jc w:val="center"/>
              <w:textAlignment w:val="baseline"/>
              <w:rPr>
                <w:sz w:val="18"/>
                <w:szCs w:val="18"/>
              </w:rPr>
            </w:pPr>
            <w:r>
              <w:rPr>
                <w:sz w:val="18"/>
                <w:szCs w:val="18"/>
              </w:rPr>
              <w:t>46/46</w:t>
            </w:r>
          </w:p>
        </w:tc>
        <w:tc>
          <w:tcPr>
            <w:tcW w:w="1387" w:type="dxa"/>
            <w:vAlign w:val="center"/>
          </w:tcPr>
          <w:p w:rsidR="00E82FB9" w:rsidRPr="006C54BC" w:rsidP="007C61F1" w14:paraId="644F22D5" w14:textId="611F31B9">
            <w:pPr>
              <w:overflowPunct w:val="0"/>
              <w:autoSpaceDE w:val="0"/>
              <w:autoSpaceDN w:val="0"/>
              <w:jc w:val="center"/>
              <w:textAlignment w:val="baseline"/>
              <w:rPr>
                <w:sz w:val="18"/>
                <w:szCs w:val="18"/>
              </w:rPr>
            </w:pPr>
            <w:r>
              <w:rPr>
                <w:sz w:val="18"/>
                <w:szCs w:val="18"/>
              </w:rPr>
              <w:t>26/26</w:t>
            </w:r>
          </w:p>
        </w:tc>
        <w:tc>
          <w:tcPr>
            <w:tcW w:w="1080" w:type="dxa"/>
            <w:vAlign w:val="center"/>
          </w:tcPr>
          <w:p w:rsidR="00E82FB9" w:rsidRPr="00C55BE1" w:rsidP="007C61F1" w14:paraId="4AF82FF7" w14:textId="04C37002">
            <w:pPr>
              <w:overflowPunct w:val="0"/>
              <w:autoSpaceDE w:val="0"/>
              <w:autoSpaceDN w:val="0"/>
              <w:jc w:val="center"/>
              <w:textAlignment w:val="baseline"/>
              <w:rPr>
                <w:sz w:val="18"/>
                <w:szCs w:val="18"/>
              </w:rPr>
            </w:pPr>
            <w:r>
              <w:rPr>
                <w:sz w:val="18"/>
                <w:szCs w:val="18"/>
              </w:rPr>
              <w:t>E</w:t>
            </w:r>
          </w:p>
        </w:tc>
      </w:tr>
      <w:tr w14:paraId="6FCA4A2C" w14:textId="77777777" w:rsidTr="003E6333">
        <w:tblPrEx>
          <w:tblW w:w="9625" w:type="dxa"/>
          <w:tblLayout w:type="fixed"/>
          <w:tblLook w:val="04A0"/>
        </w:tblPrEx>
        <w:trPr>
          <w:trHeight w:val="576"/>
        </w:trPr>
        <w:tc>
          <w:tcPr>
            <w:tcW w:w="1041" w:type="dxa"/>
            <w:vAlign w:val="center"/>
          </w:tcPr>
          <w:p w:rsidR="00E82FB9" w:rsidRPr="00C55BE1" w:rsidP="007C61F1" w14:paraId="0AF44A58" w14:textId="5EE5BA20">
            <w:pPr>
              <w:overflowPunct w:val="0"/>
              <w:autoSpaceDE w:val="0"/>
              <w:autoSpaceDN w:val="0"/>
              <w:jc w:val="center"/>
              <w:textAlignment w:val="baseline"/>
              <w:rPr>
                <w:sz w:val="18"/>
                <w:szCs w:val="18"/>
              </w:rPr>
            </w:pPr>
            <w:r>
              <w:rPr>
                <w:sz w:val="18"/>
                <w:szCs w:val="18"/>
              </w:rPr>
              <w:t>11.5(a)(1); 11.23(a)</w:t>
            </w:r>
          </w:p>
        </w:tc>
        <w:tc>
          <w:tcPr>
            <w:tcW w:w="2974" w:type="dxa"/>
            <w:vAlign w:val="center"/>
          </w:tcPr>
          <w:p w:rsidR="00E82FB9" w:rsidRPr="004F4B9D" w:rsidP="007C61F1" w14:paraId="58D4D1F5" w14:textId="096A3707">
            <w:pPr>
              <w:overflowPunct w:val="0"/>
              <w:autoSpaceDE w:val="0"/>
              <w:autoSpaceDN w:val="0"/>
              <w:textAlignment w:val="baseline"/>
              <w:rPr>
                <w:sz w:val="18"/>
                <w:szCs w:val="18"/>
              </w:rPr>
            </w:pPr>
            <w:r w:rsidRPr="00E82FB9">
              <w:rPr>
                <w:sz w:val="20"/>
                <w:szCs w:val="20"/>
              </w:rPr>
              <w:t>Access to and Inspection of Event Management</w:t>
            </w:r>
          </w:p>
        </w:tc>
        <w:tc>
          <w:tcPr>
            <w:tcW w:w="677" w:type="dxa"/>
            <w:vAlign w:val="center"/>
          </w:tcPr>
          <w:p w:rsidR="00E82FB9" w:rsidRPr="00C55BE1" w:rsidP="007C61F1" w14:paraId="7787827C" w14:textId="72D614F8">
            <w:pPr>
              <w:overflowPunct w:val="0"/>
              <w:autoSpaceDE w:val="0"/>
              <w:autoSpaceDN w:val="0"/>
              <w:jc w:val="center"/>
              <w:textAlignment w:val="baseline"/>
              <w:rPr>
                <w:sz w:val="18"/>
                <w:szCs w:val="18"/>
              </w:rPr>
            </w:pPr>
            <w:r>
              <w:rPr>
                <w:sz w:val="18"/>
                <w:szCs w:val="18"/>
              </w:rPr>
              <w:t>NP</w:t>
            </w:r>
          </w:p>
        </w:tc>
        <w:tc>
          <w:tcPr>
            <w:tcW w:w="1233" w:type="dxa"/>
            <w:vAlign w:val="center"/>
          </w:tcPr>
          <w:p w:rsidR="00E82FB9" w:rsidRPr="006C54BC" w:rsidP="007C61F1" w14:paraId="24A5D120" w14:textId="03C96F53">
            <w:pPr>
              <w:overflowPunct w:val="0"/>
              <w:autoSpaceDE w:val="0"/>
              <w:autoSpaceDN w:val="0"/>
              <w:jc w:val="center"/>
              <w:textAlignment w:val="baseline"/>
              <w:rPr>
                <w:sz w:val="18"/>
                <w:szCs w:val="18"/>
              </w:rPr>
            </w:pPr>
            <w:r>
              <w:rPr>
                <w:sz w:val="18"/>
                <w:szCs w:val="18"/>
              </w:rPr>
              <w:t>44/44</w:t>
            </w:r>
          </w:p>
        </w:tc>
        <w:tc>
          <w:tcPr>
            <w:tcW w:w="1233" w:type="dxa"/>
            <w:vAlign w:val="center"/>
          </w:tcPr>
          <w:p w:rsidR="00E82FB9" w:rsidRPr="006C54BC" w:rsidP="007C61F1" w14:paraId="085478B1" w14:textId="729A1785">
            <w:pPr>
              <w:overflowPunct w:val="0"/>
              <w:autoSpaceDE w:val="0"/>
              <w:autoSpaceDN w:val="0"/>
              <w:jc w:val="center"/>
              <w:textAlignment w:val="baseline"/>
              <w:rPr>
                <w:sz w:val="18"/>
                <w:szCs w:val="18"/>
              </w:rPr>
            </w:pPr>
            <w:r>
              <w:rPr>
                <w:sz w:val="18"/>
                <w:szCs w:val="18"/>
              </w:rPr>
              <w:t>46/46</w:t>
            </w:r>
          </w:p>
        </w:tc>
        <w:tc>
          <w:tcPr>
            <w:tcW w:w="1387" w:type="dxa"/>
            <w:vAlign w:val="center"/>
          </w:tcPr>
          <w:p w:rsidR="00E82FB9" w:rsidRPr="006C54BC" w:rsidP="007C61F1" w14:paraId="2BA6DD64" w14:textId="18F01C47">
            <w:pPr>
              <w:overflowPunct w:val="0"/>
              <w:autoSpaceDE w:val="0"/>
              <w:autoSpaceDN w:val="0"/>
              <w:jc w:val="center"/>
              <w:textAlignment w:val="baseline"/>
              <w:rPr>
                <w:sz w:val="18"/>
                <w:szCs w:val="18"/>
              </w:rPr>
            </w:pPr>
            <w:r>
              <w:rPr>
                <w:sz w:val="18"/>
                <w:szCs w:val="18"/>
              </w:rPr>
              <w:t>2/2</w:t>
            </w:r>
          </w:p>
        </w:tc>
        <w:tc>
          <w:tcPr>
            <w:tcW w:w="1080" w:type="dxa"/>
            <w:vAlign w:val="center"/>
          </w:tcPr>
          <w:p w:rsidR="00E82FB9" w:rsidRPr="00C55BE1" w:rsidP="007C61F1" w14:paraId="3B881CEB" w14:textId="4E799866">
            <w:pPr>
              <w:overflowPunct w:val="0"/>
              <w:autoSpaceDE w:val="0"/>
              <w:autoSpaceDN w:val="0"/>
              <w:jc w:val="center"/>
              <w:textAlignment w:val="baseline"/>
              <w:rPr>
                <w:sz w:val="18"/>
                <w:szCs w:val="18"/>
              </w:rPr>
            </w:pPr>
            <w:r>
              <w:rPr>
                <w:sz w:val="18"/>
                <w:szCs w:val="18"/>
              </w:rPr>
              <w:t>E</w:t>
            </w:r>
          </w:p>
        </w:tc>
      </w:tr>
      <w:tr w14:paraId="2382DEB7" w14:textId="77777777" w:rsidTr="003E6333">
        <w:tblPrEx>
          <w:tblW w:w="9625" w:type="dxa"/>
          <w:tblLayout w:type="fixed"/>
          <w:tblLook w:val="04A0"/>
        </w:tblPrEx>
        <w:trPr>
          <w:trHeight w:val="576"/>
        </w:trPr>
        <w:tc>
          <w:tcPr>
            <w:tcW w:w="1041" w:type="dxa"/>
            <w:vAlign w:val="center"/>
          </w:tcPr>
          <w:p w:rsidR="00E82FB9" w:rsidRPr="00C55BE1" w:rsidP="007C61F1" w14:paraId="3E8C5BEB" w14:textId="6C0EBDB9">
            <w:pPr>
              <w:overflowPunct w:val="0"/>
              <w:autoSpaceDE w:val="0"/>
              <w:autoSpaceDN w:val="0"/>
              <w:jc w:val="center"/>
              <w:textAlignment w:val="baseline"/>
              <w:rPr>
                <w:sz w:val="18"/>
                <w:szCs w:val="18"/>
              </w:rPr>
            </w:pPr>
            <w:r>
              <w:rPr>
                <w:sz w:val="18"/>
                <w:szCs w:val="18"/>
              </w:rPr>
              <w:t>11.7(f)(1)</w:t>
            </w:r>
          </w:p>
        </w:tc>
        <w:tc>
          <w:tcPr>
            <w:tcW w:w="2974" w:type="dxa"/>
            <w:vAlign w:val="center"/>
          </w:tcPr>
          <w:p w:rsidR="00E82FB9" w:rsidRPr="004F4B9D" w:rsidP="007C61F1" w14:paraId="29AF096F" w14:textId="5D0A0D20">
            <w:pPr>
              <w:overflowPunct w:val="0"/>
              <w:autoSpaceDE w:val="0"/>
              <w:autoSpaceDN w:val="0"/>
              <w:textAlignment w:val="baseline"/>
              <w:rPr>
                <w:sz w:val="18"/>
                <w:szCs w:val="18"/>
              </w:rPr>
            </w:pPr>
            <w:r w:rsidRPr="005B3DDB">
              <w:rPr>
                <w:sz w:val="20"/>
                <w:szCs w:val="20"/>
              </w:rPr>
              <w:t>Certified DQP Program Written Warning to DQP of Unsatisfactory Performance</w:t>
            </w:r>
          </w:p>
        </w:tc>
        <w:tc>
          <w:tcPr>
            <w:tcW w:w="677" w:type="dxa"/>
            <w:vAlign w:val="center"/>
          </w:tcPr>
          <w:p w:rsidR="00E82FB9" w:rsidRPr="00C55BE1" w:rsidP="007C61F1" w14:paraId="3B09B09B" w14:textId="69C008A3">
            <w:pPr>
              <w:overflowPunct w:val="0"/>
              <w:autoSpaceDE w:val="0"/>
              <w:autoSpaceDN w:val="0"/>
              <w:jc w:val="center"/>
              <w:textAlignment w:val="baseline"/>
              <w:rPr>
                <w:sz w:val="18"/>
                <w:szCs w:val="18"/>
              </w:rPr>
            </w:pPr>
            <w:r>
              <w:rPr>
                <w:sz w:val="18"/>
                <w:szCs w:val="18"/>
              </w:rPr>
              <w:t>B</w:t>
            </w:r>
          </w:p>
        </w:tc>
        <w:tc>
          <w:tcPr>
            <w:tcW w:w="1233" w:type="dxa"/>
            <w:vAlign w:val="center"/>
          </w:tcPr>
          <w:p w:rsidR="00E82FB9" w:rsidRPr="006C54BC" w:rsidP="007C61F1" w14:paraId="7DC8F682" w14:textId="303010F0">
            <w:pPr>
              <w:overflowPunct w:val="0"/>
              <w:autoSpaceDE w:val="0"/>
              <w:autoSpaceDN w:val="0"/>
              <w:jc w:val="center"/>
              <w:textAlignment w:val="baseline"/>
              <w:rPr>
                <w:sz w:val="18"/>
                <w:szCs w:val="18"/>
              </w:rPr>
            </w:pPr>
            <w:r>
              <w:rPr>
                <w:sz w:val="18"/>
                <w:szCs w:val="18"/>
              </w:rPr>
              <w:t>4/2</w:t>
            </w:r>
          </w:p>
        </w:tc>
        <w:tc>
          <w:tcPr>
            <w:tcW w:w="1233" w:type="dxa"/>
            <w:vAlign w:val="center"/>
          </w:tcPr>
          <w:p w:rsidR="00E82FB9" w:rsidRPr="006C54BC" w:rsidP="007C61F1" w14:paraId="21A5CF04" w14:textId="49BE53C9">
            <w:pPr>
              <w:overflowPunct w:val="0"/>
              <w:autoSpaceDE w:val="0"/>
              <w:autoSpaceDN w:val="0"/>
              <w:jc w:val="center"/>
              <w:textAlignment w:val="baseline"/>
              <w:rPr>
                <w:sz w:val="18"/>
                <w:szCs w:val="18"/>
              </w:rPr>
            </w:pPr>
            <w:r>
              <w:rPr>
                <w:sz w:val="18"/>
                <w:szCs w:val="18"/>
              </w:rPr>
              <w:t>1/1</w:t>
            </w:r>
          </w:p>
        </w:tc>
        <w:tc>
          <w:tcPr>
            <w:tcW w:w="1387" w:type="dxa"/>
            <w:vAlign w:val="center"/>
          </w:tcPr>
          <w:p w:rsidR="00E82FB9" w:rsidRPr="006C54BC" w:rsidP="007C61F1" w14:paraId="7103949B" w14:textId="0623A70C">
            <w:pPr>
              <w:overflowPunct w:val="0"/>
              <w:autoSpaceDE w:val="0"/>
              <w:autoSpaceDN w:val="0"/>
              <w:jc w:val="center"/>
              <w:textAlignment w:val="baseline"/>
              <w:rPr>
                <w:sz w:val="18"/>
                <w:szCs w:val="18"/>
              </w:rPr>
            </w:pPr>
            <w:r>
              <w:rPr>
                <w:sz w:val="18"/>
                <w:szCs w:val="18"/>
              </w:rPr>
              <w:t>-3/-1</w:t>
            </w:r>
          </w:p>
        </w:tc>
        <w:tc>
          <w:tcPr>
            <w:tcW w:w="1080" w:type="dxa"/>
            <w:vAlign w:val="center"/>
          </w:tcPr>
          <w:p w:rsidR="00E82FB9" w:rsidRPr="00C55BE1" w:rsidP="007C61F1" w14:paraId="3168FB71" w14:textId="25A11286">
            <w:pPr>
              <w:overflowPunct w:val="0"/>
              <w:autoSpaceDE w:val="0"/>
              <w:autoSpaceDN w:val="0"/>
              <w:jc w:val="center"/>
              <w:textAlignment w:val="baseline"/>
              <w:rPr>
                <w:sz w:val="18"/>
                <w:szCs w:val="18"/>
              </w:rPr>
            </w:pPr>
            <w:r>
              <w:rPr>
                <w:sz w:val="18"/>
                <w:szCs w:val="18"/>
              </w:rPr>
              <w:t>E</w:t>
            </w:r>
          </w:p>
        </w:tc>
      </w:tr>
      <w:tr w14:paraId="4B941BB1" w14:textId="77777777" w:rsidTr="003E6333">
        <w:tblPrEx>
          <w:tblW w:w="9625" w:type="dxa"/>
          <w:tblLayout w:type="fixed"/>
          <w:tblLook w:val="04A0"/>
        </w:tblPrEx>
        <w:trPr>
          <w:trHeight w:val="576"/>
        </w:trPr>
        <w:tc>
          <w:tcPr>
            <w:tcW w:w="1041" w:type="dxa"/>
            <w:vAlign w:val="center"/>
          </w:tcPr>
          <w:p w:rsidR="00E82FB9" w:rsidRPr="00C55BE1" w:rsidP="007C61F1" w14:paraId="6EA6E2F3" w14:textId="2C38F07F">
            <w:pPr>
              <w:overflowPunct w:val="0"/>
              <w:autoSpaceDE w:val="0"/>
              <w:autoSpaceDN w:val="0"/>
              <w:jc w:val="center"/>
              <w:textAlignment w:val="baseline"/>
              <w:rPr>
                <w:sz w:val="18"/>
                <w:szCs w:val="18"/>
              </w:rPr>
            </w:pPr>
            <w:r>
              <w:rPr>
                <w:sz w:val="18"/>
                <w:szCs w:val="18"/>
              </w:rPr>
              <w:t>11.20(b)(1)</w:t>
            </w:r>
          </w:p>
        </w:tc>
        <w:tc>
          <w:tcPr>
            <w:tcW w:w="2974" w:type="dxa"/>
            <w:vAlign w:val="center"/>
          </w:tcPr>
          <w:p w:rsidR="00E82FB9" w:rsidRPr="00C55BE1" w:rsidP="007C61F1" w14:paraId="135D87A1" w14:textId="3A0A5C12">
            <w:pPr>
              <w:overflowPunct w:val="0"/>
              <w:autoSpaceDE w:val="0"/>
              <w:autoSpaceDN w:val="0"/>
              <w:textAlignment w:val="baseline"/>
              <w:rPr>
                <w:sz w:val="18"/>
                <w:szCs w:val="18"/>
              </w:rPr>
            </w:pPr>
            <w:r w:rsidRPr="005B3DDB">
              <w:rPr>
                <w:sz w:val="20"/>
                <w:szCs w:val="20"/>
              </w:rPr>
              <w:t>DQP Access to Records</w:t>
            </w:r>
          </w:p>
        </w:tc>
        <w:tc>
          <w:tcPr>
            <w:tcW w:w="677" w:type="dxa"/>
            <w:vAlign w:val="center"/>
          </w:tcPr>
          <w:p w:rsidR="00E82FB9" w:rsidRPr="00C55BE1" w:rsidP="007C61F1" w14:paraId="0628EF01" w14:textId="5EEFCD83">
            <w:pPr>
              <w:overflowPunct w:val="0"/>
              <w:autoSpaceDE w:val="0"/>
              <w:autoSpaceDN w:val="0"/>
              <w:jc w:val="center"/>
              <w:textAlignment w:val="baseline"/>
              <w:rPr>
                <w:sz w:val="18"/>
                <w:szCs w:val="18"/>
              </w:rPr>
            </w:pPr>
            <w:r>
              <w:rPr>
                <w:sz w:val="18"/>
                <w:szCs w:val="18"/>
              </w:rPr>
              <w:t>B</w:t>
            </w:r>
          </w:p>
        </w:tc>
        <w:tc>
          <w:tcPr>
            <w:tcW w:w="1233" w:type="dxa"/>
            <w:vAlign w:val="center"/>
          </w:tcPr>
          <w:p w:rsidR="00E82FB9" w:rsidRPr="006C54BC" w:rsidP="007C61F1" w14:paraId="6B659FB9" w14:textId="010E102C">
            <w:pPr>
              <w:overflowPunct w:val="0"/>
              <w:autoSpaceDE w:val="0"/>
              <w:autoSpaceDN w:val="0"/>
              <w:jc w:val="center"/>
              <w:textAlignment w:val="baseline"/>
              <w:rPr>
                <w:sz w:val="18"/>
                <w:szCs w:val="18"/>
              </w:rPr>
            </w:pPr>
            <w:r>
              <w:rPr>
                <w:sz w:val="18"/>
                <w:szCs w:val="18"/>
              </w:rPr>
              <w:t>86/86</w:t>
            </w:r>
          </w:p>
        </w:tc>
        <w:tc>
          <w:tcPr>
            <w:tcW w:w="1233" w:type="dxa"/>
            <w:vAlign w:val="center"/>
          </w:tcPr>
          <w:p w:rsidR="00E82FB9" w:rsidRPr="006C54BC" w:rsidP="007C61F1" w14:paraId="34AD7C69" w14:textId="0E9018AB">
            <w:pPr>
              <w:overflowPunct w:val="0"/>
              <w:autoSpaceDE w:val="0"/>
              <w:autoSpaceDN w:val="0"/>
              <w:jc w:val="center"/>
              <w:textAlignment w:val="baseline"/>
              <w:rPr>
                <w:sz w:val="18"/>
                <w:szCs w:val="18"/>
              </w:rPr>
            </w:pPr>
            <w:r>
              <w:rPr>
                <w:sz w:val="18"/>
                <w:szCs w:val="18"/>
              </w:rPr>
              <w:t>253/253</w:t>
            </w:r>
          </w:p>
        </w:tc>
        <w:tc>
          <w:tcPr>
            <w:tcW w:w="1387" w:type="dxa"/>
            <w:vAlign w:val="center"/>
          </w:tcPr>
          <w:p w:rsidR="00E82FB9" w:rsidRPr="006C54BC" w:rsidP="007C61F1" w14:paraId="7E8A99E3" w14:textId="028D98AC">
            <w:pPr>
              <w:overflowPunct w:val="0"/>
              <w:autoSpaceDE w:val="0"/>
              <w:autoSpaceDN w:val="0"/>
              <w:jc w:val="center"/>
              <w:textAlignment w:val="baseline"/>
              <w:rPr>
                <w:sz w:val="18"/>
                <w:szCs w:val="18"/>
              </w:rPr>
            </w:pPr>
            <w:r>
              <w:rPr>
                <w:sz w:val="18"/>
                <w:szCs w:val="18"/>
              </w:rPr>
              <w:t>167/167</w:t>
            </w:r>
          </w:p>
        </w:tc>
        <w:tc>
          <w:tcPr>
            <w:tcW w:w="1080" w:type="dxa"/>
            <w:vAlign w:val="center"/>
          </w:tcPr>
          <w:p w:rsidR="00E82FB9" w:rsidRPr="00C55BE1" w:rsidP="007C61F1" w14:paraId="263EA030" w14:textId="0D26AE24">
            <w:pPr>
              <w:overflowPunct w:val="0"/>
              <w:autoSpaceDE w:val="0"/>
              <w:autoSpaceDN w:val="0"/>
              <w:jc w:val="center"/>
              <w:textAlignment w:val="baseline"/>
              <w:rPr>
                <w:sz w:val="18"/>
                <w:szCs w:val="18"/>
              </w:rPr>
            </w:pPr>
            <w:r>
              <w:rPr>
                <w:sz w:val="18"/>
                <w:szCs w:val="18"/>
              </w:rPr>
              <w:t>E</w:t>
            </w:r>
          </w:p>
        </w:tc>
      </w:tr>
      <w:tr w14:paraId="53F22E21" w14:textId="77777777" w:rsidTr="003E6333">
        <w:tblPrEx>
          <w:tblW w:w="9625" w:type="dxa"/>
          <w:tblLayout w:type="fixed"/>
          <w:tblLook w:val="04A0"/>
        </w:tblPrEx>
        <w:trPr>
          <w:trHeight w:val="576"/>
        </w:trPr>
        <w:tc>
          <w:tcPr>
            <w:tcW w:w="1041" w:type="dxa"/>
            <w:vAlign w:val="center"/>
          </w:tcPr>
          <w:p w:rsidR="00E82FB9" w:rsidRPr="00C55BE1" w:rsidP="007C61F1" w14:paraId="0BF72F5E" w14:textId="474C2236">
            <w:pPr>
              <w:overflowPunct w:val="0"/>
              <w:autoSpaceDE w:val="0"/>
              <w:autoSpaceDN w:val="0"/>
              <w:jc w:val="center"/>
              <w:textAlignment w:val="baseline"/>
              <w:rPr>
                <w:sz w:val="18"/>
                <w:szCs w:val="18"/>
              </w:rPr>
            </w:pPr>
            <w:r>
              <w:rPr>
                <w:sz w:val="18"/>
                <w:szCs w:val="18"/>
              </w:rPr>
              <w:t>11.22(a)(d)</w:t>
            </w:r>
          </w:p>
        </w:tc>
        <w:tc>
          <w:tcPr>
            <w:tcW w:w="2974" w:type="dxa"/>
            <w:vAlign w:val="center"/>
          </w:tcPr>
          <w:p w:rsidR="00E82FB9" w:rsidRPr="00C55BE1" w:rsidP="007C61F1" w14:paraId="24E0E95D" w14:textId="366F17C6">
            <w:pPr>
              <w:overflowPunct w:val="0"/>
              <w:autoSpaceDE w:val="0"/>
              <w:autoSpaceDN w:val="0"/>
              <w:textAlignment w:val="baseline"/>
              <w:rPr>
                <w:sz w:val="18"/>
                <w:szCs w:val="18"/>
              </w:rPr>
            </w:pPr>
            <w:r w:rsidRPr="005B3DDB">
              <w:rPr>
                <w:sz w:val="20"/>
                <w:szCs w:val="20"/>
              </w:rPr>
              <w:t>Records of Events Containing Tennessee Walking Horses or Racking Horses Maintained by Management</w:t>
            </w:r>
          </w:p>
        </w:tc>
        <w:tc>
          <w:tcPr>
            <w:tcW w:w="677" w:type="dxa"/>
            <w:vAlign w:val="center"/>
          </w:tcPr>
          <w:p w:rsidR="00E82FB9" w:rsidRPr="005B3DDB" w:rsidP="007C61F1" w14:paraId="636561CF" w14:textId="30ABF87A">
            <w:pPr>
              <w:overflowPunct w:val="0"/>
              <w:autoSpaceDE w:val="0"/>
              <w:autoSpaceDN w:val="0"/>
              <w:jc w:val="center"/>
              <w:textAlignment w:val="baseline"/>
              <w:rPr>
                <w:sz w:val="18"/>
                <w:szCs w:val="18"/>
              </w:rPr>
            </w:pPr>
            <w:r w:rsidRPr="005B3DDB">
              <w:rPr>
                <w:sz w:val="18"/>
                <w:szCs w:val="18"/>
              </w:rPr>
              <w:t>B</w:t>
            </w:r>
          </w:p>
        </w:tc>
        <w:tc>
          <w:tcPr>
            <w:tcW w:w="1233" w:type="dxa"/>
            <w:vAlign w:val="center"/>
          </w:tcPr>
          <w:p w:rsidR="00E82FB9" w:rsidRPr="006C54BC" w:rsidP="007C61F1" w14:paraId="436637E9" w14:textId="2598EAEA">
            <w:pPr>
              <w:overflowPunct w:val="0"/>
              <w:autoSpaceDE w:val="0"/>
              <w:autoSpaceDN w:val="0"/>
              <w:jc w:val="center"/>
              <w:textAlignment w:val="baseline"/>
              <w:rPr>
                <w:sz w:val="18"/>
                <w:szCs w:val="18"/>
              </w:rPr>
            </w:pPr>
            <w:r>
              <w:rPr>
                <w:sz w:val="18"/>
                <w:szCs w:val="18"/>
              </w:rPr>
              <w:t>86/86</w:t>
            </w:r>
          </w:p>
        </w:tc>
        <w:tc>
          <w:tcPr>
            <w:tcW w:w="1233" w:type="dxa"/>
            <w:vAlign w:val="center"/>
          </w:tcPr>
          <w:p w:rsidR="00E82FB9" w:rsidRPr="006C54BC" w:rsidP="007C61F1" w14:paraId="437BCD32" w14:textId="47390E7D">
            <w:pPr>
              <w:overflowPunct w:val="0"/>
              <w:autoSpaceDE w:val="0"/>
              <w:autoSpaceDN w:val="0"/>
              <w:jc w:val="center"/>
              <w:textAlignment w:val="baseline"/>
              <w:rPr>
                <w:sz w:val="18"/>
                <w:szCs w:val="18"/>
              </w:rPr>
            </w:pPr>
            <w:r>
              <w:rPr>
                <w:sz w:val="18"/>
                <w:szCs w:val="18"/>
              </w:rPr>
              <w:t>253/253</w:t>
            </w:r>
          </w:p>
        </w:tc>
        <w:tc>
          <w:tcPr>
            <w:tcW w:w="1387" w:type="dxa"/>
            <w:vAlign w:val="center"/>
          </w:tcPr>
          <w:p w:rsidR="00E82FB9" w:rsidRPr="006C54BC" w:rsidP="007C61F1" w14:paraId="7F7BD20C" w14:textId="70B9E964">
            <w:pPr>
              <w:overflowPunct w:val="0"/>
              <w:autoSpaceDE w:val="0"/>
              <w:autoSpaceDN w:val="0"/>
              <w:jc w:val="center"/>
              <w:textAlignment w:val="baseline"/>
              <w:rPr>
                <w:sz w:val="18"/>
                <w:szCs w:val="18"/>
              </w:rPr>
            </w:pPr>
            <w:r>
              <w:rPr>
                <w:sz w:val="18"/>
                <w:szCs w:val="18"/>
              </w:rPr>
              <w:t>167/167</w:t>
            </w:r>
          </w:p>
        </w:tc>
        <w:tc>
          <w:tcPr>
            <w:tcW w:w="1080" w:type="dxa"/>
            <w:vAlign w:val="center"/>
          </w:tcPr>
          <w:p w:rsidR="00E82FB9" w:rsidRPr="00C55BE1" w:rsidP="007C61F1" w14:paraId="4C362339" w14:textId="273B8356">
            <w:pPr>
              <w:overflowPunct w:val="0"/>
              <w:autoSpaceDE w:val="0"/>
              <w:autoSpaceDN w:val="0"/>
              <w:jc w:val="center"/>
              <w:textAlignment w:val="baseline"/>
              <w:rPr>
                <w:sz w:val="18"/>
                <w:szCs w:val="18"/>
              </w:rPr>
            </w:pPr>
            <w:r>
              <w:rPr>
                <w:sz w:val="18"/>
                <w:szCs w:val="18"/>
              </w:rPr>
              <w:t>E</w:t>
            </w:r>
          </w:p>
        </w:tc>
      </w:tr>
      <w:tr w14:paraId="2236D556" w14:textId="77777777" w:rsidTr="003E6333">
        <w:tblPrEx>
          <w:tblW w:w="9625" w:type="dxa"/>
          <w:tblLayout w:type="fixed"/>
          <w:tblLook w:val="04A0"/>
        </w:tblPrEx>
        <w:trPr>
          <w:trHeight w:val="576"/>
        </w:trPr>
        <w:tc>
          <w:tcPr>
            <w:tcW w:w="1041" w:type="dxa"/>
            <w:vAlign w:val="center"/>
          </w:tcPr>
          <w:p w:rsidR="00E82FB9" w:rsidRPr="004F4B9D" w:rsidP="007C61F1" w14:paraId="0CE07B76" w14:textId="21722FC7">
            <w:pPr>
              <w:overflowPunct w:val="0"/>
              <w:autoSpaceDE w:val="0"/>
              <w:autoSpaceDN w:val="0"/>
              <w:jc w:val="center"/>
              <w:textAlignment w:val="baseline"/>
              <w:rPr>
                <w:sz w:val="18"/>
                <w:szCs w:val="18"/>
              </w:rPr>
            </w:pPr>
            <w:r>
              <w:rPr>
                <w:sz w:val="18"/>
                <w:szCs w:val="18"/>
              </w:rPr>
              <w:t>11.22(b)(c)</w:t>
            </w:r>
          </w:p>
        </w:tc>
        <w:tc>
          <w:tcPr>
            <w:tcW w:w="2974" w:type="dxa"/>
            <w:vAlign w:val="center"/>
          </w:tcPr>
          <w:p w:rsidR="00E82FB9" w:rsidRPr="004F4B9D" w:rsidP="007C61F1" w14:paraId="1AED1EAF" w14:textId="027F618C">
            <w:pPr>
              <w:overflowPunct w:val="0"/>
              <w:autoSpaceDE w:val="0"/>
              <w:autoSpaceDN w:val="0"/>
              <w:textAlignment w:val="baseline"/>
              <w:rPr>
                <w:sz w:val="18"/>
                <w:szCs w:val="18"/>
              </w:rPr>
            </w:pPr>
            <w:r w:rsidRPr="005B3DDB">
              <w:rPr>
                <w:sz w:val="20"/>
                <w:szCs w:val="20"/>
              </w:rPr>
              <w:t>Providing Contact Information for Recordkeeper</w:t>
            </w:r>
          </w:p>
        </w:tc>
        <w:tc>
          <w:tcPr>
            <w:tcW w:w="677" w:type="dxa"/>
            <w:vAlign w:val="center"/>
          </w:tcPr>
          <w:p w:rsidR="00E82FB9" w:rsidRPr="00C55BE1" w:rsidP="007C61F1" w14:paraId="15BED7A0" w14:textId="349FB086">
            <w:pPr>
              <w:overflowPunct w:val="0"/>
              <w:autoSpaceDE w:val="0"/>
              <w:autoSpaceDN w:val="0"/>
              <w:jc w:val="center"/>
              <w:textAlignment w:val="baseline"/>
              <w:rPr>
                <w:sz w:val="18"/>
                <w:szCs w:val="18"/>
              </w:rPr>
            </w:pPr>
            <w:r>
              <w:rPr>
                <w:sz w:val="18"/>
                <w:szCs w:val="18"/>
              </w:rPr>
              <w:t>B</w:t>
            </w:r>
          </w:p>
        </w:tc>
        <w:tc>
          <w:tcPr>
            <w:tcW w:w="1233" w:type="dxa"/>
            <w:vAlign w:val="center"/>
          </w:tcPr>
          <w:p w:rsidR="00E82FB9" w:rsidRPr="006C54BC" w:rsidP="007C61F1" w14:paraId="5562C381" w14:textId="7567BA3D">
            <w:pPr>
              <w:overflowPunct w:val="0"/>
              <w:autoSpaceDE w:val="0"/>
              <w:autoSpaceDN w:val="0"/>
              <w:jc w:val="center"/>
              <w:textAlignment w:val="baseline"/>
              <w:rPr>
                <w:sz w:val="18"/>
                <w:szCs w:val="18"/>
              </w:rPr>
            </w:pPr>
            <w:r>
              <w:rPr>
                <w:sz w:val="18"/>
                <w:szCs w:val="18"/>
              </w:rPr>
              <w:t>86/7</w:t>
            </w:r>
          </w:p>
        </w:tc>
        <w:tc>
          <w:tcPr>
            <w:tcW w:w="1233" w:type="dxa"/>
            <w:vAlign w:val="center"/>
          </w:tcPr>
          <w:p w:rsidR="00E82FB9" w:rsidRPr="006C54BC" w:rsidP="007C61F1" w14:paraId="48F31669" w14:textId="1F695ACD">
            <w:pPr>
              <w:overflowPunct w:val="0"/>
              <w:autoSpaceDE w:val="0"/>
              <w:autoSpaceDN w:val="0"/>
              <w:jc w:val="center"/>
              <w:textAlignment w:val="baseline"/>
              <w:rPr>
                <w:sz w:val="18"/>
                <w:szCs w:val="18"/>
              </w:rPr>
            </w:pPr>
            <w:r>
              <w:rPr>
                <w:sz w:val="18"/>
                <w:szCs w:val="18"/>
              </w:rPr>
              <w:t>253/21</w:t>
            </w:r>
          </w:p>
        </w:tc>
        <w:tc>
          <w:tcPr>
            <w:tcW w:w="1387" w:type="dxa"/>
            <w:vAlign w:val="center"/>
          </w:tcPr>
          <w:p w:rsidR="00E82FB9" w:rsidRPr="006C54BC" w:rsidP="007C61F1" w14:paraId="30AF9F39" w14:textId="136E2AD1">
            <w:pPr>
              <w:overflowPunct w:val="0"/>
              <w:autoSpaceDE w:val="0"/>
              <w:autoSpaceDN w:val="0"/>
              <w:jc w:val="center"/>
              <w:textAlignment w:val="baseline"/>
              <w:rPr>
                <w:sz w:val="18"/>
                <w:szCs w:val="18"/>
              </w:rPr>
            </w:pPr>
            <w:r>
              <w:rPr>
                <w:sz w:val="18"/>
                <w:szCs w:val="18"/>
              </w:rPr>
              <w:t>167/14</w:t>
            </w:r>
          </w:p>
        </w:tc>
        <w:tc>
          <w:tcPr>
            <w:tcW w:w="1080" w:type="dxa"/>
            <w:vAlign w:val="center"/>
          </w:tcPr>
          <w:p w:rsidR="00E82FB9" w:rsidRPr="00C55BE1" w:rsidP="007C61F1" w14:paraId="5C7C28D2" w14:textId="046D586A">
            <w:pPr>
              <w:overflowPunct w:val="0"/>
              <w:autoSpaceDE w:val="0"/>
              <w:autoSpaceDN w:val="0"/>
              <w:jc w:val="center"/>
              <w:textAlignment w:val="baseline"/>
              <w:rPr>
                <w:sz w:val="18"/>
                <w:szCs w:val="18"/>
              </w:rPr>
            </w:pPr>
            <w:r>
              <w:rPr>
                <w:sz w:val="18"/>
                <w:szCs w:val="18"/>
              </w:rPr>
              <w:t>E</w:t>
            </w:r>
          </w:p>
        </w:tc>
      </w:tr>
      <w:tr w14:paraId="77D5581D" w14:textId="77777777" w:rsidTr="003E6333">
        <w:tblPrEx>
          <w:tblW w:w="9625" w:type="dxa"/>
          <w:tblLayout w:type="fixed"/>
          <w:tblLook w:val="04A0"/>
        </w:tblPrEx>
        <w:trPr>
          <w:trHeight w:val="576"/>
        </w:trPr>
        <w:tc>
          <w:tcPr>
            <w:tcW w:w="1041" w:type="dxa"/>
            <w:vAlign w:val="center"/>
          </w:tcPr>
          <w:p w:rsidR="00E82FB9" w:rsidRPr="00C55BE1" w:rsidP="007C61F1" w14:paraId="2CA2FDF0" w14:textId="4149C8D2">
            <w:pPr>
              <w:overflowPunct w:val="0"/>
              <w:autoSpaceDE w:val="0"/>
              <w:autoSpaceDN w:val="0"/>
              <w:jc w:val="center"/>
              <w:textAlignment w:val="baseline"/>
              <w:rPr>
                <w:sz w:val="18"/>
                <w:szCs w:val="18"/>
              </w:rPr>
            </w:pPr>
            <w:r>
              <w:rPr>
                <w:sz w:val="18"/>
                <w:szCs w:val="18"/>
              </w:rPr>
              <w:t>11.22(b)(c)</w:t>
            </w:r>
          </w:p>
        </w:tc>
        <w:tc>
          <w:tcPr>
            <w:tcW w:w="2974" w:type="dxa"/>
            <w:vAlign w:val="center"/>
          </w:tcPr>
          <w:p w:rsidR="00E82FB9" w:rsidRPr="00C55BE1" w:rsidP="007C61F1" w14:paraId="03F4B4C9" w14:textId="66A836A3">
            <w:pPr>
              <w:overflowPunct w:val="0"/>
              <w:autoSpaceDE w:val="0"/>
              <w:autoSpaceDN w:val="0"/>
              <w:textAlignment w:val="baseline"/>
              <w:rPr>
                <w:sz w:val="18"/>
                <w:szCs w:val="18"/>
              </w:rPr>
            </w:pPr>
            <w:r w:rsidRPr="005B3DDB">
              <w:rPr>
                <w:sz w:val="20"/>
                <w:szCs w:val="20"/>
              </w:rPr>
              <w:t>Providing Contact Information for Recordkeeper</w:t>
            </w:r>
          </w:p>
        </w:tc>
        <w:tc>
          <w:tcPr>
            <w:tcW w:w="677" w:type="dxa"/>
            <w:vAlign w:val="center"/>
          </w:tcPr>
          <w:p w:rsidR="00E82FB9" w:rsidRPr="00C55BE1" w:rsidP="007C61F1" w14:paraId="5DC83944" w14:textId="010D5FC0">
            <w:pPr>
              <w:overflowPunct w:val="0"/>
              <w:autoSpaceDE w:val="0"/>
              <w:autoSpaceDN w:val="0"/>
              <w:jc w:val="center"/>
              <w:textAlignment w:val="baseline"/>
              <w:rPr>
                <w:sz w:val="18"/>
                <w:szCs w:val="18"/>
              </w:rPr>
            </w:pPr>
            <w:r>
              <w:rPr>
                <w:sz w:val="18"/>
                <w:szCs w:val="18"/>
              </w:rPr>
              <w:t>NP</w:t>
            </w:r>
          </w:p>
        </w:tc>
        <w:tc>
          <w:tcPr>
            <w:tcW w:w="1233" w:type="dxa"/>
            <w:vAlign w:val="center"/>
          </w:tcPr>
          <w:p w:rsidR="00E82FB9" w:rsidRPr="006C54BC" w:rsidP="007C61F1" w14:paraId="6549D306" w14:textId="1F0129E6">
            <w:pPr>
              <w:overflowPunct w:val="0"/>
              <w:autoSpaceDE w:val="0"/>
              <w:autoSpaceDN w:val="0"/>
              <w:jc w:val="center"/>
              <w:textAlignment w:val="baseline"/>
              <w:rPr>
                <w:sz w:val="18"/>
                <w:szCs w:val="18"/>
              </w:rPr>
            </w:pPr>
            <w:r>
              <w:rPr>
                <w:sz w:val="18"/>
                <w:szCs w:val="18"/>
              </w:rPr>
              <w:t>188/15</w:t>
            </w:r>
          </w:p>
        </w:tc>
        <w:tc>
          <w:tcPr>
            <w:tcW w:w="1233" w:type="dxa"/>
            <w:vAlign w:val="center"/>
          </w:tcPr>
          <w:p w:rsidR="00E82FB9" w:rsidRPr="006C54BC" w:rsidP="007C61F1" w14:paraId="5C31678B" w14:textId="512BE5A4">
            <w:pPr>
              <w:overflowPunct w:val="0"/>
              <w:autoSpaceDE w:val="0"/>
              <w:autoSpaceDN w:val="0"/>
              <w:jc w:val="center"/>
              <w:textAlignment w:val="baseline"/>
              <w:rPr>
                <w:sz w:val="18"/>
                <w:szCs w:val="18"/>
              </w:rPr>
            </w:pPr>
            <w:r>
              <w:rPr>
                <w:sz w:val="18"/>
                <w:szCs w:val="18"/>
              </w:rPr>
              <w:t>188/16</w:t>
            </w:r>
          </w:p>
        </w:tc>
        <w:tc>
          <w:tcPr>
            <w:tcW w:w="1387" w:type="dxa"/>
            <w:vAlign w:val="center"/>
          </w:tcPr>
          <w:p w:rsidR="00E82FB9" w:rsidRPr="006C54BC" w:rsidP="007C61F1" w14:paraId="6E5E1B95" w14:textId="1409773A">
            <w:pPr>
              <w:overflowPunct w:val="0"/>
              <w:autoSpaceDE w:val="0"/>
              <w:autoSpaceDN w:val="0"/>
              <w:jc w:val="center"/>
              <w:textAlignment w:val="baseline"/>
              <w:rPr>
                <w:sz w:val="18"/>
                <w:szCs w:val="18"/>
              </w:rPr>
            </w:pPr>
            <w:r>
              <w:rPr>
                <w:sz w:val="18"/>
                <w:szCs w:val="18"/>
              </w:rPr>
              <w:t>0/1</w:t>
            </w:r>
          </w:p>
        </w:tc>
        <w:tc>
          <w:tcPr>
            <w:tcW w:w="1080" w:type="dxa"/>
            <w:vAlign w:val="center"/>
          </w:tcPr>
          <w:p w:rsidR="00E82FB9" w:rsidRPr="00C55BE1" w:rsidP="007C61F1" w14:paraId="2B550609" w14:textId="4A2FB2F4">
            <w:pPr>
              <w:overflowPunct w:val="0"/>
              <w:autoSpaceDE w:val="0"/>
              <w:autoSpaceDN w:val="0"/>
              <w:jc w:val="center"/>
              <w:textAlignment w:val="baseline"/>
              <w:rPr>
                <w:sz w:val="18"/>
                <w:szCs w:val="18"/>
              </w:rPr>
            </w:pPr>
            <w:r>
              <w:rPr>
                <w:sz w:val="18"/>
                <w:szCs w:val="18"/>
              </w:rPr>
              <w:t>E</w:t>
            </w:r>
          </w:p>
        </w:tc>
      </w:tr>
      <w:tr w14:paraId="06863F9B" w14:textId="77777777" w:rsidTr="003E6333">
        <w:tblPrEx>
          <w:tblW w:w="9625" w:type="dxa"/>
          <w:tblLayout w:type="fixed"/>
          <w:tblLook w:val="04A0"/>
        </w:tblPrEx>
        <w:trPr>
          <w:trHeight w:val="576"/>
        </w:trPr>
        <w:tc>
          <w:tcPr>
            <w:tcW w:w="1041" w:type="dxa"/>
            <w:vAlign w:val="center"/>
          </w:tcPr>
          <w:p w:rsidR="00E82FB9" w:rsidRPr="00C55BE1" w:rsidP="007C61F1" w14:paraId="4EA2505D" w14:textId="76A3D15A">
            <w:pPr>
              <w:overflowPunct w:val="0"/>
              <w:autoSpaceDE w:val="0"/>
              <w:autoSpaceDN w:val="0"/>
              <w:jc w:val="center"/>
              <w:textAlignment w:val="baseline"/>
              <w:rPr>
                <w:sz w:val="18"/>
                <w:szCs w:val="18"/>
              </w:rPr>
            </w:pPr>
            <w:r>
              <w:rPr>
                <w:sz w:val="18"/>
                <w:szCs w:val="18"/>
              </w:rPr>
              <w:t>11.24(a)</w:t>
            </w:r>
          </w:p>
        </w:tc>
        <w:tc>
          <w:tcPr>
            <w:tcW w:w="2974" w:type="dxa"/>
            <w:vAlign w:val="center"/>
          </w:tcPr>
          <w:p w:rsidR="00E82FB9" w:rsidRPr="005B3DDB" w:rsidP="007C61F1" w14:paraId="43F1D521" w14:textId="1C5B3766">
            <w:pPr>
              <w:overflowPunct w:val="0"/>
              <w:autoSpaceDE w:val="0"/>
              <w:autoSpaceDN w:val="0"/>
              <w:textAlignment w:val="baseline"/>
              <w:rPr>
                <w:sz w:val="20"/>
                <w:szCs w:val="20"/>
              </w:rPr>
            </w:pPr>
            <w:r w:rsidRPr="005B3DDB">
              <w:rPr>
                <w:sz w:val="20"/>
                <w:szCs w:val="20"/>
              </w:rPr>
              <w:t>Management Report to USDA of Any Regulated Horse Event Involving Tennessee Walking Horses or Racking Horses</w:t>
            </w:r>
          </w:p>
        </w:tc>
        <w:tc>
          <w:tcPr>
            <w:tcW w:w="677" w:type="dxa"/>
            <w:vAlign w:val="center"/>
          </w:tcPr>
          <w:p w:rsidR="00E82FB9" w:rsidRPr="00C55BE1" w:rsidP="007C61F1" w14:paraId="2F8A288F" w14:textId="515EE466">
            <w:pPr>
              <w:overflowPunct w:val="0"/>
              <w:autoSpaceDE w:val="0"/>
              <w:autoSpaceDN w:val="0"/>
              <w:jc w:val="center"/>
              <w:textAlignment w:val="baseline"/>
              <w:rPr>
                <w:sz w:val="18"/>
                <w:szCs w:val="18"/>
              </w:rPr>
            </w:pPr>
            <w:r>
              <w:rPr>
                <w:sz w:val="18"/>
                <w:szCs w:val="18"/>
              </w:rPr>
              <w:t>B</w:t>
            </w:r>
          </w:p>
        </w:tc>
        <w:tc>
          <w:tcPr>
            <w:tcW w:w="1233" w:type="dxa"/>
            <w:vAlign w:val="center"/>
          </w:tcPr>
          <w:p w:rsidR="00E82FB9" w:rsidRPr="006C54BC" w:rsidP="007C61F1" w14:paraId="6242BA0F" w14:textId="5ED2DA64">
            <w:pPr>
              <w:overflowPunct w:val="0"/>
              <w:autoSpaceDE w:val="0"/>
              <w:autoSpaceDN w:val="0"/>
              <w:jc w:val="center"/>
              <w:textAlignment w:val="baseline"/>
              <w:rPr>
                <w:sz w:val="18"/>
                <w:szCs w:val="18"/>
              </w:rPr>
            </w:pPr>
            <w:r>
              <w:rPr>
                <w:sz w:val="18"/>
                <w:szCs w:val="18"/>
              </w:rPr>
              <w:t>86/43</w:t>
            </w:r>
          </w:p>
        </w:tc>
        <w:tc>
          <w:tcPr>
            <w:tcW w:w="1233" w:type="dxa"/>
            <w:vAlign w:val="center"/>
          </w:tcPr>
          <w:p w:rsidR="00E82FB9" w:rsidRPr="006C54BC" w:rsidP="007C61F1" w14:paraId="34E8AF8F" w14:textId="1676CC2F">
            <w:pPr>
              <w:overflowPunct w:val="0"/>
              <w:autoSpaceDE w:val="0"/>
              <w:autoSpaceDN w:val="0"/>
              <w:jc w:val="center"/>
              <w:textAlignment w:val="baseline"/>
              <w:rPr>
                <w:sz w:val="18"/>
                <w:szCs w:val="18"/>
              </w:rPr>
            </w:pPr>
            <w:r>
              <w:rPr>
                <w:sz w:val="18"/>
                <w:szCs w:val="18"/>
              </w:rPr>
              <w:t>253/1</w:t>
            </w:r>
            <w:r w:rsidR="00C4063E">
              <w:rPr>
                <w:sz w:val="18"/>
                <w:szCs w:val="18"/>
              </w:rPr>
              <w:t>2</w:t>
            </w:r>
            <w:r>
              <w:rPr>
                <w:sz w:val="18"/>
                <w:szCs w:val="18"/>
              </w:rPr>
              <w:t>7</w:t>
            </w:r>
          </w:p>
        </w:tc>
        <w:tc>
          <w:tcPr>
            <w:tcW w:w="1387" w:type="dxa"/>
            <w:vAlign w:val="center"/>
          </w:tcPr>
          <w:p w:rsidR="00E82FB9" w:rsidRPr="006C54BC" w:rsidP="007C61F1" w14:paraId="5DA3E02E" w14:textId="15654399">
            <w:pPr>
              <w:overflowPunct w:val="0"/>
              <w:autoSpaceDE w:val="0"/>
              <w:autoSpaceDN w:val="0"/>
              <w:jc w:val="center"/>
              <w:textAlignment w:val="baseline"/>
              <w:rPr>
                <w:sz w:val="18"/>
                <w:szCs w:val="18"/>
              </w:rPr>
            </w:pPr>
            <w:r>
              <w:rPr>
                <w:sz w:val="18"/>
                <w:szCs w:val="18"/>
              </w:rPr>
              <w:t>167/84</w:t>
            </w:r>
          </w:p>
        </w:tc>
        <w:tc>
          <w:tcPr>
            <w:tcW w:w="1080" w:type="dxa"/>
            <w:vAlign w:val="center"/>
          </w:tcPr>
          <w:p w:rsidR="00E82FB9" w:rsidRPr="00C55BE1" w:rsidP="007C61F1" w14:paraId="72DC3FBE" w14:textId="68DF0F82">
            <w:pPr>
              <w:overflowPunct w:val="0"/>
              <w:autoSpaceDE w:val="0"/>
              <w:autoSpaceDN w:val="0"/>
              <w:jc w:val="center"/>
              <w:textAlignment w:val="baseline"/>
              <w:rPr>
                <w:sz w:val="18"/>
                <w:szCs w:val="18"/>
              </w:rPr>
            </w:pPr>
            <w:r>
              <w:rPr>
                <w:sz w:val="18"/>
                <w:szCs w:val="18"/>
              </w:rPr>
              <w:t>E</w:t>
            </w:r>
          </w:p>
        </w:tc>
      </w:tr>
      <w:tr w14:paraId="6CF67B0D" w14:textId="77777777" w:rsidTr="003E6333">
        <w:tblPrEx>
          <w:tblW w:w="9625" w:type="dxa"/>
          <w:tblLayout w:type="fixed"/>
          <w:tblLook w:val="04A0"/>
        </w:tblPrEx>
        <w:trPr>
          <w:trHeight w:val="576"/>
        </w:trPr>
        <w:tc>
          <w:tcPr>
            <w:tcW w:w="1041" w:type="dxa"/>
            <w:vAlign w:val="center"/>
          </w:tcPr>
          <w:p w:rsidR="00E82FB9" w:rsidRPr="00C55BE1" w:rsidP="007C61F1" w14:paraId="6742E038" w14:textId="50B1D5AB">
            <w:pPr>
              <w:overflowPunct w:val="0"/>
              <w:autoSpaceDE w:val="0"/>
              <w:autoSpaceDN w:val="0"/>
              <w:jc w:val="center"/>
              <w:textAlignment w:val="baseline"/>
              <w:rPr>
                <w:sz w:val="18"/>
                <w:szCs w:val="18"/>
              </w:rPr>
            </w:pPr>
            <w:r>
              <w:rPr>
                <w:sz w:val="18"/>
                <w:szCs w:val="18"/>
              </w:rPr>
              <w:t>11.41</w:t>
            </w:r>
          </w:p>
        </w:tc>
        <w:tc>
          <w:tcPr>
            <w:tcW w:w="2974" w:type="dxa"/>
            <w:vAlign w:val="center"/>
          </w:tcPr>
          <w:p w:rsidR="00E82FB9" w:rsidRPr="005B3DDB" w:rsidP="007C61F1" w14:paraId="0BA0A60E" w14:textId="5B9E6B30">
            <w:pPr>
              <w:overflowPunct w:val="0"/>
              <w:autoSpaceDE w:val="0"/>
              <w:autoSpaceDN w:val="0"/>
              <w:textAlignment w:val="baseline"/>
              <w:rPr>
                <w:sz w:val="20"/>
                <w:szCs w:val="20"/>
              </w:rPr>
            </w:pPr>
            <w:r w:rsidRPr="005B3DDB">
              <w:rPr>
                <w:sz w:val="20"/>
                <w:szCs w:val="20"/>
              </w:rPr>
              <w:t>Certified DQP Program Quarterly Reports on Disciplinary Actions</w:t>
            </w:r>
          </w:p>
        </w:tc>
        <w:tc>
          <w:tcPr>
            <w:tcW w:w="677" w:type="dxa"/>
            <w:vAlign w:val="center"/>
          </w:tcPr>
          <w:p w:rsidR="00E82FB9" w:rsidRPr="00C55BE1" w:rsidP="007C61F1" w14:paraId="2D0F152B" w14:textId="406D10BF">
            <w:pPr>
              <w:overflowPunct w:val="0"/>
              <w:autoSpaceDE w:val="0"/>
              <w:autoSpaceDN w:val="0"/>
              <w:jc w:val="center"/>
              <w:textAlignment w:val="baseline"/>
              <w:rPr>
                <w:sz w:val="18"/>
                <w:szCs w:val="18"/>
              </w:rPr>
            </w:pPr>
            <w:r>
              <w:rPr>
                <w:sz w:val="18"/>
                <w:szCs w:val="18"/>
              </w:rPr>
              <w:t>B</w:t>
            </w:r>
          </w:p>
        </w:tc>
        <w:tc>
          <w:tcPr>
            <w:tcW w:w="1233" w:type="dxa"/>
            <w:vAlign w:val="center"/>
          </w:tcPr>
          <w:p w:rsidR="00E82FB9" w:rsidRPr="006C54BC" w:rsidP="007C61F1" w14:paraId="36ABE14C" w14:textId="202F4C7B">
            <w:pPr>
              <w:overflowPunct w:val="0"/>
              <w:autoSpaceDE w:val="0"/>
              <w:autoSpaceDN w:val="0"/>
              <w:jc w:val="center"/>
              <w:textAlignment w:val="baseline"/>
              <w:rPr>
                <w:sz w:val="18"/>
                <w:szCs w:val="18"/>
              </w:rPr>
            </w:pPr>
            <w:r>
              <w:rPr>
                <w:sz w:val="18"/>
                <w:szCs w:val="18"/>
              </w:rPr>
              <w:t>14/21</w:t>
            </w:r>
          </w:p>
        </w:tc>
        <w:tc>
          <w:tcPr>
            <w:tcW w:w="1233" w:type="dxa"/>
            <w:vAlign w:val="center"/>
          </w:tcPr>
          <w:p w:rsidR="00E82FB9" w:rsidRPr="006C54BC" w:rsidP="007C61F1" w14:paraId="7AEEEFCE" w14:textId="6990DFDE">
            <w:pPr>
              <w:overflowPunct w:val="0"/>
              <w:autoSpaceDE w:val="0"/>
              <w:autoSpaceDN w:val="0"/>
              <w:jc w:val="center"/>
              <w:textAlignment w:val="baseline"/>
              <w:rPr>
                <w:sz w:val="18"/>
                <w:szCs w:val="18"/>
              </w:rPr>
            </w:pPr>
            <w:r>
              <w:rPr>
                <w:sz w:val="18"/>
                <w:szCs w:val="18"/>
              </w:rPr>
              <w:t>14/28</w:t>
            </w:r>
          </w:p>
        </w:tc>
        <w:tc>
          <w:tcPr>
            <w:tcW w:w="1387" w:type="dxa"/>
            <w:vAlign w:val="center"/>
          </w:tcPr>
          <w:p w:rsidR="00E82FB9" w:rsidRPr="006C54BC" w:rsidP="007C61F1" w14:paraId="3B72B1D0" w14:textId="2FDCACCC">
            <w:pPr>
              <w:overflowPunct w:val="0"/>
              <w:autoSpaceDE w:val="0"/>
              <w:autoSpaceDN w:val="0"/>
              <w:jc w:val="center"/>
              <w:textAlignment w:val="baseline"/>
              <w:rPr>
                <w:sz w:val="18"/>
                <w:szCs w:val="18"/>
              </w:rPr>
            </w:pPr>
            <w:r>
              <w:rPr>
                <w:sz w:val="18"/>
                <w:szCs w:val="18"/>
              </w:rPr>
              <w:t>0/7</w:t>
            </w:r>
          </w:p>
        </w:tc>
        <w:tc>
          <w:tcPr>
            <w:tcW w:w="1080" w:type="dxa"/>
            <w:vAlign w:val="center"/>
          </w:tcPr>
          <w:p w:rsidR="00E82FB9" w:rsidRPr="00C55BE1" w:rsidP="007C61F1" w14:paraId="3A1C5BB1" w14:textId="3FDDD2E5">
            <w:pPr>
              <w:overflowPunct w:val="0"/>
              <w:autoSpaceDE w:val="0"/>
              <w:autoSpaceDN w:val="0"/>
              <w:jc w:val="center"/>
              <w:textAlignment w:val="baseline"/>
              <w:rPr>
                <w:sz w:val="18"/>
                <w:szCs w:val="18"/>
              </w:rPr>
            </w:pPr>
            <w:r>
              <w:rPr>
                <w:sz w:val="18"/>
                <w:szCs w:val="18"/>
              </w:rPr>
              <w:t>E</w:t>
            </w:r>
          </w:p>
        </w:tc>
      </w:tr>
    </w:tbl>
    <w:p w:rsidR="00932A59" w:rsidP="00AA1810" w14:paraId="547F3564" w14:textId="3E99AD8A"/>
    <w:p w:rsidR="00C4063E" w:rsidP="00AA1810" w14:paraId="28A36B04" w14:textId="6A18E3F7"/>
    <w:p w:rsidR="00AA1810" w:rsidRPr="007016DA" w:rsidP="00AA1810" w14:paraId="2F3023D5" w14:textId="77777777">
      <w:pPr>
        <w:rPr>
          <w:b/>
        </w:rPr>
      </w:pPr>
      <w:r w:rsidRPr="007016DA">
        <w:rPr>
          <w:b/>
        </w:rPr>
        <w:t>16.  For collections of information whose results are planned to be published, outline plans for tabulation and publication.</w:t>
      </w:r>
    </w:p>
    <w:p w:rsidR="00AA1810" w:rsidRPr="007016DA" w:rsidP="00AA1810" w14:paraId="64DB686F" w14:textId="77777777">
      <w:pPr>
        <w:rPr>
          <w:b/>
        </w:rPr>
      </w:pPr>
    </w:p>
    <w:p w:rsidR="00AA1810" w:rsidRPr="002F7857" w:rsidP="00AA1810" w14:paraId="50426428" w14:textId="77777777">
      <w:r w:rsidRPr="00C73F81">
        <w:t xml:space="preserve">The APHIS Horse Protection Act web site is used to transmit information to the public concerning the enforcement of the Act.  The web site has a listing of HIOs and DQPs, as well as the Federal Disqualification and Civil Penalty List, for the public to use at horse shows.  Any information placed on the Web site has been verified by the HIOs.  The Web site is located at </w:t>
      </w:r>
      <w:r w:rsidRPr="00B6111C">
        <w:t>https://www.aphis.usda.gov/aphis/ourfocus/animalwelfare/SA_HPA</w:t>
      </w:r>
      <w:r w:rsidRPr="002F7857">
        <w:t xml:space="preserve">. </w:t>
      </w:r>
    </w:p>
    <w:p w:rsidR="00AA1810" w:rsidP="00AA1810" w14:paraId="1E0939B6" w14:textId="77777777">
      <w:pPr>
        <w:rPr>
          <w:b/>
        </w:rPr>
      </w:pPr>
    </w:p>
    <w:p w:rsidR="00AA1810" w:rsidRPr="002F7857" w:rsidP="00AA1810" w14:paraId="62F7B329" w14:textId="77777777">
      <w:pPr>
        <w:rPr>
          <w:b/>
        </w:rPr>
      </w:pPr>
    </w:p>
    <w:p w:rsidR="00AA1810" w:rsidRPr="00C73F81" w:rsidP="00AA1810" w14:paraId="53A12700" w14:textId="77777777">
      <w:r w:rsidRPr="00C346D1">
        <w:rPr>
          <w:b/>
        </w:rPr>
        <w:t>17.  If seeking approval to not display the expiration date for OMB approval of the information collection, explain the reasons that display would be inappropriate.</w:t>
      </w:r>
    </w:p>
    <w:p w:rsidR="00AA1810" w:rsidRPr="00C73F81" w:rsidP="00AA1810" w14:paraId="6862158C" w14:textId="77777777">
      <w:pPr>
        <w:rPr>
          <w:b/>
        </w:rPr>
      </w:pPr>
    </w:p>
    <w:p w:rsidR="00AA1810" w:rsidRPr="002F7857" w:rsidP="00AA1810" w14:paraId="15E180F1" w14:textId="20667393">
      <w:pPr>
        <w:pStyle w:val="300"/>
        <w:rPr>
          <w:sz w:val="24"/>
          <w:szCs w:val="24"/>
        </w:rPr>
      </w:pPr>
      <w:r w:rsidRPr="00F41410">
        <w:rPr>
          <w:sz w:val="24"/>
          <w:szCs w:val="24"/>
        </w:rPr>
        <w:t>The</w:t>
      </w:r>
      <w:r w:rsidRPr="00F41410" w:rsidR="00F41410">
        <w:rPr>
          <w:sz w:val="24"/>
          <w:szCs w:val="24"/>
        </w:rPr>
        <w:t>re are no forms associated with this information collection</w:t>
      </w:r>
      <w:r w:rsidRPr="00F41410">
        <w:rPr>
          <w:sz w:val="24"/>
          <w:szCs w:val="24"/>
        </w:rPr>
        <w:t>.</w:t>
      </w:r>
    </w:p>
    <w:p w:rsidR="00AA1810" w:rsidRPr="00C346D1" w:rsidP="00AA1810" w14:paraId="3CC85E83" w14:textId="77777777">
      <w:pPr>
        <w:rPr>
          <w:b/>
        </w:rPr>
      </w:pPr>
      <w:r w:rsidRPr="00C346D1">
        <w:rPr>
          <w:b/>
        </w:rPr>
        <w:t>18.  Explain each exception to the certification statement identified in Item 19 "Certification for Paperwork Reduction Act."</w:t>
      </w:r>
    </w:p>
    <w:p w:rsidR="00AA1810" w:rsidRPr="00200018" w:rsidP="00AA1810" w14:paraId="6DDE9C2E" w14:textId="3553D7A0">
      <w:pPr>
        <w:rPr>
          <w:bCs/>
        </w:rPr>
      </w:pPr>
    </w:p>
    <w:p w:rsidR="00AA1810" w:rsidRPr="00C73F81" w:rsidP="00AA1810" w14:paraId="101A93B0" w14:textId="77777777">
      <w:r w:rsidRPr="00C73F81">
        <w:t>The agency is able to certify compliance with all provisions under Item 19 of OMB Form 83i.</w:t>
      </w:r>
    </w:p>
    <w:p w:rsidR="00AA1810" w:rsidRPr="00200018" w:rsidP="00AA1810" w14:paraId="66A08DE4" w14:textId="77777777">
      <w:pPr>
        <w:rPr>
          <w:bCs/>
        </w:rPr>
      </w:pPr>
    </w:p>
    <w:p w:rsidR="00AA1810" w:rsidRPr="00200018" w:rsidP="00AA1810" w14:paraId="3870648E" w14:textId="77777777">
      <w:pPr>
        <w:rPr>
          <w:bCs/>
        </w:rPr>
      </w:pPr>
    </w:p>
    <w:p w:rsidR="00AA1810" w:rsidRPr="00C346D1" w:rsidP="00AA1810" w14:paraId="4ACE77AC" w14:textId="77777777">
      <w:pPr>
        <w:rPr>
          <w:b/>
        </w:rPr>
      </w:pPr>
      <w:r w:rsidRPr="00C346D1">
        <w:rPr>
          <w:b/>
        </w:rPr>
        <w:t>B.  Collection of Information Employing Statistical Methods</w:t>
      </w:r>
    </w:p>
    <w:p w:rsidR="00AA1810" w:rsidRPr="00200018" w:rsidP="00AA1810" w14:paraId="6DD1E463" w14:textId="77777777">
      <w:pPr>
        <w:rPr>
          <w:bCs/>
        </w:rPr>
      </w:pPr>
    </w:p>
    <w:p w:rsidR="00AA1810" w:rsidRPr="00C73F81" w:rsidP="00AA1810" w14:paraId="2833A12D" w14:textId="77777777">
      <w:r w:rsidRPr="00C73F81">
        <w:t>This information collection does not employ statistical methods.</w:t>
      </w:r>
    </w:p>
    <w:p w:rsidR="009F23C2" w14:paraId="5FBB14E3" w14:textId="77777777"/>
    <w:sectPr w:rsidSect="007239AF">
      <w:footerReference w:type="default" r:id="rId5"/>
      <w:endnotePr>
        <w:numFmt w:val="decimal"/>
      </w:endnotePr>
      <w:pgSz w:w="12240" w:h="15840"/>
      <w:pgMar w:top="1440" w:right="1440" w:bottom="1440" w:left="1440" w:header="1296"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BD7" w:rsidP="007239AF" w14:paraId="7D2E277F" w14:textId="4C88A7BD">
    <w:pPr>
      <w:pStyle w:val="Footer"/>
      <w:jc w:val="center"/>
    </w:pPr>
    <w:r w:rsidRPr="007D6F82">
      <w:rPr>
        <w:sz w:val="24"/>
      </w:rPr>
      <w:fldChar w:fldCharType="begin"/>
    </w:r>
    <w:r w:rsidRPr="007D6F82">
      <w:rPr>
        <w:sz w:val="24"/>
      </w:rPr>
      <w:instrText xml:space="preserve"> PAGE   \* MERGEFORMAT </w:instrText>
    </w:r>
    <w:r w:rsidRPr="007D6F82">
      <w:rPr>
        <w:sz w:val="24"/>
      </w:rPr>
      <w:fldChar w:fldCharType="separate"/>
    </w:r>
    <w:r>
      <w:rPr>
        <w:noProof/>
        <w:sz w:val="24"/>
      </w:rPr>
      <w:t>15</w:t>
    </w:r>
    <w:r w:rsidRPr="007D6F82">
      <w:rPr>
        <w:noProof/>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A72B30"/>
    <w:multiLevelType w:val="hybridMultilevel"/>
    <w:tmpl w:val="F15E5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1E274F4"/>
    <w:multiLevelType w:val="hybridMultilevel"/>
    <w:tmpl w:val="7B2E1E74"/>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4361FB6"/>
    <w:multiLevelType w:val="hybridMultilevel"/>
    <w:tmpl w:val="E9D42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846174"/>
    <w:multiLevelType w:val="hybridMultilevel"/>
    <w:tmpl w:val="EED63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1"/>
  </w:num>
  <w:num w:numId="3">
    <w:abstractNumId w:val="8"/>
  </w:num>
  <w:num w:numId="4">
    <w:abstractNumId w:val="1"/>
  </w:num>
  <w:num w:numId="5">
    <w:abstractNumId w:val="3"/>
  </w:num>
  <w:num w:numId="6">
    <w:abstractNumId w:val="4"/>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360"/>
  <w:drawingGridVerticalSpacing w:val="36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10"/>
    <w:rsid w:val="00000DDA"/>
    <w:rsid w:val="00000F21"/>
    <w:rsid w:val="00000FF8"/>
    <w:rsid w:val="0000143C"/>
    <w:rsid w:val="000015C9"/>
    <w:rsid w:val="00001B2E"/>
    <w:rsid w:val="00001BE2"/>
    <w:rsid w:val="00001ED3"/>
    <w:rsid w:val="00002600"/>
    <w:rsid w:val="00002959"/>
    <w:rsid w:val="00002FDC"/>
    <w:rsid w:val="00003330"/>
    <w:rsid w:val="00003A0E"/>
    <w:rsid w:val="00004128"/>
    <w:rsid w:val="000046FB"/>
    <w:rsid w:val="000048F7"/>
    <w:rsid w:val="00005043"/>
    <w:rsid w:val="00005195"/>
    <w:rsid w:val="00005959"/>
    <w:rsid w:val="000069F4"/>
    <w:rsid w:val="0000717B"/>
    <w:rsid w:val="00007253"/>
    <w:rsid w:val="00010808"/>
    <w:rsid w:val="0001117D"/>
    <w:rsid w:val="0001232B"/>
    <w:rsid w:val="000124BB"/>
    <w:rsid w:val="00012E3B"/>
    <w:rsid w:val="00013339"/>
    <w:rsid w:val="000135B9"/>
    <w:rsid w:val="00013A13"/>
    <w:rsid w:val="00014512"/>
    <w:rsid w:val="000148A7"/>
    <w:rsid w:val="000150A6"/>
    <w:rsid w:val="00015D8E"/>
    <w:rsid w:val="000161D3"/>
    <w:rsid w:val="000163A5"/>
    <w:rsid w:val="00016F94"/>
    <w:rsid w:val="00017472"/>
    <w:rsid w:val="00017F0D"/>
    <w:rsid w:val="00020660"/>
    <w:rsid w:val="00020859"/>
    <w:rsid w:val="00021449"/>
    <w:rsid w:val="00022070"/>
    <w:rsid w:val="000220C1"/>
    <w:rsid w:val="0002234D"/>
    <w:rsid w:val="00022420"/>
    <w:rsid w:val="00023E1D"/>
    <w:rsid w:val="000258E5"/>
    <w:rsid w:val="000259F3"/>
    <w:rsid w:val="00025A32"/>
    <w:rsid w:val="00025FF8"/>
    <w:rsid w:val="00026557"/>
    <w:rsid w:val="00026F8A"/>
    <w:rsid w:val="000279D2"/>
    <w:rsid w:val="000303D4"/>
    <w:rsid w:val="0003047C"/>
    <w:rsid w:val="00030DC0"/>
    <w:rsid w:val="00030EEC"/>
    <w:rsid w:val="0003140B"/>
    <w:rsid w:val="000317F6"/>
    <w:rsid w:val="00031B39"/>
    <w:rsid w:val="00031DC2"/>
    <w:rsid w:val="00032E21"/>
    <w:rsid w:val="00033CB5"/>
    <w:rsid w:val="000340D0"/>
    <w:rsid w:val="0003434F"/>
    <w:rsid w:val="00034514"/>
    <w:rsid w:val="00034550"/>
    <w:rsid w:val="00034906"/>
    <w:rsid w:val="00034E63"/>
    <w:rsid w:val="00034EFE"/>
    <w:rsid w:val="00035883"/>
    <w:rsid w:val="00035972"/>
    <w:rsid w:val="00035B78"/>
    <w:rsid w:val="00035D83"/>
    <w:rsid w:val="000367C7"/>
    <w:rsid w:val="00036AE4"/>
    <w:rsid w:val="00036D3F"/>
    <w:rsid w:val="00037C00"/>
    <w:rsid w:val="0004237A"/>
    <w:rsid w:val="0004239B"/>
    <w:rsid w:val="0004255A"/>
    <w:rsid w:val="00042931"/>
    <w:rsid w:val="00042CE8"/>
    <w:rsid w:val="00042D9D"/>
    <w:rsid w:val="00042D9E"/>
    <w:rsid w:val="00042E14"/>
    <w:rsid w:val="00042FE3"/>
    <w:rsid w:val="00043176"/>
    <w:rsid w:val="000437A4"/>
    <w:rsid w:val="00043E18"/>
    <w:rsid w:val="00043F36"/>
    <w:rsid w:val="0004461C"/>
    <w:rsid w:val="000453B1"/>
    <w:rsid w:val="00045C02"/>
    <w:rsid w:val="00046093"/>
    <w:rsid w:val="000463CE"/>
    <w:rsid w:val="000468D8"/>
    <w:rsid w:val="000469F3"/>
    <w:rsid w:val="00046CB9"/>
    <w:rsid w:val="00046D8F"/>
    <w:rsid w:val="00047583"/>
    <w:rsid w:val="000479E7"/>
    <w:rsid w:val="000479F3"/>
    <w:rsid w:val="0005021F"/>
    <w:rsid w:val="00050780"/>
    <w:rsid w:val="00050995"/>
    <w:rsid w:val="00051221"/>
    <w:rsid w:val="000513E0"/>
    <w:rsid w:val="00051743"/>
    <w:rsid w:val="000521D7"/>
    <w:rsid w:val="00052F51"/>
    <w:rsid w:val="0005303F"/>
    <w:rsid w:val="000532BE"/>
    <w:rsid w:val="000537E6"/>
    <w:rsid w:val="00053877"/>
    <w:rsid w:val="00053C8D"/>
    <w:rsid w:val="000542CC"/>
    <w:rsid w:val="000547BB"/>
    <w:rsid w:val="00057CA1"/>
    <w:rsid w:val="0006036B"/>
    <w:rsid w:val="00060C23"/>
    <w:rsid w:val="00060E40"/>
    <w:rsid w:val="00061BE7"/>
    <w:rsid w:val="0006277F"/>
    <w:rsid w:val="000634FC"/>
    <w:rsid w:val="00063FFA"/>
    <w:rsid w:val="00064DA2"/>
    <w:rsid w:val="0006610E"/>
    <w:rsid w:val="000662A6"/>
    <w:rsid w:val="000663B9"/>
    <w:rsid w:val="00066735"/>
    <w:rsid w:val="000667FE"/>
    <w:rsid w:val="000668DC"/>
    <w:rsid w:val="00066BEA"/>
    <w:rsid w:val="00066CDC"/>
    <w:rsid w:val="0007025E"/>
    <w:rsid w:val="00070512"/>
    <w:rsid w:val="000713F3"/>
    <w:rsid w:val="00071BCA"/>
    <w:rsid w:val="0007271F"/>
    <w:rsid w:val="00072DB1"/>
    <w:rsid w:val="00072FAB"/>
    <w:rsid w:val="00073A4B"/>
    <w:rsid w:val="00073D64"/>
    <w:rsid w:val="00074235"/>
    <w:rsid w:val="000748CC"/>
    <w:rsid w:val="00074D52"/>
    <w:rsid w:val="000757A4"/>
    <w:rsid w:val="00075F49"/>
    <w:rsid w:val="0007612D"/>
    <w:rsid w:val="00077A9F"/>
    <w:rsid w:val="000801D8"/>
    <w:rsid w:val="00080906"/>
    <w:rsid w:val="00080BA5"/>
    <w:rsid w:val="00080F68"/>
    <w:rsid w:val="000811F2"/>
    <w:rsid w:val="000813D4"/>
    <w:rsid w:val="00081A33"/>
    <w:rsid w:val="00081AB4"/>
    <w:rsid w:val="00081C31"/>
    <w:rsid w:val="00081E98"/>
    <w:rsid w:val="000822CC"/>
    <w:rsid w:val="0008230A"/>
    <w:rsid w:val="0008251C"/>
    <w:rsid w:val="0008399A"/>
    <w:rsid w:val="00083CC5"/>
    <w:rsid w:val="000849DF"/>
    <w:rsid w:val="00085006"/>
    <w:rsid w:val="00085379"/>
    <w:rsid w:val="00085A02"/>
    <w:rsid w:val="000860D1"/>
    <w:rsid w:val="000862BD"/>
    <w:rsid w:val="00086880"/>
    <w:rsid w:val="00086B47"/>
    <w:rsid w:val="00086C26"/>
    <w:rsid w:val="000871FA"/>
    <w:rsid w:val="00087704"/>
    <w:rsid w:val="000879F0"/>
    <w:rsid w:val="00087E89"/>
    <w:rsid w:val="00090025"/>
    <w:rsid w:val="0009036C"/>
    <w:rsid w:val="0009141A"/>
    <w:rsid w:val="0009151D"/>
    <w:rsid w:val="00091BE8"/>
    <w:rsid w:val="0009244E"/>
    <w:rsid w:val="000926DD"/>
    <w:rsid w:val="00094548"/>
    <w:rsid w:val="0009496C"/>
    <w:rsid w:val="00094B0A"/>
    <w:rsid w:val="00096FCA"/>
    <w:rsid w:val="00097E36"/>
    <w:rsid w:val="00097F3F"/>
    <w:rsid w:val="00097F7A"/>
    <w:rsid w:val="000A05CC"/>
    <w:rsid w:val="000A0781"/>
    <w:rsid w:val="000A0CE0"/>
    <w:rsid w:val="000A1971"/>
    <w:rsid w:val="000A1D75"/>
    <w:rsid w:val="000A381B"/>
    <w:rsid w:val="000A39AC"/>
    <w:rsid w:val="000A4A16"/>
    <w:rsid w:val="000A4B95"/>
    <w:rsid w:val="000A5407"/>
    <w:rsid w:val="000A542B"/>
    <w:rsid w:val="000A5EB5"/>
    <w:rsid w:val="000A675D"/>
    <w:rsid w:val="000A69C0"/>
    <w:rsid w:val="000A69F1"/>
    <w:rsid w:val="000A70A8"/>
    <w:rsid w:val="000A73EB"/>
    <w:rsid w:val="000A79E1"/>
    <w:rsid w:val="000A7BCB"/>
    <w:rsid w:val="000B07D8"/>
    <w:rsid w:val="000B080E"/>
    <w:rsid w:val="000B08F0"/>
    <w:rsid w:val="000B0F19"/>
    <w:rsid w:val="000B3351"/>
    <w:rsid w:val="000B4121"/>
    <w:rsid w:val="000B43AF"/>
    <w:rsid w:val="000B47B4"/>
    <w:rsid w:val="000B4CD5"/>
    <w:rsid w:val="000B4D64"/>
    <w:rsid w:val="000B4DFE"/>
    <w:rsid w:val="000B4ECF"/>
    <w:rsid w:val="000B53B9"/>
    <w:rsid w:val="000B6547"/>
    <w:rsid w:val="000B658D"/>
    <w:rsid w:val="000B684D"/>
    <w:rsid w:val="000B6B14"/>
    <w:rsid w:val="000B71E1"/>
    <w:rsid w:val="000B745B"/>
    <w:rsid w:val="000B7929"/>
    <w:rsid w:val="000C109B"/>
    <w:rsid w:val="000C1132"/>
    <w:rsid w:val="000C17C5"/>
    <w:rsid w:val="000C26B3"/>
    <w:rsid w:val="000C309F"/>
    <w:rsid w:val="000C3288"/>
    <w:rsid w:val="000C3661"/>
    <w:rsid w:val="000C3CAA"/>
    <w:rsid w:val="000C405C"/>
    <w:rsid w:val="000C4377"/>
    <w:rsid w:val="000C4650"/>
    <w:rsid w:val="000C4BFB"/>
    <w:rsid w:val="000C4EA8"/>
    <w:rsid w:val="000C53C6"/>
    <w:rsid w:val="000C601E"/>
    <w:rsid w:val="000C630F"/>
    <w:rsid w:val="000C64C3"/>
    <w:rsid w:val="000C6B20"/>
    <w:rsid w:val="000C701F"/>
    <w:rsid w:val="000C7482"/>
    <w:rsid w:val="000C7787"/>
    <w:rsid w:val="000C77CE"/>
    <w:rsid w:val="000D03D7"/>
    <w:rsid w:val="000D0D06"/>
    <w:rsid w:val="000D1240"/>
    <w:rsid w:val="000D1CA8"/>
    <w:rsid w:val="000D2102"/>
    <w:rsid w:val="000D2832"/>
    <w:rsid w:val="000D328C"/>
    <w:rsid w:val="000D5879"/>
    <w:rsid w:val="000D5DD9"/>
    <w:rsid w:val="000D606F"/>
    <w:rsid w:val="000D6823"/>
    <w:rsid w:val="000D69D1"/>
    <w:rsid w:val="000D6ADD"/>
    <w:rsid w:val="000E0454"/>
    <w:rsid w:val="000E07CA"/>
    <w:rsid w:val="000E0943"/>
    <w:rsid w:val="000E10BE"/>
    <w:rsid w:val="000E1635"/>
    <w:rsid w:val="000E1861"/>
    <w:rsid w:val="000E424F"/>
    <w:rsid w:val="000E53BA"/>
    <w:rsid w:val="000E58C5"/>
    <w:rsid w:val="000E61FB"/>
    <w:rsid w:val="000E6AAD"/>
    <w:rsid w:val="000E773D"/>
    <w:rsid w:val="000E7813"/>
    <w:rsid w:val="000E7A35"/>
    <w:rsid w:val="000E7ACF"/>
    <w:rsid w:val="000F0C50"/>
    <w:rsid w:val="000F1243"/>
    <w:rsid w:val="000F124D"/>
    <w:rsid w:val="000F1291"/>
    <w:rsid w:val="000F2287"/>
    <w:rsid w:val="000F2564"/>
    <w:rsid w:val="000F2AF8"/>
    <w:rsid w:val="000F30A5"/>
    <w:rsid w:val="000F30D5"/>
    <w:rsid w:val="000F39A9"/>
    <w:rsid w:val="000F432F"/>
    <w:rsid w:val="000F4EFA"/>
    <w:rsid w:val="000F509B"/>
    <w:rsid w:val="000F5165"/>
    <w:rsid w:val="000F54F3"/>
    <w:rsid w:val="000F5711"/>
    <w:rsid w:val="000F5DA0"/>
    <w:rsid w:val="000F7046"/>
    <w:rsid w:val="000F7394"/>
    <w:rsid w:val="000F750B"/>
    <w:rsid w:val="000F769E"/>
    <w:rsid w:val="000F76A5"/>
    <w:rsid w:val="001004E9"/>
    <w:rsid w:val="001005C9"/>
    <w:rsid w:val="00101A54"/>
    <w:rsid w:val="0010214A"/>
    <w:rsid w:val="0010262C"/>
    <w:rsid w:val="00102A8F"/>
    <w:rsid w:val="0010355C"/>
    <w:rsid w:val="00103594"/>
    <w:rsid w:val="00104254"/>
    <w:rsid w:val="0010494B"/>
    <w:rsid w:val="00104DDC"/>
    <w:rsid w:val="00104F1D"/>
    <w:rsid w:val="0010558F"/>
    <w:rsid w:val="00105D88"/>
    <w:rsid w:val="00107240"/>
    <w:rsid w:val="001073C9"/>
    <w:rsid w:val="00110248"/>
    <w:rsid w:val="00110383"/>
    <w:rsid w:val="00110D67"/>
    <w:rsid w:val="001114B4"/>
    <w:rsid w:val="00112824"/>
    <w:rsid w:val="00112C17"/>
    <w:rsid w:val="00112ED2"/>
    <w:rsid w:val="00113402"/>
    <w:rsid w:val="00113C59"/>
    <w:rsid w:val="00113E99"/>
    <w:rsid w:val="001152E2"/>
    <w:rsid w:val="00115387"/>
    <w:rsid w:val="00115876"/>
    <w:rsid w:val="0011667F"/>
    <w:rsid w:val="00116851"/>
    <w:rsid w:val="00117198"/>
    <w:rsid w:val="001172B4"/>
    <w:rsid w:val="0011780C"/>
    <w:rsid w:val="00117865"/>
    <w:rsid w:val="00120AAA"/>
    <w:rsid w:val="00120B00"/>
    <w:rsid w:val="00120E10"/>
    <w:rsid w:val="0012120E"/>
    <w:rsid w:val="00121904"/>
    <w:rsid w:val="0012278D"/>
    <w:rsid w:val="00123125"/>
    <w:rsid w:val="001231C2"/>
    <w:rsid w:val="00123B4B"/>
    <w:rsid w:val="001245EB"/>
    <w:rsid w:val="0012499B"/>
    <w:rsid w:val="001255C9"/>
    <w:rsid w:val="00127AF0"/>
    <w:rsid w:val="00130371"/>
    <w:rsid w:val="0013096D"/>
    <w:rsid w:val="00130ED3"/>
    <w:rsid w:val="001323B8"/>
    <w:rsid w:val="00132813"/>
    <w:rsid w:val="001335F1"/>
    <w:rsid w:val="001339AA"/>
    <w:rsid w:val="00133ADA"/>
    <w:rsid w:val="0013410A"/>
    <w:rsid w:val="00134709"/>
    <w:rsid w:val="001349E5"/>
    <w:rsid w:val="0013532C"/>
    <w:rsid w:val="001354CC"/>
    <w:rsid w:val="00135CD1"/>
    <w:rsid w:val="0013745B"/>
    <w:rsid w:val="0013773F"/>
    <w:rsid w:val="00137993"/>
    <w:rsid w:val="001403C3"/>
    <w:rsid w:val="00140852"/>
    <w:rsid w:val="00140CDD"/>
    <w:rsid w:val="001410D0"/>
    <w:rsid w:val="00141242"/>
    <w:rsid w:val="0014166E"/>
    <w:rsid w:val="001416CC"/>
    <w:rsid w:val="00141864"/>
    <w:rsid w:val="00142029"/>
    <w:rsid w:val="001422A7"/>
    <w:rsid w:val="00142CAC"/>
    <w:rsid w:val="00142E2D"/>
    <w:rsid w:val="00142F5F"/>
    <w:rsid w:val="0014317C"/>
    <w:rsid w:val="001432DC"/>
    <w:rsid w:val="00143781"/>
    <w:rsid w:val="00143928"/>
    <w:rsid w:val="00144149"/>
    <w:rsid w:val="00144995"/>
    <w:rsid w:val="00144E2E"/>
    <w:rsid w:val="0014562A"/>
    <w:rsid w:val="0014611C"/>
    <w:rsid w:val="00146410"/>
    <w:rsid w:val="001466D3"/>
    <w:rsid w:val="001469C7"/>
    <w:rsid w:val="00146B3D"/>
    <w:rsid w:val="00146EE1"/>
    <w:rsid w:val="00147090"/>
    <w:rsid w:val="00150175"/>
    <w:rsid w:val="00151034"/>
    <w:rsid w:val="001515FF"/>
    <w:rsid w:val="00152A05"/>
    <w:rsid w:val="00152C0D"/>
    <w:rsid w:val="00153C27"/>
    <w:rsid w:val="00153CF7"/>
    <w:rsid w:val="00154198"/>
    <w:rsid w:val="001550E9"/>
    <w:rsid w:val="00156324"/>
    <w:rsid w:val="001563FD"/>
    <w:rsid w:val="00156921"/>
    <w:rsid w:val="00156D56"/>
    <w:rsid w:val="00157600"/>
    <w:rsid w:val="00157FDC"/>
    <w:rsid w:val="00160801"/>
    <w:rsid w:val="001608B0"/>
    <w:rsid w:val="00161701"/>
    <w:rsid w:val="00161897"/>
    <w:rsid w:val="00161AFC"/>
    <w:rsid w:val="00162617"/>
    <w:rsid w:val="00162949"/>
    <w:rsid w:val="00162E24"/>
    <w:rsid w:val="00162E90"/>
    <w:rsid w:val="00163596"/>
    <w:rsid w:val="0016364A"/>
    <w:rsid w:val="0016368E"/>
    <w:rsid w:val="00165001"/>
    <w:rsid w:val="00165788"/>
    <w:rsid w:val="00165E7B"/>
    <w:rsid w:val="00165F20"/>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DCD"/>
    <w:rsid w:val="001736F3"/>
    <w:rsid w:val="00174321"/>
    <w:rsid w:val="001745D3"/>
    <w:rsid w:val="00175135"/>
    <w:rsid w:val="001756E5"/>
    <w:rsid w:val="00175B53"/>
    <w:rsid w:val="0017614A"/>
    <w:rsid w:val="00176B19"/>
    <w:rsid w:val="00177029"/>
    <w:rsid w:val="001770A4"/>
    <w:rsid w:val="001770AC"/>
    <w:rsid w:val="00177FA7"/>
    <w:rsid w:val="00180996"/>
    <w:rsid w:val="00180DB8"/>
    <w:rsid w:val="001811DC"/>
    <w:rsid w:val="001813A9"/>
    <w:rsid w:val="001816F5"/>
    <w:rsid w:val="00181BA3"/>
    <w:rsid w:val="0018203E"/>
    <w:rsid w:val="0018227B"/>
    <w:rsid w:val="0018260B"/>
    <w:rsid w:val="00182729"/>
    <w:rsid w:val="00182950"/>
    <w:rsid w:val="00182D53"/>
    <w:rsid w:val="00183141"/>
    <w:rsid w:val="0018332D"/>
    <w:rsid w:val="001835DC"/>
    <w:rsid w:val="001836F7"/>
    <w:rsid w:val="00183C55"/>
    <w:rsid w:val="00184900"/>
    <w:rsid w:val="00184C85"/>
    <w:rsid w:val="0018501C"/>
    <w:rsid w:val="00185D8B"/>
    <w:rsid w:val="0018676D"/>
    <w:rsid w:val="00186B02"/>
    <w:rsid w:val="00186B70"/>
    <w:rsid w:val="00186E12"/>
    <w:rsid w:val="00187872"/>
    <w:rsid w:val="0018792C"/>
    <w:rsid w:val="0019066D"/>
    <w:rsid w:val="00190803"/>
    <w:rsid w:val="00191180"/>
    <w:rsid w:val="0019252D"/>
    <w:rsid w:val="0019269D"/>
    <w:rsid w:val="001927D6"/>
    <w:rsid w:val="001929AF"/>
    <w:rsid w:val="00192F2E"/>
    <w:rsid w:val="0019350F"/>
    <w:rsid w:val="00193863"/>
    <w:rsid w:val="00193909"/>
    <w:rsid w:val="0019404A"/>
    <w:rsid w:val="00194933"/>
    <w:rsid w:val="00195994"/>
    <w:rsid w:val="00197326"/>
    <w:rsid w:val="001A09D8"/>
    <w:rsid w:val="001A0B1A"/>
    <w:rsid w:val="001A139D"/>
    <w:rsid w:val="001A17AE"/>
    <w:rsid w:val="001A1B9B"/>
    <w:rsid w:val="001A2105"/>
    <w:rsid w:val="001A2DDD"/>
    <w:rsid w:val="001A3995"/>
    <w:rsid w:val="001A3DE3"/>
    <w:rsid w:val="001A45A0"/>
    <w:rsid w:val="001A56EF"/>
    <w:rsid w:val="001A5F09"/>
    <w:rsid w:val="001A67E5"/>
    <w:rsid w:val="001A6AF1"/>
    <w:rsid w:val="001A74AC"/>
    <w:rsid w:val="001A75A2"/>
    <w:rsid w:val="001A76E3"/>
    <w:rsid w:val="001B050D"/>
    <w:rsid w:val="001B1154"/>
    <w:rsid w:val="001B2993"/>
    <w:rsid w:val="001B2B67"/>
    <w:rsid w:val="001B2E1D"/>
    <w:rsid w:val="001B32B7"/>
    <w:rsid w:val="001B3B05"/>
    <w:rsid w:val="001B3D8D"/>
    <w:rsid w:val="001B41B5"/>
    <w:rsid w:val="001B513C"/>
    <w:rsid w:val="001B605D"/>
    <w:rsid w:val="001B65F1"/>
    <w:rsid w:val="001B6751"/>
    <w:rsid w:val="001B6AB3"/>
    <w:rsid w:val="001B77E4"/>
    <w:rsid w:val="001C04EE"/>
    <w:rsid w:val="001C0A16"/>
    <w:rsid w:val="001C1101"/>
    <w:rsid w:val="001C157A"/>
    <w:rsid w:val="001C169A"/>
    <w:rsid w:val="001C17DA"/>
    <w:rsid w:val="001C1BBE"/>
    <w:rsid w:val="001C1C11"/>
    <w:rsid w:val="001C28F7"/>
    <w:rsid w:val="001C2CAE"/>
    <w:rsid w:val="001C39CF"/>
    <w:rsid w:val="001C3D9E"/>
    <w:rsid w:val="001C49D5"/>
    <w:rsid w:val="001C58A5"/>
    <w:rsid w:val="001C611C"/>
    <w:rsid w:val="001C6298"/>
    <w:rsid w:val="001C637A"/>
    <w:rsid w:val="001C6795"/>
    <w:rsid w:val="001C6E2C"/>
    <w:rsid w:val="001C754F"/>
    <w:rsid w:val="001C7C48"/>
    <w:rsid w:val="001D1C8B"/>
    <w:rsid w:val="001D1F3D"/>
    <w:rsid w:val="001D204E"/>
    <w:rsid w:val="001D21AC"/>
    <w:rsid w:val="001D268A"/>
    <w:rsid w:val="001D3A8E"/>
    <w:rsid w:val="001D4570"/>
    <w:rsid w:val="001D55EB"/>
    <w:rsid w:val="001D5880"/>
    <w:rsid w:val="001D6AC7"/>
    <w:rsid w:val="001D6D8D"/>
    <w:rsid w:val="001D7AEB"/>
    <w:rsid w:val="001E0056"/>
    <w:rsid w:val="001E041D"/>
    <w:rsid w:val="001E067A"/>
    <w:rsid w:val="001E1FF7"/>
    <w:rsid w:val="001E28AB"/>
    <w:rsid w:val="001E2F98"/>
    <w:rsid w:val="001E3296"/>
    <w:rsid w:val="001E51CE"/>
    <w:rsid w:val="001E5563"/>
    <w:rsid w:val="001E5A1B"/>
    <w:rsid w:val="001E5A3E"/>
    <w:rsid w:val="001E5D43"/>
    <w:rsid w:val="001E5F05"/>
    <w:rsid w:val="001E63A7"/>
    <w:rsid w:val="001E6696"/>
    <w:rsid w:val="001E6C6E"/>
    <w:rsid w:val="001E7AFA"/>
    <w:rsid w:val="001F0FB0"/>
    <w:rsid w:val="001F13A2"/>
    <w:rsid w:val="001F1845"/>
    <w:rsid w:val="001F238A"/>
    <w:rsid w:val="001F23A7"/>
    <w:rsid w:val="001F2F84"/>
    <w:rsid w:val="001F32CC"/>
    <w:rsid w:val="001F39F7"/>
    <w:rsid w:val="001F3A4B"/>
    <w:rsid w:val="001F3A6E"/>
    <w:rsid w:val="001F454A"/>
    <w:rsid w:val="001F54EE"/>
    <w:rsid w:val="001F5E37"/>
    <w:rsid w:val="001F6005"/>
    <w:rsid w:val="001F6F8B"/>
    <w:rsid w:val="001F7350"/>
    <w:rsid w:val="001F7C6A"/>
    <w:rsid w:val="001F7F69"/>
    <w:rsid w:val="00200018"/>
    <w:rsid w:val="002009EC"/>
    <w:rsid w:val="00200C4C"/>
    <w:rsid w:val="00200F36"/>
    <w:rsid w:val="00201BA2"/>
    <w:rsid w:val="0020257E"/>
    <w:rsid w:val="00203560"/>
    <w:rsid w:val="0020377D"/>
    <w:rsid w:val="002039FC"/>
    <w:rsid w:val="00203A7A"/>
    <w:rsid w:val="00203DA8"/>
    <w:rsid w:val="0020539B"/>
    <w:rsid w:val="00205A91"/>
    <w:rsid w:val="00205B51"/>
    <w:rsid w:val="002064B0"/>
    <w:rsid w:val="00210786"/>
    <w:rsid w:val="00211008"/>
    <w:rsid w:val="00211184"/>
    <w:rsid w:val="00211438"/>
    <w:rsid w:val="00211CD0"/>
    <w:rsid w:val="00212671"/>
    <w:rsid w:val="002126E4"/>
    <w:rsid w:val="00212AD9"/>
    <w:rsid w:val="00213267"/>
    <w:rsid w:val="00213ABE"/>
    <w:rsid w:val="00213C56"/>
    <w:rsid w:val="0021411E"/>
    <w:rsid w:val="002142B2"/>
    <w:rsid w:val="002144C1"/>
    <w:rsid w:val="00214502"/>
    <w:rsid w:val="002147B4"/>
    <w:rsid w:val="002147F7"/>
    <w:rsid w:val="00215AD3"/>
    <w:rsid w:val="00215D8E"/>
    <w:rsid w:val="00215EC2"/>
    <w:rsid w:val="00216BA9"/>
    <w:rsid w:val="00217103"/>
    <w:rsid w:val="00217F36"/>
    <w:rsid w:val="00220EDA"/>
    <w:rsid w:val="00220EFB"/>
    <w:rsid w:val="00220F5C"/>
    <w:rsid w:val="00220FA6"/>
    <w:rsid w:val="00221270"/>
    <w:rsid w:val="00221886"/>
    <w:rsid w:val="00222164"/>
    <w:rsid w:val="0022282D"/>
    <w:rsid w:val="00222BA7"/>
    <w:rsid w:val="00223152"/>
    <w:rsid w:val="0022325A"/>
    <w:rsid w:val="00223965"/>
    <w:rsid w:val="002240EC"/>
    <w:rsid w:val="002254E6"/>
    <w:rsid w:val="00225524"/>
    <w:rsid w:val="00226652"/>
    <w:rsid w:val="00226F44"/>
    <w:rsid w:val="00226F83"/>
    <w:rsid w:val="00227865"/>
    <w:rsid w:val="00227D21"/>
    <w:rsid w:val="00230535"/>
    <w:rsid w:val="002308B2"/>
    <w:rsid w:val="00230C11"/>
    <w:rsid w:val="002315C6"/>
    <w:rsid w:val="002318E3"/>
    <w:rsid w:val="00231F30"/>
    <w:rsid w:val="00232582"/>
    <w:rsid w:val="0023263F"/>
    <w:rsid w:val="0023270C"/>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C4"/>
    <w:rsid w:val="00240C11"/>
    <w:rsid w:val="00240C63"/>
    <w:rsid w:val="00241481"/>
    <w:rsid w:val="002417EB"/>
    <w:rsid w:val="00241F9E"/>
    <w:rsid w:val="00242298"/>
    <w:rsid w:val="00242964"/>
    <w:rsid w:val="00242FA7"/>
    <w:rsid w:val="00242FDF"/>
    <w:rsid w:val="0024354C"/>
    <w:rsid w:val="002444CF"/>
    <w:rsid w:val="00245347"/>
    <w:rsid w:val="002455C6"/>
    <w:rsid w:val="00245E07"/>
    <w:rsid w:val="00245F8B"/>
    <w:rsid w:val="00245FCE"/>
    <w:rsid w:val="00246B33"/>
    <w:rsid w:val="0024711C"/>
    <w:rsid w:val="00247434"/>
    <w:rsid w:val="002475DB"/>
    <w:rsid w:val="00247876"/>
    <w:rsid w:val="002479BE"/>
    <w:rsid w:val="00247A29"/>
    <w:rsid w:val="0025061E"/>
    <w:rsid w:val="00250ED0"/>
    <w:rsid w:val="00250FF7"/>
    <w:rsid w:val="002537D5"/>
    <w:rsid w:val="00254E64"/>
    <w:rsid w:val="00255319"/>
    <w:rsid w:val="002554E5"/>
    <w:rsid w:val="00255E0F"/>
    <w:rsid w:val="0025629E"/>
    <w:rsid w:val="00256434"/>
    <w:rsid w:val="0025660A"/>
    <w:rsid w:val="00256637"/>
    <w:rsid w:val="00257F11"/>
    <w:rsid w:val="002608A1"/>
    <w:rsid w:val="00260EFB"/>
    <w:rsid w:val="00261013"/>
    <w:rsid w:val="00261240"/>
    <w:rsid w:val="00261414"/>
    <w:rsid w:val="00261BE2"/>
    <w:rsid w:val="00261C9E"/>
    <w:rsid w:val="00261D0C"/>
    <w:rsid w:val="00261DB4"/>
    <w:rsid w:val="002625E2"/>
    <w:rsid w:val="002627A1"/>
    <w:rsid w:val="00262C4D"/>
    <w:rsid w:val="00262D31"/>
    <w:rsid w:val="002632CC"/>
    <w:rsid w:val="00263B16"/>
    <w:rsid w:val="00263C37"/>
    <w:rsid w:val="002646C0"/>
    <w:rsid w:val="0026498D"/>
    <w:rsid w:val="00264AE2"/>
    <w:rsid w:val="00265424"/>
    <w:rsid w:val="00265567"/>
    <w:rsid w:val="002658F5"/>
    <w:rsid w:val="00265921"/>
    <w:rsid w:val="00270139"/>
    <w:rsid w:val="00270CBE"/>
    <w:rsid w:val="00271155"/>
    <w:rsid w:val="002717F3"/>
    <w:rsid w:val="0027181B"/>
    <w:rsid w:val="00272ECC"/>
    <w:rsid w:val="0027326C"/>
    <w:rsid w:val="00273320"/>
    <w:rsid w:val="00273E4C"/>
    <w:rsid w:val="00273EB0"/>
    <w:rsid w:val="00274614"/>
    <w:rsid w:val="00274EBC"/>
    <w:rsid w:val="002753E5"/>
    <w:rsid w:val="002760B4"/>
    <w:rsid w:val="002763DB"/>
    <w:rsid w:val="00277723"/>
    <w:rsid w:val="0027796B"/>
    <w:rsid w:val="00277A99"/>
    <w:rsid w:val="00277D55"/>
    <w:rsid w:val="00277E8E"/>
    <w:rsid w:val="00280431"/>
    <w:rsid w:val="00280641"/>
    <w:rsid w:val="00280A16"/>
    <w:rsid w:val="00280D97"/>
    <w:rsid w:val="00282235"/>
    <w:rsid w:val="0028279A"/>
    <w:rsid w:val="00283485"/>
    <w:rsid w:val="00284BE7"/>
    <w:rsid w:val="00284C50"/>
    <w:rsid w:val="002855D9"/>
    <w:rsid w:val="00286CFE"/>
    <w:rsid w:val="00287675"/>
    <w:rsid w:val="00287B3E"/>
    <w:rsid w:val="0029048E"/>
    <w:rsid w:val="002910C6"/>
    <w:rsid w:val="00291C97"/>
    <w:rsid w:val="00291ED8"/>
    <w:rsid w:val="00291F58"/>
    <w:rsid w:val="00292DAF"/>
    <w:rsid w:val="002931AE"/>
    <w:rsid w:val="0029414E"/>
    <w:rsid w:val="00294851"/>
    <w:rsid w:val="00294A30"/>
    <w:rsid w:val="002950CF"/>
    <w:rsid w:val="002954F0"/>
    <w:rsid w:val="00295A12"/>
    <w:rsid w:val="00295B0E"/>
    <w:rsid w:val="00295B8A"/>
    <w:rsid w:val="00295C14"/>
    <w:rsid w:val="00296A11"/>
    <w:rsid w:val="00296A32"/>
    <w:rsid w:val="00296B75"/>
    <w:rsid w:val="00296DFD"/>
    <w:rsid w:val="002979E3"/>
    <w:rsid w:val="002A1800"/>
    <w:rsid w:val="002A1986"/>
    <w:rsid w:val="002A1E83"/>
    <w:rsid w:val="002A2C00"/>
    <w:rsid w:val="002A36C5"/>
    <w:rsid w:val="002A4171"/>
    <w:rsid w:val="002A440D"/>
    <w:rsid w:val="002A4785"/>
    <w:rsid w:val="002A49E4"/>
    <w:rsid w:val="002A4D3E"/>
    <w:rsid w:val="002A4FB1"/>
    <w:rsid w:val="002A4FBC"/>
    <w:rsid w:val="002A5B94"/>
    <w:rsid w:val="002A5ECC"/>
    <w:rsid w:val="002A6768"/>
    <w:rsid w:val="002A6BCD"/>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EA7"/>
    <w:rsid w:val="002B30A4"/>
    <w:rsid w:val="002B34A8"/>
    <w:rsid w:val="002B3817"/>
    <w:rsid w:val="002B4729"/>
    <w:rsid w:val="002B4AAF"/>
    <w:rsid w:val="002B61EB"/>
    <w:rsid w:val="002B646E"/>
    <w:rsid w:val="002B6C7A"/>
    <w:rsid w:val="002B6DA4"/>
    <w:rsid w:val="002B76DE"/>
    <w:rsid w:val="002B7785"/>
    <w:rsid w:val="002C07B8"/>
    <w:rsid w:val="002C09BF"/>
    <w:rsid w:val="002C0AD1"/>
    <w:rsid w:val="002C0BD7"/>
    <w:rsid w:val="002C0E0F"/>
    <w:rsid w:val="002C140D"/>
    <w:rsid w:val="002C1CB6"/>
    <w:rsid w:val="002C1F5C"/>
    <w:rsid w:val="002C2C8A"/>
    <w:rsid w:val="002C322E"/>
    <w:rsid w:val="002C3743"/>
    <w:rsid w:val="002C435A"/>
    <w:rsid w:val="002C4A73"/>
    <w:rsid w:val="002C4BF5"/>
    <w:rsid w:val="002C511D"/>
    <w:rsid w:val="002C52CB"/>
    <w:rsid w:val="002C5AB2"/>
    <w:rsid w:val="002C5EF4"/>
    <w:rsid w:val="002C6052"/>
    <w:rsid w:val="002C66AB"/>
    <w:rsid w:val="002C67C7"/>
    <w:rsid w:val="002C74BA"/>
    <w:rsid w:val="002C7A8A"/>
    <w:rsid w:val="002D0A5B"/>
    <w:rsid w:val="002D0FB1"/>
    <w:rsid w:val="002D1E10"/>
    <w:rsid w:val="002D2037"/>
    <w:rsid w:val="002D28D4"/>
    <w:rsid w:val="002D2B5D"/>
    <w:rsid w:val="002D375D"/>
    <w:rsid w:val="002D450D"/>
    <w:rsid w:val="002D47FC"/>
    <w:rsid w:val="002D4F9C"/>
    <w:rsid w:val="002D5207"/>
    <w:rsid w:val="002D6236"/>
    <w:rsid w:val="002D6643"/>
    <w:rsid w:val="002D6792"/>
    <w:rsid w:val="002D67A4"/>
    <w:rsid w:val="002D686E"/>
    <w:rsid w:val="002D6A8A"/>
    <w:rsid w:val="002D6BA4"/>
    <w:rsid w:val="002D7E15"/>
    <w:rsid w:val="002D7E33"/>
    <w:rsid w:val="002E0FB2"/>
    <w:rsid w:val="002E105E"/>
    <w:rsid w:val="002E1619"/>
    <w:rsid w:val="002E1672"/>
    <w:rsid w:val="002E1759"/>
    <w:rsid w:val="002E1E27"/>
    <w:rsid w:val="002E22E9"/>
    <w:rsid w:val="002E2528"/>
    <w:rsid w:val="002E265C"/>
    <w:rsid w:val="002E3AD7"/>
    <w:rsid w:val="002E3DB1"/>
    <w:rsid w:val="002E4E84"/>
    <w:rsid w:val="002E6649"/>
    <w:rsid w:val="002E6F57"/>
    <w:rsid w:val="002E703E"/>
    <w:rsid w:val="002E75D3"/>
    <w:rsid w:val="002E7BAD"/>
    <w:rsid w:val="002F00C0"/>
    <w:rsid w:val="002F04AD"/>
    <w:rsid w:val="002F09A6"/>
    <w:rsid w:val="002F10E7"/>
    <w:rsid w:val="002F2245"/>
    <w:rsid w:val="002F2269"/>
    <w:rsid w:val="002F233F"/>
    <w:rsid w:val="002F245D"/>
    <w:rsid w:val="002F24E9"/>
    <w:rsid w:val="002F2775"/>
    <w:rsid w:val="002F2A3D"/>
    <w:rsid w:val="002F2FD5"/>
    <w:rsid w:val="002F3198"/>
    <w:rsid w:val="002F38A7"/>
    <w:rsid w:val="002F568F"/>
    <w:rsid w:val="002F66AB"/>
    <w:rsid w:val="002F6F09"/>
    <w:rsid w:val="002F713D"/>
    <w:rsid w:val="002F737E"/>
    <w:rsid w:val="002F7651"/>
    <w:rsid w:val="002F7857"/>
    <w:rsid w:val="002F799F"/>
    <w:rsid w:val="003001E4"/>
    <w:rsid w:val="003002B5"/>
    <w:rsid w:val="00300690"/>
    <w:rsid w:val="003008A5"/>
    <w:rsid w:val="00300DBC"/>
    <w:rsid w:val="00300FFE"/>
    <w:rsid w:val="003010C8"/>
    <w:rsid w:val="003029B6"/>
    <w:rsid w:val="003029FE"/>
    <w:rsid w:val="00302B90"/>
    <w:rsid w:val="00303931"/>
    <w:rsid w:val="00304861"/>
    <w:rsid w:val="00304954"/>
    <w:rsid w:val="00304B32"/>
    <w:rsid w:val="00305DF1"/>
    <w:rsid w:val="003060C7"/>
    <w:rsid w:val="00307E8B"/>
    <w:rsid w:val="0031017D"/>
    <w:rsid w:val="003102D6"/>
    <w:rsid w:val="003107B2"/>
    <w:rsid w:val="003112AC"/>
    <w:rsid w:val="00311973"/>
    <w:rsid w:val="00311E3D"/>
    <w:rsid w:val="00312F44"/>
    <w:rsid w:val="00312FD7"/>
    <w:rsid w:val="0031365B"/>
    <w:rsid w:val="00313790"/>
    <w:rsid w:val="00313A0C"/>
    <w:rsid w:val="0031593D"/>
    <w:rsid w:val="003162E0"/>
    <w:rsid w:val="0031748B"/>
    <w:rsid w:val="003176B2"/>
    <w:rsid w:val="003211DC"/>
    <w:rsid w:val="00321214"/>
    <w:rsid w:val="00321465"/>
    <w:rsid w:val="0032167D"/>
    <w:rsid w:val="003217BC"/>
    <w:rsid w:val="00321DA7"/>
    <w:rsid w:val="0032200C"/>
    <w:rsid w:val="0032246D"/>
    <w:rsid w:val="0032276E"/>
    <w:rsid w:val="00322B0A"/>
    <w:rsid w:val="00322E36"/>
    <w:rsid w:val="0032349C"/>
    <w:rsid w:val="00324062"/>
    <w:rsid w:val="00324E7F"/>
    <w:rsid w:val="00325E0F"/>
    <w:rsid w:val="00326194"/>
    <w:rsid w:val="00326764"/>
    <w:rsid w:val="003268A8"/>
    <w:rsid w:val="003277F6"/>
    <w:rsid w:val="00327B11"/>
    <w:rsid w:val="00327D23"/>
    <w:rsid w:val="003304BD"/>
    <w:rsid w:val="0033084C"/>
    <w:rsid w:val="00330BAC"/>
    <w:rsid w:val="00331229"/>
    <w:rsid w:val="00331CD3"/>
    <w:rsid w:val="003329D1"/>
    <w:rsid w:val="00332ADA"/>
    <w:rsid w:val="00332C54"/>
    <w:rsid w:val="003339D7"/>
    <w:rsid w:val="00333F14"/>
    <w:rsid w:val="0033483A"/>
    <w:rsid w:val="00334B52"/>
    <w:rsid w:val="003356AE"/>
    <w:rsid w:val="0033649D"/>
    <w:rsid w:val="00336D9F"/>
    <w:rsid w:val="003376DA"/>
    <w:rsid w:val="0033779F"/>
    <w:rsid w:val="00340242"/>
    <w:rsid w:val="0034069E"/>
    <w:rsid w:val="003415B2"/>
    <w:rsid w:val="00342E38"/>
    <w:rsid w:val="003437D4"/>
    <w:rsid w:val="00345328"/>
    <w:rsid w:val="00345B1F"/>
    <w:rsid w:val="00345CA9"/>
    <w:rsid w:val="00345EA9"/>
    <w:rsid w:val="00346135"/>
    <w:rsid w:val="003466A8"/>
    <w:rsid w:val="003466D2"/>
    <w:rsid w:val="00346BC6"/>
    <w:rsid w:val="003471CB"/>
    <w:rsid w:val="00347675"/>
    <w:rsid w:val="003507EE"/>
    <w:rsid w:val="003519EE"/>
    <w:rsid w:val="00351FDF"/>
    <w:rsid w:val="0035229B"/>
    <w:rsid w:val="00353733"/>
    <w:rsid w:val="00354544"/>
    <w:rsid w:val="0035512C"/>
    <w:rsid w:val="00355C1B"/>
    <w:rsid w:val="00355D26"/>
    <w:rsid w:val="00355EC7"/>
    <w:rsid w:val="00356034"/>
    <w:rsid w:val="003560F0"/>
    <w:rsid w:val="00356427"/>
    <w:rsid w:val="00356438"/>
    <w:rsid w:val="00356CF5"/>
    <w:rsid w:val="003572C7"/>
    <w:rsid w:val="003575EF"/>
    <w:rsid w:val="003604B4"/>
    <w:rsid w:val="0036149C"/>
    <w:rsid w:val="003615CE"/>
    <w:rsid w:val="00361863"/>
    <w:rsid w:val="003619F2"/>
    <w:rsid w:val="00362325"/>
    <w:rsid w:val="00362988"/>
    <w:rsid w:val="00363454"/>
    <w:rsid w:val="003645CF"/>
    <w:rsid w:val="00365164"/>
    <w:rsid w:val="00367195"/>
    <w:rsid w:val="00367218"/>
    <w:rsid w:val="00367470"/>
    <w:rsid w:val="0036772E"/>
    <w:rsid w:val="00367746"/>
    <w:rsid w:val="00367949"/>
    <w:rsid w:val="00371210"/>
    <w:rsid w:val="00371832"/>
    <w:rsid w:val="00371D38"/>
    <w:rsid w:val="0037260B"/>
    <w:rsid w:val="00372936"/>
    <w:rsid w:val="00373152"/>
    <w:rsid w:val="00374628"/>
    <w:rsid w:val="0037499D"/>
    <w:rsid w:val="00374F20"/>
    <w:rsid w:val="003753A8"/>
    <w:rsid w:val="0037564D"/>
    <w:rsid w:val="00375B7F"/>
    <w:rsid w:val="00376035"/>
    <w:rsid w:val="00377482"/>
    <w:rsid w:val="003777E4"/>
    <w:rsid w:val="0038010D"/>
    <w:rsid w:val="00380882"/>
    <w:rsid w:val="00380FD2"/>
    <w:rsid w:val="00381363"/>
    <w:rsid w:val="00381580"/>
    <w:rsid w:val="00382950"/>
    <w:rsid w:val="00382DE7"/>
    <w:rsid w:val="00383A3E"/>
    <w:rsid w:val="00384560"/>
    <w:rsid w:val="00384CB6"/>
    <w:rsid w:val="00385032"/>
    <w:rsid w:val="00385659"/>
    <w:rsid w:val="00385BE5"/>
    <w:rsid w:val="0038636C"/>
    <w:rsid w:val="00386988"/>
    <w:rsid w:val="003869FA"/>
    <w:rsid w:val="00386B86"/>
    <w:rsid w:val="00387850"/>
    <w:rsid w:val="00387EF2"/>
    <w:rsid w:val="00390714"/>
    <w:rsid w:val="003911D3"/>
    <w:rsid w:val="00391881"/>
    <w:rsid w:val="0039200C"/>
    <w:rsid w:val="003928E8"/>
    <w:rsid w:val="00393A99"/>
    <w:rsid w:val="00393B11"/>
    <w:rsid w:val="00393C39"/>
    <w:rsid w:val="00394022"/>
    <w:rsid w:val="00394240"/>
    <w:rsid w:val="0039454D"/>
    <w:rsid w:val="0039471E"/>
    <w:rsid w:val="003948C9"/>
    <w:rsid w:val="00394F56"/>
    <w:rsid w:val="00395A6E"/>
    <w:rsid w:val="0039696A"/>
    <w:rsid w:val="003969FB"/>
    <w:rsid w:val="00396C4A"/>
    <w:rsid w:val="00396FAE"/>
    <w:rsid w:val="00397189"/>
    <w:rsid w:val="00397AE8"/>
    <w:rsid w:val="003A06EB"/>
    <w:rsid w:val="003A091C"/>
    <w:rsid w:val="003A0C26"/>
    <w:rsid w:val="003A0E9B"/>
    <w:rsid w:val="003A118A"/>
    <w:rsid w:val="003A1E65"/>
    <w:rsid w:val="003A2C5D"/>
    <w:rsid w:val="003A2F0C"/>
    <w:rsid w:val="003A3AE3"/>
    <w:rsid w:val="003A42C9"/>
    <w:rsid w:val="003A4891"/>
    <w:rsid w:val="003A4EB8"/>
    <w:rsid w:val="003A550C"/>
    <w:rsid w:val="003A6614"/>
    <w:rsid w:val="003A693E"/>
    <w:rsid w:val="003A71E6"/>
    <w:rsid w:val="003A7423"/>
    <w:rsid w:val="003A76FC"/>
    <w:rsid w:val="003A7F10"/>
    <w:rsid w:val="003B0A49"/>
    <w:rsid w:val="003B19DD"/>
    <w:rsid w:val="003B2008"/>
    <w:rsid w:val="003B2393"/>
    <w:rsid w:val="003B2749"/>
    <w:rsid w:val="003B288C"/>
    <w:rsid w:val="003B3118"/>
    <w:rsid w:val="003B37B4"/>
    <w:rsid w:val="003B3AE5"/>
    <w:rsid w:val="003B3FC7"/>
    <w:rsid w:val="003B410B"/>
    <w:rsid w:val="003B501A"/>
    <w:rsid w:val="003B5046"/>
    <w:rsid w:val="003B5FCE"/>
    <w:rsid w:val="003B6CD3"/>
    <w:rsid w:val="003C0FB7"/>
    <w:rsid w:val="003C1111"/>
    <w:rsid w:val="003C1FB2"/>
    <w:rsid w:val="003C2257"/>
    <w:rsid w:val="003C230E"/>
    <w:rsid w:val="003C3690"/>
    <w:rsid w:val="003C3C9B"/>
    <w:rsid w:val="003C3E1B"/>
    <w:rsid w:val="003C3F51"/>
    <w:rsid w:val="003C45EA"/>
    <w:rsid w:val="003C4C66"/>
    <w:rsid w:val="003C5372"/>
    <w:rsid w:val="003C58D3"/>
    <w:rsid w:val="003C5D87"/>
    <w:rsid w:val="003C5EF4"/>
    <w:rsid w:val="003C78C6"/>
    <w:rsid w:val="003D082F"/>
    <w:rsid w:val="003D0A45"/>
    <w:rsid w:val="003D0C51"/>
    <w:rsid w:val="003D12AF"/>
    <w:rsid w:val="003D1DB1"/>
    <w:rsid w:val="003D24F8"/>
    <w:rsid w:val="003D2656"/>
    <w:rsid w:val="003D2961"/>
    <w:rsid w:val="003D336A"/>
    <w:rsid w:val="003D33EF"/>
    <w:rsid w:val="003D358A"/>
    <w:rsid w:val="003D3651"/>
    <w:rsid w:val="003D3B6F"/>
    <w:rsid w:val="003D438F"/>
    <w:rsid w:val="003D5B44"/>
    <w:rsid w:val="003D6E8D"/>
    <w:rsid w:val="003D6E93"/>
    <w:rsid w:val="003E0055"/>
    <w:rsid w:val="003E0063"/>
    <w:rsid w:val="003E0337"/>
    <w:rsid w:val="003E0542"/>
    <w:rsid w:val="003E08DD"/>
    <w:rsid w:val="003E0CD7"/>
    <w:rsid w:val="003E0E5D"/>
    <w:rsid w:val="003E1285"/>
    <w:rsid w:val="003E130D"/>
    <w:rsid w:val="003E13BB"/>
    <w:rsid w:val="003E1514"/>
    <w:rsid w:val="003E1EF2"/>
    <w:rsid w:val="003E23E5"/>
    <w:rsid w:val="003E412A"/>
    <w:rsid w:val="003E48A3"/>
    <w:rsid w:val="003E4A61"/>
    <w:rsid w:val="003E5465"/>
    <w:rsid w:val="003E54A6"/>
    <w:rsid w:val="003E5599"/>
    <w:rsid w:val="003E5883"/>
    <w:rsid w:val="003E6333"/>
    <w:rsid w:val="003E740F"/>
    <w:rsid w:val="003F028A"/>
    <w:rsid w:val="003F09E5"/>
    <w:rsid w:val="003F0F96"/>
    <w:rsid w:val="003F1512"/>
    <w:rsid w:val="003F157A"/>
    <w:rsid w:val="003F1A94"/>
    <w:rsid w:val="003F1C0E"/>
    <w:rsid w:val="003F1D66"/>
    <w:rsid w:val="003F20E5"/>
    <w:rsid w:val="003F3609"/>
    <w:rsid w:val="003F3638"/>
    <w:rsid w:val="003F3A48"/>
    <w:rsid w:val="003F40AB"/>
    <w:rsid w:val="003F44FF"/>
    <w:rsid w:val="003F497C"/>
    <w:rsid w:val="003F4D2C"/>
    <w:rsid w:val="003F50E3"/>
    <w:rsid w:val="003F54AF"/>
    <w:rsid w:val="003F5A57"/>
    <w:rsid w:val="003F5D11"/>
    <w:rsid w:val="003F7B40"/>
    <w:rsid w:val="00400CC0"/>
    <w:rsid w:val="00401687"/>
    <w:rsid w:val="00401D5D"/>
    <w:rsid w:val="00401D8B"/>
    <w:rsid w:val="00401E14"/>
    <w:rsid w:val="004021AD"/>
    <w:rsid w:val="004025C3"/>
    <w:rsid w:val="004036EE"/>
    <w:rsid w:val="00403834"/>
    <w:rsid w:val="00403EBB"/>
    <w:rsid w:val="00404377"/>
    <w:rsid w:val="00404B71"/>
    <w:rsid w:val="00404BEB"/>
    <w:rsid w:val="00406ACC"/>
    <w:rsid w:val="00406FD1"/>
    <w:rsid w:val="00407018"/>
    <w:rsid w:val="004075AE"/>
    <w:rsid w:val="00410054"/>
    <w:rsid w:val="00410508"/>
    <w:rsid w:val="00410BAE"/>
    <w:rsid w:val="004114B8"/>
    <w:rsid w:val="0041204A"/>
    <w:rsid w:val="0041210D"/>
    <w:rsid w:val="0041229C"/>
    <w:rsid w:val="0041236C"/>
    <w:rsid w:val="00412899"/>
    <w:rsid w:val="00413DB6"/>
    <w:rsid w:val="0041400A"/>
    <w:rsid w:val="00414313"/>
    <w:rsid w:val="00416181"/>
    <w:rsid w:val="004164A7"/>
    <w:rsid w:val="00416875"/>
    <w:rsid w:val="00416F3B"/>
    <w:rsid w:val="004174DF"/>
    <w:rsid w:val="00417626"/>
    <w:rsid w:val="00417702"/>
    <w:rsid w:val="004202A1"/>
    <w:rsid w:val="0042056B"/>
    <w:rsid w:val="00421407"/>
    <w:rsid w:val="00421FA5"/>
    <w:rsid w:val="00422ADF"/>
    <w:rsid w:val="00422C14"/>
    <w:rsid w:val="0042373A"/>
    <w:rsid w:val="00424A75"/>
    <w:rsid w:val="004252D5"/>
    <w:rsid w:val="00425B24"/>
    <w:rsid w:val="00425D8A"/>
    <w:rsid w:val="00425EF1"/>
    <w:rsid w:val="004260F5"/>
    <w:rsid w:val="00426128"/>
    <w:rsid w:val="00426505"/>
    <w:rsid w:val="00427562"/>
    <w:rsid w:val="00430506"/>
    <w:rsid w:val="004306EC"/>
    <w:rsid w:val="0043079C"/>
    <w:rsid w:val="00431273"/>
    <w:rsid w:val="00431539"/>
    <w:rsid w:val="004315D2"/>
    <w:rsid w:val="0043189A"/>
    <w:rsid w:val="00431B53"/>
    <w:rsid w:val="00431D27"/>
    <w:rsid w:val="004320A8"/>
    <w:rsid w:val="00433344"/>
    <w:rsid w:val="00433A29"/>
    <w:rsid w:val="00433A48"/>
    <w:rsid w:val="00433B5F"/>
    <w:rsid w:val="004343BE"/>
    <w:rsid w:val="00434B0F"/>
    <w:rsid w:val="00437026"/>
    <w:rsid w:val="00437468"/>
    <w:rsid w:val="00437891"/>
    <w:rsid w:val="00437951"/>
    <w:rsid w:val="00437D8E"/>
    <w:rsid w:val="004400EA"/>
    <w:rsid w:val="00440E7E"/>
    <w:rsid w:val="00441430"/>
    <w:rsid w:val="00441531"/>
    <w:rsid w:val="00441A81"/>
    <w:rsid w:val="004428C5"/>
    <w:rsid w:val="00443195"/>
    <w:rsid w:val="004434A5"/>
    <w:rsid w:val="004434D2"/>
    <w:rsid w:val="00443EF4"/>
    <w:rsid w:val="00444297"/>
    <w:rsid w:val="0044430F"/>
    <w:rsid w:val="00444513"/>
    <w:rsid w:val="004445A1"/>
    <w:rsid w:val="0044475E"/>
    <w:rsid w:val="0044490B"/>
    <w:rsid w:val="00445F5D"/>
    <w:rsid w:val="004465C5"/>
    <w:rsid w:val="004474BD"/>
    <w:rsid w:val="00450032"/>
    <w:rsid w:val="00450A86"/>
    <w:rsid w:val="004512CA"/>
    <w:rsid w:val="004513E6"/>
    <w:rsid w:val="00451624"/>
    <w:rsid w:val="00452AA9"/>
    <w:rsid w:val="00452D2A"/>
    <w:rsid w:val="00453337"/>
    <w:rsid w:val="00453C25"/>
    <w:rsid w:val="00453C33"/>
    <w:rsid w:val="004556FF"/>
    <w:rsid w:val="00455ED1"/>
    <w:rsid w:val="00455F90"/>
    <w:rsid w:val="00456B1C"/>
    <w:rsid w:val="00457518"/>
    <w:rsid w:val="00457D52"/>
    <w:rsid w:val="00457DBF"/>
    <w:rsid w:val="00460DC5"/>
    <w:rsid w:val="00460E29"/>
    <w:rsid w:val="0046128C"/>
    <w:rsid w:val="00461EB2"/>
    <w:rsid w:val="0046317B"/>
    <w:rsid w:val="00463669"/>
    <w:rsid w:val="0046368C"/>
    <w:rsid w:val="00463836"/>
    <w:rsid w:val="004642D6"/>
    <w:rsid w:val="00464488"/>
    <w:rsid w:val="00464D4B"/>
    <w:rsid w:val="004652CB"/>
    <w:rsid w:val="0046565B"/>
    <w:rsid w:val="00465A0E"/>
    <w:rsid w:val="00465BB7"/>
    <w:rsid w:val="00466578"/>
    <w:rsid w:val="00466C9E"/>
    <w:rsid w:val="0046704E"/>
    <w:rsid w:val="00467474"/>
    <w:rsid w:val="00467F12"/>
    <w:rsid w:val="00467F4C"/>
    <w:rsid w:val="00470480"/>
    <w:rsid w:val="0047055C"/>
    <w:rsid w:val="00470BC9"/>
    <w:rsid w:val="00470CBD"/>
    <w:rsid w:val="00470D3B"/>
    <w:rsid w:val="00470DE8"/>
    <w:rsid w:val="0047117B"/>
    <w:rsid w:val="004719D7"/>
    <w:rsid w:val="00471C56"/>
    <w:rsid w:val="00472909"/>
    <w:rsid w:val="00473237"/>
    <w:rsid w:val="00473348"/>
    <w:rsid w:val="004735BE"/>
    <w:rsid w:val="004738E5"/>
    <w:rsid w:val="004739D6"/>
    <w:rsid w:val="00473B82"/>
    <w:rsid w:val="0047401B"/>
    <w:rsid w:val="00475822"/>
    <w:rsid w:val="00475A09"/>
    <w:rsid w:val="00475F07"/>
    <w:rsid w:val="00475F95"/>
    <w:rsid w:val="00476945"/>
    <w:rsid w:val="00477872"/>
    <w:rsid w:val="00480904"/>
    <w:rsid w:val="0048244B"/>
    <w:rsid w:val="00482709"/>
    <w:rsid w:val="00482997"/>
    <w:rsid w:val="00482BA2"/>
    <w:rsid w:val="00483317"/>
    <w:rsid w:val="004833C2"/>
    <w:rsid w:val="004833D1"/>
    <w:rsid w:val="00483DDA"/>
    <w:rsid w:val="004848DC"/>
    <w:rsid w:val="0048494D"/>
    <w:rsid w:val="00484DBD"/>
    <w:rsid w:val="004855BF"/>
    <w:rsid w:val="00486E4A"/>
    <w:rsid w:val="00487BE8"/>
    <w:rsid w:val="004900AA"/>
    <w:rsid w:val="0049073C"/>
    <w:rsid w:val="004919B4"/>
    <w:rsid w:val="004923EC"/>
    <w:rsid w:val="004924EA"/>
    <w:rsid w:val="004929B7"/>
    <w:rsid w:val="00493241"/>
    <w:rsid w:val="00493738"/>
    <w:rsid w:val="00494344"/>
    <w:rsid w:val="00494596"/>
    <w:rsid w:val="00496F04"/>
    <w:rsid w:val="004971F5"/>
    <w:rsid w:val="00497F33"/>
    <w:rsid w:val="004A0621"/>
    <w:rsid w:val="004A08D3"/>
    <w:rsid w:val="004A1601"/>
    <w:rsid w:val="004A180E"/>
    <w:rsid w:val="004A1D35"/>
    <w:rsid w:val="004A3732"/>
    <w:rsid w:val="004A376C"/>
    <w:rsid w:val="004A397A"/>
    <w:rsid w:val="004A3CCD"/>
    <w:rsid w:val="004A5548"/>
    <w:rsid w:val="004A62E1"/>
    <w:rsid w:val="004A64D3"/>
    <w:rsid w:val="004A6991"/>
    <w:rsid w:val="004A6B2E"/>
    <w:rsid w:val="004A6D47"/>
    <w:rsid w:val="004B02CB"/>
    <w:rsid w:val="004B0984"/>
    <w:rsid w:val="004B1486"/>
    <w:rsid w:val="004B2501"/>
    <w:rsid w:val="004B2B98"/>
    <w:rsid w:val="004B308A"/>
    <w:rsid w:val="004B3126"/>
    <w:rsid w:val="004B3259"/>
    <w:rsid w:val="004B32D6"/>
    <w:rsid w:val="004B3748"/>
    <w:rsid w:val="004B3F00"/>
    <w:rsid w:val="004B43D2"/>
    <w:rsid w:val="004B449A"/>
    <w:rsid w:val="004B62A4"/>
    <w:rsid w:val="004B6348"/>
    <w:rsid w:val="004B63BF"/>
    <w:rsid w:val="004B6608"/>
    <w:rsid w:val="004B7F15"/>
    <w:rsid w:val="004B7FBA"/>
    <w:rsid w:val="004C06CF"/>
    <w:rsid w:val="004C13A1"/>
    <w:rsid w:val="004C1C32"/>
    <w:rsid w:val="004C1F6F"/>
    <w:rsid w:val="004C1FE2"/>
    <w:rsid w:val="004C248C"/>
    <w:rsid w:val="004C28F2"/>
    <w:rsid w:val="004C32C6"/>
    <w:rsid w:val="004C3448"/>
    <w:rsid w:val="004C3542"/>
    <w:rsid w:val="004C3613"/>
    <w:rsid w:val="004C3B9E"/>
    <w:rsid w:val="004C3CDC"/>
    <w:rsid w:val="004C41A7"/>
    <w:rsid w:val="004C4A80"/>
    <w:rsid w:val="004C53BC"/>
    <w:rsid w:val="004C5746"/>
    <w:rsid w:val="004C662E"/>
    <w:rsid w:val="004C7146"/>
    <w:rsid w:val="004C71DB"/>
    <w:rsid w:val="004C7977"/>
    <w:rsid w:val="004D05A5"/>
    <w:rsid w:val="004D0D60"/>
    <w:rsid w:val="004D0E8B"/>
    <w:rsid w:val="004D2284"/>
    <w:rsid w:val="004D2676"/>
    <w:rsid w:val="004D29DB"/>
    <w:rsid w:val="004D3705"/>
    <w:rsid w:val="004D39B4"/>
    <w:rsid w:val="004D5622"/>
    <w:rsid w:val="004D5B5D"/>
    <w:rsid w:val="004D6171"/>
    <w:rsid w:val="004D7720"/>
    <w:rsid w:val="004E1A02"/>
    <w:rsid w:val="004E22DD"/>
    <w:rsid w:val="004E2360"/>
    <w:rsid w:val="004E29B4"/>
    <w:rsid w:val="004E29C2"/>
    <w:rsid w:val="004E2B67"/>
    <w:rsid w:val="004E321C"/>
    <w:rsid w:val="004E3734"/>
    <w:rsid w:val="004E3F59"/>
    <w:rsid w:val="004E403B"/>
    <w:rsid w:val="004E4791"/>
    <w:rsid w:val="004E4F05"/>
    <w:rsid w:val="004E516D"/>
    <w:rsid w:val="004E5309"/>
    <w:rsid w:val="004E530D"/>
    <w:rsid w:val="004E552A"/>
    <w:rsid w:val="004E569B"/>
    <w:rsid w:val="004E63D5"/>
    <w:rsid w:val="004E6B55"/>
    <w:rsid w:val="004E719F"/>
    <w:rsid w:val="004E7662"/>
    <w:rsid w:val="004E784C"/>
    <w:rsid w:val="004E7D11"/>
    <w:rsid w:val="004E7FDA"/>
    <w:rsid w:val="004F008D"/>
    <w:rsid w:val="004F0C8E"/>
    <w:rsid w:val="004F1215"/>
    <w:rsid w:val="004F1AD7"/>
    <w:rsid w:val="004F1BAC"/>
    <w:rsid w:val="004F1FBB"/>
    <w:rsid w:val="004F23AD"/>
    <w:rsid w:val="004F23D3"/>
    <w:rsid w:val="004F25C8"/>
    <w:rsid w:val="004F2E54"/>
    <w:rsid w:val="004F3D71"/>
    <w:rsid w:val="004F4025"/>
    <w:rsid w:val="004F4B9D"/>
    <w:rsid w:val="004F5258"/>
    <w:rsid w:val="004F5A74"/>
    <w:rsid w:val="004F7274"/>
    <w:rsid w:val="004F77BE"/>
    <w:rsid w:val="004F7CF2"/>
    <w:rsid w:val="004F7D0F"/>
    <w:rsid w:val="00500653"/>
    <w:rsid w:val="00500925"/>
    <w:rsid w:val="0050099B"/>
    <w:rsid w:val="00500AF0"/>
    <w:rsid w:val="00500B52"/>
    <w:rsid w:val="0050274E"/>
    <w:rsid w:val="00503855"/>
    <w:rsid w:val="00503F1C"/>
    <w:rsid w:val="005040B2"/>
    <w:rsid w:val="005041DB"/>
    <w:rsid w:val="0050425B"/>
    <w:rsid w:val="0050469A"/>
    <w:rsid w:val="00504EC8"/>
    <w:rsid w:val="00504F9C"/>
    <w:rsid w:val="005050E2"/>
    <w:rsid w:val="005052AD"/>
    <w:rsid w:val="00505606"/>
    <w:rsid w:val="0050569C"/>
    <w:rsid w:val="00506835"/>
    <w:rsid w:val="00506DD6"/>
    <w:rsid w:val="005070C6"/>
    <w:rsid w:val="00507FC4"/>
    <w:rsid w:val="00510866"/>
    <w:rsid w:val="00510B3F"/>
    <w:rsid w:val="00511D9F"/>
    <w:rsid w:val="005125E9"/>
    <w:rsid w:val="00513CAE"/>
    <w:rsid w:val="0051515C"/>
    <w:rsid w:val="0051569F"/>
    <w:rsid w:val="00515C34"/>
    <w:rsid w:val="00516B28"/>
    <w:rsid w:val="00516C19"/>
    <w:rsid w:val="00516C1F"/>
    <w:rsid w:val="00516FE2"/>
    <w:rsid w:val="0051769C"/>
    <w:rsid w:val="00517A50"/>
    <w:rsid w:val="00517BCF"/>
    <w:rsid w:val="00517E49"/>
    <w:rsid w:val="00520517"/>
    <w:rsid w:val="00520551"/>
    <w:rsid w:val="00520641"/>
    <w:rsid w:val="00520911"/>
    <w:rsid w:val="00520B71"/>
    <w:rsid w:val="00520E0F"/>
    <w:rsid w:val="005216C4"/>
    <w:rsid w:val="0052172B"/>
    <w:rsid w:val="00521B0F"/>
    <w:rsid w:val="00522769"/>
    <w:rsid w:val="00522E9A"/>
    <w:rsid w:val="005234E3"/>
    <w:rsid w:val="005244D6"/>
    <w:rsid w:val="00525265"/>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3B0C"/>
    <w:rsid w:val="005342B9"/>
    <w:rsid w:val="00534E59"/>
    <w:rsid w:val="00535220"/>
    <w:rsid w:val="005364CF"/>
    <w:rsid w:val="00536BAE"/>
    <w:rsid w:val="00536DD4"/>
    <w:rsid w:val="00537550"/>
    <w:rsid w:val="005375E4"/>
    <w:rsid w:val="00537D61"/>
    <w:rsid w:val="00540326"/>
    <w:rsid w:val="00540857"/>
    <w:rsid w:val="00540CD9"/>
    <w:rsid w:val="005413FB"/>
    <w:rsid w:val="005416CF"/>
    <w:rsid w:val="00541A52"/>
    <w:rsid w:val="00541A6A"/>
    <w:rsid w:val="0054206E"/>
    <w:rsid w:val="00543136"/>
    <w:rsid w:val="00543506"/>
    <w:rsid w:val="00543AA7"/>
    <w:rsid w:val="00544196"/>
    <w:rsid w:val="0054487D"/>
    <w:rsid w:val="00545346"/>
    <w:rsid w:val="00545DD9"/>
    <w:rsid w:val="0054612D"/>
    <w:rsid w:val="0054626B"/>
    <w:rsid w:val="0054633F"/>
    <w:rsid w:val="00546790"/>
    <w:rsid w:val="00546D00"/>
    <w:rsid w:val="00547A60"/>
    <w:rsid w:val="00547A97"/>
    <w:rsid w:val="005502CD"/>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50A7"/>
    <w:rsid w:val="005554DA"/>
    <w:rsid w:val="0055593A"/>
    <w:rsid w:val="005562CB"/>
    <w:rsid w:val="005562EA"/>
    <w:rsid w:val="00556A71"/>
    <w:rsid w:val="005575F7"/>
    <w:rsid w:val="0056021E"/>
    <w:rsid w:val="00560712"/>
    <w:rsid w:val="0056112C"/>
    <w:rsid w:val="00561302"/>
    <w:rsid w:val="00561D4E"/>
    <w:rsid w:val="005627B9"/>
    <w:rsid w:val="00562DF0"/>
    <w:rsid w:val="00563BD3"/>
    <w:rsid w:val="00564C2F"/>
    <w:rsid w:val="005653C2"/>
    <w:rsid w:val="005657AC"/>
    <w:rsid w:val="00565A5B"/>
    <w:rsid w:val="00566643"/>
    <w:rsid w:val="00566C9E"/>
    <w:rsid w:val="00566D5A"/>
    <w:rsid w:val="00566D76"/>
    <w:rsid w:val="00567168"/>
    <w:rsid w:val="005702ED"/>
    <w:rsid w:val="00570501"/>
    <w:rsid w:val="00571405"/>
    <w:rsid w:val="005720A7"/>
    <w:rsid w:val="005723F5"/>
    <w:rsid w:val="00573BE9"/>
    <w:rsid w:val="005744C4"/>
    <w:rsid w:val="00574705"/>
    <w:rsid w:val="00574E35"/>
    <w:rsid w:val="005759F4"/>
    <w:rsid w:val="00575FCB"/>
    <w:rsid w:val="00576089"/>
    <w:rsid w:val="0057690A"/>
    <w:rsid w:val="00576C5C"/>
    <w:rsid w:val="005773DA"/>
    <w:rsid w:val="00577783"/>
    <w:rsid w:val="005778B2"/>
    <w:rsid w:val="0057797C"/>
    <w:rsid w:val="00577A5E"/>
    <w:rsid w:val="00577A6A"/>
    <w:rsid w:val="00577FA7"/>
    <w:rsid w:val="005812BF"/>
    <w:rsid w:val="005819DD"/>
    <w:rsid w:val="00581DF4"/>
    <w:rsid w:val="0058283E"/>
    <w:rsid w:val="00583E6F"/>
    <w:rsid w:val="005848F4"/>
    <w:rsid w:val="005849FB"/>
    <w:rsid w:val="00584E97"/>
    <w:rsid w:val="00585440"/>
    <w:rsid w:val="00585456"/>
    <w:rsid w:val="00586738"/>
    <w:rsid w:val="00587494"/>
    <w:rsid w:val="00587675"/>
    <w:rsid w:val="00587FC6"/>
    <w:rsid w:val="00590BAC"/>
    <w:rsid w:val="00590F96"/>
    <w:rsid w:val="00590F97"/>
    <w:rsid w:val="005918C0"/>
    <w:rsid w:val="00591DFB"/>
    <w:rsid w:val="00592E4B"/>
    <w:rsid w:val="00592F29"/>
    <w:rsid w:val="005936DC"/>
    <w:rsid w:val="005939ED"/>
    <w:rsid w:val="00593B6A"/>
    <w:rsid w:val="00593FF7"/>
    <w:rsid w:val="00594FFF"/>
    <w:rsid w:val="00595027"/>
    <w:rsid w:val="005956E6"/>
    <w:rsid w:val="00595741"/>
    <w:rsid w:val="00595DAF"/>
    <w:rsid w:val="00595F3D"/>
    <w:rsid w:val="00596B24"/>
    <w:rsid w:val="00597EE8"/>
    <w:rsid w:val="005A0201"/>
    <w:rsid w:val="005A0259"/>
    <w:rsid w:val="005A04B1"/>
    <w:rsid w:val="005A0D1C"/>
    <w:rsid w:val="005A0D7B"/>
    <w:rsid w:val="005A0DA6"/>
    <w:rsid w:val="005A0F1B"/>
    <w:rsid w:val="005A26C7"/>
    <w:rsid w:val="005A28AA"/>
    <w:rsid w:val="005A2C61"/>
    <w:rsid w:val="005A324E"/>
    <w:rsid w:val="005A3307"/>
    <w:rsid w:val="005A36CA"/>
    <w:rsid w:val="005A376E"/>
    <w:rsid w:val="005A428A"/>
    <w:rsid w:val="005A48AE"/>
    <w:rsid w:val="005A5709"/>
    <w:rsid w:val="005A57B7"/>
    <w:rsid w:val="005A7BE6"/>
    <w:rsid w:val="005A7E9B"/>
    <w:rsid w:val="005B0142"/>
    <w:rsid w:val="005B02C8"/>
    <w:rsid w:val="005B0668"/>
    <w:rsid w:val="005B0770"/>
    <w:rsid w:val="005B0EDF"/>
    <w:rsid w:val="005B1C95"/>
    <w:rsid w:val="005B290F"/>
    <w:rsid w:val="005B29E8"/>
    <w:rsid w:val="005B3825"/>
    <w:rsid w:val="005B3C30"/>
    <w:rsid w:val="005B3DDB"/>
    <w:rsid w:val="005B3E6E"/>
    <w:rsid w:val="005B43B2"/>
    <w:rsid w:val="005B4454"/>
    <w:rsid w:val="005B4E5D"/>
    <w:rsid w:val="005B4EFF"/>
    <w:rsid w:val="005B545C"/>
    <w:rsid w:val="005B5C9B"/>
    <w:rsid w:val="005B5D09"/>
    <w:rsid w:val="005B605D"/>
    <w:rsid w:val="005B6159"/>
    <w:rsid w:val="005B6DB7"/>
    <w:rsid w:val="005B77CD"/>
    <w:rsid w:val="005B7B89"/>
    <w:rsid w:val="005C03D6"/>
    <w:rsid w:val="005C062D"/>
    <w:rsid w:val="005C0BAE"/>
    <w:rsid w:val="005C1299"/>
    <w:rsid w:val="005C1829"/>
    <w:rsid w:val="005C1F4C"/>
    <w:rsid w:val="005C2078"/>
    <w:rsid w:val="005C247A"/>
    <w:rsid w:val="005C279F"/>
    <w:rsid w:val="005C2A6A"/>
    <w:rsid w:val="005C2BC1"/>
    <w:rsid w:val="005C32F3"/>
    <w:rsid w:val="005C34F4"/>
    <w:rsid w:val="005C3661"/>
    <w:rsid w:val="005C4A55"/>
    <w:rsid w:val="005C4D75"/>
    <w:rsid w:val="005C4F59"/>
    <w:rsid w:val="005C55B1"/>
    <w:rsid w:val="005C56A3"/>
    <w:rsid w:val="005C5AF7"/>
    <w:rsid w:val="005C5BF6"/>
    <w:rsid w:val="005C6257"/>
    <w:rsid w:val="005C62BC"/>
    <w:rsid w:val="005C6600"/>
    <w:rsid w:val="005C6850"/>
    <w:rsid w:val="005C6916"/>
    <w:rsid w:val="005C6DF7"/>
    <w:rsid w:val="005D0B44"/>
    <w:rsid w:val="005D0B4E"/>
    <w:rsid w:val="005D137E"/>
    <w:rsid w:val="005D1573"/>
    <w:rsid w:val="005D1BE9"/>
    <w:rsid w:val="005D29A6"/>
    <w:rsid w:val="005D31A6"/>
    <w:rsid w:val="005D324B"/>
    <w:rsid w:val="005D3831"/>
    <w:rsid w:val="005D43E9"/>
    <w:rsid w:val="005D4936"/>
    <w:rsid w:val="005D4C33"/>
    <w:rsid w:val="005D52A0"/>
    <w:rsid w:val="005D62FA"/>
    <w:rsid w:val="005D6314"/>
    <w:rsid w:val="005D67DE"/>
    <w:rsid w:val="005D6DCD"/>
    <w:rsid w:val="005D7325"/>
    <w:rsid w:val="005D75F8"/>
    <w:rsid w:val="005D762B"/>
    <w:rsid w:val="005E0EAB"/>
    <w:rsid w:val="005E1933"/>
    <w:rsid w:val="005E2654"/>
    <w:rsid w:val="005E2C7B"/>
    <w:rsid w:val="005E38CF"/>
    <w:rsid w:val="005E3901"/>
    <w:rsid w:val="005E4140"/>
    <w:rsid w:val="005E445D"/>
    <w:rsid w:val="005E5555"/>
    <w:rsid w:val="005E61E2"/>
    <w:rsid w:val="005E64DF"/>
    <w:rsid w:val="005E6896"/>
    <w:rsid w:val="005E6AE3"/>
    <w:rsid w:val="005E7239"/>
    <w:rsid w:val="005E7789"/>
    <w:rsid w:val="005E7DD2"/>
    <w:rsid w:val="005F1396"/>
    <w:rsid w:val="005F1845"/>
    <w:rsid w:val="005F1C3F"/>
    <w:rsid w:val="005F25AA"/>
    <w:rsid w:val="005F261E"/>
    <w:rsid w:val="005F2BCD"/>
    <w:rsid w:val="005F3266"/>
    <w:rsid w:val="005F3DBD"/>
    <w:rsid w:val="005F4681"/>
    <w:rsid w:val="005F4D17"/>
    <w:rsid w:val="005F5E69"/>
    <w:rsid w:val="005F5F6A"/>
    <w:rsid w:val="005F5FCF"/>
    <w:rsid w:val="005F6268"/>
    <w:rsid w:val="005F707B"/>
    <w:rsid w:val="005F713D"/>
    <w:rsid w:val="005F7520"/>
    <w:rsid w:val="005F7882"/>
    <w:rsid w:val="005F7DD3"/>
    <w:rsid w:val="0060158F"/>
    <w:rsid w:val="00601A32"/>
    <w:rsid w:val="00602C0D"/>
    <w:rsid w:val="00602D61"/>
    <w:rsid w:val="00603C4D"/>
    <w:rsid w:val="00604085"/>
    <w:rsid w:val="00604919"/>
    <w:rsid w:val="00604BC2"/>
    <w:rsid w:val="00604EA8"/>
    <w:rsid w:val="006051A9"/>
    <w:rsid w:val="006052B5"/>
    <w:rsid w:val="00605669"/>
    <w:rsid w:val="0060566B"/>
    <w:rsid w:val="00605CA0"/>
    <w:rsid w:val="00607D10"/>
    <w:rsid w:val="00607E0E"/>
    <w:rsid w:val="00610077"/>
    <w:rsid w:val="0061017C"/>
    <w:rsid w:val="0061020F"/>
    <w:rsid w:val="006102E6"/>
    <w:rsid w:val="00610C2A"/>
    <w:rsid w:val="00611495"/>
    <w:rsid w:val="00611AD3"/>
    <w:rsid w:val="00611F2D"/>
    <w:rsid w:val="006132BA"/>
    <w:rsid w:val="006136A8"/>
    <w:rsid w:val="00613843"/>
    <w:rsid w:val="00613F61"/>
    <w:rsid w:val="00614072"/>
    <w:rsid w:val="00614880"/>
    <w:rsid w:val="006148C0"/>
    <w:rsid w:val="00614F86"/>
    <w:rsid w:val="0061584E"/>
    <w:rsid w:val="00615AEE"/>
    <w:rsid w:val="00615B4B"/>
    <w:rsid w:val="00615C1A"/>
    <w:rsid w:val="00615D83"/>
    <w:rsid w:val="006168A7"/>
    <w:rsid w:val="00617CF0"/>
    <w:rsid w:val="006203EE"/>
    <w:rsid w:val="006209FD"/>
    <w:rsid w:val="00620A0F"/>
    <w:rsid w:val="00620A32"/>
    <w:rsid w:val="00620BAF"/>
    <w:rsid w:val="00621AE3"/>
    <w:rsid w:val="00621BCA"/>
    <w:rsid w:val="00621E37"/>
    <w:rsid w:val="006223E7"/>
    <w:rsid w:val="00622DBE"/>
    <w:rsid w:val="0062379F"/>
    <w:rsid w:val="00623883"/>
    <w:rsid w:val="00623B46"/>
    <w:rsid w:val="0062477A"/>
    <w:rsid w:val="00625059"/>
    <w:rsid w:val="006254F0"/>
    <w:rsid w:val="00626122"/>
    <w:rsid w:val="0062626D"/>
    <w:rsid w:val="00626653"/>
    <w:rsid w:val="0062687D"/>
    <w:rsid w:val="0062699D"/>
    <w:rsid w:val="00626DAB"/>
    <w:rsid w:val="0062754B"/>
    <w:rsid w:val="00627AF8"/>
    <w:rsid w:val="00630513"/>
    <w:rsid w:val="0063052B"/>
    <w:rsid w:val="00630929"/>
    <w:rsid w:val="00631039"/>
    <w:rsid w:val="00631AD6"/>
    <w:rsid w:val="00632042"/>
    <w:rsid w:val="0063237A"/>
    <w:rsid w:val="00632444"/>
    <w:rsid w:val="00633525"/>
    <w:rsid w:val="00634158"/>
    <w:rsid w:val="006346AA"/>
    <w:rsid w:val="00634799"/>
    <w:rsid w:val="00634E8C"/>
    <w:rsid w:val="00635BAD"/>
    <w:rsid w:val="00635EBF"/>
    <w:rsid w:val="00635F3A"/>
    <w:rsid w:val="00636ACC"/>
    <w:rsid w:val="006373F7"/>
    <w:rsid w:val="006376D6"/>
    <w:rsid w:val="00637750"/>
    <w:rsid w:val="00637BD7"/>
    <w:rsid w:val="0064178C"/>
    <w:rsid w:val="00641FB4"/>
    <w:rsid w:val="006425E6"/>
    <w:rsid w:val="00643178"/>
    <w:rsid w:val="006431AA"/>
    <w:rsid w:val="00643214"/>
    <w:rsid w:val="006433A1"/>
    <w:rsid w:val="006447CA"/>
    <w:rsid w:val="0064514F"/>
    <w:rsid w:val="0064521C"/>
    <w:rsid w:val="00645535"/>
    <w:rsid w:val="006457A9"/>
    <w:rsid w:val="00646262"/>
    <w:rsid w:val="00647DDF"/>
    <w:rsid w:val="0065000B"/>
    <w:rsid w:val="006518C9"/>
    <w:rsid w:val="00651FFD"/>
    <w:rsid w:val="006525C2"/>
    <w:rsid w:val="00652A25"/>
    <w:rsid w:val="00652C70"/>
    <w:rsid w:val="00653287"/>
    <w:rsid w:val="00653597"/>
    <w:rsid w:val="00653C41"/>
    <w:rsid w:val="00654058"/>
    <w:rsid w:val="00655189"/>
    <w:rsid w:val="00655A1D"/>
    <w:rsid w:val="0065620C"/>
    <w:rsid w:val="00656CDD"/>
    <w:rsid w:val="006574F0"/>
    <w:rsid w:val="00657D6E"/>
    <w:rsid w:val="00657FF4"/>
    <w:rsid w:val="00660297"/>
    <w:rsid w:val="0066031B"/>
    <w:rsid w:val="00660919"/>
    <w:rsid w:val="00660C2F"/>
    <w:rsid w:val="00661AFE"/>
    <w:rsid w:val="00661F0E"/>
    <w:rsid w:val="00663975"/>
    <w:rsid w:val="00663F3D"/>
    <w:rsid w:val="0066408E"/>
    <w:rsid w:val="00664A7E"/>
    <w:rsid w:val="00664AB7"/>
    <w:rsid w:val="00664B00"/>
    <w:rsid w:val="00665686"/>
    <w:rsid w:val="00665724"/>
    <w:rsid w:val="00665A48"/>
    <w:rsid w:val="00666016"/>
    <w:rsid w:val="0066757F"/>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74B8"/>
    <w:rsid w:val="00677502"/>
    <w:rsid w:val="00677C8F"/>
    <w:rsid w:val="00680030"/>
    <w:rsid w:val="006809A1"/>
    <w:rsid w:val="00680D19"/>
    <w:rsid w:val="00680DA8"/>
    <w:rsid w:val="00681201"/>
    <w:rsid w:val="00681D8A"/>
    <w:rsid w:val="00682448"/>
    <w:rsid w:val="0068262F"/>
    <w:rsid w:val="00682796"/>
    <w:rsid w:val="00682CE2"/>
    <w:rsid w:val="0068336B"/>
    <w:rsid w:val="00683484"/>
    <w:rsid w:val="006835B3"/>
    <w:rsid w:val="00683850"/>
    <w:rsid w:val="00684013"/>
    <w:rsid w:val="00684B21"/>
    <w:rsid w:val="00684CCE"/>
    <w:rsid w:val="006851EB"/>
    <w:rsid w:val="00685369"/>
    <w:rsid w:val="006864E4"/>
    <w:rsid w:val="0068685A"/>
    <w:rsid w:val="006871C9"/>
    <w:rsid w:val="006906D4"/>
    <w:rsid w:val="006906D9"/>
    <w:rsid w:val="006909F5"/>
    <w:rsid w:val="00691B17"/>
    <w:rsid w:val="00692354"/>
    <w:rsid w:val="0069257E"/>
    <w:rsid w:val="00693116"/>
    <w:rsid w:val="00693728"/>
    <w:rsid w:val="00693CBC"/>
    <w:rsid w:val="00693DAE"/>
    <w:rsid w:val="00693EBB"/>
    <w:rsid w:val="00694B57"/>
    <w:rsid w:val="00694D86"/>
    <w:rsid w:val="0069570F"/>
    <w:rsid w:val="006960EE"/>
    <w:rsid w:val="00696671"/>
    <w:rsid w:val="00696BEB"/>
    <w:rsid w:val="0069752D"/>
    <w:rsid w:val="0069760B"/>
    <w:rsid w:val="006A014D"/>
    <w:rsid w:val="006A0795"/>
    <w:rsid w:val="006A0A9F"/>
    <w:rsid w:val="006A1CEA"/>
    <w:rsid w:val="006A1EAE"/>
    <w:rsid w:val="006A23F0"/>
    <w:rsid w:val="006A2409"/>
    <w:rsid w:val="006A256D"/>
    <w:rsid w:val="006A2AE0"/>
    <w:rsid w:val="006A2ED4"/>
    <w:rsid w:val="006A3811"/>
    <w:rsid w:val="006A3BC3"/>
    <w:rsid w:val="006A3EEB"/>
    <w:rsid w:val="006A4FDD"/>
    <w:rsid w:val="006A5508"/>
    <w:rsid w:val="006A58CE"/>
    <w:rsid w:val="006A5C8A"/>
    <w:rsid w:val="006A5E11"/>
    <w:rsid w:val="006A5F3F"/>
    <w:rsid w:val="006A6032"/>
    <w:rsid w:val="006A60A6"/>
    <w:rsid w:val="006A6B6D"/>
    <w:rsid w:val="006A6E86"/>
    <w:rsid w:val="006A74C4"/>
    <w:rsid w:val="006A75E8"/>
    <w:rsid w:val="006A7E42"/>
    <w:rsid w:val="006B0F8F"/>
    <w:rsid w:val="006B1091"/>
    <w:rsid w:val="006B1AE5"/>
    <w:rsid w:val="006B1C91"/>
    <w:rsid w:val="006B1DFE"/>
    <w:rsid w:val="006B21E8"/>
    <w:rsid w:val="006B30A6"/>
    <w:rsid w:val="006B3615"/>
    <w:rsid w:val="006B3D11"/>
    <w:rsid w:val="006B42B7"/>
    <w:rsid w:val="006B4C05"/>
    <w:rsid w:val="006B4DCF"/>
    <w:rsid w:val="006B6BC0"/>
    <w:rsid w:val="006B6E9D"/>
    <w:rsid w:val="006B702A"/>
    <w:rsid w:val="006B7861"/>
    <w:rsid w:val="006C0422"/>
    <w:rsid w:val="006C06BD"/>
    <w:rsid w:val="006C14E3"/>
    <w:rsid w:val="006C1718"/>
    <w:rsid w:val="006C1836"/>
    <w:rsid w:val="006C1928"/>
    <w:rsid w:val="006C2299"/>
    <w:rsid w:val="006C24D8"/>
    <w:rsid w:val="006C2980"/>
    <w:rsid w:val="006C2E44"/>
    <w:rsid w:val="006C36E0"/>
    <w:rsid w:val="006C37EC"/>
    <w:rsid w:val="006C3E7E"/>
    <w:rsid w:val="006C45EB"/>
    <w:rsid w:val="006C4633"/>
    <w:rsid w:val="006C4B5D"/>
    <w:rsid w:val="006C4FE5"/>
    <w:rsid w:val="006C51E8"/>
    <w:rsid w:val="006C54BC"/>
    <w:rsid w:val="006C631E"/>
    <w:rsid w:val="006C66EB"/>
    <w:rsid w:val="006C68D1"/>
    <w:rsid w:val="006C6EEF"/>
    <w:rsid w:val="006C6FF7"/>
    <w:rsid w:val="006C7544"/>
    <w:rsid w:val="006C78A4"/>
    <w:rsid w:val="006D0DC8"/>
    <w:rsid w:val="006D0F15"/>
    <w:rsid w:val="006D1AED"/>
    <w:rsid w:val="006D2D60"/>
    <w:rsid w:val="006D3572"/>
    <w:rsid w:val="006D3D77"/>
    <w:rsid w:val="006D49F6"/>
    <w:rsid w:val="006D4F19"/>
    <w:rsid w:val="006D56FA"/>
    <w:rsid w:val="006D6168"/>
    <w:rsid w:val="006D6F89"/>
    <w:rsid w:val="006D75D9"/>
    <w:rsid w:val="006D76AC"/>
    <w:rsid w:val="006D79F8"/>
    <w:rsid w:val="006D7FB8"/>
    <w:rsid w:val="006E1BB9"/>
    <w:rsid w:val="006E2591"/>
    <w:rsid w:val="006E2C2C"/>
    <w:rsid w:val="006E2D56"/>
    <w:rsid w:val="006E2F1F"/>
    <w:rsid w:val="006E3761"/>
    <w:rsid w:val="006E3810"/>
    <w:rsid w:val="006E3B78"/>
    <w:rsid w:val="006E3CA1"/>
    <w:rsid w:val="006E4574"/>
    <w:rsid w:val="006E4C9B"/>
    <w:rsid w:val="006E4FDC"/>
    <w:rsid w:val="006E67EF"/>
    <w:rsid w:val="006E6B52"/>
    <w:rsid w:val="006E7314"/>
    <w:rsid w:val="006E7704"/>
    <w:rsid w:val="006E7854"/>
    <w:rsid w:val="006F062A"/>
    <w:rsid w:val="006F1811"/>
    <w:rsid w:val="006F1B98"/>
    <w:rsid w:val="006F1BFE"/>
    <w:rsid w:val="006F1CB7"/>
    <w:rsid w:val="006F1D10"/>
    <w:rsid w:val="006F2023"/>
    <w:rsid w:val="006F2518"/>
    <w:rsid w:val="006F2641"/>
    <w:rsid w:val="006F2672"/>
    <w:rsid w:val="006F4400"/>
    <w:rsid w:val="006F5CF3"/>
    <w:rsid w:val="006F5CF8"/>
    <w:rsid w:val="006F61DA"/>
    <w:rsid w:val="006F63C5"/>
    <w:rsid w:val="006F6488"/>
    <w:rsid w:val="006F6A0E"/>
    <w:rsid w:val="006F6D01"/>
    <w:rsid w:val="006F766E"/>
    <w:rsid w:val="006F7A1C"/>
    <w:rsid w:val="006F7EDC"/>
    <w:rsid w:val="00700096"/>
    <w:rsid w:val="007004B1"/>
    <w:rsid w:val="0070075B"/>
    <w:rsid w:val="00700F40"/>
    <w:rsid w:val="007014CF"/>
    <w:rsid w:val="007016DA"/>
    <w:rsid w:val="00701865"/>
    <w:rsid w:val="00702136"/>
    <w:rsid w:val="00702266"/>
    <w:rsid w:val="00702939"/>
    <w:rsid w:val="0070314B"/>
    <w:rsid w:val="00703969"/>
    <w:rsid w:val="00703F20"/>
    <w:rsid w:val="00703F90"/>
    <w:rsid w:val="0070482E"/>
    <w:rsid w:val="00705143"/>
    <w:rsid w:val="00705329"/>
    <w:rsid w:val="00705F7F"/>
    <w:rsid w:val="007107E0"/>
    <w:rsid w:val="00710B23"/>
    <w:rsid w:val="0071162C"/>
    <w:rsid w:val="00711A94"/>
    <w:rsid w:val="00712306"/>
    <w:rsid w:val="00712580"/>
    <w:rsid w:val="00714E64"/>
    <w:rsid w:val="00714EF0"/>
    <w:rsid w:val="00716758"/>
    <w:rsid w:val="00716A87"/>
    <w:rsid w:val="007177E2"/>
    <w:rsid w:val="00717C73"/>
    <w:rsid w:val="007203E8"/>
    <w:rsid w:val="007204B0"/>
    <w:rsid w:val="00720558"/>
    <w:rsid w:val="00720C8F"/>
    <w:rsid w:val="007211FB"/>
    <w:rsid w:val="00721D6F"/>
    <w:rsid w:val="00722A18"/>
    <w:rsid w:val="00723064"/>
    <w:rsid w:val="007237E2"/>
    <w:rsid w:val="007239AF"/>
    <w:rsid w:val="007260B2"/>
    <w:rsid w:val="0072614D"/>
    <w:rsid w:val="00726F9F"/>
    <w:rsid w:val="0072710F"/>
    <w:rsid w:val="0072793C"/>
    <w:rsid w:val="00730100"/>
    <w:rsid w:val="00730ABF"/>
    <w:rsid w:val="00730F74"/>
    <w:rsid w:val="007314E5"/>
    <w:rsid w:val="00731D83"/>
    <w:rsid w:val="007323B5"/>
    <w:rsid w:val="00733019"/>
    <w:rsid w:val="007334DC"/>
    <w:rsid w:val="00733606"/>
    <w:rsid w:val="007336CB"/>
    <w:rsid w:val="00733ACF"/>
    <w:rsid w:val="007349C5"/>
    <w:rsid w:val="00734C79"/>
    <w:rsid w:val="00734EE3"/>
    <w:rsid w:val="00734F4D"/>
    <w:rsid w:val="00735B77"/>
    <w:rsid w:val="007361FB"/>
    <w:rsid w:val="00736C4C"/>
    <w:rsid w:val="00736F51"/>
    <w:rsid w:val="00737D19"/>
    <w:rsid w:val="00737F88"/>
    <w:rsid w:val="00740062"/>
    <w:rsid w:val="00740BC9"/>
    <w:rsid w:val="00741175"/>
    <w:rsid w:val="007414D2"/>
    <w:rsid w:val="00741598"/>
    <w:rsid w:val="007419C7"/>
    <w:rsid w:val="00741E86"/>
    <w:rsid w:val="00742854"/>
    <w:rsid w:val="007429D0"/>
    <w:rsid w:val="00742B52"/>
    <w:rsid w:val="007438A9"/>
    <w:rsid w:val="00743D80"/>
    <w:rsid w:val="00743ECB"/>
    <w:rsid w:val="0074435C"/>
    <w:rsid w:val="0074465A"/>
    <w:rsid w:val="00744835"/>
    <w:rsid w:val="007448F3"/>
    <w:rsid w:val="00744DFC"/>
    <w:rsid w:val="0074584F"/>
    <w:rsid w:val="007462CA"/>
    <w:rsid w:val="00746582"/>
    <w:rsid w:val="00746A29"/>
    <w:rsid w:val="00746DC6"/>
    <w:rsid w:val="007471F8"/>
    <w:rsid w:val="0075160D"/>
    <w:rsid w:val="00751792"/>
    <w:rsid w:val="00752525"/>
    <w:rsid w:val="0075387E"/>
    <w:rsid w:val="00753EB6"/>
    <w:rsid w:val="007548B4"/>
    <w:rsid w:val="007549F5"/>
    <w:rsid w:val="00754F6F"/>
    <w:rsid w:val="007553AE"/>
    <w:rsid w:val="007559EC"/>
    <w:rsid w:val="00756965"/>
    <w:rsid w:val="00756FE6"/>
    <w:rsid w:val="0076022F"/>
    <w:rsid w:val="0076070F"/>
    <w:rsid w:val="00761B91"/>
    <w:rsid w:val="00761F34"/>
    <w:rsid w:val="00762780"/>
    <w:rsid w:val="00762F88"/>
    <w:rsid w:val="007633EC"/>
    <w:rsid w:val="00763606"/>
    <w:rsid w:val="00764453"/>
    <w:rsid w:val="00764F5F"/>
    <w:rsid w:val="00764F70"/>
    <w:rsid w:val="00765A7E"/>
    <w:rsid w:val="00765F98"/>
    <w:rsid w:val="00766435"/>
    <w:rsid w:val="00766624"/>
    <w:rsid w:val="00766789"/>
    <w:rsid w:val="00766CC6"/>
    <w:rsid w:val="0076703B"/>
    <w:rsid w:val="007679E6"/>
    <w:rsid w:val="00767F31"/>
    <w:rsid w:val="00770ACE"/>
    <w:rsid w:val="00770B72"/>
    <w:rsid w:val="00770F78"/>
    <w:rsid w:val="00771412"/>
    <w:rsid w:val="007716B6"/>
    <w:rsid w:val="007718B4"/>
    <w:rsid w:val="00771C15"/>
    <w:rsid w:val="00772131"/>
    <w:rsid w:val="0077389D"/>
    <w:rsid w:val="007738B0"/>
    <w:rsid w:val="00773A04"/>
    <w:rsid w:val="0077465C"/>
    <w:rsid w:val="00774994"/>
    <w:rsid w:val="00774E30"/>
    <w:rsid w:val="00774E3B"/>
    <w:rsid w:val="00774E97"/>
    <w:rsid w:val="00775585"/>
    <w:rsid w:val="00776568"/>
    <w:rsid w:val="00776860"/>
    <w:rsid w:val="00776F03"/>
    <w:rsid w:val="0077789D"/>
    <w:rsid w:val="0077797B"/>
    <w:rsid w:val="00777DF0"/>
    <w:rsid w:val="00777F81"/>
    <w:rsid w:val="00780752"/>
    <w:rsid w:val="007819DC"/>
    <w:rsid w:val="00782888"/>
    <w:rsid w:val="00782DB1"/>
    <w:rsid w:val="00782FC1"/>
    <w:rsid w:val="00783518"/>
    <w:rsid w:val="0078371E"/>
    <w:rsid w:val="00783AA4"/>
    <w:rsid w:val="00784D1B"/>
    <w:rsid w:val="00785A68"/>
    <w:rsid w:val="00785DE3"/>
    <w:rsid w:val="00787695"/>
    <w:rsid w:val="00787934"/>
    <w:rsid w:val="00787B70"/>
    <w:rsid w:val="0079017A"/>
    <w:rsid w:val="00790AE1"/>
    <w:rsid w:val="00790DBF"/>
    <w:rsid w:val="00791513"/>
    <w:rsid w:val="007915F4"/>
    <w:rsid w:val="00792346"/>
    <w:rsid w:val="007923A0"/>
    <w:rsid w:val="00792622"/>
    <w:rsid w:val="007926E2"/>
    <w:rsid w:val="00792749"/>
    <w:rsid w:val="007928E7"/>
    <w:rsid w:val="00792A94"/>
    <w:rsid w:val="00792CBD"/>
    <w:rsid w:val="0079328C"/>
    <w:rsid w:val="007935AD"/>
    <w:rsid w:val="007938D9"/>
    <w:rsid w:val="00793D12"/>
    <w:rsid w:val="00793DFB"/>
    <w:rsid w:val="0079446B"/>
    <w:rsid w:val="00794BAC"/>
    <w:rsid w:val="00794BB9"/>
    <w:rsid w:val="0079533F"/>
    <w:rsid w:val="00795E3F"/>
    <w:rsid w:val="00796147"/>
    <w:rsid w:val="00796C91"/>
    <w:rsid w:val="00796FFF"/>
    <w:rsid w:val="007971F6"/>
    <w:rsid w:val="00797817"/>
    <w:rsid w:val="00797C2B"/>
    <w:rsid w:val="00797C7C"/>
    <w:rsid w:val="007A1016"/>
    <w:rsid w:val="007A12AC"/>
    <w:rsid w:val="007A198F"/>
    <w:rsid w:val="007A1BF1"/>
    <w:rsid w:val="007A2B52"/>
    <w:rsid w:val="007A2B9E"/>
    <w:rsid w:val="007A2C1C"/>
    <w:rsid w:val="007A38B7"/>
    <w:rsid w:val="007A3ABF"/>
    <w:rsid w:val="007A3EB5"/>
    <w:rsid w:val="007A506B"/>
    <w:rsid w:val="007A50E0"/>
    <w:rsid w:val="007A5298"/>
    <w:rsid w:val="007A5B1A"/>
    <w:rsid w:val="007A65B5"/>
    <w:rsid w:val="007A66CD"/>
    <w:rsid w:val="007B0373"/>
    <w:rsid w:val="007B0668"/>
    <w:rsid w:val="007B1281"/>
    <w:rsid w:val="007B184A"/>
    <w:rsid w:val="007B24B7"/>
    <w:rsid w:val="007B2739"/>
    <w:rsid w:val="007B31F5"/>
    <w:rsid w:val="007B3C3A"/>
    <w:rsid w:val="007B3D53"/>
    <w:rsid w:val="007B472F"/>
    <w:rsid w:val="007B47B7"/>
    <w:rsid w:val="007B5089"/>
    <w:rsid w:val="007B5564"/>
    <w:rsid w:val="007B562B"/>
    <w:rsid w:val="007B608F"/>
    <w:rsid w:val="007B715A"/>
    <w:rsid w:val="007B7BD4"/>
    <w:rsid w:val="007C1669"/>
    <w:rsid w:val="007C1AE0"/>
    <w:rsid w:val="007C1C29"/>
    <w:rsid w:val="007C2380"/>
    <w:rsid w:val="007C2496"/>
    <w:rsid w:val="007C26D6"/>
    <w:rsid w:val="007C3213"/>
    <w:rsid w:val="007C3916"/>
    <w:rsid w:val="007C3F7B"/>
    <w:rsid w:val="007C4CEC"/>
    <w:rsid w:val="007C4D8D"/>
    <w:rsid w:val="007C4F1B"/>
    <w:rsid w:val="007C4F67"/>
    <w:rsid w:val="007C5431"/>
    <w:rsid w:val="007C5877"/>
    <w:rsid w:val="007C5CEA"/>
    <w:rsid w:val="007C5E8C"/>
    <w:rsid w:val="007C5F19"/>
    <w:rsid w:val="007C6099"/>
    <w:rsid w:val="007C61F1"/>
    <w:rsid w:val="007C68CB"/>
    <w:rsid w:val="007C6BF4"/>
    <w:rsid w:val="007C6D45"/>
    <w:rsid w:val="007C6DEA"/>
    <w:rsid w:val="007C6E23"/>
    <w:rsid w:val="007C7282"/>
    <w:rsid w:val="007C748A"/>
    <w:rsid w:val="007C796B"/>
    <w:rsid w:val="007C7C93"/>
    <w:rsid w:val="007D07FE"/>
    <w:rsid w:val="007D0C1C"/>
    <w:rsid w:val="007D18C1"/>
    <w:rsid w:val="007D1AB4"/>
    <w:rsid w:val="007D26C2"/>
    <w:rsid w:val="007D271E"/>
    <w:rsid w:val="007D295E"/>
    <w:rsid w:val="007D2A80"/>
    <w:rsid w:val="007D2B3F"/>
    <w:rsid w:val="007D3087"/>
    <w:rsid w:val="007D313C"/>
    <w:rsid w:val="007D3309"/>
    <w:rsid w:val="007D36F1"/>
    <w:rsid w:val="007D41ED"/>
    <w:rsid w:val="007D4531"/>
    <w:rsid w:val="007D4863"/>
    <w:rsid w:val="007D4BA9"/>
    <w:rsid w:val="007D53C2"/>
    <w:rsid w:val="007D5DAC"/>
    <w:rsid w:val="007D5DF1"/>
    <w:rsid w:val="007D681C"/>
    <w:rsid w:val="007D6B8F"/>
    <w:rsid w:val="007D6D6F"/>
    <w:rsid w:val="007D6DE3"/>
    <w:rsid w:val="007D6F82"/>
    <w:rsid w:val="007D7677"/>
    <w:rsid w:val="007E0DDD"/>
    <w:rsid w:val="007E1CA8"/>
    <w:rsid w:val="007E21D9"/>
    <w:rsid w:val="007E2905"/>
    <w:rsid w:val="007E2B6D"/>
    <w:rsid w:val="007E319F"/>
    <w:rsid w:val="007E373A"/>
    <w:rsid w:val="007E3E9B"/>
    <w:rsid w:val="007E40DD"/>
    <w:rsid w:val="007E4787"/>
    <w:rsid w:val="007E4BA3"/>
    <w:rsid w:val="007E56D8"/>
    <w:rsid w:val="007E5B65"/>
    <w:rsid w:val="007E5B8C"/>
    <w:rsid w:val="007E5CD6"/>
    <w:rsid w:val="007E7071"/>
    <w:rsid w:val="007E739A"/>
    <w:rsid w:val="007E7454"/>
    <w:rsid w:val="007E75C6"/>
    <w:rsid w:val="007E7FC2"/>
    <w:rsid w:val="007F15F3"/>
    <w:rsid w:val="007F1880"/>
    <w:rsid w:val="007F1D7F"/>
    <w:rsid w:val="007F1E17"/>
    <w:rsid w:val="007F1E2D"/>
    <w:rsid w:val="007F2702"/>
    <w:rsid w:val="007F2712"/>
    <w:rsid w:val="007F29C6"/>
    <w:rsid w:val="007F3B94"/>
    <w:rsid w:val="007F4156"/>
    <w:rsid w:val="007F4346"/>
    <w:rsid w:val="007F4911"/>
    <w:rsid w:val="007F4AEB"/>
    <w:rsid w:val="007F57F9"/>
    <w:rsid w:val="007F59DB"/>
    <w:rsid w:val="007F5E76"/>
    <w:rsid w:val="007F6076"/>
    <w:rsid w:val="007F6077"/>
    <w:rsid w:val="007F62F1"/>
    <w:rsid w:val="007F7205"/>
    <w:rsid w:val="007F74A2"/>
    <w:rsid w:val="007F76A8"/>
    <w:rsid w:val="007F7FEC"/>
    <w:rsid w:val="00800BA5"/>
    <w:rsid w:val="00800D9F"/>
    <w:rsid w:val="008016A4"/>
    <w:rsid w:val="00801C29"/>
    <w:rsid w:val="008022AB"/>
    <w:rsid w:val="008026CB"/>
    <w:rsid w:val="008029D2"/>
    <w:rsid w:val="00802BCB"/>
    <w:rsid w:val="00802E51"/>
    <w:rsid w:val="00802FB9"/>
    <w:rsid w:val="00804445"/>
    <w:rsid w:val="00804600"/>
    <w:rsid w:val="008047AE"/>
    <w:rsid w:val="00804906"/>
    <w:rsid w:val="00804E8D"/>
    <w:rsid w:val="00804EDD"/>
    <w:rsid w:val="00805200"/>
    <w:rsid w:val="00805290"/>
    <w:rsid w:val="00805328"/>
    <w:rsid w:val="00805659"/>
    <w:rsid w:val="008056DC"/>
    <w:rsid w:val="00805D66"/>
    <w:rsid w:val="00805FF8"/>
    <w:rsid w:val="008066D0"/>
    <w:rsid w:val="00806C00"/>
    <w:rsid w:val="0081000E"/>
    <w:rsid w:val="00810461"/>
    <w:rsid w:val="008108CF"/>
    <w:rsid w:val="008113CE"/>
    <w:rsid w:val="008117F7"/>
    <w:rsid w:val="00811DD5"/>
    <w:rsid w:val="00811FB8"/>
    <w:rsid w:val="00812246"/>
    <w:rsid w:val="00812E37"/>
    <w:rsid w:val="008139E1"/>
    <w:rsid w:val="00813E0E"/>
    <w:rsid w:val="00814668"/>
    <w:rsid w:val="00814A53"/>
    <w:rsid w:val="00814D3B"/>
    <w:rsid w:val="008159F7"/>
    <w:rsid w:val="00815F60"/>
    <w:rsid w:val="008177EA"/>
    <w:rsid w:val="00817E64"/>
    <w:rsid w:val="00817F87"/>
    <w:rsid w:val="00821147"/>
    <w:rsid w:val="0082142A"/>
    <w:rsid w:val="0082190D"/>
    <w:rsid w:val="00822909"/>
    <w:rsid w:val="00822977"/>
    <w:rsid w:val="00822DAB"/>
    <w:rsid w:val="00822E39"/>
    <w:rsid w:val="00822FA7"/>
    <w:rsid w:val="008237C6"/>
    <w:rsid w:val="00823AAE"/>
    <w:rsid w:val="00823F9D"/>
    <w:rsid w:val="0082427D"/>
    <w:rsid w:val="008256EB"/>
    <w:rsid w:val="00826411"/>
    <w:rsid w:val="00826995"/>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4A87"/>
    <w:rsid w:val="00835A2F"/>
    <w:rsid w:val="00835BB2"/>
    <w:rsid w:val="00836587"/>
    <w:rsid w:val="00836C40"/>
    <w:rsid w:val="00840814"/>
    <w:rsid w:val="00841D5E"/>
    <w:rsid w:val="00841EF9"/>
    <w:rsid w:val="008428CF"/>
    <w:rsid w:val="00843204"/>
    <w:rsid w:val="0084466B"/>
    <w:rsid w:val="00845859"/>
    <w:rsid w:val="00845A9B"/>
    <w:rsid w:val="00845D9E"/>
    <w:rsid w:val="0084656D"/>
    <w:rsid w:val="008469DA"/>
    <w:rsid w:val="00846D54"/>
    <w:rsid w:val="00847120"/>
    <w:rsid w:val="008472B4"/>
    <w:rsid w:val="008476C7"/>
    <w:rsid w:val="0084774E"/>
    <w:rsid w:val="008508E1"/>
    <w:rsid w:val="00850932"/>
    <w:rsid w:val="008517B7"/>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FC4"/>
    <w:rsid w:val="00860354"/>
    <w:rsid w:val="00860646"/>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1A9"/>
    <w:rsid w:val="0086676C"/>
    <w:rsid w:val="00866E8A"/>
    <w:rsid w:val="00867D63"/>
    <w:rsid w:val="00867F90"/>
    <w:rsid w:val="0087069B"/>
    <w:rsid w:val="00871C9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E97"/>
    <w:rsid w:val="00880B18"/>
    <w:rsid w:val="00880E33"/>
    <w:rsid w:val="00880F33"/>
    <w:rsid w:val="0088118D"/>
    <w:rsid w:val="00881671"/>
    <w:rsid w:val="00882340"/>
    <w:rsid w:val="008828BA"/>
    <w:rsid w:val="00882946"/>
    <w:rsid w:val="00882CED"/>
    <w:rsid w:val="00883290"/>
    <w:rsid w:val="00883C07"/>
    <w:rsid w:val="00884421"/>
    <w:rsid w:val="0088478D"/>
    <w:rsid w:val="00884AD3"/>
    <w:rsid w:val="00886262"/>
    <w:rsid w:val="00886404"/>
    <w:rsid w:val="0088667C"/>
    <w:rsid w:val="00886870"/>
    <w:rsid w:val="00886DD8"/>
    <w:rsid w:val="00886FAD"/>
    <w:rsid w:val="00886FE0"/>
    <w:rsid w:val="00887A39"/>
    <w:rsid w:val="0089034D"/>
    <w:rsid w:val="00890647"/>
    <w:rsid w:val="0089075A"/>
    <w:rsid w:val="00890946"/>
    <w:rsid w:val="00891072"/>
    <w:rsid w:val="008912D2"/>
    <w:rsid w:val="00891454"/>
    <w:rsid w:val="0089181E"/>
    <w:rsid w:val="00891F3A"/>
    <w:rsid w:val="00891FD5"/>
    <w:rsid w:val="008927D1"/>
    <w:rsid w:val="00892E9E"/>
    <w:rsid w:val="00893072"/>
    <w:rsid w:val="0089312D"/>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97FC9"/>
    <w:rsid w:val="008A0970"/>
    <w:rsid w:val="008A13AF"/>
    <w:rsid w:val="008A15E9"/>
    <w:rsid w:val="008A27E5"/>
    <w:rsid w:val="008A41E2"/>
    <w:rsid w:val="008A4691"/>
    <w:rsid w:val="008A59F7"/>
    <w:rsid w:val="008A5ADA"/>
    <w:rsid w:val="008A5AF9"/>
    <w:rsid w:val="008A5E86"/>
    <w:rsid w:val="008A60A5"/>
    <w:rsid w:val="008A6544"/>
    <w:rsid w:val="008A6AED"/>
    <w:rsid w:val="008A6D02"/>
    <w:rsid w:val="008A772F"/>
    <w:rsid w:val="008A780C"/>
    <w:rsid w:val="008A7FD2"/>
    <w:rsid w:val="008B0CDC"/>
    <w:rsid w:val="008B1A3F"/>
    <w:rsid w:val="008B24FC"/>
    <w:rsid w:val="008B38C3"/>
    <w:rsid w:val="008B39B1"/>
    <w:rsid w:val="008B3EEB"/>
    <w:rsid w:val="008B411E"/>
    <w:rsid w:val="008B47E6"/>
    <w:rsid w:val="008B53FB"/>
    <w:rsid w:val="008B57F0"/>
    <w:rsid w:val="008B5A49"/>
    <w:rsid w:val="008B5E49"/>
    <w:rsid w:val="008B6A6D"/>
    <w:rsid w:val="008B7206"/>
    <w:rsid w:val="008B7571"/>
    <w:rsid w:val="008B7995"/>
    <w:rsid w:val="008C0171"/>
    <w:rsid w:val="008C0736"/>
    <w:rsid w:val="008C0774"/>
    <w:rsid w:val="008C0CBA"/>
    <w:rsid w:val="008C0D24"/>
    <w:rsid w:val="008C0D39"/>
    <w:rsid w:val="008C0D6A"/>
    <w:rsid w:val="008C137F"/>
    <w:rsid w:val="008C175C"/>
    <w:rsid w:val="008C1B7E"/>
    <w:rsid w:val="008C1C6D"/>
    <w:rsid w:val="008C216E"/>
    <w:rsid w:val="008C2904"/>
    <w:rsid w:val="008C38D0"/>
    <w:rsid w:val="008C4076"/>
    <w:rsid w:val="008C547C"/>
    <w:rsid w:val="008C64F2"/>
    <w:rsid w:val="008C7170"/>
    <w:rsid w:val="008D0046"/>
    <w:rsid w:val="008D0801"/>
    <w:rsid w:val="008D0BA9"/>
    <w:rsid w:val="008D12B8"/>
    <w:rsid w:val="008D1D56"/>
    <w:rsid w:val="008D1E36"/>
    <w:rsid w:val="008D299D"/>
    <w:rsid w:val="008D300D"/>
    <w:rsid w:val="008D32C9"/>
    <w:rsid w:val="008D4169"/>
    <w:rsid w:val="008D4C35"/>
    <w:rsid w:val="008D5042"/>
    <w:rsid w:val="008D5543"/>
    <w:rsid w:val="008D5FF1"/>
    <w:rsid w:val="008D60F9"/>
    <w:rsid w:val="008D6C3D"/>
    <w:rsid w:val="008D733A"/>
    <w:rsid w:val="008D768E"/>
    <w:rsid w:val="008D7FED"/>
    <w:rsid w:val="008E0295"/>
    <w:rsid w:val="008E0ED3"/>
    <w:rsid w:val="008E0EDE"/>
    <w:rsid w:val="008E1D06"/>
    <w:rsid w:val="008E280A"/>
    <w:rsid w:val="008E312C"/>
    <w:rsid w:val="008E31AF"/>
    <w:rsid w:val="008E3594"/>
    <w:rsid w:val="008E372A"/>
    <w:rsid w:val="008E3E5E"/>
    <w:rsid w:val="008E4299"/>
    <w:rsid w:val="008E4B25"/>
    <w:rsid w:val="008E4C33"/>
    <w:rsid w:val="008E5837"/>
    <w:rsid w:val="008E590B"/>
    <w:rsid w:val="008E5C2A"/>
    <w:rsid w:val="008E5D2F"/>
    <w:rsid w:val="008E62C4"/>
    <w:rsid w:val="008E63A9"/>
    <w:rsid w:val="008E64FD"/>
    <w:rsid w:val="008E6E2B"/>
    <w:rsid w:val="008E721C"/>
    <w:rsid w:val="008E754B"/>
    <w:rsid w:val="008E7D07"/>
    <w:rsid w:val="008F04B4"/>
    <w:rsid w:val="008F04F4"/>
    <w:rsid w:val="008F05AF"/>
    <w:rsid w:val="008F063E"/>
    <w:rsid w:val="008F1112"/>
    <w:rsid w:val="008F1732"/>
    <w:rsid w:val="008F203D"/>
    <w:rsid w:val="008F21FC"/>
    <w:rsid w:val="008F24BD"/>
    <w:rsid w:val="008F3515"/>
    <w:rsid w:val="008F3635"/>
    <w:rsid w:val="008F3DE9"/>
    <w:rsid w:val="008F4D9D"/>
    <w:rsid w:val="008F4F94"/>
    <w:rsid w:val="008F50F7"/>
    <w:rsid w:val="008F5A46"/>
    <w:rsid w:val="008F5CC6"/>
    <w:rsid w:val="008F64D4"/>
    <w:rsid w:val="008F6513"/>
    <w:rsid w:val="008F6952"/>
    <w:rsid w:val="008F7191"/>
    <w:rsid w:val="008F72B0"/>
    <w:rsid w:val="008F75F1"/>
    <w:rsid w:val="008F76BA"/>
    <w:rsid w:val="008F7AB0"/>
    <w:rsid w:val="00900A5A"/>
    <w:rsid w:val="0090357B"/>
    <w:rsid w:val="00903AC9"/>
    <w:rsid w:val="009053BD"/>
    <w:rsid w:val="009055D3"/>
    <w:rsid w:val="00905737"/>
    <w:rsid w:val="00905788"/>
    <w:rsid w:val="00905E8F"/>
    <w:rsid w:val="009062E0"/>
    <w:rsid w:val="00906A28"/>
    <w:rsid w:val="00906A9B"/>
    <w:rsid w:val="00907150"/>
    <w:rsid w:val="00910105"/>
    <w:rsid w:val="00910D61"/>
    <w:rsid w:val="00911501"/>
    <w:rsid w:val="00911844"/>
    <w:rsid w:val="00912DF8"/>
    <w:rsid w:val="00912FFA"/>
    <w:rsid w:val="009136EA"/>
    <w:rsid w:val="00913E0B"/>
    <w:rsid w:val="009142A3"/>
    <w:rsid w:val="00914459"/>
    <w:rsid w:val="00914A5E"/>
    <w:rsid w:val="00915F8E"/>
    <w:rsid w:val="009167C2"/>
    <w:rsid w:val="00916E50"/>
    <w:rsid w:val="00916E61"/>
    <w:rsid w:val="00917364"/>
    <w:rsid w:val="009207B7"/>
    <w:rsid w:val="00920CE7"/>
    <w:rsid w:val="00921B37"/>
    <w:rsid w:val="00921D5B"/>
    <w:rsid w:val="009222F8"/>
    <w:rsid w:val="00922939"/>
    <w:rsid w:val="0092296D"/>
    <w:rsid w:val="00922D18"/>
    <w:rsid w:val="00922F1F"/>
    <w:rsid w:val="00923237"/>
    <w:rsid w:val="00923522"/>
    <w:rsid w:val="0092367A"/>
    <w:rsid w:val="00923A22"/>
    <w:rsid w:val="00923D1B"/>
    <w:rsid w:val="00923FAA"/>
    <w:rsid w:val="00924C34"/>
    <w:rsid w:val="009254C0"/>
    <w:rsid w:val="00925CDA"/>
    <w:rsid w:val="009263AB"/>
    <w:rsid w:val="009269A8"/>
    <w:rsid w:val="00926CA4"/>
    <w:rsid w:val="00926FA7"/>
    <w:rsid w:val="00927026"/>
    <w:rsid w:val="009304B8"/>
    <w:rsid w:val="00930560"/>
    <w:rsid w:val="00930599"/>
    <w:rsid w:val="0093076D"/>
    <w:rsid w:val="0093100C"/>
    <w:rsid w:val="0093113F"/>
    <w:rsid w:val="0093165F"/>
    <w:rsid w:val="00932607"/>
    <w:rsid w:val="009326EC"/>
    <w:rsid w:val="00932A59"/>
    <w:rsid w:val="00932E5C"/>
    <w:rsid w:val="00932EDE"/>
    <w:rsid w:val="00933164"/>
    <w:rsid w:val="00933328"/>
    <w:rsid w:val="00933B3B"/>
    <w:rsid w:val="00933C90"/>
    <w:rsid w:val="00933F2A"/>
    <w:rsid w:val="00934796"/>
    <w:rsid w:val="00935037"/>
    <w:rsid w:val="00936197"/>
    <w:rsid w:val="00937DA5"/>
    <w:rsid w:val="00940173"/>
    <w:rsid w:val="00940E69"/>
    <w:rsid w:val="00940F83"/>
    <w:rsid w:val="009412C6"/>
    <w:rsid w:val="00941907"/>
    <w:rsid w:val="00941C02"/>
    <w:rsid w:val="009421D3"/>
    <w:rsid w:val="009426AD"/>
    <w:rsid w:val="00942AAE"/>
    <w:rsid w:val="009438B6"/>
    <w:rsid w:val="00943E5E"/>
    <w:rsid w:val="009442FC"/>
    <w:rsid w:val="00945285"/>
    <w:rsid w:val="009452BB"/>
    <w:rsid w:val="0094531E"/>
    <w:rsid w:val="00945868"/>
    <w:rsid w:val="00945917"/>
    <w:rsid w:val="00945B6C"/>
    <w:rsid w:val="00946194"/>
    <w:rsid w:val="00946244"/>
    <w:rsid w:val="00946246"/>
    <w:rsid w:val="00946756"/>
    <w:rsid w:val="00947CE9"/>
    <w:rsid w:val="00950B47"/>
    <w:rsid w:val="00950FB0"/>
    <w:rsid w:val="00951678"/>
    <w:rsid w:val="009518B3"/>
    <w:rsid w:val="009528C4"/>
    <w:rsid w:val="00952CEA"/>
    <w:rsid w:val="009536DE"/>
    <w:rsid w:val="0095383B"/>
    <w:rsid w:val="00953D5C"/>
    <w:rsid w:val="00953DB0"/>
    <w:rsid w:val="00953DBA"/>
    <w:rsid w:val="00953FA1"/>
    <w:rsid w:val="00954162"/>
    <w:rsid w:val="009549C1"/>
    <w:rsid w:val="00954BDB"/>
    <w:rsid w:val="00955260"/>
    <w:rsid w:val="00955778"/>
    <w:rsid w:val="009557AC"/>
    <w:rsid w:val="00955A54"/>
    <w:rsid w:val="0095659B"/>
    <w:rsid w:val="00956924"/>
    <w:rsid w:val="0095692E"/>
    <w:rsid w:val="009569ED"/>
    <w:rsid w:val="00956A6D"/>
    <w:rsid w:val="00956FC5"/>
    <w:rsid w:val="009572D4"/>
    <w:rsid w:val="00957706"/>
    <w:rsid w:val="00957D0E"/>
    <w:rsid w:val="00960B91"/>
    <w:rsid w:val="00960D4B"/>
    <w:rsid w:val="00961EB9"/>
    <w:rsid w:val="00961F10"/>
    <w:rsid w:val="0096256E"/>
    <w:rsid w:val="00962656"/>
    <w:rsid w:val="00962947"/>
    <w:rsid w:val="00962D03"/>
    <w:rsid w:val="00964278"/>
    <w:rsid w:val="009644F8"/>
    <w:rsid w:val="00964C8B"/>
    <w:rsid w:val="009662C8"/>
    <w:rsid w:val="0096671A"/>
    <w:rsid w:val="00966838"/>
    <w:rsid w:val="0096699C"/>
    <w:rsid w:val="00966B1C"/>
    <w:rsid w:val="009671D5"/>
    <w:rsid w:val="00970AE3"/>
    <w:rsid w:val="009719CD"/>
    <w:rsid w:val="00972B40"/>
    <w:rsid w:val="00972E44"/>
    <w:rsid w:val="00972E64"/>
    <w:rsid w:val="00973267"/>
    <w:rsid w:val="00973A18"/>
    <w:rsid w:val="00973BC0"/>
    <w:rsid w:val="0097402B"/>
    <w:rsid w:val="009744FA"/>
    <w:rsid w:val="009748A4"/>
    <w:rsid w:val="00974C02"/>
    <w:rsid w:val="00974F7E"/>
    <w:rsid w:val="00975267"/>
    <w:rsid w:val="009752B5"/>
    <w:rsid w:val="00975641"/>
    <w:rsid w:val="00975C67"/>
    <w:rsid w:val="00975C6F"/>
    <w:rsid w:val="00977DF0"/>
    <w:rsid w:val="00980254"/>
    <w:rsid w:val="00980EDF"/>
    <w:rsid w:val="009814EB"/>
    <w:rsid w:val="009828A5"/>
    <w:rsid w:val="0098380E"/>
    <w:rsid w:val="00983C64"/>
    <w:rsid w:val="009844B8"/>
    <w:rsid w:val="00984C36"/>
    <w:rsid w:val="00984E6A"/>
    <w:rsid w:val="0098500B"/>
    <w:rsid w:val="009851D9"/>
    <w:rsid w:val="0098567C"/>
    <w:rsid w:val="009859C6"/>
    <w:rsid w:val="009868B6"/>
    <w:rsid w:val="00986AFD"/>
    <w:rsid w:val="00987469"/>
    <w:rsid w:val="00990080"/>
    <w:rsid w:val="0099078D"/>
    <w:rsid w:val="00991250"/>
    <w:rsid w:val="009919DA"/>
    <w:rsid w:val="00991CE9"/>
    <w:rsid w:val="009929E0"/>
    <w:rsid w:val="00994162"/>
    <w:rsid w:val="00994201"/>
    <w:rsid w:val="00995692"/>
    <w:rsid w:val="00995C46"/>
    <w:rsid w:val="009960FB"/>
    <w:rsid w:val="009963C9"/>
    <w:rsid w:val="00996886"/>
    <w:rsid w:val="009974B3"/>
    <w:rsid w:val="00997A59"/>
    <w:rsid w:val="00997E6D"/>
    <w:rsid w:val="009A00A2"/>
    <w:rsid w:val="009A02DA"/>
    <w:rsid w:val="009A03EC"/>
    <w:rsid w:val="009A29EC"/>
    <w:rsid w:val="009A2C90"/>
    <w:rsid w:val="009A365C"/>
    <w:rsid w:val="009A3764"/>
    <w:rsid w:val="009A3AFC"/>
    <w:rsid w:val="009A3D46"/>
    <w:rsid w:val="009A3E2C"/>
    <w:rsid w:val="009A3EF9"/>
    <w:rsid w:val="009A437D"/>
    <w:rsid w:val="009A483F"/>
    <w:rsid w:val="009A4CFA"/>
    <w:rsid w:val="009A52A6"/>
    <w:rsid w:val="009A6471"/>
    <w:rsid w:val="009A7261"/>
    <w:rsid w:val="009A7276"/>
    <w:rsid w:val="009A7F0C"/>
    <w:rsid w:val="009B1757"/>
    <w:rsid w:val="009B1D81"/>
    <w:rsid w:val="009B1DD6"/>
    <w:rsid w:val="009B1E70"/>
    <w:rsid w:val="009B261C"/>
    <w:rsid w:val="009B2818"/>
    <w:rsid w:val="009B2A35"/>
    <w:rsid w:val="009B2BFF"/>
    <w:rsid w:val="009B3626"/>
    <w:rsid w:val="009B3790"/>
    <w:rsid w:val="009B3E09"/>
    <w:rsid w:val="009B4055"/>
    <w:rsid w:val="009B4662"/>
    <w:rsid w:val="009B498E"/>
    <w:rsid w:val="009B49FA"/>
    <w:rsid w:val="009B69EC"/>
    <w:rsid w:val="009B7611"/>
    <w:rsid w:val="009B78C1"/>
    <w:rsid w:val="009B799E"/>
    <w:rsid w:val="009B7FC4"/>
    <w:rsid w:val="009C0316"/>
    <w:rsid w:val="009C0770"/>
    <w:rsid w:val="009C0795"/>
    <w:rsid w:val="009C0884"/>
    <w:rsid w:val="009C0A50"/>
    <w:rsid w:val="009C0C18"/>
    <w:rsid w:val="009C0D69"/>
    <w:rsid w:val="009C18E2"/>
    <w:rsid w:val="009C2173"/>
    <w:rsid w:val="009C29FB"/>
    <w:rsid w:val="009C30CE"/>
    <w:rsid w:val="009C4BFA"/>
    <w:rsid w:val="009C4D3D"/>
    <w:rsid w:val="009C5E6F"/>
    <w:rsid w:val="009C6156"/>
    <w:rsid w:val="009C66CB"/>
    <w:rsid w:val="009C6CCB"/>
    <w:rsid w:val="009C76D0"/>
    <w:rsid w:val="009C7A7F"/>
    <w:rsid w:val="009D0186"/>
    <w:rsid w:val="009D03FC"/>
    <w:rsid w:val="009D087A"/>
    <w:rsid w:val="009D0A5F"/>
    <w:rsid w:val="009D1249"/>
    <w:rsid w:val="009D1A36"/>
    <w:rsid w:val="009D2B82"/>
    <w:rsid w:val="009D3073"/>
    <w:rsid w:val="009D30F3"/>
    <w:rsid w:val="009D355B"/>
    <w:rsid w:val="009D4434"/>
    <w:rsid w:val="009D4E81"/>
    <w:rsid w:val="009D50AD"/>
    <w:rsid w:val="009D51AC"/>
    <w:rsid w:val="009D5D27"/>
    <w:rsid w:val="009D6C5C"/>
    <w:rsid w:val="009D7388"/>
    <w:rsid w:val="009D7BB0"/>
    <w:rsid w:val="009E102F"/>
    <w:rsid w:val="009E10E9"/>
    <w:rsid w:val="009E125E"/>
    <w:rsid w:val="009E2662"/>
    <w:rsid w:val="009E2778"/>
    <w:rsid w:val="009E2C81"/>
    <w:rsid w:val="009E3BD0"/>
    <w:rsid w:val="009E3EDB"/>
    <w:rsid w:val="009E479C"/>
    <w:rsid w:val="009E626C"/>
    <w:rsid w:val="009E638A"/>
    <w:rsid w:val="009E6F6C"/>
    <w:rsid w:val="009F0389"/>
    <w:rsid w:val="009F0795"/>
    <w:rsid w:val="009F0C76"/>
    <w:rsid w:val="009F1914"/>
    <w:rsid w:val="009F195B"/>
    <w:rsid w:val="009F1EB8"/>
    <w:rsid w:val="009F1EC5"/>
    <w:rsid w:val="009F22CC"/>
    <w:rsid w:val="009F23C2"/>
    <w:rsid w:val="009F283C"/>
    <w:rsid w:val="009F316E"/>
    <w:rsid w:val="009F3ECC"/>
    <w:rsid w:val="009F4CC9"/>
    <w:rsid w:val="009F57AA"/>
    <w:rsid w:val="009F5D6F"/>
    <w:rsid w:val="009F68F7"/>
    <w:rsid w:val="009F6CEE"/>
    <w:rsid w:val="009F7140"/>
    <w:rsid w:val="009F7484"/>
    <w:rsid w:val="009F7CBA"/>
    <w:rsid w:val="00A00C36"/>
    <w:rsid w:val="00A0186E"/>
    <w:rsid w:val="00A01DB4"/>
    <w:rsid w:val="00A01E42"/>
    <w:rsid w:val="00A01EEA"/>
    <w:rsid w:val="00A02AE8"/>
    <w:rsid w:val="00A02F16"/>
    <w:rsid w:val="00A02FE2"/>
    <w:rsid w:val="00A037E6"/>
    <w:rsid w:val="00A03CDB"/>
    <w:rsid w:val="00A03EA8"/>
    <w:rsid w:val="00A03FCB"/>
    <w:rsid w:val="00A04A9A"/>
    <w:rsid w:val="00A04E3B"/>
    <w:rsid w:val="00A05BB3"/>
    <w:rsid w:val="00A05C72"/>
    <w:rsid w:val="00A07093"/>
    <w:rsid w:val="00A07548"/>
    <w:rsid w:val="00A1022B"/>
    <w:rsid w:val="00A105D9"/>
    <w:rsid w:val="00A106EB"/>
    <w:rsid w:val="00A1166E"/>
    <w:rsid w:val="00A126E6"/>
    <w:rsid w:val="00A12DE5"/>
    <w:rsid w:val="00A13009"/>
    <w:rsid w:val="00A13212"/>
    <w:rsid w:val="00A13551"/>
    <w:rsid w:val="00A13685"/>
    <w:rsid w:val="00A13D56"/>
    <w:rsid w:val="00A14751"/>
    <w:rsid w:val="00A157A0"/>
    <w:rsid w:val="00A16B27"/>
    <w:rsid w:val="00A16E0F"/>
    <w:rsid w:val="00A20A02"/>
    <w:rsid w:val="00A2106D"/>
    <w:rsid w:val="00A2219B"/>
    <w:rsid w:val="00A225CE"/>
    <w:rsid w:val="00A22903"/>
    <w:rsid w:val="00A229C9"/>
    <w:rsid w:val="00A22D78"/>
    <w:rsid w:val="00A230FA"/>
    <w:rsid w:val="00A23138"/>
    <w:rsid w:val="00A235A7"/>
    <w:rsid w:val="00A2383C"/>
    <w:rsid w:val="00A23979"/>
    <w:rsid w:val="00A23B1E"/>
    <w:rsid w:val="00A23D80"/>
    <w:rsid w:val="00A2441B"/>
    <w:rsid w:val="00A2444F"/>
    <w:rsid w:val="00A24C9D"/>
    <w:rsid w:val="00A25011"/>
    <w:rsid w:val="00A25051"/>
    <w:rsid w:val="00A25241"/>
    <w:rsid w:val="00A253B3"/>
    <w:rsid w:val="00A25485"/>
    <w:rsid w:val="00A254FC"/>
    <w:rsid w:val="00A25B35"/>
    <w:rsid w:val="00A261A5"/>
    <w:rsid w:val="00A26314"/>
    <w:rsid w:val="00A2679F"/>
    <w:rsid w:val="00A2771A"/>
    <w:rsid w:val="00A27898"/>
    <w:rsid w:val="00A30408"/>
    <w:rsid w:val="00A30788"/>
    <w:rsid w:val="00A30C3F"/>
    <w:rsid w:val="00A31388"/>
    <w:rsid w:val="00A31C1A"/>
    <w:rsid w:val="00A322DF"/>
    <w:rsid w:val="00A3258A"/>
    <w:rsid w:val="00A32820"/>
    <w:rsid w:val="00A32E41"/>
    <w:rsid w:val="00A33FE4"/>
    <w:rsid w:val="00A342F3"/>
    <w:rsid w:val="00A34C99"/>
    <w:rsid w:val="00A367AB"/>
    <w:rsid w:val="00A36840"/>
    <w:rsid w:val="00A36B28"/>
    <w:rsid w:val="00A37384"/>
    <w:rsid w:val="00A37389"/>
    <w:rsid w:val="00A37695"/>
    <w:rsid w:val="00A37CCA"/>
    <w:rsid w:val="00A40091"/>
    <w:rsid w:val="00A4044B"/>
    <w:rsid w:val="00A40605"/>
    <w:rsid w:val="00A40C8C"/>
    <w:rsid w:val="00A415D1"/>
    <w:rsid w:val="00A41BF5"/>
    <w:rsid w:val="00A422D3"/>
    <w:rsid w:val="00A423E6"/>
    <w:rsid w:val="00A42418"/>
    <w:rsid w:val="00A427E9"/>
    <w:rsid w:val="00A44020"/>
    <w:rsid w:val="00A44CA1"/>
    <w:rsid w:val="00A44F49"/>
    <w:rsid w:val="00A45301"/>
    <w:rsid w:val="00A4591E"/>
    <w:rsid w:val="00A45C0E"/>
    <w:rsid w:val="00A45EB8"/>
    <w:rsid w:val="00A468E3"/>
    <w:rsid w:val="00A47168"/>
    <w:rsid w:val="00A47233"/>
    <w:rsid w:val="00A47682"/>
    <w:rsid w:val="00A500F7"/>
    <w:rsid w:val="00A51113"/>
    <w:rsid w:val="00A51490"/>
    <w:rsid w:val="00A52BCB"/>
    <w:rsid w:val="00A53FFF"/>
    <w:rsid w:val="00A54420"/>
    <w:rsid w:val="00A5479A"/>
    <w:rsid w:val="00A54BA0"/>
    <w:rsid w:val="00A54BCC"/>
    <w:rsid w:val="00A552EF"/>
    <w:rsid w:val="00A552F9"/>
    <w:rsid w:val="00A555F0"/>
    <w:rsid w:val="00A55EF6"/>
    <w:rsid w:val="00A56574"/>
    <w:rsid w:val="00A60381"/>
    <w:rsid w:val="00A6090E"/>
    <w:rsid w:val="00A612F5"/>
    <w:rsid w:val="00A61B7E"/>
    <w:rsid w:val="00A62ABA"/>
    <w:rsid w:val="00A62DCF"/>
    <w:rsid w:val="00A62DF0"/>
    <w:rsid w:val="00A63705"/>
    <w:rsid w:val="00A63BB5"/>
    <w:rsid w:val="00A6450D"/>
    <w:rsid w:val="00A648F8"/>
    <w:rsid w:val="00A64B25"/>
    <w:rsid w:val="00A65393"/>
    <w:rsid w:val="00A65BAE"/>
    <w:rsid w:val="00A6609D"/>
    <w:rsid w:val="00A66599"/>
    <w:rsid w:val="00A667E3"/>
    <w:rsid w:val="00A66AB3"/>
    <w:rsid w:val="00A67BDE"/>
    <w:rsid w:val="00A67DC6"/>
    <w:rsid w:val="00A70061"/>
    <w:rsid w:val="00A70A95"/>
    <w:rsid w:val="00A70F92"/>
    <w:rsid w:val="00A7106A"/>
    <w:rsid w:val="00A71A7F"/>
    <w:rsid w:val="00A73E1D"/>
    <w:rsid w:val="00A743CE"/>
    <w:rsid w:val="00A7460A"/>
    <w:rsid w:val="00A74948"/>
    <w:rsid w:val="00A758A9"/>
    <w:rsid w:val="00A763A5"/>
    <w:rsid w:val="00A76734"/>
    <w:rsid w:val="00A77211"/>
    <w:rsid w:val="00A778DA"/>
    <w:rsid w:val="00A80F23"/>
    <w:rsid w:val="00A8108E"/>
    <w:rsid w:val="00A81760"/>
    <w:rsid w:val="00A81856"/>
    <w:rsid w:val="00A81CB6"/>
    <w:rsid w:val="00A82164"/>
    <w:rsid w:val="00A8249D"/>
    <w:rsid w:val="00A82C52"/>
    <w:rsid w:val="00A83909"/>
    <w:rsid w:val="00A83C49"/>
    <w:rsid w:val="00A83CDD"/>
    <w:rsid w:val="00A84BD2"/>
    <w:rsid w:val="00A84E3F"/>
    <w:rsid w:val="00A85497"/>
    <w:rsid w:val="00A86295"/>
    <w:rsid w:val="00A86EF5"/>
    <w:rsid w:val="00A9084E"/>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912"/>
    <w:rsid w:val="00A93C47"/>
    <w:rsid w:val="00A947A5"/>
    <w:rsid w:val="00A94B0D"/>
    <w:rsid w:val="00A94F2D"/>
    <w:rsid w:val="00A95DA0"/>
    <w:rsid w:val="00A964AD"/>
    <w:rsid w:val="00A96526"/>
    <w:rsid w:val="00A96A2A"/>
    <w:rsid w:val="00A97006"/>
    <w:rsid w:val="00AA13C0"/>
    <w:rsid w:val="00AA1549"/>
    <w:rsid w:val="00AA1810"/>
    <w:rsid w:val="00AA249F"/>
    <w:rsid w:val="00AA28F8"/>
    <w:rsid w:val="00AA38F5"/>
    <w:rsid w:val="00AA452D"/>
    <w:rsid w:val="00AA45D1"/>
    <w:rsid w:val="00AA4D28"/>
    <w:rsid w:val="00AA53A2"/>
    <w:rsid w:val="00AA5CED"/>
    <w:rsid w:val="00AA5E30"/>
    <w:rsid w:val="00AA5E84"/>
    <w:rsid w:val="00AA6D13"/>
    <w:rsid w:val="00AA709B"/>
    <w:rsid w:val="00AA7DCF"/>
    <w:rsid w:val="00AB0355"/>
    <w:rsid w:val="00AB05B7"/>
    <w:rsid w:val="00AB1037"/>
    <w:rsid w:val="00AB2162"/>
    <w:rsid w:val="00AB2300"/>
    <w:rsid w:val="00AB245D"/>
    <w:rsid w:val="00AB2681"/>
    <w:rsid w:val="00AB2D81"/>
    <w:rsid w:val="00AB35C8"/>
    <w:rsid w:val="00AB39F9"/>
    <w:rsid w:val="00AB45BE"/>
    <w:rsid w:val="00AB4F1E"/>
    <w:rsid w:val="00AB5511"/>
    <w:rsid w:val="00AB5AF8"/>
    <w:rsid w:val="00AB5F46"/>
    <w:rsid w:val="00AB61C1"/>
    <w:rsid w:val="00AB63BC"/>
    <w:rsid w:val="00AB66FC"/>
    <w:rsid w:val="00AB732F"/>
    <w:rsid w:val="00AB7362"/>
    <w:rsid w:val="00AB7996"/>
    <w:rsid w:val="00AB7F89"/>
    <w:rsid w:val="00AC0701"/>
    <w:rsid w:val="00AC1047"/>
    <w:rsid w:val="00AC1326"/>
    <w:rsid w:val="00AC14DF"/>
    <w:rsid w:val="00AC169E"/>
    <w:rsid w:val="00AC1FF0"/>
    <w:rsid w:val="00AC23F9"/>
    <w:rsid w:val="00AC2B49"/>
    <w:rsid w:val="00AC2B97"/>
    <w:rsid w:val="00AC2C70"/>
    <w:rsid w:val="00AC35F9"/>
    <w:rsid w:val="00AC3610"/>
    <w:rsid w:val="00AC3C99"/>
    <w:rsid w:val="00AC403E"/>
    <w:rsid w:val="00AC408A"/>
    <w:rsid w:val="00AC4E22"/>
    <w:rsid w:val="00AC5C4D"/>
    <w:rsid w:val="00AC624E"/>
    <w:rsid w:val="00AC702E"/>
    <w:rsid w:val="00AC71FC"/>
    <w:rsid w:val="00AC727D"/>
    <w:rsid w:val="00AC7421"/>
    <w:rsid w:val="00AC78EE"/>
    <w:rsid w:val="00AC7F74"/>
    <w:rsid w:val="00AD0D24"/>
    <w:rsid w:val="00AD17A5"/>
    <w:rsid w:val="00AD28A7"/>
    <w:rsid w:val="00AD298E"/>
    <w:rsid w:val="00AD2ECC"/>
    <w:rsid w:val="00AD424B"/>
    <w:rsid w:val="00AD55A0"/>
    <w:rsid w:val="00AD5BCB"/>
    <w:rsid w:val="00AD5F87"/>
    <w:rsid w:val="00AD72C6"/>
    <w:rsid w:val="00AD7E70"/>
    <w:rsid w:val="00AE01B8"/>
    <w:rsid w:val="00AE024C"/>
    <w:rsid w:val="00AE0256"/>
    <w:rsid w:val="00AE0409"/>
    <w:rsid w:val="00AE085B"/>
    <w:rsid w:val="00AE1711"/>
    <w:rsid w:val="00AE1E3B"/>
    <w:rsid w:val="00AE38AF"/>
    <w:rsid w:val="00AE421B"/>
    <w:rsid w:val="00AE4335"/>
    <w:rsid w:val="00AE43D3"/>
    <w:rsid w:val="00AE549D"/>
    <w:rsid w:val="00AE6CDE"/>
    <w:rsid w:val="00AE73E5"/>
    <w:rsid w:val="00AE7F5D"/>
    <w:rsid w:val="00AF0240"/>
    <w:rsid w:val="00AF0B66"/>
    <w:rsid w:val="00AF1868"/>
    <w:rsid w:val="00AF1DA1"/>
    <w:rsid w:val="00AF3749"/>
    <w:rsid w:val="00AF3BB0"/>
    <w:rsid w:val="00AF40F7"/>
    <w:rsid w:val="00AF4385"/>
    <w:rsid w:val="00AF48F9"/>
    <w:rsid w:val="00AF4961"/>
    <w:rsid w:val="00AF504E"/>
    <w:rsid w:val="00AF6275"/>
    <w:rsid w:val="00AF6F7C"/>
    <w:rsid w:val="00AF74D0"/>
    <w:rsid w:val="00AF7920"/>
    <w:rsid w:val="00AF79BF"/>
    <w:rsid w:val="00AF7AB2"/>
    <w:rsid w:val="00AF7B72"/>
    <w:rsid w:val="00B00B59"/>
    <w:rsid w:val="00B01348"/>
    <w:rsid w:val="00B022BC"/>
    <w:rsid w:val="00B0286C"/>
    <w:rsid w:val="00B02D13"/>
    <w:rsid w:val="00B0452C"/>
    <w:rsid w:val="00B04C75"/>
    <w:rsid w:val="00B04D35"/>
    <w:rsid w:val="00B0502E"/>
    <w:rsid w:val="00B0509D"/>
    <w:rsid w:val="00B06359"/>
    <w:rsid w:val="00B065A2"/>
    <w:rsid w:val="00B06C60"/>
    <w:rsid w:val="00B06FF4"/>
    <w:rsid w:val="00B07601"/>
    <w:rsid w:val="00B07A70"/>
    <w:rsid w:val="00B07CD4"/>
    <w:rsid w:val="00B07D99"/>
    <w:rsid w:val="00B10553"/>
    <w:rsid w:val="00B113A0"/>
    <w:rsid w:val="00B11660"/>
    <w:rsid w:val="00B119E2"/>
    <w:rsid w:val="00B11D77"/>
    <w:rsid w:val="00B126FA"/>
    <w:rsid w:val="00B1281C"/>
    <w:rsid w:val="00B129E3"/>
    <w:rsid w:val="00B12A2B"/>
    <w:rsid w:val="00B12CB8"/>
    <w:rsid w:val="00B12CDF"/>
    <w:rsid w:val="00B13BCC"/>
    <w:rsid w:val="00B14C0F"/>
    <w:rsid w:val="00B1555D"/>
    <w:rsid w:val="00B158FA"/>
    <w:rsid w:val="00B16019"/>
    <w:rsid w:val="00B169A0"/>
    <w:rsid w:val="00B17161"/>
    <w:rsid w:val="00B17539"/>
    <w:rsid w:val="00B205F6"/>
    <w:rsid w:val="00B20B3C"/>
    <w:rsid w:val="00B20EFC"/>
    <w:rsid w:val="00B21A0D"/>
    <w:rsid w:val="00B21B68"/>
    <w:rsid w:val="00B22762"/>
    <w:rsid w:val="00B23E27"/>
    <w:rsid w:val="00B24721"/>
    <w:rsid w:val="00B2529B"/>
    <w:rsid w:val="00B26186"/>
    <w:rsid w:val="00B26F1E"/>
    <w:rsid w:val="00B270AE"/>
    <w:rsid w:val="00B275EF"/>
    <w:rsid w:val="00B27EAF"/>
    <w:rsid w:val="00B30BD7"/>
    <w:rsid w:val="00B321D3"/>
    <w:rsid w:val="00B322C7"/>
    <w:rsid w:val="00B32A6B"/>
    <w:rsid w:val="00B3313A"/>
    <w:rsid w:val="00B339E7"/>
    <w:rsid w:val="00B33A53"/>
    <w:rsid w:val="00B33BAD"/>
    <w:rsid w:val="00B33C21"/>
    <w:rsid w:val="00B34054"/>
    <w:rsid w:val="00B349E7"/>
    <w:rsid w:val="00B34AA1"/>
    <w:rsid w:val="00B34F4C"/>
    <w:rsid w:val="00B360B1"/>
    <w:rsid w:val="00B3762F"/>
    <w:rsid w:val="00B377DD"/>
    <w:rsid w:val="00B3789F"/>
    <w:rsid w:val="00B37B53"/>
    <w:rsid w:val="00B37CAB"/>
    <w:rsid w:val="00B402BC"/>
    <w:rsid w:val="00B40623"/>
    <w:rsid w:val="00B40962"/>
    <w:rsid w:val="00B40DDE"/>
    <w:rsid w:val="00B41721"/>
    <w:rsid w:val="00B41A17"/>
    <w:rsid w:val="00B41D8A"/>
    <w:rsid w:val="00B4254B"/>
    <w:rsid w:val="00B42956"/>
    <w:rsid w:val="00B42F4F"/>
    <w:rsid w:val="00B4345E"/>
    <w:rsid w:val="00B43567"/>
    <w:rsid w:val="00B4365D"/>
    <w:rsid w:val="00B44028"/>
    <w:rsid w:val="00B448A3"/>
    <w:rsid w:val="00B459D9"/>
    <w:rsid w:val="00B45A94"/>
    <w:rsid w:val="00B45B10"/>
    <w:rsid w:val="00B45CF5"/>
    <w:rsid w:val="00B46F1A"/>
    <w:rsid w:val="00B47579"/>
    <w:rsid w:val="00B47C81"/>
    <w:rsid w:val="00B504F2"/>
    <w:rsid w:val="00B506EC"/>
    <w:rsid w:val="00B506FA"/>
    <w:rsid w:val="00B50819"/>
    <w:rsid w:val="00B50892"/>
    <w:rsid w:val="00B50AE3"/>
    <w:rsid w:val="00B50C05"/>
    <w:rsid w:val="00B51347"/>
    <w:rsid w:val="00B517AB"/>
    <w:rsid w:val="00B5203F"/>
    <w:rsid w:val="00B52235"/>
    <w:rsid w:val="00B5245E"/>
    <w:rsid w:val="00B52702"/>
    <w:rsid w:val="00B528AB"/>
    <w:rsid w:val="00B52DB1"/>
    <w:rsid w:val="00B52E95"/>
    <w:rsid w:val="00B52EF8"/>
    <w:rsid w:val="00B531D7"/>
    <w:rsid w:val="00B53222"/>
    <w:rsid w:val="00B53FA4"/>
    <w:rsid w:val="00B546A7"/>
    <w:rsid w:val="00B563FF"/>
    <w:rsid w:val="00B565F7"/>
    <w:rsid w:val="00B56704"/>
    <w:rsid w:val="00B57C4A"/>
    <w:rsid w:val="00B6020F"/>
    <w:rsid w:val="00B6067B"/>
    <w:rsid w:val="00B60770"/>
    <w:rsid w:val="00B60887"/>
    <w:rsid w:val="00B60A7C"/>
    <w:rsid w:val="00B6111C"/>
    <w:rsid w:val="00B617C4"/>
    <w:rsid w:val="00B61A2A"/>
    <w:rsid w:val="00B62819"/>
    <w:rsid w:val="00B62A5E"/>
    <w:rsid w:val="00B62DD1"/>
    <w:rsid w:val="00B63069"/>
    <w:rsid w:val="00B63081"/>
    <w:rsid w:val="00B6383C"/>
    <w:rsid w:val="00B63876"/>
    <w:rsid w:val="00B639D5"/>
    <w:rsid w:val="00B63C02"/>
    <w:rsid w:val="00B65122"/>
    <w:rsid w:val="00B6518E"/>
    <w:rsid w:val="00B65E89"/>
    <w:rsid w:val="00B676B9"/>
    <w:rsid w:val="00B67879"/>
    <w:rsid w:val="00B678F1"/>
    <w:rsid w:val="00B67BB7"/>
    <w:rsid w:val="00B71559"/>
    <w:rsid w:val="00B71993"/>
    <w:rsid w:val="00B71CFB"/>
    <w:rsid w:val="00B725D5"/>
    <w:rsid w:val="00B72601"/>
    <w:rsid w:val="00B72AF6"/>
    <w:rsid w:val="00B735CB"/>
    <w:rsid w:val="00B7398D"/>
    <w:rsid w:val="00B73DE3"/>
    <w:rsid w:val="00B74046"/>
    <w:rsid w:val="00B7430F"/>
    <w:rsid w:val="00B75725"/>
    <w:rsid w:val="00B75ADD"/>
    <w:rsid w:val="00B75E75"/>
    <w:rsid w:val="00B7749D"/>
    <w:rsid w:val="00B7759F"/>
    <w:rsid w:val="00B77A55"/>
    <w:rsid w:val="00B80B27"/>
    <w:rsid w:val="00B80F27"/>
    <w:rsid w:val="00B8111C"/>
    <w:rsid w:val="00B811EB"/>
    <w:rsid w:val="00B81464"/>
    <w:rsid w:val="00B82577"/>
    <w:rsid w:val="00B8266C"/>
    <w:rsid w:val="00B83176"/>
    <w:rsid w:val="00B831C3"/>
    <w:rsid w:val="00B8398D"/>
    <w:rsid w:val="00B83C92"/>
    <w:rsid w:val="00B8407B"/>
    <w:rsid w:val="00B8425D"/>
    <w:rsid w:val="00B84738"/>
    <w:rsid w:val="00B85F0B"/>
    <w:rsid w:val="00B862B3"/>
    <w:rsid w:val="00B862DF"/>
    <w:rsid w:val="00B862E7"/>
    <w:rsid w:val="00B865EE"/>
    <w:rsid w:val="00B868C1"/>
    <w:rsid w:val="00B9069D"/>
    <w:rsid w:val="00B9074F"/>
    <w:rsid w:val="00B91011"/>
    <w:rsid w:val="00B9122B"/>
    <w:rsid w:val="00B9147A"/>
    <w:rsid w:val="00B91B90"/>
    <w:rsid w:val="00B92479"/>
    <w:rsid w:val="00B9375D"/>
    <w:rsid w:val="00B9381A"/>
    <w:rsid w:val="00B93C37"/>
    <w:rsid w:val="00B93D54"/>
    <w:rsid w:val="00B93FD8"/>
    <w:rsid w:val="00B94730"/>
    <w:rsid w:val="00B9476F"/>
    <w:rsid w:val="00B9532B"/>
    <w:rsid w:val="00B967A7"/>
    <w:rsid w:val="00B96FE6"/>
    <w:rsid w:val="00B97907"/>
    <w:rsid w:val="00B97E4A"/>
    <w:rsid w:val="00B97F2B"/>
    <w:rsid w:val="00BA026D"/>
    <w:rsid w:val="00BA03F6"/>
    <w:rsid w:val="00BA05A9"/>
    <w:rsid w:val="00BA16E8"/>
    <w:rsid w:val="00BA17B2"/>
    <w:rsid w:val="00BA1817"/>
    <w:rsid w:val="00BA1971"/>
    <w:rsid w:val="00BA279F"/>
    <w:rsid w:val="00BA2C60"/>
    <w:rsid w:val="00BA36D5"/>
    <w:rsid w:val="00BA3CD0"/>
    <w:rsid w:val="00BA4235"/>
    <w:rsid w:val="00BA42B9"/>
    <w:rsid w:val="00BA467E"/>
    <w:rsid w:val="00BA4B7F"/>
    <w:rsid w:val="00BA53F4"/>
    <w:rsid w:val="00BA5828"/>
    <w:rsid w:val="00BA5944"/>
    <w:rsid w:val="00BA5F13"/>
    <w:rsid w:val="00BA606F"/>
    <w:rsid w:val="00BA625F"/>
    <w:rsid w:val="00BA661D"/>
    <w:rsid w:val="00BA6DC3"/>
    <w:rsid w:val="00BA6FA9"/>
    <w:rsid w:val="00BA7010"/>
    <w:rsid w:val="00BA72CD"/>
    <w:rsid w:val="00BA7BEC"/>
    <w:rsid w:val="00BA7DF7"/>
    <w:rsid w:val="00BB0E36"/>
    <w:rsid w:val="00BB13FA"/>
    <w:rsid w:val="00BB1652"/>
    <w:rsid w:val="00BB168F"/>
    <w:rsid w:val="00BB23DA"/>
    <w:rsid w:val="00BB2D8B"/>
    <w:rsid w:val="00BB30B3"/>
    <w:rsid w:val="00BB405B"/>
    <w:rsid w:val="00BB429D"/>
    <w:rsid w:val="00BB463A"/>
    <w:rsid w:val="00BB4AF3"/>
    <w:rsid w:val="00BB4E9A"/>
    <w:rsid w:val="00BB4F0D"/>
    <w:rsid w:val="00BB57AD"/>
    <w:rsid w:val="00BB5AB1"/>
    <w:rsid w:val="00BB6182"/>
    <w:rsid w:val="00BB6352"/>
    <w:rsid w:val="00BB6994"/>
    <w:rsid w:val="00BB6CC8"/>
    <w:rsid w:val="00BB6D65"/>
    <w:rsid w:val="00BB757A"/>
    <w:rsid w:val="00BB782B"/>
    <w:rsid w:val="00BC0C45"/>
    <w:rsid w:val="00BC2130"/>
    <w:rsid w:val="00BC21A6"/>
    <w:rsid w:val="00BC2782"/>
    <w:rsid w:val="00BC2791"/>
    <w:rsid w:val="00BC35FE"/>
    <w:rsid w:val="00BC37FB"/>
    <w:rsid w:val="00BC3C22"/>
    <w:rsid w:val="00BC4533"/>
    <w:rsid w:val="00BC4875"/>
    <w:rsid w:val="00BC4E07"/>
    <w:rsid w:val="00BC5205"/>
    <w:rsid w:val="00BC53C4"/>
    <w:rsid w:val="00BC5407"/>
    <w:rsid w:val="00BC5628"/>
    <w:rsid w:val="00BC5C5A"/>
    <w:rsid w:val="00BC5F7D"/>
    <w:rsid w:val="00BC6435"/>
    <w:rsid w:val="00BC7406"/>
    <w:rsid w:val="00BD01FB"/>
    <w:rsid w:val="00BD047A"/>
    <w:rsid w:val="00BD0D23"/>
    <w:rsid w:val="00BD1F51"/>
    <w:rsid w:val="00BD2076"/>
    <w:rsid w:val="00BD23B3"/>
    <w:rsid w:val="00BD23F7"/>
    <w:rsid w:val="00BD24F4"/>
    <w:rsid w:val="00BD32DC"/>
    <w:rsid w:val="00BD34D1"/>
    <w:rsid w:val="00BD37D0"/>
    <w:rsid w:val="00BD3B24"/>
    <w:rsid w:val="00BD3B9F"/>
    <w:rsid w:val="00BD3DE4"/>
    <w:rsid w:val="00BD3EC7"/>
    <w:rsid w:val="00BD421A"/>
    <w:rsid w:val="00BD50E2"/>
    <w:rsid w:val="00BD566B"/>
    <w:rsid w:val="00BD5917"/>
    <w:rsid w:val="00BD596D"/>
    <w:rsid w:val="00BD59C0"/>
    <w:rsid w:val="00BD5B86"/>
    <w:rsid w:val="00BD6EBD"/>
    <w:rsid w:val="00BD7362"/>
    <w:rsid w:val="00BE061B"/>
    <w:rsid w:val="00BE0B11"/>
    <w:rsid w:val="00BE0FA9"/>
    <w:rsid w:val="00BE140A"/>
    <w:rsid w:val="00BE1769"/>
    <w:rsid w:val="00BE1D12"/>
    <w:rsid w:val="00BE20C7"/>
    <w:rsid w:val="00BE20F7"/>
    <w:rsid w:val="00BE22B7"/>
    <w:rsid w:val="00BE235F"/>
    <w:rsid w:val="00BE2B2C"/>
    <w:rsid w:val="00BE2C84"/>
    <w:rsid w:val="00BE3978"/>
    <w:rsid w:val="00BE4BE4"/>
    <w:rsid w:val="00BE4E3F"/>
    <w:rsid w:val="00BE503C"/>
    <w:rsid w:val="00BE524A"/>
    <w:rsid w:val="00BE5253"/>
    <w:rsid w:val="00BE5B8C"/>
    <w:rsid w:val="00BE64B8"/>
    <w:rsid w:val="00BE64BF"/>
    <w:rsid w:val="00BE6AD7"/>
    <w:rsid w:val="00BF0178"/>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5C91"/>
    <w:rsid w:val="00BF61F0"/>
    <w:rsid w:val="00BF63E3"/>
    <w:rsid w:val="00BF75E4"/>
    <w:rsid w:val="00C01187"/>
    <w:rsid w:val="00C015BD"/>
    <w:rsid w:val="00C0257A"/>
    <w:rsid w:val="00C027DA"/>
    <w:rsid w:val="00C03456"/>
    <w:rsid w:val="00C0419D"/>
    <w:rsid w:val="00C041E8"/>
    <w:rsid w:val="00C04296"/>
    <w:rsid w:val="00C0453A"/>
    <w:rsid w:val="00C04A4B"/>
    <w:rsid w:val="00C04C2F"/>
    <w:rsid w:val="00C053F8"/>
    <w:rsid w:val="00C0569E"/>
    <w:rsid w:val="00C0583C"/>
    <w:rsid w:val="00C05CC0"/>
    <w:rsid w:val="00C060A7"/>
    <w:rsid w:val="00C06988"/>
    <w:rsid w:val="00C06B5D"/>
    <w:rsid w:val="00C06FF0"/>
    <w:rsid w:val="00C07287"/>
    <w:rsid w:val="00C07ABD"/>
    <w:rsid w:val="00C103E0"/>
    <w:rsid w:val="00C10C2D"/>
    <w:rsid w:val="00C11A69"/>
    <w:rsid w:val="00C12A95"/>
    <w:rsid w:val="00C12FDF"/>
    <w:rsid w:val="00C13221"/>
    <w:rsid w:val="00C13A86"/>
    <w:rsid w:val="00C140CF"/>
    <w:rsid w:val="00C144B6"/>
    <w:rsid w:val="00C15694"/>
    <w:rsid w:val="00C156B1"/>
    <w:rsid w:val="00C15861"/>
    <w:rsid w:val="00C15D36"/>
    <w:rsid w:val="00C16841"/>
    <w:rsid w:val="00C16CA6"/>
    <w:rsid w:val="00C17B6E"/>
    <w:rsid w:val="00C2067B"/>
    <w:rsid w:val="00C208F3"/>
    <w:rsid w:val="00C20CCB"/>
    <w:rsid w:val="00C20FC5"/>
    <w:rsid w:val="00C21C36"/>
    <w:rsid w:val="00C224D5"/>
    <w:rsid w:val="00C2274C"/>
    <w:rsid w:val="00C22952"/>
    <w:rsid w:val="00C22DD9"/>
    <w:rsid w:val="00C23271"/>
    <w:rsid w:val="00C23C77"/>
    <w:rsid w:val="00C241C7"/>
    <w:rsid w:val="00C243D1"/>
    <w:rsid w:val="00C253BF"/>
    <w:rsid w:val="00C25DAE"/>
    <w:rsid w:val="00C25FF8"/>
    <w:rsid w:val="00C26417"/>
    <w:rsid w:val="00C26804"/>
    <w:rsid w:val="00C27AC6"/>
    <w:rsid w:val="00C27E0E"/>
    <w:rsid w:val="00C300F7"/>
    <w:rsid w:val="00C30A3F"/>
    <w:rsid w:val="00C310C4"/>
    <w:rsid w:val="00C31FEE"/>
    <w:rsid w:val="00C3250D"/>
    <w:rsid w:val="00C3319A"/>
    <w:rsid w:val="00C33545"/>
    <w:rsid w:val="00C338DA"/>
    <w:rsid w:val="00C33F5C"/>
    <w:rsid w:val="00C34672"/>
    <w:rsid w:val="00C346D1"/>
    <w:rsid w:val="00C34973"/>
    <w:rsid w:val="00C34EE9"/>
    <w:rsid w:val="00C35836"/>
    <w:rsid w:val="00C3784F"/>
    <w:rsid w:val="00C37E35"/>
    <w:rsid w:val="00C37FE1"/>
    <w:rsid w:val="00C404A8"/>
    <w:rsid w:val="00C4063E"/>
    <w:rsid w:val="00C40667"/>
    <w:rsid w:val="00C40A5D"/>
    <w:rsid w:val="00C41A76"/>
    <w:rsid w:val="00C41ED1"/>
    <w:rsid w:val="00C42357"/>
    <w:rsid w:val="00C427FA"/>
    <w:rsid w:val="00C42C10"/>
    <w:rsid w:val="00C437F4"/>
    <w:rsid w:val="00C43BEF"/>
    <w:rsid w:val="00C4424D"/>
    <w:rsid w:val="00C44A59"/>
    <w:rsid w:val="00C44F00"/>
    <w:rsid w:val="00C4536C"/>
    <w:rsid w:val="00C453D6"/>
    <w:rsid w:val="00C45B71"/>
    <w:rsid w:val="00C45CB7"/>
    <w:rsid w:val="00C4669A"/>
    <w:rsid w:val="00C46979"/>
    <w:rsid w:val="00C46D43"/>
    <w:rsid w:val="00C471F6"/>
    <w:rsid w:val="00C47A41"/>
    <w:rsid w:val="00C47CDD"/>
    <w:rsid w:val="00C50108"/>
    <w:rsid w:val="00C50E67"/>
    <w:rsid w:val="00C51CB4"/>
    <w:rsid w:val="00C52487"/>
    <w:rsid w:val="00C52C3B"/>
    <w:rsid w:val="00C52DD8"/>
    <w:rsid w:val="00C53268"/>
    <w:rsid w:val="00C54259"/>
    <w:rsid w:val="00C5450F"/>
    <w:rsid w:val="00C548C4"/>
    <w:rsid w:val="00C54F32"/>
    <w:rsid w:val="00C557B6"/>
    <w:rsid w:val="00C557F0"/>
    <w:rsid w:val="00C559BF"/>
    <w:rsid w:val="00C55BE1"/>
    <w:rsid w:val="00C568B1"/>
    <w:rsid w:val="00C570DD"/>
    <w:rsid w:val="00C57176"/>
    <w:rsid w:val="00C57374"/>
    <w:rsid w:val="00C574BB"/>
    <w:rsid w:val="00C579B9"/>
    <w:rsid w:val="00C57AC7"/>
    <w:rsid w:val="00C6058B"/>
    <w:rsid w:val="00C606F8"/>
    <w:rsid w:val="00C6096B"/>
    <w:rsid w:val="00C60B3C"/>
    <w:rsid w:val="00C6104B"/>
    <w:rsid w:val="00C62C7A"/>
    <w:rsid w:val="00C64141"/>
    <w:rsid w:val="00C6435A"/>
    <w:rsid w:val="00C6444A"/>
    <w:rsid w:val="00C64B84"/>
    <w:rsid w:val="00C6546C"/>
    <w:rsid w:val="00C65F10"/>
    <w:rsid w:val="00C67B21"/>
    <w:rsid w:val="00C709D9"/>
    <w:rsid w:val="00C70F3A"/>
    <w:rsid w:val="00C710A4"/>
    <w:rsid w:val="00C71266"/>
    <w:rsid w:val="00C7129D"/>
    <w:rsid w:val="00C714A2"/>
    <w:rsid w:val="00C717BE"/>
    <w:rsid w:val="00C71850"/>
    <w:rsid w:val="00C71877"/>
    <w:rsid w:val="00C729A0"/>
    <w:rsid w:val="00C72B7F"/>
    <w:rsid w:val="00C732FB"/>
    <w:rsid w:val="00C737B2"/>
    <w:rsid w:val="00C7391B"/>
    <w:rsid w:val="00C73F81"/>
    <w:rsid w:val="00C74444"/>
    <w:rsid w:val="00C74533"/>
    <w:rsid w:val="00C745EA"/>
    <w:rsid w:val="00C759FA"/>
    <w:rsid w:val="00C75EFA"/>
    <w:rsid w:val="00C768E4"/>
    <w:rsid w:val="00C7724B"/>
    <w:rsid w:val="00C772B0"/>
    <w:rsid w:val="00C77593"/>
    <w:rsid w:val="00C77A7C"/>
    <w:rsid w:val="00C77FBB"/>
    <w:rsid w:val="00C8016B"/>
    <w:rsid w:val="00C80D19"/>
    <w:rsid w:val="00C816F2"/>
    <w:rsid w:val="00C8191A"/>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9005E"/>
    <w:rsid w:val="00C908A0"/>
    <w:rsid w:val="00C9103E"/>
    <w:rsid w:val="00C91488"/>
    <w:rsid w:val="00C91490"/>
    <w:rsid w:val="00C9270E"/>
    <w:rsid w:val="00C9273D"/>
    <w:rsid w:val="00C92DCB"/>
    <w:rsid w:val="00C937B2"/>
    <w:rsid w:val="00C9492E"/>
    <w:rsid w:val="00C94ABA"/>
    <w:rsid w:val="00C94F44"/>
    <w:rsid w:val="00C9564E"/>
    <w:rsid w:val="00C95E0E"/>
    <w:rsid w:val="00C9659F"/>
    <w:rsid w:val="00C96A36"/>
    <w:rsid w:val="00C97201"/>
    <w:rsid w:val="00CA003B"/>
    <w:rsid w:val="00CA0BFD"/>
    <w:rsid w:val="00CA0F32"/>
    <w:rsid w:val="00CA144B"/>
    <w:rsid w:val="00CA1CF4"/>
    <w:rsid w:val="00CA3142"/>
    <w:rsid w:val="00CA4CEB"/>
    <w:rsid w:val="00CA5377"/>
    <w:rsid w:val="00CA593A"/>
    <w:rsid w:val="00CA6B7A"/>
    <w:rsid w:val="00CA6E82"/>
    <w:rsid w:val="00CA704F"/>
    <w:rsid w:val="00CA7DBC"/>
    <w:rsid w:val="00CA7FBC"/>
    <w:rsid w:val="00CB0112"/>
    <w:rsid w:val="00CB19B8"/>
    <w:rsid w:val="00CB260F"/>
    <w:rsid w:val="00CB2A20"/>
    <w:rsid w:val="00CB2EE8"/>
    <w:rsid w:val="00CB2F6E"/>
    <w:rsid w:val="00CB36A3"/>
    <w:rsid w:val="00CB450D"/>
    <w:rsid w:val="00CB4F69"/>
    <w:rsid w:val="00CB5151"/>
    <w:rsid w:val="00CB5F17"/>
    <w:rsid w:val="00CB67E1"/>
    <w:rsid w:val="00CB68F1"/>
    <w:rsid w:val="00CB697C"/>
    <w:rsid w:val="00CB69E2"/>
    <w:rsid w:val="00CB6D0D"/>
    <w:rsid w:val="00CB729B"/>
    <w:rsid w:val="00CB7306"/>
    <w:rsid w:val="00CB7687"/>
    <w:rsid w:val="00CC05EE"/>
    <w:rsid w:val="00CC18B9"/>
    <w:rsid w:val="00CC1F4D"/>
    <w:rsid w:val="00CC1F80"/>
    <w:rsid w:val="00CC33E9"/>
    <w:rsid w:val="00CC3566"/>
    <w:rsid w:val="00CC3D37"/>
    <w:rsid w:val="00CC4BF5"/>
    <w:rsid w:val="00CC5509"/>
    <w:rsid w:val="00CC5E27"/>
    <w:rsid w:val="00CC604D"/>
    <w:rsid w:val="00CC61FC"/>
    <w:rsid w:val="00CC6918"/>
    <w:rsid w:val="00CC6C3B"/>
    <w:rsid w:val="00CC6E24"/>
    <w:rsid w:val="00CC7B3E"/>
    <w:rsid w:val="00CD01BD"/>
    <w:rsid w:val="00CD0949"/>
    <w:rsid w:val="00CD0A1E"/>
    <w:rsid w:val="00CD0C3D"/>
    <w:rsid w:val="00CD1DA5"/>
    <w:rsid w:val="00CD1DB6"/>
    <w:rsid w:val="00CD1DBE"/>
    <w:rsid w:val="00CD2071"/>
    <w:rsid w:val="00CD2548"/>
    <w:rsid w:val="00CD2CDE"/>
    <w:rsid w:val="00CD4231"/>
    <w:rsid w:val="00CD423E"/>
    <w:rsid w:val="00CD449D"/>
    <w:rsid w:val="00CD467F"/>
    <w:rsid w:val="00CD480D"/>
    <w:rsid w:val="00CD51E6"/>
    <w:rsid w:val="00CD52E2"/>
    <w:rsid w:val="00CD54F0"/>
    <w:rsid w:val="00CD689B"/>
    <w:rsid w:val="00CD77D3"/>
    <w:rsid w:val="00CD7B0B"/>
    <w:rsid w:val="00CD7E47"/>
    <w:rsid w:val="00CD7EF8"/>
    <w:rsid w:val="00CE016F"/>
    <w:rsid w:val="00CE0783"/>
    <w:rsid w:val="00CE0D0F"/>
    <w:rsid w:val="00CE112E"/>
    <w:rsid w:val="00CE1BFD"/>
    <w:rsid w:val="00CE3295"/>
    <w:rsid w:val="00CE335F"/>
    <w:rsid w:val="00CE3750"/>
    <w:rsid w:val="00CE4817"/>
    <w:rsid w:val="00CE49AD"/>
    <w:rsid w:val="00CE5020"/>
    <w:rsid w:val="00CE56D4"/>
    <w:rsid w:val="00CE5EE8"/>
    <w:rsid w:val="00CE6175"/>
    <w:rsid w:val="00CE6497"/>
    <w:rsid w:val="00CE6E91"/>
    <w:rsid w:val="00CE72BD"/>
    <w:rsid w:val="00CE7890"/>
    <w:rsid w:val="00CE7CC3"/>
    <w:rsid w:val="00CF17AC"/>
    <w:rsid w:val="00CF1FBD"/>
    <w:rsid w:val="00CF2463"/>
    <w:rsid w:val="00CF278C"/>
    <w:rsid w:val="00CF2B11"/>
    <w:rsid w:val="00CF316F"/>
    <w:rsid w:val="00CF3544"/>
    <w:rsid w:val="00CF35CE"/>
    <w:rsid w:val="00CF4BC3"/>
    <w:rsid w:val="00CF4E81"/>
    <w:rsid w:val="00CF517A"/>
    <w:rsid w:val="00CF56F5"/>
    <w:rsid w:val="00CF5FCD"/>
    <w:rsid w:val="00CF75C3"/>
    <w:rsid w:val="00CF7930"/>
    <w:rsid w:val="00D016BD"/>
    <w:rsid w:val="00D0210C"/>
    <w:rsid w:val="00D02165"/>
    <w:rsid w:val="00D02708"/>
    <w:rsid w:val="00D0275E"/>
    <w:rsid w:val="00D037C3"/>
    <w:rsid w:val="00D037D9"/>
    <w:rsid w:val="00D0384B"/>
    <w:rsid w:val="00D06562"/>
    <w:rsid w:val="00D06585"/>
    <w:rsid w:val="00D066DB"/>
    <w:rsid w:val="00D10137"/>
    <w:rsid w:val="00D10175"/>
    <w:rsid w:val="00D1027A"/>
    <w:rsid w:val="00D111DE"/>
    <w:rsid w:val="00D11348"/>
    <w:rsid w:val="00D116D4"/>
    <w:rsid w:val="00D11E81"/>
    <w:rsid w:val="00D1231A"/>
    <w:rsid w:val="00D124DA"/>
    <w:rsid w:val="00D12509"/>
    <w:rsid w:val="00D12626"/>
    <w:rsid w:val="00D12D2F"/>
    <w:rsid w:val="00D14364"/>
    <w:rsid w:val="00D14C6B"/>
    <w:rsid w:val="00D14EF1"/>
    <w:rsid w:val="00D15A89"/>
    <w:rsid w:val="00D16703"/>
    <w:rsid w:val="00D16AA9"/>
    <w:rsid w:val="00D16F02"/>
    <w:rsid w:val="00D17A2D"/>
    <w:rsid w:val="00D17CA0"/>
    <w:rsid w:val="00D17D03"/>
    <w:rsid w:val="00D201F3"/>
    <w:rsid w:val="00D20214"/>
    <w:rsid w:val="00D216AB"/>
    <w:rsid w:val="00D21715"/>
    <w:rsid w:val="00D21995"/>
    <w:rsid w:val="00D21B87"/>
    <w:rsid w:val="00D222A1"/>
    <w:rsid w:val="00D2245A"/>
    <w:rsid w:val="00D232C3"/>
    <w:rsid w:val="00D2362D"/>
    <w:rsid w:val="00D2400E"/>
    <w:rsid w:val="00D2440C"/>
    <w:rsid w:val="00D24625"/>
    <w:rsid w:val="00D249AA"/>
    <w:rsid w:val="00D249CB"/>
    <w:rsid w:val="00D24D6D"/>
    <w:rsid w:val="00D258F5"/>
    <w:rsid w:val="00D25E3C"/>
    <w:rsid w:val="00D2660E"/>
    <w:rsid w:val="00D26CC1"/>
    <w:rsid w:val="00D27153"/>
    <w:rsid w:val="00D2754A"/>
    <w:rsid w:val="00D27D77"/>
    <w:rsid w:val="00D3070B"/>
    <w:rsid w:val="00D32440"/>
    <w:rsid w:val="00D32643"/>
    <w:rsid w:val="00D33B39"/>
    <w:rsid w:val="00D34086"/>
    <w:rsid w:val="00D34CDF"/>
    <w:rsid w:val="00D35007"/>
    <w:rsid w:val="00D35D78"/>
    <w:rsid w:val="00D36E90"/>
    <w:rsid w:val="00D37454"/>
    <w:rsid w:val="00D37506"/>
    <w:rsid w:val="00D37F96"/>
    <w:rsid w:val="00D40666"/>
    <w:rsid w:val="00D40D5E"/>
    <w:rsid w:val="00D4232B"/>
    <w:rsid w:val="00D43511"/>
    <w:rsid w:val="00D43F77"/>
    <w:rsid w:val="00D44310"/>
    <w:rsid w:val="00D44491"/>
    <w:rsid w:val="00D461FA"/>
    <w:rsid w:val="00D46235"/>
    <w:rsid w:val="00D47ABE"/>
    <w:rsid w:val="00D47F6C"/>
    <w:rsid w:val="00D503C9"/>
    <w:rsid w:val="00D506B5"/>
    <w:rsid w:val="00D50A8E"/>
    <w:rsid w:val="00D50D36"/>
    <w:rsid w:val="00D51FCF"/>
    <w:rsid w:val="00D5218E"/>
    <w:rsid w:val="00D525E1"/>
    <w:rsid w:val="00D52C9E"/>
    <w:rsid w:val="00D52F4D"/>
    <w:rsid w:val="00D53C75"/>
    <w:rsid w:val="00D544D4"/>
    <w:rsid w:val="00D5468A"/>
    <w:rsid w:val="00D548EC"/>
    <w:rsid w:val="00D54C7A"/>
    <w:rsid w:val="00D55258"/>
    <w:rsid w:val="00D55DEE"/>
    <w:rsid w:val="00D5657D"/>
    <w:rsid w:val="00D56622"/>
    <w:rsid w:val="00D57194"/>
    <w:rsid w:val="00D5740C"/>
    <w:rsid w:val="00D605AC"/>
    <w:rsid w:val="00D60D4F"/>
    <w:rsid w:val="00D61003"/>
    <w:rsid w:val="00D613BD"/>
    <w:rsid w:val="00D61877"/>
    <w:rsid w:val="00D61967"/>
    <w:rsid w:val="00D63144"/>
    <w:rsid w:val="00D6320C"/>
    <w:rsid w:val="00D6382D"/>
    <w:rsid w:val="00D63AAF"/>
    <w:rsid w:val="00D64296"/>
    <w:rsid w:val="00D64322"/>
    <w:rsid w:val="00D6443D"/>
    <w:rsid w:val="00D644A0"/>
    <w:rsid w:val="00D646E3"/>
    <w:rsid w:val="00D64BD3"/>
    <w:rsid w:val="00D65635"/>
    <w:rsid w:val="00D65924"/>
    <w:rsid w:val="00D66027"/>
    <w:rsid w:val="00D6672D"/>
    <w:rsid w:val="00D67076"/>
    <w:rsid w:val="00D6718C"/>
    <w:rsid w:val="00D671CF"/>
    <w:rsid w:val="00D67214"/>
    <w:rsid w:val="00D677C3"/>
    <w:rsid w:val="00D70873"/>
    <w:rsid w:val="00D70D9A"/>
    <w:rsid w:val="00D71561"/>
    <w:rsid w:val="00D7190C"/>
    <w:rsid w:val="00D71C01"/>
    <w:rsid w:val="00D71F68"/>
    <w:rsid w:val="00D71FEB"/>
    <w:rsid w:val="00D7249F"/>
    <w:rsid w:val="00D72536"/>
    <w:rsid w:val="00D736E0"/>
    <w:rsid w:val="00D7379A"/>
    <w:rsid w:val="00D73C2C"/>
    <w:rsid w:val="00D741BA"/>
    <w:rsid w:val="00D74A7B"/>
    <w:rsid w:val="00D74EC6"/>
    <w:rsid w:val="00D755B0"/>
    <w:rsid w:val="00D7581C"/>
    <w:rsid w:val="00D758DC"/>
    <w:rsid w:val="00D75A3C"/>
    <w:rsid w:val="00D765CC"/>
    <w:rsid w:val="00D7672E"/>
    <w:rsid w:val="00D7686A"/>
    <w:rsid w:val="00D77C72"/>
    <w:rsid w:val="00D80951"/>
    <w:rsid w:val="00D80DF7"/>
    <w:rsid w:val="00D81353"/>
    <w:rsid w:val="00D81391"/>
    <w:rsid w:val="00D8154D"/>
    <w:rsid w:val="00D81635"/>
    <w:rsid w:val="00D818B0"/>
    <w:rsid w:val="00D82863"/>
    <w:rsid w:val="00D82C34"/>
    <w:rsid w:val="00D82CB1"/>
    <w:rsid w:val="00D83B55"/>
    <w:rsid w:val="00D83C46"/>
    <w:rsid w:val="00D83F7E"/>
    <w:rsid w:val="00D841BF"/>
    <w:rsid w:val="00D845DD"/>
    <w:rsid w:val="00D85600"/>
    <w:rsid w:val="00D85A90"/>
    <w:rsid w:val="00D85EC7"/>
    <w:rsid w:val="00D8677B"/>
    <w:rsid w:val="00D8699D"/>
    <w:rsid w:val="00D86E3A"/>
    <w:rsid w:val="00D871A4"/>
    <w:rsid w:val="00D873AE"/>
    <w:rsid w:val="00D912BD"/>
    <w:rsid w:val="00D92403"/>
    <w:rsid w:val="00D9295D"/>
    <w:rsid w:val="00D930F7"/>
    <w:rsid w:val="00D93A2A"/>
    <w:rsid w:val="00D946A0"/>
    <w:rsid w:val="00D94893"/>
    <w:rsid w:val="00D95451"/>
    <w:rsid w:val="00D960EB"/>
    <w:rsid w:val="00D96403"/>
    <w:rsid w:val="00D96822"/>
    <w:rsid w:val="00D96898"/>
    <w:rsid w:val="00D969FD"/>
    <w:rsid w:val="00D96B78"/>
    <w:rsid w:val="00D97E44"/>
    <w:rsid w:val="00D97FE6"/>
    <w:rsid w:val="00DA0660"/>
    <w:rsid w:val="00DA0BC7"/>
    <w:rsid w:val="00DA0BDA"/>
    <w:rsid w:val="00DA134C"/>
    <w:rsid w:val="00DA1FC7"/>
    <w:rsid w:val="00DA2334"/>
    <w:rsid w:val="00DA23A8"/>
    <w:rsid w:val="00DA25F6"/>
    <w:rsid w:val="00DA2714"/>
    <w:rsid w:val="00DA2AFE"/>
    <w:rsid w:val="00DA2E92"/>
    <w:rsid w:val="00DA349A"/>
    <w:rsid w:val="00DA36B3"/>
    <w:rsid w:val="00DA3C3D"/>
    <w:rsid w:val="00DA3E5C"/>
    <w:rsid w:val="00DA45A0"/>
    <w:rsid w:val="00DA468A"/>
    <w:rsid w:val="00DA5429"/>
    <w:rsid w:val="00DA5ACD"/>
    <w:rsid w:val="00DA5BE6"/>
    <w:rsid w:val="00DA6174"/>
    <w:rsid w:val="00DA6B6A"/>
    <w:rsid w:val="00DA6F19"/>
    <w:rsid w:val="00DA73D3"/>
    <w:rsid w:val="00DA7688"/>
    <w:rsid w:val="00DA774E"/>
    <w:rsid w:val="00DA7BF8"/>
    <w:rsid w:val="00DB02FD"/>
    <w:rsid w:val="00DB0525"/>
    <w:rsid w:val="00DB0BE2"/>
    <w:rsid w:val="00DB0CD5"/>
    <w:rsid w:val="00DB141F"/>
    <w:rsid w:val="00DB1B08"/>
    <w:rsid w:val="00DB2339"/>
    <w:rsid w:val="00DB239C"/>
    <w:rsid w:val="00DB2495"/>
    <w:rsid w:val="00DB27A4"/>
    <w:rsid w:val="00DB2B97"/>
    <w:rsid w:val="00DB2BF1"/>
    <w:rsid w:val="00DB3DC4"/>
    <w:rsid w:val="00DB3F50"/>
    <w:rsid w:val="00DB429F"/>
    <w:rsid w:val="00DB46C6"/>
    <w:rsid w:val="00DB48B0"/>
    <w:rsid w:val="00DB4F94"/>
    <w:rsid w:val="00DB52AA"/>
    <w:rsid w:val="00DB5352"/>
    <w:rsid w:val="00DB5747"/>
    <w:rsid w:val="00DB5896"/>
    <w:rsid w:val="00DB6161"/>
    <w:rsid w:val="00DB6482"/>
    <w:rsid w:val="00DB6F85"/>
    <w:rsid w:val="00DB78F0"/>
    <w:rsid w:val="00DC045D"/>
    <w:rsid w:val="00DC0476"/>
    <w:rsid w:val="00DC051E"/>
    <w:rsid w:val="00DC07CD"/>
    <w:rsid w:val="00DC0A60"/>
    <w:rsid w:val="00DC0E56"/>
    <w:rsid w:val="00DC0FD5"/>
    <w:rsid w:val="00DC122D"/>
    <w:rsid w:val="00DC1B37"/>
    <w:rsid w:val="00DC212C"/>
    <w:rsid w:val="00DC225C"/>
    <w:rsid w:val="00DC23CE"/>
    <w:rsid w:val="00DC360A"/>
    <w:rsid w:val="00DC3704"/>
    <w:rsid w:val="00DC3935"/>
    <w:rsid w:val="00DC47ED"/>
    <w:rsid w:val="00DC4A3E"/>
    <w:rsid w:val="00DC4C06"/>
    <w:rsid w:val="00DC5FA4"/>
    <w:rsid w:val="00DC6C79"/>
    <w:rsid w:val="00DC6C91"/>
    <w:rsid w:val="00DC7333"/>
    <w:rsid w:val="00DC79A6"/>
    <w:rsid w:val="00DD019D"/>
    <w:rsid w:val="00DD04AA"/>
    <w:rsid w:val="00DD1784"/>
    <w:rsid w:val="00DD2438"/>
    <w:rsid w:val="00DD2FD7"/>
    <w:rsid w:val="00DD3828"/>
    <w:rsid w:val="00DD3CAC"/>
    <w:rsid w:val="00DD57AF"/>
    <w:rsid w:val="00DD5BBC"/>
    <w:rsid w:val="00DD6075"/>
    <w:rsid w:val="00DD689D"/>
    <w:rsid w:val="00DD68E7"/>
    <w:rsid w:val="00DD7168"/>
    <w:rsid w:val="00DD797E"/>
    <w:rsid w:val="00DE02EA"/>
    <w:rsid w:val="00DE07AB"/>
    <w:rsid w:val="00DE1003"/>
    <w:rsid w:val="00DE1052"/>
    <w:rsid w:val="00DE159B"/>
    <w:rsid w:val="00DE322C"/>
    <w:rsid w:val="00DE33D4"/>
    <w:rsid w:val="00DE3CC4"/>
    <w:rsid w:val="00DE4D11"/>
    <w:rsid w:val="00DE4FF6"/>
    <w:rsid w:val="00DE52BF"/>
    <w:rsid w:val="00DE6450"/>
    <w:rsid w:val="00DE6BD1"/>
    <w:rsid w:val="00DE6F96"/>
    <w:rsid w:val="00DE7199"/>
    <w:rsid w:val="00DE7C56"/>
    <w:rsid w:val="00DE7EC4"/>
    <w:rsid w:val="00DF0DB9"/>
    <w:rsid w:val="00DF11E4"/>
    <w:rsid w:val="00DF1A56"/>
    <w:rsid w:val="00DF1A7D"/>
    <w:rsid w:val="00DF1D95"/>
    <w:rsid w:val="00DF2732"/>
    <w:rsid w:val="00DF3362"/>
    <w:rsid w:val="00DF4851"/>
    <w:rsid w:val="00DF55CB"/>
    <w:rsid w:val="00DF5CAA"/>
    <w:rsid w:val="00DF5DB1"/>
    <w:rsid w:val="00DF6065"/>
    <w:rsid w:val="00DF65B4"/>
    <w:rsid w:val="00DF66F2"/>
    <w:rsid w:val="00DF7059"/>
    <w:rsid w:val="00DF7ACF"/>
    <w:rsid w:val="00DF7D86"/>
    <w:rsid w:val="00DF7E9A"/>
    <w:rsid w:val="00E015CA"/>
    <w:rsid w:val="00E015D8"/>
    <w:rsid w:val="00E01F26"/>
    <w:rsid w:val="00E01FE6"/>
    <w:rsid w:val="00E0208F"/>
    <w:rsid w:val="00E02180"/>
    <w:rsid w:val="00E026C5"/>
    <w:rsid w:val="00E040B5"/>
    <w:rsid w:val="00E04AB4"/>
    <w:rsid w:val="00E04C66"/>
    <w:rsid w:val="00E05156"/>
    <w:rsid w:val="00E05C90"/>
    <w:rsid w:val="00E05EEB"/>
    <w:rsid w:val="00E06325"/>
    <w:rsid w:val="00E071D0"/>
    <w:rsid w:val="00E07DB7"/>
    <w:rsid w:val="00E100A0"/>
    <w:rsid w:val="00E105B5"/>
    <w:rsid w:val="00E1093C"/>
    <w:rsid w:val="00E110A1"/>
    <w:rsid w:val="00E1120C"/>
    <w:rsid w:val="00E113B6"/>
    <w:rsid w:val="00E11766"/>
    <w:rsid w:val="00E125DB"/>
    <w:rsid w:val="00E12E49"/>
    <w:rsid w:val="00E12E7E"/>
    <w:rsid w:val="00E13144"/>
    <w:rsid w:val="00E138C8"/>
    <w:rsid w:val="00E1466D"/>
    <w:rsid w:val="00E147D0"/>
    <w:rsid w:val="00E14C28"/>
    <w:rsid w:val="00E15616"/>
    <w:rsid w:val="00E16159"/>
    <w:rsid w:val="00E16BD5"/>
    <w:rsid w:val="00E16EEF"/>
    <w:rsid w:val="00E17865"/>
    <w:rsid w:val="00E17C25"/>
    <w:rsid w:val="00E205E4"/>
    <w:rsid w:val="00E20905"/>
    <w:rsid w:val="00E20B20"/>
    <w:rsid w:val="00E212AC"/>
    <w:rsid w:val="00E215A7"/>
    <w:rsid w:val="00E21631"/>
    <w:rsid w:val="00E21A68"/>
    <w:rsid w:val="00E21E6E"/>
    <w:rsid w:val="00E21F8D"/>
    <w:rsid w:val="00E22584"/>
    <w:rsid w:val="00E230B0"/>
    <w:rsid w:val="00E23398"/>
    <w:rsid w:val="00E23AAA"/>
    <w:rsid w:val="00E23B78"/>
    <w:rsid w:val="00E23BAB"/>
    <w:rsid w:val="00E241B2"/>
    <w:rsid w:val="00E248FF"/>
    <w:rsid w:val="00E24B40"/>
    <w:rsid w:val="00E24DF6"/>
    <w:rsid w:val="00E25135"/>
    <w:rsid w:val="00E25B37"/>
    <w:rsid w:val="00E26DA8"/>
    <w:rsid w:val="00E26E45"/>
    <w:rsid w:val="00E278B8"/>
    <w:rsid w:val="00E27F89"/>
    <w:rsid w:val="00E301D7"/>
    <w:rsid w:val="00E307A0"/>
    <w:rsid w:val="00E30837"/>
    <w:rsid w:val="00E31195"/>
    <w:rsid w:val="00E31FB2"/>
    <w:rsid w:val="00E32A6D"/>
    <w:rsid w:val="00E32B29"/>
    <w:rsid w:val="00E33506"/>
    <w:rsid w:val="00E339D4"/>
    <w:rsid w:val="00E342F7"/>
    <w:rsid w:val="00E3435B"/>
    <w:rsid w:val="00E344D3"/>
    <w:rsid w:val="00E34618"/>
    <w:rsid w:val="00E34666"/>
    <w:rsid w:val="00E34689"/>
    <w:rsid w:val="00E34E41"/>
    <w:rsid w:val="00E35356"/>
    <w:rsid w:val="00E362A4"/>
    <w:rsid w:val="00E36346"/>
    <w:rsid w:val="00E36C9F"/>
    <w:rsid w:val="00E36E5D"/>
    <w:rsid w:val="00E36FD3"/>
    <w:rsid w:val="00E37904"/>
    <w:rsid w:val="00E37C67"/>
    <w:rsid w:val="00E37D1B"/>
    <w:rsid w:val="00E40B05"/>
    <w:rsid w:val="00E40E5C"/>
    <w:rsid w:val="00E411F1"/>
    <w:rsid w:val="00E41AA3"/>
    <w:rsid w:val="00E422E6"/>
    <w:rsid w:val="00E425AC"/>
    <w:rsid w:val="00E4299C"/>
    <w:rsid w:val="00E42F46"/>
    <w:rsid w:val="00E4335B"/>
    <w:rsid w:val="00E4335E"/>
    <w:rsid w:val="00E43AC4"/>
    <w:rsid w:val="00E43DFE"/>
    <w:rsid w:val="00E44193"/>
    <w:rsid w:val="00E444F0"/>
    <w:rsid w:val="00E44817"/>
    <w:rsid w:val="00E46892"/>
    <w:rsid w:val="00E46A08"/>
    <w:rsid w:val="00E46B2C"/>
    <w:rsid w:val="00E46EE7"/>
    <w:rsid w:val="00E47002"/>
    <w:rsid w:val="00E4763B"/>
    <w:rsid w:val="00E47A57"/>
    <w:rsid w:val="00E50299"/>
    <w:rsid w:val="00E51665"/>
    <w:rsid w:val="00E516D7"/>
    <w:rsid w:val="00E5174C"/>
    <w:rsid w:val="00E51F88"/>
    <w:rsid w:val="00E53ECD"/>
    <w:rsid w:val="00E547E7"/>
    <w:rsid w:val="00E54F16"/>
    <w:rsid w:val="00E554C6"/>
    <w:rsid w:val="00E55775"/>
    <w:rsid w:val="00E55D2F"/>
    <w:rsid w:val="00E56327"/>
    <w:rsid w:val="00E567C7"/>
    <w:rsid w:val="00E60042"/>
    <w:rsid w:val="00E60407"/>
    <w:rsid w:val="00E610FB"/>
    <w:rsid w:val="00E61E60"/>
    <w:rsid w:val="00E63906"/>
    <w:rsid w:val="00E63E0F"/>
    <w:rsid w:val="00E648E8"/>
    <w:rsid w:val="00E64944"/>
    <w:rsid w:val="00E650B1"/>
    <w:rsid w:val="00E6599C"/>
    <w:rsid w:val="00E65A19"/>
    <w:rsid w:val="00E66750"/>
    <w:rsid w:val="00E66A47"/>
    <w:rsid w:val="00E66AC3"/>
    <w:rsid w:val="00E66B92"/>
    <w:rsid w:val="00E6792E"/>
    <w:rsid w:val="00E67CC0"/>
    <w:rsid w:val="00E70E34"/>
    <w:rsid w:val="00E71A39"/>
    <w:rsid w:val="00E71B6F"/>
    <w:rsid w:val="00E72006"/>
    <w:rsid w:val="00E72120"/>
    <w:rsid w:val="00E7248E"/>
    <w:rsid w:val="00E725C6"/>
    <w:rsid w:val="00E7292F"/>
    <w:rsid w:val="00E72A18"/>
    <w:rsid w:val="00E72DC5"/>
    <w:rsid w:val="00E737DF"/>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0A7C"/>
    <w:rsid w:val="00E818AC"/>
    <w:rsid w:val="00E81CE5"/>
    <w:rsid w:val="00E82FB9"/>
    <w:rsid w:val="00E835BD"/>
    <w:rsid w:val="00E839E5"/>
    <w:rsid w:val="00E84672"/>
    <w:rsid w:val="00E84883"/>
    <w:rsid w:val="00E8496C"/>
    <w:rsid w:val="00E849AD"/>
    <w:rsid w:val="00E84A9C"/>
    <w:rsid w:val="00E84B6E"/>
    <w:rsid w:val="00E84BF3"/>
    <w:rsid w:val="00E8513D"/>
    <w:rsid w:val="00E854C5"/>
    <w:rsid w:val="00E85DCF"/>
    <w:rsid w:val="00E85FE5"/>
    <w:rsid w:val="00E8608A"/>
    <w:rsid w:val="00E86421"/>
    <w:rsid w:val="00E86CEB"/>
    <w:rsid w:val="00E878E3"/>
    <w:rsid w:val="00E900D9"/>
    <w:rsid w:val="00E90F6C"/>
    <w:rsid w:val="00E91945"/>
    <w:rsid w:val="00E919F8"/>
    <w:rsid w:val="00E91FB3"/>
    <w:rsid w:val="00E923B5"/>
    <w:rsid w:val="00E92472"/>
    <w:rsid w:val="00E924AF"/>
    <w:rsid w:val="00E9282E"/>
    <w:rsid w:val="00E9326C"/>
    <w:rsid w:val="00E93356"/>
    <w:rsid w:val="00E93FBA"/>
    <w:rsid w:val="00E94037"/>
    <w:rsid w:val="00E94C96"/>
    <w:rsid w:val="00E950EF"/>
    <w:rsid w:val="00E95FB9"/>
    <w:rsid w:val="00E96046"/>
    <w:rsid w:val="00E967F1"/>
    <w:rsid w:val="00E9707E"/>
    <w:rsid w:val="00E9708E"/>
    <w:rsid w:val="00E972DD"/>
    <w:rsid w:val="00E97500"/>
    <w:rsid w:val="00EA0246"/>
    <w:rsid w:val="00EA0E9C"/>
    <w:rsid w:val="00EA10B8"/>
    <w:rsid w:val="00EA14EB"/>
    <w:rsid w:val="00EA1667"/>
    <w:rsid w:val="00EA2A08"/>
    <w:rsid w:val="00EA2C77"/>
    <w:rsid w:val="00EA2CDA"/>
    <w:rsid w:val="00EA34F5"/>
    <w:rsid w:val="00EA3518"/>
    <w:rsid w:val="00EA374B"/>
    <w:rsid w:val="00EA3816"/>
    <w:rsid w:val="00EA3B96"/>
    <w:rsid w:val="00EA48AD"/>
    <w:rsid w:val="00EA4F17"/>
    <w:rsid w:val="00EA54D9"/>
    <w:rsid w:val="00EA5E33"/>
    <w:rsid w:val="00EA615A"/>
    <w:rsid w:val="00EA61A7"/>
    <w:rsid w:val="00EA6B4B"/>
    <w:rsid w:val="00EA6FB3"/>
    <w:rsid w:val="00EA70C5"/>
    <w:rsid w:val="00EA7264"/>
    <w:rsid w:val="00EA72C4"/>
    <w:rsid w:val="00EA7316"/>
    <w:rsid w:val="00EA756C"/>
    <w:rsid w:val="00EA7FDB"/>
    <w:rsid w:val="00EB008E"/>
    <w:rsid w:val="00EB01C5"/>
    <w:rsid w:val="00EB070E"/>
    <w:rsid w:val="00EB1543"/>
    <w:rsid w:val="00EB1557"/>
    <w:rsid w:val="00EB190A"/>
    <w:rsid w:val="00EB2173"/>
    <w:rsid w:val="00EB563C"/>
    <w:rsid w:val="00EB58D8"/>
    <w:rsid w:val="00EB6574"/>
    <w:rsid w:val="00EB76D5"/>
    <w:rsid w:val="00EB76FB"/>
    <w:rsid w:val="00EB7844"/>
    <w:rsid w:val="00EB7C18"/>
    <w:rsid w:val="00EC149C"/>
    <w:rsid w:val="00EC155A"/>
    <w:rsid w:val="00EC18E8"/>
    <w:rsid w:val="00EC2C80"/>
    <w:rsid w:val="00EC30FA"/>
    <w:rsid w:val="00EC3428"/>
    <w:rsid w:val="00EC3476"/>
    <w:rsid w:val="00EC352C"/>
    <w:rsid w:val="00EC3809"/>
    <w:rsid w:val="00EC3869"/>
    <w:rsid w:val="00EC3A0A"/>
    <w:rsid w:val="00EC3CCC"/>
    <w:rsid w:val="00EC3D1B"/>
    <w:rsid w:val="00EC4A3A"/>
    <w:rsid w:val="00EC4AD5"/>
    <w:rsid w:val="00EC50CC"/>
    <w:rsid w:val="00EC6391"/>
    <w:rsid w:val="00EC7274"/>
    <w:rsid w:val="00EC7744"/>
    <w:rsid w:val="00ED0211"/>
    <w:rsid w:val="00ED04D1"/>
    <w:rsid w:val="00ED0649"/>
    <w:rsid w:val="00ED0C33"/>
    <w:rsid w:val="00ED0DE8"/>
    <w:rsid w:val="00ED11F3"/>
    <w:rsid w:val="00ED12E8"/>
    <w:rsid w:val="00ED1809"/>
    <w:rsid w:val="00ED1B94"/>
    <w:rsid w:val="00ED217F"/>
    <w:rsid w:val="00ED231E"/>
    <w:rsid w:val="00ED23E9"/>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E05B8"/>
    <w:rsid w:val="00EE0A98"/>
    <w:rsid w:val="00EE1184"/>
    <w:rsid w:val="00EE2563"/>
    <w:rsid w:val="00EE407E"/>
    <w:rsid w:val="00EE445B"/>
    <w:rsid w:val="00EE446F"/>
    <w:rsid w:val="00EE48B9"/>
    <w:rsid w:val="00EE4909"/>
    <w:rsid w:val="00EE602D"/>
    <w:rsid w:val="00EE6722"/>
    <w:rsid w:val="00EE6B34"/>
    <w:rsid w:val="00EE6DE7"/>
    <w:rsid w:val="00EE75E4"/>
    <w:rsid w:val="00EE7AE2"/>
    <w:rsid w:val="00EF17FE"/>
    <w:rsid w:val="00EF2AD4"/>
    <w:rsid w:val="00EF2B5E"/>
    <w:rsid w:val="00EF3365"/>
    <w:rsid w:val="00EF3F09"/>
    <w:rsid w:val="00EF4B14"/>
    <w:rsid w:val="00EF4FE1"/>
    <w:rsid w:val="00EF50B8"/>
    <w:rsid w:val="00EF52C7"/>
    <w:rsid w:val="00EF58C1"/>
    <w:rsid w:val="00EF59AD"/>
    <w:rsid w:val="00EF59F5"/>
    <w:rsid w:val="00EF5FBC"/>
    <w:rsid w:val="00EF6327"/>
    <w:rsid w:val="00EF67A0"/>
    <w:rsid w:val="00EF75CE"/>
    <w:rsid w:val="00EF78CC"/>
    <w:rsid w:val="00F00292"/>
    <w:rsid w:val="00F003A8"/>
    <w:rsid w:val="00F007A1"/>
    <w:rsid w:val="00F0082C"/>
    <w:rsid w:val="00F01838"/>
    <w:rsid w:val="00F01954"/>
    <w:rsid w:val="00F02797"/>
    <w:rsid w:val="00F02F5E"/>
    <w:rsid w:val="00F034AF"/>
    <w:rsid w:val="00F03749"/>
    <w:rsid w:val="00F05607"/>
    <w:rsid w:val="00F05658"/>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F42"/>
    <w:rsid w:val="00F13254"/>
    <w:rsid w:val="00F133A6"/>
    <w:rsid w:val="00F13864"/>
    <w:rsid w:val="00F13B52"/>
    <w:rsid w:val="00F149AA"/>
    <w:rsid w:val="00F14C77"/>
    <w:rsid w:val="00F15054"/>
    <w:rsid w:val="00F16229"/>
    <w:rsid w:val="00F17160"/>
    <w:rsid w:val="00F17174"/>
    <w:rsid w:val="00F17670"/>
    <w:rsid w:val="00F179DA"/>
    <w:rsid w:val="00F17B92"/>
    <w:rsid w:val="00F17BDC"/>
    <w:rsid w:val="00F17D54"/>
    <w:rsid w:val="00F20994"/>
    <w:rsid w:val="00F212B6"/>
    <w:rsid w:val="00F2151A"/>
    <w:rsid w:val="00F2195E"/>
    <w:rsid w:val="00F21CEC"/>
    <w:rsid w:val="00F22802"/>
    <w:rsid w:val="00F2374F"/>
    <w:rsid w:val="00F23C61"/>
    <w:rsid w:val="00F23FB4"/>
    <w:rsid w:val="00F2418C"/>
    <w:rsid w:val="00F241F9"/>
    <w:rsid w:val="00F2441B"/>
    <w:rsid w:val="00F24722"/>
    <w:rsid w:val="00F25C8E"/>
    <w:rsid w:val="00F25D4D"/>
    <w:rsid w:val="00F266A0"/>
    <w:rsid w:val="00F26D54"/>
    <w:rsid w:val="00F26F58"/>
    <w:rsid w:val="00F303BA"/>
    <w:rsid w:val="00F30400"/>
    <w:rsid w:val="00F30501"/>
    <w:rsid w:val="00F3053D"/>
    <w:rsid w:val="00F30875"/>
    <w:rsid w:val="00F308A9"/>
    <w:rsid w:val="00F311EE"/>
    <w:rsid w:val="00F3135E"/>
    <w:rsid w:val="00F3164F"/>
    <w:rsid w:val="00F328DC"/>
    <w:rsid w:val="00F337E3"/>
    <w:rsid w:val="00F342AE"/>
    <w:rsid w:val="00F34A2C"/>
    <w:rsid w:val="00F34CB1"/>
    <w:rsid w:val="00F3573D"/>
    <w:rsid w:val="00F35BBB"/>
    <w:rsid w:val="00F36A82"/>
    <w:rsid w:val="00F377D4"/>
    <w:rsid w:val="00F37B32"/>
    <w:rsid w:val="00F37F09"/>
    <w:rsid w:val="00F40982"/>
    <w:rsid w:val="00F40987"/>
    <w:rsid w:val="00F41410"/>
    <w:rsid w:val="00F41605"/>
    <w:rsid w:val="00F41807"/>
    <w:rsid w:val="00F42017"/>
    <w:rsid w:val="00F42EB1"/>
    <w:rsid w:val="00F43745"/>
    <w:rsid w:val="00F43D7E"/>
    <w:rsid w:val="00F43FCF"/>
    <w:rsid w:val="00F4425A"/>
    <w:rsid w:val="00F446C9"/>
    <w:rsid w:val="00F448BB"/>
    <w:rsid w:val="00F44C75"/>
    <w:rsid w:val="00F44D1E"/>
    <w:rsid w:val="00F44E27"/>
    <w:rsid w:val="00F455EE"/>
    <w:rsid w:val="00F45B41"/>
    <w:rsid w:val="00F4670B"/>
    <w:rsid w:val="00F46821"/>
    <w:rsid w:val="00F46A71"/>
    <w:rsid w:val="00F46B13"/>
    <w:rsid w:val="00F47155"/>
    <w:rsid w:val="00F4730D"/>
    <w:rsid w:val="00F4739F"/>
    <w:rsid w:val="00F47446"/>
    <w:rsid w:val="00F4748C"/>
    <w:rsid w:val="00F476E3"/>
    <w:rsid w:val="00F50037"/>
    <w:rsid w:val="00F50F23"/>
    <w:rsid w:val="00F513C7"/>
    <w:rsid w:val="00F51910"/>
    <w:rsid w:val="00F53294"/>
    <w:rsid w:val="00F53766"/>
    <w:rsid w:val="00F538BF"/>
    <w:rsid w:val="00F55A73"/>
    <w:rsid w:val="00F57334"/>
    <w:rsid w:val="00F575CA"/>
    <w:rsid w:val="00F57CE1"/>
    <w:rsid w:val="00F6097F"/>
    <w:rsid w:val="00F609ED"/>
    <w:rsid w:val="00F60E9C"/>
    <w:rsid w:val="00F612EE"/>
    <w:rsid w:val="00F62791"/>
    <w:rsid w:val="00F62A11"/>
    <w:rsid w:val="00F62E92"/>
    <w:rsid w:val="00F6327B"/>
    <w:rsid w:val="00F63320"/>
    <w:rsid w:val="00F648B5"/>
    <w:rsid w:val="00F64DDB"/>
    <w:rsid w:val="00F6511D"/>
    <w:rsid w:val="00F65161"/>
    <w:rsid w:val="00F6526F"/>
    <w:rsid w:val="00F6598D"/>
    <w:rsid w:val="00F65CFF"/>
    <w:rsid w:val="00F67525"/>
    <w:rsid w:val="00F67AE1"/>
    <w:rsid w:val="00F70561"/>
    <w:rsid w:val="00F7092A"/>
    <w:rsid w:val="00F7149D"/>
    <w:rsid w:val="00F7153C"/>
    <w:rsid w:val="00F71FEA"/>
    <w:rsid w:val="00F74D81"/>
    <w:rsid w:val="00F7530D"/>
    <w:rsid w:val="00F75F2C"/>
    <w:rsid w:val="00F7665B"/>
    <w:rsid w:val="00F76A11"/>
    <w:rsid w:val="00F76C97"/>
    <w:rsid w:val="00F774F3"/>
    <w:rsid w:val="00F77B90"/>
    <w:rsid w:val="00F803F3"/>
    <w:rsid w:val="00F80A27"/>
    <w:rsid w:val="00F81F08"/>
    <w:rsid w:val="00F829ED"/>
    <w:rsid w:val="00F83500"/>
    <w:rsid w:val="00F8379B"/>
    <w:rsid w:val="00F83ACF"/>
    <w:rsid w:val="00F847B2"/>
    <w:rsid w:val="00F84F7A"/>
    <w:rsid w:val="00F86D4C"/>
    <w:rsid w:val="00F86F58"/>
    <w:rsid w:val="00F86FF8"/>
    <w:rsid w:val="00F8760E"/>
    <w:rsid w:val="00F8771A"/>
    <w:rsid w:val="00F87AF7"/>
    <w:rsid w:val="00F90362"/>
    <w:rsid w:val="00F90409"/>
    <w:rsid w:val="00F90804"/>
    <w:rsid w:val="00F909F6"/>
    <w:rsid w:val="00F9107F"/>
    <w:rsid w:val="00F91095"/>
    <w:rsid w:val="00F92555"/>
    <w:rsid w:val="00F928D8"/>
    <w:rsid w:val="00F92A5B"/>
    <w:rsid w:val="00F92E77"/>
    <w:rsid w:val="00F94694"/>
    <w:rsid w:val="00F950F9"/>
    <w:rsid w:val="00F95D72"/>
    <w:rsid w:val="00F95F0B"/>
    <w:rsid w:val="00F9618F"/>
    <w:rsid w:val="00FA026C"/>
    <w:rsid w:val="00FA14C2"/>
    <w:rsid w:val="00FA1560"/>
    <w:rsid w:val="00FA1954"/>
    <w:rsid w:val="00FA1AA6"/>
    <w:rsid w:val="00FA1D0E"/>
    <w:rsid w:val="00FA1EFE"/>
    <w:rsid w:val="00FA24B4"/>
    <w:rsid w:val="00FA2D82"/>
    <w:rsid w:val="00FA326B"/>
    <w:rsid w:val="00FA387F"/>
    <w:rsid w:val="00FA3B4F"/>
    <w:rsid w:val="00FA47ED"/>
    <w:rsid w:val="00FA5060"/>
    <w:rsid w:val="00FA50BB"/>
    <w:rsid w:val="00FA534E"/>
    <w:rsid w:val="00FA5976"/>
    <w:rsid w:val="00FA59C2"/>
    <w:rsid w:val="00FA64C1"/>
    <w:rsid w:val="00FA6734"/>
    <w:rsid w:val="00FA6CD5"/>
    <w:rsid w:val="00FA6EED"/>
    <w:rsid w:val="00FA7060"/>
    <w:rsid w:val="00FB1D70"/>
    <w:rsid w:val="00FB289A"/>
    <w:rsid w:val="00FB2C49"/>
    <w:rsid w:val="00FB2C83"/>
    <w:rsid w:val="00FB3570"/>
    <w:rsid w:val="00FB3636"/>
    <w:rsid w:val="00FB475E"/>
    <w:rsid w:val="00FB4B91"/>
    <w:rsid w:val="00FB5ECB"/>
    <w:rsid w:val="00FB6FAE"/>
    <w:rsid w:val="00FB70FC"/>
    <w:rsid w:val="00FB7CCE"/>
    <w:rsid w:val="00FC007E"/>
    <w:rsid w:val="00FC0093"/>
    <w:rsid w:val="00FC0B5B"/>
    <w:rsid w:val="00FC0B95"/>
    <w:rsid w:val="00FC0C49"/>
    <w:rsid w:val="00FC0FC6"/>
    <w:rsid w:val="00FC110C"/>
    <w:rsid w:val="00FC17DE"/>
    <w:rsid w:val="00FC1BFD"/>
    <w:rsid w:val="00FC2030"/>
    <w:rsid w:val="00FC2633"/>
    <w:rsid w:val="00FC2655"/>
    <w:rsid w:val="00FC35B5"/>
    <w:rsid w:val="00FC37E2"/>
    <w:rsid w:val="00FC38FA"/>
    <w:rsid w:val="00FC3969"/>
    <w:rsid w:val="00FC3B6D"/>
    <w:rsid w:val="00FC3BCD"/>
    <w:rsid w:val="00FC3DB3"/>
    <w:rsid w:val="00FC42C5"/>
    <w:rsid w:val="00FC4543"/>
    <w:rsid w:val="00FC49A8"/>
    <w:rsid w:val="00FC4BBA"/>
    <w:rsid w:val="00FC547B"/>
    <w:rsid w:val="00FC54EB"/>
    <w:rsid w:val="00FC5816"/>
    <w:rsid w:val="00FC5BF6"/>
    <w:rsid w:val="00FC625D"/>
    <w:rsid w:val="00FC6275"/>
    <w:rsid w:val="00FC7B14"/>
    <w:rsid w:val="00FD0697"/>
    <w:rsid w:val="00FD076F"/>
    <w:rsid w:val="00FD0F4B"/>
    <w:rsid w:val="00FD156E"/>
    <w:rsid w:val="00FD2149"/>
    <w:rsid w:val="00FD253B"/>
    <w:rsid w:val="00FD2B75"/>
    <w:rsid w:val="00FD3437"/>
    <w:rsid w:val="00FD387C"/>
    <w:rsid w:val="00FD3983"/>
    <w:rsid w:val="00FD4622"/>
    <w:rsid w:val="00FD4A0E"/>
    <w:rsid w:val="00FD4ECD"/>
    <w:rsid w:val="00FD5736"/>
    <w:rsid w:val="00FD5AC6"/>
    <w:rsid w:val="00FD5EF8"/>
    <w:rsid w:val="00FD612A"/>
    <w:rsid w:val="00FD63E9"/>
    <w:rsid w:val="00FD6F63"/>
    <w:rsid w:val="00FD72C5"/>
    <w:rsid w:val="00FD7FE7"/>
    <w:rsid w:val="00FD7FF2"/>
    <w:rsid w:val="00FE029F"/>
    <w:rsid w:val="00FE0307"/>
    <w:rsid w:val="00FE04E1"/>
    <w:rsid w:val="00FE0BB2"/>
    <w:rsid w:val="00FE0E61"/>
    <w:rsid w:val="00FE117E"/>
    <w:rsid w:val="00FE13E9"/>
    <w:rsid w:val="00FE1FC6"/>
    <w:rsid w:val="00FE2B81"/>
    <w:rsid w:val="00FE2BC2"/>
    <w:rsid w:val="00FE2E48"/>
    <w:rsid w:val="00FE3052"/>
    <w:rsid w:val="00FE3571"/>
    <w:rsid w:val="00FE39CF"/>
    <w:rsid w:val="00FE530B"/>
    <w:rsid w:val="00FE5649"/>
    <w:rsid w:val="00FE5859"/>
    <w:rsid w:val="00FE5C90"/>
    <w:rsid w:val="00FE67D5"/>
    <w:rsid w:val="00FF02EB"/>
    <w:rsid w:val="00FF14EF"/>
    <w:rsid w:val="00FF2641"/>
    <w:rsid w:val="00FF2806"/>
    <w:rsid w:val="00FF3424"/>
    <w:rsid w:val="00FF3656"/>
    <w:rsid w:val="00FF38CE"/>
    <w:rsid w:val="00FF4D8B"/>
    <w:rsid w:val="00FF4DAA"/>
    <w:rsid w:val="00FF524A"/>
    <w:rsid w:val="00FF58F6"/>
    <w:rsid w:val="00FF644D"/>
    <w:rsid w:val="00FF6476"/>
    <w:rsid w:val="00FF6AE5"/>
    <w:rsid w:val="00FF6EBC"/>
    <w:rsid w:val="00FF6F68"/>
    <w:rsid w:val="00FF7732"/>
    <w:rsid w:val="00FF789B"/>
    <w:rsid w:val="00FF7C71"/>
    <w:rsid w:val="00FF7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08FDF"/>
  <w15:chartTrackingRefBased/>
  <w15:docId w15:val="{F2C7CC00-8A0F-4123-ABFF-2C4246A7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408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link w:val="Hyperlinks2"/>
    <w:uiPriority w:val="1"/>
    <w:rsid w:val="00D14C6B"/>
    <w:rPr>
      <w:color w:val="0563C1"/>
      <w:u w:val="single"/>
    </w:rPr>
  </w:style>
  <w:style w:type="paragraph" w:styleId="BodyTextIndent">
    <w:name w:val="Body Text Indent"/>
    <w:basedOn w:val="Normal"/>
    <w:link w:val="BodyTextIndentChar"/>
    <w:rsid w:val="00AA1810"/>
    <w:pPr>
      <w:tabs>
        <w:tab w:val="left" w:pos="720"/>
      </w:tabs>
      <w:spacing w:after="80"/>
      <w:ind w:left="720" w:hanging="720"/>
    </w:pPr>
    <w:rPr>
      <w:rFonts w:eastAsia="Times New Roman"/>
      <w:b/>
      <w:szCs w:val="20"/>
    </w:rPr>
  </w:style>
  <w:style w:type="character" w:customStyle="1" w:styleId="BodyTextIndentChar">
    <w:name w:val="Body Text Indent Char"/>
    <w:link w:val="BodyTextIndent"/>
    <w:rsid w:val="00AA1810"/>
    <w:rPr>
      <w:rFonts w:eastAsia="Times New Roman"/>
      <w:b/>
      <w:szCs w:val="20"/>
    </w:rPr>
  </w:style>
  <w:style w:type="paragraph" w:styleId="BodyTextIndent2">
    <w:name w:val="Body Text Indent 2"/>
    <w:basedOn w:val="Normal"/>
    <w:link w:val="BodyTextIndent2Char"/>
    <w:rsid w:val="00AA1810"/>
    <w:pPr>
      <w:ind w:left="720"/>
      <w:jc w:val="both"/>
    </w:pPr>
    <w:rPr>
      <w:rFonts w:eastAsia="Times New Roman"/>
      <w:b/>
      <w:szCs w:val="20"/>
    </w:rPr>
  </w:style>
  <w:style w:type="character" w:customStyle="1" w:styleId="BodyTextIndent2Char">
    <w:name w:val="Body Text Indent 2 Char"/>
    <w:link w:val="BodyTextIndent2"/>
    <w:rsid w:val="00AA1810"/>
    <w:rPr>
      <w:rFonts w:eastAsia="Times New Roman"/>
      <w:b/>
      <w:szCs w:val="20"/>
    </w:rPr>
  </w:style>
  <w:style w:type="paragraph" w:customStyle="1" w:styleId="300">
    <w:name w:val="300"/>
    <w:basedOn w:val="Normal"/>
    <w:rsid w:val="00AA1810"/>
    <w:pPr>
      <w:overflowPunct w:val="0"/>
      <w:autoSpaceDE w:val="0"/>
      <w:autoSpaceDN w:val="0"/>
      <w:adjustRightInd w:val="0"/>
      <w:textAlignment w:val="baseline"/>
    </w:pPr>
    <w:rPr>
      <w:rFonts w:eastAsia="Times New Roman"/>
      <w:sz w:val="20"/>
      <w:szCs w:val="20"/>
    </w:rPr>
  </w:style>
  <w:style w:type="character" w:styleId="CommentReference">
    <w:name w:val="annotation reference"/>
    <w:semiHidden/>
    <w:rsid w:val="00AA1810"/>
    <w:rPr>
      <w:sz w:val="16"/>
      <w:szCs w:val="16"/>
    </w:rPr>
  </w:style>
  <w:style w:type="paragraph" w:styleId="CommentText">
    <w:name w:val="annotation text"/>
    <w:basedOn w:val="Normal"/>
    <w:link w:val="CommentTextChar"/>
    <w:semiHidden/>
    <w:rsid w:val="00AA1810"/>
    <w:rPr>
      <w:rFonts w:eastAsia="Times New Roman"/>
      <w:sz w:val="20"/>
      <w:szCs w:val="20"/>
    </w:rPr>
  </w:style>
  <w:style w:type="character" w:customStyle="1" w:styleId="CommentTextChar">
    <w:name w:val="Comment Text Char"/>
    <w:link w:val="CommentText"/>
    <w:semiHidden/>
    <w:rsid w:val="00AA1810"/>
    <w:rPr>
      <w:rFonts w:eastAsia="Times New Roman"/>
      <w:sz w:val="20"/>
      <w:szCs w:val="20"/>
    </w:rPr>
  </w:style>
  <w:style w:type="paragraph" w:customStyle="1" w:styleId="DefaultText">
    <w:name w:val="Default Text"/>
    <w:basedOn w:val="Normal"/>
    <w:rsid w:val="00AA1810"/>
    <w:pPr>
      <w:overflowPunct w:val="0"/>
      <w:autoSpaceDE w:val="0"/>
      <w:autoSpaceDN w:val="0"/>
      <w:adjustRightInd w:val="0"/>
      <w:textAlignment w:val="baseline"/>
    </w:pPr>
    <w:rPr>
      <w:rFonts w:eastAsia="Times New Roman"/>
      <w:szCs w:val="20"/>
    </w:rPr>
  </w:style>
  <w:style w:type="character" w:customStyle="1" w:styleId="InitialStyle">
    <w:name w:val="InitialStyle"/>
    <w:rsid w:val="00AA1810"/>
    <w:rPr>
      <w:rFonts w:ascii="Courier New" w:hAnsi="Courier New"/>
      <w:color w:val="auto"/>
      <w:spacing w:val="0"/>
      <w:sz w:val="24"/>
    </w:rPr>
  </w:style>
  <w:style w:type="character" w:styleId="Hyperlink">
    <w:name w:val="Hyperlink"/>
    <w:rsid w:val="00AA1810"/>
    <w:rPr>
      <w:color w:val="0000FF"/>
      <w:u w:val="single"/>
    </w:rPr>
  </w:style>
  <w:style w:type="paragraph" w:styleId="Footer">
    <w:name w:val="footer"/>
    <w:basedOn w:val="Normal"/>
    <w:link w:val="FooterChar"/>
    <w:uiPriority w:val="99"/>
    <w:rsid w:val="00AA1810"/>
    <w:pPr>
      <w:tabs>
        <w:tab w:val="center" w:pos="4680"/>
        <w:tab w:val="right" w:pos="9360"/>
      </w:tabs>
    </w:pPr>
    <w:rPr>
      <w:rFonts w:eastAsia="Times New Roman"/>
      <w:sz w:val="20"/>
      <w:szCs w:val="20"/>
    </w:rPr>
  </w:style>
  <w:style w:type="character" w:customStyle="1" w:styleId="FooterChar">
    <w:name w:val="Footer Char"/>
    <w:link w:val="Footer"/>
    <w:uiPriority w:val="99"/>
    <w:rsid w:val="00AA1810"/>
    <w:rPr>
      <w:rFonts w:eastAsia="Times New Roman"/>
      <w:sz w:val="20"/>
      <w:szCs w:val="20"/>
    </w:rPr>
  </w:style>
  <w:style w:type="paragraph" w:styleId="ListParagraph">
    <w:name w:val="List Paragraph"/>
    <w:basedOn w:val="Normal"/>
    <w:uiPriority w:val="34"/>
    <w:qFormat/>
    <w:rsid w:val="00AA1810"/>
    <w:pPr>
      <w:autoSpaceDE w:val="0"/>
      <w:autoSpaceDN w:val="0"/>
      <w:ind w:left="720"/>
      <w:contextualSpacing/>
    </w:pPr>
  </w:style>
  <w:style w:type="paragraph" w:styleId="NormalWeb">
    <w:name w:val="Normal (Web)"/>
    <w:basedOn w:val="Normal"/>
    <w:uiPriority w:val="99"/>
    <w:unhideWhenUsed/>
    <w:rsid w:val="00AA1810"/>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A1810"/>
    <w:rPr>
      <w:rFonts w:ascii="Segoe UI" w:hAnsi="Segoe UI" w:cs="Segoe UI"/>
      <w:sz w:val="18"/>
      <w:szCs w:val="18"/>
    </w:rPr>
  </w:style>
  <w:style w:type="character" w:customStyle="1" w:styleId="BalloonTextChar">
    <w:name w:val="Balloon Text Char"/>
    <w:link w:val="BalloonText"/>
    <w:uiPriority w:val="99"/>
    <w:semiHidden/>
    <w:rsid w:val="00AA1810"/>
    <w:rPr>
      <w:rFonts w:ascii="Segoe UI" w:hAnsi="Segoe UI" w:cs="Segoe UI"/>
      <w:sz w:val="18"/>
      <w:szCs w:val="18"/>
    </w:rPr>
  </w:style>
  <w:style w:type="character" w:styleId="UnresolvedMention">
    <w:name w:val="Unresolved Mention"/>
    <w:uiPriority w:val="99"/>
    <w:semiHidden/>
    <w:unhideWhenUsed/>
    <w:rsid w:val="004205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056B"/>
    <w:rPr>
      <w:rFonts w:eastAsia="Calibri"/>
      <w:b/>
      <w:bCs/>
    </w:rPr>
  </w:style>
  <w:style w:type="character" w:customStyle="1" w:styleId="CommentSubjectChar">
    <w:name w:val="Comment Subject Char"/>
    <w:link w:val="CommentSubject"/>
    <w:uiPriority w:val="99"/>
    <w:semiHidden/>
    <w:rsid w:val="0042056B"/>
    <w:rPr>
      <w:rFonts w:eastAsia="Times New Roman"/>
      <w:b/>
      <w:bCs/>
      <w:sz w:val="20"/>
      <w:szCs w:val="20"/>
    </w:rPr>
  </w:style>
  <w:style w:type="paragraph" w:styleId="NoSpacing">
    <w:name w:val="No Spacing"/>
    <w:uiPriority w:val="1"/>
    <w:qFormat/>
    <w:rsid w:val="00C64B84"/>
    <w:rPr>
      <w:rFonts w:ascii="Calibri" w:hAnsi="Calibri"/>
      <w:sz w:val="22"/>
      <w:szCs w:val="22"/>
    </w:rPr>
  </w:style>
  <w:style w:type="character" w:styleId="FollowedHyperlink">
    <w:name w:val="FollowedHyperlink"/>
    <w:uiPriority w:val="99"/>
    <w:semiHidden/>
    <w:unhideWhenUsed/>
    <w:rsid w:val="00F3573D"/>
    <w:rPr>
      <w:color w:val="954F72"/>
      <w:u w:val="single"/>
    </w:rPr>
  </w:style>
  <w:style w:type="table" w:styleId="TableGrid">
    <w:name w:val="Table Grid"/>
    <w:basedOn w:val="TableNormal"/>
    <w:uiPriority w:val="39"/>
    <w:rsid w:val="006C3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584F"/>
    <w:rPr>
      <w:sz w:val="24"/>
      <w:szCs w:val="24"/>
    </w:rPr>
  </w:style>
  <w:style w:type="paragraph" w:customStyle="1" w:styleId="296">
    <w:name w:val="296"/>
    <w:basedOn w:val="Normal"/>
    <w:rsid w:val="00932A59"/>
    <w:pPr>
      <w:overflowPunct w:val="0"/>
      <w:autoSpaceDE w:val="0"/>
      <w:autoSpaceDN w:val="0"/>
      <w:adjustRightInd w:val="0"/>
    </w:pPr>
    <w:rPr>
      <w:rFonts w:eastAsia="Times New Roman"/>
    </w:rPr>
  </w:style>
  <w:style w:type="table" w:styleId="GridTableLight">
    <w:name w:val="Grid Table Light"/>
    <w:basedOn w:val="TableNormal"/>
    <w:uiPriority w:val="40"/>
    <w:rsid w:val="00694D86"/>
    <w:rPr>
      <w:rFonts w:ascii="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743D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408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5408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5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085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239AF"/>
    <w:pPr>
      <w:tabs>
        <w:tab w:val="center" w:pos="4680"/>
        <w:tab w:val="right" w:pos="9360"/>
      </w:tabs>
    </w:pPr>
  </w:style>
  <w:style w:type="character" w:customStyle="1" w:styleId="HeaderChar">
    <w:name w:val="Header Char"/>
    <w:basedOn w:val="DefaultParagraphFont"/>
    <w:link w:val="Header"/>
    <w:uiPriority w:val="99"/>
    <w:rsid w:val="00723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C81C3-CE48-4572-B740-660960FF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4789</Words>
  <Characters>27300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Moxey, Joseph  - APHIS</dc:creator>
  <cp:lastModifiedBy>Keegan, Regina - MRP-APHIS</cp:lastModifiedBy>
  <cp:revision>3</cp:revision>
  <dcterms:created xsi:type="dcterms:W3CDTF">2022-11-15T20:27:00Z</dcterms:created>
  <dcterms:modified xsi:type="dcterms:W3CDTF">2022-11-15T21:36:00Z</dcterms:modified>
</cp:coreProperties>
</file>