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96" w:rsidP="00C94896" w:rsidRDefault="00C94896">
      <w:pPr>
        <w:jc w:val="center"/>
        <w:rPr>
          <w:b/>
          <w:sz w:val="28"/>
          <w:szCs w:val="28"/>
        </w:rPr>
      </w:pPr>
      <w:bookmarkStart w:name="_GoBack" w:id="0"/>
      <w:bookmarkEnd w:id="0"/>
      <w:r>
        <w:rPr>
          <w:b/>
          <w:sz w:val="28"/>
          <w:szCs w:val="28"/>
        </w:rPr>
        <w:t xml:space="preserve">Attachment </w:t>
      </w:r>
      <w:r w:rsidR="00AF16E4">
        <w:rPr>
          <w:b/>
          <w:sz w:val="28"/>
          <w:szCs w:val="28"/>
        </w:rPr>
        <w:t>B14 –</w:t>
      </w:r>
      <w:r>
        <w:rPr>
          <w:b/>
          <w:sz w:val="28"/>
          <w:szCs w:val="28"/>
        </w:rPr>
        <w:t xml:space="preserve"> MDRBD</w:t>
      </w:r>
      <w:r w:rsidRPr="006B5068">
        <w:rPr>
          <w:b/>
          <w:sz w:val="28"/>
          <w:szCs w:val="28"/>
        </w:rPr>
        <w:t xml:space="preserve"> </w:t>
      </w:r>
      <w:r w:rsidRPr="00D02A3B">
        <w:rPr>
          <w:b/>
          <w:sz w:val="28"/>
          <w:szCs w:val="28"/>
        </w:rPr>
        <w:t xml:space="preserve">Program </w:t>
      </w:r>
      <w:r>
        <w:rPr>
          <w:b/>
          <w:sz w:val="28"/>
          <w:szCs w:val="28"/>
        </w:rPr>
        <w:t>Implementation</w:t>
      </w:r>
      <w:r w:rsidRPr="00D02A3B">
        <w:rPr>
          <w:b/>
          <w:sz w:val="28"/>
          <w:szCs w:val="28"/>
        </w:rPr>
        <w:t xml:space="preserve"> Survey</w:t>
      </w:r>
    </w:p>
    <w:p w:rsidR="00C94896" w:rsidP="00747FC5" w:rsidRDefault="00C9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Pilot Test Results </w:t>
      </w:r>
    </w:p>
    <w:p w:rsidR="00C94896" w:rsidP="00747FC5" w:rsidRDefault="00C94896">
      <w:pPr>
        <w:jc w:val="center"/>
        <w:rPr>
          <w:b/>
          <w:sz w:val="28"/>
          <w:szCs w:val="28"/>
        </w:rPr>
      </w:pPr>
    </w:p>
    <w:p w:rsidR="00747FC5" w:rsidP="00747FC5" w:rsidRDefault="00747FC5">
      <w:pPr>
        <w:jc w:val="center"/>
        <w:rPr>
          <w:b/>
          <w:sz w:val="28"/>
          <w:szCs w:val="28"/>
        </w:rPr>
      </w:pPr>
      <w:r w:rsidRPr="002E4E0F">
        <w:rPr>
          <w:b/>
          <w:sz w:val="28"/>
          <w:szCs w:val="28"/>
        </w:rPr>
        <w:t>Health Resources and Services Administration</w:t>
      </w:r>
      <w:r>
        <w:rPr>
          <w:b/>
          <w:sz w:val="28"/>
          <w:szCs w:val="28"/>
        </w:rPr>
        <w:t xml:space="preserve"> (HRSA)</w:t>
      </w:r>
      <w:r w:rsidRPr="006B5068">
        <w:rPr>
          <w:b/>
          <w:sz w:val="28"/>
          <w:szCs w:val="28"/>
        </w:rPr>
        <w:t xml:space="preserve"> Evaluation of the Maternal and Child Health Bureau </w:t>
      </w:r>
      <w:r>
        <w:rPr>
          <w:b/>
          <w:sz w:val="28"/>
          <w:szCs w:val="28"/>
        </w:rPr>
        <w:t xml:space="preserve">(MCHB) </w:t>
      </w:r>
      <w:r w:rsidRPr="006B5068">
        <w:rPr>
          <w:b/>
          <w:sz w:val="28"/>
          <w:szCs w:val="28"/>
        </w:rPr>
        <w:t>Pediatric Mental Health Care Access</w:t>
      </w:r>
      <w:r>
        <w:rPr>
          <w:b/>
          <w:sz w:val="28"/>
          <w:szCs w:val="28"/>
        </w:rPr>
        <w:t xml:space="preserve"> (PMHCA)</w:t>
      </w:r>
      <w:r w:rsidRPr="006B5068">
        <w:rPr>
          <w:b/>
          <w:sz w:val="28"/>
          <w:szCs w:val="28"/>
        </w:rPr>
        <w:t xml:space="preserve"> and Screening and Treatment for Maternal Depression and Related Behavioral Disorders</w:t>
      </w:r>
      <w:r w:rsidR="00C11D2B">
        <w:rPr>
          <w:b/>
          <w:sz w:val="28"/>
          <w:szCs w:val="28"/>
        </w:rPr>
        <w:t xml:space="preserve"> (MDRBD)</w:t>
      </w:r>
      <w:r>
        <w:rPr>
          <w:b/>
          <w:sz w:val="28"/>
          <w:szCs w:val="28"/>
        </w:rPr>
        <w:t xml:space="preserve"> </w:t>
      </w:r>
      <w:r w:rsidRPr="006B5068">
        <w:rPr>
          <w:b/>
          <w:sz w:val="28"/>
          <w:szCs w:val="28"/>
        </w:rPr>
        <w:t>Programs Project</w:t>
      </w:r>
    </w:p>
    <w:p w:rsidR="006B5068" w:rsidP="00712322" w:rsidRDefault="006B5068">
      <w:pPr>
        <w:jc w:val="center"/>
        <w:rPr>
          <w:b/>
          <w:sz w:val="28"/>
          <w:szCs w:val="28"/>
        </w:rPr>
      </w:pPr>
    </w:p>
    <w:p w:rsidRPr="00C94896" w:rsidR="00C94896" w:rsidP="00C94896" w:rsidRDefault="00C94896">
      <w:pPr>
        <w:jc w:val="center"/>
      </w:pPr>
      <w:r w:rsidRPr="00C94896">
        <w:t>Note: The instruments included in this OMB package have been revised and incorporate</w:t>
      </w:r>
    </w:p>
    <w:p w:rsidRPr="00C94896" w:rsidR="00712322" w:rsidP="00C94896" w:rsidRDefault="00C94896">
      <w:pPr>
        <w:jc w:val="center"/>
      </w:pPr>
      <w:r w:rsidRPr="00C94896">
        <w:t>the pilot test results. The question numbers correspond with the instruments pilot tested.</w:t>
      </w:r>
    </w:p>
    <w:p w:rsidRPr="00712322" w:rsidR="00712322" w:rsidP="00712322" w:rsidRDefault="00712322">
      <w:pPr>
        <w:jc w:val="cent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Pr="00DE11DE" w:rsidR="00D22291" w:rsidTr="00620F58">
        <w:trPr>
          <w:tblHeader/>
        </w:trPr>
        <w:tc>
          <w:tcPr>
            <w:tcW w:w="4428" w:type="dxa"/>
            <w:shd w:val="clear" w:color="auto" w:fill="D9D9D9"/>
          </w:tcPr>
          <w:p w:rsidRPr="00D22291" w:rsidR="00D22291" w:rsidP="00D22291" w:rsidRDefault="00D22291">
            <w:pPr>
              <w:jc w:val="center"/>
              <w:rPr>
                <w:bCs/>
                <w:sz w:val="22"/>
                <w:szCs w:val="22"/>
              </w:rPr>
            </w:pPr>
            <w:r w:rsidRPr="00DE11DE">
              <w:rPr>
                <w:b/>
                <w:sz w:val="22"/>
                <w:szCs w:val="22"/>
              </w:rPr>
              <w:t>Feedback</w:t>
            </w:r>
          </w:p>
        </w:tc>
        <w:tc>
          <w:tcPr>
            <w:tcW w:w="4428" w:type="dxa"/>
            <w:shd w:val="clear" w:color="auto" w:fill="D9D9D9"/>
          </w:tcPr>
          <w:p w:rsidRPr="00DE11DE" w:rsidR="00D22291" w:rsidP="00D22291" w:rsidRDefault="00D22291">
            <w:pPr>
              <w:jc w:val="center"/>
              <w:rPr>
                <w:b/>
                <w:sz w:val="22"/>
                <w:szCs w:val="22"/>
              </w:rPr>
            </w:pPr>
            <w:r w:rsidRPr="00DE11DE">
              <w:rPr>
                <w:b/>
                <w:sz w:val="22"/>
                <w:szCs w:val="22"/>
              </w:rPr>
              <w:t xml:space="preserve">Changes Made to Instrument 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D22291" w:rsidRDefault="00D22291">
            <w:pPr>
              <w:rPr>
                <w:bCs/>
                <w:sz w:val="22"/>
                <w:szCs w:val="22"/>
              </w:rPr>
            </w:pPr>
            <w:r w:rsidRPr="00DE11DE">
              <w:rPr>
                <w:bCs/>
                <w:sz w:val="22"/>
                <w:szCs w:val="22"/>
              </w:rPr>
              <w:t>Time to complete:</w:t>
            </w:r>
          </w:p>
          <w:p w:rsidRPr="00DE11DE" w:rsidR="00D22291" w:rsidP="00D22291" w:rsidRDefault="00D22291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DE11DE">
              <w:rPr>
                <w:bCs/>
                <w:sz w:val="22"/>
                <w:szCs w:val="22"/>
              </w:rPr>
              <w:t>17 min</w:t>
            </w:r>
          </w:p>
          <w:p w:rsidR="00D22291" w:rsidP="00D22291" w:rsidRDefault="00D22291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DE11DE">
              <w:rPr>
                <w:bCs/>
                <w:sz w:val="22"/>
                <w:szCs w:val="22"/>
              </w:rPr>
              <w:t>17 min</w:t>
            </w:r>
          </w:p>
          <w:p w:rsidRPr="0012266D" w:rsidR="00D22291" w:rsidP="00D22291" w:rsidRDefault="00D22291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 min</w:t>
            </w:r>
          </w:p>
        </w:tc>
        <w:tc>
          <w:tcPr>
            <w:tcW w:w="4428" w:type="dxa"/>
            <w:shd w:val="clear" w:color="auto" w:fill="auto"/>
          </w:tcPr>
          <w:p w:rsidRPr="00D22291" w:rsidR="00D22291" w:rsidP="00D22291" w:rsidRDefault="00632349">
            <w:pPr>
              <w:rPr>
                <w:bCs/>
                <w:sz w:val="22"/>
                <w:szCs w:val="22"/>
              </w:rPr>
            </w:pPr>
            <w:r w:rsidRPr="00817CF4">
              <w:rPr>
                <w:bCs/>
                <w:sz w:val="22"/>
                <w:szCs w:val="22"/>
              </w:rPr>
              <w:t xml:space="preserve">Projected time to complete the survey has been changed to </w:t>
            </w:r>
            <w:r>
              <w:rPr>
                <w:bCs/>
                <w:sz w:val="22"/>
                <w:szCs w:val="22"/>
              </w:rPr>
              <w:t>20</w:t>
            </w:r>
            <w:r w:rsidRPr="00817CF4">
              <w:rPr>
                <w:bCs/>
                <w:sz w:val="22"/>
                <w:szCs w:val="22"/>
              </w:rPr>
              <w:t xml:space="preserve"> minutes.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General Comment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All questions seemed clear.</w:t>
            </w:r>
          </w:p>
        </w:tc>
        <w:tc>
          <w:tcPr>
            <w:tcW w:w="4428" w:type="dxa"/>
            <w:shd w:val="clear" w:color="auto" w:fill="auto"/>
          </w:tcPr>
          <w:p w:rsidRPr="00D22291" w:rsidR="00D22291" w:rsidP="00D22291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N/A—no changes required.</w:t>
            </w:r>
          </w:p>
        </w:tc>
      </w:tr>
      <w:tr w:rsidRPr="00D22291" w:rsidR="005870A8" w:rsidTr="00C10B9A">
        <w:tc>
          <w:tcPr>
            <w:tcW w:w="4428" w:type="dxa"/>
            <w:shd w:val="clear" w:color="auto" w:fill="auto"/>
          </w:tcPr>
          <w:p w:rsidRPr="00DE11DE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General Comment: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For the most part, the questions were straight forward. I found the ones that involved subtle distinctions between health care providers, professionals and practices a bit confusing but it could be because my current job does not deal with such distinctions.</w:t>
            </w:r>
          </w:p>
        </w:tc>
        <w:tc>
          <w:tcPr>
            <w:tcW w:w="4428" w:type="dxa"/>
            <w:shd w:val="clear" w:color="auto" w:fill="auto"/>
          </w:tcPr>
          <w:p w:rsidRPr="00D22291" w:rsidR="005870A8" w:rsidP="00C10B9A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N/A—no changes required.</w:t>
            </w:r>
          </w:p>
        </w:tc>
      </w:tr>
      <w:tr w:rsidRPr="00D22291" w:rsidR="005870A8" w:rsidTr="00C10B9A">
        <w:tc>
          <w:tcPr>
            <w:tcW w:w="4428" w:type="dxa"/>
            <w:shd w:val="clear" w:color="auto" w:fill="auto"/>
          </w:tcPr>
          <w:p w:rsidRPr="00DE11DE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General Comment: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Overall questions were clear and easy to understand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22291" w:rsidR="005870A8" w:rsidP="00C10B9A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N/A—no changes required.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Format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Format made it easy to complete in a short amount of time.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N/A—no changes required.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5870A8" w:rsidR="005870A8" w:rsidP="005870A8" w:rsidRDefault="005870A8">
            <w:pPr>
              <w:rPr>
                <w:b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Format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DE11DE">
              <w:rPr>
                <w:bCs/>
                <w:sz w:val="22"/>
                <w:szCs w:val="22"/>
              </w:rPr>
              <w:t>Fairly straightforward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N/A—no changes required.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12266D" w:rsidR="005870A8" w:rsidP="005870A8" w:rsidRDefault="005870A8">
            <w:pPr>
              <w:rPr>
                <w:b/>
                <w:sz w:val="22"/>
                <w:szCs w:val="22"/>
              </w:rPr>
            </w:pPr>
            <w:r w:rsidRPr="0012266D">
              <w:rPr>
                <w:b/>
                <w:sz w:val="22"/>
                <w:szCs w:val="22"/>
              </w:rPr>
              <w:t xml:space="preserve">Format: </w:t>
            </w:r>
            <w:r w:rsidRPr="0012266D">
              <w:rPr>
                <w:bCs/>
                <w:sz w:val="22"/>
                <w:szCs w:val="22"/>
              </w:rPr>
              <w:t>The format flows well, is easy to read and language use aligns with field of focus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N/A—no changes required.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12266D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12266D">
              <w:rPr>
                <w:b/>
                <w:sz w:val="22"/>
                <w:szCs w:val="22"/>
              </w:rPr>
              <w:t>Question 1</w:t>
            </w:r>
            <w:r w:rsidRPr="0012266D" w:rsidR="005870A8">
              <w:rPr>
                <w:b/>
                <w:sz w:val="22"/>
                <w:szCs w:val="22"/>
              </w:rPr>
              <w:t>:</w:t>
            </w:r>
            <w:r w:rsidRPr="0012266D" w:rsidR="005870A8">
              <w:rPr>
                <w:bCs/>
                <w:sz w:val="22"/>
                <w:szCs w:val="22"/>
              </w:rPr>
              <w:t xml:space="preserve"> </w:t>
            </w:r>
            <w:r w:rsidRPr="0012266D">
              <w:rPr>
                <w:bCs/>
                <w:sz w:val="22"/>
                <w:szCs w:val="22"/>
              </w:rPr>
              <w:t>May want to upfront differentiate employment position and project role in order to obtain information sought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267A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Added</w:t>
            </w:r>
            <w:r w:rsidR="0012266D">
              <w:rPr>
                <w:bCs/>
                <w:sz w:val="22"/>
                <w:szCs w:val="22"/>
              </w:rPr>
              <w:t xml:space="preserve"> clarifying language to differentiate between employment position and project role and answer choices have been added as response options</w:t>
            </w:r>
            <w:r w:rsidR="007516F3">
              <w:rPr>
                <w:bCs/>
                <w:sz w:val="22"/>
                <w:szCs w:val="22"/>
              </w:rPr>
              <w:t xml:space="preserve"> to Question 3</w:t>
            </w:r>
            <w:r w:rsidR="0012266D">
              <w:rPr>
                <w:bCs/>
                <w:sz w:val="22"/>
                <w:szCs w:val="22"/>
              </w:rPr>
              <w:t>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A03559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3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A03559">
              <w:rPr>
                <w:bCs/>
                <w:sz w:val="22"/>
                <w:szCs w:val="22"/>
              </w:rPr>
              <w:t>Wonder how much detail you expect and whether forced choices might be more efficient.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076F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Answer choices have been added as response options.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A03559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3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03559">
              <w:rPr>
                <w:bCs/>
                <w:sz w:val="22"/>
                <w:szCs w:val="22"/>
              </w:rPr>
              <w:t>Maybe ask this question first or incorporate distinction as noted in comment for Q1 above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1226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Question order has not been changed; however, clarifying language has been added to differentiate between employment position and project role and answer choices have been added as response options.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A03559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4</w:t>
            </w:r>
            <w:r w:rsidRPr="005870A8" w:rsidR="005870A8">
              <w:rPr>
                <w:b/>
                <w:sz w:val="22"/>
                <w:szCs w:val="22"/>
              </w:rPr>
              <w:t xml:space="preserve">: </w:t>
            </w:r>
            <w:r w:rsidRPr="00A03559">
              <w:rPr>
                <w:bCs/>
                <w:sz w:val="22"/>
                <w:szCs w:val="22"/>
              </w:rPr>
              <w:t xml:space="preserve">I found it difficult to figure out what to put in the FTE column if there were </w:t>
            </w:r>
            <w:r w:rsidRPr="00A03559">
              <w:rPr>
                <w:bCs/>
                <w:sz w:val="22"/>
                <w:szCs w:val="22"/>
              </w:rPr>
              <w:lastRenderedPageBreak/>
              <w:t xml:space="preserve">multiple staff I have to account for. Did you only want the 100%/FTEs? If </w:t>
            </w:r>
            <w:r w:rsidRPr="00A03559" w:rsidR="00267ACC">
              <w:rPr>
                <w:bCs/>
                <w:sz w:val="22"/>
                <w:szCs w:val="22"/>
              </w:rPr>
              <w:t>so,</w:t>
            </w:r>
            <w:r w:rsidRPr="00A03559">
              <w:rPr>
                <w:bCs/>
                <w:sz w:val="22"/>
                <w:szCs w:val="22"/>
              </w:rPr>
              <w:t xml:space="preserve"> not sure if it gets you what you want.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0530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An example has been added to the question for clarification.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5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="00632349">
              <w:rPr>
                <w:bCs/>
                <w:sz w:val="22"/>
                <w:szCs w:val="22"/>
              </w:rPr>
              <w:t>F</w:t>
            </w:r>
            <w:r w:rsidRPr="00D07CFC">
              <w:rPr>
                <w:bCs/>
                <w:sz w:val="22"/>
                <w:szCs w:val="22"/>
              </w:rPr>
              <w:t>or responses would keep language same including health care in response 2 or removing from response 3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6323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6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Suggest bolding practices to bring attention to the distinction from the other option (i</w:t>
            </w:r>
            <w:r w:rsidR="00632349">
              <w:rPr>
                <w:bCs/>
                <w:sz w:val="22"/>
                <w:szCs w:val="22"/>
              </w:rPr>
              <w:t>.e.,</w:t>
            </w:r>
            <w:r w:rsidRPr="00D07CFC">
              <w:rPr>
                <w:bCs/>
                <w:sz w:val="22"/>
                <w:szCs w:val="22"/>
              </w:rPr>
              <w:t xml:space="preserve"> providers)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6323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7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Suggest bolding practices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FB67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8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Suggest bolding individual health care providers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6323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5870A8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9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 xml:space="preserve">Found myself wondering if the question about health professionals was different from health providers and </w:t>
            </w:r>
            <w:r w:rsidRPr="000530A3">
              <w:rPr>
                <w:bCs/>
                <w:sz w:val="22"/>
                <w:szCs w:val="22"/>
              </w:rPr>
              <w:t>health practices.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BE75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question refer</w:t>
            </w:r>
            <w:r w:rsidR="00267ACC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 to health care providers as well as other professionals (e.g., social worker), so the change has not been made.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DE11DE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9: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530A3">
              <w:rPr>
                <w:bCs/>
                <w:sz w:val="22"/>
                <w:szCs w:val="22"/>
              </w:rPr>
              <w:t>Assuming there will be a place to include "how many" on the actual survey once you check that a category is applicable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402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10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Am I supposed to know what KIND of training to count- all training or only training on certain topics? Also was I only supposed to count training to health care providers vs. health practices or health professionals?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9A6E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large component of these programs is offering training to health care providers, so Project Directors will be familiar with this language.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DE11DE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10: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 xml:space="preserve">Is training healthcare providers the only focus for training under this effort? Does this include counselors, social workers </w:t>
            </w:r>
            <w:r w:rsidRPr="00D07CFC" w:rsidR="00267ACC">
              <w:rPr>
                <w:bCs/>
                <w:sz w:val="22"/>
                <w:szCs w:val="22"/>
              </w:rPr>
              <w:t>etc.</w:t>
            </w:r>
            <w:r w:rsidRPr="00D07CFC">
              <w:rPr>
                <w:bCs/>
                <w:sz w:val="22"/>
                <w:szCs w:val="22"/>
              </w:rPr>
              <w:t xml:space="preserve"> - identified above as hire categories affiliated with </w:t>
            </w:r>
            <w:r w:rsidRPr="00D07CFC" w:rsidR="00267ACC">
              <w:rPr>
                <w:bCs/>
                <w:sz w:val="22"/>
                <w:szCs w:val="22"/>
              </w:rPr>
              <w:t>effort</w:t>
            </w:r>
            <w:r w:rsidR="00267ACC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614D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made, since training is available to health care providers and other professionals.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11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Same as 10 above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F51F5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Provide acceptance has been added as an answer choice.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DE11DE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I see options in #12 that seem applicable to #11 (provider acceptance for example)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Provide acceptance has been added as an answer choice.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12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Same as 10 above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F51F5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 been changed to “lack of provider acceptance”.</w:t>
            </w:r>
          </w:p>
        </w:tc>
      </w:tr>
      <w:tr w:rsidRPr="00DE11DE" w:rsidR="005870A8" w:rsidTr="00C10B9A">
        <w:tc>
          <w:tcPr>
            <w:tcW w:w="4428" w:type="dxa"/>
            <w:shd w:val="clear" w:color="auto" w:fill="auto"/>
          </w:tcPr>
          <w:p w:rsidRPr="00DE11DE" w:rsidR="005870A8" w:rsidP="005870A8" w:rsidRDefault="005870A8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12: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Is i</w:t>
            </w:r>
            <w:r w:rsidR="00267ACC">
              <w:rPr>
                <w:bCs/>
                <w:sz w:val="22"/>
                <w:szCs w:val="22"/>
              </w:rPr>
              <w:t>t</w:t>
            </w:r>
            <w:r w:rsidRPr="00D07CFC">
              <w:rPr>
                <w:bCs/>
                <w:sz w:val="22"/>
                <w:szCs w:val="22"/>
              </w:rPr>
              <w:t xml:space="preserve"> provider acceptance or provider resistance?</w:t>
            </w:r>
          </w:p>
        </w:tc>
        <w:tc>
          <w:tcPr>
            <w:tcW w:w="4428" w:type="dxa"/>
            <w:shd w:val="clear" w:color="auto" w:fill="auto"/>
          </w:tcPr>
          <w:p w:rsidRPr="00DE11DE" w:rsidR="005870A8" w:rsidP="00C10B9A" w:rsidRDefault="005870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 been changed to “lack of provider acceptance”.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13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Maybe bold clinical behavioral health consultation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336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14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Maybe bold clinical behavioral health consultation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336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15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Maybe bold care coordination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336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16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Maybe bold care coordination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336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17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 xml:space="preserve">Not sure if applicable but </w:t>
            </w:r>
            <w:r w:rsidR="00C336B4">
              <w:rPr>
                <w:bCs/>
                <w:sz w:val="22"/>
                <w:szCs w:val="22"/>
              </w:rPr>
              <w:t xml:space="preserve">I </w:t>
            </w:r>
            <w:r w:rsidRPr="00D07CFC">
              <w:rPr>
                <w:bCs/>
                <w:sz w:val="22"/>
                <w:szCs w:val="22"/>
              </w:rPr>
              <w:t>thought of Recovery coaching - supports as other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E12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has been left for the “other-specify” category.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19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 xml:space="preserve">Not my area of expertise but do </w:t>
            </w:r>
            <w:r w:rsidRPr="00D07CFC">
              <w:rPr>
                <w:bCs/>
                <w:sz w:val="22"/>
                <w:szCs w:val="22"/>
              </w:rPr>
              <w:lastRenderedPageBreak/>
              <w:t xml:space="preserve">you have to offer neutral -- seems its either hard or not so much - maybe this offers folks who </w:t>
            </w:r>
            <w:r w:rsidRPr="00D07CFC" w:rsidR="00267ACC">
              <w:rPr>
                <w:bCs/>
                <w:sz w:val="22"/>
                <w:szCs w:val="22"/>
              </w:rPr>
              <w:t>don’t</w:t>
            </w:r>
            <w:r w:rsidRPr="00D07CFC">
              <w:rPr>
                <w:bCs/>
                <w:sz w:val="22"/>
                <w:szCs w:val="22"/>
              </w:rPr>
              <w:t xml:space="preserve"> want to commit an option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E12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Use of a 5-point Likert scale was a </w:t>
            </w:r>
            <w:r>
              <w:rPr>
                <w:bCs/>
                <w:sz w:val="22"/>
                <w:szCs w:val="22"/>
              </w:rPr>
              <w:lastRenderedPageBreak/>
              <w:t>methodological decision based on discussions with HRSA.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lastRenderedPageBreak/>
              <w:t>Question 20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Again, not sure if this is applicable but I entered State, funder agencies/orgs in the other category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7711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has been left for the “other-specify” category.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A03559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21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A03559">
              <w:rPr>
                <w:bCs/>
                <w:sz w:val="22"/>
                <w:szCs w:val="22"/>
              </w:rPr>
              <w:t>Should text messaging be an option?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7711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has been left for the “other-specify” category.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A03559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22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A03559">
              <w:rPr>
                <w:bCs/>
                <w:sz w:val="22"/>
                <w:szCs w:val="22"/>
              </w:rPr>
              <w:t>I wonder if everyone knows the answer to this question - might need a don</w:t>
            </w:r>
            <w:r w:rsidRPr="00A03559" w:rsidR="00771153">
              <w:rPr>
                <w:bCs/>
                <w:sz w:val="22"/>
                <w:szCs w:val="22"/>
              </w:rPr>
              <w:t>’</w:t>
            </w:r>
            <w:r w:rsidRPr="00A03559">
              <w:rPr>
                <w:bCs/>
                <w:sz w:val="22"/>
                <w:szCs w:val="22"/>
              </w:rPr>
              <w:t>t know here -- in my prior life as a primary funder I often found agencies that received funding for a service thought it did not exist when it did and vice versa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A035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answer choice “Don’t know” has been added as a response option.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D315A7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23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E11DE">
              <w:rPr>
                <w:bCs/>
                <w:sz w:val="22"/>
                <w:szCs w:val="22"/>
              </w:rPr>
              <w:t>I was confused if you meant concurrent to the HRSA money (how distinguished from question 22 above unless it is in timing of other funding)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E91B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has been changed to include “since receiving HRSA cooperative agreement funding.”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Pr="00DE11DE"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24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A03559">
              <w:rPr>
                <w:bCs/>
                <w:sz w:val="22"/>
                <w:szCs w:val="22"/>
              </w:rPr>
              <w:t xml:space="preserve">I wonder if this is received or rely on for your MDRBD program -- </w:t>
            </w:r>
            <w:r w:rsidRPr="00A03559" w:rsidR="00267ACC">
              <w:rPr>
                <w:bCs/>
                <w:sz w:val="22"/>
                <w:szCs w:val="22"/>
              </w:rPr>
              <w:t>i.e.</w:t>
            </w:r>
            <w:r w:rsidR="00267ACC">
              <w:rPr>
                <w:bCs/>
                <w:sz w:val="22"/>
                <w:szCs w:val="22"/>
              </w:rPr>
              <w:t>,</w:t>
            </w:r>
            <w:r w:rsidRPr="00A03559">
              <w:rPr>
                <w:bCs/>
                <w:sz w:val="22"/>
                <w:szCs w:val="22"/>
              </w:rPr>
              <w:t xml:space="preserve"> Medicaid may be relied upon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A035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 change made. Adding “rely on” changes the intended information to be collected.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25</w:t>
            </w:r>
            <w:r w:rsidRPr="005870A8" w:rsidR="005870A8">
              <w:rPr>
                <w:b/>
                <w:sz w:val="22"/>
                <w:szCs w:val="22"/>
              </w:rPr>
              <w:t xml:space="preserve">: </w:t>
            </w:r>
            <w:r w:rsidRPr="00D07CFC">
              <w:rPr>
                <w:bCs/>
                <w:sz w:val="22"/>
                <w:szCs w:val="22"/>
              </w:rPr>
              <w:t>Should the word sustainability be incorporated into this question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814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change has been made.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26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In other I included unrestricted funding, contributions as some agencies rely on this to support such efforts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814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has been left for the “other-specify” category.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27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N</w:t>
            </w:r>
            <w:r w:rsidRPr="00D07CFC">
              <w:rPr>
                <w:bCs/>
                <w:sz w:val="22"/>
                <w:szCs w:val="22"/>
              </w:rPr>
              <w:t>oted that this is the first place that the Advisory Committee appears - wondering if this is applicable to any other areas within the survey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4C2B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 have reviewed the survey and Advisory Committee is not applicable anywhere else in the survey.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28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I included Workforce, recruitment and patient engagement in the other category</w:t>
            </w:r>
            <w:r w:rsidR="00267A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C814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Provider recruitment has been added as an option.</w:t>
            </w:r>
          </w:p>
        </w:tc>
      </w:tr>
      <w:tr w:rsidRPr="00DE11DE" w:rsidR="00D22291" w:rsidTr="00DE11DE">
        <w:tc>
          <w:tcPr>
            <w:tcW w:w="4428" w:type="dxa"/>
            <w:shd w:val="clear" w:color="auto" w:fill="auto"/>
          </w:tcPr>
          <w:p w:rsidR="00D22291" w:rsidP="005870A8" w:rsidRDefault="00D22291">
            <w:pPr>
              <w:rPr>
                <w:bCs/>
                <w:sz w:val="22"/>
                <w:szCs w:val="22"/>
              </w:rPr>
            </w:pPr>
            <w:r w:rsidRPr="005870A8">
              <w:rPr>
                <w:b/>
                <w:sz w:val="22"/>
                <w:szCs w:val="22"/>
              </w:rPr>
              <w:t>Question 30</w:t>
            </w:r>
            <w:r w:rsidRPr="005870A8" w:rsidR="005870A8">
              <w:rPr>
                <w:b/>
                <w:sz w:val="22"/>
                <w:szCs w:val="22"/>
              </w:rPr>
              <w:t>:</w:t>
            </w:r>
            <w:r w:rsidR="005870A8">
              <w:rPr>
                <w:bCs/>
                <w:sz w:val="22"/>
                <w:szCs w:val="22"/>
              </w:rPr>
              <w:t xml:space="preserve"> </w:t>
            </w:r>
            <w:r w:rsidRPr="00D07CFC">
              <w:rPr>
                <w:bCs/>
                <w:sz w:val="22"/>
                <w:szCs w:val="22"/>
              </w:rPr>
              <w:t>Depending on how much someone writes here this could extend time by just a few minutes 5 or so minutes.</w:t>
            </w:r>
          </w:p>
        </w:tc>
        <w:tc>
          <w:tcPr>
            <w:tcW w:w="4428" w:type="dxa"/>
            <w:shd w:val="clear" w:color="auto" w:fill="auto"/>
          </w:tcPr>
          <w:p w:rsidRPr="00DE11DE" w:rsidR="00D22291" w:rsidP="00D22291" w:rsidRDefault="004C2B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Agree, we have added a couple of minutes to the average time to account for this.</w:t>
            </w:r>
          </w:p>
        </w:tc>
      </w:tr>
    </w:tbl>
    <w:p w:rsidRPr="00E37F9A" w:rsidR="00E37F9A" w:rsidP="00C94896" w:rsidRDefault="00E37F9A">
      <w:pPr>
        <w:jc w:val="center"/>
        <w:rPr>
          <w:i/>
        </w:rPr>
      </w:pPr>
    </w:p>
    <w:sectPr w:rsidRPr="00E37F9A" w:rsidR="00E37F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E5" w:rsidRDefault="006518E5">
      <w:r>
        <w:separator/>
      </w:r>
    </w:p>
  </w:endnote>
  <w:endnote w:type="continuationSeparator" w:id="0">
    <w:p w:rsidR="006518E5" w:rsidRDefault="0065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7D" w:rsidRDefault="00F95E7D" w:rsidP="008B7E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E7D" w:rsidRDefault="00F95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7D" w:rsidRDefault="00F95E7D" w:rsidP="008B7E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2D4">
      <w:rPr>
        <w:rStyle w:val="PageNumber"/>
        <w:noProof/>
      </w:rPr>
      <w:t>2</w:t>
    </w:r>
    <w:r>
      <w:rPr>
        <w:rStyle w:val="PageNumber"/>
      </w:rPr>
      <w:fldChar w:fldCharType="end"/>
    </w:r>
  </w:p>
  <w:p w:rsidR="00F95E7D" w:rsidRDefault="00F9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E5" w:rsidRDefault="006518E5">
      <w:r>
        <w:separator/>
      </w:r>
    </w:p>
  </w:footnote>
  <w:footnote w:type="continuationSeparator" w:id="0">
    <w:p w:rsidR="006518E5" w:rsidRDefault="0065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335"/>
    <w:multiLevelType w:val="hybridMultilevel"/>
    <w:tmpl w:val="1184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FCD"/>
    <w:multiLevelType w:val="hybridMultilevel"/>
    <w:tmpl w:val="0ABE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27EA"/>
    <w:multiLevelType w:val="hybridMultilevel"/>
    <w:tmpl w:val="E47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3760"/>
    <w:multiLevelType w:val="hybridMultilevel"/>
    <w:tmpl w:val="C57E0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E563B"/>
    <w:multiLevelType w:val="hybridMultilevel"/>
    <w:tmpl w:val="34FC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2B37"/>
    <w:multiLevelType w:val="hybridMultilevel"/>
    <w:tmpl w:val="4B32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3175F"/>
    <w:multiLevelType w:val="hybridMultilevel"/>
    <w:tmpl w:val="98F2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5FF7"/>
    <w:multiLevelType w:val="hybridMultilevel"/>
    <w:tmpl w:val="9FFA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95D"/>
    <w:rsid w:val="000472D4"/>
    <w:rsid w:val="000530A3"/>
    <w:rsid w:val="00076F1C"/>
    <w:rsid w:val="000910CC"/>
    <w:rsid w:val="0012266D"/>
    <w:rsid w:val="00131B04"/>
    <w:rsid w:val="001359AC"/>
    <w:rsid w:val="001D37E9"/>
    <w:rsid w:val="002034FA"/>
    <w:rsid w:val="00267ACC"/>
    <w:rsid w:val="002E4E0F"/>
    <w:rsid w:val="002F53B8"/>
    <w:rsid w:val="0033271E"/>
    <w:rsid w:val="00392293"/>
    <w:rsid w:val="00402ED5"/>
    <w:rsid w:val="004276F5"/>
    <w:rsid w:val="00432DC2"/>
    <w:rsid w:val="004540F0"/>
    <w:rsid w:val="004C2BF0"/>
    <w:rsid w:val="004D61AE"/>
    <w:rsid w:val="004E19C6"/>
    <w:rsid w:val="005510A4"/>
    <w:rsid w:val="005870A8"/>
    <w:rsid w:val="005C08ED"/>
    <w:rsid w:val="005F64F7"/>
    <w:rsid w:val="00603F92"/>
    <w:rsid w:val="00614D44"/>
    <w:rsid w:val="00620F58"/>
    <w:rsid w:val="00632349"/>
    <w:rsid w:val="006518E5"/>
    <w:rsid w:val="00672755"/>
    <w:rsid w:val="006B5068"/>
    <w:rsid w:val="00712322"/>
    <w:rsid w:val="00723731"/>
    <w:rsid w:val="00747FC5"/>
    <w:rsid w:val="007516F3"/>
    <w:rsid w:val="00771153"/>
    <w:rsid w:val="00780D0F"/>
    <w:rsid w:val="007D794E"/>
    <w:rsid w:val="007E486E"/>
    <w:rsid w:val="00801D2C"/>
    <w:rsid w:val="008B60D0"/>
    <w:rsid w:val="008B7E84"/>
    <w:rsid w:val="00926A82"/>
    <w:rsid w:val="0094423E"/>
    <w:rsid w:val="00971FDF"/>
    <w:rsid w:val="00980B32"/>
    <w:rsid w:val="009A4F53"/>
    <w:rsid w:val="009A6E9B"/>
    <w:rsid w:val="00A03559"/>
    <w:rsid w:val="00AD0F83"/>
    <w:rsid w:val="00AF16E4"/>
    <w:rsid w:val="00B41AB3"/>
    <w:rsid w:val="00BA1676"/>
    <w:rsid w:val="00BE3EFB"/>
    <w:rsid w:val="00BE7549"/>
    <w:rsid w:val="00BF302C"/>
    <w:rsid w:val="00C0695F"/>
    <w:rsid w:val="00C10B9A"/>
    <w:rsid w:val="00C11D2B"/>
    <w:rsid w:val="00C336B4"/>
    <w:rsid w:val="00C37A0A"/>
    <w:rsid w:val="00C5425B"/>
    <w:rsid w:val="00C7405A"/>
    <w:rsid w:val="00C8140F"/>
    <w:rsid w:val="00C94896"/>
    <w:rsid w:val="00CA17E9"/>
    <w:rsid w:val="00CA257D"/>
    <w:rsid w:val="00CA695D"/>
    <w:rsid w:val="00D014EC"/>
    <w:rsid w:val="00D02A3B"/>
    <w:rsid w:val="00D07CFC"/>
    <w:rsid w:val="00D22291"/>
    <w:rsid w:val="00D315A7"/>
    <w:rsid w:val="00D55FB3"/>
    <w:rsid w:val="00D83DC2"/>
    <w:rsid w:val="00DA3A7F"/>
    <w:rsid w:val="00DD05B3"/>
    <w:rsid w:val="00DE11DE"/>
    <w:rsid w:val="00E12AAB"/>
    <w:rsid w:val="00E13AB3"/>
    <w:rsid w:val="00E37F9A"/>
    <w:rsid w:val="00E625AE"/>
    <w:rsid w:val="00E71FCC"/>
    <w:rsid w:val="00E91B19"/>
    <w:rsid w:val="00ED47B0"/>
    <w:rsid w:val="00F07AF2"/>
    <w:rsid w:val="00F144E2"/>
    <w:rsid w:val="00F51F5F"/>
    <w:rsid w:val="00F95E7D"/>
    <w:rsid w:val="00FB3D0D"/>
    <w:rsid w:val="00FB6764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431A33-EF57-4642-A19E-C25A65E9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2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4276F5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71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12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2322"/>
  </w:style>
  <w:style w:type="paragraph" w:styleId="BalloonText">
    <w:name w:val="Balloon Text"/>
    <w:basedOn w:val="Normal"/>
    <w:link w:val="BalloonTextChar"/>
    <w:uiPriority w:val="99"/>
    <w:semiHidden/>
    <w:unhideWhenUsed/>
    <w:rsid w:val="002E4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E0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E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E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E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F522-7781-4196-A5DC-5731F223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Physician Outreach, NIDA</vt:lpstr>
    </vt:vector>
  </TitlesOfParts>
  <Company> 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Physician Outreach, NIDA</dc:title>
  <dc:subject/>
  <dc:creator>Carl and Susan Hayashi</dc:creator>
  <cp:keywords/>
  <dc:description/>
  <cp:lastModifiedBy>Elyana N.  Bowman</cp:lastModifiedBy>
  <cp:revision>2</cp:revision>
  <cp:lastPrinted>2006-02-22T20:21:00Z</cp:lastPrinted>
  <dcterms:created xsi:type="dcterms:W3CDTF">2020-02-06T20:26:00Z</dcterms:created>
  <dcterms:modified xsi:type="dcterms:W3CDTF">2020-02-06T20:26:00Z</dcterms:modified>
</cp:coreProperties>
</file>