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4448" w:rsidP="00503C75" w:rsidRDefault="00351917" w14:paraId="3B167FE7" w14:textId="5774FCD9">
      <w:pPr>
        <w:jc w:val="center"/>
        <w:rPr>
          <w:rStyle w:val="Strong"/>
        </w:rPr>
      </w:pPr>
      <w:r>
        <w:rPr>
          <w:rStyle w:val="Strong"/>
        </w:rPr>
        <w:t>UNITED STATES FOOD &amp; DRUG ADMINISTRATION</w:t>
      </w:r>
    </w:p>
    <w:p w:rsidR="00FB4448" w:rsidP="00503C75" w:rsidRDefault="00FB4448" w14:paraId="693586AD" w14:textId="77777777">
      <w:pPr>
        <w:jc w:val="center"/>
        <w:rPr>
          <w:rStyle w:val="Strong"/>
        </w:rPr>
      </w:pPr>
    </w:p>
    <w:p w:rsidRPr="00351917" w:rsidR="00481DE0" w:rsidP="00503C75" w:rsidRDefault="00856252" w14:paraId="457C78CF" w14:textId="77777777">
      <w:pPr>
        <w:jc w:val="center"/>
        <w:rPr>
          <w:rStyle w:val="Strong"/>
          <w:b w:val="0"/>
          <w:bCs w:val="0"/>
          <w:caps/>
        </w:rPr>
      </w:pPr>
      <w:r w:rsidRPr="00351917">
        <w:rPr>
          <w:rStyle w:val="Strong"/>
          <w:b w:val="0"/>
          <w:bCs w:val="0"/>
          <w:caps/>
        </w:rPr>
        <w:t>Medical Device Registration and Listing</w:t>
      </w:r>
    </w:p>
    <w:p w:rsidR="00FB4448" w:rsidP="00503C75" w:rsidRDefault="00FB4448" w14:paraId="53336E7F" w14:textId="77777777">
      <w:pPr>
        <w:jc w:val="center"/>
        <w:rPr>
          <w:b/>
        </w:rPr>
      </w:pPr>
    </w:p>
    <w:p w:rsidRPr="00351917" w:rsidR="00FB4448" w:rsidP="00503C75" w:rsidRDefault="00FB4448" w14:paraId="7722DB0B" w14:textId="77777777">
      <w:pPr>
        <w:jc w:val="center"/>
        <w:rPr>
          <w:bCs/>
          <w:u w:val="single"/>
        </w:rPr>
      </w:pPr>
      <w:r w:rsidRPr="00351917">
        <w:rPr>
          <w:bCs/>
          <w:u w:val="single"/>
        </w:rPr>
        <w:t xml:space="preserve">OMB Control Number </w:t>
      </w:r>
      <w:r w:rsidRPr="00351917" w:rsidR="00EB7538">
        <w:rPr>
          <w:bCs/>
          <w:u w:val="single"/>
        </w:rPr>
        <w:t>0910-</w:t>
      </w:r>
      <w:r w:rsidRPr="00351917" w:rsidR="00481DE0">
        <w:rPr>
          <w:bCs/>
          <w:u w:val="single"/>
        </w:rPr>
        <w:t>0625</w:t>
      </w:r>
      <w:r w:rsidRPr="00351917" w:rsidDel="00B30E52" w:rsidR="00B30E52">
        <w:rPr>
          <w:bCs/>
          <w:u w:val="single"/>
        </w:rPr>
        <w:t xml:space="preserve"> </w:t>
      </w:r>
      <w:r w:rsidRPr="00351917" w:rsidR="00A35D42">
        <w:rPr>
          <w:bCs/>
          <w:u w:val="single"/>
        </w:rPr>
        <w:br/>
      </w:r>
    </w:p>
    <w:p w:rsidR="00EB7538" w:rsidP="00503C75" w:rsidRDefault="00EB7538" w14:paraId="0F3A3E31" w14:textId="4A566859">
      <w:pPr>
        <w:jc w:val="center"/>
        <w:rPr>
          <w:bCs/>
        </w:rPr>
      </w:pPr>
      <w:r w:rsidRPr="00B23769">
        <w:rPr>
          <w:b/>
        </w:rPr>
        <w:t>SUPPORTING STATEMENT</w:t>
      </w:r>
    </w:p>
    <w:p w:rsidRPr="00503C75" w:rsidR="00503C75" w:rsidP="00503C75" w:rsidRDefault="00503C75" w14:paraId="6FEE0308" w14:textId="77777777">
      <w:pPr>
        <w:jc w:val="center"/>
        <w:rPr>
          <w:bCs/>
        </w:rPr>
      </w:pPr>
    </w:p>
    <w:p w:rsidR="00EB7538" w:rsidP="00503C75" w:rsidRDefault="00351917" w14:paraId="4870A7C1" w14:textId="18F74EE8">
      <w:pPr>
        <w:pStyle w:val="NormalWeb"/>
        <w:spacing w:before="0" w:beforeAutospacing="0" w:after="0" w:afterAutospacing="0"/>
      </w:pPr>
      <w:r>
        <w:rPr>
          <w:b/>
          <w:bCs/>
        </w:rPr>
        <w:t xml:space="preserve">Part </w:t>
      </w:r>
      <w:r w:rsidR="00EB7538">
        <w:rPr>
          <w:b/>
          <w:bCs/>
        </w:rPr>
        <w:t>A. Justification</w:t>
      </w:r>
    </w:p>
    <w:p w:rsidRPr="00503C75" w:rsidR="00503C75" w:rsidP="00503C75" w:rsidRDefault="00503C75" w14:paraId="629ADDA4" w14:textId="77777777">
      <w:pPr>
        <w:pStyle w:val="NormalWeb"/>
        <w:spacing w:before="0" w:beforeAutospacing="0" w:after="0" w:afterAutospacing="0"/>
      </w:pPr>
    </w:p>
    <w:p w:rsidR="008B30AB" w:rsidP="00503C75" w:rsidRDefault="00216A46" w14:paraId="24E07BAB" w14:textId="77777777">
      <w:pPr>
        <w:rPr>
          <w:u w:val="single"/>
        </w:rPr>
      </w:pPr>
      <w:r>
        <w:rPr>
          <w:u w:val="single"/>
        </w:rPr>
        <w:t xml:space="preserve">1. </w:t>
      </w:r>
      <w:r w:rsidRPr="002746DB" w:rsidR="00EB7538">
        <w:rPr>
          <w:u w:val="single"/>
        </w:rPr>
        <w:t>Circumstances Making the Collection of Information Necessary</w:t>
      </w:r>
    </w:p>
    <w:p w:rsidR="00503C75" w:rsidP="00503C75" w:rsidRDefault="00503C75" w14:paraId="2B560504" w14:textId="77777777"/>
    <w:p w:rsidR="00256839" w:rsidP="00503C75" w:rsidRDefault="00FB4448" w14:paraId="16A8319C" w14:textId="04DBA085">
      <w:r>
        <w:t xml:space="preserve">This information collection </w:t>
      </w:r>
      <w:r w:rsidR="00351917">
        <w:t xml:space="preserve">implements </w:t>
      </w:r>
      <w:r>
        <w:t xml:space="preserve">Food and Drug Administration (FDA, us or we) </w:t>
      </w:r>
      <w:r w:rsidR="00351917">
        <w:t xml:space="preserve">statutes and </w:t>
      </w:r>
      <w:r>
        <w:t>regulations</w:t>
      </w:r>
      <w:r w:rsidR="00351917">
        <w:t xml:space="preserve"> governing medical device registration and listing</w:t>
      </w:r>
      <w:r>
        <w:t>.</w:t>
      </w:r>
      <w:r w:rsidR="00351917">
        <w:t xml:space="preserve">  Section 510 of the Federal Food, Drug, and Cosmetic Act governs registration of producers of devices, with implementing regulations at 21 CFR </w:t>
      </w:r>
      <w:r w:rsidR="00544F19">
        <w:t>part 807</w:t>
      </w:r>
      <w:r w:rsidR="009C7D1A">
        <w:t>.  D</w:t>
      </w:r>
      <w:r w:rsidRPr="007C55AA" w:rsidR="00544F19">
        <w:t xml:space="preserve">omestic and foreign device establishments </w:t>
      </w:r>
      <w:r w:rsidR="009C7D1A">
        <w:t xml:space="preserve">are required to </w:t>
      </w:r>
      <w:r w:rsidRPr="007C55AA" w:rsidR="00544F19">
        <w:t>submit</w:t>
      </w:r>
      <w:r w:rsidR="00544F19">
        <w:t xml:space="preserve"> </w:t>
      </w:r>
      <w:r w:rsidRPr="007C55AA" w:rsidR="00544F19">
        <w:t xml:space="preserve">registration and device listing information to FDA by electronic means </w:t>
      </w:r>
      <w:r w:rsidR="00544F19">
        <w:t xml:space="preserve">rather than on </w:t>
      </w:r>
      <w:r w:rsidRPr="007C55AA" w:rsidR="00544F19">
        <w:t xml:space="preserve">paper forms, and </w:t>
      </w:r>
      <w:r w:rsidR="009C7D1A">
        <w:t xml:space="preserve">in accordance with </w:t>
      </w:r>
      <w:r w:rsidR="00351917">
        <w:t>established submission schedules</w:t>
      </w:r>
      <w:r w:rsidR="009C7D1A">
        <w:t>.</w:t>
      </w:r>
      <w:r w:rsidR="00CD0839">
        <w:t xml:space="preserve">  Regulations in </w:t>
      </w:r>
      <w:r w:rsidR="006D57DF">
        <w:t>21 CFR part 807</w:t>
      </w:r>
      <w:r w:rsidR="00593C04">
        <w:t>, subparts A through D,</w:t>
      </w:r>
      <w:r w:rsidR="006D57DF">
        <w:t xml:space="preserve"> </w:t>
      </w:r>
      <w:r w:rsidR="00040A83">
        <w:t>identify who must register</w:t>
      </w:r>
      <w:r w:rsidR="00C31A45">
        <w:t xml:space="preserve">.  The regulations also </w:t>
      </w:r>
      <w:r w:rsidR="00040A83">
        <w:t xml:space="preserve">set forth format and content requirements </w:t>
      </w:r>
      <w:r w:rsidR="00C31A45">
        <w:t>and provide for a timed submission schedule, included the submission of updated information.</w:t>
      </w:r>
      <w:r w:rsidR="00920B26">
        <w:t xml:space="preserve">  </w:t>
      </w:r>
      <w:r w:rsidR="00155881">
        <w:t xml:space="preserve">To assist respondents with the information collection we </w:t>
      </w:r>
      <w:r w:rsidR="002A7644">
        <w:t xml:space="preserve">maintain a website at </w:t>
      </w:r>
      <w:hyperlink w:history="1" r:id="rId7">
        <w:r w:rsidRPr="00313F8F" w:rsidR="00313F8F">
          <w:rPr>
            <w:rStyle w:val="Hyperlink"/>
          </w:rPr>
          <w:t>https://www.fda.gov/medical-devices/how-study-and-market-your-device/device-registration-and-listing</w:t>
        </w:r>
      </w:hyperlink>
      <w:r w:rsidR="00155881">
        <w:t xml:space="preserve">, including a </w:t>
      </w:r>
      <w:r w:rsidR="00B2755A">
        <w:t>comment field.  We utilize Form FDA 3673</w:t>
      </w:r>
      <w:r w:rsidR="00E761A3">
        <w:t>, now electronically formatted</w:t>
      </w:r>
      <w:r w:rsidR="001B688E">
        <w:t xml:space="preserve"> for web submission</w:t>
      </w:r>
      <w:r w:rsidR="00E761A3">
        <w:t>, to provide a uniform format for submission of required information.</w:t>
      </w:r>
    </w:p>
    <w:p w:rsidR="00C42ED4" w:rsidP="00503C75" w:rsidRDefault="00C42ED4" w14:paraId="0E7E28B8" w14:textId="77777777"/>
    <w:p w:rsidR="00544F19" w:rsidP="00503C75" w:rsidRDefault="00221472" w14:paraId="1EF6556D" w14:textId="2FA824E3">
      <w:pPr>
        <w:rPr>
          <w:b/>
        </w:rPr>
      </w:pPr>
      <w:r>
        <w:t>We</w:t>
      </w:r>
      <w:r w:rsidR="00FB4448">
        <w:t xml:space="preserve"> therefore</w:t>
      </w:r>
      <w:r>
        <w:t xml:space="preserve"> request extension of OMB approval </w:t>
      </w:r>
      <w:r w:rsidR="00C42ED4">
        <w:t>for information collection found in</w:t>
      </w:r>
      <w:r w:rsidR="00FB4448">
        <w:t xml:space="preserve"> </w:t>
      </w:r>
      <w:r w:rsidR="00E12AFC">
        <w:t xml:space="preserve">21 </w:t>
      </w:r>
      <w:r w:rsidR="00FB4448">
        <w:t>CFR</w:t>
      </w:r>
      <w:r w:rsidR="00E12AFC">
        <w:t xml:space="preserve"> part 807, subparts A through D</w:t>
      </w:r>
      <w:r w:rsidR="00D36B60">
        <w:t xml:space="preserve">, and </w:t>
      </w:r>
      <w:r w:rsidR="00E761A3">
        <w:t>electronic Form FDA 3673</w:t>
      </w:r>
      <w:r w:rsidR="00D36B60">
        <w:t xml:space="preserve">, </w:t>
      </w:r>
      <w:r w:rsidR="00FB4448">
        <w:t xml:space="preserve">as discussed in </w:t>
      </w:r>
      <w:r>
        <w:t xml:space="preserve">this </w:t>
      </w:r>
      <w:r w:rsidR="00FB4448">
        <w:t>supporting statement</w:t>
      </w:r>
      <w:r>
        <w:t>.</w:t>
      </w:r>
    </w:p>
    <w:p w:rsidR="00503C75" w:rsidP="00503C75" w:rsidRDefault="00503C75" w14:paraId="2FF1B24F" w14:textId="77777777">
      <w:pPr>
        <w:keepNext/>
        <w:rPr>
          <w:u w:val="single"/>
        </w:rPr>
      </w:pPr>
    </w:p>
    <w:p w:rsidRPr="00266566" w:rsidR="00544F19" w:rsidP="00503C75" w:rsidRDefault="00216A46" w14:paraId="6C312F0D" w14:textId="1E0B3B61">
      <w:pPr>
        <w:keepNext/>
        <w:rPr>
          <w:u w:val="single"/>
        </w:rPr>
      </w:pPr>
      <w:r>
        <w:rPr>
          <w:u w:val="single"/>
        </w:rPr>
        <w:t xml:space="preserve">2. </w:t>
      </w:r>
      <w:r w:rsidRPr="002746DB" w:rsidR="00EB7538">
        <w:rPr>
          <w:u w:val="single"/>
        </w:rPr>
        <w:t xml:space="preserve">Purpose and Use of the Information Collection </w:t>
      </w:r>
    </w:p>
    <w:p w:rsidR="00503C75" w:rsidP="00503C75" w:rsidRDefault="00503C75" w14:paraId="7F17E0EF" w14:textId="77777777"/>
    <w:p w:rsidRPr="00417C86" w:rsidR="00544F19" w:rsidP="00503C75" w:rsidRDefault="00202737" w14:paraId="35E6FD02" w14:textId="665251C5">
      <w:r>
        <w:t xml:space="preserve">We use the information collection </w:t>
      </w:r>
      <w:r w:rsidR="00544F19">
        <w:t>to identify: (1) Firms subject to FDA's regulations, (2)</w:t>
      </w:r>
      <w:r w:rsidR="00264053">
        <w:t> </w:t>
      </w:r>
      <w:r w:rsidR="00544F19">
        <w:t>geographic distribution in order to effectively allocate FDA's field resources for inspections, and (3) the class of the device that determines the frequency of inspection.</w:t>
      </w:r>
      <w:r w:rsidR="00264053">
        <w:t xml:space="preserve">  </w:t>
      </w:r>
      <w:r w:rsidR="00544F19">
        <w:t xml:space="preserve">As a result, when complications occur with a particular device, all manufacturers of similar or related devices can be more readily identified.  </w:t>
      </w:r>
      <w:r w:rsidR="004D28E3">
        <w:t xml:space="preserve">The information collection is also intended to mitigate </w:t>
      </w:r>
      <w:r w:rsidRPr="00417C86" w:rsidR="00544F19">
        <w:t>bioterrorism threats and other public health emergencies.</w:t>
      </w:r>
    </w:p>
    <w:p w:rsidR="00503C75" w:rsidP="00503C75" w:rsidRDefault="00503C75" w14:paraId="397828B9" w14:textId="77777777"/>
    <w:p w:rsidR="00503C75" w:rsidP="00503C75" w:rsidRDefault="00544F19" w14:paraId="42622892" w14:textId="31553457">
      <w:r>
        <w:t>The respondents to this information collection are private sector (both for profit and not for profit) o</w:t>
      </w:r>
      <w:r w:rsidRPr="007C55AA">
        <w:t>wners or operators of establishments that engage in the manufacturing</w:t>
      </w:r>
      <w:r>
        <w:t>, preparation, propagation, compounding,</w:t>
      </w:r>
      <w:r w:rsidRPr="007C55AA">
        <w:t xml:space="preserve"> or processing of a device or devices </w:t>
      </w:r>
      <w:r>
        <w:t xml:space="preserve">who </w:t>
      </w:r>
      <w:r w:rsidRPr="007C55AA">
        <w:t>must register their establishments and submit listing information for each</w:t>
      </w:r>
      <w:r w:rsidR="00F570A2">
        <w:t xml:space="preserve"> of their devices in commercial </w:t>
      </w:r>
      <w:r w:rsidRPr="007C55AA">
        <w:t xml:space="preserve">distribution.  Notwithstanding certain exceptions, foreign device establishments that </w:t>
      </w:r>
      <w:r>
        <w:t>manufacture, prepare, propagate, compound, or process a device that is imported or offered for import</w:t>
      </w:r>
      <w:r w:rsidRPr="007C55AA">
        <w:t xml:space="preserve"> </w:t>
      </w:r>
      <w:r>
        <w:t>in</w:t>
      </w:r>
      <w:r w:rsidRPr="007C55AA">
        <w:t>to the United States must also comply with the registration and listing requiremen</w:t>
      </w:r>
      <w:r w:rsidR="00BE1116">
        <w:t>ts.</w:t>
      </w:r>
    </w:p>
    <w:p w:rsidRPr="00D36B60" w:rsidR="008D2111" w:rsidP="00503C75" w:rsidRDefault="008D2111" w14:paraId="2CC5CBB8" w14:textId="77777777"/>
    <w:p w:rsidRPr="004C6979" w:rsidR="002746DB" w:rsidP="00503C75" w:rsidRDefault="00216A46" w14:paraId="01AFF3F9" w14:textId="582D1D35">
      <w:pPr>
        <w:rPr>
          <w:u w:val="single"/>
        </w:rPr>
      </w:pPr>
      <w:r>
        <w:rPr>
          <w:u w:val="single"/>
        </w:rPr>
        <w:t xml:space="preserve">3. </w:t>
      </w:r>
      <w:r w:rsidRPr="004C6979" w:rsidR="00EB7538">
        <w:rPr>
          <w:u w:val="single"/>
        </w:rPr>
        <w:t xml:space="preserve">Use of Improved Information Technology and Burden Reduction </w:t>
      </w:r>
    </w:p>
    <w:p w:rsidR="00503C75" w:rsidP="00503C75" w:rsidRDefault="00503C75" w14:paraId="0F268AB6" w14:textId="77777777"/>
    <w:p w:rsidR="00266566" w:rsidP="00503C75" w:rsidRDefault="00266566" w14:paraId="47B69AEC" w14:textId="4ABB5130">
      <w:r>
        <w:t xml:space="preserve">The information collection is administered electronically using the FDA Unified Registration and Listing System (FURLS) </w:t>
      </w:r>
      <w:r w:rsidRPr="00417C86">
        <w:t>to facilitate the electronic submittal of registration and listing information and to provide faster access to this information for both industry and FDA.</w:t>
      </w:r>
      <w:r>
        <w:t xml:space="preserve">  </w:t>
      </w:r>
      <w:r w:rsidRPr="00417C86">
        <w:t xml:space="preserve">This </w:t>
      </w:r>
      <w:r>
        <w:t xml:space="preserve">technology allows FDA to more effectively </w:t>
      </w:r>
      <w:r w:rsidRPr="00417C86">
        <w:t xml:space="preserve">gather establishment registration information to help identify </w:t>
      </w:r>
      <w:r>
        <w:t>firms and the locations involved with the</w:t>
      </w:r>
      <w:r w:rsidRPr="00417C86">
        <w:t xml:space="preserve"> </w:t>
      </w:r>
      <w:r>
        <w:t>m</w:t>
      </w:r>
      <w:r w:rsidRPr="000C5D2E">
        <w:t xml:space="preserve">anufacture, preparation, propagation, compounding, assembly, or processing of </w:t>
      </w:r>
      <w:r w:rsidRPr="00417C86">
        <w:t>medical devices.</w:t>
      </w:r>
      <w:r w:rsidR="009B6084">
        <w:t xml:space="preserve">  We estimate 99% of respondents submit information electronically, </w:t>
      </w:r>
      <w:r w:rsidR="00827171">
        <w:t>reserving 1% for those requesting waiver from the electronic requirements.</w:t>
      </w:r>
    </w:p>
    <w:p w:rsidR="00485D52" w:rsidP="00503C75" w:rsidRDefault="00485D52" w14:paraId="627D91A8" w14:textId="0649D13F"/>
    <w:p w:rsidR="00485D52" w:rsidP="00503C75" w:rsidRDefault="00485D52" w14:paraId="6388A967" w14:textId="6913AD1A">
      <w:r>
        <w:t>Our Center for Devices and Radiological Health (</w:t>
      </w:r>
      <w:r>
        <w:t>CDRH</w:t>
      </w:r>
      <w:r>
        <w:t>)</w:t>
      </w:r>
      <w:r>
        <w:t xml:space="preserve"> has developed s</w:t>
      </w:r>
      <w:r w:rsidRPr="00750DDF">
        <w:t xml:space="preserve">tep-by-step instructions </w:t>
      </w:r>
      <w:r>
        <w:t xml:space="preserve">explaining how firms submit registration and listing information electronically in FURLS to comply with the registration and listing requirements initially and annually.  These step-by-step instructions can </w:t>
      </w:r>
      <w:r w:rsidRPr="00750DDF">
        <w:t xml:space="preserve">be found on our </w:t>
      </w:r>
      <w:hyperlink w:history="1" r:id="rId8">
        <w:r w:rsidRPr="009D069C">
          <w:rPr>
            <w:rStyle w:val="Hyperlink"/>
          </w:rPr>
          <w:t>we</w:t>
        </w:r>
        <w:r w:rsidRPr="009D069C">
          <w:rPr>
            <w:rStyle w:val="Hyperlink"/>
          </w:rPr>
          <w:t>b</w:t>
        </w:r>
        <w:r w:rsidRPr="009D069C">
          <w:rPr>
            <w:rStyle w:val="Hyperlink"/>
          </w:rPr>
          <w:t>s</w:t>
        </w:r>
        <w:r w:rsidRPr="009D069C">
          <w:rPr>
            <w:rStyle w:val="Hyperlink"/>
          </w:rPr>
          <w:t>i</w:t>
        </w:r>
        <w:r w:rsidRPr="009D069C">
          <w:rPr>
            <w:rStyle w:val="Hyperlink"/>
          </w:rPr>
          <w:t>te</w:t>
        </w:r>
      </w:hyperlink>
      <w:r>
        <w:t xml:space="preserve"> (</w:t>
      </w:r>
      <w:r w:rsidRPr="00357C44">
        <w:t>https://www.fda.gov/medical-devices/device-registration-and-listing/how-register-and-list#13</w:t>
      </w:r>
      <w:r>
        <w:t xml:space="preserve">) in the tutorial section.  </w:t>
      </w:r>
    </w:p>
    <w:p w:rsidR="00485D52" w:rsidP="00503C75" w:rsidRDefault="00485D52" w14:paraId="58ED10FD" w14:textId="77777777"/>
    <w:p w:rsidRPr="002746DB" w:rsidR="002746DB" w:rsidP="00503C75" w:rsidRDefault="00216A46" w14:paraId="6CB42304" w14:textId="77777777">
      <w:pPr>
        <w:keepNext/>
        <w:rPr>
          <w:u w:val="single"/>
        </w:rPr>
      </w:pPr>
      <w:r>
        <w:rPr>
          <w:u w:val="single"/>
        </w:rPr>
        <w:t xml:space="preserve">4. </w:t>
      </w:r>
      <w:r w:rsidRPr="002746DB" w:rsidR="00EB7538">
        <w:rPr>
          <w:u w:val="single"/>
        </w:rPr>
        <w:t xml:space="preserve">Efforts to Identify Duplication and Use of Similar Information </w:t>
      </w:r>
    </w:p>
    <w:p w:rsidR="00503C75" w:rsidP="00503C75" w:rsidRDefault="00503C75" w14:paraId="0BC7A54F" w14:textId="77777777"/>
    <w:p w:rsidRPr="00181F97" w:rsidR="00FB4448" w:rsidP="00503C75" w:rsidRDefault="00FB4448" w14:paraId="55B04E55" w14:textId="6AD5165C">
      <w:r>
        <w:t>We are unaware of duplicative information collection.</w:t>
      </w:r>
      <w:r w:rsidR="00B42751">
        <w:t xml:space="preserve">  Information collection pertaining to the premarket </w:t>
      </w:r>
      <w:r w:rsidR="00057052">
        <w:t xml:space="preserve">notification </w:t>
      </w:r>
      <w:r w:rsidR="00B42751">
        <w:t>of medical devices</w:t>
      </w:r>
      <w:r w:rsidR="000A5AFC">
        <w:t xml:space="preserve"> is governed by regulations in 21 CFR part 807, subpart E, and approved under OMB control no. 0910-0</w:t>
      </w:r>
      <w:r w:rsidR="00514041">
        <w:t>120</w:t>
      </w:r>
      <w:r w:rsidR="00057052">
        <w:t>.</w:t>
      </w:r>
    </w:p>
    <w:p w:rsidR="00503C75" w:rsidP="00503C75" w:rsidRDefault="00503C75" w14:paraId="5A7AD772" w14:textId="77777777">
      <w:pPr>
        <w:keepNext/>
        <w:rPr>
          <w:u w:val="single"/>
        </w:rPr>
      </w:pPr>
    </w:p>
    <w:p w:rsidRPr="004C6979" w:rsidR="002746DB" w:rsidP="00503C75" w:rsidRDefault="00216A46" w14:paraId="67B9F2B6" w14:textId="051D921B">
      <w:pPr>
        <w:keepNext/>
        <w:rPr>
          <w:u w:val="single"/>
        </w:rPr>
      </w:pPr>
      <w:r>
        <w:rPr>
          <w:u w:val="single"/>
        </w:rPr>
        <w:t xml:space="preserve">5. </w:t>
      </w:r>
      <w:r w:rsidRPr="004C6979" w:rsidR="00EB7538">
        <w:rPr>
          <w:u w:val="single"/>
        </w:rPr>
        <w:t>Impact on Small Businesses or Other Small Entities</w:t>
      </w:r>
    </w:p>
    <w:p w:rsidR="00503C75" w:rsidP="00503C75" w:rsidRDefault="00503C75" w14:paraId="0B4AA987" w14:textId="77777777"/>
    <w:p w:rsidR="00327A7F" w:rsidP="00327A7F" w:rsidRDefault="00057052" w14:paraId="1BEA808C" w14:textId="615EE7D0">
      <w:r>
        <w:t>The information collection does not impose undue burden on small entities</w:t>
      </w:r>
      <w:r w:rsidR="00534664">
        <w:t xml:space="preserve">, </w:t>
      </w:r>
      <w:r w:rsidR="00FF112D">
        <w:t>however the regulations</w:t>
      </w:r>
      <w:r w:rsidR="00534664">
        <w:t xml:space="preserve"> provide for </w:t>
      </w:r>
      <w:r w:rsidR="00327A7F">
        <w:t>a waiver from submitting registration and listing information electronically</w:t>
      </w:r>
      <w:r w:rsidR="00534664">
        <w:t xml:space="preserve">.  As </w:t>
      </w:r>
      <w:r w:rsidR="00FF112D">
        <w:t xml:space="preserve">instructed </w:t>
      </w:r>
      <w:r w:rsidR="00534664">
        <w:t>on our website, waiver requests</w:t>
      </w:r>
      <w:r w:rsidR="00FF112D">
        <w:t xml:space="preserve"> should be submitted to </w:t>
      </w:r>
      <w:r w:rsidR="00934C9D">
        <w:t>the following address:</w:t>
      </w:r>
    </w:p>
    <w:p w:rsidR="00327A7F" w:rsidP="00327A7F" w:rsidRDefault="00327A7F" w14:paraId="0E522B44" w14:textId="77777777"/>
    <w:p w:rsidR="00327A7F" w:rsidP="00327A7F" w:rsidRDefault="00327A7F" w14:paraId="01529038" w14:textId="77777777">
      <w:r>
        <w:t>Food and Drug Administration</w:t>
      </w:r>
    </w:p>
    <w:p w:rsidR="00327A7F" w:rsidP="00327A7F" w:rsidRDefault="00327A7F" w14:paraId="577376E1" w14:textId="77777777">
      <w:r>
        <w:t>CDRH - Office of Compliance</w:t>
      </w:r>
    </w:p>
    <w:p w:rsidR="00327A7F" w:rsidP="00327A7F" w:rsidRDefault="00327A7F" w14:paraId="03A47AF9" w14:textId="77777777">
      <w:r>
        <w:t>Registration &amp; Listing</w:t>
      </w:r>
    </w:p>
    <w:p w:rsidR="00327A7F" w:rsidP="00327A7F" w:rsidRDefault="00327A7F" w14:paraId="580E4A3E" w14:textId="77777777">
      <w:r>
        <w:t>10903 New Hampshire Avenue</w:t>
      </w:r>
    </w:p>
    <w:p w:rsidR="00327A7F" w:rsidP="00327A7F" w:rsidRDefault="00327A7F" w14:paraId="374317AC" w14:textId="77777777">
      <w:r>
        <w:t>Building 66 Room 2621</w:t>
      </w:r>
    </w:p>
    <w:p w:rsidR="00327A7F" w:rsidP="00503C75" w:rsidRDefault="00327A7F" w14:paraId="288FEB1D" w14:textId="15019FDF">
      <w:r>
        <w:t>Silver Spring, MD 20993-0002</w:t>
      </w:r>
    </w:p>
    <w:p w:rsidR="00327A7F" w:rsidP="00503C75" w:rsidRDefault="00327A7F" w14:paraId="6507418C" w14:textId="77777777"/>
    <w:p w:rsidR="003C4A39" w:rsidP="00503C75" w:rsidRDefault="00057052" w14:paraId="629FE66F" w14:textId="78A9CA55">
      <w:r>
        <w:t xml:space="preserve">At the same time, </w:t>
      </w:r>
      <w:r w:rsidRPr="00181F97" w:rsidR="00181F97">
        <w:t xml:space="preserve">FDA aids small business by providing guidance and information through </w:t>
      </w:r>
      <w:r w:rsidR="00512711">
        <w:t xml:space="preserve">our </w:t>
      </w:r>
      <w:r w:rsidR="00E12AFC">
        <w:t>Center for Devices and Radiological Health</w:t>
      </w:r>
      <w:r w:rsidR="003C4A39">
        <w:t xml:space="preserve"> (CDRH)</w:t>
      </w:r>
      <w:r w:rsidR="00E12AFC">
        <w:t>,</w:t>
      </w:r>
      <w:r w:rsidRPr="00181F97" w:rsidR="00E12AFC">
        <w:t xml:space="preserve"> </w:t>
      </w:r>
      <w:r w:rsidRPr="00181F97" w:rsidR="00181F97">
        <w:t xml:space="preserve">Division of </w:t>
      </w:r>
      <w:r w:rsidR="00E12AFC">
        <w:t>Industry</w:t>
      </w:r>
      <w:r w:rsidRPr="00181F97" w:rsidR="00E12AFC">
        <w:t xml:space="preserve"> </w:t>
      </w:r>
      <w:r w:rsidRPr="00181F97" w:rsidR="00181F97">
        <w:t>and</w:t>
      </w:r>
      <w:r w:rsidR="00D72461">
        <w:t xml:space="preserve"> Consumer</w:t>
      </w:r>
      <w:r w:rsidRPr="00181F97" w:rsidR="00181F97">
        <w:t xml:space="preserve"> </w:t>
      </w:r>
      <w:r w:rsidR="00D72461">
        <w:t>Education</w:t>
      </w:r>
      <w:r w:rsidRPr="00181F97" w:rsidR="00181F97">
        <w:t xml:space="preserve"> (DIC</w:t>
      </w:r>
      <w:r w:rsidR="00D72461">
        <w:t>E</w:t>
      </w:r>
      <w:r w:rsidRPr="00181F97" w:rsidR="00181F97">
        <w:t xml:space="preserve">).  </w:t>
      </w:r>
      <w:r w:rsidR="00D72461">
        <w:t>DICE</w:t>
      </w:r>
      <w:r w:rsidRPr="00181F97" w:rsidR="00D72461">
        <w:t xml:space="preserve"> </w:t>
      </w:r>
      <w:r w:rsidRPr="00181F97" w:rsidR="00181F97">
        <w:t xml:space="preserve">provides workshops and other technical and non-financial assistance to small manufacturers.  The workshops make available publications and educational materials, which include medical device establishment and listing requirements.  </w:t>
      </w:r>
      <w:r w:rsidRPr="00181F97" w:rsidR="00077D58">
        <w:t>The Division also maintains a toll-free “800” telephone number which firms may use to obtain regulatory compliance information.</w:t>
      </w:r>
      <w:r w:rsidR="00512711">
        <w:t xml:space="preserve">  </w:t>
      </w:r>
      <w:r w:rsidRPr="00181F97" w:rsidR="00077D58">
        <w:t>These efforts help to assure that the burden on small manufacturers is minimized.</w:t>
      </w:r>
    </w:p>
    <w:p w:rsidR="001B688E" w:rsidP="00503C75" w:rsidRDefault="001B688E" w14:paraId="24C40BAD" w14:textId="77777777"/>
    <w:p w:rsidRPr="004C6979" w:rsidR="00CD77C3" w:rsidP="00503C75" w:rsidRDefault="00D54697" w14:paraId="6F64B291" w14:textId="77777777">
      <w:pPr>
        <w:rPr>
          <w:u w:val="single"/>
        </w:rPr>
      </w:pPr>
      <w:r>
        <w:rPr>
          <w:u w:val="single"/>
        </w:rPr>
        <w:t>6</w:t>
      </w:r>
      <w:r w:rsidR="00F570A2">
        <w:rPr>
          <w:u w:val="single"/>
        </w:rPr>
        <w:t>.</w:t>
      </w:r>
      <w:r>
        <w:rPr>
          <w:u w:val="single"/>
        </w:rPr>
        <w:t xml:space="preserve"> </w:t>
      </w:r>
      <w:r w:rsidRPr="004C6979" w:rsidR="00EB7538">
        <w:rPr>
          <w:u w:val="single"/>
        </w:rPr>
        <w:t>Consequences of Collecting the Information Less Frequently</w:t>
      </w:r>
    </w:p>
    <w:p w:rsidR="00354D94" w:rsidP="00503C75" w:rsidRDefault="00354D94" w14:paraId="0B9A5F14" w14:textId="77777777">
      <w:pPr>
        <w:pStyle w:val="CommentText"/>
      </w:pPr>
    </w:p>
    <w:p w:rsidR="00CE08B7" w:rsidP="00503C75" w:rsidRDefault="00727E95" w14:paraId="3C3E434E" w14:textId="432AE622">
      <w:r>
        <w:t xml:space="preserve">Failure to </w:t>
      </w:r>
      <w:r w:rsidRPr="00CE08B7" w:rsidR="00CE08B7">
        <w:t xml:space="preserve">collect </w:t>
      </w:r>
      <w:r>
        <w:t xml:space="preserve">the required </w:t>
      </w:r>
      <w:r w:rsidRPr="00CE08B7" w:rsidR="00CE08B7">
        <w:t xml:space="preserve">information </w:t>
      </w:r>
      <w:r>
        <w:t xml:space="preserve">as prescribed by statute </w:t>
      </w:r>
      <w:r w:rsidRPr="00CE08B7" w:rsidR="00CE08B7">
        <w:t xml:space="preserve">would </w:t>
      </w:r>
      <w:r>
        <w:t xml:space="preserve">violate </w:t>
      </w:r>
      <w:r w:rsidR="00F97D29">
        <w:t>FDA’s mandate</w:t>
      </w:r>
      <w:r>
        <w:t xml:space="preserve"> under the </w:t>
      </w:r>
      <w:r w:rsidRPr="00CE08B7" w:rsidR="00CE08B7">
        <w:t>FD&amp;C Act</w:t>
      </w:r>
      <w:r w:rsidR="00791521">
        <w:t>.</w:t>
      </w:r>
    </w:p>
    <w:p w:rsidR="00727E95" w:rsidP="00503C75" w:rsidRDefault="00727E95" w14:paraId="41CFE678" w14:textId="77777777"/>
    <w:p w:rsidRPr="004C6979" w:rsidR="00CD77C3" w:rsidP="00503C75" w:rsidRDefault="00D54697" w14:paraId="3BA8D44A" w14:textId="77777777">
      <w:pPr>
        <w:rPr>
          <w:u w:val="single"/>
        </w:rPr>
      </w:pPr>
      <w:r>
        <w:rPr>
          <w:u w:val="single"/>
        </w:rPr>
        <w:t>7</w:t>
      </w:r>
      <w:r w:rsidR="00F570A2">
        <w:rPr>
          <w:u w:val="single"/>
        </w:rPr>
        <w:t>.</w:t>
      </w:r>
      <w:r>
        <w:rPr>
          <w:u w:val="single"/>
        </w:rPr>
        <w:t xml:space="preserve"> </w:t>
      </w:r>
      <w:r w:rsidRPr="004C6979" w:rsidR="00EB7538">
        <w:rPr>
          <w:u w:val="single"/>
        </w:rPr>
        <w:t>Special Circumstances Relating to the Guidelines of 5 CFR 1320.5</w:t>
      </w:r>
    </w:p>
    <w:p w:rsidR="00727E95" w:rsidP="00503C75" w:rsidRDefault="00727E95" w14:paraId="487D6E77" w14:textId="77777777"/>
    <w:p w:rsidR="00C743B3" w:rsidP="00503C75" w:rsidRDefault="00C743B3" w14:paraId="56E4E343" w14:textId="653A64C8">
      <w:r w:rsidRPr="00C743B3">
        <w:t>There are no special circumstances for this collection of information.  This information collection is consistent with the guidelines prescribed in 5 CFR 1320.5.</w:t>
      </w:r>
    </w:p>
    <w:p w:rsidRPr="00C743B3" w:rsidR="00934C9D" w:rsidP="00503C75" w:rsidRDefault="00934C9D" w14:paraId="0C394080" w14:textId="77777777"/>
    <w:p w:rsidRPr="004C6979" w:rsidR="00CD77C3" w:rsidP="00503C75" w:rsidRDefault="00D54697" w14:paraId="25EF6D04" w14:textId="77777777">
      <w:pPr>
        <w:keepNext/>
        <w:rPr>
          <w:u w:val="single"/>
        </w:rPr>
      </w:pPr>
      <w:r>
        <w:rPr>
          <w:u w:val="single"/>
        </w:rPr>
        <w:t>8</w:t>
      </w:r>
      <w:r w:rsidR="00F570A2">
        <w:rPr>
          <w:u w:val="single"/>
        </w:rPr>
        <w:t>.</w:t>
      </w:r>
      <w:r>
        <w:rPr>
          <w:u w:val="single"/>
        </w:rPr>
        <w:t xml:space="preserve"> </w:t>
      </w:r>
      <w:r w:rsidRPr="004C6979" w:rsidR="00EB7538">
        <w:rPr>
          <w:u w:val="single"/>
        </w:rPr>
        <w:t>Comments in Response to the Federal Register Notice and Efforts to Consult Outside the Agency</w:t>
      </w:r>
    </w:p>
    <w:p w:rsidR="00727E95" w:rsidP="00503C75" w:rsidRDefault="00727E95" w14:paraId="1853C710" w14:textId="77777777"/>
    <w:p w:rsidRPr="00C743B3" w:rsidR="00C743B3" w:rsidP="00503C75" w:rsidRDefault="00B86A9F" w14:paraId="2785C45E" w14:textId="26074C57">
      <w:r w:rsidRPr="002224A0">
        <w:t>In accordance with 5 CFR 1320.8(d), FDA published a 60</w:t>
      </w:r>
      <w:r w:rsidR="00B87956">
        <w:t>-</w:t>
      </w:r>
      <w:r w:rsidRPr="002224A0">
        <w:t>day notice for public comment in the</w:t>
      </w:r>
      <w:r w:rsidR="00727E95">
        <w:t xml:space="preserve"> </w:t>
      </w:r>
      <w:r w:rsidRPr="00727E95" w:rsidR="00727E95">
        <w:rPr>
          <w:u w:val="single"/>
        </w:rPr>
        <w:t>Federal Register</w:t>
      </w:r>
      <w:r w:rsidRPr="002224A0">
        <w:t xml:space="preserve"> of</w:t>
      </w:r>
      <w:r w:rsidDel="00B86A9F">
        <w:t xml:space="preserve"> </w:t>
      </w:r>
      <w:r w:rsidR="006E3917">
        <w:t>February 8, 2022</w:t>
      </w:r>
      <w:r w:rsidR="006067ED">
        <w:t xml:space="preserve"> (</w:t>
      </w:r>
      <w:r w:rsidR="0053137A">
        <w:t>87 FR 7187</w:t>
      </w:r>
      <w:r>
        <w:t>).</w:t>
      </w:r>
      <w:r w:rsidR="00727E95">
        <w:t xml:space="preserve">  Although, no </w:t>
      </w:r>
      <w:r>
        <w:t xml:space="preserve">comments were </w:t>
      </w:r>
      <w:r w:rsidR="00B644B4">
        <w:t>submitted to the docket, one comment was re</w:t>
      </w:r>
      <w:r w:rsidR="00AE7BAD">
        <w:t xml:space="preserve">ceived by e-mail regarding </w:t>
      </w:r>
      <w:r w:rsidR="00F95468">
        <w:t xml:space="preserve">user interface with FURLS.  </w:t>
      </w:r>
      <w:r w:rsidR="00C9628A">
        <w:t xml:space="preserve">The comment </w:t>
      </w:r>
      <w:r w:rsidR="00404632">
        <w:t xml:space="preserve">suggested </w:t>
      </w:r>
      <w:r w:rsidR="00C9628A">
        <w:t>that the two-step security process, PIN and PCN, seem</w:t>
      </w:r>
      <w:r w:rsidR="00D72D3E">
        <w:t>s</w:t>
      </w:r>
      <w:r w:rsidR="00C9628A">
        <w:t xml:space="preserve"> redundant and unnecessary</w:t>
      </w:r>
      <w:r w:rsidR="00D72D3E">
        <w:t>; w</w:t>
      </w:r>
      <w:r w:rsidR="00C9628A">
        <w:t xml:space="preserve">hen making payment, </w:t>
      </w:r>
      <w:r w:rsidR="00D72D3E">
        <w:t xml:space="preserve">the commenter had difficulty </w:t>
      </w:r>
      <w:r w:rsidR="00C9628A">
        <w:t xml:space="preserve">finding the </w:t>
      </w:r>
      <w:r w:rsidR="00D72D3E">
        <w:t>appropriate</w:t>
      </w:r>
      <w:r w:rsidR="00C9628A">
        <w:t xml:space="preserve"> area within FURLS</w:t>
      </w:r>
      <w:r w:rsidR="00D72D3E">
        <w:t>; and the comment noted that the many options on t</w:t>
      </w:r>
      <w:r w:rsidR="00C9628A">
        <w:t>he payment site</w:t>
      </w:r>
      <w:r w:rsidR="00D72D3E">
        <w:t xml:space="preserve"> may contribute to confusion</w:t>
      </w:r>
      <w:r w:rsidR="00C9628A">
        <w:t>.</w:t>
      </w:r>
      <w:r w:rsidR="00404632">
        <w:t xml:space="preserve">  </w:t>
      </w:r>
      <w:r w:rsidR="00D72D3E">
        <w:t xml:space="preserve">While we have made </w:t>
      </w:r>
      <w:r w:rsidR="00404632">
        <w:t xml:space="preserve">no </w:t>
      </w:r>
      <w:r w:rsidR="00F60D8A">
        <w:t xml:space="preserve">immediate </w:t>
      </w:r>
      <w:r w:rsidR="00D72D3E">
        <w:t xml:space="preserve">changes to the information collection based on this comment, we </w:t>
      </w:r>
      <w:r w:rsidR="00F60D8A">
        <w:t xml:space="preserve">will continue to consider such issues </w:t>
      </w:r>
      <w:r w:rsidR="002B57F0">
        <w:t xml:space="preserve">in making upgrades to </w:t>
      </w:r>
      <w:r w:rsidR="00F52E23">
        <w:t>the system as our limited resources permit.</w:t>
      </w:r>
    </w:p>
    <w:p w:rsidR="00216A46" w:rsidP="00503C75" w:rsidRDefault="00216A46" w14:paraId="51CB0471" w14:textId="77777777"/>
    <w:p w:rsidRPr="004C6979" w:rsidR="00CD77C3" w:rsidP="00503C75" w:rsidRDefault="0070121A" w14:paraId="74764906" w14:textId="77777777">
      <w:pPr>
        <w:rPr>
          <w:u w:val="single"/>
        </w:rPr>
      </w:pPr>
      <w:r>
        <w:rPr>
          <w:u w:val="single"/>
        </w:rPr>
        <w:t>9</w:t>
      </w:r>
      <w:r w:rsidR="00216A46">
        <w:rPr>
          <w:u w:val="single"/>
        </w:rPr>
        <w:t>.</w:t>
      </w:r>
      <w:r>
        <w:rPr>
          <w:u w:val="single"/>
        </w:rPr>
        <w:t xml:space="preserve"> </w:t>
      </w:r>
      <w:r w:rsidRPr="004C6979" w:rsidR="00EB7538">
        <w:rPr>
          <w:u w:val="single"/>
        </w:rPr>
        <w:t>Explanation of Any Payment or Gift to Respondents</w:t>
      </w:r>
    </w:p>
    <w:p w:rsidR="00F52E23" w:rsidP="00503C75" w:rsidRDefault="00F52E23" w14:paraId="38E3C594" w14:textId="77777777"/>
    <w:p w:rsidRPr="00FD685D" w:rsidR="00FD685D" w:rsidP="00503C75" w:rsidRDefault="00DF494C" w14:paraId="78DC738C" w14:textId="01085CFB">
      <w:r>
        <w:t>There are no incentives,</w:t>
      </w:r>
      <w:r w:rsidRPr="00FD685D" w:rsidR="00FD685D">
        <w:t xml:space="preserve"> payments</w:t>
      </w:r>
      <w:r>
        <w:t>,</w:t>
      </w:r>
      <w:r w:rsidRPr="00FD685D" w:rsidR="00FD685D">
        <w:t xml:space="preserve"> or gifts </w:t>
      </w:r>
      <w:r>
        <w:t>associated with</w:t>
      </w:r>
      <w:r w:rsidRPr="00FD685D" w:rsidR="00FD685D">
        <w:t xml:space="preserve"> this information collection.</w:t>
      </w:r>
    </w:p>
    <w:p w:rsidR="00256839" w:rsidP="00503C75" w:rsidRDefault="00256839" w14:paraId="3EB7B2B1" w14:textId="77777777"/>
    <w:p w:rsidRPr="004C6979" w:rsidR="00CD77C3" w:rsidP="00503C75" w:rsidRDefault="00D54697" w14:paraId="3C49B22D" w14:textId="1AA4C8CA">
      <w:pPr>
        <w:rPr>
          <w:u w:val="single"/>
        </w:rPr>
      </w:pPr>
      <w:r>
        <w:rPr>
          <w:u w:val="single"/>
        </w:rPr>
        <w:t>10</w:t>
      </w:r>
      <w:r w:rsidR="00216A46">
        <w:rPr>
          <w:u w:val="single"/>
        </w:rPr>
        <w:t xml:space="preserve">. </w:t>
      </w:r>
      <w:r w:rsidRPr="004C6979" w:rsidR="00EB7538">
        <w:rPr>
          <w:u w:val="single"/>
        </w:rPr>
        <w:t>Assurance of Confidentiality Provided to Respondents</w:t>
      </w:r>
    </w:p>
    <w:p w:rsidR="00256839" w:rsidP="00503C75" w:rsidRDefault="00256839" w14:paraId="7B5EB795" w14:textId="77777777">
      <w:pPr>
        <w:tabs>
          <w:tab w:val="left" w:pos="-1080"/>
          <w:tab w:val="left" w:pos="-720"/>
          <w:tab w:val="left" w:pos="360"/>
          <w:tab w:val="left" w:pos="540"/>
          <w:tab w:val="left" w:pos="1440"/>
        </w:tabs>
      </w:pPr>
      <w:bookmarkStart w:name="_Hlk90904895" w:id="0"/>
    </w:p>
    <w:p w:rsidR="00222988" w:rsidP="00503C75" w:rsidRDefault="00791521" w14:paraId="72454CF9" w14:textId="398B20A9">
      <w:pPr>
        <w:tabs>
          <w:tab w:val="left" w:pos="-1080"/>
          <w:tab w:val="left" w:pos="-720"/>
          <w:tab w:val="left" w:pos="360"/>
          <w:tab w:val="left" w:pos="540"/>
          <w:tab w:val="left" w:pos="1440"/>
        </w:tabs>
      </w:pPr>
      <w:r w:rsidRPr="00791521">
        <w:t xml:space="preserve">In preparing this </w:t>
      </w:r>
      <w:r>
        <w:t>s</w:t>
      </w:r>
      <w:r w:rsidRPr="00791521">
        <w:t xml:space="preserve">upporting </w:t>
      </w:r>
      <w:r>
        <w:t>s</w:t>
      </w:r>
      <w:r w:rsidRPr="00791521">
        <w:t xml:space="preserve">tatement, </w:t>
      </w:r>
      <w:r>
        <w:t xml:space="preserve">we </w:t>
      </w:r>
      <w:r w:rsidRPr="00791521">
        <w:t xml:space="preserve">consulted with </w:t>
      </w:r>
      <w:r>
        <w:t xml:space="preserve">our </w:t>
      </w:r>
      <w:r w:rsidRPr="00791521">
        <w:t>Privacy Office to ensure appropriate handling of information collected</w:t>
      </w:r>
      <w:r w:rsidRPr="004D5661" w:rsidR="004D5661">
        <w:t xml:space="preserve"> </w:t>
      </w:r>
      <w:r w:rsidR="00850EE4">
        <w:t xml:space="preserve">and </w:t>
      </w:r>
      <w:r w:rsidRPr="004D5661" w:rsidR="004D5661">
        <w:t>to protect the privacy of the individuals</w:t>
      </w:r>
      <w:r w:rsidRPr="00791521">
        <w:t>.</w:t>
      </w:r>
      <w:r w:rsidR="00850EE4">
        <w:t xml:space="preserve">  </w:t>
      </w:r>
      <w:r>
        <w:t xml:space="preserve">Although </w:t>
      </w:r>
      <w:r w:rsidR="004D5661">
        <w:t xml:space="preserve">the information collection includes personally identifiable information (PII), it </w:t>
      </w:r>
      <w:r w:rsidRPr="00D66147" w:rsidR="00222988">
        <w:t>is collected in the context of the subject individuals’ professional capacity and the FDA-related work perform</w:t>
      </w:r>
      <w:r w:rsidR="00850EE4">
        <w:t>ed</w:t>
      </w:r>
      <w:r w:rsidRPr="00D66147" w:rsidR="00222988">
        <w:t xml:space="preserve"> for their employer (e.g., point of contact at a regulated entity).</w:t>
      </w:r>
      <w:r w:rsidR="001B688E">
        <w:t xml:space="preserve">  </w:t>
      </w:r>
      <w:r w:rsidRPr="00D66147" w:rsidR="00222988">
        <w:t xml:space="preserve">The PII </w:t>
      </w:r>
      <w:r w:rsidR="00222988">
        <w:t>submitted</w:t>
      </w:r>
      <w:r w:rsidRPr="00247F24" w:rsidR="00222988">
        <w:t xml:space="preserve"> </w:t>
      </w:r>
      <w:r w:rsidR="001B688E">
        <w:t xml:space="preserve">in </w:t>
      </w:r>
      <w:r w:rsidR="00222988">
        <w:t xml:space="preserve">FDA Form </w:t>
      </w:r>
      <w:r w:rsidR="005041D7">
        <w:t>3673, (Device Registration and Listing Module</w:t>
      </w:r>
      <w:r w:rsidR="00222988">
        <w:t>)</w:t>
      </w:r>
      <w:r w:rsidR="008B4746">
        <w:t xml:space="preserve"> </w:t>
      </w:r>
      <w:r w:rsidRPr="00247F24" w:rsidR="00222988">
        <w:t xml:space="preserve">is </w:t>
      </w:r>
      <w:r w:rsidR="009C112B">
        <w:t xml:space="preserve">account identification, password, </w:t>
      </w:r>
      <w:r w:rsidRPr="00247F24" w:rsidR="00222988">
        <w:t>name</w:t>
      </w:r>
      <w:r w:rsidR="005041D7">
        <w:t xml:space="preserve">, </w:t>
      </w:r>
      <w:r w:rsidR="00222988">
        <w:t xml:space="preserve">work </w:t>
      </w:r>
      <w:r w:rsidR="005041D7">
        <w:t xml:space="preserve">address, </w:t>
      </w:r>
      <w:r w:rsidR="00222988">
        <w:t>email address</w:t>
      </w:r>
      <w:r w:rsidR="005041D7">
        <w:t>, telephone number, fax telephone number</w:t>
      </w:r>
      <w:r w:rsidR="00784EAE">
        <w:t>, DUNS number, payment identification number (PIN), and payment confirmation number (PCN)</w:t>
      </w:r>
      <w:r w:rsidR="00222988">
        <w:t>.</w:t>
      </w:r>
      <w:bookmarkStart w:name="_Hlk90904973" w:id="1"/>
      <w:bookmarkEnd w:id="0"/>
      <w:r w:rsidR="00BA4A03">
        <w:t xml:space="preserve">  </w:t>
      </w:r>
      <w:r w:rsidR="00DB308D">
        <w:t>Information collected via Form 36</w:t>
      </w:r>
      <w:r w:rsidR="006F3FCE">
        <w:t>73</w:t>
      </w:r>
      <w:r w:rsidR="00DB308D">
        <w:t xml:space="preserve"> is maintained in a Privacy Act system of records as described in HHS/FDA System of Records Notice (SORN) 09-10-0021 for FDA’s User Fee System. Individuals completing Form 36</w:t>
      </w:r>
      <w:r w:rsidR="006F3FCE">
        <w:t>73</w:t>
      </w:r>
      <w:r w:rsidR="005E5F5D">
        <w:t xml:space="preserve"> </w:t>
      </w:r>
      <w:r w:rsidR="00DB308D">
        <w:t xml:space="preserve">will complete it via the webpage where a notice </w:t>
      </w:r>
      <w:r w:rsidR="005E5F5D">
        <w:t>will be</w:t>
      </w:r>
      <w:r w:rsidR="00DB308D">
        <w:t xml:space="preserve"> displayed.</w:t>
      </w:r>
      <w:bookmarkEnd w:id="1"/>
    </w:p>
    <w:p w:rsidR="00222988" w:rsidP="00503C75" w:rsidRDefault="00222988" w14:paraId="67A6EA7C" w14:textId="77777777"/>
    <w:p w:rsidR="00784EAE" w:rsidP="00503C75" w:rsidRDefault="00784EAE" w14:paraId="55BFE37A" w14:textId="77777777"/>
    <w:p w:rsidR="00FD685D" w:rsidP="00503C75" w:rsidRDefault="00F91E92" w14:paraId="3D86A0CD" w14:textId="5C2F9234">
      <w:r w:rsidRPr="00FD685D">
        <w:t>All information filed by a registrant is available for public inspection as required by 21 CFR 807.37.</w:t>
      </w:r>
      <w:r w:rsidR="00055AED">
        <w:t xml:space="preserve">  </w:t>
      </w:r>
      <w:r w:rsidRPr="00FD685D" w:rsidR="00FD685D">
        <w:t xml:space="preserve">Information provided to, or obtained by, FDA is subject to release under the Freedom of Information Act (5 U.S.C. 552) and the implementing regulations contained in 21 CFR </w:t>
      </w:r>
      <w:r w:rsidR="00D72461">
        <w:t>p</w:t>
      </w:r>
      <w:r w:rsidRPr="00FD685D" w:rsidR="00FD685D">
        <w:t>arts 20 and 21.</w:t>
      </w:r>
    </w:p>
    <w:p w:rsidRPr="00FD685D" w:rsidR="005352AA" w:rsidP="00503C75" w:rsidRDefault="005352AA" w14:paraId="70D3BE5F" w14:textId="77777777"/>
    <w:p w:rsidRPr="004C6979" w:rsidR="004C6979" w:rsidP="00503C75" w:rsidRDefault="00D54697" w14:paraId="063B43EB" w14:textId="77777777">
      <w:pPr>
        <w:rPr>
          <w:u w:val="single"/>
        </w:rPr>
      </w:pPr>
      <w:r>
        <w:rPr>
          <w:u w:val="single"/>
        </w:rPr>
        <w:t>11</w:t>
      </w:r>
      <w:r w:rsidR="00216A46">
        <w:rPr>
          <w:u w:val="single"/>
        </w:rPr>
        <w:t xml:space="preserve">. </w:t>
      </w:r>
      <w:r w:rsidRPr="004C6979" w:rsidR="00EB7538">
        <w:rPr>
          <w:u w:val="single"/>
        </w:rPr>
        <w:t>Justification for Sensitive Questions</w:t>
      </w:r>
    </w:p>
    <w:p w:rsidR="00055AED" w:rsidP="00503C75" w:rsidRDefault="00055AED" w14:paraId="716BBEDC" w14:textId="77777777"/>
    <w:p w:rsidR="004A037A" w:rsidP="00055AED" w:rsidRDefault="00F91E92" w14:paraId="122EE9D1" w14:textId="77777777">
      <w:r w:rsidRPr="00F91E92">
        <w:t xml:space="preserve">The </w:t>
      </w:r>
      <w:r w:rsidR="00DF494C">
        <w:t xml:space="preserve">collection of </w:t>
      </w:r>
      <w:r w:rsidRPr="00F91E92">
        <w:t xml:space="preserve">information does not </w:t>
      </w:r>
      <w:r w:rsidR="00DF494C">
        <w:t>involve sensitive</w:t>
      </w:r>
      <w:r w:rsidRPr="00F91E92" w:rsidR="00DF494C">
        <w:t xml:space="preserve"> </w:t>
      </w:r>
      <w:r w:rsidRPr="00F91E92">
        <w:t>questions.</w:t>
      </w:r>
    </w:p>
    <w:p w:rsidR="004A037A" w:rsidP="00055AED" w:rsidRDefault="004A037A" w14:paraId="46B1550D" w14:textId="77777777"/>
    <w:p w:rsidR="004A037A" w:rsidP="004A037A" w:rsidRDefault="00D54697" w14:paraId="7CCB3900" w14:textId="77777777">
      <w:r>
        <w:rPr>
          <w:u w:val="single"/>
        </w:rPr>
        <w:t>12</w:t>
      </w:r>
      <w:r w:rsidR="00F570A2">
        <w:rPr>
          <w:u w:val="single"/>
        </w:rPr>
        <w:t xml:space="preserve">. </w:t>
      </w:r>
      <w:r w:rsidRPr="004C6979" w:rsidR="00EB7538">
        <w:rPr>
          <w:u w:val="single"/>
        </w:rPr>
        <w:t>Estimates of Annualized Burden Hours and Costs</w:t>
      </w:r>
      <w:r w:rsidR="004A037A">
        <w:t>4</w:t>
      </w:r>
    </w:p>
    <w:p w:rsidR="004A037A" w:rsidP="004A037A" w:rsidRDefault="004A037A" w14:paraId="67DFC428" w14:textId="77777777"/>
    <w:p w:rsidR="004C6979" w:rsidP="004A037A" w:rsidRDefault="004A037A" w14:paraId="7554EE4E" w14:textId="4903D17E">
      <w:r>
        <w:tab/>
      </w:r>
      <w:r w:rsidRPr="004A037A" w:rsidR="008B0E29">
        <w:rPr>
          <w:i/>
          <w:iCs/>
          <w:u w:val="single"/>
        </w:rPr>
        <w:t xml:space="preserve">12a. </w:t>
      </w:r>
      <w:r w:rsidRPr="004A037A" w:rsidR="00411D11">
        <w:rPr>
          <w:i/>
          <w:iCs/>
          <w:u w:val="single"/>
        </w:rPr>
        <w:t xml:space="preserve">Annualized </w:t>
      </w:r>
      <w:r w:rsidRPr="004A037A" w:rsidR="004C6979">
        <w:rPr>
          <w:i/>
          <w:iCs/>
          <w:u w:val="single"/>
        </w:rPr>
        <w:t>Hour Burden Estimate</w:t>
      </w:r>
    </w:p>
    <w:p w:rsidR="00A74CC5" w:rsidP="004A037A" w:rsidRDefault="00A74CC5" w14:paraId="32889F9F" w14:textId="3E60703A"/>
    <w:p w:rsidRPr="00A74CC5" w:rsidR="00A74CC5" w:rsidP="004A037A" w:rsidRDefault="00A74CC5" w14:paraId="14BE3644" w14:textId="4766DE8D">
      <w:r>
        <w:rPr>
          <w:noProof/>
        </w:rPr>
        <w:pict w14:anchorId="5074A88E">
          <v:shapetype id="_x0000_t202" coordsize="21600,21600" o:spt="202" path="m,l,21600r21600,l21600,xe">
            <v:stroke joinstyle="miter"/>
            <v:path gradientshapeok="t" o:connecttype="rect"/>
          </v:shapetype>
          <v:shape id="_x0000_s1028" style="position:absolute;margin-left:3pt;margin-top:28.7pt;width:495pt;height:401pt;z-index:251658240" type="#_x0000_t202">
            <v:textbox style="mso-next-textbox:#_x0000_s1028">
              <w:txbxContent>
                <w:p w:rsidR="00756992" w:rsidP="00B534B4" w:rsidRDefault="00756992" w14:paraId="5ABC68B9" w14:textId="77777777">
                  <w:pPr>
                    <w:jc w:val="center"/>
                    <w:rPr>
                      <w:b/>
                      <w:bCs/>
                    </w:rPr>
                  </w:pPr>
                </w:p>
                <w:p w:rsidR="00756992" w:rsidP="00B534B4" w:rsidRDefault="00756992" w14:paraId="6CEC31AF" w14:textId="77777777">
                  <w:pPr>
                    <w:jc w:val="center"/>
                    <w:rPr>
                      <w:b/>
                      <w:bCs/>
                    </w:rPr>
                  </w:pPr>
                </w:p>
                <w:p w:rsidR="00756992" w:rsidP="00B534B4" w:rsidRDefault="00756992" w14:paraId="3EAB1B9C" w14:textId="77777777">
                  <w:pPr>
                    <w:jc w:val="center"/>
                    <w:rPr>
                      <w:b/>
                      <w:bCs/>
                    </w:rPr>
                  </w:pPr>
                </w:p>
                <w:p w:rsidR="00756992" w:rsidP="00B534B4" w:rsidRDefault="00756992" w14:paraId="04DC1060" w14:textId="77777777">
                  <w:pPr>
                    <w:jc w:val="center"/>
                    <w:rPr>
                      <w:b/>
                      <w:bCs/>
                    </w:rPr>
                  </w:pPr>
                </w:p>
                <w:p w:rsidR="00756992" w:rsidP="00B534B4" w:rsidRDefault="00756992" w14:paraId="344EDF87" w14:textId="77777777">
                  <w:pPr>
                    <w:jc w:val="center"/>
                    <w:rPr>
                      <w:b/>
                      <w:bCs/>
                    </w:rPr>
                  </w:pPr>
                </w:p>
                <w:p w:rsidR="00756992" w:rsidP="00B534B4" w:rsidRDefault="00756992" w14:paraId="0CEBE894" w14:textId="77777777">
                  <w:pPr>
                    <w:jc w:val="center"/>
                    <w:rPr>
                      <w:b/>
                      <w:bCs/>
                    </w:rPr>
                  </w:pPr>
                </w:p>
                <w:p w:rsidR="00756992" w:rsidP="00B534B4" w:rsidRDefault="00756992" w14:paraId="0C979677" w14:textId="77777777">
                  <w:pPr>
                    <w:jc w:val="center"/>
                    <w:rPr>
                      <w:b/>
                      <w:bCs/>
                    </w:rPr>
                  </w:pPr>
                </w:p>
                <w:p w:rsidR="00756992" w:rsidP="00B534B4" w:rsidRDefault="00756992" w14:paraId="349C7AA4" w14:textId="77777777">
                  <w:pPr>
                    <w:jc w:val="center"/>
                    <w:rPr>
                      <w:b/>
                      <w:bCs/>
                    </w:rPr>
                  </w:pPr>
                </w:p>
                <w:p w:rsidR="00756992" w:rsidP="00B534B4" w:rsidRDefault="00756992" w14:paraId="60E55CA3" w14:textId="77777777">
                  <w:pPr>
                    <w:jc w:val="center"/>
                    <w:rPr>
                      <w:b/>
                      <w:bCs/>
                    </w:rPr>
                  </w:pPr>
                </w:p>
                <w:p w:rsidR="00756992" w:rsidP="00B534B4" w:rsidRDefault="00756992" w14:paraId="0E83A1FC" w14:textId="77777777">
                  <w:pPr>
                    <w:jc w:val="center"/>
                    <w:rPr>
                      <w:b/>
                      <w:bCs/>
                    </w:rPr>
                  </w:pPr>
                </w:p>
                <w:p w:rsidR="00756992" w:rsidP="00B534B4" w:rsidRDefault="00756992" w14:paraId="2B96E39D" w14:textId="77777777">
                  <w:pPr>
                    <w:jc w:val="center"/>
                    <w:rPr>
                      <w:b/>
                      <w:bCs/>
                    </w:rPr>
                  </w:pPr>
                </w:p>
                <w:p w:rsidR="00756992" w:rsidP="00B534B4" w:rsidRDefault="00756992" w14:paraId="5678A34B" w14:textId="77777777">
                  <w:pPr>
                    <w:jc w:val="center"/>
                    <w:rPr>
                      <w:b/>
                      <w:bCs/>
                    </w:rPr>
                  </w:pPr>
                </w:p>
                <w:p w:rsidR="00756992" w:rsidP="00B534B4" w:rsidRDefault="00756992" w14:paraId="17DC3895" w14:textId="77777777">
                  <w:pPr>
                    <w:jc w:val="center"/>
                    <w:rPr>
                      <w:b/>
                      <w:bCs/>
                    </w:rPr>
                  </w:pPr>
                </w:p>
                <w:p w:rsidR="00756992" w:rsidP="00B534B4" w:rsidRDefault="00756992" w14:paraId="438F0A53" w14:textId="77777777">
                  <w:pPr>
                    <w:jc w:val="center"/>
                    <w:rPr>
                      <w:b/>
                      <w:bCs/>
                    </w:rPr>
                  </w:pPr>
                </w:p>
                <w:p w:rsidRPr="00B534B4" w:rsidR="00A74CC5" w:rsidP="00B534B4" w:rsidRDefault="00A74CC5" w14:paraId="2673278E" w14:textId="6ABB9FAD">
                  <w:pPr>
                    <w:jc w:val="center"/>
                    <w:rPr>
                      <w:b/>
                      <w:bCs/>
                    </w:rPr>
                  </w:pPr>
                  <w:r w:rsidRPr="00B534B4">
                    <w:rPr>
                      <w:b/>
                      <w:bCs/>
                    </w:rPr>
                    <w:t>SEE NEXT PAGE FOR BURDEN TABLE</w:t>
                  </w:r>
                  <w:r w:rsidR="00864701">
                    <w:rPr>
                      <w:b/>
                      <w:bCs/>
                    </w:rPr>
                    <w:t>S</w:t>
                  </w:r>
                </w:p>
              </w:txbxContent>
            </v:textbox>
          </v:shape>
        </w:pict>
      </w:r>
    </w:p>
    <w:p w:rsidRPr="00F570A2" w:rsidR="009936B2" w:rsidP="00503C75" w:rsidRDefault="009936B2" w14:paraId="56472D35" w14:textId="77777777">
      <w:pPr>
        <w:keepNext/>
        <w:rPr>
          <w:u w:val="single"/>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8"/>
        <w:gridCol w:w="900"/>
        <w:gridCol w:w="1260"/>
        <w:gridCol w:w="1350"/>
        <w:gridCol w:w="1170"/>
        <w:gridCol w:w="1260"/>
        <w:gridCol w:w="1098"/>
        <w:tblGridChange w:id="2">
          <w:tblGrid>
            <w:gridCol w:w="2538"/>
            <w:gridCol w:w="900"/>
            <w:gridCol w:w="1260"/>
            <w:gridCol w:w="1350"/>
            <w:gridCol w:w="1170"/>
            <w:gridCol w:w="1260"/>
            <w:gridCol w:w="1098"/>
          </w:tblGrid>
        </w:tblGridChange>
      </w:tblGrid>
      <w:tr w:rsidRPr="00A1141F" w:rsidR="00F91E92" w:rsidTr="004B68EA" w14:paraId="6496817E" w14:textId="77777777">
        <w:trPr>
          <w:cantSplit/>
          <w:trHeight w:val="20"/>
          <w:tblHeader/>
          <w:jc w:val="center"/>
        </w:trPr>
        <w:tc>
          <w:tcPr>
            <w:tcW w:w="9576" w:type="dxa"/>
            <w:gridSpan w:val="7"/>
            <w:tcBorders>
              <w:top w:val="nil"/>
              <w:left w:val="nil"/>
              <w:right w:val="nil"/>
            </w:tcBorders>
            <w:shd w:val="clear" w:color="auto" w:fill="auto"/>
          </w:tcPr>
          <w:p w:rsidRPr="00772D1C" w:rsidR="00F91E92" w:rsidP="00503C75" w:rsidRDefault="00F91E92" w14:paraId="039E224C" w14:textId="77777777">
            <w:pPr>
              <w:keepNext/>
              <w:jc w:val="center"/>
              <w:rPr>
                <w:sz w:val="20"/>
                <w:szCs w:val="20"/>
              </w:rPr>
            </w:pPr>
            <w:bookmarkStart w:name="_Hlk526861633" w:id="3"/>
            <w:bookmarkStart w:name="RANGE!A1" w:id="4"/>
            <w:r w:rsidRPr="00772D1C">
              <w:rPr>
                <w:sz w:val="20"/>
                <w:szCs w:val="20"/>
              </w:rPr>
              <w:t xml:space="preserve">Table </w:t>
            </w:r>
            <w:r w:rsidR="00A1141F">
              <w:rPr>
                <w:sz w:val="20"/>
                <w:szCs w:val="20"/>
              </w:rPr>
              <w:t>1</w:t>
            </w:r>
            <w:r w:rsidRPr="00772D1C">
              <w:rPr>
                <w:sz w:val="20"/>
                <w:szCs w:val="20"/>
              </w:rPr>
              <w:t>.--Estimated Annual Reporting Burden</w:t>
            </w:r>
            <w:bookmarkEnd w:id="4"/>
          </w:p>
        </w:tc>
      </w:tr>
      <w:tr w:rsidRPr="00A1141F" w:rsidR="00F91E92" w:rsidTr="00FE7921" w14:paraId="723108FB" w14:textId="77777777">
        <w:trPr>
          <w:cantSplit/>
          <w:trHeight w:val="20"/>
          <w:tblHeader/>
          <w:jc w:val="center"/>
        </w:trPr>
        <w:tc>
          <w:tcPr>
            <w:tcW w:w="2538" w:type="dxa"/>
            <w:shd w:val="clear" w:color="auto" w:fill="auto"/>
          </w:tcPr>
          <w:p w:rsidRPr="00772D1C" w:rsidR="00F91E92" w:rsidP="00503C75" w:rsidRDefault="00F91E92" w14:paraId="7CF2AE57" w14:textId="77777777">
            <w:pPr>
              <w:keepNext/>
              <w:jc w:val="center"/>
              <w:rPr>
                <w:sz w:val="20"/>
                <w:szCs w:val="20"/>
              </w:rPr>
            </w:pPr>
            <w:r w:rsidRPr="00772D1C">
              <w:rPr>
                <w:sz w:val="20"/>
                <w:szCs w:val="20"/>
              </w:rPr>
              <w:t xml:space="preserve">21 CFR Section </w:t>
            </w:r>
          </w:p>
        </w:tc>
        <w:tc>
          <w:tcPr>
            <w:tcW w:w="900" w:type="dxa"/>
            <w:shd w:val="clear" w:color="auto" w:fill="auto"/>
          </w:tcPr>
          <w:p w:rsidRPr="00772D1C" w:rsidR="00F91E92" w:rsidP="00503C75" w:rsidRDefault="00F91E92" w14:paraId="05172B35" w14:textId="77777777">
            <w:pPr>
              <w:keepNext/>
              <w:jc w:val="center"/>
              <w:rPr>
                <w:sz w:val="20"/>
                <w:szCs w:val="20"/>
              </w:rPr>
            </w:pPr>
            <w:r w:rsidRPr="00772D1C">
              <w:rPr>
                <w:sz w:val="20"/>
                <w:szCs w:val="20"/>
              </w:rPr>
              <w:t>FDA Form Number</w:t>
            </w:r>
          </w:p>
        </w:tc>
        <w:tc>
          <w:tcPr>
            <w:tcW w:w="1260" w:type="dxa"/>
            <w:shd w:val="clear" w:color="auto" w:fill="auto"/>
          </w:tcPr>
          <w:p w:rsidRPr="00772D1C" w:rsidR="00F91E92" w:rsidP="00503C75" w:rsidRDefault="00F91E92" w14:paraId="64E13D6F" w14:textId="77777777">
            <w:pPr>
              <w:keepNext/>
              <w:jc w:val="center"/>
              <w:rPr>
                <w:sz w:val="20"/>
                <w:szCs w:val="20"/>
              </w:rPr>
            </w:pPr>
            <w:r w:rsidRPr="00772D1C">
              <w:rPr>
                <w:sz w:val="20"/>
                <w:szCs w:val="20"/>
              </w:rPr>
              <w:t>No. of Respondents</w:t>
            </w:r>
          </w:p>
        </w:tc>
        <w:tc>
          <w:tcPr>
            <w:tcW w:w="1350" w:type="dxa"/>
            <w:shd w:val="clear" w:color="auto" w:fill="auto"/>
          </w:tcPr>
          <w:p w:rsidRPr="00772D1C" w:rsidR="00F91E92" w:rsidP="00503C75" w:rsidRDefault="00F91E92" w14:paraId="2FFEB978" w14:textId="77777777">
            <w:pPr>
              <w:keepNext/>
              <w:jc w:val="center"/>
              <w:rPr>
                <w:sz w:val="20"/>
                <w:szCs w:val="20"/>
              </w:rPr>
            </w:pPr>
            <w:r w:rsidRPr="00772D1C">
              <w:rPr>
                <w:sz w:val="20"/>
                <w:szCs w:val="20"/>
              </w:rPr>
              <w:t>Annual Frequency per Response</w:t>
            </w:r>
          </w:p>
        </w:tc>
        <w:tc>
          <w:tcPr>
            <w:tcW w:w="1170" w:type="dxa"/>
            <w:shd w:val="clear" w:color="auto" w:fill="auto"/>
          </w:tcPr>
          <w:p w:rsidRPr="00772D1C" w:rsidR="00F91E92" w:rsidP="00503C75" w:rsidRDefault="00F91E92" w14:paraId="5A1E0AE2" w14:textId="77777777">
            <w:pPr>
              <w:keepNext/>
              <w:jc w:val="center"/>
              <w:rPr>
                <w:sz w:val="20"/>
                <w:szCs w:val="20"/>
              </w:rPr>
            </w:pPr>
            <w:r w:rsidRPr="00772D1C">
              <w:rPr>
                <w:sz w:val="20"/>
                <w:szCs w:val="20"/>
              </w:rPr>
              <w:t>Total Annual Responses</w:t>
            </w:r>
          </w:p>
        </w:tc>
        <w:tc>
          <w:tcPr>
            <w:tcW w:w="1260" w:type="dxa"/>
            <w:shd w:val="clear" w:color="auto" w:fill="auto"/>
          </w:tcPr>
          <w:p w:rsidRPr="00772D1C" w:rsidR="00F91E92" w:rsidP="00503C75" w:rsidRDefault="00F91E92" w14:paraId="4D945538" w14:textId="77777777">
            <w:pPr>
              <w:keepNext/>
              <w:jc w:val="center"/>
              <w:rPr>
                <w:sz w:val="20"/>
                <w:szCs w:val="20"/>
              </w:rPr>
            </w:pPr>
            <w:r w:rsidRPr="00772D1C">
              <w:rPr>
                <w:sz w:val="20"/>
                <w:szCs w:val="20"/>
              </w:rPr>
              <w:t>Hours per Response</w:t>
            </w:r>
          </w:p>
        </w:tc>
        <w:tc>
          <w:tcPr>
            <w:tcW w:w="1098" w:type="dxa"/>
            <w:shd w:val="clear" w:color="auto" w:fill="auto"/>
          </w:tcPr>
          <w:p w:rsidRPr="00772D1C" w:rsidR="00F91E92" w:rsidP="00503C75" w:rsidRDefault="00F91E92" w14:paraId="4E962C5F" w14:textId="77777777">
            <w:pPr>
              <w:keepNext/>
              <w:jc w:val="center"/>
              <w:rPr>
                <w:sz w:val="20"/>
                <w:szCs w:val="20"/>
              </w:rPr>
            </w:pPr>
            <w:r w:rsidRPr="00772D1C">
              <w:rPr>
                <w:sz w:val="20"/>
                <w:szCs w:val="20"/>
              </w:rPr>
              <w:t>Total Hours</w:t>
            </w:r>
            <w:r w:rsidRPr="00AD76C1" w:rsidR="00CE3215">
              <w:rPr>
                <w:sz w:val="20"/>
                <w:szCs w:val="20"/>
                <w:vertAlign w:val="superscript"/>
              </w:rPr>
              <w:t>1</w:t>
            </w:r>
          </w:p>
        </w:tc>
      </w:tr>
      <w:tr w:rsidRPr="00A1141F" w:rsidR="00B66FE4" w:rsidTr="00FE7921" w14:paraId="7E09603F" w14:textId="77777777">
        <w:trPr>
          <w:cantSplit/>
          <w:trHeight w:val="20"/>
          <w:jc w:val="center"/>
        </w:trPr>
        <w:tc>
          <w:tcPr>
            <w:tcW w:w="2538" w:type="dxa"/>
            <w:shd w:val="clear" w:color="auto" w:fill="auto"/>
          </w:tcPr>
          <w:p w:rsidRPr="00772D1C" w:rsidR="00B66FE4" w:rsidP="00503C75" w:rsidRDefault="00B66FE4" w14:paraId="5E328888" w14:textId="77777777">
            <w:pPr>
              <w:keepNext/>
              <w:rPr>
                <w:sz w:val="20"/>
                <w:szCs w:val="20"/>
              </w:rPr>
            </w:pPr>
            <w:r w:rsidRPr="00772D1C">
              <w:rPr>
                <w:sz w:val="20"/>
                <w:szCs w:val="20"/>
              </w:rPr>
              <w:t>807.20(a)(5)</w:t>
            </w:r>
            <w:r w:rsidRPr="00772D1C" w:rsidR="00F02712">
              <w:rPr>
                <w:sz w:val="20"/>
                <w:szCs w:val="20"/>
                <w:vertAlign w:val="superscript"/>
              </w:rPr>
              <w:t>2</w:t>
            </w:r>
            <w:r w:rsidRPr="00772D1C">
              <w:rPr>
                <w:sz w:val="20"/>
                <w:szCs w:val="20"/>
              </w:rPr>
              <w:t xml:space="preserve"> </w:t>
            </w:r>
          </w:p>
          <w:p w:rsidRPr="00772D1C" w:rsidR="00895D2E" w:rsidP="00503C75" w:rsidRDefault="00495FB9" w14:paraId="53ACB347" w14:textId="77777777">
            <w:pPr>
              <w:keepNext/>
              <w:rPr>
                <w:sz w:val="20"/>
                <w:szCs w:val="20"/>
              </w:rPr>
            </w:pPr>
            <w:r>
              <w:rPr>
                <w:sz w:val="20"/>
                <w:szCs w:val="20"/>
              </w:rPr>
              <w:t xml:space="preserve">Initial </w:t>
            </w:r>
            <w:r w:rsidRPr="00772D1C" w:rsidR="00B66FE4">
              <w:rPr>
                <w:sz w:val="20"/>
                <w:szCs w:val="20"/>
              </w:rPr>
              <w:t>Submittal of Manufacturer Information by Initial Importers</w:t>
            </w:r>
          </w:p>
        </w:tc>
        <w:tc>
          <w:tcPr>
            <w:tcW w:w="900" w:type="dxa"/>
            <w:shd w:val="clear" w:color="auto" w:fill="auto"/>
          </w:tcPr>
          <w:p w:rsidRPr="00772D1C" w:rsidR="00B66FE4" w:rsidP="00503C75" w:rsidRDefault="005F7499" w14:paraId="23669DE3" w14:textId="77777777">
            <w:pPr>
              <w:keepNext/>
              <w:rPr>
                <w:sz w:val="20"/>
                <w:szCs w:val="20"/>
              </w:rPr>
            </w:pPr>
            <w:r w:rsidRPr="00772D1C">
              <w:rPr>
                <w:sz w:val="20"/>
                <w:szCs w:val="20"/>
              </w:rPr>
              <w:t>3673</w:t>
            </w:r>
          </w:p>
          <w:p w:rsidRPr="00772D1C" w:rsidR="006F28BE" w:rsidP="00503C75" w:rsidRDefault="006F28BE" w14:paraId="32C3C0F1" w14:textId="77777777">
            <w:pPr>
              <w:keepNext/>
              <w:rPr>
                <w:sz w:val="20"/>
                <w:szCs w:val="20"/>
              </w:rPr>
            </w:pPr>
          </w:p>
          <w:p w:rsidRPr="00772D1C" w:rsidR="006F28BE" w:rsidP="00503C75" w:rsidRDefault="006F28BE" w14:paraId="1ACDAF3A" w14:textId="77777777">
            <w:pPr>
              <w:keepNext/>
              <w:rPr>
                <w:sz w:val="20"/>
                <w:szCs w:val="20"/>
              </w:rPr>
            </w:pPr>
          </w:p>
        </w:tc>
        <w:tc>
          <w:tcPr>
            <w:tcW w:w="1260" w:type="dxa"/>
            <w:shd w:val="clear" w:color="auto" w:fill="auto"/>
          </w:tcPr>
          <w:p w:rsidRPr="00772D1C" w:rsidR="00B66FE4" w:rsidP="00503C75" w:rsidRDefault="00E75EEB" w14:paraId="5FC7F718" w14:textId="77777777">
            <w:pPr>
              <w:keepNext/>
              <w:jc w:val="right"/>
              <w:rPr>
                <w:sz w:val="20"/>
                <w:szCs w:val="20"/>
              </w:rPr>
            </w:pPr>
            <w:r>
              <w:rPr>
                <w:sz w:val="20"/>
                <w:szCs w:val="20"/>
              </w:rPr>
              <w:t>5,736</w:t>
            </w:r>
            <w:r w:rsidR="00220DE2">
              <w:rPr>
                <w:sz w:val="20"/>
                <w:szCs w:val="20"/>
              </w:rPr>
              <w:t xml:space="preserve"> </w:t>
            </w:r>
          </w:p>
        </w:tc>
        <w:tc>
          <w:tcPr>
            <w:tcW w:w="1350" w:type="dxa"/>
            <w:shd w:val="clear" w:color="auto" w:fill="auto"/>
          </w:tcPr>
          <w:p w:rsidRPr="00772D1C" w:rsidR="00B66FE4" w:rsidP="00503C75" w:rsidRDefault="00DA33B3" w14:paraId="155F484F" w14:textId="77777777">
            <w:pPr>
              <w:keepNext/>
              <w:jc w:val="right"/>
              <w:rPr>
                <w:sz w:val="20"/>
                <w:szCs w:val="20"/>
              </w:rPr>
            </w:pPr>
            <w:r w:rsidRPr="00772D1C">
              <w:rPr>
                <w:sz w:val="20"/>
                <w:szCs w:val="20"/>
              </w:rPr>
              <w:t>1</w:t>
            </w:r>
          </w:p>
        </w:tc>
        <w:tc>
          <w:tcPr>
            <w:tcW w:w="1170" w:type="dxa"/>
            <w:shd w:val="clear" w:color="auto" w:fill="auto"/>
          </w:tcPr>
          <w:p w:rsidRPr="00772D1C" w:rsidR="00B66FE4" w:rsidP="00503C75" w:rsidRDefault="00E75EEB" w14:paraId="0365CA75" w14:textId="77777777">
            <w:pPr>
              <w:keepNext/>
              <w:jc w:val="right"/>
              <w:rPr>
                <w:sz w:val="20"/>
                <w:szCs w:val="20"/>
              </w:rPr>
            </w:pPr>
            <w:r>
              <w:rPr>
                <w:sz w:val="20"/>
                <w:szCs w:val="20"/>
              </w:rPr>
              <w:t>5,736</w:t>
            </w:r>
          </w:p>
        </w:tc>
        <w:tc>
          <w:tcPr>
            <w:tcW w:w="1260" w:type="dxa"/>
            <w:shd w:val="clear" w:color="auto" w:fill="auto"/>
          </w:tcPr>
          <w:p w:rsidRPr="00772D1C" w:rsidR="00B66FE4" w:rsidP="00503C75" w:rsidRDefault="00DA33B3" w14:paraId="7314901D" w14:textId="77777777">
            <w:pPr>
              <w:keepNext/>
              <w:jc w:val="right"/>
              <w:rPr>
                <w:sz w:val="20"/>
                <w:szCs w:val="20"/>
              </w:rPr>
            </w:pPr>
            <w:r w:rsidRPr="00772D1C">
              <w:rPr>
                <w:sz w:val="20"/>
                <w:szCs w:val="20"/>
              </w:rPr>
              <w:t>1.75</w:t>
            </w:r>
          </w:p>
        </w:tc>
        <w:tc>
          <w:tcPr>
            <w:tcW w:w="1098" w:type="dxa"/>
            <w:shd w:val="clear" w:color="auto" w:fill="auto"/>
          </w:tcPr>
          <w:p w:rsidRPr="00772D1C" w:rsidR="00B66FE4" w:rsidP="00503C75" w:rsidRDefault="00220DE2" w14:paraId="76E9AFC7" w14:textId="77777777">
            <w:pPr>
              <w:keepNext/>
              <w:jc w:val="right"/>
              <w:rPr>
                <w:sz w:val="20"/>
                <w:szCs w:val="20"/>
              </w:rPr>
            </w:pPr>
            <w:r>
              <w:rPr>
                <w:sz w:val="20"/>
                <w:szCs w:val="20"/>
              </w:rPr>
              <w:t>10,038</w:t>
            </w:r>
          </w:p>
        </w:tc>
      </w:tr>
      <w:tr w:rsidRPr="00A1141F" w:rsidR="00F02712" w:rsidTr="00FE7921" w14:paraId="13465F06" w14:textId="77777777">
        <w:trPr>
          <w:cantSplit/>
          <w:trHeight w:val="20"/>
          <w:jc w:val="center"/>
        </w:trPr>
        <w:tc>
          <w:tcPr>
            <w:tcW w:w="2538" w:type="dxa"/>
            <w:shd w:val="clear" w:color="auto" w:fill="auto"/>
          </w:tcPr>
          <w:p w:rsidRPr="00772D1C" w:rsidR="00F02712" w:rsidP="00503C75" w:rsidRDefault="00F02712" w14:paraId="48BE53F0" w14:textId="77777777">
            <w:pPr>
              <w:keepNext/>
              <w:rPr>
                <w:sz w:val="20"/>
                <w:szCs w:val="20"/>
              </w:rPr>
            </w:pPr>
            <w:r w:rsidRPr="00772D1C">
              <w:rPr>
                <w:sz w:val="20"/>
                <w:szCs w:val="20"/>
              </w:rPr>
              <w:t>807.20(a)(5)</w:t>
            </w:r>
            <w:r w:rsidRPr="00772D1C">
              <w:rPr>
                <w:sz w:val="20"/>
                <w:szCs w:val="20"/>
                <w:vertAlign w:val="superscript"/>
              </w:rPr>
              <w:t>3</w:t>
            </w:r>
            <w:r w:rsidRPr="00772D1C">
              <w:rPr>
                <w:sz w:val="20"/>
                <w:szCs w:val="20"/>
              </w:rPr>
              <w:t xml:space="preserve"> </w:t>
            </w:r>
          </w:p>
          <w:p w:rsidRPr="00772D1C" w:rsidR="00F02712" w:rsidP="00503C75" w:rsidRDefault="00495FB9" w14:paraId="48A6EC30" w14:textId="77777777">
            <w:pPr>
              <w:keepNext/>
              <w:rPr>
                <w:sz w:val="20"/>
                <w:szCs w:val="20"/>
              </w:rPr>
            </w:pPr>
            <w:r>
              <w:rPr>
                <w:sz w:val="20"/>
                <w:szCs w:val="20"/>
              </w:rPr>
              <w:t xml:space="preserve">Annual </w:t>
            </w:r>
            <w:r w:rsidRPr="00772D1C" w:rsidR="00F02712">
              <w:rPr>
                <w:sz w:val="20"/>
                <w:szCs w:val="20"/>
              </w:rPr>
              <w:t>Submittal of Manufacturer Information by Initial Importers</w:t>
            </w:r>
          </w:p>
        </w:tc>
        <w:tc>
          <w:tcPr>
            <w:tcW w:w="900" w:type="dxa"/>
            <w:shd w:val="clear" w:color="auto" w:fill="auto"/>
          </w:tcPr>
          <w:p w:rsidRPr="00772D1C" w:rsidR="00F02712" w:rsidP="00503C75" w:rsidRDefault="00F02712" w14:paraId="46BFCAA6" w14:textId="77777777">
            <w:pPr>
              <w:keepNext/>
              <w:rPr>
                <w:sz w:val="20"/>
                <w:szCs w:val="20"/>
              </w:rPr>
            </w:pPr>
            <w:r w:rsidRPr="00772D1C">
              <w:rPr>
                <w:sz w:val="20"/>
                <w:szCs w:val="20"/>
              </w:rPr>
              <w:t>3673</w:t>
            </w:r>
          </w:p>
        </w:tc>
        <w:tc>
          <w:tcPr>
            <w:tcW w:w="1260" w:type="dxa"/>
            <w:shd w:val="clear" w:color="auto" w:fill="auto"/>
          </w:tcPr>
          <w:p w:rsidRPr="00772D1C" w:rsidR="00F02712" w:rsidP="00503C75" w:rsidRDefault="00E75EEB" w14:paraId="46CE1AA5" w14:textId="77777777">
            <w:pPr>
              <w:keepNext/>
              <w:jc w:val="right"/>
              <w:rPr>
                <w:sz w:val="20"/>
                <w:szCs w:val="20"/>
              </w:rPr>
            </w:pPr>
            <w:r>
              <w:rPr>
                <w:sz w:val="20"/>
                <w:szCs w:val="20"/>
              </w:rPr>
              <w:t>5,736</w:t>
            </w:r>
            <w:r w:rsidR="00220DE2">
              <w:rPr>
                <w:sz w:val="20"/>
                <w:szCs w:val="20"/>
              </w:rPr>
              <w:t xml:space="preserve"> </w:t>
            </w:r>
          </w:p>
        </w:tc>
        <w:tc>
          <w:tcPr>
            <w:tcW w:w="1350" w:type="dxa"/>
            <w:shd w:val="clear" w:color="auto" w:fill="auto"/>
          </w:tcPr>
          <w:p w:rsidRPr="00772D1C" w:rsidR="00F02712" w:rsidP="00503C75" w:rsidRDefault="00E75EEB" w14:paraId="6BE10BB3" w14:textId="77777777">
            <w:pPr>
              <w:keepNext/>
              <w:jc w:val="right"/>
              <w:rPr>
                <w:sz w:val="20"/>
                <w:szCs w:val="20"/>
              </w:rPr>
            </w:pPr>
            <w:r>
              <w:rPr>
                <w:sz w:val="20"/>
                <w:szCs w:val="20"/>
              </w:rPr>
              <w:t>1</w:t>
            </w:r>
          </w:p>
        </w:tc>
        <w:tc>
          <w:tcPr>
            <w:tcW w:w="1170" w:type="dxa"/>
            <w:shd w:val="clear" w:color="auto" w:fill="auto"/>
          </w:tcPr>
          <w:p w:rsidRPr="00772D1C" w:rsidR="00F02712" w:rsidP="00503C75" w:rsidRDefault="00E75EEB" w14:paraId="338AB11D" w14:textId="77777777">
            <w:pPr>
              <w:keepNext/>
              <w:jc w:val="right"/>
              <w:rPr>
                <w:sz w:val="20"/>
                <w:szCs w:val="20"/>
              </w:rPr>
            </w:pPr>
            <w:r>
              <w:rPr>
                <w:sz w:val="20"/>
                <w:szCs w:val="20"/>
              </w:rPr>
              <w:t>5,736</w:t>
            </w:r>
          </w:p>
        </w:tc>
        <w:tc>
          <w:tcPr>
            <w:tcW w:w="1260" w:type="dxa"/>
            <w:shd w:val="clear" w:color="auto" w:fill="auto"/>
          </w:tcPr>
          <w:p w:rsidRPr="00772D1C" w:rsidR="00F02712" w:rsidP="00503C75" w:rsidRDefault="00CE3215" w14:paraId="6AB96C57" w14:textId="77777777">
            <w:pPr>
              <w:keepNext/>
              <w:jc w:val="right"/>
              <w:rPr>
                <w:sz w:val="20"/>
                <w:szCs w:val="20"/>
              </w:rPr>
            </w:pPr>
            <w:r>
              <w:rPr>
                <w:sz w:val="20"/>
                <w:szCs w:val="20"/>
              </w:rPr>
              <w:t>0</w:t>
            </w:r>
            <w:r w:rsidRPr="00772D1C" w:rsidR="00977218">
              <w:rPr>
                <w:sz w:val="20"/>
                <w:szCs w:val="20"/>
              </w:rPr>
              <w:t>.1</w:t>
            </w:r>
          </w:p>
        </w:tc>
        <w:tc>
          <w:tcPr>
            <w:tcW w:w="1098" w:type="dxa"/>
            <w:shd w:val="clear" w:color="auto" w:fill="auto"/>
          </w:tcPr>
          <w:p w:rsidRPr="00772D1C" w:rsidR="00F02712" w:rsidP="00503C75" w:rsidRDefault="00E75EEB" w14:paraId="667E3865" w14:textId="77777777">
            <w:pPr>
              <w:keepNext/>
              <w:jc w:val="right"/>
              <w:rPr>
                <w:sz w:val="20"/>
                <w:szCs w:val="20"/>
              </w:rPr>
            </w:pPr>
            <w:r>
              <w:rPr>
                <w:sz w:val="20"/>
                <w:szCs w:val="20"/>
              </w:rPr>
              <w:t>574</w:t>
            </w:r>
          </w:p>
        </w:tc>
      </w:tr>
      <w:tr w:rsidRPr="00A1141F" w:rsidR="000A78D0" w:rsidTr="00FE7921" w14:paraId="3A365BE4" w14:textId="77777777">
        <w:trPr>
          <w:cantSplit/>
          <w:trHeight w:val="20"/>
          <w:jc w:val="center"/>
        </w:trPr>
        <w:tc>
          <w:tcPr>
            <w:tcW w:w="2538" w:type="dxa"/>
            <w:shd w:val="clear" w:color="auto" w:fill="auto"/>
          </w:tcPr>
          <w:p w:rsidRPr="00772D1C" w:rsidR="000A78D0" w:rsidP="00503C75" w:rsidRDefault="000A78D0" w14:paraId="0DB824FA" w14:textId="77777777">
            <w:pPr>
              <w:keepNext/>
              <w:rPr>
                <w:sz w:val="20"/>
                <w:szCs w:val="20"/>
              </w:rPr>
            </w:pPr>
            <w:r w:rsidRPr="00772D1C">
              <w:rPr>
                <w:sz w:val="20"/>
                <w:szCs w:val="20"/>
              </w:rPr>
              <w:t>807.21(a)</w:t>
            </w:r>
            <w:r w:rsidR="00535B90">
              <w:rPr>
                <w:sz w:val="20"/>
                <w:szCs w:val="20"/>
                <w:vertAlign w:val="superscript"/>
              </w:rPr>
              <w:t>2</w:t>
            </w:r>
          </w:p>
          <w:p w:rsidRPr="00772D1C" w:rsidR="000A78D0" w:rsidP="00503C75" w:rsidRDefault="00495FB9" w14:paraId="6C6F3C58" w14:textId="77777777">
            <w:pPr>
              <w:keepNext/>
              <w:rPr>
                <w:sz w:val="20"/>
                <w:szCs w:val="20"/>
              </w:rPr>
            </w:pPr>
            <w:r>
              <w:rPr>
                <w:sz w:val="20"/>
                <w:szCs w:val="20"/>
              </w:rPr>
              <w:t>C</w:t>
            </w:r>
            <w:r w:rsidRPr="00772D1C" w:rsidR="006A7A39">
              <w:rPr>
                <w:sz w:val="20"/>
                <w:szCs w:val="20"/>
              </w:rPr>
              <w:t>reation of electronic system account</w:t>
            </w:r>
          </w:p>
        </w:tc>
        <w:tc>
          <w:tcPr>
            <w:tcW w:w="900" w:type="dxa"/>
            <w:shd w:val="clear" w:color="auto" w:fill="auto"/>
          </w:tcPr>
          <w:p w:rsidRPr="00772D1C" w:rsidR="000A78D0" w:rsidP="00503C75" w:rsidRDefault="002E0493" w14:paraId="026AFEA6" w14:textId="77777777">
            <w:pPr>
              <w:keepNext/>
              <w:rPr>
                <w:sz w:val="20"/>
                <w:szCs w:val="20"/>
              </w:rPr>
            </w:pPr>
            <w:r w:rsidRPr="00772D1C">
              <w:rPr>
                <w:sz w:val="20"/>
                <w:szCs w:val="20"/>
              </w:rPr>
              <w:t>3673</w:t>
            </w:r>
          </w:p>
        </w:tc>
        <w:tc>
          <w:tcPr>
            <w:tcW w:w="1260" w:type="dxa"/>
            <w:shd w:val="clear" w:color="auto" w:fill="auto"/>
          </w:tcPr>
          <w:p w:rsidRPr="00772D1C" w:rsidR="002A0708" w:rsidP="00503C75" w:rsidRDefault="002A0708" w14:paraId="5DB7D163" w14:textId="77777777">
            <w:pPr>
              <w:keepNext/>
              <w:jc w:val="right"/>
              <w:rPr>
                <w:sz w:val="20"/>
                <w:szCs w:val="20"/>
              </w:rPr>
            </w:pPr>
            <w:r>
              <w:rPr>
                <w:sz w:val="20"/>
                <w:szCs w:val="20"/>
              </w:rPr>
              <w:t>2,937</w:t>
            </w:r>
          </w:p>
        </w:tc>
        <w:tc>
          <w:tcPr>
            <w:tcW w:w="1350" w:type="dxa"/>
            <w:shd w:val="clear" w:color="auto" w:fill="auto"/>
          </w:tcPr>
          <w:p w:rsidRPr="00772D1C" w:rsidR="000A78D0" w:rsidP="00503C75" w:rsidRDefault="006A7A39" w14:paraId="6FE8ADD0" w14:textId="77777777">
            <w:pPr>
              <w:keepNext/>
              <w:jc w:val="right"/>
              <w:rPr>
                <w:sz w:val="20"/>
                <w:szCs w:val="20"/>
              </w:rPr>
            </w:pPr>
            <w:r w:rsidRPr="00772D1C">
              <w:rPr>
                <w:sz w:val="20"/>
                <w:szCs w:val="20"/>
              </w:rPr>
              <w:t>1</w:t>
            </w:r>
          </w:p>
        </w:tc>
        <w:tc>
          <w:tcPr>
            <w:tcW w:w="1170" w:type="dxa"/>
            <w:shd w:val="clear" w:color="auto" w:fill="auto"/>
          </w:tcPr>
          <w:p w:rsidRPr="00772D1C" w:rsidR="000A78D0" w:rsidP="00503C75" w:rsidRDefault="00E75EEB" w14:paraId="4C60F627" w14:textId="77777777">
            <w:pPr>
              <w:keepNext/>
              <w:jc w:val="right"/>
              <w:rPr>
                <w:sz w:val="20"/>
                <w:szCs w:val="20"/>
              </w:rPr>
            </w:pPr>
            <w:r>
              <w:rPr>
                <w:sz w:val="20"/>
                <w:szCs w:val="20"/>
              </w:rPr>
              <w:t>2,937</w:t>
            </w:r>
          </w:p>
        </w:tc>
        <w:tc>
          <w:tcPr>
            <w:tcW w:w="1260" w:type="dxa"/>
            <w:shd w:val="clear" w:color="auto" w:fill="auto"/>
          </w:tcPr>
          <w:p w:rsidRPr="00772D1C" w:rsidR="000A78D0" w:rsidP="00503C75" w:rsidRDefault="00CE3215" w14:paraId="3ED01E18" w14:textId="77777777">
            <w:pPr>
              <w:keepNext/>
              <w:jc w:val="right"/>
              <w:rPr>
                <w:sz w:val="20"/>
                <w:szCs w:val="20"/>
              </w:rPr>
            </w:pPr>
            <w:r>
              <w:rPr>
                <w:sz w:val="20"/>
                <w:szCs w:val="20"/>
              </w:rPr>
              <w:t>0</w:t>
            </w:r>
            <w:r w:rsidRPr="00772D1C" w:rsidR="006A7A39">
              <w:rPr>
                <w:sz w:val="20"/>
                <w:szCs w:val="20"/>
              </w:rPr>
              <w:t>.5</w:t>
            </w:r>
          </w:p>
        </w:tc>
        <w:tc>
          <w:tcPr>
            <w:tcW w:w="1098" w:type="dxa"/>
            <w:shd w:val="clear" w:color="auto" w:fill="auto"/>
          </w:tcPr>
          <w:p w:rsidRPr="00772D1C" w:rsidR="000A78D0" w:rsidP="00503C75" w:rsidRDefault="00E75EEB" w14:paraId="511F5616" w14:textId="77777777">
            <w:pPr>
              <w:keepNext/>
              <w:jc w:val="right"/>
              <w:rPr>
                <w:sz w:val="20"/>
                <w:szCs w:val="20"/>
              </w:rPr>
            </w:pPr>
            <w:r>
              <w:rPr>
                <w:sz w:val="20"/>
                <w:szCs w:val="20"/>
              </w:rPr>
              <w:t>1</w:t>
            </w:r>
            <w:r w:rsidR="00220DE2">
              <w:rPr>
                <w:sz w:val="20"/>
                <w:szCs w:val="20"/>
              </w:rPr>
              <w:t>,</w:t>
            </w:r>
            <w:r>
              <w:rPr>
                <w:sz w:val="20"/>
                <w:szCs w:val="20"/>
              </w:rPr>
              <w:t>469</w:t>
            </w:r>
          </w:p>
        </w:tc>
      </w:tr>
      <w:tr w:rsidRPr="00A1141F" w:rsidR="00480041" w:rsidTr="00FE7921" w14:paraId="23D7E14A" w14:textId="77777777">
        <w:trPr>
          <w:cantSplit/>
          <w:trHeight w:val="20"/>
          <w:jc w:val="center"/>
        </w:trPr>
        <w:tc>
          <w:tcPr>
            <w:tcW w:w="2538" w:type="dxa"/>
            <w:shd w:val="clear" w:color="auto" w:fill="auto"/>
          </w:tcPr>
          <w:p w:rsidRPr="00772D1C" w:rsidR="00480041" w:rsidP="00503C75" w:rsidRDefault="00480041" w14:paraId="527001C2" w14:textId="77777777">
            <w:pPr>
              <w:keepNext/>
              <w:rPr>
                <w:sz w:val="20"/>
                <w:szCs w:val="20"/>
              </w:rPr>
            </w:pPr>
            <w:r w:rsidRPr="00772D1C">
              <w:rPr>
                <w:sz w:val="20"/>
                <w:szCs w:val="20"/>
              </w:rPr>
              <w:t>807.21(b)</w:t>
            </w:r>
            <w:r w:rsidR="00535B90">
              <w:rPr>
                <w:sz w:val="20"/>
                <w:szCs w:val="20"/>
                <w:vertAlign w:val="superscript"/>
              </w:rPr>
              <w:t>3</w:t>
            </w:r>
          </w:p>
          <w:p w:rsidRPr="00772D1C" w:rsidR="007E528C" w:rsidP="00503C75" w:rsidRDefault="00AC081C" w14:paraId="2E0057B4" w14:textId="77777777">
            <w:pPr>
              <w:keepNext/>
              <w:rPr>
                <w:sz w:val="20"/>
                <w:szCs w:val="20"/>
              </w:rPr>
            </w:pPr>
            <w:r w:rsidRPr="00772D1C">
              <w:rPr>
                <w:sz w:val="20"/>
                <w:szCs w:val="20"/>
              </w:rPr>
              <w:t xml:space="preserve">Annual </w:t>
            </w:r>
            <w:r w:rsidRPr="00772D1C" w:rsidR="007E528C">
              <w:rPr>
                <w:sz w:val="20"/>
                <w:szCs w:val="20"/>
              </w:rPr>
              <w:t>Request</w:t>
            </w:r>
            <w:r w:rsidRPr="00772D1C">
              <w:rPr>
                <w:sz w:val="20"/>
                <w:szCs w:val="20"/>
              </w:rPr>
              <w:t xml:space="preserve"> for </w:t>
            </w:r>
            <w:r w:rsidRPr="00772D1C" w:rsidR="007C3BB1">
              <w:rPr>
                <w:sz w:val="20"/>
                <w:szCs w:val="20"/>
              </w:rPr>
              <w:t>Waiver from Electronic Registration</w:t>
            </w:r>
            <w:r w:rsidRPr="00772D1C" w:rsidR="007E528C">
              <w:rPr>
                <w:sz w:val="20"/>
                <w:szCs w:val="20"/>
              </w:rPr>
              <w:t xml:space="preserve"> &amp; Listing</w:t>
            </w:r>
            <w:r w:rsidRPr="00772D1C" w:rsidR="006F3372">
              <w:rPr>
                <w:sz w:val="20"/>
                <w:szCs w:val="20"/>
              </w:rPr>
              <w:t xml:space="preserve"> </w:t>
            </w:r>
          </w:p>
        </w:tc>
        <w:tc>
          <w:tcPr>
            <w:tcW w:w="900" w:type="dxa"/>
            <w:shd w:val="clear" w:color="auto" w:fill="auto"/>
          </w:tcPr>
          <w:p w:rsidRPr="00772D1C" w:rsidR="00480041" w:rsidP="00503C75" w:rsidRDefault="00480041" w14:paraId="5E316144" w14:textId="77777777">
            <w:pPr>
              <w:keepNext/>
              <w:rPr>
                <w:color w:val="FF0000"/>
                <w:sz w:val="20"/>
                <w:szCs w:val="20"/>
              </w:rPr>
            </w:pPr>
            <w:r w:rsidRPr="00772D1C">
              <w:rPr>
                <w:color w:val="FF0000"/>
                <w:sz w:val="20"/>
                <w:szCs w:val="20"/>
              </w:rPr>
              <w:t> </w:t>
            </w:r>
          </w:p>
        </w:tc>
        <w:tc>
          <w:tcPr>
            <w:tcW w:w="1260" w:type="dxa"/>
            <w:shd w:val="clear" w:color="auto" w:fill="auto"/>
          </w:tcPr>
          <w:p w:rsidRPr="00772D1C" w:rsidR="00480041" w:rsidP="00503C75" w:rsidRDefault="00495FB9" w14:paraId="276D557B" w14:textId="77777777">
            <w:pPr>
              <w:keepNext/>
              <w:jc w:val="right"/>
              <w:rPr>
                <w:sz w:val="20"/>
                <w:szCs w:val="20"/>
              </w:rPr>
            </w:pPr>
            <w:r>
              <w:rPr>
                <w:sz w:val="20"/>
                <w:szCs w:val="20"/>
              </w:rPr>
              <w:t>1</w:t>
            </w:r>
          </w:p>
        </w:tc>
        <w:tc>
          <w:tcPr>
            <w:tcW w:w="1350" w:type="dxa"/>
            <w:shd w:val="clear" w:color="auto" w:fill="auto"/>
          </w:tcPr>
          <w:p w:rsidRPr="00772D1C" w:rsidR="00480041" w:rsidP="00503C75" w:rsidRDefault="00480041" w14:paraId="2875191D" w14:textId="77777777">
            <w:pPr>
              <w:keepNext/>
              <w:jc w:val="right"/>
              <w:rPr>
                <w:sz w:val="20"/>
                <w:szCs w:val="20"/>
              </w:rPr>
            </w:pPr>
            <w:r w:rsidRPr="00772D1C">
              <w:rPr>
                <w:sz w:val="20"/>
                <w:szCs w:val="20"/>
              </w:rPr>
              <w:t>1</w:t>
            </w:r>
          </w:p>
        </w:tc>
        <w:tc>
          <w:tcPr>
            <w:tcW w:w="1170" w:type="dxa"/>
            <w:shd w:val="clear" w:color="auto" w:fill="auto"/>
          </w:tcPr>
          <w:p w:rsidRPr="00772D1C" w:rsidR="00480041" w:rsidP="00503C75" w:rsidRDefault="00480041" w14:paraId="2F5147AD" w14:textId="77777777">
            <w:pPr>
              <w:keepNext/>
              <w:jc w:val="right"/>
              <w:rPr>
                <w:sz w:val="20"/>
                <w:szCs w:val="20"/>
              </w:rPr>
            </w:pPr>
            <w:r w:rsidRPr="00772D1C">
              <w:rPr>
                <w:sz w:val="20"/>
                <w:szCs w:val="20"/>
              </w:rPr>
              <w:t>1</w:t>
            </w:r>
          </w:p>
        </w:tc>
        <w:tc>
          <w:tcPr>
            <w:tcW w:w="1260" w:type="dxa"/>
            <w:shd w:val="clear" w:color="auto" w:fill="auto"/>
          </w:tcPr>
          <w:p w:rsidRPr="00772D1C" w:rsidR="00480041" w:rsidP="00503C75" w:rsidRDefault="00480041" w14:paraId="5C377F07" w14:textId="77777777">
            <w:pPr>
              <w:keepNext/>
              <w:jc w:val="right"/>
              <w:rPr>
                <w:sz w:val="20"/>
                <w:szCs w:val="20"/>
              </w:rPr>
            </w:pPr>
            <w:r w:rsidRPr="00772D1C">
              <w:rPr>
                <w:sz w:val="20"/>
                <w:szCs w:val="20"/>
              </w:rPr>
              <w:t>1</w:t>
            </w:r>
          </w:p>
        </w:tc>
        <w:tc>
          <w:tcPr>
            <w:tcW w:w="1098" w:type="dxa"/>
            <w:shd w:val="clear" w:color="auto" w:fill="auto"/>
          </w:tcPr>
          <w:p w:rsidRPr="00772D1C" w:rsidR="00480041" w:rsidP="00503C75" w:rsidRDefault="00480041" w14:paraId="58111ECF" w14:textId="77777777">
            <w:pPr>
              <w:keepNext/>
              <w:jc w:val="right"/>
              <w:rPr>
                <w:sz w:val="20"/>
                <w:szCs w:val="20"/>
              </w:rPr>
            </w:pPr>
            <w:r w:rsidRPr="00772D1C">
              <w:rPr>
                <w:sz w:val="20"/>
                <w:szCs w:val="20"/>
              </w:rPr>
              <w:t>1</w:t>
            </w:r>
          </w:p>
        </w:tc>
      </w:tr>
      <w:tr w:rsidRPr="00A1141F" w:rsidR="00480041" w:rsidTr="00FE7921" w14:paraId="131599CB" w14:textId="77777777">
        <w:trPr>
          <w:cantSplit/>
          <w:trHeight w:val="20"/>
          <w:jc w:val="center"/>
        </w:trPr>
        <w:tc>
          <w:tcPr>
            <w:tcW w:w="2538" w:type="dxa"/>
            <w:shd w:val="clear" w:color="auto" w:fill="auto"/>
          </w:tcPr>
          <w:p w:rsidRPr="00772D1C" w:rsidR="00480041" w:rsidP="00503C75" w:rsidRDefault="00480041" w14:paraId="2BEA918D" w14:textId="77777777">
            <w:pPr>
              <w:keepNext/>
              <w:rPr>
                <w:sz w:val="20"/>
                <w:szCs w:val="20"/>
              </w:rPr>
            </w:pPr>
            <w:r w:rsidRPr="00772D1C">
              <w:rPr>
                <w:sz w:val="20"/>
                <w:szCs w:val="20"/>
              </w:rPr>
              <w:t>807.21(b)</w:t>
            </w:r>
            <w:r w:rsidR="00535B90">
              <w:rPr>
                <w:sz w:val="20"/>
                <w:szCs w:val="20"/>
                <w:vertAlign w:val="superscript"/>
              </w:rPr>
              <w:t>2</w:t>
            </w:r>
          </w:p>
          <w:p w:rsidRPr="00772D1C" w:rsidR="00AC081C" w:rsidP="00503C75" w:rsidRDefault="00306613" w14:paraId="60DE9481" w14:textId="77777777">
            <w:pPr>
              <w:keepNext/>
              <w:rPr>
                <w:sz w:val="20"/>
                <w:szCs w:val="20"/>
              </w:rPr>
            </w:pPr>
            <w:r w:rsidRPr="00772D1C">
              <w:rPr>
                <w:sz w:val="20"/>
                <w:szCs w:val="20"/>
              </w:rPr>
              <w:t>Initial</w:t>
            </w:r>
            <w:r w:rsidRPr="00772D1C" w:rsidR="00AC081C">
              <w:rPr>
                <w:sz w:val="20"/>
                <w:szCs w:val="20"/>
              </w:rPr>
              <w:t xml:space="preserve"> Request for Waiver from Electronic Registration &amp; Listing </w:t>
            </w:r>
          </w:p>
        </w:tc>
        <w:tc>
          <w:tcPr>
            <w:tcW w:w="900" w:type="dxa"/>
            <w:shd w:val="clear" w:color="auto" w:fill="auto"/>
          </w:tcPr>
          <w:p w:rsidRPr="00772D1C" w:rsidR="00480041" w:rsidP="00503C75" w:rsidRDefault="00480041" w14:paraId="55F4013D" w14:textId="77777777">
            <w:pPr>
              <w:keepNext/>
              <w:rPr>
                <w:color w:val="FF0000"/>
                <w:sz w:val="20"/>
                <w:szCs w:val="20"/>
              </w:rPr>
            </w:pPr>
            <w:r w:rsidRPr="00772D1C">
              <w:rPr>
                <w:color w:val="FF0000"/>
                <w:sz w:val="20"/>
                <w:szCs w:val="20"/>
              </w:rPr>
              <w:t> </w:t>
            </w:r>
          </w:p>
        </w:tc>
        <w:tc>
          <w:tcPr>
            <w:tcW w:w="1260" w:type="dxa"/>
            <w:shd w:val="clear" w:color="auto" w:fill="auto"/>
          </w:tcPr>
          <w:p w:rsidRPr="00772D1C" w:rsidR="00480041" w:rsidP="00503C75" w:rsidRDefault="00E500B8" w14:paraId="0CE05BFA" w14:textId="77777777">
            <w:pPr>
              <w:keepNext/>
              <w:jc w:val="right"/>
              <w:rPr>
                <w:sz w:val="20"/>
                <w:szCs w:val="20"/>
              </w:rPr>
            </w:pPr>
            <w:r>
              <w:rPr>
                <w:sz w:val="20"/>
                <w:szCs w:val="20"/>
              </w:rPr>
              <w:t>1</w:t>
            </w:r>
          </w:p>
        </w:tc>
        <w:tc>
          <w:tcPr>
            <w:tcW w:w="1350" w:type="dxa"/>
            <w:shd w:val="clear" w:color="auto" w:fill="auto"/>
          </w:tcPr>
          <w:p w:rsidRPr="00772D1C" w:rsidR="00480041" w:rsidP="00503C75" w:rsidRDefault="00480041" w14:paraId="16353EFE" w14:textId="77777777">
            <w:pPr>
              <w:keepNext/>
              <w:jc w:val="right"/>
              <w:rPr>
                <w:sz w:val="20"/>
                <w:szCs w:val="20"/>
              </w:rPr>
            </w:pPr>
            <w:r w:rsidRPr="00772D1C">
              <w:rPr>
                <w:sz w:val="20"/>
                <w:szCs w:val="20"/>
              </w:rPr>
              <w:t>1</w:t>
            </w:r>
          </w:p>
        </w:tc>
        <w:tc>
          <w:tcPr>
            <w:tcW w:w="1170" w:type="dxa"/>
            <w:shd w:val="clear" w:color="auto" w:fill="auto"/>
          </w:tcPr>
          <w:p w:rsidRPr="00772D1C" w:rsidR="00480041" w:rsidP="00503C75" w:rsidRDefault="00495FB9" w14:paraId="13BE6075" w14:textId="77777777">
            <w:pPr>
              <w:keepNext/>
              <w:jc w:val="right"/>
              <w:rPr>
                <w:sz w:val="20"/>
                <w:szCs w:val="20"/>
              </w:rPr>
            </w:pPr>
            <w:r>
              <w:rPr>
                <w:sz w:val="20"/>
                <w:szCs w:val="20"/>
              </w:rPr>
              <w:t>1</w:t>
            </w:r>
          </w:p>
        </w:tc>
        <w:tc>
          <w:tcPr>
            <w:tcW w:w="1260" w:type="dxa"/>
            <w:shd w:val="clear" w:color="auto" w:fill="auto"/>
          </w:tcPr>
          <w:p w:rsidRPr="00772D1C" w:rsidR="00480041" w:rsidP="00503C75" w:rsidRDefault="00480041" w14:paraId="0987153D" w14:textId="77777777">
            <w:pPr>
              <w:keepNext/>
              <w:jc w:val="right"/>
              <w:rPr>
                <w:sz w:val="20"/>
                <w:szCs w:val="20"/>
              </w:rPr>
            </w:pPr>
            <w:r w:rsidRPr="00772D1C">
              <w:rPr>
                <w:sz w:val="20"/>
                <w:szCs w:val="20"/>
              </w:rPr>
              <w:t>1</w:t>
            </w:r>
          </w:p>
        </w:tc>
        <w:tc>
          <w:tcPr>
            <w:tcW w:w="1098" w:type="dxa"/>
            <w:shd w:val="clear" w:color="auto" w:fill="auto"/>
          </w:tcPr>
          <w:p w:rsidRPr="00772D1C" w:rsidR="00480041" w:rsidP="00503C75" w:rsidRDefault="00495FB9" w14:paraId="1E46897F" w14:textId="77777777">
            <w:pPr>
              <w:keepNext/>
              <w:jc w:val="right"/>
              <w:rPr>
                <w:sz w:val="20"/>
                <w:szCs w:val="20"/>
              </w:rPr>
            </w:pPr>
            <w:r>
              <w:rPr>
                <w:sz w:val="20"/>
                <w:szCs w:val="20"/>
              </w:rPr>
              <w:t>1</w:t>
            </w:r>
          </w:p>
        </w:tc>
      </w:tr>
      <w:tr w:rsidRPr="00A1141F" w:rsidR="00480041" w:rsidTr="00FE7921" w14:paraId="45F6B913" w14:textId="77777777">
        <w:trPr>
          <w:cantSplit/>
          <w:trHeight w:val="20"/>
          <w:jc w:val="center"/>
        </w:trPr>
        <w:tc>
          <w:tcPr>
            <w:tcW w:w="2538" w:type="dxa"/>
            <w:shd w:val="clear" w:color="auto" w:fill="auto"/>
          </w:tcPr>
          <w:p w:rsidRPr="00772D1C" w:rsidR="00480041" w:rsidP="00503C75" w:rsidRDefault="00480041" w14:paraId="3EB9AD41" w14:textId="77777777">
            <w:pPr>
              <w:keepNext/>
              <w:rPr>
                <w:sz w:val="20"/>
                <w:szCs w:val="20"/>
                <w:vertAlign w:val="superscript"/>
              </w:rPr>
            </w:pPr>
            <w:r w:rsidRPr="00772D1C">
              <w:rPr>
                <w:sz w:val="20"/>
                <w:szCs w:val="20"/>
              </w:rPr>
              <w:t>807.22(a)</w:t>
            </w:r>
            <w:r w:rsidR="00535B90">
              <w:rPr>
                <w:sz w:val="20"/>
                <w:szCs w:val="20"/>
                <w:vertAlign w:val="superscript"/>
              </w:rPr>
              <w:t>2</w:t>
            </w:r>
          </w:p>
          <w:p w:rsidRPr="00772D1C" w:rsidR="007C3BB1" w:rsidP="00503C75" w:rsidRDefault="007C3BB1" w14:paraId="74386C67" w14:textId="77777777">
            <w:pPr>
              <w:keepNext/>
              <w:rPr>
                <w:sz w:val="20"/>
                <w:szCs w:val="20"/>
              </w:rPr>
            </w:pPr>
            <w:r w:rsidRPr="00772D1C">
              <w:rPr>
                <w:sz w:val="20"/>
                <w:szCs w:val="20"/>
              </w:rPr>
              <w:t>Initial Registration &amp; Listing</w:t>
            </w:r>
            <w:r w:rsidRPr="00772D1C" w:rsidR="006F3372">
              <w:rPr>
                <w:sz w:val="20"/>
                <w:szCs w:val="20"/>
              </w:rPr>
              <w:t xml:space="preserve"> </w:t>
            </w:r>
          </w:p>
        </w:tc>
        <w:tc>
          <w:tcPr>
            <w:tcW w:w="900" w:type="dxa"/>
            <w:shd w:val="clear" w:color="auto" w:fill="auto"/>
          </w:tcPr>
          <w:p w:rsidRPr="00772D1C" w:rsidR="00480041" w:rsidP="00503C75" w:rsidRDefault="00480041" w14:paraId="33A3AACC" w14:textId="77777777">
            <w:pPr>
              <w:keepNext/>
              <w:rPr>
                <w:sz w:val="20"/>
                <w:szCs w:val="20"/>
              </w:rPr>
            </w:pPr>
            <w:r w:rsidRPr="00772D1C">
              <w:rPr>
                <w:sz w:val="20"/>
                <w:szCs w:val="20"/>
              </w:rPr>
              <w:t>3673</w:t>
            </w:r>
          </w:p>
        </w:tc>
        <w:tc>
          <w:tcPr>
            <w:tcW w:w="1260" w:type="dxa"/>
            <w:shd w:val="clear" w:color="auto" w:fill="auto"/>
          </w:tcPr>
          <w:p w:rsidRPr="00772D1C" w:rsidR="00480041" w:rsidP="00503C75" w:rsidRDefault="005174C8" w14:paraId="28DC25DC" w14:textId="77777777">
            <w:pPr>
              <w:keepNext/>
              <w:jc w:val="right"/>
              <w:rPr>
                <w:sz w:val="20"/>
                <w:szCs w:val="20"/>
              </w:rPr>
            </w:pPr>
            <w:r>
              <w:rPr>
                <w:sz w:val="20"/>
                <w:szCs w:val="20"/>
              </w:rPr>
              <w:t xml:space="preserve"> </w:t>
            </w:r>
            <w:r w:rsidR="002A0708">
              <w:rPr>
                <w:sz w:val="20"/>
                <w:szCs w:val="20"/>
              </w:rPr>
              <w:t>3,467</w:t>
            </w:r>
          </w:p>
        </w:tc>
        <w:tc>
          <w:tcPr>
            <w:tcW w:w="1350" w:type="dxa"/>
            <w:shd w:val="clear" w:color="auto" w:fill="auto"/>
          </w:tcPr>
          <w:p w:rsidRPr="00772D1C" w:rsidR="00480041" w:rsidP="00503C75" w:rsidRDefault="00480041" w14:paraId="20A522EB" w14:textId="77777777">
            <w:pPr>
              <w:keepNext/>
              <w:jc w:val="right"/>
              <w:rPr>
                <w:sz w:val="20"/>
                <w:szCs w:val="20"/>
              </w:rPr>
            </w:pPr>
            <w:r w:rsidRPr="00772D1C">
              <w:rPr>
                <w:sz w:val="20"/>
                <w:szCs w:val="20"/>
              </w:rPr>
              <w:t>1</w:t>
            </w:r>
          </w:p>
        </w:tc>
        <w:tc>
          <w:tcPr>
            <w:tcW w:w="1170" w:type="dxa"/>
            <w:shd w:val="clear" w:color="auto" w:fill="auto"/>
          </w:tcPr>
          <w:p w:rsidRPr="00772D1C" w:rsidR="00480041" w:rsidP="00503C75" w:rsidRDefault="00E75EEB" w14:paraId="7A395B79" w14:textId="77777777">
            <w:pPr>
              <w:keepNext/>
              <w:jc w:val="right"/>
              <w:rPr>
                <w:sz w:val="20"/>
                <w:szCs w:val="20"/>
              </w:rPr>
            </w:pPr>
            <w:r>
              <w:rPr>
                <w:sz w:val="20"/>
                <w:szCs w:val="20"/>
              </w:rPr>
              <w:t>3</w:t>
            </w:r>
            <w:r w:rsidR="005362C5">
              <w:rPr>
                <w:sz w:val="20"/>
                <w:szCs w:val="20"/>
              </w:rPr>
              <w:t>,</w:t>
            </w:r>
            <w:r>
              <w:rPr>
                <w:sz w:val="20"/>
                <w:szCs w:val="20"/>
              </w:rPr>
              <w:t>467</w:t>
            </w:r>
          </w:p>
        </w:tc>
        <w:tc>
          <w:tcPr>
            <w:tcW w:w="1260" w:type="dxa"/>
            <w:shd w:val="clear" w:color="auto" w:fill="auto"/>
          </w:tcPr>
          <w:p w:rsidRPr="00772D1C" w:rsidR="00480041" w:rsidP="00503C75" w:rsidRDefault="00E75EEB" w14:paraId="05772374" w14:textId="77777777">
            <w:pPr>
              <w:keepNext/>
              <w:jc w:val="right"/>
              <w:rPr>
                <w:sz w:val="20"/>
                <w:szCs w:val="20"/>
              </w:rPr>
            </w:pPr>
            <w:r>
              <w:rPr>
                <w:sz w:val="20"/>
                <w:szCs w:val="20"/>
              </w:rPr>
              <w:t>1</w:t>
            </w:r>
          </w:p>
        </w:tc>
        <w:tc>
          <w:tcPr>
            <w:tcW w:w="1098" w:type="dxa"/>
            <w:shd w:val="clear" w:color="auto" w:fill="auto"/>
          </w:tcPr>
          <w:p w:rsidRPr="00772D1C" w:rsidR="00480041" w:rsidP="00503C75" w:rsidRDefault="00E75EEB" w14:paraId="4697BB3C" w14:textId="77777777">
            <w:pPr>
              <w:keepNext/>
              <w:jc w:val="right"/>
              <w:rPr>
                <w:sz w:val="20"/>
                <w:szCs w:val="20"/>
              </w:rPr>
            </w:pPr>
            <w:r>
              <w:rPr>
                <w:sz w:val="20"/>
                <w:szCs w:val="20"/>
              </w:rPr>
              <w:t>3</w:t>
            </w:r>
            <w:r w:rsidR="005362C5">
              <w:rPr>
                <w:sz w:val="20"/>
                <w:szCs w:val="20"/>
              </w:rPr>
              <w:t>,</w:t>
            </w:r>
            <w:r>
              <w:rPr>
                <w:sz w:val="20"/>
                <w:szCs w:val="20"/>
              </w:rPr>
              <w:t>467</w:t>
            </w:r>
          </w:p>
        </w:tc>
      </w:tr>
      <w:tr w:rsidRPr="00A1141F" w:rsidR="00480041" w:rsidTr="00FE7921" w14:paraId="51678837" w14:textId="77777777">
        <w:trPr>
          <w:cantSplit/>
          <w:trHeight w:val="20"/>
          <w:jc w:val="center"/>
        </w:trPr>
        <w:tc>
          <w:tcPr>
            <w:tcW w:w="2538" w:type="dxa"/>
            <w:shd w:val="clear" w:color="auto" w:fill="auto"/>
          </w:tcPr>
          <w:p w:rsidRPr="00772D1C" w:rsidR="00480041" w:rsidP="00503C75" w:rsidRDefault="00480041" w14:paraId="2526E44C" w14:textId="77777777">
            <w:pPr>
              <w:keepNext/>
              <w:rPr>
                <w:sz w:val="20"/>
                <w:szCs w:val="20"/>
              </w:rPr>
            </w:pPr>
            <w:r w:rsidRPr="00772D1C">
              <w:rPr>
                <w:sz w:val="20"/>
                <w:szCs w:val="20"/>
              </w:rPr>
              <w:t>807.22(b)(1)</w:t>
            </w:r>
            <w:r w:rsidRPr="00772D1C">
              <w:rPr>
                <w:sz w:val="20"/>
                <w:szCs w:val="20"/>
                <w:vertAlign w:val="superscript"/>
              </w:rPr>
              <w:t>3</w:t>
            </w:r>
            <w:r w:rsidRPr="00772D1C">
              <w:rPr>
                <w:sz w:val="20"/>
                <w:szCs w:val="20"/>
              </w:rPr>
              <w:t> </w:t>
            </w:r>
          </w:p>
          <w:p w:rsidRPr="00772D1C" w:rsidR="007C3BB1" w:rsidP="00503C75" w:rsidRDefault="007C3BB1" w14:paraId="6010FBA5" w14:textId="77777777">
            <w:pPr>
              <w:keepNext/>
              <w:rPr>
                <w:sz w:val="20"/>
                <w:szCs w:val="20"/>
              </w:rPr>
            </w:pPr>
            <w:r w:rsidRPr="00772D1C">
              <w:rPr>
                <w:sz w:val="20"/>
                <w:szCs w:val="20"/>
              </w:rPr>
              <w:t xml:space="preserve">Annual Registration </w:t>
            </w:r>
          </w:p>
        </w:tc>
        <w:tc>
          <w:tcPr>
            <w:tcW w:w="900" w:type="dxa"/>
            <w:shd w:val="clear" w:color="auto" w:fill="auto"/>
          </w:tcPr>
          <w:p w:rsidRPr="00772D1C" w:rsidR="00480041" w:rsidP="00503C75" w:rsidRDefault="00480041" w14:paraId="0692C016" w14:textId="77777777">
            <w:pPr>
              <w:keepNext/>
              <w:rPr>
                <w:sz w:val="20"/>
                <w:szCs w:val="20"/>
              </w:rPr>
            </w:pPr>
            <w:r w:rsidRPr="00772D1C">
              <w:rPr>
                <w:sz w:val="20"/>
                <w:szCs w:val="20"/>
              </w:rPr>
              <w:t>3673</w:t>
            </w:r>
          </w:p>
        </w:tc>
        <w:tc>
          <w:tcPr>
            <w:tcW w:w="1260" w:type="dxa"/>
            <w:shd w:val="clear" w:color="auto" w:fill="auto"/>
          </w:tcPr>
          <w:p w:rsidRPr="00772D1C" w:rsidR="00480041" w:rsidP="00503C75" w:rsidRDefault="005174C8" w14:paraId="46DFC8FC" w14:textId="77777777">
            <w:pPr>
              <w:keepNext/>
              <w:jc w:val="right"/>
              <w:rPr>
                <w:sz w:val="20"/>
                <w:szCs w:val="20"/>
              </w:rPr>
            </w:pPr>
            <w:r>
              <w:rPr>
                <w:sz w:val="20"/>
                <w:szCs w:val="20"/>
              </w:rPr>
              <w:t xml:space="preserve"> </w:t>
            </w:r>
            <w:r w:rsidR="00422EED">
              <w:rPr>
                <w:sz w:val="20"/>
                <w:szCs w:val="20"/>
              </w:rPr>
              <w:t>23,403</w:t>
            </w:r>
          </w:p>
        </w:tc>
        <w:tc>
          <w:tcPr>
            <w:tcW w:w="1350" w:type="dxa"/>
            <w:shd w:val="clear" w:color="auto" w:fill="auto"/>
          </w:tcPr>
          <w:p w:rsidRPr="00772D1C" w:rsidR="00480041" w:rsidP="00503C75" w:rsidRDefault="00480041" w14:paraId="122E3FD8" w14:textId="77777777">
            <w:pPr>
              <w:keepNext/>
              <w:jc w:val="right"/>
              <w:rPr>
                <w:sz w:val="20"/>
                <w:szCs w:val="20"/>
              </w:rPr>
            </w:pPr>
            <w:r w:rsidRPr="00772D1C">
              <w:rPr>
                <w:sz w:val="20"/>
                <w:szCs w:val="20"/>
              </w:rPr>
              <w:t>1</w:t>
            </w:r>
          </w:p>
        </w:tc>
        <w:tc>
          <w:tcPr>
            <w:tcW w:w="1170" w:type="dxa"/>
            <w:shd w:val="clear" w:color="auto" w:fill="auto"/>
          </w:tcPr>
          <w:p w:rsidRPr="00772D1C" w:rsidR="00480041" w:rsidP="00503C75" w:rsidRDefault="00E75EEB" w14:paraId="13540236" w14:textId="77777777">
            <w:pPr>
              <w:keepNext/>
              <w:jc w:val="right"/>
              <w:rPr>
                <w:sz w:val="20"/>
                <w:szCs w:val="20"/>
              </w:rPr>
            </w:pPr>
            <w:r>
              <w:rPr>
                <w:sz w:val="20"/>
                <w:szCs w:val="20"/>
              </w:rPr>
              <w:t>23,403</w:t>
            </w:r>
          </w:p>
        </w:tc>
        <w:tc>
          <w:tcPr>
            <w:tcW w:w="1260" w:type="dxa"/>
            <w:shd w:val="clear" w:color="auto" w:fill="auto"/>
          </w:tcPr>
          <w:p w:rsidRPr="00772D1C" w:rsidR="00480041" w:rsidP="00503C75" w:rsidRDefault="00480041" w14:paraId="18E582B3" w14:textId="77777777">
            <w:pPr>
              <w:keepNext/>
              <w:jc w:val="right"/>
              <w:rPr>
                <w:sz w:val="20"/>
                <w:szCs w:val="20"/>
              </w:rPr>
            </w:pPr>
            <w:r w:rsidRPr="00772D1C">
              <w:rPr>
                <w:sz w:val="20"/>
                <w:szCs w:val="20"/>
              </w:rPr>
              <w:t>0.5</w:t>
            </w:r>
          </w:p>
        </w:tc>
        <w:tc>
          <w:tcPr>
            <w:tcW w:w="1098" w:type="dxa"/>
            <w:shd w:val="clear" w:color="auto" w:fill="auto"/>
          </w:tcPr>
          <w:p w:rsidRPr="00772D1C" w:rsidR="00480041" w:rsidP="00503C75" w:rsidRDefault="00E75EEB" w14:paraId="37D3BF88" w14:textId="77777777">
            <w:pPr>
              <w:keepNext/>
              <w:jc w:val="right"/>
              <w:rPr>
                <w:sz w:val="20"/>
                <w:szCs w:val="20"/>
              </w:rPr>
            </w:pPr>
            <w:r>
              <w:rPr>
                <w:sz w:val="20"/>
                <w:szCs w:val="20"/>
              </w:rPr>
              <w:t>11</w:t>
            </w:r>
            <w:r w:rsidR="005362C5">
              <w:rPr>
                <w:sz w:val="20"/>
                <w:szCs w:val="20"/>
              </w:rPr>
              <w:t>,</w:t>
            </w:r>
            <w:r>
              <w:rPr>
                <w:sz w:val="20"/>
                <w:szCs w:val="20"/>
              </w:rPr>
              <w:t>702</w:t>
            </w:r>
          </w:p>
        </w:tc>
      </w:tr>
      <w:tr w:rsidRPr="00A1141F" w:rsidR="00480041" w:rsidTr="00FE7921" w14:paraId="52215550" w14:textId="77777777">
        <w:trPr>
          <w:cantSplit/>
          <w:trHeight w:val="20"/>
          <w:jc w:val="center"/>
        </w:trPr>
        <w:tc>
          <w:tcPr>
            <w:tcW w:w="2538" w:type="dxa"/>
            <w:shd w:val="clear" w:color="auto" w:fill="auto"/>
          </w:tcPr>
          <w:p w:rsidRPr="00772D1C" w:rsidR="00480041" w:rsidP="00503C75" w:rsidRDefault="00480041" w14:paraId="0BE18E95" w14:textId="77777777">
            <w:pPr>
              <w:keepNext/>
              <w:rPr>
                <w:sz w:val="20"/>
                <w:szCs w:val="20"/>
              </w:rPr>
            </w:pPr>
            <w:r w:rsidRPr="00772D1C">
              <w:rPr>
                <w:sz w:val="20"/>
                <w:szCs w:val="20"/>
              </w:rPr>
              <w:t>807.22(b)(2)</w:t>
            </w:r>
            <w:r w:rsidRPr="00772D1C">
              <w:rPr>
                <w:sz w:val="20"/>
                <w:szCs w:val="20"/>
                <w:vertAlign w:val="superscript"/>
              </w:rPr>
              <w:t>3</w:t>
            </w:r>
          </w:p>
          <w:p w:rsidRPr="00772D1C" w:rsidR="007C3BB1" w:rsidP="00503C75" w:rsidRDefault="00306613" w14:paraId="6727B37B" w14:textId="77777777">
            <w:pPr>
              <w:keepNext/>
              <w:rPr>
                <w:sz w:val="20"/>
                <w:szCs w:val="20"/>
              </w:rPr>
            </w:pPr>
            <w:r w:rsidRPr="00772D1C">
              <w:rPr>
                <w:sz w:val="20"/>
                <w:szCs w:val="20"/>
              </w:rPr>
              <w:t>Other</w:t>
            </w:r>
            <w:r w:rsidRPr="00772D1C" w:rsidR="007C3BB1">
              <w:rPr>
                <w:sz w:val="20"/>
                <w:szCs w:val="20"/>
              </w:rPr>
              <w:t xml:space="preserve"> </w:t>
            </w:r>
            <w:r w:rsidRPr="00772D1C">
              <w:rPr>
                <w:sz w:val="20"/>
                <w:szCs w:val="20"/>
              </w:rPr>
              <w:t>u</w:t>
            </w:r>
            <w:r w:rsidRPr="00772D1C" w:rsidR="007C3BB1">
              <w:rPr>
                <w:sz w:val="20"/>
                <w:szCs w:val="20"/>
              </w:rPr>
              <w:t>pdate</w:t>
            </w:r>
            <w:r w:rsidRPr="00772D1C">
              <w:rPr>
                <w:sz w:val="20"/>
                <w:szCs w:val="20"/>
              </w:rPr>
              <w:t>s</w:t>
            </w:r>
            <w:r w:rsidRPr="00772D1C" w:rsidR="007C3BB1">
              <w:rPr>
                <w:sz w:val="20"/>
                <w:szCs w:val="20"/>
              </w:rPr>
              <w:t xml:space="preserve"> of Registration</w:t>
            </w:r>
          </w:p>
        </w:tc>
        <w:tc>
          <w:tcPr>
            <w:tcW w:w="900" w:type="dxa"/>
            <w:shd w:val="clear" w:color="auto" w:fill="auto"/>
          </w:tcPr>
          <w:p w:rsidRPr="00772D1C" w:rsidR="00480041" w:rsidP="00503C75" w:rsidRDefault="00480041" w14:paraId="791D6F37" w14:textId="77777777">
            <w:pPr>
              <w:keepNext/>
              <w:rPr>
                <w:sz w:val="20"/>
                <w:szCs w:val="20"/>
              </w:rPr>
            </w:pPr>
            <w:r w:rsidRPr="00772D1C">
              <w:rPr>
                <w:sz w:val="20"/>
                <w:szCs w:val="20"/>
              </w:rPr>
              <w:t>3673</w:t>
            </w:r>
          </w:p>
        </w:tc>
        <w:tc>
          <w:tcPr>
            <w:tcW w:w="1260" w:type="dxa"/>
            <w:shd w:val="clear" w:color="auto" w:fill="auto"/>
          </w:tcPr>
          <w:p w:rsidRPr="00772D1C" w:rsidR="00480041" w:rsidP="00503C75" w:rsidRDefault="00220DE2" w14:paraId="794082A5" w14:textId="77777777">
            <w:pPr>
              <w:keepNext/>
              <w:jc w:val="right"/>
              <w:rPr>
                <w:sz w:val="20"/>
                <w:szCs w:val="20"/>
              </w:rPr>
            </w:pPr>
            <w:r>
              <w:rPr>
                <w:sz w:val="20"/>
                <w:szCs w:val="20"/>
              </w:rPr>
              <w:t>2,687</w:t>
            </w:r>
          </w:p>
        </w:tc>
        <w:tc>
          <w:tcPr>
            <w:tcW w:w="1350" w:type="dxa"/>
            <w:shd w:val="clear" w:color="auto" w:fill="auto"/>
          </w:tcPr>
          <w:p w:rsidRPr="00772D1C" w:rsidR="00480041" w:rsidP="00503C75" w:rsidRDefault="00480041" w14:paraId="3AE0E2E9" w14:textId="77777777">
            <w:pPr>
              <w:keepNext/>
              <w:jc w:val="right"/>
              <w:rPr>
                <w:sz w:val="20"/>
                <w:szCs w:val="20"/>
              </w:rPr>
            </w:pPr>
            <w:r w:rsidRPr="00772D1C">
              <w:rPr>
                <w:sz w:val="20"/>
                <w:szCs w:val="20"/>
              </w:rPr>
              <w:t>1</w:t>
            </w:r>
          </w:p>
        </w:tc>
        <w:tc>
          <w:tcPr>
            <w:tcW w:w="1170" w:type="dxa"/>
            <w:shd w:val="clear" w:color="auto" w:fill="auto"/>
          </w:tcPr>
          <w:p w:rsidRPr="00772D1C" w:rsidR="00480041" w:rsidP="00503C75" w:rsidRDefault="00220DE2" w14:paraId="606DDEEE" w14:textId="77777777">
            <w:pPr>
              <w:keepNext/>
              <w:jc w:val="right"/>
              <w:rPr>
                <w:sz w:val="20"/>
                <w:szCs w:val="20"/>
              </w:rPr>
            </w:pPr>
            <w:r>
              <w:rPr>
                <w:sz w:val="20"/>
                <w:szCs w:val="20"/>
              </w:rPr>
              <w:t>2,687</w:t>
            </w:r>
          </w:p>
        </w:tc>
        <w:tc>
          <w:tcPr>
            <w:tcW w:w="1260" w:type="dxa"/>
            <w:shd w:val="clear" w:color="auto" w:fill="auto"/>
          </w:tcPr>
          <w:p w:rsidRPr="00772D1C" w:rsidR="00480041" w:rsidP="00503C75" w:rsidRDefault="00480041" w14:paraId="720E4BF1" w14:textId="77777777">
            <w:pPr>
              <w:keepNext/>
              <w:jc w:val="right"/>
              <w:rPr>
                <w:sz w:val="20"/>
                <w:szCs w:val="20"/>
              </w:rPr>
            </w:pPr>
            <w:r w:rsidRPr="00772D1C">
              <w:rPr>
                <w:sz w:val="20"/>
                <w:szCs w:val="20"/>
              </w:rPr>
              <w:t>0.5</w:t>
            </w:r>
          </w:p>
        </w:tc>
        <w:tc>
          <w:tcPr>
            <w:tcW w:w="1098" w:type="dxa"/>
            <w:shd w:val="clear" w:color="auto" w:fill="auto"/>
          </w:tcPr>
          <w:p w:rsidRPr="00772D1C" w:rsidR="00480041" w:rsidP="00503C75" w:rsidRDefault="00220DE2" w14:paraId="29844394" w14:textId="77777777">
            <w:pPr>
              <w:keepNext/>
              <w:jc w:val="right"/>
              <w:rPr>
                <w:sz w:val="20"/>
                <w:szCs w:val="20"/>
              </w:rPr>
            </w:pPr>
            <w:r>
              <w:rPr>
                <w:sz w:val="20"/>
                <w:szCs w:val="20"/>
              </w:rPr>
              <w:t>1,344</w:t>
            </w:r>
          </w:p>
        </w:tc>
      </w:tr>
      <w:tr w:rsidRPr="00A1141F" w:rsidR="00480041" w:rsidTr="00FE7921" w14:paraId="304DED4D" w14:textId="77777777">
        <w:trPr>
          <w:cantSplit/>
          <w:trHeight w:val="20"/>
          <w:jc w:val="center"/>
        </w:trPr>
        <w:tc>
          <w:tcPr>
            <w:tcW w:w="2538" w:type="dxa"/>
            <w:shd w:val="clear" w:color="auto" w:fill="auto"/>
          </w:tcPr>
          <w:p w:rsidRPr="00772D1C" w:rsidR="00480041" w:rsidP="00503C75" w:rsidRDefault="00480041" w14:paraId="63D2C204" w14:textId="77777777">
            <w:pPr>
              <w:keepNext/>
              <w:rPr>
                <w:sz w:val="20"/>
                <w:szCs w:val="20"/>
              </w:rPr>
            </w:pPr>
            <w:r w:rsidRPr="00772D1C">
              <w:rPr>
                <w:sz w:val="20"/>
                <w:szCs w:val="20"/>
              </w:rPr>
              <w:t>807.22(b)(3)</w:t>
            </w:r>
            <w:r w:rsidRPr="00772D1C">
              <w:rPr>
                <w:sz w:val="20"/>
                <w:szCs w:val="20"/>
                <w:vertAlign w:val="superscript"/>
              </w:rPr>
              <w:t>3</w:t>
            </w:r>
            <w:r w:rsidRPr="00772D1C">
              <w:rPr>
                <w:sz w:val="20"/>
                <w:szCs w:val="20"/>
              </w:rPr>
              <w:t> </w:t>
            </w:r>
          </w:p>
          <w:p w:rsidRPr="00772D1C" w:rsidR="00E62060" w:rsidP="00503C75" w:rsidRDefault="00E62060" w14:paraId="2769F922" w14:textId="77777777">
            <w:pPr>
              <w:keepNext/>
              <w:rPr>
                <w:sz w:val="20"/>
                <w:szCs w:val="20"/>
              </w:rPr>
            </w:pPr>
            <w:r w:rsidRPr="00772D1C">
              <w:rPr>
                <w:sz w:val="20"/>
                <w:szCs w:val="20"/>
              </w:rPr>
              <w:t>Annual Update of Listing Information</w:t>
            </w:r>
          </w:p>
        </w:tc>
        <w:tc>
          <w:tcPr>
            <w:tcW w:w="900" w:type="dxa"/>
            <w:shd w:val="clear" w:color="auto" w:fill="auto"/>
          </w:tcPr>
          <w:p w:rsidRPr="00772D1C" w:rsidR="00480041" w:rsidP="00503C75" w:rsidRDefault="00480041" w14:paraId="2787537C" w14:textId="77777777">
            <w:pPr>
              <w:keepNext/>
              <w:rPr>
                <w:sz w:val="20"/>
                <w:szCs w:val="20"/>
              </w:rPr>
            </w:pPr>
            <w:r w:rsidRPr="00772D1C">
              <w:rPr>
                <w:sz w:val="20"/>
                <w:szCs w:val="20"/>
              </w:rPr>
              <w:t>3673</w:t>
            </w:r>
          </w:p>
        </w:tc>
        <w:tc>
          <w:tcPr>
            <w:tcW w:w="1260" w:type="dxa"/>
            <w:shd w:val="clear" w:color="auto" w:fill="auto"/>
          </w:tcPr>
          <w:p w:rsidRPr="00772D1C" w:rsidR="00480041" w:rsidP="00503C75" w:rsidRDefault="00422EED" w14:paraId="0D9A967D" w14:textId="77777777">
            <w:pPr>
              <w:keepNext/>
              <w:jc w:val="right"/>
              <w:rPr>
                <w:sz w:val="20"/>
                <w:szCs w:val="20"/>
              </w:rPr>
            </w:pPr>
            <w:r>
              <w:rPr>
                <w:sz w:val="20"/>
                <w:szCs w:val="20"/>
              </w:rPr>
              <w:t>22,607</w:t>
            </w:r>
          </w:p>
        </w:tc>
        <w:tc>
          <w:tcPr>
            <w:tcW w:w="1350" w:type="dxa"/>
            <w:shd w:val="clear" w:color="auto" w:fill="auto"/>
          </w:tcPr>
          <w:p w:rsidRPr="00772D1C" w:rsidR="00480041" w:rsidP="00503C75" w:rsidRDefault="00480041" w14:paraId="7E8BF619" w14:textId="77777777">
            <w:pPr>
              <w:keepNext/>
              <w:jc w:val="right"/>
              <w:rPr>
                <w:sz w:val="20"/>
                <w:szCs w:val="20"/>
              </w:rPr>
            </w:pPr>
            <w:r w:rsidRPr="00772D1C">
              <w:rPr>
                <w:sz w:val="20"/>
                <w:szCs w:val="20"/>
              </w:rPr>
              <w:t>1</w:t>
            </w:r>
          </w:p>
        </w:tc>
        <w:tc>
          <w:tcPr>
            <w:tcW w:w="1170" w:type="dxa"/>
            <w:shd w:val="clear" w:color="auto" w:fill="auto"/>
          </w:tcPr>
          <w:p w:rsidRPr="00772D1C" w:rsidR="00480041" w:rsidP="00503C75" w:rsidRDefault="00E75EEB" w14:paraId="5A6D223A" w14:textId="77777777">
            <w:pPr>
              <w:keepNext/>
              <w:jc w:val="right"/>
              <w:rPr>
                <w:sz w:val="20"/>
                <w:szCs w:val="20"/>
              </w:rPr>
            </w:pPr>
            <w:r>
              <w:rPr>
                <w:sz w:val="20"/>
                <w:szCs w:val="20"/>
              </w:rPr>
              <w:t>22,607</w:t>
            </w:r>
          </w:p>
        </w:tc>
        <w:tc>
          <w:tcPr>
            <w:tcW w:w="1260" w:type="dxa"/>
            <w:shd w:val="clear" w:color="auto" w:fill="auto"/>
          </w:tcPr>
          <w:p w:rsidRPr="00772D1C" w:rsidR="00480041" w:rsidP="00503C75" w:rsidRDefault="00E75EEB" w14:paraId="27C702BC" w14:textId="77777777">
            <w:pPr>
              <w:keepNext/>
              <w:jc w:val="right"/>
              <w:rPr>
                <w:sz w:val="20"/>
                <w:szCs w:val="20"/>
              </w:rPr>
            </w:pPr>
            <w:r>
              <w:rPr>
                <w:sz w:val="20"/>
                <w:szCs w:val="20"/>
              </w:rPr>
              <w:t>0.5</w:t>
            </w:r>
          </w:p>
        </w:tc>
        <w:tc>
          <w:tcPr>
            <w:tcW w:w="1098" w:type="dxa"/>
            <w:shd w:val="clear" w:color="auto" w:fill="auto"/>
          </w:tcPr>
          <w:p w:rsidRPr="00772D1C" w:rsidR="00480041" w:rsidP="00503C75" w:rsidRDefault="00E75EEB" w14:paraId="18C09CD9" w14:textId="77777777">
            <w:pPr>
              <w:keepNext/>
              <w:jc w:val="right"/>
              <w:rPr>
                <w:sz w:val="20"/>
                <w:szCs w:val="20"/>
              </w:rPr>
            </w:pPr>
            <w:r>
              <w:rPr>
                <w:sz w:val="20"/>
                <w:szCs w:val="20"/>
              </w:rPr>
              <w:t>11,304</w:t>
            </w:r>
          </w:p>
        </w:tc>
      </w:tr>
      <w:tr w:rsidRPr="002E4FB9" w:rsidR="004B68EA" w:rsidTr="008B30AA" w14:paraId="577DC4C8" w14:textId="77777777">
        <w:trPr>
          <w:cantSplit/>
          <w:trHeight w:val="20"/>
          <w:jc w:val="center"/>
        </w:trPr>
        <w:tc>
          <w:tcPr>
            <w:tcW w:w="9576" w:type="dxa"/>
            <w:gridSpan w:val="7"/>
            <w:shd w:val="clear" w:color="auto" w:fill="auto"/>
          </w:tcPr>
          <w:p w:rsidRPr="004B68EA" w:rsidR="004B68EA" w:rsidP="00503C75" w:rsidRDefault="004B68EA" w14:paraId="38956CDA" w14:textId="77777777">
            <w:pPr>
              <w:keepNext/>
              <w:rPr>
                <w:sz w:val="20"/>
                <w:szCs w:val="20"/>
              </w:rPr>
            </w:pPr>
            <w:r w:rsidRPr="004B68EA">
              <w:rPr>
                <w:sz w:val="20"/>
                <w:szCs w:val="20"/>
              </w:rPr>
              <w:t>807.22(b)(4) Changes to listing information (outside of annual listing requirement period)</w:t>
            </w:r>
          </w:p>
        </w:tc>
      </w:tr>
      <w:tr w:rsidRPr="002E4FB9" w:rsidR="004B68EA" w:rsidTr="00FE7921" w14:paraId="75D95F11" w14:textId="77777777">
        <w:trPr>
          <w:cantSplit/>
          <w:trHeight w:val="20"/>
          <w:jc w:val="center"/>
        </w:trPr>
        <w:tc>
          <w:tcPr>
            <w:tcW w:w="2538" w:type="dxa"/>
            <w:shd w:val="clear" w:color="auto" w:fill="auto"/>
          </w:tcPr>
          <w:p w:rsidRPr="004B68EA" w:rsidR="004B68EA" w:rsidP="00503C75" w:rsidRDefault="004B68EA" w14:paraId="0EF3017A" w14:textId="77777777">
            <w:pPr>
              <w:keepNext/>
              <w:rPr>
                <w:sz w:val="20"/>
                <w:szCs w:val="20"/>
              </w:rPr>
            </w:pPr>
            <w:r w:rsidRPr="004B68EA">
              <w:rPr>
                <w:sz w:val="20"/>
                <w:szCs w:val="20"/>
              </w:rPr>
              <w:t>Voluntary reporting of transfer of 510(k) clearance in FURLS (outside of annual listing requirement period)</w:t>
            </w:r>
          </w:p>
        </w:tc>
        <w:tc>
          <w:tcPr>
            <w:tcW w:w="900" w:type="dxa"/>
            <w:shd w:val="clear" w:color="auto" w:fill="auto"/>
          </w:tcPr>
          <w:p w:rsidRPr="004B68EA" w:rsidR="004B68EA" w:rsidP="00503C75" w:rsidRDefault="004B68EA" w14:paraId="1B8C707A" w14:textId="77777777">
            <w:pPr>
              <w:keepNext/>
              <w:jc w:val="right"/>
              <w:rPr>
                <w:sz w:val="20"/>
                <w:szCs w:val="20"/>
              </w:rPr>
            </w:pPr>
          </w:p>
        </w:tc>
        <w:tc>
          <w:tcPr>
            <w:tcW w:w="1260" w:type="dxa"/>
            <w:shd w:val="clear" w:color="auto" w:fill="auto"/>
          </w:tcPr>
          <w:p w:rsidRPr="004B68EA" w:rsidR="004B68EA" w:rsidP="00503C75" w:rsidRDefault="004B68EA" w14:paraId="75C3B2E9" w14:textId="77777777">
            <w:pPr>
              <w:keepNext/>
              <w:jc w:val="right"/>
              <w:rPr>
                <w:sz w:val="20"/>
                <w:szCs w:val="20"/>
              </w:rPr>
            </w:pPr>
            <w:r w:rsidRPr="004B68EA">
              <w:rPr>
                <w:sz w:val="20"/>
                <w:szCs w:val="20"/>
              </w:rPr>
              <w:t>4,080</w:t>
            </w:r>
          </w:p>
        </w:tc>
        <w:tc>
          <w:tcPr>
            <w:tcW w:w="1350" w:type="dxa"/>
            <w:shd w:val="clear" w:color="auto" w:fill="auto"/>
          </w:tcPr>
          <w:p w:rsidRPr="004B68EA" w:rsidR="004B68EA" w:rsidP="00503C75" w:rsidRDefault="004B68EA" w14:paraId="6FB3967E" w14:textId="77777777">
            <w:pPr>
              <w:keepNext/>
              <w:jc w:val="right"/>
              <w:rPr>
                <w:sz w:val="20"/>
                <w:szCs w:val="20"/>
              </w:rPr>
            </w:pPr>
            <w:r w:rsidRPr="004B68EA">
              <w:rPr>
                <w:sz w:val="20"/>
                <w:szCs w:val="20"/>
              </w:rPr>
              <w:t>1</w:t>
            </w:r>
          </w:p>
        </w:tc>
        <w:tc>
          <w:tcPr>
            <w:tcW w:w="1170" w:type="dxa"/>
            <w:shd w:val="clear" w:color="auto" w:fill="auto"/>
          </w:tcPr>
          <w:p w:rsidRPr="004B68EA" w:rsidR="004B68EA" w:rsidP="00503C75" w:rsidRDefault="004B68EA" w14:paraId="57A157BC" w14:textId="77777777">
            <w:pPr>
              <w:keepNext/>
              <w:jc w:val="right"/>
              <w:rPr>
                <w:sz w:val="20"/>
                <w:szCs w:val="20"/>
              </w:rPr>
            </w:pPr>
            <w:r w:rsidRPr="004B68EA">
              <w:rPr>
                <w:sz w:val="20"/>
                <w:szCs w:val="20"/>
              </w:rPr>
              <w:t>4,080</w:t>
            </w:r>
          </w:p>
        </w:tc>
        <w:tc>
          <w:tcPr>
            <w:tcW w:w="1260" w:type="dxa"/>
            <w:shd w:val="clear" w:color="auto" w:fill="auto"/>
          </w:tcPr>
          <w:p w:rsidRPr="004B68EA" w:rsidR="004B68EA" w:rsidP="00503C75" w:rsidRDefault="004B68EA" w14:paraId="63AF99CB" w14:textId="77777777">
            <w:pPr>
              <w:keepNext/>
              <w:jc w:val="right"/>
              <w:rPr>
                <w:sz w:val="20"/>
                <w:szCs w:val="20"/>
              </w:rPr>
            </w:pPr>
            <w:r w:rsidRPr="004B68EA">
              <w:rPr>
                <w:sz w:val="20"/>
                <w:szCs w:val="20"/>
              </w:rPr>
              <w:t>0.25</w:t>
            </w:r>
          </w:p>
        </w:tc>
        <w:tc>
          <w:tcPr>
            <w:tcW w:w="1098" w:type="dxa"/>
            <w:shd w:val="clear" w:color="auto" w:fill="auto"/>
          </w:tcPr>
          <w:p w:rsidRPr="004B68EA" w:rsidR="004B68EA" w:rsidP="00503C75" w:rsidRDefault="004B68EA" w14:paraId="62ABDA0F" w14:textId="77777777">
            <w:pPr>
              <w:keepNext/>
              <w:jc w:val="right"/>
              <w:rPr>
                <w:sz w:val="20"/>
                <w:szCs w:val="20"/>
              </w:rPr>
            </w:pPr>
            <w:r w:rsidRPr="004B68EA">
              <w:rPr>
                <w:sz w:val="20"/>
                <w:szCs w:val="20"/>
              </w:rPr>
              <w:t>1,020</w:t>
            </w:r>
          </w:p>
        </w:tc>
      </w:tr>
      <w:tr w:rsidRPr="002E4FB9" w:rsidR="004B68EA" w:rsidTr="00FE7921" w14:paraId="1BEA08E7" w14:textId="77777777">
        <w:trPr>
          <w:cantSplit/>
          <w:trHeight w:val="20"/>
          <w:jc w:val="center"/>
        </w:trPr>
        <w:tc>
          <w:tcPr>
            <w:tcW w:w="2538" w:type="dxa"/>
            <w:shd w:val="clear" w:color="auto" w:fill="auto"/>
          </w:tcPr>
          <w:p w:rsidRPr="004B68EA" w:rsidR="004B68EA" w:rsidP="00503C75" w:rsidRDefault="004B68EA" w14:paraId="2F21056A" w14:textId="77777777">
            <w:pPr>
              <w:keepNext/>
              <w:rPr>
                <w:sz w:val="20"/>
                <w:szCs w:val="20"/>
              </w:rPr>
            </w:pPr>
            <w:r w:rsidRPr="004B68EA">
              <w:rPr>
                <w:sz w:val="20"/>
                <w:szCs w:val="20"/>
              </w:rPr>
              <w:t>Submission of 510(k) transfer documentation when more than one party lists the same 510(k)</w:t>
            </w:r>
          </w:p>
        </w:tc>
        <w:tc>
          <w:tcPr>
            <w:tcW w:w="900" w:type="dxa"/>
            <w:shd w:val="clear" w:color="auto" w:fill="auto"/>
          </w:tcPr>
          <w:p w:rsidRPr="004B68EA" w:rsidR="004B68EA" w:rsidP="00503C75" w:rsidRDefault="004B68EA" w14:paraId="20D97F43" w14:textId="77777777">
            <w:pPr>
              <w:keepNext/>
              <w:jc w:val="right"/>
              <w:rPr>
                <w:sz w:val="20"/>
                <w:szCs w:val="20"/>
              </w:rPr>
            </w:pPr>
          </w:p>
        </w:tc>
        <w:tc>
          <w:tcPr>
            <w:tcW w:w="1260" w:type="dxa"/>
            <w:shd w:val="clear" w:color="auto" w:fill="auto"/>
          </w:tcPr>
          <w:p w:rsidRPr="004B68EA" w:rsidR="004B68EA" w:rsidP="00503C75" w:rsidRDefault="004B68EA" w14:paraId="52F3F951" w14:textId="77777777">
            <w:pPr>
              <w:keepNext/>
              <w:jc w:val="right"/>
              <w:rPr>
                <w:sz w:val="20"/>
                <w:szCs w:val="20"/>
              </w:rPr>
            </w:pPr>
            <w:r w:rsidRPr="004B68EA">
              <w:rPr>
                <w:sz w:val="20"/>
                <w:szCs w:val="20"/>
              </w:rPr>
              <w:t>2,033</w:t>
            </w:r>
          </w:p>
        </w:tc>
        <w:tc>
          <w:tcPr>
            <w:tcW w:w="1350" w:type="dxa"/>
            <w:shd w:val="clear" w:color="auto" w:fill="auto"/>
          </w:tcPr>
          <w:p w:rsidRPr="004B68EA" w:rsidR="004B68EA" w:rsidP="00503C75" w:rsidRDefault="004B68EA" w14:paraId="74B0794E" w14:textId="77777777">
            <w:pPr>
              <w:keepNext/>
              <w:jc w:val="right"/>
              <w:rPr>
                <w:sz w:val="20"/>
                <w:szCs w:val="20"/>
              </w:rPr>
            </w:pPr>
            <w:r w:rsidRPr="004B68EA">
              <w:rPr>
                <w:sz w:val="20"/>
                <w:szCs w:val="20"/>
              </w:rPr>
              <w:t>1</w:t>
            </w:r>
          </w:p>
        </w:tc>
        <w:tc>
          <w:tcPr>
            <w:tcW w:w="1170" w:type="dxa"/>
            <w:shd w:val="clear" w:color="auto" w:fill="auto"/>
          </w:tcPr>
          <w:p w:rsidRPr="004B68EA" w:rsidR="004B68EA" w:rsidP="00503C75" w:rsidRDefault="004B68EA" w14:paraId="312AA038" w14:textId="77777777">
            <w:pPr>
              <w:keepNext/>
              <w:jc w:val="right"/>
              <w:rPr>
                <w:sz w:val="20"/>
                <w:szCs w:val="20"/>
              </w:rPr>
            </w:pPr>
            <w:r w:rsidRPr="004B68EA">
              <w:rPr>
                <w:sz w:val="20"/>
                <w:szCs w:val="20"/>
              </w:rPr>
              <w:t>2,033</w:t>
            </w:r>
          </w:p>
        </w:tc>
        <w:tc>
          <w:tcPr>
            <w:tcW w:w="1260" w:type="dxa"/>
            <w:shd w:val="clear" w:color="auto" w:fill="auto"/>
          </w:tcPr>
          <w:p w:rsidRPr="004B68EA" w:rsidR="004B68EA" w:rsidP="00503C75" w:rsidRDefault="004B68EA" w14:paraId="4B5159FD" w14:textId="77777777">
            <w:pPr>
              <w:keepNext/>
              <w:jc w:val="right"/>
              <w:rPr>
                <w:sz w:val="20"/>
                <w:szCs w:val="20"/>
              </w:rPr>
            </w:pPr>
            <w:r w:rsidRPr="004B68EA">
              <w:rPr>
                <w:sz w:val="20"/>
                <w:szCs w:val="20"/>
              </w:rPr>
              <w:t>4</w:t>
            </w:r>
          </w:p>
        </w:tc>
        <w:tc>
          <w:tcPr>
            <w:tcW w:w="1098" w:type="dxa"/>
            <w:shd w:val="clear" w:color="auto" w:fill="auto"/>
          </w:tcPr>
          <w:p w:rsidRPr="004B68EA" w:rsidR="004B68EA" w:rsidP="00503C75" w:rsidRDefault="004B68EA" w14:paraId="0AF609FE" w14:textId="77777777">
            <w:pPr>
              <w:keepNext/>
              <w:jc w:val="right"/>
              <w:rPr>
                <w:sz w:val="20"/>
                <w:szCs w:val="20"/>
              </w:rPr>
            </w:pPr>
            <w:r w:rsidRPr="004B68EA">
              <w:rPr>
                <w:sz w:val="20"/>
                <w:szCs w:val="20"/>
              </w:rPr>
              <w:t>8,132</w:t>
            </w:r>
          </w:p>
        </w:tc>
      </w:tr>
      <w:tr w:rsidRPr="00A1141F" w:rsidR="004B68EA" w:rsidTr="00FE7921" w14:paraId="44E4A245" w14:textId="77777777">
        <w:trPr>
          <w:cantSplit/>
          <w:trHeight w:val="20"/>
          <w:jc w:val="center"/>
        </w:trPr>
        <w:tc>
          <w:tcPr>
            <w:tcW w:w="2538" w:type="dxa"/>
            <w:shd w:val="clear" w:color="auto" w:fill="auto"/>
          </w:tcPr>
          <w:p w:rsidRPr="00772D1C" w:rsidR="004B68EA" w:rsidP="00503C75" w:rsidRDefault="004B68EA" w14:paraId="7C643F29" w14:textId="77777777">
            <w:pPr>
              <w:keepNext/>
              <w:rPr>
                <w:sz w:val="20"/>
                <w:szCs w:val="20"/>
              </w:rPr>
            </w:pPr>
            <w:r w:rsidRPr="00772D1C">
              <w:rPr>
                <w:sz w:val="20"/>
                <w:szCs w:val="20"/>
              </w:rPr>
              <w:t>807.26(e)</w:t>
            </w:r>
            <w:r w:rsidRPr="00772D1C">
              <w:rPr>
                <w:sz w:val="20"/>
                <w:szCs w:val="20"/>
                <w:vertAlign w:val="superscript"/>
              </w:rPr>
              <w:t>3</w:t>
            </w:r>
          </w:p>
          <w:p w:rsidRPr="00772D1C" w:rsidR="004B68EA" w:rsidP="00503C75" w:rsidRDefault="004B68EA" w14:paraId="2CD7FF68" w14:textId="77777777">
            <w:pPr>
              <w:keepNext/>
              <w:rPr>
                <w:sz w:val="20"/>
                <w:szCs w:val="20"/>
              </w:rPr>
            </w:pPr>
            <w:r w:rsidRPr="00772D1C">
              <w:rPr>
                <w:sz w:val="20"/>
                <w:szCs w:val="20"/>
              </w:rPr>
              <w:t>Labeling &amp; Advertisement Submitted at FDA Request</w:t>
            </w:r>
          </w:p>
        </w:tc>
        <w:tc>
          <w:tcPr>
            <w:tcW w:w="900" w:type="dxa"/>
            <w:shd w:val="clear" w:color="auto" w:fill="auto"/>
          </w:tcPr>
          <w:p w:rsidRPr="00772D1C" w:rsidR="004B68EA" w:rsidP="00503C75" w:rsidRDefault="004B68EA" w14:paraId="756E07D4" w14:textId="77777777">
            <w:pPr>
              <w:keepNext/>
              <w:rPr>
                <w:sz w:val="20"/>
                <w:szCs w:val="20"/>
              </w:rPr>
            </w:pPr>
            <w:r w:rsidRPr="00772D1C">
              <w:rPr>
                <w:sz w:val="20"/>
                <w:szCs w:val="20"/>
              </w:rPr>
              <w:t> </w:t>
            </w:r>
          </w:p>
        </w:tc>
        <w:tc>
          <w:tcPr>
            <w:tcW w:w="1260" w:type="dxa"/>
            <w:shd w:val="clear" w:color="auto" w:fill="auto"/>
          </w:tcPr>
          <w:p w:rsidRPr="00772D1C" w:rsidR="004B68EA" w:rsidP="00503C75" w:rsidRDefault="004B68EA" w14:paraId="192F420F" w14:textId="77777777">
            <w:pPr>
              <w:keepNext/>
              <w:jc w:val="right"/>
              <w:rPr>
                <w:sz w:val="20"/>
                <w:szCs w:val="20"/>
              </w:rPr>
            </w:pPr>
            <w:r w:rsidRPr="00772D1C">
              <w:rPr>
                <w:sz w:val="20"/>
                <w:szCs w:val="20"/>
              </w:rPr>
              <w:t>71</w:t>
            </w:r>
          </w:p>
        </w:tc>
        <w:tc>
          <w:tcPr>
            <w:tcW w:w="1350" w:type="dxa"/>
            <w:shd w:val="clear" w:color="auto" w:fill="auto"/>
          </w:tcPr>
          <w:p w:rsidRPr="00772D1C" w:rsidR="004B68EA" w:rsidP="00503C75" w:rsidRDefault="004B68EA" w14:paraId="4505FE9C"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12057340" w14:textId="77777777">
            <w:pPr>
              <w:keepNext/>
              <w:jc w:val="right"/>
              <w:rPr>
                <w:sz w:val="20"/>
                <w:szCs w:val="20"/>
              </w:rPr>
            </w:pPr>
            <w:r w:rsidRPr="00772D1C">
              <w:rPr>
                <w:sz w:val="20"/>
                <w:szCs w:val="20"/>
              </w:rPr>
              <w:t>71</w:t>
            </w:r>
          </w:p>
        </w:tc>
        <w:tc>
          <w:tcPr>
            <w:tcW w:w="1260" w:type="dxa"/>
            <w:shd w:val="clear" w:color="auto" w:fill="auto"/>
          </w:tcPr>
          <w:p w:rsidRPr="00772D1C" w:rsidR="004B68EA" w:rsidP="00503C75" w:rsidRDefault="004B68EA" w14:paraId="76232A26" w14:textId="77777777">
            <w:pPr>
              <w:keepNext/>
              <w:jc w:val="right"/>
              <w:rPr>
                <w:sz w:val="20"/>
                <w:szCs w:val="20"/>
              </w:rPr>
            </w:pPr>
            <w:r w:rsidRPr="00772D1C">
              <w:rPr>
                <w:sz w:val="20"/>
                <w:szCs w:val="20"/>
              </w:rPr>
              <w:t>1</w:t>
            </w:r>
          </w:p>
        </w:tc>
        <w:tc>
          <w:tcPr>
            <w:tcW w:w="1098" w:type="dxa"/>
            <w:shd w:val="clear" w:color="auto" w:fill="auto"/>
          </w:tcPr>
          <w:p w:rsidRPr="00772D1C" w:rsidR="004B68EA" w:rsidP="00503C75" w:rsidRDefault="004B68EA" w14:paraId="3E14F415" w14:textId="77777777">
            <w:pPr>
              <w:keepNext/>
              <w:jc w:val="right"/>
              <w:rPr>
                <w:sz w:val="20"/>
                <w:szCs w:val="20"/>
              </w:rPr>
            </w:pPr>
            <w:r w:rsidRPr="00772D1C">
              <w:rPr>
                <w:sz w:val="20"/>
                <w:szCs w:val="20"/>
              </w:rPr>
              <w:t>71</w:t>
            </w:r>
          </w:p>
        </w:tc>
      </w:tr>
      <w:tr w:rsidRPr="00A1141F" w:rsidR="004B68EA" w:rsidTr="00FE7921" w14:paraId="33DD7608" w14:textId="77777777">
        <w:trPr>
          <w:cantSplit/>
          <w:trHeight w:val="20"/>
          <w:jc w:val="center"/>
        </w:trPr>
        <w:tc>
          <w:tcPr>
            <w:tcW w:w="2538" w:type="dxa"/>
            <w:shd w:val="clear" w:color="auto" w:fill="auto"/>
          </w:tcPr>
          <w:p w:rsidRPr="00772D1C" w:rsidR="004B68EA" w:rsidP="00503C75" w:rsidRDefault="004B68EA" w14:paraId="12320657" w14:textId="77777777">
            <w:pPr>
              <w:keepNext/>
              <w:rPr>
                <w:sz w:val="20"/>
                <w:szCs w:val="20"/>
              </w:rPr>
            </w:pPr>
            <w:r w:rsidRPr="00772D1C">
              <w:rPr>
                <w:sz w:val="20"/>
                <w:szCs w:val="20"/>
              </w:rPr>
              <w:t>807.34(a)</w:t>
            </w:r>
            <w:r w:rsidRPr="00772D1C">
              <w:rPr>
                <w:sz w:val="20"/>
                <w:szCs w:val="20"/>
                <w:vertAlign w:val="superscript"/>
              </w:rPr>
              <w:t>2</w:t>
            </w:r>
          </w:p>
          <w:p w:rsidRPr="00772D1C" w:rsidR="004B68EA" w:rsidP="00503C75" w:rsidRDefault="004B68EA" w14:paraId="2429DFD8" w14:textId="77777777">
            <w:pPr>
              <w:keepNext/>
              <w:rPr>
                <w:sz w:val="20"/>
                <w:szCs w:val="20"/>
              </w:rPr>
            </w:pPr>
            <w:r w:rsidRPr="00772D1C">
              <w:rPr>
                <w:sz w:val="20"/>
                <w:szCs w:val="20"/>
              </w:rPr>
              <w:t xml:space="preserve">Initial Registration &amp; Listing when Electronic Filing Waiver Granted </w:t>
            </w:r>
          </w:p>
        </w:tc>
        <w:tc>
          <w:tcPr>
            <w:tcW w:w="900" w:type="dxa"/>
            <w:shd w:val="clear" w:color="auto" w:fill="auto"/>
          </w:tcPr>
          <w:p w:rsidRPr="00772D1C" w:rsidR="004B68EA" w:rsidP="00503C75" w:rsidRDefault="004B68EA" w14:paraId="757D29B2" w14:textId="77777777">
            <w:pPr>
              <w:keepNext/>
              <w:rPr>
                <w:color w:val="FF0000"/>
                <w:sz w:val="20"/>
                <w:szCs w:val="20"/>
              </w:rPr>
            </w:pPr>
          </w:p>
        </w:tc>
        <w:tc>
          <w:tcPr>
            <w:tcW w:w="1260" w:type="dxa"/>
            <w:shd w:val="clear" w:color="auto" w:fill="auto"/>
          </w:tcPr>
          <w:p w:rsidRPr="00772D1C" w:rsidR="004B68EA" w:rsidP="00503C75" w:rsidRDefault="004B68EA" w14:paraId="5DB595C3" w14:textId="77777777">
            <w:pPr>
              <w:keepNext/>
              <w:jc w:val="right"/>
              <w:rPr>
                <w:sz w:val="20"/>
                <w:szCs w:val="20"/>
              </w:rPr>
            </w:pPr>
            <w:r>
              <w:rPr>
                <w:sz w:val="20"/>
                <w:szCs w:val="20"/>
              </w:rPr>
              <w:t>1</w:t>
            </w:r>
          </w:p>
        </w:tc>
        <w:tc>
          <w:tcPr>
            <w:tcW w:w="1350" w:type="dxa"/>
            <w:shd w:val="clear" w:color="auto" w:fill="auto"/>
          </w:tcPr>
          <w:p w:rsidRPr="00772D1C" w:rsidR="004B68EA" w:rsidP="00503C75" w:rsidRDefault="004B68EA" w14:paraId="1A3F3CAC"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07075C5E" w14:textId="77777777">
            <w:pPr>
              <w:keepNext/>
              <w:jc w:val="right"/>
              <w:rPr>
                <w:sz w:val="20"/>
                <w:szCs w:val="20"/>
              </w:rPr>
            </w:pPr>
            <w:r>
              <w:rPr>
                <w:sz w:val="20"/>
                <w:szCs w:val="20"/>
              </w:rPr>
              <w:t>1</w:t>
            </w:r>
          </w:p>
        </w:tc>
        <w:tc>
          <w:tcPr>
            <w:tcW w:w="1260" w:type="dxa"/>
            <w:shd w:val="clear" w:color="auto" w:fill="auto"/>
          </w:tcPr>
          <w:p w:rsidRPr="00772D1C" w:rsidR="004B68EA" w:rsidP="00503C75" w:rsidRDefault="004B68EA" w14:paraId="406F395F" w14:textId="77777777">
            <w:pPr>
              <w:keepNext/>
              <w:jc w:val="right"/>
              <w:rPr>
                <w:sz w:val="20"/>
                <w:szCs w:val="20"/>
              </w:rPr>
            </w:pPr>
            <w:r w:rsidRPr="00772D1C">
              <w:rPr>
                <w:sz w:val="20"/>
                <w:szCs w:val="20"/>
              </w:rPr>
              <w:t>1</w:t>
            </w:r>
          </w:p>
        </w:tc>
        <w:tc>
          <w:tcPr>
            <w:tcW w:w="1098" w:type="dxa"/>
            <w:shd w:val="clear" w:color="auto" w:fill="auto"/>
          </w:tcPr>
          <w:p w:rsidRPr="00772D1C" w:rsidR="004B68EA" w:rsidP="00503C75" w:rsidRDefault="004B68EA" w14:paraId="05F8C656" w14:textId="77777777">
            <w:pPr>
              <w:keepNext/>
              <w:jc w:val="right"/>
              <w:rPr>
                <w:sz w:val="20"/>
                <w:szCs w:val="20"/>
              </w:rPr>
            </w:pPr>
            <w:r>
              <w:rPr>
                <w:sz w:val="20"/>
                <w:szCs w:val="20"/>
              </w:rPr>
              <w:t>1</w:t>
            </w:r>
          </w:p>
        </w:tc>
      </w:tr>
      <w:tr w:rsidRPr="00A1141F" w:rsidR="004B68EA" w:rsidTr="00FE7921" w14:paraId="49B4D557" w14:textId="77777777">
        <w:trPr>
          <w:cantSplit/>
          <w:trHeight w:val="20"/>
          <w:jc w:val="center"/>
        </w:trPr>
        <w:tc>
          <w:tcPr>
            <w:tcW w:w="2538" w:type="dxa"/>
            <w:shd w:val="clear" w:color="auto" w:fill="auto"/>
          </w:tcPr>
          <w:p w:rsidRPr="00772D1C" w:rsidR="004B68EA" w:rsidP="00503C75" w:rsidRDefault="004B68EA" w14:paraId="5205F1DD" w14:textId="77777777">
            <w:pPr>
              <w:keepNext/>
              <w:rPr>
                <w:sz w:val="20"/>
                <w:szCs w:val="20"/>
              </w:rPr>
            </w:pPr>
            <w:r w:rsidRPr="00772D1C">
              <w:rPr>
                <w:sz w:val="20"/>
                <w:szCs w:val="20"/>
              </w:rPr>
              <w:t>807.34(a)</w:t>
            </w:r>
            <w:r w:rsidRPr="00772D1C">
              <w:rPr>
                <w:sz w:val="20"/>
                <w:szCs w:val="20"/>
                <w:vertAlign w:val="superscript"/>
              </w:rPr>
              <w:t>3</w:t>
            </w:r>
          </w:p>
          <w:p w:rsidRPr="00772D1C" w:rsidR="004B68EA" w:rsidP="00503C75" w:rsidRDefault="004B68EA" w14:paraId="491C86C6" w14:textId="77777777">
            <w:pPr>
              <w:keepNext/>
              <w:rPr>
                <w:sz w:val="20"/>
                <w:szCs w:val="20"/>
              </w:rPr>
            </w:pPr>
            <w:r w:rsidRPr="00772D1C">
              <w:rPr>
                <w:sz w:val="20"/>
                <w:szCs w:val="20"/>
              </w:rPr>
              <w:t xml:space="preserve">Annual Registration &amp; Listing when Electronic Filing Waiver granted </w:t>
            </w:r>
          </w:p>
        </w:tc>
        <w:tc>
          <w:tcPr>
            <w:tcW w:w="900" w:type="dxa"/>
            <w:shd w:val="clear" w:color="auto" w:fill="auto"/>
          </w:tcPr>
          <w:p w:rsidRPr="00772D1C" w:rsidR="004B68EA" w:rsidP="00503C75" w:rsidRDefault="004B68EA" w14:paraId="666B2B73" w14:textId="77777777">
            <w:pPr>
              <w:keepNext/>
              <w:rPr>
                <w:color w:val="FF0000"/>
                <w:sz w:val="20"/>
                <w:szCs w:val="20"/>
              </w:rPr>
            </w:pPr>
          </w:p>
        </w:tc>
        <w:tc>
          <w:tcPr>
            <w:tcW w:w="1260" w:type="dxa"/>
            <w:shd w:val="clear" w:color="auto" w:fill="auto"/>
          </w:tcPr>
          <w:p w:rsidRPr="00772D1C" w:rsidR="004B68EA" w:rsidP="00503C75" w:rsidRDefault="004B68EA" w14:paraId="386ECC98" w14:textId="77777777">
            <w:pPr>
              <w:keepNext/>
              <w:jc w:val="right"/>
              <w:rPr>
                <w:sz w:val="20"/>
                <w:szCs w:val="20"/>
              </w:rPr>
            </w:pPr>
            <w:r>
              <w:rPr>
                <w:sz w:val="20"/>
                <w:szCs w:val="20"/>
              </w:rPr>
              <w:t>1</w:t>
            </w:r>
          </w:p>
        </w:tc>
        <w:tc>
          <w:tcPr>
            <w:tcW w:w="1350" w:type="dxa"/>
            <w:shd w:val="clear" w:color="auto" w:fill="auto"/>
          </w:tcPr>
          <w:p w:rsidRPr="00772D1C" w:rsidR="004B68EA" w:rsidP="00503C75" w:rsidRDefault="004B68EA" w14:paraId="0DABB9B0"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0FFF5FF2" w14:textId="77777777">
            <w:pPr>
              <w:keepNext/>
              <w:jc w:val="right"/>
              <w:rPr>
                <w:sz w:val="20"/>
                <w:szCs w:val="20"/>
              </w:rPr>
            </w:pPr>
            <w:r>
              <w:rPr>
                <w:sz w:val="20"/>
                <w:szCs w:val="20"/>
              </w:rPr>
              <w:t>1</w:t>
            </w:r>
          </w:p>
        </w:tc>
        <w:tc>
          <w:tcPr>
            <w:tcW w:w="1260" w:type="dxa"/>
            <w:shd w:val="clear" w:color="auto" w:fill="auto"/>
          </w:tcPr>
          <w:p w:rsidRPr="00772D1C" w:rsidR="004B68EA" w:rsidP="00503C75" w:rsidRDefault="004B68EA" w14:paraId="53107392" w14:textId="77777777">
            <w:pPr>
              <w:keepNext/>
              <w:jc w:val="right"/>
              <w:rPr>
                <w:sz w:val="20"/>
                <w:szCs w:val="20"/>
              </w:rPr>
            </w:pPr>
            <w:r w:rsidRPr="00772D1C">
              <w:rPr>
                <w:sz w:val="20"/>
                <w:szCs w:val="20"/>
              </w:rPr>
              <w:t>1</w:t>
            </w:r>
          </w:p>
        </w:tc>
        <w:tc>
          <w:tcPr>
            <w:tcW w:w="1098" w:type="dxa"/>
            <w:shd w:val="clear" w:color="auto" w:fill="auto"/>
          </w:tcPr>
          <w:p w:rsidRPr="00772D1C" w:rsidR="004B68EA" w:rsidP="00503C75" w:rsidRDefault="004B68EA" w14:paraId="392E8BC5" w14:textId="77777777">
            <w:pPr>
              <w:keepNext/>
              <w:jc w:val="right"/>
              <w:rPr>
                <w:sz w:val="20"/>
                <w:szCs w:val="20"/>
              </w:rPr>
            </w:pPr>
            <w:r>
              <w:rPr>
                <w:sz w:val="20"/>
                <w:szCs w:val="20"/>
              </w:rPr>
              <w:t>1</w:t>
            </w:r>
          </w:p>
        </w:tc>
      </w:tr>
      <w:tr w:rsidRPr="00A1141F" w:rsidR="004B68EA" w:rsidTr="00FE7921" w14:paraId="211107EF" w14:textId="77777777">
        <w:trPr>
          <w:cantSplit/>
          <w:trHeight w:val="20"/>
          <w:jc w:val="center"/>
        </w:trPr>
        <w:tc>
          <w:tcPr>
            <w:tcW w:w="2538" w:type="dxa"/>
            <w:shd w:val="clear" w:color="auto" w:fill="auto"/>
          </w:tcPr>
          <w:p w:rsidRPr="00772D1C" w:rsidR="004B68EA" w:rsidP="00503C75" w:rsidRDefault="004B68EA" w14:paraId="39693D1A" w14:textId="77777777">
            <w:pPr>
              <w:keepNext/>
              <w:rPr>
                <w:sz w:val="20"/>
                <w:szCs w:val="20"/>
              </w:rPr>
            </w:pPr>
            <w:r w:rsidRPr="00772D1C">
              <w:rPr>
                <w:sz w:val="20"/>
                <w:szCs w:val="20"/>
              </w:rPr>
              <w:t>807.40(b)(2)</w:t>
            </w:r>
            <w:r w:rsidRPr="00772D1C">
              <w:rPr>
                <w:sz w:val="20"/>
                <w:szCs w:val="20"/>
                <w:vertAlign w:val="superscript"/>
              </w:rPr>
              <w:t>3</w:t>
            </w:r>
            <w:r w:rsidRPr="00772D1C">
              <w:rPr>
                <w:sz w:val="20"/>
                <w:szCs w:val="20"/>
              </w:rPr>
              <w:t> </w:t>
            </w:r>
          </w:p>
          <w:p w:rsidRPr="00772D1C" w:rsidR="004B68EA" w:rsidP="00503C75" w:rsidRDefault="004B68EA" w14:paraId="1559E7C3" w14:textId="77777777">
            <w:pPr>
              <w:keepNext/>
              <w:rPr>
                <w:sz w:val="20"/>
                <w:szCs w:val="20"/>
              </w:rPr>
            </w:pPr>
            <w:r w:rsidRPr="00772D1C">
              <w:rPr>
                <w:sz w:val="20"/>
                <w:szCs w:val="20"/>
              </w:rPr>
              <w:t xml:space="preserve">Annual Update of US Agent Information </w:t>
            </w:r>
          </w:p>
        </w:tc>
        <w:tc>
          <w:tcPr>
            <w:tcW w:w="900" w:type="dxa"/>
            <w:shd w:val="clear" w:color="auto" w:fill="auto"/>
          </w:tcPr>
          <w:p w:rsidRPr="00772D1C" w:rsidR="004B68EA" w:rsidP="00503C75" w:rsidRDefault="004B68EA" w14:paraId="351CEB19" w14:textId="77777777">
            <w:pPr>
              <w:keepNext/>
              <w:jc w:val="right"/>
              <w:rPr>
                <w:sz w:val="20"/>
                <w:szCs w:val="20"/>
              </w:rPr>
            </w:pPr>
            <w:r w:rsidRPr="00772D1C">
              <w:rPr>
                <w:sz w:val="20"/>
                <w:szCs w:val="20"/>
              </w:rPr>
              <w:t>3673</w:t>
            </w:r>
          </w:p>
        </w:tc>
        <w:tc>
          <w:tcPr>
            <w:tcW w:w="1260" w:type="dxa"/>
            <w:shd w:val="clear" w:color="auto" w:fill="auto"/>
          </w:tcPr>
          <w:p w:rsidRPr="00772D1C" w:rsidR="004B68EA" w:rsidP="00503C75" w:rsidRDefault="004B68EA" w14:paraId="3173EDF5" w14:textId="77777777">
            <w:pPr>
              <w:keepNext/>
              <w:jc w:val="right"/>
              <w:rPr>
                <w:sz w:val="20"/>
                <w:szCs w:val="20"/>
              </w:rPr>
            </w:pPr>
            <w:r w:rsidRPr="00772D1C">
              <w:rPr>
                <w:sz w:val="20"/>
                <w:szCs w:val="20"/>
              </w:rPr>
              <w:t>1,615</w:t>
            </w:r>
          </w:p>
        </w:tc>
        <w:tc>
          <w:tcPr>
            <w:tcW w:w="1350" w:type="dxa"/>
            <w:shd w:val="clear" w:color="auto" w:fill="auto"/>
          </w:tcPr>
          <w:p w:rsidRPr="00772D1C" w:rsidR="004B68EA" w:rsidP="00503C75" w:rsidRDefault="004B68EA" w14:paraId="477C9B9B"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126A6DB7" w14:textId="77777777">
            <w:pPr>
              <w:keepNext/>
              <w:jc w:val="right"/>
              <w:rPr>
                <w:sz w:val="20"/>
                <w:szCs w:val="20"/>
              </w:rPr>
            </w:pPr>
            <w:r w:rsidRPr="00772D1C">
              <w:rPr>
                <w:sz w:val="20"/>
                <w:szCs w:val="20"/>
              </w:rPr>
              <w:t>1,615</w:t>
            </w:r>
          </w:p>
        </w:tc>
        <w:tc>
          <w:tcPr>
            <w:tcW w:w="1260" w:type="dxa"/>
            <w:shd w:val="clear" w:color="auto" w:fill="auto"/>
          </w:tcPr>
          <w:p w:rsidRPr="00772D1C" w:rsidR="004B68EA" w:rsidP="00503C75" w:rsidRDefault="004B68EA" w14:paraId="17FFC83F" w14:textId="77777777">
            <w:pPr>
              <w:keepNext/>
              <w:jc w:val="right"/>
              <w:rPr>
                <w:sz w:val="20"/>
                <w:szCs w:val="20"/>
              </w:rPr>
            </w:pPr>
            <w:r w:rsidRPr="00772D1C">
              <w:rPr>
                <w:sz w:val="20"/>
                <w:szCs w:val="20"/>
              </w:rPr>
              <w:t>0.5</w:t>
            </w:r>
          </w:p>
        </w:tc>
        <w:tc>
          <w:tcPr>
            <w:tcW w:w="1098" w:type="dxa"/>
            <w:shd w:val="clear" w:color="auto" w:fill="auto"/>
          </w:tcPr>
          <w:p w:rsidRPr="00772D1C" w:rsidR="004B68EA" w:rsidP="00503C75" w:rsidRDefault="004B68EA" w14:paraId="4AB1C64B" w14:textId="77777777">
            <w:pPr>
              <w:keepNext/>
              <w:jc w:val="right"/>
              <w:rPr>
                <w:sz w:val="20"/>
                <w:szCs w:val="20"/>
              </w:rPr>
            </w:pPr>
            <w:r w:rsidRPr="00772D1C">
              <w:rPr>
                <w:sz w:val="20"/>
                <w:szCs w:val="20"/>
              </w:rPr>
              <w:t>808</w:t>
            </w:r>
          </w:p>
        </w:tc>
      </w:tr>
      <w:tr w:rsidRPr="00A1141F" w:rsidR="004B68EA" w:rsidTr="00FE7921" w14:paraId="46F297AA" w14:textId="77777777">
        <w:trPr>
          <w:cantSplit/>
          <w:trHeight w:val="20"/>
          <w:jc w:val="center"/>
        </w:trPr>
        <w:tc>
          <w:tcPr>
            <w:tcW w:w="2538" w:type="dxa"/>
            <w:shd w:val="clear" w:color="auto" w:fill="auto"/>
          </w:tcPr>
          <w:p w:rsidRPr="00772D1C" w:rsidR="004B68EA" w:rsidP="00503C75" w:rsidRDefault="004B68EA" w14:paraId="256A29C0" w14:textId="77777777">
            <w:pPr>
              <w:keepNext/>
              <w:rPr>
                <w:sz w:val="20"/>
                <w:szCs w:val="20"/>
              </w:rPr>
            </w:pPr>
            <w:r w:rsidRPr="00772D1C">
              <w:rPr>
                <w:sz w:val="20"/>
                <w:szCs w:val="20"/>
              </w:rPr>
              <w:t>807.40(b)(3)</w:t>
            </w:r>
            <w:r w:rsidRPr="00772D1C">
              <w:rPr>
                <w:sz w:val="20"/>
                <w:szCs w:val="20"/>
                <w:vertAlign w:val="superscript"/>
              </w:rPr>
              <w:t>3</w:t>
            </w:r>
          </w:p>
          <w:p w:rsidRPr="00772D1C" w:rsidR="004B68EA" w:rsidP="00503C75" w:rsidRDefault="004B68EA" w14:paraId="74D080FD" w14:textId="77777777">
            <w:pPr>
              <w:keepNext/>
              <w:rPr>
                <w:sz w:val="20"/>
                <w:szCs w:val="20"/>
              </w:rPr>
            </w:pPr>
            <w:r w:rsidRPr="00772D1C">
              <w:rPr>
                <w:sz w:val="20"/>
                <w:szCs w:val="20"/>
              </w:rPr>
              <w:t xml:space="preserve">US Agent Responses to FDA Requests for Information </w:t>
            </w:r>
          </w:p>
        </w:tc>
        <w:tc>
          <w:tcPr>
            <w:tcW w:w="900" w:type="dxa"/>
            <w:shd w:val="clear" w:color="auto" w:fill="auto"/>
          </w:tcPr>
          <w:p w:rsidRPr="00772D1C" w:rsidR="004B68EA" w:rsidP="00503C75" w:rsidRDefault="004B68EA" w14:paraId="7DF16CBB" w14:textId="77777777">
            <w:pPr>
              <w:keepNext/>
              <w:jc w:val="right"/>
              <w:rPr>
                <w:sz w:val="20"/>
                <w:szCs w:val="20"/>
              </w:rPr>
            </w:pPr>
            <w:r w:rsidRPr="00772D1C">
              <w:rPr>
                <w:sz w:val="20"/>
                <w:szCs w:val="20"/>
              </w:rPr>
              <w:t>3673</w:t>
            </w:r>
          </w:p>
        </w:tc>
        <w:tc>
          <w:tcPr>
            <w:tcW w:w="1260" w:type="dxa"/>
            <w:shd w:val="clear" w:color="auto" w:fill="auto"/>
          </w:tcPr>
          <w:p w:rsidRPr="00772D1C" w:rsidR="004B68EA" w:rsidP="00503C75" w:rsidRDefault="004B68EA" w14:paraId="31E547D5" w14:textId="77777777">
            <w:pPr>
              <w:keepNext/>
              <w:jc w:val="right"/>
              <w:rPr>
                <w:sz w:val="20"/>
                <w:szCs w:val="20"/>
              </w:rPr>
            </w:pPr>
            <w:r w:rsidRPr="00772D1C">
              <w:rPr>
                <w:sz w:val="20"/>
                <w:szCs w:val="20"/>
              </w:rPr>
              <w:t>1,535</w:t>
            </w:r>
          </w:p>
        </w:tc>
        <w:tc>
          <w:tcPr>
            <w:tcW w:w="1350" w:type="dxa"/>
            <w:shd w:val="clear" w:color="auto" w:fill="auto"/>
          </w:tcPr>
          <w:p w:rsidRPr="00772D1C" w:rsidR="004B68EA" w:rsidP="00503C75" w:rsidRDefault="004B68EA" w14:paraId="440180A2"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08B0A0EB" w14:textId="77777777">
            <w:pPr>
              <w:keepNext/>
              <w:jc w:val="right"/>
              <w:rPr>
                <w:sz w:val="20"/>
                <w:szCs w:val="20"/>
              </w:rPr>
            </w:pPr>
            <w:r w:rsidRPr="00772D1C">
              <w:rPr>
                <w:sz w:val="20"/>
                <w:szCs w:val="20"/>
              </w:rPr>
              <w:t>1,535</w:t>
            </w:r>
          </w:p>
        </w:tc>
        <w:tc>
          <w:tcPr>
            <w:tcW w:w="1260" w:type="dxa"/>
            <w:shd w:val="clear" w:color="auto" w:fill="auto"/>
          </w:tcPr>
          <w:p w:rsidRPr="00772D1C" w:rsidR="004B68EA" w:rsidP="00503C75" w:rsidRDefault="004B68EA" w14:paraId="7B1A1795" w14:textId="77777777">
            <w:pPr>
              <w:keepNext/>
              <w:jc w:val="right"/>
              <w:rPr>
                <w:sz w:val="20"/>
                <w:szCs w:val="20"/>
              </w:rPr>
            </w:pPr>
            <w:r w:rsidRPr="00772D1C">
              <w:rPr>
                <w:sz w:val="20"/>
                <w:szCs w:val="20"/>
              </w:rPr>
              <w:t>0.25</w:t>
            </w:r>
          </w:p>
        </w:tc>
        <w:tc>
          <w:tcPr>
            <w:tcW w:w="1098" w:type="dxa"/>
            <w:shd w:val="clear" w:color="auto" w:fill="auto"/>
          </w:tcPr>
          <w:p w:rsidRPr="00772D1C" w:rsidR="004B68EA" w:rsidP="00503C75" w:rsidRDefault="004B68EA" w14:paraId="3307A285" w14:textId="77777777">
            <w:pPr>
              <w:keepNext/>
              <w:jc w:val="right"/>
              <w:rPr>
                <w:sz w:val="20"/>
                <w:szCs w:val="20"/>
              </w:rPr>
            </w:pPr>
            <w:r w:rsidRPr="00772D1C">
              <w:rPr>
                <w:sz w:val="20"/>
                <w:szCs w:val="20"/>
              </w:rPr>
              <w:t>384</w:t>
            </w:r>
          </w:p>
        </w:tc>
      </w:tr>
      <w:tr w:rsidRPr="00A1141F" w:rsidR="004B68EA" w:rsidTr="00FE7921" w14:paraId="0217A31A" w14:textId="77777777">
        <w:trPr>
          <w:cantSplit/>
          <w:trHeight w:val="20"/>
          <w:jc w:val="center"/>
        </w:trPr>
        <w:tc>
          <w:tcPr>
            <w:tcW w:w="2538" w:type="dxa"/>
            <w:shd w:val="clear" w:color="auto" w:fill="auto"/>
          </w:tcPr>
          <w:p w:rsidRPr="00772D1C" w:rsidR="004B68EA" w:rsidP="00503C75" w:rsidRDefault="004B68EA" w14:paraId="63B13C4F" w14:textId="77777777">
            <w:pPr>
              <w:keepNext/>
              <w:rPr>
                <w:sz w:val="20"/>
                <w:szCs w:val="20"/>
              </w:rPr>
            </w:pPr>
            <w:r w:rsidRPr="00772D1C">
              <w:rPr>
                <w:sz w:val="20"/>
                <w:szCs w:val="20"/>
              </w:rPr>
              <w:t>807.41(a)</w:t>
            </w:r>
            <w:r w:rsidRPr="00772D1C">
              <w:rPr>
                <w:sz w:val="20"/>
                <w:szCs w:val="20"/>
                <w:vertAlign w:val="superscript"/>
              </w:rPr>
              <w:t>3</w:t>
            </w:r>
            <w:r w:rsidRPr="00772D1C">
              <w:rPr>
                <w:sz w:val="20"/>
                <w:szCs w:val="20"/>
              </w:rPr>
              <w:t xml:space="preserve"> </w:t>
            </w:r>
          </w:p>
          <w:p w:rsidRPr="00772D1C" w:rsidR="004B68EA" w:rsidP="00503C75" w:rsidRDefault="004B68EA" w14:paraId="21637D97" w14:textId="77777777">
            <w:pPr>
              <w:keepNext/>
              <w:rPr>
                <w:sz w:val="20"/>
                <w:szCs w:val="20"/>
              </w:rPr>
            </w:pPr>
            <w:r w:rsidRPr="00772D1C">
              <w:rPr>
                <w:sz w:val="20"/>
                <w:szCs w:val="20"/>
              </w:rPr>
              <w:t>Identification of initial importers</w:t>
            </w:r>
            <w:r>
              <w:rPr>
                <w:sz w:val="20"/>
                <w:szCs w:val="20"/>
              </w:rPr>
              <w:t xml:space="preserve"> defined in 21 CFR 807.3(g)</w:t>
            </w:r>
            <w:r w:rsidRPr="00772D1C">
              <w:rPr>
                <w:sz w:val="20"/>
                <w:szCs w:val="20"/>
              </w:rPr>
              <w:t xml:space="preserve"> by foreign establishments</w:t>
            </w:r>
          </w:p>
        </w:tc>
        <w:tc>
          <w:tcPr>
            <w:tcW w:w="900" w:type="dxa"/>
            <w:shd w:val="clear" w:color="auto" w:fill="auto"/>
          </w:tcPr>
          <w:p w:rsidRPr="00772D1C" w:rsidR="004B68EA" w:rsidP="00503C75" w:rsidRDefault="004B68EA" w14:paraId="00D5CA00" w14:textId="77777777">
            <w:pPr>
              <w:keepNext/>
              <w:jc w:val="right"/>
              <w:rPr>
                <w:sz w:val="20"/>
                <w:szCs w:val="20"/>
              </w:rPr>
            </w:pPr>
            <w:r w:rsidRPr="00772D1C">
              <w:rPr>
                <w:sz w:val="20"/>
                <w:szCs w:val="20"/>
              </w:rPr>
              <w:t>3673</w:t>
            </w:r>
          </w:p>
        </w:tc>
        <w:tc>
          <w:tcPr>
            <w:tcW w:w="1260" w:type="dxa"/>
            <w:shd w:val="clear" w:color="auto" w:fill="auto"/>
          </w:tcPr>
          <w:p w:rsidRPr="00772D1C" w:rsidR="004B68EA" w:rsidP="00503C75" w:rsidRDefault="004B68EA" w14:paraId="24B301B2" w14:textId="77777777">
            <w:pPr>
              <w:keepNext/>
              <w:jc w:val="right"/>
              <w:rPr>
                <w:sz w:val="20"/>
                <w:szCs w:val="20"/>
              </w:rPr>
            </w:pPr>
            <w:r>
              <w:rPr>
                <w:sz w:val="20"/>
                <w:szCs w:val="20"/>
              </w:rPr>
              <w:t>12,983</w:t>
            </w:r>
          </w:p>
        </w:tc>
        <w:tc>
          <w:tcPr>
            <w:tcW w:w="1350" w:type="dxa"/>
            <w:shd w:val="clear" w:color="auto" w:fill="auto"/>
          </w:tcPr>
          <w:p w:rsidRPr="00772D1C" w:rsidR="004B68EA" w:rsidP="00503C75" w:rsidRDefault="004B68EA" w14:paraId="0254DD24"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0CB45408" w14:textId="77777777">
            <w:pPr>
              <w:keepNext/>
              <w:jc w:val="right"/>
              <w:rPr>
                <w:sz w:val="20"/>
                <w:szCs w:val="20"/>
              </w:rPr>
            </w:pPr>
            <w:r>
              <w:rPr>
                <w:sz w:val="20"/>
                <w:szCs w:val="20"/>
              </w:rPr>
              <w:t>12,983</w:t>
            </w:r>
          </w:p>
        </w:tc>
        <w:tc>
          <w:tcPr>
            <w:tcW w:w="1260" w:type="dxa"/>
            <w:shd w:val="clear" w:color="auto" w:fill="auto"/>
          </w:tcPr>
          <w:p w:rsidRPr="00772D1C" w:rsidR="004B68EA" w:rsidP="00503C75" w:rsidRDefault="004B68EA" w14:paraId="7D087D9A" w14:textId="77777777">
            <w:pPr>
              <w:keepNext/>
              <w:jc w:val="right"/>
              <w:rPr>
                <w:sz w:val="20"/>
                <w:szCs w:val="20"/>
              </w:rPr>
            </w:pPr>
            <w:r w:rsidRPr="00772D1C">
              <w:rPr>
                <w:sz w:val="20"/>
                <w:szCs w:val="20"/>
              </w:rPr>
              <w:t>0.5</w:t>
            </w:r>
          </w:p>
        </w:tc>
        <w:tc>
          <w:tcPr>
            <w:tcW w:w="1098" w:type="dxa"/>
            <w:shd w:val="clear" w:color="auto" w:fill="auto"/>
          </w:tcPr>
          <w:p w:rsidRPr="00772D1C" w:rsidR="004B68EA" w:rsidP="00503C75" w:rsidRDefault="004B68EA" w14:paraId="49C76918" w14:textId="77777777">
            <w:pPr>
              <w:keepNext/>
              <w:jc w:val="right"/>
              <w:rPr>
                <w:sz w:val="20"/>
                <w:szCs w:val="20"/>
              </w:rPr>
            </w:pPr>
            <w:r>
              <w:rPr>
                <w:sz w:val="20"/>
                <w:szCs w:val="20"/>
              </w:rPr>
              <w:t>6,492</w:t>
            </w:r>
          </w:p>
        </w:tc>
      </w:tr>
      <w:tr w:rsidRPr="00A1141F" w:rsidR="004B68EA" w:rsidTr="00FE7921" w14:paraId="7265F332" w14:textId="77777777">
        <w:trPr>
          <w:cantSplit/>
          <w:trHeight w:val="20"/>
          <w:jc w:val="center"/>
        </w:trPr>
        <w:tc>
          <w:tcPr>
            <w:tcW w:w="2538" w:type="dxa"/>
            <w:shd w:val="clear" w:color="auto" w:fill="auto"/>
          </w:tcPr>
          <w:p w:rsidRPr="00772D1C" w:rsidR="004B68EA" w:rsidP="00503C75" w:rsidRDefault="004B68EA" w14:paraId="5FD8C6B4" w14:textId="77777777">
            <w:pPr>
              <w:keepNext/>
              <w:rPr>
                <w:sz w:val="20"/>
                <w:szCs w:val="20"/>
              </w:rPr>
            </w:pPr>
            <w:r w:rsidRPr="00772D1C">
              <w:rPr>
                <w:sz w:val="20"/>
                <w:szCs w:val="20"/>
              </w:rPr>
              <w:t>807.41(b)</w:t>
            </w:r>
            <w:r w:rsidRPr="00772D1C">
              <w:rPr>
                <w:sz w:val="20"/>
                <w:szCs w:val="20"/>
                <w:vertAlign w:val="superscript"/>
              </w:rPr>
              <w:t>3</w:t>
            </w:r>
          </w:p>
          <w:p w:rsidRPr="00772D1C" w:rsidR="004B68EA" w:rsidP="00503C75" w:rsidRDefault="004B68EA" w14:paraId="1A4BD251" w14:textId="77777777">
            <w:pPr>
              <w:keepNext/>
              <w:rPr>
                <w:sz w:val="20"/>
                <w:szCs w:val="20"/>
              </w:rPr>
            </w:pPr>
            <w:r w:rsidRPr="00772D1C">
              <w:rPr>
                <w:sz w:val="20"/>
                <w:szCs w:val="20"/>
              </w:rPr>
              <w:t xml:space="preserve">Identification of other </w:t>
            </w:r>
            <w:r>
              <w:rPr>
                <w:sz w:val="20"/>
                <w:szCs w:val="20"/>
              </w:rPr>
              <w:t>importers (defined in 21 CFR 807.3(x) and (y)</w:t>
            </w:r>
            <w:r w:rsidRPr="00772D1C">
              <w:rPr>
                <w:sz w:val="20"/>
                <w:szCs w:val="20"/>
              </w:rPr>
              <w:t xml:space="preserve"> that facilitate import by foreign establishments</w:t>
            </w:r>
          </w:p>
        </w:tc>
        <w:tc>
          <w:tcPr>
            <w:tcW w:w="900" w:type="dxa"/>
            <w:shd w:val="clear" w:color="auto" w:fill="auto"/>
          </w:tcPr>
          <w:p w:rsidRPr="00772D1C" w:rsidR="004B68EA" w:rsidP="00503C75" w:rsidRDefault="004B68EA" w14:paraId="69D03F9F" w14:textId="77777777">
            <w:pPr>
              <w:keepNext/>
              <w:jc w:val="right"/>
              <w:rPr>
                <w:sz w:val="20"/>
                <w:szCs w:val="20"/>
              </w:rPr>
            </w:pPr>
            <w:r w:rsidRPr="00772D1C">
              <w:rPr>
                <w:sz w:val="20"/>
                <w:szCs w:val="20"/>
              </w:rPr>
              <w:t>3673</w:t>
            </w:r>
          </w:p>
        </w:tc>
        <w:tc>
          <w:tcPr>
            <w:tcW w:w="1260" w:type="dxa"/>
            <w:shd w:val="clear" w:color="auto" w:fill="auto"/>
          </w:tcPr>
          <w:p w:rsidR="004B68EA" w:rsidP="00503C75" w:rsidRDefault="004B68EA" w14:paraId="75259A90" w14:textId="77777777">
            <w:pPr>
              <w:keepNext/>
              <w:jc w:val="right"/>
              <w:rPr>
                <w:sz w:val="20"/>
                <w:szCs w:val="20"/>
              </w:rPr>
            </w:pPr>
            <w:r>
              <w:rPr>
                <w:sz w:val="20"/>
                <w:szCs w:val="20"/>
              </w:rPr>
              <w:t>12,983</w:t>
            </w:r>
          </w:p>
          <w:p w:rsidRPr="00772D1C" w:rsidR="004B68EA" w:rsidP="00503C75" w:rsidRDefault="004B68EA" w14:paraId="3EA7846B" w14:textId="77777777">
            <w:pPr>
              <w:keepNext/>
              <w:jc w:val="right"/>
              <w:rPr>
                <w:sz w:val="20"/>
                <w:szCs w:val="20"/>
              </w:rPr>
            </w:pPr>
          </w:p>
        </w:tc>
        <w:tc>
          <w:tcPr>
            <w:tcW w:w="1350" w:type="dxa"/>
            <w:shd w:val="clear" w:color="auto" w:fill="auto"/>
          </w:tcPr>
          <w:p w:rsidRPr="00772D1C" w:rsidR="004B68EA" w:rsidP="00503C75" w:rsidRDefault="004B68EA" w14:paraId="3B8FCB52" w14:textId="77777777">
            <w:pPr>
              <w:keepNext/>
              <w:jc w:val="right"/>
              <w:rPr>
                <w:sz w:val="20"/>
                <w:szCs w:val="20"/>
              </w:rPr>
            </w:pPr>
            <w:r w:rsidRPr="00772D1C">
              <w:rPr>
                <w:sz w:val="20"/>
                <w:szCs w:val="20"/>
              </w:rPr>
              <w:t>1</w:t>
            </w:r>
          </w:p>
        </w:tc>
        <w:tc>
          <w:tcPr>
            <w:tcW w:w="1170" w:type="dxa"/>
            <w:shd w:val="clear" w:color="auto" w:fill="auto"/>
          </w:tcPr>
          <w:p w:rsidRPr="00772D1C" w:rsidR="004B68EA" w:rsidP="00503C75" w:rsidRDefault="004B68EA" w14:paraId="1677E973" w14:textId="77777777">
            <w:pPr>
              <w:keepNext/>
              <w:jc w:val="right"/>
              <w:rPr>
                <w:sz w:val="20"/>
                <w:szCs w:val="20"/>
              </w:rPr>
            </w:pPr>
            <w:r>
              <w:rPr>
                <w:sz w:val="20"/>
                <w:szCs w:val="20"/>
              </w:rPr>
              <w:t>12,983</w:t>
            </w:r>
          </w:p>
        </w:tc>
        <w:tc>
          <w:tcPr>
            <w:tcW w:w="1260" w:type="dxa"/>
            <w:shd w:val="clear" w:color="auto" w:fill="auto"/>
          </w:tcPr>
          <w:p w:rsidRPr="00772D1C" w:rsidR="004B68EA" w:rsidP="00503C75" w:rsidRDefault="004B68EA" w14:paraId="1143A065" w14:textId="77777777">
            <w:pPr>
              <w:keepNext/>
              <w:jc w:val="right"/>
              <w:rPr>
                <w:sz w:val="20"/>
                <w:szCs w:val="20"/>
              </w:rPr>
            </w:pPr>
            <w:r w:rsidRPr="00772D1C">
              <w:rPr>
                <w:sz w:val="20"/>
                <w:szCs w:val="20"/>
              </w:rPr>
              <w:t>0.5</w:t>
            </w:r>
          </w:p>
        </w:tc>
        <w:tc>
          <w:tcPr>
            <w:tcW w:w="1098" w:type="dxa"/>
            <w:shd w:val="clear" w:color="auto" w:fill="auto"/>
          </w:tcPr>
          <w:p w:rsidRPr="00772D1C" w:rsidR="004B68EA" w:rsidP="00503C75" w:rsidRDefault="004B68EA" w14:paraId="6A6CFE55" w14:textId="77777777">
            <w:pPr>
              <w:keepNext/>
              <w:jc w:val="right"/>
              <w:rPr>
                <w:sz w:val="20"/>
                <w:szCs w:val="20"/>
              </w:rPr>
            </w:pPr>
            <w:r>
              <w:rPr>
                <w:sz w:val="20"/>
                <w:szCs w:val="20"/>
              </w:rPr>
              <w:t>6,492</w:t>
            </w:r>
          </w:p>
        </w:tc>
      </w:tr>
      <w:tr w:rsidRPr="00A1141F" w:rsidR="004B68EA" w:rsidTr="00FE7921" w14:paraId="59549FCD" w14:textId="77777777">
        <w:trPr>
          <w:cantSplit/>
          <w:trHeight w:val="20"/>
          <w:jc w:val="center"/>
        </w:trPr>
        <w:tc>
          <w:tcPr>
            <w:tcW w:w="2538" w:type="dxa"/>
            <w:shd w:val="clear" w:color="auto" w:fill="auto"/>
          </w:tcPr>
          <w:p w:rsidRPr="00772D1C" w:rsidR="004B68EA" w:rsidP="00503C75" w:rsidRDefault="004B68EA" w14:paraId="4C2FA9B8" w14:textId="77777777">
            <w:pPr>
              <w:keepNext/>
              <w:rPr>
                <w:sz w:val="20"/>
                <w:szCs w:val="20"/>
              </w:rPr>
            </w:pPr>
            <w:r w:rsidRPr="00772D1C">
              <w:rPr>
                <w:sz w:val="20"/>
                <w:szCs w:val="20"/>
              </w:rPr>
              <w:t>Total burden</w:t>
            </w:r>
          </w:p>
        </w:tc>
        <w:tc>
          <w:tcPr>
            <w:tcW w:w="900" w:type="dxa"/>
            <w:shd w:val="clear" w:color="auto" w:fill="auto"/>
          </w:tcPr>
          <w:p w:rsidRPr="00772D1C" w:rsidR="004B68EA" w:rsidP="00503C75" w:rsidRDefault="004B68EA" w14:paraId="5B8EC8B1" w14:textId="77777777">
            <w:pPr>
              <w:keepNext/>
              <w:rPr>
                <w:sz w:val="20"/>
                <w:szCs w:val="20"/>
              </w:rPr>
            </w:pPr>
            <w:r w:rsidRPr="00772D1C">
              <w:rPr>
                <w:sz w:val="20"/>
                <w:szCs w:val="20"/>
              </w:rPr>
              <w:t> </w:t>
            </w:r>
          </w:p>
        </w:tc>
        <w:tc>
          <w:tcPr>
            <w:tcW w:w="1260" w:type="dxa"/>
            <w:shd w:val="clear" w:color="auto" w:fill="auto"/>
          </w:tcPr>
          <w:p w:rsidRPr="00772D1C" w:rsidR="004B68EA" w:rsidP="00503C75" w:rsidRDefault="004B68EA" w14:paraId="0FB607C5" w14:textId="77777777">
            <w:pPr>
              <w:keepNext/>
              <w:rPr>
                <w:sz w:val="20"/>
                <w:szCs w:val="20"/>
              </w:rPr>
            </w:pPr>
            <w:r w:rsidRPr="00772D1C">
              <w:rPr>
                <w:sz w:val="20"/>
                <w:szCs w:val="20"/>
              </w:rPr>
              <w:t> </w:t>
            </w:r>
          </w:p>
        </w:tc>
        <w:tc>
          <w:tcPr>
            <w:tcW w:w="1350" w:type="dxa"/>
            <w:shd w:val="clear" w:color="auto" w:fill="auto"/>
          </w:tcPr>
          <w:p w:rsidRPr="00772D1C" w:rsidR="004B68EA" w:rsidP="00503C75" w:rsidRDefault="004B68EA" w14:paraId="5554BF65" w14:textId="77777777">
            <w:pPr>
              <w:keepNext/>
              <w:rPr>
                <w:sz w:val="20"/>
                <w:szCs w:val="20"/>
              </w:rPr>
            </w:pPr>
            <w:r w:rsidRPr="00772D1C">
              <w:rPr>
                <w:sz w:val="20"/>
                <w:szCs w:val="20"/>
              </w:rPr>
              <w:t> </w:t>
            </w:r>
          </w:p>
        </w:tc>
        <w:tc>
          <w:tcPr>
            <w:tcW w:w="1170" w:type="dxa"/>
            <w:shd w:val="clear" w:color="auto" w:fill="auto"/>
          </w:tcPr>
          <w:p w:rsidRPr="00772D1C" w:rsidR="004B68EA" w:rsidP="00503C75" w:rsidRDefault="004B68EA" w14:paraId="2F3F73B0" w14:textId="77777777">
            <w:pPr>
              <w:keepNext/>
              <w:rPr>
                <w:sz w:val="20"/>
                <w:szCs w:val="20"/>
              </w:rPr>
            </w:pPr>
            <w:r w:rsidRPr="00772D1C">
              <w:rPr>
                <w:sz w:val="20"/>
                <w:szCs w:val="20"/>
              </w:rPr>
              <w:t> </w:t>
            </w:r>
          </w:p>
        </w:tc>
        <w:tc>
          <w:tcPr>
            <w:tcW w:w="1260" w:type="dxa"/>
            <w:shd w:val="clear" w:color="auto" w:fill="auto"/>
          </w:tcPr>
          <w:p w:rsidRPr="00772D1C" w:rsidR="004B68EA" w:rsidP="00503C75" w:rsidRDefault="004B68EA" w14:paraId="3045F34A" w14:textId="77777777">
            <w:pPr>
              <w:keepNext/>
              <w:rPr>
                <w:sz w:val="20"/>
                <w:szCs w:val="20"/>
              </w:rPr>
            </w:pPr>
            <w:r w:rsidRPr="00772D1C">
              <w:rPr>
                <w:sz w:val="20"/>
                <w:szCs w:val="20"/>
              </w:rPr>
              <w:t> </w:t>
            </w:r>
          </w:p>
        </w:tc>
        <w:tc>
          <w:tcPr>
            <w:tcW w:w="1098" w:type="dxa"/>
            <w:shd w:val="clear" w:color="auto" w:fill="auto"/>
          </w:tcPr>
          <w:p w:rsidRPr="00772D1C" w:rsidR="004B68EA" w:rsidP="00503C75" w:rsidRDefault="008732DD" w14:paraId="06933B3F" w14:textId="77777777">
            <w:pPr>
              <w:keepNext/>
              <w:jc w:val="right"/>
              <w:rPr>
                <w:sz w:val="20"/>
                <w:szCs w:val="20"/>
              </w:rPr>
            </w:pPr>
            <w:r>
              <w:rPr>
                <w:sz w:val="20"/>
                <w:szCs w:val="20"/>
              </w:rPr>
              <w:t>51,997</w:t>
            </w:r>
          </w:p>
        </w:tc>
      </w:tr>
      <w:tr w:rsidRPr="009936B2" w:rsidR="004B68EA" w:rsidTr="00864701" w14:paraId="3416AFE1" w14:textId="77777777">
        <w:trPr>
          <w:cantSplit/>
          <w:trHeight w:val="20"/>
          <w:jc w:val="center"/>
        </w:trPr>
        <w:tc>
          <w:tcPr>
            <w:tcW w:w="9576" w:type="dxa"/>
            <w:gridSpan w:val="7"/>
            <w:tcBorders>
              <w:left w:val="nil"/>
              <w:bottom w:val="nil"/>
              <w:right w:val="nil"/>
            </w:tcBorders>
            <w:shd w:val="clear" w:color="auto" w:fill="auto"/>
          </w:tcPr>
          <w:p w:rsidRPr="000A15CE" w:rsidR="004B68EA" w:rsidP="00503C75" w:rsidRDefault="004B68EA" w14:paraId="1E8352FE" w14:textId="77777777">
            <w:pPr>
              <w:rPr>
                <w:sz w:val="20"/>
                <w:szCs w:val="20"/>
              </w:rPr>
            </w:pPr>
            <w:r w:rsidRPr="000A15CE">
              <w:rPr>
                <w:sz w:val="20"/>
                <w:szCs w:val="20"/>
                <w:vertAlign w:val="superscript"/>
              </w:rPr>
              <w:t>1</w:t>
            </w:r>
            <w:r>
              <w:rPr>
                <w:sz w:val="20"/>
                <w:szCs w:val="20"/>
              </w:rPr>
              <w:t>Totals are rounded to the nearest whole number.</w:t>
            </w:r>
            <w:r w:rsidRPr="000A15CE">
              <w:rPr>
                <w:sz w:val="20"/>
                <w:szCs w:val="20"/>
              </w:rPr>
              <w:t xml:space="preserve">  </w:t>
            </w:r>
          </w:p>
          <w:p w:rsidRPr="000A15CE" w:rsidR="004B68EA" w:rsidP="00503C75" w:rsidRDefault="004B68EA" w14:paraId="2F1393BF" w14:textId="77777777">
            <w:pPr>
              <w:rPr>
                <w:sz w:val="20"/>
                <w:szCs w:val="20"/>
              </w:rPr>
            </w:pPr>
            <w:r w:rsidRPr="000A15CE">
              <w:rPr>
                <w:sz w:val="20"/>
                <w:szCs w:val="20"/>
                <w:vertAlign w:val="superscript"/>
              </w:rPr>
              <w:t>2</w:t>
            </w:r>
            <w:r w:rsidRPr="000A15CE">
              <w:rPr>
                <w:sz w:val="20"/>
                <w:szCs w:val="20"/>
              </w:rPr>
              <w:t>One Time Burden</w:t>
            </w:r>
            <w:r>
              <w:rPr>
                <w:sz w:val="20"/>
                <w:szCs w:val="20"/>
              </w:rPr>
              <w:t xml:space="preserve"> – Firm only provides initially.</w:t>
            </w:r>
          </w:p>
          <w:p w:rsidRPr="009936B2" w:rsidR="004B68EA" w:rsidP="00503C75" w:rsidRDefault="004B68EA" w14:paraId="1D17C614" w14:textId="77777777">
            <w:pPr>
              <w:keepNext/>
              <w:rPr>
                <w:sz w:val="20"/>
                <w:szCs w:val="20"/>
              </w:rPr>
            </w:pPr>
            <w:r w:rsidRPr="000A15CE">
              <w:rPr>
                <w:sz w:val="20"/>
                <w:szCs w:val="20"/>
                <w:vertAlign w:val="superscript"/>
              </w:rPr>
              <w:t>3</w:t>
            </w:r>
            <w:r w:rsidRPr="000A15CE">
              <w:rPr>
                <w:sz w:val="20"/>
                <w:szCs w:val="20"/>
              </w:rPr>
              <w:t>Recurring Burden</w:t>
            </w:r>
            <w:r>
              <w:rPr>
                <w:sz w:val="20"/>
                <w:szCs w:val="20"/>
              </w:rPr>
              <w:t xml:space="preserve"> – Firm is required to review annually.</w:t>
            </w:r>
          </w:p>
        </w:tc>
      </w:tr>
      <w:bookmarkEnd w:id="3"/>
    </w:tbl>
    <w:p w:rsidR="008B6ECC" w:rsidP="00503C75" w:rsidRDefault="008B6ECC" w14:paraId="65661092" w14:textId="77777777">
      <w:pPr>
        <w:pStyle w:val="NormalWeb"/>
        <w:spacing w:before="0" w:beforeAutospacing="0" w:after="0" w:afterAutospacing="0"/>
      </w:pPr>
    </w:p>
    <w:p w:rsidRPr="007C55AA" w:rsidR="009936B2" w:rsidP="00503C75" w:rsidRDefault="009936B2" w14:paraId="179695F8" w14:textId="77777777">
      <w:pPr>
        <w:pStyle w:val="NormalWeb"/>
        <w:spacing w:before="0" w:beforeAutospacing="0" w:after="0" w:afterAutospacing="0"/>
      </w:pPr>
    </w:p>
    <w:tbl>
      <w:tblPr>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2" w:type="dxa"/>
          <w:right w:w="112" w:type="dxa"/>
        </w:tblCellMar>
        <w:tblLook w:val="0000" w:firstRow="0" w:lastRow="0" w:firstColumn="0" w:lastColumn="0" w:noHBand="0" w:noVBand="0"/>
      </w:tblPr>
      <w:tblGrid>
        <w:gridCol w:w="2452"/>
        <w:gridCol w:w="1890"/>
        <w:gridCol w:w="1530"/>
        <w:gridCol w:w="1170"/>
        <w:gridCol w:w="1440"/>
        <w:gridCol w:w="1102"/>
      </w:tblGrid>
      <w:tr w:rsidRPr="000A15CE" w:rsidR="00EE4398" w:rsidTr="00F5098F" w14:paraId="4323EC5A" w14:textId="77777777">
        <w:tblPrEx>
          <w:tblCellMar>
            <w:top w:w="0" w:type="dxa"/>
            <w:bottom w:w="0" w:type="dxa"/>
          </w:tblCellMar>
        </w:tblPrEx>
        <w:trPr>
          <w:cantSplit/>
          <w:trHeight w:val="20"/>
          <w:tblHeader/>
          <w:jc w:val="center"/>
        </w:trPr>
        <w:tc>
          <w:tcPr>
            <w:tcW w:w="9584" w:type="dxa"/>
            <w:gridSpan w:val="6"/>
            <w:tcBorders>
              <w:top w:val="nil"/>
              <w:left w:val="nil"/>
              <w:right w:val="nil"/>
            </w:tcBorders>
          </w:tcPr>
          <w:p w:rsidRPr="000A15CE" w:rsidR="00EE4398" w:rsidP="00503C75" w:rsidRDefault="00EE4398" w14:paraId="07041846" w14:textId="77777777">
            <w:pPr>
              <w:keepNext/>
              <w:jc w:val="center"/>
              <w:rPr>
                <w:sz w:val="20"/>
                <w:szCs w:val="20"/>
              </w:rPr>
            </w:pPr>
            <w:bookmarkStart w:name="_Hlk90378566" w:id="5"/>
            <w:r w:rsidRPr="000A15CE">
              <w:rPr>
                <w:sz w:val="20"/>
                <w:szCs w:val="20"/>
              </w:rPr>
              <w:t xml:space="preserve">Table </w:t>
            </w:r>
            <w:r w:rsidR="009936B2">
              <w:rPr>
                <w:sz w:val="20"/>
                <w:szCs w:val="20"/>
              </w:rPr>
              <w:t>2</w:t>
            </w:r>
            <w:r w:rsidRPr="000A15CE">
              <w:rPr>
                <w:sz w:val="20"/>
                <w:szCs w:val="20"/>
              </w:rPr>
              <w:t>.--Estimated Annual Recordkeeping Burden</w:t>
            </w:r>
            <w:r w:rsidRPr="000A15CE">
              <w:rPr>
                <w:sz w:val="20"/>
                <w:szCs w:val="20"/>
                <w:vertAlign w:val="superscript"/>
              </w:rPr>
              <w:t>1</w:t>
            </w:r>
          </w:p>
        </w:tc>
      </w:tr>
      <w:tr w:rsidRPr="000A15CE" w:rsidR="00EE4398" w:rsidTr="00FE7921" w14:paraId="0992F2E7" w14:textId="77777777">
        <w:tblPrEx>
          <w:tblCellMar>
            <w:top w:w="0" w:type="dxa"/>
            <w:bottom w:w="0" w:type="dxa"/>
          </w:tblCellMar>
        </w:tblPrEx>
        <w:trPr>
          <w:cantSplit/>
          <w:trHeight w:val="20"/>
          <w:tblHeader/>
          <w:jc w:val="center"/>
        </w:trPr>
        <w:tc>
          <w:tcPr>
            <w:tcW w:w="2452" w:type="dxa"/>
          </w:tcPr>
          <w:p w:rsidRPr="000A15CE" w:rsidR="00EE4398" w:rsidP="00503C75" w:rsidRDefault="00EE4398" w14:paraId="542F1801" w14:textId="77777777">
            <w:pPr>
              <w:keepNext/>
              <w:jc w:val="center"/>
              <w:rPr>
                <w:sz w:val="20"/>
                <w:szCs w:val="20"/>
              </w:rPr>
            </w:pPr>
            <w:r w:rsidRPr="000A15CE">
              <w:rPr>
                <w:sz w:val="20"/>
                <w:szCs w:val="20"/>
              </w:rPr>
              <w:t>21 CFR Section</w:t>
            </w:r>
          </w:p>
        </w:tc>
        <w:tc>
          <w:tcPr>
            <w:tcW w:w="1890" w:type="dxa"/>
          </w:tcPr>
          <w:p w:rsidRPr="000A15CE" w:rsidR="00EE4398" w:rsidP="00503C75" w:rsidRDefault="00EE4398" w14:paraId="2DB8BA01" w14:textId="77777777">
            <w:pPr>
              <w:keepNext/>
              <w:jc w:val="center"/>
              <w:rPr>
                <w:sz w:val="20"/>
                <w:szCs w:val="20"/>
              </w:rPr>
            </w:pPr>
            <w:r w:rsidRPr="000A15CE">
              <w:rPr>
                <w:sz w:val="20"/>
                <w:szCs w:val="20"/>
              </w:rPr>
              <w:t>No. of Respondents</w:t>
            </w:r>
          </w:p>
        </w:tc>
        <w:tc>
          <w:tcPr>
            <w:tcW w:w="1530" w:type="dxa"/>
          </w:tcPr>
          <w:p w:rsidRPr="000A15CE" w:rsidR="00EE4398" w:rsidP="00503C75" w:rsidRDefault="00EE4398" w14:paraId="22C47176" w14:textId="77777777">
            <w:pPr>
              <w:keepNext/>
              <w:jc w:val="center"/>
              <w:rPr>
                <w:sz w:val="20"/>
                <w:szCs w:val="20"/>
              </w:rPr>
            </w:pPr>
            <w:r w:rsidRPr="000A15CE">
              <w:rPr>
                <w:sz w:val="20"/>
                <w:szCs w:val="20"/>
              </w:rPr>
              <w:t>Annual Frequency per Recordkeeper</w:t>
            </w:r>
          </w:p>
        </w:tc>
        <w:tc>
          <w:tcPr>
            <w:tcW w:w="1170" w:type="dxa"/>
          </w:tcPr>
          <w:p w:rsidRPr="000A15CE" w:rsidR="00EE4398" w:rsidP="00503C75" w:rsidRDefault="00EE4398" w14:paraId="65417F13" w14:textId="77777777">
            <w:pPr>
              <w:keepNext/>
              <w:jc w:val="center"/>
              <w:rPr>
                <w:sz w:val="20"/>
                <w:szCs w:val="20"/>
              </w:rPr>
            </w:pPr>
            <w:r w:rsidRPr="000A15CE">
              <w:rPr>
                <w:sz w:val="20"/>
                <w:szCs w:val="20"/>
              </w:rPr>
              <w:t>Total Annual Records</w:t>
            </w:r>
          </w:p>
        </w:tc>
        <w:tc>
          <w:tcPr>
            <w:tcW w:w="1440" w:type="dxa"/>
          </w:tcPr>
          <w:p w:rsidRPr="000A15CE" w:rsidR="00EE4398" w:rsidP="00503C75" w:rsidRDefault="00EE4398" w14:paraId="1CB4F97C" w14:textId="77777777">
            <w:pPr>
              <w:keepNext/>
              <w:jc w:val="center"/>
              <w:rPr>
                <w:sz w:val="20"/>
                <w:szCs w:val="20"/>
              </w:rPr>
            </w:pPr>
            <w:r w:rsidRPr="000A15CE">
              <w:rPr>
                <w:sz w:val="20"/>
                <w:szCs w:val="20"/>
              </w:rPr>
              <w:t>Hours per Record</w:t>
            </w:r>
          </w:p>
        </w:tc>
        <w:tc>
          <w:tcPr>
            <w:tcW w:w="1102" w:type="dxa"/>
          </w:tcPr>
          <w:p w:rsidRPr="000A15CE" w:rsidR="00EE4398" w:rsidP="00503C75" w:rsidRDefault="00EE4398" w14:paraId="65D3CE01" w14:textId="77777777">
            <w:pPr>
              <w:keepNext/>
              <w:jc w:val="center"/>
              <w:rPr>
                <w:sz w:val="20"/>
                <w:szCs w:val="20"/>
              </w:rPr>
            </w:pPr>
            <w:r w:rsidRPr="000A15CE">
              <w:rPr>
                <w:sz w:val="20"/>
                <w:szCs w:val="20"/>
              </w:rPr>
              <w:t>Total Hours</w:t>
            </w:r>
          </w:p>
        </w:tc>
      </w:tr>
      <w:tr w:rsidRPr="000A15CE" w:rsidR="00EE4398" w:rsidTr="00FE7921" w14:paraId="0F2F27B3" w14:textId="77777777">
        <w:tblPrEx>
          <w:tblCellMar>
            <w:top w:w="0" w:type="dxa"/>
            <w:bottom w:w="0" w:type="dxa"/>
          </w:tblCellMar>
        </w:tblPrEx>
        <w:trPr>
          <w:cantSplit/>
          <w:trHeight w:val="20"/>
          <w:jc w:val="center"/>
        </w:trPr>
        <w:tc>
          <w:tcPr>
            <w:tcW w:w="2452" w:type="dxa"/>
            <w:tcBorders>
              <w:bottom w:val="single" w:color="auto" w:sz="4" w:space="0"/>
            </w:tcBorders>
          </w:tcPr>
          <w:p w:rsidRPr="00EC5FD8" w:rsidR="00EE4398" w:rsidP="00503C75" w:rsidRDefault="00EE4398" w14:paraId="657D4907" w14:textId="77777777">
            <w:pPr>
              <w:keepNext/>
              <w:rPr>
                <w:sz w:val="20"/>
                <w:szCs w:val="20"/>
              </w:rPr>
            </w:pPr>
            <w:r w:rsidRPr="00EC5FD8">
              <w:rPr>
                <w:sz w:val="20"/>
                <w:szCs w:val="20"/>
              </w:rPr>
              <w:t>807.25(d)</w:t>
            </w:r>
            <w:r w:rsidRPr="00EC5FD8">
              <w:rPr>
                <w:sz w:val="20"/>
                <w:szCs w:val="20"/>
                <w:vertAlign w:val="superscript"/>
              </w:rPr>
              <w:t>2</w:t>
            </w:r>
          </w:p>
          <w:p w:rsidRPr="000A15CE" w:rsidR="001E028E" w:rsidP="00503C75" w:rsidRDefault="001E028E" w14:paraId="12678BD4" w14:textId="77777777">
            <w:pPr>
              <w:keepNext/>
              <w:rPr>
                <w:sz w:val="20"/>
                <w:szCs w:val="20"/>
              </w:rPr>
            </w:pPr>
            <w:r w:rsidRPr="00EC5FD8">
              <w:rPr>
                <w:sz w:val="20"/>
                <w:szCs w:val="20"/>
              </w:rPr>
              <w:t xml:space="preserve">List of </w:t>
            </w:r>
            <w:r w:rsidRPr="00EC5FD8" w:rsidR="00510E95">
              <w:rPr>
                <w:sz w:val="20"/>
                <w:szCs w:val="20"/>
              </w:rPr>
              <w:t>Officers,</w:t>
            </w:r>
            <w:r w:rsidRPr="00EC5FD8">
              <w:rPr>
                <w:sz w:val="20"/>
                <w:szCs w:val="20"/>
              </w:rPr>
              <w:t xml:space="preserve"> Directors </w:t>
            </w:r>
            <w:r w:rsidRPr="00EC5FD8" w:rsidR="00510E95">
              <w:rPr>
                <w:sz w:val="20"/>
                <w:szCs w:val="20"/>
              </w:rPr>
              <w:t>&amp; Partners</w:t>
            </w:r>
          </w:p>
        </w:tc>
        <w:tc>
          <w:tcPr>
            <w:tcW w:w="1890" w:type="dxa"/>
            <w:tcBorders>
              <w:bottom w:val="single" w:color="auto" w:sz="4" w:space="0"/>
            </w:tcBorders>
          </w:tcPr>
          <w:p w:rsidRPr="000A15CE" w:rsidR="00EE4398" w:rsidP="00503C75" w:rsidRDefault="00A7168E" w14:paraId="296C0847" w14:textId="77777777">
            <w:pPr>
              <w:keepNext/>
              <w:jc w:val="right"/>
              <w:rPr>
                <w:color w:val="000000"/>
                <w:sz w:val="20"/>
                <w:szCs w:val="20"/>
              </w:rPr>
            </w:pPr>
            <w:r>
              <w:rPr>
                <w:color w:val="000000"/>
                <w:sz w:val="20"/>
                <w:szCs w:val="20"/>
              </w:rPr>
              <w:t>22,338</w:t>
            </w:r>
          </w:p>
        </w:tc>
        <w:tc>
          <w:tcPr>
            <w:tcW w:w="1530" w:type="dxa"/>
            <w:tcBorders>
              <w:bottom w:val="single" w:color="auto" w:sz="4" w:space="0"/>
            </w:tcBorders>
          </w:tcPr>
          <w:p w:rsidRPr="000A15CE" w:rsidR="00EE4398" w:rsidP="00503C75" w:rsidRDefault="00EE4398" w14:paraId="3086517A" w14:textId="77777777">
            <w:pPr>
              <w:keepNext/>
              <w:jc w:val="right"/>
              <w:rPr>
                <w:sz w:val="20"/>
                <w:szCs w:val="20"/>
              </w:rPr>
            </w:pPr>
            <w:r w:rsidRPr="000A15CE">
              <w:rPr>
                <w:sz w:val="20"/>
                <w:szCs w:val="20"/>
              </w:rPr>
              <w:t>1</w:t>
            </w:r>
          </w:p>
        </w:tc>
        <w:tc>
          <w:tcPr>
            <w:tcW w:w="1170" w:type="dxa"/>
            <w:tcBorders>
              <w:bottom w:val="single" w:color="auto" w:sz="4" w:space="0"/>
            </w:tcBorders>
          </w:tcPr>
          <w:p w:rsidRPr="000A15CE" w:rsidR="00EE4398" w:rsidP="00503C75" w:rsidRDefault="007C7C42" w14:paraId="2BF08C50" w14:textId="77777777">
            <w:pPr>
              <w:keepNext/>
              <w:jc w:val="right"/>
              <w:rPr>
                <w:sz w:val="20"/>
                <w:szCs w:val="20"/>
              </w:rPr>
            </w:pPr>
            <w:r>
              <w:rPr>
                <w:color w:val="000000"/>
                <w:sz w:val="20"/>
                <w:szCs w:val="20"/>
              </w:rPr>
              <w:t>22,338</w:t>
            </w:r>
          </w:p>
        </w:tc>
        <w:tc>
          <w:tcPr>
            <w:tcW w:w="1440" w:type="dxa"/>
            <w:tcBorders>
              <w:bottom w:val="single" w:color="auto" w:sz="4" w:space="0"/>
              <w:right w:val="single" w:color="auto" w:sz="4" w:space="0"/>
            </w:tcBorders>
          </w:tcPr>
          <w:p w:rsidRPr="000A15CE" w:rsidR="00EE4398" w:rsidP="00503C75" w:rsidRDefault="00EE4398" w14:paraId="4643AE7B" w14:textId="77777777">
            <w:pPr>
              <w:keepNext/>
              <w:jc w:val="right"/>
              <w:rPr>
                <w:sz w:val="20"/>
                <w:szCs w:val="20"/>
              </w:rPr>
            </w:pPr>
            <w:r w:rsidRPr="000A15CE">
              <w:rPr>
                <w:sz w:val="20"/>
                <w:szCs w:val="20"/>
              </w:rPr>
              <w:t>.25</w:t>
            </w:r>
          </w:p>
        </w:tc>
        <w:tc>
          <w:tcPr>
            <w:tcW w:w="1102" w:type="dxa"/>
            <w:tcBorders>
              <w:left w:val="single" w:color="auto" w:sz="4" w:space="0"/>
              <w:bottom w:val="single" w:color="auto" w:sz="4" w:space="0"/>
            </w:tcBorders>
          </w:tcPr>
          <w:p w:rsidRPr="000A15CE" w:rsidR="00EE4398" w:rsidP="00503C75" w:rsidRDefault="007C7C42" w14:paraId="2D898139" w14:textId="77777777">
            <w:pPr>
              <w:keepNext/>
              <w:jc w:val="right"/>
              <w:rPr>
                <w:sz w:val="20"/>
                <w:szCs w:val="20"/>
              </w:rPr>
            </w:pPr>
            <w:r>
              <w:rPr>
                <w:sz w:val="20"/>
                <w:szCs w:val="20"/>
              </w:rPr>
              <w:t>5</w:t>
            </w:r>
            <w:r w:rsidR="00220DE2">
              <w:rPr>
                <w:sz w:val="20"/>
                <w:szCs w:val="20"/>
              </w:rPr>
              <w:t>,</w:t>
            </w:r>
            <w:r>
              <w:rPr>
                <w:sz w:val="20"/>
                <w:szCs w:val="20"/>
              </w:rPr>
              <w:t>585</w:t>
            </w:r>
          </w:p>
        </w:tc>
      </w:tr>
      <w:tr w:rsidRPr="000A15CE" w:rsidR="00EE4398" w:rsidTr="00FE7921" w14:paraId="428B6D38" w14:textId="77777777">
        <w:tblPrEx>
          <w:tblCellMar>
            <w:top w:w="0" w:type="dxa"/>
            <w:bottom w:w="0" w:type="dxa"/>
          </w:tblCellMar>
        </w:tblPrEx>
        <w:trPr>
          <w:cantSplit/>
          <w:trHeight w:val="20"/>
          <w:jc w:val="center"/>
        </w:trPr>
        <w:tc>
          <w:tcPr>
            <w:tcW w:w="2452" w:type="dxa"/>
            <w:tcBorders>
              <w:top w:val="single" w:color="auto" w:sz="4" w:space="0"/>
              <w:bottom w:val="single" w:color="auto" w:sz="4" w:space="0"/>
            </w:tcBorders>
          </w:tcPr>
          <w:p w:rsidRPr="000A15CE" w:rsidR="00EE4398" w:rsidP="00503C75" w:rsidRDefault="00EE4398" w14:paraId="1F12B627" w14:textId="77777777">
            <w:pPr>
              <w:keepNext/>
              <w:rPr>
                <w:sz w:val="20"/>
                <w:szCs w:val="20"/>
              </w:rPr>
            </w:pPr>
            <w:r w:rsidRPr="000A15CE">
              <w:rPr>
                <w:sz w:val="20"/>
                <w:szCs w:val="20"/>
              </w:rPr>
              <w:t>807.26</w:t>
            </w:r>
            <w:r w:rsidRPr="000A15CE">
              <w:rPr>
                <w:sz w:val="20"/>
                <w:szCs w:val="20"/>
                <w:vertAlign w:val="superscript"/>
              </w:rPr>
              <w:t>2</w:t>
            </w:r>
          </w:p>
          <w:p w:rsidRPr="000A15CE" w:rsidR="001E028E" w:rsidP="00503C75" w:rsidRDefault="00F570A2" w14:paraId="2BE2AB85" w14:textId="77777777">
            <w:pPr>
              <w:keepNext/>
              <w:rPr>
                <w:sz w:val="20"/>
                <w:szCs w:val="20"/>
              </w:rPr>
            </w:pPr>
            <w:r w:rsidRPr="000A15CE">
              <w:rPr>
                <w:sz w:val="20"/>
                <w:szCs w:val="20"/>
              </w:rPr>
              <w:t>Labeling &amp; Advertisements Available for Review</w:t>
            </w:r>
          </w:p>
        </w:tc>
        <w:tc>
          <w:tcPr>
            <w:tcW w:w="1890" w:type="dxa"/>
            <w:tcBorders>
              <w:top w:val="single" w:color="auto" w:sz="4" w:space="0"/>
              <w:bottom w:val="single" w:color="auto" w:sz="4" w:space="0"/>
            </w:tcBorders>
          </w:tcPr>
          <w:p w:rsidRPr="000A15CE" w:rsidR="00DA4662" w:rsidP="00503C75" w:rsidRDefault="00DA4662" w14:paraId="31DACD62" w14:textId="77777777">
            <w:pPr>
              <w:keepNext/>
              <w:jc w:val="right"/>
              <w:rPr>
                <w:sz w:val="20"/>
                <w:szCs w:val="20"/>
              </w:rPr>
            </w:pPr>
            <w:r>
              <w:rPr>
                <w:sz w:val="20"/>
                <w:szCs w:val="20"/>
              </w:rPr>
              <w:t>17,032</w:t>
            </w:r>
          </w:p>
        </w:tc>
        <w:tc>
          <w:tcPr>
            <w:tcW w:w="1530" w:type="dxa"/>
            <w:tcBorders>
              <w:top w:val="single" w:color="auto" w:sz="4" w:space="0"/>
              <w:bottom w:val="single" w:color="auto" w:sz="4" w:space="0"/>
            </w:tcBorders>
          </w:tcPr>
          <w:p w:rsidRPr="000A15CE" w:rsidR="00EE4398" w:rsidP="00503C75" w:rsidRDefault="00EE4398" w14:paraId="3205E7B1" w14:textId="77777777">
            <w:pPr>
              <w:keepNext/>
              <w:jc w:val="right"/>
              <w:rPr>
                <w:sz w:val="20"/>
                <w:szCs w:val="20"/>
              </w:rPr>
            </w:pPr>
            <w:r w:rsidRPr="000A15CE">
              <w:rPr>
                <w:sz w:val="20"/>
                <w:szCs w:val="20"/>
              </w:rPr>
              <w:t xml:space="preserve">4 </w:t>
            </w:r>
          </w:p>
        </w:tc>
        <w:tc>
          <w:tcPr>
            <w:tcW w:w="1170" w:type="dxa"/>
            <w:tcBorders>
              <w:top w:val="single" w:color="auto" w:sz="4" w:space="0"/>
              <w:bottom w:val="single" w:color="auto" w:sz="4" w:space="0"/>
              <w:right w:val="single" w:color="auto" w:sz="4" w:space="0"/>
            </w:tcBorders>
          </w:tcPr>
          <w:p w:rsidRPr="000A15CE" w:rsidR="00EE4398" w:rsidP="00503C75" w:rsidRDefault="00220DE2" w14:paraId="279648E5" w14:textId="77777777">
            <w:pPr>
              <w:keepNext/>
              <w:jc w:val="right"/>
              <w:rPr>
                <w:sz w:val="20"/>
                <w:szCs w:val="20"/>
              </w:rPr>
            </w:pPr>
            <w:r>
              <w:rPr>
                <w:sz w:val="20"/>
                <w:szCs w:val="20"/>
              </w:rPr>
              <w:t>68,128</w:t>
            </w:r>
          </w:p>
        </w:tc>
        <w:tc>
          <w:tcPr>
            <w:tcW w:w="1440" w:type="dxa"/>
            <w:tcBorders>
              <w:top w:val="single" w:color="auto" w:sz="4" w:space="0"/>
              <w:left w:val="single" w:color="auto" w:sz="4" w:space="0"/>
              <w:bottom w:val="single" w:color="auto" w:sz="4" w:space="0"/>
              <w:right w:val="single" w:color="auto" w:sz="4" w:space="0"/>
            </w:tcBorders>
          </w:tcPr>
          <w:p w:rsidRPr="000A15CE" w:rsidR="00EE4398" w:rsidP="00503C75" w:rsidRDefault="00EE4398" w14:paraId="4B7739A1" w14:textId="77777777">
            <w:pPr>
              <w:keepNext/>
              <w:jc w:val="right"/>
              <w:rPr>
                <w:sz w:val="20"/>
                <w:szCs w:val="20"/>
              </w:rPr>
            </w:pPr>
            <w:r w:rsidRPr="000A15CE">
              <w:rPr>
                <w:sz w:val="20"/>
                <w:szCs w:val="20"/>
              </w:rPr>
              <w:t>.5</w:t>
            </w:r>
          </w:p>
        </w:tc>
        <w:tc>
          <w:tcPr>
            <w:tcW w:w="1102" w:type="dxa"/>
            <w:tcBorders>
              <w:top w:val="single" w:color="auto" w:sz="4" w:space="0"/>
              <w:left w:val="single" w:color="auto" w:sz="4" w:space="0"/>
              <w:bottom w:val="single" w:color="auto" w:sz="4" w:space="0"/>
              <w:right w:val="single" w:color="auto" w:sz="4" w:space="0"/>
            </w:tcBorders>
          </w:tcPr>
          <w:p w:rsidRPr="000A15CE" w:rsidR="00EE4398" w:rsidP="00503C75" w:rsidRDefault="00220DE2" w14:paraId="37EAB76C" w14:textId="77777777">
            <w:pPr>
              <w:keepNext/>
              <w:jc w:val="right"/>
              <w:rPr>
                <w:sz w:val="20"/>
                <w:szCs w:val="20"/>
              </w:rPr>
            </w:pPr>
            <w:r>
              <w:rPr>
                <w:sz w:val="20"/>
                <w:szCs w:val="20"/>
              </w:rPr>
              <w:t>34,064</w:t>
            </w:r>
          </w:p>
        </w:tc>
      </w:tr>
      <w:tr w:rsidRPr="000A15CE" w:rsidR="00EE4398" w:rsidTr="00FE7921" w14:paraId="6083AE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jc w:val="center"/>
        </w:trPr>
        <w:tc>
          <w:tcPr>
            <w:tcW w:w="2452" w:type="dxa"/>
          </w:tcPr>
          <w:p w:rsidRPr="000A15CE" w:rsidR="00EE4398" w:rsidP="00503C75" w:rsidRDefault="00EE4398" w14:paraId="79E9E604" w14:textId="77777777">
            <w:pPr>
              <w:keepNext/>
              <w:rPr>
                <w:sz w:val="20"/>
                <w:szCs w:val="20"/>
                <w:vertAlign w:val="superscript"/>
              </w:rPr>
            </w:pPr>
            <w:r w:rsidRPr="000A15CE">
              <w:rPr>
                <w:sz w:val="20"/>
                <w:szCs w:val="20"/>
              </w:rPr>
              <w:t>Total</w:t>
            </w:r>
          </w:p>
        </w:tc>
        <w:tc>
          <w:tcPr>
            <w:tcW w:w="1890" w:type="dxa"/>
          </w:tcPr>
          <w:p w:rsidRPr="000A15CE" w:rsidR="00EE4398" w:rsidP="00503C75" w:rsidRDefault="00EE4398" w14:paraId="1D2A1E24" w14:textId="77777777">
            <w:pPr>
              <w:keepNext/>
              <w:jc w:val="right"/>
              <w:rPr>
                <w:sz w:val="20"/>
                <w:szCs w:val="20"/>
              </w:rPr>
            </w:pPr>
          </w:p>
        </w:tc>
        <w:tc>
          <w:tcPr>
            <w:tcW w:w="1530" w:type="dxa"/>
          </w:tcPr>
          <w:p w:rsidRPr="000A15CE" w:rsidR="00EE4398" w:rsidP="00503C75" w:rsidRDefault="00EE4398" w14:paraId="73D31A20" w14:textId="77777777">
            <w:pPr>
              <w:keepNext/>
              <w:jc w:val="right"/>
              <w:rPr>
                <w:sz w:val="20"/>
                <w:szCs w:val="20"/>
              </w:rPr>
            </w:pPr>
          </w:p>
        </w:tc>
        <w:tc>
          <w:tcPr>
            <w:tcW w:w="1170" w:type="dxa"/>
          </w:tcPr>
          <w:p w:rsidRPr="000A15CE" w:rsidR="00EE4398" w:rsidP="00503C75" w:rsidRDefault="00EE4398" w14:paraId="049E2FAB" w14:textId="77777777">
            <w:pPr>
              <w:keepNext/>
              <w:jc w:val="right"/>
              <w:rPr>
                <w:sz w:val="20"/>
                <w:szCs w:val="20"/>
              </w:rPr>
            </w:pPr>
          </w:p>
        </w:tc>
        <w:tc>
          <w:tcPr>
            <w:tcW w:w="1440" w:type="dxa"/>
          </w:tcPr>
          <w:p w:rsidRPr="000A15CE" w:rsidR="00EE4398" w:rsidP="00503C75" w:rsidRDefault="00EE4398" w14:paraId="43977848" w14:textId="77777777">
            <w:pPr>
              <w:keepNext/>
              <w:jc w:val="right"/>
              <w:rPr>
                <w:sz w:val="20"/>
                <w:szCs w:val="20"/>
              </w:rPr>
            </w:pPr>
          </w:p>
        </w:tc>
        <w:tc>
          <w:tcPr>
            <w:tcW w:w="1102" w:type="dxa"/>
          </w:tcPr>
          <w:p w:rsidRPr="000A15CE" w:rsidR="00EE4398" w:rsidP="00503C75" w:rsidRDefault="00220DE2" w14:paraId="24EE2EBC" w14:textId="77777777">
            <w:pPr>
              <w:keepNext/>
              <w:jc w:val="right"/>
              <w:rPr>
                <w:sz w:val="20"/>
                <w:szCs w:val="20"/>
                <w:highlight w:val="yellow"/>
              </w:rPr>
            </w:pPr>
            <w:r>
              <w:rPr>
                <w:sz w:val="20"/>
                <w:szCs w:val="20"/>
              </w:rPr>
              <w:t>39,649</w:t>
            </w:r>
          </w:p>
        </w:tc>
      </w:tr>
      <w:tr w:rsidRPr="000A15CE" w:rsidR="009936B2" w:rsidTr="00F5098F" w14:paraId="7321FA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jc w:val="center"/>
        </w:trPr>
        <w:tc>
          <w:tcPr>
            <w:tcW w:w="9584" w:type="dxa"/>
            <w:gridSpan w:val="6"/>
            <w:tcBorders>
              <w:left w:val="nil"/>
              <w:bottom w:val="nil"/>
              <w:right w:val="nil"/>
            </w:tcBorders>
          </w:tcPr>
          <w:p w:rsidRPr="000A15CE" w:rsidR="009936B2" w:rsidP="00503C75" w:rsidRDefault="009936B2" w14:paraId="36BEB471" w14:textId="77777777">
            <w:pPr>
              <w:keepNext/>
              <w:rPr>
                <w:sz w:val="20"/>
                <w:szCs w:val="20"/>
              </w:rPr>
            </w:pPr>
            <w:r w:rsidRPr="000A15CE">
              <w:rPr>
                <w:sz w:val="20"/>
                <w:szCs w:val="20"/>
                <w:vertAlign w:val="superscript"/>
              </w:rPr>
              <w:t>1</w:t>
            </w:r>
            <w:r w:rsidRPr="000A15CE">
              <w:rPr>
                <w:sz w:val="20"/>
                <w:szCs w:val="20"/>
              </w:rPr>
              <w:t xml:space="preserve">There are no capital costs or operating and maintenance costs associated with this collection of information.  </w:t>
            </w:r>
          </w:p>
          <w:p w:rsidRPr="000A15CE" w:rsidR="009936B2" w:rsidP="00503C75" w:rsidRDefault="009936B2" w14:paraId="4D1D2BB1" w14:textId="77777777">
            <w:pPr>
              <w:keepNext/>
              <w:rPr>
                <w:sz w:val="20"/>
                <w:szCs w:val="20"/>
              </w:rPr>
            </w:pPr>
            <w:r w:rsidRPr="000A15CE">
              <w:rPr>
                <w:sz w:val="20"/>
                <w:szCs w:val="20"/>
                <w:vertAlign w:val="superscript"/>
              </w:rPr>
              <w:t>2</w:t>
            </w:r>
            <w:r w:rsidRPr="000A15CE">
              <w:rPr>
                <w:sz w:val="20"/>
                <w:szCs w:val="20"/>
              </w:rPr>
              <w:t>Recurring burden</w:t>
            </w:r>
            <w:r w:rsidR="006C16D6">
              <w:rPr>
                <w:sz w:val="20"/>
                <w:szCs w:val="20"/>
              </w:rPr>
              <w:t xml:space="preserve"> – Firm is required to keep records</w:t>
            </w:r>
            <w:r w:rsidRPr="000A15CE">
              <w:rPr>
                <w:sz w:val="20"/>
                <w:szCs w:val="20"/>
              </w:rPr>
              <w:t>.</w:t>
            </w:r>
          </w:p>
        </w:tc>
      </w:tr>
      <w:bookmarkEnd w:id="5"/>
    </w:tbl>
    <w:p w:rsidRPr="00EE4398" w:rsidR="00EE4398" w:rsidP="00503C75" w:rsidRDefault="00EE4398" w14:paraId="799681A3" w14:textId="77777777"/>
    <w:p w:rsidR="00841D99" w:rsidP="00503C75" w:rsidRDefault="00EE4398" w14:paraId="1DF838E3" w14:textId="77777777">
      <w:r w:rsidRPr="00E500B8">
        <w:t xml:space="preserve">Burden estimates are based on recent </w:t>
      </w:r>
      <w:r w:rsidRPr="00AD76C1" w:rsidR="00D030F3">
        <w:t>registration and listing information collected from establishments registering for the first time (initial registration) and establishments re</w:t>
      </w:r>
      <w:r w:rsidRPr="00E500B8" w:rsidR="003B753A">
        <w:t>-registering</w:t>
      </w:r>
      <w:r w:rsidRPr="008D698C" w:rsidR="00915703">
        <w:t>.</w:t>
      </w:r>
      <w:r w:rsidRPr="00E500B8">
        <w:t xml:space="preserve"> </w:t>
      </w:r>
      <w:r w:rsidR="00915703">
        <w:t xml:space="preserve"> </w:t>
      </w:r>
    </w:p>
    <w:p w:rsidR="00091BA4" w:rsidP="00503C75" w:rsidRDefault="00091BA4" w14:paraId="56AB1AE1" w14:textId="77777777"/>
    <w:p w:rsidR="003D40D7" w:rsidP="00503C75" w:rsidRDefault="00EE4398" w14:paraId="7D330F56" w14:textId="77777777">
      <w:r w:rsidRPr="00F93EE1">
        <w:t xml:space="preserve">The estimates for creation of new user accounts under § 807.21(a) are based on the number of </w:t>
      </w:r>
      <w:r w:rsidR="00CE28B7">
        <w:t xml:space="preserve">newly registered </w:t>
      </w:r>
      <w:r w:rsidRPr="00F93EE1">
        <w:t xml:space="preserve">owners </w:t>
      </w:r>
      <w:r w:rsidR="00CE28B7">
        <w:t>and</w:t>
      </w:r>
      <w:r w:rsidRPr="00F93EE1" w:rsidR="00CE28B7">
        <w:t xml:space="preserve"> </w:t>
      </w:r>
      <w:r w:rsidRPr="00F93EE1">
        <w:t>operators</w:t>
      </w:r>
      <w:r w:rsidR="00E100F5">
        <w:t xml:space="preserve">. </w:t>
      </w:r>
      <w:r w:rsidR="00915703">
        <w:t>An owner or operator only creates an account one time when they register for the first time (initial registration).  Once the account is created, the owner or operator</w:t>
      </w:r>
      <w:r w:rsidR="00091BA4">
        <w:t xml:space="preserve"> uses the</w:t>
      </w:r>
      <w:r w:rsidR="00915703">
        <w:t xml:space="preserve"> account as long as the establishment is registered.</w:t>
      </w:r>
      <w:r w:rsidR="00DC3202">
        <w:t xml:space="preserve">  </w:t>
      </w:r>
      <w:r w:rsidR="00D00E39">
        <w:t>If an owner or op</w:t>
      </w:r>
      <w:r w:rsidR="001C6839">
        <w:t>erator changes, the new owner or operator creates a new owner or operator account and transfer</w:t>
      </w:r>
      <w:r w:rsidR="00E07EFD">
        <w:t>s</w:t>
      </w:r>
      <w:r w:rsidR="001C6839">
        <w:t xml:space="preserve"> the ownership of the establishment to their owner or operator account.  Once they create an owner or operator account, they use the account for as long as the company is registered.</w:t>
      </w:r>
      <w:r w:rsidR="003B753A">
        <w:t xml:space="preserve">  </w:t>
      </w:r>
    </w:p>
    <w:p w:rsidR="006C5C84" w:rsidP="00503C75" w:rsidRDefault="006C5C84" w14:paraId="2AE06223" w14:textId="77777777"/>
    <w:p w:rsidR="006C5C84" w:rsidP="00503C75" w:rsidRDefault="006C5C84" w14:paraId="7D2190FC" w14:textId="77777777">
      <w:r>
        <w:t>Under § 807.22(b)(4), changes to listing information may be made at times outside of the annual listing requirement period, such as when a change is made to a previously listed device.</w:t>
      </w:r>
    </w:p>
    <w:p w:rsidR="006C5C84" w:rsidP="00503C75" w:rsidRDefault="006C5C84" w14:paraId="0BC3FD33" w14:textId="77777777"/>
    <w:p w:rsidR="006C5C84" w:rsidP="00503C75" w:rsidRDefault="006C5C84" w14:paraId="78D5457F" w14:textId="32F9C374">
      <w:r>
        <w:t>While notification of transfer of ownership information is not currently required, our medical device registration and listing website</w:t>
      </w:r>
      <w:r w:rsidR="008732DD">
        <w:t xml:space="preserve"> (</w:t>
      </w:r>
      <w:r w:rsidRPr="008732DD" w:rsidR="008732DD">
        <w:t>https://www.fda.gov/medical-devices/how-study-and-market-your-device/device-registration-and-listing</w:t>
      </w:r>
      <w:r w:rsidR="008732DD">
        <w:t>)</w:t>
      </w:r>
      <w:r>
        <w:t xml:space="preserve"> communicates procedures for notifying FDA of the transfer of a premarket notification (510(k)) clearance from one person to another.  The notification is used to ensure public information in FDA’s databases about the current 510(k) holder for a specific device(s) is accurate and up to date.  Although submission of information regarding the transfer of a 510(k) clearance is not required under the regulations, we regularly receive such notifications from respondents.  </w:t>
      </w:r>
    </w:p>
    <w:p w:rsidR="00801F4F" w:rsidP="00503C75" w:rsidRDefault="00801F4F" w14:paraId="28D80D47" w14:textId="77777777"/>
    <w:p w:rsidR="006C5C84" w:rsidP="00503C75" w:rsidRDefault="00346EB4" w14:paraId="03822541" w14:textId="0076A182">
      <w:r>
        <w:t>We estimate</w:t>
      </w:r>
      <w:r w:rsidR="006C5C84">
        <w:t xml:space="preserve"> that annually 78 percent of 510(k)s may be initially listed or updated outside of the annual registration requirement (about 4,080 510(k)s per year).  </w:t>
      </w:r>
      <w:r>
        <w:t>We estimate</w:t>
      </w:r>
      <w:r w:rsidR="006C5C84">
        <w:t xml:space="preserve"> that it will take approximately 15 minutes for each listing, for a total reporting burden of 1,020 hours.</w:t>
      </w:r>
    </w:p>
    <w:p w:rsidR="00801F4F" w:rsidP="00503C75" w:rsidRDefault="00801F4F" w14:paraId="32DBD487" w14:textId="77777777"/>
    <w:p w:rsidR="006C5C84" w:rsidP="00503C75" w:rsidRDefault="00346EB4" w14:paraId="36751570" w14:textId="6C69EED2">
      <w:r>
        <w:t>We estimate</w:t>
      </w:r>
      <w:r w:rsidR="006C5C84">
        <w:t xml:space="preserve"> it will have 2,033 instances of more than one party claiming to be a 510(k) holder for a specific device as part of annual registration and listing.  </w:t>
      </w:r>
      <w:r>
        <w:t xml:space="preserve">We base </w:t>
      </w:r>
      <w:r w:rsidR="006C5C84">
        <w:t xml:space="preserve">this estimate </w:t>
      </w:r>
      <w:r>
        <w:t xml:space="preserve">on </w:t>
      </w:r>
      <w:r w:rsidR="006C5C84">
        <w:t xml:space="preserve">the average number of unique 510(k) device listings entered in FURLS between fiscal years 2017 and 2019 that conflict with a listing already entered by another party (5,304), dividing that number by the number of years (3) and multiplying by the average number of parties claiming to be the 510(k) holder when there is a conflict in the current FURLS database (2.3), then dividing the result by 2 (because only one company per listing will submit the appropriate documentation to show that they are the current 510(k) holder). </w:t>
      </w:r>
    </w:p>
    <w:p w:rsidR="00801F4F" w:rsidP="00503C75" w:rsidRDefault="00801F4F" w14:paraId="44C42DB9" w14:textId="77777777"/>
    <w:p w:rsidR="006C5C84" w:rsidP="00503C75" w:rsidRDefault="006C5C84" w14:paraId="351AE95A" w14:textId="0A3B47E9">
      <w:r>
        <w:t>The registration and listing website identifies potential documentation a party could submit to FDA to establish the transfer of a 510(k) clearance to a new owner or operator.  Based on the amount of time to locate the information, copy it, and submit a copy</w:t>
      </w:r>
      <w:r w:rsidR="009C3608">
        <w:t xml:space="preserve">.  </w:t>
      </w:r>
      <w:r w:rsidR="00346EB4">
        <w:t>We estimate</w:t>
      </w:r>
      <w:r>
        <w:t xml:space="preserve"> it will take respondents approximately 4 hours to establish the transfer of a 510(k) clearance.</w:t>
      </w:r>
    </w:p>
    <w:p w:rsidR="00801F4F" w:rsidP="00503C75" w:rsidRDefault="00801F4F" w14:paraId="6476DEAF" w14:textId="77777777"/>
    <w:p w:rsidR="006C5C84" w:rsidP="00503C75" w:rsidRDefault="006C5C84" w14:paraId="3F49DA3B" w14:textId="77777777">
      <w:r w:rsidRPr="00E500B8">
        <w:t xml:space="preserve">The recurring burden for the data collection under § 807.41 (import-related information provided by foreign companies exporting to the United States) was estimated based on </w:t>
      </w:r>
      <w:r>
        <w:t>data from previous years</w:t>
      </w:r>
      <w:r w:rsidRPr="00E500B8">
        <w:t xml:space="preserve">.  </w:t>
      </w:r>
      <w:r>
        <w:t>F</w:t>
      </w:r>
      <w:r w:rsidRPr="00E500B8">
        <w:t xml:space="preserve">oreign </w:t>
      </w:r>
      <w:r>
        <w:t xml:space="preserve">companies </w:t>
      </w:r>
      <w:r w:rsidRPr="00E500B8">
        <w:t>identify</w:t>
      </w:r>
      <w:r w:rsidRPr="00F93EE1">
        <w:t xml:space="preserve"> one importer and one person who import</w:t>
      </w:r>
      <w:r>
        <w:t>s</w:t>
      </w:r>
      <w:r w:rsidRPr="00E500B8">
        <w:t xml:space="preserve"> or offer</w:t>
      </w:r>
      <w:r>
        <w:t>s</w:t>
      </w:r>
      <w:r w:rsidRPr="00E500B8">
        <w:t xml:space="preserve"> for import with readily available contact information</w:t>
      </w:r>
      <w:r>
        <w:t xml:space="preserve"> at the time of registration.  After completing their initial registration, they are required to review the importer information annually.  Upon review, they simply verify the importer information is accurate.  If it is and no changes are needed, the foreign establishment’s official correspondent checks the certification and submits the annual registration.  If they need to make changes to the importer information, they can do so at any time and use a spreadsheet to update more than one importer at a time to their registration.  The use of the spreadsheet reduces the burden to the official correspondent of the foreign establishment.  </w:t>
      </w:r>
    </w:p>
    <w:p w:rsidRPr="00E500B8" w:rsidR="003B753A" w:rsidP="00503C75" w:rsidRDefault="003B753A" w14:paraId="0F45F08A" w14:textId="77777777"/>
    <w:p w:rsidR="00EE4398" w:rsidP="00503C75" w:rsidRDefault="00EE4398" w14:paraId="09298F37" w14:textId="77777777">
      <w:r w:rsidRPr="00F93EE1">
        <w:t xml:space="preserve">The estimate for § 807.25(d) in table </w:t>
      </w:r>
      <w:r w:rsidRPr="00F93EE1" w:rsidR="007701B7">
        <w:t xml:space="preserve">2 </w:t>
      </w:r>
      <w:r w:rsidRPr="00F93EE1">
        <w:t>of this document (recordkeeping burden) reflects the requirement that owners or operators keep a list of officers, directors, and partners for each establishment.  Owners or operators will need to provide this information only when requested by FDA.  However, it is assumed that some effort will need to be expended to keep such lists current.</w:t>
      </w:r>
    </w:p>
    <w:p w:rsidR="00A27939" w:rsidP="00503C75" w:rsidRDefault="00A27939" w14:paraId="1A67E37C" w14:textId="77777777"/>
    <w:p w:rsidR="00A27939" w:rsidP="00503C75" w:rsidRDefault="00A27939" w14:paraId="1E8ECFDC" w14:textId="26889F23">
      <w:r>
        <w:t xml:space="preserve">The burden estimate does not include the maintenance of records used to document transferring a premarket notification (510(k)) clearance. </w:t>
      </w:r>
      <w:r w:rsidR="00E866F8">
        <w:t xml:space="preserve"> </w:t>
      </w:r>
      <w:r>
        <w:t>Based on available information, FDA believes that the maintenance of these records is a usual and customary part of normal business activities.</w:t>
      </w:r>
      <w:r w:rsidR="00820BD7">
        <w:t xml:space="preserve">  </w:t>
      </w:r>
      <w:r>
        <w:t xml:space="preserve">For example, in the ordinary course of business, supporting documents should be kept </w:t>
      </w:r>
      <w:r w:rsidR="00CE28B7">
        <w:t>for tax purposes</w:t>
      </w:r>
      <w:r>
        <w:t>.</w:t>
      </w:r>
    </w:p>
    <w:p w:rsidRPr="00EE4398" w:rsidR="00EE4398" w:rsidP="00503C75" w:rsidRDefault="00EE4398" w14:paraId="67C8ED28" w14:textId="77777777"/>
    <w:p w:rsidRPr="00820BD7" w:rsidR="00A93ED9" w:rsidP="00503C75" w:rsidRDefault="00820BD7" w14:paraId="223F0740" w14:textId="624DD8EE">
      <w:pPr>
        <w:pStyle w:val="BodyText2"/>
        <w:keepNext/>
        <w:rPr>
          <w:i/>
          <w:iCs/>
          <w:u w:val="single"/>
        </w:rPr>
      </w:pPr>
      <w:r>
        <w:tab/>
      </w:r>
      <w:r w:rsidRPr="00820BD7" w:rsidR="00A93ED9">
        <w:rPr>
          <w:i/>
          <w:iCs/>
          <w:u w:val="single"/>
        </w:rPr>
        <w:t xml:space="preserve">12b. </w:t>
      </w:r>
      <w:r w:rsidRPr="00820BD7" w:rsidR="00411D11">
        <w:rPr>
          <w:i/>
          <w:iCs/>
          <w:u w:val="single"/>
        </w:rPr>
        <w:t>Annualized Cost Burden Estimate</w:t>
      </w:r>
    </w:p>
    <w:p w:rsidR="002E16BF" w:rsidP="00503C75" w:rsidRDefault="002E16BF" w14:paraId="6705F56B" w14:textId="77777777">
      <w:pPr>
        <w:keepNext/>
      </w:pPr>
    </w:p>
    <w:p w:rsidR="00801F4F" w:rsidP="00503C75" w:rsidRDefault="00801F4F" w14:paraId="6AA4FB89" w14:textId="77777777">
      <w:r w:rsidRPr="00111B14">
        <w:t xml:space="preserve">We </w:t>
      </w:r>
      <w:r>
        <w:t>assume</w:t>
      </w:r>
      <w:r w:rsidRPr="00111B14">
        <w:t xml:space="preserve"> that the </w:t>
      </w:r>
      <w:r>
        <w:t>information collection</w:t>
      </w:r>
      <w:r w:rsidRPr="00111B14">
        <w:t xml:space="preserve"> will be completed by regulatory affairs professionals. We use, $61.</w:t>
      </w:r>
      <w:r w:rsidR="00EB0EAD">
        <w:t>54</w:t>
      </w:r>
      <w:r w:rsidRPr="00111B14">
        <w:t>, the U.S. Bureau of Labor Statistics’ May 202</w:t>
      </w:r>
      <w:r w:rsidR="00EB0EAD">
        <w:t>1</w:t>
      </w:r>
      <w:r w:rsidRPr="00111B14">
        <w:t xml:space="preserve"> National Occupational Employment and Wage Estimates,  </w:t>
      </w:r>
      <w:hyperlink w:history="1" r:id="rId9">
        <w:r w:rsidRPr="00111B14">
          <w:rPr>
            <w:rStyle w:val="Hyperlink"/>
          </w:rPr>
          <w:t>https://www.bls.gov/oes/cur</w:t>
        </w:r>
        <w:r w:rsidRPr="00111B14">
          <w:rPr>
            <w:rStyle w:val="Hyperlink"/>
          </w:rPr>
          <w:t>r</w:t>
        </w:r>
        <w:r w:rsidRPr="00111B14">
          <w:rPr>
            <w:rStyle w:val="Hyperlink"/>
          </w:rPr>
          <w:t>ent/oes_nat.htm</w:t>
        </w:r>
      </w:hyperlink>
      <w:r w:rsidRPr="00111B14">
        <w:t xml:space="preserve">, median wage </w:t>
      </w:r>
      <w:r w:rsidRPr="00111B14">
        <w:lastRenderedPageBreak/>
        <w:t>rate for a Lawyer (occupation code 23-1011) to calculate the burden for regulatory affairs professionals. To account for benefits and overhead, we double this value to $</w:t>
      </w:r>
      <w:r w:rsidR="00EB0EAD">
        <w:t>123 (rounded)</w:t>
      </w:r>
      <w:r w:rsidRPr="00111B14">
        <w:t>.</w:t>
      </w:r>
    </w:p>
    <w:p w:rsidRPr="00570F4C" w:rsidR="00570F4C" w:rsidP="00503C75" w:rsidRDefault="00570F4C" w14:paraId="5652A5AA" w14:textId="77777777">
      <w:pPr>
        <w:keepNext/>
        <w:rPr>
          <w:vanish/>
        </w:rPr>
      </w:pPr>
    </w:p>
    <w:p w:rsidR="001F172B" w:rsidP="00503C75" w:rsidRDefault="001F172B" w14:paraId="3BAA3E01" w14:textId="77777777">
      <w:pPr>
        <w:pStyle w:val="BodyText2"/>
        <w:keepNext/>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626"/>
        <w:gridCol w:w="2548"/>
        <w:gridCol w:w="2124"/>
        <w:gridCol w:w="2278"/>
      </w:tblGrid>
      <w:tr w:rsidRPr="000A15CE" w:rsidR="00EC5748" w:rsidTr="00472263" w14:paraId="3A34D2E2" w14:textId="77777777">
        <w:trPr>
          <w:cantSplit/>
          <w:trHeight w:val="20"/>
          <w:jc w:val="center"/>
        </w:trPr>
        <w:tc>
          <w:tcPr>
            <w:tcW w:w="2626" w:type="dxa"/>
          </w:tcPr>
          <w:p w:rsidRPr="000A15CE" w:rsidR="00EC5748" w:rsidP="00503C75" w:rsidRDefault="00EC5748" w14:paraId="0D197EA3" w14:textId="77777777">
            <w:pPr>
              <w:keepNext/>
              <w:jc w:val="center"/>
              <w:rPr>
                <w:sz w:val="20"/>
                <w:szCs w:val="20"/>
              </w:rPr>
            </w:pPr>
            <w:r w:rsidRPr="000A15CE">
              <w:rPr>
                <w:sz w:val="20"/>
                <w:szCs w:val="20"/>
              </w:rPr>
              <w:t>Type of Respondent</w:t>
            </w:r>
          </w:p>
        </w:tc>
        <w:tc>
          <w:tcPr>
            <w:tcW w:w="2548" w:type="dxa"/>
          </w:tcPr>
          <w:p w:rsidRPr="000A15CE" w:rsidR="00EC5748" w:rsidP="00503C75" w:rsidRDefault="00EC5748" w14:paraId="261BF7A0" w14:textId="77777777">
            <w:pPr>
              <w:keepNext/>
              <w:jc w:val="center"/>
              <w:rPr>
                <w:sz w:val="20"/>
                <w:szCs w:val="20"/>
              </w:rPr>
            </w:pPr>
            <w:r w:rsidRPr="000A15CE">
              <w:rPr>
                <w:sz w:val="20"/>
                <w:szCs w:val="20"/>
              </w:rPr>
              <w:t>Total Burden Hours</w:t>
            </w:r>
          </w:p>
        </w:tc>
        <w:tc>
          <w:tcPr>
            <w:tcW w:w="2124" w:type="dxa"/>
          </w:tcPr>
          <w:p w:rsidRPr="000A15CE" w:rsidR="00EC5748" w:rsidP="00503C75" w:rsidRDefault="00B15F42" w14:paraId="19F788BF" w14:textId="77777777">
            <w:pPr>
              <w:keepNext/>
              <w:jc w:val="center"/>
              <w:rPr>
                <w:sz w:val="20"/>
                <w:szCs w:val="20"/>
              </w:rPr>
            </w:pPr>
            <w:r>
              <w:rPr>
                <w:sz w:val="20"/>
                <w:szCs w:val="20"/>
              </w:rPr>
              <w:t>Hourly Wage Rate</w:t>
            </w:r>
          </w:p>
        </w:tc>
        <w:tc>
          <w:tcPr>
            <w:tcW w:w="2278" w:type="dxa"/>
          </w:tcPr>
          <w:p w:rsidRPr="000A15CE" w:rsidR="00EC5748" w:rsidP="00503C75" w:rsidRDefault="00EC5748" w14:paraId="4845D623" w14:textId="77777777">
            <w:pPr>
              <w:keepNext/>
              <w:jc w:val="center"/>
              <w:rPr>
                <w:sz w:val="20"/>
                <w:szCs w:val="20"/>
              </w:rPr>
            </w:pPr>
            <w:r w:rsidRPr="000A15CE">
              <w:rPr>
                <w:sz w:val="20"/>
                <w:szCs w:val="20"/>
              </w:rPr>
              <w:t>Total</w:t>
            </w:r>
            <w:r w:rsidR="00B15F42">
              <w:rPr>
                <w:sz w:val="20"/>
                <w:szCs w:val="20"/>
              </w:rPr>
              <w:t xml:space="preserve"> Respondent</w:t>
            </w:r>
            <w:r w:rsidRPr="000A15CE">
              <w:rPr>
                <w:sz w:val="20"/>
                <w:szCs w:val="20"/>
              </w:rPr>
              <w:t xml:space="preserve"> Cost</w:t>
            </w:r>
          </w:p>
        </w:tc>
      </w:tr>
      <w:tr w:rsidRPr="000A15CE" w:rsidR="00EC5748" w:rsidTr="00472263" w14:paraId="14C8100E" w14:textId="77777777">
        <w:trPr>
          <w:cantSplit/>
          <w:trHeight w:val="20"/>
          <w:jc w:val="center"/>
        </w:trPr>
        <w:tc>
          <w:tcPr>
            <w:tcW w:w="2626" w:type="dxa"/>
          </w:tcPr>
          <w:p w:rsidRPr="000A15CE" w:rsidR="00EC5748" w:rsidP="00503C75" w:rsidRDefault="00EC5748" w14:paraId="178AFD99" w14:textId="77777777">
            <w:pPr>
              <w:rPr>
                <w:sz w:val="20"/>
                <w:szCs w:val="20"/>
              </w:rPr>
            </w:pPr>
            <w:r w:rsidRPr="000A15CE">
              <w:rPr>
                <w:sz w:val="20"/>
                <w:szCs w:val="20"/>
              </w:rPr>
              <w:t xml:space="preserve">Regulatory Affairs </w:t>
            </w:r>
            <w:r w:rsidR="00981ADA">
              <w:rPr>
                <w:sz w:val="20"/>
                <w:szCs w:val="20"/>
              </w:rPr>
              <w:t>Professional</w:t>
            </w:r>
          </w:p>
        </w:tc>
        <w:tc>
          <w:tcPr>
            <w:tcW w:w="2548" w:type="dxa"/>
          </w:tcPr>
          <w:p w:rsidRPr="000A15CE" w:rsidR="00EC5748" w:rsidP="00503C75" w:rsidRDefault="006248A3" w14:paraId="4A2F93B9" w14:textId="77777777">
            <w:pPr>
              <w:rPr>
                <w:sz w:val="20"/>
                <w:szCs w:val="20"/>
              </w:rPr>
            </w:pPr>
            <w:r>
              <w:rPr>
                <w:sz w:val="20"/>
                <w:szCs w:val="20"/>
              </w:rPr>
              <w:t>91,646</w:t>
            </w:r>
          </w:p>
        </w:tc>
        <w:tc>
          <w:tcPr>
            <w:tcW w:w="2124" w:type="dxa"/>
          </w:tcPr>
          <w:p w:rsidRPr="000A15CE" w:rsidR="00EC5748" w:rsidP="00503C75" w:rsidRDefault="00EC5748" w14:paraId="1E430271" w14:textId="77777777">
            <w:pPr>
              <w:jc w:val="center"/>
              <w:rPr>
                <w:sz w:val="20"/>
                <w:szCs w:val="20"/>
              </w:rPr>
            </w:pPr>
            <w:r w:rsidRPr="000A15CE">
              <w:rPr>
                <w:sz w:val="20"/>
                <w:szCs w:val="20"/>
              </w:rPr>
              <w:t>$</w:t>
            </w:r>
            <w:r w:rsidR="00EB0EAD">
              <w:rPr>
                <w:sz w:val="20"/>
                <w:szCs w:val="20"/>
              </w:rPr>
              <w:t>123</w:t>
            </w:r>
          </w:p>
        </w:tc>
        <w:tc>
          <w:tcPr>
            <w:tcW w:w="2278" w:type="dxa"/>
          </w:tcPr>
          <w:p w:rsidRPr="000A15CE" w:rsidR="00B70B4A" w:rsidP="00503C75" w:rsidRDefault="006248A3" w14:paraId="0BC1618D" w14:textId="77777777">
            <w:pPr>
              <w:jc w:val="center"/>
              <w:rPr>
                <w:sz w:val="20"/>
                <w:szCs w:val="20"/>
              </w:rPr>
            </w:pPr>
            <w:r>
              <w:rPr>
                <w:sz w:val="20"/>
                <w:szCs w:val="20"/>
              </w:rPr>
              <w:t>11,272,458</w:t>
            </w:r>
          </w:p>
        </w:tc>
      </w:tr>
    </w:tbl>
    <w:p w:rsidR="00E84FBB" w:rsidP="00503C75" w:rsidRDefault="00E84FBB" w14:paraId="652A632B" w14:textId="77777777">
      <w:pPr>
        <w:keepNext/>
      </w:pPr>
    </w:p>
    <w:p w:rsidRPr="004C6979" w:rsidR="004C6979" w:rsidP="00503C75" w:rsidRDefault="00D54697" w14:paraId="5A1C948B" w14:textId="668744AE">
      <w:pPr>
        <w:keepNext/>
        <w:rPr>
          <w:u w:val="single"/>
        </w:rPr>
      </w:pPr>
      <w:r>
        <w:rPr>
          <w:u w:val="single"/>
        </w:rPr>
        <w:t>13</w:t>
      </w:r>
      <w:r w:rsidR="00216A46">
        <w:rPr>
          <w:u w:val="single"/>
        </w:rPr>
        <w:t xml:space="preserve">. </w:t>
      </w:r>
      <w:r w:rsidRPr="004C6979" w:rsidR="00EB7538">
        <w:rPr>
          <w:u w:val="single"/>
        </w:rPr>
        <w:t>Estimates of Other Total Annual Cost</w:t>
      </w:r>
      <w:r w:rsidR="007C75B1">
        <w:rPr>
          <w:u w:val="single"/>
        </w:rPr>
        <w:t>s</w:t>
      </w:r>
      <w:r w:rsidRPr="004C6979" w:rsidR="00EB7538">
        <w:rPr>
          <w:u w:val="single"/>
        </w:rPr>
        <w:t xml:space="preserve"> to Respondents and</w:t>
      </w:r>
      <w:r w:rsidR="00350523">
        <w:rPr>
          <w:u w:val="single"/>
        </w:rPr>
        <w:t>/or Recordkeepers/Capital Costs</w:t>
      </w:r>
    </w:p>
    <w:p w:rsidR="00E84FBB" w:rsidP="00503C75" w:rsidRDefault="00E84FBB" w14:paraId="65F02F4E" w14:textId="77777777"/>
    <w:p w:rsidR="00FB6B64" w:rsidP="00503C75" w:rsidRDefault="00FB6B64" w14:paraId="157B7FD3" w14:textId="2B513878">
      <w:r w:rsidRPr="00FA0A2D">
        <w:t>There are no capital costs or operating and maintenance costs associated with this collection of information</w:t>
      </w:r>
      <w:r w:rsidR="00EC5748">
        <w:t>.</w:t>
      </w:r>
    </w:p>
    <w:p w:rsidR="00E84FBB" w:rsidP="00503C75" w:rsidRDefault="00E84FBB" w14:paraId="5D94AA2C" w14:textId="77777777"/>
    <w:p w:rsidRPr="004C6979" w:rsidR="004C6979" w:rsidP="00503C75" w:rsidRDefault="00D54697" w14:paraId="3DE387A3" w14:textId="77777777">
      <w:pPr>
        <w:rPr>
          <w:u w:val="single"/>
        </w:rPr>
      </w:pPr>
      <w:r>
        <w:rPr>
          <w:u w:val="single"/>
        </w:rPr>
        <w:t>14</w:t>
      </w:r>
      <w:r w:rsidR="00216A46">
        <w:rPr>
          <w:u w:val="single"/>
        </w:rPr>
        <w:t xml:space="preserve">. </w:t>
      </w:r>
      <w:r w:rsidRPr="004C6979" w:rsidR="00EB7538">
        <w:rPr>
          <w:u w:val="single"/>
        </w:rPr>
        <w:t>Annualized Cost to the Federal Government</w:t>
      </w:r>
    </w:p>
    <w:p w:rsidR="00E84FBB" w:rsidP="00503C75" w:rsidRDefault="00E84FBB" w14:paraId="06A4834C" w14:textId="77777777">
      <w:pPr>
        <w:pStyle w:val="BodyText2"/>
      </w:pPr>
    </w:p>
    <w:p w:rsidR="00506A63" w:rsidP="00503C75" w:rsidRDefault="00815934" w14:paraId="5CD744B7" w14:textId="4A53A9C3">
      <w:pPr>
        <w:pStyle w:val="BodyText2"/>
      </w:pPr>
      <w:r>
        <w:t>T</w:t>
      </w:r>
      <w:r w:rsidR="004422DA">
        <w:t xml:space="preserve">he annualized cost to the federal government will be </w:t>
      </w:r>
      <w:r w:rsidR="00725846">
        <w:t>the cost of two</w:t>
      </w:r>
      <w:r w:rsidR="00F072A6">
        <w:t xml:space="preserve"> full time FDA employee</w:t>
      </w:r>
      <w:r w:rsidR="00725846">
        <w:t>s</w:t>
      </w:r>
      <w:r w:rsidR="00E36F66">
        <w:t xml:space="preserve"> (FTEs)</w:t>
      </w:r>
      <w:r w:rsidR="008B2383">
        <w:t xml:space="preserve">.  </w:t>
      </w:r>
      <w:r w:rsidR="00506A63">
        <w:t>Based on a cost of $</w:t>
      </w:r>
      <w:r w:rsidR="006248A3">
        <w:t>297,561</w:t>
      </w:r>
      <w:r w:rsidR="00506A63">
        <w:t xml:space="preserve"> per position (which is the agency’s projected average cost of an FTE</w:t>
      </w:r>
      <w:r>
        <w:t xml:space="preserve"> in CDRH</w:t>
      </w:r>
      <w:r w:rsidR="00506A63">
        <w:t xml:space="preserve"> including their non-pay costs*), the estimated annual Federal cost is $</w:t>
      </w:r>
      <w:r w:rsidR="0046344A">
        <w:t>595,122</w:t>
      </w:r>
      <w:r w:rsidR="00506A63">
        <w:t>.</w:t>
      </w:r>
    </w:p>
    <w:p w:rsidR="00506A63" w:rsidP="00503C75" w:rsidRDefault="00506A63" w14:paraId="49740BC7" w14:textId="77777777">
      <w:pPr>
        <w:pStyle w:val="BodyText2"/>
      </w:pPr>
    </w:p>
    <w:p w:rsidRPr="00E36F66" w:rsidR="009B27C0" w:rsidP="00503C75" w:rsidRDefault="00815934" w14:paraId="03F4AF5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sz w:val="20"/>
        </w:rPr>
      </w:pPr>
      <w:r>
        <w:rPr>
          <w:sz w:val="20"/>
        </w:rPr>
        <w:t xml:space="preserve">*Based on the Food and Drug Administration fully loaded FTE cost model (domestic) for FY </w:t>
      </w:r>
      <w:r w:rsidR="0046344A">
        <w:rPr>
          <w:sz w:val="20"/>
        </w:rPr>
        <w:t>2021</w:t>
      </w:r>
      <w:r>
        <w:rPr>
          <w:sz w:val="20"/>
        </w:rPr>
        <w:t>, as provided by agency economists.</w:t>
      </w:r>
    </w:p>
    <w:p w:rsidR="00E84FBB" w:rsidP="00503C75" w:rsidRDefault="00E84FBB" w14:paraId="6EC6178B" w14:textId="77777777"/>
    <w:p w:rsidRPr="00AD76C1" w:rsidR="004C6979" w:rsidP="00503C75" w:rsidRDefault="008D2111" w14:paraId="5CF701C8" w14:textId="3B250AB7">
      <w:pPr>
        <w:rPr>
          <w:u w:val="single"/>
        </w:rPr>
      </w:pPr>
      <w:r>
        <w:br w:type="page"/>
      </w:r>
      <w:r w:rsidRPr="00AD76C1" w:rsidR="00D54697">
        <w:rPr>
          <w:u w:val="single"/>
        </w:rPr>
        <w:t>15</w:t>
      </w:r>
      <w:r w:rsidRPr="00AD76C1" w:rsidR="00216A46">
        <w:rPr>
          <w:u w:val="single"/>
        </w:rPr>
        <w:t xml:space="preserve">. </w:t>
      </w:r>
      <w:r w:rsidRPr="00AD76C1" w:rsidR="00EB7538">
        <w:rPr>
          <w:u w:val="single"/>
        </w:rPr>
        <w:t>Explanation for Program Changes or Adjustments</w:t>
      </w:r>
    </w:p>
    <w:p w:rsidR="00E84FBB" w:rsidP="00503C75" w:rsidRDefault="00E84FBB" w14:paraId="58E36C05" w14:textId="77777777">
      <w:pPr>
        <w:keepNext/>
      </w:pPr>
      <w:bookmarkStart w:name="OLE_LINK1" w:id="6"/>
    </w:p>
    <w:p w:rsidR="00091BA4" w:rsidP="00503C75" w:rsidRDefault="00091BA4" w14:paraId="0B0C2E73" w14:textId="739321C8">
      <w:pPr>
        <w:keepNext/>
      </w:pPr>
      <w:r>
        <w:t>Our estimated burden for the information collection reflects an overall increase of 10,880 hours and a corresponding increase of 28,43</w:t>
      </w:r>
      <w:r w:rsidR="00651F9D">
        <w:t>2</w:t>
      </w:r>
      <w:r>
        <w:t xml:space="preserve"> responses/records.  We attribute this adjustment to an increase in the number of submissions we received over th</w:t>
      </w:r>
      <w:r w:rsidR="00420866">
        <w:t>e last approval period.</w:t>
      </w:r>
      <w:r w:rsidR="00BE1A91">
        <w:t xml:space="preserve">  We have also consolidated the IC elements appearing at www.reginfo.gov, however we continue to provide a more detailed accounting of burden</w:t>
      </w:r>
      <w:r w:rsidR="0029729D">
        <w:t xml:space="preserve"> in our Tables at Question 12 of this supporting statement.</w:t>
      </w:r>
    </w:p>
    <w:p w:rsidR="00BD3739" w:rsidP="00503C75" w:rsidRDefault="00BD3739" w14:paraId="78ACD544" w14:textId="77777777">
      <w:pPr>
        <w:keepNext/>
      </w:pPr>
    </w:p>
    <w:bookmarkEnd w:id="6"/>
    <w:p w:rsidRPr="004C6979" w:rsidR="004C6979" w:rsidP="00503C75" w:rsidRDefault="00D54697" w14:paraId="6D5EAE9E" w14:textId="77777777">
      <w:pPr>
        <w:rPr>
          <w:u w:val="single"/>
        </w:rPr>
      </w:pPr>
      <w:r>
        <w:rPr>
          <w:u w:val="single"/>
        </w:rPr>
        <w:t>16</w:t>
      </w:r>
      <w:r w:rsidR="00216A46">
        <w:rPr>
          <w:u w:val="single"/>
        </w:rPr>
        <w:t>.</w:t>
      </w:r>
      <w:r w:rsidR="001F172B">
        <w:rPr>
          <w:u w:val="single"/>
        </w:rPr>
        <w:t xml:space="preserve"> </w:t>
      </w:r>
      <w:r w:rsidRPr="004C6979" w:rsidR="00EB7538">
        <w:rPr>
          <w:u w:val="single"/>
        </w:rPr>
        <w:t>Plans for Tabulation and Publication and Project Time Schedule</w:t>
      </w:r>
    </w:p>
    <w:p w:rsidR="00BD3739" w:rsidP="00503C75" w:rsidRDefault="00BD3739" w14:paraId="1361A6D1" w14:textId="77777777"/>
    <w:p w:rsidRPr="00884AF8" w:rsidR="00884AF8" w:rsidP="00503C75" w:rsidRDefault="00884AF8" w14:paraId="645DD01E" w14:textId="0E69FED3">
      <w:r w:rsidRPr="00884AF8">
        <w:t>The information</w:t>
      </w:r>
      <w:r w:rsidR="002D2DBE">
        <w:t xml:space="preserve"> collected</w:t>
      </w:r>
      <w:r w:rsidRPr="00884AF8">
        <w:t xml:space="preserve"> will not be published </w:t>
      </w:r>
      <w:r w:rsidR="002D2DBE">
        <w:t>or tabulated</w:t>
      </w:r>
      <w:r w:rsidRPr="00884AF8">
        <w:t>.</w:t>
      </w:r>
    </w:p>
    <w:p w:rsidR="00BD3739" w:rsidP="00503C75" w:rsidRDefault="00BD3739" w14:paraId="2E4D6E5B" w14:textId="77777777">
      <w:pPr>
        <w:rPr>
          <w:u w:val="single"/>
        </w:rPr>
      </w:pPr>
    </w:p>
    <w:p w:rsidRPr="004C6979" w:rsidR="004C6979" w:rsidP="00503C75" w:rsidRDefault="00D54697" w14:paraId="7E05FE50" w14:textId="24496250">
      <w:pPr>
        <w:rPr>
          <w:u w:val="single"/>
        </w:rPr>
      </w:pPr>
      <w:r>
        <w:rPr>
          <w:u w:val="single"/>
        </w:rPr>
        <w:t>17</w:t>
      </w:r>
      <w:r w:rsidR="00216A46">
        <w:rPr>
          <w:u w:val="single"/>
        </w:rPr>
        <w:t>.</w:t>
      </w:r>
      <w:r w:rsidR="001F172B">
        <w:rPr>
          <w:u w:val="single"/>
        </w:rPr>
        <w:t xml:space="preserve"> </w:t>
      </w:r>
      <w:r w:rsidRPr="004C6979" w:rsidR="00EB7538">
        <w:rPr>
          <w:u w:val="single"/>
        </w:rPr>
        <w:t>Reason(s) Display of OMB Expiration Date is Inappropriate</w:t>
      </w:r>
    </w:p>
    <w:p w:rsidR="00BD3739" w:rsidP="00503C75" w:rsidRDefault="00BD3739" w14:paraId="76FBACF6" w14:textId="77777777">
      <w:pPr>
        <w:rPr>
          <w:color w:val="000000"/>
        </w:rPr>
      </w:pPr>
    </w:p>
    <w:p w:rsidRPr="00884AF8" w:rsidR="00884AF8" w:rsidP="00503C75" w:rsidRDefault="00D553E8" w14:paraId="46FA4716" w14:textId="6B8F63FC">
      <w:r>
        <w:rPr>
          <w:color w:val="000000"/>
        </w:rPr>
        <w:t>FDA will display the OMB expiration date as required by 5 CFR 1320.5.</w:t>
      </w:r>
    </w:p>
    <w:p w:rsidR="00BD3739" w:rsidP="00503C75" w:rsidRDefault="00BD3739" w14:paraId="6D00B1AF" w14:textId="77777777">
      <w:pPr>
        <w:keepNext/>
        <w:rPr>
          <w:u w:val="single"/>
        </w:rPr>
      </w:pPr>
    </w:p>
    <w:p w:rsidR="00EB7538" w:rsidP="00503C75" w:rsidRDefault="00D54697" w14:paraId="0A85F2EF" w14:textId="3027414B">
      <w:pPr>
        <w:keepNext/>
        <w:rPr>
          <w:u w:val="single"/>
        </w:rPr>
      </w:pPr>
      <w:r>
        <w:rPr>
          <w:u w:val="single"/>
        </w:rPr>
        <w:t>18</w:t>
      </w:r>
      <w:r w:rsidR="00216A46">
        <w:rPr>
          <w:u w:val="single"/>
        </w:rPr>
        <w:t>.</w:t>
      </w:r>
      <w:r w:rsidR="001F172B">
        <w:rPr>
          <w:u w:val="single"/>
        </w:rPr>
        <w:t xml:space="preserve"> </w:t>
      </w:r>
      <w:r w:rsidRPr="004C6979" w:rsidR="00EB7538">
        <w:rPr>
          <w:u w:val="single"/>
        </w:rPr>
        <w:t>Exceptions to Certification for Paperwork Reduction Act Submissions</w:t>
      </w:r>
    </w:p>
    <w:p w:rsidR="00BD3739" w:rsidP="00503C75" w:rsidRDefault="00BD3739" w14:paraId="71F2F3CB" w14:textId="77777777">
      <w:pPr>
        <w:keepNext/>
      </w:pPr>
    </w:p>
    <w:p w:rsidRPr="00884AF8" w:rsidR="00884AF8" w:rsidP="00503C75" w:rsidRDefault="00884AF8" w14:paraId="4FC5696E" w14:textId="4EAD85CD">
      <w:pPr>
        <w:keepNext/>
      </w:pPr>
      <w:r w:rsidRPr="00884AF8">
        <w:t>There are no exceptions to the certification.</w:t>
      </w:r>
    </w:p>
    <w:p w:rsidR="0084632F" w:rsidP="00503C75" w:rsidRDefault="004C6979" w14:paraId="636A7A0D" w14:textId="77777777">
      <w:r>
        <w:t xml:space="preserve"> </w:t>
      </w:r>
      <w:bookmarkStart w:name="_Hlk5703475" w:id="7"/>
      <w:r w:rsidR="00487820">
        <w:t xml:space="preserve"> </w:t>
      </w:r>
    </w:p>
    <w:bookmarkEnd w:id="7"/>
    <w:p w:rsidRPr="004C6979" w:rsidR="002746DB" w:rsidP="00503C75" w:rsidRDefault="002746DB" w14:paraId="06D91D71" w14:textId="77777777">
      <w:pPr>
        <w:rPr>
          <w:b/>
        </w:rPr>
      </w:pPr>
    </w:p>
    <w:sectPr w:rsidRPr="004C6979" w:rsidR="002746DB" w:rsidSect="00EB7538">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14B9" w14:textId="77777777" w:rsidR="00353DF3" w:rsidRDefault="00353DF3" w:rsidP="00ED6FF1">
      <w:r>
        <w:separator/>
      </w:r>
    </w:p>
  </w:endnote>
  <w:endnote w:type="continuationSeparator" w:id="0">
    <w:p w14:paraId="5C42FD5F" w14:textId="77777777" w:rsidR="00353DF3" w:rsidRDefault="00353DF3" w:rsidP="00ED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2DEC" w14:textId="77777777" w:rsidR="00353DF3" w:rsidRDefault="00353DF3" w:rsidP="00ED6FF1">
      <w:r>
        <w:separator/>
      </w:r>
    </w:p>
  </w:footnote>
  <w:footnote w:type="continuationSeparator" w:id="0">
    <w:p w14:paraId="5782A15F" w14:textId="77777777" w:rsidR="00353DF3" w:rsidRDefault="00353DF3" w:rsidP="00ED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C5DC" w14:textId="2AFAC875" w:rsidR="00DF494C" w:rsidRDefault="00DF494C">
    <w:pPr>
      <w:pStyle w:val="Header"/>
    </w:pPr>
    <w:r w:rsidRPr="00FB4448">
      <w:pict w14:anchorId="1F1DE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35pt;height:29.35pt">
          <v:imagedata r:id="rId1" o:title=""/>
        </v:shape>
      </w:pict>
    </w:r>
  </w:p>
  <w:p w14:paraId="71E8F669" w14:textId="77777777" w:rsidR="00351917" w:rsidRDefault="00351917">
    <w:pPr>
      <w:pStyle w:val="Header"/>
    </w:pPr>
  </w:p>
  <w:p w14:paraId="0D314CCF" w14:textId="77777777" w:rsidR="00DF494C" w:rsidRDefault="00DF4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FF2D53"/>
    <w:multiLevelType w:val="hybridMultilevel"/>
    <w:tmpl w:val="E90E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C32C71"/>
    <w:multiLevelType w:val="hybridMultilevel"/>
    <w:tmpl w:val="4BAA518A"/>
    <w:lvl w:ilvl="0" w:tplc="EC12F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72BC5D8E"/>
    <w:multiLevelType w:val="hybridMultilevel"/>
    <w:tmpl w:val="82264F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6"/>
  </w:num>
  <w:num w:numId="6">
    <w:abstractNumId w:val="21"/>
  </w:num>
  <w:num w:numId="7">
    <w:abstractNumId w:val="27"/>
  </w:num>
  <w:num w:numId="8">
    <w:abstractNumId w:val="2"/>
  </w:num>
  <w:num w:numId="9">
    <w:abstractNumId w:val="22"/>
  </w:num>
  <w:num w:numId="10">
    <w:abstractNumId w:val="18"/>
  </w:num>
  <w:num w:numId="11">
    <w:abstractNumId w:val="8"/>
  </w:num>
  <w:num w:numId="12">
    <w:abstractNumId w:val="30"/>
  </w:num>
  <w:num w:numId="13">
    <w:abstractNumId w:val="17"/>
  </w:num>
  <w:num w:numId="14">
    <w:abstractNumId w:val="7"/>
  </w:num>
  <w:num w:numId="15">
    <w:abstractNumId w:val="13"/>
  </w:num>
  <w:num w:numId="16">
    <w:abstractNumId w:val="12"/>
  </w:num>
  <w:num w:numId="17">
    <w:abstractNumId w:val="26"/>
  </w:num>
  <w:num w:numId="18">
    <w:abstractNumId w:val="29"/>
  </w:num>
  <w:num w:numId="19">
    <w:abstractNumId w:val="28"/>
  </w:num>
  <w:num w:numId="20">
    <w:abstractNumId w:val="16"/>
  </w:num>
  <w:num w:numId="21">
    <w:abstractNumId w:val="11"/>
  </w:num>
  <w:num w:numId="22">
    <w:abstractNumId w:val="1"/>
  </w:num>
  <w:num w:numId="23">
    <w:abstractNumId w:val="23"/>
  </w:num>
  <w:num w:numId="24">
    <w:abstractNumId w:val="20"/>
  </w:num>
  <w:num w:numId="25">
    <w:abstractNumId w:val="10"/>
  </w:num>
  <w:num w:numId="26">
    <w:abstractNumId w:val="5"/>
  </w:num>
  <w:num w:numId="27">
    <w:abstractNumId w:val="31"/>
  </w:num>
  <w:num w:numId="28">
    <w:abstractNumId w:val="24"/>
  </w:num>
  <w:num w:numId="29">
    <w:abstractNumId w:val="4"/>
  </w:num>
  <w:num w:numId="30">
    <w:abstractNumId w:val="3"/>
  </w:num>
  <w:num w:numId="31">
    <w:abstractNumId w:val="1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1EF9"/>
    <w:rsid w:val="00005997"/>
    <w:rsid w:val="00007092"/>
    <w:rsid w:val="000116A7"/>
    <w:rsid w:val="0002421C"/>
    <w:rsid w:val="00040A83"/>
    <w:rsid w:val="000463A4"/>
    <w:rsid w:val="0005344B"/>
    <w:rsid w:val="00055AED"/>
    <w:rsid w:val="00057052"/>
    <w:rsid w:val="000615A2"/>
    <w:rsid w:val="00062FB7"/>
    <w:rsid w:val="0006570F"/>
    <w:rsid w:val="00074700"/>
    <w:rsid w:val="000771DE"/>
    <w:rsid w:val="00077D58"/>
    <w:rsid w:val="00091BA4"/>
    <w:rsid w:val="000A05A9"/>
    <w:rsid w:val="000A14A3"/>
    <w:rsid w:val="000A15CE"/>
    <w:rsid w:val="000A5AFC"/>
    <w:rsid w:val="000A5CFA"/>
    <w:rsid w:val="000A78D0"/>
    <w:rsid w:val="000B1267"/>
    <w:rsid w:val="000B5E33"/>
    <w:rsid w:val="000D32D2"/>
    <w:rsid w:val="000E1C64"/>
    <w:rsid w:val="000E2951"/>
    <w:rsid w:val="000E6EFA"/>
    <w:rsid w:val="000E78BD"/>
    <w:rsid w:val="00105BD7"/>
    <w:rsid w:val="00107885"/>
    <w:rsid w:val="00113557"/>
    <w:rsid w:val="0012329C"/>
    <w:rsid w:val="0013209C"/>
    <w:rsid w:val="00137950"/>
    <w:rsid w:val="00137C49"/>
    <w:rsid w:val="0014348A"/>
    <w:rsid w:val="00155881"/>
    <w:rsid w:val="00156CB1"/>
    <w:rsid w:val="001631A6"/>
    <w:rsid w:val="001750EC"/>
    <w:rsid w:val="00181F97"/>
    <w:rsid w:val="00182F8E"/>
    <w:rsid w:val="00186066"/>
    <w:rsid w:val="001A2092"/>
    <w:rsid w:val="001A3B5A"/>
    <w:rsid w:val="001A600C"/>
    <w:rsid w:val="001B688E"/>
    <w:rsid w:val="001C4701"/>
    <w:rsid w:val="001C6839"/>
    <w:rsid w:val="001C7FE5"/>
    <w:rsid w:val="001D495A"/>
    <w:rsid w:val="001D4EAB"/>
    <w:rsid w:val="001D6C0D"/>
    <w:rsid w:val="001E028E"/>
    <w:rsid w:val="001E070F"/>
    <w:rsid w:val="001E29C3"/>
    <w:rsid w:val="001E4C6A"/>
    <w:rsid w:val="001F172B"/>
    <w:rsid w:val="00202737"/>
    <w:rsid w:val="00211614"/>
    <w:rsid w:val="00214361"/>
    <w:rsid w:val="00216A46"/>
    <w:rsid w:val="00220DE2"/>
    <w:rsid w:val="00221472"/>
    <w:rsid w:val="00222988"/>
    <w:rsid w:val="002234C7"/>
    <w:rsid w:val="0022402F"/>
    <w:rsid w:val="00225838"/>
    <w:rsid w:val="002259EF"/>
    <w:rsid w:val="00233BEA"/>
    <w:rsid w:val="0023761D"/>
    <w:rsid w:val="00242ED1"/>
    <w:rsid w:val="00246F55"/>
    <w:rsid w:val="002512DF"/>
    <w:rsid w:val="00254069"/>
    <w:rsid w:val="00256839"/>
    <w:rsid w:val="00264053"/>
    <w:rsid w:val="00266566"/>
    <w:rsid w:val="00267414"/>
    <w:rsid w:val="002734E5"/>
    <w:rsid w:val="002746DB"/>
    <w:rsid w:val="0029729D"/>
    <w:rsid w:val="002A00FF"/>
    <w:rsid w:val="002A0708"/>
    <w:rsid w:val="002A0FF9"/>
    <w:rsid w:val="002A4CF5"/>
    <w:rsid w:val="002A7644"/>
    <w:rsid w:val="002B57F0"/>
    <w:rsid w:val="002C6E2C"/>
    <w:rsid w:val="002D2DBE"/>
    <w:rsid w:val="002D4799"/>
    <w:rsid w:val="002D4E84"/>
    <w:rsid w:val="002D6B96"/>
    <w:rsid w:val="002E0493"/>
    <w:rsid w:val="002E16BF"/>
    <w:rsid w:val="002E28A5"/>
    <w:rsid w:val="002E3FA4"/>
    <w:rsid w:val="002E4FB9"/>
    <w:rsid w:val="002E7075"/>
    <w:rsid w:val="002F32BE"/>
    <w:rsid w:val="0030502E"/>
    <w:rsid w:val="00306613"/>
    <w:rsid w:val="00312AFE"/>
    <w:rsid w:val="00313F8F"/>
    <w:rsid w:val="0032277F"/>
    <w:rsid w:val="003244FA"/>
    <w:rsid w:val="00324FF7"/>
    <w:rsid w:val="00327A7F"/>
    <w:rsid w:val="0033732E"/>
    <w:rsid w:val="00346EB4"/>
    <w:rsid w:val="00350523"/>
    <w:rsid w:val="00351917"/>
    <w:rsid w:val="00353DF3"/>
    <w:rsid w:val="00354D94"/>
    <w:rsid w:val="00357C44"/>
    <w:rsid w:val="003666DF"/>
    <w:rsid w:val="003740BC"/>
    <w:rsid w:val="003765EB"/>
    <w:rsid w:val="003801A3"/>
    <w:rsid w:val="0039081E"/>
    <w:rsid w:val="0039508A"/>
    <w:rsid w:val="003A0C79"/>
    <w:rsid w:val="003A1C4C"/>
    <w:rsid w:val="003B42B3"/>
    <w:rsid w:val="003B6384"/>
    <w:rsid w:val="003B753A"/>
    <w:rsid w:val="003C4A39"/>
    <w:rsid w:val="003C4EBB"/>
    <w:rsid w:val="003D12C3"/>
    <w:rsid w:val="003D1531"/>
    <w:rsid w:val="003D40D7"/>
    <w:rsid w:val="003D6144"/>
    <w:rsid w:val="003D6DB1"/>
    <w:rsid w:val="003E4EC6"/>
    <w:rsid w:val="003E553E"/>
    <w:rsid w:val="00404632"/>
    <w:rsid w:val="00411D11"/>
    <w:rsid w:val="00415E23"/>
    <w:rsid w:val="00420866"/>
    <w:rsid w:val="00422EED"/>
    <w:rsid w:val="00424061"/>
    <w:rsid w:val="004355DA"/>
    <w:rsid w:val="0044178D"/>
    <w:rsid w:val="004422DA"/>
    <w:rsid w:val="00443D66"/>
    <w:rsid w:val="00445B15"/>
    <w:rsid w:val="00445CB4"/>
    <w:rsid w:val="00447D74"/>
    <w:rsid w:val="004530D6"/>
    <w:rsid w:val="0046344A"/>
    <w:rsid w:val="00463C05"/>
    <w:rsid w:val="00463FEE"/>
    <w:rsid w:val="004649B8"/>
    <w:rsid w:val="00465350"/>
    <w:rsid w:val="00470D7E"/>
    <w:rsid w:val="00472263"/>
    <w:rsid w:val="0047307A"/>
    <w:rsid w:val="0047373C"/>
    <w:rsid w:val="00480041"/>
    <w:rsid w:val="00481DE0"/>
    <w:rsid w:val="004846BF"/>
    <w:rsid w:val="00485D52"/>
    <w:rsid w:val="00487820"/>
    <w:rsid w:val="00495FB9"/>
    <w:rsid w:val="004A037A"/>
    <w:rsid w:val="004A61D2"/>
    <w:rsid w:val="004B68EA"/>
    <w:rsid w:val="004C01E5"/>
    <w:rsid w:val="004C6979"/>
    <w:rsid w:val="004D04B8"/>
    <w:rsid w:val="004D28E3"/>
    <w:rsid w:val="004D5661"/>
    <w:rsid w:val="004D626D"/>
    <w:rsid w:val="004E0B3F"/>
    <w:rsid w:val="004E2681"/>
    <w:rsid w:val="004E52F2"/>
    <w:rsid w:val="00503C75"/>
    <w:rsid w:val="005041D7"/>
    <w:rsid w:val="00506A63"/>
    <w:rsid w:val="00510E95"/>
    <w:rsid w:val="00512711"/>
    <w:rsid w:val="00514041"/>
    <w:rsid w:val="005174C8"/>
    <w:rsid w:val="005275BE"/>
    <w:rsid w:val="0053137A"/>
    <w:rsid w:val="00534664"/>
    <w:rsid w:val="005352AA"/>
    <w:rsid w:val="00535B90"/>
    <w:rsid w:val="005362C5"/>
    <w:rsid w:val="00544138"/>
    <w:rsid w:val="00544F19"/>
    <w:rsid w:val="00556635"/>
    <w:rsid w:val="00570F4C"/>
    <w:rsid w:val="005714CA"/>
    <w:rsid w:val="00582FA7"/>
    <w:rsid w:val="00584583"/>
    <w:rsid w:val="005920D3"/>
    <w:rsid w:val="00593C04"/>
    <w:rsid w:val="00596662"/>
    <w:rsid w:val="005A4099"/>
    <w:rsid w:val="005C38B2"/>
    <w:rsid w:val="005C5029"/>
    <w:rsid w:val="005D3A83"/>
    <w:rsid w:val="005D4DF5"/>
    <w:rsid w:val="005E0A71"/>
    <w:rsid w:val="005E5F5D"/>
    <w:rsid w:val="005F4DE1"/>
    <w:rsid w:val="005F50B9"/>
    <w:rsid w:val="005F5966"/>
    <w:rsid w:val="005F7499"/>
    <w:rsid w:val="006000B1"/>
    <w:rsid w:val="006047DE"/>
    <w:rsid w:val="006067ED"/>
    <w:rsid w:val="006105DE"/>
    <w:rsid w:val="00616D9B"/>
    <w:rsid w:val="00620457"/>
    <w:rsid w:val="00620E2D"/>
    <w:rsid w:val="006248A3"/>
    <w:rsid w:val="00641EAB"/>
    <w:rsid w:val="0064409B"/>
    <w:rsid w:val="00651F9D"/>
    <w:rsid w:val="00657173"/>
    <w:rsid w:val="006631AF"/>
    <w:rsid w:val="00677C4B"/>
    <w:rsid w:val="0069603A"/>
    <w:rsid w:val="006964B5"/>
    <w:rsid w:val="006A4E57"/>
    <w:rsid w:val="006A7A39"/>
    <w:rsid w:val="006A7D5D"/>
    <w:rsid w:val="006B0D7B"/>
    <w:rsid w:val="006B1BB1"/>
    <w:rsid w:val="006C16D6"/>
    <w:rsid w:val="006C1B20"/>
    <w:rsid w:val="006C5C84"/>
    <w:rsid w:val="006D0BF8"/>
    <w:rsid w:val="006D1347"/>
    <w:rsid w:val="006D57DF"/>
    <w:rsid w:val="006E222E"/>
    <w:rsid w:val="006E3917"/>
    <w:rsid w:val="006F28BE"/>
    <w:rsid w:val="006F3372"/>
    <w:rsid w:val="006F3FCE"/>
    <w:rsid w:val="006F4D6D"/>
    <w:rsid w:val="0070121A"/>
    <w:rsid w:val="007070BA"/>
    <w:rsid w:val="00716D25"/>
    <w:rsid w:val="00721927"/>
    <w:rsid w:val="00725846"/>
    <w:rsid w:val="00727E95"/>
    <w:rsid w:val="00754497"/>
    <w:rsid w:val="00756992"/>
    <w:rsid w:val="007604E2"/>
    <w:rsid w:val="007701B7"/>
    <w:rsid w:val="00772D1C"/>
    <w:rsid w:val="00774E12"/>
    <w:rsid w:val="00784EAE"/>
    <w:rsid w:val="007901B0"/>
    <w:rsid w:val="00791521"/>
    <w:rsid w:val="00795CDB"/>
    <w:rsid w:val="007B79F1"/>
    <w:rsid w:val="007C0CDE"/>
    <w:rsid w:val="007C3BB1"/>
    <w:rsid w:val="007C75B1"/>
    <w:rsid w:val="007C7C42"/>
    <w:rsid w:val="007E528C"/>
    <w:rsid w:val="007F53B6"/>
    <w:rsid w:val="007F6A18"/>
    <w:rsid w:val="00801F4F"/>
    <w:rsid w:val="00802E3D"/>
    <w:rsid w:val="0080545C"/>
    <w:rsid w:val="008064F7"/>
    <w:rsid w:val="0080776D"/>
    <w:rsid w:val="00810145"/>
    <w:rsid w:val="008108FA"/>
    <w:rsid w:val="00812AF3"/>
    <w:rsid w:val="00815934"/>
    <w:rsid w:val="0082029A"/>
    <w:rsid w:val="00820BD7"/>
    <w:rsid w:val="00820EAF"/>
    <w:rsid w:val="00822336"/>
    <w:rsid w:val="00823DFA"/>
    <w:rsid w:val="00827171"/>
    <w:rsid w:val="00833E01"/>
    <w:rsid w:val="0083662C"/>
    <w:rsid w:val="00841D99"/>
    <w:rsid w:val="00843752"/>
    <w:rsid w:val="0084632F"/>
    <w:rsid w:val="00850EE4"/>
    <w:rsid w:val="00856252"/>
    <w:rsid w:val="00856756"/>
    <w:rsid w:val="00864701"/>
    <w:rsid w:val="008732DD"/>
    <w:rsid w:val="00873383"/>
    <w:rsid w:val="00884AF8"/>
    <w:rsid w:val="00886BF7"/>
    <w:rsid w:val="00892093"/>
    <w:rsid w:val="00892400"/>
    <w:rsid w:val="00895D2E"/>
    <w:rsid w:val="008A1DEB"/>
    <w:rsid w:val="008A209D"/>
    <w:rsid w:val="008A2874"/>
    <w:rsid w:val="008A6ED0"/>
    <w:rsid w:val="008B0E29"/>
    <w:rsid w:val="008B0EFA"/>
    <w:rsid w:val="008B2383"/>
    <w:rsid w:val="008B30AA"/>
    <w:rsid w:val="008B30AB"/>
    <w:rsid w:val="008B3959"/>
    <w:rsid w:val="008B4746"/>
    <w:rsid w:val="008B6ECC"/>
    <w:rsid w:val="008D2111"/>
    <w:rsid w:val="008D3EEE"/>
    <w:rsid w:val="008D698C"/>
    <w:rsid w:val="008E0E83"/>
    <w:rsid w:val="008E45B4"/>
    <w:rsid w:val="00905DEF"/>
    <w:rsid w:val="00915703"/>
    <w:rsid w:val="00920B26"/>
    <w:rsid w:val="00923373"/>
    <w:rsid w:val="00931275"/>
    <w:rsid w:val="00934C9D"/>
    <w:rsid w:val="00936AC7"/>
    <w:rsid w:val="00943294"/>
    <w:rsid w:val="00951F7E"/>
    <w:rsid w:val="009603B3"/>
    <w:rsid w:val="00977218"/>
    <w:rsid w:val="00981ADA"/>
    <w:rsid w:val="009936B2"/>
    <w:rsid w:val="00997777"/>
    <w:rsid w:val="009A01C6"/>
    <w:rsid w:val="009A1954"/>
    <w:rsid w:val="009B27C0"/>
    <w:rsid w:val="009B6084"/>
    <w:rsid w:val="009C112B"/>
    <w:rsid w:val="009C3608"/>
    <w:rsid w:val="009C3AE2"/>
    <w:rsid w:val="009C6806"/>
    <w:rsid w:val="009C7D1A"/>
    <w:rsid w:val="009D074C"/>
    <w:rsid w:val="009F2B4F"/>
    <w:rsid w:val="009F32DC"/>
    <w:rsid w:val="009F5890"/>
    <w:rsid w:val="00A02E7B"/>
    <w:rsid w:val="00A02F10"/>
    <w:rsid w:val="00A033F2"/>
    <w:rsid w:val="00A0429C"/>
    <w:rsid w:val="00A076E7"/>
    <w:rsid w:val="00A1141F"/>
    <w:rsid w:val="00A117D5"/>
    <w:rsid w:val="00A16B31"/>
    <w:rsid w:val="00A20A7D"/>
    <w:rsid w:val="00A27939"/>
    <w:rsid w:val="00A33A11"/>
    <w:rsid w:val="00A35D42"/>
    <w:rsid w:val="00A46A1E"/>
    <w:rsid w:val="00A46CCF"/>
    <w:rsid w:val="00A4751D"/>
    <w:rsid w:val="00A533C0"/>
    <w:rsid w:val="00A57B7E"/>
    <w:rsid w:val="00A60329"/>
    <w:rsid w:val="00A6097D"/>
    <w:rsid w:val="00A62F63"/>
    <w:rsid w:val="00A6438F"/>
    <w:rsid w:val="00A70426"/>
    <w:rsid w:val="00A7168E"/>
    <w:rsid w:val="00A74CC5"/>
    <w:rsid w:val="00A76A4B"/>
    <w:rsid w:val="00A91E9A"/>
    <w:rsid w:val="00A92650"/>
    <w:rsid w:val="00A93ED9"/>
    <w:rsid w:val="00AA020D"/>
    <w:rsid w:val="00AA3478"/>
    <w:rsid w:val="00AB120F"/>
    <w:rsid w:val="00AB1873"/>
    <w:rsid w:val="00AB2DB5"/>
    <w:rsid w:val="00AC081C"/>
    <w:rsid w:val="00AC6A99"/>
    <w:rsid w:val="00AD76C1"/>
    <w:rsid w:val="00AE0C96"/>
    <w:rsid w:val="00AE7BAD"/>
    <w:rsid w:val="00AE7F59"/>
    <w:rsid w:val="00B00E62"/>
    <w:rsid w:val="00B055EF"/>
    <w:rsid w:val="00B10286"/>
    <w:rsid w:val="00B1400B"/>
    <w:rsid w:val="00B15F42"/>
    <w:rsid w:val="00B23769"/>
    <w:rsid w:val="00B26AA6"/>
    <w:rsid w:val="00B2755A"/>
    <w:rsid w:val="00B30E52"/>
    <w:rsid w:val="00B347BD"/>
    <w:rsid w:val="00B42751"/>
    <w:rsid w:val="00B534B4"/>
    <w:rsid w:val="00B54968"/>
    <w:rsid w:val="00B5679A"/>
    <w:rsid w:val="00B61DA1"/>
    <w:rsid w:val="00B644B4"/>
    <w:rsid w:val="00B66FE4"/>
    <w:rsid w:val="00B70B4A"/>
    <w:rsid w:val="00B725C6"/>
    <w:rsid w:val="00B846B4"/>
    <w:rsid w:val="00B85F06"/>
    <w:rsid w:val="00B86A9F"/>
    <w:rsid w:val="00B87899"/>
    <w:rsid w:val="00B87956"/>
    <w:rsid w:val="00B936D0"/>
    <w:rsid w:val="00BA3539"/>
    <w:rsid w:val="00BA4A03"/>
    <w:rsid w:val="00BD3739"/>
    <w:rsid w:val="00BD4840"/>
    <w:rsid w:val="00BE0DF4"/>
    <w:rsid w:val="00BE1116"/>
    <w:rsid w:val="00BE1A91"/>
    <w:rsid w:val="00BE3600"/>
    <w:rsid w:val="00BF36A7"/>
    <w:rsid w:val="00BF68BE"/>
    <w:rsid w:val="00BF76C1"/>
    <w:rsid w:val="00C01F6F"/>
    <w:rsid w:val="00C04B99"/>
    <w:rsid w:val="00C10E87"/>
    <w:rsid w:val="00C149AB"/>
    <w:rsid w:val="00C260DD"/>
    <w:rsid w:val="00C31A45"/>
    <w:rsid w:val="00C40694"/>
    <w:rsid w:val="00C42ED4"/>
    <w:rsid w:val="00C52260"/>
    <w:rsid w:val="00C557A1"/>
    <w:rsid w:val="00C66BFA"/>
    <w:rsid w:val="00C66F2D"/>
    <w:rsid w:val="00C70542"/>
    <w:rsid w:val="00C743B3"/>
    <w:rsid w:val="00C82F49"/>
    <w:rsid w:val="00C902FA"/>
    <w:rsid w:val="00C9628A"/>
    <w:rsid w:val="00CB7B70"/>
    <w:rsid w:val="00CC2894"/>
    <w:rsid w:val="00CD0839"/>
    <w:rsid w:val="00CD3AC5"/>
    <w:rsid w:val="00CD6FB9"/>
    <w:rsid w:val="00CD77C3"/>
    <w:rsid w:val="00CE08B7"/>
    <w:rsid w:val="00CE1450"/>
    <w:rsid w:val="00CE28B7"/>
    <w:rsid w:val="00CE3215"/>
    <w:rsid w:val="00CE7C14"/>
    <w:rsid w:val="00D00E39"/>
    <w:rsid w:val="00D030F3"/>
    <w:rsid w:val="00D07FB0"/>
    <w:rsid w:val="00D20C64"/>
    <w:rsid w:val="00D22FA4"/>
    <w:rsid w:val="00D23E04"/>
    <w:rsid w:val="00D25256"/>
    <w:rsid w:val="00D36B60"/>
    <w:rsid w:val="00D42F4E"/>
    <w:rsid w:val="00D54697"/>
    <w:rsid w:val="00D550ED"/>
    <w:rsid w:val="00D553E8"/>
    <w:rsid w:val="00D608DA"/>
    <w:rsid w:val="00D6168E"/>
    <w:rsid w:val="00D72461"/>
    <w:rsid w:val="00D72D3E"/>
    <w:rsid w:val="00D730BF"/>
    <w:rsid w:val="00D73124"/>
    <w:rsid w:val="00D838C1"/>
    <w:rsid w:val="00D83911"/>
    <w:rsid w:val="00DA33B3"/>
    <w:rsid w:val="00DA3830"/>
    <w:rsid w:val="00DA4662"/>
    <w:rsid w:val="00DB17EE"/>
    <w:rsid w:val="00DB308D"/>
    <w:rsid w:val="00DB30B0"/>
    <w:rsid w:val="00DB4C1A"/>
    <w:rsid w:val="00DC3202"/>
    <w:rsid w:val="00DC7056"/>
    <w:rsid w:val="00DC76C7"/>
    <w:rsid w:val="00DD09F5"/>
    <w:rsid w:val="00DD4201"/>
    <w:rsid w:val="00DE2251"/>
    <w:rsid w:val="00DE5711"/>
    <w:rsid w:val="00DF1E3A"/>
    <w:rsid w:val="00DF494C"/>
    <w:rsid w:val="00DF600A"/>
    <w:rsid w:val="00E0023C"/>
    <w:rsid w:val="00E00EA0"/>
    <w:rsid w:val="00E05A5C"/>
    <w:rsid w:val="00E07EFD"/>
    <w:rsid w:val="00E100F5"/>
    <w:rsid w:val="00E12AFC"/>
    <w:rsid w:val="00E13588"/>
    <w:rsid w:val="00E25FD8"/>
    <w:rsid w:val="00E32224"/>
    <w:rsid w:val="00E352E0"/>
    <w:rsid w:val="00E36F66"/>
    <w:rsid w:val="00E500B8"/>
    <w:rsid w:val="00E55AB2"/>
    <w:rsid w:val="00E62060"/>
    <w:rsid w:val="00E70DDC"/>
    <w:rsid w:val="00E754DB"/>
    <w:rsid w:val="00E75EEB"/>
    <w:rsid w:val="00E761A3"/>
    <w:rsid w:val="00E77B48"/>
    <w:rsid w:val="00E83EC9"/>
    <w:rsid w:val="00E84FBB"/>
    <w:rsid w:val="00E863E2"/>
    <w:rsid w:val="00E866F8"/>
    <w:rsid w:val="00E90DC7"/>
    <w:rsid w:val="00E91799"/>
    <w:rsid w:val="00E97861"/>
    <w:rsid w:val="00EA174E"/>
    <w:rsid w:val="00EA34E3"/>
    <w:rsid w:val="00EB0EAD"/>
    <w:rsid w:val="00EB53DE"/>
    <w:rsid w:val="00EB7538"/>
    <w:rsid w:val="00EC23D0"/>
    <w:rsid w:val="00EC3D4D"/>
    <w:rsid w:val="00EC5748"/>
    <w:rsid w:val="00EC5FD8"/>
    <w:rsid w:val="00ED6FF1"/>
    <w:rsid w:val="00EE4398"/>
    <w:rsid w:val="00EE4C54"/>
    <w:rsid w:val="00EE6361"/>
    <w:rsid w:val="00EF4D20"/>
    <w:rsid w:val="00F008D7"/>
    <w:rsid w:val="00F02712"/>
    <w:rsid w:val="00F047F1"/>
    <w:rsid w:val="00F072A6"/>
    <w:rsid w:val="00F07F88"/>
    <w:rsid w:val="00F140D1"/>
    <w:rsid w:val="00F1410D"/>
    <w:rsid w:val="00F207A4"/>
    <w:rsid w:val="00F336F6"/>
    <w:rsid w:val="00F355AC"/>
    <w:rsid w:val="00F438DD"/>
    <w:rsid w:val="00F43A45"/>
    <w:rsid w:val="00F467F9"/>
    <w:rsid w:val="00F47335"/>
    <w:rsid w:val="00F5098F"/>
    <w:rsid w:val="00F52E23"/>
    <w:rsid w:val="00F55E5C"/>
    <w:rsid w:val="00F570A2"/>
    <w:rsid w:val="00F60D8A"/>
    <w:rsid w:val="00F67C77"/>
    <w:rsid w:val="00F71A5A"/>
    <w:rsid w:val="00F74578"/>
    <w:rsid w:val="00F769E0"/>
    <w:rsid w:val="00F862D7"/>
    <w:rsid w:val="00F86F82"/>
    <w:rsid w:val="00F90208"/>
    <w:rsid w:val="00F91E92"/>
    <w:rsid w:val="00F923CB"/>
    <w:rsid w:val="00F93EE1"/>
    <w:rsid w:val="00F95468"/>
    <w:rsid w:val="00F97D29"/>
    <w:rsid w:val="00F97FE0"/>
    <w:rsid w:val="00FA4ED0"/>
    <w:rsid w:val="00FA664C"/>
    <w:rsid w:val="00FB4448"/>
    <w:rsid w:val="00FB5F61"/>
    <w:rsid w:val="00FB6B64"/>
    <w:rsid w:val="00FC12E1"/>
    <w:rsid w:val="00FC6A19"/>
    <w:rsid w:val="00FC6BDE"/>
    <w:rsid w:val="00FD563A"/>
    <w:rsid w:val="00FD685D"/>
    <w:rsid w:val="00FE50A6"/>
    <w:rsid w:val="00FE729C"/>
    <w:rsid w:val="00FE7921"/>
    <w:rsid w:val="00FF112D"/>
    <w:rsid w:val="00FF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2BE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91E92"/>
    <w:rPr>
      <w:rFonts w:cs="Times New Roman"/>
      <w:i/>
      <w:iCs/>
    </w:rPr>
  </w:style>
  <w:style w:type="character" w:styleId="CommentReference">
    <w:name w:val="annotation reference"/>
    <w:semiHidden/>
    <w:rsid w:val="00FB6B64"/>
    <w:rPr>
      <w:sz w:val="16"/>
      <w:szCs w:val="16"/>
    </w:rPr>
  </w:style>
  <w:style w:type="paragraph" w:styleId="CommentText">
    <w:name w:val="annotation text"/>
    <w:basedOn w:val="Normal"/>
    <w:semiHidden/>
    <w:rsid w:val="00FB6B64"/>
    <w:rPr>
      <w:sz w:val="20"/>
      <w:szCs w:val="20"/>
    </w:rPr>
  </w:style>
  <w:style w:type="paragraph" w:styleId="CommentSubject">
    <w:name w:val="annotation subject"/>
    <w:basedOn w:val="CommentText"/>
    <w:next w:val="CommentText"/>
    <w:semiHidden/>
    <w:rsid w:val="00FB6B64"/>
    <w:rPr>
      <w:b/>
      <w:bCs/>
    </w:rPr>
  </w:style>
  <w:style w:type="paragraph" w:styleId="Header">
    <w:name w:val="header"/>
    <w:basedOn w:val="Normal"/>
    <w:link w:val="HeaderChar"/>
    <w:uiPriority w:val="99"/>
    <w:rsid w:val="008A1DEB"/>
    <w:pPr>
      <w:tabs>
        <w:tab w:val="center" w:pos="4320"/>
        <w:tab w:val="right" w:pos="8640"/>
      </w:tabs>
    </w:pPr>
    <w:rPr>
      <w:rFonts w:ascii="Arial" w:hAnsi="Arial"/>
      <w:szCs w:val="20"/>
    </w:rPr>
  </w:style>
  <w:style w:type="character" w:styleId="Strong">
    <w:name w:val="Strong"/>
    <w:qFormat/>
    <w:rsid w:val="00481DE0"/>
    <w:rPr>
      <w:rFonts w:cs="Times New Roman"/>
      <w:b/>
      <w:bCs/>
    </w:rPr>
  </w:style>
  <w:style w:type="character" w:styleId="Hyperlink">
    <w:name w:val="Hyperlink"/>
    <w:rsid w:val="006A4E57"/>
    <w:rPr>
      <w:color w:val="0000FF"/>
      <w:u w:val="single"/>
    </w:rPr>
  </w:style>
  <w:style w:type="paragraph" w:styleId="Revision">
    <w:name w:val="Revision"/>
    <w:hidden/>
    <w:uiPriority w:val="99"/>
    <w:semiHidden/>
    <w:rsid w:val="00E36F66"/>
    <w:rPr>
      <w:sz w:val="24"/>
      <w:szCs w:val="24"/>
    </w:rPr>
  </w:style>
  <w:style w:type="character" w:styleId="FollowedHyperlink">
    <w:name w:val="FollowedHyperlink"/>
    <w:rsid w:val="000771DE"/>
    <w:rPr>
      <w:color w:val="954F72"/>
      <w:u w:val="single"/>
    </w:rPr>
  </w:style>
  <w:style w:type="character" w:styleId="UnresolvedMention">
    <w:name w:val="Unresolved Mention"/>
    <w:uiPriority w:val="99"/>
    <w:semiHidden/>
    <w:unhideWhenUsed/>
    <w:rsid w:val="00A60329"/>
    <w:rPr>
      <w:color w:val="808080"/>
      <w:shd w:val="clear" w:color="auto" w:fill="E6E6E6"/>
    </w:rPr>
  </w:style>
  <w:style w:type="character" w:customStyle="1" w:styleId="BodyText2Char">
    <w:name w:val="Body Text 2 Char"/>
    <w:link w:val="BodyText2"/>
    <w:rsid w:val="00506A63"/>
    <w:rPr>
      <w:sz w:val="24"/>
    </w:rPr>
  </w:style>
  <w:style w:type="paragraph" w:styleId="Footer">
    <w:name w:val="footer"/>
    <w:basedOn w:val="Normal"/>
    <w:link w:val="FooterChar"/>
    <w:rsid w:val="00ED6FF1"/>
    <w:pPr>
      <w:tabs>
        <w:tab w:val="center" w:pos="4680"/>
        <w:tab w:val="right" w:pos="9360"/>
      </w:tabs>
    </w:pPr>
  </w:style>
  <w:style w:type="character" w:customStyle="1" w:styleId="FooterChar">
    <w:name w:val="Footer Char"/>
    <w:link w:val="Footer"/>
    <w:rsid w:val="00ED6FF1"/>
    <w:rPr>
      <w:sz w:val="24"/>
      <w:szCs w:val="24"/>
    </w:rPr>
  </w:style>
  <w:style w:type="character" w:customStyle="1" w:styleId="HeaderChar">
    <w:name w:val="Header Char"/>
    <w:link w:val="Header"/>
    <w:uiPriority w:val="99"/>
    <w:rsid w:val="00FB4448"/>
    <w:rPr>
      <w:rFonts w:ascii="Arial" w:hAnsi="Arial"/>
      <w:sz w:val="24"/>
    </w:rPr>
  </w:style>
  <w:style w:type="character" w:styleId="FootnoteReference">
    <w:name w:val="footnote reference"/>
    <w:rsid w:val="00091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0231">
      <w:bodyDiv w:val="1"/>
      <w:marLeft w:val="0"/>
      <w:marRight w:val="0"/>
      <w:marTop w:val="0"/>
      <w:marBottom w:val="0"/>
      <w:divBdr>
        <w:top w:val="none" w:sz="0" w:space="0" w:color="auto"/>
        <w:left w:val="none" w:sz="0" w:space="0" w:color="auto"/>
        <w:bottom w:val="none" w:sz="0" w:space="0" w:color="auto"/>
        <w:right w:val="none" w:sz="0" w:space="0" w:color="auto"/>
      </w:divBdr>
    </w:div>
    <w:div w:id="885532710">
      <w:bodyDiv w:val="1"/>
      <w:marLeft w:val="0"/>
      <w:marRight w:val="0"/>
      <w:marTop w:val="0"/>
      <w:marBottom w:val="0"/>
      <w:divBdr>
        <w:top w:val="none" w:sz="0" w:space="0" w:color="auto"/>
        <w:left w:val="none" w:sz="0" w:space="0" w:color="auto"/>
        <w:bottom w:val="none" w:sz="0" w:space="0" w:color="auto"/>
        <w:right w:val="none" w:sz="0" w:space="0" w:color="auto"/>
      </w:divBdr>
    </w:div>
    <w:div w:id="95907118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6014324">
      <w:bodyDiv w:val="1"/>
      <w:marLeft w:val="0"/>
      <w:marRight w:val="0"/>
      <w:marTop w:val="0"/>
      <w:marBottom w:val="0"/>
      <w:divBdr>
        <w:top w:val="none" w:sz="0" w:space="0" w:color="auto"/>
        <w:left w:val="none" w:sz="0" w:space="0" w:color="auto"/>
        <w:bottom w:val="none" w:sz="0" w:space="0" w:color="auto"/>
        <w:right w:val="none" w:sz="0" w:space="0" w:color="auto"/>
      </w:divBdr>
    </w:div>
    <w:div w:id="1409380572">
      <w:bodyDiv w:val="1"/>
      <w:marLeft w:val="0"/>
      <w:marRight w:val="0"/>
      <w:marTop w:val="0"/>
      <w:marBottom w:val="0"/>
      <w:divBdr>
        <w:top w:val="none" w:sz="0" w:space="0" w:color="auto"/>
        <w:left w:val="none" w:sz="0" w:space="0" w:color="auto"/>
        <w:bottom w:val="none" w:sz="0" w:space="0" w:color="auto"/>
        <w:right w:val="none" w:sz="0" w:space="0" w:color="auto"/>
      </w:divBdr>
    </w:div>
    <w:div w:id="1923877624">
      <w:bodyDiv w:val="1"/>
      <w:marLeft w:val="0"/>
      <w:marRight w:val="0"/>
      <w:marTop w:val="0"/>
      <w:marBottom w:val="0"/>
      <w:divBdr>
        <w:top w:val="none" w:sz="0" w:space="0" w:color="auto"/>
        <w:left w:val="none" w:sz="0" w:space="0" w:color="auto"/>
        <w:bottom w:val="none" w:sz="0" w:space="0" w:color="auto"/>
        <w:right w:val="none" w:sz="0" w:space="0" w:color="auto"/>
      </w:divBdr>
    </w:div>
    <w:div w:id="204409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HowtoMarketYourDevice/RegistrationandListing/default.htm" TargetMode="External"/><Relationship Id="rId3" Type="http://schemas.openxmlformats.org/officeDocument/2006/relationships/settings" Target="settings.xml"/><Relationship Id="rId7" Type="http://schemas.openxmlformats.org/officeDocument/2006/relationships/hyperlink" Target="https://www.fda.gov/medical-devices/how-study-and-market-your-device/device-registration-and-listing%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4128893</vt:i4>
      </vt:variant>
      <vt:variant>
        <vt:i4>0</vt:i4>
      </vt:variant>
      <vt:variant>
        <vt:i4>0</vt:i4>
      </vt:variant>
      <vt:variant>
        <vt:i4>5</vt:i4>
      </vt:variant>
      <vt:variant>
        <vt:lpwstr>https://www.fda.gov/MedicalDevices/DeviceRegulationandGuidance/HowtoMarketYourDevice/RegistrationandListing/default.htm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2022-06-29T00:12:00Z</dcterms:created>
  <dcterms:modified xsi:type="dcterms:W3CDTF">2022-06-29T00:57:00Z</dcterms:modified>
</cp:coreProperties>
</file>