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A336C1" w:rsidRDefault="001A7271" w14:paraId="5DD3C1E1" w14:textId="40310AC0">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1FC1B8EB" w14:textId="77777777">
      <w:pPr>
        <w:jc w:val="center"/>
        <w:rPr>
          <w:rFonts w:eastAsia="Calibri"/>
        </w:rPr>
      </w:pPr>
    </w:p>
    <w:p w:rsidRPr="00273F40" w:rsidR="00357C8A" w:rsidP="00357C8A" w:rsidRDefault="00610738" w14:paraId="65DFE397" w14:textId="77777777">
      <w:pPr>
        <w:jc w:val="center"/>
      </w:pPr>
      <w:r w:rsidRPr="00273F40">
        <w:t>Sanitary Transportation of Human and Animal Food</w:t>
      </w:r>
    </w:p>
    <w:p w:rsidRPr="00C34D11" w:rsidR="00AB2B74" w:rsidP="00357C8A" w:rsidRDefault="00AB2B74" w14:paraId="592AF7FD" w14:textId="77777777">
      <w:pPr>
        <w:jc w:val="center"/>
        <w:rPr>
          <w:rFonts w:eastAsia="Calibri"/>
        </w:rPr>
      </w:pPr>
    </w:p>
    <w:p w:rsidRPr="001A7271" w:rsidR="00357C8A" w:rsidP="00357C8A" w:rsidRDefault="00357C8A" w14:paraId="60788079" w14:textId="77777777">
      <w:pPr>
        <w:jc w:val="center"/>
        <w:rPr>
          <w:rFonts w:eastAsia="Calibri"/>
          <w:u w:val="single"/>
        </w:rPr>
      </w:pPr>
      <w:r w:rsidRPr="001A7271">
        <w:rPr>
          <w:rFonts w:eastAsia="Calibri"/>
          <w:u w:val="single"/>
        </w:rPr>
        <w:t>OMB Control No. 0910-</w:t>
      </w:r>
      <w:r w:rsidRPr="001A7271" w:rsidR="00610738">
        <w:rPr>
          <w:rFonts w:eastAsia="Calibri"/>
          <w:u w:val="single"/>
        </w:rPr>
        <w:t>0773</w:t>
      </w:r>
    </w:p>
    <w:p w:rsidR="00357C8A" w:rsidP="00357C8A" w:rsidRDefault="00357C8A" w14:paraId="09E57A73" w14:textId="77777777">
      <w:pPr>
        <w:jc w:val="center"/>
        <w:rPr>
          <w:rFonts w:eastAsia="Calibri"/>
        </w:rPr>
      </w:pPr>
    </w:p>
    <w:p w:rsidR="00357C8A" w:rsidP="00357C8A" w:rsidRDefault="00357C8A" w14:paraId="4397551C" w14:textId="77777777">
      <w:pPr>
        <w:jc w:val="center"/>
        <w:rPr>
          <w:rFonts w:eastAsia="Calibri"/>
        </w:rPr>
      </w:pPr>
      <w:r w:rsidRPr="00357C8A">
        <w:rPr>
          <w:rFonts w:eastAsia="Calibri"/>
        </w:rPr>
        <w:t>SUPPORTING STATEMENT</w:t>
      </w:r>
    </w:p>
    <w:p w:rsidR="009B4DF2" w:rsidP="00357C8A" w:rsidRDefault="009B4DF2" w14:paraId="1FA8EA04" w14:textId="77777777">
      <w:pPr>
        <w:jc w:val="center"/>
        <w:rPr>
          <w:rFonts w:eastAsia="Calibri"/>
        </w:rPr>
      </w:pPr>
    </w:p>
    <w:p w:rsidR="00357C8A" w:rsidP="000D79CC" w:rsidRDefault="00357C8A" w14:paraId="2E2662F0"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11AE4F9B" w14:textId="77777777">
      <w:pPr>
        <w:rPr>
          <w:rFonts w:eastAsia="Calibri"/>
        </w:rPr>
      </w:pPr>
    </w:p>
    <w:p w:rsidRPr="00357C8A" w:rsidR="00357C8A" w:rsidP="006705EA" w:rsidRDefault="00357C8A" w14:paraId="6730AC8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F532D0" w:rsidR="00F532D0" w:rsidP="00F532D0" w:rsidRDefault="00F532D0" w14:paraId="4F35975C" w14:textId="48F18006">
      <w:pPr>
        <w:rPr>
          <w:rFonts w:eastAsia="Calibri"/>
        </w:rPr>
      </w:pPr>
      <w:r w:rsidRPr="00F532D0">
        <w:rPr>
          <w:rFonts w:eastAsia="Calibri"/>
        </w:rPr>
        <w:t>This information collection supports</w:t>
      </w:r>
      <w:r>
        <w:rPr>
          <w:rFonts w:eastAsia="Calibri"/>
        </w:rPr>
        <w:t xml:space="preserve"> </w:t>
      </w:r>
      <w:r w:rsidRPr="00F532D0">
        <w:rPr>
          <w:rFonts w:eastAsia="Calibri"/>
        </w:rPr>
        <w:t>FDA regulations regarding the sanitary</w:t>
      </w:r>
      <w:r>
        <w:rPr>
          <w:rFonts w:eastAsia="Calibri"/>
        </w:rPr>
        <w:t xml:space="preserve"> </w:t>
      </w:r>
      <w:r w:rsidRPr="00F532D0">
        <w:rPr>
          <w:rFonts w:eastAsia="Calibri"/>
        </w:rPr>
        <w:t>transportation of human and animal</w:t>
      </w:r>
      <w:r>
        <w:rPr>
          <w:rFonts w:eastAsia="Calibri"/>
        </w:rPr>
        <w:t xml:space="preserve"> </w:t>
      </w:r>
      <w:r w:rsidRPr="00F532D0">
        <w:rPr>
          <w:rFonts w:eastAsia="Calibri"/>
        </w:rPr>
        <w:t>food.</w:t>
      </w:r>
      <w:r w:rsidR="006B1029">
        <w:rPr>
          <w:rFonts w:eastAsia="Calibri"/>
        </w:rPr>
        <w:t xml:space="preserve">  </w:t>
      </w:r>
      <w:r w:rsidR="00FA406D">
        <w:rPr>
          <w:rFonts w:eastAsia="Calibri"/>
        </w:rPr>
        <w:t>S</w:t>
      </w:r>
      <w:r w:rsidRPr="00343AA0" w:rsidR="00FA406D">
        <w:rPr>
          <w:rFonts w:eastAsia="Calibri"/>
        </w:rPr>
        <w:t>ection 402(i) of the FD&amp;C Act (21</w:t>
      </w:r>
      <w:r w:rsidR="00FA406D">
        <w:rPr>
          <w:rFonts w:eastAsia="Calibri"/>
        </w:rPr>
        <w:t xml:space="preserve"> </w:t>
      </w:r>
      <w:r w:rsidRPr="00343AA0" w:rsidR="00FA406D">
        <w:rPr>
          <w:rFonts w:eastAsia="Calibri"/>
        </w:rPr>
        <w:t>U.S.C. 342(i)),</w:t>
      </w:r>
      <w:r w:rsidR="00FD3736">
        <w:rPr>
          <w:rFonts w:eastAsia="Calibri"/>
        </w:rPr>
        <w:t xml:space="preserve"> establishes</w:t>
      </w:r>
      <w:r w:rsidR="00FA406D">
        <w:rPr>
          <w:rFonts w:eastAsia="Calibri"/>
        </w:rPr>
        <w:t xml:space="preserve"> </w:t>
      </w:r>
      <w:r w:rsidRPr="00343AA0" w:rsidR="00FA406D">
        <w:rPr>
          <w:rFonts w:eastAsia="Calibri"/>
        </w:rPr>
        <w:t>that food</w:t>
      </w:r>
      <w:r w:rsidR="00FA406D">
        <w:rPr>
          <w:rFonts w:eastAsia="Calibri"/>
        </w:rPr>
        <w:t xml:space="preserve"> </w:t>
      </w:r>
      <w:r w:rsidRPr="00343AA0" w:rsidR="00FA406D">
        <w:rPr>
          <w:rFonts w:eastAsia="Calibri"/>
        </w:rPr>
        <w:t>that is transported or offered for</w:t>
      </w:r>
      <w:r w:rsidR="00FA406D">
        <w:rPr>
          <w:rFonts w:eastAsia="Calibri"/>
        </w:rPr>
        <w:t xml:space="preserve"> </w:t>
      </w:r>
      <w:r w:rsidRPr="00343AA0" w:rsidR="00FA406D">
        <w:rPr>
          <w:rFonts w:eastAsia="Calibri"/>
        </w:rPr>
        <w:t>transport by a shipper, carrier by motor</w:t>
      </w:r>
      <w:r w:rsidR="00FA406D">
        <w:rPr>
          <w:rFonts w:eastAsia="Calibri"/>
        </w:rPr>
        <w:t xml:space="preserve"> </w:t>
      </w:r>
      <w:r w:rsidRPr="00343AA0" w:rsidR="00FA406D">
        <w:rPr>
          <w:rFonts w:eastAsia="Calibri"/>
        </w:rPr>
        <w:t>vehicle or rail vehicle, receiver, or any</w:t>
      </w:r>
      <w:r w:rsidR="00FA406D">
        <w:rPr>
          <w:rFonts w:eastAsia="Calibri"/>
        </w:rPr>
        <w:t xml:space="preserve"> </w:t>
      </w:r>
      <w:r w:rsidRPr="00343AA0" w:rsidR="00FA406D">
        <w:rPr>
          <w:rFonts w:eastAsia="Calibri"/>
        </w:rPr>
        <w:t>other person engaged in the</w:t>
      </w:r>
      <w:r w:rsidR="00FA406D">
        <w:rPr>
          <w:rFonts w:eastAsia="Calibri"/>
        </w:rPr>
        <w:t xml:space="preserve"> </w:t>
      </w:r>
      <w:r w:rsidRPr="00343AA0" w:rsidR="00FA406D">
        <w:rPr>
          <w:rFonts w:eastAsia="Calibri"/>
        </w:rPr>
        <w:t>transportation of food under conditions</w:t>
      </w:r>
      <w:r w:rsidR="00FA406D">
        <w:rPr>
          <w:rFonts w:eastAsia="Calibri"/>
        </w:rPr>
        <w:t xml:space="preserve"> </w:t>
      </w:r>
      <w:r w:rsidRPr="00343AA0" w:rsidR="00FA406D">
        <w:rPr>
          <w:rFonts w:eastAsia="Calibri"/>
        </w:rPr>
        <w:t>that are not in compliance with the</w:t>
      </w:r>
      <w:r w:rsidR="00FA406D">
        <w:rPr>
          <w:rFonts w:eastAsia="Calibri"/>
        </w:rPr>
        <w:t xml:space="preserve"> </w:t>
      </w:r>
      <w:r w:rsidRPr="00343AA0" w:rsidR="00FA406D">
        <w:rPr>
          <w:rFonts w:eastAsia="Calibri"/>
        </w:rPr>
        <w:t>regulations issued under section 416 is</w:t>
      </w:r>
      <w:r w:rsidR="00FA406D">
        <w:rPr>
          <w:rFonts w:eastAsia="Calibri"/>
        </w:rPr>
        <w:t xml:space="preserve"> </w:t>
      </w:r>
      <w:r w:rsidRPr="00343AA0" w:rsidR="00FA406D">
        <w:rPr>
          <w:rFonts w:eastAsia="Calibri"/>
        </w:rPr>
        <w:t>adulterated</w:t>
      </w:r>
      <w:r w:rsidR="00FA406D">
        <w:rPr>
          <w:rFonts w:eastAsia="Calibri"/>
        </w:rPr>
        <w:t xml:space="preserve">.  </w:t>
      </w:r>
      <w:r w:rsidR="00EB7BF4">
        <w:rPr>
          <w:rFonts w:eastAsia="Calibri"/>
        </w:rPr>
        <w:t xml:space="preserve">Section 416 (21 U.S.C. 360e) </w:t>
      </w:r>
      <w:r w:rsidR="00806043">
        <w:rPr>
          <w:rFonts w:eastAsia="Calibri"/>
        </w:rPr>
        <w:t xml:space="preserve">of </w:t>
      </w:r>
      <w:r w:rsidRPr="00F532D0">
        <w:rPr>
          <w:rFonts w:eastAsia="Calibri"/>
        </w:rPr>
        <w:t>the Federal</w:t>
      </w:r>
      <w:r>
        <w:rPr>
          <w:rFonts w:eastAsia="Calibri"/>
        </w:rPr>
        <w:t xml:space="preserve"> </w:t>
      </w:r>
      <w:r w:rsidRPr="00F532D0">
        <w:rPr>
          <w:rFonts w:eastAsia="Calibri"/>
        </w:rPr>
        <w:t>Food, Drug, and Cosmetic Act (FD&amp;C</w:t>
      </w:r>
      <w:r>
        <w:rPr>
          <w:rFonts w:eastAsia="Calibri"/>
        </w:rPr>
        <w:t xml:space="preserve"> </w:t>
      </w:r>
      <w:r w:rsidRPr="00F532D0">
        <w:rPr>
          <w:rFonts w:eastAsia="Calibri"/>
        </w:rPr>
        <w:t>Act), require</w:t>
      </w:r>
      <w:r w:rsidR="00806043">
        <w:rPr>
          <w:rFonts w:eastAsia="Calibri"/>
        </w:rPr>
        <w:t>s</w:t>
      </w:r>
      <w:r w:rsidRPr="00F532D0">
        <w:rPr>
          <w:rFonts w:eastAsia="Calibri"/>
        </w:rPr>
        <w:t xml:space="preserve"> shippers, carriers</w:t>
      </w:r>
      <w:r>
        <w:rPr>
          <w:rFonts w:eastAsia="Calibri"/>
        </w:rPr>
        <w:t xml:space="preserve"> </w:t>
      </w:r>
      <w:r w:rsidRPr="00F532D0">
        <w:rPr>
          <w:rFonts w:eastAsia="Calibri"/>
        </w:rPr>
        <w:t>by motor vehicle or rail vehicle,</w:t>
      </w:r>
      <w:r>
        <w:rPr>
          <w:rFonts w:eastAsia="Calibri"/>
        </w:rPr>
        <w:t xml:space="preserve"> </w:t>
      </w:r>
      <w:r w:rsidRPr="00F532D0">
        <w:rPr>
          <w:rFonts w:eastAsia="Calibri"/>
        </w:rPr>
        <w:t>receivers, and other persons engaged in</w:t>
      </w:r>
      <w:r>
        <w:rPr>
          <w:rFonts w:eastAsia="Calibri"/>
        </w:rPr>
        <w:t xml:space="preserve"> </w:t>
      </w:r>
      <w:r w:rsidRPr="00F532D0">
        <w:rPr>
          <w:rFonts w:eastAsia="Calibri"/>
        </w:rPr>
        <w:t>the transportation of food to use</w:t>
      </w:r>
      <w:r>
        <w:rPr>
          <w:rFonts w:eastAsia="Calibri"/>
        </w:rPr>
        <w:t xml:space="preserve"> </w:t>
      </w:r>
      <w:r w:rsidRPr="00F532D0">
        <w:rPr>
          <w:rFonts w:eastAsia="Calibri"/>
        </w:rPr>
        <w:t>prescribed sanitary transportation</w:t>
      </w:r>
      <w:r>
        <w:rPr>
          <w:rFonts w:eastAsia="Calibri"/>
        </w:rPr>
        <w:t xml:space="preserve"> </w:t>
      </w:r>
      <w:r w:rsidRPr="00F532D0">
        <w:rPr>
          <w:rFonts w:eastAsia="Calibri"/>
        </w:rPr>
        <w:t>practices to ensure that food is not</w:t>
      </w:r>
      <w:r>
        <w:rPr>
          <w:rFonts w:eastAsia="Calibri"/>
        </w:rPr>
        <w:t xml:space="preserve"> </w:t>
      </w:r>
      <w:r w:rsidRPr="00F532D0">
        <w:rPr>
          <w:rFonts w:eastAsia="Calibri"/>
        </w:rPr>
        <w:t>transported under conditions that may render the food adulterated.  Section 416 also directs that we prescribe</w:t>
      </w:r>
      <w:r w:rsidRPr="00343AA0">
        <w:rPr>
          <w:rFonts w:eastAsia="Calibri"/>
        </w:rPr>
        <w:t xml:space="preserve"> appropriate human and animal food transportation practice requirements relating to: (1) Sanitation; (2) packaging, isolation, and other protective measures;</w:t>
      </w:r>
      <w:r w:rsidRPr="00A343CC">
        <w:t xml:space="preserve"> (3) limitations on the use of vehicles; (4) information to be disclosed to carriers</w:t>
      </w:r>
      <w:r>
        <w:t xml:space="preserve"> </w:t>
      </w:r>
      <w:r w:rsidRPr="00A343CC">
        <w:t>and to manufacturers; and (5)</w:t>
      </w:r>
      <w:r>
        <w:t xml:space="preserve"> </w:t>
      </w:r>
      <w:r w:rsidRPr="00A343CC">
        <w:t>recordkeeping.</w:t>
      </w:r>
    </w:p>
    <w:p w:rsidRPr="00F532D0" w:rsidR="00F532D0" w:rsidP="00610738" w:rsidRDefault="00F532D0" w14:paraId="55FC86BA" w14:textId="77777777">
      <w:pPr>
        <w:rPr>
          <w:rFonts w:eastAsia="Calibri"/>
        </w:rPr>
      </w:pPr>
    </w:p>
    <w:p w:rsidR="00610738" w:rsidP="00610738" w:rsidRDefault="00A61E34" w14:paraId="70A871D2" w14:textId="7D1D37EB">
      <w:pPr>
        <w:rPr>
          <w:rFonts w:eastAsia="Calibri"/>
        </w:rPr>
      </w:pPr>
      <w:r>
        <w:rPr>
          <w:rFonts w:eastAsia="Calibri"/>
        </w:rPr>
        <w:t xml:space="preserve">Additionally, section </w:t>
      </w:r>
      <w:r w:rsidRPr="00343AA0" w:rsidR="00343AA0">
        <w:rPr>
          <w:rFonts w:eastAsia="Calibri"/>
        </w:rPr>
        <w:t>703 of the FD&amp;C Act (21 U.S.C. 373) by</w:t>
      </w:r>
      <w:r w:rsidR="00343AA0">
        <w:rPr>
          <w:rFonts w:eastAsia="Calibri"/>
        </w:rPr>
        <w:t xml:space="preserve"> </w:t>
      </w:r>
      <w:r w:rsidR="00B45FCB">
        <w:rPr>
          <w:rFonts w:eastAsia="Calibri"/>
        </w:rPr>
        <w:t xml:space="preserve">provides </w:t>
      </w:r>
      <w:r w:rsidRPr="00343AA0" w:rsidR="00343AA0">
        <w:rPr>
          <w:rFonts w:eastAsia="Calibri"/>
        </w:rPr>
        <w:t>that a shipper, carrier by</w:t>
      </w:r>
      <w:r w:rsidR="00343AA0">
        <w:rPr>
          <w:rFonts w:eastAsia="Calibri"/>
        </w:rPr>
        <w:t xml:space="preserve"> </w:t>
      </w:r>
      <w:r w:rsidRPr="00343AA0" w:rsidR="00343AA0">
        <w:rPr>
          <w:rFonts w:eastAsia="Calibri"/>
        </w:rPr>
        <w:t>motor vehicle or rail vehicle, receiver,</w:t>
      </w:r>
      <w:r w:rsidR="00343AA0">
        <w:rPr>
          <w:rFonts w:eastAsia="Calibri"/>
        </w:rPr>
        <w:t xml:space="preserve"> </w:t>
      </w:r>
      <w:r w:rsidRPr="00343AA0" w:rsidR="00343AA0">
        <w:rPr>
          <w:rFonts w:eastAsia="Calibri"/>
        </w:rPr>
        <w:t>or other person subject to section 416</w:t>
      </w:r>
      <w:r w:rsidR="00343AA0">
        <w:rPr>
          <w:rFonts w:eastAsia="Calibri"/>
        </w:rPr>
        <w:t xml:space="preserve"> </w:t>
      </w:r>
      <w:r w:rsidRPr="00343AA0" w:rsidR="00343AA0">
        <w:rPr>
          <w:rFonts w:eastAsia="Calibri"/>
        </w:rPr>
        <w:t>shall, on request of an officer or</w:t>
      </w:r>
      <w:r w:rsidR="00343AA0">
        <w:rPr>
          <w:rFonts w:eastAsia="Calibri"/>
        </w:rPr>
        <w:t xml:space="preserve"> </w:t>
      </w:r>
      <w:r w:rsidRPr="00343AA0" w:rsidR="00343AA0">
        <w:rPr>
          <w:rFonts w:eastAsia="Calibri"/>
        </w:rPr>
        <w:t>employee designated by FDA, permit</w:t>
      </w:r>
      <w:r w:rsidR="00343AA0">
        <w:rPr>
          <w:rFonts w:eastAsia="Calibri"/>
        </w:rPr>
        <w:t xml:space="preserve"> </w:t>
      </w:r>
      <w:r w:rsidRPr="00343AA0" w:rsidR="00343AA0">
        <w:rPr>
          <w:rFonts w:eastAsia="Calibri"/>
        </w:rPr>
        <w:t>the officer or employee, at reasonable</w:t>
      </w:r>
      <w:r w:rsidR="00343AA0">
        <w:rPr>
          <w:rFonts w:eastAsia="Calibri"/>
        </w:rPr>
        <w:t xml:space="preserve"> </w:t>
      </w:r>
      <w:r w:rsidRPr="00343AA0" w:rsidR="00343AA0">
        <w:rPr>
          <w:rFonts w:eastAsia="Calibri"/>
        </w:rPr>
        <w:t>times, to have access to and to copy all</w:t>
      </w:r>
      <w:r w:rsidR="00A343CC">
        <w:rPr>
          <w:rFonts w:eastAsia="Calibri"/>
        </w:rPr>
        <w:t xml:space="preserve"> </w:t>
      </w:r>
      <w:r w:rsidRPr="00343AA0" w:rsidR="00343AA0">
        <w:rPr>
          <w:rFonts w:eastAsia="Calibri"/>
        </w:rPr>
        <w:t>records that are required to be kept</w:t>
      </w:r>
      <w:r w:rsidR="00A343CC">
        <w:rPr>
          <w:rFonts w:eastAsia="Calibri"/>
        </w:rPr>
        <w:t xml:space="preserve"> </w:t>
      </w:r>
      <w:r w:rsidRPr="00343AA0" w:rsidR="00343AA0">
        <w:rPr>
          <w:rFonts w:eastAsia="Calibri"/>
        </w:rPr>
        <w:t>under the regulations issued under</w:t>
      </w:r>
      <w:r w:rsidR="00A343CC">
        <w:rPr>
          <w:rFonts w:eastAsia="Calibri"/>
        </w:rPr>
        <w:t xml:space="preserve"> </w:t>
      </w:r>
      <w:r w:rsidRPr="00343AA0" w:rsidR="00343AA0">
        <w:rPr>
          <w:rFonts w:eastAsia="Calibri"/>
        </w:rPr>
        <w:t>section 416.</w:t>
      </w:r>
    </w:p>
    <w:p w:rsidRPr="00610738" w:rsidR="00A343CC" w:rsidP="00610738" w:rsidRDefault="00A343CC" w14:paraId="0923692C" w14:textId="77777777">
      <w:pPr>
        <w:rPr>
          <w:rFonts w:eastAsia="Calibri"/>
        </w:rPr>
      </w:pPr>
    </w:p>
    <w:p w:rsidR="00E87472" w:rsidP="00A343CC" w:rsidRDefault="00A343CC" w14:paraId="2E867568" w14:textId="77777777">
      <w:pPr>
        <w:rPr>
          <w:rFonts w:eastAsia="Calibri"/>
        </w:rPr>
      </w:pPr>
      <w:r w:rsidRPr="00A343CC">
        <w:rPr>
          <w:rFonts w:eastAsia="Calibri"/>
        </w:rPr>
        <w:t>Accordingly, we issued regulations in</w:t>
      </w:r>
      <w:r>
        <w:rPr>
          <w:rFonts w:eastAsia="Calibri"/>
        </w:rPr>
        <w:t xml:space="preserve"> </w:t>
      </w:r>
      <w:r w:rsidRPr="00A343CC">
        <w:rPr>
          <w:rFonts w:eastAsia="Calibri"/>
        </w:rPr>
        <w:t>21 CFR part 1, subpart O (21 CFR 1.900</w:t>
      </w:r>
      <w:r>
        <w:rPr>
          <w:rFonts w:eastAsia="Calibri"/>
        </w:rPr>
        <w:t xml:space="preserve"> </w:t>
      </w:r>
      <w:r w:rsidRPr="00A343CC">
        <w:rPr>
          <w:rFonts w:eastAsia="Calibri"/>
        </w:rPr>
        <w:t>through 1.934) that establish</w:t>
      </w:r>
      <w:r>
        <w:rPr>
          <w:rFonts w:eastAsia="Calibri"/>
        </w:rPr>
        <w:t xml:space="preserve"> </w:t>
      </w:r>
      <w:r w:rsidRPr="00A343CC">
        <w:rPr>
          <w:rFonts w:eastAsia="Calibri"/>
        </w:rPr>
        <w:t>requirements for the sanitary</w:t>
      </w:r>
      <w:r>
        <w:rPr>
          <w:rFonts w:eastAsia="Calibri"/>
        </w:rPr>
        <w:t xml:space="preserve"> </w:t>
      </w:r>
      <w:r w:rsidRPr="00A343CC">
        <w:rPr>
          <w:rFonts w:eastAsia="Calibri"/>
        </w:rPr>
        <w:t>transportation of human and animal</w:t>
      </w:r>
      <w:r>
        <w:rPr>
          <w:rFonts w:eastAsia="Calibri"/>
        </w:rPr>
        <w:t xml:space="preserve"> </w:t>
      </w:r>
      <w:r w:rsidRPr="00A343CC">
        <w:rPr>
          <w:rFonts w:eastAsia="Calibri"/>
        </w:rPr>
        <w:t>food, as well as prescribe procedures for</w:t>
      </w:r>
      <w:r>
        <w:rPr>
          <w:rFonts w:eastAsia="Calibri"/>
        </w:rPr>
        <w:t xml:space="preserve"> </w:t>
      </w:r>
      <w:r w:rsidRPr="00A343CC">
        <w:rPr>
          <w:rFonts w:eastAsia="Calibri"/>
        </w:rPr>
        <w:t>respondents who wish to request a</w:t>
      </w:r>
      <w:r>
        <w:rPr>
          <w:rFonts w:eastAsia="Calibri"/>
        </w:rPr>
        <w:t xml:space="preserve"> </w:t>
      </w:r>
      <w:r w:rsidRPr="00A343CC">
        <w:rPr>
          <w:rFonts w:eastAsia="Calibri"/>
        </w:rPr>
        <w:t xml:space="preserve">waiver for any requirement. </w:t>
      </w:r>
      <w:r>
        <w:rPr>
          <w:rFonts w:eastAsia="Calibri"/>
        </w:rPr>
        <w:t xml:space="preserve"> </w:t>
      </w:r>
      <w:r w:rsidRPr="00A343CC">
        <w:rPr>
          <w:rFonts w:eastAsia="Calibri"/>
        </w:rPr>
        <w:t>For</w:t>
      </w:r>
      <w:r>
        <w:rPr>
          <w:rFonts w:eastAsia="Calibri"/>
        </w:rPr>
        <w:t xml:space="preserve"> </w:t>
      </w:r>
      <w:r w:rsidRPr="00A343CC">
        <w:rPr>
          <w:rFonts w:eastAsia="Calibri"/>
        </w:rPr>
        <w:t>additional information regarding</w:t>
      </w:r>
      <w:r>
        <w:rPr>
          <w:rFonts w:eastAsia="Calibri"/>
        </w:rPr>
        <w:t xml:space="preserve"> </w:t>
      </w:r>
      <w:r w:rsidRPr="00A343CC">
        <w:rPr>
          <w:rFonts w:eastAsia="Calibri"/>
        </w:rPr>
        <w:t xml:space="preserve">Agency implementation of the </w:t>
      </w:r>
      <w:r w:rsidR="00854A39">
        <w:rPr>
          <w:rFonts w:eastAsia="Calibri"/>
        </w:rPr>
        <w:t xml:space="preserve">2005 </w:t>
      </w:r>
      <w:r w:rsidRPr="00A343CC">
        <w:rPr>
          <w:rFonts w:eastAsia="Calibri"/>
        </w:rPr>
        <w:t>SFTA,</w:t>
      </w:r>
      <w:r>
        <w:rPr>
          <w:rFonts w:eastAsia="Calibri"/>
        </w:rPr>
        <w:t xml:space="preserve"> </w:t>
      </w:r>
      <w:r w:rsidRPr="00A343CC">
        <w:rPr>
          <w:rFonts w:eastAsia="Calibri"/>
        </w:rPr>
        <w:t xml:space="preserve">visit our website at </w:t>
      </w:r>
      <w:hyperlink w:history="1" r:id="rId8">
        <w:r w:rsidRPr="00615A15" w:rsidR="00854A39">
          <w:rPr>
            <w:rStyle w:val="Hyperlink"/>
            <w:rFonts w:eastAsia="Calibri"/>
          </w:rPr>
          <w:t>https://www.fda.gov/</w:t>
        </w:r>
        <w:r w:rsidRPr="00615A15" w:rsidR="00854A39">
          <w:rPr>
            <w:rStyle w:val="Hyperlink"/>
            <w:rFonts w:eastAsia="Calibri"/>
          </w:rPr>
          <w:t>f</w:t>
        </w:r>
        <w:r w:rsidRPr="00615A15" w:rsidR="00854A39">
          <w:rPr>
            <w:rStyle w:val="Hyperlink"/>
            <w:rFonts w:eastAsia="Calibri"/>
          </w:rPr>
          <w:t>ood/guidance-documents-regulatory-information-topic-food-and-dietary-supplements/sanitation-transportation-guidance-documents-regulatory-information</w:t>
        </w:r>
      </w:hyperlink>
      <w:r w:rsidRPr="00A343CC">
        <w:rPr>
          <w:rFonts w:eastAsia="Calibri"/>
        </w:rPr>
        <w:t>.</w:t>
      </w:r>
      <w:r w:rsidRPr="00610738" w:rsidR="00610738">
        <w:rPr>
          <w:rFonts w:eastAsia="Calibri"/>
        </w:rPr>
        <w:t xml:space="preserve"> </w:t>
      </w:r>
      <w:r w:rsidR="008E2E11">
        <w:rPr>
          <w:rFonts w:eastAsia="Calibri"/>
        </w:rPr>
        <w:t xml:space="preserve"> </w:t>
      </w:r>
    </w:p>
    <w:p w:rsidR="00E87472" w:rsidP="00A343CC" w:rsidRDefault="00E87472" w14:paraId="7752E800" w14:textId="77777777">
      <w:pPr>
        <w:rPr>
          <w:rFonts w:eastAsia="Calibri"/>
        </w:rPr>
      </w:pPr>
    </w:p>
    <w:p w:rsidR="00610738" w:rsidP="00A343CC" w:rsidRDefault="00610738" w14:paraId="429B444E" w14:textId="77777777">
      <w:pPr>
        <w:rPr>
          <w:rFonts w:eastAsia="Calibri"/>
        </w:rPr>
      </w:pPr>
      <w:r w:rsidRPr="00610738">
        <w:rPr>
          <w:rFonts w:eastAsia="Calibri"/>
        </w:rPr>
        <w:t>We therefore request extension of OMB approval for the information collection</w:t>
      </w:r>
      <w:r w:rsidR="008E2E11">
        <w:rPr>
          <w:rFonts w:eastAsia="Calibri"/>
        </w:rPr>
        <w:t xml:space="preserve"> </w:t>
      </w:r>
      <w:r w:rsidRPr="00610738">
        <w:rPr>
          <w:rFonts w:eastAsia="Calibri"/>
        </w:rPr>
        <w:t>provisions covered in the applicable regulations and discussed in this supporting statement.</w:t>
      </w:r>
    </w:p>
    <w:p w:rsidRPr="006B2097" w:rsidR="00357C8A" w:rsidP="0022425B" w:rsidRDefault="00357C8A" w14:paraId="59984B5C" w14:textId="77777777">
      <w:pPr>
        <w:spacing w:after="200"/>
        <w:rPr>
          <w:color w:val="000000"/>
        </w:rPr>
      </w:pPr>
    </w:p>
    <w:p w:rsidRPr="00357C8A" w:rsidR="00357C8A" w:rsidP="006705EA" w:rsidRDefault="00357C8A" w14:paraId="428FFF4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273F40" w:rsidR="00610738" w:rsidP="00610738" w:rsidRDefault="00610738" w14:paraId="294063F7" w14:textId="77777777">
      <w:pPr>
        <w:autoSpaceDE w:val="0"/>
        <w:autoSpaceDN w:val="0"/>
        <w:adjustRightInd w:val="0"/>
      </w:pPr>
      <w:r w:rsidRPr="00273F40">
        <w:t>The regulations and supporting information collection are intended to ensure that transportation</w:t>
      </w:r>
      <w:r w:rsidRPr="00273F40" w:rsidR="008E2E11">
        <w:t xml:space="preserve"> </w:t>
      </w:r>
      <w:r w:rsidRPr="00273F40">
        <w:t>practices do not create food safety risks.</w:t>
      </w:r>
      <w:r w:rsidRPr="00273F40" w:rsidR="008E2E11">
        <w:t xml:space="preserve"> </w:t>
      </w:r>
      <w:r w:rsidRPr="00273F40">
        <w:t xml:space="preserve"> Practices that create such risk include failure to</w:t>
      </w:r>
      <w:r w:rsidRPr="00273F40" w:rsidR="008E2E11">
        <w:t xml:space="preserve"> </w:t>
      </w:r>
      <w:r w:rsidRPr="00273F40">
        <w:t>properly refrigerate food, inadequate cleaning of vehicles between loads, and failure to properly</w:t>
      </w:r>
      <w:r w:rsidRPr="00273F40" w:rsidR="008E2E11">
        <w:t xml:space="preserve"> </w:t>
      </w:r>
      <w:r w:rsidRPr="00273F40">
        <w:t xml:space="preserve">protect </w:t>
      </w:r>
      <w:r w:rsidRPr="00273F40">
        <w:lastRenderedPageBreak/>
        <w:t xml:space="preserve">food during transportation. </w:t>
      </w:r>
      <w:r w:rsidRPr="00273F40" w:rsidR="008E2E11">
        <w:t xml:space="preserve"> </w:t>
      </w:r>
      <w:r w:rsidRPr="00273F40">
        <w:t>This builds on current safe food transport practices and is</w:t>
      </w:r>
      <w:r w:rsidRPr="00273F40" w:rsidR="008E2E11">
        <w:t xml:space="preserve"> </w:t>
      </w:r>
      <w:r w:rsidRPr="00273F40">
        <w:t>focused on ensuring that persons engaged in the transportation of food that is at the greatest risk</w:t>
      </w:r>
      <w:r w:rsidRPr="00273F40" w:rsidR="008E2E11">
        <w:t xml:space="preserve"> </w:t>
      </w:r>
      <w:r w:rsidRPr="00273F40">
        <w:t>for contamination during transportation follow appropriate sanitary transportation practices.</w:t>
      </w:r>
    </w:p>
    <w:p w:rsidRPr="00C34D11" w:rsidR="00610738" w:rsidP="00610738" w:rsidRDefault="00610738" w14:paraId="2647BE2B" w14:textId="77777777">
      <w:pPr>
        <w:autoSpaceDE w:val="0"/>
        <w:autoSpaceDN w:val="0"/>
        <w:adjustRightInd w:val="0"/>
        <w:rPr>
          <w:i/>
          <w:iCs/>
        </w:rPr>
      </w:pPr>
    </w:p>
    <w:p w:rsidRPr="00273F40" w:rsidR="00357C8A" w:rsidP="00481B52" w:rsidRDefault="00610738" w14:paraId="29573D62" w14:textId="77777777">
      <w:pPr>
        <w:autoSpaceDE w:val="0"/>
        <w:autoSpaceDN w:val="0"/>
        <w:adjustRightInd w:val="0"/>
      </w:pPr>
      <w:r w:rsidRPr="00C34D11">
        <w:rPr>
          <w:i/>
          <w:iCs/>
        </w:rPr>
        <w:t>Description of Respondents</w:t>
      </w:r>
      <w:r w:rsidRPr="00273F40">
        <w:t xml:space="preserve">: </w:t>
      </w:r>
      <w:r w:rsidRPr="00273F40" w:rsidR="00164BFF">
        <w:t xml:space="preserve"> </w:t>
      </w:r>
      <w:r w:rsidRPr="00273F40">
        <w:t>Respondents to the information collection are domestic shippers and carriers</w:t>
      </w:r>
      <w:r w:rsidR="00786D5C">
        <w:t>, and in certain circumstances</w:t>
      </w:r>
      <w:r w:rsidR="001E7462">
        <w:t>,</w:t>
      </w:r>
      <w:r w:rsidR="00786D5C">
        <w:t xml:space="preserve"> foreign shippers</w:t>
      </w:r>
      <w:r w:rsidRPr="00273F40">
        <w:t xml:space="preserve"> of human and animal food</w:t>
      </w:r>
      <w:r w:rsidR="00786D5C">
        <w:t xml:space="preserve">. </w:t>
      </w:r>
      <w:r w:rsidR="00A166CB">
        <w:t xml:space="preserve"> </w:t>
      </w:r>
      <w:r w:rsidR="00786D5C">
        <w:t xml:space="preserve">There are exceptions including </w:t>
      </w:r>
      <w:r w:rsidR="00A166CB">
        <w:t xml:space="preserve">for </w:t>
      </w:r>
      <w:r w:rsidRPr="00273F40" w:rsidR="00A166CB">
        <w:t>food</w:t>
      </w:r>
      <w:r w:rsidR="00374A6B">
        <w:t xml:space="preserve"> that is completely enclosed and does not require temperature controls for safety</w:t>
      </w:r>
      <w:r w:rsidRPr="00273F40">
        <w:t xml:space="preserve">, live food animals </w:t>
      </w:r>
      <w:r w:rsidR="00786D5C">
        <w:t>(</w:t>
      </w:r>
      <w:r w:rsidRPr="00823443" w:rsidR="00823443">
        <w:t>except molluscan shellfish</w:t>
      </w:r>
      <w:r w:rsidR="00786D5C">
        <w:t>)</w:t>
      </w:r>
      <w:r w:rsidRPr="00823443" w:rsidR="00823443">
        <w:t xml:space="preserve"> </w:t>
      </w:r>
      <w:r w:rsidRPr="00273F40">
        <w:t>and raw agricultural commodities (RACs) when RACs are transported</w:t>
      </w:r>
      <w:r w:rsidRPr="00273F40" w:rsidR="008E2E11">
        <w:t xml:space="preserve"> </w:t>
      </w:r>
      <w:r w:rsidRPr="00273F40">
        <w:t xml:space="preserve">by </w:t>
      </w:r>
      <w:r w:rsidR="00374A6B">
        <w:t xml:space="preserve">a </w:t>
      </w:r>
      <w:r w:rsidRPr="00273F40">
        <w:t>farm)</w:t>
      </w:r>
      <w:r w:rsidR="00786D5C">
        <w:t xml:space="preserve">, </w:t>
      </w:r>
      <w:r w:rsidRPr="00273F40">
        <w:t>those engaged in food transportation operations that have less than $500,000</w:t>
      </w:r>
      <w:r w:rsidRPr="00273F40" w:rsidR="008E2E11">
        <w:t xml:space="preserve"> </w:t>
      </w:r>
      <w:r w:rsidRPr="00273F40">
        <w:t xml:space="preserve">in total annual sales. </w:t>
      </w:r>
      <w:r w:rsidRPr="00273F40" w:rsidR="00AD58F4">
        <w:t xml:space="preserve"> </w:t>
      </w:r>
      <w:r w:rsidRPr="00273F40">
        <w:t>Respondents are from the private sector (for</w:t>
      </w:r>
      <w:r w:rsidRPr="00273F40" w:rsidR="00164BFF">
        <w:t>-</w:t>
      </w:r>
      <w:r w:rsidRPr="00273F40">
        <w:t>profit businesses).</w:t>
      </w:r>
    </w:p>
    <w:p w:rsidRPr="006B2097" w:rsidR="00AD58F4" w:rsidP="00AD58F4" w:rsidRDefault="00AD58F4" w14:paraId="12DA9034" w14:textId="77777777">
      <w:pPr>
        <w:autoSpaceDE w:val="0"/>
        <w:autoSpaceDN w:val="0"/>
        <w:adjustRightInd w:val="0"/>
        <w:rPr>
          <w:color w:val="000000"/>
        </w:rPr>
      </w:pPr>
    </w:p>
    <w:p w:rsidRPr="00357C8A" w:rsidR="00357C8A" w:rsidP="006705EA" w:rsidRDefault="00357C8A" w14:paraId="65DAC5D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273F40" w:rsidR="00357C8A" w:rsidP="00481B52" w:rsidRDefault="00610738" w14:paraId="14E40C91" w14:textId="77777777">
      <w:pPr>
        <w:autoSpaceDE w:val="0"/>
        <w:autoSpaceDN w:val="0"/>
        <w:adjustRightInd w:val="0"/>
      </w:pPr>
      <w:r w:rsidRPr="00273F40">
        <w:t>The information collection requirements solicit what we believe is the minimal information</w:t>
      </w:r>
      <w:r w:rsidRPr="00273F40" w:rsidR="00AD58F4">
        <w:t xml:space="preserve"> </w:t>
      </w:r>
      <w:r w:rsidRPr="00273F40">
        <w:t>necessary to ensure safety of transported food.</w:t>
      </w:r>
      <w:r w:rsidRPr="00273F40" w:rsidR="00AD58F4">
        <w:t xml:space="preserve"> </w:t>
      </w:r>
      <w:r w:rsidRPr="00273F40">
        <w:t xml:space="preserve"> We believe that 100% of respondents use</w:t>
      </w:r>
      <w:r w:rsidRPr="00273F40" w:rsidR="00AD58F4">
        <w:t xml:space="preserve"> </w:t>
      </w:r>
      <w:r w:rsidRPr="00273F40">
        <w:t>electronic means to fulfill the information collection requirements.</w:t>
      </w:r>
      <w:r w:rsidRPr="00273F40" w:rsidR="00AD58F4">
        <w:t xml:space="preserve"> </w:t>
      </w:r>
      <w:r w:rsidRPr="00273F40">
        <w:t xml:space="preserve"> Additionally, firms seeking</w:t>
      </w:r>
      <w:r w:rsidRPr="00273F40" w:rsidR="00AD58F4">
        <w:t xml:space="preserve"> </w:t>
      </w:r>
      <w:r w:rsidRPr="00273F40">
        <w:t>a waiver under 21 CFR 10.30 may submit them electronically.</w:t>
      </w:r>
    </w:p>
    <w:p w:rsidRPr="008E2E11" w:rsidR="00AD58F4" w:rsidP="00AD58F4" w:rsidRDefault="00AD58F4" w14:paraId="0BC2D325" w14:textId="77777777">
      <w:pPr>
        <w:autoSpaceDE w:val="0"/>
        <w:autoSpaceDN w:val="0"/>
        <w:adjustRightInd w:val="0"/>
        <w:rPr>
          <w:color w:val="000000"/>
        </w:rPr>
      </w:pPr>
    </w:p>
    <w:p w:rsidRPr="00357C8A" w:rsidR="00357C8A" w:rsidP="006705EA" w:rsidRDefault="00357C8A" w14:paraId="4C2AFC52"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273F40" w:rsidR="000C1260" w:rsidP="00481B52" w:rsidRDefault="00610738" w14:paraId="281EB360" w14:textId="77777777">
      <w:pPr>
        <w:autoSpaceDE w:val="0"/>
        <w:autoSpaceDN w:val="0"/>
        <w:adjustRightInd w:val="0"/>
      </w:pPr>
      <w:r w:rsidRPr="00273F40">
        <w:t xml:space="preserve">We are unaware of duplicative information collection. </w:t>
      </w:r>
      <w:r w:rsidRPr="00273F40" w:rsidR="00AD58F4">
        <w:t xml:space="preserve"> </w:t>
      </w:r>
      <w:r w:rsidRPr="00273F40">
        <w:t>The term “</w:t>
      </w:r>
      <w:r w:rsidRPr="00C34D11">
        <w:rPr>
          <w:i/>
          <w:iCs/>
        </w:rPr>
        <w:t>food</w:t>
      </w:r>
      <w:r w:rsidRPr="00273F40">
        <w:t>” is defined consistent</w:t>
      </w:r>
      <w:r w:rsidRPr="00273F40" w:rsidR="00AD58F4">
        <w:t xml:space="preserve"> </w:t>
      </w:r>
      <w:r w:rsidRPr="00273F40">
        <w:t xml:space="preserve">with section 201(f) of the FD&amp;C Act, which includes raw materials and ingredients. </w:t>
      </w:r>
      <w:r w:rsidRPr="00273F40" w:rsidR="00AD58F4">
        <w:t xml:space="preserve"> </w:t>
      </w:r>
      <w:r w:rsidRPr="00273F40">
        <w:t>This</w:t>
      </w:r>
      <w:r w:rsidRPr="00273F40" w:rsidR="00AD58F4">
        <w:t xml:space="preserve"> </w:t>
      </w:r>
      <w:r w:rsidRPr="00273F40">
        <w:t>definition also includes animal food and food subject to the Federal Meat Inspection Act, the</w:t>
      </w:r>
      <w:r w:rsidRPr="00273F40" w:rsidR="00AD58F4">
        <w:t xml:space="preserve"> </w:t>
      </w:r>
      <w:r w:rsidRPr="00273F40">
        <w:t>Poultry Products Inspection Act, and the Egg Products Inspection Act administered by the Food</w:t>
      </w:r>
      <w:r w:rsidRPr="00273F40" w:rsidR="00AD58F4">
        <w:t xml:space="preserve"> </w:t>
      </w:r>
      <w:r w:rsidRPr="00273F40">
        <w:t>Safety and Inspection Service (FSIS) of the U</w:t>
      </w:r>
      <w:r w:rsidR="00F51D94">
        <w:t>.</w:t>
      </w:r>
      <w:r w:rsidRPr="00273F40">
        <w:t>S</w:t>
      </w:r>
      <w:r w:rsidR="00F51D94">
        <w:t xml:space="preserve">. </w:t>
      </w:r>
      <w:r w:rsidRPr="00273F40">
        <w:t>D</w:t>
      </w:r>
      <w:r w:rsidR="00F51D94">
        <w:t xml:space="preserve">epartment of </w:t>
      </w:r>
      <w:r w:rsidRPr="00273F40">
        <w:t>A</w:t>
      </w:r>
      <w:r w:rsidR="00F51D94">
        <w:t>griculture</w:t>
      </w:r>
      <w:r w:rsidRPr="00273F40">
        <w:t xml:space="preserve">. </w:t>
      </w:r>
      <w:r w:rsidRPr="00273F40" w:rsidR="00AD58F4">
        <w:t xml:space="preserve"> </w:t>
      </w:r>
      <w:r w:rsidRPr="00273F40">
        <w:t xml:space="preserve">To prevent duplication of effort, </w:t>
      </w:r>
      <w:r w:rsidR="00F51D94">
        <w:t>FDA’s</w:t>
      </w:r>
      <w:r w:rsidRPr="00273F40" w:rsidR="00F51D94">
        <w:t xml:space="preserve"> </w:t>
      </w:r>
      <w:r w:rsidRPr="00273F40">
        <w:t>compliance policy is to inform FSIS when an apparent violation is encountered involving a</w:t>
      </w:r>
      <w:r w:rsidRPr="00273F40" w:rsidR="00AD58F4">
        <w:t xml:space="preserve"> </w:t>
      </w:r>
      <w:r w:rsidRPr="00273F40">
        <w:t xml:space="preserve">meat or poultry product that has left a USDA inspected establishment. </w:t>
      </w:r>
      <w:r w:rsidRPr="00273F40" w:rsidR="00AD58F4">
        <w:t xml:space="preserve"> </w:t>
      </w:r>
      <w:r w:rsidRPr="00273F40">
        <w:t>FSIS carries out in-commerce surveillance activities to verify that entities whose business activities involve FSIS</w:t>
      </w:r>
      <w:r w:rsidRPr="00273F40" w:rsidR="00AD58F4">
        <w:t>-</w:t>
      </w:r>
      <w:r w:rsidRPr="00273F40">
        <w:t>regulated</w:t>
      </w:r>
      <w:r w:rsidRPr="00273F40" w:rsidR="00AD58F4">
        <w:t xml:space="preserve"> </w:t>
      </w:r>
      <w:r w:rsidRPr="00273F40">
        <w:t>products prepare, store, transport, sell, offer for sale or transportation, import, and</w:t>
      </w:r>
      <w:r w:rsidRPr="00273F40" w:rsidR="00AD58F4">
        <w:t xml:space="preserve"> </w:t>
      </w:r>
      <w:r w:rsidRPr="00273F40">
        <w:t xml:space="preserve">export such products in compliance with FSIS statutory and regulatory requirements. </w:t>
      </w:r>
      <w:r w:rsidRPr="00273F40" w:rsidR="00AD58F4">
        <w:t xml:space="preserve"> </w:t>
      </w:r>
      <w:r w:rsidRPr="00273F40">
        <w:t>FSIS has</w:t>
      </w:r>
      <w:r w:rsidRPr="00273F40" w:rsidR="00AD58F4">
        <w:t xml:space="preserve"> </w:t>
      </w:r>
      <w:r w:rsidRPr="00273F40">
        <w:t>issued guidance for the safe transportation and distribution of meat, poultry and egg products;</w:t>
      </w:r>
      <w:r w:rsidRPr="00273F40" w:rsidR="00AD58F4">
        <w:t xml:space="preserve"> </w:t>
      </w:r>
      <w:r w:rsidRPr="00273F40">
        <w:t>however, it does not have requirements that directly address transportation operations for these</w:t>
      </w:r>
      <w:r w:rsidRPr="00273F40" w:rsidR="00E567C9">
        <w:t xml:space="preserve"> </w:t>
      </w:r>
      <w:r w:rsidRPr="00273F40">
        <w:t xml:space="preserve">foods. </w:t>
      </w:r>
      <w:r w:rsidRPr="00273F40" w:rsidR="00E567C9">
        <w:t xml:space="preserve"> </w:t>
      </w:r>
      <w:r w:rsidRPr="00273F40">
        <w:t>This collection of information complements FSIS</w:t>
      </w:r>
      <w:r w:rsidR="00F51D94">
        <w:t>’</w:t>
      </w:r>
      <w:r w:rsidRPr="00273F40">
        <w:t>s efforts to promote the application of</w:t>
      </w:r>
      <w:r w:rsidRPr="00273F40" w:rsidR="00E567C9">
        <w:t xml:space="preserve"> </w:t>
      </w:r>
      <w:r w:rsidRPr="00273F40">
        <w:t xml:space="preserve">sanitary food transportation practices for FSIS-regulated meat, poultry, and egg products. </w:t>
      </w:r>
      <w:r w:rsidR="00F51D94">
        <w:t xml:space="preserve"> </w:t>
      </w:r>
      <w:r w:rsidRPr="00273F40">
        <w:t>We intend to continue to work together with FSIS to facilitate this shared objective while carrying</w:t>
      </w:r>
      <w:r w:rsidRPr="00273F40" w:rsidR="00E567C9">
        <w:t xml:space="preserve"> </w:t>
      </w:r>
      <w:r w:rsidRPr="00273F40">
        <w:t>out our respective regulatory programs.</w:t>
      </w:r>
    </w:p>
    <w:p w:rsidRPr="006B2097" w:rsidR="00E567C9" w:rsidP="00E567C9" w:rsidRDefault="00E567C9" w14:paraId="3CD43EB2" w14:textId="77777777">
      <w:pPr>
        <w:autoSpaceDE w:val="0"/>
        <w:autoSpaceDN w:val="0"/>
        <w:adjustRightInd w:val="0"/>
        <w:rPr>
          <w:color w:val="000000"/>
        </w:rPr>
      </w:pPr>
    </w:p>
    <w:p w:rsidRPr="00357C8A" w:rsidR="00357C8A" w:rsidP="006705EA" w:rsidRDefault="00357C8A" w14:paraId="3575FDD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481B52" w:rsidRDefault="00786D11" w14:paraId="0A971BE3" w14:textId="1B75709E">
      <w:pPr>
        <w:autoSpaceDE w:val="0"/>
        <w:autoSpaceDN w:val="0"/>
        <w:adjustRightInd w:val="0"/>
      </w:pPr>
      <w:r>
        <w:t xml:space="preserve">There is no undue burden on small entities.  </w:t>
      </w:r>
      <w:r w:rsidRPr="00273F40" w:rsidR="00610738">
        <w:t>We estimate that, among firms analyzed, ninety-eight percent (98%) of shippers/receivers and</w:t>
      </w:r>
      <w:r w:rsidRPr="00273F40" w:rsidR="00E567C9">
        <w:t xml:space="preserve"> </w:t>
      </w:r>
      <w:r w:rsidRPr="00273F40" w:rsidR="00610738">
        <w:t xml:space="preserve">ninety-five percent (95%) of carriers are small businesses. </w:t>
      </w:r>
      <w:r w:rsidRPr="00273F40" w:rsidR="00E567C9">
        <w:t xml:space="preserve"> </w:t>
      </w:r>
      <w:r w:rsidRPr="00273F40" w:rsidR="00610738">
        <w:t>We have attempted to assist small</w:t>
      </w:r>
      <w:r w:rsidRPr="00273F40" w:rsidR="00E567C9">
        <w:t xml:space="preserve"> </w:t>
      </w:r>
      <w:r w:rsidRPr="00273F40" w:rsidR="00610738">
        <w:t>businesses by exempting very small firms with less than $500,000 in total annual sales and</w:t>
      </w:r>
      <w:r w:rsidRPr="00273F40" w:rsidR="00E567C9">
        <w:t xml:space="preserve"> </w:t>
      </w:r>
      <w:r w:rsidRPr="00273F40" w:rsidR="00610738">
        <w:t>provid</w:t>
      </w:r>
      <w:r w:rsidR="00F51D94">
        <w:t>ed</w:t>
      </w:r>
      <w:r w:rsidRPr="00273F40" w:rsidR="00610738">
        <w:t xml:space="preserve"> staggered compliance dates for other small businesses.</w:t>
      </w:r>
      <w:r w:rsidRPr="00273F40" w:rsidR="00C65763">
        <w:t xml:space="preserve"> </w:t>
      </w:r>
      <w:r w:rsidRPr="00273F40" w:rsidR="00610738">
        <w:t xml:space="preserve"> The term “</w:t>
      </w:r>
      <w:r w:rsidRPr="007A3280" w:rsidR="00610738">
        <w:rPr>
          <w:i/>
          <w:iCs/>
        </w:rPr>
        <w:t>small business</w:t>
      </w:r>
      <w:r w:rsidRPr="00273F40" w:rsidR="00610738">
        <w:t>”</w:t>
      </w:r>
      <w:r w:rsidRPr="00273F40" w:rsidR="00C65763">
        <w:t xml:space="preserve"> </w:t>
      </w:r>
      <w:r w:rsidRPr="00273F40" w:rsidR="00610738">
        <w:t>means a business employing fewer than 500 persons, except that for carriers by motor vehicle</w:t>
      </w:r>
      <w:r w:rsidRPr="00273F40" w:rsidR="00C65763">
        <w:t xml:space="preserve"> </w:t>
      </w:r>
      <w:r w:rsidRPr="00273F40" w:rsidR="00610738">
        <w:t>that are not also shippers and/or receivers.</w:t>
      </w:r>
      <w:r w:rsidRPr="00273F40" w:rsidR="00C65763">
        <w:t xml:space="preserve"> </w:t>
      </w:r>
      <w:r w:rsidRPr="00273F40" w:rsidR="00610738">
        <w:t xml:space="preserve"> The term also refers to a </w:t>
      </w:r>
      <w:r w:rsidRPr="00273F40" w:rsidR="00610738">
        <w:lastRenderedPageBreak/>
        <w:t>business having less than</w:t>
      </w:r>
      <w:r w:rsidRPr="00273F40" w:rsidR="00C65763">
        <w:t xml:space="preserve"> </w:t>
      </w:r>
      <w:r w:rsidRPr="00273F40" w:rsidR="00610738">
        <w:t>$2</w:t>
      </w:r>
      <w:r w:rsidR="00AF6420">
        <w:t>7</w:t>
      </w:r>
      <w:r w:rsidRPr="00273F40" w:rsidR="00610738">
        <w:t>,500,000 in annual receipts, consistent with the size-based standard established by the U.S.</w:t>
      </w:r>
      <w:r w:rsidRPr="00273F40" w:rsidR="00C65763">
        <w:t xml:space="preserve"> </w:t>
      </w:r>
      <w:r w:rsidRPr="00273F40" w:rsidR="00610738">
        <w:t>Small Business Administration for truck transportation firms.</w:t>
      </w:r>
    </w:p>
    <w:p w:rsidR="00F51D94" w:rsidP="00481B52" w:rsidRDefault="00F51D94" w14:paraId="62158896" w14:textId="77777777">
      <w:pPr>
        <w:autoSpaceDE w:val="0"/>
        <w:autoSpaceDN w:val="0"/>
        <w:adjustRightInd w:val="0"/>
      </w:pPr>
    </w:p>
    <w:p w:rsidRPr="00273F40" w:rsidR="00F51D94" w:rsidP="00481B52" w:rsidRDefault="00F51D94" w14:paraId="6F25DA60" w14:textId="77777777">
      <w:pPr>
        <w:autoSpaceDE w:val="0"/>
        <w:autoSpaceDN w:val="0"/>
        <w:adjustRightInd w:val="0"/>
      </w:pPr>
      <w:r w:rsidRPr="00F51D94">
        <w:t xml:space="preserve">We </w:t>
      </w:r>
      <w:r>
        <w:t xml:space="preserve">also </w:t>
      </w:r>
      <w:r w:rsidRPr="00F51D94">
        <w:t xml:space="preserve">assist small businesses in complying with regulatory requirements through Regional Small Business Representatives and through scientific and administrative staffs within the agency.  Assistance is also available for small businesses via the agency’s website at </w:t>
      </w:r>
      <w:hyperlink w:history="1" r:id="rId9">
        <w:r w:rsidRPr="00615A15">
          <w:rPr>
            <w:rStyle w:val="Hyperlink"/>
          </w:rPr>
          <w:t>https://www.fda.gov/indust</w:t>
        </w:r>
        <w:r w:rsidRPr="00615A15">
          <w:rPr>
            <w:rStyle w:val="Hyperlink"/>
          </w:rPr>
          <w:t>r</w:t>
        </w:r>
        <w:r w:rsidRPr="00615A15">
          <w:rPr>
            <w:rStyle w:val="Hyperlink"/>
          </w:rPr>
          <w:t>y/small-business-assistance</w:t>
        </w:r>
      </w:hyperlink>
      <w:r w:rsidRPr="00F51D94">
        <w:t>.</w:t>
      </w:r>
    </w:p>
    <w:p w:rsidRPr="00357C8A" w:rsidR="00C65763" w:rsidP="00C65763" w:rsidRDefault="00C65763" w14:paraId="1A3786B2" w14:textId="77777777">
      <w:pPr>
        <w:autoSpaceDE w:val="0"/>
        <w:autoSpaceDN w:val="0"/>
        <w:adjustRightInd w:val="0"/>
        <w:rPr>
          <w:rFonts w:eastAsia="Calibri"/>
        </w:rPr>
      </w:pPr>
    </w:p>
    <w:p w:rsidRPr="00357C8A" w:rsidR="00357C8A" w:rsidP="006705EA" w:rsidRDefault="00357C8A" w14:paraId="5F370AD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273F40" w:rsidR="00357C8A" w:rsidP="00481B52" w:rsidRDefault="002E68AA" w14:paraId="5DA7D270" w14:textId="08681D31">
      <w:pPr>
        <w:autoSpaceDE w:val="0"/>
        <w:autoSpaceDN w:val="0"/>
        <w:adjustRightInd w:val="0"/>
      </w:pPr>
      <w:r>
        <w:t xml:space="preserve">The information collection schedule </w:t>
      </w:r>
      <w:r w:rsidR="00BF2339">
        <w:t>is consistent with statutory and regulatory requirements</w:t>
      </w:r>
      <w:r w:rsidRPr="00273F40" w:rsidR="00610738">
        <w:t>.</w:t>
      </w:r>
    </w:p>
    <w:p w:rsidRPr="006B2097" w:rsidR="00C65763" w:rsidP="00C65763" w:rsidRDefault="00C65763" w14:paraId="0A4107F4" w14:textId="77777777">
      <w:pPr>
        <w:autoSpaceDE w:val="0"/>
        <w:autoSpaceDN w:val="0"/>
        <w:adjustRightInd w:val="0"/>
        <w:rPr>
          <w:color w:val="000000"/>
        </w:rPr>
      </w:pPr>
    </w:p>
    <w:p w:rsidRPr="00357C8A" w:rsidR="00357C8A" w:rsidP="006705EA" w:rsidRDefault="00357C8A" w14:paraId="7BDAD961"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64610B" w14:paraId="15D251DB" w14:textId="77777777">
      <w:pPr>
        <w:spacing w:after="200"/>
        <w:rPr>
          <w:rFonts w:eastAsia="Calibri"/>
        </w:rPr>
      </w:pPr>
      <w:r w:rsidRPr="0064610B">
        <w:rPr>
          <w:rFonts w:eastAsia="Calibri"/>
        </w:rPr>
        <w:t>There are no special circumstances associated with this collection of information.</w:t>
      </w:r>
    </w:p>
    <w:p w:rsidRPr="00357C8A" w:rsidR="00357C8A" w:rsidP="006705EA" w:rsidRDefault="00357C8A" w14:paraId="409AFC86"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B75EE4" w:rsidR="00357C8A" w:rsidP="00C65763" w:rsidRDefault="00712FFE" w14:paraId="14D682D7" w14:textId="2F1FB8EB">
      <w:pPr>
        <w:autoSpaceDE w:val="0"/>
        <w:autoSpaceDN w:val="0"/>
        <w:adjustRightInd w:val="0"/>
        <w:rPr>
          <w:rFonts w:eastAsia="Calibri"/>
        </w:rPr>
      </w:pPr>
      <w:r w:rsidRPr="00273F40">
        <w:t>In accordance with 5 CFR 1320.8(d), we published a 60-day notice for public comment in the</w:t>
      </w:r>
      <w:r w:rsidRPr="00273F40" w:rsidR="00C65763">
        <w:t xml:space="preserve"> </w:t>
      </w:r>
      <w:r w:rsidRPr="00273F40">
        <w:rPr>
          <w:i/>
          <w:iCs/>
        </w:rPr>
        <w:t>Federal Register</w:t>
      </w:r>
      <w:r w:rsidRPr="00273F40">
        <w:t xml:space="preserve"> of February 2</w:t>
      </w:r>
      <w:r w:rsidRPr="00273F40" w:rsidR="00C65763">
        <w:t>4</w:t>
      </w:r>
      <w:r w:rsidRPr="00273F40">
        <w:t>, 20</w:t>
      </w:r>
      <w:r w:rsidRPr="00273F40" w:rsidR="00C65763">
        <w:t>22</w:t>
      </w:r>
      <w:r w:rsidRPr="00273F40">
        <w:t xml:space="preserve"> (8</w:t>
      </w:r>
      <w:r w:rsidRPr="00273F40" w:rsidR="00C65763">
        <w:t>7</w:t>
      </w:r>
      <w:r w:rsidRPr="00273F40">
        <w:t xml:space="preserve"> FR </w:t>
      </w:r>
      <w:r w:rsidRPr="00273F40" w:rsidR="00C65763">
        <w:t>10369</w:t>
      </w:r>
      <w:r w:rsidRPr="00273F40">
        <w:t xml:space="preserve">). </w:t>
      </w:r>
      <w:r w:rsidRPr="00273F40" w:rsidR="00F14EDA">
        <w:t xml:space="preserve"> One</w:t>
      </w:r>
      <w:r w:rsidRPr="00273F40">
        <w:t xml:space="preserve"> comment w</w:t>
      </w:r>
      <w:r w:rsidRPr="00273F40" w:rsidR="00F14EDA">
        <w:t>as</w:t>
      </w:r>
      <w:r w:rsidRPr="00273F40">
        <w:t xml:space="preserve"> received</w:t>
      </w:r>
      <w:r w:rsidR="00BF2339">
        <w:t xml:space="preserve">, however it </w:t>
      </w:r>
      <w:r w:rsidR="005E0202">
        <w:t>did not address any of the information collection topics solicited.</w:t>
      </w:r>
    </w:p>
    <w:p w:rsidRPr="006B2097" w:rsidR="00C65763" w:rsidP="00C65763" w:rsidRDefault="00C65763" w14:paraId="046623A3" w14:textId="77777777">
      <w:pPr>
        <w:autoSpaceDE w:val="0"/>
        <w:autoSpaceDN w:val="0"/>
        <w:adjustRightInd w:val="0"/>
        <w:rPr>
          <w:color w:val="000000"/>
        </w:rPr>
      </w:pPr>
    </w:p>
    <w:p w:rsidRPr="00357C8A" w:rsidR="00357C8A" w:rsidP="006705EA" w:rsidRDefault="00357C8A" w14:paraId="5D71DA2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6B2097" w:rsidR="00357C8A" w:rsidP="00357C8A" w:rsidRDefault="00712FFE" w14:paraId="73CB4EB4" w14:textId="77777777">
      <w:pPr>
        <w:spacing w:after="200"/>
        <w:rPr>
          <w:color w:val="000000"/>
        </w:rPr>
      </w:pPr>
      <w:r w:rsidRPr="00712FFE">
        <w:rPr>
          <w:rFonts w:eastAsia="Calibri"/>
        </w:rPr>
        <w:t>No gift or payment is provided to respondents.</w:t>
      </w:r>
    </w:p>
    <w:p w:rsidRPr="00357C8A" w:rsidR="00357C8A" w:rsidP="006705EA" w:rsidRDefault="00357C8A" w14:paraId="59973A3D"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E2B82" w:rsidP="002E2B82" w:rsidRDefault="002E2B82" w14:paraId="37301390" w14:textId="4E751628">
      <w:r w:rsidRPr="004C1756">
        <w:t xml:space="preserve">In preparing this </w:t>
      </w:r>
      <w:r>
        <w:t>s</w:t>
      </w:r>
      <w:r w:rsidRPr="004C1756">
        <w:t xml:space="preserve">upporting </w:t>
      </w:r>
      <w:r>
        <w:t>s</w:t>
      </w:r>
      <w:r w:rsidRPr="004C1756">
        <w:t>tatement, we consulted our Privacy Office to ensure appropriate identification and handling of information collected.</w:t>
      </w:r>
      <w:r w:rsidR="005E0202">
        <w:t xml:space="preserve">  Although the </w:t>
      </w:r>
      <w:r w:rsidRPr="004C1756">
        <w:t>ICR collects personally identifiable information (PII)</w:t>
      </w:r>
      <w:r w:rsidR="005E0202">
        <w:t xml:space="preserve">, it is </w:t>
      </w:r>
      <w:r w:rsidRPr="004C1756">
        <w:t>collected in the context of the subject individuals’</w:t>
      </w:r>
      <w:r>
        <w:t xml:space="preserve"> </w:t>
      </w:r>
      <w:r w:rsidRPr="00CF2B48">
        <w:t>professional capacity and the FDA-related work perform</w:t>
      </w:r>
      <w:r w:rsidR="00C62E0C">
        <w:t>ed</w:t>
      </w:r>
      <w:r w:rsidRPr="00CF2B48">
        <w:t xml:space="preserve"> for their employer (e.g., point of contact at a regulated entity).  The PII submitted via petitions for a waiver request is name, address, email address, and telephone number.</w:t>
      </w:r>
      <w:r>
        <w:rPr>
          <w:color w:val="FF0000"/>
        </w:rPr>
        <w:t xml:space="preserve">  </w:t>
      </w:r>
      <w:r w:rsidRPr="004C1756">
        <w:t>FDA determined that although PII is collected</w:t>
      </w:r>
      <w:r>
        <w:t xml:space="preserve">, the collection </w:t>
      </w:r>
      <w:r w:rsidRPr="004C1756">
        <w:t>is not subject to the Privacy Act of 1974</w:t>
      </w:r>
      <w:r>
        <w:t>,</w:t>
      </w:r>
      <w:r w:rsidRPr="004C1756">
        <w:t xml:space="preserve"> and the particular notice and other requirements of the </w:t>
      </w:r>
      <w:r w:rsidR="00C62E0C">
        <w:t xml:space="preserve">Privacy </w:t>
      </w:r>
      <w:r w:rsidRPr="004C1756">
        <w:t xml:space="preserve">Act do not apply. </w:t>
      </w:r>
      <w:r>
        <w:t xml:space="preserve"> </w:t>
      </w:r>
      <w:r w:rsidRPr="004C1756">
        <w:t>Specifically, FDA </w:t>
      </w:r>
      <w:r>
        <w:t>does</w:t>
      </w:r>
      <w:r w:rsidRPr="004C1756">
        <w:t xml:space="preserve"> not use name or any other personal identifier to retrieve records from the information collected.</w:t>
      </w:r>
      <w:r>
        <w:t xml:space="preserve">  </w:t>
      </w:r>
      <w:r w:rsidRPr="004C1756">
        <w:t xml:space="preserve">Through appropriate </w:t>
      </w:r>
      <w:r w:rsidRPr="00CF2B48">
        <w:t>design</w:t>
      </w:r>
      <w:r w:rsidRPr="004C1756">
        <w:t xml:space="preserve">, </w:t>
      </w:r>
      <w:r w:rsidRPr="00CF2B48">
        <w:t>FDA limited submission fields and</w:t>
      </w:r>
      <w:r w:rsidRPr="004C1756">
        <w:t xml:space="preserve"> minimized the PII collected to protect the privacy of the individuals</w:t>
      </w:r>
      <w:r>
        <w:t>.</w:t>
      </w:r>
    </w:p>
    <w:p w:rsidR="002E2B82" w:rsidP="002E2B82" w:rsidRDefault="002E2B82" w14:paraId="4A6B4E1C" w14:textId="77777777"/>
    <w:p w:rsidR="00C65763" w:rsidP="008E2E11" w:rsidRDefault="002E2B82" w14:paraId="11A05700" w14:textId="77777777">
      <w:pPr>
        <w:spacing w:after="200"/>
        <w:rPr>
          <w:rFonts w:eastAsia="Calibri"/>
        </w:rPr>
      </w:pPr>
      <w:r w:rsidRPr="004C1756">
        <w:t xml:space="preserve">Under the Freedom of Information Act (FOIA) (5 U.S.C. 552), the public has broad access to government documents. </w:t>
      </w:r>
      <w:r>
        <w:t xml:space="preserve"> </w:t>
      </w:r>
      <w:r w:rsidRPr="004C1756">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2074FE">
        <w:rPr>
          <w:rFonts w:eastAsia="Calibri"/>
        </w:rPr>
        <w:t>.</w:t>
      </w:r>
    </w:p>
    <w:p w:rsidRPr="006B2097" w:rsidR="002E2B82" w:rsidP="008E2E11" w:rsidRDefault="002E2B82" w14:paraId="4F3651C6" w14:textId="77777777">
      <w:pPr>
        <w:spacing w:after="200"/>
        <w:rPr>
          <w:color w:val="000000"/>
        </w:rPr>
      </w:pPr>
    </w:p>
    <w:p w:rsidRPr="00357C8A" w:rsidR="00357C8A" w:rsidP="006705EA" w:rsidRDefault="00357C8A" w14:paraId="71EBEA4D" w14:textId="77777777">
      <w:pPr>
        <w:numPr>
          <w:ilvl w:val="0"/>
          <w:numId w:val="6"/>
        </w:numPr>
        <w:spacing w:after="200" w:line="276" w:lineRule="auto"/>
        <w:rPr>
          <w:rFonts w:eastAsia="Calibri"/>
        </w:rPr>
      </w:pPr>
      <w:r w:rsidRPr="00357C8A">
        <w:rPr>
          <w:rFonts w:eastAsia="Calibri"/>
          <w:u w:val="single"/>
        </w:rPr>
        <w:lastRenderedPageBreak/>
        <w:t>Justification for Sensitive Questions</w:t>
      </w:r>
    </w:p>
    <w:p w:rsidRPr="00B75EE4" w:rsidR="00357C8A" w:rsidP="0022425B" w:rsidRDefault="00B37B4C" w14:paraId="02886FDB" w14:textId="77777777">
      <w:pPr>
        <w:spacing w:after="200"/>
        <w:rPr>
          <w:rFonts w:eastAsia="Calibri"/>
          <w:color w:val="000000"/>
        </w:rPr>
      </w:pPr>
      <w:r w:rsidRPr="00273F40">
        <w:t>This information collection does not involve questions that are of a personally sensitive nature.</w:t>
      </w:r>
    </w:p>
    <w:p w:rsidRPr="00357C8A" w:rsidR="00357C8A" w:rsidP="006705EA" w:rsidRDefault="00357C8A" w14:paraId="4737DCFB"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C62E0C" w:rsidR="003B49D1" w:rsidP="00C65763" w:rsidRDefault="00357C8A" w14:paraId="3395A175" w14:textId="113458F8">
      <w:pPr>
        <w:spacing w:after="200"/>
        <w:ind w:left="360"/>
        <w:rPr>
          <w:rFonts w:eastAsia="Calibri"/>
          <w:i/>
          <w:iCs/>
        </w:rPr>
      </w:pPr>
      <w:r w:rsidRPr="00C62E0C">
        <w:rPr>
          <w:rFonts w:eastAsia="Calibri"/>
          <w:i/>
          <w:iCs/>
        </w:rPr>
        <w:t>12a.  Annualized Hour Burden Estimate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4"/>
        <w:gridCol w:w="1497"/>
        <w:gridCol w:w="1775"/>
        <w:gridCol w:w="1402"/>
        <w:gridCol w:w="1882"/>
        <w:gridCol w:w="1390"/>
      </w:tblGrid>
      <w:tr w:rsidRPr="003B49D1" w:rsidR="003B49D1" w:rsidTr="00BE6239" w14:paraId="0CB4FF6A" w14:textId="77777777">
        <w:trPr>
          <w:trHeight w:val="207"/>
          <w:tblHeader/>
        </w:trPr>
        <w:tc>
          <w:tcPr>
            <w:tcW w:w="5000" w:type="pct"/>
            <w:gridSpan w:val="6"/>
            <w:tcBorders>
              <w:top w:val="nil"/>
              <w:left w:val="nil"/>
              <w:right w:val="nil"/>
            </w:tcBorders>
            <w:shd w:val="clear" w:color="auto" w:fill="auto"/>
          </w:tcPr>
          <w:p w:rsidRPr="003B49D1" w:rsidR="003B49D1" w:rsidP="003B49D1" w:rsidRDefault="003B49D1" w14:paraId="0E5FCFD6" w14:textId="77777777">
            <w:pPr>
              <w:contextualSpacing/>
              <w:jc w:val="center"/>
              <w:rPr>
                <w:sz w:val="20"/>
                <w:szCs w:val="20"/>
              </w:rPr>
            </w:pPr>
            <w:r w:rsidRPr="003B49D1">
              <w:rPr>
                <w:sz w:val="20"/>
                <w:szCs w:val="20"/>
              </w:rPr>
              <w:t xml:space="preserve">Table </w:t>
            </w:r>
            <w:r w:rsidRPr="003B49D1" w:rsidR="00C65763">
              <w:rPr>
                <w:sz w:val="20"/>
                <w:szCs w:val="20"/>
              </w:rPr>
              <w:t>1.--</w:t>
            </w:r>
            <w:r w:rsidRPr="003B49D1">
              <w:rPr>
                <w:sz w:val="20"/>
                <w:szCs w:val="20"/>
              </w:rPr>
              <w:t>Estimated Annual Recordkeeping Burden</w:t>
            </w:r>
            <w:r w:rsidRPr="003B49D1">
              <w:rPr>
                <w:sz w:val="20"/>
                <w:szCs w:val="20"/>
                <w:vertAlign w:val="superscript"/>
              </w:rPr>
              <w:t>1</w:t>
            </w:r>
          </w:p>
        </w:tc>
      </w:tr>
      <w:tr w:rsidRPr="003B49D1" w:rsidR="003B49D1" w:rsidTr="00BE6239" w14:paraId="7742AA9D" w14:textId="77777777">
        <w:trPr>
          <w:trHeight w:val="620"/>
          <w:tblHeader/>
        </w:trPr>
        <w:tc>
          <w:tcPr>
            <w:tcW w:w="913" w:type="pct"/>
            <w:shd w:val="clear" w:color="auto" w:fill="auto"/>
          </w:tcPr>
          <w:p w:rsidRPr="003B49D1" w:rsidR="003B49D1" w:rsidP="003B49D1" w:rsidRDefault="003B49D1" w14:paraId="16B7419A" w14:textId="77777777">
            <w:pPr>
              <w:contextualSpacing/>
              <w:jc w:val="center"/>
              <w:rPr>
                <w:sz w:val="20"/>
                <w:szCs w:val="20"/>
              </w:rPr>
            </w:pPr>
            <w:r w:rsidRPr="003B49D1">
              <w:rPr>
                <w:sz w:val="20"/>
                <w:szCs w:val="20"/>
              </w:rPr>
              <w:t>21 CFR Section; Activity</w:t>
            </w:r>
          </w:p>
        </w:tc>
        <w:tc>
          <w:tcPr>
            <w:tcW w:w="770" w:type="pct"/>
            <w:shd w:val="clear" w:color="auto" w:fill="auto"/>
          </w:tcPr>
          <w:p w:rsidRPr="003B49D1" w:rsidR="003B49D1" w:rsidP="003B49D1" w:rsidRDefault="003B49D1" w14:paraId="0F5C7E59" w14:textId="77777777">
            <w:pPr>
              <w:contextualSpacing/>
              <w:jc w:val="center"/>
              <w:rPr>
                <w:sz w:val="20"/>
                <w:szCs w:val="20"/>
              </w:rPr>
            </w:pPr>
            <w:r w:rsidRPr="003B49D1">
              <w:rPr>
                <w:sz w:val="20"/>
                <w:szCs w:val="20"/>
              </w:rPr>
              <w:t>No. of Recordkeepers</w:t>
            </w:r>
          </w:p>
        </w:tc>
        <w:tc>
          <w:tcPr>
            <w:tcW w:w="913" w:type="pct"/>
            <w:shd w:val="clear" w:color="auto" w:fill="auto"/>
          </w:tcPr>
          <w:p w:rsidRPr="003B49D1" w:rsidR="003B49D1" w:rsidP="003B49D1" w:rsidRDefault="003B49D1" w14:paraId="6A67E828" w14:textId="77777777">
            <w:pPr>
              <w:contextualSpacing/>
              <w:jc w:val="center"/>
              <w:rPr>
                <w:sz w:val="20"/>
                <w:szCs w:val="20"/>
              </w:rPr>
            </w:pPr>
            <w:r w:rsidRPr="003B49D1">
              <w:rPr>
                <w:bCs/>
                <w:sz w:val="20"/>
                <w:szCs w:val="20"/>
              </w:rPr>
              <w:t>No. of Records per Recordkeeper</w:t>
            </w:r>
          </w:p>
        </w:tc>
        <w:tc>
          <w:tcPr>
            <w:tcW w:w="721" w:type="pct"/>
            <w:shd w:val="clear" w:color="auto" w:fill="auto"/>
          </w:tcPr>
          <w:p w:rsidRPr="003B49D1" w:rsidR="003B49D1" w:rsidP="003B49D1" w:rsidRDefault="003B49D1" w14:paraId="2F423FD7" w14:textId="77777777">
            <w:pPr>
              <w:contextualSpacing/>
              <w:jc w:val="center"/>
              <w:rPr>
                <w:sz w:val="20"/>
                <w:szCs w:val="20"/>
              </w:rPr>
            </w:pPr>
            <w:r w:rsidRPr="003B49D1">
              <w:rPr>
                <w:sz w:val="20"/>
                <w:szCs w:val="20"/>
              </w:rPr>
              <w:t>Total Annual Records</w:t>
            </w:r>
          </w:p>
        </w:tc>
        <w:tc>
          <w:tcPr>
            <w:tcW w:w="968" w:type="pct"/>
            <w:shd w:val="clear" w:color="auto" w:fill="auto"/>
          </w:tcPr>
          <w:p w:rsidRPr="003B49D1" w:rsidR="003B49D1" w:rsidP="003B49D1" w:rsidRDefault="003B49D1" w14:paraId="1B97F7DF" w14:textId="77777777">
            <w:pPr>
              <w:contextualSpacing/>
              <w:jc w:val="center"/>
              <w:rPr>
                <w:sz w:val="20"/>
                <w:szCs w:val="20"/>
              </w:rPr>
            </w:pPr>
            <w:r w:rsidRPr="003B49D1">
              <w:rPr>
                <w:bCs/>
                <w:sz w:val="20"/>
                <w:szCs w:val="20"/>
              </w:rPr>
              <w:t xml:space="preserve">Average Burden per Recordkeeping </w:t>
            </w:r>
          </w:p>
        </w:tc>
        <w:tc>
          <w:tcPr>
            <w:tcW w:w="715" w:type="pct"/>
            <w:shd w:val="clear" w:color="auto" w:fill="auto"/>
          </w:tcPr>
          <w:p w:rsidRPr="003B49D1" w:rsidR="003B49D1" w:rsidP="003B49D1" w:rsidRDefault="003B49D1" w14:paraId="300CD48B" w14:textId="77777777">
            <w:pPr>
              <w:contextualSpacing/>
              <w:jc w:val="center"/>
              <w:rPr>
                <w:sz w:val="20"/>
                <w:szCs w:val="20"/>
              </w:rPr>
            </w:pPr>
            <w:r w:rsidRPr="003B49D1">
              <w:rPr>
                <w:sz w:val="20"/>
                <w:szCs w:val="20"/>
              </w:rPr>
              <w:t>Total Hours</w:t>
            </w:r>
          </w:p>
        </w:tc>
      </w:tr>
      <w:tr w:rsidRPr="003B49D1" w:rsidR="003B49D1" w:rsidTr="00BE6239" w14:paraId="7805B7FD" w14:textId="77777777">
        <w:trPr>
          <w:trHeight w:val="530"/>
        </w:trPr>
        <w:tc>
          <w:tcPr>
            <w:tcW w:w="913" w:type="pct"/>
            <w:shd w:val="clear" w:color="auto" w:fill="auto"/>
          </w:tcPr>
          <w:p w:rsidR="00B75EE4" w:rsidP="003B49D1" w:rsidRDefault="003B49D1" w14:paraId="53984C3C" w14:textId="77777777">
            <w:pPr>
              <w:keepNext/>
              <w:contextualSpacing/>
              <w:rPr>
                <w:sz w:val="20"/>
                <w:szCs w:val="20"/>
              </w:rPr>
            </w:pPr>
            <w:r w:rsidRPr="003B49D1">
              <w:rPr>
                <w:sz w:val="20"/>
                <w:szCs w:val="20"/>
              </w:rPr>
              <w:t xml:space="preserve">1.912; </w:t>
            </w:r>
          </w:p>
          <w:p w:rsidRPr="003B49D1" w:rsidR="003B49D1" w:rsidP="003B49D1" w:rsidRDefault="003B49D1" w14:paraId="14B175BD" w14:textId="77777777">
            <w:pPr>
              <w:keepNext/>
              <w:contextualSpacing/>
              <w:rPr>
                <w:sz w:val="20"/>
                <w:szCs w:val="20"/>
              </w:rPr>
            </w:pPr>
            <w:r w:rsidRPr="003B49D1">
              <w:rPr>
                <w:sz w:val="20"/>
                <w:szCs w:val="20"/>
              </w:rPr>
              <w:t>Record retention</w:t>
            </w:r>
          </w:p>
        </w:tc>
        <w:tc>
          <w:tcPr>
            <w:tcW w:w="770" w:type="pct"/>
            <w:shd w:val="clear" w:color="auto" w:fill="auto"/>
          </w:tcPr>
          <w:p w:rsidRPr="003B49D1" w:rsidR="003B49D1" w:rsidP="003B49D1" w:rsidRDefault="003B49D1" w14:paraId="76FE8243" w14:textId="77777777">
            <w:pPr>
              <w:keepNext/>
              <w:contextualSpacing/>
              <w:jc w:val="right"/>
              <w:rPr>
                <w:sz w:val="20"/>
                <w:szCs w:val="20"/>
              </w:rPr>
            </w:pPr>
            <w:r w:rsidRPr="003B49D1">
              <w:rPr>
                <w:sz w:val="20"/>
                <w:szCs w:val="20"/>
              </w:rPr>
              <w:t>1,502,032</w:t>
            </w:r>
          </w:p>
        </w:tc>
        <w:tc>
          <w:tcPr>
            <w:tcW w:w="913" w:type="pct"/>
            <w:shd w:val="clear" w:color="auto" w:fill="auto"/>
          </w:tcPr>
          <w:p w:rsidRPr="003B49D1" w:rsidR="003B49D1" w:rsidP="003B49D1" w:rsidRDefault="003B49D1" w14:paraId="1CD843CC" w14:textId="77777777">
            <w:pPr>
              <w:keepNext/>
              <w:contextualSpacing/>
              <w:jc w:val="right"/>
              <w:rPr>
                <w:sz w:val="20"/>
                <w:szCs w:val="20"/>
              </w:rPr>
            </w:pPr>
            <w:r w:rsidRPr="003B49D1">
              <w:rPr>
                <w:sz w:val="20"/>
                <w:szCs w:val="20"/>
              </w:rPr>
              <w:t>1</w:t>
            </w:r>
          </w:p>
        </w:tc>
        <w:tc>
          <w:tcPr>
            <w:tcW w:w="721" w:type="pct"/>
            <w:shd w:val="clear" w:color="auto" w:fill="auto"/>
          </w:tcPr>
          <w:p w:rsidRPr="003B49D1" w:rsidR="003B49D1" w:rsidP="003B49D1" w:rsidRDefault="003B49D1" w14:paraId="2FAD9B8A" w14:textId="77777777">
            <w:pPr>
              <w:keepNext/>
              <w:contextualSpacing/>
              <w:jc w:val="right"/>
              <w:rPr>
                <w:sz w:val="20"/>
                <w:szCs w:val="20"/>
              </w:rPr>
            </w:pPr>
            <w:r w:rsidRPr="003B49D1">
              <w:rPr>
                <w:sz w:val="20"/>
                <w:szCs w:val="20"/>
              </w:rPr>
              <w:t>1,502,032</w:t>
            </w:r>
          </w:p>
        </w:tc>
        <w:tc>
          <w:tcPr>
            <w:tcW w:w="968" w:type="pct"/>
            <w:shd w:val="clear" w:color="auto" w:fill="auto"/>
          </w:tcPr>
          <w:p w:rsidRPr="003B49D1" w:rsidR="003B49D1" w:rsidP="003B49D1" w:rsidRDefault="003B49D1" w14:paraId="3234B9FA" w14:textId="77777777">
            <w:pPr>
              <w:keepNext/>
              <w:contextualSpacing/>
              <w:jc w:val="right"/>
              <w:rPr>
                <w:sz w:val="20"/>
                <w:szCs w:val="20"/>
              </w:rPr>
            </w:pPr>
            <w:r w:rsidRPr="003B49D1">
              <w:rPr>
                <w:sz w:val="20"/>
                <w:szCs w:val="20"/>
              </w:rPr>
              <w:t>0.083</w:t>
            </w:r>
          </w:p>
          <w:p w:rsidRPr="003B49D1" w:rsidR="003B49D1" w:rsidP="003B49D1" w:rsidRDefault="003B49D1" w14:paraId="2BCF722E" w14:textId="77777777">
            <w:pPr>
              <w:keepNext/>
              <w:contextualSpacing/>
              <w:jc w:val="right"/>
              <w:rPr>
                <w:sz w:val="20"/>
                <w:szCs w:val="20"/>
              </w:rPr>
            </w:pPr>
            <w:r w:rsidRPr="003B49D1">
              <w:rPr>
                <w:sz w:val="20"/>
                <w:szCs w:val="20"/>
              </w:rPr>
              <w:t>(5 minutes)</w:t>
            </w:r>
          </w:p>
        </w:tc>
        <w:tc>
          <w:tcPr>
            <w:tcW w:w="715" w:type="pct"/>
            <w:shd w:val="clear" w:color="auto" w:fill="auto"/>
          </w:tcPr>
          <w:p w:rsidRPr="003B49D1" w:rsidR="003B49D1" w:rsidP="003B49D1" w:rsidRDefault="003B49D1" w14:paraId="505C17B1" w14:textId="77777777">
            <w:pPr>
              <w:keepNext/>
              <w:contextualSpacing/>
              <w:jc w:val="right"/>
              <w:rPr>
                <w:sz w:val="20"/>
                <w:szCs w:val="20"/>
              </w:rPr>
            </w:pPr>
            <w:r w:rsidRPr="003B49D1">
              <w:rPr>
                <w:sz w:val="20"/>
                <w:szCs w:val="20"/>
              </w:rPr>
              <w:t>124,669</w:t>
            </w:r>
          </w:p>
        </w:tc>
      </w:tr>
    </w:tbl>
    <w:p w:rsidRPr="003B49D1" w:rsidR="003B49D1" w:rsidP="003B49D1" w:rsidRDefault="003B49D1" w14:paraId="0E706B2F" w14:textId="77777777">
      <w:pPr>
        <w:spacing w:line="480" w:lineRule="auto"/>
      </w:pPr>
      <w:r w:rsidRPr="003B49D1">
        <w:rPr>
          <w:sz w:val="20"/>
          <w:szCs w:val="20"/>
          <w:vertAlign w:val="superscript"/>
        </w:rPr>
        <w:t>1</w:t>
      </w:r>
      <w:r w:rsidRPr="003B49D1">
        <w:rPr>
          <w:sz w:val="20"/>
          <w:szCs w:val="20"/>
        </w:rPr>
        <w:t xml:space="preserve"> There are no capital costs or operating and maintenance costs associated with this collection of information.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5"/>
        <w:gridCol w:w="1464"/>
        <w:gridCol w:w="1767"/>
        <w:gridCol w:w="1588"/>
        <w:gridCol w:w="1682"/>
        <w:gridCol w:w="1404"/>
      </w:tblGrid>
      <w:tr w:rsidRPr="003B49D1" w:rsidR="003B49D1" w:rsidTr="00BE6239" w14:paraId="0CA4DACA" w14:textId="77777777">
        <w:trPr>
          <w:cantSplit/>
          <w:trHeight w:val="20"/>
          <w:tblHeader/>
        </w:trPr>
        <w:tc>
          <w:tcPr>
            <w:tcW w:w="5000" w:type="pct"/>
            <w:gridSpan w:val="6"/>
            <w:tcBorders>
              <w:top w:val="nil"/>
              <w:left w:val="nil"/>
              <w:right w:val="nil"/>
            </w:tcBorders>
            <w:shd w:val="clear" w:color="auto" w:fill="auto"/>
          </w:tcPr>
          <w:p w:rsidRPr="003B49D1" w:rsidR="003B49D1" w:rsidP="003B49D1" w:rsidRDefault="003B49D1" w14:paraId="09CCB0BC" w14:textId="77777777">
            <w:pPr>
              <w:jc w:val="center"/>
              <w:rPr>
                <w:sz w:val="20"/>
                <w:szCs w:val="20"/>
              </w:rPr>
            </w:pPr>
            <w:r w:rsidRPr="003B49D1">
              <w:rPr>
                <w:sz w:val="20"/>
                <w:szCs w:val="20"/>
              </w:rPr>
              <w:t xml:space="preserve">Table </w:t>
            </w:r>
            <w:r w:rsidRPr="003B49D1" w:rsidR="00C65763">
              <w:rPr>
                <w:sz w:val="20"/>
                <w:szCs w:val="20"/>
              </w:rPr>
              <w:t>2.--</w:t>
            </w:r>
            <w:r w:rsidRPr="003B49D1">
              <w:rPr>
                <w:sz w:val="20"/>
                <w:szCs w:val="20"/>
              </w:rPr>
              <w:t>Estimated Annual Reporting Burden</w:t>
            </w:r>
            <w:r w:rsidRPr="003B49D1">
              <w:rPr>
                <w:sz w:val="20"/>
                <w:szCs w:val="20"/>
                <w:vertAlign w:val="superscript"/>
              </w:rPr>
              <w:t>1</w:t>
            </w:r>
          </w:p>
        </w:tc>
      </w:tr>
      <w:tr w:rsidRPr="003B49D1" w:rsidR="003B49D1" w:rsidTr="00BE6239" w14:paraId="72967E36" w14:textId="77777777">
        <w:trPr>
          <w:cantSplit/>
          <w:trHeight w:val="566"/>
          <w:tblHeader/>
        </w:trPr>
        <w:tc>
          <w:tcPr>
            <w:tcW w:w="934" w:type="pct"/>
            <w:shd w:val="clear" w:color="auto" w:fill="auto"/>
          </w:tcPr>
          <w:p w:rsidRPr="003B49D1" w:rsidR="003B49D1" w:rsidP="00273F40" w:rsidRDefault="003B49D1" w14:paraId="2B6A3D98" w14:textId="77777777">
            <w:pPr>
              <w:contextualSpacing/>
              <w:jc w:val="center"/>
              <w:rPr>
                <w:sz w:val="20"/>
                <w:szCs w:val="20"/>
              </w:rPr>
            </w:pPr>
            <w:r w:rsidRPr="003B49D1">
              <w:rPr>
                <w:sz w:val="20"/>
                <w:szCs w:val="20"/>
              </w:rPr>
              <w:t>21 CFR Section; Activity</w:t>
            </w:r>
          </w:p>
        </w:tc>
        <w:tc>
          <w:tcPr>
            <w:tcW w:w="753" w:type="pct"/>
            <w:shd w:val="clear" w:color="auto" w:fill="auto"/>
          </w:tcPr>
          <w:p w:rsidRPr="003B49D1" w:rsidR="003B49D1" w:rsidP="003B49D1" w:rsidRDefault="003B49D1" w14:paraId="25C9AB44" w14:textId="77777777">
            <w:pPr>
              <w:contextualSpacing/>
              <w:jc w:val="center"/>
              <w:rPr>
                <w:sz w:val="20"/>
                <w:szCs w:val="20"/>
              </w:rPr>
            </w:pPr>
            <w:r w:rsidRPr="003B49D1">
              <w:rPr>
                <w:sz w:val="20"/>
                <w:szCs w:val="20"/>
              </w:rPr>
              <w:t>No. of Respondents</w:t>
            </w:r>
          </w:p>
        </w:tc>
        <w:tc>
          <w:tcPr>
            <w:tcW w:w="909" w:type="pct"/>
            <w:shd w:val="clear" w:color="auto" w:fill="auto"/>
          </w:tcPr>
          <w:p w:rsidRPr="003B49D1" w:rsidR="003B49D1" w:rsidP="003B49D1" w:rsidRDefault="003B49D1" w14:paraId="44BC0846" w14:textId="77777777">
            <w:pPr>
              <w:contextualSpacing/>
              <w:jc w:val="center"/>
              <w:rPr>
                <w:sz w:val="20"/>
                <w:szCs w:val="20"/>
              </w:rPr>
            </w:pPr>
            <w:r w:rsidRPr="003B49D1">
              <w:rPr>
                <w:bCs/>
                <w:sz w:val="20"/>
                <w:szCs w:val="20"/>
              </w:rPr>
              <w:t>No. of Responses per Respondent</w:t>
            </w:r>
          </w:p>
        </w:tc>
        <w:tc>
          <w:tcPr>
            <w:tcW w:w="817" w:type="pct"/>
            <w:shd w:val="clear" w:color="auto" w:fill="auto"/>
          </w:tcPr>
          <w:p w:rsidRPr="003B49D1" w:rsidR="003B49D1" w:rsidP="003B49D1" w:rsidRDefault="003B49D1" w14:paraId="7C964496" w14:textId="77777777">
            <w:pPr>
              <w:contextualSpacing/>
              <w:jc w:val="center"/>
              <w:rPr>
                <w:sz w:val="20"/>
                <w:szCs w:val="20"/>
              </w:rPr>
            </w:pPr>
            <w:r w:rsidRPr="003B49D1">
              <w:rPr>
                <w:sz w:val="20"/>
                <w:szCs w:val="20"/>
              </w:rPr>
              <w:t>Total Annual Responses</w:t>
            </w:r>
          </w:p>
        </w:tc>
        <w:tc>
          <w:tcPr>
            <w:tcW w:w="865" w:type="pct"/>
            <w:shd w:val="clear" w:color="auto" w:fill="auto"/>
          </w:tcPr>
          <w:p w:rsidRPr="003B49D1" w:rsidR="003B49D1" w:rsidP="003B49D1" w:rsidRDefault="003B49D1" w14:paraId="2BD2228F" w14:textId="77777777">
            <w:pPr>
              <w:contextualSpacing/>
              <w:jc w:val="center"/>
              <w:rPr>
                <w:sz w:val="20"/>
                <w:szCs w:val="20"/>
              </w:rPr>
            </w:pPr>
            <w:r w:rsidRPr="003B49D1">
              <w:rPr>
                <w:bCs/>
                <w:sz w:val="20"/>
                <w:szCs w:val="20"/>
              </w:rPr>
              <w:t>Average Burden per Response</w:t>
            </w:r>
          </w:p>
        </w:tc>
        <w:tc>
          <w:tcPr>
            <w:tcW w:w="722" w:type="pct"/>
            <w:shd w:val="clear" w:color="auto" w:fill="auto"/>
          </w:tcPr>
          <w:p w:rsidRPr="003B49D1" w:rsidR="003B49D1" w:rsidP="003B49D1" w:rsidRDefault="003B49D1" w14:paraId="3784895D" w14:textId="77777777">
            <w:pPr>
              <w:contextualSpacing/>
              <w:jc w:val="center"/>
              <w:rPr>
                <w:sz w:val="20"/>
                <w:szCs w:val="20"/>
              </w:rPr>
            </w:pPr>
            <w:r w:rsidRPr="003B49D1">
              <w:rPr>
                <w:sz w:val="20"/>
                <w:szCs w:val="20"/>
              </w:rPr>
              <w:t>Total Hours</w:t>
            </w:r>
          </w:p>
        </w:tc>
      </w:tr>
      <w:tr w:rsidRPr="003B49D1" w:rsidR="003B49D1" w:rsidTr="00BE6239" w14:paraId="2399F1AF" w14:textId="77777777">
        <w:trPr>
          <w:cantSplit/>
          <w:trHeight w:val="20"/>
        </w:trPr>
        <w:tc>
          <w:tcPr>
            <w:tcW w:w="934" w:type="pct"/>
            <w:shd w:val="clear" w:color="auto" w:fill="auto"/>
          </w:tcPr>
          <w:p w:rsidR="00B75EE4" w:rsidP="003B49D1" w:rsidRDefault="003B49D1" w14:paraId="1274DE1F" w14:textId="77777777">
            <w:pPr>
              <w:contextualSpacing/>
              <w:rPr>
                <w:sz w:val="20"/>
                <w:szCs w:val="20"/>
              </w:rPr>
            </w:pPr>
            <w:r w:rsidRPr="003B49D1">
              <w:rPr>
                <w:sz w:val="20"/>
                <w:szCs w:val="20"/>
              </w:rPr>
              <w:t xml:space="preserve">1.914; </w:t>
            </w:r>
          </w:p>
          <w:p w:rsidRPr="003B49D1" w:rsidR="003B49D1" w:rsidP="003B49D1" w:rsidRDefault="003B49D1" w14:paraId="287A1285" w14:textId="77777777">
            <w:pPr>
              <w:contextualSpacing/>
              <w:rPr>
                <w:sz w:val="20"/>
                <w:szCs w:val="20"/>
              </w:rPr>
            </w:pPr>
            <w:r w:rsidRPr="003B49D1">
              <w:rPr>
                <w:sz w:val="20"/>
                <w:szCs w:val="20"/>
              </w:rPr>
              <w:t>Waiver petitions</w:t>
            </w:r>
          </w:p>
        </w:tc>
        <w:tc>
          <w:tcPr>
            <w:tcW w:w="753" w:type="pct"/>
            <w:shd w:val="clear" w:color="auto" w:fill="auto"/>
            <w:vAlign w:val="center"/>
          </w:tcPr>
          <w:p w:rsidRPr="003B49D1" w:rsidR="003B49D1" w:rsidP="003B49D1" w:rsidRDefault="003B49D1" w14:paraId="6E254830" w14:textId="77777777">
            <w:pPr>
              <w:contextualSpacing/>
              <w:jc w:val="right"/>
              <w:rPr>
                <w:sz w:val="20"/>
                <w:szCs w:val="20"/>
              </w:rPr>
            </w:pPr>
            <w:r w:rsidRPr="003B49D1">
              <w:rPr>
                <w:sz w:val="20"/>
                <w:szCs w:val="20"/>
              </w:rPr>
              <w:t>2</w:t>
            </w:r>
          </w:p>
        </w:tc>
        <w:tc>
          <w:tcPr>
            <w:tcW w:w="909" w:type="pct"/>
            <w:shd w:val="clear" w:color="auto" w:fill="auto"/>
            <w:vAlign w:val="center"/>
          </w:tcPr>
          <w:p w:rsidRPr="003B49D1" w:rsidR="003B49D1" w:rsidP="003B49D1" w:rsidRDefault="003B49D1" w14:paraId="274F4B68" w14:textId="77777777">
            <w:pPr>
              <w:contextualSpacing/>
              <w:jc w:val="right"/>
              <w:rPr>
                <w:sz w:val="20"/>
                <w:szCs w:val="20"/>
              </w:rPr>
            </w:pPr>
            <w:r w:rsidRPr="003B49D1">
              <w:rPr>
                <w:sz w:val="20"/>
                <w:szCs w:val="20"/>
              </w:rPr>
              <w:t>1</w:t>
            </w:r>
          </w:p>
        </w:tc>
        <w:tc>
          <w:tcPr>
            <w:tcW w:w="817" w:type="pct"/>
            <w:shd w:val="clear" w:color="auto" w:fill="auto"/>
            <w:vAlign w:val="center"/>
          </w:tcPr>
          <w:p w:rsidRPr="003B49D1" w:rsidR="003B49D1" w:rsidP="003B49D1" w:rsidRDefault="003B49D1" w14:paraId="280C92E6" w14:textId="77777777">
            <w:pPr>
              <w:contextualSpacing/>
              <w:jc w:val="right"/>
              <w:rPr>
                <w:sz w:val="20"/>
                <w:szCs w:val="20"/>
              </w:rPr>
            </w:pPr>
            <w:r w:rsidRPr="003B49D1">
              <w:rPr>
                <w:sz w:val="20"/>
                <w:szCs w:val="20"/>
              </w:rPr>
              <w:t>2</w:t>
            </w:r>
          </w:p>
        </w:tc>
        <w:tc>
          <w:tcPr>
            <w:tcW w:w="865" w:type="pct"/>
            <w:shd w:val="clear" w:color="auto" w:fill="auto"/>
            <w:vAlign w:val="center"/>
          </w:tcPr>
          <w:p w:rsidRPr="003B49D1" w:rsidR="003B49D1" w:rsidP="003B49D1" w:rsidRDefault="003B49D1" w14:paraId="056C4B4A" w14:textId="77777777">
            <w:pPr>
              <w:contextualSpacing/>
              <w:jc w:val="right"/>
              <w:rPr>
                <w:sz w:val="20"/>
                <w:szCs w:val="20"/>
              </w:rPr>
            </w:pPr>
            <w:r w:rsidRPr="003B49D1">
              <w:rPr>
                <w:sz w:val="20"/>
                <w:szCs w:val="20"/>
              </w:rPr>
              <w:t>24</w:t>
            </w:r>
          </w:p>
        </w:tc>
        <w:tc>
          <w:tcPr>
            <w:tcW w:w="722" w:type="pct"/>
            <w:shd w:val="clear" w:color="auto" w:fill="auto"/>
            <w:vAlign w:val="center"/>
          </w:tcPr>
          <w:p w:rsidRPr="003B49D1" w:rsidR="003B49D1" w:rsidP="003B49D1" w:rsidRDefault="003B49D1" w14:paraId="2690FF2C" w14:textId="77777777">
            <w:pPr>
              <w:contextualSpacing/>
              <w:jc w:val="right"/>
              <w:rPr>
                <w:sz w:val="20"/>
                <w:szCs w:val="20"/>
              </w:rPr>
            </w:pPr>
            <w:r w:rsidRPr="003B49D1">
              <w:rPr>
                <w:sz w:val="20"/>
                <w:szCs w:val="20"/>
              </w:rPr>
              <w:t>48</w:t>
            </w:r>
          </w:p>
        </w:tc>
      </w:tr>
    </w:tbl>
    <w:p w:rsidRPr="003B49D1" w:rsidR="003B49D1" w:rsidP="003B49D1" w:rsidRDefault="003B49D1" w14:paraId="63D990FA" w14:textId="77777777">
      <w:pPr>
        <w:contextualSpacing/>
        <w:rPr>
          <w:sz w:val="18"/>
          <w:szCs w:val="18"/>
        </w:rPr>
      </w:pPr>
      <w:r w:rsidRPr="003B49D1">
        <w:rPr>
          <w:sz w:val="20"/>
          <w:szCs w:val="20"/>
          <w:vertAlign w:val="superscript"/>
        </w:rPr>
        <w:t>1</w:t>
      </w:r>
      <w:r w:rsidRPr="003B49D1">
        <w:rPr>
          <w:sz w:val="20"/>
          <w:szCs w:val="20"/>
        </w:rPr>
        <w:t xml:space="preserve"> There are no capital costs or operating and maintenance costs associated with this collection of information.</w:t>
      </w:r>
      <w:r w:rsidRPr="003B49D1">
        <w:rPr>
          <w:sz w:val="18"/>
          <w:szCs w:val="18"/>
        </w:rPr>
        <w:t xml:space="preserve">  </w:t>
      </w:r>
    </w:p>
    <w:p w:rsidRPr="003B49D1" w:rsidR="003B49D1" w:rsidP="00273F40" w:rsidRDefault="003B49D1" w14:paraId="2C9BAED3" w14:textId="77777777">
      <w:pPr>
        <w:contextual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36"/>
        <w:gridCol w:w="1495"/>
        <w:gridCol w:w="1868"/>
        <w:gridCol w:w="1404"/>
        <w:gridCol w:w="1682"/>
        <w:gridCol w:w="935"/>
      </w:tblGrid>
      <w:tr w:rsidRPr="003B49D1" w:rsidR="003B49D1" w:rsidTr="00BE6239" w14:paraId="56B5A3E6" w14:textId="77777777">
        <w:trPr>
          <w:cantSplit/>
          <w:trHeight w:val="117"/>
          <w:tblHeader/>
        </w:trPr>
        <w:tc>
          <w:tcPr>
            <w:tcW w:w="5000" w:type="pct"/>
            <w:gridSpan w:val="6"/>
            <w:tcBorders>
              <w:top w:val="nil"/>
              <w:left w:val="nil"/>
              <w:right w:val="nil"/>
            </w:tcBorders>
          </w:tcPr>
          <w:p w:rsidRPr="003B49D1" w:rsidR="003B49D1" w:rsidP="003B49D1" w:rsidRDefault="003B49D1" w14:paraId="6B8E8C9F" w14:textId="77777777">
            <w:pPr>
              <w:jc w:val="center"/>
              <w:rPr>
                <w:sz w:val="20"/>
                <w:szCs w:val="20"/>
              </w:rPr>
            </w:pPr>
            <w:bookmarkStart w:name="_Hlk99049610" w:id="0"/>
            <w:r w:rsidRPr="003B49D1">
              <w:rPr>
                <w:sz w:val="20"/>
                <w:szCs w:val="20"/>
              </w:rPr>
              <w:t xml:space="preserve">Table </w:t>
            </w:r>
            <w:r w:rsidRPr="003B49D1" w:rsidR="00C65763">
              <w:rPr>
                <w:sz w:val="20"/>
                <w:szCs w:val="20"/>
              </w:rPr>
              <w:t>3.--</w:t>
            </w:r>
            <w:r w:rsidRPr="003B49D1">
              <w:rPr>
                <w:sz w:val="20"/>
                <w:szCs w:val="20"/>
              </w:rPr>
              <w:t>Estimated Annual Third-Party Disclosure Burden</w:t>
            </w:r>
            <w:r w:rsidRPr="003B49D1">
              <w:rPr>
                <w:sz w:val="20"/>
                <w:szCs w:val="20"/>
                <w:vertAlign w:val="superscript"/>
              </w:rPr>
              <w:t>1</w:t>
            </w:r>
          </w:p>
        </w:tc>
      </w:tr>
      <w:bookmarkEnd w:id="0"/>
      <w:tr w:rsidRPr="003B49D1" w:rsidR="003B49D1" w:rsidTr="00BE6239" w14:paraId="53F2AC5C" w14:textId="77777777">
        <w:trPr>
          <w:cantSplit/>
          <w:trHeight w:val="593"/>
          <w:tblHeader/>
        </w:trPr>
        <w:tc>
          <w:tcPr>
            <w:tcW w:w="1202" w:type="pct"/>
          </w:tcPr>
          <w:p w:rsidRPr="003B49D1" w:rsidR="003B49D1" w:rsidP="003B49D1" w:rsidRDefault="003B49D1" w14:paraId="115D9D60" w14:textId="77777777">
            <w:pPr>
              <w:jc w:val="center"/>
              <w:rPr>
                <w:sz w:val="20"/>
                <w:szCs w:val="20"/>
              </w:rPr>
            </w:pPr>
            <w:r w:rsidRPr="003B49D1">
              <w:rPr>
                <w:sz w:val="20"/>
                <w:szCs w:val="20"/>
              </w:rPr>
              <w:t xml:space="preserve">21 CFR Section; Activity </w:t>
            </w:r>
          </w:p>
        </w:tc>
        <w:tc>
          <w:tcPr>
            <w:tcW w:w="769" w:type="pct"/>
          </w:tcPr>
          <w:p w:rsidRPr="003B49D1" w:rsidR="003B49D1" w:rsidP="003B49D1" w:rsidRDefault="003B49D1" w14:paraId="4F6B3827" w14:textId="77777777">
            <w:pPr>
              <w:jc w:val="center"/>
              <w:rPr>
                <w:sz w:val="20"/>
                <w:szCs w:val="20"/>
              </w:rPr>
            </w:pPr>
            <w:r w:rsidRPr="003B49D1">
              <w:rPr>
                <w:sz w:val="20"/>
                <w:szCs w:val="20"/>
              </w:rPr>
              <w:t>No. of Respondents</w:t>
            </w:r>
          </w:p>
        </w:tc>
        <w:tc>
          <w:tcPr>
            <w:tcW w:w="961" w:type="pct"/>
          </w:tcPr>
          <w:p w:rsidRPr="003B49D1" w:rsidR="003B49D1" w:rsidP="003B49D1" w:rsidRDefault="003B49D1" w14:paraId="5F56068F" w14:textId="77777777">
            <w:pPr>
              <w:jc w:val="center"/>
              <w:rPr>
                <w:sz w:val="20"/>
                <w:szCs w:val="20"/>
              </w:rPr>
            </w:pPr>
            <w:r w:rsidRPr="003B49D1">
              <w:rPr>
                <w:bCs/>
                <w:sz w:val="20"/>
                <w:szCs w:val="20"/>
              </w:rPr>
              <w:t>No. of Disclosures per Respondent</w:t>
            </w:r>
          </w:p>
        </w:tc>
        <w:tc>
          <w:tcPr>
            <w:tcW w:w="722" w:type="pct"/>
          </w:tcPr>
          <w:p w:rsidRPr="003B49D1" w:rsidR="003B49D1" w:rsidP="003B49D1" w:rsidRDefault="003B49D1" w14:paraId="0246865A" w14:textId="77777777">
            <w:pPr>
              <w:jc w:val="center"/>
              <w:rPr>
                <w:sz w:val="20"/>
                <w:szCs w:val="20"/>
              </w:rPr>
            </w:pPr>
            <w:r w:rsidRPr="003B49D1">
              <w:rPr>
                <w:sz w:val="20"/>
                <w:szCs w:val="20"/>
              </w:rPr>
              <w:t>Total Annual Disclosures</w:t>
            </w:r>
          </w:p>
        </w:tc>
        <w:tc>
          <w:tcPr>
            <w:tcW w:w="865" w:type="pct"/>
          </w:tcPr>
          <w:p w:rsidRPr="003B49D1" w:rsidR="003B49D1" w:rsidP="003B49D1" w:rsidRDefault="003B49D1" w14:paraId="669CDB79" w14:textId="77777777">
            <w:pPr>
              <w:jc w:val="center"/>
              <w:rPr>
                <w:sz w:val="20"/>
                <w:szCs w:val="20"/>
              </w:rPr>
            </w:pPr>
            <w:r w:rsidRPr="003B49D1">
              <w:rPr>
                <w:bCs/>
                <w:sz w:val="20"/>
                <w:szCs w:val="20"/>
              </w:rPr>
              <w:t>Average Burden per Disclosure</w:t>
            </w:r>
          </w:p>
        </w:tc>
        <w:tc>
          <w:tcPr>
            <w:tcW w:w="481" w:type="pct"/>
          </w:tcPr>
          <w:p w:rsidRPr="003B49D1" w:rsidR="003B49D1" w:rsidP="003B49D1" w:rsidRDefault="003B49D1" w14:paraId="2A9C9451" w14:textId="77777777">
            <w:pPr>
              <w:jc w:val="center"/>
              <w:rPr>
                <w:sz w:val="20"/>
                <w:szCs w:val="20"/>
              </w:rPr>
            </w:pPr>
            <w:r w:rsidRPr="003B49D1">
              <w:rPr>
                <w:sz w:val="20"/>
                <w:szCs w:val="20"/>
              </w:rPr>
              <w:t>Total Hours</w:t>
            </w:r>
          </w:p>
        </w:tc>
      </w:tr>
      <w:tr w:rsidRPr="003B49D1" w:rsidR="003B49D1" w:rsidTr="00BE6239" w14:paraId="6C2D3E98" w14:textId="77777777">
        <w:trPr>
          <w:cantSplit/>
          <w:trHeight w:val="1025"/>
        </w:trPr>
        <w:tc>
          <w:tcPr>
            <w:tcW w:w="1202" w:type="pct"/>
          </w:tcPr>
          <w:p w:rsidRPr="003B49D1" w:rsidR="003B49D1" w:rsidP="003B49D1" w:rsidRDefault="003B49D1" w14:paraId="1FCB2376" w14:textId="77777777">
            <w:pPr>
              <w:rPr>
                <w:sz w:val="20"/>
                <w:szCs w:val="20"/>
              </w:rPr>
            </w:pPr>
            <w:r w:rsidRPr="003B49D1">
              <w:rPr>
                <w:sz w:val="20"/>
                <w:szCs w:val="20"/>
              </w:rPr>
              <w:t>1.908; Disclosure of sanitary specifications; operating temperature conditions</w:t>
            </w:r>
          </w:p>
        </w:tc>
        <w:tc>
          <w:tcPr>
            <w:tcW w:w="769" w:type="pct"/>
          </w:tcPr>
          <w:p w:rsidRPr="003B49D1" w:rsidR="003B49D1" w:rsidP="003B49D1" w:rsidRDefault="003B49D1" w14:paraId="4F1C17C5" w14:textId="77777777">
            <w:pPr>
              <w:jc w:val="right"/>
              <w:rPr>
                <w:sz w:val="20"/>
                <w:szCs w:val="20"/>
              </w:rPr>
            </w:pPr>
            <w:r w:rsidRPr="003B49D1">
              <w:rPr>
                <w:sz w:val="20"/>
                <w:szCs w:val="20"/>
              </w:rPr>
              <w:t>226</w:t>
            </w:r>
          </w:p>
        </w:tc>
        <w:tc>
          <w:tcPr>
            <w:tcW w:w="961" w:type="pct"/>
          </w:tcPr>
          <w:p w:rsidRPr="003B49D1" w:rsidR="003B49D1" w:rsidP="003B49D1" w:rsidRDefault="003B49D1" w14:paraId="03C8B95C" w14:textId="77777777">
            <w:pPr>
              <w:jc w:val="right"/>
              <w:rPr>
                <w:sz w:val="20"/>
                <w:szCs w:val="20"/>
              </w:rPr>
            </w:pPr>
            <w:r w:rsidRPr="003B49D1">
              <w:rPr>
                <w:sz w:val="20"/>
                <w:szCs w:val="20"/>
              </w:rPr>
              <w:t>1</w:t>
            </w:r>
          </w:p>
        </w:tc>
        <w:tc>
          <w:tcPr>
            <w:tcW w:w="722" w:type="pct"/>
          </w:tcPr>
          <w:p w:rsidRPr="003B49D1" w:rsidR="003B49D1" w:rsidP="003B49D1" w:rsidRDefault="003B49D1" w14:paraId="467BBB43" w14:textId="77777777">
            <w:pPr>
              <w:jc w:val="right"/>
              <w:rPr>
                <w:sz w:val="20"/>
                <w:szCs w:val="20"/>
              </w:rPr>
            </w:pPr>
            <w:r w:rsidRPr="003B49D1">
              <w:rPr>
                <w:sz w:val="20"/>
                <w:szCs w:val="20"/>
              </w:rPr>
              <w:t>226</w:t>
            </w:r>
          </w:p>
        </w:tc>
        <w:tc>
          <w:tcPr>
            <w:tcW w:w="865" w:type="pct"/>
          </w:tcPr>
          <w:p w:rsidRPr="003B49D1" w:rsidR="003B49D1" w:rsidP="003B49D1" w:rsidRDefault="003B49D1" w14:paraId="13CBE610" w14:textId="77777777">
            <w:pPr>
              <w:jc w:val="right"/>
              <w:rPr>
                <w:sz w:val="20"/>
                <w:szCs w:val="20"/>
              </w:rPr>
            </w:pPr>
            <w:r w:rsidRPr="003B49D1">
              <w:rPr>
                <w:sz w:val="20"/>
                <w:szCs w:val="20"/>
              </w:rPr>
              <w:t>0.5833</w:t>
            </w:r>
          </w:p>
          <w:p w:rsidRPr="003B49D1" w:rsidR="003B49D1" w:rsidP="003B49D1" w:rsidRDefault="003B49D1" w14:paraId="1045BCCC" w14:textId="77777777">
            <w:pPr>
              <w:jc w:val="right"/>
              <w:rPr>
                <w:sz w:val="20"/>
                <w:szCs w:val="20"/>
              </w:rPr>
            </w:pPr>
            <w:r w:rsidRPr="003B49D1">
              <w:rPr>
                <w:sz w:val="20"/>
                <w:szCs w:val="20"/>
              </w:rPr>
              <w:t>(~35 mins.)</w:t>
            </w:r>
          </w:p>
        </w:tc>
        <w:tc>
          <w:tcPr>
            <w:tcW w:w="481" w:type="pct"/>
          </w:tcPr>
          <w:p w:rsidRPr="003B49D1" w:rsidR="003B49D1" w:rsidP="003B49D1" w:rsidRDefault="003B49D1" w14:paraId="5E688E70" w14:textId="77777777">
            <w:pPr>
              <w:jc w:val="right"/>
              <w:rPr>
                <w:sz w:val="20"/>
                <w:szCs w:val="20"/>
              </w:rPr>
            </w:pPr>
            <w:r w:rsidRPr="003B49D1">
              <w:rPr>
                <w:sz w:val="20"/>
                <w:szCs w:val="20"/>
              </w:rPr>
              <w:t>132</w:t>
            </w:r>
          </w:p>
        </w:tc>
      </w:tr>
    </w:tbl>
    <w:p w:rsidRPr="003B49D1" w:rsidR="003B49D1" w:rsidP="003B49D1" w:rsidRDefault="003B49D1" w14:paraId="1EC73A3E" w14:textId="77777777">
      <w:pPr>
        <w:spacing w:line="480" w:lineRule="auto"/>
        <w:rPr>
          <w:szCs w:val="20"/>
        </w:rPr>
      </w:pPr>
      <w:r w:rsidRPr="003B49D1">
        <w:rPr>
          <w:sz w:val="20"/>
          <w:szCs w:val="20"/>
          <w:vertAlign w:val="superscript"/>
        </w:rPr>
        <w:t>1</w:t>
      </w:r>
      <w:r w:rsidRPr="003B49D1">
        <w:rPr>
          <w:sz w:val="20"/>
          <w:szCs w:val="20"/>
        </w:rPr>
        <w:t xml:space="preserve"> There are no capital costs or operating and maintenance costs associated with this collection of information.</w:t>
      </w:r>
      <w:r w:rsidRPr="003B49D1">
        <w:rPr>
          <w:sz w:val="18"/>
          <w:szCs w:val="18"/>
        </w:rPr>
        <w:t xml:space="preserve">  </w:t>
      </w:r>
    </w:p>
    <w:p w:rsidRPr="00C62E0C" w:rsidR="00357C8A" w:rsidP="00E64751" w:rsidRDefault="00E64751" w14:paraId="5C121B16" w14:textId="4192C7B2">
      <w:pPr>
        <w:spacing w:after="200"/>
        <w:rPr>
          <w:rFonts w:eastAsia="Calibri"/>
          <w:i/>
          <w:iCs/>
        </w:rPr>
      </w:pPr>
      <w:r>
        <w:rPr>
          <w:rFonts w:eastAsia="Calibri"/>
          <w:i/>
          <w:iCs/>
        </w:rPr>
        <w:tab/>
      </w:r>
      <w:r w:rsidRPr="00C62E0C" w:rsidR="00357C8A">
        <w:rPr>
          <w:rFonts w:eastAsia="Calibri"/>
          <w:i/>
          <w:iCs/>
        </w:rPr>
        <w:t>12b.  Annualized Cost Burden Estimate</w:t>
      </w:r>
    </w:p>
    <w:p w:rsidR="00A707CC" w:rsidP="00C62E0C" w:rsidRDefault="00E64751" w14:paraId="3DA60E88" w14:textId="7DA3F4AF">
      <w:pPr>
        <w:rPr>
          <w:rFonts w:eastAsia="Calibri"/>
        </w:rPr>
      </w:pPr>
      <w:r>
        <w:rPr>
          <w:rFonts w:eastAsia="Calibri"/>
        </w:rPr>
        <w:tab/>
        <w:t xml:space="preserve">To determine cost burden we make the following assumptions:  </w:t>
      </w:r>
      <w:r w:rsidR="00441D8A">
        <w:rPr>
          <w:rFonts w:eastAsia="Calibri"/>
        </w:rPr>
        <w:t>w</w:t>
      </w:r>
      <w:r w:rsidRPr="006B2097" w:rsidR="006B2097">
        <w:rPr>
          <w:rFonts w:eastAsia="Calibri"/>
        </w:rPr>
        <w:t>e estimate that three types of respondent employees</w:t>
      </w:r>
      <w:r w:rsidR="00C65763">
        <w:rPr>
          <w:rFonts w:eastAsia="Calibri"/>
        </w:rPr>
        <w:t xml:space="preserve"> </w:t>
      </w:r>
      <w:r w:rsidR="00441D8A">
        <w:rPr>
          <w:rFonts w:eastAsia="Calibri"/>
        </w:rPr>
        <w:t xml:space="preserve">are </w:t>
      </w:r>
      <w:r w:rsidRPr="006B2097" w:rsidR="006B2097">
        <w:rPr>
          <w:rFonts w:eastAsia="Calibri"/>
        </w:rPr>
        <w:t>responsible for information collection: cargo and freight agents</w:t>
      </w:r>
      <w:r w:rsidR="001F7D74">
        <w:rPr>
          <w:rFonts w:eastAsia="Calibri"/>
        </w:rPr>
        <w:t xml:space="preserve"> (BLS Category 43-5011, mean hourly wage $21.19, fully loaded hourly wage $31.79)</w:t>
      </w:r>
      <w:r w:rsidRPr="006B2097" w:rsidR="006B2097">
        <w:rPr>
          <w:rFonts w:eastAsia="Calibri"/>
        </w:rPr>
        <w:t>; first-line supervisors of</w:t>
      </w:r>
      <w:r w:rsidR="00C65763">
        <w:rPr>
          <w:rFonts w:eastAsia="Calibri"/>
        </w:rPr>
        <w:t xml:space="preserve"> </w:t>
      </w:r>
      <w:r w:rsidRPr="006B2097" w:rsidR="006B2097">
        <w:rPr>
          <w:rFonts w:eastAsia="Calibri"/>
        </w:rPr>
        <w:t>transportation and material-moving machine and vehicle operators</w:t>
      </w:r>
      <w:r w:rsidR="001F7D74">
        <w:rPr>
          <w:rFonts w:eastAsia="Calibri"/>
        </w:rPr>
        <w:t xml:space="preserve"> (BLS Category 53-1040, mean hourly wage $29.60, fully loaded hourly wage $44.40)</w:t>
      </w:r>
      <w:r w:rsidRPr="006B2097" w:rsidR="006B2097">
        <w:rPr>
          <w:rFonts w:eastAsia="Calibri"/>
        </w:rPr>
        <w:t xml:space="preserve">; </w:t>
      </w:r>
      <w:r w:rsidRPr="006B2097" w:rsidR="00EF3B66">
        <w:rPr>
          <w:rFonts w:eastAsia="Calibri"/>
        </w:rPr>
        <w:t>and</w:t>
      </w:r>
      <w:r w:rsidRPr="006B2097" w:rsidR="006B2097">
        <w:rPr>
          <w:rFonts w:eastAsia="Calibri"/>
        </w:rPr>
        <w:t xml:space="preserve"> managerial or</w:t>
      </w:r>
      <w:r w:rsidR="00C65763">
        <w:rPr>
          <w:rFonts w:eastAsia="Calibri"/>
        </w:rPr>
        <w:t xml:space="preserve"> </w:t>
      </w:r>
      <w:r w:rsidRPr="006B2097" w:rsidR="006B2097">
        <w:rPr>
          <w:rFonts w:eastAsia="Calibri"/>
        </w:rPr>
        <w:t>professional employees such as plant managers, food safety specialists, and in-house legal</w:t>
      </w:r>
      <w:r w:rsidR="00C65763">
        <w:rPr>
          <w:rFonts w:eastAsia="Calibri"/>
        </w:rPr>
        <w:t xml:space="preserve"> </w:t>
      </w:r>
      <w:r w:rsidRPr="006B2097" w:rsidR="006B2097">
        <w:rPr>
          <w:rFonts w:eastAsia="Calibri"/>
        </w:rPr>
        <w:t>counsel</w:t>
      </w:r>
      <w:r w:rsidR="001F7D74">
        <w:rPr>
          <w:rFonts w:eastAsia="Calibri"/>
        </w:rPr>
        <w:t xml:space="preserve"> (BLS Category 11-1021, mean hourly wage $54.02, fully loaded hourly wage $81.03)</w:t>
      </w:r>
      <w:r w:rsidRPr="006B2097" w:rsidR="006B2097">
        <w:rPr>
          <w:rFonts w:eastAsia="Calibri"/>
        </w:rPr>
        <w:t xml:space="preserve">. </w:t>
      </w:r>
      <w:r w:rsidR="00C65763">
        <w:rPr>
          <w:rFonts w:eastAsia="Calibri"/>
        </w:rPr>
        <w:t xml:space="preserve"> </w:t>
      </w:r>
      <w:r w:rsidRPr="006B2097" w:rsidR="006B2097">
        <w:rPr>
          <w:rFonts w:eastAsia="Calibri"/>
        </w:rPr>
        <w:t>We base our estimate of the wage rates on the Bureau of Labor Statistics,</w:t>
      </w:r>
      <w:r w:rsidR="00C65763">
        <w:rPr>
          <w:rFonts w:eastAsia="Calibri"/>
        </w:rPr>
        <w:t xml:space="preserve"> </w:t>
      </w:r>
      <w:r w:rsidRPr="006B2097" w:rsidR="006B2097">
        <w:rPr>
          <w:rFonts w:eastAsia="Calibri"/>
        </w:rPr>
        <w:t xml:space="preserve">Occupational Employment Statistics, May </w:t>
      </w:r>
      <w:r w:rsidR="00182F8C">
        <w:rPr>
          <w:rFonts w:eastAsia="Calibri"/>
        </w:rPr>
        <w:t>2021</w:t>
      </w:r>
      <w:r w:rsidRPr="006B2097" w:rsidR="006B2097">
        <w:rPr>
          <w:rFonts w:eastAsia="Calibri"/>
        </w:rPr>
        <w:t>, National Industry-Specific Occupational</w:t>
      </w:r>
      <w:r w:rsidR="00733829">
        <w:rPr>
          <w:rFonts w:eastAsia="Calibri"/>
        </w:rPr>
        <w:t xml:space="preserve"> </w:t>
      </w:r>
      <w:r w:rsidRPr="006B2097" w:rsidR="006B2097">
        <w:rPr>
          <w:rFonts w:eastAsia="Calibri"/>
        </w:rPr>
        <w:t>Employment and Wage Estimates</w:t>
      </w:r>
      <w:r w:rsidR="00EF3B66">
        <w:rPr>
          <w:rStyle w:val="FootnoteReference"/>
          <w:rFonts w:eastAsia="Calibri"/>
        </w:rPr>
        <w:footnoteReference w:id="1"/>
      </w:r>
      <w:r w:rsidR="00B61B75">
        <w:rPr>
          <w:rFonts w:eastAsia="Calibri"/>
        </w:rPr>
        <w:t xml:space="preserve"> and multiply the hourly wage by 1.5</w:t>
      </w:r>
      <w:r w:rsidR="00182F8C">
        <w:rPr>
          <w:rFonts w:eastAsia="Calibri"/>
        </w:rPr>
        <w:t xml:space="preserve"> (</w:t>
      </w:r>
      <w:r w:rsidR="000F2690">
        <w:rPr>
          <w:rFonts w:eastAsia="Calibri"/>
        </w:rPr>
        <w:t>i</w:t>
      </w:r>
      <w:r w:rsidR="00182F8C">
        <w:rPr>
          <w:rFonts w:eastAsia="Calibri"/>
        </w:rPr>
        <w:t>.</w:t>
      </w:r>
      <w:r w:rsidR="000F2690">
        <w:rPr>
          <w:rFonts w:eastAsia="Calibri"/>
        </w:rPr>
        <w:t>e</w:t>
      </w:r>
      <w:r w:rsidR="00182F8C">
        <w:rPr>
          <w:rFonts w:eastAsia="Calibri"/>
        </w:rPr>
        <w:t xml:space="preserve">., 150%) </w:t>
      </w:r>
      <w:r w:rsidR="00B61B75">
        <w:rPr>
          <w:rFonts w:eastAsia="Calibri"/>
        </w:rPr>
        <w:t>for a fully loaded wage rate which covers overhead.</w:t>
      </w:r>
      <w:r w:rsidR="00522EE2">
        <w:rPr>
          <w:rFonts w:eastAsia="Calibri"/>
        </w:rPr>
        <w:t xml:space="preserve">  Therefore</w:t>
      </w:r>
      <w:r w:rsidR="00267D35">
        <w:rPr>
          <w:rFonts w:eastAsia="Calibri"/>
        </w:rPr>
        <w:t>,</w:t>
      </w:r>
      <w:r w:rsidR="00522EE2">
        <w:rPr>
          <w:rFonts w:eastAsia="Calibri"/>
        </w:rPr>
        <w:t xml:space="preserve"> the total costs for this collection of information is </w:t>
      </w:r>
      <w:r w:rsidR="00267D35">
        <w:rPr>
          <w:rFonts w:eastAsia="Calibri"/>
        </w:rPr>
        <w:t xml:space="preserve">estimated to be </w:t>
      </w:r>
      <w:r w:rsidR="00522EE2">
        <w:rPr>
          <w:rFonts w:eastAsia="Calibri"/>
        </w:rPr>
        <w:t>$</w:t>
      </w:r>
      <w:r w:rsidR="00267D35">
        <w:rPr>
          <w:rFonts w:eastAsia="Calibri"/>
        </w:rPr>
        <w:t>4,0</w:t>
      </w:r>
      <w:r w:rsidR="002E2B82">
        <w:rPr>
          <w:rFonts w:eastAsia="Calibri"/>
        </w:rPr>
        <w:t>12</w:t>
      </w:r>
      <w:r w:rsidR="00267D35">
        <w:rPr>
          <w:rFonts w:eastAsia="Calibri"/>
        </w:rPr>
        <w:t>,835.03</w:t>
      </w:r>
      <w:r w:rsidR="00522EE2">
        <w:rPr>
          <w:rFonts w:eastAsia="Calibri"/>
        </w:rPr>
        <w:t xml:space="preserve">. </w:t>
      </w:r>
    </w:p>
    <w:p w:rsidR="008E2E11" w:rsidP="0022425B" w:rsidRDefault="008E2E11" w14:paraId="268854B2" w14:textId="77777777">
      <w:pPr>
        <w:rPr>
          <w:rFonts w:eastAsia="Calibr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55"/>
        <w:gridCol w:w="2066"/>
        <w:gridCol w:w="2125"/>
        <w:gridCol w:w="2105"/>
        <w:gridCol w:w="669"/>
      </w:tblGrid>
      <w:tr w:rsidRPr="003B49D1" w:rsidR="00EF3B66" w:rsidTr="00273F40" w14:paraId="647FE14F" w14:textId="77777777">
        <w:trPr>
          <w:cantSplit/>
          <w:trHeight w:val="117"/>
        </w:trPr>
        <w:tc>
          <w:tcPr>
            <w:tcW w:w="5000" w:type="pct"/>
            <w:gridSpan w:val="5"/>
            <w:tcBorders>
              <w:top w:val="nil"/>
              <w:left w:val="nil"/>
              <w:right w:val="nil"/>
            </w:tcBorders>
          </w:tcPr>
          <w:p w:rsidRPr="003B49D1" w:rsidR="00EF3B66" w:rsidP="004667E5" w:rsidRDefault="00EF3B66" w14:paraId="5725E99C" w14:textId="77777777">
            <w:pPr>
              <w:jc w:val="center"/>
              <w:rPr>
                <w:sz w:val="20"/>
                <w:szCs w:val="20"/>
              </w:rPr>
            </w:pPr>
            <w:r w:rsidRPr="003B49D1">
              <w:rPr>
                <w:sz w:val="20"/>
                <w:szCs w:val="20"/>
              </w:rPr>
              <w:lastRenderedPageBreak/>
              <w:t xml:space="preserve">Table </w:t>
            </w:r>
            <w:r>
              <w:rPr>
                <w:sz w:val="20"/>
                <w:szCs w:val="20"/>
              </w:rPr>
              <w:t>4</w:t>
            </w:r>
            <w:r w:rsidRPr="003B49D1">
              <w:rPr>
                <w:sz w:val="20"/>
                <w:szCs w:val="20"/>
              </w:rPr>
              <w:t xml:space="preserve">.--Estimated </w:t>
            </w:r>
            <w:r w:rsidR="003219AF">
              <w:rPr>
                <w:sz w:val="20"/>
                <w:szCs w:val="20"/>
              </w:rPr>
              <w:t xml:space="preserve">Annual Cost </w:t>
            </w:r>
            <w:r>
              <w:rPr>
                <w:sz w:val="20"/>
                <w:szCs w:val="20"/>
              </w:rPr>
              <w:t>Burden</w:t>
            </w:r>
          </w:p>
        </w:tc>
      </w:tr>
      <w:tr w:rsidR="00A707CC" w:rsidTr="00273F40" w14:paraId="47825B09" w14:textId="77777777">
        <w:trPr>
          <w:gridAfter w:val="1"/>
          <w:wAfter w:w="612" w:type="dxa"/>
        </w:trPr>
        <w:tc>
          <w:tcPr>
            <w:tcW w:w="2520" w:type="dxa"/>
            <w:shd w:val="clear" w:color="auto" w:fill="auto"/>
          </w:tcPr>
          <w:p w:rsidRPr="00273F40" w:rsidR="00A707CC" w:rsidP="00312622" w:rsidRDefault="00A707CC" w14:paraId="18F37329" w14:textId="77777777">
            <w:pPr>
              <w:jc w:val="center"/>
              <w:rPr>
                <w:sz w:val="20"/>
                <w:szCs w:val="20"/>
              </w:rPr>
            </w:pPr>
            <w:r w:rsidRPr="00273F40">
              <w:rPr>
                <w:sz w:val="20"/>
                <w:szCs w:val="20"/>
              </w:rPr>
              <w:t>Type of Respondent</w:t>
            </w:r>
          </w:p>
        </w:tc>
        <w:tc>
          <w:tcPr>
            <w:tcW w:w="1890" w:type="dxa"/>
            <w:shd w:val="clear" w:color="auto" w:fill="auto"/>
          </w:tcPr>
          <w:p w:rsidRPr="00273F40" w:rsidR="00A707CC" w:rsidP="00312622" w:rsidRDefault="00A707CC" w14:paraId="4E95AF1B" w14:textId="77777777">
            <w:pPr>
              <w:jc w:val="center"/>
              <w:rPr>
                <w:sz w:val="20"/>
                <w:szCs w:val="20"/>
              </w:rPr>
            </w:pPr>
            <w:r w:rsidRPr="00273F40">
              <w:rPr>
                <w:sz w:val="20"/>
                <w:szCs w:val="20"/>
              </w:rPr>
              <w:t>Total Burden Hours</w:t>
            </w:r>
          </w:p>
        </w:tc>
        <w:tc>
          <w:tcPr>
            <w:tcW w:w="1944" w:type="dxa"/>
            <w:shd w:val="clear" w:color="auto" w:fill="auto"/>
          </w:tcPr>
          <w:p w:rsidRPr="00273F40" w:rsidR="00A707CC" w:rsidP="00312622" w:rsidRDefault="00A707CC" w14:paraId="5F6B7606" w14:textId="77777777">
            <w:pPr>
              <w:jc w:val="center"/>
              <w:rPr>
                <w:sz w:val="20"/>
                <w:szCs w:val="20"/>
              </w:rPr>
            </w:pPr>
            <w:r w:rsidRPr="00273F40">
              <w:rPr>
                <w:sz w:val="20"/>
                <w:szCs w:val="20"/>
              </w:rPr>
              <w:t>Hourly Wage Rate</w:t>
            </w:r>
          </w:p>
        </w:tc>
        <w:tc>
          <w:tcPr>
            <w:tcW w:w="1926" w:type="dxa"/>
            <w:shd w:val="clear" w:color="auto" w:fill="auto"/>
          </w:tcPr>
          <w:p w:rsidRPr="00273F40" w:rsidR="00A707CC" w:rsidP="00312622" w:rsidRDefault="00A707CC" w14:paraId="389BAE81" w14:textId="77777777">
            <w:pPr>
              <w:jc w:val="center"/>
              <w:rPr>
                <w:sz w:val="20"/>
                <w:szCs w:val="20"/>
              </w:rPr>
            </w:pPr>
            <w:r w:rsidRPr="00273F40">
              <w:rPr>
                <w:sz w:val="20"/>
                <w:szCs w:val="20"/>
              </w:rPr>
              <w:t>Total Respondent Costs</w:t>
            </w:r>
          </w:p>
        </w:tc>
      </w:tr>
      <w:tr w:rsidR="00A707CC" w:rsidTr="00273F40" w14:paraId="7DD7A8B6" w14:textId="77777777">
        <w:trPr>
          <w:gridAfter w:val="1"/>
          <w:wAfter w:w="612" w:type="dxa"/>
          <w:trHeight w:val="557"/>
        </w:trPr>
        <w:tc>
          <w:tcPr>
            <w:tcW w:w="2520" w:type="dxa"/>
            <w:shd w:val="clear" w:color="auto" w:fill="auto"/>
          </w:tcPr>
          <w:p w:rsidRPr="00273F40" w:rsidR="00A707CC" w:rsidP="00312622" w:rsidRDefault="006B2097" w14:paraId="6EEB4FBE" w14:textId="77777777">
            <w:pPr>
              <w:rPr>
                <w:sz w:val="20"/>
                <w:szCs w:val="20"/>
              </w:rPr>
            </w:pPr>
            <w:r w:rsidRPr="00273F40">
              <w:rPr>
                <w:sz w:val="20"/>
                <w:szCs w:val="20"/>
              </w:rPr>
              <w:t>Cargo and Freight Agent (97.5% total hours)</w:t>
            </w:r>
          </w:p>
        </w:tc>
        <w:tc>
          <w:tcPr>
            <w:tcW w:w="1890" w:type="dxa"/>
            <w:shd w:val="clear" w:color="auto" w:fill="auto"/>
          </w:tcPr>
          <w:p w:rsidRPr="00273F40" w:rsidR="00A707CC" w:rsidP="008E2E11" w:rsidRDefault="006B2097" w14:paraId="545F264E" w14:textId="77777777">
            <w:pPr>
              <w:jc w:val="right"/>
              <w:rPr>
                <w:sz w:val="20"/>
                <w:szCs w:val="20"/>
              </w:rPr>
            </w:pPr>
            <w:r w:rsidRPr="00273F40">
              <w:rPr>
                <w:sz w:val="20"/>
                <w:szCs w:val="20"/>
              </w:rPr>
              <w:t>121,72</w:t>
            </w:r>
            <w:r w:rsidRPr="00273F40" w:rsidR="000C075B">
              <w:rPr>
                <w:sz w:val="20"/>
                <w:szCs w:val="20"/>
              </w:rPr>
              <w:t>9</w:t>
            </w:r>
          </w:p>
        </w:tc>
        <w:tc>
          <w:tcPr>
            <w:tcW w:w="1944" w:type="dxa"/>
            <w:shd w:val="clear" w:color="auto" w:fill="auto"/>
          </w:tcPr>
          <w:p w:rsidRPr="00273F40" w:rsidR="00A707CC" w:rsidP="008E2E11" w:rsidRDefault="006B2097" w14:paraId="614D68F5" w14:textId="77777777">
            <w:pPr>
              <w:jc w:val="right"/>
              <w:rPr>
                <w:sz w:val="20"/>
                <w:szCs w:val="20"/>
              </w:rPr>
            </w:pPr>
            <w:r w:rsidRPr="00273F40">
              <w:rPr>
                <w:sz w:val="20"/>
                <w:szCs w:val="20"/>
              </w:rPr>
              <w:t>$</w:t>
            </w:r>
            <w:r w:rsidR="001F7D74">
              <w:rPr>
                <w:sz w:val="20"/>
                <w:szCs w:val="20"/>
              </w:rPr>
              <w:t>31.79</w:t>
            </w:r>
          </w:p>
        </w:tc>
        <w:tc>
          <w:tcPr>
            <w:tcW w:w="1926" w:type="dxa"/>
            <w:shd w:val="clear" w:color="auto" w:fill="auto"/>
          </w:tcPr>
          <w:p w:rsidRPr="00273F40" w:rsidR="00A707CC" w:rsidP="008E2E11" w:rsidRDefault="00AE6AE5" w14:paraId="71C06B0C" w14:textId="77777777">
            <w:pPr>
              <w:jc w:val="right"/>
              <w:rPr>
                <w:sz w:val="20"/>
                <w:szCs w:val="20"/>
              </w:rPr>
            </w:pPr>
            <w:r w:rsidRPr="00273F40">
              <w:rPr>
                <w:sz w:val="20"/>
                <w:szCs w:val="20"/>
              </w:rPr>
              <w:t>$</w:t>
            </w:r>
            <w:r w:rsidR="00267D35">
              <w:rPr>
                <w:sz w:val="20"/>
                <w:szCs w:val="20"/>
              </w:rPr>
              <w:t>3</w:t>
            </w:r>
            <w:r w:rsidRPr="00273F40">
              <w:rPr>
                <w:sz w:val="20"/>
                <w:szCs w:val="20"/>
              </w:rPr>
              <w:t>,</w:t>
            </w:r>
            <w:r w:rsidR="00267D35">
              <w:rPr>
                <w:sz w:val="20"/>
                <w:szCs w:val="20"/>
              </w:rPr>
              <w:t>869</w:t>
            </w:r>
            <w:r w:rsidRPr="00273F40">
              <w:rPr>
                <w:sz w:val="20"/>
                <w:szCs w:val="20"/>
              </w:rPr>
              <w:t>,</w:t>
            </w:r>
            <w:r w:rsidR="00267D35">
              <w:rPr>
                <w:sz w:val="20"/>
                <w:szCs w:val="20"/>
              </w:rPr>
              <w:t>764</w:t>
            </w:r>
            <w:r w:rsidRPr="00273F40" w:rsidR="000C075B">
              <w:rPr>
                <w:sz w:val="20"/>
                <w:szCs w:val="20"/>
              </w:rPr>
              <w:t>.</w:t>
            </w:r>
            <w:r w:rsidR="00267D35">
              <w:rPr>
                <w:sz w:val="20"/>
                <w:szCs w:val="20"/>
              </w:rPr>
              <w:t>91</w:t>
            </w:r>
          </w:p>
        </w:tc>
      </w:tr>
      <w:tr w:rsidR="006B2097" w:rsidTr="00273F40" w14:paraId="1D0A5DB7" w14:textId="77777777">
        <w:trPr>
          <w:gridAfter w:val="1"/>
          <w:wAfter w:w="612" w:type="dxa"/>
          <w:trHeight w:val="1250"/>
        </w:trPr>
        <w:tc>
          <w:tcPr>
            <w:tcW w:w="2520" w:type="dxa"/>
            <w:shd w:val="clear" w:color="auto" w:fill="auto"/>
          </w:tcPr>
          <w:p w:rsidRPr="00273F40" w:rsidR="006B2097" w:rsidP="006B2097" w:rsidRDefault="006B2097" w14:paraId="557049F9" w14:textId="77777777">
            <w:pPr>
              <w:autoSpaceDE w:val="0"/>
              <w:autoSpaceDN w:val="0"/>
              <w:adjustRightInd w:val="0"/>
              <w:rPr>
                <w:sz w:val="20"/>
                <w:szCs w:val="20"/>
              </w:rPr>
            </w:pPr>
            <w:r w:rsidRPr="00273F40">
              <w:rPr>
                <w:sz w:val="20"/>
                <w:szCs w:val="20"/>
              </w:rPr>
              <w:t>First-Line Supervisors of Transportation and Material-Moving Machine and Vehicle Operators</w:t>
            </w:r>
          </w:p>
          <w:p w:rsidRPr="00273F40" w:rsidR="006B2097" w:rsidP="006B2097" w:rsidRDefault="006B2097" w14:paraId="4FD2B909" w14:textId="77777777">
            <w:pPr>
              <w:rPr>
                <w:sz w:val="20"/>
                <w:szCs w:val="20"/>
              </w:rPr>
            </w:pPr>
            <w:r w:rsidRPr="00273F40">
              <w:rPr>
                <w:sz w:val="20"/>
                <w:szCs w:val="20"/>
              </w:rPr>
              <w:t>(2.4% total hours)</w:t>
            </w:r>
          </w:p>
        </w:tc>
        <w:tc>
          <w:tcPr>
            <w:tcW w:w="1890" w:type="dxa"/>
            <w:shd w:val="clear" w:color="auto" w:fill="auto"/>
          </w:tcPr>
          <w:p w:rsidRPr="00273F40" w:rsidR="006B2097" w:rsidP="008E2E11" w:rsidRDefault="006B2097" w14:paraId="62117778" w14:textId="77777777">
            <w:pPr>
              <w:jc w:val="right"/>
              <w:rPr>
                <w:sz w:val="20"/>
                <w:szCs w:val="20"/>
              </w:rPr>
            </w:pPr>
            <w:r w:rsidRPr="00273F40">
              <w:rPr>
                <w:sz w:val="20"/>
                <w:szCs w:val="20"/>
              </w:rPr>
              <w:t>2,996</w:t>
            </w:r>
          </w:p>
        </w:tc>
        <w:tc>
          <w:tcPr>
            <w:tcW w:w="1944" w:type="dxa"/>
            <w:shd w:val="clear" w:color="auto" w:fill="auto"/>
          </w:tcPr>
          <w:p w:rsidRPr="00273F40" w:rsidR="006B2097" w:rsidP="008E2E11" w:rsidRDefault="00CF6F3A" w14:paraId="53211155" w14:textId="77777777">
            <w:pPr>
              <w:jc w:val="right"/>
              <w:rPr>
                <w:sz w:val="20"/>
                <w:szCs w:val="20"/>
              </w:rPr>
            </w:pPr>
            <w:r w:rsidRPr="00273F40">
              <w:rPr>
                <w:sz w:val="20"/>
                <w:szCs w:val="20"/>
              </w:rPr>
              <w:t>$</w:t>
            </w:r>
            <w:r w:rsidR="001F7D74">
              <w:rPr>
                <w:sz w:val="20"/>
                <w:szCs w:val="20"/>
              </w:rPr>
              <w:t>44</w:t>
            </w:r>
            <w:r w:rsidRPr="00273F40">
              <w:rPr>
                <w:sz w:val="20"/>
                <w:szCs w:val="20"/>
              </w:rPr>
              <w:t>.</w:t>
            </w:r>
            <w:r w:rsidR="00267D35">
              <w:rPr>
                <w:sz w:val="20"/>
                <w:szCs w:val="20"/>
              </w:rPr>
              <w:t>40</w:t>
            </w:r>
          </w:p>
        </w:tc>
        <w:tc>
          <w:tcPr>
            <w:tcW w:w="1926" w:type="dxa"/>
            <w:shd w:val="clear" w:color="auto" w:fill="auto"/>
          </w:tcPr>
          <w:p w:rsidRPr="00273F40" w:rsidR="006B2097" w:rsidP="008E2E11" w:rsidRDefault="00CF6F3A" w14:paraId="36A2C272" w14:textId="77777777">
            <w:pPr>
              <w:jc w:val="right"/>
              <w:rPr>
                <w:sz w:val="20"/>
                <w:szCs w:val="20"/>
              </w:rPr>
            </w:pPr>
            <w:r w:rsidRPr="00273F40">
              <w:rPr>
                <w:sz w:val="20"/>
                <w:szCs w:val="20"/>
              </w:rPr>
              <w:t>$</w:t>
            </w:r>
            <w:r w:rsidR="00267D35">
              <w:rPr>
                <w:sz w:val="20"/>
                <w:szCs w:val="20"/>
              </w:rPr>
              <w:t>13</w:t>
            </w:r>
            <w:r w:rsidR="002E2B82">
              <w:rPr>
                <w:sz w:val="20"/>
                <w:szCs w:val="20"/>
              </w:rPr>
              <w:t>3</w:t>
            </w:r>
            <w:r w:rsidRPr="00273F40" w:rsidR="00AE6AE5">
              <w:rPr>
                <w:sz w:val="20"/>
                <w:szCs w:val="20"/>
              </w:rPr>
              <w:t>,</w:t>
            </w:r>
            <w:r w:rsidR="00267D35">
              <w:rPr>
                <w:sz w:val="20"/>
                <w:szCs w:val="20"/>
              </w:rPr>
              <w:t>022</w:t>
            </w:r>
            <w:r w:rsidRPr="00273F40" w:rsidR="00AE6AE5">
              <w:rPr>
                <w:sz w:val="20"/>
                <w:szCs w:val="20"/>
              </w:rPr>
              <w:t>.</w:t>
            </w:r>
            <w:r w:rsidR="00267D35">
              <w:rPr>
                <w:sz w:val="20"/>
                <w:szCs w:val="20"/>
              </w:rPr>
              <w:t>40</w:t>
            </w:r>
          </w:p>
        </w:tc>
      </w:tr>
      <w:tr w:rsidR="006B2097" w:rsidTr="00273F40" w14:paraId="67A587CE" w14:textId="77777777">
        <w:trPr>
          <w:gridAfter w:val="1"/>
          <w:wAfter w:w="612" w:type="dxa"/>
          <w:trHeight w:val="800"/>
        </w:trPr>
        <w:tc>
          <w:tcPr>
            <w:tcW w:w="2520" w:type="dxa"/>
            <w:shd w:val="clear" w:color="auto" w:fill="auto"/>
          </w:tcPr>
          <w:p w:rsidRPr="00273F40" w:rsidR="006B2097" w:rsidP="006B2097" w:rsidRDefault="006B2097" w14:paraId="31BA0834" w14:textId="77777777">
            <w:pPr>
              <w:autoSpaceDE w:val="0"/>
              <w:autoSpaceDN w:val="0"/>
              <w:adjustRightInd w:val="0"/>
              <w:rPr>
                <w:sz w:val="20"/>
                <w:szCs w:val="20"/>
              </w:rPr>
            </w:pPr>
            <w:r w:rsidRPr="00273F40">
              <w:rPr>
                <w:sz w:val="20"/>
                <w:szCs w:val="20"/>
              </w:rPr>
              <w:t>Managerial or Professional Employees</w:t>
            </w:r>
          </w:p>
          <w:p w:rsidRPr="00273F40" w:rsidR="006B2097" w:rsidP="006B2097" w:rsidRDefault="006B2097" w14:paraId="48D97ABF" w14:textId="77777777">
            <w:pPr>
              <w:rPr>
                <w:sz w:val="20"/>
                <w:szCs w:val="20"/>
              </w:rPr>
            </w:pPr>
            <w:r w:rsidRPr="00273F40">
              <w:rPr>
                <w:sz w:val="20"/>
                <w:szCs w:val="20"/>
              </w:rPr>
              <w:t>(0.1% total hours)</w:t>
            </w:r>
          </w:p>
        </w:tc>
        <w:tc>
          <w:tcPr>
            <w:tcW w:w="1890" w:type="dxa"/>
            <w:shd w:val="clear" w:color="auto" w:fill="auto"/>
          </w:tcPr>
          <w:p w:rsidRPr="00273F40" w:rsidR="006B2097" w:rsidP="008E2E11" w:rsidRDefault="00CF6F3A" w14:paraId="5A46D2A4" w14:textId="77777777">
            <w:pPr>
              <w:jc w:val="right"/>
              <w:rPr>
                <w:sz w:val="20"/>
                <w:szCs w:val="20"/>
              </w:rPr>
            </w:pPr>
            <w:r w:rsidRPr="00273F40">
              <w:rPr>
                <w:sz w:val="20"/>
                <w:szCs w:val="20"/>
              </w:rPr>
              <w:t>124</w:t>
            </w:r>
          </w:p>
        </w:tc>
        <w:tc>
          <w:tcPr>
            <w:tcW w:w="1944" w:type="dxa"/>
            <w:shd w:val="clear" w:color="auto" w:fill="auto"/>
          </w:tcPr>
          <w:p w:rsidRPr="00273F40" w:rsidR="006B2097" w:rsidP="008E2E11" w:rsidRDefault="00CF6F3A" w14:paraId="6A0BD4F0" w14:textId="77777777">
            <w:pPr>
              <w:jc w:val="right"/>
              <w:rPr>
                <w:sz w:val="20"/>
                <w:szCs w:val="20"/>
              </w:rPr>
            </w:pPr>
            <w:r w:rsidRPr="00273F40">
              <w:rPr>
                <w:sz w:val="20"/>
                <w:szCs w:val="20"/>
              </w:rPr>
              <w:t>$</w:t>
            </w:r>
            <w:r w:rsidR="00267D35">
              <w:rPr>
                <w:sz w:val="20"/>
                <w:szCs w:val="20"/>
              </w:rPr>
              <w:t>81</w:t>
            </w:r>
            <w:r w:rsidRPr="00273F40" w:rsidR="00AE6AE5">
              <w:rPr>
                <w:sz w:val="20"/>
                <w:szCs w:val="20"/>
              </w:rPr>
              <w:t>.</w:t>
            </w:r>
            <w:r w:rsidR="00267D35">
              <w:rPr>
                <w:sz w:val="20"/>
                <w:szCs w:val="20"/>
              </w:rPr>
              <w:t>03</w:t>
            </w:r>
          </w:p>
        </w:tc>
        <w:tc>
          <w:tcPr>
            <w:tcW w:w="1926" w:type="dxa"/>
            <w:shd w:val="clear" w:color="auto" w:fill="auto"/>
          </w:tcPr>
          <w:p w:rsidRPr="00273F40" w:rsidR="006B2097" w:rsidP="008E2E11" w:rsidRDefault="00CF6F3A" w14:paraId="62F4E296" w14:textId="77777777">
            <w:pPr>
              <w:jc w:val="right"/>
              <w:rPr>
                <w:sz w:val="20"/>
                <w:szCs w:val="20"/>
              </w:rPr>
            </w:pPr>
            <w:r w:rsidRPr="00273F40">
              <w:rPr>
                <w:sz w:val="20"/>
                <w:szCs w:val="20"/>
              </w:rPr>
              <w:t>$</w:t>
            </w:r>
            <w:r w:rsidR="00267D35">
              <w:rPr>
                <w:sz w:val="20"/>
                <w:szCs w:val="20"/>
              </w:rPr>
              <w:t>10</w:t>
            </w:r>
            <w:r w:rsidRPr="00273F40" w:rsidR="00AE6AE5">
              <w:rPr>
                <w:sz w:val="20"/>
                <w:szCs w:val="20"/>
              </w:rPr>
              <w:t>,</w:t>
            </w:r>
            <w:r w:rsidR="00267D35">
              <w:rPr>
                <w:sz w:val="20"/>
                <w:szCs w:val="20"/>
              </w:rPr>
              <w:t>047</w:t>
            </w:r>
            <w:r w:rsidRPr="00273F40" w:rsidR="00AE6AE5">
              <w:rPr>
                <w:sz w:val="20"/>
                <w:szCs w:val="20"/>
              </w:rPr>
              <w:t>.</w:t>
            </w:r>
            <w:r w:rsidR="00267D35">
              <w:rPr>
                <w:sz w:val="20"/>
                <w:szCs w:val="20"/>
              </w:rPr>
              <w:t>72</w:t>
            </w:r>
          </w:p>
        </w:tc>
      </w:tr>
      <w:tr w:rsidR="00CF6F3A" w:rsidTr="00273F40" w14:paraId="08859E8E" w14:textId="77777777">
        <w:trPr>
          <w:gridAfter w:val="1"/>
          <w:wAfter w:w="612" w:type="dxa"/>
          <w:trHeight w:val="287"/>
        </w:trPr>
        <w:tc>
          <w:tcPr>
            <w:tcW w:w="2520" w:type="dxa"/>
            <w:shd w:val="clear" w:color="auto" w:fill="auto"/>
          </w:tcPr>
          <w:p w:rsidRPr="00273F40" w:rsidR="00CF6F3A" w:rsidP="006B2097" w:rsidRDefault="00CF6F3A" w14:paraId="5457D894" w14:textId="77777777">
            <w:pPr>
              <w:autoSpaceDE w:val="0"/>
              <w:autoSpaceDN w:val="0"/>
              <w:adjustRightInd w:val="0"/>
              <w:rPr>
                <w:sz w:val="20"/>
                <w:szCs w:val="20"/>
              </w:rPr>
            </w:pPr>
            <w:r w:rsidRPr="00273F40">
              <w:rPr>
                <w:sz w:val="20"/>
                <w:szCs w:val="20"/>
              </w:rPr>
              <w:t>Total</w:t>
            </w:r>
          </w:p>
        </w:tc>
        <w:tc>
          <w:tcPr>
            <w:tcW w:w="1890" w:type="dxa"/>
            <w:shd w:val="clear" w:color="auto" w:fill="auto"/>
          </w:tcPr>
          <w:p w:rsidRPr="00273F40" w:rsidR="00CF6F3A" w:rsidP="008E2E11" w:rsidRDefault="00CF6F3A" w14:paraId="491C9170" w14:textId="77777777">
            <w:pPr>
              <w:jc w:val="right"/>
              <w:rPr>
                <w:sz w:val="20"/>
                <w:szCs w:val="20"/>
              </w:rPr>
            </w:pPr>
            <w:r w:rsidRPr="00273F40">
              <w:rPr>
                <w:sz w:val="20"/>
                <w:szCs w:val="20"/>
              </w:rPr>
              <w:t>124,84</w:t>
            </w:r>
            <w:r w:rsidR="00B15080">
              <w:rPr>
                <w:sz w:val="20"/>
                <w:szCs w:val="20"/>
              </w:rPr>
              <w:t>9</w:t>
            </w:r>
          </w:p>
        </w:tc>
        <w:tc>
          <w:tcPr>
            <w:tcW w:w="3870" w:type="dxa"/>
            <w:gridSpan w:val="2"/>
            <w:shd w:val="clear" w:color="auto" w:fill="auto"/>
          </w:tcPr>
          <w:p w:rsidRPr="00273F40" w:rsidR="00CF6F3A" w:rsidP="008E2E11" w:rsidRDefault="00CF6F3A" w14:paraId="68045033" w14:textId="77777777">
            <w:pPr>
              <w:jc w:val="right"/>
              <w:rPr>
                <w:sz w:val="20"/>
                <w:szCs w:val="20"/>
              </w:rPr>
            </w:pPr>
            <w:r w:rsidRPr="00273F40">
              <w:rPr>
                <w:sz w:val="20"/>
                <w:szCs w:val="20"/>
              </w:rPr>
              <w:t>$</w:t>
            </w:r>
            <w:r w:rsidRPr="00273F40" w:rsidR="00AE6AE5">
              <w:rPr>
                <w:sz w:val="20"/>
                <w:szCs w:val="20"/>
              </w:rPr>
              <w:t>4,</w:t>
            </w:r>
            <w:r w:rsidR="00267D35">
              <w:rPr>
                <w:sz w:val="20"/>
                <w:szCs w:val="20"/>
              </w:rPr>
              <w:t>0</w:t>
            </w:r>
            <w:r w:rsidR="002E2B82">
              <w:rPr>
                <w:sz w:val="20"/>
                <w:szCs w:val="20"/>
              </w:rPr>
              <w:t>12</w:t>
            </w:r>
            <w:r w:rsidRPr="00273F40" w:rsidR="00AE6AE5">
              <w:rPr>
                <w:sz w:val="20"/>
                <w:szCs w:val="20"/>
              </w:rPr>
              <w:t>,</w:t>
            </w:r>
            <w:r w:rsidR="00267D35">
              <w:rPr>
                <w:sz w:val="20"/>
                <w:szCs w:val="20"/>
              </w:rPr>
              <w:t>835</w:t>
            </w:r>
            <w:r w:rsidRPr="00273F40" w:rsidR="000C075B">
              <w:rPr>
                <w:sz w:val="20"/>
                <w:szCs w:val="20"/>
              </w:rPr>
              <w:t>.</w:t>
            </w:r>
            <w:r w:rsidR="00267D35">
              <w:rPr>
                <w:sz w:val="20"/>
                <w:szCs w:val="20"/>
              </w:rPr>
              <w:t>03</w:t>
            </w:r>
          </w:p>
        </w:tc>
      </w:tr>
    </w:tbl>
    <w:p w:rsidRPr="00357C8A" w:rsidR="00357C8A" w:rsidP="00357C8A" w:rsidRDefault="00357C8A" w14:paraId="092061E4" w14:textId="77777777">
      <w:pPr>
        <w:rPr>
          <w:rFonts w:eastAsia="Calibri"/>
        </w:rPr>
      </w:pPr>
    </w:p>
    <w:p w:rsidRPr="00357C8A" w:rsidR="00357C8A" w:rsidP="006705EA" w:rsidRDefault="00357C8A" w14:paraId="3A58131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481B52" w:rsidRDefault="00075CB8" w14:paraId="5FE01F3B" w14:textId="77777777">
      <w:pPr>
        <w:autoSpaceDE w:val="0"/>
        <w:autoSpaceDN w:val="0"/>
        <w:adjustRightInd w:val="0"/>
        <w:rPr>
          <w:rFonts w:ascii="TimesNewRomanPSMT" w:hAnsi="TimesNewRomanPSMT" w:cs="TimesNewRomanPSMT"/>
        </w:rPr>
      </w:pPr>
      <w:r>
        <w:rPr>
          <w:rFonts w:ascii="TimesNewRomanPSMT" w:hAnsi="TimesNewRomanPSMT" w:cs="TimesNewRomanPSMT"/>
        </w:rPr>
        <w:t>There are no capital, start-up, operating or maintenance costs associated with this information</w:t>
      </w:r>
      <w:r w:rsidR="00EF3B66">
        <w:rPr>
          <w:rFonts w:ascii="TimesNewRomanPSMT" w:hAnsi="TimesNewRomanPSMT" w:cs="TimesNewRomanPSMT"/>
        </w:rPr>
        <w:t xml:space="preserve"> </w:t>
      </w:r>
      <w:r>
        <w:rPr>
          <w:rFonts w:ascii="TimesNewRomanPSMT" w:hAnsi="TimesNewRomanPSMT" w:cs="TimesNewRomanPSMT"/>
        </w:rPr>
        <w:t>collection.</w:t>
      </w:r>
    </w:p>
    <w:p w:rsidR="00EF3B66" w:rsidP="00EF3B66" w:rsidRDefault="00EF3B66" w14:paraId="341B1325" w14:textId="77777777">
      <w:pPr>
        <w:autoSpaceDE w:val="0"/>
        <w:autoSpaceDN w:val="0"/>
        <w:adjustRightInd w:val="0"/>
        <w:rPr>
          <w:rFonts w:eastAsia="Calibri"/>
          <w:u w:val="single"/>
        </w:rPr>
      </w:pPr>
    </w:p>
    <w:p w:rsidRPr="00357C8A" w:rsidR="00357C8A" w:rsidP="006705EA" w:rsidRDefault="00357C8A" w14:paraId="0DBA3DD3"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481B52" w:rsidRDefault="00075CB8" w14:paraId="3CE270CA"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Our review of retained records will generally occur as part of </w:t>
      </w:r>
      <w:r w:rsidR="00862A69">
        <w:rPr>
          <w:rFonts w:ascii="TimesNewRomanPSMT" w:hAnsi="TimesNewRomanPSMT" w:cs="TimesNewRomanPSMT"/>
        </w:rPr>
        <w:t>FDA’s</w:t>
      </w:r>
      <w:r>
        <w:rPr>
          <w:rFonts w:ascii="TimesNewRomanPSMT" w:hAnsi="TimesNewRomanPSMT" w:cs="TimesNewRomanPSMT"/>
        </w:rPr>
        <w:t xml:space="preserve"> routine or for-cause inspection</w:t>
      </w:r>
      <w:r w:rsidR="00EF3B66">
        <w:rPr>
          <w:rFonts w:ascii="TimesNewRomanPSMT" w:hAnsi="TimesNewRomanPSMT" w:cs="TimesNewRomanPSMT"/>
        </w:rPr>
        <w:t xml:space="preserve"> </w:t>
      </w:r>
      <w:r>
        <w:rPr>
          <w:rFonts w:ascii="TimesNewRomanPSMT" w:hAnsi="TimesNewRomanPSMT" w:cs="TimesNewRomanPSMT"/>
        </w:rPr>
        <w:t xml:space="preserve">activities. </w:t>
      </w:r>
      <w:r w:rsidR="00EF3B66">
        <w:rPr>
          <w:rFonts w:ascii="TimesNewRomanPSMT" w:hAnsi="TimesNewRomanPSMT" w:cs="TimesNewRomanPSMT"/>
        </w:rPr>
        <w:t xml:space="preserve"> </w:t>
      </w:r>
      <w:r>
        <w:rPr>
          <w:rFonts w:ascii="TimesNewRomanPSMT" w:hAnsi="TimesNewRomanPSMT" w:cs="TimesNewRomanPSMT"/>
        </w:rPr>
        <w:t xml:space="preserve">Because these activities are covered by existing resource </w:t>
      </w:r>
      <w:r w:rsidR="00EF3B66">
        <w:rPr>
          <w:rFonts w:ascii="TimesNewRomanPSMT" w:hAnsi="TimesNewRomanPSMT" w:cs="TimesNewRomanPSMT"/>
        </w:rPr>
        <w:t>allocations,</w:t>
      </w:r>
      <w:r>
        <w:rPr>
          <w:rFonts w:ascii="TimesNewRomanPSMT" w:hAnsi="TimesNewRomanPSMT" w:cs="TimesNewRomanPSMT"/>
        </w:rPr>
        <w:t xml:space="preserve"> we are</w:t>
      </w:r>
      <w:r w:rsidR="00EF3B66">
        <w:rPr>
          <w:rFonts w:ascii="TimesNewRomanPSMT" w:hAnsi="TimesNewRomanPSMT" w:cs="TimesNewRomanPSMT"/>
        </w:rPr>
        <w:t xml:space="preserve"> </w:t>
      </w:r>
      <w:r>
        <w:rPr>
          <w:rFonts w:ascii="TimesNewRomanPSMT" w:hAnsi="TimesNewRomanPSMT" w:cs="TimesNewRomanPSMT"/>
        </w:rPr>
        <w:t>estimating zero cost to the Federal government.</w:t>
      </w:r>
    </w:p>
    <w:p w:rsidRPr="00357C8A" w:rsidR="00EF3B66" w:rsidP="00EF3B66" w:rsidRDefault="00EF3B66" w14:paraId="560DC482" w14:textId="77777777">
      <w:pPr>
        <w:autoSpaceDE w:val="0"/>
        <w:autoSpaceDN w:val="0"/>
        <w:adjustRightInd w:val="0"/>
        <w:rPr>
          <w:rFonts w:eastAsia="Calibri"/>
        </w:rPr>
      </w:pPr>
    </w:p>
    <w:p w:rsidR="00357C8A" w:rsidP="006705EA" w:rsidRDefault="00357C8A" w14:paraId="693881DF"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733829" w:rsidR="00357C8A" w:rsidP="00357C8A" w:rsidRDefault="00075CB8" w14:paraId="37DB2F44" w14:textId="0CAB5D32">
      <w:pPr>
        <w:spacing w:after="200"/>
        <w:rPr>
          <w:rFonts w:eastAsia="Calibri"/>
          <w:color w:val="000000"/>
        </w:rPr>
      </w:pPr>
      <w:r w:rsidRPr="00075CB8">
        <w:rPr>
          <w:rFonts w:eastAsia="Calibri"/>
        </w:rPr>
        <w:t>Based on a review of the information collection since our last request for OMB approval, we have made</w:t>
      </w:r>
      <w:r w:rsidR="00AE7829">
        <w:rPr>
          <w:rFonts w:eastAsia="Calibri"/>
        </w:rPr>
        <w:t xml:space="preserve"> no</w:t>
      </w:r>
      <w:r w:rsidRPr="00862A69" w:rsidR="00862A69">
        <w:rPr>
          <w:rFonts w:eastAsia="Calibri"/>
        </w:rPr>
        <w:t xml:space="preserve"> adjustments to our burden estimate</w:t>
      </w:r>
      <w:r w:rsidR="00641256">
        <w:rPr>
          <w:rFonts w:eastAsia="Calibri"/>
        </w:rPr>
        <w:t xml:space="preserve">, however we have removed the denotation of costs as this is included </w:t>
      </w:r>
      <w:r w:rsidR="00F26FC5">
        <w:rPr>
          <w:rFonts w:eastAsia="Calibri"/>
        </w:rPr>
        <w:t>at Question 12b. of the supporting statement.</w:t>
      </w:r>
    </w:p>
    <w:p w:rsidRPr="00357C8A" w:rsidR="00357C8A" w:rsidP="006705EA" w:rsidRDefault="00357C8A" w14:paraId="6EB102B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733829" w:rsidR="00357C8A" w:rsidP="00357C8A" w:rsidRDefault="00075CB8" w14:paraId="17C21D78" w14:textId="77777777">
      <w:pPr>
        <w:spacing w:after="200"/>
        <w:rPr>
          <w:rFonts w:eastAsia="Calibri"/>
          <w:color w:val="000000"/>
        </w:rPr>
      </w:pPr>
      <w:r w:rsidRPr="00075CB8">
        <w:t>Information is not to be published for statistical use.</w:t>
      </w:r>
    </w:p>
    <w:p w:rsidRPr="00357C8A" w:rsidR="00357C8A" w:rsidP="006705EA" w:rsidRDefault="00357C8A" w14:paraId="0CF14928"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733829" w:rsidR="00357C8A" w:rsidP="00357C8A" w:rsidRDefault="008E2E11" w14:paraId="1F903EBA" w14:textId="77777777">
      <w:pPr>
        <w:spacing w:after="200"/>
        <w:rPr>
          <w:rFonts w:eastAsia="Calibri"/>
          <w:color w:val="000000"/>
        </w:rPr>
      </w:pPr>
      <w:r w:rsidRPr="008E2E11">
        <w:rPr>
          <w:rFonts w:eastAsia="Calibri"/>
        </w:rPr>
        <w:t>Approval for not displaying the expiration date of OMB approval is not being sought.</w:t>
      </w:r>
    </w:p>
    <w:p w:rsidRPr="00357C8A" w:rsidR="00357C8A" w:rsidP="006705EA" w:rsidRDefault="00357C8A" w14:paraId="7BC32C1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E2E11" w:rsidRDefault="008E2E11" w14:paraId="097ED230" w14:textId="77777777">
      <w:pPr>
        <w:spacing w:after="200"/>
        <w:rPr>
          <w:rFonts w:eastAsia="Calibri"/>
        </w:rPr>
      </w:pPr>
      <w:r w:rsidRPr="008E2E11">
        <w:rPr>
          <w:rFonts w:eastAsia="Calibri"/>
        </w:rPr>
        <w:t>There are no exceptions to the certification.</w:t>
      </w:r>
    </w:p>
    <w:sectPr w:rsidRPr="00C20690" w:rsidR="00544138" w:rsidSect="00481B52">
      <w:headerReference w:type="default" r:id="rId10"/>
      <w:footerReference w:type="even" r:id="rId11"/>
      <w:pgSz w:w="12240" w:h="15840" w:code="1"/>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ACB6" w14:textId="77777777" w:rsidR="002C6B48" w:rsidRDefault="002C6B48">
      <w:r>
        <w:separator/>
      </w:r>
    </w:p>
  </w:endnote>
  <w:endnote w:type="continuationSeparator" w:id="0">
    <w:p w14:paraId="225B7404" w14:textId="77777777" w:rsidR="002C6B48" w:rsidRDefault="002C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181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BF651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9197" w14:textId="77777777" w:rsidR="002C6B48" w:rsidRDefault="002C6B48">
      <w:r>
        <w:separator/>
      </w:r>
    </w:p>
  </w:footnote>
  <w:footnote w:type="continuationSeparator" w:id="0">
    <w:p w14:paraId="6748E181" w14:textId="77777777" w:rsidR="002C6B48" w:rsidRDefault="002C6B48">
      <w:r>
        <w:continuationSeparator/>
      </w:r>
    </w:p>
  </w:footnote>
  <w:footnote w:id="1">
    <w:p w14:paraId="75C37D52" w14:textId="77777777" w:rsidR="00EF3B66" w:rsidRDefault="00EF3B66" w:rsidP="00273F40">
      <w:r>
        <w:rPr>
          <w:rStyle w:val="FootnoteReference"/>
        </w:rPr>
        <w:footnoteRef/>
      </w:r>
      <w:r>
        <w:t xml:space="preserve"> </w:t>
      </w:r>
      <w:hyperlink r:id="rId1" w:history="1">
        <w:r w:rsidR="005D565E" w:rsidRPr="005D565E">
          <w:rPr>
            <w:rStyle w:val="Hyperlink"/>
            <w:sz w:val="20"/>
            <w:szCs w:val="20"/>
          </w:rPr>
          <w:t>https://</w:t>
        </w:r>
        <w:r w:rsidR="005D565E" w:rsidRPr="005D565E">
          <w:rPr>
            <w:rStyle w:val="Hyperlink"/>
            <w:sz w:val="20"/>
            <w:szCs w:val="20"/>
          </w:rPr>
          <w:t>w</w:t>
        </w:r>
        <w:r w:rsidR="005D565E" w:rsidRPr="005D565E">
          <w:rPr>
            <w:rStyle w:val="Hyperlink"/>
            <w:sz w:val="20"/>
            <w:szCs w:val="20"/>
          </w:rPr>
          <w:t>ww.bls.gov/</w:t>
        </w:r>
        <w:r w:rsidR="005D565E" w:rsidRPr="005D565E">
          <w:rPr>
            <w:rStyle w:val="Hyperlink"/>
            <w:sz w:val="20"/>
            <w:szCs w:val="20"/>
          </w:rPr>
          <w:t>o</w:t>
        </w:r>
        <w:r w:rsidR="005D565E" w:rsidRPr="005D565E">
          <w:rPr>
            <w:rStyle w:val="Hyperlink"/>
            <w:sz w:val="20"/>
            <w:szCs w:val="20"/>
          </w:rPr>
          <w:t>e</w:t>
        </w:r>
        <w:r w:rsidR="005D565E" w:rsidRPr="005D565E">
          <w:rPr>
            <w:rStyle w:val="Hyperlink"/>
            <w:sz w:val="20"/>
            <w:szCs w:val="20"/>
          </w:rPr>
          <w:t>s</w:t>
        </w:r>
        <w:r w:rsidR="005D565E" w:rsidRPr="005D565E">
          <w:rPr>
            <w:rStyle w:val="Hyperlink"/>
            <w:sz w:val="20"/>
            <w:szCs w:val="20"/>
          </w:rPr>
          <w:t>/20</w:t>
        </w:r>
        <w:r w:rsidR="005D565E" w:rsidRPr="00B61B75">
          <w:rPr>
            <w:rStyle w:val="Hyperlink"/>
            <w:sz w:val="20"/>
            <w:szCs w:val="20"/>
          </w:rPr>
          <w:t>2</w:t>
        </w:r>
        <w:r w:rsidR="005D565E" w:rsidRPr="00B61B75">
          <w:rPr>
            <w:rStyle w:val="Hyperlink"/>
            <w:sz w:val="20"/>
            <w:szCs w:val="20"/>
          </w:rPr>
          <w:t>1</w:t>
        </w:r>
        <w:r w:rsidR="005D565E" w:rsidRPr="00B61B75">
          <w:rPr>
            <w:rStyle w:val="Hyperlink"/>
            <w:sz w:val="20"/>
            <w:szCs w:val="20"/>
          </w:rPr>
          <w:t>/</w:t>
        </w:r>
        <w:r w:rsidR="005D565E" w:rsidRPr="00B61B75">
          <w:rPr>
            <w:rStyle w:val="Hyperlink"/>
            <w:sz w:val="20"/>
            <w:szCs w:val="20"/>
          </w:rPr>
          <w:t>may/oess</w:t>
        </w:r>
        <w:r w:rsidR="005D565E" w:rsidRPr="00B61B75">
          <w:rPr>
            <w:rStyle w:val="Hyperlink"/>
            <w:sz w:val="20"/>
            <w:szCs w:val="20"/>
          </w:rPr>
          <w:t>r</w:t>
        </w:r>
        <w:r w:rsidR="005D565E" w:rsidRPr="00B61B75">
          <w:rPr>
            <w:rStyle w:val="Hyperlink"/>
            <w:sz w:val="20"/>
            <w:szCs w:val="20"/>
          </w:rPr>
          <w:t>ci.htm</w:t>
        </w:r>
      </w:hyperlink>
      <w:r w:rsidRPr="00EF3B66">
        <w:rPr>
          <w:sz w:val="20"/>
          <w:szCs w:val="20"/>
        </w:rPr>
        <w:t>.</w:t>
      </w:r>
      <w:r w:rsidR="00862A69">
        <w:rPr>
          <w:sz w:val="20"/>
          <w:szCs w:val="20"/>
        </w:rPr>
        <w:t xml:space="preserve">  The </w:t>
      </w:r>
      <w:r w:rsidR="00C11F69">
        <w:rPr>
          <w:sz w:val="20"/>
          <w:szCs w:val="20"/>
        </w:rPr>
        <w:t xml:space="preserve">wage </w:t>
      </w:r>
      <w:r w:rsidR="00862A69">
        <w:rPr>
          <w:sz w:val="20"/>
          <w:szCs w:val="20"/>
        </w:rPr>
        <w:t>table is searchable by occupation title</w:t>
      </w:r>
      <w:r w:rsidR="00C11F69">
        <w:rPr>
          <w:sz w:val="20"/>
          <w:szCs w:val="20"/>
        </w:rPr>
        <w:t xml:space="preserve"> using the “Text search table” field</w:t>
      </w:r>
      <w:r w:rsidR="00862A69">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4D2" w14:textId="77777777" w:rsidR="00481B52" w:rsidRDefault="00481B52">
    <w:pPr>
      <w:pStyle w:val="Header"/>
      <w:jc w:val="right"/>
    </w:pPr>
    <w:r>
      <w:fldChar w:fldCharType="begin"/>
    </w:r>
    <w:r>
      <w:instrText xml:space="preserve"> PAGE   \* MERGEFORMAT </w:instrText>
    </w:r>
    <w:r>
      <w:fldChar w:fldCharType="separate"/>
    </w:r>
    <w:r>
      <w:rPr>
        <w:noProof/>
      </w:rPr>
      <w:t>2</w:t>
    </w:r>
    <w:r>
      <w:rPr>
        <w:noProof/>
      </w:rPr>
      <w:fldChar w:fldCharType="end"/>
    </w:r>
  </w:p>
  <w:p w14:paraId="298104B9" w14:textId="77777777" w:rsidR="00481B52" w:rsidRDefault="0048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5CB8"/>
    <w:rsid w:val="00075DE8"/>
    <w:rsid w:val="00087439"/>
    <w:rsid w:val="000C075B"/>
    <w:rsid w:val="000C1260"/>
    <w:rsid w:val="000C560C"/>
    <w:rsid w:val="000D080B"/>
    <w:rsid w:val="000D48FD"/>
    <w:rsid w:val="000D79CC"/>
    <w:rsid w:val="000E1C64"/>
    <w:rsid w:val="000F2690"/>
    <w:rsid w:val="000F7119"/>
    <w:rsid w:val="00100739"/>
    <w:rsid w:val="0010493E"/>
    <w:rsid w:val="001075D3"/>
    <w:rsid w:val="00107885"/>
    <w:rsid w:val="00114FC4"/>
    <w:rsid w:val="0012329C"/>
    <w:rsid w:val="00134FA7"/>
    <w:rsid w:val="00137950"/>
    <w:rsid w:val="00147BED"/>
    <w:rsid w:val="00152F29"/>
    <w:rsid w:val="00164BFF"/>
    <w:rsid w:val="00164EC2"/>
    <w:rsid w:val="00174D54"/>
    <w:rsid w:val="0017702C"/>
    <w:rsid w:val="00182F8C"/>
    <w:rsid w:val="00185270"/>
    <w:rsid w:val="001A3B5A"/>
    <w:rsid w:val="001A458C"/>
    <w:rsid w:val="001A7271"/>
    <w:rsid w:val="001B7CE9"/>
    <w:rsid w:val="001C1221"/>
    <w:rsid w:val="001D495A"/>
    <w:rsid w:val="001E244C"/>
    <w:rsid w:val="001E7462"/>
    <w:rsid w:val="001F1437"/>
    <w:rsid w:val="001F7D74"/>
    <w:rsid w:val="00206799"/>
    <w:rsid w:val="002074FE"/>
    <w:rsid w:val="0022425B"/>
    <w:rsid w:val="00224414"/>
    <w:rsid w:val="002259EF"/>
    <w:rsid w:val="00240873"/>
    <w:rsid w:val="00242ED1"/>
    <w:rsid w:val="002444BB"/>
    <w:rsid w:val="0024632D"/>
    <w:rsid w:val="00246A63"/>
    <w:rsid w:val="00254069"/>
    <w:rsid w:val="00267D35"/>
    <w:rsid w:val="00270748"/>
    <w:rsid w:val="002734E5"/>
    <w:rsid w:val="00273F40"/>
    <w:rsid w:val="002746DB"/>
    <w:rsid w:val="00280CAF"/>
    <w:rsid w:val="00282F09"/>
    <w:rsid w:val="00291810"/>
    <w:rsid w:val="00293C24"/>
    <w:rsid w:val="00294D62"/>
    <w:rsid w:val="00297532"/>
    <w:rsid w:val="00297FFD"/>
    <w:rsid w:val="002A1210"/>
    <w:rsid w:val="002A47D2"/>
    <w:rsid w:val="002A7FB5"/>
    <w:rsid w:val="002B2074"/>
    <w:rsid w:val="002C6B48"/>
    <w:rsid w:val="002D14D8"/>
    <w:rsid w:val="002D4799"/>
    <w:rsid w:val="002E2B82"/>
    <w:rsid w:val="002E3FA4"/>
    <w:rsid w:val="002E53A5"/>
    <w:rsid w:val="002E64B8"/>
    <w:rsid w:val="002E6834"/>
    <w:rsid w:val="002E68AA"/>
    <w:rsid w:val="003113FF"/>
    <w:rsid w:val="00312622"/>
    <w:rsid w:val="003219AF"/>
    <w:rsid w:val="0032277F"/>
    <w:rsid w:val="00336B69"/>
    <w:rsid w:val="0034302B"/>
    <w:rsid w:val="00343AA0"/>
    <w:rsid w:val="00350523"/>
    <w:rsid w:val="0035189D"/>
    <w:rsid w:val="00355B62"/>
    <w:rsid w:val="00357C8A"/>
    <w:rsid w:val="003740BC"/>
    <w:rsid w:val="0037456B"/>
    <w:rsid w:val="00374A6B"/>
    <w:rsid w:val="00375FD0"/>
    <w:rsid w:val="003801A3"/>
    <w:rsid w:val="00383D90"/>
    <w:rsid w:val="003870AE"/>
    <w:rsid w:val="003A0BB3"/>
    <w:rsid w:val="003A1A27"/>
    <w:rsid w:val="003A50CC"/>
    <w:rsid w:val="003B42B3"/>
    <w:rsid w:val="003B49D1"/>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1D8A"/>
    <w:rsid w:val="00442A3C"/>
    <w:rsid w:val="00443969"/>
    <w:rsid w:val="00447D74"/>
    <w:rsid w:val="00450A74"/>
    <w:rsid w:val="004546BF"/>
    <w:rsid w:val="00465350"/>
    <w:rsid w:val="004667E5"/>
    <w:rsid w:val="00474281"/>
    <w:rsid w:val="00476B91"/>
    <w:rsid w:val="00481B52"/>
    <w:rsid w:val="004846BF"/>
    <w:rsid w:val="00494912"/>
    <w:rsid w:val="004A5323"/>
    <w:rsid w:val="004A5A99"/>
    <w:rsid w:val="004C6979"/>
    <w:rsid w:val="004D13A2"/>
    <w:rsid w:val="004D3E7A"/>
    <w:rsid w:val="004E5FCB"/>
    <w:rsid w:val="004F594B"/>
    <w:rsid w:val="004F61E1"/>
    <w:rsid w:val="00522EE2"/>
    <w:rsid w:val="0053380B"/>
    <w:rsid w:val="00536572"/>
    <w:rsid w:val="00543194"/>
    <w:rsid w:val="00544138"/>
    <w:rsid w:val="00554E34"/>
    <w:rsid w:val="00584583"/>
    <w:rsid w:val="00590E90"/>
    <w:rsid w:val="00590EEB"/>
    <w:rsid w:val="005A4099"/>
    <w:rsid w:val="005C38B2"/>
    <w:rsid w:val="005C5029"/>
    <w:rsid w:val="005C55C2"/>
    <w:rsid w:val="005C71CA"/>
    <w:rsid w:val="005C745C"/>
    <w:rsid w:val="005D4DF5"/>
    <w:rsid w:val="005D565E"/>
    <w:rsid w:val="005E0202"/>
    <w:rsid w:val="005E42BA"/>
    <w:rsid w:val="00610738"/>
    <w:rsid w:val="00611D6B"/>
    <w:rsid w:val="00625CFD"/>
    <w:rsid w:val="006326EC"/>
    <w:rsid w:val="00641256"/>
    <w:rsid w:val="0064610B"/>
    <w:rsid w:val="00663A42"/>
    <w:rsid w:val="006641C7"/>
    <w:rsid w:val="006705EA"/>
    <w:rsid w:val="00670BE2"/>
    <w:rsid w:val="006904FA"/>
    <w:rsid w:val="006916D9"/>
    <w:rsid w:val="00695DD2"/>
    <w:rsid w:val="006A0E05"/>
    <w:rsid w:val="006A26C6"/>
    <w:rsid w:val="006A465A"/>
    <w:rsid w:val="006A7D5D"/>
    <w:rsid w:val="006B1029"/>
    <w:rsid w:val="006B2097"/>
    <w:rsid w:val="006B50E8"/>
    <w:rsid w:val="006C52F6"/>
    <w:rsid w:val="006D0C12"/>
    <w:rsid w:val="006D5D57"/>
    <w:rsid w:val="006E2538"/>
    <w:rsid w:val="006E302F"/>
    <w:rsid w:val="006F31C3"/>
    <w:rsid w:val="006F4D6D"/>
    <w:rsid w:val="00705086"/>
    <w:rsid w:val="00712FFE"/>
    <w:rsid w:val="00722001"/>
    <w:rsid w:val="00733829"/>
    <w:rsid w:val="00744525"/>
    <w:rsid w:val="00751E66"/>
    <w:rsid w:val="00754497"/>
    <w:rsid w:val="00773201"/>
    <w:rsid w:val="007779C9"/>
    <w:rsid w:val="00782D87"/>
    <w:rsid w:val="00786D11"/>
    <w:rsid w:val="00786D5C"/>
    <w:rsid w:val="00787C39"/>
    <w:rsid w:val="00792947"/>
    <w:rsid w:val="00795DF3"/>
    <w:rsid w:val="007A3280"/>
    <w:rsid w:val="007A373C"/>
    <w:rsid w:val="007B225C"/>
    <w:rsid w:val="007C75B1"/>
    <w:rsid w:val="007D3DFC"/>
    <w:rsid w:val="007E2F07"/>
    <w:rsid w:val="007E59A8"/>
    <w:rsid w:val="007F3861"/>
    <w:rsid w:val="00806043"/>
    <w:rsid w:val="0080776D"/>
    <w:rsid w:val="00810145"/>
    <w:rsid w:val="008108FA"/>
    <w:rsid w:val="00810FF1"/>
    <w:rsid w:val="00822336"/>
    <w:rsid w:val="00823443"/>
    <w:rsid w:val="00823DFA"/>
    <w:rsid w:val="00842DB7"/>
    <w:rsid w:val="00843752"/>
    <w:rsid w:val="0084479F"/>
    <w:rsid w:val="00854A39"/>
    <w:rsid w:val="0085725E"/>
    <w:rsid w:val="00862A69"/>
    <w:rsid w:val="00873D4F"/>
    <w:rsid w:val="0087509F"/>
    <w:rsid w:val="00885B09"/>
    <w:rsid w:val="00887382"/>
    <w:rsid w:val="00892400"/>
    <w:rsid w:val="008A209D"/>
    <w:rsid w:val="008A22BB"/>
    <w:rsid w:val="008B035D"/>
    <w:rsid w:val="008B0E29"/>
    <w:rsid w:val="008B0EFA"/>
    <w:rsid w:val="008B30AB"/>
    <w:rsid w:val="008C3BB8"/>
    <w:rsid w:val="008C4B65"/>
    <w:rsid w:val="008E2E11"/>
    <w:rsid w:val="008E5F55"/>
    <w:rsid w:val="008F3940"/>
    <w:rsid w:val="009009E7"/>
    <w:rsid w:val="00905DEF"/>
    <w:rsid w:val="00906056"/>
    <w:rsid w:val="009122AE"/>
    <w:rsid w:val="00913B43"/>
    <w:rsid w:val="00930203"/>
    <w:rsid w:val="009311D2"/>
    <w:rsid w:val="009311E6"/>
    <w:rsid w:val="00931275"/>
    <w:rsid w:val="00936AC7"/>
    <w:rsid w:val="00951756"/>
    <w:rsid w:val="00953B64"/>
    <w:rsid w:val="00957D2B"/>
    <w:rsid w:val="009646A7"/>
    <w:rsid w:val="00970A88"/>
    <w:rsid w:val="009818A1"/>
    <w:rsid w:val="0098366E"/>
    <w:rsid w:val="009A1674"/>
    <w:rsid w:val="009B38BE"/>
    <w:rsid w:val="009B4DF2"/>
    <w:rsid w:val="009C684F"/>
    <w:rsid w:val="009D074C"/>
    <w:rsid w:val="009D6E73"/>
    <w:rsid w:val="009F1F1D"/>
    <w:rsid w:val="009F2B4F"/>
    <w:rsid w:val="009F33FE"/>
    <w:rsid w:val="009F3C63"/>
    <w:rsid w:val="009F66B5"/>
    <w:rsid w:val="00A02F10"/>
    <w:rsid w:val="00A1060C"/>
    <w:rsid w:val="00A16221"/>
    <w:rsid w:val="00A166CB"/>
    <w:rsid w:val="00A20A7D"/>
    <w:rsid w:val="00A336C1"/>
    <w:rsid w:val="00A343CC"/>
    <w:rsid w:val="00A35D42"/>
    <w:rsid w:val="00A46CCF"/>
    <w:rsid w:val="00A506DE"/>
    <w:rsid w:val="00A53451"/>
    <w:rsid w:val="00A61E34"/>
    <w:rsid w:val="00A70426"/>
    <w:rsid w:val="00A707CC"/>
    <w:rsid w:val="00A71410"/>
    <w:rsid w:val="00A91E9A"/>
    <w:rsid w:val="00A93ED9"/>
    <w:rsid w:val="00A96221"/>
    <w:rsid w:val="00AB2B74"/>
    <w:rsid w:val="00AC2DBB"/>
    <w:rsid w:val="00AC6A99"/>
    <w:rsid w:val="00AD58F4"/>
    <w:rsid w:val="00AD6048"/>
    <w:rsid w:val="00AE6485"/>
    <w:rsid w:val="00AE6AE5"/>
    <w:rsid w:val="00AE7829"/>
    <w:rsid w:val="00AF4ADB"/>
    <w:rsid w:val="00AF6420"/>
    <w:rsid w:val="00B055EF"/>
    <w:rsid w:val="00B06B5B"/>
    <w:rsid w:val="00B15080"/>
    <w:rsid w:val="00B23769"/>
    <w:rsid w:val="00B27021"/>
    <w:rsid w:val="00B37B4C"/>
    <w:rsid w:val="00B41789"/>
    <w:rsid w:val="00B45FCB"/>
    <w:rsid w:val="00B61B75"/>
    <w:rsid w:val="00B75EE4"/>
    <w:rsid w:val="00B81808"/>
    <w:rsid w:val="00B86DFA"/>
    <w:rsid w:val="00B936D0"/>
    <w:rsid w:val="00BB15FB"/>
    <w:rsid w:val="00BD1EA6"/>
    <w:rsid w:val="00BD3D5B"/>
    <w:rsid w:val="00BD5741"/>
    <w:rsid w:val="00BE3600"/>
    <w:rsid w:val="00BE6239"/>
    <w:rsid w:val="00BF2339"/>
    <w:rsid w:val="00C01F6F"/>
    <w:rsid w:val="00C041EA"/>
    <w:rsid w:val="00C11F69"/>
    <w:rsid w:val="00C13BBD"/>
    <w:rsid w:val="00C149AB"/>
    <w:rsid w:val="00C16929"/>
    <w:rsid w:val="00C20690"/>
    <w:rsid w:val="00C34D11"/>
    <w:rsid w:val="00C36020"/>
    <w:rsid w:val="00C40694"/>
    <w:rsid w:val="00C479BF"/>
    <w:rsid w:val="00C5124B"/>
    <w:rsid w:val="00C62E0C"/>
    <w:rsid w:val="00C65763"/>
    <w:rsid w:val="00C70542"/>
    <w:rsid w:val="00C75CBF"/>
    <w:rsid w:val="00CA0D15"/>
    <w:rsid w:val="00CC2894"/>
    <w:rsid w:val="00CD77C3"/>
    <w:rsid w:val="00CE112C"/>
    <w:rsid w:val="00CF2B48"/>
    <w:rsid w:val="00CF55D4"/>
    <w:rsid w:val="00CF6F3A"/>
    <w:rsid w:val="00D02264"/>
    <w:rsid w:val="00D608DA"/>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567C9"/>
    <w:rsid w:val="00E63DE5"/>
    <w:rsid w:val="00E64751"/>
    <w:rsid w:val="00E647AF"/>
    <w:rsid w:val="00E647C7"/>
    <w:rsid w:val="00E65A37"/>
    <w:rsid w:val="00E65EF7"/>
    <w:rsid w:val="00E77B48"/>
    <w:rsid w:val="00E857FB"/>
    <w:rsid w:val="00E87472"/>
    <w:rsid w:val="00E91799"/>
    <w:rsid w:val="00E97DF8"/>
    <w:rsid w:val="00EA21FE"/>
    <w:rsid w:val="00EA34E3"/>
    <w:rsid w:val="00EB7538"/>
    <w:rsid w:val="00EB7BF4"/>
    <w:rsid w:val="00EC1868"/>
    <w:rsid w:val="00ED54E6"/>
    <w:rsid w:val="00EE6468"/>
    <w:rsid w:val="00EF3B66"/>
    <w:rsid w:val="00F1299B"/>
    <w:rsid w:val="00F14EDA"/>
    <w:rsid w:val="00F207A4"/>
    <w:rsid w:val="00F25173"/>
    <w:rsid w:val="00F26FC5"/>
    <w:rsid w:val="00F355AC"/>
    <w:rsid w:val="00F40CF7"/>
    <w:rsid w:val="00F44194"/>
    <w:rsid w:val="00F51D94"/>
    <w:rsid w:val="00F532D0"/>
    <w:rsid w:val="00F567FD"/>
    <w:rsid w:val="00F71A5A"/>
    <w:rsid w:val="00F73A1A"/>
    <w:rsid w:val="00F769E0"/>
    <w:rsid w:val="00FA406D"/>
    <w:rsid w:val="00FA4A46"/>
    <w:rsid w:val="00FA75FE"/>
    <w:rsid w:val="00FB1032"/>
    <w:rsid w:val="00FB39BC"/>
    <w:rsid w:val="00FB6A53"/>
    <w:rsid w:val="00FC11CA"/>
    <w:rsid w:val="00FC6BDE"/>
    <w:rsid w:val="00FD3736"/>
    <w:rsid w:val="00FF6138"/>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30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FooterChar">
    <w:name w:val="Footer Char"/>
    <w:link w:val="Footer"/>
    <w:uiPriority w:val="99"/>
    <w:rsid w:val="00733829"/>
    <w:rPr>
      <w:sz w:val="24"/>
      <w:szCs w:val="24"/>
    </w:rPr>
  </w:style>
  <w:style w:type="paragraph" w:styleId="FootnoteText">
    <w:name w:val="footnote text"/>
    <w:basedOn w:val="Normal"/>
    <w:link w:val="FootnoteTextChar"/>
    <w:rsid w:val="00EF3B66"/>
    <w:rPr>
      <w:sz w:val="20"/>
      <w:szCs w:val="20"/>
    </w:rPr>
  </w:style>
  <w:style w:type="character" w:customStyle="1" w:styleId="FootnoteTextChar">
    <w:name w:val="Footnote Text Char"/>
    <w:basedOn w:val="DefaultParagraphFont"/>
    <w:link w:val="FootnoteText"/>
    <w:rsid w:val="00EF3B66"/>
  </w:style>
  <w:style w:type="character" w:styleId="FootnoteReference">
    <w:name w:val="footnote reference"/>
    <w:rsid w:val="00EF3B66"/>
    <w:rPr>
      <w:vertAlign w:val="superscript"/>
    </w:rPr>
  </w:style>
  <w:style w:type="character" w:styleId="CommentReference">
    <w:name w:val="annotation reference"/>
    <w:rsid w:val="00522EE2"/>
    <w:rPr>
      <w:sz w:val="16"/>
      <w:szCs w:val="16"/>
    </w:rPr>
  </w:style>
  <w:style w:type="paragraph" w:styleId="CommentText">
    <w:name w:val="annotation text"/>
    <w:basedOn w:val="Normal"/>
    <w:link w:val="CommentTextChar"/>
    <w:rsid w:val="00522EE2"/>
    <w:rPr>
      <w:sz w:val="20"/>
      <w:szCs w:val="20"/>
    </w:rPr>
  </w:style>
  <w:style w:type="character" w:customStyle="1" w:styleId="CommentTextChar">
    <w:name w:val="Comment Text Char"/>
    <w:basedOn w:val="DefaultParagraphFont"/>
    <w:link w:val="CommentText"/>
    <w:rsid w:val="00522EE2"/>
  </w:style>
  <w:style w:type="paragraph" w:styleId="CommentSubject">
    <w:name w:val="annotation subject"/>
    <w:basedOn w:val="CommentText"/>
    <w:next w:val="CommentText"/>
    <w:link w:val="CommentSubjectChar"/>
    <w:rsid w:val="00522EE2"/>
    <w:rPr>
      <w:b/>
      <w:bCs/>
    </w:rPr>
  </w:style>
  <w:style w:type="character" w:customStyle="1" w:styleId="CommentSubjectChar">
    <w:name w:val="Comment Subject Char"/>
    <w:link w:val="CommentSubject"/>
    <w:rsid w:val="0052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guidance-documents-regulatory-information-topic-food-and-dietary-supplements/sanitation-transportation-guidance-documents-regulatory-inform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industry/small-business-assist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1/may/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F96F-8F33-4D0D-A8B6-395A9069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1989</Words>
  <Characters>11341</Characters>
  <Application>Microsoft Office Word</Application>
  <DocSecurity>0</DocSecurity>
  <Lines>94</Lines>
  <Paragraphs>26</Paragraphs>
  <ScaleCrop>false</ScaleCrop>
  <Company/>
  <LinksUpToDate>false</LinksUpToDate>
  <CharactersWithSpaces>13304</CharactersWithSpaces>
  <SharedDoc>false</SharedDoc>
  <HLinks>
    <vt:vector size="18" baseType="variant">
      <vt:variant>
        <vt:i4>7209008</vt:i4>
      </vt:variant>
      <vt:variant>
        <vt:i4>3</vt:i4>
      </vt:variant>
      <vt:variant>
        <vt:i4>0</vt:i4>
      </vt:variant>
      <vt:variant>
        <vt:i4>5</vt:i4>
      </vt:variant>
      <vt:variant>
        <vt:lpwstr>https://www.fda.gov/industry/small-business-assistance</vt:lpwstr>
      </vt:variant>
      <vt:variant>
        <vt:lpwstr/>
      </vt:variant>
      <vt:variant>
        <vt:i4>4390916</vt:i4>
      </vt:variant>
      <vt:variant>
        <vt:i4>0</vt:i4>
      </vt:variant>
      <vt:variant>
        <vt:i4>0</vt:i4>
      </vt:variant>
      <vt:variant>
        <vt:i4>5</vt:i4>
      </vt:variant>
      <vt:variant>
        <vt:lpwstr>https://www.fda.gov/food/guidance-documents-regulatory-information-topic-food-and-dietary-supplements/sanitation-transportation-guidance-documents-regulatory-information</vt:lpwstr>
      </vt:variant>
      <vt:variant>
        <vt:lpwstr/>
      </vt:variant>
      <vt:variant>
        <vt:i4>1507346</vt:i4>
      </vt:variant>
      <vt:variant>
        <vt:i4>0</vt:i4>
      </vt:variant>
      <vt:variant>
        <vt:i4>0</vt:i4>
      </vt:variant>
      <vt:variant>
        <vt:i4>5</vt:i4>
      </vt:variant>
      <vt:variant>
        <vt:lpwstr>https://www.bls.gov/oes/2021/may/oessrci.htm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2022-06-28T11:39:00Z</dcterms:created>
  <dcterms:modified xsi:type="dcterms:W3CDTF">2022-06-28T11:40:00Z</dcterms:modified>
</cp:coreProperties>
</file>