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7033D" w:rsidR="00062222" w:rsidP="00CD3062" w:rsidRDefault="00062222" w14:paraId="12C8D446" w14:textId="77777777">
      <w:pPr>
        <w:pStyle w:val="Heading2"/>
        <w:tabs>
          <w:tab w:val="left" w:pos="900"/>
        </w:tabs>
        <w:ind w:right="-180"/>
        <w:rPr>
          <w:b w:val="0"/>
        </w:rPr>
      </w:pPr>
      <w:r w:rsidRPr="00D7033D">
        <w:rPr>
          <w:b w:val="0"/>
        </w:rPr>
        <w:t>United States Food and Drug Administration</w:t>
      </w:r>
    </w:p>
    <w:p w:rsidRPr="00D7033D" w:rsidR="005E714A" w:rsidP="00062222" w:rsidRDefault="000F5627" w14:paraId="3D844A2F" w14:textId="77777777">
      <w:pPr>
        <w:pStyle w:val="Heading2"/>
        <w:tabs>
          <w:tab w:val="left" w:pos="900"/>
        </w:tabs>
        <w:ind w:right="-180"/>
        <w:rPr>
          <w:b w:val="0"/>
        </w:rPr>
      </w:pPr>
      <w:r w:rsidRPr="00D7033D">
        <w:rPr>
          <w:b w:val="0"/>
        </w:rPr>
        <w:t xml:space="preserve">Generic Clearance: </w:t>
      </w:r>
      <w:r w:rsidRPr="00D7033D" w:rsidR="00F06866">
        <w:rPr>
          <w:b w:val="0"/>
        </w:rPr>
        <w:t xml:space="preserve">Collection of </w:t>
      </w:r>
      <w:r w:rsidRPr="00D7033D" w:rsidR="00A23D54">
        <w:rPr>
          <w:b w:val="0"/>
        </w:rPr>
        <w:t>Qualitative Feedback on FDA Service Delivery</w:t>
      </w:r>
      <w:r w:rsidRPr="00D7033D" w:rsidR="00A23D54">
        <w:rPr>
          <w:b w:val="0"/>
        </w:rPr>
        <w:br/>
      </w:r>
      <w:r w:rsidRPr="00D7033D" w:rsidR="00F06866">
        <w:rPr>
          <w:b w:val="0"/>
        </w:rPr>
        <w:t xml:space="preserve"> OMB Control Number </w:t>
      </w:r>
      <w:r w:rsidRPr="00D7033D" w:rsidR="00A23D54">
        <w:rPr>
          <w:b w:val="0"/>
        </w:rPr>
        <w:t>0910-0697</w:t>
      </w:r>
    </w:p>
    <w:p w:rsidRPr="00D7033D" w:rsidR="00293691" w:rsidP="006D55CE" w:rsidRDefault="00293691" w14:paraId="171ED53A" w14:textId="77777777">
      <w:pPr>
        <w:jc w:val="center"/>
      </w:pPr>
      <w:r w:rsidRPr="00D7033D">
        <w:t>G</w:t>
      </w:r>
      <w:r w:rsidRPr="00D7033D" w:rsidR="002D3BD2">
        <w:t>en</w:t>
      </w:r>
      <w:r w:rsidRPr="00D7033D">
        <w:t xml:space="preserve"> IC Request for Approval</w:t>
      </w:r>
    </w:p>
    <w:p w:rsidRPr="00D7033D" w:rsidR="00062222" w:rsidP="00062222" w:rsidRDefault="00062222" w14:paraId="14E6D7FB" w14:textId="77777777">
      <w:pPr>
        <w:rPr>
          <w:sz w:val="20"/>
          <w:szCs w:val="20"/>
        </w:rPr>
      </w:pPr>
    </w:p>
    <w:p w:rsidRPr="00D7033D" w:rsidR="00062222" w:rsidP="00062222" w:rsidRDefault="00062222" w14:paraId="76F87DB7" w14:textId="064EDC8E">
      <w:pPr>
        <w:spacing w:after="200"/>
        <w:rPr>
          <w:rFonts w:eastAsia="Calibri"/>
        </w:rPr>
      </w:pPr>
      <w:r w:rsidRPr="00D7033D">
        <w:rPr>
          <w:rFonts w:eastAsia="Calibri"/>
          <w:b/>
        </w:rPr>
        <w:t>Title of Gen IC:</w:t>
      </w:r>
      <w:r w:rsidRPr="00D7033D">
        <w:rPr>
          <w:rFonts w:eastAsia="Calibri"/>
        </w:rPr>
        <w:t xml:space="preserve"> </w:t>
      </w:r>
      <w:r w:rsidRPr="00D7033D" w:rsidR="00394FA2">
        <w:rPr>
          <w:rFonts w:eastAsia="Calibri"/>
        </w:rPr>
        <w:t xml:space="preserve">Strengthening </w:t>
      </w:r>
      <w:r w:rsidR="00501874">
        <w:rPr>
          <w:rFonts w:eastAsia="Calibri"/>
        </w:rPr>
        <w:t>I</w:t>
      </w:r>
      <w:r w:rsidRPr="00D7033D" w:rsidR="00394FA2">
        <w:rPr>
          <w:rFonts w:eastAsia="Calibri"/>
        </w:rPr>
        <w:t xml:space="preserve">nteractions </w:t>
      </w:r>
      <w:r w:rsidR="00501874">
        <w:rPr>
          <w:rFonts w:eastAsia="Calibri"/>
        </w:rPr>
        <w:t>B</w:t>
      </w:r>
      <w:r w:rsidRPr="00D7033D" w:rsidR="00394FA2">
        <w:rPr>
          <w:rFonts w:eastAsia="Calibri"/>
        </w:rPr>
        <w:t xml:space="preserve">etween CBER’s </w:t>
      </w:r>
      <w:r w:rsidRPr="00D7033D" w:rsidR="00394FA2">
        <w:t>Office of Tissues and Advanced Therapies</w:t>
      </w:r>
      <w:r w:rsidRPr="00D7033D" w:rsidR="00394FA2">
        <w:rPr>
          <w:rFonts w:eastAsia="Calibri"/>
        </w:rPr>
        <w:t xml:space="preserve"> (OTAT) and </w:t>
      </w:r>
      <w:r w:rsidR="00501874">
        <w:rPr>
          <w:rFonts w:eastAsia="Calibri"/>
        </w:rPr>
        <w:t>C</w:t>
      </w:r>
      <w:r w:rsidRPr="00D7033D" w:rsidR="00394FA2">
        <w:rPr>
          <w:rFonts w:eastAsia="Calibri"/>
        </w:rPr>
        <w:t xml:space="preserve">ell and </w:t>
      </w:r>
      <w:r w:rsidR="00501874">
        <w:rPr>
          <w:rFonts w:eastAsia="Calibri"/>
        </w:rPr>
        <w:t>G</w:t>
      </w:r>
      <w:r w:rsidRPr="00D7033D" w:rsidR="00394FA2">
        <w:rPr>
          <w:rFonts w:eastAsia="Calibri"/>
        </w:rPr>
        <w:t xml:space="preserve">ene </w:t>
      </w:r>
      <w:r w:rsidR="00501874">
        <w:rPr>
          <w:rFonts w:eastAsia="Calibri"/>
        </w:rPr>
        <w:t>T</w:t>
      </w:r>
      <w:r w:rsidRPr="00D7033D" w:rsidR="00394FA2">
        <w:rPr>
          <w:rFonts w:eastAsia="Calibri"/>
        </w:rPr>
        <w:t xml:space="preserve">herapy (CGT) </w:t>
      </w:r>
      <w:r w:rsidR="00501874">
        <w:rPr>
          <w:rFonts w:eastAsia="Calibri"/>
        </w:rPr>
        <w:t>S</w:t>
      </w:r>
      <w:r w:rsidRPr="00D7033D" w:rsidR="00394FA2">
        <w:rPr>
          <w:rFonts w:eastAsia="Calibri"/>
        </w:rPr>
        <w:t xml:space="preserve">ponsors </w:t>
      </w:r>
    </w:p>
    <w:p w:rsidRPr="00D7033D" w:rsidR="00062222" w:rsidP="00062222" w:rsidRDefault="00062222" w14:paraId="35FBC4E6" w14:textId="77777777">
      <w:pPr>
        <w:numPr>
          <w:ilvl w:val="0"/>
          <w:numId w:val="27"/>
        </w:numPr>
        <w:spacing w:after="200" w:line="276" w:lineRule="auto"/>
        <w:rPr>
          <w:b/>
        </w:rPr>
      </w:pPr>
      <w:r w:rsidRPr="00D7033D">
        <w:rPr>
          <w:b/>
        </w:rPr>
        <w:t>Statement of Need:</w:t>
      </w:r>
    </w:p>
    <w:p w:rsidRPr="00D7033D" w:rsidR="0057597C" w:rsidP="00B65771" w:rsidRDefault="0057597C" w14:paraId="16BD894B" w14:textId="77777777">
      <w:pPr>
        <w:ind w:left="360"/>
      </w:pPr>
      <w:r w:rsidRPr="00D7033D">
        <w:t xml:space="preserve">The mission of the Center for Biologics Evaluation and Research (CBER) is to ensure the safety, purity, potency, and effectiveness of biological products including vaccines, blood and blood products, and cells, tissues, and gene therapies for the prevention, diagnosis, and treatment of human diseases, conditions, or injury. Through its mission, CBER also helps to defend the public against the threats of emerging infectious diseases and bioterrorism.  </w:t>
      </w:r>
    </w:p>
    <w:p w:rsidRPr="00D7033D" w:rsidR="0057597C" w:rsidP="0057597C" w:rsidRDefault="0057597C" w14:paraId="0048BEA4" w14:textId="77777777">
      <w:pPr>
        <w:ind w:left="720"/>
      </w:pPr>
    </w:p>
    <w:p w:rsidRPr="00D7033D" w:rsidR="00394FA2" w:rsidP="00B65771" w:rsidRDefault="0057597C" w14:paraId="01C65C7E" w14:textId="246E2836">
      <w:pPr>
        <w:ind w:left="360"/>
      </w:pPr>
      <w:r w:rsidRPr="00D7033D">
        <w:t xml:space="preserve">The Office of Tissues and Advanced Therapies (OTAT) leads and coordinates the Center’s diverse activities pertaining to products falling within its regulatory jurisdiction, including gene therapy, tumor vaccines, xenotransplantation, stem cells, human tissue for transplantation, </w:t>
      </w:r>
      <w:r w:rsidR="003C2A9C">
        <w:t xml:space="preserve">plasma protein therapeutics, </w:t>
      </w:r>
      <w:r w:rsidRPr="00D7033D">
        <w:t>combination products, bioengineered tissues and certain medical devices.  Through the course of its regulatory work, OTAT interfaces with sponsors (companies, individuals, or other entities responsible for initiating and managing a clinical trial) of cell and gene therapy</w:t>
      </w:r>
      <w:r w:rsidRPr="00D7033D" w:rsidR="00394FA2">
        <w:t xml:space="preserve"> (CGT)</w:t>
      </w:r>
      <w:r w:rsidRPr="00D7033D">
        <w:t xml:space="preserve"> products at numerous points in the development and post-marketing process, including review of formal submissions (e.g., INDs or BLAs), response to meeting requests, and other, less formal interactions.  </w:t>
      </w:r>
    </w:p>
    <w:p w:rsidRPr="00D7033D" w:rsidR="00394FA2" w:rsidP="00B65771" w:rsidRDefault="00394FA2" w14:paraId="31D7091F" w14:textId="77777777">
      <w:pPr>
        <w:ind w:left="360"/>
      </w:pPr>
    </w:p>
    <w:p w:rsidRPr="00D7033D" w:rsidR="0057597C" w:rsidP="00B65771" w:rsidRDefault="00394FA2" w14:paraId="2185A6B8" w14:textId="2704F23B">
      <w:pPr>
        <w:ind w:left="360"/>
      </w:pPr>
      <w:bookmarkStart w:name="_Hlk66782237" w:id="0"/>
      <w:r w:rsidRPr="00D7033D">
        <w:t>CGT is a rapidly growing and evolving field with an increasingly complex array of product modalities.  The increasing workload volume (e.g., &gt;50% increase in CGT INDs between 2016-19) and complexity associated with clinical trials for CGT products has placed significant demands on OTAT and could continue to do so in the future, with</w:t>
      </w:r>
      <w:r w:rsidRPr="00D7033D" w:rsidR="00625FA0">
        <w:t xml:space="preserve"> potential</w:t>
      </w:r>
      <w:r w:rsidRPr="00D7033D">
        <w:t xml:space="preserve"> implications for the effectiveness of the interaction model between CBER/OTAT and CGT sponsors</w:t>
      </w:r>
      <w:r w:rsidRPr="00D7033D" w:rsidR="00625FA0">
        <w:t xml:space="preserve">. </w:t>
      </w:r>
      <w:r w:rsidRPr="00D7033D">
        <w:t xml:space="preserve"> </w:t>
      </w:r>
      <w:bookmarkStart w:name="_Hlk66783521" w:id="1"/>
      <w:bookmarkStart w:name="_Hlk66780123" w:id="2"/>
      <w:r w:rsidRPr="004B5B48" w:rsidR="004B5B48">
        <w:t>FDA is seeking to identify existing areas of strength as well as potential areas for improvement in OTAT-CGT sponsor interactions throughout the product lifecycle and across relevant types of interactions (e.g., formal meetings, submissions, etc.).  This research is focused on understanding the CGT sponsor perspective, as one of many sources of input for this important effort.</w:t>
      </w:r>
      <w:bookmarkEnd w:id="1"/>
      <w:r w:rsidRPr="00D7033D" w:rsidR="006F3FFE">
        <w:t xml:space="preserve"> </w:t>
      </w:r>
      <w:bookmarkEnd w:id="2"/>
    </w:p>
    <w:bookmarkEnd w:id="0"/>
    <w:p w:rsidRPr="00D7033D" w:rsidR="00062222" w:rsidP="00062222" w:rsidRDefault="00062222" w14:paraId="1F59AAD6" w14:textId="77777777">
      <w:pPr>
        <w:ind w:left="360"/>
        <w:rPr>
          <w:rFonts w:eastAsia="Calibri"/>
        </w:rPr>
      </w:pPr>
    </w:p>
    <w:p w:rsidRPr="00D7033D" w:rsidR="0057597C" w:rsidP="00F62D0F" w:rsidRDefault="00062222" w14:paraId="6E2EC217" w14:textId="52573603">
      <w:pPr>
        <w:pStyle w:val="ListParagraph"/>
        <w:numPr>
          <w:ilvl w:val="0"/>
          <w:numId w:val="27"/>
        </w:numPr>
      </w:pPr>
      <w:r w:rsidRPr="00B65771">
        <w:rPr>
          <w:b/>
        </w:rPr>
        <w:t>Intended Use of the Information:</w:t>
      </w:r>
      <w:r w:rsidRPr="00B65771">
        <w:rPr>
          <w:b/>
        </w:rPr>
        <w:br/>
      </w:r>
      <w:r w:rsidRPr="00D7033D">
        <w:br/>
      </w:r>
      <w:bookmarkStart w:name="_Hlk66782608" w:id="3"/>
      <w:r w:rsidRPr="00D7033D" w:rsidR="0057597C">
        <w:t>The information collected during these individual interviews will help inform an internal operational diagnostic of OTAT’s communications processes to identify areas where future process or systems changes might facilitate better collaboration and communication with sponsors</w:t>
      </w:r>
      <w:r w:rsidRPr="00D7033D" w:rsidR="00625FA0">
        <w:t xml:space="preserve"> while, where possible, simultaneously easing the demands on OTAT staff</w:t>
      </w:r>
      <w:r w:rsidRPr="00D7033D" w:rsidR="0057597C">
        <w:t xml:space="preserve">.  Furthermore, insights gained from interviews may be further refined and validated in future listening sessions/focus groups with a larger group of sponsors.   </w:t>
      </w:r>
    </w:p>
    <w:p w:rsidRPr="00D7033D" w:rsidR="0057597C" w:rsidP="00B65771" w:rsidRDefault="0057597C" w14:paraId="12D8D15D" w14:textId="77777777">
      <w:pPr>
        <w:ind w:left="360"/>
      </w:pPr>
    </w:p>
    <w:p w:rsidRPr="00D7033D" w:rsidR="0057597C" w:rsidP="00B65771" w:rsidRDefault="0057597C" w14:paraId="34A4B5D7" w14:textId="79B31AFD">
      <w:pPr>
        <w:ind w:left="360"/>
      </w:pPr>
      <w:r w:rsidRPr="00D7033D">
        <w:t xml:space="preserve">The desired impact is </w:t>
      </w:r>
      <w:r w:rsidRPr="00D7033D" w:rsidR="00D50BEA">
        <w:t xml:space="preserve">ultimately to </w:t>
      </w:r>
      <w:bookmarkStart w:name="_Hlk66782501" w:id="4"/>
      <w:r w:rsidRPr="00D7033D" w:rsidR="00F30312">
        <w:t xml:space="preserve">strengthen OTAT’s </w:t>
      </w:r>
      <w:r w:rsidRPr="00D7033D" w:rsidR="00D50BEA">
        <w:t>CGT sponsor engagement model as a means to further progress</w:t>
      </w:r>
      <w:r w:rsidRPr="00D7033D" w:rsidR="00F30312">
        <w:t xml:space="preserve"> innovation in the CGT fields and advance CBER’s</w:t>
      </w:r>
      <w:r w:rsidRPr="00D7033D" w:rsidR="00D50BEA">
        <w:t xml:space="preserve"> patient</w:t>
      </w:r>
      <w:r w:rsidRPr="00D7033D" w:rsidR="00F30312">
        <w:t>-driven</w:t>
      </w:r>
      <w:r w:rsidRPr="00D7033D" w:rsidR="00D50BEA">
        <w:t xml:space="preserve"> mission</w:t>
      </w:r>
      <w:r w:rsidRPr="00D7033D" w:rsidR="00F30312">
        <w:t>, while also easing the demands on OTAT staff</w:t>
      </w:r>
      <w:bookmarkEnd w:id="4"/>
      <w:r w:rsidRPr="00D7033D" w:rsidR="00F30312">
        <w:t>.</w:t>
      </w:r>
    </w:p>
    <w:bookmarkEnd w:id="3"/>
    <w:p w:rsidRPr="00D7033D" w:rsidR="00062222" w:rsidP="0057597C" w:rsidRDefault="00062222" w14:paraId="0D191A5B" w14:textId="77777777">
      <w:pPr>
        <w:spacing w:after="200" w:line="276" w:lineRule="auto"/>
        <w:ind w:left="360"/>
      </w:pPr>
    </w:p>
    <w:p w:rsidRPr="00D7033D" w:rsidR="00062222" w:rsidP="00062222" w:rsidRDefault="00062222" w14:paraId="1714DA25" w14:textId="77777777">
      <w:pPr>
        <w:widowControl w:val="0"/>
        <w:numPr>
          <w:ilvl w:val="0"/>
          <w:numId w:val="27"/>
        </w:numPr>
        <w:spacing w:after="200" w:line="276" w:lineRule="auto"/>
        <w:contextualSpacing/>
        <w:rPr>
          <w:b/>
          <w:snapToGrid w:val="0"/>
        </w:rPr>
      </w:pPr>
      <w:r w:rsidRPr="00D7033D">
        <w:rPr>
          <w:b/>
          <w:snapToGrid w:val="0"/>
        </w:rPr>
        <w:lastRenderedPageBreak/>
        <w:t>Description of Respondents:</w:t>
      </w:r>
    </w:p>
    <w:p w:rsidRPr="00D7033D" w:rsidR="00062222" w:rsidP="00062222" w:rsidRDefault="00062222" w14:paraId="1601830D" w14:textId="77777777">
      <w:pPr>
        <w:widowControl w:val="0"/>
        <w:ind w:left="360"/>
        <w:contextualSpacing/>
        <w:rPr>
          <w:snapToGrid w:val="0"/>
        </w:rPr>
      </w:pPr>
    </w:p>
    <w:p w:rsidRPr="00D7033D" w:rsidR="0057597C" w:rsidP="00B65771" w:rsidRDefault="0057597C" w14:paraId="530D59BF" w14:textId="0E44BE78">
      <w:pPr>
        <w:ind w:left="360"/>
      </w:pPr>
      <w:r w:rsidRPr="00D7033D">
        <w:t xml:space="preserve">Participants in the individual interviews will be </w:t>
      </w:r>
      <w:r w:rsidRPr="00D7033D" w:rsidR="00625FA0">
        <w:t>CGT</w:t>
      </w:r>
      <w:r w:rsidRPr="00D7033D">
        <w:t xml:space="preserve"> sponsors with some experience interacting or communicating with OTAT in the recent past (&lt;5 years).  Respondents will be drawn from:</w:t>
      </w:r>
    </w:p>
    <w:p w:rsidRPr="00D7033D" w:rsidR="0057597C" w:rsidP="0057597C" w:rsidRDefault="0057597C" w14:paraId="4238CDED" w14:textId="77777777"/>
    <w:p w:rsidRPr="00D7033D" w:rsidR="0057597C" w:rsidP="0057597C" w:rsidRDefault="0057597C" w14:paraId="1840D943" w14:textId="77777777">
      <w:pPr>
        <w:numPr>
          <w:ilvl w:val="0"/>
          <w:numId w:val="29"/>
        </w:numPr>
      </w:pPr>
      <w:r w:rsidRPr="00D7033D">
        <w:t>Large biopharma companies;</w:t>
      </w:r>
    </w:p>
    <w:p w:rsidRPr="00D7033D" w:rsidR="0057597C" w:rsidP="0057597C" w:rsidRDefault="0057597C" w14:paraId="0ADBA2DB" w14:textId="77777777">
      <w:pPr>
        <w:numPr>
          <w:ilvl w:val="0"/>
          <w:numId w:val="29"/>
        </w:numPr>
      </w:pPr>
      <w:r w:rsidRPr="00D7033D">
        <w:t>Small biotechs; and</w:t>
      </w:r>
    </w:p>
    <w:p w:rsidRPr="00D7033D" w:rsidR="0057597C" w:rsidP="0057597C" w:rsidRDefault="0057597C" w14:paraId="270351EC" w14:textId="77777777">
      <w:pPr>
        <w:numPr>
          <w:ilvl w:val="0"/>
          <w:numId w:val="29"/>
        </w:numPr>
      </w:pPr>
      <w:r w:rsidRPr="00D7033D">
        <w:t>Academic principal investigators; and</w:t>
      </w:r>
    </w:p>
    <w:p w:rsidRPr="00D7033D" w:rsidR="0057597C" w:rsidP="0057597C" w:rsidRDefault="0057597C" w14:paraId="456AA493" w14:textId="77777777">
      <w:pPr>
        <w:numPr>
          <w:ilvl w:val="0"/>
          <w:numId w:val="29"/>
        </w:numPr>
      </w:pPr>
      <w:r w:rsidRPr="00D7033D">
        <w:t>Other groups as deemed necessary.</w:t>
      </w:r>
    </w:p>
    <w:p w:rsidRPr="00D7033D" w:rsidR="00062222" w:rsidP="00062222" w:rsidRDefault="00062222" w14:paraId="3ABD4B4B" w14:textId="77777777">
      <w:pPr>
        <w:widowControl w:val="0"/>
        <w:ind w:left="360"/>
        <w:rPr>
          <w:snapToGrid w:val="0"/>
        </w:rPr>
      </w:pPr>
    </w:p>
    <w:p w:rsidRPr="00D7033D" w:rsidR="00F06866" w:rsidP="00062222" w:rsidRDefault="00F06866" w14:paraId="0AFE4A7A" w14:textId="2328E8B2">
      <w:pPr>
        <w:widowControl w:val="0"/>
        <w:numPr>
          <w:ilvl w:val="0"/>
          <w:numId w:val="27"/>
        </w:numPr>
        <w:rPr>
          <w:snapToGrid w:val="0"/>
        </w:rPr>
      </w:pPr>
      <w:r w:rsidRPr="00D7033D">
        <w:rPr>
          <w:b/>
        </w:rPr>
        <w:t>T</w:t>
      </w:r>
      <w:r w:rsidRPr="00D7033D" w:rsidR="00062222">
        <w:rPr>
          <w:b/>
        </w:rPr>
        <w:t>ype of Collection</w:t>
      </w:r>
      <w:r w:rsidRPr="00D7033D">
        <w:rPr>
          <w:b/>
        </w:rPr>
        <w:t>:</w:t>
      </w:r>
      <w:r w:rsidRPr="00D7033D">
        <w:t xml:space="preserve"> (</w:t>
      </w:r>
      <w:r w:rsidRPr="00D7033D" w:rsidR="005C61AE">
        <w:t>Check one box</w:t>
      </w:r>
      <w:r w:rsidRPr="00D7033D" w:rsidR="007C6741">
        <w:t xml:space="preserve"> below.</w:t>
      </w:r>
      <w:r w:rsidRPr="00D7033D" w:rsidR="005C61AE">
        <w:t xml:space="preserve"> If you are requesting approval of other instruments under the generic</w:t>
      </w:r>
      <w:r w:rsidR="0093302E">
        <w:t xml:space="preserve"> clearance</w:t>
      </w:r>
      <w:r w:rsidRPr="00D7033D" w:rsidR="005C61AE">
        <w:t xml:space="preserve">, complete </w:t>
      </w:r>
      <w:r w:rsidRPr="00D7033D" w:rsidR="007C6741">
        <w:t>this justification</w:t>
      </w:r>
      <w:r w:rsidRPr="00D7033D" w:rsidR="005C61AE">
        <w:t xml:space="preserve"> for each instrument.)</w:t>
      </w:r>
    </w:p>
    <w:p w:rsidRPr="00D7033D" w:rsidR="00441434" w:rsidP="006D55CE" w:rsidRDefault="00441434" w14:paraId="587BCFB5" w14:textId="77777777">
      <w:pPr>
        <w:pStyle w:val="BodyTextIndent"/>
        <w:tabs>
          <w:tab w:val="left" w:pos="360"/>
        </w:tabs>
        <w:ind w:left="0"/>
        <w:rPr>
          <w:bCs/>
          <w:sz w:val="16"/>
          <w:szCs w:val="16"/>
        </w:rPr>
      </w:pPr>
    </w:p>
    <w:p w:rsidRPr="00D7033D" w:rsidR="00F06866" w:rsidP="006D55CE" w:rsidRDefault="0096108F" w14:paraId="20DC4519" w14:textId="77777777">
      <w:pPr>
        <w:pStyle w:val="BodyTextIndent"/>
        <w:tabs>
          <w:tab w:val="left" w:pos="360"/>
        </w:tabs>
        <w:ind w:left="360"/>
        <w:rPr>
          <w:bCs/>
          <w:sz w:val="24"/>
        </w:rPr>
      </w:pPr>
      <w:r w:rsidRPr="00D7033D">
        <w:rPr>
          <w:bCs/>
          <w:sz w:val="24"/>
        </w:rPr>
        <w:t xml:space="preserve">[ ] </w:t>
      </w:r>
      <w:r w:rsidRPr="00D7033D" w:rsidR="00F06866">
        <w:rPr>
          <w:bCs/>
          <w:sz w:val="24"/>
        </w:rPr>
        <w:t>Customer Comment Card/Complaint Form</w:t>
      </w:r>
      <w:r w:rsidRPr="00D7033D">
        <w:rPr>
          <w:bCs/>
          <w:sz w:val="24"/>
        </w:rPr>
        <w:t xml:space="preserve"> </w:t>
      </w:r>
      <w:r w:rsidRPr="00D7033D">
        <w:rPr>
          <w:bCs/>
          <w:sz w:val="24"/>
        </w:rPr>
        <w:tab/>
        <w:t xml:space="preserve">[ ] </w:t>
      </w:r>
      <w:r w:rsidRPr="00D7033D" w:rsidR="00F06866">
        <w:rPr>
          <w:bCs/>
          <w:sz w:val="24"/>
        </w:rPr>
        <w:t>Customer Satisfaction Survey</w:t>
      </w:r>
      <w:r w:rsidRPr="00D7033D">
        <w:rPr>
          <w:bCs/>
          <w:sz w:val="24"/>
        </w:rPr>
        <w:t xml:space="preserve"> </w:t>
      </w:r>
      <w:r w:rsidRPr="00D7033D" w:rsidR="00CA2650">
        <w:rPr>
          <w:bCs/>
          <w:sz w:val="24"/>
        </w:rPr>
        <w:t xml:space="preserve">  </w:t>
      </w:r>
      <w:r w:rsidRPr="00D7033D">
        <w:rPr>
          <w:bCs/>
          <w:sz w:val="24"/>
        </w:rPr>
        <w:t xml:space="preserve"> </w:t>
      </w:r>
    </w:p>
    <w:p w:rsidRPr="00D7033D" w:rsidR="0096108F" w:rsidP="006D55CE" w:rsidRDefault="0096108F" w14:paraId="3D538A9A" w14:textId="77777777">
      <w:pPr>
        <w:pStyle w:val="BodyTextIndent"/>
        <w:tabs>
          <w:tab w:val="left" w:pos="360"/>
        </w:tabs>
        <w:ind w:left="360"/>
        <w:rPr>
          <w:bCs/>
          <w:sz w:val="24"/>
        </w:rPr>
      </w:pPr>
      <w:r w:rsidRPr="00D7033D">
        <w:rPr>
          <w:bCs/>
          <w:sz w:val="24"/>
        </w:rPr>
        <w:t xml:space="preserve">[ ] </w:t>
      </w:r>
      <w:r w:rsidRPr="00D7033D" w:rsidR="00F06866">
        <w:rPr>
          <w:bCs/>
          <w:sz w:val="24"/>
        </w:rPr>
        <w:t>Usability</w:t>
      </w:r>
      <w:r w:rsidRPr="00D7033D" w:rsidR="009239AA">
        <w:rPr>
          <w:bCs/>
          <w:sz w:val="24"/>
        </w:rPr>
        <w:t xml:space="preserve"> Testing (e.g., Website or Software</w:t>
      </w:r>
      <w:r w:rsidRPr="00D7033D" w:rsidR="0084244E">
        <w:rPr>
          <w:bCs/>
          <w:sz w:val="24"/>
        </w:rPr>
        <w:t>)</w:t>
      </w:r>
      <w:r w:rsidRPr="00D7033D" w:rsidR="00F06866">
        <w:rPr>
          <w:bCs/>
          <w:sz w:val="24"/>
        </w:rPr>
        <w:tab/>
        <w:t>[ ] Small Discussion Group</w:t>
      </w:r>
    </w:p>
    <w:p w:rsidRPr="002A0511" w:rsidR="00F06866" w:rsidP="006D55CE" w:rsidRDefault="00935ADA" w14:paraId="48F90A77" w14:textId="77777777">
      <w:pPr>
        <w:pStyle w:val="BodyTextIndent"/>
        <w:tabs>
          <w:tab w:val="left" w:pos="360"/>
        </w:tabs>
        <w:ind w:left="360"/>
        <w:rPr>
          <w:bCs/>
          <w:sz w:val="24"/>
        </w:rPr>
      </w:pPr>
      <w:r w:rsidRPr="00D7033D">
        <w:rPr>
          <w:bCs/>
          <w:sz w:val="24"/>
        </w:rPr>
        <w:t>[</w:t>
      </w:r>
      <w:r w:rsidRPr="00D7033D" w:rsidR="00CF6542">
        <w:rPr>
          <w:bCs/>
          <w:sz w:val="24"/>
        </w:rPr>
        <w:t xml:space="preserve"> </w:t>
      </w:r>
      <w:r w:rsidRPr="00D7033D">
        <w:rPr>
          <w:bCs/>
          <w:sz w:val="24"/>
        </w:rPr>
        <w:t xml:space="preserve">] Focus Group  </w:t>
      </w:r>
      <w:r w:rsidRPr="00D7033D">
        <w:rPr>
          <w:bCs/>
          <w:sz w:val="24"/>
        </w:rPr>
        <w:tab/>
      </w:r>
      <w:r w:rsidRPr="00D7033D">
        <w:rPr>
          <w:bCs/>
          <w:sz w:val="24"/>
        </w:rPr>
        <w:tab/>
      </w:r>
      <w:r w:rsidRPr="00D7033D">
        <w:rPr>
          <w:bCs/>
          <w:sz w:val="24"/>
        </w:rPr>
        <w:tab/>
      </w:r>
      <w:r w:rsidRPr="00D7033D">
        <w:rPr>
          <w:bCs/>
          <w:sz w:val="24"/>
        </w:rPr>
        <w:tab/>
      </w:r>
      <w:r w:rsidRPr="00D7033D">
        <w:rPr>
          <w:bCs/>
          <w:sz w:val="24"/>
        </w:rPr>
        <w:tab/>
      </w:r>
      <w:r w:rsidRPr="00D7033D" w:rsidR="00F06866">
        <w:rPr>
          <w:bCs/>
          <w:sz w:val="24"/>
        </w:rPr>
        <w:t>[</w:t>
      </w:r>
      <w:r w:rsidRPr="00D7033D" w:rsidR="0057597C">
        <w:rPr>
          <w:bCs/>
          <w:sz w:val="24"/>
        </w:rPr>
        <w:t>x</w:t>
      </w:r>
      <w:r w:rsidRPr="00D7033D" w:rsidR="00F06866">
        <w:rPr>
          <w:bCs/>
          <w:sz w:val="24"/>
        </w:rPr>
        <w:t>] Other</w:t>
      </w:r>
      <w:r w:rsidRPr="002A0511" w:rsidR="00F06866">
        <w:rPr>
          <w:bCs/>
          <w:sz w:val="24"/>
        </w:rPr>
        <w:t xml:space="preserve">: </w:t>
      </w:r>
      <w:r w:rsidRPr="002A0511" w:rsidR="0057597C">
        <w:rPr>
          <w:bCs/>
          <w:sz w:val="24"/>
        </w:rPr>
        <w:t>Interview Guide</w:t>
      </w:r>
    </w:p>
    <w:p w:rsidRPr="002A0511" w:rsidR="006D55CE" w:rsidP="006D55CE" w:rsidRDefault="006D55CE" w14:paraId="15134CE0" w14:textId="77777777">
      <w:pPr>
        <w:pStyle w:val="BodyTextIndent"/>
        <w:tabs>
          <w:tab w:val="left" w:pos="360"/>
        </w:tabs>
        <w:ind w:left="360"/>
        <w:rPr>
          <w:bCs/>
          <w:sz w:val="24"/>
        </w:rPr>
      </w:pPr>
    </w:p>
    <w:p w:rsidR="0057597C" w:rsidP="00B65771" w:rsidRDefault="0057597C" w14:paraId="2078F875" w14:textId="02F7A1B7">
      <w:pPr>
        <w:ind w:left="360"/>
      </w:pPr>
      <w:r w:rsidRPr="00D7033D">
        <w:t xml:space="preserve">Given the ongoing COVID-19 public health emergency, all data will be collected from participants via web and telephone interviews. </w:t>
      </w:r>
    </w:p>
    <w:p w:rsidR="006F3FFE" w:rsidP="00B65771" w:rsidRDefault="006F3FFE" w14:paraId="71038DF8" w14:textId="306A4E8B">
      <w:pPr>
        <w:ind w:left="144"/>
      </w:pPr>
    </w:p>
    <w:p w:rsidR="0060659F" w:rsidP="00B65771" w:rsidRDefault="006F3FFE" w14:paraId="1ED45DEF" w14:textId="62AD7AFC">
      <w:pPr>
        <w:ind w:left="144" w:firstLine="216"/>
      </w:pPr>
      <w:r>
        <w:t>Please find attached as appendices the following materials:</w:t>
      </w:r>
    </w:p>
    <w:p w:rsidR="002A0511" w:rsidP="00B65771" w:rsidRDefault="002A0511" w14:paraId="34540FC2" w14:textId="77777777">
      <w:pPr>
        <w:ind w:left="144" w:firstLine="216"/>
      </w:pPr>
    </w:p>
    <w:p w:rsidR="00501874" w:rsidP="00B65771" w:rsidRDefault="0060659F" w14:paraId="0C5170D7" w14:textId="3F44901F">
      <w:pPr>
        <w:pStyle w:val="ListParagraph"/>
        <w:numPr>
          <w:ilvl w:val="0"/>
          <w:numId w:val="32"/>
        </w:numPr>
      </w:pPr>
      <w:r>
        <w:t>I</w:t>
      </w:r>
      <w:r w:rsidR="006F3FFE">
        <w:t>nvitation email to be sent to sponsors</w:t>
      </w:r>
    </w:p>
    <w:p w:rsidRPr="00D7033D" w:rsidR="006F3FFE" w:rsidP="0073319B" w:rsidRDefault="00B65771" w14:paraId="265A2098" w14:textId="57CAACEF">
      <w:pPr>
        <w:pStyle w:val="ListParagraph"/>
        <w:numPr>
          <w:ilvl w:val="0"/>
          <w:numId w:val="32"/>
        </w:numPr>
      </w:pPr>
      <w:r>
        <w:t>I</w:t>
      </w:r>
      <w:r w:rsidR="006F3FFE">
        <w:t>nterview guide</w:t>
      </w:r>
    </w:p>
    <w:p w:rsidRPr="00D7033D" w:rsidR="00CA2650" w:rsidP="00B65771" w:rsidRDefault="00CA2650" w14:paraId="5BE05421" w14:textId="77777777">
      <w:pPr>
        <w:spacing w:before="240"/>
      </w:pPr>
    </w:p>
    <w:p w:rsidRPr="00D7033D" w:rsidR="007C6741" w:rsidP="00062222" w:rsidRDefault="00062222" w14:paraId="48085599" w14:textId="77777777">
      <w:pPr>
        <w:numPr>
          <w:ilvl w:val="0"/>
          <w:numId w:val="27"/>
        </w:numPr>
      </w:pPr>
      <w:r w:rsidRPr="00D7033D">
        <w:rPr>
          <w:b/>
        </w:rPr>
        <w:t>Confidentiality of Respondents</w:t>
      </w:r>
      <w:r w:rsidRPr="00D7033D" w:rsidR="007C6741">
        <w:rPr>
          <w:b/>
        </w:rPr>
        <w:t>:</w:t>
      </w:r>
    </w:p>
    <w:p w:rsidRPr="00D7033D" w:rsidR="006D55CE" w:rsidP="006D55CE" w:rsidRDefault="006D55CE" w14:paraId="02C89FBC" w14:textId="77777777">
      <w:pPr>
        <w:ind w:left="360"/>
      </w:pPr>
    </w:p>
    <w:p w:rsidRPr="00D7033D" w:rsidR="007C6741" w:rsidP="006D55CE" w:rsidRDefault="00625FA0" w14:paraId="0A1CA532" w14:textId="296B700F">
      <w:pPr>
        <w:ind w:left="360"/>
      </w:pPr>
      <w:r w:rsidRPr="00D7033D">
        <w:t xml:space="preserve">The following will be provided both in the email invitation to participate as well as through the interview script: </w:t>
      </w:r>
      <w:r w:rsidRPr="00D7033D" w:rsidR="007C6741">
        <w:t xml:space="preserve">“Your participation </w:t>
      </w:r>
      <w:r w:rsidRPr="00D7033D">
        <w:t>or</w:t>
      </w:r>
      <w:r w:rsidRPr="00D7033D" w:rsidR="007C6741">
        <w:t xml:space="preserve"> non</w:t>
      </w:r>
      <w:r w:rsidRPr="00D7033D" w:rsidR="00B87C7C">
        <w:t>-</w:t>
      </w:r>
      <w:r w:rsidRPr="00D7033D" w:rsidR="007C6741">
        <w:t xml:space="preserve">participation is completely voluntary, and your responses will not have an effect on your eligibility for receipt of any FDA services.  </w:t>
      </w:r>
      <w:r w:rsidRPr="00D7033D">
        <w:t>Your input will be blinded and aggregated by a third party</w:t>
      </w:r>
      <w:r w:rsidR="0093302E">
        <w:t xml:space="preserve"> contractor</w:t>
      </w:r>
      <w:r w:rsidRPr="00D7033D">
        <w:t xml:space="preserve"> prior to being shared with CBER/OTAT.  </w:t>
      </w:r>
      <w:r w:rsidRPr="00D7033D" w:rsidR="007C6741">
        <w:t>In instances where respondent identity is needed (e.g., for follow-up), this information collection fully complies with all aspects of the Privacy Act and data will be kept private to the fullest extent allowed by law.”</w:t>
      </w:r>
    </w:p>
    <w:p w:rsidRPr="00D7033D" w:rsidR="007C6741" w:rsidP="006D55CE" w:rsidRDefault="007C6741" w14:paraId="07FA2471" w14:textId="77777777">
      <w:pPr>
        <w:pStyle w:val="ListParagraph"/>
        <w:ind w:left="0"/>
      </w:pPr>
    </w:p>
    <w:p w:rsidRPr="00D7033D" w:rsidR="00062222" w:rsidP="00062222" w:rsidRDefault="00062222" w14:paraId="2254BC26" w14:textId="77777777">
      <w:pPr>
        <w:numPr>
          <w:ilvl w:val="0"/>
          <w:numId w:val="27"/>
        </w:numPr>
        <w:spacing w:after="200" w:line="276" w:lineRule="auto"/>
        <w:contextualSpacing/>
        <w:rPr>
          <w:b/>
        </w:rPr>
      </w:pPr>
      <w:r w:rsidRPr="00D7033D">
        <w:rPr>
          <w:b/>
        </w:rPr>
        <w:t>Amount and Justification for Proposed Incentive:</w:t>
      </w:r>
    </w:p>
    <w:p w:rsidRPr="00D7033D" w:rsidR="007C6741" w:rsidP="006D55CE" w:rsidRDefault="007C6741" w14:paraId="27C2C104" w14:textId="77777777">
      <w:pPr>
        <w:rPr>
          <w:b/>
        </w:rPr>
      </w:pPr>
    </w:p>
    <w:p w:rsidRPr="00D7033D" w:rsidR="006D55CE" w:rsidP="0057597C" w:rsidRDefault="006D55CE" w14:paraId="75738DAB" w14:textId="77777777">
      <w:pPr>
        <w:ind w:left="360"/>
      </w:pPr>
      <w:r w:rsidRPr="0060659F">
        <w:fldChar w:fldCharType="begin">
          <w:ffData>
            <w:name w:val=""/>
            <w:enabled/>
            <w:calcOnExit w:val="0"/>
            <w:textInput>
              <w:default w:val="Is an incentive (e.g., stipend, reimbursement of expenses, token of appreciation) provided to participants?"/>
            </w:textInput>
          </w:ffData>
        </w:fldChar>
      </w:r>
      <w:r w:rsidRPr="0073059E">
        <w:instrText xml:space="preserve"> FORMTEXT </w:instrText>
      </w:r>
      <w:r w:rsidRPr="0060659F">
        <w:fldChar w:fldCharType="separate"/>
      </w:r>
      <w:r w:rsidRPr="0073059E">
        <w:rPr>
          <w:noProof/>
        </w:rPr>
        <w:t xml:space="preserve">Is an incentive (e.g., stipend, reimbursement of expenses, token of appreciation) provided to </w:t>
      </w:r>
      <w:r w:rsidRPr="0060659F">
        <w:rPr>
          <w:noProof/>
        </w:rPr>
        <w:t>participants?</w:t>
      </w:r>
      <w:r w:rsidRPr="0060659F">
        <w:fldChar w:fldCharType="end"/>
      </w:r>
      <w:r w:rsidRPr="00D7033D" w:rsidR="007C6741">
        <w:t xml:space="preserve"> [  ] Yes [ </w:t>
      </w:r>
      <w:r w:rsidRPr="00D7033D" w:rsidR="0057597C">
        <w:t>x</w:t>
      </w:r>
      <w:r w:rsidRPr="00D7033D" w:rsidR="007C6741">
        <w:t xml:space="preserve"> ] No  </w:t>
      </w:r>
    </w:p>
    <w:p w:rsidRPr="00D7033D" w:rsidR="006D55CE" w:rsidP="006D55CE" w:rsidRDefault="006D55CE" w14:paraId="6D0EC371" w14:textId="77777777">
      <w:pPr>
        <w:ind w:left="360"/>
        <w:rPr>
          <w:b/>
        </w:rPr>
      </w:pPr>
    </w:p>
    <w:p w:rsidRPr="00D7033D" w:rsidR="00062222" w:rsidP="00062222" w:rsidRDefault="00062222" w14:paraId="6A6CBCA9" w14:textId="77777777">
      <w:pPr>
        <w:numPr>
          <w:ilvl w:val="0"/>
          <w:numId w:val="27"/>
        </w:numPr>
        <w:tabs>
          <w:tab w:val="num" w:pos="360"/>
        </w:tabs>
        <w:spacing w:after="200" w:line="276" w:lineRule="auto"/>
        <w:contextualSpacing/>
        <w:rPr>
          <w:b/>
        </w:rPr>
      </w:pPr>
      <w:r w:rsidRPr="00D7033D">
        <w:rPr>
          <w:b/>
        </w:rPr>
        <w:t>Questions of a Sensitive Nature:</w:t>
      </w:r>
    </w:p>
    <w:p w:rsidRPr="00D7033D" w:rsidR="007C6741" w:rsidP="00B65771" w:rsidRDefault="0057597C" w14:paraId="3FE720C6" w14:textId="77777777">
      <w:pPr>
        <w:ind w:firstLine="360"/>
        <w:contextualSpacing/>
      </w:pPr>
      <w:r w:rsidRPr="00D7033D">
        <w:t>This information collection does not involve questions of a sensitive nature.</w:t>
      </w:r>
    </w:p>
    <w:p w:rsidRPr="00D7033D" w:rsidR="0057597C" w:rsidP="006D55CE" w:rsidRDefault="0057597C" w14:paraId="20E132CF" w14:textId="77777777">
      <w:pPr>
        <w:ind w:left="360"/>
        <w:contextualSpacing/>
      </w:pPr>
    </w:p>
    <w:p w:rsidRPr="00D7033D" w:rsidR="00CE1A3F" w:rsidP="00062222" w:rsidRDefault="00062222" w14:paraId="7A66F1BB" w14:textId="77777777">
      <w:pPr>
        <w:numPr>
          <w:ilvl w:val="0"/>
          <w:numId w:val="27"/>
        </w:numPr>
        <w:contextualSpacing/>
        <w:rPr>
          <w:b/>
        </w:rPr>
      </w:pPr>
      <w:r w:rsidRPr="00D7033D">
        <w:rPr>
          <w:b/>
        </w:rPr>
        <w:t>Description of Statistical Methods</w:t>
      </w:r>
    </w:p>
    <w:p w:rsidRPr="00D7033D" w:rsidR="00CE1A3F" w:rsidP="006D55CE" w:rsidRDefault="00CE1A3F" w14:paraId="5A549E86" w14:textId="77777777">
      <w:pPr>
        <w:ind w:left="360"/>
        <w:contextualSpacing/>
        <w:rPr>
          <w:b/>
        </w:rPr>
      </w:pPr>
    </w:p>
    <w:p w:rsidRPr="00D7033D" w:rsidR="0057597C" w:rsidP="00B65771" w:rsidRDefault="0057597C" w14:paraId="7B5263CD" w14:textId="32D76A41">
      <w:pPr>
        <w:ind w:left="360"/>
      </w:pPr>
      <w:bookmarkStart w:name="_Hlk65745771" w:id="5"/>
      <w:r w:rsidRPr="00D7033D">
        <w:t>This is a qualitative study using a convenience sample.  It does not entail the use of any statistical methods. A</w:t>
      </w:r>
      <w:r w:rsidRPr="00D7033D" w:rsidR="00625FA0">
        <w:t xml:space="preserve"> third party</w:t>
      </w:r>
      <w:r w:rsidRPr="00D7033D">
        <w:t xml:space="preserve"> contractor will organize and facilitate the individual interviews.  For the individual interviews, invitations to known </w:t>
      </w:r>
      <w:r w:rsidRPr="00D7033D" w:rsidR="00625FA0">
        <w:t>s</w:t>
      </w:r>
      <w:r w:rsidRPr="00D7033D">
        <w:t xml:space="preserve">ponsors would be sent by email.  No screening will be </w:t>
      </w:r>
      <w:r w:rsidRPr="00D7033D">
        <w:lastRenderedPageBreak/>
        <w:t xml:space="preserve">necessary, as individuals are known to the FDA.  The interviewer will follow a structured interview guide.  Up to 30 individual interviews will be scheduled, along with follow up interviews with up to half of these respondents. </w:t>
      </w:r>
      <w:bookmarkEnd w:id="5"/>
      <w:r w:rsidRPr="00D7033D">
        <w:t xml:space="preserve"> </w:t>
      </w:r>
    </w:p>
    <w:p w:rsidRPr="00D7033D" w:rsidR="00625FA0" w:rsidP="00B65771" w:rsidRDefault="00625FA0" w14:paraId="22CBA99C" w14:textId="77777777">
      <w:pPr>
        <w:ind w:left="360"/>
      </w:pPr>
    </w:p>
    <w:p w:rsidRPr="00D7033D" w:rsidR="0057597C" w:rsidP="00B65771" w:rsidRDefault="0057597C" w14:paraId="7A367C24" w14:textId="4D6D33D6">
      <w:pPr>
        <w:ind w:left="360"/>
      </w:pPr>
      <w:r w:rsidRPr="00D7033D">
        <w:t>The information gathered will be qualitative in nature, focusing on the expectations, needs, opinions, and utility of the experiences with OTAT. Open-ended questions will allow us to gather more qualitative information to have a better understanding of the Sponsor’s needs and develop more specific recommendations for the operational diagnostic as well as a potential future listening sessions/focus groups project.</w:t>
      </w:r>
      <w:r w:rsidRPr="00D7033D" w:rsidR="00625FA0">
        <w:t xml:space="preserve">  These will be followed by more structured questions which will allow the third party </w:t>
      </w:r>
      <w:r w:rsidR="0093302E">
        <w:t xml:space="preserve">contractor </w:t>
      </w:r>
      <w:r w:rsidRPr="00D7033D" w:rsidR="00625FA0">
        <w:t>to aggregate thematic findings from the interviews.</w:t>
      </w:r>
    </w:p>
    <w:p w:rsidRPr="00D7033D" w:rsidR="00CE1A3F" w:rsidP="006D55CE" w:rsidRDefault="00CE1A3F" w14:paraId="5E65457C" w14:textId="77777777">
      <w:pPr>
        <w:contextualSpacing/>
        <w:rPr>
          <w:b/>
        </w:rPr>
      </w:pPr>
    </w:p>
    <w:p w:rsidRPr="00D7033D" w:rsidR="00261324" w:rsidP="00062222" w:rsidRDefault="00261324" w14:paraId="6E279131" w14:textId="77777777">
      <w:pPr>
        <w:numPr>
          <w:ilvl w:val="0"/>
          <w:numId w:val="27"/>
        </w:numPr>
        <w:contextualSpacing/>
        <w:rPr>
          <w:b/>
        </w:rPr>
      </w:pPr>
      <w:r w:rsidRPr="00D7033D">
        <w:rPr>
          <w:b/>
        </w:rPr>
        <w:t>B</w:t>
      </w:r>
      <w:r w:rsidRPr="00D7033D" w:rsidR="00062222">
        <w:rPr>
          <w:b/>
        </w:rPr>
        <w:t>urden</w:t>
      </w:r>
      <w:r w:rsidRPr="00D7033D">
        <w:rPr>
          <w:b/>
        </w:rPr>
        <w:t xml:space="preserve">: </w:t>
      </w:r>
      <w:r w:rsidRPr="00D7033D">
        <w:t>[Complete the table below.]</w:t>
      </w:r>
    </w:p>
    <w:p w:rsidRPr="00D7033D" w:rsidR="00261324" w:rsidP="006D55CE" w:rsidRDefault="00261324" w14:paraId="7EF9FB42" w14:textId="77777777">
      <w:pPr>
        <w:rPr>
          <w:b/>
        </w:rPr>
      </w:pPr>
    </w:p>
    <w:p w:rsidRPr="00D7033D" w:rsidR="00261324" w:rsidP="006D55CE" w:rsidRDefault="00261324" w14:paraId="572919EC" w14:textId="77777777">
      <w:pPr>
        <w:keepNext/>
        <w:keepLines/>
        <w:ind w:left="360"/>
        <w:rPr>
          <w:b/>
        </w:rPr>
      </w:pPr>
      <w:bookmarkStart w:name="_Hlk25229277" w:id="6"/>
      <w:r w:rsidRPr="00D7033D">
        <w:rPr>
          <w:i/>
        </w:rPr>
        <w:t>Burden Hour Computation -- (Number of responses (X) estimated response or participation time in minutes (/60) = annual burden hours).</w:t>
      </w:r>
      <w:bookmarkEnd w:id="6"/>
      <w:r w:rsidRPr="00D7033D">
        <w:rPr>
          <w:i/>
        </w:rPr>
        <w:br/>
      </w:r>
      <w:r w:rsidRPr="00D7033D">
        <w:rPr>
          <w:i/>
        </w:rPr>
        <w:br/>
      </w:r>
      <w:r w:rsidRPr="00D7033D">
        <w:rPr>
          <w:b/>
          <w:i/>
        </w:rPr>
        <w:t>Example:</w:t>
      </w:r>
      <w:r w:rsidRPr="00D7033D">
        <w:rPr>
          <w:b/>
          <w:i/>
        </w:rPr>
        <w:br/>
      </w:r>
    </w:p>
    <w:tbl>
      <w:tblPr>
        <w:tblW w:w="9193"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50"/>
        <w:gridCol w:w="1530"/>
        <w:gridCol w:w="1710"/>
        <w:gridCol w:w="1003"/>
      </w:tblGrid>
      <w:tr w:rsidRPr="00D7033D" w:rsidR="00D7033D" w:rsidTr="00261324" w14:paraId="6A50DB89" w14:textId="77777777">
        <w:trPr>
          <w:trHeight w:val="274"/>
        </w:trPr>
        <w:tc>
          <w:tcPr>
            <w:tcW w:w="4950" w:type="dxa"/>
            <w:shd w:val="clear" w:color="auto" w:fill="E7E6E6"/>
          </w:tcPr>
          <w:p w:rsidRPr="00D7033D" w:rsidR="00261324" w:rsidP="00261324" w:rsidRDefault="00261324" w14:paraId="5ED451D1" w14:textId="77777777">
            <w:pPr>
              <w:rPr>
                <w:b/>
              </w:rPr>
            </w:pPr>
            <w:r w:rsidRPr="00D7033D">
              <w:rPr>
                <w:b/>
              </w:rPr>
              <w:t>Type of information collection/Category of Respondent</w:t>
            </w:r>
          </w:p>
        </w:tc>
        <w:tc>
          <w:tcPr>
            <w:tcW w:w="1530" w:type="dxa"/>
            <w:shd w:val="clear" w:color="auto" w:fill="E7E6E6"/>
          </w:tcPr>
          <w:p w:rsidRPr="00D7033D" w:rsidR="00261324" w:rsidP="00261324" w:rsidRDefault="00261324" w14:paraId="1253AC06" w14:textId="77777777">
            <w:pPr>
              <w:rPr>
                <w:b/>
              </w:rPr>
            </w:pPr>
            <w:r w:rsidRPr="00D7033D">
              <w:rPr>
                <w:b/>
              </w:rPr>
              <w:t>No. of Respondents</w:t>
            </w:r>
          </w:p>
        </w:tc>
        <w:tc>
          <w:tcPr>
            <w:tcW w:w="1710" w:type="dxa"/>
            <w:shd w:val="clear" w:color="auto" w:fill="E7E6E6"/>
          </w:tcPr>
          <w:p w:rsidRPr="00D7033D" w:rsidR="00261324" w:rsidP="00261324" w:rsidRDefault="00261324" w14:paraId="2EFB27A4" w14:textId="77777777">
            <w:pPr>
              <w:rPr>
                <w:b/>
              </w:rPr>
            </w:pPr>
            <w:r w:rsidRPr="00D7033D">
              <w:rPr>
                <w:b/>
              </w:rPr>
              <w:t>Participation Time (minutes)</w:t>
            </w:r>
          </w:p>
        </w:tc>
        <w:tc>
          <w:tcPr>
            <w:tcW w:w="1003" w:type="dxa"/>
            <w:shd w:val="clear" w:color="auto" w:fill="E7E6E6"/>
          </w:tcPr>
          <w:p w:rsidRPr="00D7033D" w:rsidR="00261324" w:rsidP="00261324" w:rsidRDefault="00261324" w14:paraId="742C80A9" w14:textId="77777777">
            <w:pPr>
              <w:rPr>
                <w:b/>
              </w:rPr>
            </w:pPr>
            <w:r w:rsidRPr="00D7033D">
              <w:rPr>
                <w:b/>
              </w:rPr>
              <w:t>Burden (hours)</w:t>
            </w:r>
          </w:p>
        </w:tc>
      </w:tr>
      <w:tr w:rsidRPr="00D7033D" w:rsidR="00D7033D" w:rsidTr="00261324" w14:paraId="518ACCA4" w14:textId="77777777">
        <w:trPr>
          <w:trHeight w:val="274"/>
        </w:trPr>
        <w:tc>
          <w:tcPr>
            <w:tcW w:w="4950" w:type="dxa"/>
          </w:tcPr>
          <w:p w:rsidRPr="00D7033D" w:rsidR="00C14FC7" w:rsidP="00C14FC7" w:rsidRDefault="00C14FC7" w14:paraId="3B03189F" w14:textId="77777777">
            <w:r w:rsidRPr="00D7033D">
              <w:t>Sponsor Interviews (Private Sector)</w:t>
            </w:r>
          </w:p>
        </w:tc>
        <w:tc>
          <w:tcPr>
            <w:tcW w:w="1530" w:type="dxa"/>
          </w:tcPr>
          <w:p w:rsidRPr="00D7033D" w:rsidR="00C14FC7" w:rsidP="00C14FC7" w:rsidRDefault="00C14FC7" w14:paraId="00D45D4A" w14:textId="77777777">
            <w:pPr>
              <w:jc w:val="center"/>
            </w:pPr>
            <w:r w:rsidRPr="00D7033D">
              <w:t>30</w:t>
            </w:r>
          </w:p>
        </w:tc>
        <w:tc>
          <w:tcPr>
            <w:tcW w:w="1710" w:type="dxa"/>
          </w:tcPr>
          <w:p w:rsidRPr="00D7033D" w:rsidR="00C14FC7" w:rsidP="00C14FC7" w:rsidRDefault="004C6BDC" w14:paraId="6E0B84F8" w14:textId="307D211E">
            <w:pPr>
              <w:jc w:val="center"/>
            </w:pPr>
            <w:r>
              <w:t>75</w:t>
            </w:r>
          </w:p>
        </w:tc>
        <w:tc>
          <w:tcPr>
            <w:tcW w:w="1003" w:type="dxa"/>
          </w:tcPr>
          <w:p w:rsidRPr="00D7033D" w:rsidR="00C14FC7" w:rsidP="00C14FC7" w:rsidRDefault="00C14FC7" w14:paraId="4AF91AED" w14:textId="5909177F">
            <w:pPr>
              <w:jc w:val="center"/>
            </w:pPr>
            <w:r w:rsidRPr="00D7033D">
              <w:t>3</w:t>
            </w:r>
            <w:r w:rsidR="004C6BDC">
              <w:t>7.5</w:t>
            </w:r>
          </w:p>
        </w:tc>
      </w:tr>
      <w:tr w:rsidRPr="00D7033D" w:rsidR="00D7033D" w:rsidTr="00261324" w14:paraId="1F1F3663" w14:textId="77777777">
        <w:trPr>
          <w:trHeight w:val="274"/>
        </w:trPr>
        <w:tc>
          <w:tcPr>
            <w:tcW w:w="4950" w:type="dxa"/>
          </w:tcPr>
          <w:p w:rsidRPr="00D7033D" w:rsidR="00C14FC7" w:rsidP="00C14FC7" w:rsidRDefault="00C14FC7" w14:paraId="54D9818C" w14:textId="155929E3">
            <w:r w:rsidRPr="00D7033D">
              <w:t>Follow up Interviews (Private Sector)</w:t>
            </w:r>
            <w:r w:rsidR="00B65771">
              <w:t>*</w:t>
            </w:r>
          </w:p>
        </w:tc>
        <w:tc>
          <w:tcPr>
            <w:tcW w:w="1530" w:type="dxa"/>
          </w:tcPr>
          <w:p w:rsidRPr="00D7033D" w:rsidR="00C14FC7" w:rsidP="00C14FC7" w:rsidRDefault="00C14FC7" w14:paraId="374BCD1F" w14:textId="77777777">
            <w:pPr>
              <w:jc w:val="center"/>
            </w:pPr>
            <w:r w:rsidRPr="00D7033D">
              <w:t>15</w:t>
            </w:r>
          </w:p>
        </w:tc>
        <w:tc>
          <w:tcPr>
            <w:tcW w:w="1710" w:type="dxa"/>
          </w:tcPr>
          <w:p w:rsidRPr="00D7033D" w:rsidR="00C14FC7" w:rsidP="00C14FC7" w:rsidRDefault="00C14FC7" w14:paraId="7209025D" w14:textId="77777777">
            <w:pPr>
              <w:jc w:val="center"/>
            </w:pPr>
            <w:r w:rsidRPr="00D7033D">
              <w:t>30</w:t>
            </w:r>
          </w:p>
        </w:tc>
        <w:tc>
          <w:tcPr>
            <w:tcW w:w="1003" w:type="dxa"/>
          </w:tcPr>
          <w:p w:rsidRPr="00D7033D" w:rsidR="00C14FC7" w:rsidP="00C14FC7" w:rsidRDefault="00C14FC7" w14:paraId="5EAC9D66" w14:textId="77777777">
            <w:pPr>
              <w:jc w:val="center"/>
            </w:pPr>
            <w:r w:rsidRPr="00D7033D">
              <w:t>7.5</w:t>
            </w:r>
          </w:p>
        </w:tc>
      </w:tr>
      <w:tr w:rsidRPr="00D7033D" w:rsidR="00C14FC7" w:rsidTr="00261324" w14:paraId="6A23579F" w14:textId="77777777">
        <w:trPr>
          <w:trHeight w:val="274"/>
        </w:trPr>
        <w:tc>
          <w:tcPr>
            <w:tcW w:w="4950" w:type="dxa"/>
          </w:tcPr>
          <w:p w:rsidRPr="00D7033D" w:rsidR="00C14FC7" w:rsidP="00C14FC7" w:rsidRDefault="00C14FC7" w14:paraId="22DA773C" w14:textId="77777777">
            <w:r w:rsidRPr="00D7033D">
              <w:t>Total</w:t>
            </w:r>
          </w:p>
        </w:tc>
        <w:tc>
          <w:tcPr>
            <w:tcW w:w="1530" w:type="dxa"/>
          </w:tcPr>
          <w:p w:rsidRPr="00D7033D" w:rsidR="00C14FC7" w:rsidP="00C14FC7" w:rsidRDefault="00C14FC7" w14:paraId="321D036D" w14:textId="77777777"/>
        </w:tc>
        <w:tc>
          <w:tcPr>
            <w:tcW w:w="1710" w:type="dxa"/>
          </w:tcPr>
          <w:p w:rsidRPr="00D7033D" w:rsidR="00C14FC7" w:rsidP="00C14FC7" w:rsidRDefault="00C14FC7" w14:paraId="1E194324" w14:textId="77777777"/>
        </w:tc>
        <w:tc>
          <w:tcPr>
            <w:tcW w:w="1003" w:type="dxa"/>
          </w:tcPr>
          <w:p w:rsidRPr="00D7033D" w:rsidR="00C14FC7" w:rsidP="00C14FC7" w:rsidRDefault="004C6BDC" w14:paraId="4A318E0D" w14:textId="1C288041">
            <w:pPr>
              <w:jc w:val="center"/>
            </w:pPr>
            <w:r>
              <w:t>45</w:t>
            </w:r>
          </w:p>
        </w:tc>
      </w:tr>
    </w:tbl>
    <w:p w:rsidRPr="00B65771" w:rsidR="00B65771" w:rsidP="00B65771" w:rsidRDefault="00B65771" w14:paraId="67651422" w14:textId="77777777">
      <w:pPr>
        <w:widowControl w:val="0"/>
        <w:ind w:left="360"/>
        <w:contextualSpacing/>
        <w:rPr>
          <w:bCs/>
          <w:i/>
          <w:iCs/>
          <w:snapToGrid w:val="0"/>
        </w:rPr>
      </w:pPr>
      <w:r w:rsidRPr="00B65771">
        <w:rPr>
          <w:bCs/>
          <w:i/>
          <w:iCs/>
          <w:snapToGrid w:val="0"/>
        </w:rPr>
        <w:t>*Burden assumption is that half of the interviewees will require a follow up, so of up to 30 primary interviews, FDA expects there will be 15 follow up interviews</w:t>
      </w:r>
    </w:p>
    <w:p w:rsidRPr="00D7033D" w:rsidR="00B65771" w:rsidP="00261324" w:rsidRDefault="00B65771" w14:paraId="3A22414A" w14:textId="77777777">
      <w:pPr>
        <w:widowControl w:val="0"/>
        <w:ind w:left="360"/>
        <w:contextualSpacing/>
        <w:rPr>
          <w:b/>
          <w:snapToGrid w:val="0"/>
        </w:rPr>
      </w:pPr>
    </w:p>
    <w:p w:rsidRPr="00D7033D" w:rsidR="00261324" w:rsidP="00062222" w:rsidRDefault="00261324" w14:paraId="40A8DBE6" w14:textId="77777777">
      <w:pPr>
        <w:widowControl w:val="0"/>
        <w:numPr>
          <w:ilvl w:val="0"/>
          <w:numId w:val="27"/>
        </w:numPr>
        <w:contextualSpacing/>
        <w:rPr>
          <w:b/>
          <w:snapToGrid w:val="0"/>
        </w:rPr>
      </w:pPr>
      <w:r w:rsidRPr="00D7033D">
        <w:rPr>
          <w:b/>
          <w:snapToGrid w:val="0"/>
        </w:rPr>
        <w:t>F</w:t>
      </w:r>
      <w:r w:rsidRPr="00D7033D" w:rsidR="00062222">
        <w:rPr>
          <w:b/>
          <w:snapToGrid w:val="0"/>
        </w:rPr>
        <w:t>ederal Cost</w:t>
      </w:r>
      <w:r w:rsidRPr="00D7033D">
        <w:rPr>
          <w:b/>
          <w:snapToGrid w:val="0"/>
        </w:rPr>
        <w:t>:</w:t>
      </w:r>
    </w:p>
    <w:p w:rsidRPr="00D7033D" w:rsidR="00261324" w:rsidP="006D55CE" w:rsidRDefault="00261324" w14:paraId="2908EACF" w14:textId="77777777">
      <w:pPr>
        <w:widowControl w:val="0"/>
        <w:ind w:left="360"/>
        <w:contextualSpacing/>
        <w:rPr>
          <w:b/>
          <w:snapToGrid w:val="0"/>
        </w:rPr>
      </w:pPr>
    </w:p>
    <w:p w:rsidRPr="00D7033D" w:rsidR="00261324" w:rsidP="006D55CE" w:rsidRDefault="0057597C" w14:paraId="5624E263" w14:textId="77777777">
      <w:pPr>
        <w:widowControl w:val="0"/>
        <w:ind w:left="360"/>
      </w:pPr>
      <w:r w:rsidRPr="00D7033D">
        <w:t>There is NO estimated annual cost to the Federal government.</w:t>
      </w:r>
    </w:p>
    <w:p w:rsidRPr="00D7033D" w:rsidR="00261324" w:rsidP="006D55CE" w:rsidRDefault="00261324" w14:paraId="600DCBFA" w14:textId="77777777">
      <w:pPr>
        <w:widowControl w:val="0"/>
        <w:ind w:left="360"/>
        <w:contextualSpacing/>
        <w:rPr>
          <w:b/>
          <w:snapToGrid w:val="0"/>
        </w:rPr>
      </w:pPr>
    </w:p>
    <w:p w:rsidRPr="00D7033D" w:rsidR="00062222" w:rsidP="00062222" w:rsidRDefault="00261324" w14:paraId="0C5711C3" w14:textId="77777777">
      <w:pPr>
        <w:widowControl w:val="0"/>
        <w:numPr>
          <w:ilvl w:val="0"/>
          <w:numId w:val="27"/>
        </w:numPr>
        <w:contextualSpacing/>
      </w:pPr>
      <w:r w:rsidRPr="00D7033D">
        <w:rPr>
          <w:b/>
          <w:snapToGrid w:val="0"/>
        </w:rPr>
        <w:t>D</w:t>
      </w:r>
      <w:r w:rsidRPr="00D7033D" w:rsidR="00062222">
        <w:rPr>
          <w:b/>
          <w:snapToGrid w:val="0"/>
        </w:rPr>
        <w:t>ate(s) to be Conducted</w:t>
      </w:r>
      <w:r w:rsidRPr="00D7033D">
        <w:rPr>
          <w:b/>
          <w:snapToGrid w:val="0"/>
        </w:rPr>
        <w:t>:</w:t>
      </w:r>
    </w:p>
    <w:p w:rsidRPr="00D7033D" w:rsidR="00062222" w:rsidP="00062222" w:rsidRDefault="00062222" w14:paraId="03511473" w14:textId="77777777">
      <w:pPr>
        <w:widowControl w:val="0"/>
        <w:contextualSpacing/>
      </w:pPr>
      <w:bookmarkStart w:name="_Hlk25234637" w:id="7"/>
    </w:p>
    <w:p w:rsidRPr="00D7033D" w:rsidR="00261324" w:rsidP="00062222" w:rsidRDefault="00625FA0" w14:paraId="588A3281" w14:textId="32BA54DA">
      <w:pPr>
        <w:widowControl w:val="0"/>
        <w:ind w:firstLine="360"/>
        <w:contextualSpacing/>
      </w:pPr>
      <w:r w:rsidRPr="00D7033D">
        <w:t xml:space="preserve">March </w:t>
      </w:r>
      <w:r w:rsidR="00D7033D">
        <w:t>22</w:t>
      </w:r>
      <w:r w:rsidRPr="00D7033D">
        <w:t>, 2021 – June 30, 2021</w:t>
      </w:r>
    </w:p>
    <w:bookmarkEnd w:id="7"/>
    <w:p w:rsidRPr="00D7033D" w:rsidR="00261324" w:rsidP="006D55CE" w:rsidRDefault="00261324" w14:paraId="48C05795" w14:textId="77777777">
      <w:pPr>
        <w:widowControl w:val="0"/>
        <w:ind w:left="360"/>
        <w:rPr>
          <w:snapToGrid w:val="0"/>
        </w:rPr>
      </w:pPr>
    </w:p>
    <w:p w:rsidRPr="00D7033D" w:rsidR="00261324" w:rsidP="00062222" w:rsidRDefault="00261324" w14:paraId="15ECBC02" w14:textId="57120E75">
      <w:pPr>
        <w:numPr>
          <w:ilvl w:val="0"/>
          <w:numId w:val="27"/>
        </w:numPr>
        <w:contextualSpacing/>
      </w:pPr>
      <w:bookmarkStart w:name="_Hlk25234789" w:id="8"/>
      <w:r w:rsidRPr="00D7033D">
        <w:rPr>
          <w:b/>
        </w:rPr>
        <w:t>R</w:t>
      </w:r>
      <w:r w:rsidRPr="00D7033D" w:rsidR="00062222">
        <w:rPr>
          <w:b/>
        </w:rPr>
        <w:t>equested Approval Date</w:t>
      </w:r>
      <w:r w:rsidRPr="00D7033D">
        <w:rPr>
          <w:b/>
        </w:rPr>
        <w:t xml:space="preserve">: </w:t>
      </w:r>
      <w:r w:rsidRPr="00D7033D" w:rsidR="00C14FC7">
        <w:rPr>
          <w:rFonts w:eastAsia="Calibri"/>
        </w:rPr>
        <w:t xml:space="preserve"> March </w:t>
      </w:r>
      <w:r w:rsidR="00D7033D">
        <w:rPr>
          <w:rFonts w:eastAsia="Calibri"/>
        </w:rPr>
        <w:t>22</w:t>
      </w:r>
      <w:r w:rsidRPr="00D7033D" w:rsidR="00C14FC7">
        <w:rPr>
          <w:rFonts w:eastAsia="Calibri"/>
        </w:rPr>
        <w:t>, 2021.</w:t>
      </w:r>
    </w:p>
    <w:p w:rsidRPr="00D7033D" w:rsidR="00261324" w:rsidP="006D55CE" w:rsidRDefault="00261324" w14:paraId="35F55A24" w14:textId="77777777">
      <w:pPr>
        <w:rPr>
          <w:b/>
        </w:rPr>
      </w:pPr>
    </w:p>
    <w:p w:rsidRPr="00D7033D" w:rsidR="00261324" w:rsidP="00062222" w:rsidRDefault="00261324" w14:paraId="208FE083" w14:textId="77777777">
      <w:pPr>
        <w:numPr>
          <w:ilvl w:val="0"/>
          <w:numId w:val="27"/>
        </w:numPr>
        <w:contextualSpacing/>
        <w:rPr>
          <w:b/>
        </w:rPr>
      </w:pPr>
      <w:r w:rsidRPr="00D7033D">
        <w:rPr>
          <w:b/>
        </w:rPr>
        <w:t xml:space="preserve">FDA </w:t>
      </w:r>
      <w:r w:rsidRPr="00D7033D" w:rsidR="00062222">
        <w:rPr>
          <w:b/>
        </w:rPr>
        <w:t>Contacts</w:t>
      </w:r>
      <w:r w:rsidRPr="00D7033D">
        <w:rPr>
          <w:b/>
        </w:rPr>
        <w:t>:</w:t>
      </w:r>
    </w:p>
    <w:p w:rsidRPr="00D7033D" w:rsidR="00261324" w:rsidP="00261324" w:rsidRDefault="00261324" w14:paraId="4AA4B55D" w14:textId="77777777">
      <w:pPr>
        <w:ind w:left="720"/>
        <w:contextualSpacing/>
        <w:rPr>
          <w:b/>
        </w:rPr>
      </w:pPr>
    </w:p>
    <w:tbl>
      <w:tblPr>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03"/>
        <w:gridCol w:w="4590"/>
      </w:tblGrid>
      <w:tr w:rsidRPr="00D7033D" w:rsidR="00D7033D" w:rsidTr="00062222" w14:paraId="0F0E4DBF" w14:textId="77777777">
        <w:tc>
          <w:tcPr>
            <w:tcW w:w="4703" w:type="dxa"/>
            <w:shd w:val="clear" w:color="auto" w:fill="auto"/>
          </w:tcPr>
          <w:p w:rsidRPr="00D7033D" w:rsidR="00261324" w:rsidP="00261324" w:rsidRDefault="00261324" w14:paraId="2BCE9E55" w14:textId="77777777">
            <w:pPr>
              <w:rPr>
                <w:rFonts w:eastAsia="Calibri"/>
                <w:bCs/>
              </w:rPr>
            </w:pPr>
            <w:r w:rsidRPr="00D7033D">
              <w:rPr>
                <w:rFonts w:eastAsia="Calibri"/>
                <w:bCs/>
              </w:rPr>
              <w:t>Program Office Contact</w:t>
            </w:r>
          </w:p>
        </w:tc>
        <w:tc>
          <w:tcPr>
            <w:tcW w:w="4590" w:type="dxa"/>
            <w:shd w:val="clear" w:color="auto" w:fill="auto"/>
          </w:tcPr>
          <w:p w:rsidRPr="00D7033D" w:rsidR="00261324" w:rsidP="00261324" w:rsidRDefault="00261324" w14:paraId="309CEBC9" w14:textId="77777777">
            <w:pPr>
              <w:rPr>
                <w:rFonts w:eastAsia="Calibri"/>
                <w:bCs/>
              </w:rPr>
            </w:pPr>
            <w:r w:rsidRPr="00D7033D">
              <w:rPr>
                <w:rFonts w:eastAsia="Calibri"/>
                <w:bCs/>
              </w:rPr>
              <w:t>FDA PRA Contact</w:t>
            </w:r>
          </w:p>
        </w:tc>
      </w:tr>
      <w:tr w:rsidRPr="00D7033D" w:rsidR="00261324" w:rsidTr="00062222" w14:paraId="1B42660A" w14:textId="77777777">
        <w:tc>
          <w:tcPr>
            <w:tcW w:w="4703" w:type="dxa"/>
            <w:shd w:val="clear" w:color="auto" w:fill="auto"/>
          </w:tcPr>
          <w:p w:rsidR="00C14FC7" w:rsidP="00261324" w:rsidRDefault="001524AD" w14:paraId="5B655336" w14:textId="5A79A45A">
            <w:pPr>
              <w:rPr>
                <w:rFonts w:eastAsia="Calibri"/>
                <w:bCs/>
              </w:rPr>
            </w:pPr>
            <w:r>
              <w:rPr>
                <w:rFonts w:eastAsia="Calibri"/>
                <w:bCs/>
              </w:rPr>
              <w:t>Anne Taylor</w:t>
            </w:r>
          </w:p>
          <w:p w:rsidR="00944585" w:rsidP="00261324" w:rsidRDefault="00944585" w14:paraId="71321E7B" w14:textId="0D48F76B">
            <w:pPr>
              <w:rPr>
                <w:rFonts w:eastAsia="Calibri"/>
                <w:bCs/>
              </w:rPr>
            </w:pPr>
            <w:r>
              <w:rPr>
                <w:rFonts w:eastAsia="Calibri"/>
                <w:bCs/>
              </w:rPr>
              <w:t>Center for Biologics Evaluation and Research</w:t>
            </w:r>
          </w:p>
          <w:p w:rsidRPr="002A0511" w:rsidR="001524AD" w:rsidP="00261324" w:rsidRDefault="002A0511" w14:paraId="67AF0DE8" w14:textId="195F610E">
            <w:pPr>
              <w:rPr>
                <w:rFonts w:eastAsia="Calibri"/>
                <w:bCs/>
                <w:color w:val="000000" w:themeColor="text1"/>
              </w:rPr>
            </w:pPr>
            <w:hyperlink w:history="1" r:id="rId11">
              <w:r w:rsidRPr="002A0511" w:rsidR="001524AD">
                <w:rPr>
                  <w:rStyle w:val="Hyperlink"/>
                  <w:rFonts w:eastAsia="Calibri"/>
                  <w:bCs/>
                  <w:color w:val="000000" w:themeColor="text1"/>
                  <w:u w:val="none"/>
                </w:rPr>
                <w:t>Anne.Tayor@fda.hhs.gov</w:t>
              </w:r>
            </w:hyperlink>
          </w:p>
          <w:p w:rsidRPr="00D7033D" w:rsidR="001524AD" w:rsidP="00261324" w:rsidRDefault="001524AD" w14:paraId="70F71D5E" w14:textId="4CC29CEF">
            <w:pPr>
              <w:rPr>
                <w:rFonts w:eastAsia="Calibri"/>
                <w:bCs/>
              </w:rPr>
            </w:pPr>
            <w:r>
              <w:rPr>
                <w:rFonts w:eastAsia="Calibri"/>
                <w:bCs/>
              </w:rPr>
              <w:t>240-402-5683</w:t>
            </w:r>
          </w:p>
        </w:tc>
        <w:tc>
          <w:tcPr>
            <w:tcW w:w="4590" w:type="dxa"/>
            <w:shd w:val="clear" w:color="auto" w:fill="auto"/>
          </w:tcPr>
          <w:p w:rsidRPr="00D7033D" w:rsidR="00C14FC7" w:rsidP="00C14FC7" w:rsidRDefault="00C14FC7" w14:paraId="532E8786" w14:textId="77777777">
            <w:r w:rsidRPr="00D7033D">
              <w:t>Ila S. Mizrachi</w:t>
            </w:r>
          </w:p>
          <w:p w:rsidRPr="00D7033D" w:rsidR="00C14FC7" w:rsidP="00C14FC7" w:rsidRDefault="00C14FC7" w14:paraId="3B11FA91" w14:textId="77777777">
            <w:r w:rsidRPr="00D7033D">
              <w:t>FDA Paperwork Reduction Act</w:t>
            </w:r>
          </w:p>
          <w:p w:rsidRPr="002A0511" w:rsidR="002A0511" w:rsidP="00C14FC7" w:rsidRDefault="002A0511" w14:paraId="170594A2" w14:textId="4C23C2D3">
            <w:hyperlink w:history="1" r:id="rId12">
              <w:r w:rsidRPr="002A0511" w:rsidR="00C14FC7">
                <w:rPr>
                  <w:rStyle w:val="Hyperlink"/>
                  <w:color w:val="auto"/>
                  <w:u w:val="none"/>
                </w:rPr>
                <w:t>Ila.Mizrachi@fda.hhs.gov</w:t>
              </w:r>
            </w:hyperlink>
          </w:p>
          <w:p w:rsidRPr="00D7033D" w:rsidR="00261324" w:rsidP="00261324" w:rsidRDefault="00C14FC7" w14:paraId="473D71C5" w14:textId="77777777">
            <w:r w:rsidRPr="00D7033D">
              <w:t>301-796-7726</w:t>
            </w:r>
          </w:p>
        </w:tc>
      </w:tr>
    </w:tbl>
    <w:p w:rsidR="00B65771" w:rsidP="00B65771" w:rsidRDefault="00B65771" w14:paraId="11682BCC" w14:textId="04274960">
      <w:pPr>
        <w:contextualSpacing/>
      </w:pPr>
    </w:p>
    <w:p w:rsidR="002A0511" w:rsidP="00B65771" w:rsidRDefault="002A0511" w14:paraId="72369820" w14:textId="6FFBFB82">
      <w:pPr>
        <w:contextualSpacing/>
      </w:pPr>
    </w:p>
    <w:p w:rsidR="002A0511" w:rsidP="00B65771" w:rsidRDefault="002A0511" w14:paraId="30EC9659" w14:textId="43488728">
      <w:pPr>
        <w:contextualSpacing/>
      </w:pPr>
    </w:p>
    <w:p w:rsidR="002A0511" w:rsidP="00B65771" w:rsidRDefault="002A0511" w14:paraId="5075E7B7" w14:textId="77777777">
      <w:pPr>
        <w:contextualSpacing/>
      </w:pPr>
      <w:bookmarkStart w:name="_GoBack" w:id="9"/>
      <w:bookmarkEnd w:id="9"/>
    </w:p>
    <w:p w:rsidRPr="00B65771" w:rsidR="002A0511" w:rsidP="00B65771" w:rsidRDefault="002A0511" w14:paraId="55D7986A" w14:textId="77777777">
      <w:pPr>
        <w:contextualSpacing/>
      </w:pPr>
    </w:p>
    <w:p w:rsidRPr="00D7033D" w:rsidR="006D55CE" w:rsidP="00062222" w:rsidRDefault="006D55CE" w14:paraId="133B49D4" w14:textId="07A2F39B">
      <w:pPr>
        <w:numPr>
          <w:ilvl w:val="0"/>
          <w:numId w:val="27"/>
        </w:numPr>
        <w:contextualSpacing/>
      </w:pPr>
      <w:r w:rsidRPr="00D7033D">
        <w:rPr>
          <w:b/>
        </w:rPr>
        <w:lastRenderedPageBreak/>
        <w:t>C</w:t>
      </w:r>
      <w:r w:rsidRPr="00D7033D" w:rsidR="00062222">
        <w:rPr>
          <w:b/>
        </w:rPr>
        <w:t>ertification</w:t>
      </w:r>
      <w:r w:rsidRPr="00D7033D">
        <w:rPr>
          <w:b/>
        </w:rPr>
        <w:t xml:space="preserve">:  </w:t>
      </w:r>
      <w:r w:rsidRPr="00D7033D">
        <w:t xml:space="preserve">In submitting this request, I certify the following to be true: </w:t>
      </w:r>
    </w:p>
    <w:p w:rsidRPr="00D7033D" w:rsidR="00062222" w:rsidP="00062222" w:rsidRDefault="00062222" w14:paraId="648BF865" w14:textId="77777777">
      <w:pPr>
        <w:ind w:left="360"/>
        <w:contextualSpacing/>
      </w:pPr>
    </w:p>
    <w:p w:rsidRPr="00D7033D" w:rsidR="006D55CE" w:rsidP="00102060" w:rsidRDefault="006D55CE" w14:paraId="68C5253D" w14:textId="77777777">
      <w:pPr>
        <w:numPr>
          <w:ilvl w:val="0"/>
          <w:numId w:val="25"/>
        </w:numPr>
        <w:contextualSpacing/>
      </w:pPr>
      <w:r w:rsidRPr="00D7033D">
        <w:t>The collections are voluntary;</w:t>
      </w:r>
    </w:p>
    <w:p w:rsidRPr="00D7033D" w:rsidR="006D55CE" w:rsidP="00102060" w:rsidRDefault="006D55CE" w14:paraId="6E327A3C" w14:textId="77777777">
      <w:pPr>
        <w:numPr>
          <w:ilvl w:val="0"/>
          <w:numId w:val="25"/>
        </w:numPr>
        <w:contextualSpacing/>
      </w:pPr>
      <w:r w:rsidRPr="00D7033D">
        <w:t>The collections are low-burden for participants and are low-cost for both the participants and the Federal Government;</w:t>
      </w:r>
    </w:p>
    <w:p w:rsidRPr="00D7033D" w:rsidR="006D55CE" w:rsidP="00102060" w:rsidRDefault="006D55CE" w14:paraId="21885146" w14:textId="77777777">
      <w:pPr>
        <w:numPr>
          <w:ilvl w:val="0"/>
          <w:numId w:val="25"/>
        </w:numPr>
        <w:contextualSpacing/>
      </w:pPr>
      <w:r w:rsidRPr="00D7033D">
        <w:t>The collections are noncontroversial;</w:t>
      </w:r>
      <w:r w:rsidRPr="00D7033D" w:rsidDel="004E3487">
        <w:t xml:space="preserve"> </w:t>
      </w:r>
    </w:p>
    <w:p w:rsidRPr="00D7033D" w:rsidR="006D55CE" w:rsidP="00102060" w:rsidRDefault="006D55CE" w14:paraId="05A2BF7A" w14:textId="3800BB4C">
      <w:pPr>
        <w:numPr>
          <w:ilvl w:val="0"/>
          <w:numId w:val="25"/>
        </w:numPr>
        <w:contextualSpacing/>
      </w:pPr>
      <w:r w:rsidRPr="00D7033D">
        <w:t>Personally identifiable information (PII) is collected only to the extent necessary and is not retained; and</w:t>
      </w:r>
    </w:p>
    <w:p w:rsidRPr="00D7033D" w:rsidR="003407E4" w:rsidP="003407E4" w:rsidRDefault="006D55CE" w14:paraId="74F52C50" w14:textId="0F1E3691">
      <w:pPr>
        <w:numPr>
          <w:ilvl w:val="0"/>
          <w:numId w:val="25"/>
        </w:numPr>
        <w:contextualSpacing/>
      </w:pPr>
      <w:r w:rsidRPr="00D7033D">
        <w:t>Information gathered will not be used for the purpose of substantially informing influential policy decisions.</w:t>
      </w:r>
      <w:bookmarkEnd w:id="8"/>
    </w:p>
    <w:sectPr w:rsidRPr="00D7033D" w:rsidR="003407E4" w:rsidSect="00442B38">
      <w:headerReference w:type="even" r:id="rId13"/>
      <w:headerReference w:type="default" r:id="rId14"/>
      <w:footerReference w:type="even" r:id="rId15"/>
      <w:footerReference w:type="default" r:id="rId16"/>
      <w:headerReference w:type="first" r:id="rId17"/>
      <w:footerReference w:type="first" r:id="rId18"/>
      <w:pgSz w:w="12240" w:h="15840"/>
      <w:pgMar w:top="720" w:right="1008"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3BB1D" w14:textId="77777777" w:rsidR="00064D98" w:rsidRDefault="00064D98">
      <w:r>
        <w:separator/>
      </w:r>
    </w:p>
  </w:endnote>
  <w:endnote w:type="continuationSeparator" w:id="0">
    <w:p w14:paraId="5590A8B2" w14:textId="77777777" w:rsidR="00064D98" w:rsidRDefault="00064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F1B2A" w14:textId="77777777" w:rsidR="0084244E" w:rsidRDefault="0084244E"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D20EED" w14:textId="77777777" w:rsidR="0084244E" w:rsidRDefault="0084244E" w:rsidP="00BD71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2BE5D" w14:textId="77777777" w:rsidR="0084244E" w:rsidRDefault="0084244E"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94DB0AD" w14:textId="77777777" w:rsidR="0084244E" w:rsidRDefault="0084244E" w:rsidP="00BD712B">
    <w:pPr>
      <w:pStyle w:val="Footer"/>
      <w:tabs>
        <w:tab w:val="clear" w:pos="8640"/>
        <w:tab w:val="right" w:pos="9000"/>
      </w:tabs>
      <w:ind w:right="360"/>
      <w:jc w:val="center"/>
      <w:rPr>
        <w:i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8BCED" w14:textId="77777777" w:rsidR="00394FA2" w:rsidRDefault="00394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2543C" w14:textId="77777777" w:rsidR="00064D98" w:rsidRDefault="00064D98">
      <w:r>
        <w:separator/>
      </w:r>
    </w:p>
  </w:footnote>
  <w:footnote w:type="continuationSeparator" w:id="0">
    <w:p w14:paraId="4A99D3BF" w14:textId="77777777" w:rsidR="00064D98" w:rsidRDefault="00064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ACE62" w14:textId="77777777" w:rsidR="00394FA2" w:rsidRDefault="00394F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BF2EA" w14:textId="77777777" w:rsidR="0084244E" w:rsidRDefault="008424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CDCA8" w14:textId="77777777" w:rsidR="00394FA2" w:rsidRDefault="00394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C27D52"/>
    <w:multiLevelType w:val="hybridMultilevel"/>
    <w:tmpl w:val="37FE9B48"/>
    <w:lvl w:ilvl="0" w:tplc="1016799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8C28BE"/>
    <w:multiLevelType w:val="hybridMultilevel"/>
    <w:tmpl w:val="22D6F23A"/>
    <w:lvl w:ilvl="0" w:tplc="F36E4FF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FF27C9"/>
    <w:multiLevelType w:val="hybridMultilevel"/>
    <w:tmpl w:val="307ED4A0"/>
    <w:lvl w:ilvl="0" w:tplc="40DA4B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55154D"/>
    <w:multiLevelType w:val="hybridMultilevel"/>
    <w:tmpl w:val="0EF65BB0"/>
    <w:lvl w:ilvl="0" w:tplc="8CB8E03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766936"/>
    <w:multiLevelType w:val="hybridMultilevel"/>
    <w:tmpl w:val="60564956"/>
    <w:lvl w:ilvl="0" w:tplc="04090017">
      <w:start w:val="1"/>
      <w:numFmt w:val="lowerLetter"/>
      <w:lvlText w:val="%1)"/>
      <w:lvlJc w:val="left"/>
      <w:pPr>
        <w:tabs>
          <w:tab w:val="num" w:pos="360"/>
        </w:tabs>
        <w:ind w:left="360" w:hanging="360"/>
      </w:pPr>
      <w:rPr>
        <w:rFonts w:hint="default"/>
      </w:rPr>
    </w:lvl>
    <w:lvl w:ilvl="1" w:tplc="F10270E2">
      <w:start w:val="1"/>
      <w:numFmt w:val="decimal"/>
      <w:lvlText w:val="%2."/>
      <w:lvlJc w:val="left"/>
      <w:pPr>
        <w:tabs>
          <w:tab w:val="num" w:pos="1080"/>
        </w:tabs>
        <w:ind w:left="1080" w:hanging="360"/>
      </w:pPr>
      <w:rPr>
        <w:rFonts w:hint="default"/>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636E74"/>
    <w:multiLevelType w:val="multilevel"/>
    <w:tmpl w:val="09DCA562"/>
    <w:lvl w:ilvl="0">
      <w:start w:val="1"/>
      <w:numFmt w:val="decimal"/>
      <w:lvlText w:val="%1."/>
      <w:lvlJc w:val="left"/>
      <w:pPr>
        <w:ind w:left="360" w:hanging="360"/>
      </w:pPr>
      <w:rPr>
        <w:rFonts w:hint="default"/>
      </w:rPr>
    </w:lvl>
    <w:lvl w:ilvl="1">
      <w:start w:val="1"/>
      <w:numFmt w:val="decimal"/>
      <w:lvlText w:val="%2."/>
      <w:lvlJc w:val="left"/>
      <w:pPr>
        <w:tabs>
          <w:tab w:val="num" w:pos="1080"/>
        </w:tabs>
        <w:ind w:left="1080" w:hanging="360"/>
      </w:pPr>
      <w:rPr>
        <w:rFonts w:hint="default"/>
        <w:b w:val="0"/>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15:restartNumberingAfterBreak="0">
    <w:nsid w:val="3E306AAB"/>
    <w:multiLevelType w:val="hybridMultilevel"/>
    <w:tmpl w:val="3D6E1994"/>
    <w:lvl w:ilvl="0" w:tplc="82044C1A">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BC7C48"/>
    <w:multiLevelType w:val="multilevel"/>
    <w:tmpl w:val="9FA4EF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5944EE"/>
    <w:multiLevelType w:val="hybridMultilevel"/>
    <w:tmpl w:val="7E32C00E"/>
    <w:lvl w:ilvl="0" w:tplc="4240F1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6D48F6"/>
    <w:multiLevelType w:val="hybridMultilevel"/>
    <w:tmpl w:val="B6568D6C"/>
    <w:lvl w:ilvl="0" w:tplc="F10270E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99A3223"/>
    <w:multiLevelType w:val="hybridMultilevel"/>
    <w:tmpl w:val="666485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94C4C1C"/>
    <w:multiLevelType w:val="hybridMultilevel"/>
    <w:tmpl w:val="96B2BE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5" w15:restartNumberingAfterBreak="0">
    <w:nsid w:val="710E6F59"/>
    <w:multiLevelType w:val="hybridMultilevel"/>
    <w:tmpl w:val="2ACC53A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46221AE"/>
    <w:multiLevelType w:val="hybridMultilevel"/>
    <w:tmpl w:val="4F1C4132"/>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764F80"/>
    <w:multiLevelType w:val="multilevel"/>
    <w:tmpl w:val="6A6884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9"/>
  </w:num>
  <w:num w:numId="3">
    <w:abstractNumId w:val="28"/>
  </w:num>
  <w:num w:numId="4">
    <w:abstractNumId w:val="30"/>
  </w:num>
  <w:num w:numId="5">
    <w:abstractNumId w:val="7"/>
  </w:num>
  <w:num w:numId="6">
    <w:abstractNumId w:val="2"/>
  </w:num>
  <w:num w:numId="7">
    <w:abstractNumId w:val="13"/>
  </w:num>
  <w:num w:numId="8">
    <w:abstractNumId w:val="24"/>
  </w:num>
  <w:num w:numId="9">
    <w:abstractNumId w:val="15"/>
  </w:num>
  <w:num w:numId="10">
    <w:abstractNumId w:val="3"/>
  </w:num>
  <w:num w:numId="11">
    <w:abstractNumId w:val="10"/>
  </w:num>
  <w:num w:numId="12">
    <w:abstractNumId w:val="11"/>
  </w:num>
  <w:num w:numId="13">
    <w:abstractNumId w:val="0"/>
  </w:num>
  <w:num w:numId="14">
    <w:abstractNumId w:val="26"/>
  </w:num>
  <w:num w:numId="15">
    <w:abstractNumId w:val="22"/>
  </w:num>
  <w:num w:numId="16">
    <w:abstractNumId w:val="19"/>
  </w:num>
  <w:num w:numId="17">
    <w:abstractNumId w:val="8"/>
  </w:num>
  <w:num w:numId="18">
    <w:abstractNumId w:val="9"/>
  </w:num>
  <w:num w:numId="19">
    <w:abstractNumId w:val="4"/>
  </w:num>
  <w:num w:numId="20">
    <w:abstractNumId w:val="27"/>
  </w:num>
  <w:num w:numId="21">
    <w:abstractNumId w:val="20"/>
  </w:num>
  <w:num w:numId="22">
    <w:abstractNumId w:val="12"/>
  </w:num>
  <w:num w:numId="23">
    <w:abstractNumId w:val="17"/>
  </w:num>
  <w:num w:numId="24">
    <w:abstractNumId w:val="6"/>
  </w:num>
  <w:num w:numId="25">
    <w:abstractNumId w:val="23"/>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5"/>
  </w:num>
  <w:num w:numId="29">
    <w:abstractNumId w:val="21"/>
  </w:num>
  <w:num w:numId="30">
    <w:abstractNumId w:val="5"/>
  </w:num>
  <w:num w:numId="31">
    <w:abstractNumId w:val="1"/>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26A98"/>
    <w:rsid w:val="00047A64"/>
    <w:rsid w:val="00053A3B"/>
    <w:rsid w:val="00054A94"/>
    <w:rsid w:val="00062222"/>
    <w:rsid w:val="00064D98"/>
    <w:rsid w:val="00067329"/>
    <w:rsid w:val="00085D07"/>
    <w:rsid w:val="000A380A"/>
    <w:rsid w:val="000B152B"/>
    <w:rsid w:val="000B2838"/>
    <w:rsid w:val="000D44CA"/>
    <w:rsid w:val="000E200B"/>
    <w:rsid w:val="000F41DA"/>
    <w:rsid w:val="000F5627"/>
    <w:rsid w:val="000F68BE"/>
    <w:rsid w:val="00102060"/>
    <w:rsid w:val="001358C0"/>
    <w:rsid w:val="001524AD"/>
    <w:rsid w:val="001927A4"/>
    <w:rsid w:val="00194AC6"/>
    <w:rsid w:val="001A1502"/>
    <w:rsid w:val="001A23B0"/>
    <w:rsid w:val="001A25CC"/>
    <w:rsid w:val="001B0AAA"/>
    <w:rsid w:val="001C39F7"/>
    <w:rsid w:val="00211127"/>
    <w:rsid w:val="00237B48"/>
    <w:rsid w:val="0024521E"/>
    <w:rsid w:val="00261324"/>
    <w:rsid w:val="00263C3D"/>
    <w:rsid w:val="00274D0B"/>
    <w:rsid w:val="00293691"/>
    <w:rsid w:val="002A0511"/>
    <w:rsid w:val="002B052D"/>
    <w:rsid w:val="002B34CD"/>
    <w:rsid w:val="002B3C95"/>
    <w:rsid w:val="002D0B92"/>
    <w:rsid w:val="002D3BD2"/>
    <w:rsid w:val="003233B8"/>
    <w:rsid w:val="003275BD"/>
    <w:rsid w:val="003407E4"/>
    <w:rsid w:val="00394FA2"/>
    <w:rsid w:val="003C0152"/>
    <w:rsid w:val="003C2A9C"/>
    <w:rsid w:val="003D5BBE"/>
    <w:rsid w:val="003E3C61"/>
    <w:rsid w:val="003F1C5B"/>
    <w:rsid w:val="00434E33"/>
    <w:rsid w:val="00441434"/>
    <w:rsid w:val="00442B38"/>
    <w:rsid w:val="0045264C"/>
    <w:rsid w:val="00475BAA"/>
    <w:rsid w:val="004876EC"/>
    <w:rsid w:val="004A5039"/>
    <w:rsid w:val="004B5B48"/>
    <w:rsid w:val="004C6BDC"/>
    <w:rsid w:val="004D6E14"/>
    <w:rsid w:val="005009B0"/>
    <w:rsid w:val="00501874"/>
    <w:rsid w:val="0057597C"/>
    <w:rsid w:val="005A1006"/>
    <w:rsid w:val="005C61AE"/>
    <w:rsid w:val="005D40F1"/>
    <w:rsid w:val="005E714A"/>
    <w:rsid w:val="005F693D"/>
    <w:rsid w:val="0060659F"/>
    <w:rsid w:val="006140A0"/>
    <w:rsid w:val="00625FA0"/>
    <w:rsid w:val="00636621"/>
    <w:rsid w:val="00642B49"/>
    <w:rsid w:val="006507AF"/>
    <w:rsid w:val="006832D9"/>
    <w:rsid w:val="0069403B"/>
    <w:rsid w:val="006D2A9A"/>
    <w:rsid w:val="006D55CE"/>
    <w:rsid w:val="006E557A"/>
    <w:rsid w:val="006F3DDE"/>
    <w:rsid w:val="006F3FFE"/>
    <w:rsid w:val="006F62A3"/>
    <w:rsid w:val="00704678"/>
    <w:rsid w:val="0070695A"/>
    <w:rsid w:val="00712684"/>
    <w:rsid w:val="0073059E"/>
    <w:rsid w:val="007425E7"/>
    <w:rsid w:val="007C6741"/>
    <w:rsid w:val="007E7499"/>
    <w:rsid w:val="007F7080"/>
    <w:rsid w:val="00802607"/>
    <w:rsid w:val="008101A5"/>
    <w:rsid w:val="00822664"/>
    <w:rsid w:val="0084244E"/>
    <w:rsid w:val="00843796"/>
    <w:rsid w:val="008612AB"/>
    <w:rsid w:val="00895229"/>
    <w:rsid w:val="008B2EB3"/>
    <w:rsid w:val="008B688A"/>
    <w:rsid w:val="008B6B7B"/>
    <w:rsid w:val="008F0203"/>
    <w:rsid w:val="008F50D4"/>
    <w:rsid w:val="009239AA"/>
    <w:rsid w:val="0093302E"/>
    <w:rsid w:val="00935ADA"/>
    <w:rsid w:val="00944585"/>
    <w:rsid w:val="00946B6C"/>
    <w:rsid w:val="00951F04"/>
    <w:rsid w:val="00955A71"/>
    <w:rsid w:val="0096108F"/>
    <w:rsid w:val="009C13B9"/>
    <w:rsid w:val="009D01A2"/>
    <w:rsid w:val="009E3FCA"/>
    <w:rsid w:val="009F29A8"/>
    <w:rsid w:val="009F5923"/>
    <w:rsid w:val="00A23D54"/>
    <w:rsid w:val="00A403BB"/>
    <w:rsid w:val="00A674DF"/>
    <w:rsid w:val="00A83AA6"/>
    <w:rsid w:val="00A934D6"/>
    <w:rsid w:val="00AB322F"/>
    <w:rsid w:val="00AD0C25"/>
    <w:rsid w:val="00AE1809"/>
    <w:rsid w:val="00B03F0D"/>
    <w:rsid w:val="00B17F4D"/>
    <w:rsid w:val="00B65771"/>
    <w:rsid w:val="00B80D76"/>
    <w:rsid w:val="00B87C7C"/>
    <w:rsid w:val="00B97662"/>
    <w:rsid w:val="00BA2105"/>
    <w:rsid w:val="00BA7E06"/>
    <w:rsid w:val="00BB43B5"/>
    <w:rsid w:val="00BB6219"/>
    <w:rsid w:val="00BD290F"/>
    <w:rsid w:val="00BD3286"/>
    <w:rsid w:val="00BD712B"/>
    <w:rsid w:val="00BE3878"/>
    <w:rsid w:val="00C0640D"/>
    <w:rsid w:val="00C14CC4"/>
    <w:rsid w:val="00C14FC7"/>
    <w:rsid w:val="00C216DB"/>
    <w:rsid w:val="00C26B7F"/>
    <w:rsid w:val="00C270E4"/>
    <w:rsid w:val="00C33C52"/>
    <w:rsid w:val="00C40D8B"/>
    <w:rsid w:val="00C8407A"/>
    <w:rsid w:val="00C8488C"/>
    <w:rsid w:val="00C86E91"/>
    <w:rsid w:val="00CA2650"/>
    <w:rsid w:val="00CB1078"/>
    <w:rsid w:val="00CC6FAF"/>
    <w:rsid w:val="00CD3062"/>
    <w:rsid w:val="00CE0B33"/>
    <w:rsid w:val="00CE1A3F"/>
    <w:rsid w:val="00CF6542"/>
    <w:rsid w:val="00D109C2"/>
    <w:rsid w:val="00D24698"/>
    <w:rsid w:val="00D46AE7"/>
    <w:rsid w:val="00D50BEA"/>
    <w:rsid w:val="00D6383F"/>
    <w:rsid w:val="00D7033D"/>
    <w:rsid w:val="00DB59D0"/>
    <w:rsid w:val="00DC33D3"/>
    <w:rsid w:val="00DD079B"/>
    <w:rsid w:val="00E26329"/>
    <w:rsid w:val="00E40B50"/>
    <w:rsid w:val="00E50293"/>
    <w:rsid w:val="00E65FFC"/>
    <w:rsid w:val="00E744EA"/>
    <w:rsid w:val="00E80951"/>
    <w:rsid w:val="00E86CC6"/>
    <w:rsid w:val="00E946A3"/>
    <w:rsid w:val="00EA308E"/>
    <w:rsid w:val="00EB56B3"/>
    <w:rsid w:val="00EB7443"/>
    <w:rsid w:val="00ED2A9F"/>
    <w:rsid w:val="00ED6492"/>
    <w:rsid w:val="00EE3F71"/>
    <w:rsid w:val="00EF2095"/>
    <w:rsid w:val="00F06866"/>
    <w:rsid w:val="00F11C34"/>
    <w:rsid w:val="00F15956"/>
    <w:rsid w:val="00F23FDF"/>
    <w:rsid w:val="00F24CFC"/>
    <w:rsid w:val="00F30312"/>
    <w:rsid w:val="00F3170F"/>
    <w:rsid w:val="00F45D47"/>
    <w:rsid w:val="00F46387"/>
    <w:rsid w:val="00F60EE9"/>
    <w:rsid w:val="00F6592E"/>
    <w:rsid w:val="00F71774"/>
    <w:rsid w:val="00F84675"/>
    <w:rsid w:val="00F84C77"/>
    <w:rsid w:val="00F93EA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72303B"/>
  <w15:chartTrackingRefBased/>
  <w15:docId w15:val="{CA47E06F-8BFD-46DC-A9CF-37D70B486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uiPriority w:val="99"/>
    <w:unhideWhenUsed/>
    <w:rsid w:val="00261324"/>
    <w:rPr>
      <w:rFonts w:ascii="Calibri" w:eastAsia="Calibri" w:hAnsi="Calibri"/>
      <w:sz w:val="20"/>
      <w:szCs w:val="20"/>
    </w:rPr>
  </w:style>
  <w:style w:type="character" w:customStyle="1" w:styleId="FootnoteTextChar">
    <w:name w:val="Footnote Text Char"/>
    <w:link w:val="FootnoteText"/>
    <w:uiPriority w:val="99"/>
    <w:rsid w:val="00261324"/>
    <w:rPr>
      <w:rFonts w:ascii="Calibri" w:eastAsia="Calibri" w:hAnsi="Calibri"/>
    </w:rPr>
  </w:style>
  <w:style w:type="character" w:styleId="FootnoteReference">
    <w:name w:val="footnote reference"/>
    <w:uiPriority w:val="99"/>
    <w:rsid w:val="00261324"/>
    <w:rPr>
      <w:vertAlign w:val="superscript"/>
    </w:rPr>
  </w:style>
  <w:style w:type="character" w:styleId="Hyperlink">
    <w:name w:val="Hyperlink"/>
    <w:rsid w:val="00C14FC7"/>
    <w:rPr>
      <w:color w:val="0563C1"/>
      <w:u w:val="single"/>
    </w:rPr>
  </w:style>
  <w:style w:type="character" w:styleId="UnresolvedMention">
    <w:name w:val="Unresolved Mention"/>
    <w:basedOn w:val="DefaultParagraphFont"/>
    <w:uiPriority w:val="99"/>
    <w:semiHidden/>
    <w:unhideWhenUsed/>
    <w:rsid w:val="00152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1717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la.Mizrachi@fda.hhs.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e.Tayor@fda.hhs.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9" ma:contentTypeDescription="Create a new document." ma:contentTypeScope="" ma:versionID="e8b0b7543690264755bb70eed62666a0">
  <xsd:schema xmlns:xsd="http://www.w3.org/2001/XMLSchema" xmlns:xs="http://www.w3.org/2001/XMLSchema" xmlns:p="http://schemas.microsoft.com/office/2006/metadata/properties" xmlns:ns3="978cbee1-b604-4d95-9f89-3d25ff6383a8" targetNamespace="http://schemas.microsoft.com/office/2006/metadata/properties" ma:root="true" ma:fieldsID="f68cd586756e036dcf6c2f6fa3653735" ns3:_="">
    <xsd:import namespace="978cbee1-b604-4d95-9f89-3d25ff6383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D5B68-BFC4-4AEB-B5D3-9554BF9D464B}">
  <ds:schemaRefs>
    <ds:schemaRef ds:uri="http://schemas.microsoft.com/sharepoint/v3/contenttype/forms"/>
  </ds:schemaRefs>
</ds:datastoreItem>
</file>

<file path=customXml/itemProps2.xml><?xml version="1.0" encoding="utf-8"?>
<ds:datastoreItem xmlns:ds="http://schemas.openxmlformats.org/officeDocument/2006/customXml" ds:itemID="{E09F84FF-3809-4B9B-A19F-1ED0C5F1AD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236985-6ED8-4042-8D6C-E515FE3B0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7D089F-E983-4A83-9E0D-7AAC64A4C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1130</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Mizrachi, Ila</cp:lastModifiedBy>
  <cp:revision>2</cp:revision>
  <cp:lastPrinted>2012-01-20T22:21:00Z</cp:lastPrinted>
  <dcterms:created xsi:type="dcterms:W3CDTF">2021-03-25T19:58:00Z</dcterms:created>
  <dcterms:modified xsi:type="dcterms:W3CDTF">2021-03-25T19:58:00Z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0x010100076A08FBD5310342BF958ADCB470BE9A</vt:lpwstr>
  </property>
</Properties>
</file>