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08A2" w:rsidP="001F08A2" w:rsidRDefault="001F08A2" w14:paraId="76C29594" w14:textId="77777777">
      <w:pPr>
        <w:jc w:val="center"/>
        <w:rPr>
          <w:b/>
        </w:rPr>
      </w:pPr>
    </w:p>
    <w:p w:rsidR="001F08A2" w:rsidP="001F08A2" w:rsidRDefault="001F08A2" w14:paraId="21F149BA" w14:textId="77777777">
      <w:pPr>
        <w:jc w:val="center"/>
        <w:rPr>
          <w:b/>
        </w:rPr>
      </w:pPr>
    </w:p>
    <w:p w:rsidR="001F08A2" w:rsidP="001F08A2" w:rsidRDefault="001F08A2" w14:paraId="40A61AE5" w14:textId="77777777">
      <w:pPr>
        <w:jc w:val="center"/>
        <w:rPr>
          <w:b/>
        </w:rPr>
      </w:pPr>
    </w:p>
    <w:p w:rsidR="001F08A2" w:rsidP="001F08A2" w:rsidRDefault="001F08A2" w14:paraId="3F62911E" w14:textId="77777777">
      <w:pPr>
        <w:jc w:val="center"/>
        <w:rPr>
          <w:b/>
        </w:rPr>
      </w:pPr>
    </w:p>
    <w:p w:rsidR="001F08A2" w:rsidP="001F08A2" w:rsidRDefault="001F08A2" w14:paraId="43660224" w14:textId="77777777">
      <w:pPr>
        <w:jc w:val="center"/>
        <w:rPr>
          <w:b/>
        </w:rPr>
      </w:pPr>
    </w:p>
    <w:p w:rsidR="001F08A2" w:rsidP="001F08A2" w:rsidRDefault="001F08A2" w14:paraId="3B6CFB8A" w14:textId="77777777">
      <w:pPr>
        <w:jc w:val="center"/>
        <w:rPr>
          <w:b/>
        </w:rPr>
      </w:pPr>
    </w:p>
    <w:p w:rsidR="001F08A2" w:rsidP="001F08A2" w:rsidRDefault="001F08A2" w14:paraId="5EFABC84" w14:textId="77777777">
      <w:pPr>
        <w:jc w:val="center"/>
        <w:rPr>
          <w:b/>
        </w:rPr>
      </w:pPr>
    </w:p>
    <w:p w:rsidR="001F08A2" w:rsidP="001F08A2" w:rsidRDefault="001F08A2" w14:paraId="541EF68F" w14:textId="77777777">
      <w:pPr>
        <w:jc w:val="center"/>
        <w:rPr>
          <w:b/>
        </w:rPr>
      </w:pPr>
    </w:p>
    <w:p w:rsidR="001F08A2" w:rsidP="001F08A2" w:rsidRDefault="001F08A2" w14:paraId="42E5A749" w14:textId="77777777">
      <w:pPr>
        <w:jc w:val="center"/>
        <w:rPr>
          <w:b/>
        </w:rPr>
      </w:pPr>
    </w:p>
    <w:p w:rsidR="001F08A2" w:rsidP="001F08A2" w:rsidRDefault="001F08A2" w14:paraId="7F4F8577" w14:textId="77777777">
      <w:pPr>
        <w:jc w:val="center"/>
        <w:rPr>
          <w:b/>
        </w:rPr>
      </w:pPr>
    </w:p>
    <w:p w:rsidR="001F08A2" w:rsidP="001F08A2" w:rsidRDefault="001F08A2" w14:paraId="28C0204A" w14:textId="77777777">
      <w:pPr>
        <w:jc w:val="center"/>
        <w:rPr>
          <w:b/>
        </w:rPr>
      </w:pPr>
    </w:p>
    <w:p w:rsidRPr="00B60763" w:rsidR="001F08A2" w:rsidP="001F08A2" w:rsidRDefault="0054135E" w14:paraId="6DA38CAC" w14:textId="77777777">
      <w:pPr>
        <w:jc w:val="center"/>
        <w:rPr>
          <w:b/>
        </w:rPr>
      </w:pPr>
      <w:bookmarkStart w:name="_Hlk106884378" w:id="0"/>
      <w:r w:rsidRPr="00B60763">
        <w:rPr>
          <w:b/>
        </w:rPr>
        <w:t xml:space="preserve">Interstate </w:t>
      </w:r>
      <w:r w:rsidRPr="00B60763" w:rsidR="001F08A2">
        <w:rPr>
          <w:b/>
        </w:rPr>
        <w:t>Travel of Persons</w:t>
      </w:r>
      <w:r w:rsidRPr="00B60763" w:rsidR="00430DA7">
        <w:rPr>
          <w:b/>
        </w:rPr>
        <w:t>: Report of Illness or Death</w:t>
      </w:r>
    </w:p>
    <w:p w:rsidRPr="00B60763" w:rsidR="001F08A2" w:rsidP="001F08A2" w:rsidRDefault="00984DFB" w14:paraId="3658A1DD" w14:textId="77777777">
      <w:pPr>
        <w:jc w:val="center"/>
        <w:rPr>
          <w:b/>
        </w:rPr>
      </w:pPr>
      <w:r w:rsidRPr="00B60763">
        <w:rPr>
          <w:b/>
        </w:rPr>
        <w:t>(42 CFR p</w:t>
      </w:r>
      <w:r w:rsidRPr="00B60763" w:rsidR="001F08A2">
        <w:rPr>
          <w:b/>
        </w:rPr>
        <w:t>art 70)</w:t>
      </w:r>
    </w:p>
    <w:p w:rsidRPr="00AB68D8" w:rsidR="00046DFA" w:rsidP="001F08A2" w:rsidRDefault="00046DFA" w14:paraId="01466D09" w14:textId="77777777">
      <w:pPr>
        <w:jc w:val="center"/>
        <w:rPr>
          <w:b/>
        </w:rPr>
      </w:pPr>
    </w:p>
    <w:p w:rsidRPr="00AB68D8" w:rsidR="001F08A2" w:rsidP="001F08A2" w:rsidRDefault="002F3938" w14:paraId="05D1AC45" w14:textId="77777777">
      <w:pPr>
        <w:jc w:val="center"/>
        <w:rPr>
          <w:b/>
        </w:rPr>
      </w:pPr>
      <w:r w:rsidRPr="00AB68D8">
        <w:rPr>
          <w:b/>
        </w:rPr>
        <w:t xml:space="preserve">OMB Control No. 0920-0488 </w:t>
      </w:r>
    </w:p>
    <w:p w:rsidRPr="00AB68D8" w:rsidR="002F3938" w:rsidP="001F08A2" w:rsidRDefault="002F3938" w14:paraId="57CA76CF" w14:textId="77777777">
      <w:pPr>
        <w:jc w:val="center"/>
        <w:rPr>
          <w:b/>
        </w:rPr>
      </w:pPr>
      <w:r w:rsidRPr="00AB68D8">
        <w:rPr>
          <w:b/>
        </w:rPr>
        <w:t xml:space="preserve">Expiration </w:t>
      </w:r>
      <w:r w:rsidRPr="00AB68D8" w:rsidR="00430DA7">
        <w:rPr>
          <w:b/>
        </w:rPr>
        <w:t>6/30/2022</w:t>
      </w:r>
    </w:p>
    <w:p w:rsidRPr="00AB68D8" w:rsidR="001F08A2" w:rsidP="001F08A2" w:rsidRDefault="001F08A2" w14:paraId="0D3CBAD4" w14:textId="77777777">
      <w:pPr>
        <w:jc w:val="center"/>
        <w:rPr>
          <w:b/>
        </w:rPr>
      </w:pPr>
      <w:r w:rsidRPr="00AB68D8">
        <w:rPr>
          <w:b/>
        </w:rPr>
        <w:t xml:space="preserve">Request for </w:t>
      </w:r>
      <w:r w:rsidRPr="00AB68D8" w:rsidR="00272442">
        <w:rPr>
          <w:b/>
        </w:rPr>
        <w:t>Revision</w:t>
      </w:r>
    </w:p>
    <w:p w:rsidRPr="00AB68D8" w:rsidR="00046DFA" w:rsidP="001F08A2" w:rsidRDefault="00046DFA" w14:paraId="6DD80026" w14:textId="77777777">
      <w:pPr>
        <w:jc w:val="center"/>
        <w:rPr>
          <w:b/>
        </w:rPr>
      </w:pPr>
    </w:p>
    <w:p w:rsidRPr="00AB68D8" w:rsidR="00046DFA" w:rsidP="001F08A2" w:rsidRDefault="00046DFA" w14:paraId="128AA74C" w14:textId="77777777">
      <w:pPr>
        <w:jc w:val="center"/>
        <w:rPr>
          <w:b/>
        </w:rPr>
      </w:pPr>
      <w:r w:rsidRPr="00AB68D8">
        <w:rPr>
          <w:b/>
        </w:rPr>
        <w:t>Supporting Statement A</w:t>
      </w:r>
    </w:p>
    <w:p w:rsidRPr="00AB68D8" w:rsidR="002F3938" w:rsidP="001F08A2" w:rsidRDefault="00430DA7" w14:paraId="6C40BAE4" w14:textId="77777777">
      <w:pPr>
        <w:jc w:val="center"/>
        <w:rPr>
          <w:b/>
        </w:rPr>
      </w:pPr>
      <w:r w:rsidRPr="00AB68D8">
        <w:rPr>
          <w:b/>
        </w:rPr>
        <w:t>June 23, 2022</w:t>
      </w:r>
    </w:p>
    <w:bookmarkEnd w:id="0"/>
    <w:p w:rsidRPr="00AB68D8" w:rsidR="002F3938" w:rsidP="001F08A2" w:rsidRDefault="002F3938" w14:paraId="0A4EA415" w14:textId="77777777">
      <w:pPr>
        <w:jc w:val="center"/>
        <w:rPr>
          <w:b/>
        </w:rPr>
      </w:pPr>
    </w:p>
    <w:p w:rsidRPr="00AB68D8" w:rsidR="002F3938" w:rsidP="001F08A2" w:rsidRDefault="002F3938" w14:paraId="05F978CC" w14:textId="77777777">
      <w:pPr>
        <w:jc w:val="center"/>
        <w:rPr>
          <w:b/>
        </w:rPr>
      </w:pPr>
    </w:p>
    <w:p w:rsidRPr="00AB68D8" w:rsidR="002F3938" w:rsidP="001F08A2" w:rsidRDefault="002F3938" w14:paraId="4E9BE24E" w14:textId="77777777">
      <w:pPr>
        <w:jc w:val="center"/>
        <w:rPr>
          <w:b/>
        </w:rPr>
      </w:pPr>
    </w:p>
    <w:p w:rsidRPr="00AB68D8" w:rsidR="002F3938" w:rsidP="001F08A2" w:rsidRDefault="002F3938" w14:paraId="4D45AD04" w14:textId="77777777">
      <w:pPr>
        <w:jc w:val="center"/>
        <w:rPr>
          <w:b/>
        </w:rPr>
      </w:pPr>
    </w:p>
    <w:p w:rsidRPr="00AB68D8" w:rsidR="00832C78" w:rsidP="00832C78" w:rsidRDefault="00832C78" w14:paraId="050B54C3" w14:textId="77777777">
      <w:pPr>
        <w:outlineLvl w:val="0"/>
        <w:rPr>
          <w:b/>
        </w:rPr>
      </w:pPr>
    </w:p>
    <w:p w:rsidRPr="00AB68D8" w:rsidR="00832C78" w:rsidP="00832C78" w:rsidRDefault="00832C78" w14:paraId="1EBF7C4E" w14:textId="77777777">
      <w:pPr>
        <w:outlineLvl w:val="0"/>
        <w:rPr>
          <w:b/>
        </w:rPr>
      </w:pPr>
    </w:p>
    <w:p w:rsidRPr="00AB68D8" w:rsidR="00832C78" w:rsidP="00832C78" w:rsidRDefault="00832C78" w14:paraId="33109068" w14:textId="77777777">
      <w:pPr>
        <w:outlineLvl w:val="0"/>
        <w:rPr>
          <w:b/>
        </w:rPr>
      </w:pPr>
    </w:p>
    <w:p w:rsidRPr="00AB68D8" w:rsidR="00832C78" w:rsidP="00832C78" w:rsidRDefault="00832C78" w14:paraId="1D80B7FB" w14:textId="77777777">
      <w:pPr>
        <w:outlineLvl w:val="0"/>
        <w:rPr>
          <w:b/>
        </w:rPr>
      </w:pPr>
    </w:p>
    <w:p w:rsidRPr="00AB68D8" w:rsidR="00832C78" w:rsidP="00832C78" w:rsidRDefault="00832C78" w14:paraId="6E1ED59F" w14:textId="77777777">
      <w:pPr>
        <w:outlineLvl w:val="0"/>
        <w:rPr>
          <w:b/>
        </w:rPr>
      </w:pPr>
    </w:p>
    <w:p w:rsidR="00832C78" w:rsidP="00832C78" w:rsidRDefault="00832C78" w14:paraId="2FF632DE" w14:textId="77777777">
      <w:pPr>
        <w:outlineLvl w:val="0"/>
        <w:rPr>
          <w:b/>
        </w:rPr>
      </w:pPr>
    </w:p>
    <w:p w:rsidR="00B16223" w:rsidP="00832C78" w:rsidRDefault="00B16223" w14:paraId="130A3D1A" w14:textId="77777777">
      <w:pPr>
        <w:outlineLvl w:val="0"/>
        <w:rPr>
          <w:b/>
        </w:rPr>
      </w:pPr>
    </w:p>
    <w:p w:rsidRPr="00AB68D8" w:rsidR="00B16223" w:rsidP="00832C78" w:rsidRDefault="00B16223" w14:paraId="0AD6C8BE" w14:textId="77777777">
      <w:pPr>
        <w:outlineLvl w:val="0"/>
        <w:rPr>
          <w:b/>
        </w:rPr>
      </w:pPr>
    </w:p>
    <w:p w:rsidRPr="00AB68D8" w:rsidR="00832C78" w:rsidP="00832C78" w:rsidRDefault="00832C78" w14:paraId="6CDFE0A3" w14:textId="77777777">
      <w:pPr>
        <w:outlineLvl w:val="0"/>
        <w:rPr>
          <w:b/>
        </w:rPr>
      </w:pPr>
    </w:p>
    <w:p w:rsidRPr="00AB68D8" w:rsidR="00832C78" w:rsidP="00832C78" w:rsidRDefault="00832C78" w14:paraId="63B9AF38" w14:textId="77777777">
      <w:pPr>
        <w:outlineLvl w:val="0"/>
        <w:rPr>
          <w:b/>
        </w:rPr>
      </w:pPr>
    </w:p>
    <w:p w:rsidRPr="00AB68D8" w:rsidR="00832C78" w:rsidP="00832C78" w:rsidRDefault="00832C78" w14:paraId="6583E7A9" w14:textId="77777777">
      <w:pPr>
        <w:outlineLvl w:val="0"/>
        <w:rPr>
          <w:b/>
        </w:rPr>
      </w:pPr>
    </w:p>
    <w:p w:rsidRPr="00AB68D8" w:rsidR="00832C78" w:rsidP="00832C78" w:rsidRDefault="00832C78" w14:paraId="105B22F4" w14:textId="77777777">
      <w:pPr>
        <w:outlineLvl w:val="0"/>
        <w:rPr>
          <w:b/>
        </w:rPr>
      </w:pPr>
    </w:p>
    <w:p w:rsidRPr="00AB68D8" w:rsidR="00832C78" w:rsidP="00832C78" w:rsidRDefault="00832C78" w14:paraId="135894FA" w14:textId="77777777">
      <w:pPr>
        <w:outlineLvl w:val="0"/>
        <w:rPr>
          <w:b/>
        </w:rPr>
      </w:pPr>
    </w:p>
    <w:p w:rsidRPr="00AB68D8" w:rsidR="00832C78" w:rsidP="00832C78" w:rsidRDefault="00832C78" w14:paraId="48580659" w14:textId="77777777">
      <w:pPr>
        <w:outlineLvl w:val="0"/>
        <w:rPr>
          <w:b/>
        </w:rPr>
      </w:pPr>
    </w:p>
    <w:p w:rsidRPr="00AB68D8" w:rsidR="002F3938" w:rsidP="002F3938" w:rsidRDefault="002F3938" w14:paraId="73F861C4" w14:textId="77777777">
      <w:bookmarkStart w:name="_Toc371500572" w:id="1"/>
      <w:bookmarkStart w:name="_Toc374340917" w:id="2"/>
      <w:r w:rsidRPr="00AB68D8">
        <w:rPr>
          <w:b/>
          <w:u w:val="single"/>
        </w:rPr>
        <w:t>Program Official/Project Officer</w:t>
      </w:r>
    </w:p>
    <w:p w:rsidRPr="00AB68D8" w:rsidR="00430DA7" w:rsidP="00430DA7" w:rsidRDefault="00430DA7" w14:paraId="1ACB8974" w14:textId="77777777">
      <w:pPr>
        <w:pStyle w:val="NoSpacing"/>
      </w:pPr>
      <w:bookmarkStart w:name="_Hlk106884393" w:id="3"/>
      <w:bookmarkEnd w:id="1"/>
      <w:bookmarkEnd w:id="2"/>
      <w:r w:rsidRPr="00AB68D8">
        <w:t>Chip Daymude</w:t>
      </w:r>
    </w:p>
    <w:p w:rsidRPr="00AB68D8" w:rsidR="00430DA7" w:rsidP="00430DA7" w:rsidRDefault="00430DA7" w14:paraId="0D64D453" w14:textId="77777777">
      <w:pPr>
        <w:pStyle w:val="NoSpacing"/>
      </w:pPr>
      <w:r w:rsidRPr="00AB68D8">
        <w:t xml:space="preserve">National Center for Emerging and Zoonotic Infectious Diseases </w:t>
      </w:r>
    </w:p>
    <w:p w:rsidRPr="00AB68D8" w:rsidR="00430DA7" w:rsidP="00430DA7" w:rsidRDefault="00430DA7" w14:paraId="70323BEE" w14:textId="77777777">
      <w:pPr>
        <w:pStyle w:val="NoSpacing"/>
      </w:pPr>
      <w:r w:rsidRPr="00AB68D8">
        <w:t xml:space="preserve">Centers for Disease Control and Prevention </w:t>
      </w:r>
    </w:p>
    <w:p w:rsidRPr="00AB68D8" w:rsidR="00430DA7" w:rsidP="00430DA7" w:rsidRDefault="00430DA7" w14:paraId="52321A1D" w14:textId="77777777">
      <w:pPr>
        <w:pStyle w:val="NoSpacing"/>
      </w:pPr>
      <w:r w:rsidRPr="00AB68D8">
        <w:t xml:space="preserve">1600 Clifton Road, NE </w:t>
      </w:r>
    </w:p>
    <w:p w:rsidRPr="00AB68D8" w:rsidR="00430DA7" w:rsidP="00430DA7" w:rsidRDefault="00430DA7" w14:paraId="67209FBA" w14:textId="77777777">
      <w:pPr>
        <w:pStyle w:val="NoSpacing"/>
      </w:pPr>
      <w:r w:rsidRPr="00AB68D8">
        <w:t xml:space="preserve">Atlanta, Georgia 30333 </w:t>
      </w:r>
    </w:p>
    <w:p w:rsidRPr="00AB68D8" w:rsidR="00430DA7" w:rsidP="00430DA7" w:rsidRDefault="00430DA7" w14:paraId="699C9090" w14:textId="77777777">
      <w:pPr>
        <w:pStyle w:val="NoSpacing"/>
      </w:pPr>
      <w:r w:rsidRPr="00AB68D8">
        <w:t>Phone: 404.718.7103</w:t>
      </w:r>
    </w:p>
    <w:p w:rsidRPr="00AB68D8" w:rsidR="00430DA7" w:rsidP="00430DA7" w:rsidRDefault="00430DA7" w14:paraId="3662D707" w14:textId="77777777">
      <w:pPr>
        <w:pStyle w:val="NoSpacing"/>
      </w:pPr>
      <w:r w:rsidRPr="00AB68D8">
        <w:t xml:space="preserve">Email: </w:t>
      </w:r>
      <w:hyperlink w:history="1" r:id="rId8">
        <w:r w:rsidRPr="00AB68D8">
          <w:rPr>
            <w:rStyle w:val="Hyperlink"/>
          </w:rPr>
          <w:t>qkh7@cdc.gov</w:t>
        </w:r>
      </w:hyperlink>
    </w:p>
    <w:bookmarkEnd w:id="3"/>
    <w:p w:rsidRPr="00AB68D8" w:rsidR="00D23CBF" w:rsidP="002F6101" w:rsidRDefault="00046DFA" w14:paraId="08E004E8" w14:textId="77777777">
      <w:pPr>
        <w:pStyle w:val="TOCHeading"/>
      </w:pPr>
      <w:r w:rsidRPr="00AB68D8">
        <w:lastRenderedPageBreak/>
        <w:t>C</w:t>
      </w:r>
      <w:r w:rsidRPr="00AB68D8" w:rsidR="00D23CBF">
        <w:t>ontents</w:t>
      </w:r>
    </w:p>
    <w:p w:rsidRPr="00AB68D8" w:rsidR="00D23CBF" w:rsidP="00D91DBC" w:rsidRDefault="00D23CBF" w14:paraId="1528F833" w14:textId="77777777">
      <w:pPr>
        <w:pStyle w:val="TOC1"/>
        <w:tabs>
          <w:tab w:val="right" w:leader="dot" w:pos="8630"/>
        </w:tabs>
        <w:rPr>
          <w:rFonts w:ascii="Calibri" w:hAnsi="Calibri"/>
          <w:noProof/>
          <w:sz w:val="22"/>
          <w:szCs w:val="22"/>
        </w:rPr>
      </w:pPr>
      <w:r w:rsidRPr="00AB68D8">
        <w:fldChar w:fldCharType="begin"/>
      </w:r>
      <w:r w:rsidRPr="00AB68D8">
        <w:instrText xml:space="preserve"> TOC \o "1-3" \h \z \u </w:instrText>
      </w:r>
      <w:r w:rsidRPr="00AB68D8">
        <w:fldChar w:fldCharType="separate"/>
      </w:r>
    </w:p>
    <w:p w:rsidRPr="00AB68D8" w:rsidR="00D23CBF" w:rsidRDefault="00D23CBF" w14:paraId="5FC66DAE" w14:textId="77777777">
      <w:pPr>
        <w:pStyle w:val="TOC1"/>
        <w:tabs>
          <w:tab w:val="right" w:leader="dot" w:pos="8630"/>
        </w:tabs>
        <w:rPr>
          <w:rFonts w:ascii="Calibri" w:hAnsi="Calibri"/>
          <w:noProof/>
          <w:sz w:val="22"/>
          <w:szCs w:val="22"/>
        </w:rPr>
      </w:pPr>
      <w:hyperlink w:history="1" w:anchor="_Toc428877076">
        <w:r w:rsidRPr="00AB68D8">
          <w:rPr>
            <w:rStyle w:val="Hyperlink"/>
            <w:noProof/>
          </w:rPr>
          <w:t>A. Justification</w:t>
        </w:r>
        <w:r w:rsidRPr="00AB68D8">
          <w:rPr>
            <w:noProof/>
            <w:webHidden/>
          </w:rPr>
          <w:tab/>
        </w:r>
        <w:r w:rsidRPr="00AB68D8">
          <w:rPr>
            <w:noProof/>
            <w:webHidden/>
          </w:rPr>
          <w:fldChar w:fldCharType="begin"/>
        </w:r>
        <w:r w:rsidRPr="00AB68D8">
          <w:rPr>
            <w:noProof/>
            <w:webHidden/>
          </w:rPr>
          <w:instrText xml:space="preserve"> PAGEREF _Toc428877076 \h </w:instrText>
        </w:r>
        <w:r w:rsidRPr="00AB68D8">
          <w:rPr>
            <w:noProof/>
            <w:webHidden/>
          </w:rPr>
        </w:r>
        <w:r w:rsidRPr="00AB68D8">
          <w:rPr>
            <w:noProof/>
            <w:webHidden/>
          </w:rPr>
          <w:fldChar w:fldCharType="separate"/>
        </w:r>
        <w:r w:rsidRPr="00AB68D8" w:rsidR="00A55738">
          <w:rPr>
            <w:noProof/>
            <w:webHidden/>
          </w:rPr>
          <w:t>3</w:t>
        </w:r>
        <w:r w:rsidRPr="00AB68D8">
          <w:rPr>
            <w:noProof/>
            <w:webHidden/>
          </w:rPr>
          <w:fldChar w:fldCharType="end"/>
        </w:r>
      </w:hyperlink>
    </w:p>
    <w:p w:rsidRPr="00AB68D8" w:rsidR="00D23CBF" w:rsidRDefault="00D23CBF" w14:paraId="5A6A8C0B" w14:textId="77777777">
      <w:pPr>
        <w:pStyle w:val="TOC1"/>
        <w:tabs>
          <w:tab w:val="right" w:leader="dot" w:pos="8630"/>
        </w:tabs>
        <w:rPr>
          <w:rFonts w:ascii="Calibri" w:hAnsi="Calibri"/>
          <w:noProof/>
          <w:sz w:val="22"/>
          <w:szCs w:val="22"/>
        </w:rPr>
      </w:pPr>
      <w:hyperlink w:history="1" w:anchor="_Toc428877077">
        <w:r w:rsidRPr="00AB68D8">
          <w:rPr>
            <w:rStyle w:val="Hyperlink"/>
            <w:noProof/>
          </w:rPr>
          <w:t>1. Circumstances Making the Collection of Information Necessary</w:t>
        </w:r>
        <w:r w:rsidRPr="00AB68D8">
          <w:rPr>
            <w:noProof/>
            <w:webHidden/>
          </w:rPr>
          <w:tab/>
        </w:r>
        <w:r w:rsidRPr="00AB68D8">
          <w:rPr>
            <w:noProof/>
            <w:webHidden/>
          </w:rPr>
          <w:fldChar w:fldCharType="begin"/>
        </w:r>
        <w:r w:rsidRPr="00AB68D8">
          <w:rPr>
            <w:noProof/>
            <w:webHidden/>
          </w:rPr>
          <w:instrText xml:space="preserve"> PAGEREF _Toc428877077 \h </w:instrText>
        </w:r>
        <w:r w:rsidRPr="00AB68D8">
          <w:rPr>
            <w:noProof/>
            <w:webHidden/>
          </w:rPr>
        </w:r>
        <w:r w:rsidRPr="00AB68D8">
          <w:rPr>
            <w:noProof/>
            <w:webHidden/>
          </w:rPr>
          <w:fldChar w:fldCharType="separate"/>
        </w:r>
        <w:r w:rsidRPr="00AB68D8" w:rsidR="00A55738">
          <w:rPr>
            <w:noProof/>
            <w:webHidden/>
          </w:rPr>
          <w:t>4</w:t>
        </w:r>
        <w:r w:rsidRPr="00AB68D8">
          <w:rPr>
            <w:noProof/>
            <w:webHidden/>
          </w:rPr>
          <w:fldChar w:fldCharType="end"/>
        </w:r>
      </w:hyperlink>
    </w:p>
    <w:p w:rsidRPr="00AB68D8" w:rsidR="00D23CBF" w:rsidRDefault="00D23CBF" w14:paraId="448B680C" w14:textId="77777777">
      <w:pPr>
        <w:pStyle w:val="TOC1"/>
        <w:tabs>
          <w:tab w:val="right" w:leader="dot" w:pos="8630"/>
        </w:tabs>
        <w:rPr>
          <w:rFonts w:ascii="Calibri" w:hAnsi="Calibri"/>
          <w:noProof/>
          <w:sz w:val="22"/>
          <w:szCs w:val="22"/>
        </w:rPr>
      </w:pPr>
      <w:hyperlink w:history="1" w:anchor="_Toc428877078">
        <w:r w:rsidRPr="00AB68D8">
          <w:rPr>
            <w:rStyle w:val="Hyperlink"/>
            <w:noProof/>
          </w:rPr>
          <w:t>2.  Purpose and Use of Information Collection</w:t>
        </w:r>
        <w:r w:rsidRPr="00AB68D8">
          <w:rPr>
            <w:noProof/>
            <w:webHidden/>
          </w:rPr>
          <w:tab/>
        </w:r>
        <w:r w:rsidRPr="00AB68D8">
          <w:rPr>
            <w:noProof/>
            <w:webHidden/>
          </w:rPr>
          <w:fldChar w:fldCharType="begin"/>
        </w:r>
        <w:r w:rsidRPr="00AB68D8">
          <w:rPr>
            <w:noProof/>
            <w:webHidden/>
          </w:rPr>
          <w:instrText xml:space="preserve"> PAGEREF _Toc428877078 \h </w:instrText>
        </w:r>
        <w:r w:rsidRPr="00AB68D8">
          <w:rPr>
            <w:noProof/>
            <w:webHidden/>
          </w:rPr>
        </w:r>
        <w:r w:rsidRPr="00AB68D8">
          <w:rPr>
            <w:noProof/>
            <w:webHidden/>
          </w:rPr>
          <w:fldChar w:fldCharType="separate"/>
        </w:r>
        <w:r w:rsidRPr="00AB68D8" w:rsidR="00A55738">
          <w:rPr>
            <w:noProof/>
            <w:webHidden/>
          </w:rPr>
          <w:t>5</w:t>
        </w:r>
        <w:r w:rsidRPr="00AB68D8">
          <w:rPr>
            <w:noProof/>
            <w:webHidden/>
          </w:rPr>
          <w:fldChar w:fldCharType="end"/>
        </w:r>
      </w:hyperlink>
    </w:p>
    <w:p w:rsidRPr="00AB68D8" w:rsidR="00D23CBF" w:rsidP="00D23CBF" w:rsidRDefault="00D23CBF" w14:paraId="33237D56" w14:textId="77777777">
      <w:pPr>
        <w:pStyle w:val="TOC1"/>
        <w:tabs>
          <w:tab w:val="right" w:leader="dot" w:pos="8630"/>
        </w:tabs>
        <w:rPr>
          <w:noProof/>
        </w:rPr>
      </w:pPr>
      <w:hyperlink w:history="1" w:anchor="_Toc428877079">
        <w:r w:rsidRPr="00AB68D8">
          <w:rPr>
            <w:rStyle w:val="Hyperlink"/>
            <w:noProof/>
          </w:rPr>
          <w:t>3. Use of Improved Information Technology and Burden Reduction</w:t>
        </w:r>
        <w:r w:rsidRPr="00AB68D8">
          <w:rPr>
            <w:noProof/>
            <w:webHidden/>
          </w:rPr>
          <w:tab/>
        </w:r>
        <w:r w:rsidRPr="00AB68D8">
          <w:rPr>
            <w:noProof/>
            <w:webHidden/>
          </w:rPr>
          <w:fldChar w:fldCharType="begin"/>
        </w:r>
        <w:r w:rsidRPr="00AB68D8">
          <w:rPr>
            <w:noProof/>
            <w:webHidden/>
          </w:rPr>
          <w:instrText xml:space="preserve"> PAGEREF _Toc428877079 \h </w:instrText>
        </w:r>
        <w:r w:rsidRPr="00AB68D8">
          <w:rPr>
            <w:noProof/>
            <w:webHidden/>
          </w:rPr>
        </w:r>
        <w:r w:rsidRPr="00AB68D8">
          <w:rPr>
            <w:noProof/>
            <w:webHidden/>
          </w:rPr>
          <w:fldChar w:fldCharType="separate"/>
        </w:r>
        <w:r w:rsidRPr="00AB68D8" w:rsidR="00A55738">
          <w:rPr>
            <w:noProof/>
            <w:webHidden/>
          </w:rPr>
          <w:t>5</w:t>
        </w:r>
        <w:r w:rsidRPr="00AB68D8">
          <w:rPr>
            <w:noProof/>
            <w:webHidden/>
          </w:rPr>
          <w:fldChar w:fldCharType="end"/>
        </w:r>
      </w:hyperlink>
    </w:p>
    <w:p w:rsidRPr="00AB68D8" w:rsidR="00D23CBF" w:rsidRDefault="00D23CBF" w14:paraId="738C1213" w14:textId="77777777">
      <w:pPr>
        <w:pStyle w:val="TOC1"/>
        <w:tabs>
          <w:tab w:val="right" w:leader="dot" w:pos="8630"/>
        </w:tabs>
        <w:rPr>
          <w:rFonts w:ascii="Calibri" w:hAnsi="Calibri"/>
          <w:noProof/>
          <w:sz w:val="22"/>
          <w:szCs w:val="22"/>
        </w:rPr>
      </w:pPr>
      <w:hyperlink w:history="1" w:anchor="_Toc428877081">
        <w:r w:rsidRPr="00AB68D8">
          <w:rPr>
            <w:rStyle w:val="Hyperlink"/>
            <w:noProof/>
          </w:rPr>
          <w:t>4. Efforts to Identify Duplication and Use of Similar Information</w:t>
        </w:r>
        <w:r w:rsidRPr="00AB68D8">
          <w:rPr>
            <w:noProof/>
            <w:webHidden/>
          </w:rPr>
          <w:tab/>
        </w:r>
        <w:r w:rsidRPr="00AB68D8">
          <w:rPr>
            <w:noProof/>
            <w:webHidden/>
          </w:rPr>
          <w:fldChar w:fldCharType="begin"/>
        </w:r>
        <w:r w:rsidRPr="00AB68D8">
          <w:rPr>
            <w:noProof/>
            <w:webHidden/>
          </w:rPr>
          <w:instrText xml:space="preserve"> PAGEREF _Toc428877081 \h </w:instrText>
        </w:r>
        <w:r w:rsidRPr="00AB68D8">
          <w:rPr>
            <w:noProof/>
            <w:webHidden/>
          </w:rPr>
        </w:r>
        <w:r w:rsidRPr="00AB68D8">
          <w:rPr>
            <w:noProof/>
            <w:webHidden/>
          </w:rPr>
          <w:fldChar w:fldCharType="separate"/>
        </w:r>
        <w:r w:rsidRPr="00AB68D8" w:rsidR="00A55738">
          <w:rPr>
            <w:noProof/>
            <w:webHidden/>
          </w:rPr>
          <w:t>6</w:t>
        </w:r>
        <w:r w:rsidRPr="00AB68D8">
          <w:rPr>
            <w:noProof/>
            <w:webHidden/>
          </w:rPr>
          <w:fldChar w:fldCharType="end"/>
        </w:r>
      </w:hyperlink>
    </w:p>
    <w:p w:rsidRPr="00AB68D8" w:rsidR="00D23CBF" w:rsidRDefault="00D23CBF" w14:paraId="5F9E47D4" w14:textId="77777777">
      <w:pPr>
        <w:pStyle w:val="TOC1"/>
        <w:tabs>
          <w:tab w:val="right" w:leader="dot" w:pos="8630"/>
        </w:tabs>
        <w:rPr>
          <w:rFonts w:ascii="Calibri" w:hAnsi="Calibri"/>
          <w:noProof/>
          <w:sz w:val="22"/>
          <w:szCs w:val="22"/>
        </w:rPr>
      </w:pPr>
      <w:hyperlink w:history="1" w:anchor="_Toc428877082">
        <w:r w:rsidRPr="00AB68D8">
          <w:rPr>
            <w:rStyle w:val="Hyperlink"/>
            <w:noProof/>
          </w:rPr>
          <w:t>5. Impact on Small Businesses or Other Small Entities</w:t>
        </w:r>
        <w:r w:rsidRPr="00AB68D8">
          <w:rPr>
            <w:noProof/>
            <w:webHidden/>
          </w:rPr>
          <w:tab/>
        </w:r>
        <w:r w:rsidRPr="00AB68D8">
          <w:rPr>
            <w:noProof/>
            <w:webHidden/>
          </w:rPr>
          <w:fldChar w:fldCharType="begin"/>
        </w:r>
        <w:r w:rsidRPr="00AB68D8">
          <w:rPr>
            <w:noProof/>
            <w:webHidden/>
          </w:rPr>
          <w:instrText xml:space="preserve"> PAGEREF _Toc428877082 \h </w:instrText>
        </w:r>
        <w:r w:rsidRPr="00AB68D8">
          <w:rPr>
            <w:noProof/>
            <w:webHidden/>
          </w:rPr>
        </w:r>
        <w:r w:rsidRPr="00AB68D8">
          <w:rPr>
            <w:noProof/>
            <w:webHidden/>
          </w:rPr>
          <w:fldChar w:fldCharType="separate"/>
        </w:r>
        <w:r w:rsidRPr="00AB68D8" w:rsidR="00A55738">
          <w:rPr>
            <w:noProof/>
            <w:webHidden/>
          </w:rPr>
          <w:t>6</w:t>
        </w:r>
        <w:r w:rsidRPr="00AB68D8">
          <w:rPr>
            <w:noProof/>
            <w:webHidden/>
          </w:rPr>
          <w:fldChar w:fldCharType="end"/>
        </w:r>
      </w:hyperlink>
    </w:p>
    <w:p w:rsidRPr="00AB68D8" w:rsidR="00D23CBF" w:rsidRDefault="00D23CBF" w14:paraId="563683A1" w14:textId="77777777">
      <w:pPr>
        <w:pStyle w:val="TOC1"/>
        <w:tabs>
          <w:tab w:val="right" w:leader="dot" w:pos="8630"/>
        </w:tabs>
        <w:rPr>
          <w:rFonts w:ascii="Calibri" w:hAnsi="Calibri"/>
          <w:noProof/>
          <w:sz w:val="22"/>
          <w:szCs w:val="22"/>
        </w:rPr>
      </w:pPr>
      <w:hyperlink w:history="1" w:anchor="_Toc428877083">
        <w:r w:rsidRPr="00AB68D8">
          <w:rPr>
            <w:rStyle w:val="Hyperlink"/>
            <w:noProof/>
          </w:rPr>
          <w:t>6. Consequences of Collecting the Information Less Frequently</w:t>
        </w:r>
        <w:r w:rsidRPr="00AB68D8">
          <w:rPr>
            <w:noProof/>
            <w:webHidden/>
          </w:rPr>
          <w:tab/>
        </w:r>
        <w:r w:rsidRPr="00AB68D8">
          <w:rPr>
            <w:noProof/>
            <w:webHidden/>
          </w:rPr>
          <w:fldChar w:fldCharType="begin"/>
        </w:r>
        <w:r w:rsidRPr="00AB68D8">
          <w:rPr>
            <w:noProof/>
            <w:webHidden/>
          </w:rPr>
          <w:instrText xml:space="preserve"> PAGEREF _Toc428877083 \h </w:instrText>
        </w:r>
        <w:r w:rsidRPr="00AB68D8">
          <w:rPr>
            <w:noProof/>
            <w:webHidden/>
          </w:rPr>
        </w:r>
        <w:r w:rsidRPr="00AB68D8">
          <w:rPr>
            <w:noProof/>
            <w:webHidden/>
          </w:rPr>
          <w:fldChar w:fldCharType="separate"/>
        </w:r>
        <w:r w:rsidRPr="00AB68D8" w:rsidR="00A55738">
          <w:rPr>
            <w:noProof/>
            <w:webHidden/>
          </w:rPr>
          <w:t>6</w:t>
        </w:r>
        <w:r w:rsidRPr="00AB68D8">
          <w:rPr>
            <w:noProof/>
            <w:webHidden/>
          </w:rPr>
          <w:fldChar w:fldCharType="end"/>
        </w:r>
      </w:hyperlink>
    </w:p>
    <w:p w:rsidRPr="00AB68D8" w:rsidR="00D23CBF" w:rsidRDefault="00D23CBF" w14:paraId="04649BBF" w14:textId="77777777">
      <w:pPr>
        <w:pStyle w:val="TOC1"/>
        <w:tabs>
          <w:tab w:val="right" w:leader="dot" w:pos="8630"/>
        </w:tabs>
        <w:rPr>
          <w:rFonts w:ascii="Calibri" w:hAnsi="Calibri"/>
          <w:noProof/>
          <w:sz w:val="22"/>
          <w:szCs w:val="22"/>
        </w:rPr>
      </w:pPr>
      <w:hyperlink w:history="1" w:anchor="_Toc428877084">
        <w:r w:rsidRPr="00AB68D8">
          <w:rPr>
            <w:rStyle w:val="Hyperlink"/>
            <w:noProof/>
          </w:rPr>
          <w:t>7. Special Circumstances Relating to the Guidelines of 5 CFR 1320.5</w:t>
        </w:r>
        <w:r w:rsidRPr="00AB68D8">
          <w:rPr>
            <w:noProof/>
            <w:webHidden/>
          </w:rPr>
          <w:tab/>
        </w:r>
        <w:r w:rsidRPr="00AB68D8">
          <w:rPr>
            <w:noProof/>
            <w:webHidden/>
          </w:rPr>
          <w:fldChar w:fldCharType="begin"/>
        </w:r>
        <w:r w:rsidRPr="00AB68D8">
          <w:rPr>
            <w:noProof/>
            <w:webHidden/>
          </w:rPr>
          <w:instrText xml:space="preserve"> PAGEREF _Toc428877084 \h </w:instrText>
        </w:r>
        <w:r w:rsidRPr="00AB68D8">
          <w:rPr>
            <w:noProof/>
            <w:webHidden/>
          </w:rPr>
        </w:r>
        <w:r w:rsidRPr="00AB68D8">
          <w:rPr>
            <w:noProof/>
            <w:webHidden/>
          </w:rPr>
          <w:fldChar w:fldCharType="separate"/>
        </w:r>
        <w:r w:rsidRPr="00AB68D8" w:rsidR="00A55738">
          <w:rPr>
            <w:noProof/>
            <w:webHidden/>
          </w:rPr>
          <w:t>6</w:t>
        </w:r>
        <w:r w:rsidRPr="00AB68D8">
          <w:rPr>
            <w:noProof/>
            <w:webHidden/>
          </w:rPr>
          <w:fldChar w:fldCharType="end"/>
        </w:r>
      </w:hyperlink>
    </w:p>
    <w:p w:rsidRPr="00AB68D8" w:rsidR="00D23CBF" w:rsidRDefault="00D23CBF" w14:paraId="22B7A337" w14:textId="77777777">
      <w:pPr>
        <w:pStyle w:val="TOC1"/>
        <w:tabs>
          <w:tab w:val="right" w:leader="dot" w:pos="8630"/>
        </w:tabs>
        <w:rPr>
          <w:rFonts w:ascii="Calibri" w:hAnsi="Calibri"/>
          <w:noProof/>
          <w:sz w:val="22"/>
          <w:szCs w:val="22"/>
        </w:rPr>
      </w:pPr>
      <w:hyperlink w:history="1" w:anchor="_Toc428877085">
        <w:r w:rsidRPr="00AB68D8">
          <w:rPr>
            <w:rStyle w:val="Hyperlink"/>
            <w:noProof/>
          </w:rPr>
          <w:t>8. Comments in Response to the Federal Register Notice and Efforts to Consult Outside the Agency</w:t>
        </w:r>
        <w:r w:rsidRPr="00AB68D8">
          <w:rPr>
            <w:noProof/>
            <w:webHidden/>
          </w:rPr>
          <w:tab/>
        </w:r>
        <w:r w:rsidRPr="00AB68D8">
          <w:rPr>
            <w:noProof/>
            <w:webHidden/>
          </w:rPr>
          <w:fldChar w:fldCharType="begin"/>
        </w:r>
        <w:r w:rsidRPr="00AB68D8">
          <w:rPr>
            <w:noProof/>
            <w:webHidden/>
          </w:rPr>
          <w:instrText xml:space="preserve"> PAGEREF _Toc428877085 \h </w:instrText>
        </w:r>
        <w:r w:rsidRPr="00AB68D8">
          <w:rPr>
            <w:noProof/>
            <w:webHidden/>
          </w:rPr>
        </w:r>
        <w:r w:rsidRPr="00AB68D8">
          <w:rPr>
            <w:noProof/>
            <w:webHidden/>
          </w:rPr>
          <w:fldChar w:fldCharType="separate"/>
        </w:r>
        <w:r w:rsidRPr="00AB68D8" w:rsidR="00A55738">
          <w:rPr>
            <w:noProof/>
            <w:webHidden/>
          </w:rPr>
          <w:t>7</w:t>
        </w:r>
        <w:r w:rsidRPr="00AB68D8">
          <w:rPr>
            <w:noProof/>
            <w:webHidden/>
          </w:rPr>
          <w:fldChar w:fldCharType="end"/>
        </w:r>
      </w:hyperlink>
    </w:p>
    <w:p w:rsidRPr="00AB68D8" w:rsidR="00D23CBF" w:rsidRDefault="00D23CBF" w14:paraId="79FD2AA0" w14:textId="77777777">
      <w:pPr>
        <w:pStyle w:val="TOC1"/>
        <w:tabs>
          <w:tab w:val="right" w:leader="dot" w:pos="8630"/>
        </w:tabs>
        <w:rPr>
          <w:rFonts w:ascii="Calibri" w:hAnsi="Calibri"/>
          <w:noProof/>
          <w:sz w:val="22"/>
          <w:szCs w:val="22"/>
        </w:rPr>
      </w:pPr>
      <w:hyperlink w:history="1" w:anchor="_Toc428877086">
        <w:r w:rsidRPr="00AB68D8">
          <w:rPr>
            <w:rStyle w:val="Hyperlink"/>
            <w:noProof/>
          </w:rPr>
          <w:t>9. Explanation of Any Payment or Gift to Respondents</w:t>
        </w:r>
        <w:r w:rsidRPr="00AB68D8">
          <w:rPr>
            <w:noProof/>
            <w:webHidden/>
          </w:rPr>
          <w:tab/>
        </w:r>
        <w:r w:rsidRPr="00AB68D8">
          <w:rPr>
            <w:noProof/>
            <w:webHidden/>
          </w:rPr>
          <w:fldChar w:fldCharType="begin"/>
        </w:r>
        <w:r w:rsidRPr="00AB68D8">
          <w:rPr>
            <w:noProof/>
            <w:webHidden/>
          </w:rPr>
          <w:instrText xml:space="preserve"> PAGEREF _Toc428877086 \h </w:instrText>
        </w:r>
        <w:r w:rsidRPr="00AB68D8">
          <w:rPr>
            <w:noProof/>
            <w:webHidden/>
          </w:rPr>
        </w:r>
        <w:r w:rsidRPr="00AB68D8">
          <w:rPr>
            <w:noProof/>
            <w:webHidden/>
          </w:rPr>
          <w:fldChar w:fldCharType="separate"/>
        </w:r>
        <w:r w:rsidRPr="00AB68D8" w:rsidR="00A55738">
          <w:rPr>
            <w:noProof/>
            <w:webHidden/>
          </w:rPr>
          <w:t>7</w:t>
        </w:r>
        <w:r w:rsidRPr="00AB68D8">
          <w:rPr>
            <w:noProof/>
            <w:webHidden/>
          </w:rPr>
          <w:fldChar w:fldCharType="end"/>
        </w:r>
      </w:hyperlink>
    </w:p>
    <w:p w:rsidRPr="00AB68D8" w:rsidR="00D23CBF" w:rsidRDefault="00D23CBF" w14:paraId="00593E6E" w14:textId="77777777">
      <w:pPr>
        <w:pStyle w:val="TOC1"/>
        <w:tabs>
          <w:tab w:val="right" w:leader="dot" w:pos="8630"/>
        </w:tabs>
        <w:rPr>
          <w:rFonts w:ascii="Calibri" w:hAnsi="Calibri"/>
          <w:noProof/>
          <w:sz w:val="22"/>
          <w:szCs w:val="22"/>
        </w:rPr>
      </w:pPr>
      <w:hyperlink w:history="1" w:anchor="_Toc428877087">
        <w:r w:rsidRPr="00AB68D8">
          <w:rPr>
            <w:rStyle w:val="Hyperlink"/>
            <w:noProof/>
          </w:rPr>
          <w:t>10. Protection of the Privacy and Confidentiality of Information Provided by Respondents</w:t>
        </w:r>
        <w:r w:rsidRPr="00AB68D8">
          <w:rPr>
            <w:noProof/>
            <w:webHidden/>
          </w:rPr>
          <w:tab/>
        </w:r>
        <w:r w:rsidRPr="00AB68D8">
          <w:rPr>
            <w:noProof/>
            <w:webHidden/>
          </w:rPr>
          <w:fldChar w:fldCharType="begin"/>
        </w:r>
        <w:r w:rsidRPr="00AB68D8">
          <w:rPr>
            <w:noProof/>
            <w:webHidden/>
          </w:rPr>
          <w:instrText xml:space="preserve"> PAGEREF _Toc428877087 \h </w:instrText>
        </w:r>
        <w:r w:rsidRPr="00AB68D8">
          <w:rPr>
            <w:noProof/>
            <w:webHidden/>
          </w:rPr>
        </w:r>
        <w:r w:rsidRPr="00AB68D8">
          <w:rPr>
            <w:noProof/>
            <w:webHidden/>
          </w:rPr>
          <w:fldChar w:fldCharType="separate"/>
        </w:r>
        <w:r w:rsidRPr="00AB68D8" w:rsidR="00A55738">
          <w:rPr>
            <w:noProof/>
            <w:webHidden/>
          </w:rPr>
          <w:t>7</w:t>
        </w:r>
        <w:r w:rsidRPr="00AB68D8">
          <w:rPr>
            <w:noProof/>
            <w:webHidden/>
          </w:rPr>
          <w:fldChar w:fldCharType="end"/>
        </w:r>
      </w:hyperlink>
    </w:p>
    <w:p w:rsidRPr="00AB68D8" w:rsidR="00D23CBF" w:rsidRDefault="00D23CBF" w14:paraId="7ABCB0A3" w14:textId="77777777">
      <w:pPr>
        <w:pStyle w:val="TOC1"/>
        <w:tabs>
          <w:tab w:val="right" w:leader="dot" w:pos="8630"/>
        </w:tabs>
        <w:rPr>
          <w:rFonts w:ascii="Calibri" w:hAnsi="Calibri"/>
          <w:noProof/>
          <w:sz w:val="22"/>
          <w:szCs w:val="22"/>
        </w:rPr>
      </w:pPr>
      <w:hyperlink w:history="1" w:anchor="_Toc428877088">
        <w:r w:rsidRPr="00AB68D8">
          <w:rPr>
            <w:rStyle w:val="Hyperlink"/>
            <w:noProof/>
          </w:rPr>
          <w:t>11. Institutional Review Board (IRB) and Justification for Sensitive Questions</w:t>
        </w:r>
        <w:r w:rsidRPr="00AB68D8">
          <w:rPr>
            <w:noProof/>
            <w:webHidden/>
          </w:rPr>
          <w:tab/>
        </w:r>
        <w:r w:rsidRPr="00AB68D8">
          <w:rPr>
            <w:noProof/>
            <w:webHidden/>
          </w:rPr>
          <w:fldChar w:fldCharType="begin"/>
        </w:r>
        <w:r w:rsidRPr="00AB68D8">
          <w:rPr>
            <w:noProof/>
            <w:webHidden/>
          </w:rPr>
          <w:instrText xml:space="preserve"> PAGEREF _Toc428877088 \h </w:instrText>
        </w:r>
        <w:r w:rsidRPr="00AB68D8">
          <w:rPr>
            <w:noProof/>
            <w:webHidden/>
          </w:rPr>
        </w:r>
        <w:r w:rsidRPr="00AB68D8">
          <w:rPr>
            <w:noProof/>
            <w:webHidden/>
          </w:rPr>
          <w:fldChar w:fldCharType="separate"/>
        </w:r>
        <w:r w:rsidRPr="00AB68D8" w:rsidR="00A55738">
          <w:rPr>
            <w:noProof/>
            <w:webHidden/>
          </w:rPr>
          <w:t>8</w:t>
        </w:r>
        <w:r w:rsidRPr="00AB68D8">
          <w:rPr>
            <w:noProof/>
            <w:webHidden/>
          </w:rPr>
          <w:fldChar w:fldCharType="end"/>
        </w:r>
      </w:hyperlink>
    </w:p>
    <w:p w:rsidRPr="00AB68D8" w:rsidR="00D23CBF" w:rsidRDefault="00D23CBF" w14:paraId="33D163A4" w14:textId="77777777">
      <w:pPr>
        <w:pStyle w:val="TOC1"/>
        <w:tabs>
          <w:tab w:val="right" w:leader="dot" w:pos="8630"/>
        </w:tabs>
        <w:rPr>
          <w:rFonts w:ascii="Calibri" w:hAnsi="Calibri"/>
          <w:noProof/>
          <w:sz w:val="22"/>
          <w:szCs w:val="22"/>
        </w:rPr>
      </w:pPr>
      <w:hyperlink w:history="1" w:anchor="_Toc428877089">
        <w:r w:rsidRPr="00AB68D8">
          <w:rPr>
            <w:rStyle w:val="Hyperlink"/>
            <w:noProof/>
          </w:rPr>
          <w:t>IRB Approval</w:t>
        </w:r>
        <w:r w:rsidRPr="00AB68D8">
          <w:rPr>
            <w:noProof/>
            <w:webHidden/>
          </w:rPr>
          <w:tab/>
        </w:r>
        <w:r w:rsidRPr="00AB68D8">
          <w:rPr>
            <w:noProof/>
            <w:webHidden/>
          </w:rPr>
          <w:fldChar w:fldCharType="begin"/>
        </w:r>
        <w:r w:rsidRPr="00AB68D8">
          <w:rPr>
            <w:noProof/>
            <w:webHidden/>
          </w:rPr>
          <w:instrText xml:space="preserve"> PAGEREF _Toc428877089 \h </w:instrText>
        </w:r>
        <w:r w:rsidRPr="00AB68D8">
          <w:rPr>
            <w:noProof/>
            <w:webHidden/>
          </w:rPr>
        </w:r>
        <w:r w:rsidRPr="00AB68D8">
          <w:rPr>
            <w:noProof/>
            <w:webHidden/>
          </w:rPr>
          <w:fldChar w:fldCharType="separate"/>
        </w:r>
        <w:r w:rsidRPr="00AB68D8" w:rsidR="00A55738">
          <w:rPr>
            <w:noProof/>
            <w:webHidden/>
          </w:rPr>
          <w:t>8</w:t>
        </w:r>
        <w:r w:rsidRPr="00AB68D8">
          <w:rPr>
            <w:noProof/>
            <w:webHidden/>
          </w:rPr>
          <w:fldChar w:fldCharType="end"/>
        </w:r>
      </w:hyperlink>
    </w:p>
    <w:p w:rsidRPr="00AB68D8" w:rsidR="00D23CBF" w:rsidRDefault="00D23CBF" w14:paraId="02E84733" w14:textId="77777777">
      <w:pPr>
        <w:pStyle w:val="TOC1"/>
        <w:tabs>
          <w:tab w:val="right" w:leader="dot" w:pos="8630"/>
        </w:tabs>
        <w:rPr>
          <w:rFonts w:ascii="Calibri" w:hAnsi="Calibri"/>
          <w:noProof/>
          <w:sz w:val="22"/>
          <w:szCs w:val="22"/>
        </w:rPr>
      </w:pPr>
      <w:hyperlink w:history="1" w:anchor="_Toc428877090">
        <w:r w:rsidRPr="00AB68D8">
          <w:rPr>
            <w:rStyle w:val="Hyperlink"/>
            <w:noProof/>
          </w:rPr>
          <w:t>12. Estimates of Annualized Burden Hours and Costs</w:t>
        </w:r>
        <w:r w:rsidRPr="00AB68D8">
          <w:rPr>
            <w:noProof/>
            <w:webHidden/>
          </w:rPr>
          <w:tab/>
        </w:r>
        <w:r w:rsidRPr="00AB68D8">
          <w:rPr>
            <w:noProof/>
            <w:webHidden/>
          </w:rPr>
          <w:fldChar w:fldCharType="begin"/>
        </w:r>
        <w:r w:rsidRPr="00AB68D8">
          <w:rPr>
            <w:noProof/>
            <w:webHidden/>
          </w:rPr>
          <w:instrText xml:space="preserve"> PAGEREF _Toc428877090 \h </w:instrText>
        </w:r>
        <w:r w:rsidRPr="00AB68D8">
          <w:rPr>
            <w:noProof/>
            <w:webHidden/>
          </w:rPr>
        </w:r>
        <w:r w:rsidRPr="00AB68D8">
          <w:rPr>
            <w:noProof/>
            <w:webHidden/>
          </w:rPr>
          <w:fldChar w:fldCharType="separate"/>
        </w:r>
        <w:r w:rsidRPr="00AB68D8" w:rsidR="00A55738">
          <w:rPr>
            <w:noProof/>
            <w:webHidden/>
          </w:rPr>
          <w:t>8</w:t>
        </w:r>
        <w:r w:rsidRPr="00AB68D8">
          <w:rPr>
            <w:noProof/>
            <w:webHidden/>
          </w:rPr>
          <w:fldChar w:fldCharType="end"/>
        </w:r>
      </w:hyperlink>
    </w:p>
    <w:p w:rsidRPr="00AB68D8" w:rsidR="00D23CBF" w:rsidRDefault="00D23CBF" w14:paraId="240020FB" w14:textId="77777777">
      <w:pPr>
        <w:pStyle w:val="TOC1"/>
        <w:tabs>
          <w:tab w:val="right" w:leader="dot" w:pos="8630"/>
        </w:tabs>
        <w:rPr>
          <w:rFonts w:ascii="Calibri" w:hAnsi="Calibri"/>
          <w:noProof/>
          <w:sz w:val="22"/>
          <w:szCs w:val="22"/>
        </w:rPr>
      </w:pPr>
      <w:hyperlink w:history="1" w:anchor="_Toc428877091">
        <w:r w:rsidRPr="00AB68D8">
          <w:rPr>
            <w:rStyle w:val="Hyperlink"/>
            <w:noProof/>
          </w:rPr>
          <w:t>13. Estimates of Other Total Annual Cost Burden to Respondents or Record Keepers</w:t>
        </w:r>
        <w:r w:rsidRPr="00AB68D8">
          <w:rPr>
            <w:noProof/>
            <w:webHidden/>
          </w:rPr>
          <w:tab/>
        </w:r>
        <w:r w:rsidRPr="00AB68D8">
          <w:rPr>
            <w:noProof/>
            <w:webHidden/>
          </w:rPr>
          <w:fldChar w:fldCharType="begin"/>
        </w:r>
        <w:r w:rsidRPr="00AB68D8">
          <w:rPr>
            <w:noProof/>
            <w:webHidden/>
          </w:rPr>
          <w:instrText xml:space="preserve"> PAGEREF _Toc428877091 \h </w:instrText>
        </w:r>
        <w:r w:rsidRPr="00AB68D8">
          <w:rPr>
            <w:noProof/>
            <w:webHidden/>
          </w:rPr>
        </w:r>
        <w:r w:rsidRPr="00AB68D8">
          <w:rPr>
            <w:noProof/>
            <w:webHidden/>
          </w:rPr>
          <w:fldChar w:fldCharType="separate"/>
        </w:r>
        <w:r w:rsidRPr="00AB68D8" w:rsidR="00A55738">
          <w:rPr>
            <w:noProof/>
            <w:webHidden/>
          </w:rPr>
          <w:t>10</w:t>
        </w:r>
        <w:r w:rsidRPr="00AB68D8">
          <w:rPr>
            <w:noProof/>
            <w:webHidden/>
          </w:rPr>
          <w:fldChar w:fldCharType="end"/>
        </w:r>
      </w:hyperlink>
    </w:p>
    <w:p w:rsidRPr="00AB68D8" w:rsidR="00D23CBF" w:rsidRDefault="00D23CBF" w14:paraId="33FE1288" w14:textId="77777777">
      <w:pPr>
        <w:pStyle w:val="TOC1"/>
        <w:tabs>
          <w:tab w:val="right" w:leader="dot" w:pos="8630"/>
        </w:tabs>
        <w:rPr>
          <w:rFonts w:ascii="Calibri" w:hAnsi="Calibri"/>
          <w:noProof/>
          <w:sz w:val="22"/>
          <w:szCs w:val="22"/>
        </w:rPr>
      </w:pPr>
      <w:hyperlink w:history="1" w:anchor="_Toc428877092">
        <w:r w:rsidRPr="00AB68D8">
          <w:rPr>
            <w:rStyle w:val="Hyperlink"/>
            <w:noProof/>
          </w:rPr>
          <w:t>14. Annualized Cost to the Government</w:t>
        </w:r>
        <w:r w:rsidRPr="00AB68D8">
          <w:rPr>
            <w:noProof/>
            <w:webHidden/>
          </w:rPr>
          <w:tab/>
        </w:r>
        <w:r w:rsidRPr="00AB68D8">
          <w:rPr>
            <w:noProof/>
            <w:webHidden/>
          </w:rPr>
          <w:fldChar w:fldCharType="begin"/>
        </w:r>
        <w:r w:rsidRPr="00AB68D8">
          <w:rPr>
            <w:noProof/>
            <w:webHidden/>
          </w:rPr>
          <w:instrText xml:space="preserve"> PAGEREF _Toc428877092 \h </w:instrText>
        </w:r>
        <w:r w:rsidRPr="00AB68D8">
          <w:rPr>
            <w:noProof/>
            <w:webHidden/>
          </w:rPr>
        </w:r>
        <w:r w:rsidRPr="00AB68D8">
          <w:rPr>
            <w:noProof/>
            <w:webHidden/>
          </w:rPr>
          <w:fldChar w:fldCharType="separate"/>
        </w:r>
        <w:r w:rsidRPr="00AB68D8" w:rsidR="00A55738">
          <w:rPr>
            <w:noProof/>
            <w:webHidden/>
          </w:rPr>
          <w:t>10</w:t>
        </w:r>
        <w:r w:rsidRPr="00AB68D8">
          <w:rPr>
            <w:noProof/>
            <w:webHidden/>
          </w:rPr>
          <w:fldChar w:fldCharType="end"/>
        </w:r>
      </w:hyperlink>
    </w:p>
    <w:p w:rsidRPr="00AB68D8" w:rsidR="00D23CBF" w:rsidRDefault="00D23CBF" w14:paraId="3519B19D" w14:textId="77777777">
      <w:pPr>
        <w:pStyle w:val="TOC1"/>
        <w:tabs>
          <w:tab w:val="right" w:leader="dot" w:pos="8630"/>
        </w:tabs>
        <w:rPr>
          <w:rFonts w:ascii="Calibri" w:hAnsi="Calibri"/>
          <w:noProof/>
          <w:sz w:val="22"/>
          <w:szCs w:val="22"/>
        </w:rPr>
      </w:pPr>
      <w:hyperlink w:history="1" w:anchor="_Toc428877093">
        <w:r w:rsidRPr="00AB68D8">
          <w:rPr>
            <w:rStyle w:val="Hyperlink"/>
            <w:noProof/>
          </w:rPr>
          <w:t>15.  Explanation of Program Changes or Adjustments</w:t>
        </w:r>
        <w:r w:rsidRPr="00AB68D8">
          <w:rPr>
            <w:noProof/>
            <w:webHidden/>
          </w:rPr>
          <w:tab/>
        </w:r>
        <w:r w:rsidRPr="00AB68D8">
          <w:rPr>
            <w:noProof/>
            <w:webHidden/>
          </w:rPr>
          <w:fldChar w:fldCharType="begin"/>
        </w:r>
        <w:r w:rsidRPr="00AB68D8">
          <w:rPr>
            <w:noProof/>
            <w:webHidden/>
          </w:rPr>
          <w:instrText xml:space="preserve"> PAGEREF _Toc428877093 \h </w:instrText>
        </w:r>
        <w:r w:rsidRPr="00AB68D8">
          <w:rPr>
            <w:noProof/>
            <w:webHidden/>
          </w:rPr>
        </w:r>
        <w:r w:rsidRPr="00AB68D8">
          <w:rPr>
            <w:noProof/>
            <w:webHidden/>
          </w:rPr>
          <w:fldChar w:fldCharType="separate"/>
        </w:r>
        <w:r w:rsidRPr="00AB68D8" w:rsidR="00A55738">
          <w:rPr>
            <w:noProof/>
            <w:webHidden/>
          </w:rPr>
          <w:t>11</w:t>
        </w:r>
        <w:r w:rsidRPr="00AB68D8">
          <w:rPr>
            <w:noProof/>
            <w:webHidden/>
          </w:rPr>
          <w:fldChar w:fldCharType="end"/>
        </w:r>
      </w:hyperlink>
    </w:p>
    <w:p w:rsidRPr="00AB68D8" w:rsidR="00D23CBF" w:rsidRDefault="00D23CBF" w14:paraId="35BFB571" w14:textId="77777777">
      <w:pPr>
        <w:pStyle w:val="TOC1"/>
        <w:tabs>
          <w:tab w:val="right" w:leader="dot" w:pos="8630"/>
        </w:tabs>
        <w:rPr>
          <w:rFonts w:ascii="Calibri" w:hAnsi="Calibri"/>
          <w:noProof/>
          <w:sz w:val="22"/>
          <w:szCs w:val="22"/>
        </w:rPr>
      </w:pPr>
      <w:hyperlink w:history="1" w:anchor="_Toc428877094">
        <w:r w:rsidRPr="00AB68D8">
          <w:rPr>
            <w:rStyle w:val="Hyperlink"/>
            <w:noProof/>
          </w:rPr>
          <w:t>16.  Plans for Tabulation and Publication and Project Time Schedule</w:t>
        </w:r>
        <w:r w:rsidRPr="00AB68D8">
          <w:rPr>
            <w:noProof/>
            <w:webHidden/>
          </w:rPr>
          <w:tab/>
        </w:r>
        <w:r w:rsidRPr="00AB68D8">
          <w:rPr>
            <w:noProof/>
            <w:webHidden/>
          </w:rPr>
          <w:fldChar w:fldCharType="begin"/>
        </w:r>
        <w:r w:rsidRPr="00AB68D8">
          <w:rPr>
            <w:noProof/>
            <w:webHidden/>
          </w:rPr>
          <w:instrText xml:space="preserve"> PAGEREF _Toc428877094 \h </w:instrText>
        </w:r>
        <w:r w:rsidRPr="00AB68D8">
          <w:rPr>
            <w:noProof/>
            <w:webHidden/>
          </w:rPr>
        </w:r>
        <w:r w:rsidRPr="00AB68D8">
          <w:rPr>
            <w:noProof/>
            <w:webHidden/>
          </w:rPr>
          <w:fldChar w:fldCharType="separate"/>
        </w:r>
        <w:r w:rsidRPr="00AB68D8" w:rsidR="00A55738">
          <w:rPr>
            <w:noProof/>
            <w:webHidden/>
          </w:rPr>
          <w:t>11</w:t>
        </w:r>
        <w:r w:rsidRPr="00AB68D8">
          <w:rPr>
            <w:noProof/>
            <w:webHidden/>
          </w:rPr>
          <w:fldChar w:fldCharType="end"/>
        </w:r>
      </w:hyperlink>
    </w:p>
    <w:p w:rsidRPr="00AB68D8" w:rsidR="00D23CBF" w:rsidRDefault="00D23CBF" w14:paraId="16A08EFD" w14:textId="77777777">
      <w:pPr>
        <w:pStyle w:val="TOC1"/>
        <w:tabs>
          <w:tab w:val="right" w:leader="dot" w:pos="8630"/>
        </w:tabs>
        <w:rPr>
          <w:rFonts w:ascii="Calibri" w:hAnsi="Calibri"/>
          <w:noProof/>
          <w:sz w:val="22"/>
          <w:szCs w:val="22"/>
        </w:rPr>
      </w:pPr>
      <w:hyperlink w:history="1" w:anchor="_Toc428877095">
        <w:r w:rsidRPr="00AB68D8">
          <w:rPr>
            <w:rStyle w:val="Hyperlink"/>
            <w:noProof/>
          </w:rPr>
          <w:t>17.  Reason(s) Display of OMB Expiration Date is Inappropriate</w:t>
        </w:r>
        <w:r w:rsidRPr="00AB68D8">
          <w:rPr>
            <w:noProof/>
            <w:webHidden/>
          </w:rPr>
          <w:tab/>
        </w:r>
        <w:r w:rsidRPr="00AB68D8">
          <w:rPr>
            <w:noProof/>
            <w:webHidden/>
          </w:rPr>
          <w:fldChar w:fldCharType="begin"/>
        </w:r>
        <w:r w:rsidRPr="00AB68D8">
          <w:rPr>
            <w:noProof/>
            <w:webHidden/>
          </w:rPr>
          <w:instrText xml:space="preserve"> PAGEREF _Toc428877095 \h </w:instrText>
        </w:r>
        <w:r w:rsidRPr="00AB68D8">
          <w:rPr>
            <w:noProof/>
            <w:webHidden/>
          </w:rPr>
        </w:r>
        <w:r w:rsidRPr="00AB68D8">
          <w:rPr>
            <w:noProof/>
            <w:webHidden/>
          </w:rPr>
          <w:fldChar w:fldCharType="separate"/>
        </w:r>
        <w:r w:rsidRPr="00AB68D8" w:rsidR="00A55738">
          <w:rPr>
            <w:noProof/>
            <w:webHidden/>
          </w:rPr>
          <w:t>11</w:t>
        </w:r>
        <w:r w:rsidRPr="00AB68D8">
          <w:rPr>
            <w:noProof/>
            <w:webHidden/>
          </w:rPr>
          <w:fldChar w:fldCharType="end"/>
        </w:r>
      </w:hyperlink>
    </w:p>
    <w:p w:rsidRPr="00AB68D8" w:rsidR="00D23CBF" w:rsidRDefault="00D23CBF" w14:paraId="289A38B5" w14:textId="77777777">
      <w:pPr>
        <w:pStyle w:val="TOC1"/>
        <w:tabs>
          <w:tab w:val="right" w:leader="dot" w:pos="8630"/>
        </w:tabs>
        <w:rPr>
          <w:rFonts w:ascii="Calibri" w:hAnsi="Calibri"/>
          <w:noProof/>
          <w:sz w:val="22"/>
          <w:szCs w:val="22"/>
        </w:rPr>
      </w:pPr>
      <w:hyperlink w:history="1" w:anchor="_Toc428877096">
        <w:r w:rsidRPr="00AB68D8">
          <w:rPr>
            <w:rStyle w:val="Hyperlink"/>
            <w:noProof/>
          </w:rPr>
          <w:t>18. Exceptions to Certification for Paperwork Reduction Act Submissions</w:t>
        </w:r>
        <w:r w:rsidRPr="00AB68D8">
          <w:rPr>
            <w:noProof/>
            <w:webHidden/>
          </w:rPr>
          <w:tab/>
        </w:r>
        <w:r w:rsidRPr="00AB68D8">
          <w:rPr>
            <w:noProof/>
            <w:webHidden/>
          </w:rPr>
          <w:fldChar w:fldCharType="begin"/>
        </w:r>
        <w:r w:rsidRPr="00AB68D8">
          <w:rPr>
            <w:noProof/>
            <w:webHidden/>
          </w:rPr>
          <w:instrText xml:space="preserve"> PAGEREF _Toc428877096 \h </w:instrText>
        </w:r>
        <w:r w:rsidRPr="00AB68D8">
          <w:rPr>
            <w:noProof/>
            <w:webHidden/>
          </w:rPr>
        </w:r>
        <w:r w:rsidRPr="00AB68D8">
          <w:rPr>
            <w:noProof/>
            <w:webHidden/>
          </w:rPr>
          <w:fldChar w:fldCharType="separate"/>
        </w:r>
        <w:r w:rsidRPr="00AB68D8" w:rsidR="00A55738">
          <w:rPr>
            <w:noProof/>
            <w:webHidden/>
          </w:rPr>
          <w:t>11</w:t>
        </w:r>
        <w:r w:rsidRPr="00AB68D8">
          <w:rPr>
            <w:noProof/>
            <w:webHidden/>
          </w:rPr>
          <w:fldChar w:fldCharType="end"/>
        </w:r>
      </w:hyperlink>
    </w:p>
    <w:p w:rsidRPr="00AB68D8" w:rsidR="00D23CBF" w:rsidRDefault="00D23CBF" w14:paraId="3F7E4574" w14:textId="77777777">
      <w:pPr>
        <w:pStyle w:val="TOC1"/>
        <w:tabs>
          <w:tab w:val="right" w:leader="dot" w:pos="8630"/>
        </w:tabs>
        <w:rPr>
          <w:rFonts w:ascii="Calibri" w:hAnsi="Calibri"/>
          <w:noProof/>
          <w:sz w:val="22"/>
          <w:szCs w:val="22"/>
        </w:rPr>
      </w:pPr>
      <w:hyperlink w:history="1" w:anchor="_Toc428877097">
        <w:r w:rsidRPr="00AB68D8">
          <w:rPr>
            <w:rStyle w:val="Hyperlink"/>
            <w:noProof/>
          </w:rPr>
          <w:t>Attachments</w:t>
        </w:r>
        <w:r w:rsidRPr="00AB68D8">
          <w:rPr>
            <w:noProof/>
            <w:webHidden/>
          </w:rPr>
          <w:tab/>
        </w:r>
        <w:r w:rsidRPr="00AB68D8">
          <w:rPr>
            <w:noProof/>
            <w:webHidden/>
          </w:rPr>
          <w:fldChar w:fldCharType="begin"/>
        </w:r>
        <w:r w:rsidRPr="00AB68D8">
          <w:rPr>
            <w:noProof/>
            <w:webHidden/>
          </w:rPr>
          <w:instrText xml:space="preserve"> PAGEREF _Toc428877097 \h </w:instrText>
        </w:r>
        <w:r w:rsidRPr="00AB68D8">
          <w:rPr>
            <w:noProof/>
            <w:webHidden/>
          </w:rPr>
        </w:r>
        <w:r w:rsidRPr="00AB68D8">
          <w:rPr>
            <w:noProof/>
            <w:webHidden/>
          </w:rPr>
          <w:fldChar w:fldCharType="separate"/>
        </w:r>
        <w:r w:rsidRPr="00AB68D8" w:rsidR="00A55738">
          <w:rPr>
            <w:noProof/>
            <w:webHidden/>
          </w:rPr>
          <w:t>11</w:t>
        </w:r>
        <w:r w:rsidRPr="00AB68D8">
          <w:rPr>
            <w:noProof/>
            <w:webHidden/>
          </w:rPr>
          <w:fldChar w:fldCharType="end"/>
        </w:r>
      </w:hyperlink>
    </w:p>
    <w:p w:rsidRPr="00AB68D8" w:rsidR="00D23CBF" w:rsidRDefault="00D23CBF" w14:paraId="6A3B5AD7" w14:textId="77777777">
      <w:r w:rsidRPr="00AB68D8">
        <w:rPr>
          <w:b/>
          <w:bCs/>
          <w:noProof/>
        </w:rPr>
        <w:fldChar w:fldCharType="end"/>
      </w:r>
    </w:p>
    <w:p w:rsidRPr="00AB68D8" w:rsidR="00FD45AA" w:rsidP="00840060" w:rsidRDefault="00FD45AA" w14:paraId="0218D2EF" w14:textId="77777777">
      <w:pPr>
        <w:ind w:left="360"/>
        <w:outlineLvl w:val="0"/>
        <w:rPr>
          <w:b/>
          <w:u w:val="single"/>
        </w:rPr>
      </w:pPr>
    </w:p>
    <w:p w:rsidRPr="00AB68D8" w:rsidR="00FD45AA" w:rsidP="00840060" w:rsidRDefault="00FD45AA" w14:paraId="0D60D2B9" w14:textId="77777777">
      <w:pPr>
        <w:ind w:left="360"/>
        <w:outlineLvl w:val="0"/>
        <w:rPr>
          <w:b/>
          <w:u w:val="single"/>
        </w:rPr>
      </w:pPr>
    </w:p>
    <w:p w:rsidRPr="00AB68D8" w:rsidR="00FD45AA" w:rsidP="00840060" w:rsidRDefault="00FD45AA" w14:paraId="5680CA04" w14:textId="77777777">
      <w:pPr>
        <w:ind w:left="360"/>
        <w:outlineLvl w:val="0"/>
        <w:rPr>
          <w:b/>
          <w:u w:val="single"/>
        </w:rPr>
      </w:pPr>
    </w:p>
    <w:p w:rsidRPr="00AB68D8" w:rsidR="00A078E6" w:rsidP="00840060" w:rsidRDefault="00A078E6" w14:paraId="25D2DEE3" w14:textId="77777777">
      <w:pPr>
        <w:ind w:left="360"/>
        <w:outlineLvl w:val="0"/>
        <w:rPr>
          <w:b/>
          <w:u w:val="single"/>
        </w:rPr>
      </w:pPr>
    </w:p>
    <w:p w:rsidRPr="00AB68D8" w:rsidR="00984DFB" w:rsidP="00984DFB" w:rsidRDefault="00840060" w14:paraId="25BD5F5E" w14:textId="77777777">
      <w:pPr>
        <w:jc w:val="center"/>
        <w:rPr>
          <w:b/>
        </w:rPr>
      </w:pPr>
      <w:r w:rsidRPr="00AB68D8">
        <w:br w:type="page"/>
      </w:r>
      <w:r w:rsidRPr="00AB68D8" w:rsidR="00984DFB">
        <w:rPr>
          <w:b/>
        </w:rPr>
        <w:lastRenderedPageBreak/>
        <w:t>Report of Illness or Death</w:t>
      </w:r>
      <w:r w:rsidRPr="00AB68D8" w:rsidR="00340131">
        <w:rPr>
          <w:b/>
        </w:rPr>
        <w:t>:</w:t>
      </w:r>
      <w:r w:rsidRPr="00AB68D8" w:rsidR="00984DFB">
        <w:rPr>
          <w:b/>
        </w:rPr>
        <w:t xml:space="preserve"> Interstate Travel of Persons</w:t>
      </w:r>
    </w:p>
    <w:p w:rsidRPr="00AB68D8" w:rsidR="00984DFB" w:rsidP="00984DFB" w:rsidRDefault="00984DFB" w14:paraId="6D0055C3" w14:textId="77777777">
      <w:pPr>
        <w:jc w:val="center"/>
        <w:rPr>
          <w:b/>
        </w:rPr>
      </w:pPr>
      <w:r w:rsidRPr="00AB68D8">
        <w:rPr>
          <w:b/>
        </w:rPr>
        <w:t>(42 CFR part 70)</w:t>
      </w:r>
    </w:p>
    <w:p w:rsidRPr="00AB68D8" w:rsidR="00840060" w:rsidP="00984DFB" w:rsidRDefault="003F6B48" w14:paraId="40E71805" w14:textId="77777777">
      <w:pPr>
        <w:jc w:val="center"/>
        <w:rPr>
          <w:b/>
        </w:rPr>
      </w:pPr>
      <w:r w:rsidRPr="00AB68D8">
        <w:rPr>
          <w:b/>
        </w:rPr>
        <w:t xml:space="preserve"> </w:t>
      </w:r>
      <w:r w:rsidRPr="00AB68D8" w:rsidR="00840060">
        <w:rPr>
          <w:b/>
        </w:rPr>
        <w:t>(OMB Control No. 0920-0488)</w:t>
      </w:r>
    </w:p>
    <w:p w:rsidRPr="00AB68D8" w:rsidR="002E4525" w:rsidP="002E4525" w:rsidRDefault="002E4525" w14:paraId="7C914D28" w14:textId="77777777"/>
    <w:p w:rsidRPr="00AB68D8" w:rsidR="00016EF8" w:rsidP="002E4525" w:rsidRDefault="00080D8A" w14:paraId="6D49F376" w14:textId="2784CD17">
      <w:r w:rsidRPr="00AB68D8">
        <w:rPr>
          <w:noProof/>
        </w:rPr>
        <mc:AlternateContent>
          <mc:Choice Requires="wps">
            <w:drawing>
              <wp:anchor distT="45720" distB="45720" distL="114300" distR="114300" simplePos="0" relativeHeight="251657728" behindDoc="0" locked="0" layoutInCell="1" allowOverlap="1" wp14:editId="002BB329" wp14:anchorId="2AEEE755">
                <wp:simplePos x="0" y="0"/>
                <wp:positionH relativeFrom="column">
                  <wp:posOffset>-19050</wp:posOffset>
                </wp:positionH>
                <wp:positionV relativeFrom="paragraph">
                  <wp:posOffset>251460</wp:posOffset>
                </wp:positionV>
                <wp:extent cx="5479415" cy="4838700"/>
                <wp:effectExtent l="9525" t="9525" r="698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4838700"/>
                        </a:xfrm>
                        <a:prstGeom prst="rect">
                          <a:avLst/>
                        </a:prstGeom>
                        <a:solidFill>
                          <a:srgbClr val="FFFFFF"/>
                        </a:solidFill>
                        <a:ln w="9525">
                          <a:solidFill>
                            <a:srgbClr val="000000"/>
                          </a:solidFill>
                          <a:miter lim="800000"/>
                          <a:headEnd/>
                          <a:tailEnd/>
                        </a:ln>
                      </wps:spPr>
                      <wps:txbx>
                        <w:txbxContent>
                          <w:p w:rsidR="001F7104" w:rsidP="001F7104" w:rsidRDefault="001F7104" w14:paraId="63967DEC" w14:textId="77777777">
                            <w:pPr>
                              <w:numPr>
                                <w:ilvl w:val="0"/>
                                <w:numId w:val="9"/>
                              </w:numPr>
                              <w:autoSpaceDE w:val="0"/>
                              <w:autoSpaceDN w:val="0"/>
                              <w:adjustRightInd w:val="0"/>
                            </w:pPr>
                            <w:r w:rsidRPr="001F7104">
                              <w:rPr>
                                <w:b/>
                                <w:color w:val="000000"/>
                              </w:rPr>
                              <w:t>Goal of the project</w:t>
                            </w:r>
                            <w:r w:rsidRPr="001F7104">
                              <w:rPr>
                                <w:color w:val="000000"/>
                              </w:rPr>
                              <w:t xml:space="preserve">: </w:t>
                            </w:r>
                            <w:r>
                              <w:t xml:space="preserve">The goal of this information collection is to ensure that CDC can collect data related to communicable disease or deaths that occur aboard conveyances during interstate travel within the United States, as authorized under 42 Code of Federal Regulations part 70. </w:t>
                            </w:r>
                          </w:p>
                          <w:p w:rsidR="001F7104" w:rsidP="001F7104" w:rsidRDefault="001F7104" w14:paraId="1F69A79E" w14:textId="77777777">
                            <w:pPr>
                              <w:numPr>
                                <w:ilvl w:val="0"/>
                                <w:numId w:val="9"/>
                              </w:numPr>
                              <w:autoSpaceDE w:val="0"/>
                              <w:autoSpaceDN w:val="0"/>
                              <w:adjustRightInd w:val="0"/>
                            </w:pPr>
                            <w:r w:rsidRPr="001F7104">
                              <w:rPr>
                                <w:b/>
                                <w:color w:val="000000"/>
                              </w:rPr>
                              <w:t>Intended use of the resulting data</w:t>
                            </w:r>
                            <w:r w:rsidRPr="001F7104">
                              <w:rPr>
                                <w:color w:val="000000"/>
                              </w:rPr>
                              <w:t xml:space="preserve">: </w:t>
                            </w:r>
                            <w:r>
                              <w:t>The intended use of the information is to ensure that CDC can assess and respond to reports of communicable disease or death that occur on conveyances engaged in interstate travel, and assist state and local health authorities if an illness or death occurs that poses a risk to public health.</w:t>
                            </w:r>
                          </w:p>
                          <w:p w:rsidR="001F7104" w:rsidP="001F7104" w:rsidRDefault="001F7104" w14:paraId="33502CEB" w14:textId="77777777">
                            <w:pPr>
                              <w:pStyle w:val="ListParagraph"/>
                              <w:numPr>
                                <w:ilvl w:val="0"/>
                                <w:numId w:val="9"/>
                              </w:numPr>
                            </w:pPr>
                            <w:r w:rsidRPr="001F7104">
                              <w:rPr>
                                <w:b/>
                                <w:color w:val="000000"/>
                              </w:rPr>
                              <w:t>Methods to be used to collect</w:t>
                            </w:r>
                            <w:r w:rsidRPr="001F7104">
                              <w:rPr>
                                <w:color w:val="000000"/>
                              </w:rPr>
                              <w:t xml:space="preserve">: </w:t>
                            </w:r>
                            <w:r>
                              <w:t xml:space="preserve">As required by regulation, all instances of communicable disease characterized by certain signs and symptoms must be reported to the local health authority with jurisdiction over the arrival port.  CDC has accepted reports to CDC as fulfilling this requirement.  CDC also requests reports of all deaths occurring during domestic flights. </w:t>
                            </w:r>
                          </w:p>
                          <w:p w:rsidR="001F7104" w:rsidP="001F7104" w:rsidRDefault="001F7104" w14:paraId="25D80904" w14:textId="77777777">
                            <w:pPr>
                              <w:pStyle w:val="ListParagraph"/>
                              <w:numPr>
                                <w:ilvl w:val="0"/>
                                <w:numId w:val="9"/>
                              </w:numPr>
                            </w:pPr>
                            <w:r>
                              <w:rPr>
                                <w:b/>
                                <w:bCs/>
                              </w:rPr>
                              <w:t>Intended use of the resulting data:</w:t>
                            </w:r>
                            <w:r>
                              <w:t xml:space="preserve"> The intended use of the information is to ensure that CDC can assess and respond to reports of communicable disease or death that occur on conveyances engaged in interstate travel, and assist state and local health authorities if an illness or death occurs that poses a risk to public health. </w:t>
                            </w:r>
                          </w:p>
                          <w:p w:rsidR="001F7104" w:rsidP="001F7104" w:rsidRDefault="001F7104" w14:paraId="6BDEA987" w14:textId="77777777">
                            <w:pPr>
                              <w:numPr>
                                <w:ilvl w:val="0"/>
                                <w:numId w:val="9"/>
                              </w:numPr>
                              <w:autoSpaceDE w:val="0"/>
                              <w:autoSpaceDN w:val="0"/>
                              <w:adjustRightInd w:val="0"/>
                            </w:pPr>
                            <w:r>
                              <w:rPr>
                                <w:b/>
                                <w:bCs/>
                              </w:rPr>
                              <w:t xml:space="preserve">The subpopulation to be studied: </w:t>
                            </w:r>
                            <w:r>
                              <w:t xml:space="preserve">There is no subpopulation being studied. The universe of respondents for required reports of communicable disease and requested reports of death is any master of any vessel or person in charge of any conveyance engaged in U.S. interstate traffic. </w:t>
                            </w:r>
                          </w:p>
                          <w:p w:rsidRPr="008117B6" w:rsidR="001F7104" w:rsidP="001F7104" w:rsidRDefault="001F7104" w14:paraId="581AA065" w14:textId="77777777">
                            <w:pPr>
                              <w:numPr>
                                <w:ilvl w:val="0"/>
                                <w:numId w:val="9"/>
                              </w:numPr>
                              <w:autoSpaceDE w:val="0"/>
                              <w:autoSpaceDN w:val="0"/>
                              <w:adjustRightInd w:val="0"/>
                              <w:rPr>
                                <w:rFonts w:ascii="CourierStd" w:hAnsi="CourierStd" w:cs="CourierStd"/>
                              </w:rPr>
                            </w:pPr>
                            <w:r w:rsidRPr="001F7104">
                              <w:rPr>
                                <w:b/>
                                <w:bCs/>
                              </w:rPr>
                              <w:t>How the data will be analyzed:</w:t>
                            </w:r>
                            <w:r>
                              <w:t xml:space="preserve"> Data will be analyzed to ensure compliance with regulations; however, there is no predetermined methodology to analyze illness or death reporting.</w:t>
                            </w:r>
                          </w:p>
                          <w:p w:rsidRPr="008117B6" w:rsidR="00340131" w:rsidP="001F7104" w:rsidRDefault="00340131" w14:paraId="10882261" w14:textId="77777777">
                            <w:pPr>
                              <w:autoSpaceDE w:val="0"/>
                              <w:autoSpaceDN w:val="0"/>
                              <w:adjustRightInd w:val="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EEE755">
                <v:stroke joinstyle="miter"/>
                <v:path gradientshapeok="t" o:connecttype="rect"/>
              </v:shapetype>
              <v:shape id="Text Box 2" style="position:absolute;margin-left:-1.5pt;margin-top:19.8pt;width:431.45pt;height:38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">
                <v:textbox>
                  <w:txbxContent>
                    <w:p w:rsidR="001F7104" w:rsidP="001F7104" w:rsidRDefault="001F7104" w14:paraId="63967DEC" w14:textId="77777777">
                      <w:pPr>
                        <w:numPr>
                          <w:ilvl w:val="0"/>
                          <w:numId w:val="9"/>
                        </w:numPr>
                        <w:autoSpaceDE w:val="0"/>
                        <w:autoSpaceDN w:val="0"/>
                        <w:adjustRightInd w:val="0"/>
                      </w:pPr>
                      <w:r w:rsidRPr="001F7104">
                        <w:rPr>
                          <w:b/>
                          <w:color w:val="000000"/>
                        </w:rPr>
                        <w:t>Goal of the project</w:t>
                      </w:r>
                      <w:r w:rsidRPr="001F7104">
                        <w:rPr>
                          <w:color w:val="000000"/>
                        </w:rPr>
                        <w:t xml:space="preserve">: </w:t>
                      </w:r>
                      <w:r>
                        <w:t xml:space="preserve">The goal of this information collection is to ensure that CDC can collect data related to communicable disease or deaths that occur aboard conveyances during interstate travel within the United States, as authorized under 42 Code of Federal Regulations part 70. </w:t>
                      </w:r>
                    </w:p>
                    <w:p w:rsidR="001F7104" w:rsidP="001F7104" w:rsidRDefault="001F7104" w14:paraId="1F69A79E" w14:textId="77777777">
                      <w:pPr>
                        <w:numPr>
                          <w:ilvl w:val="0"/>
                          <w:numId w:val="9"/>
                        </w:numPr>
                        <w:autoSpaceDE w:val="0"/>
                        <w:autoSpaceDN w:val="0"/>
                        <w:adjustRightInd w:val="0"/>
                      </w:pPr>
                      <w:r w:rsidRPr="001F7104">
                        <w:rPr>
                          <w:b/>
                          <w:color w:val="000000"/>
                        </w:rPr>
                        <w:t>Intended use of the resulting data</w:t>
                      </w:r>
                      <w:r w:rsidRPr="001F7104">
                        <w:rPr>
                          <w:color w:val="000000"/>
                        </w:rPr>
                        <w:t xml:space="preserve">: </w:t>
                      </w:r>
                      <w:r>
                        <w:t>The intended use of the information is to ensure that CDC can assess and respond to reports of communicable disease or death that occur on conveyances engaged in interstate travel, and assist state and local health authorities if an illness or death occurs that poses a risk to public health.</w:t>
                      </w:r>
                    </w:p>
                    <w:p w:rsidR="001F7104" w:rsidP="001F7104" w:rsidRDefault="001F7104" w14:paraId="33502CEB" w14:textId="77777777">
                      <w:pPr>
                        <w:pStyle w:val="ListParagraph"/>
                        <w:numPr>
                          <w:ilvl w:val="0"/>
                          <w:numId w:val="9"/>
                        </w:numPr>
                      </w:pPr>
                      <w:r w:rsidRPr="001F7104">
                        <w:rPr>
                          <w:b/>
                          <w:color w:val="000000"/>
                        </w:rPr>
                        <w:t>Methods to be used to collect</w:t>
                      </w:r>
                      <w:r w:rsidRPr="001F7104">
                        <w:rPr>
                          <w:color w:val="000000"/>
                        </w:rPr>
                        <w:t xml:space="preserve">: </w:t>
                      </w:r>
                      <w:r>
                        <w:t xml:space="preserve">As required by regulation, all instances of communicable disease characterized by certain signs and symptoms must be reported to the local health authority with jurisdiction over the arrival port.  CDC has accepted reports to CDC as fulfilling this requirement.  CDC also requests reports of all deaths occurring during domestic flights. </w:t>
                      </w:r>
                    </w:p>
                    <w:p w:rsidR="001F7104" w:rsidP="001F7104" w:rsidRDefault="001F7104" w14:paraId="25D80904" w14:textId="77777777">
                      <w:pPr>
                        <w:pStyle w:val="ListParagraph"/>
                        <w:numPr>
                          <w:ilvl w:val="0"/>
                          <w:numId w:val="9"/>
                        </w:numPr>
                      </w:pPr>
                      <w:r>
                        <w:rPr>
                          <w:b/>
                          <w:bCs/>
                        </w:rPr>
                        <w:t>Intended use of the resulting data:</w:t>
                      </w:r>
                      <w:r>
                        <w:t xml:space="preserve"> The intended use of the information is to ensure that CDC can assess and respond to reports of communicable disease or death that occur on conveyances engaged in interstate travel, and assist state and local health authorities if an illness or death occurs that poses a risk to public health. </w:t>
                      </w:r>
                    </w:p>
                    <w:p w:rsidR="001F7104" w:rsidP="001F7104" w:rsidRDefault="001F7104" w14:paraId="6BDEA987" w14:textId="77777777">
                      <w:pPr>
                        <w:numPr>
                          <w:ilvl w:val="0"/>
                          <w:numId w:val="9"/>
                        </w:numPr>
                        <w:autoSpaceDE w:val="0"/>
                        <w:autoSpaceDN w:val="0"/>
                        <w:adjustRightInd w:val="0"/>
                      </w:pPr>
                      <w:r>
                        <w:rPr>
                          <w:b/>
                          <w:bCs/>
                        </w:rPr>
                        <w:t xml:space="preserve">The subpopulation to be studied: </w:t>
                      </w:r>
                      <w:r>
                        <w:t xml:space="preserve">There is no subpopulation being studied. The universe of respondents for required reports of communicable disease and requested reports of death is any master of any vessel or person in charge of any conveyance engaged in U.S. interstate traffic. </w:t>
                      </w:r>
                    </w:p>
                    <w:p w:rsidRPr="008117B6" w:rsidR="001F7104" w:rsidP="001F7104" w:rsidRDefault="001F7104" w14:paraId="581AA065" w14:textId="77777777">
                      <w:pPr>
                        <w:numPr>
                          <w:ilvl w:val="0"/>
                          <w:numId w:val="9"/>
                        </w:numPr>
                        <w:autoSpaceDE w:val="0"/>
                        <w:autoSpaceDN w:val="0"/>
                        <w:adjustRightInd w:val="0"/>
                        <w:rPr>
                          <w:rFonts w:ascii="CourierStd" w:hAnsi="CourierStd" w:cs="CourierStd"/>
                        </w:rPr>
                      </w:pPr>
                      <w:r w:rsidRPr="001F7104">
                        <w:rPr>
                          <w:b/>
                          <w:bCs/>
                        </w:rPr>
                        <w:t>How the data will be analyzed:</w:t>
                      </w:r>
                      <w:r>
                        <w:t xml:space="preserve"> Data will be analyzed to ensure compliance with regulations; however, there is no predetermined methodology to analyze illness or death reporting.</w:t>
                      </w:r>
                    </w:p>
                    <w:p w:rsidRPr="008117B6" w:rsidR="00340131" w:rsidP="001F7104" w:rsidRDefault="00340131" w14:paraId="10882261" w14:textId="77777777">
                      <w:pPr>
                        <w:autoSpaceDE w:val="0"/>
                        <w:autoSpaceDN w:val="0"/>
                        <w:adjustRightInd w:val="0"/>
                      </w:pPr>
                    </w:p>
                  </w:txbxContent>
                </v:textbox>
                <w10:wrap type="square"/>
              </v:shape>
            </w:pict>
          </mc:Fallback>
        </mc:AlternateContent>
      </w:r>
    </w:p>
    <w:p w:rsidRPr="00AB68D8" w:rsidR="00B10733" w:rsidP="00480C84" w:rsidRDefault="00B10733" w14:paraId="490DE07D" w14:textId="77777777"/>
    <w:p w:rsidRPr="00AB68D8" w:rsidR="009D17B7" w:rsidP="0025478E" w:rsidRDefault="002E4525" w14:paraId="346A0788" w14:textId="77777777">
      <w:r w:rsidRPr="00AB68D8">
        <w:t xml:space="preserve">This is a request for a revision of the currently approved Information Collection Request (ICR), OMB Control </w:t>
      </w:r>
      <w:r w:rsidRPr="00AB68D8" w:rsidR="005D03B0">
        <w:t xml:space="preserve">Number 0920-0488, expiring </w:t>
      </w:r>
      <w:r w:rsidRPr="00AB68D8" w:rsidR="001F7104">
        <w:t>June 30, 2022</w:t>
      </w:r>
      <w:r w:rsidRPr="00AB68D8" w:rsidR="002F6101">
        <w:t xml:space="preserve">. </w:t>
      </w:r>
      <w:r w:rsidRPr="00AB68D8" w:rsidR="00480C84">
        <w:t xml:space="preserve">CDC is requesting approval for three years. </w:t>
      </w:r>
    </w:p>
    <w:p w:rsidRPr="00AB68D8" w:rsidR="00A643CD" w:rsidP="00886761" w:rsidRDefault="00A643CD" w14:paraId="62AFCA5D" w14:textId="77777777">
      <w:bookmarkStart w:name="_Toc428877076" w:id="4"/>
    </w:p>
    <w:p w:rsidRPr="00AB68D8" w:rsidR="001F08A2" w:rsidP="00886761" w:rsidRDefault="001F08A2" w14:paraId="0CF34973" w14:textId="77777777">
      <w:r w:rsidRPr="00AB68D8">
        <w:t>A. Justification</w:t>
      </w:r>
      <w:bookmarkEnd w:id="4"/>
    </w:p>
    <w:p w:rsidRPr="00AB68D8" w:rsidR="006753DE" w:rsidP="002F6101" w:rsidRDefault="006753DE" w14:paraId="6C557753" w14:textId="77777777">
      <w:pPr>
        <w:pStyle w:val="Heading1"/>
      </w:pPr>
      <w:bookmarkStart w:name="_Toc428877077" w:id="5"/>
      <w:r w:rsidRPr="00AB68D8">
        <w:t xml:space="preserve">1. </w:t>
      </w:r>
      <w:r w:rsidRPr="00AB68D8" w:rsidR="001F08A2">
        <w:t>Circumstances Making the Collection of Information Necessary</w:t>
      </w:r>
      <w:bookmarkEnd w:id="5"/>
    </w:p>
    <w:p w:rsidRPr="00AB68D8" w:rsidR="006753DE" w:rsidP="00F21AEB" w:rsidRDefault="006753DE" w14:paraId="25CF8DFC" w14:textId="77777777">
      <w:pPr>
        <w:rPr>
          <w:b/>
        </w:rPr>
      </w:pPr>
    </w:p>
    <w:p w:rsidRPr="00AB68D8" w:rsidR="001F08A2" w:rsidP="001F08A2" w:rsidRDefault="001F08A2" w14:paraId="2686C681" w14:textId="77777777">
      <w:bookmarkStart w:name="_Hlk106885861" w:id="6"/>
      <w:r w:rsidRPr="00AB68D8">
        <w:t xml:space="preserve">Section 361 of the Public Health Service Act (42 USC 264) (Attachment </w:t>
      </w:r>
      <w:r w:rsidRPr="00AB68D8" w:rsidR="001F7104">
        <w:t>A1</w:t>
      </w:r>
      <w:r w:rsidRPr="00AB68D8">
        <w:t>) authorizes the Secretary of the Department of Health and Human Services to make and enforce regulations necessary to prevent the introduction, transmission, or spread of communicable diseases from foreign countries into the United States, or from one State or possession into any other State or possession.  Regulations pertaining to preventing the importation and spread of communicable diseases from</w:t>
      </w:r>
      <w:r w:rsidRPr="00AB68D8" w:rsidR="00DB004F">
        <w:t xml:space="preserve"> foreign countries (42 CFR </w:t>
      </w:r>
      <w:r w:rsidRPr="00AB68D8" w:rsidR="002C7E86">
        <w:t>p</w:t>
      </w:r>
      <w:r w:rsidRPr="00AB68D8" w:rsidR="00DB004F">
        <w:t>art 71</w:t>
      </w:r>
      <w:r w:rsidRPr="00AB68D8" w:rsidR="000F44C5">
        <w:t xml:space="preserve"> Attachment </w:t>
      </w:r>
      <w:r w:rsidRPr="00AB68D8" w:rsidR="001F7104">
        <w:t>A2</w:t>
      </w:r>
      <w:r w:rsidRPr="00AB68D8" w:rsidR="00DB004F">
        <w:t xml:space="preserve">) are administered by the Centers for Disease Control and Prevention </w:t>
      </w:r>
      <w:r w:rsidRPr="00AB68D8" w:rsidR="00DB004F">
        <w:lastRenderedPageBreak/>
        <w:t xml:space="preserve">(CDC).  Regulations pertaining to interstate control of communicable diseases (42 CFR </w:t>
      </w:r>
      <w:r w:rsidRPr="00AB68D8" w:rsidR="002C7E86">
        <w:t>p</w:t>
      </w:r>
      <w:r w:rsidRPr="00AB68D8" w:rsidR="00DB004F">
        <w:t xml:space="preserve">art 70) (Attachment </w:t>
      </w:r>
      <w:r w:rsidRPr="00AB68D8" w:rsidR="001F7104">
        <w:t>A3</w:t>
      </w:r>
      <w:r w:rsidRPr="00AB68D8" w:rsidR="00DB004F">
        <w:t>) are also administered by CDC.</w:t>
      </w:r>
    </w:p>
    <w:p w:rsidRPr="00AB68D8" w:rsidR="00DB004F" w:rsidP="001F08A2" w:rsidRDefault="00DB004F" w14:paraId="1B7A010E" w14:textId="77777777"/>
    <w:p w:rsidRPr="00AB68D8" w:rsidR="00D267DD" w:rsidP="001F08A2" w:rsidRDefault="002C7E86" w14:paraId="328746C9" w14:textId="77777777">
      <w:r w:rsidRPr="00AB68D8">
        <w:t>Regulations found at 42 CFR p</w:t>
      </w:r>
      <w:r w:rsidRPr="00AB68D8" w:rsidR="00DB004F">
        <w:t>art 70</w:t>
      </w:r>
      <w:r w:rsidRPr="00AB68D8" w:rsidR="000F44C5">
        <w:t>.4</w:t>
      </w:r>
      <w:r w:rsidRPr="00AB68D8" w:rsidR="00DB004F">
        <w:t xml:space="preserve"> require that the master of a vessel or a person in charge of a conveyance engaged in interstate traffic, on which a suspected case of communicable disease develops shall notify the local health authority at the next port of call, station, or stop, and take such measures to prevent the spread of the disease as the local health authority directs.</w:t>
      </w:r>
      <w:r w:rsidRPr="00AB68D8">
        <w:t xml:space="preserve"> </w:t>
      </w:r>
      <w:r w:rsidR="00AB4010">
        <w:t xml:space="preserve">There is no standard form, however CDC posts guidance for airlines related to these regulations on CDC’s website: </w:t>
      </w:r>
      <w:hyperlink w:history="1" r:id="rId9">
        <w:r w:rsidRPr="0061346E" w:rsidR="00AB4010">
          <w:rPr>
            <w:rStyle w:val="Hyperlink"/>
          </w:rPr>
          <w:t>https://www.cdc.gov/quarantine/air/reporting-de</w:t>
        </w:r>
        <w:r w:rsidRPr="0061346E" w:rsidR="00AB4010">
          <w:rPr>
            <w:rStyle w:val="Hyperlink"/>
          </w:rPr>
          <w:t>a</w:t>
        </w:r>
        <w:r w:rsidRPr="0061346E" w:rsidR="00AB4010">
          <w:rPr>
            <w:rStyle w:val="Hyperlink"/>
          </w:rPr>
          <w:t>ths-illness/guidance-reporting-onboard-deaths-illnesses.html</w:t>
        </w:r>
      </w:hyperlink>
      <w:r w:rsidR="00AB4010">
        <w:t xml:space="preserve"> </w:t>
      </w:r>
    </w:p>
    <w:p w:rsidRPr="00AB68D8" w:rsidR="00D267DD" w:rsidP="001F08A2" w:rsidRDefault="00D267DD" w14:paraId="0AB3588D" w14:textId="77777777"/>
    <w:p w:rsidRPr="00AB68D8" w:rsidR="00D267DD" w:rsidP="00D267DD" w:rsidRDefault="001F7104" w14:paraId="1D58D04C" w14:textId="77777777">
      <w:r w:rsidRPr="00AB68D8">
        <w:t>S</w:t>
      </w:r>
      <w:r w:rsidRPr="00AB68D8" w:rsidR="005D03B0">
        <w:t>ection 70.11</w:t>
      </w:r>
      <w:r w:rsidRPr="00AB68D8" w:rsidR="00D267DD">
        <w:t xml:space="preserve"> Report of death or illness onboard aircraft operated by an airline</w:t>
      </w:r>
      <w:r w:rsidRPr="00AB68D8">
        <w:t xml:space="preserve"> </w:t>
      </w:r>
      <w:r w:rsidRPr="00AB68D8" w:rsidR="00D267DD">
        <w:t xml:space="preserve">states: </w:t>
      </w:r>
    </w:p>
    <w:p w:rsidRPr="00AB68D8" w:rsidR="00D267DD" w:rsidP="00D267DD" w:rsidRDefault="00D267DD" w14:paraId="733BBA7D" w14:textId="77777777"/>
    <w:p w:rsidRPr="00AB68D8" w:rsidR="00D267DD" w:rsidP="003821DA" w:rsidRDefault="00D267DD" w14:paraId="556E472B" w14:textId="77777777">
      <w:pPr>
        <w:ind w:left="720"/>
      </w:pPr>
      <w:r w:rsidRPr="00AB68D8">
        <w:t>(a) The pilot in command of an aircraft operated by an airline who is conducting a commercial passenger flight in interstate traffic under a regular schedule shall report as soon as practicable to the Director the occurrence onboard of any deaths or the presence of ill persons among passengers or crew and take such measures as the Director may direct to prevent the potential spread of the communicable disease, provided that such measures do not affect the airworthiness of the aircraft or the safety of flight operations.</w:t>
      </w:r>
    </w:p>
    <w:p w:rsidRPr="00AB68D8" w:rsidR="00D267DD" w:rsidP="00D267DD" w:rsidRDefault="00D267DD" w14:paraId="02AD1CE8" w14:textId="77777777"/>
    <w:p w:rsidRPr="00AB68D8" w:rsidR="005D03B0" w:rsidP="003821DA" w:rsidRDefault="00D267DD" w14:paraId="463AB36B" w14:textId="77777777">
      <w:pPr>
        <w:ind w:left="720"/>
      </w:pPr>
      <w:r w:rsidRPr="00AB68D8">
        <w:t>(b) The pilot in command of an aircraft operated by an airline who reports in accordance with paragraph (a) of this section shall be deemed to satisfy the reporting obligation under 42 CFR 70.4.</w:t>
      </w:r>
    </w:p>
    <w:p w:rsidRPr="00AB68D8" w:rsidR="005D03B0" w:rsidP="001F08A2" w:rsidRDefault="005D03B0" w14:paraId="5501E01F" w14:textId="77777777"/>
    <w:p w:rsidRPr="00AB68D8" w:rsidR="00D26DA5" w:rsidP="001F08A2" w:rsidRDefault="00D267DD" w14:paraId="43FFE459" w14:textId="77777777">
      <w:r w:rsidRPr="00AB68D8">
        <w:t>For the purposes of these regulations, ill person means an individual who:</w:t>
      </w:r>
    </w:p>
    <w:p w:rsidRPr="00AB68D8" w:rsidR="00D267DD" w:rsidP="00D267DD" w:rsidRDefault="00D267DD" w14:paraId="4AE7F110" w14:textId="77777777"/>
    <w:p w:rsidRPr="00AB68D8" w:rsidR="00D267DD" w:rsidP="003821DA" w:rsidRDefault="00D267DD" w14:paraId="3F17DEA2" w14:textId="77777777">
      <w:pPr>
        <w:ind w:left="720"/>
      </w:pPr>
      <w:r w:rsidRPr="00AB68D8">
        <w:t>(1) Has a fever (a measured temperature of 100.4 °F [38 °C] or greater, or feels warm to the touch, or gives a history of feeling feverish) accompanied by one or more of the following: Skin rash, difficulty breathing, persistent cough, decreased consciousness or confusion of recent onset, new unexplained bruising or bleeding (without previous injury), persistent diarrhea, persistent vomiting (other than air sickness), headache with stiff neck, appears obviously unwell; or</w:t>
      </w:r>
    </w:p>
    <w:p w:rsidRPr="00AB68D8" w:rsidR="00D267DD" w:rsidP="00D267DD" w:rsidRDefault="00D267DD" w14:paraId="11C4D54E" w14:textId="77777777"/>
    <w:p w:rsidRPr="00AB68D8" w:rsidR="00D267DD" w:rsidP="003821DA" w:rsidRDefault="00D267DD" w14:paraId="4737CCC1" w14:textId="77777777">
      <w:pPr>
        <w:ind w:firstLine="720"/>
      </w:pPr>
      <w:r w:rsidRPr="00AB68D8">
        <w:t>(2) Has a fever that has persisted for more than 48 hours; or</w:t>
      </w:r>
    </w:p>
    <w:p w:rsidRPr="00AB68D8" w:rsidR="00D267DD" w:rsidP="00D267DD" w:rsidRDefault="00D267DD" w14:paraId="42B6E387" w14:textId="77777777"/>
    <w:p w:rsidRPr="00AB68D8" w:rsidR="00D26DA5" w:rsidP="003821DA" w:rsidRDefault="00D267DD" w14:paraId="7D437C98" w14:textId="77777777">
      <w:pPr>
        <w:ind w:left="720"/>
      </w:pPr>
      <w:r w:rsidRPr="00AB68D8">
        <w:t>(3) Has symptoms or other indications of communicable disease, as the CDC may announce through posting of a notice in the Federal Register.</w:t>
      </w:r>
    </w:p>
    <w:bookmarkEnd w:id="6"/>
    <w:p w:rsidRPr="00AB68D8" w:rsidR="003821DA" w:rsidP="00D267DD" w:rsidRDefault="003821DA" w14:paraId="210FC928" w14:textId="77777777"/>
    <w:p w:rsidRPr="00AB68D8" w:rsidR="008C1C4A" w:rsidP="002F6101" w:rsidRDefault="008C1C4A" w14:paraId="75A4D9C5" w14:textId="77777777">
      <w:pPr>
        <w:pStyle w:val="Heading1"/>
      </w:pPr>
      <w:bookmarkStart w:name="_Toc428877078" w:id="7"/>
      <w:r w:rsidRPr="00AB68D8">
        <w:t>2.  Purpose and Use of Information Collection</w:t>
      </w:r>
      <w:bookmarkEnd w:id="7"/>
    </w:p>
    <w:p w:rsidRPr="00AB68D8" w:rsidR="008C1C4A" w:rsidP="001F08A2" w:rsidRDefault="008C1C4A" w14:paraId="50435D64" w14:textId="77777777"/>
    <w:p w:rsidRPr="00AB68D8" w:rsidR="00E04218" w:rsidP="001F08A2" w:rsidRDefault="008C1C4A" w14:paraId="4362A4DD" w14:textId="77777777">
      <w:bookmarkStart w:name="_Hlk106886005" w:id="8"/>
      <w:r w:rsidRPr="00AB68D8">
        <w:t xml:space="preserve">Control of disease transmission within the </w:t>
      </w:r>
      <w:smartTag w:uri="urn:schemas-microsoft-com:office:smarttags" w:element="country-region">
        <w:r w:rsidRPr="00AB68D8">
          <w:t>United States</w:t>
        </w:r>
      </w:smartTag>
      <w:r w:rsidRPr="00AB68D8">
        <w:t xml:space="preserve"> is largely considered to be the </w:t>
      </w:r>
      <w:smartTag w:uri="urn:schemas-microsoft-com:office:smarttags" w:element="place">
        <w:smartTag w:uri="urn:schemas-microsoft-com:office:smarttags" w:element="PlaceType">
          <w:r w:rsidRPr="00AB68D8">
            <w:t>province</w:t>
          </w:r>
        </w:smartTag>
        <w:r w:rsidRPr="00AB68D8">
          <w:t xml:space="preserve"> of </w:t>
        </w:r>
        <w:smartTag w:uri="urn:schemas-microsoft-com:office:smarttags" w:element="PlaceName">
          <w:r w:rsidRPr="00AB68D8">
            <w:t>State</w:t>
          </w:r>
        </w:smartTag>
      </w:smartTag>
      <w:r w:rsidRPr="00AB68D8">
        <w:t xml:space="preserve"> and local health authorities, with Federal assistance being sought by those authorities on a cooperative basis, without application of Federal regulations.  The regulations at 42 CFR Part 70 were developed to facilitate Federal action in the event of large outbreaks requiring a coordinated effort involving several States, or in the event in inadequate local control.  While it is not known whether, or to what extent, situations </w:t>
      </w:r>
      <w:r w:rsidRPr="00AB68D8">
        <w:lastRenderedPageBreak/>
        <w:t xml:space="preserve">may arise in which these regulations would be invoked, contingency planning for domestic emergency preparedness is not uncommon.  If a domestic emergency occurs, the reporting and record keeping requirements contained in the regulations will be used by CDC to carry out quarantine responsibilities as required by law, specifically, to prevent the spread of communicable diseases from one State or possession into any other State or possession.  </w:t>
      </w:r>
    </w:p>
    <w:p w:rsidRPr="00AB68D8" w:rsidR="00E04218" w:rsidP="001F08A2" w:rsidRDefault="00E04218" w14:paraId="3A5B7C77" w14:textId="77777777"/>
    <w:p w:rsidRPr="00AB68D8" w:rsidR="00EC1E12" w:rsidP="001F08A2" w:rsidRDefault="00EC1E12" w14:paraId="62C2B453" w14:textId="77777777">
      <w:r w:rsidRPr="00AB68D8">
        <w:t xml:space="preserve">The data collected under 70.4 </w:t>
      </w:r>
      <w:r w:rsidRPr="00AB68D8" w:rsidR="005D44D3">
        <w:t xml:space="preserve">and 70.11 </w:t>
      </w:r>
      <w:r w:rsidRPr="00AB68D8">
        <w:t xml:space="preserve">is also a critical part of </w:t>
      </w:r>
      <w:r w:rsidRPr="00AB68D8" w:rsidR="00914D38">
        <w:t xml:space="preserve">CDC’s </w:t>
      </w:r>
      <w:r w:rsidRPr="00AB68D8">
        <w:t xml:space="preserve">routine </w:t>
      </w:r>
      <w:r w:rsidRPr="00AB68D8" w:rsidR="00914D38">
        <w:t xml:space="preserve">and emergency response </w:t>
      </w:r>
      <w:r w:rsidRPr="00AB68D8">
        <w:t>operations</w:t>
      </w:r>
      <w:r w:rsidRPr="00AB68D8" w:rsidR="00B464B2">
        <w:t>. It</w:t>
      </w:r>
      <w:r w:rsidRPr="00AB68D8">
        <w:t xml:space="preserve"> </w:t>
      </w:r>
      <w:r w:rsidRPr="00AB68D8" w:rsidR="00B464B2">
        <w:t>involves</w:t>
      </w:r>
      <w:r w:rsidRPr="00AB68D8" w:rsidR="00E04218">
        <w:t xml:space="preserve"> the</w:t>
      </w:r>
      <w:r w:rsidRPr="00AB68D8" w:rsidR="00016507">
        <w:t xml:space="preserve"> </w:t>
      </w:r>
      <w:r w:rsidRPr="00AB68D8" w:rsidR="00976E54">
        <w:t xml:space="preserve">collection </w:t>
      </w:r>
      <w:r w:rsidRPr="00AB68D8" w:rsidR="00016507">
        <w:t xml:space="preserve">of </w:t>
      </w:r>
      <w:r w:rsidRPr="00AB68D8" w:rsidR="00976E54">
        <w:t>reports of illness</w:t>
      </w:r>
      <w:r w:rsidRPr="00AB68D8" w:rsidR="00016507">
        <w:t>es</w:t>
      </w:r>
      <w:r w:rsidRPr="00AB68D8" w:rsidR="00976E54">
        <w:t xml:space="preserve"> that</w:t>
      </w:r>
      <w:r w:rsidRPr="00AB68D8" w:rsidR="00016507">
        <w:t xml:space="preserve"> occur</w:t>
      </w:r>
      <w:r w:rsidRPr="00AB68D8">
        <w:t xml:space="preserve"> aboard domestic flights</w:t>
      </w:r>
      <w:r w:rsidRPr="00AB68D8" w:rsidR="00130AE1">
        <w:t xml:space="preserve"> or maritime voyages</w:t>
      </w:r>
      <w:r w:rsidRPr="00AB68D8" w:rsidR="007D21E2">
        <w:t xml:space="preserve"> within the U.S</w:t>
      </w:r>
      <w:r w:rsidRPr="00AB68D8" w:rsidR="004D0572">
        <w:t xml:space="preserve">.  </w:t>
      </w:r>
      <w:r w:rsidRPr="00AB68D8" w:rsidR="00E04218">
        <w:t xml:space="preserve">For routine reports of illness aboard domestic </w:t>
      </w:r>
      <w:r w:rsidRPr="00AB68D8" w:rsidR="00130AE1">
        <w:t xml:space="preserve">voyages airplane captains </w:t>
      </w:r>
      <w:r w:rsidRPr="00AB68D8" w:rsidR="00E17510">
        <w:t>will continue to report ele</w:t>
      </w:r>
      <w:r w:rsidRPr="00AB68D8" w:rsidR="005B3E1A">
        <w:t>ctronical</w:t>
      </w:r>
      <w:r w:rsidRPr="00AB68D8" w:rsidR="000F44C5">
        <w:t xml:space="preserve">ly </w:t>
      </w:r>
      <w:r w:rsidR="00FE0323">
        <w:t>(</w:t>
      </w:r>
      <w:r w:rsidRPr="00AB68D8" w:rsidR="00FE0323">
        <w:t xml:space="preserve">e.g. </w:t>
      </w:r>
      <w:r w:rsidR="00FE0323">
        <w:t xml:space="preserve">verbally </w:t>
      </w:r>
      <w:r w:rsidRPr="00AB68D8" w:rsidR="00FE0323">
        <w:t xml:space="preserve">via </w:t>
      </w:r>
      <w:r w:rsidR="00FE0323">
        <w:t xml:space="preserve">radio to </w:t>
      </w:r>
      <w:r w:rsidRPr="00AB68D8" w:rsidR="00FE0323">
        <w:t xml:space="preserve">Air Traffic Control or the airlines’ points of contact </w:t>
      </w:r>
      <w:r w:rsidR="00FE0323">
        <w:t>[</w:t>
      </w:r>
      <w:r w:rsidRPr="00AB68D8" w:rsidR="00FE0323">
        <w:t>e.g., Operations Center, Flight Control, Airline Station Manager</w:t>
      </w:r>
      <w:r w:rsidR="00FE0323">
        <w:t>])</w:t>
      </w:r>
      <w:r w:rsidRPr="00AB68D8" w:rsidR="000F44C5">
        <w:t>.</w:t>
      </w:r>
      <w:r w:rsidRPr="00AB68D8" w:rsidR="00C26821">
        <w:t xml:space="preserve">  </w:t>
      </w:r>
      <w:r w:rsidRPr="00AB68D8" w:rsidR="00973E8D">
        <w:t>Masters of maritime vessels engaged in interstate travel may report via email or other electronic method.</w:t>
      </w:r>
    </w:p>
    <w:p w:rsidRPr="00AB68D8" w:rsidR="00D26DA5" w:rsidP="001F08A2" w:rsidRDefault="00D26DA5" w14:paraId="628CBED9" w14:textId="77777777"/>
    <w:p w:rsidRPr="00AB68D8" w:rsidR="008C1C4A" w:rsidP="003059CE" w:rsidRDefault="008C1C4A" w14:paraId="4C827DD9" w14:textId="77777777">
      <w:r w:rsidRPr="00AB68D8">
        <w:t xml:space="preserve">The </w:t>
      </w:r>
      <w:r w:rsidRPr="00AB68D8" w:rsidR="00D26DA5">
        <w:t xml:space="preserve">reporting of required and requested signs and symptoms of disease outlined above, as well as any death, </w:t>
      </w:r>
      <w:r w:rsidRPr="00AB68D8">
        <w:t>is the minimum necessary to meet statutory</w:t>
      </w:r>
      <w:r w:rsidRPr="00AB68D8" w:rsidR="00D26DA5">
        <w:t xml:space="preserve"> and regulatory</w:t>
      </w:r>
      <w:r w:rsidRPr="00AB68D8">
        <w:t xml:space="preserve"> obligations</w:t>
      </w:r>
      <w:r w:rsidRPr="00AB68D8" w:rsidR="00D26DA5">
        <w:t xml:space="preserve">, and is consistent with </w:t>
      </w:r>
      <w:r w:rsidRPr="00AB68D8" w:rsidR="00EC13CE">
        <w:rPr>
          <w:rStyle w:val="Emphasis"/>
          <w:i w:val="0"/>
        </w:rPr>
        <w:t xml:space="preserve">International Civil Aviation Organization </w:t>
      </w:r>
      <w:r w:rsidR="00503D85">
        <w:rPr>
          <w:rStyle w:val="Emphasis"/>
          <w:i w:val="0"/>
        </w:rPr>
        <w:t>(</w:t>
      </w:r>
      <w:r w:rsidRPr="00AB68D8" w:rsidR="00D26DA5">
        <w:t>ICAO</w:t>
      </w:r>
      <w:r w:rsidR="00503D85">
        <w:t>)</w:t>
      </w:r>
      <w:r w:rsidRPr="00AB68D8" w:rsidR="00D26DA5">
        <w:t xml:space="preserve"> standards</w:t>
      </w:r>
      <w:r w:rsidRPr="00AB68D8" w:rsidR="00210E16">
        <w:t xml:space="preserve"> for aircraft</w:t>
      </w:r>
      <w:r w:rsidRPr="00AB68D8" w:rsidR="007C4B70">
        <w:t xml:space="preserve">. </w:t>
      </w:r>
    </w:p>
    <w:p w:rsidRPr="00AB68D8" w:rsidR="008D1E18" w:rsidP="002F6101" w:rsidRDefault="008D1E18" w14:paraId="4522C0B4" w14:textId="77777777">
      <w:pPr>
        <w:pStyle w:val="Heading1"/>
      </w:pPr>
      <w:bookmarkStart w:name="_Toc428877079" w:id="9"/>
      <w:bookmarkEnd w:id="8"/>
      <w:r w:rsidRPr="00AB68D8">
        <w:t>3. Use of Improved Information Technology and Burden Reduction</w:t>
      </w:r>
      <w:bookmarkEnd w:id="9"/>
    </w:p>
    <w:p w:rsidRPr="00AB68D8" w:rsidR="008D1E18" w:rsidP="008D1E18" w:rsidRDefault="008D1E18" w14:paraId="61478F2F" w14:textId="77777777"/>
    <w:p w:rsidRPr="00AB68D8" w:rsidR="008D1E18" w:rsidP="008D1E18" w:rsidRDefault="00CD2100" w14:paraId="114CD718" w14:textId="77777777">
      <w:r w:rsidRPr="00AB68D8">
        <w:t xml:space="preserve">There are no standard forms associated with this information collection. </w:t>
      </w:r>
      <w:r w:rsidRPr="00AB68D8" w:rsidR="008D1E18">
        <w:t xml:space="preserve">Reporting requirements imposed by the regulations have been reduced and streamlined by reliance upon State and local health departments to manage most situations occurring within their jurisdictions.  If submission of information under these regulations becomes necessary, all information may be submitted in the most expeditious manner practical.  At this time, </w:t>
      </w:r>
      <w:r w:rsidRPr="00AB68D8" w:rsidR="00BF39B3">
        <w:t>all</w:t>
      </w:r>
      <w:r w:rsidRPr="00AB68D8" w:rsidR="00D26DA5">
        <w:t xml:space="preserve"> reporting of a communicable disease or death</w:t>
      </w:r>
      <w:r w:rsidRPr="00AB68D8" w:rsidR="00BB4CA2">
        <w:t xml:space="preserve"> is accomplished electronically, </w:t>
      </w:r>
      <w:r w:rsidR="00FE0323">
        <w:t>(</w:t>
      </w:r>
      <w:r w:rsidRPr="00AB68D8" w:rsidR="00BB4CA2">
        <w:t xml:space="preserve">e.g. </w:t>
      </w:r>
      <w:r w:rsidR="00FE0323">
        <w:t xml:space="preserve">verbally </w:t>
      </w:r>
      <w:r w:rsidRPr="00AB68D8" w:rsidR="00D26DA5">
        <w:t xml:space="preserve">via </w:t>
      </w:r>
      <w:r w:rsidR="00FE0323">
        <w:t xml:space="preserve">radio to </w:t>
      </w:r>
      <w:r w:rsidRPr="00AB68D8" w:rsidR="00D26DA5">
        <w:t>Air Traffic Control</w:t>
      </w:r>
      <w:r w:rsidRPr="00AB68D8" w:rsidR="00BF39B3">
        <w:t xml:space="preserve"> or the airlines’ points of contact </w:t>
      </w:r>
      <w:r w:rsidR="00FE0323">
        <w:t>[</w:t>
      </w:r>
      <w:r w:rsidRPr="00AB68D8" w:rsidR="00BF39B3">
        <w:t>e.g., Operations Center, Flight Control, Airline Station Manager</w:t>
      </w:r>
      <w:r w:rsidR="00FE0323">
        <w:t>]).</w:t>
      </w:r>
    </w:p>
    <w:p w:rsidRPr="00AB68D8" w:rsidR="00E64932" w:rsidP="008D1E18" w:rsidRDefault="00E64932" w14:paraId="4BE45F1A" w14:textId="77777777"/>
    <w:p w:rsidRPr="00AB68D8" w:rsidR="00E64932" w:rsidP="008D1E18" w:rsidRDefault="00E64932" w14:paraId="132148CE" w14:textId="77777777">
      <w:r w:rsidRPr="00AB68D8">
        <w:t xml:space="preserve">Reporting </w:t>
      </w:r>
      <w:r w:rsidRPr="00AB68D8" w:rsidR="00BB4CA2">
        <w:t xml:space="preserve">for domestic flights </w:t>
      </w:r>
      <w:r w:rsidRPr="00AB68D8">
        <w:t>should be consistent with International Civil Aviation Organization, which are as follows:</w:t>
      </w:r>
    </w:p>
    <w:p w:rsidRPr="00AB68D8" w:rsidR="00E64932" w:rsidP="008D1E18" w:rsidRDefault="00E64932" w14:paraId="7EF2D0F0" w14:textId="77777777"/>
    <w:p w:rsidRPr="00AB68D8" w:rsidR="00E64932" w:rsidP="00E64932" w:rsidRDefault="00E64932" w14:paraId="444679AE" w14:textId="77777777">
      <w:r w:rsidRPr="00AB68D8">
        <w:t>For aircraft outside U.S. airspace or for U.S. destination</w:t>
      </w:r>
    </w:p>
    <w:p w:rsidRPr="00AB68D8" w:rsidR="00E64932" w:rsidP="00E64932" w:rsidRDefault="00BF39B3" w14:paraId="5EB6D0AA" w14:textId="77777777">
      <w:r w:rsidRPr="00AB68D8">
        <w:rPr>
          <w:iCs/>
        </w:rPr>
        <w:t>Reports of communicable disease or death should be made in one of the two following ways</w:t>
      </w:r>
      <w:r w:rsidRPr="00AB68D8" w:rsidR="00E64932">
        <w:rPr>
          <w:iCs/>
        </w:rPr>
        <w:t>:</w:t>
      </w:r>
    </w:p>
    <w:p w:rsidRPr="00AB68D8" w:rsidR="002F6101" w:rsidP="002F6101" w:rsidRDefault="00E64932" w14:paraId="266FFC66" w14:textId="77777777">
      <w:pPr>
        <w:numPr>
          <w:ilvl w:val="0"/>
          <w:numId w:val="10"/>
        </w:numPr>
        <w:spacing w:before="100" w:beforeAutospacing="1" w:after="100" w:afterAutospacing="1"/>
        <w:rPr>
          <w:rStyle w:val="Strong"/>
          <w:b w:val="0"/>
          <w:bCs w:val="0"/>
        </w:rPr>
      </w:pPr>
      <w:r w:rsidRPr="00AB68D8">
        <w:rPr>
          <w:rStyle w:val="Strong"/>
        </w:rPr>
        <w:t>Air Traffic Control (ATC</w:t>
      </w:r>
      <w:r w:rsidRPr="00AB68D8" w:rsidR="007C4B70">
        <w:rPr>
          <w:rStyle w:val="Strong"/>
        </w:rPr>
        <w:t>)</w:t>
      </w:r>
      <w:r w:rsidRPr="00AB68D8">
        <w:br/>
      </w:r>
      <w:r w:rsidRPr="00AB68D8">
        <w:rPr>
          <w:rStyle w:val="Emphasis"/>
          <w:i w:val="0"/>
        </w:rPr>
        <w:t>[This reporting option complies with International Civil Aviation Organization (ICAO) reporting requirement, ICAO document 4444 and Annex 9, Ch. 8, 8.15.]</w:t>
      </w:r>
      <w:r w:rsidRPr="00AB68D8">
        <w:rPr>
          <w:i/>
        </w:rPr>
        <w:br/>
      </w:r>
      <w:r w:rsidRPr="00AB68D8">
        <w:rPr>
          <w:rStyle w:val="Emphasis"/>
          <w:i w:val="0"/>
        </w:rPr>
        <w:t xml:space="preserve">ATC will notify CDC’s Emergency Operations Center (EOC) through the Domestic Events Network; </w:t>
      </w:r>
      <w:bookmarkStart w:name="_Hlk106885005" w:id="10"/>
      <w:r w:rsidRPr="00AB68D8">
        <w:rPr>
          <w:rStyle w:val="Emphasis"/>
          <w:i w:val="0"/>
        </w:rPr>
        <w:t>the EOC will notify the appropriate CDC Quarantine Station of jurisdiction</w:t>
      </w:r>
      <w:r w:rsidR="00FE0323">
        <w:rPr>
          <w:rStyle w:val="Emphasis"/>
          <w:i w:val="0"/>
        </w:rPr>
        <w:t>, and the CDC Quarantine Station will inform the local health department if needed</w:t>
      </w:r>
      <w:r w:rsidRPr="00AB68D8">
        <w:rPr>
          <w:rStyle w:val="Emphasis"/>
          <w:i w:val="0"/>
        </w:rPr>
        <w:t xml:space="preserve">. </w:t>
      </w:r>
      <w:bookmarkEnd w:id="10"/>
      <w:r w:rsidRPr="00AB68D8">
        <w:rPr>
          <w:rStyle w:val="Emphasis"/>
          <w:i w:val="0"/>
        </w:rPr>
        <w:t>Quarantine staff will communicate with the airline’s designated point of contact to obtain necessary information about the death or ill traveler. Also, quarantine station will provide update to DEN via EOC about the response.</w:t>
      </w:r>
    </w:p>
    <w:p w:rsidRPr="00AB68D8" w:rsidR="00E64932" w:rsidP="002F6101" w:rsidRDefault="00E64932" w14:paraId="3132AB73" w14:textId="77777777">
      <w:pPr>
        <w:spacing w:before="100" w:beforeAutospacing="1" w:after="100" w:afterAutospacing="1"/>
        <w:ind w:left="360"/>
        <w:rPr>
          <w:b/>
          <w:i/>
        </w:rPr>
      </w:pPr>
      <w:r w:rsidRPr="00AB68D8">
        <w:rPr>
          <w:rStyle w:val="Strong"/>
          <w:b w:val="0"/>
          <w:i/>
        </w:rPr>
        <w:lastRenderedPageBreak/>
        <w:t>OR</w:t>
      </w:r>
    </w:p>
    <w:p w:rsidRPr="00AB68D8" w:rsidR="00E64932" w:rsidP="00657EA7" w:rsidRDefault="00E64932" w14:paraId="7FE81ECF" w14:textId="77777777">
      <w:pPr>
        <w:pStyle w:val="Heading3"/>
        <w:rPr>
          <w:rStyle w:val="Emphasis"/>
          <w:rFonts w:ascii="Times New Roman" w:hAnsi="Times New Roman"/>
          <w:b w:val="0"/>
        </w:rPr>
      </w:pPr>
      <w:bookmarkStart w:name="_Toc428877080" w:id="11"/>
      <w:r w:rsidRPr="00AB68D8">
        <w:rPr>
          <w:rStyle w:val="Emphasis"/>
          <w:rFonts w:ascii="Times New Roman" w:hAnsi="Times New Roman"/>
          <w:b w:val="0"/>
          <w:bCs w:val="0"/>
          <w:i w:val="0"/>
          <w:sz w:val="24"/>
          <w:szCs w:val="24"/>
        </w:rPr>
        <w:t xml:space="preserve">Optional for U.S. </w:t>
      </w:r>
      <w:r w:rsidRPr="00AB68D8" w:rsidR="00241AA2">
        <w:rPr>
          <w:rStyle w:val="Emphasis"/>
          <w:rFonts w:ascii="Times New Roman" w:hAnsi="Times New Roman"/>
          <w:b w:val="0"/>
          <w:bCs w:val="0"/>
          <w:i w:val="0"/>
          <w:sz w:val="24"/>
          <w:szCs w:val="24"/>
        </w:rPr>
        <w:t>flights</w:t>
      </w:r>
      <w:r w:rsidRPr="00AB68D8" w:rsidR="00657EA7">
        <w:rPr>
          <w:rStyle w:val="Emphasis"/>
          <w:rFonts w:ascii="Times New Roman" w:hAnsi="Times New Roman"/>
          <w:b w:val="0"/>
          <w:bCs w:val="0"/>
          <w:i w:val="0"/>
          <w:sz w:val="24"/>
          <w:szCs w:val="24"/>
        </w:rPr>
        <w:t xml:space="preserve"> </w:t>
      </w:r>
      <w:r w:rsidRPr="00AB68D8">
        <w:rPr>
          <w:rStyle w:val="Emphasis"/>
          <w:rFonts w:ascii="Times New Roman" w:hAnsi="Times New Roman"/>
          <w:b w:val="0"/>
          <w:i w:val="0"/>
        </w:rPr>
        <w:t>[Meets U.S. federal regulations for reporting to CDC]</w:t>
      </w:r>
      <w:bookmarkEnd w:id="11"/>
    </w:p>
    <w:p w:rsidRPr="00AB68D8" w:rsidR="00E64932" w:rsidP="00E64932" w:rsidRDefault="00E64932" w14:paraId="06F2E8B5" w14:textId="77777777">
      <w:pPr>
        <w:numPr>
          <w:ilvl w:val="0"/>
          <w:numId w:val="11"/>
        </w:numPr>
        <w:spacing w:before="100" w:beforeAutospacing="1" w:after="100" w:afterAutospacing="1"/>
      </w:pPr>
      <w:r w:rsidRPr="00AB68D8">
        <w:rPr>
          <w:rStyle w:val="Strong"/>
        </w:rPr>
        <w:t>Airline’s point of contact (e.g., Operations Center, Flight Control, Airline Station Manager)</w:t>
      </w:r>
      <w:r w:rsidRPr="00AB68D8">
        <w:br/>
        <w:t xml:space="preserve">Instruct the airline’s point of contact to notify CDC by contacting the: </w:t>
      </w:r>
    </w:p>
    <w:p w:rsidRPr="00AB68D8" w:rsidR="00E64932" w:rsidP="00E64932" w:rsidRDefault="00E64932" w14:paraId="2FD624D2" w14:textId="77777777">
      <w:pPr>
        <w:numPr>
          <w:ilvl w:val="1"/>
          <w:numId w:val="11"/>
        </w:numPr>
        <w:spacing w:before="100" w:beforeAutospacing="1" w:after="100" w:afterAutospacing="1"/>
      </w:pPr>
      <w:r w:rsidRPr="00AB68D8">
        <w:rPr>
          <w:rStyle w:val="Strong"/>
        </w:rPr>
        <w:t>CDC Quarantine Station</w:t>
      </w:r>
      <w:r w:rsidRPr="00AB68D8">
        <w:t xml:space="preserve"> at or closest to the airport where the flight is arriving:</w:t>
      </w:r>
      <w:r w:rsidRPr="00AB68D8">
        <w:br/>
      </w:r>
      <w:hyperlink w:history="1" r:id="rId10">
        <w:r w:rsidRPr="00AB68D8">
          <w:rPr>
            <w:rStyle w:val="Hyperlink"/>
          </w:rPr>
          <w:t>www.cdc.gov/quarantine/QuarantineStationContactListFull.html</w:t>
        </w:r>
      </w:hyperlink>
      <w:r w:rsidRPr="00AB68D8">
        <w:t xml:space="preserve"> </w:t>
      </w:r>
      <w:r w:rsidRPr="00AB68D8">
        <w:rPr>
          <w:rStyle w:val="Strong"/>
        </w:rPr>
        <w:t>OR</w:t>
      </w:r>
    </w:p>
    <w:p w:rsidRPr="00AB68D8" w:rsidR="00E64932" w:rsidP="00E64932" w:rsidRDefault="00E64932" w14:paraId="454F678D" w14:textId="77777777">
      <w:pPr>
        <w:numPr>
          <w:ilvl w:val="1"/>
          <w:numId w:val="11"/>
        </w:numPr>
        <w:spacing w:before="100" w:beforeAutospacing="1" w:after="100" w:afterAutospacing="1"/>
      </w:pPr>
      <w:r w:rsidRPr="00AB68D8">
        <w:rPr>
          <w:rStyle w:val="Strong"/>
        </w:rPr>
        <w:t>CDC EOC (770.488.7100)</w:t>
      </w:r>
      <w:r w:rsidRPr="00AB68D8">
        <w:t>, who will then notify the appropriate CDC Quarantine Station.</w:t>
      </w:r>
    </w:p>
    <w:p w:rsidRPr="00AB68D8" w:rsidR="00E64932" w:rsidP="008D1E18" w:rsidRDefault="00BB4CA2" w14:paraId="12446F35" w14:textId="77777777">
      <w:r w:rsidRPr="00AB68D8">
        <w:t xml:space="preserve">Reports from other </w:t>
      </w:r>
      <w:r w:rsidRPr="00AB68D8" w:rsidR="009500BB">
        <w:t xml:space="preserve">types of </w:t>
      </w:r>
      <w:r w:rsidRPr="00AB68D8">
        <w:t xml:space="preserve">conveyances </w:t>
      </w:r>
      <w:r w:rsidRPr="00AB68D8" w:rsidR="009500BB">
        <w:t xml:space="preserve">engaged in interstate travel </w:t>
      </w:r>
      <w:r w:rsidRPr="00AB68D8">
        <w:t>may be made to state and local health departments, or the CDC’s EOC.</w:t>
      </w:r>
    </w:p>
    <w:p w:rsidRPr="00AB68D8" w:rsidR="008D1E18" w:rsidP="002F6101" w:rsidRDefault="008D1E18" w14:paraId="666AF5B4" w14:textId="77777777">
      <w:pPr>
        <w:pStyle w:val="Heading1"/>
      </w:pPr>
      <w:bookmarkStart w:name="_Toc428877081" w:id="12"/>
      <w:r w:rsidRPr="00AB68D8">
        <w:t>4. Efforts to Identify Duplication and Use of Similar Information</w:t>
      </w:r>
      <w:bookmarkEnd w:id="12"/>
    </w:p>
    <w:p w:rsidRPr="00AB68D8" w:rsidR="008D1E18" w:rsidP="008D1E18" w:rsidRDefault="008D1E18" w14:paraId="3060F619" w14:textId="77777777"/>
    <w:p w:rsidRPr="00AB68D8" w:rsidR="008D1E18" w:rsidP="008D1E18" w:rsidRDefault="008D1E18" w14:paraId="12CDF2A7" w14:textId="77777777">
      <w:r w:rsidRPr="00AB68D8">
        <w:t>These regulations have been in existence for many years</w:t>
      </w:r>
      <w:r w:rsidRPr="00AB68D8" w:rsidR="00C760EB">
        <w:t xml:space="preserve">, either under the administration of the Food and Drug Administration or the Centers for Disease Control and Prevention (since 2000). </w:t>
      </w:r>
      <w:r w:rsidRPr="00AB68D8" w:rsidR="005F7799">
        <w:t xml:space="preserve"> There is no duplication of this information collection</w:t>
      </w:r>
      <w:r w:rsidRPr="00AB68D8" w:rsidR="00225112">
        <w:t>.</w:t>
      </w:r>
    </w:p>
    <w:p w:rsidRPr="00AB68D8" w:rsidR="00C760EB" w:rsidP="002F6101" w:rsidRDefault="00C760EB" w14:paraId="01E2B4C8" w14:textId="77777777">
      <w:pPr>
        <w:pStyle w:val="Heading1"/>
      </w:pPr>
      <w:bookmarkStart w:name="_Toc428877082" w:id="13"/>
      <w:r w:rsidRPr="00AB68D8">
        <w:t>5. Impact on Small Businesses or Other Small Entities</w:t>
      </w:r>
      <w:bookmarkEnd w:id="13"/>
    </w:p>
    <w:p w:rsidRPr="00AB68D8" w:rsidR="00C760EB" w:rsidP="008D1E18" w:rsidRDefault="00C760EB" w14:paraId="713E1466" w14:textId="77777777"/>
    <w:p w:rsidRPr="00AB68D8" w:rsidR="00C760EB" w:rsidP="008D1E18" w:rsidRDefault="00657EA7" w14:paraId="75A192A7" w14:textId="77777777">
      <w:r w:rsidRPr="00AB68D8">
        <w:t xml:space="preserve">While some aviation </w:t>
      </w:r>
      <w:r w:rsidRPr="00AB68D8" w:rsidR="000A5FC6">
        <w:t xml:space="preserve">and other travel </w:t>
      </w:r>
      <w:r w:rsidRPr="00AB68D8">
        <w:t xml:space="preserve">companies may be considered small </w:t>
      </w:r>
      <w:r w:rsidRPr="00AB68D8" w:rsidR="003D3295">
        <w:t>businesses</w:t>
      </w:r>
      <w:r w:rsidRPr="00AB68D8">
        <w:t>, CDC anticipates that</w:t>
      </w:r>
      <w:r w:rsidRPr="00AB68D8" w:rsidR="007B0065">
        <w:t xml:space="preserve"> the vast majority of the burden will rest with larger passenger airline companies.  In all cases, t</w:t>
      </w:r>
      <w:r w:rsidRPr="00AB68D8" w:rsidR="00E27332">
        <w:t xml:space="preserve">he information requested has been kept to the absolute minimum in order </w:t>
      </w:r>
      <w:r w:rsidRPr="00AB68D8" w:rsidR="007B0065">
        <w:t>to minimize the public burden and</w:t>
      </w:r>
      <w:r w:rsidRPr="00AB68D8" w:rsidR="00367DEE">
        <w:t xml:space="preserve"> for domestic flights</w:t>
      </w:r>
      <w:r w:rsidRPr="00AB68D8" w:rsidR="007B0065">
        <w:t xml:space="preserve"> is </w:t>
      </w:r>
      <w:r w:rsidRPr="00AB68D8" w:rsidR="007A010B">
        <w:t xml:space="preserve">generally </w:t>
      </w:r>
      <w:r w:rsidRPr="00AB68D8" w:rsidR="007B0065">
        <w:t>consistent with reporting procedures and requirements put forward by ICAO.</w:t>
      </w:r>
    </w:p>
    <w:p w:rsidRPr="00AB68D8" w:rsidR="00E27332" w:rsidP="002F6101" w:rsidRDefault="00E27332" w14:paraId="5283FC57" w14:textId="77777777">
      <w:pPr>
        <w:pStyle w:val="Heading1"/>
      </w:pPr>
      <w:bookmarkStart w:name="_Toc428877083" w:id="14"/>
      <w:r w:rsidRPr="00AB68D8">
        <w:t>6. Consequences of Collecting the Information Less Frequently</w:t>
      </w:r>
      <w:bookmarkEnd w:id="14"/>
    </w:p>
    <w:p w:rsidRPr="00AB68D8" w:rsidR="00E27332" w:rsidP="008D1E18" w:rsidRDefault="00E27332" w14:paraId="2C747032" w14:textId="77777777"/>
    <w:p w:rsidRPr="00AB68D8" w:rsidR="00E27332" w:rsidP="008D1E18" w:rsidRDefault="00E27332" w14:paraId="0A00F8CC" w14:textId="77777777">
      <w:r w:rsidRPr="00AB68D8">
        <w:t xml:space="preserve">Information will only be collected when </w:t>
      </w:r>
      <w:r w:rsidRPr="00AB68D8" w:rsidR="004A35D6">
        <w:t xml:space="preserve">a </w:t>
      </w:r>
      <w:r w:rsidRPr="00AB68D8" w:rsidR="003139CD">
        <w:t xml:space="preserve">death or </w:t>
      </w:r>
      <w:r w:rsidRPr="00AB68D8" w:rsidR="005D44D3">
        <w:t>ill person is identified during an</w:t>
      </w:r>
      <w:r w:rsidRPr="00AB68D8" w:rsidR="004A35D6">
        <w:t xml:space="preserve"> </w:t>
      </w:r>
      <w:r w:rsidRPr="00AB68D8" w:rsidR="00391276">
        <w:t>interstate voyage</w:t>
      </w:r>
      <w:r w:rsidRPr="00AB68D8">
        <w:t xml:space="preserve">.  Further reduction of required reporting would prevent CDC from meeting its </w:t>
      </w:r>
      <w:r w:rsidRPr="00AB68D8" w:rsidR="005D44D3">
        <w:t>regulatory</w:t>
      </w:r>
      <w:r w:rsidRPr="00AB68D8">
        <w:t xml:space="preserve"> mandate, thereby endangering the public’s health.</w:t>
      </w:r>
    </w:p>
    <w:p w:rsidRPr="00AB68D8" w:rsidR="00E27332" w:rsidP="002F6101" w:rsidRDefault="00E27332" w14:paraId="62555A49" w14:textId="77777777">
      <w:pPr>
        <w:pStyle w:val="Heading1"/>
      </w:pPr>
      <w:bookmarkStart w:name="_Toc428877084" w:id="15"/>
      <w:r w:rsidRPr="00AB68D8">
        <w:t>7. Special Circumstances Relating to the Guidelines of 5 CFR 1320.5</w:t>
      </w:r>
      <w:bookmarkEnd w:id="15"/>
    </w:p>
    <w:p w:rsidRPr="00AB68D8" w:rsidR="00E27332" w:rsidP="008D1E18" w:rsidRDefault="00E27332" w14:paraId="7F759ADA" w14:textId="77777777"/>
    <w:p w:rsidRPr="00AB68D8" w:rsidR="006B011C" w:rsidP="006B011C" w:rsidRDefault="00F75A33" w14:paraId="5DC29275" w14:textId="77777777">
      <w:r w:rsidRPr="00AB68D8">
        <w:t>This request fully complies with the regulation 5 CFR 1320.5</w:t>
      </w:r>
      <w:r w:rsidRPr="00AB68D8" w:rsidR="00E27332">
        <w:t>.</w:t>
      </w:r>
      <w:r w:rsidRPr="00AB68D8" w:rsidR="006B011C">
        <w:t xml:space="preserve"> Information regarding the incidence of disease or of a potential vector of disease must be reported on a real-time basis if it is to be used to prevent the importation and spread of disease into the </w:t>
      </w:r>
      <w:smartTag w:uri="urn:schemas-microsoft-com:office:smarttags" w:element="place">
        <w:smartTag w:uri="urn:schemas-microsoft-com:office:smarttags" w:element="country-region">
          <w:r w:rsidR="006B011C" w:rsidRPr="00AB68D8">
            <w:t>United States</w:t>
          </w:r>
        </w:smartTag>
      </w:smartTag>
      <w:r w:rsidRPr="00AB68D8" w:rsidR="006B011C">
        <w:t>.  Depending on the situation, reporting may be verbal</w:t>
      </w:r>
      <w:r w:rsidRPr="00AB68D8" w:rsidR="00C47CD0">
        <w:t xml:space="preserve"> over radio or other electronic means</w:t>
      </w:r>
      <w:r w:rsidRPr="00AB68D8" w:rsidR="006B011C">
        <w:t xml:space="preserve">, </w:t>
      </w:r>
      <w:r w:rsidRPr="00AB68D8" w:rsidR="00C47CD0">
        <w:t xml:space="preserve">or </w:t>
      </w:r>
      <w:r w:rsidRPr="00AB68D8" w:rsidR="006B011C">
        <w:t>written with no specific form specified.</w:t>
      </w:r>
      <w:r w:rsidRPr="00AB68D8" w:rsidR="00C47CD0">
        <w:t xml:space="preserve"> There is no format specified as part of this information collection.</w:t>
      </w:r>
    </w:p>
    <w:p w:rsidRPr="00AB68D8" w:rsidR="00E27332" w:rsidP="002F6101" w:rsidRDefault="00E27332" w14:paraId="0C7976B0" w14:textId="77777777">
      <w:pPr>
        <w:pStyle w:val="Heading1"/>
      </w:pPr>
      <w:bookmarkStart w:name="_Toc428877085" w:id="16"/>
      <w:r w:rsidRPr="00AB68D8">
        <w:t>8. Comments in Response to the Federal Register Notice and Efforts to Consult Outside the Agency</w:t>
      </w:r>
      <w:bookmarkEnd w:id="16"/>
    </w:p>
    <w:p w:rsidRPr="00AB68D8" w:rsidR="00E27332" w:rsidP="008D1E18" w:rsidRDefault="00E27332" w14:paraId="2ACAEBCC" w14:textId="77777777"/>
    <w:p w:rsidRPr="00AB68D8" w:rsidR="00E27332" w:rsidP="008D1E18" w:rsidRDefault="00E27332" w14:paraId="45C4AAE1" w14:textId="77777777">
      <w:r w:rsidRPr="00AB68D8">
        <w:lastRenderedPageBreak/>
        <w:t xml:space="preserve">A.  </w:t>
      </w:r>
      <w:r w:rsidRPr="00AB68D8" w:rsidR="00A90F64">
        <w:t>A 60</w:t>
      </w:r>
      <w:r w:rsidRPr="00AB68D8" w:rsidR="003139CD">
        <w:t>-</w:t>
      </w:r>
      <w:r w:rsidRPr="00AB68D8" w:rsidR="00A90F64">
        <w:t>day Federal Register Notice</w:t>
      </w:r>
      <w:r w:rsidRPr="00AB68D8" w:rsidR="002055DE">
        <w:t xml:space="preserve"> (Attachment </w:t>
      </w:r>
      <w:r w:rsidRPr="00AB68D8" w:rsidR="00F26DD0">
        <w:t>B</w:t>
      </w:r>
      <w:r w:rsidRPr="00AB68D8" w:rsidR="002055DE">
        <w:t>)</w:t>
      </w:r>
      <w:r w:rsidRPr="00AB68D8" w:rsidR="00A90F64">
        <w:t xml:space="preserve"> was published in the </w:t>
      </w:r>
      <w:r w:rsidRPr="00AB68D8" w:rsidR="00A90F64">
        <w:rPr>
          <w:i/>
        </w:rPr>
        <w:t>Federal Register</w:t>
      </w:r>
      <w:r w:rsidRPr="00AB68D8" w:rsidR="00A90F64">
        <w:t xml:space="preserve"> on</w:t>
      </w:r>
      <w:r w:rsidRPr="00AB68D8" w:rsidR="003059CE">
        <w:t xml:space="preserve"> </w:t>
      </w:r>
      <w:r w:rsidRPr="00AB68D8" w:rsidR="002E0AEC">
        <w:t>April 1, 2022</w:t>
      </w:r>
      <w:r w:rsidRPr="00AB68D8" w:rsidR="001064C4">
        <w:t>,</w:t>
      </w:r>
      <w:r w:rsidRPr="00AB68D8" w:rsidR="002E2E25">
        <w:t xml:space="preserve"> Vol. </w:t>
      </w:r>
      <w:r w:rsidRPr="00AB68D8" w:rsidR="001064C4">
        <w:t>8</w:t>
      </w:r>
      <w:r w:rsidRPr="00AB68D8" w:rsidR="003059CE">
        <w:t>7</w:t>
      </w:r>
      <w:r w:rsidRPr="00AB68D8" w:rsidR="002E2E25">
        <w:t xml:space="preserve">, No. </w:t>
      </w:r>
      <w:r w:rsidRPr="00AB68D8" w:rsidR="003059CE">
        <w:t>63</w:t>
      </w:r>
      <w:r w:rsidRPr="00AB68D8" w:rsidR="00DF6F7A">
        <w:t xml:space="preserve">, page </w:t>
      </w:r>
      <w:r w:rsidRPr="00AB68D8" w:rsidR="003059CE">
        <w:t>19093</w:t>
      </w:r>
      <w:r w:rsidRPr="00AB68D8" w:rsidR="008A483A">
        <w:t>.</w:t>
      </w:r>
      <w:r w:rsidRPr="00AB68D8" w:rsidR="00DF6F7A">
        <w:t xml:space="preserve"> </w:t>
      </w:r>
      <w:r w:rsidRPr="00AB68D8" w:rsidR="008A483A">
        <w:t xml:space="preserve"> </w:t>
      </w:r>
      <w:r w:rsidRPr="00AB68D8" w:rsidR="003059CE">
        <w:t>One</w:t>
      </w:r>
      <w:r w:rsidRPr="00AB68D8" w:rsidR="009251C5">
        <w:t xml:space="preserve"> comment</w:t>
      </w:r>
      <w:r w:rsidRPr="00AB68D8" w:rsidR="003059CE">
        <w:t xml:space="preserve"> was</w:t>
      </w:r>
      <w:r w:rsidRPr="00AB68D8" w:rsidR="009251C5">
        <w:t xml:space="preserve"> received.</w:t>
      </w:r>
      <w:r w:rsidRPr="00AB68D8" w:rsidR="003059CE">
        <w:t xml:space="preserve"> Response to the comment can be found in Attachment C of this information collection request. </w:t>
      </w:r>
    </w:p>
    <w:p w:rsidRPr="00AB68D8" w:rsidR="00A90F64" w:rsidP="008D1E18" w:rsidRDefault="00A90F64" w14:paraId="24DC554D" w14:textId="77777777"/>
    <w:p w:rsidRPr="00AB68D8" w:rsidR="00F06CF5" w:rsidP="005D44D3" w:rsidRDefault="00A90F64" w14:paraId="33C14377" w14:textId="77777777">
      <w:r w:rsidRPr="00AB68D8">
        <w:t xml:space="preserve">B. </w:t>
      </w:r>
      <w:r w:rsidRPr="00AB68D8" w:rsidR="00532359">
        <w:t>There have been no consultations with persons outside of CDC on th</w:t>
      </w:r>
      <w:r w:rsidRPr="00AB68D8" w:rsidR="00D739DD">
        <w:t xml:space="preserve">is specific </w:t>
      </w:r>
      <w:r w:rsidRPr="00AB68D8" w:rsidR="00532359">
        <w:t xml:space="preserve"> information collection </w:t>
      </w:r>
      <w:r w:rsidRPr="00AB68D8" w:rsidR="00AA7D7A">
        <w:t>request</w:t>
      </w:r>
      <w:r w:rsidRPr="00AB68D8" w:rsidR="002F6101">
        <w:t xml:space="preserve">. </w:t>
      </w:r>
      <w:r w:rsidRPr="00AB68D8" w:rsidR="00AA7D7A">
        <w:t>CDC has, in the past, coordinated with the Department of Transportation on how these illness reports are made through the Domestic Events Network.</w:t>
      </w:r>
      <w:r w:rsidRPr="00AB68D8" w:rsidR="00D739DD">
        <w:t xml:space="preserve"> Included in this coordination is a memorandum of agreement with the Federal Aviation Administration concerning the communication of illnesses and other public health risks that occur o</w:t>
      </w:r>
      <w:r w:rsidRPr="00AB68D8" w:rsidR="00F06CF5">
        <w:t xml:space="preserve">n board aircraft (Attachment </w:t>
      </w:r>
      <w:r w:rsidRPr="00AB68D8" w:rsidR="002E0AEC">
        <w:t>D</w:t>
      </w:r>
      <w:r w:rsidRPr="00AB68D8" w:rsidR="00F06CF5">
        <w:t>).</w:t>
      </w:r>
      <w:r w:rsidRPr="00AB68D8" w:rsidR="005D44D3">
        <w:t xml:space="preserve"> The reporting required in 70.11 was part of rulemaking finalized in 2017, which went through notice and public comment.</w:t>
      </w:r>
    </w:p>
    <w:p w:rsidRPr="00AB68D8" w:rsidR="00F06CF5" w:rsidP="00AC7E71" w:rsidRDefault="00F06CF5" w14:paraId="1845F391" w14:textId="77777777"/>
    <w:p w:rsidRPr="00AB68D8" w:rsidR="00AC7E71" w:rsidP="00AC7E71" w:rsidRDefault="00532359" w14:paraId="4E9DB227" w14:textId="77777777">
      <w:r w:rsidRPr="00AB68D8">
        <w:t xml:space="preserve">CDC </w:t>
      </w:r>
      <w:r w:rsidRPr="00AB68D8" w:rsidR="00D739DD">
        <w:t xml:space="preserve">also </w:t>
      </w:r>
      <w:r w:rsidRPr="00AB68D8">
        <w:t xml:space="preserve">regularly discusses procedures with airlines for reporting illness and death on board flights that operate within the United States.  </w:t>
      </w:r>
      <w:r w:rsidRPr="00AB68D8" w:rsidR="00F078BD">
        <w:t>CDC has had previous discussions</w:t>
      </w:r>
      <w:r w:rsidRPr="00AB68D8">
        <w:t xml:space="preserve"> with air industry regarding the alignment of illness and death reporting for both domestic and international flights.  Airlines </w:t>
      </w:r>
      <w:r w:rsidRPr="00AB68D8" w:rsidR="00B7325C">
        <w:t>now have</w:t>
      </w:r>
      <w:r w:rsidRPr="00AB68D8">
        <w:t xml:space="preserve"> the same protocols for reporting illness and death aboard both domestic and international flights.   </w:t>
      </w:r>
      <w:r w:rsidRPr="00AB68D8" w:rsidR="00AC7E71">
        <w:t>This includes guidance</w:t>
      </w:r>
      <w:r w:rsidRPr="00AB68D8" w:rsidR="00AA7D7A">
        <w:t>, as cited above,</w:t>
      </w:r>
      <w:r w:rsidRPr="00AB68D8" w:rsidR="00AC7E71">
        <w:t xml:space="preserve"> as to the types of </w:t>
      </w:r>
      <w:r w:rsidRPr="00AB68D8" w:rsidR="004D2266">
        <w:t>signs and symptoms of disease that</w:t>
      </w:r>
      <w:r w:rsidRPr="00AB68D8" w:rsidR="00AC7E71">
        <w:t xml:space="preserve"> CDC requires and recommends be reported to public health authorities. CDC’s goal is to ensure that </w:t>
      </w:r>
      <w:r w:rsidRPr="00AB68D8" w:rsidR="007464AA">
        <w:t>communicable disease</w:t>
      </w:r>
      <w:r w:rsidRPr="00AB68D8" w:rsidR="00AC7E71">
        <w:t xml:space="preserve"> and death is reported to public health authorities as soon as is practicable without unduly affecting airline </w:t>
      </w:r>
      <w:r w:rsidRPr="00AB68D8" w:rsidR="004005D1">
        <w:t xml:space="preserve">or other travel company </w:t>
      </w:r>
      <w:r w:rsidRPr="00AB68D8" w:rsidR="00AC7E71">
        <w:t>operations.</w:t>
      </w:r>
    </w:p>
    <w:p w:rsidRPr="00AB68D8" w:rsidR="00A90F64" w:rsidP="002F6101" w:rsidRDefault="00A90F64" w14:paraId="12C87004" w14:textId="77777777">
      <w:pPr>
        <w:pStyle w:val="Heading1"/>
      </w:pPr>
      <w:bookmarkStart w:name="_Toc428877086" w:id="17"/>
      <w:r w:rsidRPr="00AB68D8">
        <w:t>9. Exp</w:t>
      </w:r>
      <w:r w:rsidRPr="00AB68D8" w:rsidR="002F6101">
        <w:t>l</w:t>
      </w:r>
      <w:r w:rsidRPr="00AB68D8">
        <w:t>anation of Any Payment or Gift to Respondents</w:t>
      </w:r>
      <w:bookmarkEnd w:id="17"/>
      <w:r w:rsidRPr="00AB68D8">
        <w:t xml:space="preserve"> </w:t>
      </w:r>
    </w:p>
    <w:p w:rsidRPr="00AB68D8" w:rsidR="00A90F64" w:rsidP="008D1E18" w:rsidRDefault="00A90F64" w14:paraId="2E7E07DF" w14:textId="77777777"/>
    <w:p w:rsidRPr="00AB68D8" w:rsidR="00A90F64" w:rsidP="008D1E18" w:rsidRDefault="00A90F64" w14:paraId="3400B541" w14:textId="77777777">
      <w:r w:rsidRPr="00AB68D8">
        <w:t xml:space="preserve">No payment </w:t>
      </w:r>
      <w:r w:rsidRPr="00AB68D8" w:rsidR="00AC720E">
        <w:t xml:space="preserve">or gift will be </w:t>
      </w:r>
      <w:r w:rsidRPr="00AB68D8">
        <w:t>made to any respondent.</w:t>
      </w:r>
    </w:p>
    <w:p w:rsidRPr="00AB68D8" w:rsidR="00A90F64" w:rsidP="002F6101" w:rsidRDefault="00A90F64" w14:paraId="1A363DC8" w14:textId="77777777">
      <w:pPr>
        <w:pStyle w:val="Heading1"/>
      </w:pPr>
      <w:bookmarkStart w:name="_Toc428877087" w:id="18"/>
      <w:r w:rsidRPr="00AB68D8">
        <w:t xml:space="preserve">10. </w:t>
      </w:r>
      <w:r w:rsidRPr="00AB68D8" w:rsidR="009557A7">
        <w:t>Pro</w:t>
      </w:r>
      <w:r w:rsidRPr="00AB68D8" w:rsidR="003F6B48">
        <w:t>tection of the Privacy and Con</w:t>
      </w:r>
      <w:r w:rsidRPr="00AB68D8" w:rsidR="003F6B48">
        <w:softHyphen/>
        <w:t>fi</w:t>
      </w:r>
      <w:r w:rsidRPr="00AB68D8" w:rsidR="009557A7">
        <w:t>de</w:t>
      </w:r>
      <w:r w:rsidRPr="00AB68D8" w:rsidR="003F6B48">
        <w:t>ntiality</w:t>
      </w:r>
      <w:r w:rsidRPr="00AB68D8" w:rsidR="009557A7">
        <w:t xml:space="preserve"> of Information Provided by Respondents</w:t>
      </w:r>
      <w:bookmarkEnd w:id="18"/>
    </w:p>
    <w:p w:rsidRPr="00AB68D8" w:rsidR="00375606" w:rsidP="008D1E18" w:rsidRDefault="00375606" w14:paraId="2DECD9DB" w14:textId="77777777"/>
    <w:p w:rsidRPr="00AB68D8" w:rsidR="00375606" w:rsidP="008D1E18" w:rsidRDefault="00375606" w14:paraId="726E62E0" w14:textId="77777777">
      <w:r w:rsidRPr="00AB68D8">
        <w:t xml:space="preserve">This information collection request has been reviewed by the </w:t>
      </w:r>
      <w:r w:rsidRPr="00AB68D8" w:rsidR="00A765CB">
        <w:t>National Center for Emerging and Zoonotic Diseases (NCEZID)</w:t>
      </w:r>
      <w:r w:rsidRPr="00AB68D8">
        <w:t xml:space="preserve">. </w:t>
      </w:r>
      <w:r w:rsidRPr="00AB68D8" w:rsidR="00A765CB">
        <w:t>NCEZID</w:t>
      </w:r>
      <w:r w:rsidRPr="00AB68D8">
        <w:t xml:space="preserve"> has determined that the Privacy Act does apply to this information collection request.  The applicable System of Records Notice is 09-20-0171</w:t>
      </w:r>
      <w:r w:rsidRPr="00AB68D8" w:rsidR="00BF195B">
        <w:t xml:space="preserve"> Quarantine and Traveler Related Activities, including Records for Contact Tracing Investigations</w:t>
      </w:r>
      <w:r w:rsidRPr="00AB68D8">
        <w:t>.</w:t>
      </w:r>
    </w:p>
    <w:p w:rsidRPr="00AB68D8" w:rsidR="00375606" w:rsidP="008D1E18" w:rsidRDefault="00375606" w14:paraId="0FD40DAF" w14:textId="77777777"/>
    <w:p w:rsidRPr="00AB68D8" w:rsidR="00375606" w:rsidP="008D1E18" w:rsidRDefault="00375606" w14:paraId="551DB20A" w14:textId="77777777">
      <w:r w:rsidRPr="00AB68D8">
        <w:t xml:space="preserve">Information submitted will be entered into a computer system </w:t>
      </w:r>
      <w:r w:rsidRPr="00AB68D8" w:rsidR="00BD5D10">
        <w:t xml:space="preserve">called the Quarantine Activity Reporting System (QARS) </w:t>
      </w:r>
      <w:r w:rsidRPr="00AB68D8">
        <w:t>for analysis and later retrieval if necessary.  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Source documents, printouts and thumb drives will be safeguarded by storing them in locked cabinets in locked offices when not in use.</w:t>
      </w:r>
    </w:p>
    <w:p w:rsidRPr="00AB68D8" w:rsidR="00BD5D10" w:rsidP="008D1E18" w:rsidRDefault="00BD5D10" w14:paraId="6F43FDB3" w14:textId="77777777"/>
    <w:p w:rsidRPr="00AB68D8" w:rsidR="00BD5D10" w:rsidP="008D1E18" w:rsidRDefault="00BD5D10" w14:paraId="1E68B497" w14:textId="77777777">
      <w:r w:rsidRPr="00AB68D8">
        <w:t>Further information concerning the protection of privacy can be found in the attached Privacy Impact Assessment</w:t>
      </w:r>
      <w:r w:rsidRPr="00AB68D8" w:rsidR="008A38DE">
        <w:t xml:space="preserve"> (Attachment </w:t>
      </w:r>
      <w:r w:rsidRPr="00AB68D8" w:rsidR="002E0AEC">
        <w:t>E</w:t>
      </w:r>
      <w:r w:rsidRPr="00AB68D8" w:rsidR="008A38DE">
        <w:t>).</w:t>
      </w:r>
    </w:p>
    <w:p w:rsidRPr="00AB68D8" w:rsidR="009557A7" w:rsidP="002F6101" w:rsidRDefault="00375606" w14:paraId="31E4C25F" w14:textId="77777777">
      <w:pPr>
        <w:pStyle w:val="Heading1"/>
      </w:pPr>
      <w:bookmarkStart w:name="_Toc428877088" w:id="19"/>
      <w:r w:rsidRPr="00AB68D8">
        <w:lastRenderedPageBreak/>
        <w:t xml:space="preserve">11. </w:t>
      </w:r>
      <w:r w:rsidRPr="00AB68D8" w:rsidR="009557A7">
        <w:t>Institutiona</w:t>
      </w:r>
      <w:r w:rsidRPr="00AB68D8" w:rsidR="003F6B48">
        <w:t>l Review Board (IRB) and Justification</w:t>
      </w:r>
      <w:r w:rsidRPr="00AB68D8" w:rsidR="009557A7">
        <w:t xml:space="preserve"> for Sensitive Questions</w:t>
      </w:r>
      <w:bookmarkEnd w:id="19"/>
    </w:p>
    <w:p w:rsidRPr="00AB68D8" w:rsidR="00375606" w:rsidP="002F6101" w:rsidRDefault="009557A7" w14:paraId="30019539" w14:textId="77777777">
      <w:pPr>
        <w:pStyle w:val="Heading1"/>
        <w:rPr>
          <w:b w:val="0"/>
          <w:u w:val="single"/>
        </w:rPr>
      </w:pPr>
      <w:bookmarkStart w:name="_Toc428877089" w:id="20"/>
      <w:r w:rsidRPr="00AB68D8">
        <w:rPr>
          <w:b w:val="0"/>
          <w:u w:val="single"/>
        </w:rPr>
        <w:t>IRB Approval</w:t>
      </w:r>
      <w:bookmarkEnd w:id="20"/>
    </w:p>
    <w:p w:rsidRPr="00AB68D8" w:rsidR="00375606" w:rsidP="008D1E18" w:rsidRDefault="00375606" w14:paraId="47C675F6" w14:textId="77777777"/>
    <w:p w:rsidRPr="00AB68D8" w:rsidR="009557A7" w:rsidP="009557A7" w:rsidRDefault="009557A7" w14:paraId="23A8386F" w14:textId="77777777">
      <w:pPr>
        <w:rPr>
          <w:color w:val="000000"/>
        </w:rPr>
      </w:pPr>
      <w:r w:rsidRPr="00AB68D8">
        <w:rPr>
          <w:color w:val="000000"/>
        </w:rPr>
        <w:t>The protocols and tools included in this information collection request have been reviewed and approved by NCEZID’s Human Subjects</w:t>
      </w:r>
      <w:r w:rsidRPr="00AB68D8" w:rsidR="003139CD">
        <w:rPr>
          <w:color w:val="000000"/>
        </w:rPr>
        <w:t xml:space="preserve"> Advisor</w:t>
      </w:r>
      <w:r w:rsidRPr="00AB68D8">
        <w:rPr>
          <w:color w:val="000000"/>
        </w:rPr>
        <w:t xml:space="preserve">, who determined that this project </w:t>
      </w:r>
      <w:r w:rsidRPr="00AB68D8">
        <w:t xml:space="preserve">does not meet the definition of research under 45 CFR 46.102(d).  IRB review is not required (Attachment </w:t>
      </w:r>
      <w:r w:rsidRPr="00AB68D8" w:rsidR="002E0AEC">
        <w:t>F</w:t>
      </w:r>
      <w:r w:rsidRPr="00AB68D8">
        <w:t xml:space="preserve"> CDC </w:t>
      </w:r>
      <w:r w:rsidRPr="00AB68D8" w:rsidR="003139CD">
        <w:t>Non</w:t>
      </w:r>
      <w:r w:rsidRPr="00AB68D8" w:rsidR="00FC2AC0">
        <w:t>-</w:t>
      </w:r>
      <w:r w:rsidRPr="00AB68D8" w:rsidR="003139CD">
        <w:t xml:space="preserve">research </w:t>
      </w:r>
      <w:r w:rsidRPr="00AB68D8" w:rsidR="00C75593">
        <w:t>Determination Letter</w:t>
      </w:r>
      <w:r w:rsidRPr="00AB68D8">
        <w:t>).</w:t>
      </w:r>
      <w:r w:rsidRPr="00AB68D8">
        <w:rPr>
          <w:color w:val="000000"/>
        </w:rPr>
        <w:t xml:space="preserve">    </w:t>
      </w:r>
    </w:p>
    <w:p w:rsidRPr="00AB68D8" w:rsidR="009557A7" w:rsidP="008D1E18" w:rsidRDefault="009557A7" w14:paraId="0789BA8B" w14:textId="77777777"/>
    <w:p w:rsidRPr="00AB68D8" w:rsidR="002F6101" w:rsidP="008D1E18" w:rsidRDefault="00C7218A" w14:paraId="49C60D29" w14:textId="77777777">
      <w:r w:rsidRPr="00AB68D8">
        <w:t xml:space="preserve">If a death or </w:t>
      </w:r>
      <w:r w:rsidRPr="00AB68D8" w:rsidR="00C86271">
        <w:t>ill person</w:t>
      </w:r>
      <w:r w:rsidRPr="00AB68D8">
        <w:t xml:space="preserve"> is reported to CDC</w:t>
      </w:r>
      <w:r w:rsidRPr="00AB68D8" w:rsidR="004510EC">
        <w:t xml:space="preserve">, the reporting and record keeping requirements contained in the regulations will be used by CDC to carry out quarantine responsibilities as required by law, specifically, to prevent the spread of communicable diseases from one State or possession into any other State or possession.  </w:t>
      </w:r>
      <w:r w:rsidRPr="00AB68D8">
        <w:t xml:space="preserve">Obtaining </w:t>
      </w:r>
      <w:r w:rsidRPr="00AB68D8" w:rsidR="003139CD">
        <w:t>personally identifiable information</w:t>
      </w:r>
      <w:r w:rsidRPr="00AB68D8" w:rsidR="00973E8D">
        <w:t>, such as name, address, contact information, and travel document number,</w:t>
      </w:r>
      <w:r w:rsidRPr="00AB68D8" w:rsidR="003139CD">
        <w:t xml:space="preserve"> </w:t>
      </w:r>
      <w:r w:rsidRPr="00AB68D8">
        <w:t xml:space="preserve">may be necessary during follow-up to the initial report of illness.  </w:t>
      </w:r>
    </w:p>
    <w:p w:rsidRPr="00AB68D8" w:rsidR="002F6101" w:rsidP="008D1E18" w:rsidRDefault="002F6101" w14:paraId="4DF3AD3E" w14:textId="77777777"/>
    <w:p w:rsidRPr="00AB68D8" w:rsidR="007E0629" w:rsidP="002F6101" w:rsidRDefault="00996DB3" w14:paraId="184A0B14" w14:textId="77777777">
      <w:r w:rsidRPr="00AB68D8">
        <w:t>T</w:t>
      </w:r>
      <w:r w:rsidRPr="00AB68D8" w:rsidR="004510EC">
        <w:t xml:space="preserve">he information </w:t>
      </w:r>
      <w:r w:rsidRPr="00AB68D8">
        <w:t xml:space="preserve">concerning illnesses or deaths </w:t>
      </w:r>
      <w:r w:rsidRPr="00AB68D8" w:rsidR="004510EC">
        <w:t xml:space="preserve">would only be collected when it is required, and is the minimum necessary </w:t>
      </w:r>
      <w:r w:rsidRPr="00AB68D8" w:rsidR="00C7218A">
        <w:t xml:space="preserve">to meet statutory obligations. </w:t>
      </w:r>
    </w:p>
    <w:p w:rsidRPr="00AB68D8" w:rsidR="007E0629" w:rsidP="002F6101" w:rsidRDefault="007E0629" w14:paraId="6B97B2CA" w14:textId="77777777">
      <w:pPr>
        <w:pStyle w:val="Heading1"/>
      </w:pPr>
      <w:bookmarkStart w:name="_Toc428877090" w:id="21"/>
      <w:r w:rsidRPr="00AB68D8">
        <w:t>12. Estimates of Annualized Burden Hours and Costs</w:t>
      </w:r>
      <w:bookmarkEnd w:id="21"/>
    </w:p>
    <w:p w:rsidRPr="00AB68D8" w:rsidR="007E0629" w:rsidP="008D1E18" w:rsidRDefault="007E0629" w14:paraId="35B2D5E3" w14:textId="77777777"/>
    <w:p w:rsidRPr="00AB68D8" w:rsidR="002E0AEC" w:rsidP="002E0AEC" w:rsidRDefault="007E0629" w14:paraId="28C42B86" w14:textId="77777777">
      <w:bookmarkStart w:name="_Hlk106886148" w:id="22"/>
      <w:r w:rsidRPr="00AB68D8">
        <w:t>A.</w:t>
      </w:r>
      <w:r w:rsidRPr="00AB68D8" w:rsidR="002C1E26">
        <w:t xml:space="preserve">  </w:t>
      </w:r>
      <w:r w:rsidRPr="00AB68D8" w:rsidR="002E0AEC">
        <w:t xml:space="preserve">For reports of death or communicable disease made by a pilot in command of an aircraft, or a master of a vessel or person in charge of a conveyance engaged in interstate traffic, the requested burden is approximately 186 hours.  This total is estimated from approximately 1600 domestic reports of death or communicable disease a year, 1400 being from aircrafts, and approximately 200 from other non-aircraft </w:t>
      </w:r>
      <w:r w:rsidRPr="00AB68D8" w:rsidR="0031586B">
        <w:t>conveyances (</w:t>
      </w:r>
      <w:r w:rsidRPr="00AB68D8" w:rsidR="00336562">
        <w:t xml:space="preserve">water vessels, </w:t>
      </w:r>
      <w:r w:rsidRPr="00AB68D8" w:rsidR="0031586B">
        <w:t>buses</w:t>
      </w:r>
      <w:r w:rsidRPr="00AB68D8" w:rsidR="00336562">
        <w:t xml:space="preserve">, </w:t>
      </w:r>
      <w:r w:rsidRPr="00AB68D8" w:rsidR="0031586B">
        <w:t xml:space="preserve">or trains) </w:t>
      </w:r>
      <w:r w:rsidRPr="00AB68D8" w:rsidR="002E0AEC">
        <w:t xml:space="preserve">with an average burden of 7 minutes per report. There is no standard form for reporting to CDC or the health departments. </w:t>
      </w:r>
    </w:p>
    <w:p w:rsidRPr="00AB68D8" w:rsidR="002E0AEC" w:rsidP="002E0AEC" w:rsidRDefault="002E0AEC" w14:paraId="08C68727" w14:textId="77777777"/>
    <w:p w:rsidRPr="00AB68D8" w:rsidR="002E0AEC" w:rsidP="002E0AEC" w:rsidRDefault="002E0AEC" w14:paraId="433BA3FB" w14:textId="77777777">
      <w:bookmarkStart w:name="_Hlk90472846" w:id="23"/>
      <w:r w:rsidRPr="00AB68D8">
        <w:t>Estimated Annualized Burden Hours</w:t>
      </w:r>
    </w:p>
    <w:p w:rsidRPr="00AB68D8" w:rsidR="002E0AEC" w:rsidP="002E0AEC" w:rsidRDefault="002E0AEC" w14:paraId="620EB297"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150" w:type="dxa"/>
          <w:left w:w="150" w:type="dxa"/>
          <w:bottom w:w="150" w:type="dxa"/>
          <w:right w:w="150" w:type="dxa"/>
        </w:tblCellMar>
        <w:tblLook w:val="04A0" w:firstRow="1" w:lastRow="0" w:firstColumn="1" w:lastColumn="0" w:noHBand="0" w:noVBand="1"/>
      </w:tblPr>
      <w:tblGrid>
        <w:gridCol w:w="1739"/>
        <w:gridCol w:w="2094"/>
        <w:gridCol w:w="1361"/>
        <w:gridCol w:w="1338"/>
        <w:gridCol w:w="1171"/>
        <w:gridCol w:w="927"/>
      </w:tblGrid>
      <w:tr w:rsidRPr="00AB68D8" w:rsidR="002E0AEC" w:rsidTr="00672D9A" w14:paraId="48976227" w14:textId="77777777">
        <w:trPr>
          <w:tblHeader/>
          <w:jc w:val="center"/>
        </w:trPr>
        <w:tc>
          <w:tcPr>
            <w:tcW w:w="0" w:type="auto"/>
            <w:shd w:val="clear" w:color="auto" w:fill="auto"/>
            <w:tcMar>
              <w:top w:w="90" w:type="dxa"/>
              <w:left w:w="90" w:type="dxa"/>
              <w:bottom w:w="90" w:type="dxa"/>
              <w:right w:w="90" w:type="dxa"/>
            </w:tcMar>
            <w:vAlign w:val="center"/>
            <w:hideMark/>
          </w:tcPr>
          <w:p w:rsidRPr="00AB68D8" w:rsidR="002E0AEC" w:rsidP="00672D9A" w:rsidRDefault="002E0AEC" w14:paraId="68E645F6" w14:textId="77777777">
            <w:pPr>
              <w:jc w:val="center"/>
              <w:rPr>
                <w:bCs/>
              </w:rPr>
            </w:pPr>
            <w:r w:rsidRPr="00AB68D8">
              <w:rPr>
                <w:bCs/>
              </w:rPr>
              <w:t>Type of respondent</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6516D8EA" w14:textId="77777777">
            <w:pPr>
              <w:jc w:val="center"/>
              <w:rPr>
                <w:bCs/>
              </w:rPr>
            </w:pPr>
            <w:r w:rsidRPr="00AB68D8">
              <w:rPr>
                <w:bCs/>
              </w:rPr>
              <w:t>Form name</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388C6E16" w14:textId="77777777">
            <w:pPr>
              <w:jc w:val="center"/>
              <w:rPr>
                <w:bCs/>
              </w:rPr>
            </w:pPr>
            <w:r w:rsidRPr="00AB68D8">
              <w:rPr>
                <w:bCs/>
              </w:rPr>
              <w:t>No. of respondents</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7E681D1A" w14:textId="77777777">
            <w:pPr>
              <w:jc w:val="center"/>
              <w:rPr>
                <w:bCs/>
              </w:rPr>
            </w:pPr>
            <w:r w:rsidRPr="00AB68D8">
              <w:rPr>
                <w:bCs/>
              </w:rPr>
              <w:t>No. of responses per respondent</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7B3169D9" w14:textId="77777777">
            <w:pPr>
              <w:jc w:val="center"/>
              <w:rPr>
                <w:bCs/>
              </w:rPr>
            </w:pPr>
            <w:r w:rsidRPr="00AB68D8">
              <w:rPr>
                <w:bCs/>
              </w:rPr>
              <w:t>Average burden per response (in hours)</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31B6B054" w14:textId="77777777">
            <w:pPr>
              <w:jc w:val="center"/>
              <w:rPr>
                <w:bCs/>
              </w:rPr>
            </w:pPr>
            <w:r w:rsidRPr="00AB68D8">
              <w:rPr>
                <w:bCs/>
              </w:rPr>
              <w:t>Total burden (in hours)</w:t>
            </w:r>
          </w:p>
        </w:tc>
      </w:tr>
      <w:tr w:rsidRPr="00AB68D8" w:rsidR="002E0AEC" w:rsidTr="00672D9A" w14:paraId="22BAF025" w14:textId="77777777">
        <w:trPr>
          <w:jc w:val="center"/>
        </w:trPr>
        <w:tc>
          <w:tcPr>
            <w:tcW w:w="0" w:type="auto"/>
            <w:shd w:val="clear" w:color="auto" w:fill="auto"/>
            <w:tcMar>
              <w:top w:w="90" w:type="dxa"/>
              <w:left w:w="90" w:type="dxa"/>
              <w:bottom w:w="90" w:type="dxa"/>
              <w:right w:w="90" w:type="dxa"/>
            </w:tcMar>
            <w:vAlign w:val="bottom"/>
            <w:hideMark/>
          </w:tcPr>
          <w:p w:rsidRPr="00AB68D8" w:rsidR="002E0AEC" w:rsidP="00672D9A" w:rsidRDefault="002E0AEC" w14:paraId="729D51A0" w14:textId="77777777">
            <w:pPr>
              <w:jc w:val="center"/>
            </w:pPr>
            <w:r w:rsidRPr="00AB68D8">
              <w:t>Pilot in command</w:t>
            </w:r>
          </w:p>
        </w:tc>
        <w:tc>
          <w:tcPr>
            <w:tcW w:w="0" w:type="auto"/>
            <w:shd w:val="clear" w:color="auto" w:fill="auto"/>
            <w:tcMar>
              <w:top w:w="90" w:type="dxa"/>
              <w:left w:w="90" w:type="dxa"/>
              <w:bottom w:w="90" w:type="dxa"/>
              <w:right w:w="90" w:type="dxa"/>
            </w:tcMar>
            <w:vAlign w:val="bottom"/>
            <w:hideMark/>
          </w:tcPr>
          <w:p w:rsidRPr="00AB68D8" w:rsidR="002E0AEC" w:rsidP="00672D9A" w:rsidRDefault="002E0AEC" w14:paraId="185150B4" w14:textId="77777777">
            <w:pPr>
              <w:jc w:val="center"/>
            </w:pPr>
            <w:r w:rsidRPr="00AB68D8">
              <w:rPr>
                <w:bdr w:val="none" w:color="auto" w:sz="0" w:space="0" w:frame="1"/>
              </w:rPr>
              <w:t xml:space="preserve">42 CFR 70.11 </w:t>
            </w:r>
            <w:r w:rsidRPr="00AB68D8">
              <w:t>Report of death or illness onboard aircraft operated by airline</w:t>
            </w:r>
          </w:p>
          <w:p w:rsidRPr="00AB68D8" w:rsidR="0031586B" w:rsidP="00672D9A" w:rsidRDefault="0031586B" w14:paraId="0291BA53" w14:textId="77777777">
            <w:pPr>
              <w:jc w:val="center"/>
            </w:pPr>
            <w:r w:rsidRPr="00AB68D8">
              <w:t>(No Form)</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2BA5A6B8" w14:textId="77777777">
            <w:pPr>
              <w:jc w:val="center"/>
            </w:pPr>
            <w:r w:rsidRPr="00AB68D8">
              <w:t>1400</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0CF9ACE7" w14:textId="77777777">
            <w:pPr>
              <w:jc w:val="center"/>
            </w:pPr>
            <w:r w:rsidRPr="00AB68D8">
              <w:t>1</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616ACC0B" w14:textId="77777777">
            <w:pPr>
              <w:jc w:val="center"/>
            </w:pPr>
            <w:r w:rsidRPr="00AB68D8">
              <w:t>7/60</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5922AFB1" w14:textId="77777777">
            <w:pPr>
              <w:jc w:val="center"/>
            </w:pPr>
            <w:r w:rsidRPr="00AB68D8">
              <w:t>163</w:t>
            </w:r>
          </w:p>
        </w:tc>
      </w:tr>
      <w:tr w:rsidRPr="00AB68D8" w:rsidR="002E0AEC" w:rsidTr="00672D9A" w14:paraId="4D2A9398" w14:textId="77777777">
        <w:trPr>
          <w:jc w:val="center"/>
        </w:trPr>
        <w:tc>
          <w:tcPr>
            <w:tcW w:w="0" w:type="auto"/>
            <w:shd w:val="clear" w:color="auto" w:fill="auto"/>
            <w:tcMar>
              <w:top w:w="90" w:type="dxa"/>
              <w:left w:w="90" w:type="dxa"/>
              <w:bottom w:w="90" w:type="dxa"/>
              <w:right w:w="90" w:type="dxa"/>
            </w:tcMar>
            <w:vAlign w:val="bottom"/>
            <w:hideMark/>
          </w:tcPr>
          <w:p w:rsidRPr="00AB68D8" w:rsidR="002E0AEC" w:rsidP="00672D9A" w:rsidRDefault="002E0AEC" w14:paraId="789B82EB" w14:textId="77777777">
            <w:pPr>
              <w:jc w:val="center"/>
            </w:pPr>
            <w:r w:rsidRPr="00AB68D8">
              <w:t>Master of vessel or person in charge of conveyance</w:t>
            </w:r>
          </w:p>
        </w:tc>
        <w:tc>
          <w:tcPr>
            <w:tcW w:w="0" w:type="auto"/>
            <w:shd w:val="clear" w:color="auto" w:fill="auto"/>
            <w:tcMar>
              <w:top w:w="90" w:type="dxa"/>
              <w:left w:w="90" w:type="dxa"/>
              <w:bottom w:w="90" w:type="dxa"/>
              <w:right w:w="90" w:type="dxa"/>
            </w:tcMar>
            <w:vAlign w:val="bottom"/>
            <w:hideMark/>
          </w:tcPr>
          <w:p w:rsidRPr="00AB68D8" w:rsidR="0031586B" w:rsidP="00672D9A" w:rsidRDefault="002E0AEC" w14:paraId="00FA7C84" w14:textId="77777777">
            <w:pPr>
              <w:jc w:val="center"/>
            </w:pPr>
            <w:bookmarkStart w:name="_Hlk90467359" w:id="24"/>
            <w:r w:rsidRPr="00AB68D8">
              <w:rPr>
                <w:bdr w:val="none" w:color="auto" w:sz="0" w:space="0" w:frame="1"/>
              </w:rPr>
              <w:t xml:space="preserve">42 CFR 70.4 </w:t>
            </w:r>
            <w:r w:rsidRPr="00AB68D8">
              <w:t xml:space="preserve">Report by the master of a vessel or person in charge of conveyance of the </w:t>
            </w:r>
            <w:r w:rsidRPr="00AB68D8">
              <w:lastRenderedPageBreak/>
              <w:t xml:space="preserve">incidence of a communicable </w:t>
            </w:r>
          </w:p>
          <w:p w:rsidRPr="00AB68D8" w:rsidR="002E0AEC" w:rsidP="00672D9A" w:rsidRDefault="002E0AEC" w14:paraId="24879345" w14:textId="77777777">
            <w:pPr>
              <w:jc w:val="center"/>
            </w:pPr>
            <w:r w:rsidRPr="00AB68D8">
              <w:t>disease occurring while in interstate travel</w:t>
            </w:r>
            <w:bookmarkEnd w:id="24"/>
          </w:p>
          <w:p w:rsidRPr="00AB68D8" w:rsidR="0031586B" w:rsidP="00672D9A" w:rsidRDefault="0031586B" w14:paraId="00298434" w14:textId="77777777">
            <w:pPr>
              <w:jc w:val="center"/>
            </w:pPr>
            <w:r w:rsidRPr="00AB68D8">
              <w:t>(No form)</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53C17E77" w14:textId="77777777">
            <w:pPr>
              <w:jc w:val="center"/>
            </w:pPr>
            <w:r w:rsidRPr="00AB68D8">
              <w:lastRenderedPageBreak/>
              <w:t>200</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411D8CF0" w14:textId="77777777">
            <w:pPr>
              <w:jc w:val="center"/>
            </w:pPr>
            <w:r w:rsidRPr="00AB68D8">
              <w:t>1</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25B49A5F" w14:textId="77777777">
            <w:pPr>
              <w:jc w:val="center"/>
            </w:pPr>
            <w:r w:rsidRPr="00AB68D8">
              <w:t>7/60</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1C92F76B" w14:textId="77777777">
            <w:pPr>
              <w:jc w:val="center"/>
            </w:pPr>
            <w:r w:rsidRPr="00AB68D8">
              <w:t>23</w:t>
            </w:r>
          </w:p>
        </w:tc>
      </w:tr>
      <w:tr w:rsidRPr="00AB68D8" w:rsidR="002E0AEC" w:rsidTr="00672D9A" w14:paraId="3FAA7F8C" w14:textId="77777777">
        <w:trPr>
          <w:jc w:val="center"/>
        </w:trPr>
        <w:tc>
          <w:tcPr>
            <w:tcW w:w="0" w:type="auto"/>
            <w:shd w:val="clear" w:color="auto" w:fill="auto"/>
            <w:tcMar>
              <w:top w:w="90" w:type="dxa"/>
              <w:left w:w="1200" w:type="dxa"/>
              <w:bottom w:w="90" w:type="dxa"/>
              <w:right w:w="90" w:type="dxa"/>
            </w:tcMar>
            <w:vAlign w:val="bottom"/>
            <w:hideMark/>
          </w:tcPr>
          <w:p w:rsidRPr="00AB68D8" w:rsidR="002E0AEC" w:rsidP="00672D9A" w:rsidRDefault="002E0AEC" w14:paraId="756D123F" w14:textId="77777777">
            <w:pPr>
              <w:ind w:hanging="240"/>
              <w:jc w:val="center"/>
            </w:pPr>
            <w:r w:rsidRPr="00AB68D8">
              <w:t>Total</w:t>
            </w:r>
          </w:p>
        </w:tc>
        <w:tc>
          <w:tcPr>
            <w:tcW w:w="0" w:type="auto"/>
            <w:shd w:val="clear" w:color="auto" w:fill="auto"/>
            <w:tcMar>
              <w:top w:w="90" w:type="dxa"/>
              <w:left w:w="90" w:type="dxa"/>
              <w:bottom w:w="90" w:type="dxa"/>
              <w:right w:w="90" w:type="dxa"/>
            </w:tcMar>
            <w:vAlign w:val="bottom"/>
            <w:hideMark/>
          </w:tcPr>
          <w:p w:rsidRPr="00AB68D8" w:rsidR="002E0AEC" w:rsidP="00672D9A" w:rsidRDefault="002E0AEC" w14:paraId="7461E788" w14:textId="77777777">
            <w:pPr>
              <w:ind w:hanging="240"/>
              <w:jc w:val="center"/>
            </w:pP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6AFC34EE" w14:textId="77777777">
            <w:pPr>
              <w:jc w:val="center"/>
            </w:pPr>
            <w:r w:rsidRPr="00AB68D8">
              <w:t>1600</w:t>
            </w: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68877749" w14:textId="77777777">
            <w:pPr>
              <w:jc w:val="center"/>
            </w:pP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2FF809DB" w14:textId="77777777">
            <w:pPr>
              <w:jc w:val="center"/>
              <w:rPr>
                <w:sz w:val="20"/>
                <w:szCs w:val="20"/>
              </w:rPr>
            </w:pPr>
          </w:p>
        </w:tc>
        <w:tc>
          <w:tcPr>
            <w:tcW w:w="0" w:type="auto"/>
            <w:shd w:val="clear" w:color="auto" w:fill="auto"/>
            <w:tcMar>
              <w:top w:w="90" w:type="dxa"/>
              <w:left w:w="90" w:type="dxa"/>
              <w:bottom w:w="90" w:type="dxa"/>
              <w:right w:w="90" w:type="dxa"/>
            </w:tcMar>
            <w:vAlign w:val="center"/>
            <w:hideMark/>
          </w:tcPr>
          <w:p w:rsidRPr="00AB68D8" w:rsidR="002E0AEC" w:rsidP="00672D9A" w:rsidRDefault="002E0AEC" w14:paraId="599EE455" w14:textId="77777777">
            <w:pPr>
              <w:jc w:val="center"/>
            </w:pPr>
            <w:r w:rsidRPr="00AB68D8">
              <w:t>186</w:t>
            </w:r>
          </w:p>
        </w:tc>
      </w:tr>
      <w:bookmarkEnd w:id="22"/>
      <w:bookmarkEnd w:id="23"/>
    </w:tbl>
    <w:p w:rsidRPr="00AB68D8" w:rsidR="002E0AEC" w:rsidP="002E0AEC" w:rsidRDefault="002E0AEC" w14:paraId="0AEC0291" w14:textId="77777777"/>
    <w:p w:rsidRPr="00AB68D8" w:rsidR="00AB10B2" w:rsidP="002E0AEC" w:rsidRDefault="00AB10B2" w14:paraId="1B2B2CF3" w14:textId="77777777"/>
    <w:p w:rsidRPr="00AB68D8" w:rsidR="008D1E18" w:rsidP="005D20C9" w:rsidRDefault="00E7791D" w14:paraId="62682990" w14:textId="77777777">
      <w:pPr>
        <w:rPr>
          <w:b/>
        </w:rPr>
      </w:pPr>
      <w:r w:rsidRPr="00AB68D8">
        <w:t xml:space="preserve">B. </w:t>
      </w:r>
    </w:p>
    <w:p w:rsidRPr="00AB68D8" w:rsidR="001F08A2" w:rsidP="001F08A2" w:rsidRDefault="001F08A2" w14:paraId="510F577F" w14:textId="77777777">
      <w:pPr>
        <w:rPr>
          <w:b/>
        </w:rPr>
      </w:pPr>
    </w:p>
    <w:p w:rsidRPr="00AB68D8" w:rsidR="00895712" w:rsidP="001F08A2" w:rsidRDefault="00895712" w14:paraId="549C8957" w14:textId="77777777">
      <w:r w:rsidRPr="00AB68D8">
        <w:t>Estimated Annualized Burden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
        <w:gridCol w:w="2471"/>
        <w:gridCol w:w="1147"/>
        <w:gridCol w:w="1350"/>
        <w:gridCol w:w="1800"/>
      </w:tblGrid>
      <w:tr w:rsidRPr="00AB68D8" w:rsidR="007614F1" w:rsidTr="00336562" w14:paraId="10A17269" w14:textId="77777777">
        <w:trPr>
          <w:jc w:val="center"/>
        </w:trPr>
        <w:tc>
          <w:tcPr>
            <w:tcW w:w="1530" w:type="dxa"/>
          </w:tcPr>
          <w:p w:rsidRPr="00AB68D8" w:rsidR="007614F1" w:rsidDel="007614F1" w:rsidP="008E453D" w:rsidRDefault="007614F1" w14:paraId="144D9F28" w14:textId="77777777">
            <w:pPr>
              <w:jc w:val="center"/>
            </w:pPr>
            <w:r w:rsidRPr="00AB68D8">
              <w:t>Type of Respondent</w:t>
            </w:r>
          </w:p>
        </w:tc>
        <w:tc>
          <w:tcPr>
            <w:tcW w:w="2471" w:type="dxa"/>
          </w:tcPr>
          <w:p w:rsidRPr="00AB68D8" w:rsidR="007614F1" w:rsidP="008E453D" w:rsidRDefault="007614F1" w14:paraId="00DF7F20" w14:textId="77777777">
            <w:pPr>
              <w:jc w:val="center"/>
            </w:pPr>
            <w:r w:rsidRPr="00AB68D8">
              <w:t>Form Name</w:t>
            </w:r>
          </w:p>
        </w:tc>
        <w:tc>
          <w:tcPr>
            <w:tcW w:w="1147" w:type="dxa"/>
          </w:tcPr>
          <w:p w:rsidRPr="00AB68D8" w:rsidR="007614F1" w:rsidP="008E453D" w:rsidRDefault="007614F1" w14:paraId="191CADF1" w14:textId="77777777">
            <w:pPr>
              <w:jc w:val="center"/>
            </w:pPr>
            <w:r w:rsidRPr="00AB68D8">
              <w:t>Total Burden Hours</w:t>
            </w:r>
          </w:p>
        </w:tc>
        <w:tc>
          <w:tcPr>
            <w:tcW w:w="1350" w:type="dxa"/>
          </w:tcPr>
          <w:p w:rsidRPr="00AB68D8" w:rsidR="007614F1" w:rsidP="008E453D" w:rsidRDefault="007614F1" w14:paraId="7C49BCAE" w14:textId="77777777">
            <w:pPr>
              <w:jc w:val="center"/>
            </w:pPr>
            <w:r w:rsidRPr="00AB68D8">
              <w:t>Hourly Wage Rate</w:t>
            </w:r>
          </w:p>
        </w:tc>
        <w:tc>
          <w:tcPr>
            <w:tcW w:w="1800" w:type="dxa"/>
          </w:tcPr>
          <w:p w:rsidRPr="00AB68D8" w:rsidR="007614F1" w:rsidP="008E453D" w:rsidRDefault="007614F1" w14:paraId="33D86B84" w14:textId="77777777">
            <w:pPr>
              <w:jc w:val="center"/>
            </w:pPr>
            <w:r w:rsidRPr="00AB68D8">
              <w:t>Total Respondent Cost</w:t>
            </w:r>
          </w:p>
        </w:tc>
      </w:tr>
      <w:tr w:rsidRPr="00AB68D8" w:rsidR="00210F59" w:rsidTr="00336562" w14:paraId="62246E6A" w14:textId="77777777">
        <w:trPr>
          <w:jc w:val="center"/>
        </w:trPr>
        <w:tc>
          <w:tcPr>
            <w:tcW w:w="1530" w:type="dxa"/>
            <w:vAlign w:val="center"/>
          </w:tcPr>
          <w:p w:rsidRPr="00AB68D8" w:rsidR="00210F59" w:rsidP="00336562" w:rsidRDefault="00210F59" w14:paraId="1CAED640" w14:textId="77777777">
            <w:pPr>
              <w:jc w:val="center"/>
            </w:pPr>
            <w:r w:rsidRPr="00AB68D8">
              <w:t>Pilot in command</w:t>
            </w:r>
          </w:p>
        </w:tc>
        <w:tc>
          <w:tcPr>
            <w:tcW w:w="2471" w:type="dxa"/>
            <w:vAlign w:val="center"/>
          </w:tcPr>
          <w:p w:rsidRPr="00AB68D8" w:rsidR="00210F59" w:rsidP="00336562" w:rsidRDefault="00210F59" w14:paraId="7A5E2040" w14:textId="77777777">
            <w:pPr>
              <w:jc w:val="center"/>
            </w:pPr>
            <w:r w:rsidRPr="00AB68D8">
              <w:rPr>
                <w:bdr w:val="none" w:color="auto" w:sz="0" w:space="0" w:frame="1"/>
              </w:rPr>
              <w:t xml:space="preserve">42 CFR 70.11 </w:t>
            </w:r>
            <w:r w:rsidRPr="00AB68D8">
              <w:t>Report of death or illness onboard aircraft operated by airline</w:t>
            </w:r>
          </w:p>
        </w:tc>
        <w:tc>
          <w:tcPr>
            <w:tcW w:w="1147" w:type="dxa"/>
            <w:vAlign w:val="center"/>
          </w:tcPr>
          <w:p w:rsidRPr="00AB68D8" w:rsidR="00210F59" w:rsidP="00336562" w:rsidRDefault="00336562" w14:paraId="080830A3" w14:textId="77777777">
            <w:pPr>
              <w:jc w:val="center"/>
            </w:pPr>
            <w:r w:rsidRPr="00AB68D8">
              <w:t>163</w:t>
            </w:r>
          </w:p>
        </w:tc>
        <w:tc>
          <w:tcPr>
            <w:tcW w:w="1350" w:type="dxa"/>
            <w:vAlign w:val="center"/>
          </w:tcPr>
          <w:p w:rsidRPr="00AB68D8" w:rsidR="00210F59" w:rsidP="00336562" w:rsidRDefault="004756B7" w14:paraId="3D3E9A95" w14:textId="77777777">
            <w:pPr>
              <w:jc w:val="center"/>
            </w:pPr>
            <w:r w:rsidRPr="00AB68D8">
              <w:t>$</w:t>
            </w:r>
            <w:r w:rsidRPr="00AB68D8" w:rsidR="0031586B">
              <w:t>95</w:t>
            </w:r>
            <w:r w:rsidRPr="00AB68D8" w:rsidR="00336562">
              <w:t>.28</w:t>
            </w:r>
          </w:p>
        </w:tc>
        <w:tc>
          <w:tcPr>
            <w:tcW w:w="1800" w:type="dxa"/>
            <w:vAlign w:val="center"/>
          </w:tcPr>
          <w:p w:rsidRPr="00AB68D8" w:rsidR="00210F59" w:rsidP="00336562" w:rsidRDefault="004756B7" w14:paraId="25BD16E7" w14:textId="77777777">
            <w:pPr>
              <w:jc w:val="center"/>
            </w:pPr>
            <w:r w:rsidRPr="00AB68D8">
              <w:t>$</w:t>
            </w:r>
            <w:r w:rsidR="004439BE">
              <w:t xml:space="preserve"> </w:t>
            </w:r>
            <w:r w:rsidRPr="004439BE" w:rsidR="004439BE">
              <w:t>15,531</w:t>
            </w:r>
          </w:p>
        </w:tc>
      </w:tr>
      <w:tr w:rsidRPr="00AB68D8" w:rsidR="00210F59" w:rsidTr="00336562" w14:paraId="08E8990F" w14:textId="77777777">
        <w:trPr>
          <w:jc w:val="center"/>
        </w:trPr>
        <w:tc>
          <w:tcPr>
            <w:tcW w:w="1530" w:type="dxa"/>
            <w:vAlign w:val="center"/>
          </w:tcPr>
          <w:p w:rsidRPr="00AB68D8" w:rsidR="00210F59" w:rsidP="00336562" w:rsidRDefault="00210F59" w14:paraId="2AACB1D3" w14:textId="77777777">
            <w:pPr>
              <w:jc w:val="center"/>
            </w:pPr>
            <w:r w:rsidRPr="00AB68D8">
              <w:t>Master of vessel or person in charge of conveyance</w:t>
            </w:r>
          </w:p>
        </w:tc>
        <w:tc>
          <w:tcPr>
            <w:tcW w:w="2471" w:type="dxa"/>
            <w:vAlign w:val="center"/>
          </w:tcPr>
          <w:p w:rsidRPr="00AB68D8" w:rsidR="00210F59" w:rsidP="00336562" w:rsidRDefault="00210F59" w14:paraId="3E2EB2E9" w14:textId="77777777">
            <w:pPr>
              <w:jc w:val="center"/>
            </w:pPr>
            <w:r w:rsidRPr="00AB68D8">
              <w:t>42 CFR 70.4 Report by the master of a vessel or person in charge of conveyance of the incidence of a communicable disease occurring while in interstate travel</w:t>
            </w:r>
          </w:p>
        </w:tc>
        <w:tc>
          <w:tcPr>
            <w:tcW w:w="1147" w:type="dxa"/>
            <w:vAlign w:val="center"/>
          </w:tcPr>
          <w:p w:rsidRPr="00AB68D8" w:rsidR="00210F59" w:rsidP="00336562" w:rsidRDefault="005972F0" w14:paraId="20926485" w14:textId="77777777">
            <w:pPr>
              <w:jc w:val="center"/>
            </w:pPr>
            <w:r w:rsidRPr="00AB68D8">
              <w:t>23</w:t>
            </w:r>
          </w:p>
        </w:tc>
        <w:tc>
          <w:tcPr>
            <w:tcW w:w="1350" w:type="dxa"/>
            <w:vAlign w:val="center"/>
          </w:tcPr>
          <w:p w:rsidRPr="00AB68D8" w:rsidR="00210F59" w:rsidP="00336562" w:rsidRDefault="004756B7" w14:paraId="2B270DEC" w14:textId="77777777">
            <w:pPr>
              <w:jc w:val="center"/>
            </w:pPr>
            <w:r w:rsidRPr="00AB68D8">
              <w:t>$</w:t>
            </w:r>
            <w:r w:rsidRPr="00AB68D8" w:rsidR="005972F0">
              <w:t>35.97</w:t>
            </w:r>
          </w:p>
        </w:tc>
        <w:tc>
          <w:tcPr>
            <w:tcW w:w="1800" w:type="dxa"/>
            <w:vAlign w:val="center"/>
          </w:tcPr>
          <w:p w:rsidRPr="00AB68D8" w:rsidR="00210F59" w:rsidP="00336562" w:rsidRDefault="004439BE" w14:paraId="144DD4C7" w14:textId="77777777">
            <w:pPr>
              <w:jc w:val="center"/>
            </w:pPr>
            <w:r w:rsidRPr="004439BE">
              <w:t>$827</w:t>
            </w:r>
          </w:p>
        </w:tc>
      </w:tr>
      <w:tr w:rsidRPr="00AB68D8" w:rsidR="00210F59" w:rsidTr="005972F0" w14:paraId="1E5AABFF" w14:textId="77777777">
        <w:trPr>
          <w:jc w:val="center"/>
        </w:trPr>
        <w:tc>
          <w:tcPr>
            <w:tcW w:w="1530" w:type="dxa"/>
          </w:tcPr>
          <w:p w:rsidRPr="00AB68D8" w:rsidR="00210F59" w:rsidP="00210F59" w:rsidRDefault="00210F59" w14:paraId="5E4481DB" w14:textId="77777777"/>
        </w:tc>
        <w:tc>
          <w:tcPr>
            <w:tcW w:w="2471" w:type="dxa"/>
            <w:vAlign w:val="center"/>
          </w:tcPr>
          <w:p w:rsidRPr="00AB68D8" w:rsidR="00210F59" w:rsidP="005972F0" w:rsidRDefault="00210F59" w14:paraId="05368B40" w14:textId="77777777">
            <w:pPr>
              <w:jc w:val="center"/>
              <w:rPr>
                <w:b/>
                <w:bCs/>
              </w:rPr>
            </w:pPr>
            <w:r w:rsidRPr="00AB68D8">
              <w:rPr>
                <w:b/>
                <w:bCs/>
              </w:rPr>
              <w:t>Total</w:t>
            </w:r>
          </w:p>
        </w:tc>
        <w:tc>
          <w:tcPr>
            <w:tcW w:w="1147" w:type="dxa"/>
            <w:vAlign w:val="center"/>
          </w:tcPr>
          <w:p w:rsidRPr="00AB68D8" w:rsidR="00210F59" w:rsidP="005972F0" w:rsidRDefault="005972F0" w14:paraId="1888BDD1" w14:textId="77777777">
            <w:pPr>
              <w:jc w:val="center"/>
            </w:pPr>
            <w:r w:rsidRPr="00AB68D8">
              <w:t>186</w:t>
            </w:r>
          </w:p>
        </w:tc>
        <w:tc>
          <w:tcPr>
            <w:tcW w:w="1350" w:type="dxa"/>
            <w:vAlign w:val="center"/>
          </w:tcPr>
          <w:p w:rsidRPr="00AB68D8" w:rsidR="00210F59" w:rsidP="005972F0" w:rsidRDefault="00210F59" w14:paraId="50E6AACE" w14:textId="77777777">
            <w:pPr>
              <w:jc w:val="center"/>
            </w:pPr>
          </w:p>
        </w:tc>
        <w:tc>
          <w:tcPr>
            <w:tcW w:w="1800" w:type="dxa"/>
            <w:vAlign w:val="center"/>
          </w:tcPr>
          <w:p w:rsidRPr="00AB68D8" w:rsidR="00210F59" w:rsidP="005972F0" w:rsidRDefault="005972F0" w14:paraId="3C337D4C" w14:textId="77777777">
            <w:pPr>
              <w:jc w:val="center"/>
            </w:pPr>
            <w:r w:rsidRPr="00AB68D8">
              <w:t>$16,358</w:t>
            </w:r>
          </w:p>
        </w:tc>
      </w:tr>
    </w:tbl>
    <w:p w:rsidRPr="00AB68D8" w:rsidR="00895712" w:rsidP="001F08A2" w:rsidRDefault="00895712" w14:paraId="178511E2" w14:textId="77777777"/>
    <w:p w:rsidR="00503D85" w:rsidP="002159FB" w:rsidRDefault="00503D85" w14:paraId="670BC013" w14:textId="77777777"/>
    <w:p w:rsidR="00503D85" w:rsidP="002159FB" w:rsidRDefault="00503D85" w14:paraId="48D482DA" w14:textId="77777777">
      <w:bookmarkStart w:name="_Hlk106886258" w:id="25"/>
      <w:r>
        <w:t>Estimated annual cost to respondents is $16,358.</w:t>
      </w:r>
    </w:p>
    <w:bookmarkEnd w:id="25"/>
    <w:p w:rsidR="00503D85" w:rsidP="002159FB" w:rsidRDefault="00503D85" w14:paraId="1BACB8E5" w14:textId="77777777"/>
    <w:p w:rsidR="00503D85" w:rsidP="002159FB" w:rsidRDefault="00503D85" w14:paraId="4C3DD88C" w14:textId="77777777">
      <w:r w:rsidRPr="00AB68D8">
        <w:t>The cost to respondents was calculated using the May 2021 National Occupational Employment and Wage Estimates United States data from the Bureau of Labor Statistics (</w:t>
      </w:r>
      <w:hyperlink w:history="1" r:id="rId11">
        <w:r w:rsidRPr="00AB68D8">
          <w:rPr>
            <w:rStyle w:val="Hyperlink"/>
          </w:rPr>
          <w:t>http://www.bls.go</w:t>
        </w:r>
        <w:r w:rsidRPr="00AB68D8">
          <w:rPr>
            <w:rStyle w:val="Hyperlink"/>
          </w:rPr>
          <w:t>v</w:t>
        </w:r>
        <w:r w:rsidRPr="00AB68D8">
          <w:rPr>
            <w:rStyle w:val="Hyperlink"/>
          </w:rPr>
          <w:t>/oes/current/oes_n</w:t>
        </w:r>
        <w:r w:rsidRPr="00AB68D8">
          <w:rPr>
            <w:rStyle w:val="Hyperlink"/>
          </w:rPr>
          <w:t>a</w:t>
        </w:r>
        <w:r w:rsidRPr="00AB68D8">
          <w:rPr>
            <w:rStyle w:val="Hyperlink"/>
          </w:rPr>
          <w:t>t.htm</w:t>
        </w:r>
      </w:hyperlink>
      <w:r w:rsidRPr="00AB68D8">
        <w:t xml:space="preserve">).    </w:t>
      </w:r>
    </w:p>
    <w:p w:rsidR="00503D85" w:rsidP="002159FB" w:rsidRDefault="00503D85" w14:paraId="7BA944E7" w14:textId="77777777"/>
    <w:p w:rsidRPr="00AB68D8" w:rsidR="002159FB" w:rsidP="002159FB" w:rsidRDefault="002159FB" w14:paraId="27C54E27" w14:textId="77777777">
      <w:r w:rsidRPr="00AB68D8">
        <w:t>Respondents for this information collection include airline maritime conveyance operators, importers/filers, and the general public. Average wages for each category of respondent were calculated using occupation and wage statistics from the Bureau of Labor Statistics.</w:t>
      </w:r>
    </w:p>
    <w:p w:rsidRPr="00AB68D8" w:rsidR="00E150C5" w:rsidP="002159FB" w:rsidRDefault="00E150C5" w14:paraId="5753E7F0" w14:textId="77777777">
      <w:pPr>
        <w:numPr>
          <w:ilvl w:val="0"/>
          <w:numId w:val="2"/>
        </w:numPr>
      </w:pPr>
      <w:r w:rsidRPr="00AB68D8">
        <w:lastRenderedPageBreak/>
        <w:t>For pilots in command, 53-2011 Airline Pilots, Copilots, and Flight Engineers (</w:t>
      </w:r>
      <w:hyperlink w:history="1" r:id="rId12">
        <w:r w:rsidRPr="00AB68D8">
          <w:rPr>
            <w:rStyle w:val="Hyperlink"/>
          </w:rPr>
          <w:t>http://www.bls.gov/oes/current/oes53201</w:t>
        </w:r>
        <w:r w:rsidRPr="00AB68D8">
          <w:rPr>
            <w:rStyle w:val="Hyperlink"/>
          </w:rPr>
          <w:t>1</w:t>
        </w:r>
        <w:r w:rsidRPr="00AB68D8">
          <w:rPr>
            <w:rStyle w:val="Hyperlink"/>
          </w:rPr>
          <w:t>.htm</w:t>
        </w:r>
      </w:hyperlink>
      <w:r w:rsidRPr="00AB68D8">
        <w:t>) was used, with an average hourly wage of $</w:t>
      </w:r>
      <w:r w:rsidRPr="00AB68D8" w:rsidR="00336562">
        <w:t>95.28</w:t>
      </w:r>
    </w:p>
    <w:p w:rsidRPr="00AB68D8" w:rsidR="002159FB" w:rsidP="002159FB" w:rsidRDefault="002159FB" w14:paraId="48F5BDC0" w14:textId="77777777">
      <w:pPr>
        <w:numPr>
          <w:ilvl w:val="0"/>
          <w:numId w:val="2"/>
        </w:numPr>
      </w:pPr>
      <w:r w:rsidRPr="00AB68D8">
        <w:t>For conveyance operators (maritime</w:t>
      </w:r>
      <w:r w:rsidRPr="00AB68D8" w:rsidR="00336562">
        <w:t xml:space="preserve"> and </w:t>
      </w:r>
      <w:r w:rsidRPr="00AB68D8">
        <w:t xml:space="preserve">),  an average of 53-5021 Captains, Mates, and Pilots of Water Vessels </w:t>
      </w:r>
      <w:r w:rsidRPr="00AB68D8" w:rsidR="00336562">
        <w:t>(</w:t>
      </w:r>
      <w:hyperlink w:history="1" r:id="rId13">
        <w:r w:rsidRPr="00AB68D8" w:rsidR="00336562">
          <w:rPr>
            <w:rStyle w:val="Hyperlink"/>
          </w:rPr>
          <w:t>http://www.bls.gov/o</w:t>
        </w:r>
        <w:r w:rsidRPr="00AB68D8" w:rsidR="00336562">
          <w:rPr>
            <w:rStyle w:val="Hyperlink"/>
          </w:rPr>
          <w:t>e</w:t>
        </w:r>
        <w:r w:rsidRPr="00AB68D8" w:rsidR="00336562">
          <w:rPr>
            <w:rStyle w:val="Hyperlink"/>
          </w:rPr>
          <w:t>s</w:t>
        </w:r>
        <w:r w:rsidRPr="00AB68D8" w:rsidR="00336562">
          <w:rPr>
            <w:rStyle w:val="Hyperlink"/>
          </w:rPr>
          <w:t>/</w:t>
        </w:r>
        <w:r w:rsidRPr="00AB68D8" w:rsidR="00336562">
          <w:rPr>
            <w:rStyle w:val="Hyperlink"/>
          </w:rPr>
          <w:t>c</w:t>
        </w:r>
        <w:r w:rsidRPr="00AB68D8" w:rsidR="00336562">
          <w:rPr>
            <w:rStyle w:val="Hyperlink"/>
          </w:rPr>
          <w:t>urre</w:t>
        </w:r>
        <w:r w:rsidRPr="00AB68D8" w:rsidR="00336562">
          <w:rPr>
            <w:rStyle w:val="Hyperlink"/>
          </w:rPr>
          <w:t>n</w:t>
        </w:r>
        <w:r w:rsidRPr="00AB68D8" w:rsidR="00336562">
          <w:rPr>
            <w:rStyle w:val="Hyperlink"/>
          </w:rPr>
          <w:t>t</w:t>
        </w:r>
        <w:r w:rsidRPr="00AB68D8" w:rsidR="00336562">
          <w:rPr>
            <w:rStyle w:val="Hyperlink"/>
          </w:rPr>
          <w:t>/</w:t>
        </w:r>
        <w:r w:rsidRPr="00AB68D8" w:rsidR="00336562">
          <w:rPr>
            <w:rStyle w:val="Hyperlink"/>
          </w:rPr>
          <w:t>oes5</w:t>
        </w:r>
        <w:r w:rsidRPr="00AB68D8" w:rsidR="00336562">
          <w:rPr>
            <w:rStyle w:val="Hyperlink"/>
          </w:rPr>
          <w:t>3</w:t>
        </w:r>
        <w:r w:rsidRPr="00AB68D8" w:rsidR="00336562">
          <w:rPr>
            <w:rStyle w:val="Hyperlink"/>
          </w:rPr>
          <w:t>5</w:t>
        </w:r>
        <w:r w:rsidRPr="00AB68D8" w:rsidR="00336562">
          <w:rPr>
            <w:rStyle w:val="Hyperlink"/>
          </w:rPr>
          <w:t>021.htm</w:t>
        </w:r>
      </w:hyperlink>
      <w:r w:rsidRPr="00AB68D8" w:rsidR="00336562">
        <w:t xml:space="preserve">) at $ 47.27, and 53-3052 Bus Drivers, Transit and Intercity </w:t>
      </w:r>
      <w:r w:rsidRPr="00AB68D8">
        <w:t>is used</w:t>
      </w:r>
      <w:r w:rsidRPr="00AB68D8" w:rsidR="00336562">
        <w:t xml:space="preserve"> (</w:t>
      </w:r>
      <w:hyperlink w:history="1" r:id="rId14">
        <w:r w:rsidRPr="00AB68D8" w:rsidR="00336562">
          <w:rPr>
            <w:rStyle w:val="Hyperlink"/>
          </w:rPr>
          <w:t>https://www.bls.gov/oes/current/oes533052.htm#nat</w:t>
        </w:r>
      </w:hyperlink>
      <w:r w:rsidRPr="00AB68D8" w:rsidR="00336562">
        <w:t>) at $ 24.67</w:t>
      </w:r>
      <w:r w:rsidRPr="00AB68D8">
        <w:t>. </w:t>
      </w:r>
      <w:r w:rsidRPr="00AB68D8" w:rsidR="00C86271">
        <w:t>This yields an average of $</w:t>
      </w:r>
      <w:r w:rsidRPr="00AB68D8" w:rsidR="00336562">
        <w:t xml:space="preserve">35.97 </w:t>
      </w:r>
      <w:r w:rsidRPr="00AB68D8">
        <w:t xml:space="preserve">per hour. </w:t>
      </w:r>
    </w:p>
    <w:p w:rsidRPr="00AB68D8" w:rsidR="00AF5CC8" w:rsidP="002F6101" w:rsidRDefault="00AF5CC8" w14:paraId="167D473E" w14:textId="77777777">
      <w:pPr>
        <w:pStyle w:val="Heading1"/>
      </w:pPr>
      <w:bookmarkStart w:name="_Toc428877091" w:id="26"/>
      <w:r w:rsidRPr="00AB68D8">
        <w:t>13. Estimates of Other Total Annual Cost Burden to Respondents or Record Keepers</w:t>
      </w:r>
      <w:bookmarkEnd w:id="26"/>
    </w:p>
    <w:p w:rsidRPr="00AB68D8" w:rsidR="00AF5CC8" w:rsidP="001F08A2" w:rsidRDefault="00AF5CC8" w14:paraId="5F22DCDB" w14:textId="77777777"/>
    <w:p w:rsidRPr="00AB68D8" w:rsidR="00AF5CC8" w:rsidP="001F08A2" w:rsidRDefault="00AF5CC8" w14:paraId="577F9466" w14:textId="77777777">
      <w:r w:rsidRPr="00AB68D8">
        <w:t>None</w:t>
      </w:r>
    </w:p>
    <w:p w:rsidRPr="00AB68D8" w:rsidR="00AF5CC8" w:rsidP="002F6101" w:rsidRDefault="00AF5CC8" w14:paraId="546CFAE6" w14:textId="77777777">
      <w:pPr>
        <w:pStyle w:val="Heading1"/>
      </w:pPr>
      <w:bookmarkStart w:name="_Toc428877092" w:id="27"/>
      <w:r w:rsidRPr="00AB68D8">
        <w:t>14. Annualized Cost to the Government</w:t>
      </w:r>
      <w:bookmarkEnd w:id="27"/>
    </w:p>
    <w:p w:rsidRPr="00AB68D8" w:rsidR="00AF5CC8" w:rsidP="001F08A2" w:rsidRDefault="00AF5CC8" w14:paraId="73E22E55" w14:textId="77777777"/>
    <w:p w:rsidRPr="00AB68D8" w:rsidR="00B46B87" w:rsidP="00B46B87" w:rsidRDefault="00B46B87" w14:paraId="4718587B" w14:textId="77777777">
      <w:r w:rsidRPr="00AB68D8">
        <w:t>The estimated annualized cost to the Federal Government is $438,168.</w:t>
      </w:r>
    </w:p>
    <w:p w:rsidRPr="00AB68D8" w:rsidR="00B46B87" w:rsidP="00D14754" w:rsidRDefault="00B46B87" w14:paraId="0C074C37" w14:textId="77777777"/>
    <w:p w:rsidRPr="00AB68D8" w:rsidR="00D14754" w:rsidP="00D14754" w:rsidRDefault="00D14754" w14:paraId="0F03922E" w14:textId="77777777">
      <w:r w:rsidRPr="00AB68D8">
        <w:t xml:space="preserve">For each report of illness in travelers covered by 42 CFR part 70, Quarantine staff collect and review the information to determine whether a public health response is necessary.  Their actions are determined by the statutory and regulatory requirements for each report, and the time required to appropriately respond varies.  The amount of time to respond depends on the specifics of the report, requiring action such as filing and/or data entry to conducting an investigation involving multiple staff.  </w:t>
      </w:r>
    </w:p>
    <w:p w:rsidRPr="00AB68D8" w:rsidR="00D14754" w:rsidP="00D14754" w:rsidRDefault="00D14754" w14:paraId="170BAB08" w14:textId="77777777"/>
    <w:p w:rsidRPr="00AB68D8" w:rsidR="00D14754" w:rsidP="00D14754" w:rsidRDefault="00D14754" w14:paraId="35AD0DDA" w14:textId="77777777">
      <w:r w:rsidRPr="00AB68D8">
        <w:t xml:space="preserve">CDC estimates the yearly cost for this information collection request as a function of the staff time required to provide only the initial collection and review of the information provided by the respondents, the pay level of the average CDC staff member reviewing the data, as well as the IT costs associated with the QARS system.  </w:t>
      </w:r>
    </w:p>
    <w:p w:rsidRPr="00AB68D8" w:rsidR="00D14754" w:rsidP="00D14754" w:rsidRDefault="00D14754" w14:paraId="4AF923A9" w14:textId="77777777"/>
    <w:p w:rsidRPr="00AB68D8" w:rsidR="00C54A7C" w:rsidP="00C54A7C" w:rsidRDefault="00C54A7C" w14:paraId="52D9DE77" w14:textId="77777777">
      <w:r w:rsidRPr="00AB68D8">
        <w:t xml:space="preserve">CDC is providing an estimate for staff cost that includes all of the estimated </w:t>
      </w:r>
      <w:r w:rsidRPr="00AB68D8" w:rsidR="005972F0">
        <w:t>1600</w:t>
      </w:r>
      <w:r w:rsidRPr="00AB68D8">
        <w:t xml:space="preserve"> reports of illness or death under the current 42 CFR 70.4</w:t>
      </w:r>
      <w:r w:rsidRPr="00AB68D8" w:rsidR="00E66035">
        <w:t xml:space="preserve"> and 70.11</w:t>
      </w:r>
      <w:r w:rsidRPr="00AB68D8">
        <w:t>. While some may indeed go to the state or local health department, CDC anticipates most will come to CDC directly</w:t>
      </w:r>
      <w:r w:rsidRPr="00AB68D8" w:rsidR="00620D78">
        <w:t>, which CDC has stated meets the requirements under the regulations</w:t>
      </w:r>
      <w:r w:rsidRPr="00AB68D8">
        <w:t>. The staff hours used for this estimation are composed of the total number of estimated reports of death or illn</w:t>
      </w:r>
      <w:r w:rsidRPr="00AB68D8" w:rsidR="008117B6">
        <w:t>ess multiplied by 90 minutes</w:t>
      </w:r>
      <w:r w:rsidRPr="00AB68D8" w:rsidR="005972F0">
        <w:t xml:space="preserve"> (or 1.5 hours)</w:t>
      </w:r>
      <w:r w:rsidRPr="00AB68D8" w:rsidR="008117B6">
        <w:t>; 90</w:t>
      </w:r>
      <w:r w:rsidRPr="00AB68D8">
        <w:t xml:space="preserve"> minutes is the </w:t>
      </w:r>
      <w:r w:rsidRPr="00AB68D8" w:rsidR="008117B6">
        <w:t xml:space="preserve">approximate </w:t>
      </w:r>
      <w:r w:rsidRPr="00AB68D8">
        <w:t>average time required for CDC to do the initial review and processing of the illness or death report.  This total is then multiplied by a GS 12 CDC-staff member in the Atlanta locality.</w:t>
      </w:r>
    </w:p>
    <w:p w:rsidRPr="00AB68D8" w:rsidR="00C54A7C" w:rsidP="00C54A7C" w:rsidRDefault="00C54A7C" w14:paraId="0B384D6E"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7"/>
        <w:gridCol w:w="2182"/>
        <w:gridCol w:w="2184"/>
        <w:gridCol w:w="2177"/>
      </w:tblGrid>
      <w:tr w:rsidRPr="00AB68D8" w:rsidR="00C54A7C" w:rsidTr="005972F0" w14:paraId="2A794637" w14:textId="77777777">
        <w:trPr>
          <w:jc w:val="center"/>
        </w:trPr>
        <w:tc>
          <w:tcPr>
            <w:tcW w:w="2106" w:type="dxa"/>
            <w:shd w:val="clear" w:color="auto" w:fill="auto"/>
          </w:tcPr>
          <w:p w:rsidRPr="00AB68D8" w:rsidR="00C54A7C" w:rsidP="001F0698" w:rsidRDefault="00C54A7C" w14:paraId="09FF3268" w14:textId="77777777"/>
        </w:tc>
        <w:tc>
          <w:tcPr>
            <w:tcW w:w="2214" w:type="dxa"/>
            <w:shd w:val="clear" w:color="auto" w:fill="auto"/>
          </w:tcPr>
          <w:p w:rsidRPr="00AB68D8" w:rsidR="00C54A7C" w:rsidP="00B46B87" w:rsidRDefault="00C54A7C" w14:paraId="1E3D7129" w14:textId="77777777">
            <w:pPr>
              <w:jc w:val="center"/>
              <w:rPr>
                <w:b/>
                <w:bCs/>
              </w:rPr>
            </w:pPr>
            <w:r w:rsidRPr="00AB68D8">
              <w:rPr>
                <w:b/>
                <w:bCs/>
              </w:rPr>
              <w:t>Time in hours required to review and process initial incoming report</w:t>
            </w:r>
          </w:p>
        </w:tc>
        <w:tc>
          <w:tcPr>
            <w:tcW w:w="2214" w:type="dxa"/>
            <w:shd w:val="clear" w:color="auto" w:fill="auto"/>
          </w:tcPr>
          <w:p w:rsidRPr="00AB68D8" w:rsidR="00C54A7C" w:rsidP="00B46B87" w:rsidRDefault="00C54A7C" w14:paraId="362B0045" w14:textId="77777777">
            <w:pPr>
              <w:jc w:val="center"/>
              <w:rPr>
                <w:b/>
                <w:bCs/>
              </w:rPr>
            </w:pPr>
            <w:r w:rsidRPr="00AB68D8">
              <w:rPr>
                <w:b/>
                <w:bCs/>
              </w:rPr>
              <w:t>Average hourly wage of staff reviewing data (GS12 Atlanta locality adjustment)</w:t>
            </w:r>
          </w:p>
        </w:tc>
        <w:tc>
          <w:tcPr>
            <w:tcW w:w="2214" w:type="dxa"/>
          </w:tcPr>
          <w:p w:rsidRPr="00AB68D8" w:rsidR="00C54A7C" w:rsidP="00B46B87" w:rsidRDefault="00C54A7C" w14:paraId="2AB630C2" w14:textId="77777777">
            <w:pPr>
              <w:jc w:val="center"/>
              <w:rPr>
                <w:b/>
                <w:bCs/>
              </w:rPr>
            </w:pPr>
            <w:r w:rsidRPr="00AB68D8">
              <w:rPr>
                <w:b/>
                <w:bCs/>
              </w:rPr>
              <w:t>Total Estimated Yearly Cost</w:t>
            </w:r>
          </w:p>
        </w:tc>
      </w:tr>
      <w:tr w:rsidRPr="00AB68D8" w:rsidR="00C54A7C" w:rsidTr="005972F0" w14:paraId="31B8CE98" w14:textId="77777777">
        <w:trPr>
          <w:jc w:val="center"/>
        </w:trPr>
        <w:tc>
          <w:tcPr>
            <w:tcW w:w="2106" w:type="dxa"/>
            <w:shd w:val="clear" w:color="auto" w:fill="auto"/>
          </w:tcPr>
          <w:p w:rsidRPr="00AB68D8" w:rsidR="00C54A7C" w:rsidP="001F0698" w:rsidRDefault="00C54A7C" w14:paraId="09876741" w14:textId="77777777">
            <w:r w:rsidRPr="00AB68D8">
              <w:t xml:space="preserve">Electronic reports of communicable </w:t>
            </w:r>
            <w:r w:rsidRPr="00AB68D8">
              <w:lastRenderedPageBreak/>
              <w:t>disease or death</w:t>
            </w:r>
          </w:p>
        </w:tc>
        <w:tc>
          <w:tcPr>
            <w:tcW w:w="2214" w:type="dxa"/>
            <w:shd w:val="clear" w:color="auto" w:fill="auto"/>
            <w:vAlign w:val="center"/>
          </w:tcPr>
          <w:p w:rsidRPr="00AB68D8" w:rsidR="00C54A7C" w:rsidP="005972F0" w:rsidRDefault="005972F0" w14:paraId="2A90CFBA" w14:textId="77777777">
            <w:pPr>
              <w:jc w:val="center"/>
            </w:pPr>
            <w:r w:rsidRPr="00AB68D8">
              <w:lastRenderedPageBreak/>
              <w:t>1600</w:t>
            </w:r>
            <w:r w:rsidRPr="00AB68D8" w:rsidR="00E66035">
              <w:t xml:space="preserve"> reports x </w:t>
            </w:r>
            <w:r w:rsidRPr="00AB68D8">
              <w:t>1.5 hours</w:t>
            </w:r>
            <w:r w:rsidRPr="00AB68D8" w:rsidR="00C54A7C">
              <w:t xml:space="preserve">/report = </w:t>
            </w:r>
            <w:r w:rsidRPr="00AB68D8">
              <w:t>30</w:t>
            </w:r>
            <w:r w:rsidRPr="00AB68D8" w:rsidR="00C54A7C">
              <w:t xml:space="preserve">0 </w:t>
            </w:r>
            <w:r w:rsidRPr="00AB68D8" w:rsidR="00C54A7C">
              <w:lastRenderedPageBreak/>
              <w:t>hours</w:t>
            </w:r>
          </w:p>
        </w:tc>
        <w:tc>
          <w:tcPr>
            <w:tcW w:w="2214" w:type="dxa"/>
            <w:shd w:val="clear" w:color="auto" w:fill="auto"/>
            <w:vAlign w:val="center"/>
          </w:tcPr>
          <w:p w:rsidRPr="00AB68D8" w:rsidR="00C54A7C" w:rsidP="005972F0" w:rsidRDefault="006075EA" w14:paraId="107DE55F" w14:textId="77777777">
            <w:pPr>
              <w:jc w:val="center"/>
            </w:pPr>
            <w:r w:rsidRPr="00AB68D8">
              <w:lastRenderedPageBreak/>
              <w:t>$</w:t>
            </w:r>
            <w:r w:rsidRPr="00AB68D8" w:rsidR="005972F0">
              <w:t>45.48</w:t>
            </w:r>
          </w:p>
        </w:tc>
        <w:tc>
          <w:tcPr>
            <w:tcW w:w="2214" w:type="dxa"/>
            <w:vAlign w:val="center"/>
          </w:tcPr>
          <w:p w:rsidRPr="00AB68D8" w:rsidR="00C54A7C" w:rsidP="00B46B87" w:rsidRDefault="00C54A7C" w14:paraId="48D515F9" w14:textId="77777777">
            <w:pPr>
              <w:jc w:val="center"/>
              <w:rPr>
                <w:b/>
                <w:bCs/>
              </w:rPr>
            </w:pPr>
            <w:r w:rsidRPr="00AB68D8">
              <w:rPr>
                <w:b/>
                <w:bCs/>
              </w:rPr>
              <w:t>$</w:t>
            </w:r>
            <w:r w:rsidRPr="00AB68D8" w:rsidR="005972F0">
              <w:rPr>
                <w:b/>
                <w:bCs/>
              </w:rPr>
              <w:t>109,152</w:t>
            </w:r>
          </w:p>
        </w:tc>
      </w:tr>
    </w:tbl>
    <w:p w:rsidRPr="00AB68D8" w:rsidR="00C54A7C" w:rsidP="00C54A7C" w:rsidRDefault="00C54A7C" w14:paraId="19DA6E98" w14:textId="77777777"/>
    <w:p w:rsidRPr="00AB68D8" w:rsidR="00C54A7C" w:rsidP="00C54A7C" w:rsidRDefault="00C54A7C" w14:paraId="6BD17ABC" w14:textId="77777777">
      <w:r w:rsidRPr="00AB68D8">
        <w:t>There are also CDC system and personnel costs associated with the use, development, and maintenance of QARS.  These costs include the IT</w:t>
      </w:r>
      <w:r w:rsidRPr="00AB68D8" w:rsidR="001D6B46">
        <w:t xml:space="preserve"> </w:t>
      </w:r>
      <w:r w:rsidRPr="00AB68D8" w:rsidR="006075EA">
        <w:t>staffing</w:t>
      </w:r>
      <w:r w:rsidRPr="00AB68D8">
        <w:t xml:space="preserve"> costs and associated </w:t>
      </w:r>
      <w:r w:rsidRPr="00AB68D8" w:rsidR="001D6B46">
        <w:t xml:space="preserve">SME </w:t>
      </w:r>
      <w:r w:rsidRPr="00AB68D8">
        <w:t>staffing costs. The QARS related costs dedicated only to domestic reports o</w:t>
      </w:r>
      <w:r w:rsidRPr="00AB68D8" w:rsidR="00FF318D">
        <w:t>f communicable disease or death</w:t>
      </w:r>
      <w:r w:rsidRPr="00AB68D8">
        <w:t xml:space="preserve"> cannot be separated from the total QARS system costs; therefore, the total QARS costs are presented here. These costs are as follows:</w:t>
      </w:r>
      <w:r w:rsidR="004439BE">
        <w:t>95.28</w:t>
      </w:r>
    </w:p>
    <w:p w:rsidRPr="00AB68D8" w:rsidR="00C54A7C" w:rsidP="00C54A7C" w:rsidRDefault="00C54A7C" w14:paraId="5E5E5D01"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3"/>
        <w:gridCol w:w="4299"/>
      </w:tblGrid>
      <w:tr w:rsidRPr="00AB68D8" w:rsidR="00C54A7C" w:rsidTr="001F0698" w14:paraId="0219A978" w14:textId="77777777">
        <w:tc>
          <w:tcPr>
            <w:tcW w:w="4320" w:type="dxa"/>
            <w:shd w:val="clear" w:color="auto" w:fill="auto"/>
          </w:tcPr>
          <w:p w:rsidRPr="00AB68D8" w:rsidR="00C54A7C" w:rsidP="001F0698" w:rsidRDefault="00C54A7C" w14:paraId="6522DFFB" w14:textId="77777777">
            <w:r w:rsidRPr="00AB68D8">
              <w:t>QARS System Costs</w:t>
            </w:r>
          </w:p>
        </w:tc>
        <w:tc>
          <w:tcPr>
            <w:tcW w:w="4410" w:type="dxa"/>
            <w:shd w:val="clear" w:color="auto" w:fill="auto"/>
          </w:tcPr>
          <w:p w:rsidRPr="00AB68D8" w:rsidR="00C54A7C" w:rsidP="001D6B46" w:rsidRDefault="00C54A7C" w14:paraId="05F77A40" w14:textId="77777777">
            <w:r w:rsidRPr="00AB68D8">
              <w:t>$</w:t>
            </w:r>
            <w:r w:rsidRPr="00AB68D8" w:rsidR="008117B6">
              <w:t>185</w:t>
            </w:r>
            <w:r w:rsidRPr="00AB68D8" w:rsidR="001D6B46">
              <w:t>,000</w:t>
            </w:r>
          </w:p>
        </w:tc>
      </w:tr>
      <w:tr w:rsidRPr="00AB68D8" w:rsidR="00C54A7C" w:rsidTr="001F0698" w14:paraId="73CD9593" w14:textId="77777777">
        <w:tc>
          <w:tcPr>
            <w:tcW w:w="4320" w:type="dxa"/>
            <w:shd w:val="clear" w:color="auto" w:fill="auto"/>
          </w:tcPr>
          <w:p w:rsidRPr="00AB68D8" w:rsidR="00C54A7C" w:rsidP="001F0698" w:rsidRDefault="00C54A7C" w14:paraId="2D870742" w14:textId="77777777">
            <w:r w:rsidRPr="00AB68D8">
              <w:t>Staff Costs (Atlanta locality adjustment):</w:t>
            </w:r>
          </w:p>
          <w:p w:rsidRPr="00AB68D8" w:rsidR="00C54A7C" w:rsidP="001F0698" w:rsidRDefault="00C54A7C" w14:paraId="302E3E54" w14:textId="77777777">
            <w:r w:rsidRPr="00AB68D8">
              <w:t>1xGS-12 and 1xGS-9(75%)</w:t>
            </w:r>
          </w:p>
        </w:tc>
        <w:tc>
          <w:tcPr>
            <w:tcW w:w="4410" w:type="dxa"/>
            <w:shd w:val="clear" w:color="auto" w:fill="auto"/>
          </w:tcPr>
          <w:p w:rsidRPr="00AB68D8" w:rsidR="00C54A7C" w:rsidP="001F0698" w:rsidRDefault="00C54A7C" w14:paraId="7919F4B4" w14:textId="77777777">
            <w:r w:rsidRPr="00AB68D8">
              <w:t>$</w:t>
            </w:r>
            <w:r w:rsidRPr="00AB68D8" w:rsidR="00B0178B">
              <w:t>144,016</w:t>
            </w:r>
          </w:p>
        </w:tc>
      </w:tr>
      <w:tr w:rsidRPr="00AB68D8" w:rsidR="00C54A7C" w:rsidTr="001F0698" w14:paraId="5FB569BE" w14:textId="77777777">
        <w:tc>
          <w:tcPr>
            <w:tcW w:w="4320" w:type="dxa"/>
            <w:shd w:val="clear" w:color="auto" w:fill="auto"/>
          </w:tcPr>
          <w:p w:rsidRPr="00AB68D8" w:rsidR="00C54A7C" w:rsidP="001F0698" w:rsidRDefault="00C54A7C" w14:paraId="30F00FBB" w14:textId="77777777">
            <w:pPr>
              <w:rPr>
                <w:b/>
                <w:bCs/>
              </w:rPr>
            </w:pPr>
            <w:r w:rsidRPr="00AB68D8">
              <w:rPr>
                <w:b/>
                <w:bCs/>
              </w:rPr>
              <w:t>Total</w:t>
            </w:r>
          </w:p>
        </w:tc>
        <w:tc>
          <w:tcPr>
            <w:tcW w:w="4410" w:type="dxa"/>
            <w:shd w:val="clear" w:color="auto" w:fill="auto"/>
          </w:tcPr>
          <w:p w:rsidRPr="00AB68D8" w:rsidR="00C54A7C" w:rsidP="008117B6" w:rsidRDefault="00C54A7C" w14:paraId="04983EFF" w14:textId="77777777">
            <w:pPr>
              <w:rPr>
                <w:b/>
                <w:bCs/>
              </w:rPr>
            </w:pPr>
            <w:r w:rsidRPr="00AB68D8">
              <w:rPr>
                <w:b/>
                <w:bCs/>
              </w:rPr>
              <w:t>$</w:t>
            </w:r>
            <w:r w:rsidRPr="00AB68D8" w:rsidR="00B0178B">
              <w:rPr>
                <w:b/>
                <w:bCs/>
              </w:rPr>
              <w:t>329,016</w:t>
            </w:r>
          </w:p>
        </w:tc>
      </w:tr>
    </w:tbl>
    <w:p w:rsidRPr="00AB68D8" w:rsidR="00C54A7C" w:rsidP="00C54A7C" w:rsidRDefault="00C54A7C" w14:paraId="4DA68533" w14:textId="77777777">
      <w:r w:rsidRPr="00AB68D8">
        <w:t>CDC does not have access to any state or local health department system costs, so they are not accounted for in this estimate.</w:t>
      </w:r>
    </w:p>
    <w:p w:rsidRPr="00AB68D8" w:rsidR="00C54A7C" w:rsidP="00C54A7C" w:rsidRDefault="00C54A7C" w14:paraId="0850D3F1" w14:textId="77777777"/>
    <w:p w:rsidRPr="00AB68D8" w:rsidR="00FD4D99" w:rsidP="002F6101" w:rsidRDefault="00FD4D99" w14:paraId="1FDF72EF" w14:textId="77777777">
      <w:pPr>
        <w:pStyle w:val="Heading1"/>
      </w:pPr>
      <w:bookmarkStart w:name="_Toc428877093" w:id="28"/>
      <w:r w:rsidRPr="00AB68D8">
        <w:t xml:space="preserve">15.  </w:t>
      </w:r>
      <w:r w:rsidRPr="00AB68D8" w:rsidR="00020727">
        <w:t>Explanation of Program Changes or Adjustments</w:t>
      </w:r>
      <w:bookmarkEnd w:id="28"/>
    </w:p>
    <w:p w:rsidRPr="00AB68D8" w:rsidR="00020727" w:rsidP="001F08A2" w:rsidRDefault="00020727" w14:paraId="5A48FF02" w14:textId="77777777"/>
    <w:p w:rsidRPr="00AB68D8" w:rsidR="00317612" w:rsidP="00B46B87" w:rsidRDefault="00B46B87" w14:paraId="3D6BD4CE" w14:textId="77777777">
      <w:pPr>
        <w:numPr>
          <w:ilvl w:val="0"/>
          <w:numId w:val="16"/>
        </w:numPr>
      </w:pPr>
      <w:bookmarkStart w:name="_Toc428877094" w:id="29"/>
      <w:r w:rsidRPr="00AB68D8">
        <w:t xml:space="preserve">The total burden hours from the last revision has increased from 23 to 186 hours. This is due to more reports coming in related to the COVID-19 pandemic. CDC expects this may be an overestimate as more people become fully vaccinated and air travel contact investigations for COVID-19 have ceased. </w:t>
      </w:r>
    </w:p>
    <w:p w:rsidRPr="00AB68D8" w:rsidR="00317612" w:rsidP="001C62BC" w:rsidRDefault="00B46B87" w14:paraId="6CCFBDF2" w14:textId="77777777">
      <w:pPr>
        <w:numPr>
          <w:ilvl w:val="0"/>
          <w:numId w:val="16"/>
        </w:numPr>
      </w:pPr>
      <w:r w:rsidRPr="00AB68D8">
        <w:t>Updates in burden hours and hourly wage costs increased the cost burden to respondents from $1,764 to $16,358.</w:t>
      </w:r>
    </w:p>
    <w:p w:rsidRPr="00AB68D8" w:rsidR="00B46B87" w:rsidP="001C62BC" w:rsidRDefault="00B46B87" w14:paraId="78B6E851" w14:textId="77777777">
      <w:pPr>
        <w:numPr>
          <w:ilvl w:val="0"/>
          <w:numId w:val="16"/>
        </w:numPr>
      </w:pPr>
      <w:r w:rsidRPr="00AB68D8">
        <w:t xml:space="preserve">Updates in number of respondents and hourly wage costs also increase the cost burden to the federal government from </w:t>
      </w:r>
      <w:r w:rsidRPr="00AB68D8" w:rsidR="00F26DD0">
        <w:t>$312,987 to $438,168.</w:t>
      </w:r>
    </w:p>
    <w:p w:rsidRPr="00AB68D8" w:rsidR="00020727" w:rsidP="002F6101" w:rsidRDefault="00020727" w14:paraId="1BFB71ED" w14:textId="77777777">
      <w:pPr>
        <w:pStyle w:val="Heading1"/>
      </w:pPr>
      <w:r w:rsidRPr="00AB68D8">
        <w:t>16.  Plans for Tabulation and Publication and Project Time Schedule</w:t>
      </w:r>
      <w:bookmarkEnd w:id="29"/>
    </w:p>
    <w:p w:rsidRPr="00AB68D8" w:rsidR="004D70E0" w:rsidP="001F08A2" w:rsidRDefault="004D70E0" w14:paraId="184E4660" w14:textId="77777777"/>
    <w:p w:rsidRPr="00AB68D8" w:rsidR="00020727" w:rsidP="001F08A2" w:rsidRDefault="00020727" w14:paraId="0DEE89F9" w14:textId="77777777">
      <w:r w:rsidRPr="00AB68D8">
        <w:t>Data are not collected for statistical purposes, but only to meet the legislative mandate as implemented in 42 CFR Part 70.</w:t>
      </w:r>
    </w:p>
    <w:p w:rsidRPr="00AB68D8" w:rsidR="004D70E0" w:rsidP="001F08A2" w:rsidRDefault="004D70E0" w14:paraId="132FD8AC" w14:textId="77777777"/>
    <w:p w:rsidRPr="00AB68D8" w:rsidR="00020727" w:rsidP="002F6101" w:rsidRDefault="00020727" w14:paraId="2D97EF57" w14:textId="77777777">
      <w:pPr>
        <w:pStyle w:val="Heading1"/>
      </w:pPr>
      <w:bookmarkStart w:name="_Toc428877095" w:id="30"/>
      <w:r w:rsidRPr="00AB68D8">
        <w:t>17.  Reason(s) Display of OMB Expiration Date is Inappropriate</w:t>
      </w:r>
      <w:bookmarkEnd w:id="30"/>
    </w:p>
    <w:p w:rsidRPr="00AB68D8" w:rsidR="00020727" w:rsidP="001F08A2" w:rsidRDefault="00996DB3" w14:paraId="38C5A091" w14:textId="77777777">
      <w:r w:rsidRPr="00AB68D8">
        <w:t>Display of the expiration date is not inappropriate</w:t>
      </w:r>
      <w:r w:rsidRPr="00AB68D8" w:rsidR="00F26DD0">
        <w:t>, however there is no form associated with this collection</w:t>
      </w:r>
      <w:r w:rsidRPr="00AB68D8">
        <w:t xml:space="preserve">.  No exemption is requested. </w:t>
      </w:r>
    </w:p>
    <w:p w:rsidRPr="00AB68D8" w:rsidR="00020727" w:rsidP="002F6101" w:rsidRDefault="00020727" w14:paraId="10ADAADA" w14:textId="77777777">
      <w:pPr>
        <w:pStyle w:val="Heading1"/>
      </w:pPr>
      <w:bookmarkStart w:name="_Toc428877096" w:id="31"/>
      <w:r w:rsidRPr="00AB68D8">
        <w:t>18. Exceptions to Certification for Paperwork Reduction Act Submissions</w:t>
      </w:r>
      <w:bookmarkEnd w:id="31"/>
    </w:p>
    <w:p w:rsidRPr="00AB68D8" w:rsidR="00020727" w:rsidP="001F08A2" w:rsidRDefault="00020727" w14:paraId="71802E4E" w14:textId="77777777"/>
    <w:p w:rsidRPr="00AB68D8" w:rsidR="00020727" w:rsidP="001F08A2" w:rsidRDefault="00020727" w14:paraId="5D7D609E" w14:textId="77777777">
      <w:r w:rsidRPr="00AB68D8">
        <w:t>There are no exceptions to the certification.</w:t>
      </w:r>
    </w:p>
    <w:p w:rsidRPr="00AB68D8" w:rsidR="00832C78" w:rsidP="001F08A2" w:rsidRDefault="00832C78" w14:paraId="2DF07806" w14:textId="77777777">
      <w:pPr>
        <w:rPr>
          <w:b/>
          <w:u w:val="single"/>
        </w:rPr>
      </w:pPr>
    </w:p>
    <w:p w:rsidR="00F26DD0" w:rsidP="00F26DD0" w:rsidRDefault="00F26DD0" w14:paraId="7D3943DC" w14:textId="77777777">
      <w:bookmarkStart w:name="_Toc428877097" w:id="32"/>
    </w:p>
    <w:p w:rsidR="00451558" w:rsidP="00F26DD0" w:rsidRDefault="00451558" w14:paraId="18ED4C48" w14:textId="77777777"/>
    <w:p w:rsidR="00451558" w:rsidP="00F26DD0" w:rsidRDefault="00451558" w14:paraId="62941549" w14:textId="77777777"/>
    <w:p w:rsidR="00451558" w:rsidP="00F26DD0" w:rsidRDefault="00451558" w14:paraId="66017506" w14:textId="77777777"/>
    <w:p w:rsidRPr="00AB68D8" w:rsidR="00451558" w:rsidP="00F26DD0" w:rsidRDefault="00451558" w14:paraId="60F34969" w14:textId="77777777"/>
    <w:p w:rsidRPr="00AB68D8" w:rsidR="00F75A33" w:rsidP="002F6101" w:rsidRDefault="00F75A33" w14:paraId="70542000" w14:textId="77777777">
      <w:pPr>
        <w:pStyle w:val="Heading1"/>
      </w:pPr>
      <w:r w:rsidRPr="00AB68D8">
        <w:lastRenderedPageBreak/>
        <w:t>Attachments</w:t>
      </w:r>
      <w:bookmarkEnd w:id="32"/>
    </w:p>
    <w:p w:rsidRPr="00AB68D8" w:rsidR="00F75A33" w:rsidP="00F75A33" w:rsidRDefault="00F75A33" w14:paraId="665C9E8D" w14:textId="77777777">
      <w:pPr>
        <w:ind w:left="360"/>
        <w:outlineLvl w:val="0"/>
        <w:rPr>
          <w:b/>
          <w:u w:val="single"/>
        </w:rPr>
      </w:pPr>
    </w:p>
    <w:p w:rsidRPr="00AB68D8" w:rsidR="00F75A33" w:rsidP="001064C4" w:rsidRDefault="00F75A33" w14:paraId="0A3B7F7C" w14:textId="77777777">
      <w:pPr>
        <w:outlineLvl w:val="0"/>
      </w:pPr>
      <w:bookmarkStart w:name="_Toc428877098" w:id="33"/>
      <w:r w:rsidRPr="00AB68D8">
        <w:t xml:space="preserve">Attachment </w:t>
      </w:r>
      <w:r w:rsidRPr="00AB68D8" w:rsidR="00F26DD0">
        <w:t>A1</w:t>
      </w:r>
      <w:r w:rsidRPr="00AB68D8">
        <w:t>: Section 361 of the Public Health Service Act (42 USC 264)</w:t>
      </w:r>
      <w:bookmarkEnd w:id="33"/>
    </w:p>
    <w:p w:rsidRPr="00AB68D8" w:rsidR="00F75A33" w:rsidP="001064C4" w:rsidRDefault="00F75A33" w14:paraId="27967FFB" w14:textId="77777777">
      <w:pPr>
        <w:outlineLvl w:val="0"/>
      </w:pPr>
      <w:bookmarkStart w:name="_Toc428877099" w:id="34"/>
      <w:r w:rsidRPr="00AB68D8">
        <w:t xml:space="preserve">Attachment </w:t>
      </w:r>
      <w:r w:rsidRPr="00AB68D8" w:rsidR="00F26DD0">
        <w:t>A2</w:t>
      </w:r>
      <w:r w:rsidRPr="00AB68D8" w:rsidR="00C54FC4">
        <w:t>: 42 CFR Part 71</w:t>
      </w:r>
      <w:bookmarkEnd w:id="34"/>
    </w:p>
    <w:p w:rsidRPr="00AB68D8" w:rsidR="00C54FC4" w:rsidP="001064C4" w:rsidRDefault="00C54FC4" w14:paraId="53B8820B" w14:textId="77777777">
      <w:pPr>
        <w:outlineLvl w:val="0"/>
      </w:pPr>
      <w:bookmarkStart w:name="_Toc428877100" w:id="35"/>
      <w:r w:rsidRPr="00AB68D8">
        <w:t xml:space="preserve">Attachment </w:t>
      </w:r>
      <w:r w:rsidRPr="00AB68D8" w:rsidR="00F26DD0">
        <w:t>A3</w:t>
      </w:r>
      <w:r w:rsidRPr="00AB68D8">
        <w:t>: 42 CFR Part 70</w:t>
      </w:r>
      <w:bookmarkEnd w:id="35"/>
    </w:p>
    <w:p w:rsidRPr="00AB68D8" w:rsidR="00F75A33" w:rsidP="001064C4" w:rsidRDefault="00C54FC4" w14:paraId="6861D33C" w14:textId="77777777">
      <w:pPr>
        <w:outlineLvl w:val="0"/>
      </w:pPr>
      <w:bookmarkStart w:name="_Toc428877101" w:id="36"/>
      <w:r w:rsidRPr="00AB68D8">
        <w:t xml:space="preserve">Attachment </w:t>
      </w:r>
      <w:r w:rsidRPr="00AB68D8" w:rsidR="00F26DD0">
        <w:t>B</w:t>
      </w:r>
      <w:r w:rsidRPr="00AB68D8">
        <w:t xml:space="preserve">: </w:t>
      </w:r>
      <w:r w:rsidRPr="00AB68D8" w:rsidR="00F75A33">
        <w:t>60 day Federal Register Notice</w:t>
      </w:r>
      <w:bookmarkEnd w:id="36"/>
    </w:p>
    <w:p w:rsidRPr="00AB68D8" w:rsidR="00F26DD0" w:rsidP="001064C4" w:rsidRDefault="00F26DD0" w14:paraId="0BF18C93" w14:textId="77777777">
      <w:pPr>
        <w:outlineLvl w:val="0"/>
      </w:pPr>
      <w:r w:rsidRPr="00AB68D8">
        <w:t>Attachment C: 60 day Federal Register Notice-PublicComment</w:t>
      </w:r>
    </w:p>
    <w:p w:rsidRPr="00AB68D8" w:rsidR="00A95B33" w:rsidP="001064C4" w:rsidRDefault="00A95B33" w14:paraId="4CAAACD5" w14:textId="77777777">
      <w:pPr>
        <w:outlineLvl w:val="0"/>
      </w:pPr>
      <w:r w:rsidRPr="00AB68D8">
        <w:t xml:space="preserve">Attachment </w:t>
      </w:r>
      <w:r w:rsidRPr="00AB68D8" w:rsidR="00F26DD0">
        <w:t>D</w:t>
      </w:r>
      <w:r w:rsidRPr="00AB68D8">
        <w:t xml:space="preserve">: </w:t>
      </w:r>
      <w:r w:rsidRPr="00AB68D8" w:rsidR="00C72A33">
        <w:t>CDC FAA Memorandum of Agreement</w:t>
      </w:r>
    </w:p>
    <w:p w:rsidRPr="00AB68D8" w:rsidR="008A38DE" w:rsidP="001064C4" w:rsidRDefault="008A38DE" w14:paraId="4AB54184" w14:textId="77777777">
      <w:pPr>
        <w:outlineLvl w:val="0"/>
      </w:pPr>
      <w:bookmarkStart w:name="_Toc428877102" w:id="37"/>
      <w:r w:rsidRPr="00AB68D8">
        <w:t xml:space="preserve">Attachment </w:t>
      </w:r>
      <w:r w:rsidRPr="00AB68D8" w:rsidR="00F26DD0">
        <w:t>E</w:t>
      </w:r>
      <w:r w:rsidRPr="00AB68D8">
        <w:t>: Privacy Impact Assessment</w:t>
      </w:r>
      <w:bookmarkEnd w:id="37"/>
    </w:p>
    <w:p w:rsidR="000A146D" w:rsidP="001064C4" w:rsidRDefault="000A146D" w14:paraId="269F5280" w14:textId="77777777">
      <w:pPr>
        <w:outlineLvl w:val="0"/>
      </w:pPr>
      <w:bookmarkStart w:name="_Toc428877103" w:id="38"/>
      <w:r w:rsidRPr="00AB68D8">
        <w:t xml:space="preserve">Attachment </w:t>
      </w:r>
      <w:r w:rsidRPr="00AB68D8" w:rsidR="00F26DD0">
        <w:t>F</w:t>
      </w:r>
      <w:r w:rsidRPr="00AB68D8">
        <w:t xml:space="preserve">: </w:t>
      </w:r>
      <w:r w:rsidRPr="00AB68D8" w:rsidR="00C75593">
        <w:t xml:space="preserve">CDC </w:t>
      </w:r>
      <w:r w:rsidRPr="00AB68D8" w:rsidR="00E34F5D">
        <w:t>Non-research determination</w:t>
      </w:r>
      <w:bookmarkEnd w:id="38"/>
    </w:p>
    <w:p w:rsidR="00832C78" w:rsidP="001F08A2" w:rsidRDefault="00832C78" w14:paraId="492CC168" w14:textId="77777777">
      <w:pPr>
        <w:rPr>
          <w:b/>
          <w:u w:val="single"/>
        </w:rPr>
      </w:pPr>
    </w:p>
    <w:p w:rsidR="00832C78" w:rsidP="001F08A2" w:rsidRDefault="00832C78" w14:paraId="55048281" w14:textId="77777777">
      <w:pPr>
        <w:rPr>
          <w:b/>
          <w:u w:val="single"/>
        </w:rPr>
      </w:pPr>
    </w:p>
    <w:p w:rsidR="00832C78" w:rsidP="001F08A2" w:rsidRDefault="00832C78" w14:paraId="290F72E5" w14:textId="77777777">
      <w:pPr>
        <w:rPr>
          <w:b/>
          <w:u w:val="single"/>
        </w:rPr>
      </w:pPr>
    </w:p>
    <w:p w:rsidR="008B2D1E" w:rsidP="00B21BB0" w:rsidRDefault="008B2D1E" w14:paraId="50B78179" w14:textId="77777777"/>
    <w:sectPr w:rsidR="008B2D1E" w:rsidSect="00ED15E5">
      <w:headerReference w:type="even" r:id="rId15"/>
      <w:headerReference w:type="default" r:id="rId16"/>
      <w:footerReference w:type="even" r:id="rId17"/>
      <w:footerReference w:type="default" r:id="rId18"/>
      <w:headerReference w:type="first" r:id="rId19"/>
      <w:footerReference w:type="first" r:id="rId20"/>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2DB8" w14:textId="77777777" w:rsidR="00CB1C9E" w:rsidRDefault="00CB1C9E">
      <w:r>
        <w:separator/>
      </w:r>
    </w:p>
  </w:endnote>
  <w:endnote w:type="continuationSeparator" w:id="0">
    <w:p w14:paraId="084FF53A" w14:textId="77777777" w:rsidR="00CB1C9E" w:rsidRDefault="00CB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Std">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F46E" w14:textId="77777777" w:rsidR="00340131" w:rsidRDefault="00340131"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B3E4AB" w14:textId="77777777" w:rsidR="00340131" w:rsidRDefault="00340131"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62A9" w14:textId="77777777" w:rsidR="00340131" w:rsidRDefault="00340131"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A44">
      <w:rPr>
        <w:rStyle w:val="PageNumber"/>
        <w:noProof/>
      </w:rPr>
      <w:t>2</w:t>
    </w:r>
    <w:r>
      <w:rPr>
        <w:rStyle w:val="PageNumber"/>
      </w:rPr>
      <w:fldChar w:fldCharType="end"/>
    </w:r>
  </w:p>
  <w:p w14:paraId="7BBFEB7F" w14:textId="77777777" w:rsidR="00340131" w:rsidRDefault="00340131"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1D0E" w14:textId="77777777" w:rsidR="00430DA7" w:rsidRDefault="00430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82B2" w14:textId="77777777" w:rsidR="00CB1C9E" w:rsidRDefault="00CB1C9E">
      <w:r>
        <w:separator/>
      </w:r>
    </w:p>
  </w:footnote>
  <w:footnote w:type="continuationSeparator" w:id="0">
    <w:p w14:paraId="062F9EED" w14:textId="77777777" w:rsidR="00CB1C9E" w:rsidRDefault="00CB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483" w14:textId="77777777" w:rsidR="00430DA7" w:rsidRDefault="00430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AC75" w14:textId="77777777" w:rsidR="00430DA7" w:rsidRDefault="00430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7A36" w14:textId="77777777" w:rsidR="00430DA7" w:rsidRDefault="00430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D19"/>
    <w:multiLevelType w:val="hybridMultilevel"/>
    <w:tmpl w:val="F7FA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D7202"/>
    <w:multiLevelType w:val="hybridMultilevel"/>
    <w:tmpl w:val="2606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973CE"/>
    <w:multiLevelType w:val="hybridMultilevel"/>
    <w:tmpl w:val="4B5E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FB2564"/>
    <w:multiLevelType w:val="hybridMultilevel"/>
    <w:tmpl w:val="4640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
  </w:num>
  <w:num w:numId="4">
    <w:abstractNumId w:val="9"/>
  </w:num>
  <w:num w:numId="5">
    <w:abstractNumId w:val="14"/>
  </w:num>
  <w:num w:numId="6">
    <w:abstractNumId w:val="10"/>
  </w:num>
  <w:num w:numId="7">
    <w:abstractNumId w:val="3"/>
  </w:num>
  <w:num w:numId="8">
    <w:abstractNumId w:val="2"/>
  </w:num>
  <w:num w:numId="9">
    <w:abstractNumId w:val="6"/>
  </w:num>
  <w:num w:numId="10">
    <w:abstractNumId w:val="8"/>
  </w:num>
  <w:num w:numId="11">
    <w:abstractNumId w:val="11"/>
  </w:num>
  <w:num w:numId="12">
    <w:abstractNumId w:val="13"/>
  </w:num>
  <w:num w:numId="13">
    <w:abstractNumId w:val="0"/>
  </w:num>
  <w:num w:numId="14">
    <w:abstractNumId w:val="7"/>
  </w:num>
  <w:num w:numId="15">
    <w:abstractNumId w:val="6"/>
    <w:lvlOverride w:ilvl="0"/>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A2"/>
    <w:rsid w:val="00002A51"/>
    <w:rsid w:val="000106DA"/>
    <w:rsid w:val="000118B4"/>
    <w:rsid w:val="0001566F"/>
    <w:rsid w:val="00016507"/>
    <w:rsid w:val="00016EF8"/>
    <w:rsid w:val="00020727"/>
    <w:rsid w:val="000212FB"/>
    <w:rsid w:val="0002198D"/>
    <w:rsid w:val="00025CB3"/>
    <w:rsid w:val="0002652B"/>
    <w:rsid w:val="000334A9"/>
    <w:rsid w:val="00046DFA"/>
    <w:rsid w:val="000503EC"/>
    <w:rsid w:val="00052D3F"/>
    <w:rsid w:val="00055B0C"/>
    <w:rsid w:val="00060757"/>
    <w:rsid w:val="000640F4"/>
    <w:rsid w:val="000725C8"/>
    <w:rsid w:val="00072FC5"/>
    <w:rsid w:val="00080D8A"/>
    <w:rsid w:val="000813DE"/>
    <w:rsid w:val="00090AD9"/>
    <w:rsid w:val="00091000"/>
    <w:rsid w:val="000A0568"/>
    <w:rsid w:val="000A146D"/>
    <w:rsid w:val="000A5FC6"/>
    <w:rsid w:val="000B0596"/>
    <w:rsid w:val="000B17ED"/>
    <w:rsid w:val="000C101F"/>
    <w:rsid w:val="000D1210"/>
    <w:rsid w:val="000E02F6"/>
    <w:rsid w:val="000E2C9B"/>
    <w:rsid w:val="000F1E51"/>
    <w:rsid w:val="000F41A6"/>
    <w:rsid w:val="000F44C5"/>
    <w:rsid w:val="00101517"/>
    <w:rsid w:val="001064C4"/>
    <w:rsid w:val="0011240F"/>
    <w:rsid w:val="0011431B"/>
    <w:rsid w:val="001177D9"/>
    <w:rsid w:val="001245CF"/>
    <w:rsid w:val="00130AE1"/>
    <w:rsid w:val="001346B6"/>
    <w:rsid w:val="00136B59"/>
    <w:rsid w:val="00145387"/>
    <w:rsid w:val="00146DE0"/>
    <w:rsid w:val="001565FC"/>
    <w:rsid w:val="001643B1"/>
    <w:rsid w:val="0017044A"/>
    <w:rsid w:val="001814EF"/>
    <w:rsid w:val="0018359E"/>
    <w:rsid w:val="00186DDD"/>
    <w:rsid w:val="00194780"/>
    <w:rsid w:val="00197C7A"/>
    <w:rsid w:val="001A6D3C"/>
    <w:rsid w:val="001A7DE1"/>
    <w:rsid w:val="001C363E"/>
    <w:rsid w:val="001C62BC"/>
    <w:rsid w:val="001C7803"/>
    <w:rsid w:val="001D04FE"/>
    <w:rsid w:val="001D6B46"/>
    <w:rsid w:val="001E3A6D"/>
    <w:rsid w:val="001E46A8"/>
    <w:rsid w:val="001E5B28"/>
    <w:rsid w:val="001E6EF1"/>
    <w:rsid w:val="001E72C5"/>
    <w:rsid w:val="001F0698"/>
    <w:rsid w:val="001F08A2"/>
    <w:rsid w:val="001F28E9"/>
    <w:rsid w:val="001F69F9"/>
    <w:rsid w:val="001F7104"/>
    <w:rsid w:val="00202E16"/>
    <w:rsid w:val="002055DE"/>
    <w:rsid w:val="00210E16"/>
    <w:rsid w:val="00210E5F"/>
    <w:rsid w:val="00210F59"/>
    <w:rsid w:val="00214D64"/>
    <w:rsid w:val="002159FB"/>
    <w:rsid w:val="002161F8"/>
    <w:rsid w:val="00221695"/>
    <w:rsid w:val="00221A0F"/>
    <w:rsid w:val="00225112"/>
    <w:rsid w:val="00227E81"/>
    <w:rsid w:val="0023010A"/>
    <w:rsid w:val="00234C8E"/>
    <w:rsid w:val="0023686C"/>
    <w:rsid w:val="00237C81"/>
    <w:rsid w:val="00241AA2"/>
    <w:rsid w:val="00242584"/>
    <w:rsid w:val="00243020"/>
    <w:rsid w:val="002438AE"/>
    <w:rsid w:val="0025478E"/>
    <w:rsid w:val="00256259"/>
    <w:rsid w:val="0026245D"/>
    <w:rsid w:val="00272442"/>
    <w:rsid w:val="002724E5"/>
    <w:rsid w:val="00281CD7"/>
    <w:rsid w:val="0028619E"/>
    <w:rsid w:val="002920F5"/>
    <w:rsid w:val="002A2129"/>
    <w:rsid w:val="002A4851"/>
    <w:rsid w:val="002A5CEC"/>
    <w:rsid w:val="002A70E1"/>
    <w:rsid w:val="002B11FE"/>
    <w:rsid w:val="002C1E26"/>
    <w:rsid w:val="002C218D"/>
    <w:rsid w:val="002C7085"/>
    <w:rsid w:val="002C7E86"/>
    <w:rsid w:val="002D2E3D"/>
    <w:rsid w:val="002D7AB5"/>
    <w:rsid w:val="002E0AEC"/>
    <w:rsid w:val="002E2E25"/>
    <w:rsid w:val="002E4525"/>
    <w:rsid w:val="002E78CB"/>
    <w:rsid w:val="002F3938"/>
    <w:rsid w:val="002F41E2"/>
    <w:rsid w:val="002F4CD6"/>
    <w:rsid w:val="002F6101"/>
    <w:rsid w:val="002F6642"/>
    <w:rsid w:val="002F6A5B"/>
    <w:rsid w:val="00300174"/>
    <w:rsid w:val="003055FB"/>
    <w:rsid w:val="003059CE"/>
    <w:rsid w:val="00311FE0"/>
    <w:rsid w:val="003133A6"/>
    <w:rsid w:val="003139CD"/>
    <w:rsid w:val="0031586B"/>
    <w:rsid w:val="00317612"/>
    <w:rsid w:val="00324DAF"/>
    <w:rsid w:val="003253CC"/>
    <w:rsid w:val="00331EBC"/>
    <w:rsid w:val="00333489"/>
    <w:rsid w:val="003336D2"/>
    <w:rsid w:val="00334E77"/>
    <w:rsid w:val="00336562"/>
    <w:rsid w:val="00340131"/>
    <w:rsid w:val="003446A0"/>
    <w:rsid w:val="0034504C"/>
    <w:rsid w:val="0035038A"/>
    <w:rsid w:val="00353CD2"/>
    <w:rsid w:val="00355FA5"/>
    <w:rsid w:val="003615F5"/>
    <w:rsid w:val="00364C7D"/>
    <w:rsid w:val="003667AA"/>
    <w:rsid w:val="003673F5"/>
    <w:rsid w:val="00367DEE"/>
    <w:rsid w:val="00370A8C"/>
    <w:rsid w:val="0037441F"/>
    <w:rsid w:val="00374F9E"/>
    <w:rsid w:val="00375606"/>
    <w:rsid w:val="003821DA"/>
    <w:rsid w:val="003835EE"/>
    <w:rsid w:val="00383C17"/>
    <w:rsid w:val="00383F72"/>
    <w:rsid w:val="00391276"/>
    <w:rsid w:val="003933BA"/>
    <w:rsid w:val="00397C2D"/>
    <w:rsid w:val="003A0F53"/>
    <w:rsid w:val="003B514C"/>
    <w:rsid w:val="003C11F5"/>
    <w:rsid w:val="003C1568"/>
    <w:rsid w:val="003C2B09"/>
    <w:rsid w:val="003C7DC5"/>
    <w:rsid w:val="003D3295"/>
    <w:rsid w:val="003E5A6A"/>
    <w:rsid w:val="003F28CC"/>
    <w:rsid w:val="003F295A"/>
    <w:rsid w:val="003F6B48"/>
    <w:rsid w:val="003F7096"/>
    <w:rsid w:val="004005D1"/>
    <w:rsid w:val="0040299D"/>
    <w:rsid w:val="004059FC"/>
    <w:rsid w:val="00414814"/>
    <w:rsid w:val="00430DA7"/>
    <w:rsid w:val="00433A15"/>
    <w:rsid w:val="004439BE"/>
    <w:rsid w:val="00446207"/>
    <w:rsid w:val="00446A1D"/>
    <w:rsid w:val="004510EC"/>
    <w:rsid w:val="00451558"/>
    <w:rsid w:val="00451BB1"/>
    <w:rsid w:val="004546B5"/>
    <w:rsid w:val="00462CCC"/>
    <w:rsid w:val="00470553"/>
    <w:rsid w:val="00471635"/>
    <w:rsid w:val="004745A7"/>
    <w:rsid w:val="004756B7"/>
    <w:rsid w:val="00480C84"/>
    <w:rsid w:val="004863E3"/>
    <w:rsid w:val="00492DB6"/>
    <w:rsid w:val="004931DD"/>
    <w:rsid w:val="004A35D6"/>
    <w:rsid w:val="004B5254"/>
    <w:rsid w:val="004C115A"/>
    <w:rsid w:val="004C4340"/>
    <w:rsid w:val="004C6D5E"/>
    <w:rsid w:val="004D0572"/>
    <w:rsid w:val="004D0A37"/>
    <w:rsid w:val="004D0EE5"/>
    <w:rsid w:val="004D2266"/>
    <w:rsid w:val="004D3EAD"/>
    <w:rsid w:val="004D48E3"/>
    <w:rsid w:val="004D5190"/>
    <w:rsid w:val="004D70E0"/>
    <w:rsid w:val="004E13EB"/>
    <w:rsid w:val="004E1B54"/>
    <w:rsid w:val="004E1DDC"/>
    <w:rsid w:val="004E5C07"/>
    <w:rsid w:val="004F013D"/>
    <w:rsid w:val="004F6AD8"/>
    <w:rsid w:val="00503D85"/>
    <w:rsid w:val="00511F81"/>
    <w:rsid w:val="00517C5A"/>
    <w:rsid w:val="00524CB3"/>
    <w:rsid w:val="00532359"/>
    <w:rsid w:val="00533000"/>
    <w:rsid w:val="005377E1"/>
    <w:rsid w:val="0054135E"/>
    <w:rsid w:val="005464D7"/>
    <w:rsid w:val="00547EEA"/>
    <w:rsid w:val="005510E5"/>
    <w:rsid w:val="00551D15"/>
    <w:rsid w:val="00552BEC"/>
    <w:rsid w:val="005557FE"/>
    <w:rsid w:val="00560FA9"/>
    <w:rsid w:val="00563633"/>
    <w:rsid w:val="00571D21"/>
    <w:rsid w:val="00584AB8"/>
    <w:rsid w:val="00586FED"/>
    <w:rsid w:val="005929E3"/>
    <w:rsid w:val="00595474"/>
    <w:rsid w:val="005972F0"/>
    <w:rsid w:val="005A0B5D"/>
    <w:rsid w:val="005A526D"/>
    <w:rsid w:val="005A6712"/>
    <w:rsid w:val="005A7341"/>
    <w:rsid w:val="005B13F4"/>
    <w:rsid w:val="005B3E1A"/>
    <w:rsid w:val="005B41A9"/>
    <w:rsid w:val="005B6623"/>
    <w:rsid w:val="005C39A6"/>
    <w:rsid w:val="005C425F"/>
    <w:rsid w:val="005C629D"/>
    <w:rsid w:val="005C7D47"/>
    <w:rsid w:val="005D03B0"/>
    <w:rsid w:val="005D0E6B"/>
    <w:rsid w:val="005D20C9"/>
    <w:rsid w:val="005D44D3"/>
    <w:rsid w:val="005D61A6"/>
    <w:rsid w:val="005E1AB2"/>
    <w:rsid w:val="005E4293"/>
    <w:rsid w:val="005E6932"/>
    <w:rsid w:val="005F3032"/>
    <w:rsid w:val="005F5563"/>
    <w:rsid w:val="005F6816"/>
    <w:rsid w:val="005F6B23"/>
    <w:rsid w:val="005F7799"/>
    <w:rsid w:val="00603C8A"/>
    <w:rsid w:val="00603F30"/>
    <w:rsid w:val="00605AEA"/>
    <w:rsid w:val="006073D0"/>
    <w:rsid w:val="006075EA"/>
    <w:rsid w:val="0060779D"/>
    <w:rsid w:val="0061123D"/>
    <w:rsid w:val="0061346E"/>
    <w:rsid w:val="00614703"/>
    <w:rsid w:val="00620D78"/>
    <w:rsid w:val="006227CC"/>
    <w:rsid w:val="0062323E"/>
    <w:rsid w:val="00625466"/>
    <w:rsid w:val="00627677"/>
    <w:rsid w:val="00635209"/>
    <w:rsid w:val="00643317"/>
    <w:rsid w:val="006447C5"/>
    <w:rsid w:val="0064543D"/>
    <w:rsid w:val="00657EA7"/>
    <w:rsid w:val="006600BA"/>
    <w:rsid w:val="00672031"/>
    <w:rsid w:val="00672D9A"/>
    <w:rsid w:val="00672FDC"/>
    <w:rsid w:val="006753DE"/>
    <w:rsid w:val="00685D68"/>
    <w:rsid w:val="006A2182"/>
    <w:rsid w:val="006A2556"/>
    <w:rsid w:val="006B011C"/>
    <w:rsid w:val="006C3AB5"/>
    <w:rsid w:val="006C76A5"/>
    <w:rsid w:val="006D0335"/>
    <w:rsid w:val="006D730F"/>
    <w:rsid w:val="006E01AC"/>
    <w:rsid w:val="006E1538"/>
    <w:rsid w:val="006F0A00"/>
    <w:rsid w:val="006F6AA5"/>
    <w:rsid w:val="00705A79"/>
    <w:rsid w:val="007066E8"/>
    <w:rsid w:val="00710953"/>
    <w:rsid w:val="00716881"/>
    <w:rsid w:val="00742B4D"/>
    <w:rsid w:val="00745CA7"/>
    <w:rsid w:val="007464AA"/>
    <w:rsid w:val="00752B2F"/>
    <w:rsid w:val="00755C32"/>
    <w:rsid w:val="007614F1"/>
    <w:rsid w:val="00762F77"/>
    <w:rsid w:val="00765F28"/>
    <w:rsid w:val="007668F6"/>
    <w:rsid w:val="00767EFD"/>
    <w:rsid w:val="00775769"/>
    <w:rsid w:val="00792BD8"/>
    <w:rsid w:val="007A010B"/>
    <w:rsid w:val="007A341D"/>
    <w:rsid w:val="007A37E2"/>
    <w:rsid w:val="007B0065"/>
    <w:rsid w:val="007B0787"/>
    <w:rsid w:val="007C09D2"/>
    <w:rsid w:val="007C2BCC"/>
    <w:rsid w:val="007C4B70"/>
    <w:rsid w:val="007C6FD8"/>
    <w:rsid w:val="007D21E2"/>
    <w:rsid w:val="007E0629"/>
    <w:rsid w:val="007E2633"/>
    <w:rsid w:val="007F1418"/>
    <w:rsid w:val="007F7913"/>
    <w:rsid w:val="00802FA4"/>
    <w:rsid w:val="008117B6"/>
    <w:rsid w:val="008135BE"/>
    <w:rsid w:val="0082091E"/>
    <w:rsid w:val="00827E49"/>
    <w:rsid w:val="00832C78"/>
    <w:rsid w:val="008376C5"/>
    <w:rsid w:val="00840060"/>
    <w:rsid w:val="008842DA"/>
    <w:rsid w:val="00886761"/>
    <w:rsid w:val="00891FAC"/>
    <w:rsid w:val="00895712"/>
    <w:rsid w:val="008A38DE"/>
    <w:rsid w:val="008A483A"/>
    <w:rsid w:val="008B2D1E"/>
    <w:rsid w:val="008C1C4A"/>
    <w:rsid w:val="008C5E37"/>
    <w:rsid w:val="008D1E18"/>
    <w:rsid w:val="008E453D"/>
    <w:rsid w:val="008F1A75"/>
    <w:rsid w:val="008F364A"/>
    <w:rsid w:val="00903719"/>
    <w:rsid w:val="0091177D"/>
    <w:rsid w:val="009125D9"/>
    <w:rsid w:val="00914D38"/>
    <w:rsid w:val="009150E5"/>
    <w:rsid w:val="0091659C"/>
    <w:rsid w:val="009251C5"/>
    <w:rsid w:val="0093239D"/>
    <w:rsid w:val="00941CFD"/>
    <w:rsid w:val="009420EC"/>
    <w:rsid w:val="009500BB"/>
    <w:rsid w:val="0095132C"/>
    <w:rsid w:val="00954DC6"/>
    <w:rsid w:val="009557A7"/>
    <w:rsid w:val="00956BEC"/>
    <w:rsid w:val="009608E0"/>
    <w:rsid w:val="00966AD1"/>
    <w:rsid w:val="00972C93"/>
    <w:rsid w:val="00973921"/>
    <w:rsid w:val="00973E8D"/>
    <w:rsid w:val="00975F66"/>
    <w:rsid w:val="00976DA1"/>
    <w:rsid w:val="00976E54"/>
    <w:rsid w:val="00984DFB"/>
    <w:rsid w:val="009855B6"/>
    <w:rsid w:val="009901C7"/>
    <w:rsid w:val="009915FF"/>
    <w:rsid w:val="00996DB3"/>
    <w:rsid w:val="009A56AB"/>
    <w:rsid w:val="009C4E68"/>
    <w:rsid w:val="009C6C50"/>
    <w:rsid w:val="009D17B7"/>
    <w:rsid w:val="009D2D32"/>
    <w:rsid w:val="009D4C41"/>
    <w:rsid w:val="009D62C9"/>
    <w:rsid w:val="009D631E"/>
    <w:rsid w:val="009E082C"/>
    <w:rsid w:val="009E3800"/>
    <w:rsid w:val="009E3891"/>
    <w:rsid w:val="009E7132"/>
    <w:rsid w:val="009F67A4"/>
    <w:rsid w:val="00A03469"/>
    <w:rsid w:val="00A078E6"/>
    <w:rsid w:val="00A07BE4"/>
    <w:rsid w:val="00A114E9"/>
    <w:rsid w:val="00A2716D"/>
    <w:rsid w:val="00A32326"/>
    <w:rsid w:val="00A325CF"/>
    <w:rsid w:val="00A424A1"/>
    <w:rsid w:val="00A46F09"/>
    <w:rsid w:val="00A47390"/>
    <w:rsid w:val="00A54452"/>
    <w:rsid w:val="00A546BE"/>
    <w:rsid w:val="00A5546A"/>
    <w:rsid w:val="00A55738"/>
    <w:rsid w:val="00A55FD7"/>
    <w:rsid w:val="00A5716D"/>
    <w:rsid w:val="00A643CD"/>
    <w:rsid w:val="00A723CA"/>
    <w:rsid w:val="00A765CB"/>
    <w:rsid w:val="00A76BC8"/>
    <w:rsid w:val="00A81225"/>
    <w:rsid w:val="00A90F64"/>
    <w:rsid w:val="00A91339"/>
    <w:rsid w:val="00A95B33"/>
    <w:rsid w:val="00A95DAA"/>
    <w:rsid w:val="00AA5939"/>
    <w:rsid w:val="00AA5ACE"/>
    <w:rsid w:val="00AA6A59"/>
    <w:rsid w:val="00AA7D7A"/>
    <w:rsid w:val="00AB10B2"/>
    <w:rsid w:val="00AB4010"/>
    <w:rsid w:val="00AB5365"/>
    <w:rsid w:val="00AB68D8"/>
    <w:rsid w:val="00AC720E"/>
    <w:rsid w:val="00AC7E71"/>
    <w:rsid w:val="00AD78A6"/>
    <w:rsid w:val="00AF0AE8"/>
    <w:rsid w:val="00AF1214"/>
    <w:rsid w:val="00AF5CC8"/>
    <w:rsid w:val="00B0024F"/>
    <w:rsid w:val="00B0178B"/>
    <w:rsid w:val="00B10733"/>
    <w:rsid w:val="00B16223"/>
    <w:rsid w:val="00B17128"/>
    <w:rsid w:val="00B21BB0"/>
    <w:rsid w:val="00B255A1"/>
    <w:rsid w:val="00B25A77"/>
    <w:rsid w:val="00B272D0"/>
    <w:rsid w:val="00B30F60"/>
    <w:rsid w:val="00B31E9C"/>
    <w:rsid w:val="00B3203D"/>
    <w:rsid w:val="00B43C6D"/>
    <w:rsid w:val="00B461AB"/>
    <w:rsid w:val="00B464B2"/>
    <w:rsid w:val="00B46B87"/>
    <w:rsid w:val="00B52986"/>
    <w:rsid w:val="00B55D97"/>
    <w:rsid w:val="00B60763"/>
    <w:rsid w:val="00B609AC"/>
    <w:rsid w:val="00B60FA7"/>
    <w:rsid w:val="00B679F4"/>
    <w:rsid w:val="00B73146"/>
    <w:rsid w:val="00B7325C"/>
    <w:rsid w:val="00B74912"/>
    <w:rsid w:val="00B76754"/>
    <w:rsid w:val="00B90FAB"/>
    <w:rsid w:val="00B92456"/>
    <w:rsid w:val="00B956E4"/>
    <w:rsid w:val="00BA4473"/>
    <w:rsid w:val="00BB4CA2"/>
    <w:rsid w:val="00BD0C6E"/>
    <w:rsid w:val="00BD5D10"/>
    <w:rsid w:val="00BE5EE3"/>
    <w:rsid w:val="00BF10EB"/>
    <w:rsid w:val="00BF195B"/>
    <w:rsid w:val="00BF1B75"/>
    <w:rsid w:val="00BF39B3"/>
    <w:rsid w:val="00C12451"/>
    <w:rsid w:val="00C156EF"/>
    <w:rsid w:val="00C26821"/>
    <w:rsid w:val="00C27035"/>
    <w:rsid w:val="00C30F81"/>
    <w:rsid w:val="00C37628"/>
    <w:rsid w:val="00C45198"/>
    <w:rsid w:val="00C47CD0"/>
    <w:rsid w:val="00C52D5B"/>
    <w:rsid w:val="00C54A7C"/>
    <w:rsid w:val="00C54FC4"/>
    <w:rsid w:val="00C6152F"/>
    <w:rsid w:val="00C712A9"/>
    <w:rsid w:val="00C7218A"/>
    <w:rsid w:val="00C72A33"/>
    <w:rsid w:val="00C74A6E"/>
    <w:rsid w:val="00C75593"/>
    <w:rsid w:val="00C760EB"/>
    <w:rsid w:val="00C76112"/>
    <w:rsid w:val="00C8416F"/>
    <w:rsid w:val="00C848AD"/>
    <w:rsid w:val="00C86271"/>
    <w:rsid w:val="00C873D0"/>
    <w:rsid w:val="00C928D5"/>
    <w:rsid w:val="00C937D2"/>
    <w:rsid w:val="00CA1C13"/>
    <w:rsid w:val="00CB1C9E"/>
    <w:rsid w:val="00CC0060"/>
    <w:rsid w:val="00CC35B6"/>
    <w:rsid w:val="00CC5F95"/>
    <w:rsid w:val="00CD2100"/>
    <w:rsid w:val="00CE2C76"/>
    <w:rsid w:val="00CE4923"/>
    <w:rsid w:val="00CE5E87"/>
    <w:rsid w:val="00CF5D46"/>
    <w:rsid w:val="00CF6E83"/>
    <w:rsid w:val="00CF7784"/>
    <w:rsid w:val="00D0197A"/>
    <w:rsid w:val="00D03271"/>
    <w:rsid w:val="00D055E4"/>
    <w:rsid w:val="00D06A44"/>
    <w:rsid w:val="00D13696"/>
    <w:rsid w:val="00D14754"/>
    <w:rsid w:val="00D1731C"/>
    <w:rsid w:val="00D23CBF"/>
    <w:rsid w:val="00D267DD"/>
    <w:rsid w:val="00D26DA5"/>
    <w:rsid w:val="00D27445"/>
    <w:rsid w:val="00D31724"/>
    <w:rsid w:val="00D322BB"/>
    <w:rsid w:val="00D427E1"/>
    <w:rsid w:val="00D4769A"/>
    <w:rsid w:val="00D5799B"/>
    <w:rsid w:val="00D6039E"/>
    <w:rsid w:val="00D61AF1"/>
    <w:rsid w:val="00D63C2B"/>
    <w:rsid w:val="00D64FE9"/>
    <w:rsid w:val="00D66341"/>
    <w:rsid w:val="00D7166D"/>
    <w:rsid w:val="00D71C16"/>
    <w:rsid w:val="00D739DD"/>
    <w:rsid w:val="00D91B35"/>
    <w:rsid w:val="00D91DBC"/>
    <w:rsid w:val="00DA2449"/>
    <w:rsid w:val="00DB004F"/>
    <w:rsid w:val="00DB1B02"/>
    <w:rsid w:val="00DB4E11"/>
    <w:rsid w:val="00DB51E2"/>
    <w:rsid w:val="00DB72F0"/>
    <w:rsid w:val="00DC2279"/>
    <w:rsid w:val="00DC23A1"/>
    <w:rsid w:val="00DC6E92"/>
    <w:rsid w:val="00DD7172"/>
    <w:rsid w:val="00DD7A72"/>
    <w:rsid w:val="00DE2E03"/>
    <w:rsid w:val="00DE5F3C"/>
    <w:rsid w:val="00DE6FBA"/>
    <w:rsid w:val="00DF015F"/>
    <w:rsid w:val="00DF0E93"/>
    <w:rsid w:val="00DF5EBC"/>
    <w:rsid w:val="00DF6F7A"/>
    <w:rsid w:val="00DF7635"/>
    <w:rsid w:val="00E04218"/>
    <w:rsid w:val="00E11983"/>
    <w:rsid w:val="00E150C5"/>
    <w:rsid w:val="00E17286"/>
    <w:rsid w:val="00E17510"/>
    <w:rsid w:val="00E17DDA"/>
    <w:rsid w:val="00E26CF7"/>
    <w:rsid w:val="00E27332"/>
    <w:rsid w:val="00E3410F"/>
    <w:rsid w:val="00E34F5D"/>
    <w:rsid w:val="00E44CA9"/>
    <w:rsid w:val="00E51E67"/>
    <w:rsid w:val="00E52FA8"/>
    <w:rsid w:val="00E56598"/>
    <w:rsid w:val="00E56FDE"/>
    <w:rsid w:val="00E64932"/>
    <w:rsid w:val="00E66035"/>
    <w:rsid w:val="00E6726C"/>
    <w:rsid w:val="00E7791D"/>
    <w:rsid w:val="00E86FD0"/>
    <w:rsid w:val="00E90A87"/>
    <w:rsid w:val="00E95BCB"/>
    <w:rsid w:val="00EA6971"/>
    <w:rsid w:val="00EA6B07"/>
    <w:rsid w:val="00EB2774"/>
    <w:rsid w:val="00EB393F"/>
    <w:rsid w:val="00EB3951"/>
    <w:rsid w:val="00EB4E5A"/>
    <w:rsid w:val="00EC1077"/>
    <w:rsid w:val="00EC13CE"/>
    <w:rsid w:val="00EC1E12"/>
    <w:rsid w:val="00EC70BB"/>
    <w:rsid w:val="00ED15E5"/>
    <w:rsid w:val="00ED392C"/>
    <w:rsid w:val="00ED42D3"/>
    <w:rsid w:val="00ED7A16"/>
    <w:rsid w:val="00EF5AD5"/>
    <w:rsid w:val="00F027D6"/>
    <w:rsid w:val="00F06CF5"/>
    <w:rsid w:val="00F078BD"/>
    <w:rsid w:val="00F14271"/>
    <w:rsid w:val="00F16781"/>
    <w:rsid w:val="00F17632"/>
    <w:rsid w:val="00F20729"/>
    <w:rsid w:val="00F21226"/>
    <w:rsid w:val="00F21AEB"/>
    <w:rsid w:val="00F21EA8"/>
    <w:rsid w:val="00F26DD0"/>
    <w:rsid w:val="00F367EE"/>
    <w:rsid w:val="00F47861"/>
    <w:rsid w:val="00F47D9A"/>
    <w:rsid w:val="00F51E6B"/>
    <w:rsid w:val="00F52AEC"/>
    <w:rsid w:val="00F53F85"/>
    <w:rsid w:val="00F562AE"/>
    <w:rsid w:val="00F72A83"/>
    <w:rsid w:val="00F73335"/>
    <w:rsid w:val="00F7340A"/>
    <w:rsid w:val="00F747C5"/>
    <w:rsid w:val="00F75A33"/>
    <w:rsid w:val="00F760F1"/>
    <w:rsid w:val="00F806F3"/>
    <w:rsid w:val="00F82013"/>
    <w:rsid w:val="00F862DB"/>
    <w:rsid w:val="00F86EE2"/>
    <w:rsid w:val="00F87615"/>
    <w:rsid w:val="00F925D8"/>
    <w:rsid w:val="00F94C00"/>
    <w:rsid w:val="00F95D5C"/>
    <w:rsid w:val="00FA2C92"/>
    <w:rsid w:val="00FA3D1D"/>
    <w:rsid w:val="00FC2AC0"/>
    <w:rsid w:val="00FC7E48"/>
    <w:rsid w:val="00FD45AA"/>
    <w:rsid w:val="00FD4D99"/>
    <w:rsid w:val="00FE0323"/>
    <w:rsid w:val="00FE1B5B"/>
    <w:rsid w:val="00FE3F7D"/>
    <w:rsid w:val="00FF318D"/>
    <w:rsid w:val="00F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4:docId w14:val="7CEFF082"/>
  <w15:chartTrackingRefBased/>
  <w15:docId w15:val="{6347846D-8876-4684-86E1-FB07B49B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F6101"/>
    <w:pPr>
      <w:keepNext/>
      <w:spacing w:before="240" w:after="60"/>
      <w:outlineLvl w:val="0"/>
    </w:pPr>
    <w:rPr>
      <w:b/>
      <w:bCs/>
      <w:kern w:val="32"/>
      <w:szCs w:val="32"/>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rsid w:val="00C156EF"/>
    <w:rPr>
      <w:sz w:val="16"/>
      <w:szCs w:val="16"/>
    </w:rPr>
  </w:style>
  <w:style w:type="paragraph" w:styleId="CommentText">
    <w:name w:val="annotation text"/>
    <w:basedOn w:val="Normal"/>
    <w:link w:val="CommentTextChar"/>
    <w:rsid w:val="00C156EF"/>
    <w:rPr>
      <w:sz w:val="20"/>
      <w:szCs w:val="20"/>
    </w:rPr>
  </w:style>
  <w:style w:type="character" w:customStyle="1" w:styleId="CommentTextChar">
    <w:name w:val="Comment Text Char"/>
    <w:basedOn w:val="DefaultParagraphFont"/>
    <w:link w:val="CommentText"/>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2F6101"/>
    <w:rPr>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paragraph" w:styleId="FootnoteText">
    <w:name w:val="footnote text"/>
    <w:basedOn w:val="Normal"/>
    <w:link w:val="FootnoteTextChar"/>
    <w:rsid w:val="00A32326"/>
    <w:rPr>
      <w:sz w:val="20"/>
      <w:szCs w:val="20"/>
    </w:rPr>
  </w:style>
  <w:style w:type="character" w:customStyle="1" w:styleId="FootnoteTextChar">
    <w:name w:val="Footnote Text Char"/>
    <w:basedOn w:val="DefaultParagraphFont"/>
    <w:link w:val="FootnoteText"/>
    <w:rsid w:val="00A32326"/>
  </w:style>
  <w:style w:type="character" w:styleId="FootnoteReference">
    <w:name w:val="footnote reference"/>
    <w:rsid w:val="00A32326"/>
    <w:rPr>
      <w:vertAlign w:val="superscript"/>
    </w:rPr>
  </w:style>
  <w:style w:type="paragraph" w:customStyle="1" w:styleId="title">
    <w:name w:val="title"/>
    <w:basedOn w:val="Normal"/>
    <w:rsid w:val="005D44D3"/>
    <w:pPr>
      <w:spacing w:before="100" w:beforeAutospacing="1" w:after="100" w:afterAutospacing="1"/>
    </w:pPr>
  </w:style>
  <w:style w:type="paragraph" w:styleId="NoSpacing">
    <w:name w:val="No Spacing"/>
    <w:uiPriority w:val="1"/>
    <w:qFormat/>
    <w:rsid w:val="00430DA7"/>
    <w:rPr>
      <w:rFonts w:eastAsia="Calibri"/>
      <w:sz w:val="24"/>
      <w:szCs w:val="22"/>
    </w:rPr>
  </w:style>
  <w:style w:type="paragraph" w:styleId="ListParagraph">
    <w:name w:val="List Paragraph"/>
    <w:basedOn w:val="Normal"/>
    <w:uiPriority w:val="34"/>
    <w:qFormat/>
    <w:rsid w:val="001F7104"/>
    <w:pPr>
      <w:ind w:left="720"/>
      <w:contextualSpacing/>
    </w:pPr>
  </w:style>
  <w:style w:type="character" w:styleId="UnresolvedMention">
    <w:name w:val="Unresolved Mention"/>
    <w:uiPriority w:val="99"/>
    <w:semiHidden/>
    <w:unhideWhenUsed/>
    <w:rsid w:val="0030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791173108">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0423">
      <w:bodyDiv w:val="1"/>
      <w:marLeft w:val="0"/>
      <w:marRight w:val="0"/>
      <w:marTop w:val="0"/>
      <w:marBottom w:val="0"/>
      <w:divBdr>
        <w:top w:val="none" w:sz="0" w:space="0" w:color="auto"/>
        <w:left w:val="none" w:sz="0" w:space="0" w:color="auto"/>
        <w:bottom w:val="none" w:sz="0" w:space="0" w:color="auto"/>
        <w:right w:val="none" w:sz="0" w:space="0" w:color="auto"/>
      </w:divBdr>
      <w:divsChild>
        <w:div w:id="553008671">
          <w:marLeft w:val="0"/>
          <w:marRight w:val="0"/>
          <w:marTop w:val="0"/>
          <w:marBottom w:val="150"/>
          <w:divBdr>
            <w:top w:val="none" w:sz="0" w:space="0" w:color="auto"/>
            <w:left w:val="none" w:sz="0" w:space="0" w:color="auto"/>
            <w:bottom w:val="none" w:sz="0" w:space="0" w:color="auto"/>
            <w:right w:val="none" w:sz="0" w:space="0" w:color="auto"/>
          </w:divBdr>
        </w:div>
      </w:divsChild>
    </w:div>
    <w:div w:id="1508985146">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911117012">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qkh7@cdc.gov" TargetMode="External"/><Relationship Id="rId13" Type="http://schemas.openxmlformats.org/officeDocument/2006/relationships/hyperlink" Target="http://www.bls.gov/oes/current/oes535021.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s.gov/oes/current/oes53201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quarantine/quarantinestationcontactlistfull.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dc.gov/quarantine/air/reporting-deaths-illness/guidance-reporting-onboard-deaths-illnesses.html" TargetMode="External"/><Relationship Id="rId14" Type="http://schemas.openxmlformats.org/officeDocument/2006/relationships/hyperlink" Target="https://www.bls.gov/oes/current/oes533052.htm#na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3E0FF-025B-4368-92C9-110399B3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23760</CharactersWithSpaces>
  <SharedDoc>false</SharedDoc>
  <HLinks>
    <vt:vector size="168" baseType="variant">
      <vt:variant>
        <vt:i4>2818167</vt:i4>
      </vt:variant>
      <vt:variant>
        <vt:i4>147</vt:i4>
      </vt:variant>
      <vt:variant>
        <vt:i4>0</vt:i4>
      </vt:variant>
      <vt:variant>
        <vt:i4>5</vt:i4>
      </vt:variant>
      <vt:variant>
        <vt:lpwstr>https://www.bls.gov/oes/current/oes533052.htm</vt:lpwstr>
      </vt:variant>
      <vt:variant>
        <vt:lpwstr>nat</vt:lpwstr>
      </vt:variant>
      <vt:variant>
        <vt:i4>1835091</vt:i4>
      </vt:variant>
      <vt:variant>
        <vt:i4>144</vt:i4>
      </vt:variant>
      <vt:variant>
        <vt:i4>0</vt:i4>
      </vt:variant>
      <vt:variant>
        <vt:i4>5</vt:i4>
      </vt:variant>
      <vt:variant>
        <vt:lpwstr>http://www.bls.gov/oes/current/oes535021.htm</vt:lpwstr>
      </vt:variant>
      <vt:variant>
        <vt:lpwstr/>
      </vt:variant>
      <vt:variant>
        <vt:i4>1835095</vt:i4>
      </vt:variant>
      <vt:variant>
        <vt:i4>141</vt:i4>
      </vt:variant>
      <vt:variant>
        <vt:i4>0</vt:i4>
      </vt:variant>
      <vt:variant>
        <vt:i4>5</vt:i4>
      </vt:variant>
      <vt:variant>
        <vt:lpwstr>http://www.bls.gov/oes/current/oes532011.htm</vt:lpwstr>
      </vt:variant>
      <vt:variant>
        <vt:lpwstr/>
      </vt:variant>
      <vt:variant>
        <vt:i4>3407967</vt:i4>
      </vt:variant>
      <vt:variant>
        <vt:i4>138</vt:i4>
      </vt:variant>
      <vt:variant>
        <vt:i4>0</vt:i4>
      </vt:variant>
      <vt:variant>
        <vt:i4>5</vt:i4>
      </vt:variant>
      <vt:variant>
        <vt:lpwstr>http://www.bls.gov/oes/current/oes_nat.htm</vt:lpwstr>
      </vt:variant>
      <vt:variant>
        <vt:lpwstr/>
      </vt:variant>
      <vt:variant>
        <vt:i4>7143542</vt:i4>
      </vt:variant>
      <vt:variant>
        <vt:i4>135</vt:i4>
      </vt:variant>
      <vt:variant>
        <vt:i4>0</vt:i4>
      </vt:variant>
      <vt:variant>
        <vt:i4>5</vt:i4>
      </vt:variant>
      <vt:variant>
        <vt:lpwstr>http://www.cdc.gov/quarantine/quarantinestationcontactlistfull.html</vt:lpwstr>
      </vt:variant>
      <vt:variant>
        <vt:lpwstr/>
      </vt:variant>
      <vt:variant>
        <vt:i4>5898330</vt:i4>
      </vt:variant>
      <vt:variant>
        <vt:i4>132</vt:i4>
      </vt:variant>
      <vt:variant>
        <vt:i4>0</vt:i4>
      </vt:variant>
      <vt:variant>
        <vt:i4>5</vt:i4>
      </vt:variant>
      <vt:variant>
        <vt:lpwstr>https://www.cdc.gov/quarantine/air/reporting-deaths-illness/guidance-reporting-onboard-deaths-illnesses.html</vt:lpwstr>
      </vt:variant>
      <vt:variant>
        <vt:lpwstr/>
      </vt:variant>
      <vt:variant>
        <vt:i4>1245243</vt:i4>
      </vt:variant>
      <vt:variant>
        <vt:i4>125</vt:i4>
      </vt:variant>
      <vt:variant>
        <vt:i4>0</vt:i4>
      </vt:variant>
      <vt:variant>
        <vt:i4>5</vt:i4>
      </vt:variant>
      <vt:variant>
        <vt:lpwstr/>
      </vt:variant>
      <vt:variant>
        <vt:lpwstr>_Toc428877097</vt:lpwstr>
      </vt:variant>
      <vt:variant>
        <vt:i4>1245243</vt:i4>
      </vt:variant>
      <vt:variant>
        <vt:i4>119</vt:i4>
      </vt:variant>
      <vt:variant>
        <vt:i4>0</vt:i4>
      </vt:variant>
      <vt:variant>
        <vt:i4>5</vt:i4>
      </vt:variant>
      <vt:variant>
        <vt:lpwstr/>
      </vt:variant>
      <vt:variant>
        <vt:lpwstr>_Toc428877096</vt:lpwstr>
      </vt:variant>
      <vt:variant>
        <vt:i4>1245243</vt:i4>
      </vt:variant>
      <vt:variant>
        <vt:i4>113</vt:i4>
      </vt:variant>
      <vt:variant>
        <vt:i4>0</vt:i4>
      </vt:variant>
      <vt:variant>
        <vt:i4>5</vt:i4>
      </vt:variant>
      <vt:variant>
        <vt:lpwstr/>
      </vt:variant>
      <vt:variant>
        <vt:lpwstr>_Toc428877095</vt:lpwstr>
      </vt:variant>
      <vt:variant>
        <vt:i4>1245243</vt:i4>
      </vt:variant>
      <vt:variant>
        <vt:i4>107</vt:i4>
      </vt:variant>
      <vt:variant>
        <vt:i4>0</vt:i4>
      </vt:variant>
      <vt:variant>
        <vt:i4>5</vt:i4>
      </vt:variant>
      <vt:variant>
        <vt:lpwstr/>
      </vt:variant>
      <vt:variant>
        <vt:lpwstr>_Toc428877094</vt:lpwstr>
      </vt:variant>
      <vt:variant>
        <vt:i4>1245243</vt:i4>
      </vt:variant>
      <vt:variant>
        <vt:i4>101</vt:i4>
      </vt:variant>
      <vt:variant>
        <vt:i4>0</vt:i4>
      </vt:variant>
      <vt:variant>
        <vt:i4>5</vt:i4>
      </vt:variant>
      <vt:variant>
        <vt:lpwstr/>
      </vt:variant>
      <vt:variant>
        <vt:lpwstr>_Toc428877093</vt:lpwstr>
      </vt:variant>
      <vt:variant>
        <vt:i4>1245243</vt:i4>
      </vt:variant>
      <vt:variant>
        <vt:i4>95</vt:i4>
      </vt:variant>
      <vt:variant>
        <vt:i4>0</vt:i4>
      </vt:variant>
      <vt:variant>
        <vt:i4>5</vt:i4>
      </vt:variant>
      <vt:variant>
        <vt:lpwstr/>
      </vt:variant>
      <vt:variant>
        <vt:lpwstr>_Toc428877092</vt:lpwstr>
      </vt:variant>
      <vt:variant>
        <vt:i4>1245243</vt:i4>
      </vt:variant>
      <vt:variant>
        <vt:i4>89</vt:i4>
      </vt:variant>
      <vt:variant>
        <vt:i4>0</vt:i4>
      </vt:variant>
      <vt:variant>
        <vt:i4>5</vt:i4>
      </vt:variant>
      <vt:variant>
        <vt:lpwstr/>
      </vt:variant>
      <vt:variant>
        <vt:lpwstr>_Toc428877091</vt:lpwstr>
      </vt:variant>
      <vt:variant>
        <vt:i4>1245243</vt:i4>
      </vt:variant>
      <vt:variant>
        <vt:i4>83</vt:i4>
      </vt:variant>
      <vt:variant>
        <vt:i4>0</vt:i4>
      </vt:variant>
      <vt:variant>
        <vt:i4>5</vt:i4>
      </vt:variant>
      <vt:variant>
        <vt:lpwstr/>
      </vt:variant>
      <vt:variant>
        <vt:lpwstr>_Toc428877090</vt:lpwstr>
      </vt:variant>
      <vt:variant>
        <vt:i4>1179707</vt:i4>
      </vt:variant>
      <vt:variant>
        <vt:i4>77</vt:i4>
      </vt:variant>
      <vt:variant>
        <vt:i4>0</vt:i4>
      </vt:variant>
      <vt:variant>
        <vt:i4>5</vt:i4>
      </vt:variant>
      <vt:variant>
        <vt:lpwstr/>
      </vt:variant>
      <vt:variant>
        <vt:lpwstr>_Toc428877089</vt:lpwstr>
      </vt:variant>
      <vt:variant>
        <vt:i4>1179707</vt:i4>
      </vt:variant>
      <vt:variant>
        <vt:i4>71</vt:i4>
      </vt:variant>
      <vt:variant>
        <vt:i4>0</vt:i4>
      </vt:variant>
      <vt:variant>
        <vt:i4>5</vt:i4>
      </vt:variant>
      <vt:variant>
        <vt:lpwstr/>
      </vt:variant>
      <vt:variant>
        <vt:lpwstr>_Toc428877088</vt:lpwstr>
      </vt:variant>
      <vt:variant>
        <vt:i4>1179707</vt:i4>
      </vt:variant>
      <vt:variant>
        <vt:i4>65</vt:i4>
      </vt:variant>
      <vt:variant>
        <vt:i4>0</vt:i4>
      </vt:variant>
      <vt:variant>
        <vt:i4>5</vt:i4>
      </vt:variant>
      <vt:variant>
        <vt:lpwstr/>
      </vt:variant>
      <vt:variant>
        <vt:lpwstr>_Toc428877087</vt:lpwstr>
      </vt:variant>
      <vt:variant>
        <vt:i4>1179707</vt:i4>
      </vt:variant>
      <vt:variant>
        <vt:i4>59</vt:i4>
      </vt:variant>
      <vt:variant>
        <vt:i4>0</vt:i4>
      </vt:variant>
      <vt:variant>
        <vt:i4>5</vt:i4>
      </vt:variant>
      <vt:variant>
        <vt:lpwstr/>
      </vt:variant>
      <vt:variant>
        <vt:lpwstr>_Toc428877086</vt:lpwstr>
      </vt:variant>
      <vt:variant>
        <vt:i4>1179707</vt:i4>
      </vt:variant>
      <vt:variant>
        <vt:i4>53</vt:i4>
      </vt:variant>
      <vt:variant>
        <vt:i4>0</vt:i4>
      </vt:variant>
      <vt:variant>
        <vt:i4>5</vt:i4>
      </vt:variant>
      <vt:variant>
        <vt:lpwstr/>
      </vt:variant>
      <vt:variant>
        <vt:lpwstr>_Toc428877085</vt:lpwstr>
      </vt:variant>
      <vt:variant>
        <vt:i4>1179707</vt:i4>
      </vt:variant>
      <vt:variant>
        <vt:i4>47</vt:i4>
      </vt:variant>
      <vt:variant>
        <vt:i4>0</vt:i4>
      </vt:variant>
      <vt:variant>
        <vt:i4>5</vt:i4>
      </vt:variant>
      <vt:variant>
        <vt:lpwstr/>
      </vt:variant>
      <vt:variant>
        <vt:lpwstr>_Toc428877084</vt:lpwstr>
      </vt:variant>
      <vt:variant>
        <vt:i4>1179707</vt:i4>
      </vt:variant>
      <vt:variant>
        <vt:i4>41</vt:i4>
      </vt:variant>
      <vt:variant>
        <vt:i4>0</vt:i4>
      </vt:variant>
      <vt:variant>
        <vt:i4>5</vt:i4>
      </vt:variant>
      <vt:variant>
        <vt:lpwstr/>
      </vt:variant>
      <vt:variant>
        <vt:lpwstr>_Toc428877083</vt:lpwstr>
      </vt:variant>
      <vt:variant>
        <vt:i4>1179707</vt:i4>
      </vt:variant>
      <vt:variant>
        <vt:i4>35</vt:i4>
      </vt:variant>
      <vt:variant>
        <vt:i4>0</vt:i4>
      </vt:variant>
      <vt:variant>
        <vt:i4>5</vt:i4>
      </vt:variant>
      <vt:variant>
        <vt:lpwstr/>
      </vt:variant>
      <vt:variant>
        <vt:lpwstr>_Toc428877082</vt:lpwstr>
      </vt:variant>
      <vt:variant>
        <vt:i4>1179707</vt:i4>
      </vt:variant>
      <vt:variant>
        <vt:i4>29</vt:i4>
      </vt:variant>
      <vt:variant>
        <vt:i4>0</vt:i4>
      </vt:variant>
      <vt:variant>
        <vt:i4>5</vt:i4>
      </vt:variant>
      <vt:variant>
        <vt:lpwstr/>
      </vt:variant>
      <vt:variant>
        <vt:lpwstr>_Toc428877081</vt:lpwstr>
      </vt:variant>
      <vt:variant>
        <vt:i4>1900603</vt:i4>
      </vt:variant>
      <vt:variant>
        <vt:i4>23</vt:i4>
      </vt:variant>
      <vt:variant>
        <vt:i4>0</vt:i4>
      </vt:variant>
      <vt:variant>
        <vt:i4>5</vt:i4>
      </vt:variant>
      <vt:variant>
        <vt:lpwstr/>
      </vt:variant>
      <vt:variant>
        <vt:lpwstr>_Toc428877079</vt:lpwstr>
      </vt:variant>
      <vt:variant>
        <vt:i4>1900603</vt:i4>
      </vt:variant>
      <vt:variant>
        <vt:i4>17</vt:i4>
      </vt:variant>
      <vt:variant>
        <vt:i4>0</vt:i4>
      </vt:variant>
      <vt:variant>
        <vt:i4>5</vt:i4>
      </vt:variant>
      <vt:variant>
        <vt:lpwstr/>
      </vt:variant>
      <vt:variant>
        <vt:lpwstr>_Toc428877078</vt:lpwstr>
      </vt:variant>
      <vt:variant>
        <vt:i4>1900603</vt:i4>
      </vt:variant>
      <vt:variant>
        <vt:i4>11</vt:i4>
      </vt:variant>
      <vt:variant>
        <vt:i4>0</vt:i4>
      </vt:variant>
      <vt:variant>
        <vt:i4>5</vt:i4>
      </vt:variant>
      <vt:variant>
        <vt:lpwstr/>
      </vt:variant>
      <vt:variant>
        <vt:lpwstr>_Toc428877077</vt:lpwstr>
      </vt:variant>
      <vt:variant>
        <vt:i4>1900603</vt:i4>
      </vt:variant>
      <vt:variant>
        <vt:i4>5</vt:i4>
      </vt:variant>
      <vt:variant>
        <vt:i4>0</vt:i4>
      </vt:variant>
      <vt:variant>
        <vt:i4>5</vt:i4>
      </vt:variant>
      <vt:variant>
        <vt:lpwstr/>
      </vt:variant>
      <vt:variant>
        <vt:lpwstr>_Toc428877076</vt:lpwstr>
      </vt:variant>
      <vt:variant>
        <vt:i4>1966193</vt:i4>
      </vt:variant>
      <vt:variant>
        <vt:i4>0</vt:i4>
      </vt:variant>
      <vt:variant>
        <vt:i4>0</vt:i4>
      </vt:variant>
      <vt:variant>
        <vt:i4>5</vt:i4>
      </vt:variant>
      <vt:variant>
        <vt:lpwstr>mailto:qkh7@cdc.gov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dc:description/>
  <cp:lastModifiedBy>Zirger, Jeffrey (CDC/DDPHSS/OS/OSI)</cp:lastModifiedBy>
  <cp:revision>2</cp:revision>
  <cp:lastPrinted>2008-05-30T15:41:00Z</cp:lastPrinted>
  <dcterms:created xsi:type="dcterms:W3CDTF">2022-06-24T12:58:00Z</dcterms:created>
  <dcterms:modified xsi:type="dcterms:W3CDTF">2022-06-24T12:58:00Z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2022-06-22T20:30:08Z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ec9f0da9-9cda-4f70-96ac-130b87e18cad</vt:lpwstr>
  </property>
  <property fmtid="{D5CDD505-2E9C-101B-9397-08002B2CF9AE}" pid="8" name="MSIP_Label_7b94a7b8-f06c-4dfe-bdcc-9b548fd58c31_ContentBits">
    <vt:lpwstr>0</vt:lpwstr>
  </property>
</Properties>
</file>