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2747" w:rsidR="007C3838" w:rsidP="000B0C2E" w:rsidRDefault="0019405A" w14:paraId="33EBFE46" w14:textId="77777777">
      <w:pPr>
        <w:spacing w:before="120" w:after="120"/>
        <w:jc w:val="center"/>
        <w:rPr>
          <w:b/>
        </w:rPr>
      </w:pPr>
      <w:r w:rsidRPr="0097424C">
        <w:cr/>
      </w:r>
      <w:r w:rsidRPr="0097424C" w:rsidR="007C3838">
        <w:rPr>
          <w:b/>
        </w:rPr>
        <w:t xml:space="preserve"> </w:t>
      </w:r>
      <w:r w:rsidRPr="001C2747" w:rsidR="007C3838">
        <w:rPr>
          <w:b/>
        </w:rPr>
        <w:t>SUPPORTING STATEMENT FOR THE</w:t>
      </w:r>
    </w:p>
    <w:p w:rsidRPr="001C2747" w:rsidR="007C3838" w:rsidP="000B0C2E" w:rsidRDefault="007C3838" w14:paraId="7F8696D2" w14:textId="77777777">
      <w:pPr>
        <w:spacing w:before="120" w:after="120"/>
        <w:jc w:val="center"/>
        <w:rPr>
          <w:b/>
        </w:rPr>
      </w:pPr>
    </w:p>
    <w:p w:rsidRPr="001C2747" w:rsidR="007C3838" w:rsidP="000B0C2E" w:rsidRDefault="002463F8" w14:paraId="6954FCDC" w14:textId="2E84C8CF">
      <w:pPr>
        <w:spacing w:before="120" w:after="120"/>
        <w:jc w:val="center"/>
        <w:rPr>
          <w:b/>
        </w:rPr>
      </w:pPr>
      <w:r w:rsidRPr="001C2747">
        <w:rPr>
          <w:b/>
        </w:rPr>
        <w:t>20</w:t>
      </w:r>
      <w:r w:rsidR="00650223">
        <w:rPr>
          <w:b/>
        </w:rPr>
        <w:t>21</w:t>
      </w:r>
      <w:r w:rsidRPr="001C2747">
        <w:rPr>
          <w:b/>
        </w:rPr>
        <w:t xml:space="preserve"> and </w:t>
      </w:r>
      <w:r w:rsidRPr="001C2747" w:rsidR="007C3838">
        <w:rPr>
          <w:b/>
        </w:rPr>
        <w:t>20</w:t>
      </w:r>
      <w:r w:rsidR="00650223">
        <w:rPr>
          <w:b/>
        </w:rPr>
        <w:t>23</w:t>
      </w:r>
      <w:r w:rsidRPr="001C2747" w:rsidR="007C3838">
        <w:rPr>
          <w:b/>
        </w:rPr>
        <w:t xml:space="preserve"> NATIONAL YOUTH RISK BEHAVIOR SURVEY</w:t>
      </w:r>
      <w:r w:rsidR="00FE1D87">
        <w:rPr>
          <w:b/>
        </w:rPr>
        <w:t xml:space="preserve"> and 2021 ADOLESCENT BEHAVIORS AND EXPERIENCES SURVEY</w:t>
      </w:r>
    </w:p>
    <w:p w:rsidR="00DE1033" w:rsidP="00DE1033" w:rsidRDefault="00DE1033" w14:paraId="50DD2DEE" w14:textId="77777777">
      <w:pPr>
        <w:jc w:val="center"/>
        <w:rPr>
          <w:b/>
        </w:rPr>
      </w:pPr>
    </w:p>
    <w:p w:rsidRPr="001C2747" w:rsidR="007C3838" w:rsidP="000B0C2E" w:rsidRDefault="007C3838" w14:paraId="7C756673" w14:textId="77777777">
      <w:pPr>
        <w:spacing w:before="120" w:after="120"/>
        <w:jc w:val="center"/>
      </w:pPr>
    </w:p>
    <w:p w:rsidRPr="007642F8" w:rsidR="007C3838" w:rsidP="000B0C2E" w:rsidRDefault="007C3838" w14:paraId="3EE84483" w14:textId="77777777">
      <w:pPr>
        <w:spacing w:before="120" w:after="120"/>
        <w:jc w:val="center"/>
        <w:rPr>
          <w:b/>
          <w:bCs/>
        </w:rPr>
      </w:pPr>
      <w:r w:rsidRPr="007642F8">
        <w:rPr>
          <w:b/>
          <w:bCs/>
        </w:rPr>
        <w:t>PART A</w:t>
      </w:r>
    </w:p>
    <w:p w:rsidRPr="001C2747" w:rsidR="000F770E" w:rsidP="000B0C2E" w:rsidRDefault="000F770E" w14:paraId="6F991D72" w14:textId="77777777">
      <w:pPr>
        <w:spacing w:before="120" w:after="120"/>
        <w:jc w:val="center"/>
      </w:pPr>
    </w:p>
    <w:p w:rsidRPr="001C2747" w:rsidR="007C3838" w:rsidP="000B0C2E" w:rsidRDefault="007C3838" w14:paraId="600B7FAB" w14:textId="77777777">
      <w:pPr>
        <w:spacing w:before="120" w:after="120"/>
        <w:jc w:val="center"/>
      </w:pPr>
    </w:p>
    <w:p w:rsidRPr="001C2747" w:rsidR="007C3838" w:rsidP="000B0C2E" w:rsidRDefault="007C3838" w14:paraId="342DBAA2" w14:textId="77777777">
      <w:pPr>
        <w:spacing w:before="120" w:after="120"/>
        <w:jc w:val="center"/>
      </w:pPr>
    </w:p>
    <w:p w:rsidRPr="001C2747" w:rsidR="007C3838" w:rsidP="000B0C2E" w:rsidRDefault="007C3838" w14:paraId="595DA7D3" w14:textId="77777777">
      <w:pPr>
        <w:spacing w:before="120" w:after="120"/>
        <w:jc w:val="center"/>
      </w:pPr>
    </w:p>
    <w:p w:rsidRPr="001C2747" w:rsidR="007C3838" w:rsidP="000B0C2E" w:rsidRDefault="007C3838" w14:paraId="78FC34B9" w14:textId="77777777">
      <w:pPr>
        <w:spacing w:before="120" w:after="120"/>
        <w:jc w:val="center"/>
      </w:pPr>
    </w:p>
    <w:p w:rsidRPr="001C2747" w:rsidR="007C3838" w:rsidP="000B0C2E" w:rsidRDefault="007C3838" w14:paraId="7E7F8CB2" w14:textId="77777777">
      <w:pPr>
        <w:spacing w:before="120" w:after="120"/>
        <w:jc w:val="center"/>
      </w:pPr>
    </w:p>
    <w:p w:rsidRPr="001C2747" w:rsidR="007C3838" w:rsidP="000B0C2E" w:rsidRDefault="007C3838" w14:paraId="7E4593A7" w14:textId="77777777">
      <w:pPr>
        <w:spacing w:before="120" w:after="120"/>
        <w:jc w:val="center"/>
      </w:pPr>
    </w:p>
    <w:p w:rsidRPr="001C2747" w:rsidR="007C3838" w:rsidP="000B0C2E" w:rsidRDefault="007C3838" w14:paraId="4E3E6BC6" w14:textId="77777777">
      <w:pPr>
        <w:spacing w:before="120" w:after="120"/>
        <w:jc w:val="center"/>
      </w:pPr>
    </w:p>
    <w:p w:rsidRPr="001C2747" w:rsidR="007C3838" w:rsidP="000B0C2E" w:rsidRDefault="007C3838" w14:paraId="4BB95961" w14:textId="77777777">
      <w:pPr>
        <w:spacing w:before="120" w:after="120"/>
        <w:jc w:val="center"/>
      </w:pPr>
    </w:p>
    <w:p w:rsidRPr="001C2747" w:rsidR="007C3838" w:rsidP="000B0C2E" w:rsidRDefault="007C3838" w14:paraId="20A6BEE6" w14:textId="77777777">
      <w:pPr>
        <w:spacing w:before="120" w:after="120"/>
        <w:jc w:val="center"/>
      </w:pPr>
    </w:p>
    <w:p w:rsidRPr="001C2747" w:rsidR="007C3838" w:rsidP="000B0C2E" w:rsidRDefault="007C3838" w14:paraId="74D7B7E0" w14:textId="77777777">
      <w:pPr>
        <w:spacing w:before="120" w:after="120"/>
        <w:jc w:val="center"/>
      </w:pPr>
      <w:r w:rsidRPr="001C2747">
        <w:t>Submitted by:</w:t>
      </w:r>
    </w:p>
    <w:p w:rsidRPr="001C2747" w:rsidR="007C3838" w:rsidP="000B0C2E" w:rsidRDefault="007C3838" w14:paraId="12B5FA26" w14:textId="77777777">
      <w:pPr>
        <w:spacing w:before="120" w:after="120"/>
        <w:jc w:val="center"/>
      </w:pPr>
      <w:r w:rsidRPr="001C2747">
        <w:t>Nancy Brener, PhD, Project Officer</w:t>
      </w:r>
    </w:p>
    <w:p w:rsidRPr="001C2747" w:rsidR="007C3838" w:rsidP="000B0C2E" w:rsidRDefault="007C3838" w14:paraId="6A4A3B53" w14:textId="77777777">
      <w:pPr>
        <w:spacing w:before="120" w:after="120"/>
        <w:jc w:val="center"/>
      </w:pPr>
      <w:r w:rsidRPr="001C2747">
        <w:t xml:space="preserve">Division of Adolescent and School Health </w:t>
      </w:r>
    </w:p>
    <w:p w:rsidR="00582473" w:rsidP="000B0C2E" w:rsidRDefault="007C3838" w14:paraId="12B20428" w14:textId="5C5B83EB">
      <w:pPr>
        <w:widowControl/>
        <w:spacing w:before="120" w:after="120"/>
        <w:jc w:val="center"/>
      </w:pPr>
      <w:r w:rsidRPr="001C2747">
        <w:t>National Center for HIV/AIDS, Viral Hepatitis, STD, and TB Prevention</w:t>
      </w:r>
      <w:r w:rsidRPr="001C2747">
        <w:br/>
      </w:r>
      <w:r w:rsidR="00582473">
        <w:t>1600 Clifton Road, Mailstop US8-1</w:t>
      </w:r>
    </w:p>
    <w:p w:rsidRPr="001C2747" w:rsidR="007C3838" w:rsidP="000B0C2E" w:rsidRDefault="00582473" w14:paraId="3CD2CFD8" w14:textId="3DE0B459">
      <w:pPr>
        <w:widowControl/>
        <w:spacing w:before="120" w:after="120"/>
        <w:jc w:val="center"/>
      </w:pPr>
      <w:r>
        <w:t>Atlanta, GA 30329-4027</w:t>
      </w:r>
      <w:r w:rsidRPr="001C2747" w:rsidR="007C3838">
        <w:br/>
        <w:t xml:space="preserve">404-718-8133 (voice); </w:t>
      </w:r>
      <w:r w:rsidRPr="001C2747" w:rsidR="007C164D">
        <w:t>404-718-8010</w:t>
      </w:r>
      <w:r w:rsidRPr="001C2747" w:rsidR="007C3838">
        <w:t xml:space="preserve"> (fax)</w:t>
      </w:r>
      <w:r w:rsidRPr="001C2747" w:rsidR="007C3838">
        <w:br/>
        <w:t xml:space="preserve"> </w:t>
      </w:r>
      <w:hyperlink w:history="1" r:id="rId8">
        <w:r w:rsidRPr="001C2747" w:rsidR="007C3838">
          <w:rPr>
            <w:rStyle w:val="Hyperlink"/>
          </w:rPr>
          <w:t>nad1@cdc.gov</w:t>
        </w:r>
      </w:hyperlink>
      <w:r w:rsidRPr="001C2747" w:rsidR="007C3838">
        <w:br/>
      </w:r>
      <w:r w:rsidRPr="001C2747" w:rsidR="007C3838">
        <w:br/>
        <w:t>Centers for Disease Control and Prevention</w:t>
      </w:r>
      <w:r w:rsidRPr="001C2747" w:rsidR="007C3838">
        <w:cr/>
        <w:t>Department of Health and Human Services</w:t>
      </w:r>
      <w:r w:rsidRPr="001C2747" w:rsidR="007C3838">
        <w:br/>
      </w:r>
    </w:p>
    <w:p w:rsidRPr="001C2747" w:rsidR="007C3838" w:rsidP="000B0C2E" w:rsidRDefault="000B25D8" w14:paraId="7E7C727F" w14:textId="21EB687A">
      <w:pPr>
        <w:spacing w:before="120" w:after="120"/>
        <w:jc w:val="center"/>
      </w:pPr>
      <w:r>
        <w:t xml:space="preserve">October </w:t>
      </w:r>
      <w:r w:rsidR="005F51DF">
        <w:t>20</w:t>
      </w:r>
      <w:r>
        <w:t>, 2020</w:t>
      </w:r>
    </w:p>
    <w:p w:rsidRPr="001C2747" w:rsidR="00D00578" w:rsidP="000B0C2E" w:rsidRDefault="00932FE9" w14:paraId="07417AF6" w14:textId="77777777">
      <w:pPr>
        <w:pStyle w:val="Heading7"/>
        <w:tabs>
          <w:tab w:val="left" w:pos="1890"/>
        </w:tabs>
        <w:spacing w:before="120" w:after="120"/>
        <w:jc w:val="center"/>
        <w:rPr>
          <w:b/>
        </w:rPr>
      </w:pPr>
      <w:r w:rsidRPr="001C2747">
        <w:rPr>
          <w:b/>
        </w:rPr>
        <w:br w:type="page"/>
      </w:r>
      <w:r w:rsidRPr="001C2747" w:rsidR="00D00578">
        <w:rPr>
          <w:b/>
        </w:rPr>
        <w:lastRenderedPageBreak/>
        <w:t>TABLE OF CONTENTS</w:t>
      </w:r>
    </w:p>
    <w:p w:rsidRPr="001C2747" w:rsidR="00D00578" w:rsidP="000B0C2E" w:rsidRDefault="00D00578" w14:paraId="7616D68D" w14:textId="77777777">
      <w:pPr>
        <w:pStyle w:val="Title"/>
        <w:spacing w:before="120" w:after="120"/>
        <w:rPr>
          <w:sz w:val="24"/>
        </w:rPr>
      </w:pPr>
    </w:p>
    <w:p w:rsidRPr="003F2A91" w:rsidR="005A66CF" w:rsidP="005A66CF" w:rsidRDefault="005A66CF" w14:paraId="42D6B897" w14:textId="77777777">
      <w:pPr>
        <w:rPr>
          <w:b/>
          <w:bCs/>
        </w:rPr>
      </w:pPr>
      <w:bookmarkStart w:name="OLE_LINK32" w:id="0"/>
      <w:bookmarkStart w:name="OLE_LINK31" w:id="1"/>
      <w:r w:rsidRPr="003F2A91">
        <w:rPr>
          <w:b/>
          <w:bCs/>
        </w:rPr>
        <w:t>A.  JUSTIFICATION</w:t>
      </w:r>
    </w:p>
    <w:p w:rsidRPr="003F2A91" w:rsidR="005A66CF" w:rsidP="005A66CF" w:rsidRDefault="005A66CF" w14:paraId="427451B8" w14:textId="77777777">
      <w:pPr>
        <w:ind w:left="630" w:hanging="630"/>
      </w:pPr>
      <w:r w:rsidRPr="003F2A91">
        <w:t>A.1.</w:t>
      </w:r>
      <w:r w:rsidRPr="003F2A91">
        <w:tab/>
        <w:t>CIRCUMSTANCES MAKING THE COLLECTION OF INFORMATION NECESSARY</w:t>
      </w:r>
    </w:p>
    <w:p w:rsidRPr="003F2A91" w:rsidR="005A66CF" w:rsidP="005A66CF" w:rsidRDefault="005A66CF" w14:paraId="036FEA05" w14:textId="77777777">
      <w:pPr>
        <w:ind w:left="630" w:hanging="630"/>
      </w:pPr>
      <w:r w:rsidRPr="003F2A91">
        <w:t>A.2.</w:t>
      </w:r>
      <w:r>
        <w:tab/>
      </w:r>
      <w:r w:rsidRPr="003F2A91">
        <w:t>PURPOSE AND USE OF INFORMATION COLLECTION</w:t>
      </w:r>
    </w:p>
    <w:p w:rsidRPr="003F2A91" w:rsidR="005A66CF" w:rsidP="005A66CF" w:rsidRDefault="005A66CF" w14:paraId="7771840D" w14:textId="77777777">
      <w:pPr>
        <w:ind w:left="630" w:hanging="630"/>
      </w:pPr>
      <w:r w:rsidRPr="003F2A91">
        <w:t>A.3.</w:t>
      </w:r>
      <w:r w:rsidRPr="003F2A91">
        <w:tab/>
        <w:t>USE OF IMPROVED INFORMATION TECHNOLOGY AND BURDEN REDUCTION</w:t>
      </w:r>
    </w:p>
    <w:p w:rsidRPr="003F2A91" w:rsidR="005A66CF" w:rsidP="005A66CF" w:rsidRDefault="005A66CF" w14:paraId="58E3D671" w14:textId="77777777">
      <w:pPr>
        <w:ind w:left="630" w:hanging="630"/>
      </w:pPr>
      <w:r w:rsidRPr="003F2A91">
        <w:t>A.4.</w:t>
      </w:r>
      <w:r w:rsidRPr="003F2A91">
        <w:tab/>
        <w:t>EFFORTS TO IDENTIFY DUPLICATION AND USE OF SIMILAR INFORMATION</w:t>
      </w:r>
    </w:p>
    <w:p w:rsidRPr="003F2A91" w:rsidR="005A66CF" w:rsidP="005A66CF" w:rsidRDefault="005A66CF" w14:paraId="37A6804C" w14:textId="77777777">
      <w:pPr>
        <w:ind w:left="630" w:hanging="630"/>
      </w:pPr>
      <w:r w:rsidRPr="003F2A91">
        <w:t>A.5.</w:t>
      </w:r>
      <w:r w:rsidRPr="003F2A91">
        <w:tab/>
        <w:t>IMPACT ON SMALL BUSINESSES OR OTHER SMALL ENTITIES</w:t>
      </w:r>
    </w:p>
    <w:p w:rsidRPr="003F2A91" w:rsidR="005A66CF" w:rsidP="005A66CF" w:rsidRDefault="005A66CF" w14:paraId="0994B5E2" w14:textId="77777777">
      <w:pPr>
        <w:ind w:left="630" w:hanging="630"/>
      </w:pPr>
      <w:r w:rsidRPr="003F2A91">
        <w:t>A.6.</w:t>
      </w:r>
      <w:r w:rsidRPr="003F2A91">
        <w:tab/>
        <w:t>CONSEQUENCES OF COLLECTING THE INFORMATION LESS FREQUENTLY</w:t>
      </w:r>
    </w:p>
    <w:p w:rsidRPr="003F2A91" w:rsidR="005A66CF" w:rsidP="005A66CF" w:rsidRDefault="005A66CF" w14:paraId="29126383" w14:textId="77777777">
      <w:pPr>
        <w:ind w:left="630" w:hanging="630"/>
      </w:pPr>
      <w:r w:rsidRPr="003F2A91">
        <w:t>A.7.</w:t>
      </w:r>
      <w:r w:rsidRPr="003F2A91">
        <w:tab/>
        <w:t>SPECIAL CIRCUMSTANCES RELATING TO THE GUIDELINE OF 5 CFR 1320.5</w:t>
      </w:r>
    </w:p>
    <w:p w:rsidRPr="003F2A91" w:rsidR="005A66CF" w:rsidP="005A66CF" w:rsidRDefault="005A66CF" w14:paraId="41806C36" w14:textId="77777777">
      <w:pPr>
        <w:ind w:left="630" w:hanging="630"/>
      </w:pPr>
      <w:r w:rsidRPr="003F2A91">
        <w:t>A.8.</w:t>
      </w:r>
      <w:r w:rsidRPr="003F2A91">
        <w:tab/>
        <w:t>COMMENTS IN RESPONSE TO THE FEDERAL REGISTER NOTICE AND EFFORTS TO CONSULT OUTSIDE THE AGENCY</w:t>
      </w:r>
    </w:p>
    <w:p w:rsidRPr="003F2A91" w:rsidR="005A66CF" w:rsidP="005A66CF" w:rsidRDefault="005A66CF" w14:paraId="76C4225D" w14:textId="77777777">
      <w:pPr>
        <w:ind w:left="630" w:hanging="630"/>
      </w:pPr>
      <w:r w:rsidRPr="003F2A91">
        <w:t>A.9.</w:t>
      </w:r>
      <w:r w:rsidRPr="003F2A91">
        <w:tab/>
        <w:t>EXPLANATION OF ANY PAYMENT OR GIFT TO RESPONDENTS</w:t>
      </w:r>
    </w:p>
    <w:p w:rsidRPr="003F2A91" w:rsidR="005A66CF" w:rsidP="005A66CF" w:rsidRDefault="005A66CF" w14:paraId="5D674651" w14:textId="77777777">
      <w:pPr>
        <w:ind w:left="630" w:hanging="630"/>
      </w:pPr>
      <w:r w:rsidRPr="003F2A91">
        <w:t>A.10.</w:t>
      </w:r>
      <w:r w:rsidRPr="003F2A91">
        <w:tab/>
        <w:t>PROTECTION OF THE PRIVACY OF INFORMATION PROVIDED BY RESPONDENTS</w:t>
      </w:r>
    </w:p>
    <w:p w:rsidRPr="003F2A91" w:rsidR="005A66CF" w:rsidP="005A66CF" w:rsidRDefault="005A66CF" w14:paraId="5E016711" w14:textId="77777777">
      <w:pPr>
        <w:ind w:left="630" w:hanging="630"/>
      </w:pPr>
      <w:r w:rsidRPr="003F2A91">
        <w:t>A.11.</w:t>
      </w:r>
      <w:r w:rsidRPr="003F2A91">
        <w:tab/>
        <w:t>INSTITUTIONAL REVIEW BOARD (IRB) AND JUSTIFICATION FOR SENSITIVE QUESTIONS</w:t>
      </w:r>
    </w:p>
    <w:p w:rsidRPr="003F2A91" w:rsidR="005A66CF" w:rsidP="005A66CF" w:rsidRDefault="005A66CF" w14:paraId="76DBE89D" w14:textId="77777777">
      <w:pPr>
        <w:ind w:left="630" w:hanging="630"/>
      </w:pPr>
      <w:r w:rsidRPr="003F2A91">
        <w:t>A.12.</w:t>
      </w:r>
      <w:r w:rsidRPr="003F2A91">
        <w:tab/>
        <w:t>ESTIMATES OF ANNUALIZED BURDEN HOURS AND COSTS</w:t>
      </w:r>
    </w:p>
    <w:p w:rsidRPr="003F2A91" w:rsidR="005A66CF" w:rsidP="005A66CF" w:rsidRDefault="005A66CF" w14:paraId="6D77CF63" w14:textId="77777777">
      <w:pPr>
        <w:ind w:left="630" w:hanging="630"/>
      </w:pPr>
      <w:r w:rsidRPr="003F2A91">
        <w:t>A.13.</w:t>
      </w:r>
      <w:r w:rsidRPr="003F2A91">
        <w:tab/>
        <w:t>ESTIMATES OF OTHER TOTAL ANNUAL COST BURDEN TO RESPONDENTS OR RECORD KEEPERS</w:t>
      </w:r>
    </w:p>
    <w:p w:rsidRPr="003F2A91" w:rsidR="005A66CF" w:rsidP="005A66CF" w:rsidRDefault="005A66CF" w14:paraId="285BE8A6" w14:textId="77777777">
      <w:pPr>
        <w:ind w:left="630" w:hanging="630"/>
      </w:pPr>
      <w:r w:rsidRPr="003F2A91">
        <w:t>A.14.</w:t>
      </w:r>
      <w:r w:rsidRPr="003F2A91">
        <w:tab/>
        <w:t>ANNUALIZED COST TO THE GOVERNMENT</w:t>
      </w:r>
    </w:p>
    <w:p w:rsidRPr="003F2A91" w:rsidR="005A66CF" w:rsidP="005A66CF" w:rsidRDefault="005A66CF" w14:paraId="68F9007E" w14:textId="77777777">
      <w:pPr>
        <w:ind w:left="630" w:hanging="630"/>
      </w:pPr>
      <w:r w:rsidRPr="003F2A91">
        <w:t>A.15.</w:t>
      </w:r>
      <w:r w:rsidRPr="003F2A91">
        <w:tab/>
        <w:t>EXPLANATION OF PROGRAM CHANGES OR ADJUSTMENTS</w:t>
      </w:r>
    </w:p>
    <w:p w:rsidRPr="003F2A91" w:rsidR="005A66CF" w:rsidP="005A66CF" w:rsidRDefault="005A66CF" w14:paraId="3394D9F6" w14:textId="77777777">
      <w:pPr>
        <w:ind w:left="630" w:hanging="630"/>
      </w:pPr>
      <w:r w:rsidRPr="003F2A91">
        <w:t>A.16.</w:t>
      </w:r>
      <w:r w:rsidRPr="003F2A91">
        <w:tab/>
        <w:t>PLANS FOR TABULATION AND PUBLICATION AND PROJECT TIME SCHEDULE</w:t>
      </w:r>
    </w:p>
    <w:p w:rsidRPr="003F2A91" w:rsidR="005A66CF" w:rsidP="005A66CF" w:rsidRDefault="005A66CF" w14:paraId="707A7354" w14:textId="77777777">
      <w:pPr>
        <w:ind w:left="630" w:hanging="630"/>
      </w:pPr>
      <w:r w:rsidRPr="003F2A91">
        <w:t>A.17.</w:t>
      </w:r>
      <w:r w:rsidRPr="003F2A91">
        <w:tab/>
        <w:t>REASON(S) DISPLAY OF OMB EXPIRATION DATE IS INAPPROPRIATE</w:t>
      </w:r>
    </w:p>
    <w:p w:rsidRPr="003F2A91" w:rsidR="005A66CF" w:rsidP="005A66CF" w:rsidRDefault="005A66CF" w14:paraId="24A749DD" w14:textId="77777777">
      <w:pPr>
        <w:ind w:left="630" w:hanging="630"/>
      </w:pPr>
      <w:r w:rsidRPr="003F2A91">
        <w:t>A.18.</w:t>
      </w:r>
      <w:r w:rsidRPr="003F2A91">
        <w:tab/>
        <w:t>EXCEPTIONS TO CERTIFICATION FOR PAPERWORK REDUCTION ACT SUBMISSIONS</w:t>
      </w:r>
    </w:p>
    <w:p w:rsidR="005A66CF" w:rsidP="005A66CF" w:rsidRDefault="005A66CF" w14:paraId="40C96FF0" w14:textId="77777777">
      <w:pPr>
        <w:rPr>
          <w:b/>
          <w:bCs/>
        </w:rPr>
      </w:pPr>
    </w:p>
    <w:p w:rsidRPr="003F2A91" w:rsidR="005A66CF" w:rsidP="005A66CF" w:rsidRDefault="005A66CF" w14:paraId="0AD81D10" w14:textId="77777777">
      <w:pPr>
        <w:autoSpaceDE/>
        <w:autoSpaceDN/>
        <w:spacing w:line="259" w:lineRule="auto"/>
        <w:rPr>
          <w:b/>
          <w:bCs/>
        </w:rPr>
      </w:pPr>
      <w:r w:rsidRPr="003F2A91">
        <w:rPr>
          <w:b/>
          <w:bCs/>
        </w:rPr>
        <w:t>B.  COLLECTIONS OF INFORMATION EMPLOYING STATISTICAL METHODS </w:t>
      </w:r>
    </w:p>
    <w:p w:rsidRPr="003F2A91" w:rsidR="005A66CF" w:rsidP="005A66CF" w:rsidRDefault="005A66CF" w14:paraId="1FDF9E3F" w14:textId="77777777">
      <w:r w:rsidRPr="003F2A91">
        <w:t>B.1     RESPONDENT UNIVERSE AND SAMPLING METHODS</w:t>
      </w:r>
      <w:r w:rsidRPr="003F2A91">
        <w:rPr>
          <w:color w:val="000000"/>
        </w:rPr>
        <w:t xml:space="preserve"> </w:t>
      </w:r>
    </w:p>
    <w:p w:rsidRPr="003F2A91" w:rsidR="005A66CF" w:rsidP="005A66CF" w:rsidRDefault="005A66CF" w14:paraId="60C68989" w14:textId="77777777">
      <w:pPr>
        <w:spacing w:before="40" w:after="40"/>
      </w:pPr>
      <w:r w:rsidRPr="003F2A91">
        <w:t>B.2     PROCEDURES FOR THE COLLECTION OF INFORMATION</w:t>
      </w:r>
      <w:r w:rsidRPr="003F2A91">
        <w:rPr>
          <w:color w:val="000000"/>
        </w:rPr>
        <w:t xml:space="preserve"> </w:t>
      </w:r>
    </w:p>
    <w:p w:rsidRPr="003F2A91" w:rsidR="005A66CF" w:rsidP="005A66CF" w:rsidRDefault="005A66CF" w14:paraId="3B9744E1" w14:textId="77777777">
      <w:pPr>
        <w:spacing w:before="40" w:after="40"/>
      </w:pPr>
      <w:r w:rsidRPr="003F2A91">
        <w:t>B.3     METHODS TO MAXIMIZE RESPONSE RATES AND DEAL WITH NO RESPONSE</w:t>
      </w:r>
      <w:r w:rsidRPr="003F2A91">
        <w:rPr>
          <w:color w:val="000000"/>
        </w:rPr>
        <w:t xml:space="preserve"> </w:t>
      </w:r>
    </w:p>
    <w:p w:rsidRPr="003F2A91" w:rsidR="005A66CF" w:rsidP="005A66CF" w:rsidRDefault="005A66CF" w14:paraId="353A4C19" w14:textId="77777777">
      <w:r w:rsidRPr="003F2A91">
        <w:t>B.4     TESTS OF PROCEDURES OR METHODS TO BE UNDERTAKEN</w:t>
      </w:r>
    </w:p>
    <w:p w:rsidRPr="003F2A91" w:rsidR="005A66CF" w:rsidP="005A66CF" w:rsidRDefault="005A66CF" w14:paraId="18862530" w14:textId="4194C8BE">
      <w:pPr>
        <w:ind w:left="630" w:hanging="630"/>
      </w:pPr>
      <w:r w:rsidRPr="003F2A91">
        <w:t>B.5     INDIVIDUALS CONSULTED ON STATISTICAL ASPECTS AND INDIVIDUALS COLLECTING AND/OR ANALYZING DATA</w:t>
      </w:r>
      <w:r w:rsidRPr="003F2A91">
        <w:rPr>
          <w:color w:val="000000"/>
        </w:rPr>
        <w:t xml:space="preserve"> </w:t>
      </w:r>
    </w:p>
    <w:p w:rsidRPr="001C2747" w:rsidR="007C17A4" w:rsidP="000B0C2E" w:rsidRDefault="007C17A4" w14:paraId="3CE115CD" w14:textId="77777777">
      <w:pPr>
        <w:spacing w:before="120" w:after="120"/>
        <w:rPr>
          <w:color w:val="000000"/>
        </w:rPr>
      </w:pPr>
    </w:p>
    <w:p w:rsidR="0097424C" w:rsidP="00175B02" w:rsidRDefault="00DC66FD" w14:paraId="53DAADCF" w14:textId="07FEA2C0">
      <w:pPr>
        <w:widowControl/>
        <w:autoSpaceDE/>
        <w:autoSpaceDN/>
        <w:adjustRightInd/>
        <w:spacing w:before="120" w:after="120"/>
        <w:rPr>
          <w:rStyle w:val="Footer1"/>
          <w:b/>
          <w:bCs/>
        </w:rPr>
      </w:pPr>
      <w:r w:rsidRPr="001C2747">
        <w:rPr>
          <w:rStyle w:val="Footer1"/>
          <w:bCs/>
        </w:rPr>
        <w:br w:type="page"/>
      </w:r>
      <w:r w:rsidRPr="007807C6" w:rsidR="007807C6">
        <w:rPr>
          <w:rStyle w:val="Footer1"/>
          <w:b/>
          <w:bCs/>
        </w:rPr>
        <w:lastRenderedPageBreak/>
        <w:t xml:space="preserve">LIST OF </w:t>
      </w:r>
      <w:r w:rsidRPr="007807C6" w:rsidR="008E08A1">
        <w:rPr>
          <w:rStyle w:val="Footer1"/>
          <w:b/>
          <w:bCs/>
        </w:rPr>
        <w:t>A</w:t>
      </w:r>
      <w:r w:rsidR="008E08A1">
        <w:rPr>
          <w:rStyle w:val="Footer1"/>
          <w:b/>
          <w:bCs/>
        </w:rPr>
        <w:t>TTACHMENTS</w:t>
      </w:r>
    </w:p>
    <w:p w:rsidRPr="001C2747" w:rsidR="007C164D" w:rsidP="000B0C2E" w:rsidRDefault="007C164D" w14:paraId="4BDA4A73" w14:textId="77777777">
      <w:pPr>
        <w:widowControl/>
        <w:numPr>
          <w:ilvl w:val="0"/>
          <w:numId w:val="13"/>
        </w:numPr>
        <w:tabs>
          <w:tab w:val="num" w:pos="360"/>
        </w:tabs>
        <w:autoSpaceDE/>
        <w:autoSpaceDN/>
        <w:adjustRightInd/>
        <w:ind w:left="360"/>
        <w:rPr>
          <w:color w:val="000000"/>
        </w:rPr>
      </w:pPr>
      <w:r w:rsidRPr="001C2747">
        <w:rPr>
          <w:color w:val="000000"/>
        </w:rPr>
        <w:t>Authorizing Legislation</w:t>
      </w:r>
    </w:p>
    <w:p w:rsidRPr="001C2747" w:rsidR="007C164D" w:rsidP="000B0C2E" w:rsidRDefault="007C164D" w14:paraId="1066F43F" w14:textId="77777777">
      <w:pPr>
        <w:widowControl/>
        <w:numPr>
          <w:ilvl w:val="0"/>
          <w:numId w:val="13"/>
        </w:numPr>
        <w:tabs>
          <w:tab w:val="num" w:pos="360"/>
        </w:tabs>
        <w:autoSpaceDE/>
        <w:autoSpaceDN/>
        <w:adjustRightInd/>
        <w:ind w:left="360"/>
        <w:rPr>
          <w:color w:val="000000"/>
        </w:rPr>
      </w:pPr>
      <w:r w:rsidRPr="001C2747">
        <w:rPr>
          <w:color w:val="000000"/>
        </w:rPr>
        <w:t>60-Day Federal Register Notice</w:t>
      </w:r>
    </w:p>
    <w:p w:rsidRPr="001C2747" w:rsidR="007C164D" w:rsidP="000B0C2E" w:rsidRDefault="007C164D" w14:paraId="58B4DFE4" w14:textId="01370AE6">
      <w:pPr>
        <w:widowControl/>
        <w:numPr>
          <w:ilvl w:val="0"/>
          <w:numId w:val="13"/>
        </w:numPr>
        <w:tabs>
          <w:tab w:val="num" w:pos="360"/>
        </w:tabs>
        <w:autoSpaceDE/>
        <w:autoSpaceDN/>
        <w:adjustRightInd/>
        <w:ind w:left="360"/>
        <w:rPr>
          <w:color w:val="000000"/>
        </w:rPr>
      </w:pPr>
      <w:r w:rsidRPr="001C2747">
        <w:rPr>
          <w:color w:val="000000"/>
        </w:rPr>
        <w:t>60-Day Federal Register Notice Comment</w:t>
      </w:r>
      <w:r w:rsidR="00990D18">
        <w:rPr>
          <w:color w:val="000000"/>
        </w:rPr>
        <w:t>(s)</w:t>
      </w:r>
    </w:p>
    <w:p w:rsidRPr="001C2747" w:rsidR="007C164D" w:rsidP="000B0C2E" w:rsidRDefault="007C164D" w14:paraId="2DFE00DA" w14:textId="77777777">
      <w:pPr>
        <w:widowControl/>
        <w:numPr>
          <w:ilvl w:val="0"/>
          <w:numId w:val="13"/>
        </w:numPr>
        <w:tabs>
          <w:tab w:val="num" w:pos="360"/>
        </w:tabs>
        <w:autoSpaceDE/>
        <w:autoSpaceDN/>
        <w:adjustRightInd/>
        <w:ind w:left="360"/>
        <w:rPr>
          <w:color w:val="000000"/>
        </w:rPr>
      </w:pPr>
      <w:r w:rsidRPr="001C2747">
        <w:t>Rationale for Survey Questions</w:t>
      </w:r>
    </w:p>
    <w:p w:rsidRPr="0010377C" w:rsidR="007C164D" w:rsidP="000B0C2E" w:rsidRDefault="007C164D" w14:paraId="04736891" w14:textId="20FB2056">
      <w:pPr>
        <w:widowControl/>
        <w:numPr>
          <w:ilvl w:val="0"/>
          <w:numId w:val="13"/>
        </w:numPr>
        <w:tabs>
          <w:tab w:val="num" w:pos="360"/>
        </w:tabs>
        <w:autoSpaceDE/>
        <w:autoSpaceDN/>
        <w:adjustRightInd/>
        <w:ind w:left="360"/>
        <w:rPr>
          <w:color w:val="000000"/>
        </w:rPr>
      </w:pPr>
      <w:r w:rsidRPr="001C2747">
        <w:t>Expert Reviewers for the 1989 Consultations</w:t>
      </w:r>
    </w:p>
    <w:p w:rsidRPr="001C2747" w:rsidR="0010377C" w:rsidP="000B0C2E" w:rsidRDefault="0010377C" w14:paraId="5D1438E4" w14:textId="19D3BCC0">
      <w:pPr>
        <w:widowControl/>
        <w:numPr>
          <w:ilvl w:val="0"/>
          <w:numId w:val="13"/>
        </w:numPr>
        <w:tabs>
          <w:tab w:val="num" w:pos="360"/>
        </w:tabs>
        <w:autoSpaceDE/>
        <w:autoSpaceDN/>
        <w:adjustRightInd/>
        <w:ind w:left="360"/>
        <w:rPr>
          <w:color w:val="000000"/>
        </w:rPr>
      </w:pPr>
      <w:r>
        <w:t>Report on the 2018 YRBS External Peer Review</w:t>
      </w:r>
    </w:p>
    <w:p w:rsidRPr="001C2747" w:rsidR="007C164D" w:rsidP="000B0C2E" w:rsidRDefault="007C164D" w14:paraId="5A7F2D15" w14:textId="77777777">
      <w:pPr>
        <w:widowControl/>
        <w:numPr>
          <w:ilvl w:val="0"/>
          <w:numId w:val="13"/>
        </w:numPr>
        <w:tabs>
          <w:tab w:val="num" w:pos="360"/>
        </w:tabs>
        <w:autoSpaceDE/>
        <w:autoSpaceDN/>
        <w:adjustRightInd/>
        <w:ind w:left="360"/>
        <w:rPr>
          <w:color w:val="000000"/>
        </w:rPr>
      </w:pPr>
      <w:r w:rsidRPr="001C2747">
        <w:rPr>
          <w:color w:val="000000"/>
        </w:rPr>
        <w:t>Data Collection Checklist</w:t>
      </w:r>
    </w:p>
    <w:p w:rsidR="007C164D" w:rsidP="000B0C2E" w:rsidRDefault="007C164D" w14:paraId="5BF1777D" w14:textId="0EFBC3B6">
      <w:pPr>
        <w:widowControl/>
        <w:numPr>
          <w:ilvl w:val="0"/>
          <w:numId w:val="13"/>
        </w:numPr>
        <w:tabs>
          <w:tab w:val="num" w:pos="360"/>
        </w:tabs>
        <w:autoSpaceDE/>
        <w:autoSpaceDN/>
        <w:adjustRightInd/>
        <w:ind w:left="360"/>
        <w:rPr>
          <w:color w:val="000000"/>
        </w:rPr>
      </w:pPr>
      <w:bookmarkStart w:name="_Hlk27084841" w:id="2"/>
      <w:r w:rsidRPr="001C2747">
        <w:rPr>
          <w:color w:val="000000"/>
        </w:rPr>
        <w:t>Survey Administrator Script</w:t>
      </w:r>
    </w:p>
    <w:bookmarkEnd w:id="2"/>
    <w:p w:rsidR="00FE1CD5" w:rsidP="000B0C2E" w:rsidRDefault="0010377C" w14:paraId="6B8FD456" w14:textId="37A9DBDE">
      <w:pPr>
        <w:widowControl/>
        <w:autoSpaceDE/>
        <w:autoSpaceDN/>
        <w:adjustRightInd/>
        <w:ind w:left="360"/>
        <w:rPr>
          <w:color w:val="000000"/>
        </w:rPr>
      </w:pPr>
      <w:r>
        <w:rPr>
          <w:color w:val="000000"/>
        </w:rPr>
        <w:t>H</w:t>
      </w:r>
      <w:r w:rsidR="00FE1CD5">
        <w:rPr>
          <w:color w:val="000000"/>
        </w:rPr>
        <w:t xml:space="preserve">1. </w:t>
      </w:r>
      <w:r w:rsidRPr="00FE1CD5" w:rsidR="00FE1CD5">
        <w:rPr>
          <w:color w:val="000000"/>
        </w:rPr>
        <w:t>Survey Administrator Script</w:t>
      </w:r>
      <w:r>
        <w:rPr>
          <w:color w:val="000000"/>
        </w:rPr>
        <w:t xml:space="preserve"> YRBS 2021</w:t>
      </w:r>
      <w:r w:rsidR="00FE1CD5">
        <w:rPr>
          <w:color w:val="000000"/>
        </w:rPr>
        <w:t xml:space="preserve"> – </w:t>
      </w:r>
      <w:r w:rsidR="006147DE">
        <w:rPr>
          <w:color w:val="000000"/>
        </w:rPr>
        <w:t>B</w:t>
      </w:r>
      <w:r w:rsidR="00FE1CD5">
        <w:rPr>
          <w:color w:val="000000"/>
        </w:rPr>
        <w:t>ooklet</w:t>
      </w:r>
    </w:p>
    <w:p w:rsidR="00FE1CD5" w:rsidP="000B0C2E" w:rsidRDefault="0010377C" w14:paraId="7A30F6AB" w14:textId="254F4BCE">
      <w:pPr>
        <w:widowControl/>
        <w:autoSpaceDE/>
        <w:autoSpaceDN/>
        <w:adjustRightInd/>
        <w:ind w:left="360"/>
        <w:rPr>
          <w:color w:val="000000"/>
        </w:rPr>
      </w:pPr>
      <w:r>
        <w:rPr>
          <w:color w:val="000000"/>
        </w:rPr>
        <w:t>H</w:t>
      </w:r>
      <w:r w:rsidR="00FE1CD5">
        <w:rPr>
          <w:color w:val="000000"/>
        </w:rPr>
        <w:t xml:space="preserve">2. </w:t>
      </w:r>
      <w:r w:rsidRPr="00FE1CD5" w:rsidR="00FE1CD5">
        <w:rPr>
          <w:color w:val="000000"/>
        </w:rPr>
        <w:t>Survey Administrator Script</w:t>
      </w:r>
      <w:r w:rsidR="00FE1CD5">
        <w:rPr>
          <w:color w:val="000000"/>
        </w:rPr>
        <w:t xml:space="preserve"> </w:t>
      </w:r>
      <w:r>
        <w:rPr>
          <w:color w:val="000000"/>
        </w:rPr>
        <w:t xml:space="preserve">YRBS 2023 </w:t>
      </w:r>
      <w:r w:rsidR="00FE1CD5">
        <w:rPr>
          <w:color w:val="000000"/>
        </w:rPr>
        <w:t xml:space="preserve">– </w:t>
      </w:r>
      <w:r w:rsidR="000F5929">
        <w:rPr>
          <w:color w:val="000000"/>
        </w:rPr>
        <w:t>Tablet</w:t>
      </w:r>
    </w:p>
    <w:p w:rsidRPr="00731377" w:rsidR="00731377" w:rsidP="00731377" w:rsidRDefault="00731377" w14:paraId="5B5174E1" w14:textId="77777777">
      <w:pPr>
        <w:widowControl/>
        <w:autoSpaceDE/>
        <w:autoSpaceDN/>
        <w:adjustRightInd/>
        <w:ind w:left="360"/>
        <w:rPr>
          <w:color w:val="000000"/>
        </w:rPr>
      </w:pPr>
      <w:r w:rsidRPr="00731377">
        <w:rPr>
          <w:color w:val="000000"/>
        </w:rPr>
        <w:t>H3. Survey Administrator/Student Video Script ABES - Web</w:t>
      </w:r>
    </w:p>
    <w:p w:rsidRPr="001C2747" w:rsidR="00731377" w:rsidP="00731377" w:rsidRDefault="00731377" w14:paraId="6E1BD235" w14:textId="5EFDC011">
      <w:pPr>
        <w:widowControl/>
        <w:autoSpaceDE/>
        <w:autoSpaceDN/>
        <w:adjustRightInd/>
        <w:ind w:left="360"/>
        <w:rPr>
          <w:color w:val="000000"/>
        </w:rPr>
      </w:pPr>
      <w:r w:rsidRPr="00731377">
        <w:rPr>
          <w:color w:val="000000"/>
        </w:rPr>
        <w:t>H4. Survey Administrator/Student Video Script ABES - Web (Spanish Version)</w:t>
      </w:r>
    </w:p>
    <w:p w:rsidRPr="001C2747" w:rsidR="007C164D" w:rsidP="000B0C2E" w:rsidRDefault="007C164D" w14:paraId="5981CFB9" w14:textId="77777777">
      <w:pPr>
        <w:numPr>
          <w:ilvl w:val="0"/>
          <w:numId w:val="13"/>
        </w:numPr>
        <w:ind w:left="360"/>
        <w:contextualSpacing/>
        <w:rPr>
          <w:color w:val="000000"/>
        </w:rPr>
      </w:pPr>
      <w:r w:rsidRPr="001C2747">
        <w:rPr>
          <w:color w:val="000000"/>
        </w:rPr>
        <w:t>Parental Permission Forms and Supplemental Documents</w:t>
      </w:r>
    </w:p>
    <w:p w:rsidR="005E4D00" w:rsidP="000B0C2E" w:rsidRDefault="000A00F0" w14:paraId="6AD077F1" w14:textId="7ABB94C2">
      <w:pPr>
        <w:ind w:left="360"/>
        <w:jc w:val="both"/>
        <w:rPr>
          <w:color w:val="000000"/>
        </w:rPr>
      </w:pPr>
      <w:r>
        <w:rPr>
          <w:color w:val="000000"/>
        </w:rPr>
        <w:t>I1</w:t>
      </w:r>
      <w:r w:rsidRPr="001C2747" w:rsidR="007C164D">
        <w:rPr>
          <w:color w:val="000000"/>
        </w:rPr>
        <w:t xml:space="preserve">. </w:t>
      </w:r>
      <w:r w:rsidRPr="005E4D00" w:rsidR="005E4D00">
        <w:rPr>
          <w:color w:val="000000"/>
        </w:rPr>
        <w:t>Parental Permission Form and Fact Sheet</w:t>
      </w:r>
      <w:bookmarkStart w:name="_Hlk27336740" w:id="3"/>
      <w:r w:rsidRPr="005E4D00" w:rsidR="005E4D00">
        <w:rPr>
          <w:color w:val="000000"/>
        </w:rPr>
        <w:t xml:space="preserve"> (English Version)</w:t>
      </w:r>
      <w:bookmarkEnd w:id="3"/>
    </w:p>
    <w:p w:rsidR="005E4D00" w:rsidP="000B0C2E" w:rsidRDefault="0010377C" w14:paraId="62AF618A" w14:textId="7AB2A4E4">
      <w:pPr>
        <w:ind w:left="360"/>
        <w:jc w:val="both"/>
        <w:rPr>
          <w:color w:val="000000"/>
        </w:rPr>
      </w:pPr>
      <w:r>
        <w:rPr>
          <w:color w:val="000000"/>
        </w:rPr>
        <w:t>I</w:t>
      </w:r>
      <w:r w:rsidR="000A00F0">
        <w:rPr>
          <w:color w:val="000000"/>
        </w:rPr>
        <w:t>2</w:t>
      </w:r>
      <w:r>
        <w:rPr>
          <w:color w:val="000000"/>
        </w:rPr>
        <w:t>.</w:t>
      </w:r>
      <w:r w:rsidR="005E4D00">
        <w:rPr>
          <w:color w:val="000000"/>
        </w:rPr>
        <w:t xml:space="preserve"> </w:t>
      </w:r>
      <w:r w:rsidRPr="005E4D00" w:rsidR="005E4D00">
        <w:rPr>
          <w:color w:val="000000"/>
        </w:rPr>
        <w:t>Parental Permission Form and Fact Sheet (</w:t>
      </w:r>
      <w:r w:rsidR="005E4D00">
        <w:rPr>
          <w:color w:val="000000"/>
        </w:rPr>
        <w:t>Spanish</w:t>
      </w:r>
      <w:r w:rsidRPr="005E4D00" w:rsidR="005E4D00">
        <w:rPr>
          <w:color w:val="000000"/>
        </w:rPr>
        <w:t xml:space="preserve"> Version)</w:t>
      </w:r>
    </w:p>
    <w:p w:rsidRPr="001C2747" w:rsidR="005E4D00" w:rsidP="000B0C2E" w:rsidRDefault="000A00F0" w14:paraId="1C05CAEA" w14:textId="124AF7D3">
      <w:pPr>
        <w:ind w:left="360"/>
        <w:jc w:val="both"/>
        <w:rPr>
          <w:color w:val="000000"/>
        </w:rPr>
      </w:pPr>
      <w:r>
        <w:rPr>
          <w:color w:val="000000"/>
        </w:rPr>
        <w:t>I3</w:t>
      </w:r>
      <w:r w:rsidRPr="001C2747" w:rsidR="005E4D00">
        <w:rPr>
          <w:color w:val="000000"/>
        </w:rPr>
        <w:t>. Parental Permission Form Distribution Script</w:t>
      </w:r>
    </w:p>
    <w:p w:rsidRPr="001C2747" w:rsidR="007C164D" w:rsidP="000B0C2E" w:rsidRDefault="0010377C" w14:paraId="0E121B6F" w14:textId="61121272">
      <w:pPr>
        <w:ind w:left="360"/>
        <w:jc w:val="both"/>
        <w:rPr>
          <w:color w:val="000000"/>
        </w:rPr>
      </w:pPr>
      <w:r>
        <w:rPr>
          <w:color w:val="000000"/>
        </w:rPr>
        <w:t>I</w:t>
      </w:r>
      <w:r w:rsidR="000A00F0">
        <w:rPr>
          <w:color w:val="000000"/>
        </w:rPr>
        <w:t>4.</w:t>
      </w:r>
      <w:r w:rsidR="005E4D00">
        <w:rPr>
          <w:color w:val="000000"/>
        </w:rPr>
        <w:t xml:space="preserve"> </w:t>
      </w:r>
      <w:r w:rsidRPr="001C2747" w:rsidR="007C164D">
        <w:rPr>
          <w:color w:val="000000"/>
        </w:rPr>
        <w:t>Parental Permission Form Reminder Notice (English Version)</w:t>
      </w:r>
    </w:p>
    <w:p w:rsidR="007C164D" w:rsidP="000B0C2E" w:rsidRDefault="0010377C" w14:paraId="67B32F5D" w14:textId="47BE2E55">
      <w:pPr>
        <w:ind w:left="360"/>
        <w:jc w:val="both"/>
        <w:rPr>
          <w:color w:val="000000"/>
        </w:rPr>
      </w:pPr>
      <w:r>
        <w:rPr>
          <w:color w:val="000000"/>
        </w:rPr>
        <w:t>I</w:t>
      </w:r>
      <w:r w:rsidR="000A00F0">
        <w:rPr>
          <w:color w:val="000000"/>
        </w:rPr>
        <w:t>5</w:t>
      </w:r>
      <w:r w:rsidRPr="001C2747" w:rsidR="007C164D">
        <w:rPr>
          <w:color w:val="000000"/>
        </w:rPr>
        <w:t>. Parental Permission Form Reminder Notice (Spanish Version)</w:t>
      </w:r>
    </w:p>
    <w:p w:rsidRPr="00731377" w:rsidR="00731377" w:rsidP="00731377" w:rsidRDefault="00731377" w14:paraId="01921923" w14:textId="77777777">
      <w:pPr>
        <w:ind w:left="360"/>
        <w:jc w:val="both"/>
        <w:rPr>
          <w:color w:val="000000"/>
        </w:rPr>
      </w:pPr>
      <w:r w:rsidRPr="00731377">
        <w:rPr>
          <w:color w:val="000000"/>
        </w:rPr>
        <w:t>I6. ABES Parental Permission Form and Fact Sheet (English Version)</w:t>
      </w:r>
    </w:p>
    <w:p w:rsidRPr="00731377" w:rsidR="00731377" w:rsidP="00731377" w:rsidRDefault="00731377" w14:paraId="5CDAFAC0" w14:textId="77777777">
      <w:pPr>
        <w:ind w:left="360"/>
        <w:jc w:val="both"/>
        <w:rPr>
          <w:color w:val="000000"/>
        </w:rPr>
      </w:pPr>
      <w:r w:rsidRPr="00731377">
        <w:rPr>
          <w:color w:val="000000"/>
        </w:rPr>
        <w:t>I7. ABES Parental Permission Form and Fact Sheet (Spanish Version)</w:t>
      </w:r>
    </w:p>
    <w:p w:rsidRPr="00731377" w:rsidR="00731377" w:rsidP="00731377" w:rsidRDefault="00731377" w14:paraId="57D289F1" w14:textId="77777777">
      <w:pPr>
        <w:ind w:left="360"/>
        <w:jc w:val="both"/>
        <w:rPr>
          <w:color w:val="000000"/>
        </w:rPr>
      </w:pPr>
      <w:r w:rsidRPr="00731377">
        <w:rPr>
          <w:color w:val="000000"/>
        </w:rPr>
        <w:t>I8. ABES Parental Permission Form Distribution Script EDL</w:t>
      </w:r>
    </w:p>
    <w:p w:rsidRPr="00731377" w:rsidR="00731377" w:rsidP="00731377" w:rsidRDefault="00731377" w14:paraId="4302C0F6" w14:textId="77777777">
      <w:pPr>
        <w:ind w:left="360"/>
        <w:jc w:val="both"/>
        <w:rPr>
          <w:color w:val="000000"/>
        </w:rPr>
      </w:pPr>
      <w:r w:rsidRPr="00731377">
        <w:rPr>
          <w:color w:val="000000"/>
        </w:rPr>
        <w:t>I9. ABES Parental Permission Form Distribution Script In Person</w:t>
      </w:r>
    </w:p>
    <w:p w:rsidRPr="00731377" w:rsidR="00731377" w:rsidP="00731377" w:rsidRDefault="00731377" w14:paraId="5BB1721C" w14:textId="77777777">
      <w:pPr>
        <w:ind w:left="360"/>
        <w:jc w:val="both"/>
        <w:rPr>
          <w:color w:val="000000"/>
        </w:rPr>
      </w:pPr>
      <w:r w:rsidRPr="00731377">
        <w:rPr>
          <w:color w:val="000000"/>
        </w:rPr>
        <w:t>I10. ABES Parental Permission Form Reminder Notice EDL (English Version)</w:t>
      </w:r>
    </w:p>
    <w:p w:rsidRPr="00731377" w:rsidR="00731377" w:rsidP="00731377" w:rsidRDefault="00731377" w14:paraId="417386B8" w14:textId="77777777">
      <w:pPr>
        <w:ind w:left="360"/>
        <w:jc w:val="both"/>
        <w:rPr>
          <w:color w:val="000000"/>
        </w:rPr>
      </w:pPr>
      <w:r w:rsidRPr="00731377">
        <w:rPr>
          <w:color w:val="000000"/>
        </w:rPr>
        <w:t>I11. ABES Parental Permission Form Reminder Notice In Person (English Version)</w:t>
      </w:r>
    </w:p>
    <w:p w:rsidRPr="00731377" w:rsidR="00731377" w:rsidP="00731377" w:rsidRDefault="00731377" w14:paraId="080425ED" w14:textId="77777777">
      <w:pPr>
        <w:ind w:left="360"/>
        <w:jc w:val="both"/>
        <w:rPr>
          <w:color w:val="000000"/>
        </w:rPr>
      </w:pPr>
      <w:r w:rsidRPr="00731377">
        <w:rPr>
          <w:color w:val="000000"/>
        </w:rPr>
        <w:t>I12. ABES Parental Permission Form Reminder Notice EDL (Spanish Version)</w:t>
      </w:r>
    </w:p>
    <w:p w:rsidRPr="001C2747" w:rsidR="00731377" w:rsidP="00731377" w:rsidRDefault="00731377" w14:paraId="66044AC5" w14:textId="222FA9D9">
      <w:pPr>
        <w:ind w:left="360"/>
        <w:jc w:val="both"/>
        <w:rPr>
          <w:color w:val="000000"/>
        </w:rPr>
      </w:pPr>
      <w:r w:rsidRPr="00731377">
        <w:rPr>
          <w:color w:val="000000"/>
        </w:rPr>
        <w:t>I13. ABES Parental Permission Form Reminder Notice In Person (Spanish Version)</w:t>
      </w:r>
    </w:p>
    <w:p w:rsidRPr="001C2747" w:rsidR="007C164D" w:rsidP="000B0C2E" w:rsidRDefault="007C164D" w14:paraId="36631D6A" w14:textId="57EF9961">
      <w:pPr>
        <w:numPr>
          <w:ilvl w:val="0"/>
          <w:numId w:val="13"/>
        </w:numPr>
        <w:ind w:left="360"/>
        <w:contextualSpacing/>
        <w:rPr>
          <w:color w:val="000000"/>
        </w:rPr>
      </w:pPr>
      <w:r w:rsidRPr="001C2747">
        <w:rPr>
          <w:color w:val="000000"/>
        </w:rPr>
        <w:t>IRB Approval Letter</w:t>
      </w:r>
      <w:r w:rsidR="00A549C4">
        <w:rPr>
          <w:color w:val="000000"/>
        </w:rPr>
        <w:t>s</w:t>
      </w:r>
      <w:r w:rsidRPr="001C2747">
        <w:rPr>
          <w:color w:val="000000"/>
        </w:rPr>
        <w:t xml:space="preserve"> </w:t>
      </w:r>
    </w:p>
    <w:p w:rsidR="007C164D" w:rsidP="000B0C2E" w:rsidRDefault="007C164D" w14:paraId="136C4832" w14:textId="5F13D780">
      <w:pPr>
        <w:widowControl/>
        <w:numPr>
          <w:ilvl w:val="0"/>
          <w:numId w:val="13"/>
        </w:numPr>
        <w:tabs>
          <w:tab w:val="num" w:pos="360"/>
        </w:tabs>
        <w:autoSpaceDE/>
        <w:autoSpaceDN/>
        <w:adjustRightInd/>
        <w:ind w:left="360"/>
        <w:rPr>
          <w:color w:val="000000"/>
        </w:rPr>
      </w:pPr>
      <w:r w:rsidRPr="001C2747">
        <w:rPr>
          <w:color w:val="000000"/>
        </w:rPr>
        <w:t>Questionnaire</w:t>
      </w:r>
      <w:r w:rsidR="00682A85">
        <w:rPr>
          <w:color w:val="000000"/>
        </w:rPr>
        <w:t>s</w:t>
      </w:r>
    </w:p>
    <w:p w:rsidR="00682A85" w:rsidP="005F51DF" w:rsidRDefault="00682A85" w14:paraId="6211166B" w14:textId="77777777">
      <w:pPr>
        <w:widowControl/>
        <w:autoSpaceDE/>
        <w:autoSpaceDN/>
        <w:adjustRightInd/>
        <w:ind w:left="360"/>
        <w:rPr>
          <w:color w:val="000000"/>
        </w:rPr>
      </w:pPr>
      <w:r>
        <w:rPr>
          <w:color w:val="000000"/>
        </w:rPr>
        <w:t>K1. Youth Risk Behavior Survey Questionnaire</w:t>
      </w:r>
    </w:p>
    <w:p w:rsidRPr="001C2747" w:rsidR="00682A85" w:rsidP="005F51DF" w:rsidRDefault="00682A85" w14:paraId="593A5A95" w14:textId="1E0933B3">
      <w:pPr>
        <w:widowControl/>
        <w:autoSpaceDE/>
        <w:autoSpaceDN/>
        <w:adjustRightInd/>
        <w:ind w:left="360"/>
        <w:rPr>
          <w:color w:val="000000"/>
        </w:rPr>
      </w:pPr>
      <w:r>
        <w:rPr>
          <w:color w:val="000000"/>
        </w:rPr>
        <w:t>K2. Adolescent Behaviors and Experience Survey Questionnaire</w:t>
      </w:r>
    </w:p>
    <w:p w:rsidRPr="001C2747" w:rsidR="007C164D" w:rsidP="005F51DF" w:rsidRDefault="007C164D" w14:paraId="3C1A7417" w14:textId="77777777">
      <w:pPr>
        <w:numPr>
          <w:ilvl w:val="0"/>
          <w:numId w:val="13"/>
        </w:numPr>
        <w:ind w:left="360"/>
        <w:contextualSpacing/>
        <w:rPr>
          <w:color w:val="000000"/>
        </w:rPr>
      </w:pPr>
      <w:r w:rsidRPr="001C2747">
        <w:rPr>
          <w:color w:val="000000"/>
        </w:rPr>
        <w:t>Recruitment Scripts for the Youth Risk Behavior Survey</w:t>
      </w:r>
    </w:p>
    <w:p w:rsidRPr="001C2747" w:rsidR="007C164D" w:rsidP="000B0C2E" w:rsidRDefault="009B3868" w14:paraId="5DE46C99" w14:textId="1E2683A5">
      <w:pPr>
        <w:ind w:left="360"/>
        <w:rPr>
          <w:color w:val="000000"/>
        </w:rPr>
      </w:pPr>
      <w:r>
        <w:rPr>
          <w:color w:val="000000"/>
        </w:rPr>
        <w:t>L</w:t>
      </w:r>
      <w:r w:rsidRPr="001C2747">
        <w:rPr>
          <w:color w:val="000000"/>
        </w:rPr>
        <w:t>1</w:t>
      </w:r>
      <w:r w:rsidRPr="001C2747" w:rsidR="007C164D">
        <w:rPr>
          <w:color w:val="000000"/>
        </w:rPr>
        <w:t>. State-level Recruitment Script for the Youth Risk Behavior Survey</w:t>
      </w:r>
    </w:p>
    <w:p w:rsidRPr="001C2747" w:rsidR="007C164D" w:rsidP="000B0C2E" w:rsidRDefault="009B3868" w14:paraId="1F27060C" w14:textId="469508D6">
      <w:pPr>
        <w:ind w:left="360"/>
        <w:rPr>
          <w:color w:val="000000"/>
        </w:rPr>
      </w:pPr>
      <w:r>
        <w:rPr>
          <w:color w:val="000000"/>
        </w:rPr>
        <w:t>L</w:t>
      </w:r>
      <w:r w:rsidRPr="001C2747">
        <w:rPr>
          <w:color w:val="000000"/>
        </w:rPr>
        <w:t>2</w:t>
      </w:r>
      <w:r w:rsidRPr="001C2747" w:rsidR="007C164D">
        <w:rPr>
          <w:color w:val="000000"/>
        </w:rPr>
        <w:t>. District-level Recruitment Script for the Youth Risk Behavior Survey</w:t>
      </w:r>
    </w:p>
    <w:p w:rsidR="007C164D" w:rsidP="000B0C2E" w:rsidRDefault="009B3868" w14:paraId="371FB361" w14:textId="676ED2FF">
      <w:pPr>
        <w:ind w:left="360"/>
        <w:rPr>
          <w:color w:val="000000"/>
        </w:rPr>
      </w:pPr>
      <w:r>
        <w:rPr>
          <w:color w:val="000000"/>
        </w:rPr>
        <w:t>L</w:t>
      </w:r>
      <w:r w:rsidRPr="001C2747">
        <w:rPr>
          <w:color w:val="000000"/>
        </w:rPr>
        <w:t>3</w:t>
      </w:r>
      <w:r w:rsidRPr="001C2747" w:rsidR="007C164D">
        <w:rPr>
          <w:color w:val="000000"/>
        </w:rPr>
        <w:t>. School-level Recruitment Script for the Youth Risk Behavior Survey</w:t>
      </w:r>
    </w:p>
    <w:p w:rsidRPr="005D0DC1" w:rsidR="005D0DC1" w:rsidP="005D0DC1" w:rsidRDefault="005D0DC1" w14:paraId="538B8552" w14:textId="77777777">
      <w:pPr>
        <w:ind w:left="360"/>
        <w:rPr>
          <w:color w:val="000000"/>
        </w:rPr>
      </w:pPr>
      <w:r w:rsidRPr="005D0DC1">
        <w:rPr>
          <w:color w:val="000000"/>
        </w:rPr>
        <w:t>L4. ABES State-level Recruitment Script</w:t>
      </w:r>
    </w:p>
    <w:p w:rsidRPr="005D0DC1" w:rsidR="005D0DC1" w:rsidP="005D0DC1" w:rsidRDefault="005D0DC1" w14:paraId="2A86873B" w14:textId="77777777">
      <w:pPr>
        <w:ind w:left="360"/>
        <w:rPr>
          <w:color w:val="000000"/>
        </w:rPr>
      </w:pPr>
      <w:r w:rsidRPr="005D0DC1">
        <w:rPr>
          <w:color w:val="000000"/>
        </w:rPr>
        <w:t xml:space="preserve">L5. ABES District-level Recruitment Script </w:t>
      </w:r>
    </w:p>
    <w:p w:rsidRPr="001C2747" w:rsidR="005D0DC1" w:rsidP="005D0DC1" w:rsidRDefault="005D0DC1" w14:paraId="21A17C45" w14:textId="05FEAE0A">
      <w:pPr>
        <w:ind w:left="360"/>
        <w:rPr>
          <w:color w:val="000000"/>
        </w:rPr>
      </w:pPr>
      <w:r w:rsidRPr="005D0DC1">
        <w:rPr>
          <w:color w:val="000000"/>
        </w:rPr>
        <w:t>L6. ABES School-level Recruitment Script</w:t>
      </w:r>
    </w:p>
    <w:p w:rsidRPr="001C2747" w:rsidR="007C164D" w:rsidP="005D0DC1" w:rsidRDefault="007C164D" w14:paraId="563172D8" w14:textId="77777777">
      <w:pPr>
        <w:widowControl/>
        <w:numPr>
          <w:ilvl w:val="0"/>
          <w:numId w:val="13"/>
        </w:numPr>
        <w:autoSpaceDE/>
        <w:autoSpaceDN/>
        <w:adjustRightInd/>
        <w:rPr>
          <w:color w:val="000000"/>
        </w:rPr>
      </w:pPr>
      <w:r w:rsidRPr="001C2747">
        <w:rPr>
          <w:color w:val="000000"/>
        </w:rPr>
        <w:t>Example Table Shells</w:t>
      </w:r>
      <w:r w:rsidRPr="001C2747" w:rsidDel="00D16E5A">
        <w:t xml:space="preserve"> </w:t>
      </w:r>
    </w:p>
    <w:p w:rsidRPr="001C2747" w:rsidR="007C164D" w:rsidP="005D0DC1" w:rsidRDefault="007C164D" w14:paraId="420FA3CE" w14:textId="77777777">
      <w:pPr>
        <w:widowControl/>
        <w:numPr>
          <w:ilvl w:val="0"/>
          <w:numId w:val="13"/>
        </w:numPr>
        <w:autoSpaceDE/>
        <w:autoSpaceDN/>
        <w:adjustRightInd/>
        <w:rPr>
          <w:color w:val="000000"/>
        </w:rPr>
      </w:pPr>
      <w:r w:rsidRPr="001C2747">
        <w:t>Sampling and Weighting Plan</w:t>
      </w:r>
    </w:p>
    <w:p w:rsidRPr="001C2747" w:rsidR="007C164D" w:rsidP="00204B19" w:rsidRDefault="007C164D" w14:paraId="6D0BFFC8" w14:textId="77777777">
      <w:pPr>
        <w:numPr>
          <w:ilvl w:val="0"/>
          <w:numId w:val="13"/>
        </w:numPr>
        <w:ind w:left="360"/>
        <w:contextualSpacing/>
        <w:rPr>
          <w:color w:val="000000"/>
        </w:rPr>
      </w:pPr>
      <w:r w:rsidRPr="001C2747">
        <w:rPr>
          <w:color w:val="000000"/>
        </w:rPr>
        <w:t>Data Collection Checklist Supplemental Documents</w:t>
      </w:r>
      <w:r w:rsidRPr="001C2747">
        <w:rPr>
          <w:color w:val="000000"/>
        </w:rPr>
        <w:tab/>
      </w:r>
    </w:p>
    <w:p w:rsidRPr="001C2747" w:rsidR="007C164D" w:rsidP="000B0C2E" w:rsidRDefault="009B3868" w14:paraId="006095B8" w14:textId="12276B70">
      <w:pPr>
        <w:ind w:left="360"/>
        <w:rPr>
          <w:color w:val="000000"/>
        </w:rPr>
      </w:pPr>
      <w:r>
        <w:rPr>
          <w:color w:val="000000"/>
        </w:rPr>
        <w:t>O</w:t>
      </w:r>
      <w:r w:rsidRPr="001C2747">
        <w:rPr>
          <w:color w:val="000000"/>
        </w:rPr>
        <w:t>1</w:t>
      </w:r>
      <w:r w:rsidRPr="001C2747" w:rsidR="007C164D">
        <w:rPr>
          <w:color w:val="000000"/>
        </w:rPr>
        <w:t>. Letter to Teachers in Participating Schools</w:t>
      </w:r>
    </w:p>
    <w:p w:rsidR="007C164D" w:rsidP="000B0C2E" w:rsidRDefault="009B3868" w14:paraId="145C6347" w14:textId="166773AD">
      <w:pPr>
        <w:ind w:left="360"/>
        <w:rPr>
          <w:color w:val="000000"/>
        </w:rPr>
      </w:pPr>
      <w:r>
        <w:rPr>
          <w:color w:val="000000"/>
        </w:rPr>
        <w:t>O</w:t>
      </w:r>
      <w:r w:rsidRPr="001C2747">
        <w:rPr>
          <w:color w:val="000000"/>
        </w:rPr>
        <w:t>2</w:t>
      </w:r>
      <w:r w:rsidRPr="001C2747" w:rsidR="007C164D">
        <w:rPr>
          <w:color w:val="000000"/>
        </w:rPr>
        <w:t>. Make-up List and Instructions</w:t>
      </w:r>
    </w:p>
    <w:p w:rsidRPr="005D0DC1" w:rsidR="005D0DC1" w:rsidP="005D0DC1" w:rsidRDefault="005D0DC1" w14:paraId="0466BA36" w14:textId="77777777">
      <w:pPr>
        <w:ind w:left="360"/>
        <w:rPr>
          <w:color w:val="000000"/>
        </w:rPr>
      </w:pPr>
      <w:r w:rsidRPr="005D0DC1">
        <w:rPr>
          <w:color w:val="000000"/>
        </w:rPr>
        <w:t>O3. ABES Letter to Teachers in Participating Schools EDL</w:t>
      </w:r>
    </w:p>
    <w:p w:rsidRPr="001C2747" w:rsidR="005D0DC1" w:rsidP="005D0DC1" w:rsidRDefault="005D0DC1" w14:paraId="19CD769D" w14:textId="7402512D">
      <w:pPr>
        <w:ind w:left="360"/>
        <w:rPr>
          <w:color w:val="000000"/>
        </w:rPr>
      </w:pPr>
      <w:r w:rsidRPr="005D0DC1">
        <w:rPr>
          <w:color w:val="000000"/>
        </w:rPr>
        <w:t>O4. ABES Letter to Teachers in Participating Schools In Person</w:t>
      </w:r>
    </w:p>
    <w:p w:rsidRPr="001C2747" w:rsidR="007C164D" w:rsidP="00204B19" w:rsidRDefault="007C164D" w14:paraId="37594D72" w14:textId="77777777">
      <w:pPr>
        <w:widowControl/>
        <w:numPr>
          <w:ilvl w:val="0"/>
          <w:numId w:val="13"/>
        </w:numPr>
        <w:autoSpaceDE/>
        <w:autoSpaceDN/>
        <w:adjustRightInd/>
        <w:ind w:left="360"/>
        <w:rPr>
          <w:color w:val="000000"/>
        </w:rPr>
      </w:pPr>
      <w:r w:rsidRPr="001C2747">
        <w:t>Letters of Invitation</w:t>
      </w:r>
      <w:r w:rsidRPr="001C2747" w:rsidDel="00D16E5A">
        <w:t xml:space="preserve"> </w:t>
      </w:r>
    </w:p>
    <w:p w:rsidRPr="001C2747" w:rsidR="007C164D" w:rsidP="000B0C2E" w:rsidRDefault="009B3868" w14:paraId="77FCEE86" w14:textId="06B599D4">
      <w:pPr>
        <w:ind w:left="360"/>
        <w:rPr>
          <w:color w:val="000000"/>
        </w:rPr>
      </w:pPr>
      <w:r>
        <w:rPr>
          <w:color w:val="000000"/>
        </w:rPr>
        <w:lastRenderedPageBreak/>
        <w:t>P</w:t>
      </w:r>
      <w:r w:rsidRPr="001C2747">
        <w:rPr>
          <w:color w:val="000000"/>
        </w:rPr>
        <w:t>1</w:t>
      </w:r>
      <w:r w:rsidRPr="001C2747" w:rsidR="007C164D">
        <w:rPr>
          <w:color w:val="000000"/>
        </w:rPr>
        <w:t>.  Letter of Invitation to States</w:t>
      </w:r>
    </w:p>
    <w:p w:rsidRPr="001C2747" w:rsidR="007C164D" w:rsidP="000B0C2E" w:rsidRDefault="009B3868" w14:paraId="3D579479" w14:textId="7FDB0B8A">
      <w:pPr>
        <w:ind w:left="360"/>
        <w:rPr>
          <w:color w:val="000000"/>
        </w:rPr>
      </w:pPr>
      <w:r>
        <w:rPr>
          <w:color w:val="000000"/>
        </w:rPr>
        <w:t>P</w:t>
      </w:r>
      <w:r w:rsidRPr="001C2747">
        <w:rPr>
          <w:color w:val="000000"/>
        </w:rPr>
        <w:t>2</w:t>
      </w:r>
      <w:r w:rsidRPr="001C2747" w:rsidR="007C164D">
        <w:rPr>
          <w:color w:val="000000"/>
        </w:rPr>
        <w:t>.  Letter of Invitation to School Districts</w:t>
      </w:r>
    </w:p>
    <w:p w:rsidRPr="001C2747" w:rsidR="007C164D" w:rsidP="000B0C2E" w:rsidRDefault="009B3868" w14:paraId="63E7C14B" w14:textId="1156AFD0">
      <w:pPr>
        <w:ind w:left="360"/>
        <w:rPr>
          <w:color w:val="000000"/>
        </w:rPr>
      </w:pPr>
      <w:r>
        <w:rPr>
          <w:color w:val="000000"/>
        </w:rPr>
        <w:t>P</w:t>
      </w:r>
      <w:r w:rsidRPr="001C2747">
        <w:rPr>
          <w:color w:val="000000"/>
        </w:rPr>
        <w:t>3</w:t>
      </w:r>
      <w:r w:rsidRPr="001C2747" w:rsidR="007C164D">
        <w:rPr>
          <w:color w:val="000000"/>
        </w:rPr>
        <w:t>.  Letter of Invitation to School Administrators</w:t>
      </w:r>
    </w:p>
    <w:p w:rsidR="0018743F" w:rsidP="000B0C2E" w:rsidRDefault="009B3868" w14:paraId="7842A1AE" w14:textId="77047D70">
      <w:pPr>
        <w:ind w:left="360"/>
        <w:contextualSpacing/>
        <w:rPr>
          <w:color w:val="000000"/>
        </w:rPr>
      </w:pPr>
      <w:r>
        <w:rPr>
          <w:color w:val="000000"/>
        </w:rPr>
        <w:t>P</w:t>
      </w:r>
      <w:r w:rsidR="005D34ED">
        <w:rPr>
          <w:color w:val="000000"/>
        </w:rPr>
        <w:t>4</w:t>
      </w:r>
      <w:r w:rsidRPr="001C2747" w:rsidR="007C164D">
        <w:rPr>
          <w:color w:val="000000"/>
        </w:rPr>
        <w:t>. YRBS Fact Sheet for Schools</w:t>
      </w:r>
      <w:r w:rsidR="0018743F">
        <w:rPr>
          <w:color w:val="000000"/>
        </w:rPr>
        <w:t xml:space="preserve"> – Booklet</w:t>
      </w:r>
    </w:p>
    <w:p w:rsidR="0018743F" w:rsidP="000B0C2E" w:rsidRDefault="0018743F" w14:paraId="2A287893" w14:textId="31E4A6F3">
      <w:pPr>
        <w:ind w:left="360"/>
        <w:contextualSpacing/>
        <w:rPr>
          <w:color w:val="000000"/>
        </w:rPr>
      </w:pPr>
      <w:r>
        <w:rPr>
          <w:color w:val="000000"/>
        </w:rPr>
        <w:t>P</w:t>
      </w:r>
      <w:r w:rsidR="00A73E29">
        <w:rPr>
          <w:color w:val="000000"/>
        </w:rPr>
        <w:t>5</w:t>
      </w:r>
      <w:r w:rsidRPr="001C2747">
        <w:rPr>
          <w:color w:val="000000"/>
        </w:rPr>
        <w:t>. YRBS Fact Sheet for Schools</w:t>
      </w:r>
      <w:r>
        <w:rPr>
          <w:color w:val="000000"/>
        </w:rPr>
        <w:t xml:space="preserve"> – Tablet</w:t>
      </w:r>
    </w:p>
    <w:p w:rsidR="0064620B" w:rsidP="000B0C2E" w:rsidRDefault="009B3868" w14:paraId="121805DD" w14:textId="17F127F5">
      <w:pPr>
        <w:ind w:left="360"/>
        <w:contextualSpacing/>
        <w:rPr>
          <w:color w:val="000000"/>
        </w:rPr>
      </w:pPr>
      <w:r>
        <w:rPr>
          <w:color w:val="000000"/>
        </w:rPr>
        <w:t>P</w:t>
      </w:r>
      <w:r w:rsidR="00A73E29">
        <w:rPr>
          <w:color w:val="000000"/>
        </w:rPr>
        <w:t>6</w:t>
      </w:r>
      <w:r w:rsidRPr="001C2747" w:rsidR="007C164D">
        <w:rPr>
          <w:color w:val="000000"/>
        </w:rPr>
        <w:t>. Letter to Agreeing Schools</w:t>
      </w:r>
    </w:p>
    <w:p w:rsidRPr="005D0DC1" w:rsidR="005D0DC1" w:rsidP="005D0DC1" w:rsidRDefault="005D0DC1" w14:paraId="4961FA34" w14:textId="77777777">
      <w:pPr>
        <w:ind w:left="360"/>
        <w:contextualSpacing/>
        <w:rPr>
          <w:color w:val="000000"/>
        </w:rPr>
      </w:pPr>
      <w:r w:rsidRPr="005D0DC1">
        <w:rPr>
          <w:color w:val="000000"/>
        </w:rPr>
        <w:t xml:space="preserve">P7.  ABES Letter of Invitation to States </w:t>
      </w:r>
    </w:p>
    <w:p w:rsidRPr="005D0DC1" w:rsidR="005D0DC1" w:rsidP="005D0DC1" w:rsidRDefault="005D0DC1" w14:paraId="4EC87814" w14:textId="77777777">
      <w:pPr>
        <w:ind w:left="360"/>
        <w:contextualSpacing/>
        <w:rPr>
          <w:color w:val="000000"/>
        </w:rPr>
      </w:pPr>
      <w:r w:rsidRPr="005D0DC1">
        <w:rPr>
          <w:color w:val="000000"/>
        </w:rPr>
        <w:t xml:space="preserve">P8.  ABES Letter of Invitation to School Districts </w:t>
      </w:r>
    </w:p>
    <w:p w:rsidRPr="005D0DC1" w:rsidR="005D0DC1" w:rsidP="005D0DC1" w:rsidRDefault="005D0DC1" w14:paraId="7BB37346" w14:textId="77777777">
      <w:pPr>
        <w:ind w:left="360"/>
        <w:contextualSpacing/>
        <w:rPr>
          <w:color w:val="000000"/>
        </w:rPr>
      </w:pPr>
      <w:r w:rsidRPr="005D0DC1">
        <w:rPr>
          <w:color w:val="000000"/>
        </w:rPr>
        <w:t xml:space="preserve">P9.  ABES Letter of Invitation to School Administrators </w:t>
      </w:r>
    </w:p>
    <w:p w:rsidRPr="005D0DC1" w:rsidR="005D0DC1" w:rsidP="005D0DC1" w:rsidRDefault="005D0DC1" w14:paraId="2E5A46BB" w14:textId="77777777">
      <w:pPr>
        <w:ind w:left="360"/>
        <w:contextualSpacing/>
        <w:rPr>
          <w:color w:val="000000"/>
        </w:rPr>
      </w:pPr>
      <w:r w:rsidRPr="005D0DC1">
        <w:rPr>
          <w:color w:val="000000"/>
        </w:rPr>
        <w:t>P10. ABES Fact Sheet for Schools</w:t>
      </w:r>
    </w:p>
    <w:p w:rsidRPr="005D0DC1" w:rsidR="005D0DC1" w:rsidP="005D0DC1" w:rsidRDefault="005D0DC1" w14:paraId="585848FA" w14:textId="77777777">
      <w:pPr>
        <w:ind w:left="360"/>
        <w:contextualSpacing/>
        <w:rPr>
          <w:color w:val="000000"/>
        </w:rPr>
      </w:pPr>
      <w:r w:rsidRPr="005D0DC1">
        <w:rPr>
          <w:color w:val="000000"/>
        </w:rPr>
        <w:t>P11. ABES Letter to Agreeing Schools EDL</w:t>
      </w:r>
    </w:p>
    <w:p w:rsidR="005D0DC1" w:rsidP="005D0DC1" w:rsidRDefault="005D0DC1" w14:paraId="1996982E" w14:textId="4DF47EE1">
      <w:pPr>
        <w:ind w:left="360"/>
        <w:contextualSpacing/>
        <w:rPr>
          <w:color w:val="000000"/>
        </w:rPr>
      </w:pPr>
      <w:r w:rsidRPr="005D0DC1">
        <w:rPr>
          <w:color w:val="000000"/>
        </w:rPr>
        <w:t>P12. ABES Letter to Agreeing Schools In Person</w:t>
      </w:r>
    </w:p>
    <w:p w:rsidRPr="00A965A1" w:rsidR="00817D2A" w:rsidP="00204B19" w:rsidRDefault="00817D2A" w14:paraId="34C54F34" w14:textId="77777777">
      <w:pPr>
        <w:pStyle w:val="ListParagraph"/>
        <w:numPr>
          <w:ilvl w:val="0"/>
          <w:numId w:val="13"/>
        </w:numPr>
        <w:ind w:left="360"/>
        <w:rPr>
          <w:color w:val="000000"/>
        </w:rPr>
      </w:pPr>
      <w:r>
        <w:rPr>
          <w:color w:val="000000"/>
        </w:rPr>
        <w:t>Privacy Impact Assessment (PIA)</w:t>
      </w:r>
    </w:p>
    <w:p w:rsidRPr="001C2747" w:rsidR="00817D2A" w:rsidP="00817D2A" w:rsidRDefault="00817D2A" w14:paraId="107C3CAF" w14:textId="6080716C">
      <w:pPr>
        <w:widowControl/>
        <w:autoSpaceDE/>
        <w:autoSpaceDN/>
        <w:adjustRightInd/>
        <w:spacing w:before="120" w:after="120"/>
        <w:rPr>
          <w:color w:val="000000"/>
        </w:rPr>
      </w:pPr>
      <w:r w:rsidRPr="001C2747">
        <w:rPr>
          <w:color w:val="000000"/>
        </w:rPr>
        <w:br w:type="page"/>
      </w:r>
    </w:p>
    <w:bookmarkStart w:name="_Toc435016130" w:id="4"/>
    <w:bookmarkStart w:name="_Toc435020600" w:id="5"/>
    <w:bookmarkStart w:name="_Toc435020654" w:id="6"/>
    <w:bookmarkStart w:name="_Toc435168421" w:id="7"/>
    <w:bookmarkEnd w:id="0"/>
    <w:bookmarkEnd w:id="1"/>
    <w:p w:rsidR="004F105E" w:rsidP="000B0C2E" w:rsidRDefault="00F92105" w14:paraId="59CEBE42" w14:textId="32C64240">
      <w:pPr>
        <w:widowControl/>
        <w:tabs>
          <w:tab w:val="left" w:pos="-4950"/>
          <w:tab w:val="left" w:pos="-4770"/>
          <w:tab w:val="left" w:pos="-3600"/>
          <w:tab w:val="left" w:pos="-2700"/>
          <w:tab w:val="left" w:pos="-1800"/>
          <w:tab w:val="left" w:pos="-576"/>
        </w:tabs>
        <w:spacing w:before="120" w:after="120"/>
      </w:pPr>
      <w:r w:rsidRPr="001C2747">
        <w:rPr>
          <w:noProof/>
          <w:sz w:val="22"/>
          <w:szCs w:val="22"/>
        </w:rPr>
        <w:lastRenderedPageBreak/>
        <mc:AlternateContent>
          <mc:Choice Requires="wps">
            <w:drawing>
              <wp:anchor distT="45720" distB="45720" distL="114300" distR="114300" simplePos="0" relativeHeight="251659264" behindDoc="1" locked="0" layoutInCell="1" allowOverlap="1" wp14:editId="362C05E0" wp14:anchorId="3132CBAA">
                <wp:simplePos x="0" y="0"/>
                <wp:positionH relativeFrom="margin">
                  <wp:align>right</wp:align>
                </wp:positionH>
                <wp:positionV relativeFrom="paragraph">
                  <wp:posOffset>0</wp:posOffset>
                </wp:positionV>
                <wp:extent cx="5836920" cy="2962275"/>
                <wp:effectExtent l="0" t="0" r="11430" b="28575"/>
                <wp:wrapTight wrapText="bothSides">
                  <wp:wrapPolygon edited="0">
                    <wp:start x="0" y="0"/>
                    <wp:lineTo x="0" y="21669"/>
                    <wp:lineTo x="21572" y="21669"/>
                    <wp:lineTo x="2157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2962275"/>
                        </a:xfrm>
                        <a:prstGeom prst="rect">
                          <a:avLst/>
                        </a:prstGeom>
                        <a:solidFill>
                          <a:srgbClr val="FFFFFF"/>
                        </a:solidFill>
                        <a:ln w="9525">
                          <a:solidFill>
                            <a:srgbClr val="000000"/>
                          </a:solidFill>
                          <a:miter lim="800000"/>
                          <a:headEnd/>
                          <a:tailEnd/>
                        </a:ln>
                      </wps:spPr>
                      <wps:txbx>
                        <w:txbxContent>
                          <w:p w:rsidRPr="00EB7F55" w:rsidR="00C93DC3" w:rsidP="0013301D" w:rsidRDefault="00C93DC3" w14:paraId="381161C5" w14:textId="079CDE1E">
                            <w:pPr>
                              <w:numPr>
                                <w:ilvl w:val="0"/>
                                <w:numId w:val="34"/>
                              </w:numPr>
                              <w:tabs>
                                <w:tab w:val="left" w:pos="450"/>
                              </w:tabs>
                              <w:autoSpaceDE/>
                              <w:autoSpaceDN/>
                              <w:adjustRightInd/>
                              <w:spacing w:before="90" w:line="254" w:lineRule="auto"/>
                              <w:ind w:left="450" w:right="782"/>
                              <w:rPr>
                                <w:rFonts w:ascii="Courier New" w:hAnsi="Courier New" w:eastAsia="Courier New" w:cs="Courier New"/>
                              </w:rPr>
                            </w:pPr>
                            <w:r>
                              <w:t>The goal of both studies is to assess priority health-risk behaviors in adolescents related to the major preventable causes of mortality, morbidity, and social problems among both youth and adults in the United States.</w:t>
                            </w:r>
                          </w:p>
                          <w:p w:rsidRPr="0054346E" w:rsidR="00C93DC3" w:rsidP="0013301D" w:rsidRDefault="00C93DC3" w14:paraId="0DE0906C" w14:textId="7E8D859F">
                            <w:pPr>
                              <w:numPr>
                                <w:ilvl w:val="0"/>
                                <w:numId w:val="34"/>
                              </w:numPr>
                              <w:tabs>
                                <w:tab w:val="left" w:pos="450"/>
                              </w:tabs>
                              <w:autoSpaceDE/>
                              <w:autoSpaceDN/>
                              <w:adjustRightInd/>
                              <w:spacing w:before="90" w:line="254" w:lineRule="auto"/>
                              <w:ind w:left="450" w:right="-15"/>
                            </w:pPr>
                            <w:r w:rsidRPr="00F92105">
                              <w:t xml:space="preserve">Results </w:t>
                            </w:r>
                            <w:r>
                              <w:t xml:space="preserve">of the Youth Risk Behavior Survey </w:t>
                            </w:r>
                            <w:r w:rsidRPr="00F92105">
                              <w:t xml:space="preserve">will be used to (1) monitor </w:t>
                            </w:r>
                            <w:r>
                              <w:t>whether</w:t>
                            </w:r>
                            <w:r w:rsidRPr="00F92105">
                              <w:t xml:space="preserve"> priority health</w:t>
                            </w:r>
                            <w:r>
                              <w:t>-</w:t>
                            </w:r>
                            <w:r w:rsidRPr="00F92105">
                              <w:t xml:space="preserve">risk behaviors among high school students increase, decrease, or remain the same over time; (2) evaluate the impact of broad national, state, and local efforts to prevent risk behaviors; and (3) improve school health policies and </w:t>
                            </w:r>
                            <w:r>
                              <w:t>practices</w:t>
                            </w:r>
                            <w:r w:rsidRPr="00F92105">
                              <w:t>.</w:t>
                            </w:r>
                            <w:r>
                              <w:t xml:space="preserve"> Results of the Adolescent Behaviors and Experience Survey will be used to assess health-risk behaviors and experiences among high school students during the COVID-19 pandemic.</w:t>
                            </w:r>
                          </w:p>
                          <w:p w:rsidRPr="00EB7F55" w:rsidR="00C93DC3" w:rsidP="0013301D" w:rsidRDefault="00C93DC3" w14:paraId="7B112824" w14:textId="582CC002">
                            <w:pPr>
                              <w:numPr>
                                <w:ilvl w:val="0"/>
                                <w:numId w:val="34"/>
                              </w:numPr>
                              <w:tabs>
                                <w:tab w:val="left" w:pos="450"/>
                              </w:tabs>
                              <w:autoSpaceDE/>
                              <w:autoSpaceDN/>
                              <w:adjustRightInd/>
                              <w:spacing w:before="90" w:line="254" w:lineRule="auto"/>
                              <w:ind w:left="450" w:right="-15"/>
                            </w:pPr>
                            <w:r>
                              <w:t>The method is c</w:t>
                            </w:r>
                            <w:r w:rsidRPr="00EB7F55">
                              <w:t>ross-sectional survey</w:t>
                            </w:r>
                            <w:r>
                              <w:t>s</w:t>
                            </w:r>
                            <w:r w:rsidRPr="00EB7F55">
                              <w:t xml:space="preserve"> </w:t>
                            </w:r>
                            <w:r>
                              <w:t>of</w:t>
                            </w:r>
                            <w:r w:rsidRPr="00EB7F55">
                              <w:t xml:space="preserve"> nationally representative</w:t>
                            </w:r>
                            <w:r>
                              <w:t xml:space="preserve"> </w:t>
                            </w:r>
                            <w:r w:rsidRPr="00EB7F55">
                              <w:t>sample</w:t>
                            </w:r>
                            <w:r>
                              <w:t>s obtained using a three-stage cluster sample design.</w:t>
                            </w:r>
                          </w:p>
                          <w:p w:rsidRPr="00EB7F55" w:rsidR="00C93DC3" w:rsidP="0013301D" w:rsidRDefault="00C93DC3" w14:paraId="5C3DF406" w14:textId="47CEEF8F">
                            <w:pPr>
                              <w:numPr>
                                <w:ilvl w:val="0"/>
                                <w:numId w:val="34"/>
                              </w:numPr>
                              <w:tabs>
                                <w:tab w:val="left" w:pos="450"/>
                              </w:tabs>
                              <w:autoSpaceDE/>
                              <w:autoSpaceDN/>
                              <w:adjustRightInd/>
                              <w:spacing w:before="90" w:line="254" w:lineRule="auto"/>
                              <w:ind w:left="450" w:right="782"/>
                            </w:pPr>
                            <w:r>
                              <w:t xml:space="preserve">The subpopulation is </w:t>
                            </w:r>
                            <w:r w:rsidRPr="00EB7F55">
                              <w:t>9th-12th grade students attending public and private schools in the United States</w:t>
                            </w:r>
                            <w:r>
                              <w:t>.</w:t>
                            </w:r>
                          </w:p>
                          <w:p w:rsidR="00C93DC3" w:rsidP="0013301D" w:rsidRDefault="00C93DC3" w14:paraId="4FC76943" w14:textId="2826F111">
                            <w:pPr>
                              <w:numPr>
                                <w:ilvl w:val="0"/>
                                <w:numId w:val="34"/>
                              </w:numPr>
                              <w:tabs>
                                <w:tab w:val="left" w:pos="450"/>
                              </w:tabs>
                              <w:autoSpaceDE/>
                              <w:autoSpaceDN/>
                              <w:adjustRightInd/>
                              <w:spacing w:before="90" w:line="254" w:lineRule="auto"/>
                              <w:ind w:left="450" w:right="782"/>
                            </w:pPr>
                            <w:r>
                              <w:t>Data will be analyzed to obtain prevalence estimates, t-tests will be used to compare demographic subgroups, and logistic regression will be used to analyze trends over time.</w:t>
                            </w:r>
                          </w:p>
                          <w:p w:rsidR="00C93DC3" w:rsidP="0013301D" w:rsidRDefault="00C93DC3" w14:paraId="301E1C70" w14:textId="77777777">
                            <w:pPr>
                              <w:tabs>
                                <w:tab w:val="left" w:pos="450"/>
                              </w:tabs>
                              <w:spacing w:before="90" w:line="254" w:lineRule="auto"/>
                              <w:ind w:left="450" w:right="782"/>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32CBAA">
                <v:stroke joinstyle="miter"/>
                <v:path gradientshapeok="t" o:connecttype="rect"/>
              </v:shapetype>
              <v:shape id="Text Box 2" style="position:absolute;margin-left:408.4pt;margin-top:0;width:459.6pt;height:233.2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">
                <v:textbox>
                  <w:txbxContent>
                    <w:p w:rsidRPr="00EB7F55" w:rsidR="00C93DC3" w:rsidP="0013301D" w:rsidRDefault="00C93DC3" w14:paraId="381161C5" w14:textId="079CDE1E">
                      <w:pPr>
                        <w:numPr>
                          <w:ilvl w:val="0"/>
                          <w:numId w:val="34"/>
                        </w:numPr>
                        <w:tabs>
                          <w:tab w:val="left" w:pos="450"/>
                        </w:tabs>
                        <w:autoSpaceDE/>
                        <w:autoSpaceDN/>
                        <w:adjustRightInd/>
                        <w:spacing w:before="90" w:line="254" w:lineRule="auto"/>
                        <w:ind w:left="450" w:right="782"/>
                        <w:rPr>
                          <w:rFonts w:ascii="Courier New" w:hAnsi="Courier New" w:eastAsia="Courier New" w:cs="Courier New"/>
                        </w:rPr>
                      </w:pPr>
                      <w:r>
                        <w:t>The goal of both studies is to assess priority health-risk behaviors in adolescents related to the major preventable causes of mortality, morbidity, and social problems among both youth and adults in the United States.</w:t>
                      </w:r>
                    </w:p>
                    <w:p w:rsidRPr="0054346E" w:rsidR="00C93DC3" w:rsidP="0013301D" w:rsidRDefault="00C93DC3" w14:paraId="0DE0906C" w14:textId="7E8D859F">
                      <w:pPr>
                        <w:numPr>
                          <w:ilvl w:val="0"/>
                          <w:numId w:val="34"/>
                        </w:numPr>
                        <w:tabs>
                          <w:tab w:val="left" w:pos="450"/>
                        </w:tabs>
                        <w:autoSpaceDE/>
                        <w:autoSpaceDN/>
                        <w:adjustRightInd/>
                        <w:spacing w:before="90" w:line="254" w:lineRule="auto"/>
                        <w:ind w:left="450" w:right="-15"/>
                      </w:pPr>
                      <w:r w:rsidRPr="00F92105">
                        <w:t xml:space="preserve">Results </w:t>
                      </w:r>
                      <w:r>
                        <w:t xml:space="preserve">of the Youth Risk Behavior Survey </w:t>
                      </w:r>
                      <w:r w:rsidRPr="00F92105">
                        <w:t xml:space="preserve">will be used to (1) monitor </w:t>
                      </w:r>
                      <w:r>
                        <w:t>whether</w:t>
                      </w:r>
                      <w:r w:rsidRPr="00F92105">
                        <w:t xml:space="preserve"> priority health</w:t>
                      </w:r>
                      <w:r>
                        <w:t>-</w:t>
                      </w:r>
                      <w:r w:rsidRPr="00F92105">
                        <w:t xml:space="preserve">risk behaviors among high school students increase, decrease, or remain the same over time; (2) evaluate the impact of broad national, state, and local efforts to prevent risk behaviors; and (3) improve school health policies and </w:t>
                      </w:r>
                      <w:r>
                        <w:t>practices</w:t>
                      </w:r>
                      <w:r w:rsidRPr="00F92105">
                        <w:t>.</w:t>
                      </w:r>
                      <w:r>
                        <w:t xml:space="preserve"> Results of the Adolescent Behaviors and Experience Survey will be used to assess health-risk behaviors and experiences among high school students during the COVID-19 pandemic.</w:t>
                      </w:r>
                    </w:p>
                    <w:p w:rsidRPr="00EB7F55" w:rsidR="00C93DC3" w:rsidP="0013301D" w:rsidRDefault="00C93DC3" w14:paraId="7B112824" w14:textId="582CC002">
                      <w:pPr>
                        <w:numPr>
                          <w:ilvl w:val="0"/>
                          <w:numId w:val="34"/>
                        </w:numPr>
                        <w:tabs>
                          <w:tab w:val="left" w:pos="450"/>
                        </w:tabs>
                        <w:autoSpaceDE/>
                        <w:autoSpaceDN/>
                        <w:adjustRightInd/>
                        <w:spacing w:before="90" w:line="254" w:lineRule="auto"/>
                        <w:ind w:left="450" w:right="-15"/>
                      </w:pPr>
                      <w:r>
                        <w:t>The method is c</w:t>
                      </w:r>
                      <w:r w:rsidRPr="00EB7F55">
                        <w:t>ross-sectional survey</w:t>
                      </w:r>
                      <w:r>
                        <w:t>s</w:t>
                      </w:r>
                      <w:r w:rsidRPr="00EB7F55">
                        <w:t xml:space="preserve"> </w:t>
                      </w:r>
                      <w:r>
                        <w:t>of</w:t>
                      </w:r>
                      <w:r w:rsidRPr="00EB7F55">
                        <w:t xml:space="preserve"> nationally representative</w:t>
                      </w:r>
                      <w:r>
                        <w:t xml:space="preserve"> </w:t>
                      </w:r>
                      <w:r w:rsidRPr="00EB7F55">
                        <w:t>sample</w:t>
                      </w:r>
                      <w:r>
                        <w:t>s obtained using a three-stage cluster sample design.</w:t>
                      </w:r>
                    </w:p>
                    <w:p w:rsidRPr="00EB7F55" w:rsidR="00C93DC3" w:rsidP="0013301D" w:rsidRDefault="00C93DC3" w14:paraId="5C3DF406" w14:textId="47CEEF8F">
                      <w:pPr>
                        <w:numPr>
                          <w:ilvl w:val="0"/>
                          <w:numId w:val="34"/>
                        </w:numPr>
                        <w:tabs>
                          <w:tab w:val="left" w:pos="450"/>
                        </w:tabs>
                        <w:autoSpaceDE/>
                        <w:autoSpaceDN/>
                        <w:adjustRightInd/>
                        <w:spacing w:before="90" w:line="254" w:lineRule="auto"/>
                        <w:ind w:left="450" w:right="782"/>
                      </w:pPr>
                      <w:r>
                        <w:t xml:space="preserve">The subpopulation is </w:t>
                      </w:r>
                      <w:r w:rsidRPr="00EB7F55">
                        <w:t>9th-12th grade students attending public and private schools in the United States</w:t>
                      </w:r>
                      <w:r>
                        <w:t>.</w:t>
                      </w:r>
                    </w:p>
                    <w:p w:rsidR="00C93DC3" w:rsidP="0013301D" w:rsidRDefault="00C93DC3" w14:paraId="4FC76943" w14:textId="2826F111">
                      <w:pPr>
                        <w:numPr>
                          <w:ilvl w:val="0"/>
                          <w:numId w:val="34"/>
                        </w:numPr>
                        <w:tabs>
                          <w:tab w:val="left" w:pos="450"/>
                        </w:tabs>
                        <w:autoSpaceDE/>
                        <w:autoSpaceDN/>
                        <w:adjustRightInd/>
                        <w:spacing w:before="90" w:line="254" w:lineRule="auto"/>
                        <w:ind w:left="450" w:right="782"/>
                      </w:pPr>
                      <w:r>
                        <w:t>Data will be analyzed to obtain prevalence estimates, t-tests will be used to compare demographic subgroups, and logistic regression will be used to analyze trends over time.</w:t>
                      </w:r>
                    </w:p>
                    <w:p w:rsidR="00C93DC3" w:rsidP="0013301D" w:rsidRDefault="00C93DC3" w14:paraId="301E1C70" w14:textId="77777777">
                      <w:pPr>
                        <w:tabs>
                          <w:tab w:val="left" w:pos="450"/>
                        </w:tabs>
                        <w:spacing w:before="90" w:line="254" w:lineRule="auto"/>
                        <w:ind w:left="450" w:right="782"/>
                      </w:pPr>
                    </w:p>
                  </w:txbxContent>
                </v:textbox>
                <w10:wrap type="tight" anchorx="margin"/>
              </v:shape>
            </w:pict>
          </mc:Fallback>
        </mc:AlternateContent>
      </w:r>
      <w:bookmarkEnd w:id="4"/>
      <w:bookmarkEnd w:id="5"/>
      <w:bookmarkEnd w:id="6"/>
      <w:bookmarkEnd w:id="7"/>
      <w:r w:rsidRPr="001C2747" w:rsidR="0013301D">
        <w:tab/>
      </w:r>
      <w:r w:rsidRPr="001C2747" w:rsidR="00F03070">
        <w:t xml:space="preserve">This statement supports a request to obtain approval for a reinstatement </w:t>
      </w:r>
      <w:r w:rsidRPr="001C2747" w:rsidR="0013301D">
        <w:t xml:space="preserve">with change </w:t>
      </w:r>
      <w:r w:rsidRPr="001C2747" w:rsidR="00F03070">
        <w:t xml:space="preserve">of a previously approved information collection to conduct the </w:t>
      </w:r>
      <w:r w:rsidR="005F325C">
        <w:t>N</w:t>
      </w:r>
      <w:r w:rsidRPr="001C2747" w:rsidR="00F03070">
        <w:t>ational Youth Risk Behavior Survey (YRBS) (OMB No. 0920-</w:t>
      </w:r>
      <w:r w:rsidRPr="00D56178" w:rsidR="00F03070">
        <w:t>0493,</w:t>
      </w:r>
      <w:r w:rsidRPr="001C2747" w:rsidR="00F03070">
        <w:t xml:space="preserve"> expiration, </w:t>
      </w:r>
      <w:r w:rsidR="00EB42B2">
        <w:t>11</w:t>
      </w:r>
      <w:r w:rsidRPr="001C2747" w:rsidR="001B6DB7">
        <w:t>/30/</w:t>
      </w:r>
      <w:r w:rsidRPr="001C2747" w:rsidR="00650223">
        <w:t>201</w:t>
      </w:r>
      <w:r w:rsidR="00650223">
        <w:t>9</w:t>
      </w:r>
      <w:r w:rsidRPr="001C2747" w:rsidR="00F03070">
        <w:t xml:space="preserve">) in </w:t>
      </w:r>
      <w:r w:rsidRPr="001C2747" w:rsidR="0013301D">
        <w:t>20</w:t>
      </w:r>
      <w:r w:rsidR="00650223">
        <w:t>21</w:t>
      </w:r>
      <w:r w:rsidRPr="001C2747" w:rsidR="00667ECD">
        <w:t xml:space="preserve"> and </w:t>
      </w:r>
      <w:r w:rsidRPr="001C2747" w:rsidR="0013301D">
        <w:t>20</w:t>
      </w:r>
      <w:r w:rsidR="00650223">
        <w:t>23</w:t>
      </w:r>
      <w:r w:rsidRPr="001C2747" w:rsidR="00667ECD">
        <w:t>.</w:t>
      </w:r>
      <w:r w:rsidRPr="001C2747" w:rsidR="0013301D">
        <w:t xml:space="preserve"> </w:t>
      </w:r>
      <w:r w:rsidRPr="001C2747" w:rsidR="00F03070">
        <w:t xml:space="preserve"> The YRBS is a biennial </w:t>
      </w:r>
      <w:r w:rsidRPr="001C2747" w:rsidR="002B4EE1">
        <w:t>school</w:t>
      </w:r>
      <w:r w:rsidRPr="001C2747" w:rsidR="008F353E">
        <w:t xml:space="preserve">-based </w:t>
      </w:r>
      <w:r w:rsidRPr="001C2747" w:rsidR="00F03070">
        <w:t>survey of high school students</w:t>
      </w:r>
      <w:r w:rsidR="000C43ED">
        <w:t>,</w:t>
      </w:r>
      <w:r w:rsidRPr="001C2747" w:rsidR="00F03070">
        <w:t xml:space="preserve"> </w:t>
      </w:r>
      <w:r w:rsidRPr="001C2747" w:rsidR="00E054A1">
        <w:t xml:space="preserve">conducted by </w:t>
      </w:r>
      <w:r w:rsidR="00031FBD">
        <w:t>the Centers for Disease Control and Prevention (</w:t>
      </w:r>
      <w:r w:rsidRPr="001C2747" w:rsidR="00E054A1">
        <w:t>CDC</w:t>
      </w:r>
      <w:r w:rsidR="00031FBD">
        <w:t>)</w:t>
      </w:r>
      <w:r w:rsidR="000C43ED">
        <w:t>,</w:t>
      </w:r>
      <w:r w:rsidRPr="001C2747" w:rsidR="00E054A1">
        <w:t xml:space="preserve"> </w:t>
      </w:r>
      <w:r w:rsidRPr="001C2747" w:rsidR="00F03070">
        <w:t>that assesses</w:t>
      </w:r>
      <w:r w:rsidRPr="001C2747" w:rsidR="008F353E">
        <w:t xml:space="preserve"> priority health-</w:t>
      </w:r>
      <w:r w:rsidRPr="001C2747" w:rsidR="00F03070">
        <w:t xml:space="preserve">risk behaviors related to the major preventable causes of mortality, morbidity, and social problems among both youth and adults in the United States. </w:t>
      </w:r>
      <w:r w:rsidRPr="001C2747" w:rsidR="00562792">
        <w:t xml:space="preserve">Minor changes incorporated into this reinstatement request include: </w:t>
      </w:r>
      <w:r w:rsidRPr="001C2747" w:rsidR="003C08E5">
        <w:t>an updated title for the information collection to accurately reflect the years in which the survey will be conducted</w:t>
      </w:r>
      <w:r w:rsidR="00E425F2">
        <w:t>,</w:t>
      </w:r>
      <w:r w:rsidR="009534DE">
        <w:t xml:space="preserve"> </w:t>
      </w:r>
      <w:r w:rsidRPr="001C2747" w:rsidR="00562792">
        <w:t>a slightly modif</w:t>
      </w:r>
      <w:r w:rsidRPr="001C2747" w:rsidR="00C7057A">
        <w:t>ied questionnaire</w:t>
      </w:r>
      <w:r w:rsidR="00E425F2">
        <w:t>, and the addition of electronic survey administration modes</w:t>
      </w:r>
      <w:r w:rsidR="009534DE">
        <w:t>.</w:t>
      </w:r>
      <w:r w:rsidRPr="001C2747" w:rsidR="0013301D">
        <w:t xml:space="preserve"> </w:t>
      </w:r>
      <w:r w:rsidR="007A2779">
        <w:t xml:space="preserve">This </w:t>
      </w:r>
      <w:r w:rsidR="004F105E">
        <w:t xml:space="preserve">reinstatement with change </w:t>
      </w:r>
      <w:r w:rsidR="007A2779">
        <w:t>also adds</w:t>
      </w:r>
      <w:r w:rsidR="004F105E">
        <w:t xml:space="preserve"> the Adolescent Behaviors and Experiences Survey</w:t>
      </w:r>
      <w:r w:rsidR="00925ACF">
        <w:t xml:space="preserve"> (ABES)</w:t>
      </w:r>
      <w:r w:rsidR="004F105E">
        <w:t>, which will use a slightly modified Youth Risk Behavior Survey questionnaire to collect data from high school students during the COVID-19 pandemic.</w:t>
      </w:r>
    </w:p>
    <w:p w:rsidR="009B478E" w:rsidP="00F96465" w:rsidRDefault="004F105E" w14:paraId="45B312B5" w14:textId="77777777">
      <w:pPr>
        <w:widowControl/>
        <w:tabs>
          <w:tab w:val="left" w:pos="-4950"/>
          <w:tab w:val="left" w:pos="-4770"/>
          <w:tab w:val="left" w:pos="-3600"/>
          <w:tab w:val="left" w:pos="-2700"/>
          <w:tab w:val="left" w:pos="-1800"/>
          <w:tab w:val="left" w:pos="-576"/>
        </w:tabs>
        <w:spacing w:before="120" w:after="120"/>
      </w:pPr>
      <w:r>
        <w:tab/>
      </w:r>
      <w:r w:rsidR="00031FBD">
        <w:t xml:space="preserve">Since its inception in 1990, the YRBS has been </w:t>
      </w:r>
      <w:r w:rsidR="00E5396E">
        <w:t xml:space="preserve">conducted using </w:t>
      </w:r>
      <w:r w:rsidR="000E2A64">
        <w:t>in</w:t>
      </w:r>
      <w:r w:rsidR="00F96465">
        <w:t>-</w:t>
      </w:r>
      <w:r w:rsidR="000E2A64">
        <w:t xml:space="preserve">school, </w:t>
      </w:r>
      <w:r w:rsidR="00E5396E">
        <w:t>paper-and-pencil methodology</w:t>
      </w:r>
      <w:r w:rsidR="00031FBD">
        <w:t>.</w:t>
      </w:r>
      <w:r w:rsidRPr="00F96465" w:rsidR="00F96465">
        <w:t xml:space="preserve"> </w:t>
      </w:r>
      <w:r w:rsidR="00F96465">
        <w:t xml:space="preserve">Due to the COVID-19 pandemic, many students across the U.S. are expected to participate in virtual/distance learning throughout the 2020-2021 academic year. Therefore, ABES will utilize web-based data collection </w:t>
      </w:r>
      <w:r w:rsidR="00203331">
        <w:t>in the spring semester of</w:t>
      </w:r>
      <w:r w:rsidR="00F96465">
        <w:t xml:space="preserve"> 2021 to ensure participation from a representative sample of high school students. YRBS will be administered in</w:t>
      </w:r>
      <w:r w:rsidR="005A0F21">
        <w:t xml:space="preserve"> a separate sample of schools in</w:t>
      </w:r>
      <w:r w:rsidR="00F96465">
        <w:t xml:space="preserve"> fall 2021, utilizing in-school paper-and-pencil methodology. </w:t>
      </w:r>
      <w:r w:rsidR="009B478E">
        <w:t>If the response rate for the 2021 YRBS cycle is lower than expected, CDC may need to draw a supplemental sample to meet the precision goals of the survey. Similarly, CDC may submit a nonsubstantive change should additional questions regarding the impact of COVID-19 need to be added for this or future administrations of the ABES or YRBS.</w:t>
      </w:r>
    </w:p>
    <w:p w:rsidRPr="001C2747" w:rsidR="00F03070" w:rsidP="00F96465" w:rsidRDefault="009B478E" w14:paraId="329DC28D" w14:textId="09B734CC">
      <w:pPr>
        <w:widowControl/>
        <w:tabs>
          <w:tab w:val="left" w:pos="-4950"/>
          <w:tab w:val="left" w:pos="-4770"/>
          <w:tab w:val="left" w:pos="-3600"/>
          <w:tab w:val="left" w:pos="-2700"/>
          <w:tab w:val="left" w:pos="-1800"/>
          <w:tab w:val="left" w:pos="-576"/>
        </w:tabs>
        <w:spacing w:before="120" w:after="120"/>
      </w:pPr>
      <w:r>
        <w:tab/>
        <w:t xml:space="preserve">The </w:t>
      </w:r>
      <w:r w:rsidR="00F96465">
        <w:t xml:space="preserve">2021 YRBS will also pilot tablet data collection in </w:t>
      </w:r>
      <w:r w:rsidR="00203331">
        <w:t xml:space="preserve">additional </w:t>
      </w:r>
      <w:r w:rsidR="00F96465">
        <w:t>classes, as the system prepares to transition from paper-and-pencil in 2023.</w:t>
      </w:r>
      <w:r w:rsidR="00031FBD">
        <w:t xml:space="preserve"> </w:t>
      </w:r>
      <w:r w:rsidR="00E5396E">
        <w:t>T</w:t>
      </w:r>
      <w:r w:rsidR="00393B0B">
        <w:t>herefore</w:t>
      </w:r>
      <w:r w:rsidR="00E5396E">
        <w:t>,</w:t>
      </w:r>
      <w:r w:rsidR="00393B0B">
        <w:t xml:space="preserve"> the recruitment and data collection materials have been updated to reflect </w:t>
      </w:r>
      <w:r w:rsidR="00572B26">
        <w:t>the web-based ABES and the tablet-based YRBS</w:t>
      </w:r>
      <w:r w:rsidR="00393B0B">
        <w:t xml:space="preserve">. </w:t>
      </w:r>
      <w:r w:rsidRPr="001C2747" w:rsidR="00562792">
        <w:t>T</w:t>
      </w:r>
      <w:r w:rsidRPr="001C2747" w:rsidR="00157802">
        <w:t xml:space="preserve">he proposed </w:t>
      </w:r>
      <w:r w:rsidRPr="001C2747" w:rsidR="00E054A1">
        <w:t>research</w:t>
      </w:r>
      <w:r w:rsidRPr="001C2747" w:rsidR="00157802">
        <w:t xml:space="preserve"> </w:t>
      </w:r>
      <w:r w:rsidRPr="001C2747" w:rsidR="00F03070">
        <w:t xml:space="preserve">will use the previously OMB-approved </w:t>
      </w:r>
      <w:r w:rsidRPr="001C2747" w:rsidR="00D16224">
        <w:t xml:space="preserve">sampling strategy, </w:t>
      </w:r>
      <w:r w:rsidRPr="001C2747" w:rsidR="00157802">
        <w:t xml:space="preserve">recruitment </w:t>
      </w:r>
      <w:r w:rsidRPr="001C2747" w:rsidR="00D16224">
        <w:t>methods</w:t>
      </w:r>
      <w:r w:rsidRPr="001C2747" w:rsidR="00157802">
        <w:t xml:space="preserve">, and data collection procedures </w:t>
      </w:r>
      <w:r w:rsidRPr="001C2747" w:rsidR="00F03070">
        <w:t xml:space="preserve">to conduct the YRBS among nationally representative samples of </w:t>
      </w:r>
      <w:r w:rsidRPr="001C2747" w:rsidR="008F353E">
        <w:t>9</w:t>
      </w:r>
      <w:r w:rsidRPr="001C2747" w:rsidR="008F353E">
        <w:rPr>
          <w:vertAlign w:val="superscript"/>
        </w:rPr>
        <w:t>th</w:t>
      </w:r>
      <w:r w:rsidRPr="001C2747" w:rsidR="008F353E">
        <w:t>-12</w:t>
      </w:r>
      <w:r w:rsidRPr="001C2747" w:rsidR="008F353E">
        <w:rPr>
          <w:vertAlign w:val="superscript"/>
        </w:rPr>
        <w:t>th</w:t>
      </w:r>
      <w:r w:rsidRPr="001C2747" w:rsidR="008F353E">
        <w:t xml:space="preserve"> grade </w:t>
      </w:r>
      <w:r w:rsidRPr="001C2747" w:rsidR="00F03070">
        <w:t>students in public and private schools</w:t>
      </w:r>
      <w:r w:rsidRPr="001C2747" w:rsidR="008F353E">
        <w:t xml:space="preserve"> in the U.S.</w:t>
      </w:r>
      <w:r w:rsidRPr="001C2747" w:rsidR="00F03070">
        <w:t xml:space="preserve"> </w:t>
      </w:r>
      <w:r w:rsidR="00572B26">
        <w:t xml:space="preserve">Similar </w:t>
      </w:r>
      <w:r w:rsidR="00572B26">
        <w:lastRenderedPageBreak/>
        <w:t xml:space="preserve">methods will be used for the ABES, except that data collection will be web-based and occur outside of </w:t>
      </w:r>
      <w:r w:rsidR="005260A0">
        <w:t xml:space="preserve">school. </w:t>
      </w:r>
      <w:r w:rsidRPr="001C2747" w:rsidR="0013301D">
        <w:t xml:space="preserve">A three-year approval of this study is being requested to collect data during January through </w:t>
      </w:r>
      <w:r w:rsidR="00D56178">
        <w:t>May</w:t>
      </w:r>
      <w:r w:rsidRPr="001C2747" w:rsidR="00D56178">
        <w:t xml:space="preserve"> </w:t>
      </w:r>
      <w:r w:rsidRPr="001C2747" w:rsidR="0013301D">
        <w:t>of 20</w:t>
      </w:r>
      <w:r w:rsidR="00650223">
        <w:t>21</w:t>
      </w:r>
      <w:r w:rsidR="005260A0">
        <w:t xml:space="preserve"> (ABES), August through December of 2021 (YRBS)</w:t>
      </w:r>
      <w:r w:rsidRPr="001C2747" w:rsidR="00667ECD">
        <w:t xml:space="preserve"> and </w:t>
      </w:r>
      <w:r w:rsidR="005260A0">
        <w:t xml:space="preserve">January through May of </w:t>
      </w:r>
      <w:r w:rsidRPr="001C2747" w:rsidR="0013301D">
        <w:t>20</w:t>
      </w:r>
      <w:r w:rsidR="00650223">
        <w:t>23</w:t>
      </w:r>
      <w:r w:rsidR="005260A0">
        <w:t xml:space="preserve"> (YRBS)</w:t>
      </w:r>
      <w:r w:rsidRPr="001C2747" w:rsidR="00667ECD">
        <w:t>.</w:t>
      </w:r>
      <w:r w:rsidRPr="001C2747" w:rsidR="0013301D">
        <w:t xml:space="preserve">  </w:t>
      </w:r>
      <w:r w:rsidRPr="001C2747" w:rsidR="00F03070">
        <w:t xml:space="preserve"> </w:t>
      </w:r>
    </w:p>
    <w:p w:rsidRPr="007807C6" w:rsidR="0050513E" w:rsidP="000B0C2E" w:rsidRDefault="0050513E" w14:paraId="333A9A4D" w14:textId="77777777">
      <w:pPr>
        <w:pStyle w:val="Heading1"/>
        <w:keepLines/>
        <w:spacing w:before="120" w:after="120"/>
        <w:rPr>
          <w:rFonts w:ascii="Times New Roman" w:hAnsi="Times New Roman" w:cs="Times New Roman" w:eastAsiaTheme="majorEastAsia"/>
          <w:color w:val="365F91" w:themeColor="accent1" w:themeShade="BF"/>
          <w:kern w:val="0"/>
        </w:rPr>
      </w:pPr>
      <w:r w:rsidRPr="007807C6">
        <w:rPr>
          <w:rFonts w:ascii="Times New Roman" w:hAnsi="Times New Roman" w:cs="Times New Roman" w:eastAsiaTheme="majorEastAsia"/>
          <w:color w:val="365F91" w:themeColor="accent1" w:themeShade="BF"/>
          <w:kern w:val="0"/>
        </w:rPr>
        <w:t>A.  JUSTIFICATION</w:t>
      </w:r>
    </w:p>
    <w:p w:rsidRPr="001C2747" w:rsidR="00EE6147" w:rsidP="000B0C2E" w:rsidRDefault="00EE6147" w14:paraId="71893F99" w14:textId="77777777">
      <w:pPr>
        <w:pStyle w:val="Heading2"/>
        <w:spacing w:before="120" w:after="120"/>
        <w:ind w:left="720" w:hanging="720"/>
        <w:rPr>
          <w:rFonts w:ascii="Times New Roman" w:hAnsi="Times New Roman" w:cs="Times New Roman"/>
          <w:b/>
          <w:bCs/>
          <w:u w:val="single"/>
        </w:rPr>
      </w:pPr>
      <w:r w:rsidRPr="001C2747">
        <w:rPr>
          <w:rFonts w:ascii="Times New Roman" w:hAnsi="Times New Roman" w:cs="Times New Roman"/>
          <w:b/>
          <w:bCs/>
        </w:rPr>
        <w:t>A.1</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CIRCUMSTANCES MAKING THE COLLECTION OF INFORMATION NECESSARY</w:t>
      </w:r>
    </w:p>
    <w:p w:rsidRPr="001C2747" w:rsidR="00EE6147" w:rsidP="000B0C2E" w:rsidRDefault="00EE6147" w14:paraId="43F6946D" w14:textId="77777777">
      <w:pPr>
        <w:widowControl/>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after="120"/>
        <w:ind w:left="720" w:hanging="720"/>
        <w:rPr>
          <w:b/>
          <w:bCs/>
          <w:u w:val="single"/>
        </w:rPr>
      </w:pPr>
      <w:r w:rsidRPr="001C2747">
        <w:rPr>
          <w:b/>
          <w:bCs/>
          <w:u w:val="single"/>
        </w:rPr>
        <w:t>Background</w:t>
      </w:r>
    </w:p>
    <w:p w:rsidRPr="001C2747" w:rsidR="000B0304" w:rsidP="000B0C2E" w:rsidRDefault="000B0304" w14:paraId="1AAD2299" w14:textId="46006E7D">
      <w:pPr>
        <w:widowControl/>
        <w:tabs>
          <w:tab w:val="left" w:pos="-4950"/>
          <w:tab w:val="left" w:pos="-4770"/>
          <w:tab w:val="left" w:pos="-3600"/>
          <w:tab w:val="left" w:pos="-2700"/>
          <w:tab w:val="left" w:pos="-1800"/>
          <w:tab w:val="left" w:pos="-576"/>
        </w:tabs>
        <w:spacing w:before="120" w:after="120"/>
      </w:pPr>
      <w:r w:rsidRPr="001C2747">
        <w:tab/>
      </w:r>
      <w:r w:rsidRPr="001C2747" w:rsidR="0050513E">
        <w:t>The YRBS</w:t>
      </w:r>
      <w:r w:rsidR="00C05341">
        <w:t xml:space="preserve"> and ABES</w:t>
      </w:r>
      <w:r w:rsidRPr="001C2747" w:rsidR="0050513E">
        <w:t xml:space="preserve">, together with several other related OMB-approved </w:t>
      </w:r>
      <w:r w:rsidRPr="001C2747" w:rsidR="002829A8">
        <w:t>information collections</w:t>
      </w:r>
      <w:r w:rsidRPr="001C2747" w:rsidR="0050513E">
        <w:t xml:space="preserve">, </w:t>
      </w:r>
      <w:r w:rsidR="00E5396E">
        <w:t>is</w:t>
      </w:r>
      <w:r w:rsidRPr="001C2747" w:rsidR="0050513E">
        <w:t xml:space="preserve"> part of the Youth Risk Behavior Surveillance System (YRBSS). The YRBS was cleared by OMB first in 1990 and has been ongoing since then (OMB No. 0920-0258, expiration 3/93; OMB No. 0920-0258, expiration 10/97; OMB No. 0920-0258, expiration 1/00; OM</w:t>
      </w:r>
      <w:r w:rsidRPr="001C2747" w:rsidR="00925835">
        <w:t>B No. 0920-0493, expiration 11/03; OMB No. 0920-0493, expiration 11/07</w:t>
      </w:r>
      <w:r w:rsidRPr="001C2747" w:rsidR="00C7057A">
        <w:t>; OMB No. 0920-0493, expiration 11/11</w:t>
      </w:r>
      <w:r w:rsidRPr="001C2747" w:rsidR="00F92105">
        <w:t>; OMB N</w:t>
      </w:r>
      <w:r w:rsidRPr="001C2747" w:rsidR="0013301D">
        <w:t>o. 0920-0493, expiration</w:t>
      </w:r>
      <w:r w:rsidRPr="001C2747" w:rsidR="00553BAE">
        <w:t xml:space="preserve"> 09</w:t>
      </w:r>
      <w:r w:rsidRPr="001C2747" w:rsidR="0013301D">
        <w:t>/</w:t>
      </w:r>
      <w:r w:rsidRPr="001C2747" w:rsidR="00553BAE">
        <w:t>15</w:t>
      </w:r>
      <w:r w:rsidR="00650223">
        <w:t>;</w:t>
      </w:r>
      <w:r w:rsidRPr="00650223" w:rsidR="00650223">
        <w:t xml:space="preserve"> </w:t>
      </w:r>
      <w:r w:rsidRPr="001C2747" w:rsidR="00650223">
        <w:t>OMB No. 0920-</w:t>
      </w:r>
      <w:r w:rsidR="00D56178">
        <w:t>0493</w:t>
      </w:r>
      <w:r w:rsidRPr="001C2747" w:rsidR="00650223">
        <w:t xml:space="preserve">, expiration </w:t>
      </w:r>
      <w:r w:rsidR="00EB42B2">
        <w:t>11</w:t>
      </w:r>
      <w:r w:rsidRPr="001C2747" w:rsidR="00650223">
        <w:t>/1</w:t>
      </w:r>
      <w:r w:rsidR="00650223">
        <w:t>9</w:t>
      </w:r>
      <w:r w:rsidRPr="001C2747" w:rsidR="0050513E">
        <w:t>).  The YRBS was originally cleared by OMB as an annual survey; however, after two surveys in</w:t>
      </w:r>
      <w:r w:rsidRPr="001C2747" w:rsidR="00A74EC9">
        <w:t xml:space="preserve"> 1990 and 1991, CDC</w:t>
      </w:r>
      <w:r w:rsidRPr="001C2747" w:rsidR="0050513E">
        <w:t xml:space="preserve"> concluded that collection of data every other year was sufficient to meet the </w:t>
      </w:r>
      <w:r w:rsidR="00031FBD">
        <w:t xml:space="preserve">agency’s </w:t>
      </w:r>
      <w:r w:rsidRPr="001C2747" w:rsidR="0050513E">
        <w:t xml:space="preserve">needs and </w:t>
      </w:r>
      <w:r w:rsidR="00031FBD">
        <w:t xml:space="preserve">those of </w:t>
      </w:r>
      <w:r w:rsidRPr="001C2747" w:rsidR="0050513E">
        <w:t xml:space="preserve">other Federal agencies.  </w:t>
      </w:r>
      <w:r w:rsidRPr="001C2747" w:rsidR="00ED6B81">
        <w:t>Since 1991</w:t>
      </w:r>
      <w:r w:rsidRPr="001C2747" w:rsidR="002829A8">
        <w:t>, t</w:t>
      </w:r>
      <w:r w:rsidRPr="001C2747" w:rsidR="0050513E">
        <w:t>he YRBS</w:t>
      </w:r>
      <w:r w:rsidRPr="001C2747" w:rsidR="002829A8">
        <w:t xml:space="preserve"> has been </w:t>
      </w:r>
      <w:r w:rsidRPr="001C2747" w:rsidR="0050513E">
        <w:t>conducted biennially during odd-number years (</w:t>
      </w:r>
      <w:r w:rsidRPr="001C2747" w:rsidR="00ED6B81">
        <w:t>1991</w:t>
      </w:r>
      <w:r w:rsidRPr="001C2747" w:rsidR="008F353E">
        <w:t>-</w:t>
      </w:r>
      <w:r w:rsidRPr="001C2747" w:rsidR="00650223">
        <w:t>201</w:t>
      </w:r>
      <w:r w:rsidR="00650223">
        <w:t>9</w:t>
      </w:r>
      <w:r w:rsidRPr="001C2747" w:rsidR="008F353E">
        <w:t>)</w:t>
      </w:r>
      <w:r w:rsidRPr="001C2747" w:rsidR="002829A8">
        <w:t>.</w:t>
      </w:r>
    </w:p>
    <w:p w:rsidRPr="001C2747" w:rsidR="0050513E" w:rsidP="000B0C2E" w:rsidRDefault="000B0304" w14:paraId="665CF8AD" w14:textId="34ED5831">
      <w:pPr>
        <w:widowControl/>
        <w:tabs>
          <w:tab w:val="left" w:pos="-4950"/>
          <w:tab w:val="left" w:pos="-4770"/>
          <w:tab w:val="left" w:pos="-3600"/>
          <w:tab w:val="left" w:pos="-2700"/>
          <w:tab w:val="left" w:pos="-1800"/>
          <w:tab w:val="left" w:pos="-576"/>
        </w:tabs>
        <w:spacing w:before="120" w:after="120"/>
      </w:pPr>
      <w:r w:rsidRPr="001C2747">
        <w:tab/>
      </w:r>
      <w:r w:rsidRPr="001C2747" w:rsidR="003E087A">
        <w:t>Several additional one-time surveys have been conducted as part of the YRBSS.  A</w:t>
      </w:r>
      <w:r w:rsidRPr="001C2747" w:rsidR="0050513E">
        <w:t xml:space="preserve"> </w:t>
      </w:r>
      <w:r w:rsidRPr="001C2747" w:rsidR="00BB0018">
        <w:t>National Household</w:t>
      </w:r>
      <w:r w:rsidRPr="001C2747" w:rsidR="0050513E">
        <w:t xml:space="preserve"> Y</w:t>
      </w:r>
      <w:r w:rsidRPr="001C2747" w:rsidR="00002003">
        <w:t>outh Risk Behavior Survey</w:t>
      </w:r>
      <w:r w:rsidRPr="001C2747" w:rsidR="0050513E">
        <w:t xml:space="preserve"> (OMB No. 0920-0214, expiration 3/93) was conducted in 1992 among 12</w:t>
      </w:r>
      <w:r w:rsidR="00906A29">
        <w:t>-</w:t>
      </w:r>
      <w:r w:rsidRPr="001C2747" w:rsidR="0050513E">
        <w:t xml:space="preserve"> to </w:t>
      </w:r>
      <w:r w:rsidRPr="001C2747" w:rsidR="009B3868">
        <w:t>21</w:t>
      </w:r>
      <w:r w:rsidR="009B3868">
        <w:t>-</w:t>
      </w:r>
      <w:r w:rsidRPr="001C2747" w:rsidR="0050513E">
        <w:t xml:space="preserve">year-olds reached through households rather than through schools.  In 1995, </w:t>
      </w:r>
      <w:r w:rsidRPr="001C2747" w:rsidR="00BB0018">
        <w:t xml:space="preserve">a </w:t>
      </w:r>
      <w:r w:rsidRPr="001C2747" w:rsidR="00002003">
        <w:t xml:space="preserve">National </w:t>
      </w:r>
      <w:r w:rsidRPr="001C2747" w:rsidR="00BB0018">
        <w:t xml:space="preserve">College </w:t>
      </w:r>
      <w:r w:rsidRPr="001C2747" w:rsidR="003E087A">
        <w:t>Health</w:t>
      </w:r>
      <w:r w:rsidRPr="001C2747" w:rsidR="00BB0018">
        <w:t xml:space="preserve"> Risk Behavior Survey was conducted among a nationally representative sample of college students</w:t>
      </w:r>
      <w:r w:rsidRPr="001C2747" w:rsidR="0050513E">
        <w:t xml:space="preserve"> (OMB No. 0920-0354, expiration 8/95).  In 1998, </w:t>
      </w:r>
      <w:r w:rsidRPr="001C2747" w:rsidR="00002003">
        <w:t xml:space="preserve">a National </w:t>
      </w:r>
      <w:r w:rsidRPr="001C2747" w:rsidR="00BB0018">
        <w:t>Alternative School</w:t>
      </w:r>
      <w:r w:rsidRPr="001C2747" w:rsidR="0050513E">
        <w:t xml:space="preserve"> Y</w:t>
      </w:r>
      <w:r w:rsidRPr="001C2747" w:rsidR="00002003">
        <w:t>outh Risk Behavior Survey</w:t>
      </w:r>
      <w:r w:rsidRPr="001C2747" w:rsidR="0050513E">
        <w:t xml:space="preserve"> was conducted </w:t>
      </w:r>
      <w:r w:rsidRPr="001C2747" w:rsidR="00BB0018">
        <w:t>among a nationally representative sample of students attending</w:t>
      </w:r>
      <w:r w:rsidRPr="001C2747" w:rsidR="0050513E">
        <w:t xml:space="preserve"> alternative high schools (OMB No. 0920-0416, expiration 12/98).  </w:t>
      </w:r>
      <w:r w:rsidRPr="001C2747" w:rsidR="00BB0018">
        <w:t>In 200</w:t>
      </w:r>
      <w:r w:rsidRPr="001C2747" w:rsidR="002774C1">
        <w:t>0</w:t>
      </w:r>
      <w:r w:rsidRPr="001C2747" w:rsidR="00BB0018">
        <w:t xml:space="preserve">, a </w:t>
      </w:r>
      <w:r w:rsidRPr="001C2747" w:rsidR="0050513E">
        <w:t xml:space="preserve">methodological study to assess reliability and validity of the YRBS questionnaire was conducted (OMB No. 0920-0464, expiration 12/00).  In 2002, a second methodological study was conducted to assess the effects of </w:t>
      </w:r>
      <w:r w:rsidRPr="001C2747" w:rsidR="002774C1">
        <w:t xml:space="preserve">YRBS </w:t>
      </w:r>
      <w:r w:rsidRPr="001C2747" w:rsidR="0050513E">
        <w:t xml:space="preserve">question wording on prevalence estimates (OMB No. </w:t>
      </w:r>
      <w:r w:rsidRPr="001C2747" w:rsidR="002774C1">
        <w:t xml:space="preserve">0920-0534, expiration 12/02). </w:t>
      </w:r>
      <w:r w:rsidRPr="001C2747" w:rsidR="00BB0018">
        <w:t>In 2004, a third</w:t>
      </w:r>
      <w:r w:rsidRPr="001C2747" w:rsidR="0050513E">
        <w:t xml:space="preserve"> methodological study </w:t>
      </w:r>
      <w:r w:rsidRPr="001C2747" w:rsidR="002774C1">
        <w:t xml:space="preserve">of the YRBS </w:t>
      </w:r>
      <w:r w:rsidRPr="001C2747" w:rsidR="0050513E">
        <w:t xml:space="preserve">was conducted to assess the effects of setting (school vs. home) and mode of administration (paper-and pencil questionnaire vs. computer-assisted </w:t>
      </w:r>
      <w:r w:rsidRPr="001C2747" w:rsidR="009B3868">
        <w:t>self</w:t>
      </w:r>
      <w:r w:rsidR="009B3868">
        <w:t>-</w:t>
      </w:r>
      <w:r w:rsidRPr="001C2747" w:rsidR="0050513E">
        <w:t>interview</w:t>
      </w:r>
      <w:r w:rsidRPr="001C2747" w:rsidR="00ED6B81">
        <w:t xml:space="preserve"> or CASI) </w:t>
      </w:r>
      <w:r w:rsidRPr="001C2747" w:rsidR="0050513E">
        <w:t>on prevalence estimates (OMB No. 0920-0611, expiration 12/04).</w:t>
      </w:r>
      <w:r w:rsidRPr="001C2747">
        <w:t xml:space="preserve">  </w:t>
      </w:r>
      <w:r w:rsidRPr="001C2747" w:rsidR="00BB0018">
        <w:t>In 2008, a</w:t>
      </w:r>
      <w:r w:rsidRPr="001C2747">
        <w:t xml:space="preserve"> fourth methodological study</w:t>
      </w:r>
      <w:r w:rsidRPr="001C2747" w:rsidR="008F353E">
        <w:t xml:space="preserve"> was</w:t>
      </w:r>
      <w:r w:rsidRPr="001C2747" w:rsidR="00BB0018">
        <w:t xml:space="preserve"> conducted to assess the feasibility </w:t>
      </w:r>
      <w:r w:rsidRPr="001C2747" w:rsidR="008F353E">
        <w:t xml:space="preserve">of a </w:t>
      </w:r>
      <w:r w:rsidRPr="001C2747" w:rsidR="00BB0018">
        <w:t>web-based mode of administration</w:t>
      </w:r>
      <w:r w:rsidRPr="001C2747" w:rsidR="008F353E">
        <w:t xml:space="preserve"> for the YRBS</w:t>
      </w:r>
      <w:r w:rsidRPr="001C2747" w:rsidR="00BB0018">
        <w:t xml:space="preserve"> </w:t>
      </w:r>
      <w:r w:rsidRPr="001C2747">
        <w:t xml:space="preserve">(OMB No. </w:t>
      </w:r>
      <w:r w:rsidRPr="001C2747" w:rsidR="00765DB2">
        <w:t>0920-0763</w:t>
      </w:r>
      <w:r w:rsidRPr="001C2747">
        <w:t xml:space="preserve">, expiration </w:t>
      </w:r>
      <w:r w:rsidRPr="001C2747" w:rsidR="00765DB2">
        <w:t>1/</w:t>
      </w:r>
      <w:r w:rsidRPr="001C2747" w:rsidR="00DE52FA">
        <w:t>31/20</w:t>
      </w:r>
      <w:r w:rsidRPr="001C2747" w:rsidR="00765DB2">
        <w:t>09</w:t>
      </w:r>
      <w:r w:rsidRPr="001C2747">
        <w:t xml:space="preserve">).  </w:t>
      </w:r>
    </w:p>
    <w:p w:rsidRPr="001C2747" w:rsidR="000B0304" w:rsidP="000B0C2E" w:rsidRDefault="000B0304" w14:paraId="4505489C" w14:textId="090EAAB8">
      <w:pPr>
        <w:widowControl/>
        <w:tabs>
          <w:tab w:val="left" w:pos="-4950"/>
          <w:tab w:val="left" w:pos="-4860"/>
          <w:tab w:val="left" w:pos="-4320"/>
          <w:tab w:val="left" w:pos="-3870"/>
          <w:tab w:val="left" w:pos="-3510"/>
          <w:tab w:val="left" w:pos="-2340"/>
          <w:tab w:val="left" w:pos="-576"/>
          <w:tab w:val="left" w:pos="-360"/>
        </w:tabs>
        <w:spacing w:before="120" w:after="120"/>
      </w:pPr>
      <w:r w:rsidRPr="001C2747">
        <w:tab/>
      </w:r>
      <w:r w:rsidRPr="001C2747" w:rsidR="0050513E">
        <w:t xml:space="preserve">The legal justification for the </w:t>
      </w:r>
      <w:r w:rsidRPr="001C2747" w:rsidR="00605E49">
        <w:t>YRBS</w:t>
      </w:r>
      <w:r w:rsidRPr="001C2747" w:rsidR="0050513E">
        <w:t xml:space="preserve"> may be found in Section 301 of the Public Health Service Act (42 USC 241) </w:t>
      </w:r>
      <w:r w:rsidRPr="001C2747" w:rsidR="002774C1">
        <w:t xml:space="preserve">(Authorizing Legislation, </w:t>
      </w:r>
      <w:r w:rsidR="00761D81">
        <w:rPr>
          <w:b/>
        </w:rPr>
        <w:t>Attachment</w:t>
      </w:r>
      <w:r w:rsidRPr="001C2747" w:rsidR="002774C1">
        <w:t xml:space="preserve"> </w:t>
      </w:r>
      <w:r w:rsidRPr="001C2747" w:rsidR="002774C1">
        <w:rPr>
          <w:b/>
        </w:rPr>
        <w:t>A</w:t>
      </w:r>
      <w:r w:rsidRPr="001C2747" w:rsidR="002774C1">
        <w:t xml:space="preserve">). </w:t>
      </w:r>
      <w:r w:rsidRPr="001C2747" w:rsidR="0050513E">
        <w:t>Further justification for a national survey of</w:t>
      </w:r>
      <w:r w:rsidRPr="001C2747" w:rsidR="008623F6">
        <w:t xml:space="preserve"> health-</w:t>
      </w:r>
      <w:r w:rsidRPr="001C2747" w:rsidR="0050513E">
        <w:t xml:space="preserve">risk behaviors among students in grades 9-12 is based on </w:t>
      </w:r>
      <w:r w:rsidRPr="001C2747" w:rsidR="0035149C">
        <w:t>three</w:t>
      </w:r>
      <w:r w:rsidRPr="001C2747" w:rsidR="0050513E">
        <w:t xml:space="preserve"> factors: (1) publi</w:t>
      </w:r>
      <w:r w:rsidRPr="001C2747" w:rsidR="008623F6">
        <w:t>c health implications of health-</w:t>
      </w:r>
      <w:r w:rsidRPr="001C2747" w:rsidR="0050513E">
        <w:t>risk behaviors among a</w:t>
      </w:r>
      <w:r w:rsidRPr="001C2747" w:rsidR="008623F6">
        <w:t>dolescents; (2) costs of health-</w:t>
      </w:r>
      <w:r w:rsidRPr="001C2747" w:rsidR="0050513E">
        <w:t>risk behaviors among adolescents;</w:t>
      </w:r>
      <w:r w:rsidRPr="001C2747" w:rsidR="0035149C">
        <w:t xml:space="preserve"> and</w:t>
      </w:r>
      <w:r w:rsidRPr="001C2747" w:rsidR="0050513E">
        <w:t xml:space="preserve"> (3) specific mandates to monitor and/or red</w:t>
      </w:r>
      <w:r w:rsidRPr="001C2747" w:rsidR="008623F6">
        <w:t>uce health-</w:t>
      </w:r>
      <w:r w:rsidRPr="001C2747" w:rsidR="0050513E">
        <w:t>risk behaviors and/or associated health outcomes</w:t>
      </w:r>
      <w:r w:rsidRPr="001C2747" w:rsidR="0035149C">
        <w:t>.</w:t>
      </w:r>
    </w:p>
    <w:p w:rsidR="000B0C2E" w:rsidP="000B0C2E" w:rsidRDefault="00E054A1" w14:paraId="171CBCA1" w14:textId="18E50683">
      <w:pPr>
        <w:pStyle w:val="NormalWeb"/>
        <w:spacing w:before="120" w:beforeAutospacing="0" w:after="120" w:afterAutospacing="0"/>
        <w:ind w:firstLine="720"/>
      </w:pPr>
      <w:r w:rsidRPr="001C2747">
        <w:t>Regarding public health implications, a</w:t>
      </w:r>
      <w:r w:rsidRPr="001C2747" w:rsidR="008623F6">
        <w:t xml:space="preserve"> limited number of health-</w:t>
      </w:r>
      <w:r w:rsidRPr="001C2747" w:rsidR="0050513E">
        <w:t>risk behaviors</w:t>
      </w:r>
      <w:r w:rsidRPr="001C2747" w:rsidR="008623F6">
        <w:t>, which are often</w:t>
      </w:r>
      <w:r w:rsidRPr="001C2747" w:rsidR="0050513E">
        <w:t xml:space="preserve"> established during adolescence</w:t>
      </w:r>
      <w:r w:rsidRPr="001C2747" w:rsidR="008623F6">
        <w:t>,</w:t>
      </w:r>
      <w:r w:rsidRPr="001C2747" w:rsidR="0050513E">
        <w:t xml:space="preserve"> account for the overwhelming majority of immediate and long-term </w:t>
      </w:r>
      <w:r w:rsidRPr="001C2747" w:rsidR="008623F6">
        <w:t>causes</w:t>
      </w:r>
      <w:r w:rsidRPr="001C2747" w:rsidR="0050513E">
        <w:t xml:space="preserve"> of mortality, morbidity, and social problems among adolescents</w:t>
      </w:r>
      <w:r w:rsidRPr="001C2747" w:rsidR="008623F6">
        <w:t xml:space="preserve"> and adults.</w:t>
      </w:r>
      <w:r w:rsidRPr="001C2747" w:rsidR="00355AAE">
        <w:t xml:space="preserve"> </w:t>
      </w:r>
      <w:r w:rsidRPr="001C2747" w:rsidR="00A214DC">
        <w:lastRenderedPageBreak/>
        <w:t>In the United States, 7</w:t>
      </w:r>
      <w:r w:rsidR="00103C62">
        <w:t>4</w:t>
      </w:r>
      <w:r w:rsidRPr="001C2747" w:rsidR="00A214DC">
        <w:t>% of all deaths among youth and young adults aged 10</w:t>
      </w:r>
      <w:r w:rsidR="00F71AA1">
        <w:t>-</w:t>
      </w:r>
      <w:r w:rsidRPr="001C2747" w:rsidR="00A214DC">
        <w:t xml:space="preserve">24 years result </w:t>
      </w:r>
      <w:r w:rsidRPr="005526A0" w:rsidR="00A214DC">
        <w:t xml:space="preserve">from </w:t>
      </w:r>
      <w:r w:rsidRPr="005526A0" w:rsidR="00103C62">
        <w:t>three</w:t>
      </w:r>
      <w:r w:rsidRPr="005526A0" w:rsidR="00A214DC">
        <w:t xml:space="preserve"> causes: unintentional injuries (</w:t>
      </w:r>
      <w:r w:rsidRPr="005526A0" w:rsidR="0005330A">
        <w:t>41</w:t>
      </w:r>
      <w:r w:rsidRPr="005526A0" w:rsidR="00A214DC">
        <w:t xml:space="preserve">%), </w:t>
      </w:r>
      <w:r w:rsidRPr="005526A0" w:rsidR="0005330A">
        <w:t>suicide</w:t>
      </w:r>
      <w:r w:rsidRPr="005526A0" w:rsidR="00A214DC">
        <w:t xml:space="preserve"> (</w:t>
      </w:r>
      <w:r w:rsidRPr="005526A0" w:rsidR="0005330A">
        <w:t>19</w:t>
      </w:r>
      <w:r w:rsidRPr="005526A0" w:rsidR="00A214DC">
        <w:t xml:space="preserve">%), and </w:t>
      </w:r>
      <w:r w:rsidRPr="005526A0" w:rsidR="0005330A">
        <w:t>homicide</w:t>
      </w:r>
      <w:r w:rsidRPr="005526A0" w:rsidR="00A214DC">
        <w:t xml:space="preserve"> (1</w:t>
      </w:r>
      <w:r w:rsidRPr="005526A0" w:rsidR="0005330A">
        <w:t>4</w:t>
      </w:r>
      <w:r w:rsidRPr="005526A0" w:rsidR="00A214DC">
        <w:t>%)</w:t>
      </w:r>
      <w:r w:rsidRPr="005526A0" w:rsidR="0005330A">
        <w:t xml:space="preserve"> </w:t>
      </w:r>
      <w:r w:rsidRPr="005526A0" w:rsidR="00A214DC">
        <w:t>(</w:t>
      </w:r>
      <w:r w:rsidRPr="005526A0" w:rsidR="0005330A">
        <w:rPr>
          <w:iCs/>
        </w:rPr>
        <w:t>CDC, 2019</w:t>
      </w:r>
      <w:r w:rsidRPr="005526A0" w:rsidR="00A214DC">
        <w:t>).</w:t>
      </w:r>
      <w:r w:rsidRPr="001C2747" w:rsidR="00A214DC">
        <w:t xml:space="preserve"> </w:t>
      </w:r>
    </w:p>
    <w:p w:rsidRPr="001C2747" w:rsidR="00355AAE" w:rsidP="000B0C2E" w:rsidRDefault="00A214DC" w14:paraId="2E008331" w14:textId="4242C8C3">
      <w:pPr>
        <w:pStyle w:val="NormalWeb"/>
        <w:spacing w:before="120" w:beforeAutospacing="0" w:after="120" w:afterAutospacing="0"/>
        <w:ind w:firstLine="720"/>
      </w:pPr>
      <w:r w:rsidRPr="005526A0">
        <w:t>Among youth aged 15</w:t>
      </w:r>
      <w:r w:rsidR="00F71AA1">
        <w:t>-</w:t>
      </w:r>
      <w:r w:rsidRPr="005526A0">
        <w:t xml:space="preserve">19 years, substantial morbidity and social problems also result from the estimated </w:t>
      </w:r>
      <w:r w:rsidRPr="005526A0" w:rsidR="005B15D5">
        <w:t>194,377</w:t>
      </w:r>
      <w:r w:rsidRPr="005526A0">
        <w:t xml:space="preserve"> births (</w:t>
      </w:r>
      <w:r w:rsidRPr="005526A0" w:rsidR="005B15D5">
        <w:rPr>
          <w:iCs/>
        </w:rPr>
        <w:t>Martin et al., 2018</w:t>
      </w:r>
      <w:r w:rsidRPr="005526A0">
        <w:t xml:space="preserve">); </w:t>
      </w:r>
      <w:r w:rsidRPr="005526A0" w:rsidR="004F4C58">
        <w:t>538,999</w:t>
      </w:r>
      <w:r w:rsidRPr="005526A0">
        <w:t xml:space="preserve"> cases of chlamydia, gonorrhea, and syphilis (</w:t>
      </w:r>
      <w:r w:rsidRPr="005526A0" w:rsidR="004F4C58">
        <w:rPr>
          <w:iCs/>
        </w:rPr>
        <w:t>CDC, 2019)</w:t>
      </w:r>
      <w:r w:rsidRPr="005526A0">
        <w:t xml:space="preserve">; and </w:t>
      </w:r>
      <w:r w:rsidRPr="005526A0" w:rsidR="005B15D5">
        <w:t>1,</w:t>
      </w:r>
      <w:r w:rsidRPr="005526A0" w:rsidR="00467C25">
        <w:t>703</w:t>
      </w:r>
      <w:r w:rsidRPr="005526A0">
        <w:t xml:space="preserve"> cases of human immunodeficiency virus (HIV) (</w:t>
      </w:r>
      <w:r w:rsidRPr="005526A0" w:rsidR="00467C25">
        <w:rPr>
          <w:iCs/>
        </w:rPr>
        <w:t>CDC 2018)</w:t>
      </w:r>
      <w:r w:rsidRPr="005526A0">
        <w:t xml:space="preserve"> reported annually. </w:t>
      </w:r>
      <w:r w:rsidRPr="005526A0" w:rsidR="00794D08">
        <w:t>In the United States</w:t>
      </w:r>
      <w:r w:rsidR="00E5396E">
        <w:t>,</w:t>
      </w:r>
      <w:r w:rsidRPr="005526A0">
        <w:t xml:space="preserve"> </w:t>
      </w:r>
      <w:r w:rsidRPr="005526A0" w:rsidR="00794D08">
        <w:t>44</w:t>
      </w:r>
      <w:r w:rsidRPr="005526A0">
        <w:t>% of all deaths result from cardiovascular disease (</w:t>
      </w:r>
      <w:r w:rsidRPr="005526A0" w:rsidR="00794D08">
        <w:t>2</w:t>
      </w:r>
      <w:r w:rsidRPr="005526A0">
        <w:t>3%) and cancer (2</w:t>
      </w:r>
      <w:r w:rsidRPr="005526A0" w:rsidR="00794D08">
        <w:t>1</w:t>
      </w:r>
      <w:r w:rsidRPr="005526A0">
        <w:t>%) (</w:t>
      </w:r>
      <w:r w:rsidRPr="005526A0" w:rsidR="00794D08">
        <w:rPr>
          <w:iCs/>
        </w:rPr>
        <w:t>CDC 2019)</w:t>
      </w:r>
      <w:r w:rsidRPr="005526A0">
        <w:t>.</w:t>
      </w:r>
    </w:p>
    <w:p w:rsidRPr="001C2747" w:rsidR="000B0304" w:rsidP="000B0C2E" w:rsidRDefault="007A680C" w14:paraId="64B5AF16" w14:textId="2F8405AE">
      <w:pPr>
        <w:pStyle w:val="NormalWeb"/>
        <w:spacing w:before="120" w:beforeAutospacing="0" w:after="120" w:afterAutospacing="0"/>
        <w:ind w:firstLine="720"/>
      </w:pPr>
      <w:r w:rsidRPr="001C2747">
        <w:t xml:space="preserve">These leading causes of morbidity and mortality among youth and adults in the United States are related to six categories of priority health-risk behaviors: 1) behaviors that contribute to unintentional injuries and violence; 2) tobacco use; 3) alcohol and other drug use; 4) sexual behaviors that contribute to unintended pregnancy and STDs, including human immunodeficiency virus (HIV) infection; 5) unhealthy dietary behaviors; and 6) physical inactivity. These behaviors frequently are interrelated and are established during childhood and adolescence and extend into adulthood. To monitor priority health-risk behaviors in each of these six categories among high school students nationally, CDC developed the </w:t>
      </w:r>
      <w:r w:rsidRPr="001C2747" w:rsidR="00580DFD">
        <w:t xml:space="preserve">National </w:t>
      </w:r>
      <w:r w:rsidRPr="001C2747">
        <w:t>YRBS</w:t>
      </w:r>
      <w:r w:rsidRPr="001C2747" w:rsidR="00355AAE">
        <w:t xml:space="preserve">, which has been conducted </w:t>
      </w:r>
      <w:r w:rsidRPr="001C2747">
        <w:t>biennially since 1991.</w:t>
      </w:r>
      <w:r w:rsidR="00291568">
        <w:t xml:space="preserve"> Additional questions assessing other critical public health issues, such as obesity, have been added over time.</w:t>
      </w:r>
      <w:r w:rsidR="00C05341">
        <w:t xml:space="preserve"> The ABES includes additional questions to assess students’ behaviors and experiences during the COVID-19 pandemic.</w:t>
      </w:r>
    </w:p>
    <w:p w:rsidRPr="001C2747" w:rsidR="00A7380D" w:rsidP="000B0C2E" w:rsidRDefault="00A7380D" w14:paraId="2C729BBC" w14:textId="447D33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ab/>
      </w:r>
      <w:r w:rsidRPr="001C2747" w:rsidR="00577B62">
        <w:t>Priority h</w:t>
      </w:r>
      <w:r w:rsidRPr="001C2747" w:rsidR="008F353E">
        <w:t>ealth-</w:t>
      </w:r>
      <w:r w:rsidRPr="001C2747" w:rsidR="003E276F">
        <w:t xml:space="preserve">risk behaviors </w:t>
      </w:r>
      <w:r w:rsidRPr="001C2747" w:rsidR="008623F6">
        <w:t>result in tremendous economic cost</w:t>
      </w:r>
      <w:r w:rsidRPr="001C2747" w:rsidR="00D75811">
        <w:t xml:space="preserve">. For example, in the area of </w:t>
      </w:r>
      <w:r w:rsidRPr="007342AA" w:rsidR="00D75811">
        <w:t>unintentional i</w:t>
      </w:r>
      <w:r w:rsidRPr="007342AA" w:rsidR="003E276F">
        <w:t xml:space="preserve">njuries and </w:t>
      </w:r>
      <w:r w:rsidRPr="007342AA" w:rsidR="00D75811">
        <w:t xml:space="preserve">violence, </w:t>
      </w:r>
      <w:r w:rsidRPr="001C2747" w:rsidR="00D75811">
        <w:t>u</w:t>
      </w:r>
      <w:r w:rsidRPr="001C2747" w:rsidR="003E276F">
        <w:t>sing data from the Medical Expenditure Panel Survey and the National Health Accounts, injury-related medical expenditures in 200</w:t>
      </w:r>
      <w:r w:rsidR="001A453E">
        <w:t>2</w:t>
      </w:r>
      <w:r w:rsidRPr="001C2747" w:rsidR="003E276F">
        <w:t xml:space="preserve"> were as high as $</w:t>
      </w:r>
      <w:r w:rsidR="001A453E">
        <w:t>73.4</w:t>
      </w:r>
      <w:r w:rsidRPr="001C2747" w:rsidR="003E276F">
        <w:t xml:space="preserve"> billion, accounting for 10.</w:t>
      </w:r>
      <w:r w:rsidR="001A453E">
        <w:t>1</w:t>
      </w:r>
      <w:r w:rsidRPr="001C2747" w:rsidR="003E276F">
        <w:t>% of total medical expenditures that year (</w:t>
      </w:r>
      <w:r w:rsidR="001A453E">
        <w:t>Machlin, 2005</w:t>
      </w:r>
      <w:r w:rsidRPr="001C2747" w:rsidR="003E276F">
        <w:t xml:space="preserve">).  </w:t>
      </w:r>
    </w:p>
    <w:p w:rsidRPr="001C2747" w:rsidR="00A7380D" w:rsidP="000B0C2E" w:rsidRDefault="00A7380D" w14:paraId="43CD44CD" w14:textId="15E0ABC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ab/>
      </w:r>
      <w:r w:rsidRPr="001C2747" w:rsidR="00D75811">
        <w:t>Regarding t</w:t>
      </w:r>
      <w:r w:rsidRPr="001C2747" w:rsidR="003E276F">
        <w:t xml:space="preserve">obacco </w:t>
      </w:r>
      <w:r w:rsidRPr="001C2747" w:rsidR="00D75811">
        <w:t>use, t</w:t>
      </w:r>
      <w:r w:rsidRPr="001C2747" w:rsidR="00F92105">
        <w:t xml:space="preserve">he economic impact of smoking and exposure to secondhand smoke is enormous in terms of increased medical costs, lost productivity, and other factors. Average annual smoking-related productivity losses from 2005-2009 are estimated at $107.6 billion ($69.6 billion for males and $38 billion for females) (USDHHS, 2014). This figure does not include costs associated with smoking-attributable health-care expenditures, smoking-related disability, employee absenteeism, or secondhand smoke-attributable morbidity and mortality. In 2006 alone, deaths from coronary heart disease and lung cancer in nonsmokers due to exposure to secondhand smoke resulted in 532,580 years of productive life lost, and $5.68 billion lost in productivity (USDHHS, 2014). In 2009, an estimated $132.5 billion of health care expenditures in adults 19 years of age and older were attributable to smoking, an approximate 38% increase from 2004 (USDHHS, 2014). In total, smoking-attributable health care expenditures and productivity losses exceeded $240 billion </w:t>
      </w:r>
      <w:r w:rsidRPr="001C2747" w:rsidR="000945F3">
        <w:t xml:space="preserve">in </w:t>
      </w:r>
      <w:r w:rsidRPr="001C2747" w:rsidR="00F92105">
        <w:t>2009.</w:t>
      </w:r>
    </w:p>
    <w:p w:rsidRPr="001C2747" w:rsidR="00577B62" w:rsidP="000B0C2E" w:rsidRDefault="00A7380D" w14:paraId="760E1030" w14:textId="382F4D8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ab/>
      </w:r>
      <w:r w:rsidRPr="001C2747" w:rsidR="00D75811">
        <w:t>In terms of a</w:t>
      </w:r>
      <w:r w:rsidRPr="001C2747" w:rsidR="003E276F">
        <w:t xml:space="preserve">lcohol and </w:t>
      </w:r>
      <w:r w:rsidRPr="001C2747" w:rsidR="00D75811">
        <w:t>o</w:t>
      </w:r>
      <w:r w:rsidRPr="001C2747" w:rsidR="003E276F">
        <w:t xml:space="preserve">ther </w:t>
      </w:r>
      <w:r w:rsidRPr="001C2747" w:rsidR="00D75811">
        <w:t>d</w:t>
      </w:r>
      <w:r w:rsidRPr="001C2747" w:rsidR="003E276F">
        <w:t xml:space="preserve">rug </w:t>
      </w:r>
      <w:r w:rsidRPr="001C2747" w:rsidR="00D75811">
        <w:t>u</w:t>
      </w:r>
      <w:r w:rsidRPr="001C2747" w:rsidR="003E276F">
        <w:t>se</w:t>
      </w:r>
      <w:r w:rsidRPr="007342AA" w:rsidR="00D75811">
        <w:t>, i</w:t>
      </w:r>
      <w:r w:rsidRPr="001C2747" w:rsidR="00577B62">
        <w:t>n the United States in 20</w:t>
      </w:r>
      <w:r w:rsidRPr="001C2747" w:rsidR="00F46C6B">
        <w:t>10</w:t>
      </w:r>
      <w:r w:rsidRPr="001C2747" w:rsidR="00577B62">
        <w:t>, t</w:t>
      </w:r>
      <w:r w:rsidRPr="001C2747" w:rsidR="007B1349">
        <w:t>he estimated economic cost of excessive drinking</w:t>
      </w:r>
      <w:r w:rsidRPr="001C2747" w:rsidR="00577B62">
        <w:t xml:space="preserve"> was</w:t>
      </w:r>
      <w:r w:rsidRPr="001C2747" w:rsidR="007B1349">
        <w:t xml:space="preserve"> $2</w:t>
      </w:r>
      <w:r w:rsidRPr="001C2747" w:rsidR="00F46C6B">
        <w:t>49</w:t>
      </w:r>
      <w:r w:rsidRPr="001C2747" w:rsidR="007B1349">
        <w:t xml:space="preserve"> billion</w:t>
      </w:r>
      <w:r w:rsidRPr="001C2747" w:rsidR="00F46C6B">
        <w:t>.  The</w:t>
      </w:r>
      <w:r w:rsidRPr="001C2747" w:rsidR="00D75811">
        <w:t xml:space="preserve"> </w:t>
      </w:r>
      <w:r w:rsidRPr="001C2747" w:rsidR="00F46C6B">
        <w:t>g</w:t>
      </w:r>
      <w:r w:rsidRPr="007807C6" w:rsidR="00F46C6B">
        <w:t>overnment paid for $100.7 billion (40.4%) of these costs. Binge drinking accounted for $191.1 billion (76.7%) of costs; underage drinking $24.3 billion (9.7%) of costs; and drinking while pregnant $5.5 billion (2.2%) of costs.</w:t>
      </w:r>
      <w:r w:rsidRPr="001C2747" w:rsidR="007B1349">
        <w:t xml:space="preserve"> (</w:t>
      </w:r>
      <w:r w:rsidRPr="001C2747" w:rsidR="00F46C6B">
        <w:t>Sacks et al, 2015</w:t>
      </w:r>
      <w:r w:rsidRPr="001C2747" w:rsidR="007B1349">
        <w:t>). In addition, the cost of alcohol-attributable crime was $73.3 billion and the cost to government was $94.2 billion (Bouchery</w:t>
      </w:r>
      <w:r w:rsidRPr="001C2747" w:rsidR="00244F8C">
        <w:t xml:space="preserve"> et al, </w:t>
      </w:r>
      <w:r w:rsidRPr="001C2747" w:rsidR="007B1349">
        <w:t>2011).</w:t>
      </w:r>
      <w:r w:rsidRPr="001C2747" w:rsidR="00577B62">
        <w:t xml:space="preserve"> In 2007, the cost of illicit drug use totaled more than $193 billion in the United States (National Drug Intelligence Center, 2011).</w:t>
      </w:r>
    </w:p>
    <w:p w:rsidRPr="001C2747" w:rsidR="00A7380D" w:rsidP="000B0C2E" w:rsidRDefault="00A7380D" w14:paraId="71207EFA" w14:textId="3AEB8F4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ab/>
      </w:r>
      <w:r w:rsidRPr="001C2747" w:rsidR="00A8095B">
        <w:t xml:space="preserve">Related to </w:t>
      </w:r>
      <w:r w:rsidRPr="001C2747" w:rsidR="00614924">
        <w:t>sexual behavior</w:t>
      </w:r>
      <w:r w:rsidRPr="001C2747" w:rsidR="004F7CAD">
        <w:t xml:space="preserve">, </w:t>
      </w:r>
      <w:r w:rsidRPr="001C2747" w:rsidR="00A8095B">
        <w:t>t</w:t>
      </w:r>
      <w:r w:rsidRPr="001C2747" w:rsidR="003E276F">
        <w:t>he lifetime direct medical costs for youth aged 15-24 who acquired</w:t>
      </w:r>
      <w:r w:rsidRPr="001C2747" w:rsidR="00C62176">
        <w:t xml:space="preserve"> one or more of the eight most common sexually transmitted infections</w:t>
      </w:r>
      <w:r w:rsidRPr="001C2747" w:rsidR="00614924">
        <w:t xml:space="preserve"> (STIs)</w:t>
      </w:r>
      <w:r w:rsidRPr="001C2747" w:rsidR="003E276F">
        <w:t xml:space="preserve"> </w:t>
      </w:r>
      <w:r w:rsidRPr="001C2747" w:rsidR="00A427CD">
        <w:t>is</w:t>
      </w:r>
      <w:r w:rsidRPr="001C2747" w:rsidR="003E276F">
        <w:t xml:space="preserve"> </w:t>
      </w:r>
      <w:r w:rsidRPr="001C2747" w:rsidR="00C62176">
        <w:lastRenderedPageBreak/>
        <w:t xml:space="preserve">currently </w:t>
      </w:r>
      <w:r w:rsidRPr="001C2747" w:rsidR="00A427CD">
        <w:t xml:space="preserve">estimated at </w:t>
      </w:r>
      <w:r w:rsidRPr="001C2747" w:rsidR="003E276F">
        <w:t>$</w:t>
      </w:r>
      <w:r w:rsidRPr="001C2747" w:rsidR="00C62176">
        <w:t>15.6</w:t>
      </w:r>
      <w:r w:rsidRPr="001C2747" w:rsidR="003E276F">
        <w:t xml:space="preserve"> billion</w:t>
      </w:r>
      <w:r w:rsidRPr="001C2747" w:rsidR="00B46EC5">
        <w:t xml:space="preserve"> a year.  Even curable STIs have a high annual cost of $742 million</w:t>
      </w:r>
      <w:r w:rsidRPr="001C2747" w:rsidR="00EE59B7">
        <w:t xml:space="preserve"> (CDC, 2013b)</w:t>
      </w:r>
      <w:r w:rsidRPr="001C2747" w:rsidR="00B46EC5">
        <w:t xml:space="preserve">.  </w:t>
      </w:r>
      <w:r w:rsidRPr="001C2747" w:rsidR="00C62176">
        <w:t xml:space="preserve">  </w:t>
      </w:r>
      <w:r w:rsidRPr="001C2747" w:rsidR="003E276F">
        <w:t>These figures represent conservative estimates because they do not account for non-medical indirect costs, such as lost wages and productivity due to ST</w:t>
      </w:r>
      <w:r w:rsidRPr="001C2747" w:rsidR="00B46EC5">
        <w:t>I</w:t>
      </w:r>
      <w:r w:rsidRPr="001C2747" w:rsidR="003E276F">
        <w:t>-related illnesses, out-of-pocket costs, costs associated with mother-to-infant transmission, or costs related to prevention and screening.</w:t>
      </w:r>
      <w:r w:rsidRPr="001C2747" w:rsidR="00614924">
        <w:t xml:space="preserve"> </w:t>
      </w:r>
      <w:r w:rsidRPr="001C2747" w:rsidR="004F7CAD">
        <w:t>In addition, t</w:t>
      </w:r>
      <w:r w:rsidRPr="001C2747" w:rsidR="00614924">
        <w:t>een pregnancy costs taxpayers $9.2 billion annually in lost tax revenues, increased public assistance expenditures, health care costs for the children of teen mothers, foster care costs, and criminal justice costs (Hoffman, 2008).</w:t>
      </w:r>
    </w:p>
    <w:p w:rsidR="000F52A8" w:rsidP="000B0C2E" w:rsidRDefault="00A7380D" w14:paraId="487FBE34" w14:textId="1E04A59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ab/>
      </w:r>
      <w:r w:rsidRPr="001C2747" w:rsidR="00614924">
        <w:t>In terms of n</w:t>
      </w:r>
      <w:r w:rsidRPr="001C2747" w:rsidR="003E276F">
        <w:t xml:space="preserve">utrition, </w:t>
      </w:r>
      <w:r w:rsidRPr="001C2747" w:rsidR="00614924">
        <w:t>p</w:t>
      </w:r>
      <w:r w:rsidRPr="001C2747" w:rsidR="003E276F">
        <w:t xml:space="preserve">hysical </w:t>
      </w:r>
      <w:r w:rsidR="006007D3">
        <w:t>a</w:t>
      </w:r>
      <w:r w:rsidRPr="001C2747" w:rsidR="003E276F">
        <w:t xml:space="preserve">ctivity, and </w:t>
      </w:r>
      <w:r w:rsidRPr="001C2747" w:rsidR="00614924">
        <w:t>o</w:t>
      </w:r>
      <w:r w:rsidRPr="001C2747" w:rsidR="003E276F">
        <w:t>besity</w:t>
      </w:r>
      <w:r w:rsidRPr="001C2747" w:rsidR="00614924">
        <w:t>, a</w:t>
      </w:r>
      <w:r w:rsidRPr="001C2747" w:rsidR="003E276F">
        <w:t xml:space="preserve"> </w:t>
      </w:r>
      <w:r w:rsidR="005F71E6">
        <w:t>2015</w:t>
      </w:r>
      <w:r w:rsidRPr="001C2747" w:rsidR="003E276F">
        <w:t xml:space="preserve"> report concluded that </w:t>
      </w:r>
      <w:r w:rsidR="005F71E6">
        <w:t xml:space="preserve">average total annual health care expenditures per </w:t>
      </w:r>
      <w:r w:rsidR="006007D3">
        <w:t>y</w:t>
      </w:r>
      <w:r w:rsidR="005F71E6">
        <w:t>ear from 2006-2011 was $1.05</w:t>
      </w:r>
      <w:r w:rsidR="006007D3">
        <w:t xml:space="preserve"> trillion.  Approximately 12.5% of these expenditures</w:t>
      </w:r>
      <w:r w:rsidR="000F52A8">
        <w:t>, or $131 billion,</w:t>
      </w:r>
      <w:r w:rsidR="006007D3">
        <w:t xml:space="preserve"> was associated with inadequate levels of physical activity </w:t>
      </w:r>
      <w:r w:rsidR="000F52A8">
        <w:t>(Carson, 2014)</w:t>
      </w:r>
      <w:r w:rsidR="007F2C47">
        <w:t>.  According to Biener et al. (2017), the percentage of medical expenditure for the treatment of obesity-related illness has risen from 20.6% in 2005 to 27.5% in 2010 to 28.2%</w:t>
      </w:r>
      <w:r w:rsidR="00F71AA1">
        <w:t xml:space="preserve"> </w:t>
      </w:r>
      <w:r w:rsidR="007F2C47">
        <w:t>in 2013.</w:t>
      </w:r>
    </w:p>
    <w:p w:rsidRPr="001C2747" w:rsidR="0050513E" w:rsidP="000B0C2E" w:rsidRDefault="0050513E" w14:paraId="7832068B" w14:textId="403196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broadest justification for the YRBS may be fo</w:t>
      </w:r>
      <w:r w:rsidRPr="001C2747" w:rsidR="00F54BBD">
        <w:t xml:space="preserve">und in the </w:t>
      </w:r>
      <w:r w:rsidR="001624A4">
        <w:t xml:space="preserve">national proposed objectives for </w:t>
      </w:r>
      <w:r w:rsidRPr="001C2747" w:rsidR="00F54BBD">
        <w:t>Healthy People 20</w:t>
      </w:r>
      <w:r w:rsidR="00B73FAE">
        <w:t>3</w:t>
      </w:r>
      <w:r w:rsidRPr="001C2747" w:rsidR="00F54BBD">
        <w:t>0</w:t>
      </w:r>
      <w:r w:rsidRPr="001C2747">
        <w:t>, which chart the direction for public health activities for the current decade (</w:t>
      </w:r>
      <w:r w:rsidRPr="001C2747" w:rsidR="005C3C63">
        <w:t>Rational</w:t>
      </w:r>
      <w:r w:rsidRPr="001C2747" w:rsidR="00441979">
        <w:t>e</w:t>
      </w:r>
      <w:r w:rsidRPr="001C2747" w:rsidR="005C3C63">
        <w:t xml:space="preserve"> for Survey Questions</w:t>
      </w:r>
      <w:r w:rsidRPr="001C2747" w:rsidR="00170561">
        <w:t xml:space="preserve">, </w:t>
      </w:r>
      <w:r w:rsidR="00761D81">
        <w:rPr>
          <w:b/>
        </w:rPr>
        <w:t>Attachment</w:t>
      </w:r>
      <w:r w:rsidRPr="001C2747">
        <w:rPr>
          <w:b/>
        </w:rPr>
        <w:t xml:space="preserve"> </w:t>
      </w:r>
      <w:r w:rsidR="00F71AA1">
        <w:rPr>
          <w:b/>
        </w:rPr>
        <w:t>D</w:t>
      </w:r>
      <w:r w:rsidRPr="001C2747">
        <w:t xml:space="preserve">). The YRBS is the primary data source </w:t>
      </w:r>
      <w:r w:rsidRPr="001624A4">
        <w:t xml:space="preserve">for </w:t>
      </w:r>
      <w:r w:rsidRPr="001624A4" w:rsidR="00B73FAE">
        <w:t xml:space="preserve">13 </w:t>
      </w:r>
      <w:r w:rsidRPr="001624A4">
        <w:t xml:space="preserve">objectives in </w:t>
      </w:r>
      <w:r w:rsidRPr="001624A4" w:rsidR="00880312">
        <w:t>seven</w:t>
      </w:r>
      <w:r w:rsidRPr="001624A4">
        <w:t xml:space="preserve"> focus areas: </w:t>
      </w:r>
      <w:r w:rsidRPr="001624A4" w:rsidR="00880312">
        <w:t>cancer</w:t>
      </w:r>
      <w:r w:rsidRPr="001624A4" w:rsidR="00B73FAE">
        <w:t>;</w:t>
      </w:r>
      <w:r w:rsidRPr="001624A4" w:rsidR="00880312">
        <w:t xml:space="preserve"> </w:t>
      </w:r>
      <w:r w:rsidRPr="001624A4" w:rsidR="00B73FAE">
        <w:t xml:space="preserve">educational and community-based programs; </w:t>
      </w:r>
      <w:r w:rsidRPr="001624A4">
        <w:t>injury and violence prevention</w:t>
      </w:r>
      <w:r w:rsidRPr="001624A4" w:rsidR="00B73FAE">
        <w:t>;</w:t>
      </w:r>
      <w:r w:rsidRPr="001624A4">
        <w:t xml:space="preserve"> </w:t>
      </w:r>
      <w:r w:rsidRPr="001624A4" w:rsidR="00B73FAE">
        <w:t xml:space="preserve">lesbian, gay bisexual and transgender health; </w:t>
      </w:r>
      <w:r w:rsidRPr="001624A4">
        <w:t>mental health and ment</w:t>
      </w:r>
      <w:r w:rsidRPr="001624A4" w:rsidR="00880312">
        <w:t>al disorders</w:t>
      </w:r>
      <w:r w:rsidRPr="001624A4" w:rsidR="00B73FAE">
        <w:t>;</w:t>
      </w:r>
      <w:r w:rsidRPr="001624A4" w:rsidR="00880312">
        <w:t xml:space="preserve"> physical activity</w:t>
      </w:r>
      <w:r w:rsidRPr="001624A4" w:rsidR="00B73FAE">
        <w:t>;</w:t>
      </w:r>
      <w:r w:rsidRPr="001624A4" w:rsidR="00880312">
        <w:t xml:space="preserve"> </w:t>
      </w:r>
      <w:r w:rsidRPr="001624A4" w:rsidR="00B73FAE">
        <w:t xml:space="preserve">and </w:t>
      </w:r>
      <w:r w:rsidRPr="001624A4" w:rsidR="00880312">
        <w:t>sleep health</w:t>
      </w:r>
      <w:r w:rsidRPr="001624A4">
        <w:t>.</w:t>
      </w:r>
      <w:r w:rsidRPr="001C2747">
        <w:t xml:space="preserve"> The behaviors addressed by these objectives include: sun protection to reduce the risk of skin cancer</w:t>
      </w:r>
      <w:r w:rsidR="00B6270F">
        <w:t>;</w:t>
      </w:r>
      <w:r w:rsidRPr="001C2747">
        <w:t xml:space="preserve"> </w:t>
      </w:r>
      <w:r w:rsidR="00B73FAE">
        <w:t>daily physical activity</w:t>
      </w:r>
      <w:r w:rsidR="00B6270F">
        <w:t>;</w:t>
      </w:r>
      <w:r w:rsidR="00B73FAE">
        <w:t xml:space="preserve"> </w:t>
      </w:r>
      <w:r w:rsidRPr="001C2747">
        <w:t>physical fighting</w:t>
      </w:r>
      <w:r w:rsidR="00B6270F">
        <w:t>;</w:t>
      </w:r>
      <w:r w:rsidRPr="001C2747">
        <w:t xml:space="preserve"> weapon carrying</w:t>
      </w:r>
      <w:r w:rsidR="00B6270F">
        <w:t>;</w:t>
      </w:r>
      <w:r w:rsidR="003251E7">
        <w:t xml:space="preserve"> sexual and dating violence</w:t>
      </w:r>
      <w:r w:rsidR="00B6270F">
        <w:t>;</w:t>
      </w:r>
      <w:r w:rsidRPr="001C2747">
        <w:t xml:space="preserve"> </w:t>
      </w:r>
      <w:r w:rsidRPr="001C2747" w:rsidR="00880312">
        <w:t xml:space="preserve">bullying, </w:t>
      </w:r>
      <w:r w:rsidR="0022195F">
        <w:t>suicidal ideation</w:t>
      </w:r>
      <w:r w:rsidR="00B6270F">
        <w:t xml:space="preserve"> and</w:t>
      </w:r>
      <w:r w:rsidR="0022195F">
        <w:t xml:space="preserve"> </w:t>
      </w:r>
      <w:r w:rsidRPr="001C2747">
        <w:t>attempts</w:t>
      </w:r>
      <w:r w:rsidR="0022195F">
        <w:t xml:space="preserve"> and illicit drug use among sexual minority youth</w:t>
      </w:r>
      <w:r w:rsidR="00B6270F">
        <w:t>;</w:t>
      </w:r>
      <w:r w:rsidR="0022195F">
        <w:t xml:space="preserve"> </w:t>
      </w:r>
      <w:r w:rsidR="001624A4">
        <w:t>suicide attempts among all youth;</w:t>
      </w:r>
      <w:r w:rsidRPr="001C2747">
        <w:t xml:space="preserve"> </w:t>
      </w:r>
      <w:r w:rsidRPr="001C2747" w:rsidR="00947744">
        <w:t>meeting federal recommendations for aerobic and muscle-strengthening physical activity</w:t>
      </w:r>
      <w:r w:rsidR="001624A4">
        <w:t xml:space="preserve">; and </w:t>
      </w:r>
      <w:r w:rsidRPr="001C2747" w:rsidR="00947744">
        <w:t>sleep duration</w:t>
      </w:r>
      <w:r w:rsidR="00D96FDB">
        <w:t>.</w:t>
      </w:r>
      <w:r w:rsidRPr="001C2747">
        <w:t xml:space="preserve"> </w:t>
      </w:r>
    </w:p>
    <w:p w:rsidRPr="001C2747" w:rsidR="0050513E" w:rsidP="000B0C2E" w:rsidRDefault="0050513E" w14:paraId="1FDC7B87" w14:textId="45138974">
      <w:pPr>
        <w:pStyle w:val="Heading2"/>
        <w:spacing w:before="120" w:after="120"/>
        <w:rPr>
          <w:rFonts w:ascii="Times New Roman" w:hAnsi="Times New Roman" w:cs="Times New Roman"/>
          <w:b/>
          <w:bCs/>
          <w:u w:val="single"/>
        </w:rPr>
      </w:pPr>
      <w:r w:rsidRPr="001C2747">
        <w:rPr>
          <w:rFonts w:ascii="Times New Roman" w:hAnsi="Times New Roman" w:cs="Times New Roman"/>
          <w:b/>
          <w:bCs/>
        </w:rPr>
        <w:t>A.2</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PURPOSE AND USE OF INFORMATION COLLECT</w:t>
      </w:r>
      <w:r w:rsidRPr="001C2747" w:rsidR="003A6B11">
        <w:rPr>
          <w:rFonts w:ascii="Times New Roman" w:hAnsi="Times New Roman" w:cs="Times New Roman"/>
          <w:b/>
          <w:bCs/>
          <w:u w:val="single"/>
        </w:rPr>
        <w:t>ION</w:t>
      </w:r>
    </w:p>
    <w:p w:rsidRPr="001C2747" w:rsidR="0050513E" w:rsidP="000B0C2E" w:rsidRDefault="0050513E" w14:paraId="6B95AF1F" w14:textId="507BC1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information generated by the </w:t>
      </w:r>
      <w:r w:rsidR="00DA392A">
        <w:t xml:space="preserve">ABES and </w:t>
      </w:r>
      <w:r w:rsidRPr="001C2747">
        <w:t>YRBS will be used by several Federal agencies, including CDC.  The information will have a broader use by state and local governments, nongovernmental organizations, and others in the private sector.</w:t>
      </w:r>
    </w:p>
    <w:p w:rsidRPr="001C2747" w:rsidR="0050513E" w:rsidP="000B0C2E" w:rsidRDefault="00DA392A" w14:paraId="330B2450" w14:textId="1AA922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t>The purpose of the ABES is to assess students’ behaviors and experiences during the COVID-19 pandemic.</w:t>
      </w:r>
      <w:r w:rsidRPr="001C2747">
        <w:t xml:space="preserve"> </w:t>
      </w:r>
      <w:r w:rsidRPr="001C2747" w:rsidR="0050513E">
        <w:t xml:space="preserve">The purposes of the </w:t>
      </w:r>
      <w:r w:rsidRPr="001C2747" w:rsidR="00605E49">
        <w:t>YRBS</w:t>
      </w:r>
      <w:r w:rsidRPr="001C2747" w:rsidR="0050513E">
        <w:t xml:space="preserve">, to be conducted </w:t>
      </w:r>
      <w:r w:rsidRPr="001C2747" w:rsidR="008443DE">
        <w:t xml:space="preserve">biennially </w:t>
      </w:r>
      <w:r w:rsidRPr="001C2747" w:rsidR="0050513E">
        <w:t>among nationally representative sample</w:t>
      </w:r>
      <w:r w:rsidRPr="001C2747" w:rsidR="00605E49">
        <w:t>s</w:t>
      </w:r>
      <w:r w:rsidRPr="001C2747" w:rsidR="0050513E">
        <w:t xml:space="preserve"> of </w:t>
      </w:r>
      <w:r w:rsidR="000B0C2E">
        <w:t>s</w:t>
      </w:r>
      <w:r w:rsidRPr="001C2747" w:rsidR="0050513E">
        <w:t>tudents enrolled in grades 9</w:t>
      </w:r>
      <w:r w:rsidR="00F71AA1">
        <w:t>-</w:t>
      </w:r>
      <w:r w:rsidRPr="001C2747" w:rsidR="0050513E">
        <w:t>12, are to:</w:t>
      </w:r>
    </w:p>
    <w:p w:rsidRPr="001C2747" w:rsidR="0050513E" w:rsidP="000B0C2E" w:rsidRDefault="0050513E" w14:paraId="4D7CE9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1.</w:t>
      </w:r>
      <w:r w:rsidRPr="001C2747">
        <w:tab/>
        <w:t>Estimate the extent to which high school students engage in behaviors placing them at risk for the major short- and long-term causes of mortality and morbidity.</w:t>
      </w:r>
    </w:p>
    <w:p w:rsidRPr="001C2747" w:rsidR="0050513E" w:rsidP="000B0C2E" w:rsidRDefault="0050513E" w14:paraId="4C10144E" w14:textId="79E4C3B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pPr>
      <w:r w:rsidRPr="001C2747">
        <w:t>2.</w:t>
      </w:r>
      <w:r w:rsidRPr="001C2747">
        <w:tab/>
        <w:t xml:space="preserve">Assess </w:t>
      </w:r>
      <w:r w:rsidRPr="001C2747" w:rsidR="00277020">
        <w:t xml:space="preserve">whether </w:t>
      </w:r>
      <w:r w:rsidRPr="001C2747">
        <w:t xml:space="preserve">engaging in </w:t>
      </w:r>
      <w:r w:rsidRPr="001C2747" w:rsidR="00F71AA1">
        <w:t>health</w:t>
      </w:r>
      <w:r w:rsidR="00F71AA1">
        <w:t>-</w:t>
      </w:r>
      <w:r w:rsidRPr="001C2747">
        <w:t xml:space="preserve">risk behaviors varies as a function of </w:t>
      </w:r>
      <w:r w:rsidRPr="001C2747" w:rsidR="00441DAC">
        <w:t>sex</w:t>
      </w:r>
      <w:r w:rsidRPr="001C2747">
        <w:t>, age, grade in school, and race/ethnicity.</w:t>
      </w:r>
    </w:p>
    <w:p w:rsidRPr="001C2747" w:rsidR="0050513E" w:rsidP="000B0C2E" w:rsidRDefault="0050513E" w14:paraId="1FE7D78B" w14:textId="58359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pPr>
      <w:r w:rsidRPr="001C2747">
        <w:t>3.</w:t>
      </w:r>
      <w:r w:rsidRPr="001C2747">
        <w:tab/>
        <w:t xml:space="preserve">Determine the interrelationships among </w:t>
      </w:r>
      <w:r w:rsidRPr="001C2747" w:rsidR="00F71AA1">
        <w:t>health</w:t>
      </w:r>
      <w:r w:rsidR="00F71AA1">
        <w:t>-</w:t>
      </w:r>
      <w:r w:rsidRPr="001C2747">
        <w:t xml:space="preserve">risk behaviors and whether these interrelationships vary as a function of </w:t>
      </w:r>
      <w:r w:rsidRPr="001C2747" w:rsidR="00441DAC">
        <w:t>sex</w:t>
      </w:r>
      <w:r w:rsidRPr="001C2747">
        <w:t>, age, grade in school, and race/ethnicity.</w:t>
      </w:r>
    </w:p>
    <w:p w:rsidRPr="001C2747" w:rsidR="0050513E" w:rsidP="000B0C2E" w:rsidRDefault="0050513E" w14:paraId="1C44B5DB" w14:textId="1B3F4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pPr>
      <w:r w:rsidRPr="001C2747">
        <w:t>4.</w:t>
      </w:r>
      <w:r w:rsidRPr="001C2747">
        <w:tab/>
        <w:t xml:space="preserve">Estimate the extent to which high school students engage </w:t>
      </w:r>
      <w:r w:rsidRPr="001C2747">
        <w:rPr>
          <w:i/>
          <w:iCs/>
        </w:rPr>
        <w:t>at school</w:t>
      </w:r>
      <w:r w:rsidRPr="001C2747">
        <w:t xml:space="preserve"> in </w:t>
      </w:r>
      <w:r w:rsidRPr="001C2747" w:rsidR="00F71AA1">
        <w:t>health</w:t>
      </w:r>
      <w:r w:rsidR="00F71AA1">
        <w:t>-</w:t>
      </w:r>
      <w:r w:rsidRPr="001C2747">
        <w:t>risk behaviors involving tobacco, alcohol, and other drug use or contributing to violence, and determine whether this pattern changes over time.</w:t>
      </w:r>
    </w:p>
    <w:p w:rsidRPr="001C2747" w:rsidR="0050513E" w:rsidP="000B0C2E" w:rsidRDefault="0050513E" w14:paraId="13015B8B" w14:textId="66C24F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720" w:hanging="720"/>
        <w:rPr>
          <w:b/>
          <w:bCs/>
        </w:rPr>
      </w:pPr>
      <w:r w:rsidRPr="001C2747">
        <w:t>5.</w:t>
      </w:r>
      <w:r w:rsidRPr="001C2747">
        <w:tab/>
        <w:t xml:space="preserve">Describe the trends in </w:t>
      </w:r>
      <w:r w:rsidRPr="001C2747" w:rsidR="00F71AA1">
        <w:t>health</w:t>
      </w:r>
      <w:r w:rsidR="00F71AA1">
        <w:t>-</w:t>
      </w:r>
      <w:r w:rsidRPr="001C2747">
        <w:t xml:space="preserve">risk behaviors and assess the degree to which these trends vary as a function of </w:t>
      </w:r>
      <w:r w:rsidRPr="001C2747" w:rsidR="00441DAC">
        <w:t>sex</w:t>
      </w:r>
      <w:r w:rsidRPr="001C2747">
        <w:t>, age, grade in school, and race/ethnicity.</w:t>
      </w:r>
    </w:p>
    <w:p w:rsidRPr="001C2747" w:rsidR="0050513E" w:rsidP="000B0C2E" w:rsidRDefault="008443DE" w14:paraId="337D8D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YRBS data </w:t>
      </w:r>
      <w:r w:rsidRPr="001C2747" w:rsidR="0035149C">
        <w:t xml:space="preserve">are used </w:t>
      </w:r>
      <w:r w:rsidRPr="001C2747" w:rsidR="00736C90">
        <w:t xml:space="preserve">by </w:t>
      </w:r>
      <w:r w:rsidRPr="001C2747">
        <w:t>multiple</w:t>
      </w:r>
      <w:r w:rsidRPr="001C2747" w:rsidR="0035149C">
        <w:t xml:space="preserve"> centers within CDC, including the </w:t>
      </w:r>
      <w:r w:rsidRPr="001C2747">
        <w:t xml:space="preserve">National Center for </w:t>
      </w:r>
      <w:r w:rsidRPr="001C2747">
        <w:lastRenderedPageBreak/>
        <w:t xml:space="preserve">HIV/AIDS, Viral Hepatitis, STD, and TB Prevention (NCHHSTP); the National Center for Chronic Disease Prevention and Health Promotion (NCCDPHP); the </w:t>
      </w:r>
      <w:r w:rsidRPr="001C2747" w:rsidR="003E087A">
        <w:t>National Center f</w:t>
      </w:r>
      <w:r w:rsidRPr="001C2747">
        <w:t>or Environmental Health;</w:t>
      </w:r>
      <w:r w:rsidRPr="001C2747" w:rsidR="003E087A">
        <w:t xml:space="preserve"> </w:t>
      </w:r>
      <w:r w:rsidRPr="001C2747" w:rsidR="0035149C">
        <w:t xml:space="preserve">the National Center for Health Statistics (NCHS); and the National Center for Injury Prevention and Control (NCIPC). </w:t>
      </w:r>
      <w:r w:rsidRPr="001C2747">
        <w:t>A</w:t>
      </w:r>
      <w:r w:rsidRPr="001C2747" w:rsidR="0050513E">
        <w:t>nticipated uses of YRBS data by CDC include the following:</w:t>
      </w:r>
    </w:p>
    <w:p w:rsidRPr="001C2747" w:rsidR="0050513E" w:rsidP="000B0C2E" w:rsidRDefault="0050513E" w14:paraId="1ACA9B75"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rPr>
          <w:u w:val="single"/>
        </w:rPr>
        <w:t>Evaluation</w:t>
      </w:r>
    </w:p>
    <w:p w:rsidR="000B0C2E" w:rsidP="000B0C2E" w:rsidRDefault="0050513E" w14:paraId="233F37FC" w14:textId="77777777">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Establish baseline and progress data for </w:t>
      </w:r>
      <w:r w:rsidR="002B39CB">
        <w:t>13</w:t>
      </w:r>
      <w:r w:rsidRPr="001C2747" w:rsidR="008443DE">
        <w:t xml:space="preserve"> Healthy People 20</w:t>
      </w:r>
      <w:r w:rsidR="002B39CB">
        <w:t>3</w:t>
      </w:r>
      <w:r w:rsidRPr="001C2747">
        <w:t xml:space="preserve">0 objectives and </w:t>
      </w:r>
      <w:r w:rsidRPr="00D96FDB" w:rsidR="008443DE">
        <w:t>1 Leading Health Indicator</w:t>
      </w:r>
    </w:p>
    <w:p w:rsidR="000B0C2E" w:rsidP="000B0C2E" w:rsidRDefault="0050513E" w14:paraId="6CA4A951" w14:textId="77777777">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Assess trends in priority </w:t>
      </w:r>
      <w:r w:rsidRPr="001C2747" w:rsidR="00F71AA1">
        <w:t>health</w:t>
      </w:r>
      <w:r w:rsidR="00F71AA1">
        <w:t>-</w:t>
      </w:r>
      <w:r w:rsidRPr="001C2747">
        <w:t>risk behaviors among high school students to determine the imp</w:t>
      </w:r>
      <w:r w:rsidRPr="001C2747" w:rsidR="007F5F3D">
        <w:t>act of CDC-funded interventions</w:t>
      </w:r>
    </w:p>
    <w:p w:rsidRPr="001C2747" w:rsidR="00AF1402" w:rsidP="000B0C2E" w:rsidRDefault="00AF1402" w14:paraId="2723F7B6" w14:textId="53C2A0EE">
      <w:pPr>
        <w:pStyle w:val="Level1"/>
        <w:numPr>
          <w:ilvl w:val="0"/>
          <w:numId w:val="3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Evaluate and monitor progress of national efforts in tobacco control (CDC, </w:t>
      </w:r>
      <w:r w:rsidRPr="00D96FDB">
        <w:t>20</w:t>
      </w:r>
      <w:r w:rsidRPr="00D96FDB" w:rsidR="003A6B11">
        <w:t>14</w:t>
      </w:r>
      <w:r w:rsidRPr="001C2747" w:rsidR="007F5F3D">
        <w:t>)</w:t>
      </w:r>
    </w:p>
    <w:p w:rsidRPr="001C2747" w:rsidR="0050513E" w:rsidP="000B0C2E" w:rsidRDefault="0050513E" w14:paraId="79E095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rPr>
          <w:u w:val="single"/>
        </w:rPr>
        <w:t>Research Synthesis</w:t>
      </w:r>
    </w:p>
    <w:p w:rsidR="00ED1785" w:rsidP="000B0C2E" w:rsidRDefault="0050513E" w14:paraId="3C649F05" w14:textId="77777777">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data for development of </w:t>
      </w:r>
      <w:r w:rsidRPr="001C2747" w:rsidR="00B35EE3">
        <w:t xml:space="preserve">new </w:t>
      </w:r>
      <w:r w:rsidRPr="001C2747">
        <w:t xml:space="preserve">guidelines </w:t>
      </w:r>
      <w:r w:rsidRPr="001C2747" w:rsidR="00B35EE3">
        <w:t xml:space="preserve">and tools </w:t>
      </w:r>
      <w:r w:rsidRPr="001C2747">
        <w:t xml:space="preserve">for school health programs.  Results from previous YRBS have been used in the development of the </w:t>
      </w:r>
      <w:r w:rsidRPr="001C2747" w:rsidR="009653B3">
        <w:t xml:space="preserve">following CDC </w:t>
      </w:r>
      <w:r w:rsidRPr="001C2747" w:rsidR="00CA6F9D">
        <w:t xml:space="preserve">or CDC-sponsored </w:t>
      </w:r>
      <w:r w:rsidRPr="001C2747" w:rsidR="00934F47">
        <w:t xml:space="preserve">tools and </w:t>
      </w:r>
      <w:r w:rsidRPr="001C2747" w:rsidR="009653B3">
        <w:t>publications</w:t>
      </w:r>
      <w:r w:rsidRPr="00A65977" w:rsidR="009653B3">
        <w:t xml:space="preserve">: </w:t>
      </w:r>
    </w:p>
    <w:p w:rsidR="00ED1785" w:rsidP="000B0C2E" w:rsidRDefault="00C5547A" w14:paraId="491F2B7B" w14:textId="452F2B73">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A65977">
        <w:rPr>
          <w:i/>
        </w:rPr>
        <w:t>National Physical Activity Plan</w:t>
      </w:r>
      <w:r w:rsidRPr="00A65977">
        <w:t xml:space="preserve"> (</w:t>
      </w:r>
      <w:hyperlink w:history="1" r:id="rId9">
        <w:r w:rsidRPr="00A65977">
          <w:rPr>
            <w:rStyle w:val="Hyperlink"/>
          </w:rPr>
          <w:t>www.physicalactivityplan.org</w:t>
        </w:r>
      </w:hyperlink>
      <w:r w:rsidRPr="00A65977">
        <w:t xml:space="preserve">) </w:t>
      </w:r>
    </w:p>
    <w:p w:rsidR="00ED1785" w:rsidP="000B0C2E" w:rsidRDefault="007208E1" w14:paraId="1D472413" w14:textId="15BE7BA2">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rPr>
        <w:t>School Health Guidelines to Promote Healthy Eating and Physical Activity</w:t>
      </w:r>
      <w:r w:rsidRPr="00B052E6">
        <w:t xml:space="preserve"> (CDC, </w:t>
      </w:r>
      <w:r w:rsidRPr="00B052E6" w:rsidR="00E222DE">
        <w:t>2011</w:t>
      </w:r>
      <w:r w:rsidRPr="00B052E6" w:rsidR="000B17AD">
        <w:t>b</w:t>
      </w:r>
      <w:r w:rsidRPr="00B052E6">
        <w:t>)</w:t>
      </w:r>
    </w:p>
    <w:p w:rsidR="00B052E6" w:rsidP="000B0C2E" w:rsidRDefault="00B052E6" w14:paraId="12B6E58B" w14:textId="07FE314D">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D96FDB">
        <w:rPr>
          <w:i/>
          <w:iCs/>
        </w:rPr>
        <w:t>Physical Activity Guidelines for Americans</w:t>
      </w:r>
      <w:r>
        <w:t xml:space="preserve"> (HHS, 2018)</w:t>
      </w:r>
    </w:p>
    <w:p w:rsidR="00ED1785" w:rsidP="000B0C2E" w:rsidRDefault="00CE7E04" w14:paraId="194969AB" w14:textId="4799C4C0">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rPr>
        <w:t>Health Education Curriculum Analysis Tool</w:t>
      </w:r>
      <w:r w:rsidRPr="00B052E6">
        <w:t xml:space="preserve"> </w:t>
      </w:r>
      <w:r w:rsidRPr="00B052E6" w:rsidR="00244F8C">
        <w:t xml:space="preserve">(CDC, </w:t>
      </w:r>
      <w:r w:rsidRPr="00B052E6" w:rsidR="00A65977">
        <w:t>2012</w:t>
      </w:r>
      <w:r w:rsidRPr="00B052E6">
        <w:t xml:space="preserve">) </w:t>
      </w:r>
    </w:p>
    <w:p w:rsidR="00ED1785" w:rsidP="000B0C2E" w:rsidRDefault="00CE7E04" w14:paraId="0D988B1A" w14:textId="711DDDDA">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rPr>
        <w:t xml:space="preserve">Physical Education Curriculum Analysis Tool </w:t>
      </w:r>
      <w:r w:rsidRPr="00B052E6">
        <w:t xml:space="preserve">(CDC, </w:t>
      </w:r>
      <w:r w:rsidRPr="00B052E6" w:rsidR="00C43E0F">
        <w:t>201</w:t>
      </w:r>
      <w:r w:rsidR="00ED1785">
        <w:t>9</w:t>
      </w:r>
      <w:r w:rsidRPr="00B052E6">
        <w:t xml:space="preserve">) </w:t>
      </w:r>
    </w:p>
    <w:p w:rsidRPr="00B052E6" w:rsidR="00ED1785" w:rsidP="000B0C2E" w:rsidRDefault="003F1E16" w14:paraId="668A91A5" w14:textId="5A897991">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rPr>
        <w:t>2015-2020 Dietary Guidelines for Americans</w:t>
      </w:r>
      <w:r w:rsidRPr="00B052E6" w:rsidR="00CE7E04">
        <w:t xml:space="preserve"> (</w:t>
      </w:r>
      <w:r w:rsidR="00242F77">
        <w:t>HHS</w:t>
      </w:r>
      <w:r w:rsidRPr="00B052E6" w:rsidR="00CE7E04">
        <w:t>, 20</w:t>
      </w:r>
      <w:r w:rsidRPr="00B052E6">
        <w:t>1</w:t>
      </w:r>
      <w:r w:rsidRPr="00B052E6" w:rsidR="00CE7E04">
        <w:t>5)</w:t>
      </w:r>
      <w:r w:rsidRPr="00B052E6" w:rsidR="00CE7E04">
        <w:rPr>
          <w:i/>
        </w:rPr>
        <w:t xml:space="preserve"> </w:t>
      </w:r>
    </w:p>
    <w:p w:rsidR="00ED1785" w:rsidP="000B0C2E" w:rsidRDefault="00CE7E04" w14:paraId="104187DC" w14:textId="670999EC">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iCs/>
        </w:rPr>
        <w:t>School Health Index: A Self-Assessment and Planning Guide</w:t>
      </w:r>
      <w:r w:rsidRPr="00B052E6">
        <w:rPr>
          <w:iCs/>
        </w:rPr>
        <w:t xml:space="preserve"> (CDC, </w:t>
      </w:r>
      <w:r w:rsidRPr="00B052E6" w:rsidR="003C581E">
        <w:rPr>
          <w:iCs/>
        </w:rPr>
        <w:t>2017</w:t>
      </w:r>
      <w:r w:rsidRPr="00B052E6">
        <w:rPr>
          <w:iCs/>
        </w:rPr>
        <w:t>)</w:t>
      </w:r>
      <w:r w:rsidRPr="00B052E6">
        <w:t xml:space="preserve"> </w:t>
      </w:r>
    </w:p>
    <w:p w:rsidRPr="001C2747" w:rsidR="000A6F8F" w:rsidP="000B0C2E" w:rsidRDefault="00CE7E04" w14:paraId="008FFE89" w14:textId="22AFCEB5">
      <w:pPr>
        <w:pStyle w:val="Level1"/>
        <w:numPr>
          <w:ilvl w:val="1"/>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B052E6">
        <w:rPr>
          <w:i/>
        </w:rPr>
        <w:t xml:space="preserve">Food-Safe Schools Action Guide </w:t>
      </w:r>
      <w:r w:rsidRPr="00B052E6">
        <w:t>(</w:t>
      </w:r>
      <w:r w:rsidRPr="00B052E6" w:rsidR="007B175F">
        <w:t>USDA</w:t>
      </w:r>
      <w:r w:rsidRPr="00B052E6">
        <w:t>, 20</w:t>
      </w:r>
      <w:r w:rsidRPr="00B052E6" w:rsidR="007B175F">
        <w:t>1</w:t>
      </w:r>
      <w:r w:rsidRPr="00B052E6">
        <w:t>4)</w:t>
      </w:r>
      <w:r w:rsidRPr="001C2747" w:rsidR="000A6F8F">
        <w:br/>
      </w:r>
    </w:p>
    <w:p w:rsidR="000B0C2E" w:rsidP="000B0C2E" w:rsidRDefault="0050513E" w14:paraId="703427BF" w14:textId="77777777">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data on the prevalence of priority </w:t>
      </w:r>
      <w:r w:rsidRPr="001C2747" w:rsidR="00F71AA1">
        <w:t>health</w:t>
      </w:r>
      <w:r w:rsidR="00F71AA1">
        <w:t>-</w:t>
      </w:r>
      <w:r w:rsidRPr="001C2747">
        <w:t xml:space="preserve">risk behaviors of high school students for inclusion in the NCHS report, </w:t>
      </w:r>
      <w:r w:rsidRPr="000B0C2E">
        <w:rPr>
          <w:i/>
          <w:iCs/>
        </w:rPr>
        <w:t>Health, United States 20</w:t>
      </w:r>
      <w:r w:rsidRPr="000B0C2E" w:rsidR="00CE7E04">
        <w:rPr>
          <w:i/>
          <w:iCs/>
        </w:rPr>
        <w:t>1</w:t>
      </w:r>
      <w:r w:rsidRPr="000B0C2E" w:rsidR="002B39CB">
        <w:rPr>
          <w:i/>
          <w:iCs/>
        </w:rPr>
        <w:t>8</w:t>
      </w:r>
      <w:r w:rsidRPr="000B0C2E" w:rsidR="00CE7E04">
        <w:rPr>
          <w:iCs/>
        </w:rPr>
        <w:t xml:space="preserve"> (NCHS, 201</w:t>
      </w:r>
      <w:r w:rsidRPr="000B0C2E" w:rsidR="002B39CB">
        <w:rPr>
          <w:iCs/>
        </w:rPr>
        <w:t>8</w:t>
      </w:r>
      <w:r w:rsidRPr="000B0C2E" w:rsidR="00394186">
        <w:rPr>
          <w:iCs/>
        </w:rPr>
        <w:t>)</w:t>
      </w:r>
      <w:r w:rsidRPr="000B0C2E" w:rsidR="006A3E2F">
        <w:rPr>
          <w:iCs/>
        </w:rPr>
        <w:t xml:space="preserve"> </w:t>
      </w:r>
    </w:p>
    <w:p w:rsidRPr="001C2747" w:rsidR="000A6F8F" w:rsidP="000B0C2E" w:rsidRDefault="0050513E" w14:paraId="27BE3135" w14:textId="1BE5B28A">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data for </w:t>
      </w:r>
      <w:r w:rsidRPr="000B0C2E">
        <w:rPr>
          <w:i/>
          <w:iCs/>
        </w:rPr>
        <w:t>Indicators of Chronic Disease Surveillance</w:t>
      </w:r>
      <w:r w:rsidRPr="001C2747" w:rsidR="00DA495C">
        <w:t xml:space="preserve"> (</w:t>
      </w:r>
      <w:r w:rsidRPr="000B0C2E" w:rsidR="00DA495C">
        <w:rPr>
          <w:iCs/>
        </w:rPr>
        <w:t>CDC</w:t>
      </w:r>
      <w:r w:rsidRPr="000B0C2E" w:rsidR="00CE7E04">
        <w:rPr>
          <w:iCs/>
        </w:rPr>
        <w:t>, 201</w:t>
      </w:r>
      <w:r w:rsidRPr="000B0C2E" w:rsidR="003F3170">
        <w:rPr>
          <w:iCs/>
        </w:rPr>
        <w:t>5</w:t>
      </w:r>
      <w:r w:rsidRPr="000B0C2E" w:rsidR="007F5F3D">
        <w:rPr>
          <w:iCs/>
        </w:rPr>
        <w:t>)</w:t>
      </w:r>
    </w:p>
    <w:p w:rsidRPr="001C2747" w:rsidR="000A6F8F" w:rsidP="000B0C2E" w:rsidRDefault="0050513E" w14:paraId="46727FB4" w14:textId="55FF1E31">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Present data in peer-reviewed publications and at scie</w:t>
      </w:r>
      <w:r w:rsidRPr="001C2747" w:rsidR="007F5F3D">
        <w:t>ntific meetings</w:t>
      </w:r>
    </w:p>
    <w:p w:rsidRPr="001C2747" w:rsidR="000A6F8F" w:rsidP="000B0C2E" w:rsidRDefault="0050513E" w14:paraId="3199FC7D" w14:textId="37361146">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Identify the need for additional research on behavio</w:t>
      </w:r>
      <w:r w:rsidRPr="001C2747" w:rsidR="007F5F3D">
        <w:t>ral risk factors among students</w:t>
      </w:r>
    </w:p>
    <w:p w:rsidRPr="001C2747" w:rsidR="000A6F8F" w:rsidP="000B0C2E" w:rsidRDefault="0050513E" w14:paraId="7B780C57" w14:textId="30416B3E">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public health and education officials, youth, parents, and the general public with accurate information about </w:t>
      </w:r>
      <w:r w:rsidRPr="001C2747" w:rsidR="00F71AA1">
        <w:t>health</w:t>
      </w:r>
      <w:r w:rsidR="00F71AA1">
        <w:t>-</w:t>
      </w:r>
      <w:r w:rsidRPr="001C2747">
        <w:t>risk behaviors among high s</w:t>
      </w:r>
      <w:r w:rsidRPr="001C2747" w:rsidR="007F5F3D">
        <w:t>chool students</w:t>
      </w:r>
    </w:p>
    <w:p w:rsidRPr="001C2747" w:rsidR="000A6F8F" w:rsidP="000B0C2E" w:rsidRDefault="0050513E" w14:paraId="477E6A01" w14:textId="58BC07EF">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states and cities that may conduct similar surveys with a national index against which </w:t>
      </w:r>
      <w:r w:rsidRPr="001C2747" w:rsidR="007F5F3D">
        <w:t>to compare their survey results</w:t>
      </w:r>
    </w:p>
    <w:p w:rsidRPr="001C2747" w:rsidR="0050513E" w:rsidP="000B0C2E" w:rsidRDefault="0050513E" w14:paraId="57B580B4" w14:textId="77777777">
      <w:pPr>
        <w:pStyle w:val="Level1"/>
        <w:numPr>
          <w:ilvl w:val="0"/>
          <w:numId w:val="2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Provide other countries that may conduct similar surveys with a national index against which to compare their survey results</w:t>
      </w:r>
      <w:r w:rsidRPr="001C2747" w:rsidR="00AF1402">
        <w:br/>
      </w:r>
    </w:p>
    <w:p w:rsidRPr="001C2747" w:rsidR="0050513E" w:rsidP="000B0C2E" w:rsidRDefault="0050513E" w14:paraId="691759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rPr>
          <w:u w:val="single"/>
        </w:rPr>
        <w:lastRenderedPageBreak/>
        <w:t>Policy and Program Development</w:t>
      </w:r>
    </w:p>
    <w:p w:rsidRPr="001C2747" w:rsidR="0050513E" w:rsidP="000B0C2E" w:rsidRDefault="0050513E" w14:paraId="5957228F" w14:textId="21948842">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policy makers with information about the </w:t>
      </w:r>
      <w:r w:rsidRPr="001C2747" w:rsidR="00F71AA1">
        <w:t>health</w:t>
      </w:r>
      <w:r w:rsidR="00F71AA1">
        <w:t>-</w:t>
      </w:r>
      <w:r w:rsidRPr="001C2747">
        <w:t>risk behaviors among high school students so they can identify ar</w:t>
      </w:r>
      <w:r w:rsidRPr="001C2747" w:rsidR="007F5F3D">
        <w:t>eas on which to focus resources</w:t>
      </w:r>
    </w:p>
    <w:p w:rsidRPr="001C2747" w:rsidR="0050513E" w:rsidP="000B0C2E" w:rsidRDefault="0050513E" w14:paraId="675E7504" w14:textId="5A3C12EF">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Provide state legislatures with information about the </w:t>
      </w:r>
      <w:r w:rsidRPr="001C2747" w:rsidR="00F71AA1">
        <w:t>health</w:t>
      </w:r>
      <w:r w:rsidR="00F71AA1">
        <w:t>-</w:t>
      </w:r>
      <w:r w:rsidRPr="001C2747">
        <w:t>risk behaviors of high school students to support new funding initiatives to increase resources</w:t>
      </w:r>
    </w:p>
    <w:p w:rsidRPr="001C2747" w:rsidR="0050513E" w:rsidP="000B0C2E" w:rsidRDefault="0050513E" w14:paraId="1FCE24F4" w14:textId="4DAF3530">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Determine how public information campaigns should be targeted to specifically address the most</w:t>
      </w:r>
      <w:r w:rsidRPr="001C2747" w:rsidR="007F5F3D">
        <w:t xml:space="preserve"> critical </w:t>
      </w:r>
      <w:r w:rsidRPr="001C2747" w:rsidR="00F71AA1">
        <w:t>health</w:t>
      </w:r>
      <w:r w:rsidR="00F71AA1">
        <w:t>-</w:t>
      </w:r>
      <w:r w:rsidRPr="001C2747" w:rsidR="007F5F3D">
        <w:t>risk behaviors</w:t>
      </w:r>
    </w:p>
    <w:p w:rsidRPr="001C2747" w:rsidR="0050513E" w:rsidP="000B0C2E" w:rsidRDefault="0050513E" w14:paraId="53B66EF6" w14:textId="77777777">
      <w:pPr>
        <w:pStyle w:val="Level1"/>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Set priorities for and support school health p</w:t>
      </w:r>
      <w:r w:rsidRPr="001C2747" w:rsidR="007F5F3D">
        <w:t>rograms for students nationwide</w:t>
      </w:r>
    </w:p>
    <w:p w:rsidRPr="001C2747" w:rsidR="0050513E" w:rsidP="000B0C2E" w:rsidRDefault="0050513E" w14:paraId="5CE26C55" w14:textId="77777777">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rPr>
          <w:u w:val="single"/>
        </w:rPr>
        <w:t>Technical Assistance</w:t>
      </w:r>
    </w:p>
    <w:p w:rsidRPr="001C2747" w:rsidR="0050513E" w:rsidP="000B0C2E" w:rsidRDefault="0050513E" w14:paraId="6DDB5040" w14:textId="4F094D96">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Focus school health programs, curricula, and teacher training programs nationwide on priority </w:t>
      </w:r>
      <w:r w:rsidRPr="001C2747" w:rsidR="00F71AA1">
        <w:t>health</w:t>
      </w:r>
      <w:r w:rsidR="00F71AA1">
        <w:t>-</w:t>
      </w:r>
      <w:r w:rsidRPr="001C2747" w:rsidR="007F5F3D">
        <w:t>risk behaviors among students</w:t>
      </w:r>
    </w:p>
    <w:p w:rsidRPr="001C2747" w:rsidR="0050513E" w:rsidP="000B0C2E" w:rsidRDefault="0050513E" w14:paraId="272468B8" w14:textId="43F3CAB2">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Assist states and cities in interpreting health outcome data, especially related to STDs, HIV infection, unintended teenage pregnancy, and the leading ca</w:t>
      </w:r>
      <w:r w:rsidRPr="001C2747" w:rsidR="007F5F3D">
        <w:t>uses of mortality and morbidity</w:t>
      </w:r>
    </w:p>
    <w:p w:rsidRPr="001C2747" w:rsidR="0050513E" w:rsidP="000B0C2E" w:rsidRDefault="0050513E" w14:paraId="2967BB59" w14:textId="32F24457">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Focus technical assistance provided to state and local departments of health and education on priority </w:t>
      </w:r>
      <w:r w:rsidRPr="001C2747" w:rsidR="00F71AA1">
        <w:t>health</w:t>
      </w:r>
      <w:r w:rsidR="00F71AA1">
        <w:t>-</w:t>
      </w:r>
      <w:r w:rsidRPr="001C2747">
        <w:t>r</w:t>
      </w:r>
      <w:r w:rsidRPr="001C2747" w:rsidR="007F5F3D">
        <w:t>isk behaviors among students</w:t>
      </w:r>
    </w:p>
    <w:p w:rsidRPr="001C2747" w:rsidR="0050513E" w:rsidP="000B0C2E" w:rsidRDefault="0050513E" w14:paraId="710725DF" w14:textId="639462BB">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Assess the need for new interventions or to modify existing interventions that focus on reducing </w:t>
      </w:r>
      <w:r w:rsidRPr="001C2747" w:rsidR="00F71AA1">
        <w:t>health</w:t>
      </w:r>
      <w:r w:rsidR="00F71AA1">
        <w:t>-</w:t>
      </w:r>
      <w:r w:rsidRPr="001C2747" w:rsidR="007F5F3D">
        <w:t>risk behaviors among students</w:t>
      </w:r>
    </w:p>
    <w:p w:rsidRPr="001C2747" w:rsidR="0050513E" w:rsidP="000B0C2E" w:rsidRDefault="0050513E" w14:paraId="7E622011" w14:textId="66FDAFD0">
      <w:pPr>
        <w:pStyle w:val="Level1"/>
        <w:numPr>
          <w:ilvl w:val="0"/>
          <w:numId w:val="2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Assess the cumulative effects of multiple interventions and sources of information (school, family, community, and the media) on priority </w:t>
      </w:r>
      <w:r w:rsidRPr="001C2747" w:rsidR="00F71AA1">
        <w:t>health</w:t>
      </w:r>
      <w:r w:rsidR="00F71AA1">
        <w:t>-</w:t>
      </w:r>
      <w:r w:rsidRPr="001C2747" w:rsidR="007F5F3D">
        <w:t>risk behaviors of students</w:t>
      </w:r>
    </w:p>
    <w:p w:rsidRPr="001C2747" w:rsidR="0050513E" w:rsidP="000B0C2E" w:rsidRDefault="0050513E" w14:paraId="19D61A88" w14:textId="2D4E9B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w:t>
      </w:r>
      <w:r w:rsidRPr="001C2747" w:rsidR="00D63D70">
        <w:t xml:space="preserve">YRBS </w:t>
      </w:r>
      <w:r w:rsidRPr="001C2747">
        <w:t>results are of interest not only to CDC, but also to other Federal agencies and departments that participate in the delineation of the survey content and selection/construction of questionnaire items.  Widely shared potential applications include monitoring pr</w:t>
      </w:r>
      <w:r w:rsidRPr="001C2747" w:rsidR="00FC29BC">
        <w:t>ogress toward Healthy People 20</w:t>
      </w:r>
      <w:r w:rsidR="00D54DD0">
        <w:t>3</w:t>
      </w:r>
      <w:r w:rsidRPr="001C2747">
        <w:t>0 objectives and providing a generalized measure of the overall degree to which school</w:t>
      </w:r>
      <w:r w:rsidRPr="001C2747" w:rsidR="00ED61AD">
        <w:t>s</w:t>
      </w:r>
      <w:r w:rsidRPr="001C2747">
        <w:t xml:space="preserve"> and society are having an effect on specific </w:t>
      </w:r>
      <w:r w:rsidRPr="001C2747" w:rsidR="00F71AA1">
        <w:t>health</w:t>
      </w:r>
      <w:r w:rsidR="00F71AA1">
        <w:t>-</w:t>
      </w:r>
      <w:r w:rsidRPr="001C2747">
        <w:t>risk behaviors within the mission of a given Federal agency.</w:t>
      </w:r>
    </w:p>
    <w:p w:rsidRPr="001C2747" w:rsidR="00BF1A98" w:rsidP="000B0C2E" w:rsidRDefault="00BF1A98" w14:paraId="6838EB58" w14:textId="43476A2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Department of Agriculture</w:t>
      </w:r>
      <w:r w:rsidRPr="001C2747">
        <w:t xml:space="preserve"> </w:t>
      </w:r>
      <w:r w:rsidRPr="001C2747" w:rsidR="00133372">
        <w:t>uses</w:t>
      </w:r>
      <w:r w:rsidRPr="001C2747">
        <w:t xml:space="preserve"> YRBS data on dietary behaviors in conjunction with its school nutrition programs. </w:t>
      </w:r>
    </w:p>
    <w:p w:rsidRPr="001C2747" w:rsidR="00121AE8" w:rsidP="000B0C2E" w:rsidRDefault="008F5DF9" w14:paraId="1EA0A148" w14:textId="0785838D">
      <w:pPr>
        <w:spacing w:before="120" w:after="120"/>
      </w:pPr>
      <w:r w:rsidRPr="003B1B3D">
        <w:rPr>
          <w:color w:val="FF0000"/>
        </w:rPr>
        <w:tab/>
      </w:r>
      <w:r w:rsidRPr="00D06DCF" w:rsidR="00D06DCF">
        <w:rPr>
          <w:u w:val="single"/>
        </w:rPr>
        <w:t>Department of Education</w:t>
      </w:r>
      <w:r w:rsidRPr="00D06DCF" w:rsidR="00D06DCF">
        <w:t xml:space="preserve"> uses </w:t>
      </w:r>
      <w:r w:rsidRPr="001C2747">
        <w:t xml:space="preserve">YRBS data as one of the recurring indicators in the annual </w:t>
      </w:r>
      <w:r w:rsidRPr="001C2747">
        <w:rPr>
          <w:rStyle w:val="Emphasis"/>
        </w:rPr>
        <w:t>Indicators of School Crime and Safety</w:t>
      </w:r>
      <w:r w:rsidRPr="001C2747">
        <w:t xml:space="preserve"> report issued by the National Center for Education Statistics (</w:t>
      </w:r>
      <w:r w:rsidR="00406B1D">
        <w:t>Musu, 2019)</w:t>
      </w:r>
      <w:r w:rsidRPr="001C2747">
        <w:t>.  For example, the measure on physical fighting in schools uses YRBS data.  Th</w:t>
      </w:r>
      <w:r w:rsidRPr="001C2747" w:rsidR="00560885">
        <w:t>e</w:t>
      </w:r>
      <w:r w:rsidRPr="001C2747">
        <w:t xml:space="preserve"> link to the full report is: </w:t>
      </w:r>
      <w:hyperlink w:history="1" r:id="rId10">
        <w:r w:rsidR="00406B1D">
          <w:rPr>
            <w:rStyle w:val="Hyperlink"/>
          </w:rPr>
          <w:t>https://nces.ed.gov/pubs2019/2019047.pdf</w:t>
        </w:r>
      </w:hyperlink>
    </w:p>
    <w:p w:rsidRPr="001C2747" w:rsidR="00406B1D" w:rsidP="000B0C2E" w:rsidRDefault="00121AE8" w14:paraId="2B67DC92" w14:textId="4F89E757">
      <w:pPr>
        <w:spacing w:before="120" w:after="120"/>
      </w:pPr>
      <w:r w:rsidRPr="001C2747">
        <w:tab/>
      </w:r>
      <w:r w:rsidRPr="001C2747">
        <w:rPr>
          <w:u w:val="single"/>
        </w:rPr>
        <w:t>DHHS, Office of the Assistant Secretary for Planning and Evaluation (ASPE)</w:t>
      </w:r>
      <w:r w:rsidRPr="001C2747">
        <w:t xml:space="preserve"> uses YRBS data to report on adolescent tobacco behaviors in the Health System </w:t>
      </w:r>
      <w:r w:rsidRPr="001C2747" w:rsidR="008C5325">
        <w:t xml:space="preserve">Measurement </w:t>
      </w:r>
      <w:r w:rsidRPr="001C2747">
        <w:t xml:space="preserve">Project.  </w:t>
      </w:r>
      <w:r w:rsidRPr="001C2747" w:rsidR="00560885">
        <w:t xml:space="preserve">The link to those data is:  </w:t>
      </w:r>
      <w:hyperlink w:history="1" r:id="rId11">
        <w:r w:rsidR="00406B1D">
          <w:rPr>
            <w:rStyle w:val="Hyperlink"/>
          </w:rPr>
          <w:t>https://aspe.hhs.gov/system/files/pdf/72851/TeenRiskTaking.pdf</w:t>
        </w:r>
      </w:hyperlink>
      <w:r w:rsidRPr="001C2747" w:rsidR="008F5DF9">
        <w:t> </w:t>
      </w:r>
    </w:p>
    <w:p w:rsidRPr="001C2747" w:rsidR="0050513E" w:rsidP="000B0C2E" w:rsidRDefault="008F5DF9" w14:paraId="52334370" w14:textId="787CD20A">
      <w:pPr>
        <w:spacing w:before="120" w:after="120"/>
      </w:pPr>
      <w:r w:rsidRPr="001C2747">
        <w:tab/>
      </w:r>
      <w:r w:rsidRPr="001C2747" w:rsidR="0050513E">
        <w:rPr>
          <w:u w:val="single"/>
        </w:rPr>
        <w:t>DHHS, Office of Disease Prevention and Health Promotion</w:t>
      </w:r>
      <w:r w:rsidRPr="001C2747" w:rsidR="0050513E">
        <w:t xml:space="preserve"> is responsible for tracking the Healthy People 20</w:t>
      </w:r>
      <w:r w:rsidR="00CC7CAE">
        <w:t>3</w:t>
      </w:r>
      <w:r w:rsidRPr="001C2747" w:rsidR="0050513E">
        <w:t xml:space="preserve">0 objectives through cooperation with other agencies that serve as </w:t>
      </w:r>
      <w:r w:rsidRPr="001C2747" w:rsidR="00ED61AD">
        <w:t>a lead</w:t>
      </w:r>
      <w:r w:rsidRPr="001C2747" w:rsidR="0050513E">
        <w:t xml:space="preserve"> in particular areas.   YRBS data </w:t>
      </w:r>
      <w:r w:rsidRPr="001C2747" w:rsidR="00394186">
        <w:t>are</w:t>
      </w:r>
      <w:r w:rsidRPr="001C2747" w:rsidR="0050513E">
        <w:t xml:space="preserve"> used to track </w:t>
      </w:r>
      <w:r w:rsidR="00E40E36">
        <w:t>13</w:t>
      </w:r>
      <w:r w:rsidRPr="001C2747" w:rsidR="00E40E36">
        <w:t xml:space="preserve"> Healthy People 20</w:t>
      </w:r>
      <w:r w:rsidR="00E40E36">
        <w:t>3</w:t>
      </w:r>
      <w:r w:rsidRPr="001C2747" w:rsidR="00E40E36">
        <w:t xml:space="preserve">0 objectives and </w:t>
      </w:r>
      <w:r w:rsidRPr="00D96FDB" w:rsidR="00E40E36">
        <w:t>1 Leading Health Indicator</w:t>
      </w:r>
      <w:r w:rsidR="00E40E36">
        <w:t xml:space="preserve">.  </w:t>
      </w:r>
      <w:r w:rsidRPr="001C2747" w:rsidR="0050513E">
        <w:t xml:space="preserve">The Department </w:t>
      </w:r>
      <w:r w:rsidRPr="001C2747" w:rsidR="006C0236">
        <w:t xml:space="preserve">also </w:t>
      </w:r>
      <w:r w:rsidRPr="001C2747" w:rsidR="00FB3C55">
        <w:t xml:space="preserve">has </w:t>
      </w:r>
      <w:r w:rsidRPr="001C2747" w:rsidR="006C0236">
        <w:t xml:space="preserve">used </w:t>
      </w:r>
      <w:r w:rsidRPr="001C2747" w:rsidR="0050513E">
        <w:t xml:space="preserve">YRBS data in their report on </w:t>
      </w:r>
      <w:r w:rsidRPr="001C2747" w:rsidR="0050513E">
        <w:rPr>
          <w:i/>
          <w:iCs/>
        </w:rPr>
        <w:t>Trends in the Well-bein</w:t>
      </w:r>
      <w:r w:rsidRPr="001C2747" w:rsidR="0050513E">
        <w:rPr>
          <w:i/>
        </w:rPr>
        <w:t>g of America</w:t>
      </w:r>
      <w:r w:rsidRPr="001C2747" w:rsidR="00793A64">
        <w:rPr>
          <w:i/>
        </w:rPr>
        <w:t>’</w:t>
      </w:r>
      <w:r w:rsidRPr="001C2747" w:rsidR="0050513E">
        <w:rPr>
          <w:i/>
        </w:rPr>
        <w:t>s Chil</w:t>
      </w:r>
      <w:r w:rsidRPr="001C2747" w:rsidR="006C0236">
        <w:rPr>
          <w:i/>
          <w:iCs/>
        </w:rPr>
        <w:t xml:space="preserve">dren and Youth </w:t>
      </w:r>
      <w:r w:rsidRPr="001C2747" w:rsidR="006C0236">
        <w:rPr>
          <w:iCs/>
        </w:rPr>
        <w:t>(</w:t>
      </w:r>
      <w:r w:rsidRPr="001C2747" w:rsidR="00B5724D">
        <w:rPr>
          <w:color w:val="000000"/>
        </w:rPr>
        <w:t>Office of the Assistant Secretary for Planning and Evaluation</w:t>
      </w:r>
      <w:r w:rsidRPr="001C2747" w:rsidR="00B5724D">
        <w:rPr>
          <w:iCs/>
        </w:rPr>
        <w:t xml:space="preserve">, </w:t>
      </w:r>
      <w:r w:rsidRPr="001C2747" w:rsidR="00663B6E">
        <w:rPr>
          <w:iCs/>
        </w:rPr>
        <w:t>2004</w:t>
      </w:r>
      <w:r w:rsidRPr="001C2747" w:rsidR="006C0236">
        <w:rPr>
          <w:iCs/>
        </w:rPr>
        <w:t>).</w:t>
      </w:r>
    </w:p>
    <w:p w:rsidRPr="001C2747" w:rsidR="0050513E" w:rsidP="000B0C2E" w:rsidRDefault="0050513E" w14:paraId="13AEF7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lastRenderedPageBreak/>
        <w:t>DHHS, Substance Abuse and Mental Health Services Administration (SAMHSA)</w:t>
      </w:r>
      <w:r w:rsidRPr="001C2747">
        <w:t xml:space="preserve"> has used YRBS data </w:t>
      </w:r>
      <w:r w:rsidRPr="001C2747" w:rsidR="00FD0835">
        <w:t>in a report to Congress on the prevention and reduction of underage drinking.</w:t>
      </w:r>
    </w:p>
    <w:p w:rsidRPr="001C2747" w:rsidR="0050513E" w:rsidP="000B0C2E" w:rsidRDefault="006336A3" w14:paraId="10147C7B" w14:textId="6792B6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SAMHSA also</w:t>
      </w:r>
      <w:r w:rsidRPr="001C2747" w:rsidR="0050513E">
        <w:t xml:space="preserve"> use</w:t>
      </w:r>
      <w:r w:rsidRPr="001C2747">
        <w:t>s</w:t>
      </w:r>
      <w:r w:rsidRPr="001C2747" w:rsidR="0050513E">
        <w:t xml:space="preserve"> YRBS data to target public information efforts, plan research/demonstration programs for minority and other high-risk youth, and train professional groups in risk factors for substance use.  In addition, </w:t>
      </w:r>
      <w:r w:rsidRPr="001C2747">
        <w:t>SAMHSA</w:t>
      </w:r>
      <w:r w:rsidRPr="001C2747" w:rsidR="0050513E">
        <w:t xml:space="preserve"> has used YRBS data in on-line fact sheets on topics such as drinking and driving and drinking trends among high school students.</w:t>
      </w:r>
    </w:p>
    <w:p w:rsidRPr="001C2747" w:rsidR="0050513E" w:rsidP="000B0C2E" w:rsidRDefault="0050513E" w14:paraId="5A3793BC" w14:textId="027EA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DHHS, Health Resources and Services Administration</w:t>
      </w:r>
      <w:r w:rsidRPr="001C2747">
        <w:t xml:space="preserve"> </w:t>
      </w:r>
      <w:r w:rsidRPr="001C2747" w:rsidR="006336A3">
        <w:t>uses</w:t>
      </w:r>
      <w:r w:rsidRPr="001C2747">
        <w:t xml:space="preserve"> </w:t>
      </w:r>
      <w:r w:rsidRPr="001C2747" w:rsidR="006336A3">
        <w:t>YRBS</w:t>
      </w:r>
      <w:r w:rsidRPr="001C2747">
        <w:t xml:space="preserve"> data in various reports and publications including their annual </w:t>
      </w:r>
      <w:r w:rsidRPr="001C2747">
        <w:rPr>
          <w:i/>
          <w:iCs/>
        </w:rPr>
        <w:t>Child Health USA</w:t>
      </w:r>
      <w:r w:rsidRPr="001C2747" w:rsidR="00B5724D">
        <w:rPr>
          <w:i/>
          <w:iCs/>
        </w:rPr>
        <w:t xml:space="preserve"> </w:t>
      </w:r>
      <w:r w:rsidRPr="001C2747">
        <w:t>report</w:t>
      </w:r>
      <w:r w:rsidRPr="001C2747" w:rsidR="00FB3C55">
        <w:t xml:space="preserve"> available at </w:t>
      </w:r>
      <w:hyperlink w:history="1" r:id="rId12">
        <w:r w:rsidR="00CC7CAE">
          <w:rPr>
            <w:rStyle w:val="Hyperlink"/>
          </w:rPr>
          <w:t>https://mchb.hrsa.gov/chusa14/</w:t>
        </w:r>
      </w:hyperlink>
    </w:p>
    <w:p w:rsidRPr="001C2747" w:rsidR="005F45FE" w:rsidP="000B0C2E" w:rsidRDefault="005F45FE" w14:paraId="212B7B3A" w14:textId="34A15A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Federal Interagency Forum on Child and Family Statistics</w:t>
      </w:r>
      <w:r w:rsidRPr="001C2747" w:rsidR="00BF1A98">
        <w:t xml:space="preserve"> uses YRBS data in their</w:t>
      </w:r>
      <w:r w:rsidRPr="001C2747">
        <w:t xml:space="preserve"> </w:t>
      </w:r>
      <w:r w:rsidRPr="001C2747">
        <w:rPr>
          <w:i/>
        </w:rPr>
        <w:t>America's Children: Key National Indicators of Well-Being, 20</w:t>
      </w:r>
      <w:r w:rsidRPr="001C2747" w:rsidR="00FB3C55">
        <w:rPr>
          <w:i/>
        </w:rPr>
        <w:t>1</w:t>
      </w:r>
      <w:r w:rsidR="00E40E36">
        <w:rPr>
          <w:i/>
        </w:rPr>
        <w:t>7</w:t>
      </w:r>
      <w:r w:rsidRPr="001C2747" w:rsidR="00BF1A98">
        <w:t xml:space="preserve"> report</w:t>
      </w:r>
      <w:r w:rsidRPr="001C2747" w:rsidR="00F417CC">
        <w:t xml:space="preserve"> </w:t>
      </w:r>
      <w:r w:rsidRPr="001C2747" w:rsidR="00FB3C55">
        <w:t xml:space="preserve">available at </w:t>
      </w:r>
      <w:hyperlink w:history="1" r:id="rId13">
        <w:r w:rsidR="00E40E36">
          <w:rPr>
            <w:rStyle w:val="Hyperlink"/>
          </w:rPr>
          <w:t>https://www.childstats.gov/pdf/ac2018/ac_18.pdf</w:t>
        </w:r>
      </w:hyperlink>
    </w:p>
    <w:p w:rsidRPr="001C2747" w:rsidR="008C5325" w:rsidP="000B0C2E" w:rsidRDefault="008C5325" w14:paraId="050DC946" w14:textId="50311D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u w:val="single"/>
        </w:rPr>
      </w:pPr>
      <w:r w:rsidRPr="007342AA">
        <w:t xml:space="preserve">National Center for Education Statistics and Bureau of Justice Statistics use YRBS data in their annual </w:t>
      </w:r>
      <w:r w:rsidRPr="007342AA">
        <w:rPr>
          <w:i/>
        </w:rPr>
        <w:t xml:space="preserve">Indicators of School Crime and Safety </w:t>
      </w:r>
      <w:r w:rsidRPr="007342AA">
        <w:t>report</w:t>
      </w:r>
      <w:r w:rsidRPr="007342AA" w:rsidR="00C5547A">
        <w:t xml:space="preserve"> available at</w:t>
      </w:r>
      <w:r w:rsidRPr="001C2747" w:rsidR="00C5547A">
        <w:rPr>
          <w:u w:val="single"/>
        </w:rPr>
        <w:t xml:space="preserve"> </w:t>
      </w:r>
      <w:hyperlink w:history="1" r:id="rId14">
        <w:r w:rsidR="00CC7CAE">
          <w:rPr>
            <w:rStyle w:val="Hyperlink"/>
          </w:rPr>
          <w:t>https://nces.ed.gov/pubs2019/2019047.pdf</w:t>
        </w:r>
      </w:hyperlink>
    </w:p>
    <w:p w:rsidRPr="001C2747" w:rsidR="00BF1A98" w:rsidP="000B0C2E" w:rsidRDefault="0050513E" w14:paraId="6D2D9B67" w14:textId="073DED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National Center for Health Statistics</w:t>
      </w:r>
      <w:r w:rsidRPr="001C2747">
        <w:t xml:space="preserve"> use</w:t>
      </w:r>
      <w:r w:rsidRPr="001C2747" w:rsidR="00C1704A">
        <w:t>d</w:t>
      </w:r>
      <w:r w:rsidRPr="001C2747">
        <w:t xml:space="preserve"> YRBS data in </w:t>
      </w:r>
      <w:r w:rsidRPr="001C2747">
        <w:rPr>
          <w:i/>
          <w:iCs/>
        </w:rPr>
        <w:t>Health, United States</w:t>
      </w:r>
      <w:r w:rsidRPr="001C2747" w:rsidR="00C1704A">
        <w:rPr>
          <w:i/>
          <w:iCs/>
        </w:rPr>
        <w:t>, 20</w:t>
      </w:r>
      <w:r w:rsidRPr="001C2747" w:rsidR="00FB3C55">
        <w:rPr>
          <w:i/>
          <w:iCs/>
        </w:rPr>
        <w:t>1</w:t>
      </w:r>
      <w:r w:rsidR="00CC7CAE">
        <w:rPr>
          <w:i/>
          <w:iCs/>
        </w:rPr>
        <w:t>8</w:t>
      </w:r>
      <w:r w:rsidRPr="001C2747" w:rsidR="00FB3C55">
        <w:rPr>
          <w:iCs/>
        </w:rPr>
        <w:t xml:space="preserve"> available at </w:t>
      </w:r>
      <w:hyperlink w:history="1" r:id="rId15">
        <w:r w:rsidR="00CC7CAE">
          <w:rPr>
            <w:rStyle w:val="Hyperlink"/>
          </w:rPr>
          <w:t>https://www.cdc.gov/nchs/data/hus/hus18.pdf</w:t>
        </w:r>
      </w:hyperlink>
      <w:r w:rsidRPr="001C2747" w:rsidR="00906AB1">
        <w:rPr>
          <w:iCs/>
        </w:rPr>
        <w:t xml:space="preserve"> </w:t>
      </w:r>
    </w:p>
    <w:p w:rsidRPr="001C2747" w:rsidR="004D7F07" w:rsidP="000B0C2E" w:rsidRDefault="0050513E" w14:paraId="3298D4E5" w14:textId="6DC40F7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u w:val="single"/>
        </w:rPr>
        <w:t>Office of the Surgeon General</w:t>
      </w:r>
      <w:r w:rsidRPr="001C2747">
        <w:t xml:space="preserve"> </w:t>
      </w:r>
      <w:r w:rsidRPr="001C2747" w:rsidR="006336A3">
        <w:t>uses</w:t>
      </w:r>
      <w:r w:rsidRPr="001C2747">
        <w:t xml:space="preserve"> YRBS </w:t>
      </w:r>
      <w:r w:rsidRPr="001C2747" w:rsidR="00793A64">
        <w:t>data</w:t>
      </w:r>
      <w:r w:rsidRPr="001C2747">
        <w:t xml:space="preserve"> to assess the need for and support expansion of health education and health services in schools</w:t>
      </w:r>
      <w:r w:rsidRPr="001C2747" w:rsidR="004D7F07">
        <w:t xml:space="preserve"> and to provide data on the prevalence of priority </w:t>
      </w:r>
      <w:r w:rsidRPr="001C2747" w:rsidR="00F71AA1">
        <w:t>health</w:t>
      </w:r>
      <w:r w:rsidR="00F71AA1">
        <w:t>-</w:t>
      </w:r>
      <w:r w:rsidRPr="001C2747" w:rsidR="004D7F07">
        <w:t>risk behaviors of high school students</w:t>
      </w:r>
      <w:r w:rsidRPr="001C2747">
        <w:t>.  Results were used in the Surgeon General</w:t>
      </w:r>
      <w:r w:rsidRPr="001C2747" w:rsidR="00793A64">
        <w:t>’s</w:t>
      </w:r>
      <w:r w:rsidRPr="001C2747">
        <w:t xml:space="preserve"> Conference on Children</w:t>
      </w:r>
      <w:r w:rsidRPr="001C2747" w:rsidR="00793A64">
        <w:t>’</w:t>
      </w:r>
      <w:r w:rsidRPr="001C2747">
        <w:t>s Mental Health</w:t>
      </w:r>
      <w:r w:rsidRPr="001C2747" w:rsidR="006336A3">
        <w:t xml:space="preserve"> and </w:t>
      </w:r>
      <w:r w:rsidRPr="001C2747">
        <w:t xml:space="preserve">in several </w:t>
      </w:r>
      <w:r w:rsidRPr="001C2747" w:rsidR="00DA495C">
        <w:t xml:space="preserve">U.S. Department of Health and Human Services </w:t>
      </w:r>
      <w:r w:rsidRPr="001C2747" w:rsidR="002749B8">
        <w:t xml:space="preserve">Surgeon General </w:t>
      </w:r>
      <w:r w:rsidRPr="001C2747">
        <w:t>reports including</w:t>
      </w:r>
      <w:r w:rsidRPr="001C2747" w:rsidR="00793A64">
        <w:t xml:space="preserve">: </w:t>
      </w:r>
      <w:r w:rsidRPr="001C2747" w:rsidR="00077CCA">
        <w:rPr>
          <w:i/>
        </w:rPr>
        <w:t xml:space="preserve">The Health Consequence of Smoking – 50 Years of Progress </w:t>
      </w:r>
      <w:r w:rsidRPr="001C2747" w:rsidR="00077CCA">
        <w:t>(2014)</w:t>
      </w:r>
      <w:r w:rsidRPr="001C2747" w:rsidR="00AD3ABF">
        <w:t xml:space="preserve">, </w:t>
      </w:r>
      <w:r w:rsidR="00CC7CAE">
        <w:rPr>
          <w:i/>
          <w:iCs/>
        </w:rPr>
        <w:t>E-</w:t>
      </w:r>
      <w:r w:rsidR="00147F4A">
        <w:rPr>
          <w:i/>
          <w:iCs/>
        </w:rPr>
        <w:t>Cigarette</w:t>
      </w:r>
      <w:r w:rsidR="00CC7CAE">
        <w:rPr>
          <w:i/>
          <w:iCs/>
        </w:rPr>
        <w:t xml:space="preserve"> Use Among Youth and Young Adul</w:t>
      </w:r>
      <w:r w:rsidR="00147F4A">
        <w:rPr>
          <w:i/>
          <w:iCs/>
        </w:rPr>
        <w:t>ts:  A Report of the Surgeon General (</w:t>
      </w:r>
      <w:r w:rsidRPr="00147F4A" w:rsidR="00147F4A">
        <w:t>2016</w:t>
      </w:r>
      <w:r w:rsidR="00147F4A">
        <w:rPr>
          <w:i/>
          <w:iCs/>
        </w:rPr>
        <w:t>); Facing Addiction in America:  The Surgeon General’s Report on Alcohol, Drugs, and Health (</w:t>
      </w:r>
      <w:r w:rsidRPr="00147F4A" w:rsidR="00147F4A">
        <w:t>2016</w:t>
      </w:r>
      <w:r w:rsidR="00147F4A">
        <w:rPr>
          <w:i/>
          <w:iCs/>
        </w:rPr>
        <w:t>); Step it up!  The Surgeon General’s Call to Action to Promote Walking and Walkable Communities (</w:t>
      </w:r>
      <w:r w:rsidR="00147F4A">
        <w:t xml:space="preserve">2015); </w:t>
      </w:r>
      <w:r w:rsidRPr="001C2747" w:rsidR="00077CCA">
        <w:rPr>
          <w:i/>
        </w:rPr>
        <w:t>National Strategy for Suicide Prevention:  Goals and Objectives for Action (</w:t>
      </w:r>
      <w:r w:rsidRPr="00147F4A" w:rsidR="00077CCA">
        <w:t>2012</w:t>
      </w:r>
      <w:r w:rsidRPr="001C2747" w:rsidR="00077CCA">
        <w:rPr>
          <w:i/>
        </w:rPr>
        <w:t xml:space="preserve">); </w:t>
      </w:r>
      <w:r w:rsidRPr="001C2747">
        <w:rPr>
          <w:i/>
          <w:iCs/>
        </w:rPr>
        <w:t>Youth Violence: A Report of the Surgeon General</w:t>
      </w:r>
      <w:r w:rsidRPr="001C2747" w:rsidR="00793A64">
        <w:rPr>
          <w:i/>
          <w:iCs/>
        </w:rPr>
        <w:t xml:space="preserve"> </w:t>
      </w:r>
      <w:r w:rsidRPr="001C2747" w:rsidR="00793A64">
        <w:rPr>
          <w:iCs/>
        </w:rPr>
        <w:t>(2001)</w:t>
      </w:r>
      <w:r w:rsidRPr="001C2747">
        <w:t xml:space="preserve">,  </w:t>
      </w:r>
      <w:r w:rsidRPr="001C2747">
        <w:rPr>
          <w:i/>
          <w:iCs/>
        </w:rPr>
        <w:t>Women and Smoking: A Report of the Surgeon Genera</w:t>
      </w:r>
      <w:r w:rsidRPr="001C2747" w:rsidR="00793A64">
        <w:rPr>
          <w:i/>
          <w:iCs/>
        </w:rPr>
        <w:t>l</w:t>
      </w:r>
      <w:r w:rsidRPr="001C2747" w:rsidR="00793A64">
        <w:rPr>
          <w:iCs/>
        </w:rPr>
        <w:t xml:space="preserve"> (2001)</w:t>
      </w:r>
      <w:r w:rsidRPr="001C2747">
        <w:t xml:space="preserve">, and </w:t>
      </w:r>
      <w:r w:rsidRPr="001C2747">
        <w:rPr>
          <w:i/>
          <w:iCs/>
        </w:rPr>
        <w:t>The Health Consequences of Smoking: A Report of the Surgeon General</w:t>
      </w:r>
      <w:r w:rsidRPr="001C2747" w:rsidR="00793A64">
        <w:rPr>
          <w:iCs/>
        </w:rPr>
        <w:t xml:space="preserve"> (2004)</w:t>
      </w:r>
      <w:r w:rsidRPr="001C2747">
        <w:rPr>
          <w:i/>
          <w:iCs/>
        </w:rPr>
        <w:t>.</w:t>
      </w:r>
      <w:r w:rsidRPr="001C2747" w:rsidR="0035149C">
        <w:rPr>
          <w:i/>
          <w:iCs/>
        </w:rPr>
        <w:t xml:space="preserve"> </w:t>
      </w:r>
    </w:p>
    <w:p w:rsidRPr="001C2747" w:rsidR="0050513E" w:rsidP="000B0C2E" w:rsidRDefault="0050513E" w14:paraId="337755B6" w14:textId="1591FFD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u w:val="single"/>
        </w:rPr>
      </w:pPr>
      <w:r w:rsidRPr="001C2747">
        <w:rPr>
          <w:u w:val="single"/>
        </w:rPr>
        <w:t>Federal Trade Commission</w:t>
      </w:r>
      <w:r w:rsidRPr="001C2747">
        <w:t xml:space="preserve"> used YRBS data to investigate possible links between advertising and overweight.</w:t>
      </w:r>
    </w:p>
    <w:p w:rsidRPr="001C2747" w:rsidR="0050513E" w:rsidP="000B0C2E" w:rsidRDefault="0050513E" w14:paraId="2B9F3C0A" w14:textId="1D1039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results of the YRBS also will be used in a variety of ways by state and local governments, voluntary health organizations, physicians, teacher training institutions, educational administrators, health educators, teachers, and parents:</w:t>
      </w:r>
      <w:r w:rsidRPr="001C2747" w:rsidR="00F02AB6">
        <w:t xml:space="preserve">  </w:t>
      </w:r>
    </w:p>
    <w:p w:rsidRPr="001C2747" w:rsidR="0050513E" w:rsidP="00031FBD" w:rsidRDefault="0050513E" w14:paraId="22BDF190" w14:textId="51A80F5D">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Policy makers in the legislative and executive branches at all</w:t>
      </w:r>
      <w:r w:rsidRPr="001C2747" w:rsidR="006336A3">
        <w:t xml:space="preserve"> government levels </w:t>
      </w:r>
      <w:r w:rsidRPr="001C2747" w:rsidR="00491ABA">
        <w:t>use</w:t>
      </w:r>
      <w:r w:rsidRPr="001C2747" w:rsidR="006336A3">
        <w:t xml:space="preserve"> </w:t>
      </w:r>
      <w:r w:rsidRPr="001C2747">
        <w:t xml:space="preserve">YRBS </w:t>
      </w:r>
      <w:r w:rsidRPr="001C2747" w:rsidR="006336A3">
        <w:t xml:space="preserve">data </w:t>
      </w:r>
      <w:r w:rsidRPr="001C2747">
        <w:t xml:space="preserve">to provide evidence of </w:t>
      </w:r>
      <w:r w:rsidRPr="001C2747" w:rsidR="00F71AA1">
        <w:t>health</w:t>
      </w:r>
      <w:r w:rsidR="00F71AA1">
        <w:t>-</w:t>
      </w:r>
      <w:r w:rsidRPr="001C2747">
        <w:t>risk behaviors placing adolescents at risk.  The policy makers can compare the situation in their states to the national profile.</w:t>
      </w:r>
    </w:p>
    <w:p w:rsidRPr="001C2747" w:rsidR="0050513E" w:rsidP="00031FBD" w:rsidRDefault="0050513E" w14:paraId="626B2AAF" w14:textId="5D63BC26">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Many state and local education and health agencies conduct similar s</w:t>
      </w:r>
      <w:r w:rsidRPr="001C2747" w:rsidR="006336A3">
        <w:t>urveys. The YRBS provide</w:t>
      </w:r>
      <w:r w:rsidRPr="001C2747" w:rsidR="00491ABA">
        <w:t>s</w:t>
      </w:r>
      <w:r w:rsidRPr="001C2747" w:rsidR="006336A3">
        <w:t xml:space="preserve"> a national</w:t>
      </w:r>
      <w:r w:rsidRPr="001C2747">
        <w:t xml:space="preserve"> index against which they can compare their survey results.</w:t>
      </w:r>
    </w:p>
    <w:p w:rsidRPr="001C2747" w:rsidR="0050513E" w:rsidP="00031FBD" w:rsidRDefault="0050513E" w14:paraId="03F25F62" w14:textId="7B9AE1A9">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The American Cancer Society </w:t>
      </w:r>
      <w:r w:rsidRPr="001C2747" w:rsidR="00491ABA">
        <w:t>uses</w:t>
      </w:r>
      <w:r w:rsidRPr="001C2747">
        <w:t xml:space="preserve"> YRBS data to measure progress in obtaining four primary goals for its comprehensive school health initiative.</w:t>
      </w:r>
    </w:p>
    <w:p w:rsidRPr="001C2747" w:rsidR="0050513E" w:rsidP="00031FBD" w:rsidRDefault="0050513E" w14:paraId="70DF0B05" w14:textId="670AFFF9">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lastRenderedPageBreak/>
        <w:t>Child Trends (a nonprofit, non-partisan children</w:t>
      </w:r>
      <w:r w:rsidRPr="001C2747" w:rsidR="00EF2B7F">
        <w:t>’</w:t>
      </w:r>
      <w:r w:rsidRPr="001C2747">
        <w:t xml:space="preserve">s research organization supported by foundations and multiple Federal agencies) </w:t>
      </w:r>
      <w:r w:rsidRPr="001C2747" w:rsidR="00491ABA">
        <w:t>uses</w:t>
      </w:r>
      <w:r w:rsidRPr="001C2747">
        <w:t xml:space="preserve"> YRBS data in </w:t>
      </w:r>
      <w:r w:rsidRPr="001C2747" w:rsidR="0098229A">
        <w:t>Fact Sheets on specific behaviors of interest</w:t>
      </w:r>
      <w:r w:rsidRPr="001C2747" w:rsidR="00DB33EB">
        <w:t xml:space="preserve"> (</w:t>
      </w:r>
      <w:hyperlink w:history="1" r:id="rId16">
        <w:r w:rsidR="00147F4A">
          <w:rPr>
            <w:rStyle w:val="Hyperlink"/>
          </w:rPr>
          <w:t>https://www.childtrends.org/indicators?a-z</w:t>
        </w:r>
      </w:hyperlink>
      <w:r w:rsidR="00147F4A">
        <w:t>)</w:t>
      </w:r>
    </w:p>
    <w:p w:rsidRPr="001C2747" w:rsidR="0050513E" w:rsidP="00031FBD" w:rsidRDefault="0050513E" w14:paraId="759A994A" w14:textId="4519C4AB">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70562D">
        <w:t xml:space="preserve">The National Association of State Boards of Education </w:t>
      </w:r>
      <w:r w:rsidRPr="0070562D" w:rsidR="00491ABA">
        <w:t xml:space="preserve">uses </w:t>
      </w:r>
      <w:r w:rsidRPr="0070562D">
        <w:t>YRBS data to develop documents created for members, develop policy guides, provide updates to state boards of education, train state boards of education on technical issues, and develop action guides in marketing and communication.</w:t>
      </w:r>
    </w:p>
    <w:p w:rsidRPr="001C2747" w:rsidR="0050513E" w:rsidP="00031FBD" w:rsidRDefault="0050513E" w14:paraId="24B74F28" w14:textId="54659801">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The Society of State </w:t>
      </w:r>
      <w:r w:rsidR="00147F4A">
        <w:t>Leaders</w:t>
      </w:r>
      <w:r w:rsidRPr="001C2747">
        <w:t xml:space="preserve"> of Health</w:t>
      </w:r>
      <w:r w:rsidR="00147F4A">
        <w:t xml:space="preserve"> and </w:t>
      </w:r>
      <w:r w:rsidRPr="001C2747">
        <w:t xml:space="preserve">Physical Education </w:t>
      </w:r>
      <w:r w:rsidRPr="001C2747" w:rsidR="00491ABA">
        <w:t>uses</w:t>
      </w:r>
      <w:r w:rsidRPr="001C2747">
        <w:t xml:space="preserve"> YRBS data to inform state directors and in resolutions and policy statements.</w:t>
      </w:r>
    </w:p>
    <w:p w:rsidRPr="001C2747" w:rsidR="0050513E" w:rsidP="000B0C2E" w:rsidRDefault="0050513E" w14:paraId="276467EE" w14:textId="30627F09">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Family physicians, pediatricians, psychologists, and counselors use YRBS</w:t>
      </w:r>
      <w:r w:rsidRPr="001C2747" w:rsidR="00E13673">
        <w:t xml:space="preserve"> data</w:t>
      </w:r>
      <w:r w:rsidRPr="001C2747">
        <w:t xml:space="preserve"> to provide up-to-date information on behavioral risks among the adolescents they treat.</w:t>
      </w:r>
    </w:p>
    <w:p w:rsidRPr="001C2747" w:rsidR="0050513E" w:rsidP="00031FBD" w:rsidRDefault="0050513E" w14:paraId="6352FC8C" w14:textId="1E9695BA">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Institutes of higher education use YRBS</w:t>
      </w:r>
      <w:r w:rsidRPr="001C2747" w:rsidR="00E13673">
        <w:t xml:space="preserve"> data</w:t>
      </w:r>
      <w:r w:rsidRPr="001C2747">
        <w:t xml:space="preserve"> in their teacher training programs to provide information on the </w:t>
      </w:r>
      <w:r w:rsidRPr="001C2747" w:rsidR="00F71AA1">
        <w:t>health</w:t>
      </w:r>
      <w:r w:rsidR="00F71AA1">
        <w:t>-</w:t>
      </w:r>
      <w:r w:rsidRPr="001C2747">
        <w:t>risk behaviors that should be the target of educational programs.</w:t>
      </w:r>
    </w:p>
    <w:p w:rsidRPr="001C2747" w:rsidR="0050513E" w:rsidP="00031FBD" w:rsidRDefault="0050513E" w14:paraId="406B2135" w14:textId="454C8599">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High school administrators use YRBS </w:t>
      </w:r>
      <w:r w:rsidRPr="001C2747" w:rsidR="00E13673">
        <w:t xml:space="preserve">data </w:t>
      </w:r>
      <w:r w:rsidRPr="001C2747">
        <w:t xml:space="preserve">to provide information to assist them in justifying and planning educational programs to prevent </w:t>
      </w:r>
      <w:r w:rsidRPr="001C2747" w:rsidR="00F71AA1">
        <w:t>health</w:t>
      </w:r>
      <w:r w:rsidR="00F71AA1">
        <w:t>-</w:t>
      </w:r>
      <w:r w:rsidRPr="001C2747">
        <w:t>risk behaviors.</w:t>
      </w:r>
    </w:p>
    <w:p w:rsidRPr="001C2747" w:rsidR="0050513E" w:rsidP="000B0C2E" w:rsidRDefault="0050513E" w14:paraId="68E5CB77" w14:textId="0E7444F7">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 xml:space="preserve">Health educators and other teachers in high schools use YRBS </w:t>
      </w:r>
      <w:r w:rsidRPr="001C2747" w:rsidR="00E13673">
        <w:t xml:space="preserve">data </w:t>
      </w:r>
      <w:r w:rsidRPr="001C2747">
        <w:t>to provide information that will bolster and provide a focus for their lesson plans and educational materials.</w:t>
      </w:r>
    </w:p>
    <w:p w:rsidRPr="001C2747" w:rsidR="0050513E" w:rsidP="000B0C2E" w:rsidRDefault="0050513E" w14:paraId="7EB37517" w14:textId="1D865E9F">
      <w:pPr>
        <w:pStyle w:val="Level1"/>
        <w:widowControl/>
        <w:numPr>
          <w:ilvl w:val="0"/>
          <w:numId w:val="2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outlineLvl w:val="9"/>
      </w:pPr>
      <w:r w:rsidRPr="001C2747">
        <w:t>Parents use YRBS</w:t>
      </w:r>
      <w:r w:rsidRPr="001C2747" w:rsidR="00E13673">
        <w:t xml:space="preserve"> data</w:t>
      </w:r>
      <w:r w:rsidRPr="001C2747">
        <w:t xml:space="preserve"> to better understand the behavioral risks facing their children.</w:t>
      </w:r>
    </w:p>
    <w:p w:rsidRPr="001C2747" w:rsidR="0050513E" w:rsidP="000B0C2E" w:rsidRDefault="0050513E" w14:paraId="25385C26" w14:textId="2716367B">
      <w:pPr>
        <w:widowControl/>
        <w:spacing w:before="120" w:after="120"/>
        <w:ind w:firstLine="720"/>
      </w:pPr>
      <w:r w:rsidRPr="001C2747">
        <w:t xml:space="preserve">State </w:t>
      </w:r>
      <w:r w:rsidRPr="001C2747" w:rsidR="009A52E3">
        <w:t>education agencies (SEA) and local education a</w:t>
      </w:r>
      <w:r w:rsidRPr="001C2747">
        <w:t>gencies (LEA) have used YRBS results in creating awareness of risk behaviors, setting program goals, planning or modifying programs, developing staff development programs for teachers, and seeking funding (</w:t>
      </w:r>
      <w:r w:rsidRPr="001C2747" w:rsidR="00B84377">
        <w:t>Foti, Balaji, Shanklin, 2011</w:t>
      </w:r>
      <w:r w:rsidRPr="001C2747" w:rsidR="006F6E36">
        <w:t xml:space="preserve">). </w:t>
      </w:r>
      <w:r w:rsidRPr="001C2747" w:rsidR="007A05CE">
        <w:t>For example, the San Diego Unified School District used YRBS data to identify symptoms of an unhealthy school environment, including feeling unsafe at school or on the way to or from school, feeling sad or hopeless, considering or planning suicide, or having attempted suicide among all students</w:t>
      </w:r>
      <w:r w:rsidRPr="001C2747" w:rsidR="006F6E36">
        <w:t>,</w:t>
      </w:r>
      <w:r w:rsidRPr="001C2747" w:rsidR="007A05CE">
        <w:t xml:space="preserve"> including sexual minority students. This spurred development of a district-wide Bullying, Harassment, and Intimidation Prohibition Policy that complies with federal and state laws and extensively delinea</w:t>
      </w:r>
      <w:r w:rsidRPr="008E08A1" w:rsidR="007A05CE">
        <w:t>tes the types of protections addressed. In Kentucky, after reviewing</w:t>
      </w:r>
      <w:r w:rsidRPr="001C2747" w:rsidR="007A05CE">
        <w:t xml:space="preserve"> YRBS data on fruit and vegetable consumption, physical activity, and obesity, the Coordinated School Health Program and Kentucky Action for Healthy Kids collaborated to create Students Taking Charge projects in high schools around the state. This initiative trains high school students to assess their school’s nutritional and physical activity environment, develop an action plan to improve it, implement their plan using mini</w:t>
      </w:r>
      <w:r w:rsidRPr="001C2747" w:rsidR="008B734F">
        <w:t>-</w:t>
      </w:r>
      <w:r w:rsidRPr="001C2747" w:rsidR="007A05CE">
        <w:t>grants, and learn how to advocate for healthier school environments and policies. In Philadelphia, YRBS data on sexual behaviors were cited along with data on the prevalence of chlamydia and gonorrhea to help persuade the Philadelphia Department of Health and the School District of Philadelphia to set up an in-school ST</w:t>
      </w:r>
      <w:r w:rsidR="0066146B">
        <w:t>I</w:t>
      </w:r>
      <w:r w:rsidRPr="001C2747" w:rsidR="007A05CE">
        <w:t xml:space="preserve"> screening program to educate students about ST</w:t>
      </w:r>
      <w:r w:rsidR="0066146B">
        <w:t>I</w:t>
      </w:r>
      <w:r w:rsidRPr="001C2747" w:rsidR="007A05CE">
        <w:t>s and identify and treat chlamydia and gonorrhea among high school students.</w:t>
      </w:r>
    </w:p>
    <w:p w:rsidRPr="001C2747" w:rsidR="0050513E" w:rsidP="000B0C2E" w:rsidRDefault="0050513E" w14:paraId="269715D2" w14:textId="68EBD79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Publications and presentations have been targeted to reach the audiences listed above. Further details are provided in Section A.16, below.</w:t>
      </w:r>
    </w:p>
    <w:p w:rsidRPr="001C2747" w:rsidR="0050513E" w:rsidP="000B0C2E" w:rsidRDefault="0050513E" w14:paraId="75C67D81" w14:textId="325B5DFD">
      <w:pPr>
        <w:pStyle w:val="Heading2"/>
        <w:spacing w:before="120" w:after="120"/>
        <w:ind w:left="720" w:hanging="720"/>
      </w:pPr>
      <w:r w:rsidRPr="001C2747">
        <w:rPr>
          <w:rFonts w:ascii="Times New Roman" w:hAnsi="Times New Roman" w:cs="Times New Roman"/>
          <w:b/>
          <w:bCs/>
        </w:rPr>
        <w:lastRenderedPageBreak/>
        <w:t>A.3</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USE OF IMPROVED INFORMATION TECHNOLOGY AND BURDEN REDUCTION</w:t>
      </w:r>
    </w:p>
    <w:p w:rsidRPr="001C2747" w:rsidR="0050513E" w:rsidP="000B0C2E" w:rsidRDefault="00B90B84" w14:paraId="477B40CD" w14:textId="57FB6088">
      <w:pPr>
        <w:widowControl/>
        <w:tabs>
          <w:tab w:val="left" w:pos="-4950"/>
          <w:tab w:val="left" w:pos="-4770"/>
          <w:tab w:val="left" w:pos="-3600"/>
          <w:tab w:val="left" w:pos="-2700"/>
          <w:tab w:val="left" w:pos="-1800"/>
          <w:tab w:val="left" w:pos="-576"/>
        </w:tabs>
        <w:spacing w:before="120" w:after="120"/>
      </w:pPr>
      <w:r w:rsidRPr="001C2747">
        <w:tab/>
      </w:r>
      <w:r w:rsidR="00292E2C">
        <w:t xml:space="preserve">Because not all students are attending school in-person during the COVID-19 pandemic, the ABES will use a </w:t>
      </w:r>
      <w:r w:rsidR="00F2150E">
        <w:t xml:space="preserve">fully </w:t>
      </w:r>
      <w:r w:rsidR="00292E2C">
        <w:t>web-based method of data collection during the spring of 2021</w:t>
      </w:r>
      <w:r w:rsidR="00F2150E">
        <w:t xml:space="preserve"> in which students complete questionnaires outside of the school setting using any internet-connected device. </w:t>
      </w:r>
      <w:r w:rsidR="00292E2C">
        <w:t xml:space="preserve">In the fall of 2021, YRBS </w:t>
      </w:r>
      <w:r w:rsidR="000477E7">
        <w:t xml:space="preserve">data </w:t>
      </w:r>
      <w:r w:rsidR="00292E2C">
        <w:t xml:space="preserve">will </w:t>
      </w:r>
      <w:r w:rsidRPr="00633A30" w:rsidR="001143AF">
        <w:t>be collected on optically scannable questionnaire booklets</w:t>
      </w:r>
      <w:r w:rsidR="000477E7">
        <w:t xml:space="preserve"> as in all previous </w:t>
      </w:r>
      <w:r w:rsidR="00F2150E">
        <w:t xml:space="preserve">YRBS </w:t>
      </w:r>
      <w:r w:rsidR="000477E7">
        <w:t>cycles</w:t>
      </w:r>
      <w:r w:rsidR="00292E2C">
        <w:t>, but to prepare for the use of a tablet-based methodology for the 2023 YRBS administration, additional classes will be surveyed using tablets.</w:t>
      </w:r>
      <w:r w:rsidRPr="00633A30" w:rsidR="0050513E">
        <w:t xml:space="preserve"> The data </w:t>
      </w:r>
      <w:r w:rsidRPr="00633A30" w:rsidR="003F51AE">
        <w:t>to be obtained from the data collection</w:t>
      </w:r>
      <w:r w:rsidRPr="00633A30" w:rsidR="0050513E">
        <w:t xml:space="preserve"> cannot be accessed from currently existing automated databases.  During questionnaire design, every effort has been made to limit respondent burden.  Th</w:t>
      </w:r>
      <w:r w:rsidRPr="00633A30" w:rsidR="007040A8">
        <w:t xml:space="preserve">e use of booklets for </w:t>
      </w:r>
      <w:r w:rsidRPr="00633A30" w:rsidR="0050513E">
        <w:t xml:space="preserve">data collection is not compliant with the Government Paperwork Elimination Act.  However, scannable questionnaire booklets are generally regarded </w:t>
      </w:r>
      <w:r w:rsidRPr="00633A30" w:rsidR="0070562D">
        <w:t>as</w:t>
      </w:r>
      <w:r w:rsidRPr="00633A30" w:rsidR="0050513E">
        <w:t xml:space="preserve"> </w:t>
      </w:r>
      <w:r w:rsidRPr="00633A30" w:rsidR="0070562D">
        <w:t xml:space="preserve">a minimally </w:t>
      </w:r>
      <w:r w:rsidRPr="00633A30" w:rsidR="0050513E">
        <w:t xml:space="preserve">burdensome </w:t>
      </w:r>
      <w:r w:rsidRPr="00633A30" w:rsidR="0006007C">
        <w:t>metho</w:t>
      </w:r>
      <w:r w:rsidRPr="00633A30" w:rsidR="00973712">
        <w:t xml:space="preserve">d </w:t>
      </w:r>
      <w:r w:rsidRPr="00633A30" w:rsidR="0050513E">
        <w:t xml:space="preserve">for a school-based data collection. </w:t>
      </w:r>
      <w:r w:rsidRPr="00633A30">
        <w:t>In 2008, CDC conducted a methodological study to assess the feasibility of conducting the YRBS using a web-based mode of administration (OMB No. 0920-0763, expiration 1/31/2009).  The results of the 2008 study indicated that online and paper-and-pencil surveys generally yield similar risk behavior prevalence estimates (Eaton et al, 2010</w:t>
      </w:r>
      <w:r w:rsidRPr="00633A30" w:rsidR="00DB33EB">
        <w:t>a</w:t>
      </w:r>
      <w:r w:rsidRPr="00633A30">
        <w:t xml:space="preserve">), </w:t>
      </w:r>
      <w:r w:rsidRPr="00633A30" w:rsidR="00D25EE3">
        <w:t xml:space="preserve">but that privacy concerns existed for the web-based administration. </w:t>
      </w:r>
      <w:r w:rsidRPr="00633A30" w:rsidR="0070562D">
        <w:t xml:space="preserve">To avail itself of more modern data collection methodologies balanced against privacy concerns, </w:t>
      </w:r>
      <w:r w:rsidR="00C91198">
        <w:t xml:space="preserve">the 2021 YRBS will test the use of a tablet-based administration and </w:t>
      </w:r>
      <w:r w:rsidRPr="00633A30" w:rsidR="0070562D">
        <w:t xml:space="preserve">the 2023 YRBS will transition to a </w:t>
      </w:r>
      <w:r w:rsidRPr="00633A30" w:rsidR="003913CE">
        <w:t xml:space="preserve">tablet-based administration to capitalize on the efficiency of </w:t>
      </w:r>
      <w:r w:rsidRPr="00633A30" w:rsidR="0070562D">
        <w:t xml:space="preserve">an electronic </w:t>
      </w:r>
      <w:r w:rsidRPr="00633A30" w:rsidR="003913CE">
        <w:t>data collection while also mitigating privacy concerns of students</w:t>
      </w:r>
      <w:r w:rsidR="003913CE">
        <w:t xml:space="preserve"> and teachers seeing others’ screens.</w:t>
      </w:r>
      <w:r w:rsidR="00C91198">
        <w:t xml:space="preserve"> </w:t>
      </w:r>
      <w:r w:rsidR="003913CE">
        <w:t xml:space="preserve"> </w:t>
      </w:r>
    </w:p>
    <w:p w:rsidRPr="001C2747" w:rsidR="0050513E" w:rsidP="000B0C2E" w:rsidRDefault="0050513E" w14:paraId="4E39A8C5" w14:textId="6450A62C">
      <w:pPr>
        <w:pStyle w:val="Heading2"/>
        <w:spacing w:before="120" w:after="120"/>
        <w:ind w:left="720" w:hanging="720"/>
      </w:pPr>
      <w:r w:rsidRPr="001C2747">
        <w:rPr>
          <w:rFonts w:ascii="Times New Roman" w:hAnsi="Times New Roman" w:cs="Times New Roman"/>
          <w:b/>
          <w:bCs/>
        </w:rPr>
        <w:t>A.4</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EFFORTS TO IDENTIFY DUPLICATION AND USE OF SIMILAR INFORMATION</w:t>
      </w:r>
    </w:p>
    <w:p w:rsidRPr="001C2747" w:rsidR="003F51AE" w:rsidP="000B0C2E" w:rsidRDefault="0050513E" w14:paraId="19ADFE06" w14:textId="0503D5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CDC conducts ongoing searches of all major educational and health-related electronic databases, reviews related literature, consults with experts in behavioral epidemiology and survey research, and maintains continuing communications with Federal a</w:t>
      </w:r>
      <w:r w:rsidRPr="001C2747" w:rsidR="003F51AE">
        <w:t xml:space="preserve">gencies with related missions. </w:t>
      </w:r>
      <w:r w:rsidRPr="001C2747">
        <w:t xml:space="preserve">These efforts have identified no previous, current, or planned comprehensive efforts to conduct a survey of the </w:t>
      </w:r>
      <w:r w:rsidRPr="001C2747" w:rsidR="00F71AA1">
        <w:t>health</w:t>
      </w:r>
      <w:r w:rsidR="00F71AA1">
        <w:t>-</w:t>
      </w:r>
      <w:r w:rsidRPr="001C2747">
        <w:t>risk behaviors of a nationally representative sample of students in grades 9-12.</w:t>
      </w:r>
    </w:p>
    <w:p w:rsidRPr="001C2747" w:rsidR="0050513E" w:rsidP="000B0C2E" w:rsidRDefault="00B76560" w14:paraId="140600AC" w14:textId="2E9116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CDC monitors the implementation of Youth Risk Behavior Surveys by states and cities. </w:t>
      </w:r>
      <w:r w:rsidRPr="001C2747" w:rsidR="00BA1D30">
        <w:t xml:space="preserve">In </w:t>
      </w:r>
      <w:r w:rsidRPr="001C2747" w:rsidR="00650223">
        <w:t>201</w:t>
      </w:r>
      <w:r w:rsidR="00650223">
        <w:t>9</w:t>
      </w:r>
      <w:r w:rsidRPr="001C2747" w:rsidR="00BA1D30">
        <w:t xml:space="preserve">, </w:t>
      </w:r>
      <w:r w:rsidRPr="007A358F" w:rsidR="00BA1D30">
        <w:t xml:space="preserve">only </w:t>
      </w:r>
      <w:r w:rsidR="007A358F">
        <w:t>35</w:t>
      </w:r>
      <w:r w:rsidRPr="007A358F" w:rsidR="007A358F">
        <w:t xml:space="preserve"> </w:t>
      </w:r>
      <w:r w:rsidRPr="007A358F" w:rsidR="00BA1D30">
        <w:t>states</w:t>
      </w:r>
      <w:r w:rsidRPr="001C2747" w:rsidR="00BA1D30">
        <w:t xml:space="preserve"> implemented their own YRBS and obtained data representative of students in their state. In addition,</w:t>
      </w:r>
      <w:r w:rsidRPr="001C2747" w:rsidR="0050513E">
        <w:t xml:space="preserve"> </w:t>
      </w:r>
      <w:r w:rsidRPr="001C2747">
        <w:t xml:space="preserve">variation across jurisdictions in </w:t>
      </w:r>
      <w:r w:rsidRPr="001C2747" w:rsidR="0050513E">
        <w:t xml:space="preserve">sampling techniques, </w:t>
      </w:r>
      <w:r w:rsidRPr="001C2747">
        <w:t>questions</w:t>
      </w:r>
      <w:r w:rsidRPr="001C2747" w:rsidR="0050513E">
        <w:t xml:space="preserve">, and survey administration procedures prohibit </w:t>
      </w:r>
      <w:r w:rsidRPr="001C2747">
        <w:t>the calculation of</w:t>
      </w:r>
      <w:r w:rsidRPr="001C2747" w:rsidR="0050513E">
        <w:t xml:space="preserve"> national estimates from state-level results.</w:t>
      </w:r>
      <w:r w:rsidRPr="001C2747">
        <w:t xml:space="preserve">  </w:t>
      </w:r>
      <w:r w:rsidRPr="001C2747" w:rsidR="003F51AE">
        <w:t xml:space="preserve"> </w:t>
      </w:r>
    </w:p>
    <w:p w:rsidRPr="001C2747" w:rsidR="0050513E" w:rsidP="000B0C2E" w:rsidRDefault="0050513E" w14:paraId="45547EE8" w14:textId="77777777">
      <w:pPr>
        <w:pStyle w:val="Heading2"/>
        <w:spacing w:before="120" w:after="120"/>
        <w:rPr>
          <w:rFonts w:ascii="Times New Roman" w:hAnsi="Times New Roman" w:cs="Times New Roman"/>
          <w:b/>
          <w:bCs/>
        </w:rPr>
      </w:pPr>
      <w:r w:rsidRPr="001C2747">
        <w:rPr>
          <w:rFonts w:ascii="Times New Roman" w:hAnsi="Times New Roman" w:cs="Times New Roman"/>
          <w:b/>
          <w:bCs/>
        </w:rPr>
        <w:t>A.5</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IMPACT ON SMALL BUSINESSES OR OTHER SMALL ENTITIES</w:t>
      </w:r>
    </w:p>
    <w:p w:rsidRPr="001C2747" w:rsidR="0050513E" w:rsidP="000B0C2E" w:rsidRDefault="0050513E" w14:paraId="5DE439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planned data collection does not involve small businesses or other small entities.</w:t>
      </w:r>
    </w:p>
    <w:p w:rsidRPr="001C2747" w:rsidR="0050513E" w:rsidP="000B0C2E" w:rsidRDefault="0050513E" w14:paraId="1BB2C593" w14:textId="3395E4D6">
      <w:pPr>
        <w:pStyle w:val="Heading2"/>
        <w:spacing w:before="120" w:after="120"/>
        <w:ind w:left="720" w:hanging="720"/>
      </w:pPr>
      <w:r w:rsidRPr="001C2747">
        <w:rPr>
          <w:rFonts w:ascii="Times New Roman" w:hAnsi="Times New Roman" w:cs="Times New Roman"/>
          <w:b/>
          <w:bCs/>
        </w:rPr>
        <w:t>A.6</w:t>
      </w:r>
      <w:r w:rsidRPr="001C2747" w:rsidR="00793222">
        <w:rPr>
          <w:rFonts w:ascii="Times New Roman" w:hAnsi="Times New Roman" w:cs="Times New Roman"/>
          <w:b/>
          <w:bCs/>
        </w:rPr>
        <w:t>.</w:t>
      </w:r>
      <w:r w:rsidRPr="001C2747">
        <w:rPr>
          <w:rFonts w:ascii="Times New Roman" w:hAnsi="Times New Roman" w:cs="Times New Roman"/>
          <w:b/>
          <w:bCs/>
        </w:rPr>
        <w:tab/>
      </w:r>
      <w:r w:rsidRPr="001C2747" w:rsidR="005D7512">
        <w:rPr>
          <w:rFonts w:ascii="Times New Roman" w:hAnsi="Times New Roman" w:cs="Times New Roman"/>
          <w:b/>
          <w:bCs/>
          <w:u w:val="single"/>
        </w:rPr>
        <w:t>CONSEQUENCES O</w:t>
      </w:r>
      <w:r w:rsidRPr="001C2747">
        <w:rPr>
          <w:rFonts w:ascii="Times New Roman" w:hAnsi="Times New Roman" w:cs="Times New Roman"/>
          <w:b/>
          <w:bCs/>
          <w:u w:val="single"/>
        </w:rPr>
        <w:t>F COLLECTING THE INFORMATION LESS FREQUENTLY</w:t>
      </w:r>
    </w:p>
    <w:p w:rsidRPr="001C2747" w:rsidR="0050513E" w:rsidP="000B0C2E" w:rsidRDefault="0050513E" w14:paraId="568BAD82" w14:textId="61B319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Data </w:t>
      </w:r>
      <w:r w:rsidRPr="001C2747" w:rsidR="007A6852">
        <w:t>are</w:t>
      </w:r>
      <w:r w:rsidRPr="001C2747">
        <w:t xml:space="preserve"> gathered </w:t>
      </w:r>
      <w:r w:rsidRPr="001C2747">
        <w:rPr>
          <w:i/>
          <w:iCs/>
        </w:rPr>
        <w:t>biennially</w:t>
      </w:r>
      <w:r w:rsidRPr="001C2747">
        <w:t xml:space="preserve"> from a nationally representative sample of high school students, using a cross-sectional design.  Data must be collected biennially to detect any changes in priority </w:t>
      </w:r>
      <w:r w:rsidRPr="001C2747" w:rsidR="00F71AA1">
        <w:t>health</w:t>
      </w:r>
      <w:r w:rsidR="00F71AA1">
        <w:t>-</w:t>
      </w:r>
      <w:r w:rsidRPr="001C2747">
        <w:t xml:space="preserve">risk behaviors in this population that need to be addressed in school health programs, public education campaigns, demonstration efforts, technical assistance, or </w:t>
      </w:r>
      <w:r w:rsidRPr="001C2747">
        <w:lastRenderedPageBreak/>
        <w:t xml:space="preserve">professional education/training, especially those sponsored by CDC.  Due to the speed with which many of these </w:t>
      </w:r>
      <w:r w:rsidRPr="001C2747" w:rsidR="00BA1D30">
        <w:t>problems will</w:t>
      </w:r>
      <w:r w:rsidRPr="001C2747">
        <w:t xml:space="preserve"> take an increasing toll in human suffering and financial burden, which will be heavily borne by the Federal government, it is imperative to conduct the survey biennially.  School systems have the capacity to change their school health programs to help prevent </w:t>
      </w:r>
      <w:r w:rsidRPr="001C2747" w:rsidR="00F71AA1">
        <w:t>health</w:t>
      </w:r>
      <w:r w:rsidR="00F71AA1">
        <w:t>-</w:t>
      </w:r>
      <w:r w:rsidRPr="001C2747">
        <w:t>risk behaviors th</w:t>
      </w:r>
      <w:r w:rsidRPr="001C2747" w:rsidR="00B76560">
        <w:t>at contribute to the leading caus</w:t>
      </w:r>
      <w:r w:rsidRPr="001C2747">
        <w:t xml:space="preserve">es of mortality and morbidity on an annual basis, if circumstances require.  Originally, the YRBS was proposed and approved as an </w:t>
      </w:r>
      <w:r w:rsidRPr="001C2747">
        <w:rPr>
          <w:i/>
          <w:iCs/>
        </w:rPr>
        <w:t>annual</w:t>
      </w:r>
      <w:r w:rsidRPr="001C2747">
        <w:t xml:space="preserve"> survey.  Based on experience, it was determined that biennial administration of YRBS is sufficient to meet the programmatic needs of CDC and other Federal agencies.</w:t>
      </w:r>
      <w:r w:rsidR="00730E1E">
        <w:t xml:space="preserve"> Because the 2021 YRBS must be postponed </w:t>
      </w:r>
      <w:r w:rsidR="00BD6B7D">
        <w:t xml:space="preserve">to the fall of 2021 </w:t>
      </w:r>
      <w:r w:rsidR="00741A0F">
        <w:t>due to the</w:t>
      </w:r>
      <w:r w:rsidR="00BD6B7D">
        <w:t xml:space="preserve"> COVID-19 pandemic, it is necessary to conduct the ABES in the spring of 2021 to obtain data on the health-related behaviors and experiences of high school students during the pandemic.</w:t>
      </w:r>
    </w:p>
    <w:p w:rsidRPr="001C2747" w:rsidR="0050513E" w:rsidP="000B0C2E" w:rsidRDefault="0050513E" w14:paraId="6B84A92B" w14:textId="68A8A7D6">
      <w:pPr>
        <w:pStyle w:val="Heading2"/>
        <w:spacing w:before="120" w:after="120"/>
        <w:ind w:left="720" w:hanging="720"/>
      </w:pPr>
      <w:r w:rsidRPr="001C2747">
        <w:rPr>
          <w:rFonts w:ascii="Times New Roman" w:hAnsi="Times New Roman" w:cs="Times New Roman"/>
          <w:b/>
          <w:bCs/>
        </w:rPr>
        <w:t>A.7</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SPECIAL CIRCUMSTANCES RELATING TO THE GUIDELINE OF 5 CFR 1320.</w:t>
      </w:r>
      <w:r w:rsidRPr="001C2747" w:rsidR="00BC0F14">
        <w:rPr>
          <w:rFonts w:ascii="Times New Roman" w:hAnsi="Times New Roman" w:cs="Times New Roman"/>
          <w:b/>
          <w:bCs/>
          <w:u w:val="single"/>
        </w:rPr>
        <w:t>5</w:t>
      </w:r>
    </w:p>
    <w:p w:rsidRPr="001C2747" w:rsidR="0050513E" w:rsidP="000B0C2E" w:rsidRDefault="0050513E" w14:paraId="4449CCEC" w14:textId="293BB4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bCs/>
        </w:rPr>
      </w:pPr>
      <w:r w:rsidRPr="001C2747">
        <w:t xml:space="preserve">The </w:t>
      </w:r>
      <w:r w:rsidRPr="001C2747" w:rsidR="00BC0F14">
        <w:t>request fully complies with the regulation 5 CFR 1320.5</w:t>
      </w:r>
      <w:r w:rsidRPr="001C2747">
        <w:t>.  No special circumstances are applicable to this proposed survey.</w:t>
      </w:r>
    </w:p>
    <w:p w:rsidRPr="001C2747" w:rsidR="0050513E" w:rsidP="000B0C2E" w:rsidRDefault="0050513E" w14:paraId="04FCF3CC" w14:textId="727930D8">
      <w:pPr>
        <w:pStyle w:val="Heading2"/>
        <w:spacing w:before="120" w:after="120"/>
        <w:ind w:left="720" w:hanging="720"/>
        <w:rPr>
          <w:u w:val="single"/>
        </w:rPr>
      </w:pPr>
      <w:r w:rsidRPr="001C2747">
        <w:rPr>
          <w:rFonts w:ascii="Times New Roman" w:hAnsi="Times New Roman" w:cs="Times New Roman"/>
          <w:b/>
          <w:bCs/>
        </w:rPr>
        <w:t>A.8</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COMMENTS IN RESPONSE TO THE FEDERAL REGISTER NOTICE AND EFFORTS TO CONSULT OUTSIDE THE AGENCY</w:t>
      </w:r>
    </w:p>
    <w:p w:rsidRPr="001C2747" w:rsidR="0050513E" w:rsidP="00876750" w:rsidRDefault="0050513E" w14:paraId="1716C72D" w14:textId="2EDB75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CDC published a </w:t>
      </w:r>
      <w:r w:rsidRPr="001C2747">
        <w:rPr>
          <w:i/>
          <w:iCs/>
        </w:rPr>
        <w:t>Federal Register</w:t>
      </w:r>
      <w:r w:rsidRPr="001C2747">
        <w:t xml:space="preserve"> notice of the proposed data collection on </w:t>
      </w:r>
      <w:r w:rsidR="00F76112">
        <w:t>February 28, 2020, Vol. 85, No. 40, pg. 11993</w:t>
      </w:r>
      <w:r w:rsidRPr="001C2747" w:rsidR="00D11DBD">
        <w:t xml:space="preserve"> </w:t>
      </w:r>
      <w:r w:rsidRPr="001C2747">
        <w:t>(</w:t>
      </w:r>
      <w:r w:rsidRPr="001C2747" w:rsidR="00B9428E">
        <w:t xml:space="preserve">60-Day Federal Register Notice, </w:t>
      </w:r>
      <w:r w:rsidR="00761D81">
        <w:rPr>
          <w:b/>
        </w:rPr>
        <w:t>Attachment</w:t>
      </w:r>
      <w:r w:rsidRPr="001C2747" w:rsidR="00073967">
        <w:t xml:space="preserve"> </w:t>
      </w:r>
      <w:r w:rsidRPr="003C615F" w:rsidR="00E24931">
        <w:rPr>
          <w:b/>
          <w:bCs/>
        </w:rPr>
        <w:t>B</w:t>
      </w:r>
      <w:r w:rsidRPr="001C2747">
        <w:t xml:space="preserve">). </w:t>
      </w:r>
      <w:r w:rsidRPr="00876750" w:rsidR="00876750">
        <w:t>CDC received five comments. One comment</w:t>
      </w:r>
      <w:r w:rsidR="00E16520">
        <w:t>er</w:t>
      </w:r>
      <w:r w:rsidRPr="00876750" w:rsidR="00876750">
        <w:t xml:space="preserve"> was opposed to doing the survey because it has been done since 1991</w:t>
      </w:r>
      <w:r w:rsidR="00876750">
        <w:t xml:space="preserve">, but </w:t>
      </w:r>
      <w:r w:rsidRPr="00876750" w:rsidR="00876750">
        <w:t xml:space="preserve">because no contact </w:t>
      </w:r>
      <w:r w:rsidR="00876750">
        <w:t xml:space="preserve">information </w:t>
      </w:r>
      <w:r w:rsidRPr="00876750" w:rsidR="00876750">
        <w:t xml:space="preserve">was submitted, no CDC response was sent. The second commenter was concerned that data from the survey is not always disaggregated by race in reporting. </w:t>
      </w:r>
      <w:r w:rsidR="00876750">
        <w:t xml:space="preserve">CDC sent a response. </w:t>
      </w:r>
      <w:r w:rsidRPr="00876750" w:rsidR="00876750">
        <w:t>The third, fourth, and fifth comments were in support of continuing the survey. No changes were made to the supporting statement or data collection instruments</w:t>
      </w:r>
      <w:r w:rsidRPr="001C2747">
        <w:t xml:space="preserve"> </w:t>
      </w:r>
      <w:r w:rsidRPr="00876750" w:rsidR="00BC0F14">
        <w:t>(</w:t>
      </w:r>
      <w:r w:rsidRPr="00876750" w:rsidR="00761D81">
        <w:rPr>
          <w:b/>
        </w:rPr>
        <w:t>Attachment</w:t>
      </w:r>
      <w:r w:rsidRPr="00876750" w:rsidR="00BC0F14">
        <w:t xml:space="preserve"> </w:t>
      </w:r>
      <w:r w:rsidRPr="00876750" w:rsidR="00E24931">
        <w:rPr>
          <w:b/>
          <w:bCs/>
        </w:rPr>
        <w:t>C</w:t>
      </w:r>
      <w:r w:rsidRPr="00876750" w:rsidR="00BC0F14">
        <w:t>)</w:t>
      </w:r>
      <w:r w:rsidRPr="00876750" w:rsidR="00073967">
        <w:t>.</w:t>
      </w:r>
      <w:r w:rsidR="00BC3081">
        <w:t xml:space="preserve"> </w:t>
      </w:r>
    </w:p>
    <w:p w:rsidRPr="001C2747" w:rsidR="00E24931" w:rsidP="000B0C2E" w:rsidRDefault="0050513E" w14:paraId="4A37FF2D" w14:textId="2E53C1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Consultations on the design, instrumentation, products, and statistical aspects of the </w:t>
      </w:r>
      <w:r w:rsidRPr="001C2747" w:rsidR="00B9428E">
        <w:t>YRBS</w:t>
      </w:r>
      <w:r w:rsidRPr="001C2747">
        <w:t xml:space="preserve"> have occurred at critical junctures during</w:t>
      </w:r>
      <w:r w:rsidRPr="001C2747" w:rsidR="00B9428E">
        <w:t xml:space="preserve"> its</w:t>
      </w:r>
      <w:r w:rsidRPr="001C2747">
        <w:t xml:space="preserve"> original design and have continued since it originally received OMB clearance.  The purposes of such consultations were to ensure the technical soundness and user relevance of survey results; to verify the importance, relevance, and accessibility of the information sought in the survey; to assess the clarity of instructions; and to minimize respondent burden. </w:t>
      </w:r>
    </w:p>
    <w:p w:rsidRPr="001C2747" w:rsidR="0050513E" w:rsidP="000B0C2E" w:rsidRDefault="0070562D" w14:paraId="0C54D0C7" w14:textId="76E0E1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Six</w:t>
      </w:r>
      <w:r w:rsidRPr="001C2747" w:rsidR="0050513E">
        <w:t xml:space="preserve"> major phases of consultation have occurred.  Phase one involved several noted sampling experts and others who discussed sampling strategies for the YRBS.  Phase two helped delineate the questionnaire content and develop/identify survey questions through a series of panel meetings involving Federal agencies, representatives of SEAs and LEAs, and members of the scientific community.  Phase three involved consultations with users of the YRBS data, including representatives from all CDC-funded SEAs and LEAs.  Phase four involved a systematic solicitation by CDC of all identified Federal and non-Federal users of the YRBS.</w:t>
      </w:r>
      <w:r w:rsidRPr="001C2747" w:rsidR="00B9428E">
        <w:t xml:space="preserve">  Phase five involved a review of the YRBS by an External Review Panel composed of </w:t>
      </w:r>
      <w:r w:rsidRPr="001C2747" w:rsidR="009A52E3">
        <w:t xml:space="preserve">survey and programmatic </w:t>
      </w:r>
      <w:r w:rsidRPr="001C2747" w:rsidR="00B9428E">
        <w:t xml:space="preserve">experts in the field of adolescent and school health from academia and state agencies. </w:t>
      </w:r>
      <w:r>
        <w:t xml:space="preserve"> </w:t>
      </w:r>
      <w:r w:rsidR="00974D51">
        <w:t xml:space="preserve">Phase six involved an external peer review prompted by </w:t>
      </w:r>
      <w:r w:rsidRPr="00974D51" w:rsidR="00974D51">
        <w:t xml:space="preserve">the Notice of Action for the previous OMB approval for the national YRBS </w:t>
      </w:r>
      <w:r w:rsidRPr="001C2747" w:rsidR="00974D51">
        <w:t>(OMB No. 0920-</w:t>
      </w:r>
      <w:r w:rsidRPr="00D56178" w:rsidR="00974D51">
        <w:t>0493,</w:t>
      </w:r>
      <w:r w:rsidRPr="001C2747" w:rsidR="00974D51">
        <w:t xml:space="preserve"> expiration, </w:t>
      </w:r>
      <w:r w:rsidR="00EB42B2">
        <w:t>11/</w:t>
      </w:r>
      <w:r w:rsidRPr="001C2747" w:rsidR="00974D51">
        <w:t>30/201</w:t>
      </w:r>
      <w:r w:rsidR="00974D51">
        <w:t>9</w:t>
      </w:r>
      <w:r w:rsidRPr="001C2747" w:rsidR="00974D51">
        <w:t>)</w:t>
      </w:r>
      <w:r w:rsidRPr="00974D51" w:rsidR="00974D51">
        <w:t xml:space="preserve">. OMB requested that the YRBS undergo an external peer review prior to submitting the next package for approval.  To ensure continuous scientific rigor of the sample design, best practices for recruitment, and efficient strategies to maximize participation rates, a panel of four experts </w:t>
      </w:r>
      <w:r w:rsidRPr="00974D51" w:rsidR="00974D51">
        <w:lastRenderedPageBreak/>
        <w:t>was convened in April 2018.</w:t>
      </w:r>
      <w:r w:rsidRPr="00451D4C" w:rsidR="00974D51">
        <w:rPr>
          <w:rFonts w:ascii="Arial Narrow" w:hAnsi="Arial Narrow"/>
          <w:color w:val="000000"/>
        </w:rPr>
        <w:t xml:space="preserve">  </w:t>
      </w:r>
    </w:p>
    <w:p w:rsidRPr="001C2747" w:rsidR="0050513E" w:rsidP="000B0C2E" w:rsidRDefault="00247006" w14:paraId="441208CB" w14:textId="0C3E88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rPr>
          <w:bCs/>
        </w:rPr>
        <w:t xml:space="preserve">Phase One: </w:t>
      </w:r>
      <w:r w:rsidRPr="001C2747" w:rsidR="0050513E">
        <w:rPr>
          <w:bCs/>
          <w:u w:val="single"/>
        </w:rPr>
        <w:t>Consultations with Sampling Experts</w:t>
      </w:r>
    </w:p>
    <w:p w:rsidRPr="001C2747" w:rsidR="00AA5276" w:rsidP="000B0C2E" w:rsidRDefault="0050513E" w14:paraId="1EA8767F" w14:textId="560B2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On August 9, 1989, CDC and contractor staff met in Washington, D.C. with OMB and several sampling experts and Federal agency representatives to </w:t>
      </w:r>
      <w:r w:rsidRPr="00633A30">
        <w:t>discuss the sampling plan for the YRBS</w:t>
      </w:r>
      <w:r w:rsidRPr="001C2747">
        <w:t xml:space="preserve">.  The results of these consultations are reflected in the sampling plan in Part B of the clearance package.  Specifically, school districts and schools deciding </w:t>
      </w:r>
      <w:r w:rsidRPr="001C2747">
        <w:rPr>
          <w:i/>
          <w:iCs/>
        </w:rPr>
        <w:t>not</w:t>
      </w:r>
      <w:r w:rsidRPr="001C2747">
        <w:t xml:space="preserve"> to participate in the survey would not be replaced on the assumption that refusing schools would be systematically different from cooperative schools so that replacement of refusing schools would introduce bias into the results.  In addition, Common Core Data (CCD) provided by the National Center for Educational Statistics would be used to ensure adequate oversampling of African</w:t>
      </w:r>
      <w:r w:rsidR="009B3868">
        <w:t xml:space="preserve"> </w:t>
      </w:r>
      <w:r w:rsidRPr="001C2747">
        <w:t xml:space="preserve">American and Hispanic students.  </w:t>
      </w:r>
    </w:p>
    <w:p w:rsidRPr="001C2747" w:rsidR="0050513E" w:rsidP="000B0C2E" w:rsidRDefault="0050513E" w14:paraId="3FD6A84D" w14:textId="6F099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following people were among the key participants at this meeting:</w:t>
      </w: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1E0" w:firstRow="1" w:lastRow="1" w:firstColumn="1" w:lastColumn="1" w:noHBand="0" w:noVBand="0"/>
      </w:tblPr>
      <w:tblGrid>
        <w:gridCol w:w="4248"/>
        <w:gridCol w:w="236"/>
        <w:gridCol w:w="4372"/>
      </w:tblGrid>
      <w:tr w:rsidRPr="001C2747" w:rsidR="00EA2CBA" w14:paraId="712A936B" w14:textId="77777777">
        <w:tc>
          <w:tcPr>
            <w:tcW w:w="4248" w:type="dxa"/>
          </w:tcPr>
          <w:p w:rsidRPr="001C2747" w:rsidR="00EA2CBA" w:rsidP="000B0C2E" w:rsidRDefault="00EA2CBA" w14:paraId="033A9D04" w14:textId="77777777">
            <w:pPr>
              <w:tabs>
                <w:tab w:val="left" w:pos="0"/>
              </w:tabs>
              <w:spacing w:line="228" w:lineRule="auto"/>
            </w:pPr>
            <w:r w:rsidRPr="001C2747">
              <w:t>Robert Burton, Ph.D. (retired)</w:t>
            </w:r>
            <w:r w:rsidRPr="001C2747">
              <w:tab/>
              <w:t xml:space="preserve">  </w:t>
            </w:r>
          </w:p>
          <w:p w:rsidRPr="001C2747" w:rsidR="00EA2CBA" w:rsidP="000B0C2E" w:rsidRDefault="00EA2CBA" w14:paraId="7AA647D7" w14:textId="77777777">
            <w:pPr>
              <w:tabs>
                <w:tab w:val="left" w:pos="0"/>
              </w:tabs>
              <w:spacing w:line="228" w:lineRule="auto"/>
            </w:pPr>
            <w:r w:rsidRPr="001C2747">
              <w:t xml:space="preserve">National Center for Education Statistics </w:t>
            </w:r>
          </w:p>
          <w:p w:rsidRPr="001C2747" w:rsidR="00EA2CBA" w:rsidP="000B0C2E" w:rsidRDefault="00EA2CBA" w14:paraId="581EF572" w14:textId="77777777">
            <w:pPr>
              <w:tabs>
                <w:tab w:val="left" w:pos="0"/>
              </w:tabs>
              <w:spacing w:line="228" w:lineRule="auto"/>
            </w:pPr>
          </w:p>
          <w:p w:rsidRPr="001C2747" w:rsidR="00EA2CBA" w:rsidP="000B0C2E" w:rsidRDefault="00EA2CBA" w14:paraId="36BB0E60" w14:textId="77777777">
            <w:pPr>
              <w:tabs>
                <w:tab w:val="left" w:pos="0"/>
              </w:tabs>
              <w:spacing w:line="228" w:lineRule="auto"/>
            </w:pPr>
            <w:r w:rsidRPr="001C2747">
              <w:t>Jerry Coffey, Ph.D. (retired)</w:t>
            </w:r>
          </w:p>
          <w:p w:rsidRPr="001C2747" w:rsidR="00EA2CBA" w:rsidP="000B0C2E" w:rsidRDefault="00EA2CBA" w14:paraId="41234B4C" w14:textId="77777777">
            <w:pPr>
              <w:tabs>
                <w:tab w:val="left" w:pos="0"/>
              </w:tabs>
              <w:spacing w:line="228" w:lineRule="auto"/>
            </w:pPr>
            <w:r w:rsidRPr="001C2747">
              <w:t>Office of Management and Budget</w:t>
            </w:r>
          </w:p>
          <w:p w:rsidRPr="001C2747" w:rsidR="00EA2CBA" w:rsidP="000B0C2E" w:rsidRDefault="00EA2CBA" w14:paraId="020C74F6" w14:textId="77777777">
            <w:pPr>
              <w:tabs>
                <w:tab w:val="left" w:pos="0"/>
              </w:tabs>
              <w:spacing w:line="228" w:lineRule="auto"/>
            </w:pPr>
          </w:p>
          <w:p w:rsidRPr="001C2747" w:rsidR="00EA2CBA" w:rsidP="000B0C2E" w:rsidRDefault="00EA2CBA" w14:paraId="32EFA662" w14:textId="77777777">
            <w:pPr>
              <w:tabs>
                <w:tab w:val="left" w:pos="0"/>
              </w:tabs>
              <w:spacing w:line="228" w:lineRule="auto"/>
            </w:pPr>
            <w:r w:rsidRPr="001C2747">
              <w:t>Joe Fred Gonzales, Jr.</w:t>
            </w:r>
          </w:p>
          <w:p w:rsidRPr="001C2747" w:rsidR="00EA2CBA" w:rsidP="000B0C2E" w:rsidRDefault="00EA2CBA" w14:paraId="2ECECD1B" w14:textId="77777777">
            <w:pPr>
              <w:tabs>
                <w:tab w:val="left" w:pos="0"/>
              </w:tabs>
              <w:spacing w:line="228" w:lineRule="auto"/>
            </w:pPr>
            <w:r w:rsidRPr="001C2747">
              <w:t>Mathematical Statistician</w:t>
            </w:r>
          </w:p>
          <w:p w:rsidRPr="001C2747" w:rsidR="00EA2CBA" w:rsidP="000B0C2E" w:rsidRDefault="00EA2CBA" w14:paraId="4E9F4492" w14:textId="77777777">
            <w:pPr>
              <w:tabs>
                <w:tab w:val="left" w:pos="0"/>
              </w:tabs>
              <w:spacing w:line="228" w:lineRule="auto"/>
            </w:pPr>
            <w:r w:rsidRPr="001C2747">
              <w:t>National Center for Health Statistics</w:t>
            </w:r>
          </w:p>
          <w:p w:rsidRPr="001C2747" w:rsidR="00EA2CBA" w:rsidP="000B0C2E" w:rsidRDefault="00EA2CBA" w14:paraId="4F1684FB" w14:textId="77777777">
            <w:pPr>
              <w:tabs>
                <w:tab w:val="left" w:pos="0"/>
              </w:tabs>
              <w:spacing w:line="228" w:lineRule="auto"/>
            </w:pPr>
            <w:r w:rsidRPr="001C2747">
              <w:t>Office of Research and Methodology</w:t>
            </w:r>
          </w:p>
          <w:p w:rsidRPr="001C2747" w:rsidR="00EA2CBA" w:rsidP="000B0C2E" w:rsidRDefault="00EA2CBA" w14:paraId="2DF87943" w14:textId="77777777">
            <w:pPr>
              <w:tabs>
                <w:tab w:val="left" w:pos="0"/>
              </w:tabs>
              <w:spacing w:line="228" w:lineRule="auto"/>
            </w:pPr>
            <w:r w:rsidRPr="001C2747">
              <w:t>3311 Toledo Road, Room 3121</w:t>
            </w:r>
          </w:p>
          <w:p w:rsidRPr="001C2747" w:rsidR="00EA2CBA" w:rsidP="000B0C2E" w:rsidRDefault="00EA2CBA" w14:paraId="3050BE48" w14:textId="77777777">
            <w:pPr>
              <w:tabs>
                <w:tab w:val="left" w:pos="0"/>
              </w:tabs>
              <w:spacing w:line="228" w:lineRule="auto"/>
            </w:pPr>
            <w:r w:rsidRPr="001C2747">
              <w:t>Hyattsville, MD 20782</w:t>
            </w:r>
          </w:p>
          <w:p w:rsidRPr="001C2747" w:rsidR="00EA2CBA" w:rsidP="000B0C2E" w:rsidRDefault="00EA2CBA" w14:paraId="24A099D0" w14:textId="77777777">
            <w:pPr>
              <w:tabs>
                <w:tab w:val="left" w:pos="0"/>
              </w:tabs>
              <w:spacing w:line="228" w:lineRule="auto"/>
            </w:pPr>
            <w:r w:rsidRPr="001C2747">
              <w:t xml:space="preserve">301-458-4239 </w:t>
            </w:r>
          </w:p>
          <w:p w:rsidRPr="001C2747" w:rsidR="00EA2CBA" w:rsidP="000B0C2E" w:rsidRDefault="000D2978" w14:paraId="4039893E" w14:textId="77777777">
            <w:pPr>
              <w:tabs>
                <w:tab w:val="left" w:pos="0"/>
              </w:tabs>
              <w:spacing w:line="228" w:lineRule="auto"/>
            </w:pPr>
            <w:hyperlink w:history="1" r:id="rId17">
              <w:r w:rsidRPr="001C2747" w:rsidR="00EA2CBA">
                <w:rPr>
                  <w:rStyle w:val="Hyperlink"/>
                  <w:color w:val="auto"/>
                </w:rPr>
                <w:t>jfg2@cdc.gov</w:t>
              </w:r>
            </w:hyperlink>
          </w:p>
          <w:p w:rsidRPr="001C2747" w:rsidR="00EA2CBA" w:rsidP="000B0C2E" w:rsidRDefault="00EA2CBA" w14:paraId="7A52F0B4" w14:textId="77777777">
            <w:pPr>
              <w:tabs>
                <w:tab w:val="left" w:pos="0"/>
              </w:tabs>
              <w:spacing w:line="228" w:lineRule="auto"/>
            </w:pPr>
          </w:p>
          <w:p w:rsidRPr="001C2747" w:rsidR="00EA2CBA" w:rsidP="000B0C2E" w:rsidRDefault="00EA2CBA" w14:paraId="5AE919C8" w14:textId="77777777">
            <w:pPr>
              <w:tabs>
                <w:tab w:val="left" w:pos="0"/>
              </w:tabs>
              <w:spacing w:line="228" w:lineRule="auto"/>
            </w:pPr>
            <w:r w:rsidRPr="001C2747">
              <w:t>Morris Hansen, Ph.D. (deceased)</w:t>
            </w:r>
          </w:p>
          <w:p w:rsidRPr="001C2747" w:rsidR="00EA2CBA" w:rsidP="000B0C2E" w:rsidRDefault="00EA2CBA" w14:paraId="3B8EF92E" w14:textId="77777777">
            <w:pPr>
              <w:tabs>
                <w:tab w:val="left" w:pos="0"/>
              </w:tabs>
              <w:spacing w:line="228" w:lineRule="auto"/>
            </w:pPr>
            <w:r w:rsidRPr="001C2747">
              <w:t>Westat, Inc.</w:t>
            </w:r>
          </w:p>
          <w:p w:rsidR="00EA2CBA" w:rsidP="000B0C2E" w:rsidRDefault="00EA2CBA" w14:paraId="3F6F2C39" w14:textId="77777777">
            <w:pPr>
              <w:tabs>
                <w:tab w:val="left" w:pos="0"/>
              </w:tabs>
              <w:spacing w:line="228" w:lineRule="auto"/>
            </w:pPr>
          </w:p>
          <w:p w:rsidRPr="001C2747" w:rsidR="007642F8" w:rsidP="007642F8" w:rsidRDefault="007642F8" w14:paraId="76FA2649" w14:textId="3C1AFBA9">
            <w:pPr>
              <w:tabs>
                <w:tab w:val="left" w:pos="0"/>
              </w:tabs>
              <w:spacing w:line="228" w:lineRule="auto"/>
            </w:pPr>
          </w:p>
        </w:tc>
        <w:tc>
          <w:tcPr>
            <w:tcW w:w="236" w:type="dxa"/>
          </w:tcPr>
          <w:p w:rsidRPr="001C2747" w:rsidR="00EA2CBA" w:rsidP="000B0C2E" w:rsidRDefault="00EA2CBA" w14:paraId="759BB0C8" w14:textId="77777777">
            <w:pPr>
              <w:tabs>
                <w:tab w:val="left" w:pos="0"/>
              </w:tabs>
              <w:spacing w:line="228" w:lineRule="auto"/>
            </w:pPr>
          </w:p>
        </w:tc>
        <w:tc>
          <w:tcPr>
            <w:tcW w:w="4372" w:type="dxa"/>
          </w:tcPr>
          <w:p w:rsidRPr="001C2747" w:rsidR="00EA2CBA" w:rsidP="000B0C2E" w:rsidRDefault="00EA2CBA" w14:paraId="70D9E901" w14:textId="77777777">
            <w:pPr>
              <w:tabs>
                <w:tab w:val="left" w:pos="0"/>
              </w:tabs>
              <w:spacing w:line="228" w:lineRule="auto"/>
            </w:pPr>
            <w:r w:rsidRPr="001C2747">
              <w:t>Leslie Kish, Ph.D. (deceased)</w:t>
            </w:r>
          </w:p>
          <w:p w:rsidRPr="001C2747" w:rsidR="00EA2CBA" w:rsidP="000B0C2E" w:rsidRDefault="00EA2CBA" w14:paraId="72CCD168" w14:textId="77777777">
            <w:pPr>
              <w:tabs>
                <w:tab w:val="left" w:pos="0"/>
              </w:tabs>
              <w:spacing w:line="228" w:lineRule="auto"/>
            </w:pPr>
            <w:r w:rsidRPr="001C2747">
              <w:t>Institute for Social Research</w:t>
            </w:r>
          </w:p>
          <w:p w:rsidRPr="001C2747" w:rsidR="00EA2CBA" w:rsidP="000B0C2E" w:rsidRDefault="00EA2CBA" w14:paraId="368A8156" w14:textId="77777777">
            <w:pPr>
              <w:tabs>
                <w:tab w:val="left" w:pos="0"/>
              </w:tabs>
              <w:spacing w:line="228" w:lineRule="auto"/>
            </w:pPr>
            <w:r w:rsidRPr="001C2747">
              <w:t>University of Michigan</w:t>
            </w:r>
          </w:p>
          <w:p w:rsidRPr="001C2747" w:rsidR="00EA2CBA" w:rsidP="000B0C2E" w:rsidRDefault="00EA2CBA" w14:paraId="7A909223" w14:textId="77777777">
            <w:pPr>
              <w:tabs>
                <w:tab w:val="left" w:pos="0"/>
              </w:tabs>
              <w:spacing w:line="228" w:lineRule="auto"/>
            </w:pPr>
          </w:p>
          <w:p w:rsidRPr="001C2747" w:rsidR="00EA2CBA" w:rsidP="000B0C2E" w:rsidRDefault="00EA2CBA" w14:paraId="17433703" w14:textId="77777777">
            <w:pPr>
              <w:tabs>
                <w:tab w:val="left" w:pos="0"/>
              </w:tabs>
              <w:spacing w:line="228" w:lineRule="auto"/>
              <w:rPr>
                <w:rStyle w:val="Footer1"/>
                <w:color w:val="000000"/>
              </w:rPr>
            </w:pPr>
            <w:r w:rsidRPr="001C2747">
              <w:rPr>
                <w:rStyle w:val="Footer1"/>
                <w:color w:val="000000"/>
              </w:rPr>
              <w:t>Jim Scanlon</w:t>
            </w:r>
          </w:p>
          <w:p w:rsidRPr="001C2747" w:rsidR="00EA2CBA" w:rsidP="000B0C2E" w:rsidRDefault="00EA2CBA" w14:paraId="08A22FF5" w14:textId="77777777">
            <w:pPr>
              <w:tabs>
                <w:tab w:val="left" w:pos="0"/>
              </w:tabs>
              <w:spacing w:line="228" w:lineRule="auto"/>
              <w:rPr>
                <w:rStyle w:val="Footer1"/>
                <w:color w:val="000000"/>
              </w:rPr>
            </w:pPr>
            <w:r w:rsidRPr="001C2747">
              <w:rPr>
                <w:rStyle w:val="Footer1"/>
                <w:color w:val="000000"/>
              </w:rPr>
              <w:t>ASPE</w:t>
            </w:r>
          </w:p>
          <w:p w:rsidRPr="001C2747" w:rsidR="00EA2CBA" w:rsidP="000B0C2E" w:rsidRDefault="00EA2CBA" w14:paraId="51167084" w14:textId="77777777">
            <w:pPr>
              <w:tabs>
                <w:tab w:val="left" w:pos="0"/>
              </w:tabs>
              <w:spacing w:line="228" w:lineRule="auto"/>
              <w:rPr>
                <w:rStyle w:val="Footer1"/>
                <w:color w:val="000000"/>
              </w:rPr>
            </w:pPr>
            <w:r w:rsidRPr="001C2747">
              <w:rPr>
                <w:rStyle w:val="Footer1"/>
                <w:color w:val="000000"/>
              </w:rPr>
              <w:t>200 Independence Avenue, SW</w:t>
            </w:r>
          </w:p>
          <w:p w:rsidRPr="001C2747" w:rsidR="00EA2CBA" w:rsidP="000B0C2E" w:rsidRDefault="00EA2CBA" w14:paraId="64E75FBA" w14:textId="77777777">
            <w:pPr>
              <w:tabs>
                <w:tab w:val="left" w:pos="0"/>
              </w:tabs>
              <w:spacing w:line="228" w:lineRule="auto"/>
              <w:rPr>
                <w:rStyle w:val="Footer1"/>
                <w:color w:val="000000"/>
              </w:rPr>
            </w:pPr>
            <w:r w:rsidRPr="001C2747">
              <w:rPr>
                <w:rStyle w:val="Footer1"/>
                <w:color w:val="000000"/>
              </w:rPr>
              <w:t>Washington, DC 20201</w:t>
            </w:r>
          </w:p>
          <w:p w:rsidRPr="001C2747" w:rsidR="00EA2CBA" w:rsidP="000B0C2E" w:rsidRDefault="00EA2CBA" w14:paraId="1B50525E" w14:textId="77777777">
            <w:pPr>
              <w:tabs>
                <w:tab w:val="left" w:pos="0"/>
              </w:tabs>
              <w:spacing w:line="228" w:lineRule="auto"/>
              <w:rPr>
                <w:rStyle w:val="Footer1"/>
                <w:color w:val="000000"/>
              </w:rPr>
            </w:pPr>
            <w:r w:rsidRPr="001C2747">
              <w:rPr>
                <w:rStyle w:val="Footer1"/>
                <w:color w:val="000000"/>
              </w:rPr>
              <w:t>Phone: (202) 690-7100</w:t>
            </w:r>
          </w:p>
          <w:p w:rsidRPr="001C2747" w:rsidR="00EA2CBA" w:rsidP="000B0C2E" w:rsidRDefault="00EA2CBA" w14:paraId="737493EC" w14:textId="77777777">
            <w:pPr>
              <w:tabs>
                <w:tab w:val="left" w:pos="0"/>
              </w:tabs>
              <w:spacing w:line="228" w:lineRule="auto"/>
              <w:rPr>
                <w:rStyle w:val="Footer1"/>
                <w:color w:val="000000"/>
              </w:rPr>
            </w:pPr>
            <w:r w:rsidRPr="001C2747">
              <w:rPr>
                <w:rStyle w:val="Footer1"/>
                <w:color w:val="000000"/>
              </w:rPr>
              <w:t xml:space="preserve">Email: </w:t>
            </w:r>
            <w:hyperlink w:history="1" r:id="rId18">
              <w:r w:rsidRPr="001C2747">
                <w:rPr>
                  <w:rStyle w:val="Hyperlink"/>
                </w:rPr>
                <w:t>jim.scanlon@hhs.gov</w:t>
              </w:r>
            </w:hyperlink>
          </w:p>
          <w:p w:rsidRPr="001C2747" w:rsidR="00EA2CBA" w:rsidP="000B0C2E" w:rsidRDefault="00EA2CBA" w14:paraId="5A5BB247" w14:textId="77777777">
            <w:pPr>
              <w:tabs>
                <w:tab w:val="left" w:pos="0"/>
              </w:tabs>
              <w:spacing w:line="228" w:lineRule="auto"/>
              <w:rPr>
                <w:rStyle w:val="Footer1"/>
                <w:color w:val="000000"/>
              </w:rPr>
            </w:pPr>
          </w:p>
          <w:p w:rsidRPr="001C2747" w:rsidR="007642F8" w:rsidP="007642F8" w:rsidRDefault="007642F8" w14:paraId="72354E4B" w14:textId="77777777">
            <w:pPr>
              <w:tabs>
                <w:tab w:val="left" w:pos="0"/>
              </w:tabs>
              <w:spacing w:line="228" w:lineRule="auto"/>
            </w:pPr>
            <w:r w:rsidRPr="001C2747">
              <w:t>Ron Wilson, M.S. (retired)</w:t>
            </w:r>
          </w:p>
          <w:p w:rsidR="007642F8" w:rsidP="007642F8" w:rsidRDefault="007642F8" w14:paraId="65BF1EA9" w14:textId="02099387">
            <w:pPr>
              <w:tabs>
                <w:tab w:val="left" w:pos="0"/>
              </w:tabs>
              <w:spacing w:line="228" w:lineRule="auto"/>
            </w:pPr>
            <w:r w:rsidRPr="001C2747">
              <w:t>National Center for Health Statistics</w:t>
            </w:r>
          </w:p>
          <w:p w:rsidR="007642F8" w:rsidP="000B0C2E" w:rsidRDefault="007642F8" w14:paraId="05742152" w14:textId="77777777">
            <w:pPr>
              <w:tabs>
                <w:tab w:val="left" w:pos="0"/>
              </w:tabs>
              <w:spacing w:line="228" w:lineRule="auto"/>
            </w:pPr>
          </w:p>
          <w:p w:rsidR="007642F8" w:rsidP="000B0C2E" w:rsidRDefault="007642F8" w14:paraId="4B581EFB" w14:textId="77777777">
            <w:pPr>
              <w:tabs>
                <w:tab w:val="left" w:pos="0"/>
              </w:tabs>
              <w:spacing w:line="228" w:lineRule="auto"/>
            </w:pPr>
          </w:p>
          <w:p w:rsidRPr="001C2747" w:rsidR="00EA2CBA" w:rsidP="000B0C2E" w:rsidRDefault="00EA2CBA" w14:paraId="0AD33D37" w14:textId="532EF41F">
            <w:pPr>
              <w:tabs>
                <w:tab w:val="left" w:pos="0"/>
              </w:tabs>
              <w:spacing w:line="228" w:lineRule="auto"/>
            </w:pPr>
            <w:r w:rsidRPr="001C2747">
              <w:t>Seymour Sudman, Ph.D. (deceased)</w:t>
            </w:r>
          </w:p>
          <w:p w:rsidRPr="001C2747" w:rsidR="00EA2CBA" w:rsidP="000B0C2E" w:rsidRDefault="00EA2CBA" w14:paraId="64E01E47" w14:textId="77777777">
            <w:pPr>
              <w:tabs>
                <w:tab w:val="left" w:pos="0"/>
              </w:tabs>
              <w:spacing w:line="228" w:lineRule="auto"/>
            </w:pPr>
            <w:r w:rsidRPr="001C2747">
              <w:t>Department of Statistics</w:t>
            </w:r>
          </w:p>
          <w:p w:rsidRPr="001C2747" w:rsidR="00EA2CBA" w:rsidP="000B0C2E" w:rsidRDefault="00EA2CBA" w14:paraId="04F66596" w14:textId="77777777">
            <w:pPr>
              <w:tabs>
                <w:tab w:val="left" w:pos="0"/>
              </w:tabs>
              <w:spacing w:line="228" w:lineRule="auto"/>
            </w:pPr>
            <w:r w:rsidRPr="001C2747">
              <w:t>University of Illinois at Champaign-Urbana</w:t>
            </w:r>
          </w:p>
          <w:p w:rsidRPr="001C2747" w:rsidR="00EA2CBA" w:rsidP="000B0C2E" w:rsidRDefault="00EA2CBA" w14:paraId="7919E31C" w14:textId="1B5AFFF5">
            <w:pPr>
              <w:tabs>
                <w:tab w:val="left" w:pos="0"/>
              </w:tabs>
              <w:spacing w:line="228" w:lineRule="auto"/>
            </w:pPr>
          </w:p>
        </w:tc>
      </w:tr>
    </w:tbl>
    <w:p w:rsidRPr="00743B83" w:rsidR="0050513E" w:rsidP="000B0C2E" w:rsidRDefault="0050513E" w14:paraId="376DF7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743B83">
        <w:t>Continuing consultations with sampling experts have been held to ensure the continuing appropriateness of the YRBS sampling plan.  The original YRBS sampling plan was reviewed by NCHS.</w:t>
      </w:r>
    </w:p>
    <w:p w:rsidRPr="00743B83" w:rsidR="0050513E" w:rsidP="000B0C2E" w:rsidRDefault="00247006" w14:paraId="6916C140" w14:textId="1FA51A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2160" w:hanging="1440"/>
        <w:rPr>
          <w:bCs/>
        </w:rPr>
      </w:pPr>
      <w:r w:rsidRPr="00743B83">
        <w:rPr>
          <w:bCs/>
        </w:rPr>
        <w:t xml:space="preserve">Phase Two: </w:t>
      </w:r>
      <w:r w:rsidRPr="00743B83" w:rsidR="0050513E">
        <w:rPr>
          <w:bCs/>
          <w:u w:val="single"/>
        </w:rPr>
        <w:t>Consultations in Survey Delineation and Instrument Design</w:t>
      </w:r>
    </w:p>
    <w:p w:rsidRPr="001C2747" w:rsidR="0050513E" w:rsidP="000B0C2E" w:rsidRDefault="0050513E" w14:paraId="32538B07" w14:textId="61AC52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 xml:space="preserve">Extensive consultations were held over approximately 8 months to </w:t>
      </w:r>
      <w:r w:rsidRPr="00633A30">
        <w:t>delineate the original YRBS questionnaire content</w:t>
      </w:r>
      <w:r w:rsidRPr="001C2747">
        <w:t>.  This process began in March 1989 with the formation of a steering committee which included representatives of the U.S. Department of Education; the National Center for Chronic Disease Prevention and Health Promotion/CDC; the Nat</w:t>
      </w:r>
      <w:r w:rsidRPr="001C2747" w:rsidR="00E13673">
        <w:t>ional Center for Health Statistics</w:t>
      </w:r>
      <w:r w:rsidRPr="001C2747">
        <w:t xml:space="preserve">/CDC; the Office of Disease Prevention and Health Promotion; the Office of the Assistant Secretary for Planning and Evaluation; the Maternal and Child Health Bureau/Health Research Services Administration; and the Society of State Directors of Health, Physical Education, and Recreation.  In addition, a representative from each of the six PHS agencies with significant responsibility for one of the categories of </w:t>
      </w:r>
      <w:r w:rsidRPr="001C2747" w:rsidR="00F71AA1">
        <w:t>health</w:t>
      </w:r>
      <w:r w:rsidR="00F71AA1">
        <w:t>-</w:t>
      </w:r>
      <w:r w:rsidRPr="001C2747">
        <w:t xml:space="preserve">risk behaviors to be measured by the </w:t>
      </w:r>
      <w:r w:rsidRPr="001C2747">
        <w:lastRenderedPageBreak/>
        <w:t>YRBS served on the steering committee.  The six agencies were: the Division of Epidemiology and Prevention Research/N</w:t>
      </w:r>
      <w:r w:rsidRPr="001C2747" w:rsidR="00A74EC9">
        <w:t>ational Institute on Drug Abuse</w:t>
      </w:r>
      <w:r w:rsidRPr="001C2747">
        <w:t>; the National Center for Injury Prevention and Control/CDC; the Office on Smoking and Health/NCCDPHP/CD</w:t>
      </w:r>
      <w:r w:rsidRPr="001C2747" w:rsidR="00A74EC9">
        <w:t>C; the Division of Reproductive H</w:t>
      </w:r>
      <w:r w:rsidRPr="001C2747">
        <w:t>ealth/NCCDPHP/CDC; the Division of Nutrition/NCCDPHP/CDC; and the Division of Chronic Disease Control and Community Intervention/NCCDPHP/CDC.</w:t>
      </w:r>
      <w:r w:rsidRPr="001C2747" w:rsidR="00507EC6">
        <w:t xml:space="preserve"> </w:t>
      </w:r>
      <w:r w:rsidRPr="001C2747" w:rsidR="0007415D">
        <w:t xml:space="preserve">See </w:t>
      </w:r>
      <w:r w:rsidR="00761D81">
        <w:rPr>
          <w:b/>
        </w:rPr>
        <w:t>Attachment</w:t>
      </w:r>
      <w:r w:rsidRPr="001C2747" w:rsidR="0007415D">
        <w:rPr>
          <w:b/>
        </w:rPr>
        <w:t xml:space="preserve"> </w:t>
      </w:r>
      <w:r w:rsidRPr="001C2747" w:rsidR="00247006">
        <w:rPr>
          <w:b/>
        </w:rPr>
        <w:t>E</w:t>
      </w:r>
      <w:r w:rsidRPr="001C2747" w:rsidR="00507EC6">
        <w:t xml:space="preserve"> for a list of Expert Reviewers for the 1989 Consultations.</w:t>
      </w:r>
    </w:p>
    <w:p w:rsidRPr="001C2747" w:rsidR="0050513E" w:rsidP="000B0C2E" w:rsidRDefault="0050513E" w14:paraId="64DC79C6" w14:textId="139A21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representative from each of these six P</w:t>
      </w:r>
      <w:r w:rsidR="002C14EF">
        <w:t xml:space="preserve">ublic </w:t>
      </w:r>
      <w:r w:rsidRPr="001C2747">
        <w:t>H</w:t>
      </w:r>
      <w:r w:rsidR="002C14EF">
        <w:t xml:space="preserve">ealth </w:t>
      </w:r>
      <w:r w:rsidRPr="001C2747">
        <w:t>S</w:t>
      </w:r>
      <w:r w:rsidR="002C14EF">
        <w:t>ervice</w:t>
      </w:r>
      <w:r w:rsidRPr="001C2747">
        <w:t xml:space="preserve"> agencies was asked to chair a panel to </w:t>
      </w:r>
      <w:r w:rsidRPr="00633A30">
        <w:t>delineate the most important behaviors to be addressed and items to measure each behavior</w:t>
      </w:r>
      <w:r w:rsidRPr="001C2747">
        <w:t>.  Each panel chair identified a group of Federal agency experts to pr</w:t>
      </w:r>
      <w:r w:rsidRPr="001C2747" w:rsidR="009D24B8">
        <w:t xml:space="preserve">ovide consultation and advice. </w:t>
      </w:r>
      <w:r w:rsidRPr="001C2747">
        <w:t>On August 10-11, 1989</w:t>
      </w:r>
      <w:r w:rsidR="00E65758">
        <w:t>,</w:t>
      </w:r>
      <w:r w:rsidRPr="001C2747">
        <w:t xml:space="preserve"> the six chairs, the expert Federal consultants, and one or two representatives from state departments of education convened to identify specific priority behaviors within each major category of risk behavior, and to recommend the best items to measure each behavior for a draft questionnaire.  Each panel was asked to address the following questions:</w:t>
      </w:r>
    </w:p>
    <w:p w:rsidRPr="001C2747" w:rsidR="0050513E" w:rsidP="00031FBD" w:rsidRDefault="0050513E" w14:paraId="080C9AC2" w14:textId="0169C720">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What are the most important health outcomes that result from risk behaviors in your categorical area?</w:t>
      </w:r>
    </w:p>
    <w:p w:rsidRPr="001C2747" w:rsidR="0050513E" w:rsidP="00031FBD" w:rsidRDefault="0050513E" w14:paraId="31F95FE6" w14:textId="5AE90EA4">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 xml:space="preserve">What national health objectives for the year 2000, presented in </w:t>
      </w:r>
      <w:r w:rsidRPr="000B0C2E">
        <w:rPr>
          <w:i/>
          <w:iCs/>
        </w:rPr>
        <w:t>Healthy People 2000</w:t>
      </w:r>
      <w:r w:rsidRPr="001C2747">
        <w:t>, are relevant to your categorical area?</w:t>
      </w:r>
    </w:p>
    <w:p w:rsidRPr="001C2747" w:rsidR="0050513E" w:rsidP="00031FBD" w:rsidRDefault="0050513E" w14:paraId="3B0A2F50" w14:textId="66B61857">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What are the highest priority health behaviors established during youth that should be addressed to help reduce the most important health outcomes?</w:t>
      </w:r>
    </w:p>
    <w:p w:rsidRPr="001C2747" w:rsidR="0050513E" w:rsidP="00031FBD" w:rsidRDefault="0050513E" w14:paraId="109D37C5" w14:textId="35CCCEFE">
      <w:pPr>
        <w:numPr>
          <w:ilvl w:val="0"/>
          <w:numId w:val="2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pPr>
      <w:r w:rsidRPr="001C2747">
        <w:t>What questions should be used to measure each priority behavior most effectively?</w:t>
      </w:r>
    </w:p>
    <w:p w:rsidRPr="001C2747" w:rsidR="0050513E" w:rsidP="000B0C2E" w:rsidRDefault="0050513E" w14:paraId="65170DF5" w14:textId="0D2DAD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After the </w:t>
      </w:r>
      <w:r w:rsidRPr="001C2747" w:rsidR="008E408E">
        <w:t>questionnaire</w:t>
      </w:r>
      <w:r w:rsidRPr="001C2747">
        <w:t xml:space="preserve"> design meeting, the chairs summarized the recommendations and survey items proposed by each panel.  These summaries were sent for review to persons responsible for health education and/or HIV education in every SEA and LEA funded by CDC and to topic area experts in the scientific community.  Based on their comments, a draft questionnaire was developed and, on October 11, 1989, presented to representatives of the SEAs and LEAs holding cooperative agreements in HIV education with CDC.  Based on their feedback, the draft questionnaire was refined.</w:t>
      </w:r>
    </w:p>
    <w:p w:rsidRPr="001C2747" w:rsidR="0050513E" w:rsidP="000B0C2E" w:rsidRDefault="00247006" w14:paraId="71B60D4E" w14:textId="2C6FA9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2160" w:hanging="1440"/>
      </w:pPr>
      <w:r w:rsidRPr="001C2747">
        <w:rPr>
          <w:bCs/>
        </w:rPr>
        <w:t xml:space="preserve">Phase Three: </w:t>
      </w:r>
      <w:r w:rsidRPr="001C2747" w:rsidR="0050513E">
        <w:rPr>
          <w:bCs/>
          <w:u w:val="single"/>
        </w:rPr>
        <w:t>Continuing Consultations with Users of YRBS Data</w:t>
      </w:r>
    </w:p>
    <w:p w:rsidRPr="001C2747" w:rsidR="00601CB7" w:rsidP="000B0C2E" w:rsidRDefault="0050513E" w14:paraId="7F32EB58" w14:textId="52D575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Cs/>
        </w:rPr>
      </w:pPr>
      <w:r w:rsidRPr="00633A30">
        <w:t>Continuing consultations have been held with other Federal agencies, members of the scientific community, and other various non-Federal users of YRBS data</w:t>
      </w:r>
      <w:r w:rsidRPr="001C2747">
        <w:t xml:space="preserve">.  In addition, consultations have been held with state and local agencies that conduct similar surveys.  The vehicles for these continuing consultations </w:t>
      </w:r>
      <w:r w:rsidRPr="00633A30">
        <w:t xml:space="preserve">have included annual meetings of all of the cooperative agreement holders funded by the Division </w:t>
      </w:r>
      <w:r w:rsidRPr="00633A30" w:rsidR="009A52E3">
        <w:t>of Adolescent and School Health;</w:t>
      </w:r>
      <w:r w:rsidRPr="00633A30">
        <w:t xml:space="preserve"> a series of training programs for state and local agencies on </w:t>
      </w:r>
      <w:r w:rsidRPr="00633A30" w:rsidR="009A52E3">
        <w:t>the YRBS;</w:t>
      </w:r>
      <w:r w:rsidRPr="00633A30" w:rsidR="00E13673">
        <w:t xml:space="preserve"> site visits to funded</w:t>
      </w:r>
      <w:r w:rsidRPr="00633A30">
        <w:t xml:space="preserve"> state and local agencies</w:t>
      </w:r>
      <w:r w:rsidRPr="00633A30" w:rsidR="009A52E3">
        <w:t>;</w:t>
      </w:r>
      <w:r w:rsidRPr="00633A30">
        <w:t xml:space="preserve"> and presentations at a variety of national conferences</w:t>
      </w:r>
      <w:r w:rsidRPr="001C2747">
        <w:t xml:space="preserve">.  On the basis of these consultations over time, the clarity of several questions has been improved and a limited number of questions have been deleted entirely.  In addition, the need for adding questions related to National Education Goal 7 </w:t>
      </w:r>
      <w:r w:rsidRPr="001C2747" w:rsidR="000C5127">
        <w:t xml:space="preserve">(Safe and Drug Free Schools) </w:t>
      </w:r>
      <w:r w:rsidRPr="001C2747">
        <w:t>emerged from continuing discussions with the National Education Goals Panel. While the overall structure and content of the YRBS questionnaire has remained the same since it originally was designed, these improvements have eliminated some flaws in the questionnaire and increased the usefulness</w:t>
      </w:r>
      <w:r w:rsidRPr="001C2747" w:rsidR="00F66916">
        <w:t xml:space="preserve"> of the data</w:t>
      </w:r>
      <w:r w:rsidRPr="001C2747">
        <w:t xml:space="preserve"> to Federal agencies other than CDC and non-Federal users.</w:t>
      </w:r>
    </w:p>
    <w:p w:rsidRPr="001C2747" w:rsidR="0050513E" w:rsidP="000B0C2E" w:rsidRDefault="00247006" w14:paraId="1F8FBAFF" w14:textId="6206E27D">
      <w:pPr>
        <w:keepNext/>
        <w:keepLines/>
        <w:tabs>
          <w:tab w:val="left" w:pos="-144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lastRenderedPageBreak/>
        <w:t xml:space="preserve">Phase Four: </w:t>
      </w:r>
      <w:r w:rsidRPr="001C2747" w:rsidR="0050513E">
        <w:rPr>
          <w:bCs/>
          <w:u w:val="single"/>
        </w:rPr>
        <w:t xml:space="preserve">Systematic Solicitation of Comments </w:t>
      </w:r>
      <w:r w:rsidR="007342AA">
        <w:rPr>
          <w:bCs/>
          <w:u w:val="single"/>
        </w:rPr>
        <w:t>from</w:t>
      </w:r>
      <w:r w:rsidRPr="001C2747" w:rsidR="0050513E">
        <w:rPr>
          <w:bCs/>
          <w:u w:val="single"/>
        </w:rPr>
        <w:t xml:space="preserve"> Federal and non-Federal YRBS Users</w:t>
      </w:r>
    </w:p>
    <w:p w:rsidRPr="001C2747" w:rsidR="00F86E66" w:rsidP="000B0C2E" w:rsidRDefault="00E0705D" w14:paraId="373A81E7" w14:textId="3D2BB3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In 1998, </w:t>
      </w:r>
      <w:r w:rsidRPr="00633A30" w:rsidR="0050513E">
        <w:t xml:space="preserve">CDC undertook </w:t>
      </w:r>
      <w:r w:rsidRPr="00633A30">
        <w:t xml:space="preserve">an in-depth, systematic review of the YRBS </w:t>
      </w:r>
      <w:r w:rsidRPr="00633A30" w:rsidR="0050513E">
        <w:t>questionnaire</w:t>
      </w:r>
      <w:r w:rsidRPr="001C2747">
        <w:t>.  The review was motivated by multiple factors, including a goal for the YRBS to measure national health objectives for 2010 that were being developed at the time.  The purpose of the review and subsequent revision process was to ensure that the questionnaire would provide the most effective assessment of th</w:t>
      </w:r>
      <w:r w:rsidRPr="001C2747" w:rsidR="00E13673">
        <w:t xml:space="preserve">e most critical priority </w:t>
      </w:r>
      <w:r w:rsidRPr="001C2747" w:rsidR="00F71AA1">
        <w:t>health</w:t>
      </w:r>
      <w:r w:rsidR="00F71AA1">
        <w:t>-</w:t>
      </w:r>
      <w:r w:rsidRPr="001C2747">
        <w:t>risk behaviors among young persons.  To guide th</w:t>
      </w:r>
      <w:r w:rsidRPr="001C2747" w:rsidR="00363A42">
        <w:t xml:space="preserve">e decision-making process, CDC solicited input from content experts from CDC and academia as well as from representatives from other federal agencies; state and local education agencies; state health departments; and national organizations, foundations, and institutes.  </w:t>
      </w:r>
      <w:r w:rsidRPr="001C2747" w:rsidR="00F35D8E">
        <w:t xml:space="preserve">The Federal agencies consulted included: the Bureau of Indian Affairs (BIA); the Department of Agriculture; the Department of Education; the Food and Drug Administration (FDA); the Indian Health Service (IHS); the National Cancer Institute (NCI); the National Center for Health Statistics (NCHS); the National Institute of Child Health and Human Development (NICHD); the National Heart, Lung, and Blood Institute (NHLBI); and the Substance Abuse and Mental Health Services Administration (SAMHSA).  </w:t>
      </w:r>
    </w:p>
    <w:p w:rsidRPr="001C2747" w:rsidR="00105B14" w:rsidP="000B0C2E" w:rsidRDefault="00F35D8E" w14:paraId="54F38000" w14:textId="50A41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On the basis of input received</w:t>
      </w:r>
      <w:r w:rsidRPr="001C2747" w:rsidR="00363A42">
        <w:t xml:space="preserve"> from approximately 800 persons</w:t>
      </w:r>
      <w:r w:rsidRPr="001C2747">
        <w:t xml:space="preserve">, </w:t>
      </w:r>
      <w:r w:rsidRPr="00633A30">
        <w:t>CDC developed a proposed set of questionnaire revisions, which were sent to all state and local education agencies for further input</w:t>
      </w:r>
      <w:r w:rsidRPr="001C2747">
        <w:t xml:space="preserve">.  In addition to considering the amount of support from state and local education agencies for the proposed revisions, CDC considered multiple factors in making final decisions regarding the questionnaire, including 1) input from the original reviewers, 2) whether the question measured a </w:t>
      </w:r>
      <w:r w:rsidRPr="001C2747" w:rsidR="00F71AA1">
        <w:t>health</w:t>
      </w:r>
      <w:r w:rsidR="00F71AA1">
        <w:t>-</w:t>
      </w:r>
      <w:r w:rsidRPr="001C2747">
        <w:t>risk behavior practiced by youth, 3) whether data on the topic were available from other sources, 4) the relationship of the behavior to the leading causes of morbidity and mortality among youth and adults, and 5) whether effective interventions existed that could be used to modify the behavior.  As a result of this process, CDC created the 1999 YRBS questionnaire.  This questionnaire included several new questions, including</w:t>
      </w:r>
      <w:r w:rsidRPr="001C2747" w:rsidR="0050513E">
        <w:t xml:space="preserve">  height and weight (</w:t>
      </w:r>
      <w:r w:rsidRPr="001C2747" w:rsidR="00B75272">
        <w:t>so that</w:t>
      </w:r>
      <w:r w:rsidRPr="001C2747" w:rsidR="0050513E">
        <w:t xml:space="preserve"> body mass index</w:t>
      </w:r>
      <w:r w:rsidRPr="001C2747" w:rsidR="00B75272">
        <w:t xml:space="preserve"> can be calculated</w:t>
      </w:r>
      <w:r w:rsidRPr="001C2747" w:rsidR="0050513E">
        <w:t xml:space="preserve">), dating violence, use of heroin and methamphetamines, milk consumption, </w:t>
      </w:r>
      <w:r w:rsidRPr="001C2747" w:rsidR="003433BB">
        <w:t>time spent watching television</w:t>
      </w:r>
      <w:r w:rsidRPr="001C2747" w:rsidR="0050513E">
        <w:t>, being injured while exercising, use of sunscreen, and medical and dental examinations.</w:t>
      </w:r>
      <w:r w:rsidRPr="001C2747">
        <w:t xml:space="preserve">  </w:t>
      </w:r>
    </w:p>
    <w:p w:rsidRPr="001C2747" w:rsidR="00AA5276" w:rsidP="000B0C2E" w:rsidRDefault="00105B14" w14:paraId="5102302A" w14:textId="1B0D1F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bCs/>
        </w:rPr>
      </w:pPr>
      <w:r w:rsidRPr="001C2747">
        <w:t xml:space="preserve">In 2000, </w:t>
      </w:r>
      <w:r w:rsidRPr="001C2747" w:rsidR="00A0512B">
        <w:t>CDC, in consultatio</w:t>
      </w:r>
      <w:r w:rsidRPr="001C2747" w:rsidR="009A52E3">
        <w:t>n with 75 representatives from s</w:t>
      </w:r>
      <w:r w:rsidRPr="001C2747" w:rsidR="00A0512B">
        <w:t>tate and local education agencies, representatives from CDC divisions that use health behavior data, and representatives from other federal agencies</w:t>
      </w:r>
      <w:r w:rsidRPr="001C2747">
        <w:t xml:space="preserve">, made minor modifications to the 1999 version of the questionnaire to create the 2001 questionnaire.  </w:t>
      </w:r>
      <w:r w:rsidRPr="001C2747" w:rsidR="00A0512B">
        <w:t>I</w:t>
      </w:r>
      <w:r w:rsidRPr="001C2747" w:rsidR="007A6852">
        <w:t xml:space="preserve">n 2002, 2004, </w:t>
      </w:r>
      <w:r w:rsidRPr="001C2747">
        <w:t>2006</w:t>
      </w:r>
      <w:r w:rsidRPr="001C2747" w:rsidR="007A6852">
        <w:t>, 2008, 2010, 2012</w:t>
      </w:r>
      <w:r w:rsidRPr="001C2747" w:rsidR="00247006">
        <w:t xml:space="preserve">, 2014, </w:t>
      </w:r>
      <w:r w:rsidR="00743B83">
        <w:t xml:space="preserve">2016, </w:t>
      </w:r>
      <w:r w:rsidRPr="001C2747" w:rsidR="00247006">
        <w:t>and 201</w:t>
      </w:r>
      <w:r w:rsidR="00743B83">
        <w:t>8</w:t>
      </w:r>
      <w:r w:rsidR="00E65758">
        <w:t>,</w:t>
      </w:r>
      <w:r w:rsidRPr="001C2747">
        <w:t xml:space="preserve"> </w:t>
      </w:r>
      <w:r w:rsidRPr="001C2747" w:rsidR="00A0512B">
        <w:t xml:space="preserve">a similar consultation process was conducted to </w:t>
      </w:r>
      <w:r w:rsidRPr="001C2747" w:rsidR="00BD2238">
        <w:t xml:space="preserve">create the </w:t>
      </w:r>
      <w:r w:rsidRPr="001C2747">
        <w:t>2003, 2005, 2007</w:t>
      </w:r>
      <w:r w:rsidRPr="001C2747" w:rsidR="007A6852">
        <w:t>, 2009, 2011, 2013</w:t>
      </w:r>
      <w:r w:rsidRPr="001C2747" w:rsidR="00247006">
        <w:t>, 2015, 2017</w:t>
      </w:r>
      <w:r w:rsidR="00743B83">
        <w:t>, and 2019</w:t>
      </w:r>
      <w:r w:rsidRPr="001C2747">
        <w:t xml:space="preserve"> questionnaires, respectively.</w:t>
      </w:r>
      <w:r w:rsidRPr="001C2747" w:rsidR="007A6852">
        <w:t xml:space="preserve"> </w:t>
      </w:r>
      <w:r w:rsidRPr="001C2747" w:rsidR="004C74CE">
        <w:t>Because the YRBS is a school-based survey and student respondents have a single class period of approximately 45 minutes to complete the questionnaire, the leng</w:t>
      </w:r>
      <w:r w:rsidRPr="001C2747" w:rsidR="002B147E">
        <w:t xml:space="preserve">th of the questionnaire is limited.  </w:t>
      </w:r>
      <w:r w:rsidRPr="001C2747" w:rsidR="00BD2238">
        <w:t>Therefore, when revising the questionnaire, adding new questions typically requires the deletion of an equal number of existing questions.  Input from</w:t>
      </w:r>
      <w:r w:rsidRPr="001C2747" w:rsidR="00A0512B">
        <w:t xml:space="preserve"> users of YRBS data is critical in ensuring</w:t>
      </w:r>
      <w:r w:rsidRPr="001C2747" w:rsidR="00BD2238">
        <w:t xml:space="preserve"> these additions and deletions result in a questionnaire that assesses the current priority risk behaviors, while keeping in mind the need to monitor trends in behaviors over time.</w:t>
      </w:r>
      <w:r w:rsidRPr="001C2747" w:rsidR="00A0512B">
        <w:t xml:space="preserve"> </w:t>
      </w:r>
    </w:p>
    <w:p w:rsidRPr="001C2747" w:rsidR="00725C46" w:rsidP="000B0C2E" w:rsidRDefault="00784344" w14:paraId="4FCD5BB6" w14:textId="6A7964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b/>
          <w:bCs/>
        </w:rPr>
      </w:pPr>
      <w:r w:rsidRPr="001C2747">
        <w:rPr>
          <w:bCs/>
        </w:rPr>
        <w:tab/>
      </w:r>
      <w:r w:rsidRPr="001C2747" w:rsidR="00247006">
        <w:rPr>
          <w:bCs/>
        </w:rPr>
        <w:t xml:space="preserve">Phase Five: </w:t>
      </w:r>
      <w:r w:rsidRPr="001C2747">
        <w:rPr>
          <w:bCs/>
          <w:u w:val="single"/>
        </w:rPr>
        <w:t>C</w:t>
      </w:r>
      <w:r w:rsidRPr="001C2747" w:rsidR="00725C46">
        <w:rPr>
          <w:bCs/>
          <w:u w:val="single"/>
        </w:rPr>
        <w:t xml:space="preserve">onsultations with </w:t>
      </w:r>
      <w:r w:rsidRPr="001C2747" w:rsidR="00A76939">
        <w:rPr>
          <w:bCs/>
          <w:u w:val="single"/>
        </w:rPr>
        <w:t xml:space="preserve">Division-wide </w:t>
      </w:r>
      <w:r w:rsidRPr="001C2747" w:rsidR="00725C46">
        <w:rPr>
          <w:bCs/>
          <w:u w:val="single"/>
        </w:rPr>
        <w:t>External Review Panel</w:t>
      </w:r>
    </w:p>
    <w:p w:rsidRPr="001C2747" w:rsidR="00725C46" w:rsidP="000B0C2E" w:rsidRDefault="00A76939" w14:paraId="18488D7A" w14:textId="18CDDB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bCs/>
        </w:rPr>
      </w:pPr>
      <w:r w:rsidRPr="001C2747">
        <w:rPr>
          <w:bCs/>
        </w:rPr>
        <w:tab/>
        <w:t xml:space="preserve">In 2007, </w:t>
      </w:r>
      <w:r w:rsidRPr="00633A30">
        <w:rPr>
          <w:bCs/>
        </w:rPr>
        <w:t>all surveillance activities</w:t>
      </w:r>
      <w:r w:rsidRPr="00633A30" w:rsidR="003C42F8">
        <w:rPr>
          <w:bCs/>
        </w:rPr>
        <w:t xml:space="preserve"> conducted by the Division of Adolescent and School Health at CDC</w:t>
      </w:r>
      <w:r w:rsidRPr="00633A30">
        <w:rPr>
          <w:bCs/>
        </w:rPr>
        <w:t>, including the YRBS, were closely examined by an External Review Panel</w:t>
      </w:r>
      <w:r w:rsidRPr="001C2747" w:rsidR="003C42F8">
        <w:rPr>
          <w:bCs/>
        </w:rPr>
        <w:t>.  The Panel was</w:t>
      </w:r>
      <w:r w:rsidRPr="001C2747" w:rsidR="006A1ECF">
        <w:rPr>
          <w:bCs/>
        </w:rPr>
        <w:t xml:space="preserve"> composed of the following individuals:</w:t>
      </w: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1E0" w:firstRow="1" w:lastRow="1" w:firstColumn="1" w:lastColumn="1" w:noHBand="0" w:noVBand="0"/>
      </w:tblPr>
      <w:tblGrid>
        <w:gridCol w:w="4257"/>
        <w:gridCol w:w="348"/>
        <w:gridCol w:w="4755"/>
      </w:tblGrid>
      <w:tr w:rsidRPr="001C2747" w:rsidR="006A1ECF" w14:paraId="0A2D7D3D" w14:textId="77777777">
        <w:tc>
          <w:tcPr>
            <w:tcW w:w="4308" w:type="dxa"/>
          </w:tcPr>
          <w:p w:rsidRPr="001C2747" w:rsidR="006A1ECF" w:rsidP="000B0C2E" w:rsidRDefault="006A1ECF" w14:paraId="32684FB2" w14:textId="77777777">
            <w:pPr>
              <w:rPr>
                <w:rFonts w:eastAsia="SimSun"/>
                <w:bCs/>
                <w:color w:val="000000"/>
                <w:lang w:eastAsia="zh-CN"/>
              </w:rPr>
            </w:pPr>
            <w:bookmarkStart w:name="_Hlk26193500" w:id="8"/>
            <w:r w:rsidRPr="001C2747">
              <w:rPr>
                <w:rFonts w:eastAsia="SimSun"/>
                <w:bCs/>
                <w:color w:val="000000"/>
                <w:lang w:eastAsia="zh-CN"/>
              </w:rPr>
              <w:lastRenderedPageBreak/>
              <w:t>Joyce L. Epstein, Ph.D.</w:t>
            </w:r>
          </w:p>
          <w:p w:rsidRPr="001C2747" w:rsidR="006A1ECF" w:rsidP="000B0C2E" w:rsidRDefault="006A1ECF" w14:paraId="66C6395A" w14:textId="77777777">
            <w:pPr>
              <w:ind w:left="360" w:hanging="360"/>
              <w:rPr>
                <w:rFonts w:eastAsia="SimSun"/>
                <w:color w:val="000000"/>
                <w:lang w:eastAsia="zh-CN"/>
              </w:rPr>
            </w:pPr>
            <w:r w:rsidRPr="001C2747">
              <w:rPr>
                <w:rFonts w:eastAsia="SimSun"/>
                <w:color w:val="000000"/>
                <w:lang w:eastAsia="zh-CN"/>
              </w:rPr>
              <w:t xml:space="preserve">Director, Center on School, Family, and </w:t>
            </w:r>
          </w:p>
          <w:p w:rsidR="006147DE" w:rsidP="000B0C2E" w:rsidRDefault="006A1ECF" w14:paraId="3B4766FC" w14:textId="05EBBD27">
            <w:pPr>
              <w:ind w:left="360" w:hanging="360"/>
              <w:rPr>
                <w:rFonts w:eastAsia="SimSun"/>
                <w:color w:val="000000"/>
                <w:lang w:eastAsia="zh-CN"/>
              </w:rPr>
            </w:pPr>
            <w:r w:rsidRPr="001C2747">
              <w:rPr>
                <w:rFonts w:eastAsia="SimSun"/>
                <w:color w:val="000000"/>
                <w:lang w:eastAsia="zh-CN"/>
              </w:rPr>
              <w:t>Community Partnerships and the National</w:t>
            </w:r>
            <w:r w:rsidR="006147DE">
              <w:rPr>
                <w:rFonts w:eastAsia="SimSun"/>
                <w:color w:val="000000"/>
                <w:lang w:eastAsia="zh-CN"/>
              </w:rPr>
              <w:t xml:space="preserve"> </w:t>
            </w:r>
          </w:p>
          <w:p w:rsidRPr="001C2747" w:rsidR="006A1ECF" w:rsidP="000B0C2E" w:rsidRDefault="006A1ECF" w14:paraId="5D931BCB" w14:textId="3FC43A43">
            <w:pPr>
              <w:ind w:left="360" w:hanging="360"/>
              <w:rPr>
                <w:rFonts w:eastAsia="SimSun"/>
                <w:color w:val="000000"/>
                <w:lang w:eastAsia="zh-CN"/>
              </w:rPr>
            </w:pPr>
            <w:r w:rsidRPr="001C2747">
              <w:rPr>
                <w:rFonts w:eastAsia="SimSun"/>
                <w:color w:val="000000"/>
                <w:lang w:eastAsia="zh-CN"/>
              </w:rPr>
              <w:t>Network of Partnership Schools</w:t>
            </w:r>
          </w:p>
          <w:p w:rsidRPr="001C2747" w:rsidR="006A1ECF" w:rsidP="000B0C2E" w:rsidRDefault="006A1ECF" w14:paraId="6F9E1C60" w14:textId="3A4205DD">
            <w:pPr>
              <w:rPr>
                <w:rFonts w:eastAsia="SimSun"/>
                <w:color w:val="000000"/>
                <w:lang w:eastAsia="zh-CN"/>
              </w:rPr>
            </w:pPr>
            <w:r w:rsidRPr="001C2747">
              <w:rPr>
                <w:rFonts w:eastAsia="SimSun"/>
                <w:color w:val="000000"/>
                <w:lang w:eastAsia="zh-CN"/>
              </w:rPr>
              <w:t>Johns Hopkins University</w:t>
            </w:r>
          </w:p>
          <w:p w:rsidRPr="001C2747" w:rsidR="006A1ECF" w:rsidP="000B0C2E" w:rsidRDefault="006A1ECF" w14:paraId="1FB382B7" w14:textId="77777777">
            <w:pPr>
              <w:rPr>
                <w:rFonts w:eastAsia="SimSun"/>
                <w:color w:val="000000"/>
                <w:lang w:eastAsia="zh-CN"/>
              </w:rPr>
            </w:pPr>
            <w:r w:rsidRPr="001C2747">
              <w:rPr>
                <w:rFonts w:eastAsia="SimSun"/>
                <w:color w:val="000000"/>
                <w:lang w:eastAsia="zh-CN"/>
              </w:rPr>
              <w:t>3003 North Charles Street, Suite 200</w:t>
            </w:r>
          </w:p>
          <w:p w:rsidRPr="001C2747" w:rsidR="006A1ECF" w:rsidP="000B0C2E" w:rsidRDefault="006A1ECF" w14:paraId="44AA796D" w14:textId="77777777">
            <w:pPr>
              <w:rPr>
                <w:rFonts w:eastAsia="SimSun"/>
                <w:color w:val="000000"/>
                <w:lang w:eastAsia="zh-CN"/>
              </w:rPr>
            </w:pPr>
            <w:r w:rsidRPr="001C2747">
              <w:rPr>
                <w:rFonts w:eastAsia="SimSun"/>
                <w:color w:val="000000"/>
                <w:lang w:eastAsia="zh-CN"/>
              </w:rPr>
              <w:t>Baltimore, MD 21218</w:t>
            </w:r>
          </w:p>
          <w:p w:rsidRPr="001C2747" w:rsidR="006A1ECF" w:rsidP="000B0C2E" w:rsidRDefault="006A1ECF" w14:paraId="5B01275C" w14:textId="77777777">
            <w:pPr>
              <w:rPr>
                <w:rFonts w:eastAsia="SimSun"/>
                <w:color w:val="000000"/>
                <w:lang w:eastAsia="zh-CN"/>
              </w:rPr>
            </w:pPr>
            <w:r w:rsidRPr="001C2747">
              <w:rPr>
                <w:rFonts w:eastAsia="SimSun"/>
                <w:color w:val="000000"/>
                <w:lang w:eastAsia="zh-CN"/>
              </w:rPr>
              <w:t>e-mail:  jepstein@CSOS.jhu.edu</w:t>
            </w:r>
          </w:p>
          <w:p w:rsidRPr="001C2747" w:rsidR="006A1ECF" w:rsidP="000B0C2E" w:rsidRDefault="006A1ECF" w14:paraId="564FC951" w14:textId="77777777">
            <w:pPr>
              <w:rPr>
                <w:bCs/>
              </w:rPr>
            </w:pPr>
          </w:p>
          <w:p w:rsidRPr="001C2747" w:rsidR="006A1ECF" w:rsidP="000B0C2E" w:rsidRDefault="006A1ECF" w14:paraId="4DEAFA8C" w14:textId="77777777">
            <w:pPr>
              <w:rPr>
                <w:bCs/>
              </w:rPr>
            </w:pPr>
            <w:r w:rsidRPr="001C2747">
              <w:rPr>
                <w:bCs/>
              </w:rPr>
              <w:t>Glenn Flores, MD, FAAP</w:t>
            </w:r>
          </w:p>
          <w:p w:rsidRPr="001C2747" w:rsidR="006A1ECF" w:rsidP="000B0C2E" w:rsidRDefault="006A1ECF" w14:paraId="4A9AA9B2" w14:textId="77777777">
            <w:pPr>
              <w:rPr>
                <w:rFonts w:eastAsia="SimSun"/>
                <w:lang w:eastAsia="zh-CN"/>
              </w:rPr>
            </w:pPr>
            <w:r w:rsidRPr="001C2747">
              <w:rPr>
                <w:rFonts w:eastAsia="SimSun"/>
                <w:lang w:eastAsia="zh-CN"/>
              </w:rPr>
              <w:t>Professor and Chief</w:t>
            </w:r>
          </w:p>
          <w:p w:rsidRPr="001C2747" w:rsidR="006A1ECF" w:rsidP="000B0C2E" w:rsidRDefault="006A1ECF" w14:paraId="2A6CED87" w14:textId="77777777">
            <w:pPr>
              <w:rPr>
                <w:rFonts w:eastAsia="SimSun"/>
                <w:lang w:eastAsia="zh-CN"/>
              </w:rPr>
            </w:pPr>
            <w:r w:rsidRPr="001C2747">
              <w:rPr>
                <w:rFonts w:eastAsia="SimSun"/>
                <w:lang w:eastAsia="zh-CN"/>
              </w:rPr>
              <w:t>Division of General Pediatrics</w:t>
            </w:r>
          </w:p>
          <w:p w:rsidRPr="001C2747" w:rsidR="006A1ECF" w:rsidP="000B0C2E" w:rsidRDefault="006A1ECF" w14:paraId="2FE1220B" w14:textId="77777777">
            <w:pPr>
              <w:rPr>
                <w:rFonts w:eastAsia="SimSun"/>
                <w:lang w:eastAsia="zh-CN"/>
              </w:rPr>
            </w:pPr>
            <w:r w:rsidRPr="001C2747">
              <w:rPr>
                <w:rFonts w:eastAsia="SimSun"/>
                <w:lang w:eastAsia="zh-CN"/>
              </w:rPr>
              <w:t>UT Southwestern Medical Center</w:t>
            </w:r>
          </w:p>
          <w:p w:rsidRPr="001C2747" w:rsidR="006A1ECF" w:rsidP="000B0C2E" w:rsidRDefault="006A1ECF" w14:paraId="6AE3DD34" w14:textId="77777777">
            <w:pPr>
              <w:rPr>
                <w:rFonts w:eastAsia="SimSun"/>
                <w:lang w:eastAsia="zh-CN"/>
              </w:rPr>
            </w:pPr>
            <w:r w:rsidRPr="001C2747">
              <w:rPr>
                <w:rFonts w:eastAsia="SimSun"/>
                <w:lang w:eastAsia="zh-CN"/>
              </w:rPr>
              <w:t>5323 Harry Hines Blvd</w:t>
            </w:r>
          </w:p>
          <w:p w:rsidRPr="001C2747" w:rsidR="006A1ECF" w:rsidP="000B0C2E" w:rsidRDefault="006A1ECF" w14:paraId="42AA1298" w14:textId="77777777">
            <w:pPr>
              <w:rPr>
                <w:rFonts w:eastAsia="SimSun"/>
                <w:lang w:eastAsia="zh-CN"/>
              </w:rPr>
            </w:pPr>
            <w:r w:rsidRPr="001C2747">
              <w:rPr>
                <w:rFonts w:eastAsia="SimSun"/>
                <w:lang w:eastAsia="zh-CN"/>
              </w:rPr>
              <w:t>Dallas, TX 75390</w:t>
            </w:r>
          </w:p>
          <w:p w:rsidRPr="001C2747" w:rsidR="006A1ECF" w:rsidP="000B0C2E" w:rsidRDefault="006A1ECF" w14:paraId="1198310E" w14:textId="77777777">
            <w:r w:rsidRPr="001C2747">
              <w:t>Glenn Flores, MD</w:t>
            </w:r>
          </w:p>
          <w:p w:rsidRPr="001C2747" w:rsidR="006A1ECF" w:rsidP="000B0C2E" w:rsidRDefault="006A1ECF" w14:paraId="169EA5C7" w14:textId="77777777">
            <w:r w:rsidRPr="001C2747">
              <w:t>e-mail:  Glenn.Flores@UTSouthwestern.edu</w:t>
            </w:r>
          </w:p>
          <w:p w:rsidRPr="001C2747" w:rsidR="006A1ECF" w:rsidP="000B0C2E" w:rsidRDefault="006A1ECF" w14:paraId="5F4A85E7" w14:textId="77777777">
            <w:pPr>
              <w:rPr>
                <w:bCs/>
                <w:color w:val="000000"/>
              </w:rPr>
            </w:pPr>
          </w:p>
          <w:p w:rsidRPr="001C2747" w:rsidR="006A1ECF" w:rsidP="000B0C2E" w:rsidRDefault="006A1ECF" w14:paraId="48FFDB1D" w14:textId="77777777">
            <w:pPr>
              <w:rPr>
                <w:rFonts w:eastAsia="SimSun"/>
                <w:lang w:eastAsia="zh-CN"/>
              </w:rPr>
            </w:pPr>
            <w:r w:rsidRPr="001C2747">
              <w:t>Deanna M. Hoelscher, PhD, RD, LD, CNS</w:t>
            </w:r>
            <w:r w:rsidRPr="001C2747">
              <w:br/>
            </w:r>
            <w:r w:rsidRPr="001C2747">
              <w:rPr>
                <w:rFonts w:eastAsia="SimSun"/>
                <w:lang w:eastAsia="zh-CN"/>
              </w:rPr>
              <w:t>Director, Michael &amp; Susan Dell Center for Advancement of Healthy Living</w:t>
            </w:r>
          </w:p>
          <w:p w:rsidRPr="001C2747" w:rsidR="006A1ECF" w:rsidP="000B0C2E" w:rsidRDefault="006A1ECF" w14:paraId="1A85CC77" w14:textId="77777777">
            <w:pPr>
              <w:rPr>
                <w:rFonts w:eastAsia="SimSun"/>
                <w:lang w:eastAsia="zh-CN"/>
              </w:rPr>
            </w:pPr>
            <w:r w:rsidRPr="001C2747">
              <w:rPr>
                <w:rFonts w:eastAsia="SimSun"/>
                <w:lang w:eastAsia="zh-CN"/>
              </w:rPr>
              <w:t>Associate Professor</w:t>
            </w:r>
          </w:p>
          <w:p w:rsidRPr="001C2747" w:rsidR="006A1ECF" w:rsidP="000B0C2E" w:rsidRDefault="006A1ECF" w14:paraId="1A01BE69" w14:textId="77777777">
            <w:pPr>
              <w:rPr>
                <w:rFonts w:eastAsia="SimSun"/>
                <w:lang w:eastAsia="zh-CN"/>
              </w:rPr>
            </w:pPr>
            <w:r w:rsidRPr="001C2747">
              <w:rPr>
                <w:rFonts w:eastAsia="SimSun"/>
                <w:lang w:eastAsia="zh-CN"/>
              </w:rPr>
              <w:t>UTSPH Austin Regional Campus</w:t>
            </w:r>
          </w:p>
          <w:p w:rsidRPr="001C2747" w:rsidR="006A1ECF" w:rsidP="000B0C2E" w:rsidRDefault="006A1ECF" w14:paraId="4FF27911" w14:textId="77777777">
            <w:pPr>
              <w:rPr>
                <w:rFonts w:eastAsia="SimSun"/>
                <w:lang w:eastAsia="zh-CN"/>
              </w:rPr>
            </w:pPr>
            <w:r w:rsidRPr="001C2747">
              <w:rPr>
                <w:rFonts w:eastAsia="SimSun"/>
                <w:lang w:eastAsia="zh-CN"/>
              </w:rPr>
              <w:t>313 E. 12th Street, Suite 220</w:t>
            </w:r>
          </w:p>
          <w:p w:rsidRPr="001C2747" w:rsidR="006A1ECF" w:rsidP="000B0C2E" w:rsidRDefault="006A1ECF" w14:paraId="241B607D" w14:textId="77777777">
            <w:pPr>
              <w:rPr>
                <w:rFonts w:eastAsia="SimSun"/>
                <w:lang w:eastAsia="zh-CN"/>
              </w:rPr>
            </w:pPr>
            <w:r w:rsidRPr="001C2747">
              <w:rPr>
                <w:rFonts w:eastAsia="SimSun"/>
                <w:lang w:eastAsia="zh-CN"/>
              </w:rPr>
              <w:t>Austin, TX  78701</w:t>
            </w:r>
          </w:p>
          <w:p w:rsidRPr="001C2747" w:rsidR="006A1ECF" w:rsidP="000B0C2E" w:rsidRDefault="006A1ECF" w14:paraId="495150AF" w14:textId="77777777">
            <w:pPr>
              <w:rPr>
                <w:rFonts w:eastAsia="SimSun"/>
                <w:lang w:eastAsia="zh-CN"/>
              </w:rPr>
            </w:pPr>
            <w:r w:rsidRPr="001C2747">
              <w:rPr>
                <w:rFonts w:eastAsia="SimSun"/>
                <w:lang w:eastAsia="zh-CN"/>
              </w:rPr>
              <w:t>512-482-6168</w:t>
            </w:r>
          </w:p>
          <w:p w:rsidRPr="001C2747" w:rsidR="006A1ECF" w:rsidP="000B0C2E" w:rsidRDefault="006A1ECF" w14:paraId="4F912908" w14:textId="77777777">
            <w:pPr>
              <w:rPr>
                <w:rFonts w:eastAsia="SimSun"/>
                <w:lang w:eastAsia="zh-CN"/>
              </w:rPr>
            </w:pPr>
            <w:r w:rsidRPr="001C2747">
              <w:rPr>
                <w:rFonts w:eastAsia="SimSun"/>
                <w:lang w:eastAsia="zh-CN"/>
              </w:rPr>
              <w:t>512-482-6185 (fax)</w:t>
            </w:r>
          </w:p>
          <w:p w:rsidRPr="001C2747" w:rsidR="006A1ECF" w:rsidP="000B0C2E" w:rsidRDefault="006A1ECF" w14:paraId="0EE0017C" w14:textId="77777777">
            <w:pPr>
              <w:rPr>
                <w:rFonts w:eastAsia="SimSun"/>
                <w:lang w:eastAsia="zh-CN"/>
              </w:rPr>
            </w:pPr>
            <w:r w:rsidRPr="001C2747">
              <w:rPr>
                <w:rFonts w:eastAsia="SimSun"/>
                <w:lang w:eastAsia="zh-CN"/>
              </w:rPr>
              <w:t xml:space="preserve">e-mail:  Deanna.M.Hoelscher@uth.tmc.edu </w:t>
            </w:r>
          </w:p>
          <w:p w:rsidRPr="001C2747" w:rsidR="006A1ECF" w:rsidP="000B0C2E" w:rsidRDefault="006A1ECF" w14:paraId="42A5A2E6" w14:textId="77777777">
            <w:pPr>
              <w:rPr>
                <w:color w:val="000000"/>
              </w:rPr>
            </w:pPr>
          </w:p>
          <w:p w:rsidRPr="001C2747" w:rsidR="006A1ECF" w:rsidP="000B0C2E" w:rsidRDefault="006A1ECF" w14:paraId="67673BE0" w14:textId="77777777">
            <w:pPr>
              <w:rPr>
                <w:color w:val="000000"/>
              </w:rPr>
            </w:pPr>
            <w:r w:rsidRPr="001C2747">
              <w:rPr>
                <w:bCs/>
                <w:color w:val="000000"/>
              </w:rPr>
              <w:t>Philip Huang, MD, MPH</w:t>
            </w:r>
            <w:r w:rsidRPr="001C2747">
              <w:rPr>
                <w:color w:val="000000"/>
              </w:rPr>
              <w:t xml:space="preserve"> </w:t>
            </w:r>
            <w:r w:rsidRPr="001C2747">
              <w:rPr>
                <w:color w:val="000000"/>
              </w:rPr>
              <w:br/>
              <w:t xml:space="preserve">Medical Director </w:t>
            </w:r>
            <w:r w:rsidRPr="001C2747">
              <w:rPr>
                <w:color w:val="000000"/>
              </w:rPr>
              <w:br/>
              <w:t xml:space="preserve">Chronic Disease Prevention </w:t>
            </w:r>
            <w:r w:rsidRPr="001C2747">
              <w:rPr>
                <w:color w:val="000000"/>
              </w:rPr>
              <w:br/>
              <w:t xml:space="preserve">Texas Department of State Health Services </w:t>
            </w:r>
            <w:r w:rsidRPr="001C2747">
              <w:rPr>
                <w:color w:val="000000"/>
              </w:rPr>
              <w:br/>
              <w:t xml:space="preserve">1100 W. 49th Street </w:t>
            </w:r>
            <w:r w:rsidRPr="001C2747">
              <w:rPr>
                <w:color w:val="000000"/>
              </w:rPr>
              <w:br/>
              <w:t xml:space="preserve">Austin, TX 78756 </w:t>
            </w:r>
          </w:p>
          <w:p w:rsidRPr="001C2747" w:rsidR="006A1ECF" w:rsidP="000B0C2E" w:rsidRDefault="006A1ECF" w14:paraId="7E70F6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r w:rsidRPr="001C2747">
              <w:rPr>
                <w:color w:val="000000"/>
              </w:rPr>
              <w:t>e-mail:  Philip.Huang@dshs.state.tx.us</w:t>
            </w:r>
          </w:p>
        </w:tc>
        <w:tc>
          <w:tcPr>
            <w:tcW w:w="360" w:type="dxa"/>
          </w:tcPr>
          <w:p w:rsidRPr="001C2747" w:rsidR="006A1ECF" w:rsidP="000B0C2E" w:rsidRDefault="006A1ECF" w14:paraId="4EBD30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c>
        <w:tc>
          <w:tcPr>
            <w:tcW w:w="4908" w:type="dxa"/>
          </w:tcPr>
          <w:p w:rsidRPr="001C2747" w:rsidR="006A1ECF" w:rsidP="000B0C2E" w:rsidRDefault="006A1ECF" w14:paraId="4AEBE942" w14:textId="77777777">
            <w:pPr>
              <w:rPr>
                <w:rFonts w:eastAsia="SimSun"/>
                <w:bCs/>
                <w:color w:val="000000"/>
                <w:lang w:eastAsia="zh-CN"/>
              </w:rPr>
            </w:pPr>
            <w:r w:rsidRPr="00633A30">
              <w:rPr>
                <w:rFonts w:eastAsia="SimSun"/>
                <w:bCs/>
                <w:color w:val="000000"/>
                <w:lang w:eastAsia="zh-CN"/>
              </w:rPr>
              <w:t>Donna Mazyck</w:t>
            </w:r>
            <w:r w:rsidRPr="001C2747">
              <w:rPr>
                <w:rFonts w:eastAsia="SimSun"/>
                <w:bCs/>
                <w:color w:val="000000"/>
                <w:lang w:eastAsia="zh-CN"/>
              </w:rPr>
              <w:t>, RN, MS, NCSN</w:t>
            </w:r>
          </w:p>
          <w:p w:rsidRPr="001C2747" w:rsidR="006A1ECF" w:rsidP="000B0C2E" w:rsidRDefault="006A1ECF" w14:paraId="57605434" w14:textId="77777777">
            <w:pPr>
              <w:rPr>
                <w:rFonts w:eastAsia="SimSun"/>
                <w:color w:val="000000"/>
                <w:lang w:eastAsia="zh-CN"/>
              </w:rPr>
            </w:pPr>
            <w:r w:rsidRPr="001C2747">
              <w:rPr>
                <w:rFonts w:eastAsia="SimSun"/>
                <w:color w:val="000000"/>
                <w:lang w:eastAsia="zh-CN"/>
              </w:rPr>
              <w:t>Maryland State Department of Education</w:t>
            </w:r>
          </w:p>
          <w:p w:rsidRPr="001C2747" w:rsidR="006A1ECF" w:rsidP="000B0C2E" w:rsidRDefault="006A1ECF" w14:paraId="258B36D1" w14:textId="77777777">
            <w:pPr>
              <w:rPr>
                <w:rFonts w:eastAsia="SimSun"/>
                <w:color w:val="000000"/>
                <w:lang w:eastAsia="zh-CN"/>
              </w:rPr>
            </w:pPr>
            <w:r w:rsidRPr="001C2747">
              <w:rPr>
                <w:rFonts w:eastAsia="SimSun"/>
                <w:color w:val="000000"/>
                <w:lang w:eastAsia="zh-CN"/>
              </w:rPr>
              <w:t>Division of Student, Family and School Support</w:t>
            </w:r>
          </w:p>
          <w:p w:rsidRPr="001C2747" w:rsidR="006A1ECF" w:rsidP="000B0C2E" w:rsidRDefault="006A1ECF" w14:paraId="68C2C74A" w14:textId="77777777">
            <w:pPr>
              <w:rPr>
                <w:rFonts w:eastAsia="SimSun"/>
                <w:color w:val="000000"/>
                <w:lang w:eastAsia="zh-CN"/>
              </w:rPr>
            </w:pPr>
            <w:r w:rsidRPr="001C2747">
              <w:rPr>
                <w:rFonts w:eastAsia="SimSun"/>
                <w:color w:val="000000"/>
                <w:lang w:eastAsia="zh-CN"/>
              </w:rPr>
              <w:t>200 West Baltimore Street</w:t>
            </w:r>
          </w:p>
          <w:p w:rsidRPr="001C2747" w:rsidR="006A1ECF" w:rsidP="000B0C2E" w:rsidRDefault="006A1ECF" w14:paraId="13645A25" w14:textId="77777777">
            <w:pPr>
              <w:rPr>
                <w:rFonts w:eastAsia="SimSun"/>
                <w:color w:val="000000"/>
                <w:lang w:eastAsia="zh-CN"/>
              </w:rPr>
            </w:pPr>
            <w:r w:rsidRPr="001C2747">
              <w:rPr>
                <w:rFonts w:eastAsia="SimSun"/>
                <w:color w:val="000000"/>
                <w:lang w:eastAsia="zh-CN"/>
              </w:rPr>
              <w:t>Baltimore, MD 21201</w:t>
            </w:r>
          </w:p>
          <w:p w:rsidRPr="001C2747" w:rsidR="006A1ECF" w:rsidP="000B0C2E" w:rsidRDefault="006A1ECF" w14:paraId="0BE30560" w14:textId="77777777">
            <w:pPr>
              <w:rPr>
                <w:rFonts w:eastAsia="SimSun"/>
                <w:color w:val="000000"/>
                <w:lang w:eastAsia="zh-CN"/>
              </w:rPr>
            </w:pPr>
            <w:r w:rsidRPr="001C2747">
              <w:rPr>
                <w:rFonts w:eastAsia="SimSun"/>
                <w:color w:val="000000"/>
                <w:lang w:eastAsia="zh-CN"/>
              </w:rPr>
              <w:t>e-mail:  dmazyck@msde.state.md.us</w:t>
            </w:r>
          </w:p>
          <w:p w:rsidRPr="001C2747" w:rsidR="00441DAC" w:rsidP="000B0C2E" w:rsidRDefault="00441DAC" w14:paraId="1F51F5BD" w14:textId="77777777">
            <w:pPr>
              <w:rPr>
                <w:color w:val="000000"/>
              </w:rPr>
            </w:pPr>
          </w:p>
          <w:p w:rsidRPr="001C2747" w:rsidR="006A1ECF" w:rsidP="000B0C2E" w:rsidRDefault="006A1ECF" w14:paraId="264D208A" w14:textId="77777777">
            <w:pPr>
              <w:rPr>
                <w:bCs/>
                <w:color w:val="000000"/>
              </w:rPr>
            </w:pPr>
            <w:r w:rsidRPr="001C2747">
              <w:rPr>
                <w:bCs/>
                <w:color w:val="000000"/>
              </w:rPr>
              <w:t>Beth Pateman, Professor</w:t>
            </w:r>
          </w:p>
          <w:p w:rsidRPr="001C2747" w:rsidR="006A1ECF" w:rsidP="000B0C2E" w:rsidRDefault="006A1ECF" w14:paraId="77E60F8B" w14:textId="77777777">
            <w:pPr>
              <w:rPr>
                <w:color w:val="000000"/>
              </w:rPr>
            </w:pPr>
            <w:r w:rsidRPr="001C2747">
              <w:rPr>
                <w:color w:val="000000"/>
              </w:rPr>
              <w:t>Elementary Co-Director</w:t>
            </w:r>
          </w:p>
          <w:p w:rsidRPr="001C2747" w:rsidR="006A1ECF" w:rsidP="000B0C2E" w:rsidRDefault="006A1ECF" w14:paraId="4FEF374A" w14:textId="77777777">
            <w:pPr>
              <w:rPr>
                <w:color w:val="000000"/>
              </w:rPr>
            </w:pPr>
            <w:r w:rsidRPr="001C2747">
              <w:rPr>
                <w:color w:val="000000"/>
              </w:rPr>
              <w:t>Institute for Teacher Education</w:t>
            </w:r>
          </w:p>
          <w:p w:rsidRPr="001C2747" w:rsidR="006A1ECF" w:rsidP="000B0C2E" w:rsidRDefault="006A1ECF" w14:paraId="2728EC06" w14:textId="77777777">
            <w:pPr>
              <w:rPr>
                <w:color w:val="000000"/>
              </w:rPr>
            </w:pPr>
            <w:r w:rsidRPr="001C2747">
              <w:rPr>
                <w:color w:val="000000"/>
              </w:rPr>
              <w:t>1776 University Ave.</w:t>
            </w:r>
          </w:p>
          <w:p w:rsidRPr="001C2747" w:rsidR="006A1ECF" w:rsidP="000B0C2E" w:rsidRDefault="006A1ECF" w14:paraId="67F3695C" w14:textId="77777777">
            <w:pPr>
              <w:rPr>
                <w:color w:val="000000"/>
              </w:rPr>
            </w:pPr>
            <w:r w:rsidRPr="001C2747">
              <w:rPr>
                <w:color w:val="000000"/>
              </w:rPr>
              <w:t>Everly Hall 223</w:t>
            </w:r>
          </w:p>
          <w:p w:rsidRPr="001C2747" w:rsidR="006A1ECF" w:rsidP="000B0C2E" w:rsidRDefault="006A1ECF" w14:paraId="001DDDB2" w14:textId="77777777">
            <w:pPr>
              <w:rPr>
                <w:color w:val="000000"/>
              </w:rPr>
            </w:pPr>
            <w:r w:rsidRPr="001C2747">
              <w:rPr>
                <w:color w:val="000000"/>
              </w:rPr>
              <w:t>University of Hawaii at Manoa</w:t>
            </w:r>
          </w:p>
          <w:p w:rsidRPr="001C2747" w:rsidR="006A1ECF" w:rsidP="000B0C2E" w:rsidRDefault="006A1ECF" w14:paraId="14CE9F07" w14:textId="77777777">
            <w:pPr>
              <w:rPr>
                <w:color w:val="000000"/>
              </w:rPr>
            </w:pPr>
            <w:r w:rsidRPr="001C2747">
              <w:rPr>
                <w:color w:val="000000"/>
              </w:rPr>
              <w:t>Honolulu, HI 96822</w:t>
            </w:r>
          </w:p>
          <w:p w:rsidRPr="001C2747" w:rsidR="006A1ECF" w:rsidP="000B0C2E" w:rsidRDefault="006A1ECF" w14:paraId="55B78D36" w14:textId="77777777">
            <w:pPr>
              <w:rPr>
                <w:color w:val="000000"/>
              </w:rPr>
            </w:pPr>
            <w:r w:rsidRPr="001C2747">
              <w:rPr>
                <w:color w:val="000000"/>
              </w:rPr>
              <w:t>e-mail: mpateman@Hawaii.Edu</w:t>
            </w:r>
          </w:p>
          <w:p w:rsidRPr="001C2747" w:rsidR="006A1ECF" w:rsidP="000B0C2E" w:rsidRDefault="006A1ECF" w14:paraId="7DB12544" w14:textId="77777777">
            <w:pPr>
              <w:rPr>
                <w:color w:val="000000"/>
              </w:rPr>
            </w:pPr>
          </w:p>
          <w:p w:rsidRPr="001C2747" w:rsidR="006A1ECF" w:rsidP="000B0C2E" w:rsidRDefault="006A1ECF" w14:paraId="0FEF8D27" w14:textId="77777777">
            <w:pPr>
              <w:rPr>
                <w:rFonts w:eastAsia="SimSun"/>
                <w:bCs/>
                <w:color w:val="000000"/>
                <w:lang w:eastAsia="zh-CN"/>
              </w:rPr>
            </w:pPr>
            <w:r w:rsidRPr="00633A30">
              <w:rPr>
                <w:rFonts w:eastAsia="SimSun"/>
                <w:bCs/>
                <w:color w:val="000000"/>
                <w:lang w:eastAsia="zh-CN"/>
              </w:rPr>
              <w:t>Phyllis E. Simpson</w:t>
            </w:r>
            <w:r w:rsidRPr="001C2747">
              <w:rPr>
                <w:rFonts w:eastAsia="SimSun"/>
                <w:bCs/>
                <w:color w:val="000000"/>
                <w:lang w:eastAsia="zh-CN"/>
              </w:rPr>
              <w:t>, Ph.D.</w:t>
            </w:r>
          </w:p>
          <w:p w:rsidRPr="001C2747" w:rsidR="00D344C1" w:rsidP="000B0C2E" w:rsidRDefault="00D344C1" w14:paraId="7406D6EC" w14:textId="77777777">
            <w:pPr>
              <w:rPr>
                <w:rFonts w:eastAsia="SimSun"/>
                <w:color w:val="000000"/>
                <w:lang w:eastAsia="zh-CN"/>
              </w:rPr>
            </w:pPr>
            <w:r w:rsidRPr="001C2747">
              <w:rPr>
                <w:rFonts w:eastAsia="SimSun"/>
                <w:color w:val="000000"/>
                <w:lang w:eastAsia="zh-CN"/>
              </w:rPr>
              <w:t>Retired</w:t>
            </w:r>
          </w:p>
          <w:p w:rsidRPr="001C2747" w:rsidR="006A1ECF" w:rsidP="000B0C2E" w:rsidRDefault="006A1ECF" w14:paraId="4570200F" w14:textId="77777777">
            <w:pPr>
              <w:rPr>
                <w:rFonts w:eastAsia="SimSun"/>
                <w:color w:val="000000"/>
                <w:lang w:eastAsia="zh-CN"/>
              </w:rPr>
            </w:pPr>
            <w:r w:rsidRPr="001C2747">
              <w:rPr>
                <w:rFonts w:eastAsia="SimSun"/>
                <w:color w:val="000000"/>
                <w:lang w:eastAsia="zh-CN"/>
              </w:rPr>
              <w:t>1020 Springbrook Drive</w:t>
            </w:r>
          </w:p>
          <w:p w:rsidRPr="001C2747" w:rsidR="006A1ECF" w:rsidP="000B0C2E" w:rsidRDefault="006A1ECF" w14:paraId="798AB0E5" w14:textId="65FC05E9">
            <w:pPr>
              <w:rPr>
                <w:rFonts w:eastAsia="SimSun"/>
                <w:color w:val="000000"/>
                <w:lang w:eastAsia="zh-CN"/>
              </w:rPr>
            </w:pPr>
            <w:r w:rsidRPr="001C2747">
              <w:rPr>
                <w:rFonts w:eastAsia="SimSun"/>
                <w:color w:val="000000"/>
                <w:lang w:eastAsia="zh-CN"/>
              </w:rPr>
              <w:t>DeSoto, Texas 75115</w:t>
            </w:r>
          </w:p>
          <w:p w:rsidRPr="001C2747" w:rsidR="006A1ECF" w:rsidP="000B0C2E" w:rsidRDefault="006A1ECF" w14:paraId="58B12C0A" w14:textId="77777777">
            <w:pPr>
              <w:rPr>
                <w:rFonts w:eastAsia="SimSun"/>
                <w:color w:val="000000"/>
                <w:lang w:eastAsia="zh-CN"/>
              </w:rPr>
            </w:pPr>
            <w:r w:rsidRPr="001C2747">
              <w:rPr>
                <w:rFonts w:eastAsia="SimSun"/>
                <w:color w:val="000000"/>
                <w:lang w:eastAsia="zh-CN"/>
              </w:rPr>
              <w:t>e-mail:  drphyllissimpson@yahoo.com</w:t>
            </w:r>
          </w:p>
          <w:p w:rsidRPr="001C2747" w:rsidR="006A1ECF" w:rsidP="000B0C2E" w:rsidRDefault="006A1ECF" w14:paraId="1FF35660" w14:textId="77777777">
            <w:pPr>
              <w:rPr>
                <w:color w:val="000000"/>
              </w:rPr>
            </w:pPr>
          </w:p>
          <w:p w:rsidRPr="001C2747" w:rsidR="006A1ECF" w:rsidP="000B0C2E" w:rsidRDefault="006A1ECF" w14:paraId="55455313" w14:textId="77777777">
            <w:pPr>
              <w:rPr>
                <w:bCs/>
                <w:color w:val="000000"/>
              </w:rPr>
            </w:pPr>
            <w:r w:rsidRPr="001C2747">
              <w:rPr>
                <w:bCs/>
                <w:color w:val="000000"/>
              </w:rPr>
              <w:t xml:space="preserve">Bonita F. Stanton, MD </w:t>
            </w:r>
            <w:r w:rsidRPr="001C2747" w:rsidR="00241B60">
              <w:rPr>
                <w:bCs/>
                <w:color w:val="000000"/>
              </w:rPr>
              <w:fldChar w:fldCharType="begin"/>
            </w:r>
            <w:r w:rsidRPr="001C2747">
              <w:rPr>
                <w:bCs/>
                <w:color w:val="000000"/>
              </w:rPr>
              <w:instrText>PRIVATE</w:instrText>
            </w:r>
            <w:r w:rsidRPr="001C2747" w:rsidR="00241B60">
              <w:rPr>
                <w:bCs/>
                <w:color w:val="000000"/>
              </w:rPr>
              <w:fldChar w:fldCharType="end"/>
            </w:r>
          </w:p>
          <w:p w:rsidRPr="001C2747" w:rsidR="006A1ECF" w:rsidP="000B0C2E" w:rsidRDefault="006A1ECF" w14:paraId="5F90F490" w14:textId="77777777">
            <w:pPr>
              <w:rPr>
                <w:color w:val="000000"/>
              </w:rPr>
            </w:pPr>
            <w:r w:rsidRPr="001C2747">
              <w:rPr>
                <w:color w:val="000000"/>
              </w:rPr>
              <w:t>Professor and Chair, Dept. of Pediatrics</w:t>
            </w:r>
          </w:p>
          <w:p w:rsidRPr="001C2747" w:rsidR="006A1ECF" w:rsidP="000B0C2E" w:rsidRDefault="006A1ECF" w14:paraId="57033165" w14:textId="77777777">
            <w:pPr>
              <w:rPr>
                <w:color w:val="000000"/>
              </w:rPr>
            </w:pPr>
            <w:r w:rsidRPr="001C2747">
              <w:rPr>
                <w:color w:val="000000"/>
              </w:rPr>
              <w:t xml:space="preserve">Wayne State University </w:t>
            </w:r>
            <w:r w:rsidRPr="001C2747">
              <w:rPr>
                <w:color w:val="000000"/>
              </w:rPr>
              <w:br/>
              <w:t xml:space="preserve">Address: Children's Hospital of Michigan </w:t>
            </w:r>
            <w:r w:rsidRPr="001C2747">
              <w:rPr>
                <w:color w:val="000000"/>
              </w:rPr>
              <w:br/>
              <w:t>3901 Beaubien</w:t>
            </w:r>
            <w:r w:rsidRPr="001C2747">
              <w:rPr>
                <w:color w:val="000000"/>
              </w:rPr>
              <w:br/>
              <w:t>Detroit MI 48201</w:t>
            </w:r>
          </w:p>
          <w:p w:rsidRPr="001C2747" w:rsidR="006A1ECF" w:rsidP="000B0C2E" w:rsidRDefault="006A1ECF" w14:paraId="308ADDEA" w14:textId="77777777">
            <w:pPr>
              <w:rPr>
                <w:color w:val="000000"/>
                <w:lang w:val="es-US"/>
              </w:rPr>
            </w:pPr>
            <w:r w:rsidRPr="001C2747">
              <w:rPr>
                <w:color w:val="000000"/>
                <w:lang w:val="es-US"/>
              </w:rPr>
              <w:t xml:space="preserve">e-mail:  </w:t>
            </w:r>
            <w:hyperlink w:history="1" r:id="rId19">
              <w:r w:rsidRPr="001C2747">
                <w:rPr>
                  <w:rStyle w:val="Hyperlink"/>
                  <w:color w:val="000000"/>
                  <w:lang w:val="es-US"/>
                </w:rPr>
                <w:t>BStanton@dmc.org</w:t>
              </w:r>
            </w:hyperlink>
            <w:r w:rsidRPr="001C2747">
              <w:rPr>
                <w:color w:val="000000"/>
                <w:lang w:val="es-US"/>
              </w:rPr>
              <w:t xml:space="preserve"> </w:t>
            </w:r>
          </w:p>
          <w:p w:rsidRPr="001C2747" w:rsidR="006A1ECF" w:rsidP="000B0C2E" w:rsidRDefault="006A1ECF" w14:paraId="5A7014E6" w14:textId="77777777">
            <w:pPr>
              <w:rPr>
                <w:color w:val="000000"/>
                <w:lang w:val="es-US"/>
              </w:rPr>
            </w:pPr>
          </w:p>
          <w:p w:rsidRPr="001C2747" w:rsidR="006A1ECF" w:rsidP="000B0C2E" w:rsidRDefault="006A1ECF" w14:paraId="18DEB2EB" w14:textId="77777777">
            <w:pPr>
              <w:rPr>
                <w:bCs/>
                <w:color w:val="000000"/>
                <w:lang w:val="es-ES"/>
              </w:rPr>
            </w:pPr>
            <w:r w:rsidRPr="001C2747">
              <w:rPr>
                <w:bCs/>
                <w:color w:val="000000"/>
                <w:lang w:val="es-ES"/>
              </w:rPr>
              <w:t>Carlos A. Vega-Matos</w:t>
            </w:r>
          </w:p>
          <w:p w:rsidRPr="001C2747" w:rsidR="006A1ECF" w:rsidP="000B0C2E" w:rsidRDefault="006A1ECF" w14:paraId="3282A269" w14:textId="77777777">
            <w:pPr>
              <w:rPr>
                <w:rFonts w:eastAsia="SimSun"/>
                <w:lang w:eastAsia="zh-CN"/>
              </w:rPr>
            </w:pPr>
            <w:r w:rsidRPr="001C2747">
              <w:rPr>
                <w:rFonts w:eastAsia="SimSun"/>
                <w:lang w:eastAsia="zh-CN"/>
              </w:rPr>
              <w:t>Provider Support Services</w:t>
            </w:r>
          </w:p>
          <w:p w:rsidRPr="001C2747" w:rsidR="006A1ECF" w:rsidP="000B0C2E" w:rsidRDefault="006A1ECF" w14:paraId="589D6318" w14:textId="77777777">
            <w:pPr>
              <w:rPr>
                <w:rFonts w:eastAsia="SimSun"/>
                <w:lang w:eastAsia="zh-CN"/>
              </w:rPr>
            </w:pPr>
            <w:r w:rsidRPr="001C2747">
              <w:rPr>
                <w:rFonts w:eastAsia="SimSun"/>
                <w:lang w:eastAsia="zh-CN"/>
              </w:rPr>
              <w:t>Office of AIDS Policy and Programs</w:t>
            </w:r>
          </w:p>
          <w:p w:rsidRPr="001C2747" w:rsidR="006A1ECF" w:rsidP="000B0C2E" w:rsidRDefault="006A1ECF" w14:paraId="28EF7E77" w14:textId="77777777">
            <w:pPr>
              <w:rPr>
                <w:rFonts w:eastAsia="SimSun"/>
                <w:lang w:eastAsia="zh-CN"/>
              </w:rPr>
            </w:pPr>
            <w:r w:rsidRPr="001C2747">
              <w:rPr>
                <w:rFonts w:eastAsia="SimSun"/>
                <w:lang w:eastAsia="zh-CN"/>
              </w:rPr>
              <w:t>600 South Commonwealth Avenue, 6th Floor</w:t>
            </w:r>
          </w:p>
          <w:p w:rsidRPr="001C2747" w:rsidR="006A1ECF" w:rsidP="000B0C2E" w:rsidRDefault="006A1ECF" w14:paraId="06D3608B" w14:textId="77777777">
            <w:pPr>
              <w:rPr>
                <w:rFonts w:eastAsia="SimSun"/>
                <w:lang w:eastAsia="zh-CN"/>
              </w:rPr>
            </w:pPr>
            <w:r w:rsidRPr="001C2747">
              <w:rPr>
                <w:rFonts w:eastAsia="SimSun"/>
                <w:lang w:eastAsia="zh-CN"/>
              </w:rPr>
              <w:t>Los Angeles, CA 90012</w:t>
            </w:r>
          </w:p>
          <w:p w:rsidRPr="001C2747" w:rsidR="006A1ECF" w:rsidP="000B0C2E" w:rsidRDefault="006A1ECF" w14:paraId="762B68A5" w14:textId="77777777">
            <w:pPr>
              <w:rPr>
                <w:rFonts w:eastAsia="SimSun"/>
                <w:lang w:eastAsia="zh-CN"/>
              </w:rPr>
            </w:pPr>
            <w:r w:rsidRPr="001C2747">
              <w:rPr>
                <w:rFonts w:eastAsia="SimSun"/>
                <w:lang w:eastAsia="zh-CN"/>
              </w:rPr>
              <w:t>213-351-8108 (v)</w:t>
            </w:r>
          </w:p>
          <w:p w:rsidRPr="001C2747" w:rsidR="006A1ECF" w:rsidP="000B0C2E" w:rsidRDefault="006A1ECF" w14:paraId="7A5A6BF6" w14:textId="77777777">
            <w:pPr>
              <w:rPr>
                <w:rFonts w:eastAsia="SimSun"/>
                <w:lang w:eastAsia="zh-CN"/>
              </w:rPr>
            </w:pPr>
            <w:r w:rsidRPr="001C2747">
              <w:rPr>
                <w:rFonts w:eastAsia="SimSun"/>
                <w:lang w:eastAsia="zh-CN"/>
              </w:rPr>
              <w:t>213-738-6571 (f)</w:t>
            </w:r>
          </w:p>
          <w:p w:rsidRPr="001C2747" w:rsidR="006A1ECF" w:rsidP="000B0C2E" w:rsidRDefault="006A1ECF" w14:paraId="79ECBD77" w14:textId="77777777">
            <w:pPr>
              <w:rPr>
                <w:rFonts w:eastAsia="SimSun"/>
                <w:lang w:eastAsia="zh-CN"/>
              </w:rPr>
            </w:pPr>
            <w:r w:rsidRPr="001C2747">
              <w:rPr>
                <w:rFonts w:eastAsia="SimSun"/>
                <w:lang w:eastAsia="zh-CN"/>
              </w:rPr>
              <w:t xml:space="preserve">e-mail:  </w:t>
            </w:r>
            <w:hyperlink w:tooltip="mailto:cvega-matos@ph.lacounty.gov" w:history="1" r:id="rId20">
              <w:r w:rsidRPr="001C2747">
                <w:rPr>
                  <w:rFonts w:eastAsia="SimSun"/>
                  <w:color w:val="0000FF"/>
                  <w:u w:val="single"/>
                  <w:lang w:eastAsia="zh-CN"/>
                </w:rPr>
                <w:t>cvega-matos@ph.lacounty.gov</w:t>
              </w:r>
            </w:hyperlink>
          </w:p>
        </w:tc>
      </w:tr>
    </w:tbl>
    <w:bookmarkEnd w:id="8"/>
    <w:p w:rsidRPr="001C2747" w:rsidR="006A1ECF" w:rsidP="000B0C2E" w:rsidRDefault="006A1ECF" w14:paraId="055206A6" w14:textId="0BD8C329">
      <w:pPr>
        <w:spacing w:before="120" w:after="120"/>
        <w:ind w:firstLine="720"/>
      </w:pPr>
      <w:r w:rsidRPr="001C2747">
        <w:rPr>
          <w:bCs/>
        </w:rPr>
        <w:t xml:space="preserve">The </w:t>
      </w:r>
      <w:r w:rsidRPr="001C2747" w:rsidR="009A52E3">
        <w:rPr>
          <w:bCs/>
        </w:rPr>
        <w:t xml:space="preserve">YRBS-specific </w:t>
      </w:r>
      <w:r w:rsidRPr="00633A30">
        <w:rPr>
          <w:bCs/>
        </w:rPr>
        <w:t>purpose</w:t>
      </w:r>
      <w:r w:rsidRPr="00633A30" w:rsidR="003C42F8">
        <w:rPr>
          <w:bCs/>
        </w:rPr>
        <w:t>s</w:t>
      </w:r>
      <w:r w:rsidRPr="00633A30">
        <w:rPr>
          <w:bCs/>
        </w:rPr>
        <w:t xml:space="preserve"> of t</w:t>
      </w:r>
      <w:r w:rsidRPr="00633A30" w:rsidR="009A52E3">
        <w:rPr>
          <w:bCs/>
        </w:rPr>
        <w:t>he External Review Panel w</w:t>
      </w:r>
      <w:r w:rsidRPr="00633A30" w:rsidR="003C42F8">
        <w:rPr>
          <w:bCs/>
        </w:rPr>
        <w:t>ere</w:t>
      </w:r>
      <w:r w:rsidRPr="00633A30" w:rsidR="009A52E3">
        <w:rPr>
          <w:bCs/>
        </w:rPr>
        <w:t xml:space="preserve"> to: 1) evaluate the scientific quality of the YRBS; 2) evaluate the public health impact of YRBS data; and 3) judge the relevance of the YRBS to public health, stakeholder, Administration, and Congressional priorities.</w:t>
      </w:r>
      <w:r w:rsidRPr="001C2747" w:rsidR="009A52E3">
        <w:rPr>
          <w:bCs/>
        </w:rPr>
        <w:t xml:space="preserve">  The questions posed to t</w:t>
      </w:r>
      <w:r w:rsidRPr="001C2747" w:rsidR="003C42F8">
        <w:rPr>
          <w:bCs/>
        </w:rPr>
        <w:t>he research panel included: 1) i</w:t>
      </w:r>
      <w:r w:rsidRPr="001C2747" w:rsidR="009A52E3">
        <w:rPr>
          <w:bCs/>
        </w:rPr>
        <w:t xml:space="preserve">s the YRBS relevant to programmatic activities of the division and </w:t>
      </w:r>
      <w:r w:rsidRPr="001C2747" w:rsidR="003C42F8">
        <w:rPr>
          <w:bCs/>
        </w:rPr>
        <w:t>an appropriate fit for CDC; 2) i</w:t>
      </w:r>
      <w:r w:rsidRPr="001C2747" w:rsidR="009A52E3">
        <w:rPr>
          <w:bCs/>
        </w:rPr>
        <w:t>s the YRBS methodology consistent with cu</w:t>
      </w:r>
      <w:r w:rsidRPr="001C2747" w:rsidR="003C42F8">
        <w:rPr>
          <w:bCs/>
        </w:rPr>
        <w:t>rrent scientific knowledge; 3) h</w:t>
      </w:r>
      <w:r w:rsidRPr="001C2747" w:rsidR="009A52E3">
        <w:rPr>
          <w:bCs/>
        </w:rPr>
        <w:t xml:space="preserve">ow can CDC help its partners to </w:t>
      </w:r>
      <w:r w:rsidRPr="001C2747" w:rsidR="009A52E3">
        <w:rPr>
          <w:bCs/>
        </w:rPr>
        <w:lastRenderedPageBreak/>
        <w:t xml:space="preserve">do a better job of interpreting and using YRBS data to improve school health policies and programs; and 4) what are the panel’s recommendations on changes that should be made in the focus or </w:t>
      </w:r>
      <w:r w:rsidRPr="001C2747" w:rsidR="0071263F">
        <w:rPr>
          <w:bCs/>
        </w:rPr>
        <w:t xml:space="preserve">quality of the YRBS?  </w:t>
      </w:r>
      <w:r w:rsidRPr="00633A30" w:rsidR="0071263F">
        <w:rPr>
          <w:bCs/>
        </w:rPr>
        <w:t>In the final report, the panel concluded the YRBS is an outstanding example of CDC’s surveillance efforts and an excellent fit for the agency</w:t>
      </w:r>
      <w:r w:rsidRPr="001C2747" w:rsidR="0071263F">
        <w:rPr>
          <w:bCs/>
        </w:rPr>
        <w:t>. The collection of quality data across youth health-risk behaviors sets the YRBS apart from other categorical surveys. These data sets and the reports generated from them are widely regarded as among the richest sources of data available on adolescents, nationally and worldwide.</w:t>
      </w:r>
      <w:r w:rsidRPr="001C2747" w:rsidR="009A52E3">
        <w:rPr>
          <w:bCs/>
        </w:rPr>
        <w:t xml:space="preserve"> </w:t>
      </w:r>
    </w:p>
    <w:p w:rsidR="007A358F" w:rsidP="007A358F" w:rsidRDefault="007A358F" w14:paraId="158D9310" w14:textId="11A8CEC3">
      <w:pPr>
        <w:spacing w:before="120" w:after="120"/>
        <w:ind w:firstLine="720"/>
      </w:pPr>
      <w:r w:rsidRPr="001C2747">
        <w:rPr>
          <w:bCs/>
        </w:rPr>
        <w:t xml:space="preserve">Phase </w:t>
      </w:r>
      <w:r>
        <w:rPr>
          <w:bCs/>
        </w:rPr>
        <w:t>Six</w:t>
      </w:r>
      <w:r w:rsidRPr="001C2747">
        <w:rPr>
          <w:bCs/>
        </w:rPr>
        <w:t xml:space="preserve">: </w:t>
      </w:r>
      <w:r w:rsidRPr="001C2747">
        <w:rPr>
          <w:bCs/>
          <w:u w:val="single"/>
        </w:rPr>
        <w:t xml:space="preserve">External </w:t>
      </w:r>
      <w:r>
        <w:rPr>
          <w:bCs/>
          <w:u w:val="single"/>
        </w:rPr>
        <w:t xml:space="preserve">Peer </w:t>
      </w:r>
      <w:r w:rsidRPr="001C2747">
        <w:rPr>
          <w:bCs/>
          <w:u w:val="single"/>
        </w:rPr>
        <w:t>Review Panel</w:t>
      </w:r>
    </w:p>
    <w:p w:rsidR="001C5A4E" w:rsidP="007A358F" w:rsidRDefault="00845716" w14:paraId="55D2374C" w14:textId="5E664C64">
      <w:pPr>
        <w:spacing w:before="120" w:after="120"/>
        <w:ind w:firstLine="720"/>
      </w:pPr>
      <w:r w:rsidRPr="00633A30">
        <w:t>At the request of OMB</w:t>
      </w:r>
      <w:r w:rsidRPr="00633A30" w:rsidR="007E1F60">
        <w:t>,</w:t>
      </w:r>
      <w:r w:rsidRPr="00633A30">
        <w:t xml:space="preserve"> an additional External Review Panel was convened in </w:t>
      </w:r>
      <w:r w:rsidRPr="00633A30" w:rsidR="007E1F60">
        <w:t>April 2018.</w:t>
      </w:r>
      <w:r w:rsidRPr="007E1F60">
        <w:t xml:space="preserve"> </w:t>
      </w:r>
      <w:r w:rsidR="007E1F60">
        <w:t>F</w:t>
      </w:r>
      <w:r w:rsidRPr="007E1F60" w:rsidR="007E1F60">
        <w:t>our experts in survey methodology, school-based data collection, and health surveys comment</w:t>
      </w:r>
      <w:r w:rsidR="007E1F60">
        <w:t>ed</w:t>
      </w:r>
      <w:r w:rsidRPr="007E1F60" w:rsidR="007E1F60">
        <w:t xml:space="preserve"> on the YRBS methodology and offer</w:t>
      </w:r>
      <w:r w:rsidR="007E1F60">
        <w:t>ed</w:t>
      </w:r>
      <w:r w:rsidRPr="007E1F60" w:rsidR="007E1F60">
        <w:t xml:space="preserve"> recommendations for improvement. </w:t>
      </w:r>
      <w:r w:rsidR="007E1F60">
        <w:t xml:space="preserve">Specifically, the topics of discussion were </w:t>
      </w:r>
      <w:r w:rsidRPr="00633A30" w:rsidR="007E1F60">
        <w:t>frame development and sampling design, maximizing participation, transition to a mixed mode methodology and YRBS strategy to address emerging topics.</w:t>
      </w:r>
      <w:r w:rsidR="007E1F60">
        <w:t xml:space="preserve"> </w:t>
      </w:r>
      <w:r w:rsidR="00D4490A">
        <w:t xml:space="preserve">The Panel report is provided in </w:t>
      </w:r>
      <w:r w:rsidRPr="009507CC" w:rsidR="00D4490A">
        <w:rPr>
          <w:b/>
          <w:bCs/>
        </w:rPr>
        <w:t xml:space="preserve">Attachment </w:t>
      </w:r>
      <w:r w:rsidRPr="00C92BF1" w:rsidR="00743B83">
        <w:rPr>
          <w:b/>
          <w:bCs/>
        </w:rPr>
        <w:t>F</w:t>
      </w:r>
      <w:r w:rsidRPr="00C92BF1" w:rsidR="00D4490A">
        <w:rPr>
          <w:b/>
          <w:bCs/>
        </w:rPr>
        <w:t>.</w:t>
      </w:r>
      <w:r w:rsidR="00D4490A">
        <w:t xml:space="preserve"> </w:t>
      </w:r>
      <w:r w:rsidR="00391781">
        <w:t>The Panel was composed of the following individuals:</w:t>
      </w:r>
      <w:r w:rsidR="00391781">
        <w:t> </w:t>
      </w:r>
    </w:p>
    <w:tbl>
      <w:tblPr>
        <w:tblStyle w:val="TableGrid"/>
        <w:tblW w:w="0" w:type="auto"/>
        <w:tblBorders>
          <w:top w:val="none" w:color="auto" w:sz="0" w:space="0"/>
          <w:left w:val="none" w:color="auto" w:sz="0" w:space="0"/>
          <w:bottom w:val="none" w:color="auto" w:sz="0" w:space="0"/>
          <w:right w:val="none" w:color="auto" w:sz="0" w:space="0"/>
          <w:insideV w:val="none" w:color="auto" w:sz="0" w:space="0"/>
        </w:tblBorders>
        <w:tblLook w:val="01E0" w:firstRow="1" w:lastRow="1" w:firstColumn="1" w:lastColumn="1" w:noHBand="0" w:noVBand="0"/>
      </w:tblPr>
      <w:tblGrid>
        <w:gridCol w:w="4191"/>
        <w:gridCol w:w="354"/>
        <w:gridCol w:w="4815"/>
      </w:tblGrid>
      <w:tr w:rsidRPr="001C2747" w:rsidR="00B61FED" w:rsidTr="000048AB" w14:paraId="6509F6A7" w14:textId="77777777">
        <w:tc>
          <w:tcPr>
            <w:tcW w:w="4308" w:type="dxa"/>
          </w:tcPr>
          <w:p w:rsidR="00B61FED" w:rsidP="000B0C2E" w:rsidRDefault="00B61FED" w14:paraId="10356596" w14:textId="77777777">
            <w:pPr>
              <w:ind w:left="360" w:hanging="360"/>
              <w:rPr>
                <w:rFonts w:eastAsia="SimSun"/>
                <w:bCs/>
                <w:color w:val="000000"/>
                <w:lang w:eastAsia="zh-CN"/>
              </w:rPr>
            </w:pPr>
            <w:r w:rsidRPr="00B61FED">
              <w:rPr>
                <w:rFonts w:eastAsia="SimSun"/>
                <w:bCs/>
                <w:color w:val="000000"/>
                <w:lang w:eastAsia="zh-CN"/>
              </w:rPr>
              <w:t>Laura Clary, PhD</w:t>
            </w:r>
          </w:p>
          <w:p w:rsidR="00896C07" w:rsidP="000B0C2E" w:rsidRDefault="00B61FED" w14:paraId="6B107D99" w14:textId="77777777">
            <w:pPr>
              <w:rPr>
                <w:rFonts w:eastAsia="SimSun"/>
                <w:color w:val="000000"/>
                <w:lang w:eastAsia="zh-CN"/>
              </w:rPr>
            </w:pPr>
            <w:r w:rsidRPr="00B61FED">
              <w:rPr>
                <w:rFonts w:eastAsia="SimSun"/>
                <w:color w:val="000000"/>
                <w:lang w:eastAsia="zh-CN"/>
              </w:rPr>
              <w:t xml:space="preserve">Faculty Research Associate, </w:t>
            </w:r>
          </w:p>
          <w:p w:rsidRPr="00B61FED" w:rsidR="00B61FED" w:rsidP="000B0C2E" w:rsidRDefault="00B61FED" w14:paraId="2BB72403" w14:textId="098C6BCE">
            <w:pPr>
              <w:rPr>
                <w:rFonts w:eastAsia="SimSun"/>
                <w:color w:val="000000"/>
                <w:lang w:eastAsia="zh-CN"/>
              </w:rPr>
            </w:pPr>
            <w:r w:rsidRPr="00B61FED">
              <w:rPr>
                <w:rFonts w:eastAsia="SimSun"/>
                <w:color w:val="000000"/>
                <w:lang w:eastAsia="zh-CN"/>
              </w:rPr>
              <w:t>Bloomberg</w:t>
            </w:r>
            <w:r w:rsidR="00B22D09">
              <w:rPr>
                <w:rFonts w:eastAsia="SimSun"/>
                <w:color w:val="000000"/>
                <w:lang w:eastAsia="zh-CN"/>
              </w:rPr>
              <w:t xml:space="preserve"> </w:t>
            </w:r>
            <w:r w:rsidRPr="00B61FED">
              <w:rPr>
                <w:rFonts w:eastAsia="SimSun"/>
                <w:color w:val="000000"/>
                <w:lang w:eastAsia="zh-CN"/>
              </w:rPr>
              <w:t>School of Public Health</w:t>
            </w:r>
          </w:p>
          <w:p w:rsidR="00B61FED" w:rsidP="000B0C2E" w:rsidRDefault="00B61FED" w14:paraId="5CD83075" w14:textId="45E43A3F">
            <w:pPr>
              <w:rPr>
                <w:rFonts w:eastAsia="SimSun"/>
                <w:color w:val="000000"/>
                <w:lang w:eastAsia="zh-CN"/>
              </w:rPr>
            </w:pPr>
            <w:r w:rsidRPr="00B61FED">
              <w:rPr>
                <w:rFonts w:eastAsia="SimSun"/>
                <w:color w:val="000000"/>
                <w:lang w:eastAsia="zh-CN"/>
              </w:rPr>
              <w:t>Johns Hopkins University</w:t>
            </w:r>
          </w:p>
          <w:p w:rsidRPr="00B22D09" w:rsidR="00B22D09" w:rsidP="000B0C2E" w:rsidRDefault="00B22D09" w14:paraId="5783811E" w14:textId="77777777">
            <w:pPr>
              <w:rPr>
                <w:rFonts w:eastAsia="SimSun"/>
                <w:color w:val="000000"/>
                <w:lang w:eastAsia="zh-CN"/>
              </w:rPr>
            </w:pPr>
            <w:r w:rsidRPr="00B22D09">
              <w:rPr>
                <w:rFonts w:eastAsia="SimSun"/>
                <w:color w:val="000000"/>
                <w:lang w:eastAsia="zh-CN"/>
              </w:rPr>
              <w:t>615 N Wolfe St</w:t>
            </w:r>
          </w:p>
          <w:p w:rsidR="00B22D09" w:rsidP="000B0C2E" w:rsidRDefault="00B22D09" w14:paraId="5F9B6471" w14:textId="6AFD3DC1">
            <w:pPr>
              <w:rPr>
                <w:rFonts w:eastAsia="SimSun"/>
                <w:color w:val="000000"/>
                <w:lang w:eastAsia="zh-CN"/>
              </w:rPr>
            </w:pPr>
            <w:r w:rsidRPr="00B22D09">
              <w:rPr>
                <w:rFonts w:eastAsia="SimSun"/>
                <w:color w:val="000000"/>
                <w:lang w:eastAsia="zh-CN"/>
              </w:rPr>
              <w:t>Baltimore, MD 21205</w:t>
            </w:r>
          </w:p>
          <w:p w:rsidRPr="001C2747" w:rsidR="00B61FED" w:rsidP="000B0C2E" w:rsidRDefault="00B61FED" w14:paraId="46BB5A92" w14:textId="5567CA22">
            <w:pPr>
              <w:rPr>
                <w:rFonts w:eastAsia="SimSun"/>
                <w:color w:val="000000"/>
                <w:lang w:eastAsia="zh-CN"/>
              </w:rPr>
            </w:pPr>
            <w:r w:rsidRPr="003730B9">
              <w:rPr>
                <w:rFonts w:eastAsia="SimSun"/>
                <w:color w:val="000000"/>
                <w:lang w:eastAsia="zh-CN"/>
              </w:rPr>
              <w:t xml:space="preserve">e-mail: </w:t>
            </w:r>
            <w:r w:rsidRPr="003730B9" w:rsidR="003730B9">
              <w:rPr>
                <w:rFonts w:eastAsia="SimSun"/>
                <w:color w:val="000000"/>
                <w:lang w:eastAsia="zh-CN"/>
              </w:rPr>
              <w:t>lclary3@jhu.edu</w:t>
            </w:r>
          </w:p>
          <w:p w:rsidRPr="001C2747" w:rsidR="00B61FED" w:rsidP="000B0C2E" w:rsidRDefault="00B61FED" w14:paraId="1C8E720D" w14:textId="77777777">
            <w:pPr>
              <w:rPr>
                <w:bCs/>
              </w:rPr>
            </w:pPr>
          </w:p>
          <w:p w:rsidR="00B61FED" w:rsidP="000B0C2E" w:rsidRDefault="00B61FED" w14:paraId="7C267386" w14:textId="77777777">
            <w:pPr>
              <w:rPr>
                <w:bCs/>
              </w:rPr>
            </w:pPr>
            <w:r w:rsidRPr="00B61FED">
              <w:rPr>
                <w:bCs/>
              </w:rPr>
              <w:t>Jennifer Parker, PhD</w:t>
            </w:r>
          </w:p>
          <w:p w:rsidRPr="00B61FED" w:rsidR="00B61FED" w:rsidP="000B0C2E" w:rsidRDefault="00B61FED" w14:paraId="519B22CC" w14:textId="12403357">
            <w:pPr>
              <w:rPr>
                <w:rFonts w:eastAsia="SimSun"/>
                <w:lang w:eastAsia="zh-CN"/>
              </w:rPr>
            </w:pPr>
            <w:r w:rsidRPr="00B61FED">
              <w:rPr>
                <w:rFonts w:eastAsia="SimSun"/>
                <w:lang w:eastAsia="zh-CN"/>
              </w:rPr>
              <w:t>Director, Division of Research and</w:t>
            </w:r>
            <w:r w:rsidR="00B22D09">
              <w:rPr>
                <w:rFonts w:eastAsia="SimSun"/>
                <w:lang w:eastAsia="zh-CN"/>
              </w:rPr>
              <w:t xml:space="preserve"> </w:t>
            </w:r>
            <w:r w:rsidRPr="00B61FED">
              <w:rPr>
                <w:rFonts w:eastAsia="SimSun"/>
                <w:lang w:eastAsia="zh-CN"/>
              </w:rPr>
              <w:t>Methodology</w:t>
            </w:r>
          </w:p>
          <w:p w:rsidR="00B61FED" w:rsidP="000B0C2E" w:rsidRDefault="00B61FED" w14:paraId="41AAAC73" w14:textId="194273DD">
            <w:pPr>
              <w:rPr>
                <w:rFonts w:eastAsia="SimSun"/>
                <w:lang w:eastAsia="zh-CN"/>
              </w:rPr>
            </w:pPr>
            <w:r w:rsidRPr="00B61FED">
              <w:rPr>
                <w:rFonts w:eastAsia="SimSun"/>
                <w:lang w:eastAsia="zh-CN"/>
              </w:rPr>
              <w:t>National Center for Health Statistics</w:t>
            </w:r>
          </w:p>
          <w:p w:rsidRPr="00D41112" w:rsidR="00D41112" w:rsidP="000B0C2E" w:rsidRDefault="00D41112" w14:paraId="7E848DC5" w14:textId="77777777">
            <w:pPr>
              <w:rPr>
                <w:rFonts w:eastAsia="SimSun"/>
                <w:lang w:eastAsia="zh-CN"/>
              </w:rPr>
            </w:pPr>
            <w:r w:rsidRPr="00D41112">
              <w:rPr>
                <w:rFonts w:eastAsia="SimSun"/>
                <w:lang w:eastAsia="zh-CN"/>
              </w:rPr>
              <w:t>3311 Toledo Road</w:t>
            </w:r>
          </w:p>
          <w:p w:rsidR="00D41112" w:rsidP="000B0C2E" w:rsidRDefault="00D41112" w14:paraId="2563AD4B" w14:textId="3E3FC789">
            <w:pPr>
              <w:rPr>
                <w:rFonts w:eastAsia="SimSun"/>
                <w:lang w:eastAsia="zh-CN"/>
              </w:rPr>
            </w:pPr>
            <w:r w:rsidRPr="00D41112">
              <w:rPr>
                <w:rFonts w:eastAsia="SimSun"/>
                <w:lang w:eastAsia="zh-CN"/>
              </w:rPr>
              <w:t>Hyattsville, MD 20872</w:t>
            </w:r>
          </w:p>
          <w:p w:rsidRPr="001C2747" w:rsidR="00B61FED" w:rsidP="000B0C2E" w:rsidRDefault="00B61FED" w14:paraId="72866264" w14:textId="13F1AD2E">
            <w:pPr>
              <w:rPr>
                <w:bCs/>
              </w:rPr>
            </w:pPr>
            <w:r w:rsidRPr="00B61FED">
              <w:t>e-mail:</w:t>
            </w:r>
            <w:r w:rsidRPr="001C2747">
              <w:t xml:space="preserve"> </w:t>
            </w:r>
            <w:r w:rsidRPr="00B61FED">
              <w:t>jdp3@cdc.gov</w:t>
            </w:r>
          </w:p>
        </w:tc>
        <w:tc>
          <w:tcPr>
            <w:tcW w:w="360" w:type="dxa"/>
          </w:tcPr>
          <w:p w:rsidRPr="001C2747" w:rsidR="00B61FED" w:rsidP="000B0C2E" w:rsidRDefault="00B61FED" w14:paraId="287994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tc>
        <w:tc>
          <w:tcPr>
            <w:tcW w:w="4908" w:type="dxa"/>
          </w:tcPr>
          <w:p w:rsidR="00B61FED" w:rsidP="000B0C2E" w:rsidRDefault="00B61FED" w14:paraId="2DBD2256" w14:textId="77777777">
            <w:pPr>
              <w:rPr>
                <w:rFonts w:eastAsia="SimSun"/>
                <w:bCs/>
                <w:color w:val="000000"/>
                <w:lang w:eastAsia="zh-CN"/>
              </w:rPr>
            </w:pPr>
            <w:r w:rsidRPr="00B61FED">
              <w:rPr>
                <w:rFonts w:eastAsia="SimSun"/>
                <w:bCs/>
                <w:color w:val="000000"/>
                <w:lang w:eastAsia="zh-CN"/>
              </w:rPr>
              <w:t>Susan Queen, PhD</w:t>
            </w:r>
          </w:p>
          <w:p w:rsidRPr="00B61FED" w:rsidR="00B61FED" w:rsidP="000B0C2E" w:rsidRDefault="00B61FED" w14:paraId="3792E6EA" w14:textId="77777777">
            <w:pPr>
              <w:rPr>
                <w:rFonts w:eastAsia="SimSun"/>
                <w:color w:val="000000"/>
                <w:lang w:eastAsia="zh-CN"/>
              </w:rPr>
            </w:pPr>
            <w:r w:rsidRPr="00B61FED">
              <w:rPr>
                <w:rFonts w:eastAsia="SimSun"/>
                <w:color w:val="000000"/>
                <w:lang w:eastAsia="zh-CN"/>
              </w:rPr>
              <w:t>Director, Office of Planning, Budget, and Legislation</w:t>
            </w:r>
          </w:p>
          <w:p w:rsidR="00B61FED" w:rsidP="000B0C2E" w:rsidRDefault="00B61FED" w14:paraId="0CCBEA12" w14:textId="368C7A74">
            <w:pPr>
              <w:rPr>
                <w:rFonts w:eastAsia="SimSun"/>
                <w:color w:val="000000"/>
                <w:lang w:eastAsia="zh-CN"/>
              </w:rPr>
            </w:pPr>
            <w:r w:rsidRPr="00B61FED">
              <w:rPr>
                <w:rFonts w:eastAsia="SimSun"/>
                <w:color w:val="000000"/>
                <w:lang w:eastAsia="zh-CN"/>
              </w:rPr>
              <w:t>National Center for Health Statistics</w:t>
            </w:r>
          </w:p>
          <w:p w:rsidRPr="00D41112" w:rsidR="00D41112" w:rsidP="000B0C2E" w:rsidRDefault="00D41112" w14:paraId="684E8C3F" w14:textId="77777777">
            <w:pPr>
              <w:rPr>
                <w:rFonts w:eastAsia="SimSun"/>
                <w:color w:val="000000"/>
                <w:lang w:eastAsia="zh-CN"/>
              </w:rPr>
            </w:pPr>
            <w:r w:rsidRPr="00D41112">
              <w:rPr>
                <w:rFonts w:eastAsia="SimSun"/>
                <w:color w:val="000000"/>
                <w:lang w:eastAsia="zh-CN"/>
              </w:rPr>
              <w:t>3311 Toledo Road</w:t>
            </w:r>
          </w:p>
          <w:p w:rsidR="00D41112" w:rsidP="000B0C2E" w:rsidRDefault="00D41112" w14:paraId="46428E51" w14:textId="28672D52">
            <w:pPr>
              <w:rPr>
                <w:rFonts w:eastAsia="SimSun"/>
                <w:color w:val="000000"/>
                <w:lang w:eastAsia="zh-CN"/>
              </w:rPr>
            </w:pPr>
            <w:r w:rsidRPr="00D41112">
              <w:rPr>
                <w:rFonts w:eastAsia="SimSun"/>
                <w:color w:val="000000"/>
                <w:lang w:eastAsia="zh-CN"/>
              </w:rPr>
              <w:t>Hyattsville, MD 20872</w:t>
            </w:r>
          </w:p>
          <w:p w:rsidRPr="001C2747" w:rsidR="00B61FED" w:rsidP="000B0C2E" w:rsidRDefault="00B61FED" w14:paraId="37733B8F" w14:textId="1DC4CB50">
            <w:pPr>
              <w:rPr>
                <w:rFonts w:eastAsia="SimSun"/>
                <w:color w:val="000000"/>
                <w:lang w:eastAsia="zh-CN"/>
              </w:rPr>
            </w:pPr>
            <w:r w:rsidRPr="00B61FED">
              <w:rPr>
                <w:rFonts w:eastAsia="SimSun"/>
                <w:color w:val="000000"/>
                <w:lang w:eastAsia="zh-CN"/>
              </w:rPr>
              <w:t>e-mail:</w:t>
            </w:r>
            <w:r w:rsidRPr="001C2747">
              <w:rPr>
                <w:rFonts w:eastAsia="SimSun"/>
                <w:color w:val="000000"/>
                <w:lang w:eastAsia="zh-CN"/>
              </w:rPr>
              <w:t xml:space="preserve"> </w:t>
            </w:r>
            <w:r w:rsidRPr="00B61FED">
              <w:rPr>
                <w:rFonts w:eastAsia="SimSun"/>
                <w:color w:val="000000"/>
                <w:lang w:eastAsia="zh-CN"/>
              </w:rPr>
              <w:t>sgq1@cdc.gov</w:t>
            </w:r>
          </w:p>
          <w:p w:rsidRPr="001C2747" w:rsidR="00B61FED" w:rsidP="000B0C2E" w:rsidRDefault="00B61FED" w14:paraId="5AC0BE6E" w14:textId="77777777">
            <w:pPr>
              <w:rPr>
                <w:color w:val="000000"/>
              </w:rPr>
            </w:pPr>
          </w:p>
          <w:p w:rsidR="00B61FED" w:rsidP="000B0C2E" w:rsidRDefault="00B61FED" w14:paraId="799BE592" w14:textId="77777777">
            <w:pPr>
              <w:rPr>
                <w:bCs/>
                <w:color w:val="000000"/>
              </w:rPr>
            </w:pPr>
            <w:r w:rsidRPr="00B61FED">
              <w:rPr>
                <w:bCs/>
                <w:color w:val="000000"/>
              </w:rPr>
              <w:t>Andy Zukerberg, MS</w:t>
            </w:r>
          </w:p>
          <w:p w:rsidRPr="00B61FED" w:rsidR="00B61FED" w:rsidP="000B0C2E" w:rsidRDefault="00B61FED" w14:paraId="722DE58E" w14:textId="77777777">
            <w:pPr>
              <w:rPr>
                <w:color w:val="000000"/>
              </w:rPr>
            </w:pPr>
            <w:r w:rsidRPr="00B61FED">
              <w:rPr>
                <w:color w:val="000000"/>
              </w:rPr>
              <w:t>Chief, Cross Sectional Surveys Branch, Sample Surveys Division</w:t>
            </w:r>
          </w:p>
          <w:p w:rsidR="00B61FED" w:rsidP="000B0C2E" w:rsidRDefault="00B61FED" w14:paraId="0319BB8E" w14:textId="2C2E70B2">
            <w:pPr>
              <w:rPr>
                <w:color w:val="000000"/>
              </w:rPr>
            </w:pPr>
            <w:r w:rsidRPr="00B61FED">
              <w:rPr>
                <w:color w:val="000000"/>
              </w:rPr>
              <w:t>National Center for Education Statistics</w:t>
            </w:r>
          </w:p>
          <w:p w:rsidRPr="00CA6532" w:rsidR="00CA6532" w:rsidP="000B0C2E" w:rsidRDefault="00CA6532" w14:paraId="6FAD9D0B" w14:textId="77777777">
            <w:pPr>
              <w:rPr>
                <w:color w:val="000000"/>
              </w:rPr>
            </w:pPr>
            <w:r w:rsidRPr="00CA6532">
              <w:rPr>
                <w:color w:val="000000"/>
              </w:rPr>
              <w:t>550 12th Street, SW Rm 4001</w:t>
            </w:r>
          </w:p>
          <w:p w:rsidR="00CA6532" w:rsidP="000B0C2E" w:rsidRDefault="00CA6532" w14:paraId="0CA632D6" w14:textId="726EB078">
            <w:pPr>
              <w:rPr>
                <w:color w:val="000000"/>
              </w:rPr>
            </w:pPr>
            <w:r w:rsidRPr="00CA6532">
              <w:rPr>
                <w:color w:val="000000"/>
              </w:rPr>
              <w:t>Washington, D.C. 20202</w:t>
            </w:r>
          </w:p>
          <w:p w:rsidRPr="001C2747" w:rsidR="00B61FED" w:rsidP="000B0C2E" w:rsidRDefault="00B61FED" w14:paraId="5F65F236" w14:textId="07DF133D">
            <w:pPr>
              <w:rPr>
                <w:rFonts w:eastAsia="SimSun"/>
                <w:lang w:eastAsia="zh-CN"/>
              </w:rPr>
            </w:pPr>
            <w:r w:rsidRPr="00B61FED">
              <w:rPr>
                <w:color w:val="000000"/>
              </w:rPr>
              <w:t>e-mail:</w:t>
            </w:r>
            <w:r w:rsidRPr="001C2747">
              <w:rPr>
                <w:color w:val="000000"/>
              </w:rPr>
              <w:t xml:space="preserve"> </w:t>
            </w:r>
            <w:r w:rsidRPr="00B61FED">
              <w:rPr>
                <w:color w:val="000000"/>
              </w:rPr>
              <w:t>Andrew.Zukerberg@ed.gov</w:t>
            </w:r>
          </w:p>
        </w:tc>
      </w:tr>
    </w:tbl>
    <w:p w:rsidRPr="001C2747" w:rsidR="00845716" w:rsidP="000B0C2E" w:rsidRDefault="00845716" w14:paraId="51022EA2" w14:textId="28A850B4">
      <w:pPr>
        <w:spacing w:before="120" w:after="120"/>
        <w:rPr>
          <w:b/>
          <w:bCs/>
        </w:rPr>
        <w:sectPr w:rsidRPr="001C2747" w:rsidR="00845716" w:rsidSect="00D16224">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2240" w:h="15840" w:code="1"/>
          <w:pgMar w:top="1440" w:right="1440" w:bottom="1440" w:left="1440" w:header="1080" w:footer="576" w:gutter="0"/>
          <w:cols w:space="720"/>
          <w:noEndnote/>
        </w:sectPr>
      </w:pPr>
    </w:p>
    <w:p w:rsidRPr="001C2747" w:rsidR="0050513E" w:rsidP="000B0C2E" w:rsidRDefault="0050513E" w14:paraId="0249BEE6" w14:textId="18A210BB">
      <w:pPr>
        <w:pStyle w:val="Heading2"/>
        <w:spacing w:before="120" w:after="120"/>
      </w:pPr>
      <w:r w:rsidRPr="001C2747">
        <w:rPr>
          <w:rFonts w:ascii="Times New Roman" w:hAnsi="Times New Roman" w:cs="Times New Roman"/>
          <w:b/>
          <w:bCs/>
        </w:rPr>
        <w:t>A.9</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EXPLANATION OF ANY PAYMENT OR GIFT TO RESPONDENTS</w:t>
      </w:r>
    </w:p>
    <w:p w:rsidRPr="001C2747" w:rsidR="0050513E" w:rsidP="000B0C2E" w:rsidRDefault="0050513E" w14:paraId="7D0C1711" w14:textId="3BD686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Schools will be given $</w:t>
      </w:r>
      <w:r w:rsidR="009F76F6">
        <w:t>250</w:t>
      </w:r>
      <w:r w:rsidRPr="001C2747">
        <w:t xml:space="preserve"> in appreciation for their participation</w:t>
      </w:r>
      <w:r w:rsidR="009F76F6">
        <w:t xml:space="preserve"> in the ABES and </w:t>
      </w:r>
      <w:r w:rsidR="00F844D9">
        <w:t>$500 for their participation in the YRBS</w:t>
      </w:r>
      <w:r w:rsidRPr="001C2747">
        <w:t>. No payments will be offered or made to student respondents.  OMB first suggested</w:t>
      </w:r>
      <w:r w:rsidRPr="001C2747" w:rsidR="00451EF1">
        <w:t xml:space="preserve"> in 1999</w:t>
      </w:r>
      <w:r w:rsidRPr="001C2747">
        <w:t xml:space="preserve"> that CDC offer </w:t>
      </w:r>
      <w:r w:rsidRPr="001C2747" w:rsidR="00451EF1">
        <w:t xml:space="preserve">tokens of appreciation to </w:t>
      </w:r>
      <w:r w:rsidRPr="001C2747">
        <w:t>school</w:t>
      </w:r>
      <w:r w:rsidRPr="001C2747" w:rsidR="00451EF1">
        <w:t>s</w:t>
      </w:r>
      <w:r w:rsidRPr="001C2747">
        <w:t xml:space="preserve"> </w:t>
      </w:r>
      <w:r w:rsidRPr="001C2747" w:rsidR="00451EF1">
        <w:t>participating in</w:t>
      </w:r>
      <w:r w:rsidRPr="001C2747">
        <w:t xml:space="preserve"> the YRBS as a means of improving school response rates and, thereby, improving the genera</w:t>
      </w:r>
      <w:r w:rsidRPr="001C2747" w:rsidR="00736881">
        <w:t xml:space="preserve">lizability of results.  CDC </w:t>
      </w:r>
      <w:r w:rsidRPr="001C2747">
        <w:t xml:space="preserve">adopted </w:t>
      </w:r>
      <w:r w:rsidRPr="001C2747" w:rsidR="00451EF1">
        <w:t>this procedure</w:t>
      </w:r>
      <w:r w:rsidRPr="001C2747" w:rsidR="00733814">
        <w:t xml:space="preserve"> in the 2001 </w:t>
      </w:r>
      <w:r w:rsidRPr="001C2747">
        <w:t xml:space="preserve">YRBS to allow the YRBS to continue to compete effectively with other school-based data collections.  Increasingly in recent years, school-based data collections, most of which do not fall under OMB review, have offered financial </w:t>
      </w:r>
      <w:r w:rsidR="00706039">
        <w:t>tokens of appreciation</w:t>
      </w:r>
      <w:r w:rsidRPr="001C2747" w:rsidR="00706039">
        <w:t xml:space="preserve"> </w:t>
      </w:r>
      <w:r w:rsidRPr="001C2747">
        <w:t xml:space="preserve">to increase or at least maintain school participation rates. </w:t>
      </w:r>
      <w:r w:rsidR="007A358F">
        <w:t>For</w:t>
      </w:r>
      <w:r w:rsidRPr="001C2747" w:rsidR="007A358F">
        <w:t xml:space="preserve"> </w:t>
      </w:r>
      <w:r w:rsidRPr="001C2747">
        <w:t xml:space="preserve">the </w:t>
      </w:r>
      <w:r w:rsidRPr="001C2747" w:rsidR="00650223">
        <w:t>201</w:t>
      </w:r>
      <w:r w:rsidR="00650223">
        <w:t>7</w:t>
      </w:r>
      <w:r w:rsidRPr="001C2747" w:rsidR="00650223">
        <w:t xml:space="preserve"> </w:t>
      </w:r>
      <w:r w:rsidRPr="001C2747" w:rsidR="00EA06B2">
        <w:t xml:space="preserve">and </w:t>
      </w:r>
      <w:r w:rsidRPr="001C2747" w:rsidR="00650223">
        <w:t>201</w:t>
      </w:r>
      <w:r w:rsidR="00650223">
        <w:t>9</w:t>
      </w:r>
      <w:r w:rsidRPr="001C2747" w:rsidR="00650223">
        <w:t xml:space="preserve"> </w:t>
      </w:r>
      <w:r w:rsidRPr="001C2747">
        <w:t>YRBS, (OMB Number 0920-</w:t>
      </w:r>
      <w:r w:rsidR="00EB42B2">
        <w:t>0493</w:t>
      </w:r>
      <w:r w:rsidRPr="001C2747" w:rsidR="00731602">
        <w:t xml:space="preserve">, expiration date </w:t>
      </w:r>
      <w:r w:rsidR="00EB42B2">
        <w:t>11</w:t>
      </w:r>
      <w:r w:rsidRPr="001C2747" w:rsidR="00731602">
        <w:t>/</w:t>
      </w:r>
      <w:r w:rsidRPr="001C2747" w:rsidR="00650223">
        <w:t>1</w:t>
      </w:r>
      <w:r w:rsidR="00650223">
        <w:t>9</w:t>
      </w:r>
      <w:r w:rsidRPr="001C2747">
        <w:t xml:space="preserve">), these </w:t>
      </w:r>
      <w:r w:rsidRPr="001C2747" w:rsidR="00451EF1">
        <w:t>tokens of appreciation</w:t>
      </w:r>
      <w:r w:rsidRPr="001C2747">
        <w:t xml:space="preserve"> helped maintain school participation rate</w:t>
      </w:r>
      <w:r w:rsidRPr="001C2747" w:rsidR="00AA00B8">
        <w:t>s</w:t>
      </w:r>
      <w:r w:rsidRPr="001C2747">
        <w:t xml:space="preserve"> despite the growing number of competing demands placed on schools, including </w:t>
      </w:r>
      <w:r w:rsidRPr="001C2747" w:rsidR="00414026">
        <w:t>standardized</w:t>
      </w:r>
      <w:r w:rsidRPr="001C2747">
        <w:t xml:space="preserve"> testing </w:t>
      </w:r>
      <w:r w:rsidRPr="001C2747" w:rsidR="005773D2">
        <w:t xml:space="preserve">and </w:t>
      </w:r>
      <w:r w:rsidRPr="001C2747" w:rsidR="00DD7FD9">
        <w:t>changes to curriculum based on ad</w:t>
      </w:r>
      <w:r w:rsidRPr="001C2747" w:rsidR="00EB09E9">
        <w:t>option of Common Core Standards</w:t>
      </w:r>
      <w:r w:rsidRPr="001C2747" w:rsidR="005773D2">
        <w:t>.</w:t>
      </w:r>
    </w:p>
    <w:p w:rsidRPr="001C2747" w:rsidR="001C5A4E" w:rsidP="000B0C2E" w:rsidRDefault="0050513E" w14:paraId="29526560" w14:textId="70F957FD">
      <w:pPr>
        <w:pStyle w:val="Heading2"/>
        <w:spacing w:before="120" w:after="120"/>
        <w:ind w:left="720" w:hanging="720"/>
      </w:pPr>
      <w:r w:rsidRPr="001C2747">
        <w:rPr>
          <w:rFonts w:ascii="Times New Roman" w:hAnsi="Times New Roman" w:cs="Times New Roman"/>
          <w:b/>
          <w:bCs/>
        </w:rPr>
        <w:lastRenderedPageBreak/>
        <w:t>A.10</w:t>
      </w:r>
      <w:r w:rsidRPr="001C2747" w:rsidR="00793222">
        <w:rPr>
          <w:rFonts w:ascii="Times New Roman" w:hAnsi="Times New Roman" w:cs="Times New Roman"/>
          <w:b/>
          <w:bCs/>
        </w:rPr>
        <w:t>.</w:t>
      </w:r>
      <w:r w:rsidRPr="001C2747">
        <w:rPr>
          <w:rFonts w:ascii="Times New Roman" w:hAnsi="Times New Roman" w:cs="Times New Roman"/>
          <w:b/>
          <w:bCs/>
        </w:rPr>
        <w:tab/>
      </w:r>
      <w:r w:rsidRPr="00AF3B22" w:rsidR="00774D1E">
        <w:rPr>
          <w:rFonts w:ascii="Times New Roman" w:hAnsi="Times New Roman" w:cs="Times New Roman"/>
          <w:b/>
          <w:bCs/>
          <w:u w:val="single"/>
        </w:rPr>
        <w:t>PROTECTION OF THE PRIVACY AND CONFIDENTIALITY OF INFORMATION PROVIDED BY RESPONDENTS</w:t>
      </w:r>
      <w:r w:rsidRPr="001C2747" w:rsidR="00774D1E">
        <w:rPr>
          <w:rFonts w:ascii="Times New Roman" w:hAnsi="Times New Roman" w:cs="Times New Roman"/>
          <w:b/>
          <w:bCs/>
        </w:rPr>
        <w:t xml:space="preserve"> </w:t>
      </w:r>
    </w:p>
    <w:p w:rsidRPr="001C2747" w:rsidR="0050513E" w:rsidP="000B0C2E" w:rsidRDefault="002C4356" w14:paraId="1C4F0429" w14:textId="2FED2F2B">
      <w:pPr>
        <w:widowControl/>
        <w:spacing w:before="120" w:after="120"/>
        <w:ind w:firstLine="720"/>
      </w:pPr>
      <w:r w:rsidRPr="001C2747">
        <w:t>Activities do not involve the collection of individually identifiable information (IIF)</w:t>
      </w:r>
      <w:r w:rsidRPr="001C2747" w:rsidR="00E560D8">
        <w:t>; therefore, the Privacy Act does not apply</w:t>
      </w:r>
      <w:r w:rsidRPr="001C2747">
        <w:t xml:space="preserve">.  </w:t>
      </w:r>
      <w:r w:rsidRPr="001C2747" w:rsidR="00A43AEA">
        <w:t xml:space="preserve">Data collected from school administrators during recruitment is information available in the public domain and school administrators will not be providing personal information.  </w:t>
      </w:r>
      <w:r w:rsidR="00F844D9">
        <w:t>For both the YRBS and ABES, t</w:t>
      </w:r>
      <w:r w:rsidRPr="001C2747" w:rsidR="00E9305C">
        <w:t>eachers will be required to enter student names on a Data Collection Checklist (</w:t>
      </w:r>
      <w:r w:rsidR="00761D81">
        <w:rPr>
          <w:b/>
        </w:rPr>
        <w:t>Attachment</w:t>
      </w:r>
      <w:r w:rsidRPr="001C2747" w:rsidR="00E9305C">
        <w:rPr>
          <w:b/>
        </w:rPr>
        <w:t xml:space="preserve"> </w:t>
      </w:r>
      <w:r w:rsidR="009507CC">
        <w:rPr>
          <w:b/>
        </w:rPr>
        <w:t>G</w:t>
      </w:r>
      <w:r w:rsidRPr="001C2747" w:rsidR="00E9305C">
        <w:t>) to monitor parent permission form returns and make sure that questionnaires are completed only by students for whom permission has been obtained</w:t>
      </w:r>
      <w:r w:rsidRPr="001C2747" w:rsidR="00004146">
        <w:t xml:space="preserve">. </w:t>
      </w:r>
      <w:r w:rsidR="00B51017">
        <w:t>T</w:t>
      </w:r>
      <w:r w:rsidRPr="001C2747" w:rsidR="00E9305C">
        <w:t xml:space="preserve">he Data Collection Checklist is </w:t>
      </w:r>
      <w:r w:rsidR="00B51017">
        <w:t xml:space="preserve">securely stored in accordance with human subject protection best practices and later </w:t>
      </w:r>
      <w:r w:rsidRPr="001C2747" w:rsidR="00E9305C">
        <w:t xml:space="preserve">destroyed </w:t>
      </w:r>
      <w:r w:rsidR="00B51017">
        <w:t>at the conclusion of the YRBS</w:t>
      </w:r>
      <w:r w:rsidRPr="001C2747" w:rsidR="00E9305C">
        <w:t xml:space="preserve"> administ</w:t>
      </w:r>
      <w:r w:rsidR="00B51017">
        <w:t>ration</w:t>
      </w:r>
      <w:r w:rsidRPr="000B6791" w:rsidR="00E9305C">
        <w:t xml:space="preserve">.  </w:t>
      </w:r>
      <w:bookmarkStart w:name="_Hlk26188999" w:id="9"/>
      <w:r w:rsidRPr="000B6791" w:rsidR="00E9305C">
        <w:t>The Data Collection Checklist is not forwarded to the CDC.</w:t>
      </w:r>
      <w:r w:rsidRPr="001C2747" w:rsidR="00E9305C">
        <w:t xml:space="preserve">  </w:t>
      </w:r>
      <w:bookmarkEnd w:id="9"/>
      <w:r w:rsidR="00B9272F">
        <w:t xml:space="preserve">For the ABES, the Data Collection Checklist remains at the school and is stored in accordance with school policy.  </w:t>
      </w:r>
      <w:r w:rsidRPr="001C2747" w:rsidR="0014464D">
        <w:t xml:space="preserve">At the start of the </w:t>
      </w:r>
      <w:r w:rsidR="00B9272F">
        <w:t xml:space="preserve">YRBS </w:t>
      </w:r>
      <w:r w:rsidRPr="001C2747" w:rsidR="0014464D">
        <w:t>survey administration session, students will be reminded by the survey administrator</w:t>
      </w:r>
      <w:r w:rsidR="00750A9B">
        <w:t xml:space="preserve"> </w:t>
      </w:r>
      <w:r w:rsidRPr="001C2747" w:rsidR="00750A9B">
        <w:t>(</w:t>
      </w:r>
      <w:r w:rsidRPr="00C73E7C" w:rsidR="00750A9B">
        <w:rPr>
          <w:b/>
          <w:bCs/>
        </w:rPr>
        <w:t xml:space="preserve">Attachment </w:t>
      </w:r>
      <w:r w:rsidR="00750A9B">
        <w:rPr>
          <w:b/>
          <w:bCs/>
        </w:rPr>
        <w:t>H1</w:t>
      </w:r>
      <w:r w:rsidRPr="001C2747" w:rsidR="00750A9B">
        <w:t>)</w:t>
      </w:r>
      <w:r w:rsidR="00750A9B">
        <w:t xml:space="preserve"> </w:t>
      </w:r>
      <w:r w:rsidRPr="001C2747" w:rsidR="0014464D">
        <w:t xml:space="preserve">that their responses are anonymous and that they are </w:t>
      </w:r>
      <w:r w:rsidRPr="001C2747" w:rsidR="00E560D8">
        <w:t>not to write the</w:t>
      </w:r>
      <w:r w:rsidRPr="001C2747" w:rsidR="00004146">
        <w:t xml:space="preserve">ir names on the survey booklets </w:t>
      </w:r>
      <w:r w:rsidR="00FE1CD5">
        <w:t xml:space="preserve">and that no identifiable information is </w:t>
      </w:r>
      <w:r w:rsidR="009507CC">
        <w:t>collected</w:t>
      </w:r>
      <w:r w:rsidR="00FE1CD5">
        <w:t xml:space="preserve"> in the </w:t>
      </w:r>
      <w:r w:rsidR="009507CC">
        <w:t>tablet</w:t>
      </w:r>
      <w:r w:rsidR="00FE1CD5">
        <w:t xml:space="preserve"> survey (</w:t>
      </w:r>
      <w:r w:rsidRPr="00FE1CD5" w:rsidR="00FE1CD5">
        <w:rPr>
          <w:b/>
          <w:bCs/>
        </w:rPr>
        <w:t xml:space="preserve">Attachment </w:t>
      </w:r>
      <w:r w:rsidR="009507CC">
        <w:rPr>
          <w:b/>
          <w:bCs/>
        </w:rPr>
        <w:t>H</w:t>
      </w:r>
      <w:r w:rsidRPr="00FE1CD5" w:rsidR="00FE1CD5">
        <w:rPr>
          <w:b/>
          <w:bCs/>
        </w:rPr>
        <w:t>2</w:t>
      </w:r>
      <w:r w:rsidR="00FE1CD5">
        <w:t>)</w:t>
      </w:r>
      <w:r w:rsidRPr="001C2747" w:rsidR="00004146">
        <w:t xml:space="preserve">.  </w:t>
      </w:r>
      <w:r w:rsidR="00EF178B">
        <w:t>This information also is provided to students in a short video that they must watch before participating in the ABES (</w:t>
      </w:r>
      <w:r w:rsidRPr="00070C18" w:rsidR="00EF178B">
        <w:rPr>
          <w:b/>
          <w:bCs/>
        </w:rPr>
        <w:t>Attachment H3</w:t>
      </w:r>
      <w:r w:rsidR="00EF178B">
        <w:t xml:space="preserve">). </w:t>
      </w:r>
      <w:r w:rsidRPr="001C2747" w:rsidR="00E9305C">
        <w:t>At no point in time is there any way to connect student</w:t>
      </w:r>
      <w:r w:rsidRPr="001C2747" w:rsidR="00161F9D">
        <w:t>s</w:t>
      </w:r>
      <w:r w:rsidRPr="001C2747" w:rsidR="00E9305C">
        <w:t>’ names to their data.</w:t>
      </w:r>
      <w:r w:rsidRPr="001C2747" w:rsidR="00E560D8">
        <w:t xml:space="preserve">  </w:t>
      </w:r>
      <w:r w:rsidRPr="001C2747" w:rsidR="00E9305C">
        <w:t xml:space="preserve">  </w:t>
      </w:r>
    </w:p>
    <w:p w:rsidRPr="001C2747" w:rsidR="0050513E" w:rsidP="000B0C2E" w:rsidRDefault="0050513E" w14:paraId="4B23D19C" w14:textId="5B3455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All selected schools, students, and their parents will be informed that anonymity will be maintained throughout data collection, that all data will be safeguarded closely, and that no institutional or individual identifiers will be used in study reports.  Anonymity </w:t>
      </w:r>
      <w:r w:rsidRPr="001C2747" w:rsidR="0014464D">
        <w:t xml:space="preserve">also </w:t>
      </w:r>
      <w:r w:rsidRPr="001C2747">
        <w:t>will be promised to students and their parents on parental permission forms</w:t>
      </w:r>
      <w:r w:rsidRPr="001C2747" w:rsidR="00004146">
        <w:t xml:space="preserve"> </w:t>
      </w:r>
      <w:r w:rsidRPr="00750A9B" w:rsidR="00004146">
        <w:t>(</w:t>
      </w:r>
      <w:r w:rsidRPr="00750A9B" w:rsidR="00761D81">
        <w:rPr>
          <w:b/>
          <w:bCs/>
        </w:rPr>
        <w:t>Attachment</w:t>
      </w:r>
      <w:r w:rsidRPr="00750A9B" w:rsidR="007D348B">
        <w:rPr>
          <w:b/>
          <w:bCs/>
        </w:rPr>
        <w:t>s</w:t>
      </w:r>
      <w:r w:rsidRPr="00750A9B" w:rsidR="00004146">
        <w:rPr>
          <w:b/>
          <w:bCs/>
        </w:rPr>
        <w:t xml:space="preserve"> </w:t>
      </w:r>
      <w:r w:rsidRPr="00750A9B" w:rsidR="006147DE">
        <w:rPr>
          <w:b/>
          <w:bCs/>
        </w:rPr>
        <w:t>I1</w:t>
      </w:r>
      <w:r w:rsidR="00750A9B">
        <w:rPr>
          <w:b/>
          <w:bCs/>
        </w:rPr>
        <w:t xml:space="preserve"> and</w:t>
      </w:r>
      <w:r w:rsidRPr="00750A9B" w:rsidR="007D348B">
        <w:rPr>
          <w:b/>
          <w:bCs/>
        </w:rPr>
        <w:t xml:space="preserve"> </w:t>
      </w:r>
      <w:r w:rsidRPr="00750A9B" w:rsidR="006147DE">
        <w:rPr>
          <w:b/>
          <w:bCs/>
        </w:rPr>
        <w:t>I2</w:t>
      </w:r>
      <w:r w:rsidR="00B00123">
        <w:rPr>
          <w:b/>
          <w:bCs/>
        </w:rPr>
        <w:t xml:space="preserve"> for YRBS and Attachments I6 and I</w:t>
      </w:r>
      <w:r w:rsidR="00A807A7">
        <w:rPr>
          <w:b/>
          <w:bCs/>
        </w:rPr>
        <w:t>8</w:t>
      </w:r>
      <w:r w:rsidR="00B00123">
        <w:rPr>
          <w:b/>
          <w:bCs/>
        </w:rPr>
        <w:t xml:space="preserve"> for ABES</w:t>
      </w:r>
      <w:r w:rsidRPr="00750A9B" w:rsidR="00004146">
        <w:t>)</w:t>
      </w:r>
      <w:r w:rsidRPr="00750A9B">
        <w:t>.</w:t>
      </w:r>
      <w:r w:rsidRPr="001C2747">
        <w:t xml:space="preserve">  </w:t>
      </w:r>
    </w:p>
    <w:p w:rsidR="00AE5E89" w:rsidP="000B0C2E" w:rsidRDefault="0050513E" w14:paraId="64F21EE8" w14:textId="7140D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Several actions will be taken to help ensure anonymity</w:t>
      </w:r>
      <w:r w:rsidR="00B00123">
        <w:t xml:space="preserve"> for both the </w:t>
      </w:r>
      <w:r w:rsidR="00A807A7">
        <w:t>ABES and YRBS</w:t>
      </w:r>
      <w:r w:rsidRPr="001C2747">
        <w:t>.</w:t>
      </w:r>
      <w:r w:rsidR="00A807A7">
        <w:t xml:space="preserve"> For the ABES, </w:t>
      </w:r>
      <w:r w:rsidR="00B144B1">
        <w:t xml:space="preserve">students will receive </w:t>
      </w:r>
      <w:r w:rsidR="00AE5E89">
        <w:t xml:space="preserve">a randomly generated, randomly distributed 5-digit alphanumeric access ID </w:t>
      </w:r>
      <w:r w:rsidR="00B144B1">
        <w:t xml:space="preserve">in one of two ways. For students attending schools in-person at least part-time, </w:t>
      </w:r>
      <w:r w:rsidR="009C2218">
        <w:t xml:space="preserve">teachers will distribute sign-in cards with </w:t>
      </w:r>
      <w:r w:rsidR="00B144B1">
        <w:t>student access IDs. For students attending school in an exclusively distance learning (EDL) environment</w:t>
      </w:r>
      <w:r w:rsidR="00AE5E89">
        <w:t xml:space="preserve">, teachers will provide a classroom-level sign-in to all students in a selected class via the school’s established teacher-student communication channels. </w:t>
      </w:r>
      <w:r w:rsidRPr="00CD6692" w:rsidR="00CD6692">
        <w:t>Upon sign in, all records are associated with a unique student-level ID in the backend database</w:t>
      </w:r>
      <w:r w:rsidR="00CD6692">
        <w:t>, but none of these student access IDs can be traced to any individual student.</w:t>
      </w:r>
    </w:p>
    <w:p w:rsidR="00751FAF" w:rsidP="000B0C2E" w:rsidRDefault="00AE5E89" w14:paraId="47D9BE88" w14:textId="781F2C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For the YRBS, t</w:t>
      </w:r>
      <w:r w:rsidRPr="001C2747" w:rsidR="0050513E">
        <w:t xml:space="preserve">he survey will be administered in a classroom setting, with adequate space between respondents.  No personal identifiers will appear on survey questionnaires.  </w:t>
      </w:r>
      <w:r w:rsidR="009507CC">
        <w:t>For the paper-and-pencil administration in 2021, e</w:t>
      </w:r>
      <w:r w:rsidRPr="001C2747" w:rsidR="0050513E">
        <w:t xml:space="preserve">ach student will </w:t>
      </w:r>
      <w:r w:rsidR="009507CC">
        <w:t>place</w:t>
      </w:r>
      <w:r w:rsidRPr="001C2747" w:rsidR="0050513E">
        <w:t xml:space="preserve"> the completed </w:t>
      </w:r>
      <w:r w:rsidR="009507CC">
        <w:t xml:space="preserve">survey booklet </w:t>
      </w:r>
      <w:r w:rsidRPr="001C2747" w:rsidR="0050513E">
        <w:t>in a</w:t>
      </w:r>
      <w:r w:rsidR="009507CC">
        <w:t>n</w:t>
      </w:r>
      <w:r w:rsidRPr="001C2747" w:rsidR="0050513E">
        <w:t xml:space="preserve"> envelope, </w:t>
      </w:r>
      <w:r w:rsidR="009507CC">
        <w:t xml:space="preserve">seal the envelope, and submit it directly to the trained survey administrator.  </w:t>
      </w:r>
      <w:r w:rsidR="00634F0B">
        <w:t>All sealed envelopes from a given class are then placed in a larger envelope that is</w:t>
      </w:r>
      <w:r w:rsidRPr="001C2747" w:rsidR="0050513E">
        <w:t xml:space="preserve"> labeled with a school identification number (for weighting purposes only).</w:t>
      </w:r>
      <w:r w:rsidRPr="001C2747" w:rsidR="003674C2">
        <w:t xml:space="preserve"> </w:t>
      </w:r>
      <w:r w:rsidR="00634F0B">
        <w:t>For the tablet-based administration, students will log into the survey application using a randomly-generated, randomly-distributed, 5-digit alphanumeric access ID</w:t>
      </w:r>
      <w:r w:rsidR="00751FAF">
        <w:t xml:space="preserve">. </w:t>
      </w:r>
    </w:p>
    <w:p w:rsidRPr="001C2747" w:rsidR="0050513E" w:rsidP="000B0C2E" w:rsidRDefault="00751FAF" w14:paraId="382D3DB1" w14:textId="41A106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t>For both the YRBS and ABES, the access IDs are</w:t>
      </w:r>
      <w:r w:rsidR="00634F0B">
        <w:t xml:space="preserve"> connected in the backend database to a school identification number, for weighting purposes only.  For </w:t>
      </w:r>
      <w:r>
        <w:t xml:space="preserve">all </w:t>
      </w:r>
      <w:r w:rsidR="00634F0B">
        <w:t>modes</w:t>
      </w:r>
      <w:r>
        <w:t xml:space="preserve"> (paper-and-pencil, tablet, and web-based)</w:t>
      </w:r>
      <w:r w:rsidR="00634F0B">
        <w:t>, t</w:t>
      </w:r>
      <w:r w:rsidRPr="001C2747" w:rsidR="003674C2">
        <w:t>he connection between the school identification number and the school name will be retained only long enough to complete data collection.  Once data collection is complete, this connection will be destroyed</w:t>
      </w:r>
      <w:r w:rsidR="009B3868">
        <w:t>,</w:t>
      </w:r>
      <w:r w:rsidRPr="001C2747" w:rsidR="002622F9">
        <w:t xml:space="preserve"> never transmitted to CDC</w:t>
      </w:r>
      <w:r w:rsidRPr="001C2747" w:rsidR="003674C2">
        <w:t>.</w:t>
      </w:r>
    </w:p>
    <w:p w:rsidRPr="001C2747" w:rsidR="0050513E" w:rsidP="000B0C2E" w:rsidRDefault="0050513E" w14:paraId="0AFF641B" w14:textId="77777777">
      <w:pPr>
        <w:pStyle w:val="Heading2"/>
        <w:spacing w:before="120" w:after="120"/>
        <w:ind w:left="720" w:hanging="720"/>
        <w:rPr>
          <w:rFonts w:ascii="Times New Roman" w:hAnsi="Times New Roman" w:cs="Times New Roman"/>
        </w:rPr>
      </w:pPr>
      <w:r w:rsidRPr="001C2747">
        <w:rPr>
          <w:rFonts w:ascii="Times New Roman" w:hAnsi="Times New Roman" w:cs="Times New Roman"/>
          <w:b/>
          <w:bCs/>
        </w:rPr>
        <w:lastRenderedPageBreak/>
        <w:t>A.11</w:t>
      </w:r>
      <w:r w:rsidRPr="001C2747" w:rsidR="00793222">
        <w:rPr>
          <w:rFonts w:ascii="Times New Roman" w:hAnsi="Times New Roman" w:cs="Times New Roman"/>
          <w:b/>
          <w:bCs/>
        </w:rPr>
        <w:t>.</w:t>
      </w:r>
      <w:r w:rsidRPr="001C2747">
        <w:rPr>
          <w:rFonts w:ascii="Times New Roman" w:hAnsi="Times New Roman" w:cs="Times New Roman"/>
          <w:b/>
          <w:bCs/>
        </w:rPr>
        <w:tab/>
      </w:r>
      <w:r w:rsidRPr="001C2747" w:rsidR="00DD7FD9">
        <w:rPr>
          <w:rFonts w:ascii="Times New Roman" w:hAnsi="Times New Roman" w:cs="Times New Roman"/>
          <w:b/>
          <w:bCs/>
          <w:u w:val="single"/>
        </w:rPr>
        <w:t xml:space="preserve">INSTITUTIONAL REVIEW BOARD (IRB) AND </w:t>
      </w:r>
      <w:r w:rsidRPr="001C2747">
        <w:rPr>
          <w:rFonts w:ascii="Times New Roman" w:hAnsi="Times New Roman" w:cs="Times New Roman"/>
          <w:b/>
          <w:bCs/>
          <w:u w:val="single"/>
        </w:rPr>
        <w:t>JUSTIFICATION FOR SENSITIVE QUESTIONS</w:t>
      </w:r>
    </w:p>
    <w:p w:rsidRPr="001C2747" w:rsidR="00DD7FD9" w:rsidP="000B0C2E" w:rsidRDefault="00A86BA4" w14:paraId="41F773D2" w14:textId="598413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color w:val="000000"/>
        </w:rPr>
      </w:pPr>
      <w:r>
        <w:t>YRBS</w:t>
      </w:r>
      <w:r w:rsidRPr="001C2747">
        <w:t xml:space="preserve"> </w:t>
      </w:r>
      <w:r w:rsidRPr="001C2747" w:rsidR="00DD7FD9">
        <w:t xml:space="preserve">data collection has received IRB approval from the CDC Human Research Protection </w:t>
      </w:r>
      <w:r w:rsidRPr="00B81629" w:rsidR="00DD7FD9">
        <w:t xml:space="preserve">Office (protocol #1969, expiration: </w:t>
      </w:r>
      <w:r w:rsidRPr="00B81629" w:rsidR="00161F9D">
        <w:t>11/10/20</w:t>
      </w:r>
      <w:r w:rsidRPr="00B81629" w:rsidR="00B81629">
        <w:t>20</w:t>
      </w:r>
      <w:r w:rsidRPr="00B81629" w:rsidR="00DD7FD9">
        <w:t>).</w:t>
      </w:r>
      <w:r w:rsidRPr="001C2747" w:rsidR="00DD7FD9">
        <w:t xml:space="preserve">  The current YRBS IRB Approval Letter is in </w:t>
      </w:r>
      <w:r w:rsidR="00761D81">
        <w:rPr>
          <w:b/>
        </w:rPr>
        <w:t>Attachment</w:t>
      </w:r>
      <w:r w:rsidRPr="001C2747" w:rsidR="00DD7FD9">
        <w:t xml:space="preserve"> </w:t>
      </w:r>
      <w:r w:rsidRPr="00634F0B" w:rsidR="00634F0B">
        <w:rPr>
          <w:b/>
          <w:bCs/>
        </w:rPr>
        <w:t>J</w:t>
      </w:r>
      <w:r w:rsidRPr="001C2747" w:rsidR="00DD7FD9">
        <w:t xml:space="preserve">. </w:t>
      </w:r>
      <w:r>
        <w:t>ABES data collection has been submitted for IRB approval.</w:t>
      </w:r>
    </w:p>
    <w:p w:rsidRPr="001C2747" w:rsidR="00EA7C7A" w:rsidP="000B0C2E" w:rsidRDefault="00EA7C7A" w14:paraId="4D231202" w14:textId="20A8B7F9">
      <w:pPr>
        <w:pStyle w:val="BodyTextIndent"/>
        <w:spacing w:before="120" w:after="120"/>
        <w:ind w:left="90"/>
      </w:pPr>
      <w:r w:rsidRPr="001C2747">
        <w:rPr>
          <w:color w:val="000000"/>
        </w:rPr>
        <w:t xml:space="preserve">Sexual intercourse, alcohol and other drug use, weapon carrying, suicidal ideation and attempts, and weight loss practices all may be considered sensitive topics.  In fact, depending on the student and the setting in which questions are asked, nearly any health-risk behavior, including tobacco use and physical activity, could be considered sensitive.  However, the sensitive questions are necessary to the purpose of risk </w:t>
      </w:r>
      <w:r w:rsidRPr="001C2747" w:rsidR="0023202A">
        <w:rPr>
          <w:color w:val="000000"/>
        </w:rPr>
        <w:t>behavior</w:t>
      </w:r>
      <w:r w:rsidRPr="001C2747">
        <w:rPr>
          <w:color w:val="000000"/>
        </w:rPr>
        <w:t xml:space="preserve"> surveillance.  The behaviors covered in the questionnaire are the major behaviors known to cause mortality and morbidity.  During the past </w:t>
      </w:r>
      <w:r w:rsidR="00634F0B">
        <w:rPr>
          <w:color w:val="000000"/>
        </w:rPr>
        <w:t>30</w:t>
      </w:r>
      <w:r w:rsidRPr="001C2747" w:rsidR="00161F9D">
        <w:rPr>
          <w:color w:val="000000"/>
        </w:rPr>
        <w:t xml:space="preserve"> </w:t>
      </w:r>
      <w:r w:rsidRPr="001C2747">
        <w:rPr>
          <w:color w:val="000000"/>
        </w:rPr>
        <w:t xml:space="preserve">years, one of the primary responsibilities of CDC has been to monitor for the nation priority </w:t>
      </w:r>
      <w:r w:rsidRPr="001C2747" w:rsidR="00F71AA1">
        <w:rPr>
          <w:color w:val="000000"/>
        </w:rPr>
        <w:t>health</w:t>
      </w:r>
      <w:r w:rsidR="00F71AA1">
        <w:rPr>
          <w:color w:val="000000"/>
        </w:rPr>
        <w:t>-</w:t>
      </w:r>
      <w:r w:rsidRPr="001C2747">
        <w:rPr>
          <w:color w:val="000000"/>
        </w:rPr>
        <w:t>risk behaviors among youth.  To monitor such behaviors, CDC must ask youth about their participation in them.  Students are told prior to the start of the survey that “</w:t>
      </w:r>
      <w:r w:rsidRPr="001C2747">
        <w:t>This survey is about health behavior.  It has been developed so you can tell us what you do that may affect your health</w:t>
      </w:r>
      <w:bookmarkStart w:name="OLE_LINK21" w:id="10"/>
      <w:bookmarkStart w:name="OLE_LINK22" w:id="11"/>
      <w:r w:rsidR="009262A5">
        <w:t>.</w:t>
      </w:r>
      <w:r w:rsidRPr="001C2747">
        <w:t xml:space="preserve"> </w:t>
      </w:r>
      <w:bookmarkEnd w:id="10"/>
      <w:bookmarkEnd w:id="11"/>
      <w:r w:rsidRPr="001C2747">
        <w:t>The information you give will be used to develop better health education for young people like yourself.”</w:t>
      </w:r>
    </w:p>
    <w:p w:rsidRPr="001C2747" w:rsidR="00EA7C7A" w:rsidP="000B0C2E" w:rsidRDefault="0050513E" w14:paraId="486E5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questions were developed in close cooperation with representatives </w:t>
      </w:r>
      <w:r w:rsidRPr="001C2747" w:rsidR="0023202A">
        <w:t>from school systems across the n</w:t>
      </w:r>
      <w:r w:rsidRPr="001C2747">
        <w:t>ation and are presented in a straightforward and sensitive manner.</w:t>
      </w:r>
    </w:p>
    <w:p w:rsidRPr="001C2747" w:rsidR="00EA7C7A" w:rsidP="000B0C2E" w:rsidRDefault="0086023F" w14:paraId="24C9A072" w14:textId="3AF3BB40">
      <w:pPr>
        <w:spacing w:before="120" w:after="120"/>
      </w:pPr>
      <w:r w:rsidRPr="001C2747">
        <w:rPr>
          <w:color w:val="000000"/>
        </w:rPr>
        <w:tab/>
      </w:r>
      <w:r w:rsidRPr="001C2747" w:rsidR="00EA7C7A">
        <w:rPr>
          <w:color w:val="000000"/>
        </w:rPr>
        <w:t xml:space="preserve">Parental permission to participate in the </w:t>
      </w:r>
      <w:r w:rsidRPr="001C2747" w:rsidR="001D1437">
        <w:rPr>
          <w:color w:val="000000"/>
        </w:rPr>
        <w:t>YRBS</w:t>
      </w:r>
      <w:r w:rsidRPr="001C2747" w:rsidR="00EA7C7A">
        <w:rPr>
          <w:color w:val="000000"/>
        </w:rPr>
        <w:t xml:space="preserve"> </w:t>
      </w:r>
      <w:r w:rsidR="00A86BA4">
        <w:rPr>
          <w:color w:val="000000"/>
        </w:rPr>
        <w:t xml:space="preserve">and ABES </w:t>
      </w:r>
      <w:r w:rsidRPr="001C2747" w:rsidR="00EA7C7A">
        <w:rPr>
          <w:color w:val="000000"/>
        </w:rPr>
        <w:t xml:space="preserve">will be obtained.  </w:t>
      </w:r>
      <w:r w:rsidRPr="00635524" w:rsidR="00761D81">
        <w:rPr>
          <w:b/>
          <w:color w:val="000000"/>
        </w:rPr>
        <w:t>Attachment</w:t>
      </w:r>
      <w:r w:rsidRPr="00635524" w:rsidR="00073967">
        <w:rPr>
          <w:color w:val="000000"/>
        </w:rPr>
        <w:t xml:space="preserve"> </w:t>
      </w:r>
      <w:r w:rsidRPr="00635524" w:rsidR="005D34ED">
        <w:rPr>
          <w:b/>
          <w:color w:val="000000"/>
        </w:rPr>
        <w:t>I</w:t>
      </w:r>
      <w:r w:rsidRPr="00635524" w:rsidR="005D34ED">
        <w:rPr>
          <w:color w:val="000000"/>
        </w:rPr>
        <w:t xml:space="preserve"> </w:t>
      </w:r>
      <w:r w:rsidRPr="00635524" w:rsidR="00821514">
        <w:rPr>
          <w:color w:val="000000"/>
        </w:rPr>
        <w:t xml:space="preserve">contains </w:t>
      </w:r>
      <w:r w:rsidRPr="00635524" w:rsidR="00EA7C7A">
        <w:rPr>
          <w:color w:val="000000"/>
        </w:rPr>
        <w:t>the parental permission form</w:t>
      </w:r>
      <w:r w:rsidRPr="00635524" w:rsidR="00071423">
        <w:rPr>
          <w:color w:val="000000"/>
        </w:rPr>
        <w:t>s</w:t>
      </w:r>
      <w:r w:rsidRPr="00635524" w:rsidR="00EA7C7A">
        <w:rPr>
          <w:color w:val="000000"/>
        </w:rPr>
        <w:t xml:space="preserve"> </w:t>
      </w:r>
      <w:r w:rsidRPr="00635524" w:rsidR="00821514">
        <w:rPr>
          <w:color w:val="000000"/>
        </w:rPr>
        <w:t>in English (</w:t>
      </w:r>
      <w:r w:rsidRPr="00635524" w:rsidR="00761D81">
        <w:rPr>
          <w:b/>
          <w:color w:val="000000"/>
        </w:rPr>
        <w:t>Attachment</w:t>
      </w:r>
      <w:r w:rsidRPr="00635524" w:rsidR="00821514">
        <w:rPr>
          <w:color w:val="000000"/>
        </w:rPr>
        <w:t xml:space="preserve"> </w:t>
      </w:r>
      <w:r w:rsidRPr="00635524" w:rsidR="005D34ED">
        <w:rPr>
          <w:b/>
          <w:color w:val="000000"/>
        </w:rPr>
        <w:t>I1</w:t>
      </w:r>
      <w:r w:rsidR="00202763">
        <w:rPr>
          <w:b/>
          <w:color w:val="000000"/>
        </w:rPr>
        <w:t xml:space="preserve"> for YRBS</w:t>
      </w:r>
      <w:r w:rsidR="00A86BA4">
        <w:rPr>
          <w:b/>
          <w:color w:val="000000"/>
        </w:rPr>
        <w:t xml:space="preserve"> and I6</w:t>
      </w:r>
      <w:r w:rsidR="00202763">
        <w:rPr>
          <w:b/>
          <w:color w:val="000000"/>
        </w:rPr>
        <w:t xml:space="preserve"> for ABES</w:t>
      </w:r>
      <w:r w:rsidRPr="00635524" w:rsidR="00821514">
        <w:rPr>
          <w:color w:val="000000"/>
        </w:rPr>
        <w:t>) and Spanish (</w:t>
      </w:r>
      <w:r w:rsidRPr="00635524" w:rsidR="00761D81">
        <w:rPr>
          <w:b/>
          <w:color w:val="000000"/>
        </w:rPr>
        <w:t>Attachment</w:t>
      </w:r>
      <w:r w:rsidRPr="00635524" w:rsidR="00821514">
        <w:rPr>
          <w:color w:val="000000"/>
        </w:rPr>
        <w:t xml:space="preserve"> </w:t>
      </w:r>
      <w:r w:rsidRPr="00635524" w:rsidR="005D34ED">
        <w:rPr>
          <w:b/>
          <w:color w:val="000000"/>
        </w:rPr>
        <w:t>I2</w:t>
      </w:r>
      <w:r w:rsidR="00A86BA4">
        <w:rPr>
          <w:b/>
          <w:color w:val="000000"/>
        </w:rPr>
        <w:t xml:space="preserve"> </w:t>
      </w:r>
      <w:r w:rsidR="00202763">
        <w:rPr>
          <w:b/>
          <w:color w:val="000000"/>
        </w:rPr>
        <w:t xml:space="preserve">for YRBS </w:t>
      </w:r>
      <w:r w:rsidR="00A86BA4">
        <w:rPr>
          <w:b/>
          <w:color w:val="000000"/>
        </w:rPr>
        <w:t>and I7</w:t>
      </w:r>
      <w:r w:rsidR="00202763">
        <w:rPr>
          <w:b/>
          <w:color w:val="000000"/>
        </w:rPr>
        <w:t xml:space="preserve"> for ABES</w:t>
      </w:r>
      <w:r w:rsidRPr="00635524" w:rsidR="00821514">
        <w:rPr>
          <w:color w:val="000000"/>
        </w:rPr>
        <w:t>)</w:t>
      </w:r>
      <w:r w:rsidRPr="00635524" w:rsidR="00725A7F">
        <w:rPr>
          <w:color w:val="000000"/>
        </w:rPr>
        <w:t xml:space="preserve">, </w:t>
      </w:r>
      <w:r w:rsidRPr="00635524" w:rsidR="00635524">
        <w:rPr>
          <w:color w:val="000000"/>
        </w:rPr>
        <w:t>the distribution script (</w:t>
      </w:r>
      <w:r w:rsidRPr="00635524" w:rsidR="00635524">
        <w:rPr>
          <w:b/>
          <w:color w:val="000000"/>
        </w:rPr>
        <w:t>Attachment I3</w:t>
      </w:r>
      <w:r w:rsidR="00202763">
        <w:rPr>
          <w:b/>
          <w:color w:val="000000"/>
        </w:rPr>
        <w:t xml:space="preserve"> for YRBS</w:t>
      </w:r>
      <w:r w:rsidR="00A86BA4">
        <w:rPr>
          <w:b/>
          <w:color w:val="000000"/>
        </w:rPr>
        <w:t>, I8</w:t>
      </w:r>
      <w:r w:rsidR="00202763">
        <w:rPr>
          <w:b/>
          <w:color w:val="000000"/>
        </w:rPr>
        <w:t xml:space="preserve"> for ABES EDL schools</w:t>
      </w:r>
      <w:r w:rsidR="00A86BA4">
        <w:rPr>
          <w:b/>
          <w:color w:val="000000"/>
        </w:rPr>
        <w:t>, and I9</w:t>
      </w:r>
      <w:r w:rsidR="00202763">
        <w:rPr>
          <w:b/>
          <w:color w:val="000000"/>
        </w:rPr>
        <w:t xml:space="preserve"> for ABES in-person schools</w:t>
      </w:r>
      <w:r w:rsidRPr="00635524" w:rsidR="00635524">
        <w:rPr>
          <w:color w:val="000000"/>
        </w:rPr>
        <w:t>) to be read by the teacher when passing out the permission form</w:t>
      </w:r>
      <w:r w:rsidR="00635524">
        <w:rPr>
          <w:color w:val="000000"/>
        </w:rPr>
        <w:t xml:space="preserve">, and </w:t>
      </w:r>
      <w:r w:rsidRPr="00635524" w:rsidR="00725A7F">
        <w:rPr>
          <w:color w:val="000000"/>
        </w:rPr>
        <w:t xml:space="preserve">the </w:t>
      </w:r>
      <w:r w:rsidRPr="00635524" w:rsidR="00EA7C7A">
        <w:rPr>
          <w:color w:val="000000"/>
        </w:rPr>
        <w:t xml:space="preserve">parental permission form reminder notice </w:t>
      </w:r>
      <w:r w:rsidRPr="00635524" w:rsidR="00821514">
        <w:rPr>
          <w:color w:val="000000"/>
        </w:rPr>
        <w:t>in English (</w:t>
      </w:r>
      <w:r w:rsidRPr="00635524" w:rsidR="00761D81">
        <w:rPr>
          <w:b/>
          <w:color w:val="000000"/>
        </w:rPr>
        <w:t>Attachment</w:t>
      </w:r>
      <w:r w:rsidRPr="00635524" w:rsidR="00821514">
        <w:rPr>
          <w:color w:val="000000"/>
        </w:rPr>
        <w:t xml:space="preserve"> </w:t>
      </w:r>
      <w:r w:rsidRPr="00635524" w:rsidR="005D34ED">
        <w:rPr>
          <w:b/>
          <w:bCs/>
          <w:color w:val="000000"/>
        </w:rPr>
        <w:t>I</w:t>
      </w:r>
      <w:r w:rsidRPr="00635524" w:rsidR="000A00F0">
        <w:rPr>
          <w:b/>
          <w:bCs/>
          <w:color w:val="000000"/>
        </w:rPr>
        <w:t>4</w:t>
      </w:r>
      <w:r w:rsidR="00202763">
        <w:rPr>
          <w:b/>
          <w:bCs/>
          <w:color w:val="000000"/>
        </w:rPr>
        <w:t xml:space="preserve"> for YRBS, I</w:t>
      </w:r>
      <w:r w:rsidR="008A1C0B">
        <w:rPr>
          <w:b/>
          <w:bCs/>
          <w:color w:val="000000"/>
        </w:rPr>
        <w:t>10 for ABES EDL schools, and I11 for ABES in-person schools</w:t>
      </w:r>
      <w:r w:rsidRPr="00635524" w:rsidR="00821514">
        <w:rPr>
          <w:color w:val="000000"/>
        </w:rPr>
        <w:t>) and Spanish (</w:t>
      </w:r>
      <w:r w:rsidRPr="00635524" w:rsidR="00761D81">
        <w:rPr>
          <w:b/>
          <w:color w:val="000000"/>
        </w:rPr>
        <w:t>Attachment</w:t>
      </w:r>
      <w:r w:rsidRPr="00635524" w:rsidR="00821514">
        <w:rPr>
          <w:color w:val="000000"/>
        </w:rPr>
        <w:t xml:space="preserve"> </w:t>
      </w:r>
      <w:r w:rsidRPr="00635524" w:rsidR="005D34ED">
        <w:rPr>
          <w:b/>
          <w:color w:val="000000"/>
        </w:rPr>
        <w:t>I</w:t>
      </w:r>
      <w:r w:rsidRPr="00635524" w:rsidR="000A00F0">
        <w:rPr>
          <w:b/>
          <w:color w:val="000000"/>
        </w:rPr>
        <w:t>5</w:t>
      </w:r>
      <w:r w:rsidR="008A1C0B">
        <w:rPr>
          <w:b/>
          <w:color w:val="000000"/>
        </w:rPr>
        <w:t xml:space="preserve"> for YRBS, I12 for ABES EDL schools, and I13 for ABES in-person schools</w:t>
      </w:r>
      <w:r w:rsidRPr="00635524" w:rsidR="00821514">
        <w:rPr>
          <w:color w:val="000000"/>
        </w:rPr>
        <w:t>)</w:t>
      </w:r>
      <w:r w:rsidRPr="00635524" w:rsidR="00725A7F">
        <w:rPr>
          <w:color w:val="000000"/>
        </w:rPr>
        <w:t>,</w:t>
      </w:r>
      <w:r w:rsidRPr="001C2747" w:rsidR="006A70A1">
        <w:rPr>
          <w:color w:val="000000"/>
        </w:rPr>
        <w:t xml:space="preserve"> At each school, local procedures for sending home parental permission forms will be followed.  Schools will be asked to ensure permission forms are distributed at least </w:t>
      </w:r>
      <w:r w:rsidRPr="001C2747" w:rsidR="00300DCB">
        <w:rPr>
          <w:color w:val="000000"/>
        </w:rPr>
        <w:t xml:space="preserve">10 </w:t>
      </w:r>
      <w:r w:rsidRPr="001C2747" w:rsidR="006A70A1">
        <w:rPr>
          <w:color w:val="000000"/>
        </w:rPr>
        <w:t xml:space="preserve">days before the survey administration.  Teachers track the return of parental permission forms on the Data Collection Checklist to ensure that only students with parental permission participate.  </w:t>
      </w:r>
      <w:r w:rsidRPr="001C2747">
        <w:t xml:space="preserve">A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they are not anonymous if they are required to provide stated assent and sign a consent/assent document.  </w:t>
      </w:r>
      <w:r w:rsidRPr="001C2747">
        <w:rPr>
          <w:color w:val="000000"/>
        </w:rPr>
        <w:t xml:space="preserve">Students are told “Participating in this survey is voluntary and your grade in this class will not be affected, whether or not you answer the questions.” </w:t>
      </w:r>
      <w:r w:rsidRPr="001C2747" w:rsidR="00E048CE">
        <w:rPr>
          <w:color w:val="000000"/>
        </w:rPr>
        <w:t xml:space="preserve"> Completion of the survey implies student assent.</w:t>
      </w:r>
      <w:r w:rsidRPr="001C2747" w:rsidR="00837AC5">
        <w:rPr>
          <w:color w:val="000000"/>
        </w:rPr>
        <w:t xml:space="preserve"> </w:t>
      </w:r>
    </w:p>
    <w:p w:rsidRPr="001C2747" w:rsidR="0050513E" w:rsidP="000B0C2E" w:rsidRDefault="0050513E" w14:paraId="0141406C" w14:textId="39490D86">
      <w:pPr>
        <w:pStyle w:val="Heading2"/>
        <w:spacing w:before="120" w:after="120"/>
      </w:pPr>
      <w:r w:rsidRPr="001C2747">
        <w:rPr>
          <w:rFonts w:ascii="Times New Roman" w:hAnsi="Times New Roman" w:cs="Times New Roman"/>
          <w:b/>
          <w:bCs/>
        </w:rPr>
        <w:t>A.12</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ESTIMATES OF ANNUALIZED BURDEN HOURS AND COSTS</w:t>
      </w:r>
    </w:p>
    <w:p w:rsidR="00A509DF" w:rsidP="000B0C2E" w:rsidRDefault="004E1042" w14:paraId="5A4961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rPr>
          <w:color w:val="000000"/>
        </w:rPr>
      </w:pPr>
      <w:r w:rsidRPr="001C2747">
        <w:rPr>
          <w:color w:val="000000"/>
        </w:rPr>
        <w:t xml:space="preserve"> </w:t>
      </w:r>
      <w:r w:rsidRPr="001C2747" w:rsidR="008F11B2">
        <w:rPr>
          <w:color w:val="000000"/>
        </w:rPr>
        <w:t xml:space="preserve">The estimated burden for this information collection is based on </w:t>
      </w:r>
      <w:r w:rsidR="009262A5">
        <w:rPr>
          <w:color w:val="000000"/>
        </w:rPr>
        <w:t xml:space="preserve">nearly 30 </w:t>
      </w:r>
      <w:r w:rsidRPr="001C2747" w:rsidR="008F11B2">
        <w:rPr>
          <w:color w:val="000000"/>
        </w:rPr>
        <w:t>years of experience conducting the YRBS. The planned information collection involves administration of the YRBS questionnaire (</w:t>
      </w:r>
      <w:r w:rsidR="00761D81">
        <w:rPr>
          <w:b/>
          <w:color w:val="000000"/>
        </w:rPr>
        <w:t>Attachment</w:t>
      </w:r>
      <w:r w:rsidRPr="001C2747" w:rsidR="008F11B2">
        <w:rPr>
          <w:b/>
          <w:color w:val="000000"/>
        </w:rPr>
        <w:t xml:space="preserve"> </w:t>
      </w:r>
      <w:r w:rsidR="009262A5">
        <w:rPr>
          <w:b/>
          <w:color w:val="000000"/>
        </w:rPr>
        <w:t>K</w:t>
      </w:r>
      <w:r w:rsidR="00207BA9">
        <w:rPr>
          <w:b/>
          <w:color w:val="000000"/>
        </w:rPr>
        <w:t>1</w:t>
      </w:r>
      <w:r w:rsidRPr="001C2747" w:rsidR="008F11B2">
        <w:rPr>
          <w:color w:val="000000"/>
        </w:rPr>
        <w:t xml:space="preserve">) </w:t>
      </w:r>
      <w:r w:rsidR="00207BA9">
        <w:rPr>
          <w:color w:val="000000"/>
        </w:rPr>
        <w:t>or the ABES questionnaire (</w:t>
      </w:r>
      <w:r w:rsidRPr="00207BA9" w:rsidR="00207BA9">
        <w:rPr>
          <w:b/>
          <w:bCs/>
          <w:color w:val="000000"/>
        </w:rPr>
        <w:t>Attachment K2</w:t>
      </w:r>
      <w:r w:rsidR="00207BA9">
        <w:rPr>
          <w:color w:val="000000"/>
        </w:rPr>
        <w:t xml:space="preserve">) </w:t>
      </w:r>
      <w:r w:rsidRPr="001C2747" w:rsidR="008F11B2">
        <w:rPr>
          <w:color w:val="000000"/>
        </w:rPr>
        <w:t>to independent samples of students in</w:t>
      </w:r>
      <w:r w:rsidR="00207BA9">
        <w:rPr>
          <w:color w:val="000000"/>
        </w:rPr>
        <w:t xml:space="preserve"> spring</w:t>
      </w:r>
      <w:r w:rsidRPr="001C2747" w:rsidR="008F11B2">
        <w:rPr>
          <w:color w:val="000000"/>
        </w:rPr>
        <w:t xml:space="preserve"> 20</w:t>
      </w:r>
      <w:r w:rsidR="009262A5">
        <w:rPr>
          <w:color w:val="000000"/>
        </w:rPr>
        <w:t>21</w:t>
      </w:r>
      <w:r w:rsidR="00207BA9">
        <w:rPr>
          <w:color w:val="000000"/>
        </w:rPr>
        <w:t xml:space="preserve"> (ABES)</w:t>
      </w:r>
      <w:r w:rsidR="003F1752">
        <w:rPr>
          <w:color w:val="000000"/>
        </w:rPr>
        <w:t>, fall 2021 (YRBS)</w:t>
      </w:r>
      <w:r w:rsidRPr="001C2747" w:rsidR="00D11DBD">
        <w:rPr>
          <w:color w:val="000000"/>
        </w:rPr>
        <w:t xml:space="preserve"> and </w:t>
      </w:r>
      <w:r w:rsidR="003F1752">
        <w:rPr>
          <w:color w:val="000000"/>
        </w:rPr>
        <w:t xml:space="preserve">spring </w:t>
      </w:r>
      <w:r w:rsidRPr="001C2747" w:rsidR="00D11DBD">
        <w:rPr>
          <w:color w:val="000000"/>
        </w:rPr>
        <w:t>20</w:t>
      </w:r>
      <w:r w:rsidR="009262A5">
        <w:rPr>
          <w:color w:val="000000"/>
        </w:rPr>
        <w:t>23</w:t>
      </w:r>
      <w:r w:rsidR="003F1752">
        <w:rPr>
          <w:color w:val="000000"/>
        </w:rPr>
        <w:t xml:space="preserve"> (YRBS)</w:t>
      </w:r>
      <w:r w:rsidRPr="001C2747" w:rsidR="008F11B2">
        <w:rPr>
          <w:color w:val="000000"/>
        </w:rPr>
        <w:t xml:space="preserve">. </w:t>
      </w:r>
      <w:r w:rsidR="00A509DF">
        <w:rPr>
          <w:color w:val="000000"/>
        </w:rPr>
        <w:t xml:space="preserve">To ensure that burden on schools and students is kept to a minimum, schools that </w:t>
      </w:r>
      <w:r w:rsidR="00A509DF">
        <w:rPr>
          <w:color w:val="000000"/>
        </w:rPr>
        <w:lastRenderedPageBreak/>
        <w:t>participate in ABES in spring 2021 that also appear in the national YRBS sample for fall 2021 will not be approached to participate in YRBS. They will be considered as refusals.</w:t>
      </w:r>
    </w:p>
    <w:p w:rsidRPr="001C2747" w:rsidR="008F11B2" w:rsidP="000B0C2E" w:rsidRDefault="008F11B2" w14:paraId="476CF041" w14:textId="518AE5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 xml:space="preserve">Respondents </w:t>
      </w:r>
      <w:r w:rsidR="00A509DF">
        <w:t xml:space="preserve">for both the YRBS and ABES </w:t>
      </w:r>
      <w:r w:rsidRPr="001C2747">
        <w:t>include state-level, district-level, and school-level administrators who provide information</w:t>
      </w:r>
      <w:r w:rsidRPr="001C2747" w:rsidR="0014464D">
        <w:t xml:space="preserve"> requested</w:t>
      </w:r>
      <w:r w:rsidRPr="001C2747">
        <w:t xml:space="preserve"> in the Recruitment Script for the YRBS (</w:t>
      </w:r>
      <w:r w:rsidR="003F1752">
        <w:rPr>
          <w:b/>
        </w:rPr>
        <w:t>Attachments</w:t>
      </w:r>
      <w:r w:rsidRPr="001C2747" w:rsidR="003F1752">
        <w:rPr>
          <w:b/>
        </w:rPr>
        <w:t xml:space="preserve"> </w:t>
      </w:r>
      <w:r w:rsidR="009262A5">
        <w:rPr>
          <w:b/>
        </w:rPr>
        <w:t>L</w:t>
      </w:r>
      <w:r w:rsidRPr="001C2747" w:rsidR="0014464D">
        <w:rPr>
          <w:b/>
        </w:rPr>
        <w:t>1-</w:t>
      </w:r>
      <w:r w:rsidR="009262A5">
        <w:rPr>
          <w:b/>
        </w:rPr>
        <w:t>L</w:t>
      </w:r>
      <w:r w:rsidRPr="001C2747" w:rsidR="0014464D">
        <w:rPr>
          <w:b/>
        </w:rPr>
        <w:t>3</w:t>
      </w:r>
      <w:r w:rsidRPr="001C2747">
        <w:t>)</w:t>
      </w:r>
      <w:r w:rsidR="003F1752">
        <w:t xml:space="preserve"> and ABES (</w:t>
      </w:r>
      <w:r w:rsidRPr="003F1752" w:rsidR="003F1752">
        <w:rPr>
          <w:b/>
          <w:bCs/>
        </w:rPr>
        <w:t>Attachments L4-L6</w:t>
      </w:r>
      <w:r w:rsidR="003F1752">
        <w:t>)</w:t>
      </w:r>
      <w:r w:rsidRPr="001C2747">
        <w:t>, teachers who complete the Data Collection Checklist (</w:t>
      </w:r>
      <w:r w:rsidR="00761D81">
        <w:rPr>
          <w:b/>
        </w:rPr>
        <w:t>Attachment</w:t>
      </w:r>
      <w:r w:rsidRPr="001C2747">
        <w:rPr>
          <w:b/>
        </w:rPr>
        <w:t xml:space="preserve"> </w:t>
      </w:r>
      <w:r w:rsidR="009262A5">
        <w:rPr>
          <w:b/>
        </w:rPr>
        <w:t>G</w:t>
      </w:r>
      <w:r w:rsidRPr="001C2747">
        <w:t xml:space="preserve">), and students who receive instructions for and complete the YRBS </w:t>
      </w:r>
      <w:r w:rsidR="003F1752">
        <w:t xml:space="preserve">or ABES </w:t>
      </w:r>
      <w:r w:rsidRPr="001C2747">
        <w:t>questionnaire (</w:t>
      </w:r>
      <w:r w:rsidR="00761D81">
        <w:rPr>
          <w:b/>
        </w:rPr>
        <w:t>Attachment</w:t>
      </w:r>
      <w:r w:rsidR="00CD07B0">
        <w:rPr>
          <w:b/>
        </w:rPr>
        <w:t>s</w:t>
      </w:r>
      <w:r w:rsidRPr="001C2747">
        <w:rPr>
          <w:b/>
        </w:rPr>
        <w:t xml:space="preserve"> </w:t>
      </w:r>
      <w:r w:rsidR="009262A5">
        <w:rPr>
          <w:b/>
        </w:rPr>
        <w:t>K</w:t>
      </w:r>
      <w:r w:rsidR="00CD07B0">
        <w:rPr>
          <w:b/>
        </w:rPr>
        <w:t>1-K2</w:t>
      </w:r>
      <w:r w:rsidRPr="001C2747">
        <w:t xml:space="preserve">).  More information about the Data Collection Checklist is detailed in section B.2.  </w:t>
      </w:r>
    </w:p>
    <w:p w:rsidRPr="00440D6F" w:rsidR="008F11B2" w:rsidP="000B0C2E" w:rsidRDefault="00F455AC" w14:paraId="62DF08AD" w14:textId="65D3273C">
      <w:pPr>
        <w:spacing w:before="120" w:after="120"/>
        <w:ind w:firstLine="720"/>
      </w:pPr>
      <w:r>
        <w:t xml:space="preserve">For the YRBS and ABES, both of which will be conducted </w:t>
      </w:r>
      <w:r w:rsidRPr="001C2747" w:rsidR="00AD0BD4">
        <w:t>among nationally representative samples of students attending public and private schools in grades 9-12</w:t>
      </w:r>
      <w:r w:rsidR="00AD0BD4">
        <w:t>,</w:t>
      </w:r>
      <w:r w:rsidRPr="001C2747" w:rsidR="00AD0BD4">
        <w:t xml:space="preserve"> </w:t>
      </w:r>
      <w:r w:rsidRPr="001C2747" w:rsidR="008F11B2">
        <w:t xml:space="preserve"> the cooperation of educational administrators </w:t>
      </w:r>
      <w:r w:rsidR="00AD0BD4">
        <w:t>a</w:t>
      </w:r>
      <w:r w:rsidRPr="001C2747" w:rsidR="00AD0BD4">
        <w:t xml:space="preserve">t </w:t>
      </w:r>
      <w:r w:rsidR="00AD0BD4">
        <w:t xml:space="preserve">the </w:t>
      </w:r>
      <w:r w:rsidRPr="001C2747" w:rsidR="00AD0BD4">
        <w:t xml:space="preserve">state, school district, and school levels </w:t>
      </w:r>
      <w:r w:rsidRPr="001C2747" w:rsidR="008F11B2">
        <w:t xml:space="preserve">will be sought in recruitment of sampled schools.  For </w:t>
      </w:r>
      <w:r w:rsidR="00AD0BD4">
        <w:t xml:space="preserve">the ABES, the number of states, school districts, and schools whose administrators will be contacted is estimated at </w:t>
      </w:r>
      <w:r w:rsidR="00F63915">
        <w:t xml:space="preserve">30, 230, and 340, respectively. For the YRBS cycle, these numbers are </w:t>
      </w:r>
      <w:r w:rsidRPr="00440D6F" w:rsidR="00F63915">
        <w:t>estimated at 25, 120, and 200, respectively</w:t>
      </w:r>
      <w:r w:rsidRPr="00440D6F" w:rsidR="008F11B2">
        <w:t xml:space="preserve">.  The combined total number of respondents for the </w:t>
      </w:r>
      <w:r w:rsidRPr="00440D6F" w:rsidR="00650223">
        <w:t xml:space="preserve">2021 </w:t>
      </w:r>
      <w:r w:rsidRPr="00440D6F" w:rsidR="008F11B2">
        <w:t xml:space="preserve">YRBS and the </w:t>
      </w:r>
      <w:r w:rsidRPr="00440D6F" w:rsidR="00650223">
        <w:t xml:space="preserve">2023 </w:t>
      </w:r>
      <w:r w:rsidRPr="00440D6F" w:rsidR="008F11B2">
        <w:t>YRBS, by type, will include: state-level administrators (n=50), district-level administrators (n=240), and school-level administrators (n=400) who provide information in the Recruitment Script for the YRBS, teachers (n=</w:t>
      </w:r>
      <w:r w:rsidR="00053B4E">
        <w:t>1,920</w:t>
      </w:r>
      <w:r w:rsidRPr="00440D6F" w:rsidR="008F11B2">
        <w:t xml:space="preserve">) who complete the Data Collection Checklist for </w:t>
      </w:r>
      <w:r w:rsidRPr="00440D6F" w:rsidR="00D11DBD">
        <w:t>the YRBS, and students (n=</w:t>
      </w:r>
      <w:r w:rsidR="00053B4E">
        <w:t>35,037</w:t>
      </w:r>
      <w:r w:rsidRPr="00440D6F" w:rsidR="008F11B2">
        <w:t>) who receive instructions for and complete the YRBS questionnaire.</w:t>
      </w:r>
      <w:r w:rsidR="00812A2C">
        <w:t xml:space="preserve"> For the ABES, in addition to the state, district, and school administrators who provide information in the Recruitment Scripts, respondents include teachers (n = </w:t>
      </w:r>
      <w:r w:rsidR="000676D8">
        <w:t>600</w:t>
      </w:r>
      <w:r w:rsidR="00812A2C">
        <w:t xml:space="preserve">) who complete the Data Collection Checklist for the ABES and students (n = </w:t>
      </w:r>
      <w:r w:rsidR="000676D8">
        <w:t>15,460</w:t>
      </w:r>
      <w:r w:rsidR="00812A2C">
        <w:t xml:space="preserve">) who receive instructions for and complete the ABES questionnaires. </w:t>
      </w:r>
      <w:r w:rsidRPr="00440D6F" w:rsidR="008F11B2">
        <w:t xml:space="preserve">  These totals </w:t>
      </w:r>
      <w:r w:rsidR="006E398D">
        <w:t xml:space="preserve">for </w:t>
      </w:r>
      <w:r w:rsidR="00C1008F">
        <w:t>the one-year ABES and for the YRBS</w:t>
      </w:r>
      <w:r w:rsidR="006E398D">
        <w:t xml:space="preserve"> </w:t>
      </w:r>
      <w:r w:rsidRPr="00440D6F" w:rsidR="008F11B2">
        <w:rPr>
          <w:u w:val="single"/>
        </w:rPr>
        <w:t xml:space="preserve">annualized over the </w:t>
      </w:r>
      <w:r w:rsidR="006E398D">
        <w:rPr>
          <w:u w:val="single"/>
        </w:rPr>
        <w:t>three</w:t>
      </w:r>
      <w:r w:rsidRPr="00440D6F" w:rsidR="008F11B2">
        <w:rPr>
          <w:u w:val="single"/>
        </w:rPr>
        <w:t xml:space="preserve">-year </w:t>
      </w:r>
      <w:r w:rsidR="00C1008F">
        <w:rPr>
          <w:u w:val="single"/>
        </w:rPr>
        <w:t xml:space="preserve">YRBS </w:t>
      </w:r>
      <w:r w:rsidRPr="00440D6F" w:rsidR="008F11B2">
        <w:rPr>
          <w:u w:val="single"/>
        </w:rPr>
        <w:t>study period</w:t>
      </w:r>
      <w:r w:rsidRPr="00440D6F" w:rsidR="008F11B2">
        <w:t xml:space="preserve"> are provided in Table A-12.a.</w:t>
      </w:r>
    </w:p>
    <w:p w:rsidR="007642F8" w:rsidP="007642F8" w:rsidRDefault="008F11B2" w14:paraId="4AA45C0D" w14:textId="50F8891E">
      <w:pPr>
        <w:spacing w:before="120" w:after="120"/>
        <w:ind w:firstLine="720"/>
      </w:pPr>
      <w:r w:rsidRPr="00FA2021">
        <w:t>There are no costs to respondents except their time. The</w:t>
      </w:r>
      <w:r w:rsidRPr="00FA2021" w:rsidR="003E607D">
        <w:t xml:space="preserve"> combined</w:t>
      </w:r>
      <w:r w:rsidRPr="00FA2021">
        <w:t xml:space="preserve"> total burden hours estimated for the </w:t>
      </w:r>
      <w:r w:rsidRPr="00FA2021" w:rsidR="006E398D">
        <w:t xml:space="preserve">ABES and the </w:t>
      </w:r>
      <w:r w:rsidRPr="00FA2021" w:rsidR="00650223">
        <w:t xml:space="preserve">2021 </w:t>
      </w:r>
      <w:r w:rsidRPr="00FA2021">
        <w:t xml:space="preserve">and </w:t>
      </w:r>
      <w:r w:rsidRPr="00FA2021" w:rsidR="00650223">
        <w:t xml:space="preserve">2023 </w:t>
      </w:r>
      <w:r w:rsidRPr="00FA2021">
        <w:t xml:space="preserve">YRBS and associated support activities are </w:t>
      </w:r>
      <w:r w:rsidRPr="00FA2021" w:rsidR="002C6AA8">
        <w:t>21,097</w:t>
      </w:r>
      <w:r w:rsidRPr="00FA2021">
        <w:t xml:space="preserve">. The total estimated </w:t>
      </w:r>
      <w:r w:rsidRPr="00FA2021" w:rsidR="00FA2021">
        <w:t xml:space="preserve">annual </w:t>
      </w:r>
      <w:r w:rsidRPr="00FA2021">
        <w:t>burden hours</w:t>
      </w:r>
      <w:r w:rsidRPr="00FA2021" w:rsidR="00FA2021">
        <w:t xml:space="preserve"> for the ABES</w:t>
      </w:r>
      <w:r w:rsidRPr="00FA2021">
        <w:t xml:space="preserve"> </w:t>
      </w:r>
      <w:r w:rsidRPr="00FA2021" w:rsidR="00FA2021">
        <w:t xml:space="preserve">is 12,045.  The total estimated burden hours for the YRBS </w:t>
      </w:r>
      <w:r w:rsidRPr="00FA2021">
        <w:t xml:space="preserve">annualized over </w:t>
      </w:r>
      <w:r w:rsidRPr="00FA2021" w:rsidR="006E398D">
        <w:t xml:space="preserve">the </w:t>
      </w:r>
      <w:r w:rsidRPr="00FA2021" w:rsidR="00F91CCA">
        <w:t>three-</w:t>
      </w:r>
      <w:r w:rsidRPr="00FA2021">
        <w:t xml:space="preserve">year study period is </w:t>
      </w:r>
      <w:r w:rsidRPr="00FA2021" w:rsidR="00FA2021">
        <w:t>9,052</w:t>
      </w:r>
      <w:r w:rsidRPr="00FA2021" w:rsidR="000676D8">
        <w:t xml:space="preserve"> </w:t>
      </w:r>
      <w:r w:rsidRPr="00FA2021">
        <w:t xml:space="preserve"> (Table A-12.a).</w:t>
      </w:r>
      <w:r w:rsidRPr="00FA2021" w:rsidR="00633A30">
        <w:t xml:space="preserve"> It is important to note that this is the maximum number of burden hours. With the </w:t>
      </w:r>
      <w:r w:rsidRPr="00FA2021" w:rsidR="002C6AA8">
        <w:t xml:space="preserve">inclusion of </w:t>
      </w:r>
      <w:r w:rsidRPr="00FA2021" w:rsidR="00FA2021">
        <w:t xml:space="preserve">the web-based administration for ABES and the </w:t>
      </w:r>
      <w:r w:rsidRPr="00FA2021" w:rsidR="002C6AA8">
        <w:t>tablet- based administrations</w:t>
      </w:r>
      <w:r w:rsidRPr="00FA2021" w:rsidR="00FA2021">
        <w:t xml:space="preserve"> for YRBS in 2021 and 2023</w:t>
      </w:r>
      <w:r w:rsidRPr="00FA2021" w:rsidR="00633A30">
        <w:t>, it is likely that the amount of time needed for students to complete the questionnaire will decrease. It is not known at this time, however, the extent to which this might decrease.</w:t>
      </w:r>
    </w:p>
    <w:p w:rsidR="007642F8" w:rsidRDefault="00FB0AD7" w14:paraId="436F6EC1" w14:textId="6BD49DD4">
      <w:pPr>
        <w:widowControl/>
        <w:autoSpaceDE/>
        <w:autoSpaceDN/>
        <w:adjustRightInd/>
        <w:rPr>
          <w:b/>
        </w:rPr>
      </w:pPr>
      <w:r w:rsidRPr="00440D6F">
        <w:rPr>
          <w:b/>
        </w:rPr>
        <w:t>Table A-12.a.</w:t>
      </w:r>
      <w:r w:rsidRPr="00440D6F">
        <w:rPr>
          <w:rStyle w:val="Footer1"/>
          <w:b/>
          <w:color w:val="000000"/>
        </w:rPr>
        <w:t xml:space="preserve"> Estimated Annualized Burden Hours</w:t>
      </w:r>
      <w:r>
        <w:rPr>
          <w:b/>
        </w:rPr>
        <w:t xml:space="preserve"> </w:t>
      </w:r>
      <w:r w:rsidR="007642F8">
        <w:rPr>
          <w:b/>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6"/>
        <w:gridCol w:w="2378"/>
        <w:gridCol w:w="1443"/>
        <w:gridCol w:w="1350"/>
        <w:gridCol w:w="1421"/>
        <w:gridCol w:w="1102"/>
      </w:tblGrid>
      <w:tr w:rsidRPr="001C2747" w:rsidR="00FB0AD7" w:rsidTr="00FB0AD7" w14:paraId="139CB8F5" w14:textId="77777777">
        <w:tc>
          <w:tcPr>
            <w:tcW w:w="1656" w:type="dxa"/>
            <w:tcBorders>
              <w:top w:val="single" w:color="auto" w:sz="4" w:space="0"/>
              <w:left w:val="single" w:color="auto" w:sz="4" w:space="0"/>
              <w:bottom w:val="single" w:color="auto" w:sz="4" w:space="0"/>
              <w:right w:val="single" w:color="auto" w:sz="4" w:space="0"/>
            </w:tcBorders>
          </w:tcPr>
          <w:p w:rsidRPr="00F525C0" w:rsidR="00FB0AD7" w:rsidP="00230530" w:rsidRDefault="00FB0AD7" w14:paraId="7183535D" w14:textId="77777777">
            <w:pPr>
              <w:keepNext/>
              <w:keepLines/>
              <w:rPr>
                <w:sz w:val="22"/>
                <w:szCs w:val="22"/>
              </w:rPr>
            </w:pPr>
            <w:r w:rsidRPr="00F525C0">
              <w:rPr>
                <w:sz w:val="22"/>
                <w:szCs w:val="22"/>
              </w:rPr>
              <w:lastRenderedPageBreak/>
              <w:t>Type of Respondent</w:t>
            </w:r>
          </w:p>
        </w:tc>
        <w:tc>
          <w:tcPr>
            <w:tcW w:w="2378" w:type="dxa"/>
            <w:tcBorders>
              <w:top w:val="single" w:color="auto" w:sz="4" w:space="0"/>
              <w:left w:val="single" w:color="auto" w:sz="4" w:space="0"/>
              <w:bottom w:val="single" w:color="auto" w:sz="4" w:space="0"/>
              <w:right w:val="single" w:color="auto" w:sz="4" w:space="0"/>
            </w:tcBorders>
          </w:tcPr>
          <w:p w:rsidRPr="00F525C0" w:rsidR="00FB0AD7" w:rsidP="00230530" w:rsidRDefault="00FB0AD7" w14:paraId="5621F844" w14:textId="77777777">
            <w:pPr>
              <w:keepNext/>
              <w:keepLines/>
              <w:rPr>
                <w:sz w:val="22"/>
                <w:szCs w:val="22"/>
              </w:rPr>
            </w:pPr>
            <w:r w:rsidRPr="00F525C0">
              <w:rPr>
                <w:sz w:val="22"/>
                <w:szCs w:val="22"/>
              </w:rPr>
              <w:t>Form Name</w:t>
            </w:r>
          </w:p>
        </w:tc>
        <w:tc>
          <w:tcPr>
            <w:tcW w:w="1443" w:type="dxa"/>
            <w:tcBorders>
              <w:top w:val="single" w:color="auto" w:sz="4" w:space="0"/>
              <w:left w:val="single" w:color="auto" w:sz="4" w:space="0"/>
              <w:bottom w:val="single" w:color="auto" w:sz="4" w:space="0"/>
              <w:right w:val="single" w:color="auto" w:sz="4" w:space="0"/>
            </w:tcBorders>
          </w:tcPr>
          <w:p w:rsidRPr="00F525C0" w:rsidR="00FB0AD7" w:rsidP="00230530" w:rsidRDefault="00FB0AD7" w14:paraId="703E2EAE" w14:textId="77777777">
            <w:pPr>
              <w:keepNext/>
              <w:keepLines/>
              <w:rPr>
                <w:sz w:val="22"/>
                <w:szCs w:val="22"/>
              </w:rPr>
            </w:pPr>
            <w:r w:rsidRPr="00F525C0">
              <w:rPr>
                <w:sz w:val="22"/>
                <w:szCs w:val="22"/>
              </w:rPr>
              <w:t>No. of Respondents</w:t>
            </w:r>
          </w:p>
        </w:tc>
        <w:tc>
          <w:tcPr>
            <w:tcW w:w="1350" w:type="dxa"/>
            <w:tcBorders>
              <w:top w:val="single" w:color="auto" w:sz="4" w:space="0"/>
              <w:left w:val="single" w:color="auto" w:sz="4" w:space="0"/>
              <w:bottom w:val="single" w:color="auto" w:sz="4" w:space="0"/>
              <w:right w:val="single" w:color="auto" w:sz="4" w:space="0"/>
            </w:tcBorders>
          </w:tcPr>
          <w:p w:rsidRPr="00F525C0" w:rsidR="00FB0AD7" w:rsidP="00230530" w:rsidRDefault="00FB0AD7" w14:paraId="1C91AB38" w14:textId="77777777">
            <w:pPr>
              <w:keepNext/>
              <w:keepLines/>
              <w:rPr>
                <w:sz w:val="22"/>
                <w:szCs w:val="22"/>
              </w:rPr>
            </w:pPr>
            <w:r w:rsidRPr="00F525C0">
              <w:rPr>
                <w:sz w:val="22"/>
                <w:szCs w:val="22"/>
              </w:rPr>
              <w:t>No. of Responses per Respondent</w:t>
            </w:r>
          </w:p>
        </w:tc>
        <w:tc>
          <w:tcPr>
            <w:tcW w:w="1421" w:type="dxa"/>
            <w:tcBorders>
              <w:top w:val="single" w:color="auto" w:sz="4" w:space="0"/>
              <w:left w:val="single" w:color="auto" w:sz="4" w:space="0"/>
              <w:bottom w:val="single" w:color="auto" w:sz="4" w:space="0"/>
              <w:right w:val="single" w:color="auto" w:sz="4" w:space="0"/>
            </w:tcBorders>
          </w:tcPr>
          <w:p w:rsidRPr="00F525C0" w:rsidR="00FB0AD7" w:rsidP="00230530" w:rsidRDefault="00FB0AD7" w14:paraId="1B624D4D" w14:textId="77777777">
            <w:pPr>
              <w:keepNext/>
              <w:keepLines/>
              <w:rPr>
                <w:sz w:val="22"/>
                <w:szCs w:val="22"/>
              </w:rPr>
            </w:pPr>
            <w:r w:rsidRPr="00F525C0">
              <w:rPr>
                <w:sz w:val="22"/>
                <w:szCs w:val="22"/>
              </w:rPr>
              <w:t>Average Burden Per Response (In Hours)</w:t>
            </w:r>
          </w:p>
        </w:tc>
        <w:tc>
          <w:tcPr>
            <w:tcW w:w="1102" w:type="dxa"/>
            <w:tcBorders>
              <w:top w:val="single" w:color="auto" w:sz="4" w:space="0"/>
              <w:left w:val="single" w:color="auto" w:sz="4" w:space="0"/>
              <w:bottom w:val="single" w:color="auto" w:sz="4" w:space="0"/>
              <w:right w:val="single" w:color="auto" w:sz="4" w:space="0"/>
            </w:tcBorders>
          </w:tcPr>
          <w:p w:rsidRPr="00F525C0" w:rsidR="00FB0AD7" w:rsidP="00230530" w:rsidRDefault="00FB0AD7" w14:paraId="253C412A" w14:textId="77777777">
            <w:pPr>
              <w:keepNext/>
              <w:keepLines/>
              <w:rPr>
                <w:sz w:val="22"/>
                <w:szCs w:val="22"/>
              </w:rPr>
            </w:pPr>
            <w:r w:rsidRPr="00F525C0">
              <w:rPr>
                <w:sz w:val="22"/>
                <w:szCs w:val="22"/>
              </w:rPr>
              <w:t>Total Burden (In Hours)</w:t>
            </w:r>
          </w:p>
        </w:tc>
      </w:tr>
      <w:tr w:rsidRPr="001C2747" w:rsidR="000D2978" w:rsidTr="007D1E8A" w14:paraId="35101194" w14:textId="77777777">
        <w:tc>
          <w:tcPr>
            <w:tcW w:w="1656"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3537ADB8" w14:textId="4B88853D">
            <w:pPr>
              <w:keepNext/>
              <w:keepLines/>
              <w:rPr>
                <w:sz w:val="22"/>
                <w:szCs w:val="22"/>
              </w:rPr>
            </w:pPr>
            <w:bookmarkStart w:name="_GoBack" w:id="12"/>
            <w:bookmarkEnd w:id="12"/>
            <w:r w:rsidRPr="00F525C0">
              <w:rPr>
                <w:sz w:val="22"/>
                <w:szCs w:val="22"/>
              </w:rPr>
              <w:t>State Administrators</w:t>
            </w:r>
          </w:p>
        </w:tc>
        <w:tc>
          <w:tcPr>
            <w:tcW w:w="2378"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3410410A" w14:textId="0C1F0225">
            <w:pPr>
              <w:keepNext/>
              <w:keepLines/>
              <w:rPr>
                <w:sz w:val="22"/>
                <w:szCs w:val="22"/>
              </w:rPr>
            </w:pPr>
            <w:r w:rsidRPr="00F525C0">
              <w:rPr>
                <w:sz w:val="22"/>
                <w:szCs w:val="22"/>
              </w:rPr>
              <w:t>State-level Recruitment Script for the Adolescent Behaviors and Experiences Survey (Att L4)</w:t>
            </w:r>
          </w:p>
        </w:tc>
        <w:tc>
          <w:tcPr>
            <w:tcW w:w="1443"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6E9BE443" w14:textId="0E9A6CBE">
            <w:pPr>
              <w:keepNext/>
              <w:keepLines/>
              <w:rPr>
                <w:sz w:val="22"/>
                <w:szCs w:val="22"/>
              </w:rPr>
            </w:pPr>
            <w:r w:rsidRPr="00F525C0">
              <w:rPr>
                <w:sz w:val="22"/>
                <w:szCs w:val="22"/>
              </w:rPr>
              <w:t>30</w:t>
            </w:r>
          </w:p>
        </w:tc>
        <w:tc>
          <w:tcPr>
            <w:tcW w:w="1350"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6D90D10D" w14:textId="234CE007">
            <w:pPr>
              <w:keepNext/>
              <w:keepLines/>
              <w:rPr>
                <w:sz w:val="22"/>
                <w:szCs w:val="22"/>
              </w:rPr>
            </w:pPr>
            <w:r w:rsidRPr="00F525C0">
              <w:rPr>
                <w:sz w:val="22"/>
                <w:szCs w:val="22"/>
              </w:rPr>
              <w:t>1</w:t>
            </w:r>
          </w:p>
        </w:tc>
        <w:tc>
          <w:tcPr>
            <w:tcW w:w="1421" w:type="dxa"/>
          </w:tcPr>
          <w:p w:rsidRPr="00F525C0" w:rsidR="000D2978" w:rsidP="00230530" w:rsidRDefault="000D2978" w14:paraId="67B0E385" w14:textId="138D02E1">
            <w:pPr>
              <w:keepNext/>
              <w:keepLines/>
              <w:rPr>
                <w:sz w:val="22"/>
                <w:szCs w:val="22"/>
              </w:rPr>
            </w:pPr>
            <w:r w:rsidRPr="00F525C0">
              <w:rPr>
                <w:sz w:val="22"/>
                <w:szCs w:val="22"/>
              </w:rPr>
              <w:t>30/60</w:t>
            </w:r>
          </w:p>
        </w:tc>
        <w:tc>
          <w:tcPr>
            <w:tcW w:w="1102"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081552A4" w14:textId="50272A9C">
            <w:pPr>
              <w:keepNext/>
              <w:keepLines/>
              <w:rPr>
                <w:sz w:val="22"/>
                <w:szCs w:val="22"/>
              </w:rPr>
            </w:pPr>
            <w:r w:rsidRPr="00F525C0">
              <w:rPr>
                <w:sz w:val="22"/>
                <w:szCs w:val="22"/>
              </w:rPr>
              <w:t>15</w:t>
            </w:r>
          </w:p>
        </w:tc>
      </w:tr>
      <w:tr w:rsidRPr="001C2747" w:rsidR="000D2978" w:rsidTr="007D1E8A" w14:paraId="7BF2A003" w14:textId="77777777">
        <w:tc>
          <w:tcPr>
            <w:tcW w:w="1656"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447F36DA" w14:textId="0825CE11">
            <w:pPr>
              <w:keepNext/>
              <w:keepLines/>
              <w:rPr>
                <w:sz w:val="22"/>
                <w:szCs w:val="22"/>
              </w:rPr>
            </w:pPr>
            <w:r w:rsidRPr="00F525C0">
              <w:rPr>
                <w:sz w:val="22"/>
                <w:szCs w:val="22"/>
              </w:rPr>
              <w:t>District Administrators</w:t>
            </w:r>
          </w:p>
        </w:tc>
        <w:tc>
          <w:tcPr>
            <w:tcW w:w="2378"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5F682C19" w14:textId="3216AD21">
            <w:pPr>
              <w:keepNext/>
              <w:keepLines/>
              <w:rPr>
                <w:sz w:val="22"/>
                <w:szCs w:val="22"/>
              </w:rPr>
            </w:pPr>
            <w:r w:rsidRPr="00F525C0">
              <w:rPr>
                <w:sz w:val="22"/>
                <w:szCs w:val="22"/>
              </w:rPr>
              <w:t>District-level Recruitment Script for the Adolescent Behaviors and Experiences Survey (Att L5)</w:t>
            </w:r>
          </w:p>
        </w:tc>
        <w:tc>
          <w:tcPr>
            <w:tcW w:w="1443"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3A70B24B" w14:textId="35FC30D7">
            <w:pPr>
              <w:keepNext/>
              <w:keepLines/>
              <w:rPr>
                <w:sz w:val="22"/>
                <w:szCs w:val="22"/>
              </w:rPr>
            </w:pPr>
            <w:r w:rsidRPr="00F525C0">
              <w:rPr>
                <w:sz w:val="22"/>
                <w:szCs w:val="22"/>
              </w:rPr>
              <w:t>230</w:t>
            </w:r>
          </w:p>
        </w:tc>
        <w:tc>
          <w:tcPr>
            <w:tcW w:w="1350"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1074C0B7" w14:textId="0BADA7EE">
            <w:pPr>
              <w:keepNext/>
              <w:keepLines/>
              <w:rPr>
                <w:sz w:val="22"/>
                <w:szCs w:val="22"/>
              </w:rPr>
            </w:pPr>
            <w:r w:rsidRPr="00F525C0">
              <w:rPr>
                <w:sz w:val="22"/>
                <w:szCs w:val="22"/>
              </w:rPr>
              <w:t>1</w:t>
            </w:r>
          </w:p>
        </w:tc>
        <w:tc>
          <w:tcPr>
            <w:tcW w:w="1421" w:type="dxa"/>
          </w:tcPr>
          <w:p w:rsidRPr="00F525C0" w:rsidR="000D2978" w:rsidP="00230530" w:rsidRDefault="000D2978" w14:paraId="6A11DB4F" w14:textId="208D23DF">
            <w:pPr>
              <w:keepNext/>
              <w:keepLines/>
              <w:rPr>
                <w:sz w:val="22"/>
                <w:szCs w:val="22"/>
              </w:rPr>
            </w:pPr>
            <w:r w:rsidRPr="00F525C0">
              <w:rPr>
                <w:sz w:val="22"/>
                <w:szCs w:val="22"/>
              </w:rPr>
              <w:t>30/60</w:t>
            </w:r>
          </w:p>
        </w:tc>
        <w:tc>
          <w:tcPr>
            <w:tcW w:w="1102"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4A1753B2" w14:textId="3676DA7B">
            <w:pPr>
              <w:keepNext/>
              <w:keepLines/>
              <w:rPr>
                <w:sz w:val="22"/>
                <w:szCs w:val="22"/>
              </w:rPr>
            </w:pPr>
            <w:r w:rsidRPr="00F525C0">
              <w:rPr>
                <w:sz w:val="22"/>
                <w:szCs w:val="22"/>
              </w:rPr>
              <w:t>115</w:t>
            </w:r>
          </w:p>
        </w:tc>
      </w:tr>
      <w:tr w:rsidRPr="001C2747" w:rsidR="000D2978" w:rsidTr="007D1E8A" w14:paraId="1BAA27A5" w14:textId="77777777">
        <w:tc>
          <w:tcPr>
            <w:tcW w:w="1656"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25F196D1" w14:textId="432C0FF2">
            <w:pPr>
              <w:keepNext/>
              <w:keepLines/>
              <w:rPr>
                <w:sz w:val="22"/>
                <w:szCs w:val="22"/>
              </w:rPr>
            </w:pPr>
            <w:r w:rsidRPr="00F525C0">
              <w:rPr>
                <w:sz w:val="22"/>
                <w:szCs w:val="22"/>
              </w:rPr>
              <w:t>School Administrators</w:t>
            </w:r>
          </w:p>
        </w:tc>
        <w:tc>
          <w:tcPr>
            <w:tcW w:w="2378"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40338FFD" w14:textId="3C02AD66">
            <w:pPr>
              <w:keepNext/>
              <w:keepLines/>
              <w:rPr>
                <w:sz w:val="22"/>
                <w:szCs w:val="22"/>
              </w:rPr>
            </w:pPr>
            <w:r w:rsidRPr="00F525C0">
              <w:rPr>
                <w:sz w:val="22"/>
                <w:szCs w:val="22"/>
              </w:rPr>
              <w:t>School-level Recruitment Script for the Adolescent Behaviors and Experiences Survey (Att L6)</w:t>
            </w:r>
          </w:p>
        </w:tc>
        <w:tc>
          <w:tcPr>
            <w:tcW w:w="1443"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1527C25E" w14:textId="4A5AC7FA">
            <w:pPr>
              <w:keepNext/>
              <w:keepLines/>
              <w:rPr>
                <w:sz w:val="22"/>
                <w:szCs w:val="22"/>
              </w:rPr>
            </w:pPr>
            <w:r w:rsidRPr="00F525C0">
              <w:rPr>
                <w:sz w:val="22"/>
                <w:szCs w:val="22"/>
              </w:rPr>
              <w:t>340</w:t>
            </w:r>
          </w:p>
        </w:tc>
        <w:tc>
          <w:tcPr>
            <w:tcW w:w="1350"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31584161" w14:textId="558C7C66">
            <w:pPr>
              <w:keepNext/>
              <w:keepLines/>
              <w:rPr>
                <w:sz w:val="22"/>
                <w:szCs w:val="22"/>
              </w:rPr>
            </w:pPr>
            <w:r w:rsidRPr="00F525C0">
              <w:rPr>
                <w:sz w:val="22"/>
                <w:szCs w:val="22"/>
              </w:rPr>
              <w:t>1</w:t>
            </w:r>
          </w:p>
        </w:tc>
        <w:tc>
          <w:tcPr>
            <w:tcW w:w="1421" w:type="dxa"/>
          </w:tcPr>
          <w:p w:rsidRPr="00F525C0" w:rsidR="000D2978" w:rsidP="00230530" w:rsidRDefault="000D2978" w14:paraId="21D0E6AE" w14:textId="0A32A303">
            <w:pPr>
              <w:keepNext/>
              <w:keepLines/>
              <w:rPr>
                <w:sz w:val="22"/>
                <w:szCs w:val="22"/>
              </w:rPr>
            </w:pPr>
            <w:r w:rsidRPr="00F525C0">
              <w:rPr>
                <w:sz w:val="22"/>
                <w:szCs w:val="22"/>
              </w:rPr>
              <w:t>30/60</w:t>
            </w:r>
          </w:p>
        </w:tc>
        <w:tc>
          <w:tcPr>
            <w:tcW w:w="1102"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662E5CC7" w14:textId="62B20057">
            <w:pPr>
              <w:keepNext/>
              <w:keepLines/>
              <w:rPr>
                <w:sz w:val="22"/>
                <w:szCs w:val="22"/>
              </w:rPr>
            </w:pPr>
            <w:r w:rsidRPr="00F525C0">
              <w:rPr>
                <w:sz w:val="22"/>
                <w:szCs w:val="22"/>
              </w:rPr>
              <w:t>170</w:t>
            </w:r>
          </w:p>
        </w:tc>
      </w:tr>
      <w:tr w:rsidRPr="001C2747" w:rsidR="000D2978" w:rsidTr="007D1E8A" w14:paraId="544FC98E" w14:textId="77777777">
        <w:tc>
          <w:tcPr>
            <w:tcW w:w="1656"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69BFA740" w14:textId="33A8B633">
            <w:pPr>
              <w:keepNext/>
              <w:keepLines/>
              <w:rPr>
                <w:sz w:val="22"/>
                <w:szCs w:val="22"/>
              </w:rPr>
            </w:pPr>
            <w:r w:rsidRPr="00F525C0">
              <w:rPr>
                <w:sz w:val="22"/>
                <w:szCs w:val="22"/>
              </w:rPr>
              <w:t>Teachers</w:t>
            </w:r>
          </w:p>
        </w:tc>
        <w:tc>
          <w:tcPr>
            <w:tcW w:w="2378"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788038EF" w14:textId="60D6D932">
            <w:pPr>
              <w:keepNext/>
              <w:keepLines/>
              <w:rPr>
                <w:sz w:val="22"/>
                <w:szCs w:val="22"/>
              </w:rPr>
            </w:pPr>
            <w:r w:rsidRPr="00F525C0">
              <w:rPr>
                <w:sz w:val="22"/>
                <w:szCs w:val="22"/>
              </w:rPr>
              <w:t>Data Collection Checklist for the Adolescent Behaviors and Experiences Survey (Att G)</w:t>
            </w:r>
          </w:p>
        </w:tc>
        <w:tc>
          <w:tcPr>
            <w:tcW w:w="1443"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6A151E3C" w14:textId="04972ED7">
            <w:pPr>
              <w:keepNext/>
              <w:keepLines/>
              <w:rPr>
                <w:sz w:val="22"/>
                <w:szCs w:val="22"/>
              </w:rPr>
            </w:pPr>
            <w:r w:rsidRPr="00F525C0">
              <w:rPr>
                <w:sz w:val="22"/>
                <w:szCs w:val="22"/>
              </w:rPr>
              <w:t>600</w:t>
            </w:r>
          </w:p>
        </w:tc>
        <w:tc>
          <w:tcPr>
            <w:tcW w:w="1350"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4735D5EA" w14:textId="2FEE3811">
            <w:pPr>
              <w:keepNext/>
              <w:keepLines/>
              <w:rPr>
                <w:sz w:val="22"/>
                <w:szCs w:val="22"/>
              </w:rPr>
            </w:pPr>
            <w:r w:rsidRPr="00F525C0">
              <w:rPr>
                <w:sz w:val="22"/>
                <w:szCs w:val="22"/>
              </w:rPr>
              <w:t>1</w:t>
            </w:r>
          </w:p>
        </w:tc>
        <w:tc>
          <w:tcPr>
            <w:tcW w:w="1421" w:type="dxa"/>
          </w:tcPr>
          <w:p w:rsidRPr="00F525C0" w:rsidR="000D2978" w:rsidP="00230530" w:rsidRDefault="000D2978" w14:paraId="775C3DFB" w14:textId="0295CC58">
            <w:pPr>
              <w:keepNext/>
              <w:keepLines/>
              <w:rPr>
                <w:sz w:val="22"/>
                <w:szCs w:val="22"/>
              </w:rPr>
            </w:pPr>
            <w:r w:rsidRPr="00F525C0">
              <w:rPr>
                <w:sz w:val="22"/>
                <w:szCs w:val="22"/>
              </w:rPr>
              <w:t>15/60</w:t>
            </w:r>
          </w:p>
        </w:tc>
        <w:tc>
          <w:tcPr>
            <w:tcW w:w="1102"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28C2CD6E" w14:textId="1E84A92F">
            <w:pPr>
              <w:keepNext/>
              <w:keepLines/>
              <w:rPr>
                <w:sz w:val="22"/>
                <w:szCs w:val="22"/>
              </w:rPr>
            </w:pPr>
            <w:r w:rsidRPr="00F525C0">
              <w:rPr>
                <w:sz w:val="22"/>
                <w:szCs w:val="22"/>
              </w:rPr>
              <w:t>150</w:t>
            </w:r>
          </w:p>
        </w:tc>
      </w:tr>
      <w:tr w:rsidRPr="001C2747" w:rsidR="000D2978" w:rsidTr="007D1E8A" w14:paraId="08CA8880" w14:textId="77777777">
        <w:tc>
          <w:tcPr>
            <w:tcW w:w="1656" w:type="dxa"/>
            <w:tcBorders>
              <w:top w:val="single" w:color="auto" w:sz="4" w:space="0"/>
              <w:left w:val="single" w:color="auto" w:sz="4" w:space="0"/>
              <w:bottom w:val="single" w:color="auto" w:sz="4" w:space="0"/>
              <w:right w:val="single" w:color="auto" w:sz="4" w:space="0"/>
            </w:tcBorders>
          </w:tcPr>
          <w:p w:rsidRPr="00FB0AD7" w:rsidR="000D2978" w:rsidP="00230530" w:rsidRDefault="000D2978" w14:paraId="13F42933" w14:textId="623DF28B">
            <w:pPr>
              <w:keepNext/>
              <w:keepLines/>
              <w:rPr>
                <w:sz w:val="22"/>
                <w:szCs w:val="22"/>
              </w:rPr>
            </w:pPr>
            <w:r w:rsidRPr="00F525C0">
              <w:rPr>
                <w:sz w:val="22"/>
                <w:szCs w:val="22"/>
              </w:rPr>
              <w:t>Students</w:t>
            </w:r>
          </w:p>
        </w:tc>
        <w:tc>
          <w:tcPr>
            <w:tcW w:w="2378"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18DD507D" w14:textId="7D8E98C8">
            <w:pPr>
              <w:keepNext/>
              <w:keepLines/>
              <w:rPr>
                <w:sz w:val="22"/>
                <w:szCs w:val="22"/>
              </w:rPr>
            </w:pPr>
            <w:r w:rsidRPr="00F525C0">
              <w:rPr>
                <w:sz w:val="22"/>
                <w:szCs w:val="22"/>
              </w:rPr>
              <w:t>Adolescent Behaviors and Experiences Survey (Att K2)</w:t>
            </w:r>
          </w:p>
        </w:tc>
        <w:tc>
          <w:tcPr>
            <w:tcW w:w="1443"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7D657F68" w14:textId="62882C23">
            <w:pPr>
              <w:keepNext/>
              <w:keepLines/>
              <w:rPr>
                <w:sz w:val="22"/>
                <w:szCs w:val="22"/>
              </w:rPr>
            </w:pPr>
            <w:r w:rsidRPr="00F525C0">
              <w:rPr>
                <w:sz w:val="22"/>
                <w:szCs w:val="22"/>
              </w:rPr>
              <w:t>15,460</w:t>
            </w:r>
          </w:p>
        </w:tc>
        <w:tc>
          <w:tcPr>
            <w:tcW w:w="1350"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39D5BB3B" w14:textId="1D1221BE">
            <w:pPr>
              <w:keepNext/>
              <w:keepLines/>
              <w:rPr>
                <w:sz w:val="22"/>
                <w:szCs w:val="22"/>
              </w:rPr>
            </w:pPr>
            <w:r w:rsidRPr="00F525C0">
              <w:rPr>
                <w:sz w:val="22"/>
                <w:szCs w:val="22"/>
              </w:rPr>
              <w:t>1</w:t>
            </w:r>
          </w:p>
        </w:tc>
        <w:tc>
          <w:tcPr>
            <w:tcW w:w="1421" w:type="dxa"/>
            <w:tcBorders>
              <w:bottom w:val="single" w:color="auto" w:sz="4" w:space="0"/>
            </w:tcBorders>
          </w:tcPr>
          <w:p w:rsidRPr="00F525C0" w:rsidR="000D2978" w:rsidP="00230530" w:rsidRDefault="000D2978" w14:paraId="577CA96A" w14:textId="5BA5467F">
            <w:pPr>
              <w:keepNext/>
              <w:keepLines/>
              <w:rPr>
                <w:sz w:val="22"/>
                <w:szCs w:val="22"/>
              </w:rPr>
            </w:pPr>
            <w:r w:rsidRPr="00F525C0">
              <w:rPr>
                <w:sz w:val="22"/>
                <w:szCs w:val="22"/>
              </w:rPr>
              <w:t>45/60</w:t>
            </w:r>
          </w:p>
        </w:tc>
        <w:tc>
          <w:tcPr>
            <w:tcW w:w="1102" w:type="dxa"/>
            <w:tcBorders>
              <w:top w:val="single" w:color="auto" w:sz="4" w:space="0"/>
              <w:left w:val="single" w:color="auto" w:sz="4" w:space="0"/>
              <w:bottom w:val="single" w:color="auto" w:sz="4" w:space="0"/>
              <w:right w:val="single" w:color="auto" w:sz="4" w:space="0"/>
            </w:tcBorders>
          </w:tcPr>
          <w:p w:rsidRPr="00F525C0" w:rsidR="000D2978" w:rsidP="00230530" w:rsidRDefault="000D2978" w14:paraId="647C1F52" w14:textId="6517B60F">
            <w:pPr>
              <w:keepNext/>
              <w:keepLines/>
              <w:rPr>
                <w:sz w:val="22"/>
                <w:szCs w:val="22"/>
              </w:rPr>
            </w:pPr>
            <w:r w:rsidRPr="00F525C0">
              <w:rPr>
                <w:sz w:val="22"/>
                <w:szCs w:val="22"/>
              </w:rPr>
              <w:t>11,595</w:t>
            </w:r>
          </w:p>
        </w:tc>
      </w:tr>
      <w:tr w:rsidRPr="001C2747" w:rsidR="000D2978" w:rsidTr="007D1E8A" w14:paraId="6CEBE44B" w14:textId="77777777">
        <w:tc>
          <w:tcPr>
            <w:tcW w:w="1656" w:type="dxa"/>
            <w:tcBorders>
              <w:top w:val="single" w:color="auto" w:sz="4" w:space="0"/>
              <w:left w:val="single" w:color="auto" w:sz="4" w:space="0"/>
              <w:bottom w:val="single" w:color="auto" w:sz="4" w:space="0"/>
              <w:right w:val="single" w:color="auto" w:sz="4" w:space="0"/>
            </w:tcBorders>
            <w:shd w:val="clear" w:color="auto" w:fill="FFFFFF" w:themeFill="background1"/>
          </w:tcPr>
          <w:p w:rsidRPr="00F525C0" w:rsidR="000D2978" w:rsidP="00230530" w:rsidRDefault="000D2978" w14:paraId="5CE345B4" w14:textId="5B0343FF">
            <w:pPr>
              <w:keepNext/>
              <w:keepLines/>
              <w:rPr>
                <w:sz w:val="22"/>
                <w:szCs w:val="22"/>
              </w:rPr>
            </w:pPr>
            <w:r w:rsidRPr="00F525C0">
              <w:rPr>
                <w:b/>
                <w:bCs/>
                <w:sz w:val="22"/>
                <w:szCs w:val="22"/>
              </w:rPr>
              <w:t>Total Burden for ABES</w:t>
            </w:r>
          </w:p>
        </w:tc>
        <w:tc>
          <w:tcPr>
            <w:tcW w:w="2378" w:type="dxa"/>
            <w:tcBorders>
              <w:top w:val="single" w:color="auto" w:sz="4" w:space="0"/>
              <w:left w:val="single" w:color="auto" w:sz="4" w:space="0"/>
              <w:bottom w:val="single" w:color="auto" w:sz="4" w:space="0"/>
              <w:right w:val="single" w:color="auto" w:sz="4" w:space="0"/>
            </w:tcBorders>
            <w:shd w:val="clear" w:color="auto" w:fill="FFFFFF" w:themeFill="background1"/>
          </w:tcPr>
          <w:p w:rsidRPr="00F525C0" w:rsidR="000D2978" w:rsidP="00230530" w:rsidRDefault="000D2978" w14:paraId="17BFA066" w14:textId="2754854D">
            <w:pPr>
              <w:keepNext/>
              <w:keepLines/>
              <w:rPr>
                <w:sz w:val="22"/>
                <w:szCs w:val="22"/>
              </w:rPr>
            </w:pPr>
          </w:p>
        </w:tc>
        <w:tc>
          <w:tcPr>
            <w:tcW w:w="1443" w:type="dxa"/>
            <w:tcBorders>
              <w:top w:val="single" w:color="auto" w:sz="4" w:space="0"/>
              <w:left w:val="single" w:color="auto" w:sz="4" w:space="0"/>
              <w:bottom w:val="single" w:color="auto" w:sz="4" w:space="0"/>
              <w:right w:val="single" w:color="auto" w:sz="4" w:space="0"/>
            </w:tcBorders>
            <w:shd w:val="clear" w:color="auto" w:fill="FFFFFF" w:themeFill="background1"/>
          </w:tcPr>
          <w:p w:rsidRPr="00F525C0" w:rsidR="000D2978" w:rsidP="00FB0AD7" w:rsidRDefault="000D2978" w14:paraId="2D7921ED" w14:textId="708A9185">
            <w:pPr>
              <w:keepNext/>
              <w:keepLines/>
              <w:rPr>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FFFFFF" w:themeFill="background1"/>
          </w:tcPr>
          <w:p w:rsidRPr="00F525C0" w:rsidR="000D2978" w:rsidP="00FB0AD7" w:rsidRDefault="000D2978" w14:paraId="1B1755C5" w14:textId="0EFD7E26">
            <w:pPr>
              <w:keepNext/>
              <w:keepLines/>
              <w:rPr>
                <w:sz w:val="22"/>
                <w:szCs w:val="22"/>
              </w:rPr>
            </w:pPr>
          </w:p>
        </w:tc>
        <w:tc>
          <w:tcPr>
            <w:tcW w:w="1421" w:type="dxa"/>
            <w:tcBorders>
              <w:top w:val="single" w:color="auto" w:sz="4" w:space="0"/>
              <w:left w:val="single" w:color="auto" w:sz="4" w:space="0"/>
              <w:bottom w:val="single" w:color="auto" w:sz="4" w:space="0"/>
              <w:right w:val="single" w:color="auto" w:sz="4" w:space="0"/>
            </w:tcBorders>
            <w:shd w:val="clear" w:color="auto" w:fill="FFFFFF" w:themeFill="background1"/>
          </w:tcPr>
          <w:p w:rsidRPr="00F525C0" w:rsidR="000D2978" w:rsidP="00FB0AD7" w:rsidRDefault="000D2978" w14:paraId="694223C8" w14:textId="2DDD41C3">
            <w:pPr>
              <w:keepNext/>
              <w:keepLines/>
              <w:rPr>
                <w:sz w:val="22"/>
                <w:szCs w:val="22"/>
              </w:rPr>
            </w:pPr>
          </w:p>
        </w:tc>
        <w:tc>
          <w:tcPr>
            <w:tcW w:w="1102" w:type="dxa"/>
            <w:tcBorders>
              <w:top w:val="single" w:color="auto" w:sz="4" w:space="0"/>
              <w:left w:val="single" w:color="auto" w:sz="4" w:space="0"/>
              <w:bottom w:val="single" w:color="auto" w:sz="4" w:space="0"/>
              <w:right w:val="single" w:color="auto" w:sz="4" w:space="0"/>
            </w:tcBorders>
            <w:shd w:val="clear" w:color="auto" w:fill="FFFFFF" w:themeFill="background1"/>
          </w:tcPr>
          <w:p w:rsidRPr="00F525C0" w:rsidR="000D2978" w:rsidP="00FB0AD7" w:rsidRDefault="000D2978" w14:paraId="296398DB" w14:textId="0EABC79B">
            <w:pPr>
              <w:keepNext/>
              <w:keepLines/>
              <w:rPr>
                <w:sz w:val="22"/>
                <w:szCs w:val="22"/>
              </w:rPr>
            </w:pPr>
            <w:r w:rsidRPr="00F525C0">
              <w:rPr>
                <w:sz w:val="22"/>
                <w:szCs w:val="22"/>
              </w:rPr>
              <w:t>12,045</w:t>
            </w:r>
          </w:p>
        </w:tc>
      </w:tr>
      <w:tr w:rsidRPr="001C2747" w:rsidR="000D2978" w:rsidTr="007D1E8A" w14:paraId="793D1D74" w14:textId="77777777">
        <w:tc>
          <w:tcPr>
            <w:tcW w:w="1656" w:type="dxa"/>
          </w:tcPr>
          <w:p w:rsidRPr="00F525C0" w:rsidR="000D2978" w:rsidP="00230530" w:rsidRDefault="000D2978" w14:paraId="30A2102D" w14:textId="1FCAFF2E">
            <w:pPr>
              <w:keepNext/>
              <w:keepLines/>
              <w:rPr>
                <w:sz w:val="22"/>
                <w:szCs w:val="22"/>
              </w:rPr>
            </w:pPr>
            <w:r w:rsidRPr="00F525C0">
              <w:rPr>
                <w:sz w:val="22"/>
                <w:szCs w:val="22"/>
              </w:rPr>
              <w:t>State Administrators</w:t>
            </w:r>
          </w:p>
        </w:tc>
        <w:tc>
          <w:tcPr>
            <w:tcW w:w="2378" w:type="dxa"/>
          </w:tcPr>
          <w:p w:rsidRPr="00F525C0" w:rsidR="000D2978" w:rsidP="007642F8" w:rsidRDefault="000D2978" w14:paraId="7252D07B" w14:textId="77777777">
            <w:pPr>
              <w:keepNext/>
              <w:keepLines/>
              <w:rPr>
                <w:sz w:val="22"/>
                <w:szCs w:val="22"/>
              </w:rPr>
            </w:pPr>
            <w:r w:rsidRPr="00F525C0">
              <w:rPr>
                <w:sz w:val="22"/>
                <w:szCs w:val="22"/>
              </w:rPr>
              <w:t xml:space="preserve">State-level Recruitment Script for the Youth Risk Behavior Survey </w:t>
            </w:r>
          </w:p>
          <w:p w:rsidRPr="00F525C0" w:rsidR="000D2978" w:rsidP="00230530" w:rsidRDefault="000D2978" w14:paraId="1D1BDEC5" w14:textId="6E150122">
            <w:pPr>
              <w:keepNext/>
              <w:keepLines/>
              <w:rPr>
                <w:sz w:val="22"/>
                <w:szCs w:val="22"/>
              </w:rPr>
            </w:pPr>
            <w:r w:rsidRPr="00F525C0">
              <w:rPr>
                <w:sz w:val="22"/>
                <w:szCs w:val="22"/>
              </w:rPr>
              <w:t>(Att L1)</w:t>
            </w:r>
          </w:p>
        </w:tc>
        <w:tc>
          <w:tcPr>
            <w:tcW w:w="1443" w:type="dxa"/>
          </w:tcPr>
          <w:p w:rsidRPr="00F525C0" w:rsidR="000D2978" w:rsidP="00FB0AD7" w:rsidRDefault="000D2978" w14:paraId="513DEB2E" w14:textId="4B1E8CC5">
            <w:pPr>
              <w:keepNext/>
              <w:keepLines/>
              <w:rPr>
                <w:sz w:val="22"/>
                <w:szCs w:val="22"/>
              </w:rPr>
            </w:pPr>
            <w:r w:rsidRPr="00F525C0">
              <w:rPr>
                <w:sz w:val="22"/>
                <w:szCs w:val="22"/>
              </w:rPr>
              <w:t>17</w:t>
            </w:r>
          </w:p>
        </w:tc>
        <w:tc>
          <w:tcPr>
            <w:tcW w:w="1350" w:type="dxa"/>
          </w:tcPr>
          <w:p w:rsidRPr="00F525C0" w:rsidR="000D2978" w:rsidP="00FB0AD7" w:rsidRDefault="000D2978" w14:paraId="4F7425B7" w14:textId="4051B230">
            <w:pPr>
              <w:keepNext/>
              <w:keepLines/>
              <w:rPr>
                <w:sz w:val="22"/>
                <w:szCs w:val="22"/>
              </w:rPr>
            </w:pPr>
            <w:r w:rsidRPr="00F525C0">
              <w:rPr>
                <w:sz w:val="22"/>
                <w:szCs w:val="22"/>
              </w:rPr>
              <w:t>1</w:t>
            </w:r>
          </w:p>
        </w:tc>
        <w:tc>
          <w:tcPr>
            <w:tcW w:w="1421" w:type="dxa"/>
          </w:tcPr>
          <w:p w:rsidRPr="00F525C0" w:rsidR="000D2978" w:rsidP="00FB0AD7" w:rsidRDefault="000D2978" w14:paraId="35D7CDCD" w14:textId="065FDB32">
            <w:pPr>
              <w:keepNext/>
              <w:keepLines/>
              <w:rPr>
                <w:sz w:val="22"/>
                <w:szCs w:val="22"/>
              </w:rPr>
            </w:pPr>
            <w:r w:rsidRPr="00F525C0">
              <w:rPr>
                <w:sz w:val="22"/>
                <w:szCs w:val="22"/>
              </w:rPr>
              <w:t>30/60</w:t>
            </w:r>
          </w:p>
        </w:tc>
        <w:tc>
          <w:tcPr>
            <w:tcW w:w="1102" w:type="dxa"/>
          </w:tcPr>
          <w:p w:rsidRPr="00F525C0" w:rsidR="000D2978" w:rsidP="00FB0AD7" w:rsidRDefault="000D2978" w14:paraId="32FEEFAA" w14:textId="1E8D4467">
            <w:pPr>
              <w:keepNext/>
              <w:keepLines/>
              <w:rPr>
                <w:sz w:val="22"/>
                <w:szCs w:val="22"/>
              </w:rPr>
            </w:pPr>
            <w:r w:rsidRPr="00F525C0">
              <w:rPr>
                <w:sz w:val="22"/>
                <w:szCs w:val="22"/>
              </w:rPr>
              <w:t>9</w:t>
            </w:r>
          </w:p>
        </w:tc>
      </w:tr>
      <w:tr w:rsidRPr="001C2747" w:rsidR="000D2978" w:rsidTr="007D1E8A" w14:paraId="1BFC9F50" w14:textId="77777777">
        <w:tc>
          <w:tcPr>
            <w:tcW w:w="1656" w:type="dxa"/>
          </w:tcPr>
          <w:p w:rsidRPr="00F525C0" w:rsidR="000D2978" w:rsidP="00230530" w:rsidRDefault="000D2978" w14:paraId="389FDD08" w14:textId="299CB24F">
            <w:pPr>
              <w:keepNext/>
              <w:keepLines/>
              <w:rPr>
                <w:sz w:val="22"/>
                <w:szCs w:val="22"/>
              </w:rPr>
            </w:pPr>
            <w:r w:rsidRPr="00F525C0">
              <w:rPr>
                <w:sz w:val="22"/>
                <w:szCs w:val="22"/>
              </w:rPr>
              <w:t>District Administrators</w:t>
            </w:r>
          </w:p>
        </w:tc>
        <w:tc>
          <w:tcPr>
            <w:tcW w:w="2378" w:type="dxa"/>
          </w:tcPr>
          <w:p w:rsidRPr="00F525C0" w:rsidR="000D2978" w:rsidP="0097554E" w:rsidRDefault="000D2978" w14:paraId="42BD1F12" w14:textId="77777777">
            <w:pPr>
              <w:keepNext/>
              <w:keepLines/>
              <w:rPr>
                <w:sz w:val="22"/>
                <w:szCs w:val="22"/>
              </w:rPr>
            </w:pPr>
            <w:r w:rsidRPr="00F525C0">
              <w:rPr>
                <w:sz w:val="22"/>
                <w:szCs w:val="22"/>
              </w:rPr>
              <w:t>District-level Recruitment Script for the Youth Risk Behavior Survey</w:t>
            </w:r>
          </w:p>
          <w:p w:rsidRPr="00F525C0" w:rsidR="000D2978" w:rsidP="00230530" w:rsidRDefault="000D2978" w14:paraId="64434BD9" w14:textId="6C5DBF7E">
            <w:pPr>
              <w:keepNext/>
              <w:keepLines/>
              <w:rPr>
                <w:sz w:val="22"/>
                <w:szCs w:val="22"/>
              </w:rPr>
            </w:pPr>
            <w:r w:rsidRPr="00F525C0">
              <w:rPr>
                <w:sz w:val="22"/>
                <w:szCs w:val="22"/>
              </w:rPr>
              <w:t>(Att L2)</w:t>
            </w:r>
          </w:p>
        </w:tc>
        <w:tc>
          <w:tcPr>
            <w:tcW w:w="1443" w:type="dxa"/>
          </w:tcPr>
          <w:p w:rsidRPr="00F525C0" w:rsidR="000D2978" w:rsidP="00FB0AD7" w:rsidRDefault="000D2978" w14:paraId="04C1BD98" w14:textId="79A64C5C">
            <w:pPr>
              <w:keepNext/>
              <w:keepLines/>
              <w:rPr>
                <w:sz w:val="22"/>
                <w:szCs w:val="22"/>
              </w:rPr>
            </w:pPr>
            <w:r w:rsidRPr="00F525C0">
              <w:rPr>
                <w:sz w:val="22"/>
                <w:szCs w:val="22"/>
              </w:rPr>
              <w:t>80</w:t>
            </w:r>
          </w:p>
        </w:tc>
        <w:tc>
          <w:tcPr>
            <w:tcW w:w="1350" w:type="dxa"/>
          </w:tcPr>
          <w:p w:rsidRPr="00F525C0" w:rsidR="000D2978" w:rsidP="00FB0AD7" w:rsidRDefault="000D2978" w14:paraId="17932A11" w14:textId="6B551D97">
            <w:pPr>
              <w:keepNext/>
              <w:keepLines/>
              <w:rPr>
                <w:sz w:val="22"/>
                <w:szCs w:val="22"/>
              </w:rPr>
            </w:pPr>
            <w:r w:rsidRPr="00F525C0">
              <w:rPr>
                <w:sz w:val="22"/>
                <w:szCs w:val="22"/>
              </w:rPr>
              <w:t>1</w:t>
            </w:r>
          </w:p>
        </w:tc>
        <w:tc>
          <w:tcPr>
            <w:tcW w:w="1421" w:type="dxa"/>
          </w:tcPr>
          <w:p w:rsidRPr="00F525C0" w:rsidR="000D2978" w:rsidP="00FB0AD7" w:rsidRDefault="000D2978" w14:paraId="03C18A59" w14:textId="7F825A6F">
            <w:pPr>
              <w:keepNext/>
              <w:keepLines/>
              <w:rPr>
                <w:sz w:val="22"/>
                <w:szCs w:val="22"/>
              </w:rPr>
            </w:pPr>
            <w:r w:rsidRPr="00F525C0">
              <w:rPr>
                <w:sz w:val="22"/>
                <w:szCs w:val="22"/>
              </w:rPr>
              <w:t>30/60</w:t>
            </w:r>
          </w:p>
        </w:tc>
        <w:tc>
          <w:tcPr>
            <w:tcW w:w="1102" w:type="dxa"/>
          </w:tcPr>
          <w:p w:rsidRPr="00F525C0" w:rsidR="000D2978" w:rsidP="00FB0AD7" w:rsidRDefault="000D2978" w14:paraId="32E52657" w14:textId="5BCCA494">
            <w:pPr>
              <w:keepNext/>
              <w:keepLines/>
              <w:rPr>
                <w:sz w:val="22"/>
                <w:szCs w:val="22"/>
              </w:rPr>
            </w:pPr>
            <w:r w:rsidRPr="00F525C0">
              <w:rPr>
                <w:sz w:val="22"/>
                <w:szCs w:val="22"/>
              </w:rPr>
              <w:t>40</w:t>
            </w:r>
          </w:p>
        </w:tc>
      </w:tr>
      <w:tr w:rsidRPr="001C2747" w:rsidR="000D2978" w:rsidTr="007D1E8A" w14:paraId="348231EB" w14:textId="77777777">
        <w:tc>
          <w:tcPr>
            <w:tcW w:w="1656" w:type="dxa"/>
          </w:tcPr>
          <w:p w:rsidRPr="00F525C0" w:rsidR="000D2978" w:rsidP="00230530" w:rsidRDefault="000D2978" w14:paraId="45789362" w14:textId="2F7FF148">
            <w:pPr>
              <w:keepNext/>
              <w:keepLines/>
              <w:rPr>
                <w:sz w:val="22"/>
                <w:szCs w:val="22"/>
              </w:rPr>
            </w:pPr>
            <w:r w:rsidRPr="00F525C0">
              <w:rPr>
                <w:sz w:val="22"/>
                <w:szCs w:val="22"/>
              </w:rPr>
              <w:t>School Administrators</w:t>
            </w:r>
          </w:p>
        </w:tc>
        <w:tc>
          <w:tcPr>
            <w:tcW w:w="2378" w:type="dxa"/>
          </w:tcPr>
          <w:p w:rsidRPr="00F525C0" w:rsidR="000D2978" w:rsidP="0097554E" w:rsidRDefault="000D2978" w14:paraId="03F7DCD7" w14:textId="77777777">
            <w:pPr>
              <w:keepNext/>
              <w:keepLines/>
              <w:rPr>
                <w:sz w:val="22"/>
                <w:szCs w:val="22"/>
              </w:rPr>
            </w:pPr>
            <w:r w:rsidRPr="00F525C0">
              <w:rPr>
                <w:sz w:val="22"/>
                <w:szCs w:val="22"/>
              </w:rPr>
              <w:t>School-level Recruitment Script for the Youth Risk Behavior Survey</w:t>
            </w:r>
          </w:p>
          <w:p w:rsidRPr="00F525C0" w:rsidR="000D2978" w:rsidP="00230530" w:rsidRDefault="000D2978" w14:paraId="478FF1C2" w14:textId="56DFCDEA">
            <w:pPr>
              <w:keepNext/>
              <w:keepLines/>
              <w:rPr>
                <w:sz w:val="22"/>
                <w:szCs w:val="22"/>
              </w:rPr>
            </w:pPr>
            <w:r w:rsidRPr="00F525C0">
              <w:rPr>
                <w:sz w:val="22"/>
                <w:szCs w:val="22"/>
              </w:rPr>
              <w:t>(Att_L3)</w:t>
            </w:r>
          </w:p>
        </w:tc>
        <w:tc>
          <w:tcPr>
            <w:tcW w:w="1443" w:type="dxa"/>
          </w:tcPr>
          <w:p w:rsidRPr="00F525C0" w:rsidR="000D2978" w:rsidP="00FB0AD7" w:rsidRDefault="000D2978" w14:paraId="783A7378" w14:textId="7D6D75F7">
            <w:pPr>
              <w:keepNext/>
              <w:keepLines/>
              <w:rPr>
                <w:sz w:val="22"/>
                <w:szCs w:val="22"/>
              </w:rPr>
            </w:pPr>
            <w:r w:rsidRPr="00F525C0">
              <w:rPr>
                <w:sz w:val="22"/>
                <w:szCs w:val="22"/>
              </w:rPr>
              <w:t>133</w:t>
            </w:r>
          </w:p>
        </w:tc>
        <w:tc>
          <w:tcPr>
            <w:tcW w:w="1350" w:type="dxa"/>
          </w:tcPr>
          <w:p w:rsidRPr="00F525C0" w:rsidR="000D2978" w:rsidP="00FB0AD7" w:rsidRDefault="000D2978" w14:paraId="756CB42F" w14:textId="7AE3BBD0">
            <w:pPr>
              <w:keepNext/>
              <w:keepLines/>
              <w:rPr>
                <w:sz w:val="22"/>
                <w:szCs w:val="22"/>
              </w:rPr>
            </w:pPr>
            <w:r w:rsidRPr="00F525C0">
              <w:rPr>
                <w:sz w:val="22"/>
                <w:szCs w:val="22"/>
              </w:rPr>
              <w:t>1</w:t>
            </w:r>
          </w:p>
        </w:tc>
        <w:tc>
          <w:tcPr>
            <w:tcW w:w="1421" w:type="dxa"/>
          </w:tcPr>
          <w:p w:rsidRPr="00F525C0" w:rsidR="000D2978" w:rsidP="00FB0AD7" w:rsidRDefault="000D2978" w14:paraId="664956FF" w14:textId="2C159BB6">
            <w:pPr>
              <w:keepNext/>
              <w:keepLines/>
              <w:rPr>
                <w:sz w:val="22"/>
                <w:szCs w:val="22"/>
              </w:rPr>
            </w:pPr>
            <w:r w:rsidRPr="00F525C0">
              <w:rPr>
                <w:sz w:val="22"/>
                <w:szCs w:val="22"/>
              </w:rPr>
              <w:t>30/60</w:t>
            </w:r>
          </w:p>
        </w:tc>
        <w:tc>
          <w:tcPr>
            <w:tcW w:w="1102" w:type="dxa"/>
          </w:tcPr>
          <w:p w:rsidRPr="00F525C0" w:rsidR="000D2978" w:rsidP="00FB0AD7" w:rsidRDefault="000D2978" w14:paraId="269B7271" w14:textId="1DE7D6AD">
            <w:pPr>
              <w:keepNext/>
              <w:keepLines/>
              <w:rPr>
                <w:sz w:val="22"/>
                <w:szCs w:val="22"/>
              </w:rPr>
            </w:pPr>
            <w:r w:rsidRPr="00F525C0">
              <w:rPr>
                <w:sz w:val="22"/>
                <w:szCs w:val="22"/>
              </w:rPr>
              <w:t>67</w:t>
            </w:r>
          </w:p>
        </w:tc>
      </w:tr>
      <w:tr w:rsidRPr="001C2747" w:rsidR="000D2978" w:rsidTr="007D1E8A" w14:paraId="6E84DDCD" w14:textId="77777777">
        <w:tc>
          <w:tcPr>
            <w:tcW w:w="1656" w:type="dxa"/>
          </w:tcPr>
          <w:p w:rsidRPr="00F525C0" w:rsidR="000D2978" w:rsidP="00230530" w:rsidRDefault="000D2978" w14:paraId="01C1C82F" w14:textId="04C92697">
            <w:pPr>
              <w:keepNext/>
              <w:keepLines/>
              <w:rPr>
                <w:sz w:val="22"/>
                <w:szCs w:val="22"/>
              </w:rPr>
            </w:pPr>
            <w:r w:rsidRPr="00F525C0">
              <w:rPr>
                <w:sz w:val="22"/>
                <w:szCs w:val="22"/>
              </w:rPr>
              <w:t>Teachers</w:t>
            </w:r>
          </w:p>
        </w:tc>
        <w:tc>
          <w:tcPr>
            <w:tcW w:w="2378" w:type="dxa"/>
          </w:tcPr>
          <w:p w:rsidRPr="00F525C0" w:rsidR="000D2978" w:rsidP="0097554E" w:rsidRDefault="000D2978" w14:paraId="54946F55" w14:textId="77777777">
            <w:pPr>
              <w:keepNext/>
              <w:keepLines/>
              <w:rPr>
                <w:sz w:val="22"/>
                <w:szCs w:val="22"/>
              </w:rPr>
            </w:pPr>
            <w:r w:rsidRPr="00F525C0">
              <w:rPr>
                <w:sz w:val="22"/>
                <w:szCs w:val="22"/>
              </w:rPr>
              <w:t>Data Collection Checklist for the Youth Risk Behavior Survey</w:t>
            </w:r>
          </w:p>
          <w:p w:rsidRPr="00F525C0" w:rsidR="000D2978" w:rsidP="00230530" w:rsidRDefault="000D2978" w14:paraId="0B86476C" w14:textId="5D7FEB4A">
            <w:pPr>
              <w:keepNext/>
              <w:keepLines/>
              <w:rPr>
                <w:sz w:val="22"/>
                <w:szCs w:val="22"/>
              </w:rPr>
            </w:pPr>
            <w:r w:rsidRPr="00F525C0">
              <w:rPr>
                <w:sz w:val="22"/>
                <w:szCs w:val="22"/>
              </w:rPr>
              <w:t>(Att_G)</w:t>
            </w:r>
          </w:p>
        </w:tc>
        <w:tc>
          <w:tcPr>
            <w:tcW w:w="1443" w:type="dxa"/>
          </w:tcPr>
          <w:p w:rsidRPr="00F525C0" w:rsidR="000D2978" w:rsidP="00FB0AD7" w:rsidRDefault="000D2978" w14:paraId="396EBE0A" w14:textId="32DE960C">
            <w:pPr>
              <w:keepNext/>
              <w:keepLines/>
              <w:rPr>
                <w:sz w:val="22"/>
                <w:szCs w:val="22"/>
              </w:rPr>
            </w:pPr>
            <w:r w:rsidRPr="00F525C0">
              <w:rPr>
                <w:sz w:val="22"/>
                <w:szCs w:val="22"/>
              </w:rPr>
              <w:t>640</w:t>
            </w:r>
          </w:p>
        </w:tc>
        <w:tc>
          <w:tcPr>
            <w:tcW w:w="1350" w:type="dxa"/>
          </w:tcPr>
          <w:p w:rsidRPr="00F525C0" w:rsidR="000D2978" w:rsidP="00FB0AD7" w:rsidRDefault="000D2978" w14:paraId="687D669B" w14:textId="4AFCD0AA">
            <w:pPr>
              <w:keepNext/>
              <w:keepLines/>
              <w:rPr>
                <w:sz w:val="22"/>
                <w:szCs w:val="22"/>
              </w:rPr>
            </w:pPr>
            <w:r w:rsidRPr="00F525C0">
              <w:rPr>
                <w:sz w:val="22"/>
                <w:szCs w:val="22"/>
              </w:rPr>
              <w:t>1</w:t>
            </w:r>
          </w:p>
        </w:tc>
        <w:tc>
          <w:tcPr>
            <w:tcW w:w="1421" w:type="dxa"/>
          </w:tcPr>
          <w:p w:rsidRPr="00F525C0" w:rsidR="000D2978" w:rsidP="00FB0AD7" w:rsidRDefault="000D2978" w14:paraId="2DD6424B" w14:textId="60821E75">
            <w:pPr>
              <w:keepNext/>
              <w:keepLines/>
              <w:rPr>
                <w:sz w:val="22"/>
                <w:szCs w:val="22"/>
              </w:rPr>
            </w:pPr>
            <w:r w:rsidRPr="00F525C0">
              <w:rPr>
                <w:sz w:val="22"/>
                <w:szCs w:val="22"/>
              </w:rPr>
              <w:t>15/60</w:t>
            </w:r>
          </w:p>
        </w:tc>
        <w:tc>
          <w:tcPr>
            <w:tcW w:w="1102" w:type="dxa"/>
          </w:tcPr>
          <w:p w:rsidRPr="00F525C0" w:rsidR="000D2978" w:rsidP="00FB0AD7" w:rsidRDefault="000D2978" w14:paraId="0FBA0600" w14:textId="3146DAE6">
            <w:pPr>
              <w:keepNext/>
              <w:keepLines/>
              <w:rPr>
                <w:sz w:val="22"/>
                <w:szCs w:val="22"/>
              </w:rPr>
            </w:pPr>
            <w:r w:rsidRPr="00F525C0">
              <w:rPr>
                <w:sz w:val="22"/>
                <w:szCs w:val="22"/>
              </w:rPr>
              <w:t>160</w:t>
            </w:r>
          </w:p>
        </w:tc>
      </w:tr>
      <w:tr w:rsidRPr="001C2747" w:rsidR="000D2978" w:rsidTr="007D1E8A" w14:paraId="24725376" w14:textId="77777777">
        <w:tc>
          <w:tcPr>
            <w:tcW w:w="1656" w:type="dxa"/>
            <w:tcBorders>
              <w:bottom w:val="single" w:color="auto" w:sz="4" w:space="0"/>
            </w:tcBorders>
          </w:tcPr>
          <w:p w:rsidRPr="00FB0AD7" w:rsidR="000D2978" w:rsidP="00230530" w:rsidRDefault="000D2978" w14:paraId="7A3DFD53" w14:textId="256A1C70">
            <w:pPr>
              <w:keepNext/>
              <w:keepLines/>
              <w:rPr>
                <w:sz w:val="22"/>
                <w:szCs w:val="22"/>
              </w:rPr>
            </w:pPr>
            <w:r w:rsidRPr="00F525C0">
              <w:rPr>
                <w:sz w:val="22"/>
                <w:szCs w:val="22"/>
              </w:rPr>
              <w:lastRenderedPageBreak/>
              <w:t>Students</w:t>
            </w:r>
          </w:p>
        </w:tc>
        <w:tc>
          <w:tcPr>
            <w:tcW w:w="2378" w:type="dxa"/>
            <w:tcBorders>
              <w:bottom w:val="single" w:color="auto" w:sz="4" w:space="0"/>
            </w:tcBorders>
          </w:tcPr>
          <w:p w:rsidRPr="00F525C0" w:rsidR="000D2978" w:rsidP="0097554E" w:rsidRDefault="000D2978" w14:paraId="72D1AE9B" w14:textId="77777777">
            <w:pPr>
              <w:keepNext/>
              <w:keepLines/>
              <w:rPr>
                <w:sz w:val="22"/>
                <w:szCs w:val="22"/>
              </w:rPr>
            </w:pPr>
            <w:r w:rsidRPr="00F525C0">
              <w:rPr>
                <w:sz w:val="22"/>
                <w:szCs w:val="22"/>
              </w:rPr>
              <w:t>Youth Risk Behavior Survey</w:t>
            </w:r>
          </w:p>
          <w:p w:rsidRPr="00FB0AD7" w:rsidR="000D2978" w:rsidP="00230530" w:rsidRDefault="000D2978" w14:paraId="372C6319" w14:textId="712459CE">
            <w:pPr>
              <w:keepNext/>
              <w:keepLines/>
              <w:rPr>
                <w:sz w:val="22"/>
                <w:szCs w:val="22"/>
              </w:rPr>
            </w:pPr>
            <w:r w:rsidRPr="00F525C0">
              <w:rPr>
                <w:sz w:val="22"/>
                <w:szCs w:val="22"/>
              </w:rPr>
              <w:t>(Att K1)</w:t>
            </w:r>
          </w:p>
        </w:tc>
        <w:tc>
          <w:tcPr>
            <w:tcW w:w="1443" w:type="dxa"/>
            <w:tcBorders>
              <w:bottom w:val="single" w:color="auto" w:sz="4" w:space="0"/>
            </w:tcBorders>
          </w:tcPr>
          <w:p w:rsidRPr="00F525C0" w:rsidR="000D2978" w:rsidP="00FB0AD7" w:rsidRDefault="000D2978" w14:paraId="3CE278FE" w14:textId="1A962A73">
            <w:pPr>
              <w:keepNext/>
              <w:keepLines/>
              <w:rPr>
                <w:sz w:val="22"/>
                <w:szCs w:val="22"/>
              </w:rPr>
            </w:pPr>
            <w:r w:rsidRPr="00F525C0">
              <w:rPr>
                <w:sz w:val="22"/>
                <w:szCs w:val="22"/>
              </w:rPr>
              <w:t>11,701</w:t>
            </w:r>
          </w:p>
        </w:tc>
        <w:tc>
          <w:tcPr>
            <w:tcW w:w="1350" w:type="dxa"/>
            <w:tcBorders>
              <w:bottom w:val="single" w:color="auto" w:sz="4" w:space="0"/>
            </w:tcBorders>
          </w:tcPr>
          <w:p w:rsidRPr="00F525C0" w:rsidR="000D2978" w:rsidP="00FB0AD7" w:rsidRDefault="000D2978" w14:paraId="574889FB" w14:textId="0DE745F0">
            <w:pPr>
              <w:keepNext/>
              <w:keepLines/>
              <w:rPr>
                <w:sz w:val="22"/>
                <w:szCs w:val="22"/>
              </w:rPr>
            </w:pPr>
            <w:r w:rsidRPr="00F525C0">
              <w:rPr>
                <w:sz w:val="22"/>
                <w:szCs w:val="22"/>
              </w:rPr>
              <w:t>1</w:t>
            </w:r>
          </w:p>
        </w:tc>
        <w:tc>
          <w:tcPr>
            <w:tcW w:w="1421" w:type="dxa"/>
            <w:tcBorders>
              <w:bottom w:val="single" w:color="auto" w:sz="4" w:space="0"/>
            </w:tcBorders>
          </w:tcPr>
          <w:p w:rsidRPr="00F525C0" w:rsidR="000D2978" w:rsidP="00FB0AD7" w:rsidRDefault="000D2978" w14:paraId="14E236A1" w14:textId="7C72B896">
            <w:pPr>
              <w:keepNext/>
              <w:keepLines/>
              <w:rPr>
                <w:sz w:val="22"/>
                <w:szCs w:val="22"/>
              </w:rPr>
            </w:pPr>
            <w:r w:rsidRPr="00F525C0">
              <w:rPr>
                <w:sz w:val="22"/>
                <w:szCs w:val="22"/>
              </w:rPr>
              <w:t>45/60</w:t>
            </w:r>
          </w:p>
        </w:tc>
        <w:tc>
          <w:tcPr>
            <w:tcW w:w="1102" w:type="dxa"/>
            <w:tcBorders>
              <w:bottom w:val="single" w:color="auto" w:sz="4" w:space="0"/>
            </w:tcBorders>
          </w:tcPr>
          <w:p w:rsidRPr="00F525C0" w:rsidR="000D2978" w:rsidP="00FB0AD7" w:rsidRDefault="000D2978" w14:paraId="45568D2A" w14:textId="6D0571E8">
            <w:pPr>
              <w:keepNext/>
              <w:keepLines/>
              <w:rPr>
                <w:sz w:val="22"/>
                <w:szCs w:val="22"/>
              </w:rPr>
            </w:pPr>
            <w:r w:rsidRPr="00F525C0">
              <w:rPr>
                <w:sz w:val="22"/>
                <w:szCs w:val="22"/>
              </w:rPr>
              <w:t>8,776</w:t>
            </w:r>
          </w:p>
        </w:tc>
      </w:tr>
      <w:tr w:rsidRPr="001C2747" w:rsidR="000D2978" w:rsidTr="007D1E8A" w14:paraId="6477A1FD" w14:textId="77777777">
        <w:tc>
          <w:tcPr>
            <w:tcW w:w="1656" w:type="dxa"/>
            <w:shd w:val="clear" w:color="auto" w:fill="FFFFFF" w:themeFill="background1"/>
          </w:tcPr>
          <w:p w:rsidRPr="00F525C0" w:rsidR="000D2978" w:rsidP="003002A0" w:rsidRDefault="000D2978" w14:paraId="291BA673" w14:textId="7C44D63F">
            <w:pPr>
              <w:keepNext/>
              <w:keepLines/>
              <w:rPr>
                <w:sz w:val="22"/>
                <w:szCs w:val="22"/>
              </w:rPr>
            </w:pPr>
            <w:r w:rsidRPr="00F525C0">
              <w:rPr>
                <w:b/>
                <w:sz w:val="22"/>
                <w:szCs w:val="22"/>
              </w:rPr>
              <w:t>Total Burden for YRBS</w:t>
            </w:r>
          </w:p>
        </w:tc>
        <w:tc>
          <w:tcPr>
            <w:tcW w:w="2378" w:type="dxa"/>
            <w:shd w:val="clear" w:color="auto" w:fill="FFFFFF" w:themeFill="background1"/>
          </w:tcPr>
          <w:p w:rsidRPr="00F525C0" w:rsidR="000D2978" w:rsidP="003002A0" w:rsidRDefault="000D2978" w14:paraId="24CD6172" w14:textId="77DC226C">
            <w:pPr>
              <w:keepNext/>
              <w:keepLines/>
              <w:rPr>
                <w:sz w:val="22"/>
                <w:szCs w:val="22"/>
              </w:rPr>
            </w:pPr>
          </w:p>
        </w:tc>
        <w:tc>
          <w:tcPr>
            <w:tcW w:w="1443" w:type="dxa"/>
            <w:shd w:val="clear" w:color="auto" w:fill="FFFFFF" w:themeFill="background1"/>
          </w:tcPr>
          <w:p w:rsidRPr="00F525C0" w:rsidR="000D2978" w:rsidP="003002A0" w:rsidRDefault="000D2978" w14:paraId="762019D1" w14:textId="53218D08">
            <w:pPr>
              <w:keepNext/>
              <w:keepLines/>
              <w:rPr>
                <w:sz w:val="22"/>
                <w:szCs w:val="22"/>
              </w:rPr>
            </w:pPr>
          </w:p>
        </w:tc>
        <w:tc>
          <w:tcPr>
            <w:tcW w:w="1350" w:type="dxa"/>
            <w:shd w:val="clear" w:color="auto" w:fill="FFFFFF" w:themeFill="background1"/>
          </w:tcPr>
          <w:p w:rsidRPr="00F525C0" w:rsidR="000D2978" w:rsidP="003002A0" w:rsidRDefault="000D2978" w14:paraId="488B6B19" w14:textId="492C593A">
            <w:pPr>
              <w:keepNext/>
              <w:keepLines/>
              <w:rPr>
                <w:sz w:val="22"/>
                <w:szCs w:val="22"/>
              </w:rPr>
            </w:pPr>
          </w:p>
        </w:tc>
        <w:tc>
          <w:tcPr>
            <w:tcW w:w="1421" w:type="dxa"/>
            <w:shd w:val="clear" w:color="auto" w:fill="FFFFFF" w:themeFill="background1"/>
          </w:tcPr>
          <w:p w:rsidRPr="00F525C0" w:rsidR="000D2978" w:rsidP="003002A0" w:rsidRDefault="000D2978" w14:paraId="279887CF" w14:textId="4567E06F">
            <w:pPr>
              <w:keepNext/>
              <w:keepLines/>
              <w:rPr>
                <w:sz w:val="22"/>
                <w:szCs w:val="22"/>
              </w:rPr>
            </w:pPr>
          </w:p>
        </w:tc>
        <w:tc>
          <w:tcPr>
            <w:tcW w:w="1102" w:type="dxa"/>
            <w:shd w:val="clear" w:color="auto" w:fill="FFFFFF" w:themeFill="background1"/>
          </w:tcPr>
          <w:p w:rsidRPr="00F525C0" w:rsidR="000D2978" w:rsidP="003002A0" w:rsidRDefault="000D2978" w14:paraId="219ECEFE" w14:textId="2476450D">
            <w:pPr>
              <w:keepNext/>
              <w:keepLines/>
              <w:rPr>
                <w:sz w:val="22"/>
                <w:szCs w:val="22"/>
              </w:rPr>
            </w:pPr>
            <w:r w:rsidRPr="00F525C0">
              <w:rPr>
                <w:sz w:val="22"/>
                <w:szCs w:val="22"/>
              </w:rPr>
              <w:t>9,052</w:t>
            </w:r>
          </w:p>
        </w:tc>
      </w:tr>
    </w:tbl>
    <w:p w:rsidRPr="001C2747" w:rsidR="00891C9D" w:rsidP="000B0C2E" w:rsidRDefault="00891C9D" w14:paraId="35A86A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rPr>
          <w:rStyle w:val="Footer1"/>
          <w:bCs/>
          <w:color w:val="000000"/>
        </w:rPr>
      </w:pPr>
      <w:r w:rsidRPr="001C2747">
        <w:rPr>
          <w:rStyle w:val="Footer1"/>
          <w:bCs/>
          <w:color w:val="000000"/>
        </w:rPr>
        <w:tab/>
      </w:r>
    </w:p>
    <w:p w:rsidRPr="001C2747" w:rsidR="008F11B2" w:rsidP="000B0C2E" w:rsidRDefault="008F11B2" w14:paraId="4D23144A" w14:textId="1AA00D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rPr>
          <w:rStyle w:val="Footer1"/>
          <w:bCs/>
          <w:color w:val="000000"/>
        </w:rPr>
      </w:pPr>
      <w:r w:rsidRPr="001C2747">
        <w:rPr>
          <w:rStyle w:val="Footer1"/>
          <w:b/>
          <w:bCs/>
          <w:color w:val="000000"/>
          <w:u w:val="single"/>
        </w:rPr>
        <w:t>Estimated Annualized Cost to Respondents</w:t>
      </w:r>
      <w:r w:rsidRPr="001C2747">
        <w:rPr>
          <w:rStyle w:val="Footer1"/>
          <w:b/>
          <w:bCs/>
          <w:color w:val="000000"/>
        </w:rPr>
        <w:tab/>
      </w:r>
    </w:p>
    <w:p w:rsidR="0097554E" w:rsidP="0097554E" w:rsidRDefault="008F11B2" w14:paraId="62DC99A1" w14:textId="0D6D3BDD">
      <w:pPr>
        <w:spacing w:before="120" w:after="120"/>
        <w:ind w:firstLine="720"/>
      </w:pPr>
      <w:r w:rsidRPr="001C2747">
        <w:rPr>
          <w:rStyle w:val="Footer1"/>
          <w:color w:val="000000"/>
        </w:rPr>
        <w:t xml:space="preserve">For this information collection, there are no direct costs to the respondents themselves or to participating schools. However, the cost for administrators, teachers, and students can be calculated in terms of their time in responding to the </w:t>
      </w:r>
      <w:r w:rsidR="00F51433">
        <w:rPr>
          <w:rStyle w:val="Footer1"/>
          <w:color w:val="000000"/>
        </w:rPr>
        <w:t xml:space="preserve">ABES and </w:t>
      </w:r>
      <w:r w:rsidRPr="001C2747" w:rsidR="00650223">
        <w:rPr>
          <w:rStyle w:val="Footer1"/>
          <w:color w:val="000000"/>
        </w:rPr>
        <w:t>20</w:t>
      </w:r>
      <w:r w:rsidR="00650223">
        <w:rPr>
          <w:rStyle w:val="Footer1"/>
          <w:color w:val="000000"/>
        </w:rPr>
        <w:t>21</w:t>
      </w:r>
      <w:r w:rsidRPr="001C2747" w:rsidR="00650223">
        <w:rPr>
          <w:rStyle w:val="Footer1"/>
          <w:color w:val="000000"/>
        </w:rPr>
        <w:t xml:space="preserve"> </w:t>
      </w:r>
      <w:r w:rsidRPr="001C2747">
        <w:rPr>
          <w:rStyle w:val="Footer1"/>
          <w:color w:val="000000"/>
        </w:rPr>
        <w:t xml:space="preserve">and </w:t>
      </w:r>
      <w:r w:rsidRPr="001C2747" w:rsidR="00650223">
        <w:rPr>
          <w:rStyle w:val="Footer1"/>
          <w:color w:val="000000"/>
        </w:rPr>
        <w:t>20</w:t>
      </w:r>
      <w:r w:rsidR="00650223">
        <w:rPr>
          <w:rStyle w:val="Footer1"/>
          <w:color w:val="000000"/>
        </w:rPr>
        <w:t>23</w:t>
      </w:r>
      <w:r w:rsidRPr="001C2747" w:rsidR="00650223">
        <w:rPr>
          <w:rStyle w:val="Footer1"/>
          <w:color w:val="000000"/>
        </w:rPr>
        <w:t xml:space="preserve"> </w:t>
      </w:r>
      <w:r w:rsidRPr="001C2747">
        <w:rPr>
          <w:rStyle w:val="Footer1"/>
          <w:color w:val="000000"/>
        </w:rPr>
        <w:t xml:space="preserve">YRBS as seen in Table A-12.a. </w:t>
      </w:r>
      <w:r w:rsidRPr="001C2747">
        <w:t xml:space="preserve">Table A-12.b illustrates the total calculation of burden costs for the </w:t>
      </w:r>
      <w:r w:rsidR="00F51433">
        <w:t xml:space="preserve">ABES and </w:t>
      </w:r>
      <w:r w:rsidRPr="001C2747" w:rsidR="00650223">
        <w:t>20</w:t>
      </w:r>
      <w:r w:rsidR="00650223">
        <w:t>21</w:t>
      </w:r>
      <w:r w:rsidRPr="001C2747" w:rsidR="00650223">
        <w:t xml:space="preserve"> </w:t>
      </w:r>
      <w:r w:rsidRPr="001C2747">
        <w:t xml:space="preserve">and </w:t>
      </w:r>
      <w:r w:rsidRPr="001C2747" w:rsidR="00650223">
        <w:t>20</w:t>
      </w:r>
      <w:r w:rsidR="00650223">
        <w:t>23</w:t>
      </w:r>
      <w:r w:rsidRPr="001C2747" w:rsidR="00650223">
        <w:t xml:space="preserve"> </w:t>
      </w:r>
      <w:r w:rsidRPr="001C2747">
        <w:t>YRBS.  In each category, the estimated respondent burden hours have been multiplied by an estimated average hourly salary for persons in that category.  The Bureau of Labor Statistics is the source for hourly wages (</w:t>
      </w:r>
      <w:bookmarkStart w:name="_Hlk28502763" w:id="13"/>
      <w:r w:rsidR="00E5396E">
        <w:fldChar w:fldCharType="begin"/>
      </w:r>
      <w:r w:rsidR="00E5396E">
        <w:instrText xml:space="preserve"> HYPERLINK "http://www.bls.gov/bls/blswage.htm" </w:instrText>
      </w:r>
      <w:r w:rsidR="00E5396E">
        <w:fldChar w:fldCharType="separate"/>
      </w:r>
      <w:r w:rsidRPr="001C2747">
        <w:rPr>
          <w:rStyle w:val="Hyperlink"/>
        </w:rPr>
        <w:t>http://www.bls.gov/bls/blswage.htm</w:t>
      </w:r>
      <w:r w:rsidR="00E5396E">
        <w:rPr>
          <w:rStyle w:val="Hyperlink"/>
        </w:rPr>
        <w:fldChar w:fldCharType="end"/>
      </w:r>
      <w:r w:rsidRPr="001C2747">
        <w:t xml:space="preserve">). </w:t>
      </w:r>
      <w:bookmarkEnd w:id="13"/>
      <w:r w:rsidRPr="001C2747">
        <w:t>The estimated burden cost in terms of the value of time students spend in responding are based on a minimum wage for students aged less than 20 years</w:t>
      </w:r>
      <w:r w:rsidRPr="001C2747" w:rsidR="0014464D">
        <w:t xml:space="preserve"> of $4.25/hour </w:t>
      </w:r>
      <w:r w:rsidR="00773E93">
        <w:t>(</w:t>
      </w:r>
      <w:hyperlink w:history="1" r:id="rId27">
        <w:r w:rsidRPr="00E32B3F" w:rsidR="00773E93">
          <w:rPr>
            <w:rStyle w:val="Hyperlink"/>
          </w:rPr>
          <w:t>http://www.dol.gov/dol/topic/wages/minimumwage.htm</w:t>
        </w:r>
      </w:hyperlink>
      <w:r w:rsidR="00773E93">
        <w:t>)</w:t>
      </w:r>
      <w:r w:rsidRPr="001C2747">
        <w:t xml:space="preserve">. The total estimated respondent burden cost for conducting the </w:t>
      </w:r>
      <w:r w:rsidR="00F51433">
        <w:t>ABES is $</w:t>
      </w:r>
      <w:r w:rsidR="00B53CCC">
        <w:t>67,988</w:t>
      </w:r>
      <w:r w:rsidR="00F51433">
        <w:t xml:space="preserve"> and the combined </w:t>
      </w:r>
      <w:r w:rsidR="00500C2B">
        <w:t xml:space="preserve">cost </w:t>
      </w:r>
      <w:r w:rsidR="00F51433">
        <w:t xml:space="preserve">for the 2021 and 2023 </w:t>
      </w:r>
      <w:r w:rsidRPr="001C2747">
        <w:t xml:space="preserve">YRBS annualized over the </w:t>
      </w:r>
      <w:r w:rsidRPr="001C2747" w:rsidR="00F91CCA">
        <w:t>three</w:t>
      </w:r>
      <w:r w:rsidR="00F91CCA">
        <w:t>-</w:t>
      </w:r>
      <w:r w:rsidRPr="001C2747">
        <w:t>year study period is $</w:t>
      </w:r>
      <w:r w:rsidR="00B53CCC">
        <w:t>47,654.</w:t>
      </w:r>
      <w:r w:rsidRPr="001C2747">
        <w:t xml:space="preserve"> </w:t>
      </w:r>
    </w:p>
    <w:p w:rsidR="007642F8" w:rsidP="0097554E" w:rsidRDefault="007642F8" w14:paraId="76970291" w14:textId="77777777">
      <w:pPr>
        <w:spacing w:before="120" w:after="120"/>
        <w:ind w:firstLine="720"/>
      </w:pPr>
    </w:p>
    <w:p w:rsidR="008F11B2" w:rsidP="0097554E" w:rsidRDefault="008F11B2" w14:paraId="717995CB" w14:textId="428ABBD7">
      <w:pPr>
        <w:spacing w:before="120" w:after="120"/>
        <w:ind w:firstLine="720"/>
        <w:rPr>
          <w:b/>
        </w:rPr>
      </w:pPr>
      <w:r w:rsidRPr="001C2747">
        <w:rPr>
          <w:b/>
        </w:rPr>
        <w:t>Table A-12.b. Annualized Estimated Burden Costs</w:t>
      </w:r>
    </w:p>
    <w:tbl>
      <w:tblPr>
        <w:tblW w:w="10073" w:type="dxa"/>
        <w:tblInd w:w="8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89" w:type="dxa"/>
          <w:right w:w="89" w:type="dxa"/>
        </w:tblCellMar>
        <w:tblLook w:val="0000" w:firstRow="0" w:lastRow="0" w:firstColumn="0" w:lastColumn="0" w:noHBand="0" w:noVBand="0"/>
      </w:tblPr>
      <w:tblGrid>
        <w:gridCol w:w="1523"/>
        <w:gridCol w:w="1897"/>
        <w:gridCol w:w="1343"/>
        <w:gridCol w:w="1260"/>
        <w:gridCol w:w="1080"/>
        <w:gridCol w:w="900"/>
        <w:gridCol w:w="810"/>
        <w:gridCol w:w="1260"/>
      </w:tblGrid>
      <w:tr w:rsidRPr="00B14CAF" w:rsidR="00500C2B" w:rsidTr="00500C2B" w14:paraId="4A21F087" w14:textId="77777777">
        <w:trPr>
          <w:cantSplit/>
          <w:trHeight w:val="588"/>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B14CAF" w:rsidR="00500C2B" w:rsidP="00187C52" w:rsidRDefault="00500C2B" w14:paraId="2931C674" w14:textId="77777777">
            <w:pPr>
              <w:keepNext/>
              <w:keepLines/>
              <w:rPr>
                <w:rStyle w:val="Footer1"/>
                <w:color w:val="000000"/>
                <w:sz w:val="22"/>
                <w:szCs w:val="22"/>
              </w:rPr>
            </w:pPr>
            <w:r w:rsidRPr="00B14CAF">
              <w:rPr>
                <w:rStyle w:val="Footer1"/>
                <w:color w:val="000000"/>
                <w:sz w:val="22"/>
                <w:szCs w:val="22"/>
              </w:rPr>
              <w:lastRenderedPageBreak/>
              <w:t xml:space="preserve">Type of Respondent </w:t>
            </w:r>
          </w:p>
        </w:tc>
        <w:tc>
          <w:tcPr>
            <w:tcW w:w="1897" w:type="dxa"/>
            <w:tcBorders>
              <w:top w:val="single" w:color="000000" w:sz="6" w:space="0"/>
              <w:left w:val="single" w:color="000000" w:sz="6" w:space="0"/>
              <w:bottom w:val="single" w:color="000000" w:sz="6" w:space="0"/>
              <w:right w:val="single" w:color="000000" w:sz="6" w:space="0"/>
            </w:tcBorders>
          </w:tcPr>
          <w:p w:rsidRPr="00B14CAF" w:rsidR="00500C2B" w:rsidP="00187C52" w:rsidRDefault="00500C2B" w14:paraId="75970A95" w14:textId="77777777">
            <w:pPr>
              <w:keepNext/>
              <w:keepLines/>
              <w:rPr>
                <w:sz w:val="22"/>
                <w:szCs w:val="22"/>
              </w:rPr>
            </w:pPr>
            <w:r w:rsidRPr="00B14CAF">
              <w:rPr>
                <w:sz w:val="22"/>
                <w:szCs w:val="22"/>
              </w:rPr>
              <w:t>Form Name</w:t>
            </w:r>
          </w:p>
        </w:tc>
        <w:tc>
          <w:tcPr>
            <w:tcW w:w="1343" w:type="dxa"/>
            <w:tcBorders>
              <w:top w:val="single" w:color="000000" w:sz="6" w:space="0"/>
              <w:left w:val="single" w:color="000000" w:sz="6" w:space="0"/>
              <w:bottom w:val="single" w:color="000000" w:sz="6" w:space="0"/>
              <w:right w:val="single" w:color="000000" w:sz="6" w:space="0"/>
            </w:tcBorders>
          </w:tcPr>
          <w:p w:rsidRPr="00B14CAF" w:rsidR="00500C2B" w:rsidP="00187C52" w:rsidRDefault="00500C2B" w14:paraId="3E7DEA0B" w14:textId="77777777">
            <w:pPr>
              <w:keepNext/>
              <w:keepLines/>
              <w:jc w:val="center"/>
              <w:rPr>
                <w:sz w:val="22"/>
                <w:szCs w:val="22"/>
              </w:rPr>
            </w:pPr>
            <w:r w:rsidRPr="00B14CAF">
              <w:rPr>
                <w:sz w:val="22"/>
                <w:szCs w:val="22"/>
              </w:rPr>
              <w:t>No. of Respondents</w:t>
            </w:r>
          </w:p>
        </w:tc>
        <w:tc>
          <w:tcPr>
            <w:tcW w:w="1260" w:type="dxa"/>
            <w:tcBorders>
              <w:top w:val="single" w:color="000000" w:sz="6" w:space="0"/>
              <w:left w:val="single" w:color="000000" w:sz="6" w:space="0"/>
              <w:bottom w:val="single" w:color="000000" w:sz="6" w:space="0"/>
              <w:right w:val="single" w:color="000000" w:sz="6" w:space="0"/>
            </w:tcBorders>
          </w:tcPr>
          <w:p w:rsidRPr="00B14CAF" w:rsidR="00500C2B" w:rsidP="00187C52" w:rsidRDefault="00500C2B" w14:paraId="7F8881D5" w14:textId="77777777">
            <w:pPr>
              <w:keepNext/>
              <w:keepLines/>
              <w:jc w:val="center"/>
              <w:rPr>
                <w:sz w:val="22"/>
                <w:szCs w:val="22"/>
              </w:rPr>
            </w:pPr>
            <w:r w:rsidRPr="00B14CAF">
              <w:rPr>
                <w:sz w:val="22"/>
                <w:szCs w:val="22"/>
              </w:rPr>
              <w:t>No. of Responses per Respondent</w:t>
            </w:r>
          </w:p>
        </w:tc>
        <w:tc>
          <w:tcPr>
            <w:tcW w:w="1080" w:type="dxa"/>
            <w:tcBorders>
              <w:top w:val="single" w:color="000000" w:sz="6" w:space="0"/>
              <w:left w:val="single" w:color="000000" w:sz="6" w:space="0"/>
              <w:bottom w:val="single" w:color="000000" w:sz="6" w:space="0"/>
              <w:right w:val="single" w:color="000000" w:sz="6" w:space="0"/>
            </w:tcBorders>
          </w:tcPr>
          <w:p w:rsidRPr="00B14CAF" w:rsidR="00500C2B" w:rsidP="00187C52" w:rsidRDefault="00500C2B" w14:paraId="32E9C06A" w14:textId="77777777">
            <w:pPr>
              <w:keepNext/>
              <w:keepLines/>
              <w:jc w:val="center"/>
              <w:rPr>
                <w:sz w:val="22"/>
                <w:szCs w:val="22"/>
              </w:rPr>
            </w:pPr>
            <w:r w:rsidRPr="00B14CAF">
              <w:rPr>
                <w:sz w:val="22"/>
                <w:szCs w:val="22"/>
              </w:rPr>
              <w:t>Average Burden Per Response (In Hours)</w:t>
            </w:r>
          </w:p>
        </w:tc>
        <w:tc>
          <w:tcPr>
            <w:tcW w:w="900" w:type="dxa"/>
            <w:tcBorders>
              <w:top w:val="single" w:color="000000" w:sz="6" w:space="0"/>
              <w:left w:val="single" w:color="000000" w:sz="6" w:space="0"/>
              <w:bottom w:val="single" w:color="000000" w:sz="6" w:space="0"/>
              <w:right w:val="single" w:color="000000" w:sz="6" w:space="0"/>
            </w:tcBorders>
          </w:tcPr>
          <w:p w:rsidRPr="00B14CAF" w:rsidR="00500C2B" w:rsidP="00187C52" w:rsidRDefault="00500C2B" w14:paraId="4C877C0C" w14:textId="77777777">
            <w:pPr>
              <w:keepNext/>
              <w:keepLines/>
              <w:jc w:val="center"/>
              <w:rPr>
                <w:rStyle w:val="Footer1"/>
                <w:color w:val="000000"/>
                <w:sz w:val="22"/>
                <w:szCs w:val="22"/>
              </w:rPr>
            </w:pPr>
            <w:r w:rsidRPr="00B14CAF">
              <w:rPr>
                <w:rStyle w:val="Footer1"/>
                <w:color w:val="000000"/>
                <w:sz w:val="22"/>
                <w:szCs w:val="22"/>
              </w:rPr>
              <w:t>Total Burden Hours</w:t>
            </w:r>
          </w:p>
        </w:tc>
        <w:tc>
          <w:tcPr>
            <w:tcW w:w="810" w:type="dxa"/>
            <w:tcBorders>
              <w:top w:val="single" w:color="000000" w:sz="6" w:space="0"/>
              <w:left w:val="single" w:color="000000" w:sz="6" w:space="0"/>
              <w:bottom w:val="single" w:color="000000" w:sz="6" w:space="0"/>
              <w:right w:val="single" w:color="000000" w:sz="6" w:space="0"/>
            </w:tcBorders>
            <w:shd w:val="clear" w:color="auto" w:fill="auto"/>
          </w:tcPr>
          <w:p w:rsidRPr="00B14CAF" w:rsidR="00500C2B" w:rsidP="00187C52" w:rsidRDefault="00500C2B" w14:paraId="04AEB486" w14:textId="77777777">
            <w:pPr>
              <w:keepNext/>
              <w:keepLines/>
              <w:jc w:val="center"/>
              <w:rPr>
                <w:rStyle w:val="Footer1"/>
                <w:color w:val="000000"/>
                <w:sz w:val="22"/>
                <w:szCs w:val="22"/>
              </w:rPr>
            </w:pPr>
            <w:r w:rsidRPr="00B14CAF">
              <w:rPr>
                <w:rStyle w:val="Footer1"/>
                <w:color w:val="000000"/>
                <w:sz w:val="22"/>
                <w:szCs w:val="22"/>
              </w:rPr>
              <w:t>Hourly Wage Rate</w:t>
            </w:r>
          </w:p>
        </w:tc>
        <w:tc>
          <w:tcPr>
            <w:tcW w:w="1260" w:type="dxa"/>
            <w:tcBorders>
              <w:top w:val="single" w:color="000000" w:sz="6" w:space="0"/>
              <w:left w:val="single" w:color="000000" w:sz="6" w:space="0"/>
              <w:bottom w:val="single" w:color="000000" w:sz="6" w:space="0"/>
              <w:right w:val="single" w:color="000000" w:sz="6" w:space="0"/>
            </w:tcBorders>
            <w:shd w:val="clear" w:color="auto" w:fill="auto"/>
          </w:tcPr>
          <w:p w:rsidRPr="00B14CAF" w:rsidR="00500C2B" w:rsidP="00187C52" w:rsidRDefault="00500C2B" w14:paraId="3D503C31" w14:textId="77777777">
            <w:pPr>
              <w:keepNext/>
              <w:keepLines/>
              <w:jc w:val="center"/>
              <w:rPr>
                <w:rStyle w:val="Footer1"/>
                <w:color w:val="000000"/>
                <w:sz w:val="22"/>
                <w:szCs w:val="22"/>
              </w:rPr>
            </w:pPr>
            <w:r w:rsidRPr="00B14CAF">
              <w:rPr>
                <w:rStyle w:val="Footer1"/>
                <w:color w:val="000000"/>
                <w:sz w:val="22"/>
                <w:szCs w:val="22"/>
              </w:rPr>
              <w:t>Total Respondent Costs</w:t>
            </w:r>
          </w:p>
        </w:tc>
      </w:tr>
      <w:tr w:rsidRPr="00B14CAF" w:rsidR="004A13B9" w:rsidTr="004A13B9" w14:paraId="79B2704C" w14:textId="77777777">
        <w:trPr>
          <w:cantSplit/>
          <w:trHeight w:val="588"/>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500C2B" w:rsidR="004A13B9" w:rsidP="004A13B9" w:rsidRDefault="004A13B9" w14:paraId="131544E3" w14:textId="77777777">
            <w:pPr>
              <w:keepNext/>
              <w:keepLines/>
              <w:rPr>
                <w:color w:val="000000"/>
                <w:sz w:val="22"/>
                <w:szCs w:val="22"/>
              </w:rPr>
            </w:pPr>
            <w:r w:rsidRPr="00500C2B">
              <w:rPr>
                <w:color w:val="000000"/>
                <w:sz w:val="22"/>
                <w:szCs w:val="22"/>
              </w:rPr>
              <w:t>State Administrators</w:t>
            </w:r>
          </w:p>
        </w:tc>
        <w:tc>
          <w:tcPr>
            <w:tcW w:w="1897"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320063C6" w14:textId="2B216C69">
            <w:pPr>
              <w:keepNext/>
              <w:keepLines/>
              <w:rPr>
                <w:sz w:val="22"/>
                <w:szCs w:val="22"/>
              </w:rPr>
            </w:pPr>
            <w:r w:rsidRPr="00B14CAF">
              <w:rPr>
                <w:sz w:val="22"/>
                <w:szCs w:val="22"/>
              </w:rPr>
              <w:t xml:space="preserve">State-level Recruitment Script for the </w:t>
            </w:r>
            <w:r>
              <w:rPr>
                <w:sz w:val="22"/>
                <w:szCs w:val="22"/>
              </w:rPr>
              <w:t xml:space="preserve">Adolescent Behaviors and Experiences </w:t>
            </w:r>
            <w:r w:rsidRPr="00B14CAF">
              <w:rPr>
                <w:sz w:val="22"/>
                <w:szCs w:val="22"/>
              </w:rPr>
              <w:t xml:space="preserve">Survey </w:t>
            </w:r>
          </w:p>
        </w:tc>
        <w:tc>
          <w:tcPr>
            <w:tcW w:w="1343" w:type="dxa"/>
            <w:tcBorders>
              <w:top w:val="single" w:color="auto" w:sz="4" w:space="0"/>
              <w:left w:val="single" w:color="auto" w:sz="4" w:space="0"/>
              <w:bottom w:val="single" w:color="auto" w:sz="4" w:space="0"/>
              <w:right w:val="single" w:color="auto" w:sz="4" w:space="0"/>
            </w:tcBorders>
          </w:tcPr>
          <w:p w:rsidRPr="00B14CAF" w:rsidR="004A13B9" w:rsidP="004A13B9" w:rsidRDefault="004A13B9" w14:paraId="54007C51" w14:textId="1644F251">
            <w:pPr>
              <w:keepNext/>
              <w:keepLines/>
              <w:jc w:val="center"/>
              <w:rPr>
                <w:sz w:val="22"/>
                <w:szCs w:val="22"/>
              </w:rPr>
            </w:pPr>
            <w:r>
              <w:t>30</w:t>
            </w:r>
          </w:p>
        </w:tc>
        <w:tc>
          <w:tcPr>
            <w:tcW w:w="1260"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31AE2404" w14:textId="77777777">
            <w:pPr>
              <w:keepNext/>
              <w:keepLines/>
              <w:jc w:val="center"/>
              <w:rPr>
                <w:sz w:val="22"/>
                <w:szCs w:val="22"/>
              </w:rPr>
            </w:pPr>
            <w:r w:rsidRPr="00B14CAF">
              <w:rPr>
                <w:sz w:val="22"/>
                <w:szCs w:val="22"/>
              </w:rPr>
              <w:t>1</w:t>
            </w:r>
          </w:p>
        </w:tc>
        <w:tc>
          <w:tcPr>
            <w:tcW w:w="1080"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00A87936" w14:textId="77777777">
            <w:pPr>
              <w:keepNext/>
              <w:keepLines/>
              <w:jc w:val="center"/>
              <w:rPr>
                <w:sz w:val="22"/>
                <w:szCs w:val="22"/>
              </w:rPr>
            </w:pPr>
            <w:r w:rsidRPr="00B14CAF">
              <w:rPr>
                <w:sz w:val="22"/>
                <w:szCs w:val="22"/>
              </w:rPr>
              <w:t>30/60</w:t>
            </w:r>
          </w:p>
        </w:tc>
        <w:tc>
          <w:tcPr>
            <w:tcW w:w="900" w:type="dxa"/>
            <w:tcBorders>
              <w:top w:val="single" w:color="auto" w:sz="4" w:space="0"/>
              <w:left w:val="single" w:color="auto" w:sz="4" w:space="0"/>
              <w:bottom w:val="single" w:color="auto" w:sz="4" w:space="0"/>
              <w:right w:val="single" w:color="auto" w:sz="4" w:space="0"/>
            </w:tcBorders>
          </w:tcPr>
          <w:p w:rsidRPr="00B14CAF" w:rsidR="004A13B9" w:rsidP="004A13B9" w:rsidRDefault="004A13B9" w14:paraId="5A3EB23B" w14:textId="7322E66D">
            <w:pPr>
              <w:keepNext/>
              <w:keepLines/>
              <w:jc w:val="center"/>
              <w:rPr>
                <w:rStyle w:val="Footer1"/>
                <w:color w:val="000000"/>
                <w:sz w:val="22"/>
                <w:szCs w:val="22"/>
              </w:rPr>
            </w:pPr>
            <w:r>
              <w:t>15</w:t>
            </w:r>
          </w:p>
        </w:tc>
        <w:tc>
          <w:tcPr>
            <w:tcW w:w="810" w:type="dxa"/>
            <w:tcBorders>
              <w:top w:val="single" w:color="000000" w:sz="6" w:space="0"/>
              <w:left w:val="single" w:color="000000" w:sz="6" w:space="0"/>
              <w:bottom w:val="single" w:color="000000" w:sz="6" w:space="0"/>
              <w:right w:val="single" w:color="000000" w:sz="6" w:space="0"/>
            </w:tcBorders>
            <w:shd w:val="clear" w:color="auto" w:fill="auto"/>
          </w:tcPr>
          <w:p w:rsidRPr="00B14CAF" w:rsidR="004A13B9" w:rsidP="004A13B9" w:rsidRDefault="004A13B9" w14:paraId="32486251" w14:textId="77777777">
            <w:pPr>
              <w:keepNext/>
              <w:keepLines/>
              <w:jc w:val="center"/>
              <w:rPr>
                <w:rStyle w:val="Footer1"/>
                <w:color w:val="000000"/>
                <w:sz w:val="22"/>
                <w:szCs w:val="22"/>
              </w:rPr>
            </w:pPr>
            <w:r w:rsidRPr="00B14CAF">
              <w:rPr>
                <w:rStyle w:val="Footer1"/>
                <w:color w:val="000000"/>
                <w:sz w:val="22"/>
                <w:szCs w:val="22"/>
              </w:rPr>
              <w:t>$43.06</w:t>
            </w:r>
          </w:p>
          <w:p w:rsidRPr="00B14CAF" w:rsidR="004A13B9" w:rsidP="004A13B9" w:rsidRDefault="004A13B9" w14:paraId="1DF09D69" w14:textId="77777777">
            <w:pPr>
              <w:keepNext/>
              <w:keepLines/>
              <w:jc w:val="center"/>
              <w:rPr>
                <w:rStyle w:val="Footer1"/>
                <w:color w:val="000000"/>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Pr>
          <w:p w:rsidRPr="00B14CAF" w:rsidR="004A13B9" w:rsidP="004A13B9" w:rsidRDefault="00854C58" w14:paraId="32D392C5" w14:textId="1CFF3E41">
            <w:pPr>
              <w:keepNext/>
              <w:keepLines/>
              <w:jc w:val="center"/>
              <w:rPr>
                <w:rStyle w:val="Footer1"/>
                <w:color w:val="000000"/>
                <w:sz w:val="22"/>
                <w:szCs w:val="22"/>
              </w:rPr>
            </w:pPr>
            <w:r>
              <w:rPr>
                <w:rStyle w:val="Footer1"/>
                <w:color w:val="000000"/>
                <w:sz w:val="22"/>
                <w:szCs w:val="22"/>
              </w:rPr>
              <w:t>$646</w:t>
            </w:r>
          </w:p>
        </w:tc>
      </w:tr>
      <w:tr w:rsidRPr="00B14CAF" w:rsidR="004A13B9" w:rsidTr="004A13B9" w14:paraId="3258DA96" w14:textId="77777777">
        <w:trPr>
          <w:cantSplit/>
          <w:trHeight w:val="588"/>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500C2B" w:rsidR="004A13B9" w:rsidP="004A13B9" w:rsidRDefault="004A13B9" w14:paraId="4D8B008E" w14:textId="77777777">
            <w:pPr>
              <w:keepNext/>
              <w:keepLines/>
              <w:rPr>
                <w:color w:val="000000"/>
                <w:sz w:val="22"/>
                <w:szCs w:val="22"/>
              </w:rPr>
            </w:pPr>
            <w:r w:rsidRPr="00500C2B">
              <w:rPr>
                <w:color w:val="000000"/>
                <w:sz w:val="22"/>
                <w:szCs w:val="22"/>
              </w:rPr>
              <w:t>District Administrators</w:t>
            </w:r>
          </w:p>
        </w:tc>
        <w:tc>
          <w:tcPr>
            <w:tcW w:w="1897"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68A1259E" w14:textId="213EFC2C">
            <w:pPr>
              <w:keepNext/>
              <w:keepLines/>
              <w:rPr>
                <w:sz w:val="22"/>
                <w:szCs w:val="22"/>
              </w:rPr>
            </w:pPr>
            <w:r w:rsidRPr="00B14CAF">
              <w:rPr>
                <w:sz w:val="22"/>
                <w:szCs w:val="22"/>
              </w:rPr>
              <w:t xml:space="preserve">District-level Recruitment Script for the </w:t>
            </w:r>
            <w:r>
              <w:rPr>
                <w:sz w:val="22"/>
                <w:szCs w:val="22"/>
              </w:rPr>
              <w:t>Adolescent Behaviors and Experiences</w:t>
            </w:r>
            <w:r w:rsidRPr="00B14CAF">
              <w:rPr>
                <w:sz w:val="22"/>
                <w:szCs w:val="22"/>
              </w:rPr>
              <w:t xml:space="preserve"> Survey</w:t>
            </w:r>
          </w:p>
        </w:tc>
        <w:tc>
          <w:tcPr>
            <w:tcW w:w="1343" w:type="dxa"/>
            <w:tcBorders>
              <w:top w:val="single" w:color="auto" w:sz="4" w:space="0"/>
              <w:left w:val="single" w:color="auto" w:sz="4" w:space="0"/>
              <w:bottom w:val="single" w:color="auto" w:sz="4" w:space="0"/>
              <w:right w:val="single" w:color="auto" w:sz="4" w:space="0"/>
            </w:tcBorders>
          </w:tcPr>
          <w:p w:rsidRPr="00B14CAF" w:rsidR="004A13B9" w:rsidP="004A13B9" w:rsidRDefault="004A13B9" w14:paraId="092D1D08" w14:textId="6E10D79A">
            <w:pPr>
              <w:keepNext/>
              <w:keepLines/>
              <w:jc w:val="center"/>
              <w:rPr>
                <w:sz w:val="22"/>
                <w:szCs w:val="22"/>
              </w:rPr>
            </w:pPr>
            <w:r>
              <w:t>230</w:t>
            </w:r>
          </w:p>
        </w:tc>
        <w:tc>
          <w:tcPr>
            <w:tcW w:w="1260"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22BF6E56" w14:textId="77777777">
            <w:pPr>
              <w:keepNext/>
              <w:keepLines/>
              <w:jc w:val="center"/>
              <w:rPr>
                <w:sz w:val="22"/>
                <w:szCs w:val="22"/>
              </w:rPr>
            </w:pPr>
            <w:r w:rsidRPr="00B14CAF">
              <w:rPr>
                <w:sz w:val="22"/>
                <w:szCs w:val="22"/>
              </w:rPr>
              <w:t>1</w:t>
            </w:r>
          </w:p>
        </w:tc>
        <w:tc>
          <w:tcPr>
            <w:tcW w:w="1080"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24F89616" w14:textId="77777777">
            <w:pPr>
              <w:keepNext/>
              <w:keepLines/>
              <w:jc w:val="center"/>
              <w:rPr>
                <w:sz w:val="22"/>
                <w:szCs w:val="22"/>
              </w:rPr>
            </w:pPr>
            <w:r w:rsidRPr="00B14CAF">
              <w:rPr>
                <w:sz w:val="22"/>
                <w:szCs w:val="22"/>
              </w:rPr>
              <w:t>30/60</w:t>
            </w:r>
          </w:p>
        </w:tc>
        <w:tc>
          <w:tcPr>
            <w:tcW w:w="900" w:type="dxa"/>
            <w:tcBorders>
              <w:top w:val="single" w:color="auto" w:sz="4" w:space="0"/>
              <w:left w:val="single" w:color="auto" w:sz="4" w:space="0"/>
              <w:bottom w:val="single" w:color="auto" w:sz="4" w:space="0"/>
              <w:right w:val="single" w:color="auto" w:sz="4" w:space="0"/>
            </w:tcBorders>
          </w:tcPr>
          <w:p w:rsidRPr="00B14CAF" w:rsidR="004A13B9" w:rsidP="004A13B9" w:rsidRDefault="004A13B9" w14:paraId="6FA29059" w14:textId="1CEECA07">
            <w:pPr>
              <w:keepNext/>
              <w:keepLines/>
              <w:jc w:val="center"/>
              <w:rPr>
                <w:rStyle w:val="Footer1"/>
                <w:color w:val="000000"/>
                <w:sz w:val="22"/>
                <w:szCs w:val="22"/>
              </w:rPr>
            </w:pPr>
            <w:r>
              <w:t>115</w:t>
            </w:r>
          </w:p>
        </w:tc>
        <w:tc>
          <w:tcPr>
            <w:tcW w:w="810" w:type="dxa"/>
            <w:tcBorders>
              <w:top w:val="single" w:color="000000" w:sz="6" w:space="0"/>
              <w:left w:val="single" w:color="000000" w:sz="6" w:space="0"/>
              <w:bottom w:val="single" w:color="000000" w:sz="6" w:space="0"/>
              <w:right w:val="single" w:color="000000" w:sz="6" w:space="0"/>
            </w:tcBorders>
            <w:shd w:val="clear" w:color="auto" w:fill="auto"/>
          </w:tcPr>
          <w:p w:rsidRPr="00B14CAF" w:rsidR="004A13B9" w:rsidP="004A13B9" w:rsidRDefault="004A13B9" w14:paraId="4A8895AD" w14:textId="77777777">
            <w:pPr>
              <w:keepNext/>
              <w:keepLines/>
              <w:jc w:val="center"/>
              <w:rPr>
                <w:rStyle w:val="Footer1"/>
                <w:color w:val="000000"/>
                <w:sz w:val="22"/>
                <w:szCs w:val="22"/>
              </w:rPr>
            </w:pPr>
            <w:r w:rsidRPr="00B14CAF">
              <w:rPr>
                <w:rStyle w:val="Footer1"/>
                <w:color w:val="000000"/>
                <w:sz w:val="22"/>
                <w:szCs w:val="22"/>
              </w:rPr>
              <w:t>$47.94</w:t>
            </w:r>
          </w:p>
          <w:p w:rsidRPr="00B14CAF" w:rsidR="004A13B9" w:rsidP="004A13B9" w:rsidRDefault="004A13B9" w14:paraId="74E2E4B0" w14:textId="77777777">
            <w:pPr>
              <w:keepNext/>
              <w:keepLines/>
              <w:jc w:val="center"/>
              <w:rPr>
                <w:rStyle w:val="Footer1"/>
                <w:color w:val="000000"/>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Pr>
          <w:p w:rsidRPr="00B14CAF" w:rsidR="004A13B9" w:rsidP="004A13B9" w:rsidRDefault="00E24E14" w14:paraId="3F6C21C8" w14:textId="1ED80107">
            <w:pPr>
              <w:keepNext/>
              <w:keepLines/>
              <w:jc w:val="center"/>
              <w:rPr>
                <w:rStyle w:val="Footer1"/>
                <w:color w:val="000000"/>
                <w:sz w:val="22"/>
                <w:szCs w:val="22"/>
              </w:rPr>
            </w:pPr>
            <w:r>
              <w:rPr>
                <w:rStyle w:val="Footer1"/>
                <w:color w:val="000000"/>
                <w:sz w:val="22"/>
                <w:szCs w:val="22"/>
              </w:rPr>
              <w:t>$5,513</w:t>
            </w:r>
          </w:p>
        </w:tc>
      </w:tr>
      <w:tr w:rsidRPr="00B14CAF" w:rsidR="004A13B9" w:rsidTr="004A13B9" w14:paraId="761D67D5" w14:textId="77777777">
        <w:trPr>
          <w:cantSplit/>
          <w:trHeight w:val="588"/>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500C2B" w:rsidR="004A13B9" w:rsidP="004A13B9" w:rsidRDefault="004A13B9" w14:paraId="15C679AC" w14:textId="77777777">
            <w:pPr>
              <w:keepNext/>
              <w:keepLines/>
              <w:rPr>
                <w:color w:val="000000"/>
                <w:sz w:val="22"/>
                <w:szCs w:val="22"/>
              </w:rPr>
            </w:pPr>
            <w:r w:rsidRPr="00500C2B">
              <w:rPr>
                <w:color w:val="000000"/>
                <w:sz w:val="22"/>
                <w:szCs w:val="22"/>
              </w:rPr>
              <w:t>School Administrators</w:t>
            </w:r>
          </w:p>
        </w:tc>
        <w:tc>
          <w:tcPr>
            <w:tcW w:w="1897"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7A367267" w14:textId="43B9CD82">
            <w:pPr>
              <w:keepNext/>
              <w:keepLines/>
              <w:rPr>
                <w:sz w:val="22"/>
                <w:szCs w:val="22"/>
              </w:rPr>
            </w:pPr>
            <w:r w:rsidRPr="00B14CAF">
              <w:rPr>
                <w:sz w:val="22"/>
                <w:szCs w:val="22"/>
              </w:rPr>
              <w:t xml:space="preserve">School-level Recruitment Script for the </w:t>
            </w:r>
            <w:r>
              <w:rPr>
                <w:sz w:val="22"/>
                <w:szCs w:val="22"/>
              </w:rPr>
              <w:t>Adolescent Behaviors and Experiences Survey</w:t>
            </w:r>
          </w:p>
        </w:tc>
        <w:tc>
          <w:tcPr>
            <w:tcW w:w="1343" w:type="dxa"/>
            <w:tcBorders>
              <w:top w:val="single" w:color="auto" w:sz="4" w:space="0"/>
              <w:left w:val="single" w:color="auto" w:sz="4" w:space="0"/>
              <w:bottom w:val="single" w:color="auto" w:sz="4" w:space="0"/>
              <w:right w:val="single" w:color="auto" w:sz="4" w:space="0"/>
            </w:tcBorders>
          </w:tcPr>
          <w:p w:rsidRPr="00B14CAF" w:rsidR="004A13B9" w:rsidP="004A13B9" w:rsidRDefault="004A13B9" w14:paraId="15CFDF18" w14:textId="172C2868">
            <w:pPr>
              <w:keepNext/>
              <w:keepLines/>
              <w:jc w:val="center"/>
              <w:rPr>
                <w:sz w:val="22"/>
                <w:szCs w:val="22"/>
              </w:rPr>
            </w:pPr>
            <w:r>
              <w:t>340</w:t>
            </w:r>
          </w:p>
        </w:tc>
        <w:tc>
          <w:tcPr>
            <w:tcW w:w="1260"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62AE50FE" w14:textId="77777777">
            <w:pPr>
              <w:keepNext/>
              <w:keepLines/>
              <w:jc w:val="center"/>
              <w:rPr>
                <w:sz w:val="22"/>
                <w:szCs w:val="22"/>
              </w:rPr>
            </w:pPr>
            <w:r w:rsidRPr="00B14CAF">
              <w:rPr>
                <w:sz w:val="22"/>
                <w:szCs w:val="22"/>
              </w:rPr>
              <w:t>1</w:t>
            </w:r>
          </w:p>
        </w:tc>
        <w:tc>
          <w:tcPr>
            <w:tcW w:w="1080"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5465FFBB" w14:textId="77777777">
            <w:pPr>
              <w:keepNext/>
              <w:keepLines/>
              <w:jc w:val="center"/>
              <w:rPr>
                <w:sz w:val="22"/>
                <w:szCs w:val="22"/>
              </w:rPr>
            </w:pPr>
            <w:r w:rsidRPr="00B14CAF">
              <w:rPr>
                <w:sz w:val="22"/>
                <w:szCs w:val="22"/>
              </w:rPr>
              <w:t>30/60</w:t>
            </w:r>
          </w:p>
        </w:tc>
        <w:tc>
          <w:tcPr>
            <w:tcW w:w="900" w:type="dxa"/>
            <w:tcBorders>
              <w:top w:val="single" w:color="auto" w:sz="4" w:space="0"/>
              <w:left w:val="single" w:color="auto" w:sz="4" w:space="0"/>
              <w:bottom w:val="single" w:color="auto" w:sz="4" w:space="0"/>
              <w:right w:val="single" w:color="auto" w:sz="4" w:space="0"/>
            </w:tcBorders>
          </w:tcPr>
          <w:p w:rsidRPr="00B14CAF" w:rsidR="004A13B9" w:rsidP="004A13B9" w:rsidRDefault="004A13B9" w14:paraId="68109281" w14:textId="0FC92DB6">
            <w:pPr>
              <w:keepNext/>
              <w:keepLines/>
              <w:jc w:val="center"/>
              <w:rPr>
                <w:rStyle w:val="Footer1"/>
                <w:color w:val="000000"/>
                <w:sz w:val="22"/>
                <w:szCs w:val="22"/>
              </w:rPr>
            </w:pPr>
            <w:r>
              <w:t>170</w:t>
            </w:r>
          </w:p>
        </w:tc>
        <w:tc>
          <w:tcPr>
            <w:tcW w:w="810" w:type="dxa"/>
            <w:tcBorders>
              <w:top w:val="single" w:color="000000" w:sz="6" w:space="0"/>
              <w:left w:val="single" w:color="000000" w:sz="6" w:space="0"/>
              <w:bottom w:val="single" w:color="000000" w:sz="6" w:space="0"/>
              <w:right w:val="single" w:color="000000" w:sz="6" w:space="0"/>
            </w:tcBorders>
            <w:shd w:val="clear" w:color="auto" w:fill="auto"/>
          </w:tcPr>
          <w:p w:rsidRPr="00B14CAF" w:rsidR="004A13B9" w:rsidP="004A13B9" w:rsidRDefault="004A13B9" w14:paraId="5ED15C71" w14:textId="77777777">
            <w:pPr>
              <w:keepNext/>
              <w:keepLines/>
              <w:jc w:val="center"/>
              <w:rPr>
                <w:rStyle w:val="Footer1"/>
                <w:color w:val="000000"/>
                <w:sz w:val="22"/>
                <w:szCs w:val="22"/>
              </w:rPr>
            </w:pPr>
            <w:r w:rsidRPr="00B14CAF">
              <w:rPr>
                <w:rStyle w:val="Footer1"/>
                <w:color w:val="000000"/>
                <w:sz w:val="22"/>
                <w:szCs w:val="22"/>
              </w:rPr>
              <w:t>$46.27</w:t>
            </w:r>
          </w:p>
          <w:p w:rsidRPr="00B14CAF" w:rsidR="004A13B9" w:rsidP="004A13B9" w:rsidRDefault="004A13B9" w14:paraId="20D44560" w14:textId="77777777">
            <w:pPr>
              <w:keepNext/>
              <w:keepLines/>
              <w:jc w:val="center"/>
              <w:rPr>
                <w:rStyle w:val="Footer1"/>
                <w:color w:val="000000"/>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Pr>
          <w:p w:rsidRPr="00B14CAF" w:rsidR="004A13B9" w:rsidP="004A13B9" w:rsidRDefault="00E24E14" w14:paraId="0A76440D" w14:textId="5B591705">
            <w:pPr>
              <w:keepNext/>
              <w:keepLines/>
              <w:jc w:val="center"/>
              <w:rPr>
                <w:rStyle w:val="Footer1"/>
                <w:color w:val="000000"/>
                <w:sz w:val="22"/>
                <w:szCs w:val="22"/>
              </w:rPr>
            </w:pPr>
            <w:r>
              <w:rPr>
                <w:rStyle w:val="Footer1"/>
                <w:color w:val="000000"/>
                <w:sz w:val="22"/>
                <w:szCs w:val="22"/>
              </w:rPr>
              <w:t>$7,865</w:t>
            </w:r>
          </w:p>
        </w:tc>
      </w:tr>
      <w:tr w:rsidRPr="00B14CAF" w:rsidR="004A13B9" w:rsidTr="004A13B9" w14:paraId="74D13446" w14:textId="77777777">
        <w:trPr>
          <w:cantSplit/>
          <w:trHeight w:val="588"/>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500C2B" w:rsidR="004A13B9" w:rsidP="004A13B9" w:rsidRDefault="004A13B9" w14:paraId="612550A9" w14:textId="77777777">
            <w:pPr>
              <w:keepNext/>
              <w:keepLines/>
              <w:rPr>
                <w:color w:val="000000"/>
                <w:sz w:val="22"/>
                <w:szCs w:val="22"/>
              </w:rPr>
            </w:pPr>
            <w:r w:rsidRPr="00500C2B">
              <w:rPr>
                <w:color w:val="000000"/>
                <w:sz w:val="22"/>
                <w:szCs w:val="22"/>
              </w:rPr>
              <w:t>Teachers</w:t>
            </w:r>
          </w:p>
        </w:tc>
        <w:tc>
          <w:tcPr>
            <w:tcW w:w="1897"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6F944E04" w14:textId="5A6B5D16">
            <w:pPr>
              <w:keepNext/>
              <w:keepLines/>
              <w:rPr>
                <w:sz w:val="22"/>
                <w:szCs w:val="22"/>
              </w:rPr>
            </w:pPr>
            <w:r w:rsidRPr="00B14CAF">
              <w:rPr>
                <w:sz w:val="22"/>
                <w:szCs w:val="22"/>
              </w:rPr>
              <w:t xml:space="preserve">Data Collection Checklist for the </w:t>
            </w:r>
            <w:r>
              <w:rPr>
                <w:sz w:val="22"/>
                <w:szCs w:val="22"/>
              </w:rPr>
              <w:t xml:space="preserve">Adolescent Behaviors and Experiences </w:t>
            </w:r>
            <w:r w:rsidRPr="00B14CAF">
              <w:rPr>
                <w:sz w:val="22"/>
                <w:szCs w:val="22"/>
              </w:rPr>
              <w:t>Survey</w:t>
            </w:r>
          </w:p>
        </w:tc>
        <w:tc>
          <w:tcPr>
            <w:tcW w:w="1343" w:type="dxa"/>
            <w:tcBorders>
              <w:top w:val="single" w:color="auto" w:sz="4" w:space="0"/>
              <w:left w:val="single" w:color="auto" w:sz="4" w:space="0"/>
              <w:bottom w:val="single" w:color="auto" w:sz="4" w:space="0"/>
              <w:right w:val="single" w:color="auto" w:sz="4" w:space="0"/>
            </w:tcBorders>
          </w:tcPr>
          <w:p w:rsidRPr="00B14CAF" w:rsidR="004A13B9" w:rsidP="004A13B9" w:rsidRDefault="00B53CCC" w14:paraId="2781DB80" w14:textId="5155F0C1">
            <w:pPr>
              <w:keepNext/>
              <w:keepLines/>
              <w:jc w:val="center"/>
              <w:rPr>
                <w:sz w:val="22"/>
                <w:szCs w:val="22"/>
              </w:rPr>
            </w:pPr>
            <w:r>
              <w:t>600</w:t>
            </w:r>
          </w:p>
        </w:tc>
        <w:tc>
          <w:tcPr>
            <w:tcW w:w="1260"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3BCE94A4" w14:textId="77777777">
            <w:pPr>
              <w:keepNext/>
              <w:keepLines/>
              <w:jc w:val="center"/>
              <w:rPr>
                <w:sz w:val="22"/>
                <w:szCs w:val="22"/>
              </w:rPr>
            </w:pPr>
            <w:r w:rsidRPr="00B14CAF">
              <w:rPr>
                <w:sz w:val="22"/>
                <w:szCs w:val="22"/>
              </w:rPr>
              <w:t>1</w:t>
            </w:r>
          </w:p>
        </w:tc>
        <w:tc>
          <w:tcPr>
            <w:tcW w:w="1080"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7F293AEE" w14:textId="77777777">
            <w:pPr>
              <w:keepNext/>
              <w:keepLines/>
              <w:jc w:val="center"/>
              <w:rPr>
                <w:sz w:val="22"/>
                <w:szCs w:val="22"/>
              </w:rPr>
            </w:pPr>
            <w:r w:rsidRPr="00B14CAF">
              <w:rPr>
                <w:sz w:val="22"/>
                <w:szCs w:val="22"/>
              </w:rPr>
              <w:t>15/60</w:t>
            </w:r>
          </w:p>
        </w:tc>
        <w:tc>
          <w:tcPr>
            <w:tcW w:w="900" w:type="dxa"/>
            <w:tcBorders>
              <w:top w:val="single" w:color="auto" w:sz="4" w:space="0"/>
              <w:left w:val="single" w:color="auto" w:sz="4" w:space="0"/>
              <w:bottom w:val="single" w:color="auto" w:sz="4" w:space="0"/>
              <w:right w:val="single" w:color="auto" w:sz="4" w:space="0"/>
            </w:tcBorders>
          </w:tcPr>
          <w:p w:rsidRPr="00B14CAF" w:rsidR="004A13B9" w:rsidP="004A13B9" w:rsidRDefault="00B53CCC" w14:paraId="6BC6B71E" w14:textId="6901FBF2">
            <w:pPr>
              <w:keepNext/>
              <w:keepLines/>
              <w:jc w:val="center"/>
              <w:rPr>
                <w:rStyle w:val="Footer1"/>
                <w:color w:val="000000"/>
                <w:sz w:val="22"/>
                <w:szCs w:val="22"/>
              </w:rPr>
            </w:pPr>
            <w:r>
              <w:t>150</w:t>
            </w:r>
          </w:p>
        </w:tc>
        <w:tc>
          <w:tcPr>
            <w:tcW w:w="810" w:type="dxa"/>
            <w:tcBorders>
              <w:top w:val="single" w:color="000000" w:sz="6" w:space="0"/>
              <w:left w:val="single" w:color="000000" w:sz="6" w:space="0"/>
              <w:bottom w:val="single" w:color="000000" w:sz="6" w:space="0"/>
              <w:right w:val="single" w:color="000000" w:sz="6" w:space="0"/>
            </w:tcBorders>
            <w:shd w:val="clear" w:color="auto" w:fill="auto"/>
          </w:tcPr>
          <w:p w:rsidRPr="00B14CAF" w:rsidR="004A13B9" w:rsidP="004A13B9" w:rsidRDefault="004A13B9" w14:paraId="416BE113" w14:textId="77777777">
            <w:pPr>
              <w:keepNext/>
              <w:keepLines/>
              <w:jc w:val="center"/>
              <w:rPr>
                <w:rStyle w:val="Footer1"/>
                <w:color w:val="000000"/>
                <w:sz w:val="22"/>
                <w:szCs w:val="22"/>
              </w:rPr>
            </w:pPr>
            <w:r w:rsidRPr="00B14CAF">
              <w:rPr>
                <w:rStyle w:val="Footer1"/>
                <w:color w:val="000000"/>
                <w:sz w:val="22"/>
                <w:szCs w:val="22"/>
              </w:rPr>
              <w:t>$31.23</w:t>
            </w:r>
          </w:p>
          <w:p w:rsidRPr="00B14CAF" w:rsidR="004A13B9" w:rsidP="004A13B9" w:rsidRDefault="004A13B9" w14:paraId="62A67463" w14:textId="77777777">
            <w:pPr>
              <w:keepNext/>
              <w:keepLines/>
              <w:jc w:val="center"/>
              <w:rPr>
                <w:rStyle w:val="Footer1"/>
                <w:color w:val="000000"/>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Pr>
          <w:p w:rsidRPr="00B14CAF" w:rsidR="004A13B9" w:rsidP="004A13B9" w:rsidRDefault="006E6AAE" w14:paraId="26CBD5AE" w14:textId="0C2B58F8">
            <w:pPr>
              <w:keepNext/>
              <w:keepLines/>
              <w:jc w:val="center"/>
              <w:rPr>
                <w:rStyle w:val="Footer1"/>
                <w:color w:val="000000"/>
                <w:sz w:val="22"/>
                <w:szCs w:val="22"/>
              </w:rPr>
            </w:pPr>
            <w:r>
              <w:rPr>
                <w:rStyle w:val="Footer1"/>
                <w:color w:val="000000"/>
                <w:sz w:val="22"/>
                <w:szCs w:val="22"/>
              </w:rPr>
              <w:t>$</w:t>
            </w:r>
            <w:r w:rsidR="00B53CCC">
              <w:rPr>
                <w:rStyle w:val="Footer1"/>
                <w:color w:val="000000"/>
                <w:sz w:val="22"/>
                <w:szCs w:val="22"/>
              </w:rPr>
              <w:t>4,685</w:t>
            </w:r>
          </w:p>
        </w:tc>
      </w:tr>
      <w:tr w:rsidRPr="00B14CAF" w:rsidR="004A13B9" w:rsidTr="004A13B9" w14:paraId="46AB960A" w14:textId="77777777">
        <w:trPr>
          <w:cantSplit/>
          <w:trHeight w:val="588"/>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500C2B" w:rsidR="004A13B9" w:rsidP="004A13B9" w:rsidRDefault="004A13B9" w14:paraId="18CF46E3" w14:textId="77777777">
            <w:pPr>
              <w:keepNext/>
              <w:keepLines/>
              <w:rPr>
                <w:color w:val="000000"/>
                <w:sz w:val="22"/>
                <w:szCs w:val="22"/>
              </w:rPr>
            </w:pPr>
            <w:r w:rsidRPr="00500C2B">
              <w:rPr>
                <w:color w:val="000000"/>
                <w:sz w:val="22"/>
                <w:szCs w:val="22"/>
              </w:rPr>
              <w:t>Students</w:t>
            </w:r>
          </w:p>
        </w:tc>
        <w:tc>
          <w:tcPr>
            <w:tcW w:w="1897"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62DF23D7" w14:textId="7546370E">
            <w:pPr>
              <w:keepNext/>
              <w:keepLines/>
              <w:rPr>
                <w:sz w:val="22"/>
                <w:szCs w:val="22"/>
              </w:rPr>
            </w:pPr>
            <w:r>
              <w:rPr>
                <w:sz w:val="22"/>
                <w:szCs w:val="22"/>
              </w:rPr>
              <w:t>Adolescent</w:t>
            </w:r>
            <w:r w:rsidRPr="00B14CAF">
              <w:rPr>
                <w:sz w:val="22"/>
                <w:szCs w:val="22"/>
              </w:rPr>
              <w:t xml:space="preserve"> Behavior</w:t>
            </w:r>
            <w:r>
              <w:rPr>
                <w:sz w:val="22"/>
                <w:szCs w:val="22"/>
              </w:rPr>
              <w:t>s and Experiences</w:t>
            </w:r>
            <w:r w:rsidRPr="00B14CAF">
              <w:rPr>
                <w:sz w:val="22"/>
                <w:szCs w:val="22"/>
              </w:rPr>
              <w:t xml:space="preserve"> Survey</w:t>
            </w:r>
          </w:p>
        </w:tc>
        <w:tc>
          <w:tcPr>
            <w:tcW w:w="1343" w:type="dxa"/>
            <w:tcBorders>
              <w:top w:val="single" w:color="auto" w:sz="4" w:space="0"/>
              <w:left w:val="single" w:color="auto" w:sz="4" w:space="0"/>
              <w:bottom w:val="single" w:color="auto" w:sz="4" w:space="0"/>
              <w:right w:val="single" w:color="auto" w:sz="4" w:space="0"/>
            </w:tcBorders>
          </w:tcPr>
          <w:p w:rsidRPr="00B14CAF" w:rsidR="004A13B9" w:rsidP="004A13B9" w:rsidRDefault="00B53CCC" w14:paraId="2A27AF29" w14:textId="1B52B997">
            <w:pPr>
              <w:keepNext/>
              <w:keepLines/>
              <w:jc w:val="center"/>
              <w:rPr>
                <w:sz w:val="22"/>
                <w:szCs w:val="22"/>
              </w:rPr>
            </w:pPr>
            <w:r>
              <w:t>15,460</w:t>
            </w:r>
          </w:p>
        </w:tc>
        <w:tc>
          <w:tcPr>
            <w:tcW w:w="1260"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4F777BA1" w14:textId="77777777">
            <w:pPr>
              <w:keepNext/>
              <w:keepLines/>
              <w:jc w:val="center"/>
              <w:rPr>
                <w:sz w:val="22"/>
                <w:szCs w:val="22"/>
              </w:rPr>
            </w:pPr>
            <w:r w:rsidRPr="00B14CAF">
              <w:rPr>
                <w:sz w:val="22"/>
                <w:szCs w:val="22"/>
              </w:rPr>
              <w:t>1</w:t>
            </w:r>
          </w:p>
        </w:tc>
        <w:tc>
          <w:tcPr>
            <w:tcW w:w="1080" w:type="dxa"/>
            <w:tcBorders>
              <w:top w:val="single" w:color="000000" w:sz="6" w:space="0"/>
              <w:left w:val="single" w:color="000000" w:sz="6" w:space="0"/>
              <w:bottom w:val="single" w:color="000000" w:sz="6" w:space="0"/>
              <w:right w:val="single" w:color="000000" w:sz="6" w:space="0"/>
            </w:tcBorders>
          </w:tcPr>
          <w:p w:rsidRPr="00B14CAF" w:rsidR="004A13B9" w:rsidP="004A13B9" w:rsidRDefault="004A13B9" w14:paraId="35CEB11F" w14:textId="77777777">
            <w:pPr>
              <w:keepNext/>
              <w:keepLines/>
              <w:jc w:val="center"/>
              <w:rPr>
                <w:sz w:val="22"/>
                <w:szCs w:val="22"/>
              </w:rPr>
            </w:pPr>
            <w:r w:rsidRPr="00B14CAF">
              <w:rPr>
                <w:sz w:val="22"/>
                <w:szCs w:val="22"/>
              </w:rPr>
              <w:t>45/60</w:t>
            </w:r>
          </w:p>
        </w:tc>
        <w:tc>
          <w:tcPr>
            <w:tcW w:w="900" w:type="dxa"/>
            <w:tcBorders>
              <w:top w:val="single" w:color="auto" w:sz="4" w:space="0"/>
              <w:left w:val="single" w:color="auto" w:sz="4" w:space="0"/>
              <w:bottom w:val="single" w:color="auto" w:sz="4" w:space="0"/>
              <w:right w:val="single" w:color="auto" w:sz="4" w:space="0"/>
            </w:tcBorders>
          </w:tcPr>
          <w:p w:rsidRPr="00B14CAF" w:rsidR="004A13B9" w:rsidP="004A13B9" w:rsidRDefault="00B53CCC" w14:paraId="556DBFBD" w14:textId="4FA6946C">
            <w:pPr>
              <w:keepNext/>
              <w:keepLines/>
              <w:jc w:val="center"/>
              <w:rPr>
                <w:rStyle w:val="Footer1"/>
                <w:color w:val="000000"/>
                <w:sz w:val="22"/>
                <w:szCs w:val="22"/>
              </w:rPr>
            </w:pPr>
            <w:r>
              <w:t>11,595</w:t>
            </w:r>
          </w:p>
        </w:tc>
        <w:tc>
          <w:tcPr>
            <w:tcW w:w="810" w:type="dxa"/>
            <w:tcBorders>
              <w:top w:val="single" w:color="000000" w:sz="6" w:space="0"/>
              <w:left w:val="single" w:color="000000" w:sz="6" w:space="0"/>
              <w:bottom w:val="single" w:color="000000" w:sz="6" w:space="0"/>
              <w:right w:val="single" w:color="000000" w:sz="6" w:space="0"/>
            </w:tcBorders>
            <w:shd w:val="clear" w:color="auto" w:fill="auto"/>
          </w:tcPr>
          <w:p w:rsidRPr="00B14CAF" w:rsidR="004A13B9" w:rsidP="004A13B9" w:rsidRDefault="004A13B9" w14:paraId="6E618874" w14:textId="77777777">
            <w:pPr>
              <w:keepNext/>
              <w:keepLines/>
              <w:jc w:val="center"/>
              <w:rPr>
                <w:rStyle w:val="Footer1"/>
                <w:color w:val="000000"/>
                <w:sz w:val="22"/>
                <w:szCs w:val="22"/>
              </w:rPr>
            </w:pPr>
            <w:r w:rsidRPr="00B14CAF">
              <w:rPr>
                <w:rStyle w:val="Footer1"/>
                <w:color w:val="000000"/>
                <w:sz w:val="22"/>
                <w:szCs w:val="22"/>
              </w:rPr>
              <w:t>$4.25</w:t>
            </w:r>
          </w:p>
        </w:tc>
        <w:tc>
          <w:tcPr>
            <w:tcW w:w="1260" w:type="dxa"/>
            <w:tcBorders>
              <w:top w:val="single" w:color="000000" w:sz="6" w:space="0"/>
              <w:left w:val="single" w:color="000000" w:sz="6" w:space="0"/>
              <w:bottom w:val="single" w:color="000000" w:sz="6" w:space="0"/>
              <w:right w:val="single" w:color="000000" w:sz="6" w:space="0"/>
            </w:tcBorders>
            <w:shd w:val="clear" w:color="auto" w:fill="auto"/>
          </w:tcPr>
          <w:p w:rsidRPr="00B14CAF" w:rsidR="004A13B9" w:rsidP="004A13B9" w:rsidRDefault="006E6AAE" w14:paraId="1A04D6A7" w14:textId="4498C069">
            <w:pPr>
              <w:keepNext/>
              <w:keepLines/>
              <w:jc w:val="center"/>
              <w:rPr>
                <w:rStyle w:val="Footer1"/>
                <w:color w:val="000000"/>
                <w:sz w:val="22"/>
                <w:szCs w:val="22"/>
              </w:rPr>
            </w:pPr>
            <w:r>
              <w:rPr>
                <w:rStyle w:val="Footer1"/>
                <w:color w:val="000000"/>
                <w:sz w:val="22"/>
                <w:szCs w:val="22"/>
              </w:rPr>
              <w:t>$</w:t>
            </w:r>
            <w:r w:rsidR="00B53CCC">
              <w:rPr>
                <w:rStyle w:val="Footer1"/>
                <w:color w:val="000000"/>
                <w:sz w:val="22"/>
                <w:szCs w:val="22"/>
              </w:rPr>
              <w:t>49,279</w:t>
            </w:r>
          </w:p>
        </w:tc>
      </w:tr>
      <w:tr w:rsidRPr="00B14CAF" w:rsidR="00500C2B" w:rsidTr="00500C2B" w14:paraId="6518A86E" w14:textId="77777777">
        <w:trPr>
          <w:cantSplit/>
          <w:trHeight w:val="588"/>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4A13B9" w:rsidR="00500C2B" w:rsidP="00187C52" w:rsidRDefault="00500C2B" w14:paraId="3FA7E183" w14:textId="77777777">
            <w:pPr>
              <w:keepNext/>
              <w:keepLines/>
              <w:rPr>
                <w:b/>
                <w:bCs/>
                <w:color w:val="000000"/>
                <w:sz w:val="22"/>
                <w:szCs w:val="22"/>
              </w:rPr>
            </w:pPr>
            <w:r w:rsidRPr="004A13B9">
              <w:rPr>
                <w:b/>
                <w:bCs/>
                <w:color w:val="000000"/>
                <w:sz w:val="22"/>
                <w:szCs w:val="22"/>
              </w:rPr>
              <w:t xml:space="preserve">Total </w:t>
            </w:r>
          </w:p>
        </w:tc>
        <w:tc>
          <w:tcPr>
            <w:tcW w:w="1897"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500C2B" w:rsidR="00500C2B" w:rsidP="00187C52" w:rsidRDefault="00500C2B" w14:paraId="26833D4D" w14:textId="77777777">
            <w:pPr>
              <w:keepNext/>
              <w:keepLines/>
              <w:rPr>
                <w:sz w:val="22"/>
                <w:szCs w:val="22"/>
              </w:rPr>
            </w:pPr>
          </w:p>
        </w:tc>
        <w:tc>
          <w:tcPr>
            <w:tcW w:w="1343"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500C2B" w:rsidR="00500C2B" w:rsidP="00187C52" w:rsidRDefault="00500C2B" w14:paraId="13D37D3B" w14:textId="77777777">
            <w:pPr>
              <w:keepNext/>
              <w:keepLines/>
              <w:jc w:val="center"/>
              <w:rPr>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500C2B" w:rsidR="00500C2B" w:rsidP="00187C52" w:rsidRDefault="00500C2B" w14:paraId="3377F423" w14:textId="77777777">
            <w:pPr>
              <w:keepNext/>
              <w:keepLines/>
              <w:jc w:val="center"/>
              <w:rPr>
                <w:sz w:val="22"/>
                <w:szCs w:val="22"/>
              </w:rPr>
            </w:pPr>
          </w:p>
        </w:tc>
        <w:tc>
          <w:tcPr>
            <w:tcW w:w="108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500C2B" w:rsidR="00500C2B" w:rsidP="00187C52" w:rsidRDefault="00500C2B" w14:paraId="1BDDA2EE" w14:textId="77777777">
            <w:pPr>
              <w:keepNext/>
              <w:keepLines/>
              <w:jc w:val="center"/>
              <w:rPr>
                <w:sz w:val="22"/>
                <w:szCs w:val="22"/>
              </w:rPr>
            </w:pPr>
          </w:p>
        </w:tc>
        <w:tc>
          <w:tcPr>
            <w:tcW w:w="90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500C2B" w:rsidR="00500C2B" w:rsidP="00187C52" w:rsidRDefault="00500C2B" w14:paraId="20C0517D" w14:textId="77777777">
            <w:pPr>
              <w:keepNext/>
              <w:keepLines/>
              <w:jc w:val="center"/>
              <w:rPr>
                <w:color w:val="000000"/>
                <w:sz w:val="22"/>
                <w:szCs w:val="22"/>
              </w:rPr>
            </w:pPr>
          </w:p>
        </w:tc>
        <w:tc>
          <w:tcPr>
            <w:tcW w:w="810" w:type="dxa"/>
            <w:tcBorders>
              <w:top w:val="single" w:color="000000" w:sz="6" w:space="0"/>
              <w:left w:val="single" w:color="000000" w:sz="6" w:space="0"/>
              <w:bottom w:val="single" w:color="000000" w:sz="6" w:space="0"/>
              <w:right w:val="single" w:color="000000" w:sz="6" w:space="0"/>
            </w:tcBorders>
            <w:shd w:val="clear" w:color="auto" w:fill="auto"/>
          </w:tcPr>
          <w:p w:rsidRPr="00500C2B" w:rsidR="00500C2B" w:rsidP="00187C52" w:rsidRDefault="00500C2B" w14:paraId="0D02F7C3" w14:textId="77777777">
            <w:pPr>
              <w:keepNext/>
              <w:keepLines/>
              <w:jc w:val="center"/>
              <w:rPr>
                <w:color w:val="000000"/>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Pr>
          <w:p w:rsidRPr="00500C2B" w:rsidR="00500C2B" w:rsidP="00187C52" w:rsidRDefault="006E6AAE" w14:paraId="45E7B507" w14:textId="331A596E">
            <w:pPr>
              <w:keepNext/>
              <w:keepLines/>
              <w:jc w:val="center"/>
              <w:rPr>
                <w:color w:val="000000"/>
                <w:sz w:val="22"/>
                <w:szCs w:val="22"/>
              </w:rPr>
            </w:pPr>
            <w:r>
              <w:rPr>
                <w:color w:val="000000"/>
                <w:sz w:val="22"/>
                <w:szCs w:val="22"/>
              </w:rPr>
              <w:t>$</w:t>
            </w:r>
            <w:r w:rsidR="00B53CCC">
              <w:rPr>
                <w:color w:val="000000"/>
                <w:sz w:val="22"/>
                <w:szCs w:val="22"/>
              </w:rPr>
              <w:t>67,988</w:t>
            </w:r>
          </w:p>
        </w:tc>
      </w:tr>
      <w:tr w:rsidRPr="00B14CAF" w:rsidR="00773E93" w:rsidTr="00B14CAF" w14:paraId="585E91DE" w14:textId="77777777">
        <w:trPr>
          <w:cantSplit/>
          <w:trHeight w:val="588"/>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B14CAF" w:rsidR="00773E93" w:rsidP="0097554E" w:rsidRDefault="00773E93" w14:paraId="60747438" w14:textId="77777777">
            <w:pPr>
              <w:keepNext/>
              <w:keepLines/>
              <w:rPr>
                <w:rStyle w:val="Footer1"/>
                <w:color w:val="000000"/>
                <w:sz w:val="22"/>
                <w:szCs w:val="22"/>
              </w:rPr>
            </w:pPr>
            <w:r w:rsidRPr="00B14CAF">
              <w:rPr>
                <w:rStyle w:val="Footer1"/>
                <w:color w:val="000000"/>
                <w:sz w:val="22"/>
                <w:szCs w:val="22"/>
              </w:rPr>
              <w:t xml:space="preserve">Type of Respondent </w:t>
            </w:r>
          </w:p>
        </w:tc>
        <w:tc>
          <w:tcPr>
            <w:tcW w:w="1897" w:type="dxa"/>
            <w:tcBorders>
              <w:top w:val="single" w:color="000000" w:sz="6" w:space="0"/>
              <w:left w:val="single" w:color="000000" w:sz="6" w:space="0"/>
              <w:bottom w:val="single" w:color="000000" w:sz="6" w:space="0"/>
              <w:right w:val="single" w:color="000000" w:sz="6" w:space="0"/>
            </w:tcBorders>
          </w:tcPr>
          <w:p w:rsidRPr="00B14CAF" w:rsidR="00773E93" w:rsidP="0097554E" w:rsidRDefault="00773E93" w14:paraId="6E9B82B3" w14:textId="77777777">
            <w:pPr>
              <w:keepNext/>
              <w:keepLines/>
              <w:rPr>
                <w:sz w:val="22"/>
                <w:szCs w:val="22"/>
              </w:rPr>
            </w:pPr>
            <w:r w:rsidRPr="00B14CAF">
              <w:rPr>
                <w:sz w:val="22"/>
                <w:szCs w:val="22"/>
              </w:rPr>
              <w:t>Form Name</w:t>
            </w:r>
          </w:p>
        </w:tc>
        <w:tc>
          <w:tcPr>
            <w:tcW w:w="1343" w:type="dxa"/>
            <w:tcBorders>
              <w:top w:val="single" w:color="000000" w:sz="6" w:space="0"/>
              <w:left w:val="single" w:color="000000" w:sz="6" w:space="0"/>
              <w:bottom w:val="single" w:color="000000" w:sz="6" w:space="0"/>
              <w:right w:val="single" w:color="000000" w:sz="6" w:space="0"/>
            </w:tcBorders>
          </w:tcPr>
          <w:p w:rsidRPr="00B14CAF" w:rsidR="00773E93" w:rsidP="00B14CAF" w:rsidRDefault="00773E93" w14:paraId="5EF1FE9E" w14:textId="77777777">
            <w:pPr>
              <w:keepNext/>
              <w:keepLines/>
              <w:jc w:val="center"/>
              <w:rPr>
                <w:sz w:val="22"/>
                <w:szCs w:val="22"/>
              </w:rPr>
            </w:pPr>
            <w:r w:rsidRPr="00B14CAF">
              <w:rPr>
                <w:sz w:val="22"/>
                <w:szCs w:val="22"/>
              </w:rPr>
              <w:t>No. of Respondents</w:t>
            </w:r>
          </w:p>
        </w:tc>
        <w:tc>
          <w:tcPr>
            <w:tcW w:w="1260" w:type="dxa"/>
            <w:tcBorders>
              <w:top w:val="single" w:color="000000" w:sz="6" w:space="0"/>
              <w:left w:val="single" w:color="000000" w:sz="6" w:space="0"/>
              <w:bottom w:val="single" w:color="000000" w:sz="6" w:space="0"/>
              <w:right w:val="single" w:color="000000" w:sz="6" w:space="0"/>
            </w:tcBorders>
          </w:tcPr>
          <w:p w:rsidRPr="00B14CAF" w:rsidR="00773E93" w:rsidP="00B14CAF" w:rsidRDefault="00773E93" w14:paraId="04C1DB54" w14:textId="77777777">
            <w:pPr>
              <w:keepNext/>
              <w:keepLines/>
              <w:jc w:val="center"/>
              <w:rPr>
                <w:sz w:val="22"/>
                <w:szCs w:val="22"/>
              </w:rPr>
            </w:pPr>
            <w:r w:rsidRPr="00B14CAF">
              <w:rPr>
                <w:sz w:val="22"/>
                <w:szCs w:val="22"/>
              </w:rPr>
              <w:t>No. of Responses per Respondent</w:t>
            </w:r>
          </w:p>
        </w:tc>
        <w:tc>
          <w:tcPr>
            <w:tcW w:w="1080" w:type="dxa"/>
            <w:tcBorders>
              <w:top w:val="single" w:color="000000" w:sz="6" w:space="0"/>
              <w:left w:val="single" w:color="000000" w:sz="6" w:space="0"/>
              <w:bottom w:val="single" w:color="000000" w:sz="6" w:space="0"/>
              <w:right w:val="single" w:color="000000" w:sz="6" w:space="0"/>
            </w:tcBorders>
          </w:tcPr>
          <w:p w:rsidRPr="00B14CAF" w:rsidR="00773E93" w:rsidP="00B14CAF" w:rsidRDefault="00773E93" w14:paraId="1C07D685" w14:textId="77777777">
            <w:pPr>
              <w:keepNext/>
              <w:keepLines/>
              <w:jc w:val="center"/>
              <w:rPr>
                <w:sz w:val="22"/>
                <w:szCs w:val="22"/>
              </w:rPr>
            </w:pPr>
            <w:r w:rsidRPr="00B14CAF">
              <w:rPr>
                <w:sz w:val="22"/>
                <w:szCs w:val="22"/>
              </w:rPr>
              <w:t>Average Burden Per Response (In Hours)</w:t>
            </w:r>
          </w:p>
        </w:tc>
        <w:tc>
          <w:tcPr>
            <w:tcW w:w="900" w:type="dxa"/>
            <w:tcBorders>
              <w:top w:val="single" w:color="000000" w:sz="6" w:space="0"/>
              <w:left w:val="single" w:color="000000" w:sz="6" w:space="0"/>
              <w:bottom w:val="single" w:color="000000" w:sz="6" w:space="0"/>
              <w:right w:val="single" w:color="000000" w:sz="6" w:space="0"/>
            </w:tcBorders>
          </w:tcPr>
          <w:p w:rsidRPr="00B14CAF" w:rsidR="00773E93" w:rsidP="00B14CAF" w:rsidRDefault="00773E93" w14:paraId="682432F9" w14:textId="62C5B37A">
            <w:pPr>
              <w:keepNext/>
              <w:keepLines/>
              <w:jc w:val="center"/>
              <w:rPr>
                <w:rStyle w:val="Footer1"/>
                <w:color w:val="000000"/>
                <w:sz w:val="22"/>
                <w:szCs w:val="22"/>
              </w:rPr>
            </w:pPr>
            <w:r w:rsidRPr="00B14CAF">
              <w:rPr>
                <w:rStyle w:val="Footer1"/>
                <w:color w:val="000000"/>
                <w:sz w:val="22"/>
                <w:szCs w:val="22"/>
              </w:rPr>
              <w:t>Total Burden Hours</w:t>
            </w:r>
          </w:p>
        </w:tc>
        <w:tc>
          <w:tcPr>
            <w:tcW w:w="810" w:type="dxa"/>
            <w:tcBorders>
              <w:top w:val="single" w:color="000000" w:sz="6" w:space="0"/>
              <w:left w:val="single" w:color="000000" w:sz="6" w:space="0"/>
              <w:bottom w:val="single" w:color="000000" w:sz="6" w:space="0"/>
              <w:right w:val="single" w:color="000000" w:sz="6" w:space="0"/>
            </w:tcBorders>
            <w:shd w:val="clear" w:color="auto" w:fill="auto"/>
          </w:tcPr>
          <w:p w:rsidRPr="00B14CAF" w:rsidR="00773E93" w:rsidP="00B14CAF" w:rsidRDefault="00773E93" w14:paraId="73BD7E36" w14:textId="67BD66F8">
            <w:pPr>
              <w:keepNext/>
              <w:keepLines/>
              <w:jc w:val="center"/>
              <w:rPr>
                <w:rStyle w:val="Footer1"/>
                <w:color w:val="000000"/>
                <w:sz w:val="22"/>
                <w:szCs w:val="22"/>
              </w:rPr>
            </w:pPr>
            <w:r w:rsidRPr="00B14CAF">
              <w:rPr>
                <w:rStyle w:val="Footer1"/>
                <w:color w:val="000000"/>
                <w:sz w:val="22"/>
                <w:szCs w:val="22"/>
              </w:rPr>
              <w:t>Hourly Wage Rate</w:t>
            </w:r>
          </w:p>
        </w:tc>
        <w:tc>
          <w:tcPr>
            <w:tcW w:w="1260" w:type="dxa"/>
            <w:tcBorders>
              <w:top w:val="single" w:color="000000" w:sz="6" w:space="0"/>
              <w:left w:val="single" w:color="000000" w:sz="6" w:space="0"/>
              <w:bottom w:val="single" w:color="000000" w:sz="6" w:space="0"/>
              <w:right w:val="single" w:color="000000" w:sz="6" w:space="0"/>
            </w:tcBorders>
            <w:shd w:val="clear" w:color="auto" w:fill="auto"/>
          </w:tcPr>
          <w:p w:rsidRPr="00B14CAF" w:rsidR="00773E93" w:rsidP="00B14CAF" w:rsidRDefault="00773E93" w14:paraId="479FCBE9" w14:textId="77777777">
            <w:pPr>
              <w:keepNext/>
              <w:keepLines/>
              <w:jc w:val="center"/>
              <w:rPr>
                <w:rStyle w:val="Footer1"/>
                <w:color w:val="000000"/>
                <w:sz w:val="22"/>
                <w:szCs w:val="22"/>
              </w:rPr>
            </w:pPr>
            <w:r w:rsidRPr="00B14CAF">
              <w:rPr>
                <w:rStyle w:val="Footer1"/>
                <w:color w:val="000000"/>
                <w:sz w:val="22"/>
                <w:szCs w:val="22"/>
              </w:rPr>
              <w:t>Total Respondent Costs</w:t>
            </w:r>
          </w:p>
        </w:tc>
      </w:tr>
      <w:tr w:rsidRPr="00B14CAF" w:rsidR="00773E93" w:rsidTr="00B14CAF" w14:paraId="6E58ADDF" w14:textId="77777777">
        <w:trPr>
          <w:cantSplit/>
          <w:trHeight w:val="462"/>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B14CAF" w:rsidR="00773E93" w:rsidP="00773E93" w:rsidRDefault="00773E93" w14:paraId="3F0EE4E3" w14:textId="77777777">
            <w:pPr>
              <w:keepNext/>
              <w:keepLines/>
              <w:rPr>
                <w:sz w:val="22"/>
                <w:szCs w:val="22"/>
              </w:rPr>
            </w:pPr>
            <w:bookmarkStart w:name="_Hlk195064554" w:id="14"/>
            <w:r w:rsidRPr="00B14CAF">
              <w:rPr>
                <w:sz w:val="22"/>
                <w:szCs w:val="22"/>
              </w:rPr>
              <w:t>State Administrators</w:t>
            </w:r>
          </w:p>
        </w:tc>
        <w:tc>
          <w:tcPr>
            <w:tcW w:w="1897"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396FC03E" w14:textId="77777777">
            <w:pPr>
              <w:keepNext/>
              <w:keepLines/>
              <w:rPr>
                <w:sz w:val="22"/>
                <w:szCs w:val="22"/>
              </w:rPr>
            </w:pPr>
            <w:r w:rsidRPr="00B14CAF">
              <w:rPr>
                <w:sz w:val="22"/>
                <w:szCs w:val="22"/>
              </w:rPr>
              <w:t xml:space="preserve">State-level Recruitment Script for the Youth Risk Behavior Survey </w:t>
            </w:r>
          </w:p>
        </w:tc>
        <w:tc>
          <w:tcPr>
            <w:tcW w:w="1343"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0F2ED3F5" w14:textId="77777777">
            <w:pPr>
              <w:keepNext/>
              <w:keepLines/>
              <w:jc w:val="center"/>
              <w:rPr>
                <w:sz w:val="22"/>
                <w:szCs w:val="22"/>
              </w:rPr>
            </w:pPr>
            <w:r w:rsidRPr="00B14CAF">
              <w:rPr>
                <w:sz w:val="22"/>
                <w:szCs w:val="22"/>
              </w:rPr>
              <w:t>17</w:t>
            </w:r>
          </w:p>
        </w:tc>
        <w:tc>
          <w:tcPr>
            <w:tcW w:w="1260"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128611C8" w14:textId="77777777">
            <w:pPr>
              <w:keepNext/>
              <w:keepLines/>
              <w:jc w:val="center"/>
              <w:rPr>
                <w:sz w:val="22"/>
                <w:szCs w:val="22"/>
              </w:rPr>
            </w:pPr>
            <w:r w:rsidRPr="00B14CAF">
              <w:rPr>
                <w:sz w:val="22"/>
                <w:szCs w:val="22"/>
              </w:rPr>
              <w:t>1</w:t>
            </w:r>
          </w:p>
        </w:tc>
        <w:tc>
          <w:tcPr>
            <w:tcW w:w="1080"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3C64ECD7" w14:textId="77777777">
            <w:pPr>
              <w:keepNext/>
              <w:keepLines/>
              <w:jc w:val="center"/>
              <w:rPr>
                <w:sz w:val="22"/>
                <w:szCs w:val="22"/>
              </w:rPr>
            </w:pPr>
            <w:r w:rsidRPr="00B14CAF">
              <w:rPr>
                <w:sz w:val="22"/>
                <w:szCs w:val="22"/>
              </w:rPr>
              <w:t>30/60</w:t>
            </w:r>
          </w:p>
        </w:tc>
        <w:tc>
          <w:tcPr>
            <w:tcW w:w="900" w:type="dxa"/>
            <w:shd w:val="clear" w:color="auto" w:fill="FFFFFF"/>
          </w:tcPr>
          <w:p w:rsidRPr="00B14CAF" w:rsidR="00773E93" w:rsidP="00773E93" w:rsidRDefault="00773E93" w14:paraId="3F017E4F" w14:textId="0823DD18">
            <w:pPr>
              <w:keepNext/>
              <w:keepLines/>
              <w:jc w:val="center"/>
              <w:rPr>
                <w:rStyle w:val="Footer1"/>
                <w:color w:val="000000"/>
                <w:sz w:val="22"/>
                <w:szCs w:val="22"/>
              </w:rPr>
            </w:pPr>
            <w:r w:rsidRPr="00B14CAF">
              <w:rPr>
                <w:sz w:val="22"/>
                <w:szCs w:val="22"/>
              </w:rPr>
              <w:t>9</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Pr>
          <w:p w:rsidRPr="00B14CAF" w:rsidR="00773E93" w:rsidP="00773E93" w:rsidRDefault="00773E93" w14:paraId="06DEBD04" w14:textId="4FC47676">
            <w:pPr>
              <w:keepNext/>
              <w:keepLines/>
              <w:jc w:val="center"/>
              <w:rPr>
                <w:rStyle w:val="Footer1"/>
                <w:color w:val="000000"/>
                <w:sz w:val="22"/>
                <w:szCs w:val="22"/>
              </w:rPr>
            </w:pPr>
            <w:r w:rsidRPr="00B14CAF">
              <w:rPr>
                <w:rStyle w:val="Footer1"/>
                <w:color w:val="000000"/>
                <w:sz w:val="22"/>
                <w:szCs w:val="22"/>
              </w:rPr>
              <w:t>$43.06</w:t>
            </w:r>
          </w:p>
          <w:p w:rsidRPr="00B14CAF" w:rsidR="00773E93" w:rsidP="00773E93" w:rsidRDefault="00773E93" w14:paraId="2A05EBD1" w14:textId="13345C9D">
            <w:pPr>
              <w:keepNext/>
              <w:keepLines/>
              <w:jc w:val="center"/>
              <w:rPr>
                <w:rStyle w:val="Footer1"/>
                <w:color w:val="000000"/>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FFFFFF"/>
          </w:tcPr>
          <w:p w:rsidRPr="00B14CAF" w:rsidR="00773E93" w:rsidP="00773E93" w:rsidRDefault="00773E93" w14:paraId="36838381" w14:textId="541D9808">
            <w:pPr>
              <w:keepNext/>
              <w:keepLines/>
              <w:jc w:val="center"/>
              <w:rPr>
                <w:rStyle w:val="Footer1"/>
                <w:color w:val="000000"/>
                <w:sz w:val="22"/>
                <w:szCs w:val="22"/>
              </w:rPr>
            </w:pPr>
            <w:r w:rsidRPr="00B14CAF">
              <w:rPr>
                <w:rStyle w:val="Footer1"/>
                <w:color w:val="000000"/>
                <w:sz w:val="22"/>
                <w:szCs w:val="22"/>
              </w:rPr>
              <w:t>$366</w:t>
            </w:r>
          </w:p>
        </w:tc>
      </w:tr>
      <w:tr w:rsidRPr="00B14CAF" w:rsidR="00773E93" w:rsidTr="00B14CAF" w14:paraId="3FCDADB6" w14:textId="77777777">
        <w:trPr>
          <w:cantSplit/>
          <w:trHeight w:val="462"/>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B14CAF" w:rsidR="00773E93" w:rsidP="00773E93" w:rsidRDefault="00773E93" w14:paraId="5B134530" w14:textId="77777777">
            <w:pPr>
              <w:keepNext/>
              <w:keepLines/>
              <w:rPr>
                <w:sz w:val="22"/>
                <w:szCs w:val="22"/>
              </w:rPr>
            </w:pPr>
            <w:r w:rsidRPr="00B14CAF">
              <w:rPr>
                <w:sz w:val="22"/>
                <w:szCs w:val="22"/>
              </w:rPr>
              <w:t>District Administrators</w:t>
            </w:r>
          </w:p>
        </w:tc>
        <w:tc>
          <w:tcPr>
            <w:tcW w:w="1897"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0D5221F9" w14:textId="77777777">
            <w:pPr>
              <w:keepNext/>
              <w:keepLines/>
              <w:rPr>
                <w:sz w:val="22"/>
                <w:szCs w:val="22"/>
              </w:rPr>
            </w:pPr>
            <w:r w:rsidRPr="00B14CAF">
              <w:rPr>
                <w:sz w:val="22"/>
                <w:szCs w:val="22"/>
              </w:rPr>
              <w:t>District-level Recruitment Script for the Youth Risk Behavior Survey</w:t>
            </w:r>
          </w:p>
        </w:tc>
        <w:tc>
          <w:tcPr>
            <w:tcW w:w="1343"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22EE17A3" w14:textId="77777777">
            <w:pPr>
              <w:keepNext/>
              <w:keepLines/>
              <w:jc w:val="center"/>
              <w:rPr>
                <w:sz w:val="22"/>
                <w:szCs w:val="22"/>
              </w:rPr>
            </w:pPr>
            <w:r w:rsidRPr="00B14CAF">
              <w:rPr>
                <w:sz w:val="22"/>
                <w:szCs w:val="22"/>
              </w:rPr>
              <w:t>80</w:t>
            </w:r>
          </w:p>
        </w:tc>
        <w:tc>
          <w:tcPr>
            <w:tcW w:w="1260"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230D9B50" w14:textId="77777777">
            <w:pPr>
              <w:keepNext/>
              <w:keepLines/>
              <w:jc w:val="center"/>
              <w:rPr>
                <w:sz w:val="22"/>
                <w:szCs w:val="22"/>
              </w:rPr>
            </w:pPr>
            <w:r w:rsidRPr="00B14CAF">
              <w:rPr>
                <w:sz w:val="22"/>
                <w:szCs w:val="22"/>
              </w:rPr>
              <w:t>1</w:t>
            </w:r>
          </w:p>
        </w:tc>
        <w:tc>
          <w:tcPr>
            <w:tcW w:w="1080"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5C0C1065" w14:textId="77777777">
            <w:pPr>
              <w:keepNext/>
              <w:keepLines/>
              <w:jc w:val="center"/>
              <w:rPr>
                <w:sz w:val="22"/>
                <w:szCs w:val="22"/>
              </w:rPr>
            </w:pPr>
            <w:r w:rsidRPr="00B14CAF">
              <w:rPr>
                <w:sz w:val="22"/>
                <w:szCs w:val="22"/>
              </w:rPr>
              <w:t>30/60</w:t>
            </w:r>
          </w:p>
        </w:tc>
        <w:tc>
          <w:tcPr>
            <w:tcW w:w="900" w:type="dxa"/>
            <w:shd w:val="clear" w:color="auto" w:fill="FFFFFF"/>
          </w:tcPr>
          <w:p w:rsidRPr="00B14CAF" w:rsidR="00773E93" w:rsidP="00773E93" w:rsidRDefault="00773E93" w14:paraId="31711D8C" w14:textId="62E59891">
            <w:pPr>
              <w:keepNext/>
              <w:keepLines/>
              <w:jc w:val="center"/>
              <w:rPr>
                <w:rStyle w:val="Footer1"/>
                <w:color w:val="000000"/>
                <w:sz w:val="22"/>
                <w:szCs w:val="22"/>
              </w:rPr>
            </w:pPr>
            <w:r w:rsidRPr="00B14CAF">
              <w:rPr>
                <w:sz w:val="22"/>
                <w:szCs w:val="22"/>
              </w:rPr>
              <w:t>40</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Pr>
          <w:p w:rsidRPr="00B14CAF" w:rsidR="00773E93" w:rsidP="00773E93" w:rsidRDefault="00773E93" w14:paraId="55DDE5B5" w14:textId="375776B0">
            <w:pPr>
              <w:keepNext/>
              <w:keepLines/>
              <w:jc w:val="center"/>
              <w:rPr>
                <w:rStyle w:val="Footer1"/>
                <w:color w:val="000000"/>
                <w:sz w:val="22"/>
                <w:szCs w:val="22"/>
              </w:rPr>
            </w:pPr>
            <w:r w:rsidRPr="00B14CAF">
              <w:rPr>
                <w:rStyle w:val="Footer1"/>
                <w:color w:val="000000"/>
                <w:sz w:val="22"/>
                <w:szCs w:val="22"/>
              </w:rPr>
              <w:t>$47.94</w:t>
            </w:r>
          </w:p>
          <w:p w:rsidRPr="00B14CAF" w:rsidR="00773E93" w:rsidP="00773E93" w:rsidRDefault="00773E93" w14:paraId="3CC223A0" w14:textId="3BB395CF">
            <w:pPr>
              <w:keepNext/>
              <w:keepLines/>
              <w:jc w:val="center"/>
              <w:rPr>
                <w:rStyle w:val="Footer1"/>
                <w:color w:val="000000"/>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FFFFFF"/>
          </w:tcPr>
          <w:p w:rsidRPr="00B14CAF" w:rsidR="00773E93" w:rsidP="00773E93" w:rsidRDefault="00773E93" w14:paraId="138DBE64" w14:textId="4531355F">
            <w:pPr>
              <w:keepNext/>
              <w:keepLines/>
              <w:jc w:val="center"/>
              <w:rPr>
                <w:rStyle w:val="Footer1"/>
                <w:color w:val="000000"/>
                <w:sz w:val="22"/>
                <w:szCs w:val="22"/>
              </w:rPr>
            </w:pPr>
            <w:r w:rsidRPr="00B14CAF">
              <w:rPr>
                <w:rStyle w:val="Footer1"/>
                <w:color w:val="000000"/>
                <w:sz w:val="22"/>
                <w:szCs w:val="22"/>
              </w:rPr>
              <w:t>$1,918</w:t>
            </w:r>
          </w:p>
        </w:tc>
      </w:tr>
      <w:tr w:rsidRPr="00B14CAF" w:rsidR="00773E93" w:rsidTr="00B14CAF" w14:paraId="763BD9D0" w14:textId="77777777">
        <w:trPr>
          <w:cantSplit/>
          <w:trHeight w:val="462"/>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B14CAF" w:rsidR="00773E93" w:rsidP="00773E93" w:rsidRDefault="00773E93" w14:paraId="508DFF79" w14:textId="77777777">
            <w:pPr>
              <w:keepNext/>
              <w:keepLines/>
              <w:rPr>
                <w:sz w:val="22"/>
                <w:szCs w:val="22"/>
              </w:rPr>
            </w:pPr>
            <w:r w:rsidRPr="00B14CAF">
              <w:rPr>
                <w:sz w:val="22"/>
                <w:szCs w:val="22"/>
              </w:rPr>
              <w:lastRenderedPageBreak/>
              <w:t>School Administrators</w:t>
            </w:r>
          </w:p>
        </w:tc>
        <w:tc>
          <w:tcPr>
            <w:tcW w:w="1897"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728EB56C" w14:textId="77777777">
            <w:pPr>
              <w:keepNext/>
              <w:keepLines/>
              <w:rPr>
                <w:sz w:val="22"/>
                <w:szCs w:val="22"/>
              </w:rPr>
            </w:pPr>
            <w:r w:rsidRPr="00B14CAF">
              <w:rPr>
                <w:sz w:val="22"/>
                <w:szCs w:val="22"/>
              </w:rPr>
              <w:t>School-level Recruitment Script for the Youth Risk Behavior Survey</w:t>
            </w:r>
          </w:p>
        </w:tc>
        <w:tc>
          <w:tcPr>
            <w:tcW w:w="1343"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67D2E2B9" w14:textId="77777777">
            <w:pPr>
              <w:keepNext/>
              <w:keepLines/>
              <w:jc w:val="center"/>
              <w:rPr>
                <w:sz w:val="22"/>
                <w:szCs w:val="22"/>
              </w:rPr>
            </w:pPr>
            <w:r w:rsidRPr="00B14CAF">
              <w:rPr>
                <w:sz w:val="22"/>
                <w:szCs w:val="22"/>
              </w:rPr>
              <w:t>133</w:t>
            </w:r>
          </w:p>
        </w:tc>
        <w:tc>
          <w:tcPr>
            <w:tcW w:w="1260"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2050C207" w14:textId="77777777">
            <w:pPr>
              <w:keepNext/>
              <w:keepLines/>
              <w:jc w:val="center"/>
              <w:rPr>
                <w:sz w:val="22"/>
                <w:szCs w:val="22"/>
              </w:rPr>
            </w:pPr>
            <w:r w:rsidRPr="00B14CAF">
              <w:rPr>
                <w:sz w:val="22"/>
                <w:szCs w:val="22"/>
              </w:rPr>
              <w:t>1</w:t>
            </w:r>
          </w:p>
        </w:tc>
        <w:tc>
          <w:tcPr>
            <w:tcW w:w="1080"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553052D2" w14:textId="77777777">
            <w:pPr>
              <w:keepNext/>
              <w:keepLines/>
              <w:jc w:val="center"/>
              <w:rPr>
                <w:sz w:val="22"/>
                <w:szCs w:val="22"/>
              </w:rPr>
            </w:pPr>
            <w:r w:rsidRPr="00B14CAF">
              <w:rPr>
                <w:sz w:val="22"/>
                <w:szCs w:val="22"/>
              </w:rPr>
              <w:t>30/60</w:t>
            </w:r>
          </w:p>
        </w:tc>
        <w:tc>
          <w:tcPr>
            <w:tcW w:w="900" w:type="dxa"/>
            <w:shd w:val="clear" w:color="auto" w:fill="FFFFFF"/>
          </w:tcPr>
          <w:p w:rsidRPr="00B14CAF" w:rsidR="00773E93" w:rsidP="00773E93" w:rsidRDefault="00773E93" w14:paraId="71D4FCB3" w14:textId="1D1ACB05">
            <w:pPr>
              <w:keepNext/>
              <w:keepLines/>
              <w:jc w:val="center"/>
              <w:rPr>
                <w:rStyle w:val="Footer1"/>
                <w:color w:val="000000"/>
                <w:sz w:val="22"/>
                <w:szCs w:val="22"/>
              </w:rPr>
            </w:pPr>
            <w:r w:rsidRPr="00B14CAF">
              <w:rPr>
                <w:sz w:val="22"/>
                <w:szCs w:val="22"/>
              </w:rPr>
              <w:t>67</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Pr>
          <w:p w:rsidRPr="00B14CAF" w:rsidR="00773E93" w:rsidP="00773E93" w:rsidRDefault="00773E93" w14:paraId="39E618AF" w14:textId="5B875501">
            <w:pPr>
              <w:keepNext/>
              <w:keepLines/>
              <w:jc w:val="center"/>
              <w:rPr>
                <w:rStyle w:val="Footer1"/>
                <w:color w:val="000000"/>
                <w:sz w:val="22"/>
                <w:szCs w:val="22"/>
              </w:rPr>
            </w:pPr>
            <w:r w:rsidRPr="00B14CAF">
              <w:rPr>
                <w:rStyle w:val="Footer1"/>
                <w:color w:val="000000"/>
                <w:sz w:val="22"/>
                <w:szCs w:val="22"/>
              </w:rPr>
              <w:t>$46.27</w:t>
            </w:r>
          </w:p>
          <w:p w:rsidRPr="00B14CAF" w:rsidR="00773E93" w:rsidP="00773E93" w:rsidRDefault="00773E93" w14:paraId="4B4DB59C" w14:textId="1C7E184A">
            <w:pPr>
              <w:keepNext/>
              <w:keepLines/>
              <w:jc w:val="center"/>
              <w:rPr>
                <w:rStyle w:val="Footer1"/>
                <w:color w:val="000000"/>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FFFFFF"/>
          </w:tcPr>
          <w:p w:rsidRPr="00B14CAF" w:rsidR="00773E93" w:rsidP="00773E93" w:rsidRDefault="00773E93" w14:paraId="612226EA" w14:textId="6860A78D">
            <w:pPr>
              <w:keepNext/>
              <w:keepLines/>
              <w:jc w:val="center"/>
              <w:rPr>
                <w:rStyle w:val="Footer1"/>
                <w:color w:val="000000"/>
                <w:sz w:val="22"/>
                <w:szCs w:val="22"/>
              </w:rPr>
            </w:pPr>
            <w:r w:rsidRPr="00B14CAF">
              <w:rPr>
                <w:rStyle w:val="Footer1"/>
                <w:color w:val="000000"/>
                <w:sz w:val="22"/>
                <w:szCs w:val="22"/>
              </w:rPr>
              <w:t>$3,077</w:t>
            </w:r>
          </w:p>
        </w:tc>
      </w:tr>
      <w:bookmarkEnd w:id="14"/>
      <w:tr w:rsidRPr="00B14CAF" w:rsidR="00773E93" w:rsidTr="00B14CAF" w14:paraId="0AF58D20" w14:textId="77777777">
        <w:trPr>
          <w:cantSplit/>
          <w:trHeight w:val="462"/>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B14CAF" w:rsidR="00773E93" w:rsidP="00773E93" w:rsidRDefault="00773E93" w14:paraId="711FF599" w14:textId="77777777">
            <w:pPr>
              <w:keepNext/>
              <w:keepLines/>
              <w:rPr>
                <w:sz w:val="22"/>
                <w:szCs w:val="22"/>
              </w:rPr>
            </w:pPr>
            <w:r w:rsidRPr="00B14CAF">
              <w:rPr>
                <w:sz w:val="22"/>
                <w:szCs w:val="22"/>
              </w:rPr>
              <w:t>Teachers</w:t>
            </w:r>
          </w:p>
        </w:tc>
        <w:tc>
          <w:tcPr>
            <w:tcW w:w="1897"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721DE44B" w14:textId="77777777">
            <w:pPr>
              <w:keepNext/>
              <w:keepLines/>
              <w:rPr>
                <w:sz w:val="22"/>
                <w:szCs w:val="22"/>
              </w:rPr>
            </w:pPr>
            <w:r w:rsidRPr="00B14CAF">
              <w:rPr>
                <w:sz w:val="22"/>
                <w:szCs w:val="22"/>
              </w:rPr>
              <w:t>Data Collection Checklist for the Youth Risk Behavior Survey</w:t>
            </w:r>
          </w:p>
        </w:tc>
        <w:tc>
          <w:tcPr>
            <w:tcW w:w="1343" w:type="dxa"/>
            <w:tcBorders>
              <w:top w:val="single" w:color="000000" w:sz="6" w:space="0"/>
              <w:left w:val="single" w:color="000000" w:sz="6" w:space="0"/>
              <w:bottom w:val="single" w:color="000000" w:sz="6" w:space="0"/>
              <w:right w:val="single" w:color="000000" w:sz="6" w:space="0"/>
            </w:tcBorders>
          </w:tcPr>
          <w:p w:rsidRPr="00B14CAF" w:rsidR="00773E93" w:rsidP="00773E93" w:rsidRDefault="00B53CCC" w14:paraId="7FCBF8DE" w14:textId="3A244208">
            <w:pPr>
              <w:keepNext/>
              <w:keepLines/>
              <w:jc w:val="center"/>
              <w:rPr>
                <w:sz w:val="22"/>
                <w:szCs w:val="22"/>
              </w:rPr>
            </w:pPr>
            <w:r>
              <w:rPr>
                <w:sz w:val="22"/>
                <w:szCs w:val="22"/>
              </w:rPr>
              <w:t>640</w:t>
            </w:r>
          </w:p>
        </w:tc>
        <w:tc>
          <w:tcPr>
            <w:tcW w:w="1260"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4F1764F1" w14:textId="77777777">
            <w:pPr>
              <w:keepNext/>
              <w:keepLines/>
              <w:jc w:val="center"/>
              <w:rPr>
                <w:sz w:val="22"/>
                <w:szCs w:val="22"/>
              </w:rPr>
            </w:pPr>
            <w:r w:rsidRPr="00B14CAF">
              <w:rPr>
                <w:sz w:val="22"/>
                <w:szCs w:val="22"/>
              </w:rPr>
              <w:t>1</w:t>
            </w:r>
          </w:p>
        </w:tc>
        <w:tc>
          <w:tcPr>
            <w:tcW w:w="1080"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4F885AF9" w14:textId="77777777">
            <w:pPr>
              <w:keepNext/>
              <w:keepLines/>
              <w:jc w:val="center"/>
              <w:rPr>
                <w:sz w:val="22"/>
                <w:szCs w:val="22"/>
              </w:rPr>
            </w:pPr>
            <w:r w:rsidRPr="00B14CAF">
              <w:rPr>
                <w:sz w:val="22"/>
                <w:szCs w:val="22"/>
              </w:rPr>
              <w:t>15/60</w:t>
            </w:r>
          </w:p>
        </w:tc>
        <w:tc>
          <w:tcPr>
            <w:tcW w:w="900" w:type="dxa"/>
            <w:shd w:val="clear" w:color="auto" w:fill="FFFFFF"/>
          </w:tcPr>
          <w:p w:rsidRPr="00B14CAF" w:rsidR="00773E93" w:rsidP="00773E93" w:rsidRDefault="00B53CCC" w14:paraId="00FA90A8" w14:textId="1C05FE6E">
            <w:pPr>
              <w:keepNext/>
              <w:keepLines/>
              <w:jc w:val="center"/>
              <w:rPr>
                <w:rStyle w:val="Footer1"/>
                <w:color w:val="000000"/>
                <w:sz w:val="22"/>
                <w:szCs w:val="22"/>
              </w:rPr>
            </w:pPr>
            <w:r>
              <w:rPr>
                <w:sz w:val="22"/>
                <w:szCs w:val="22"/>
              </w:rPr>
              <w:t>160</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Pr>
          <w:p w:rsidRPr="00B14CAF" w:rsidR="00773E93" w:rsidP="00773E93" w:rsidRDefault="00773E93" w14:paraId="3D16F21A" w14:textId="12EF4A1A">
            <w:pPr>
              <w:keepNext/>
              <w:keepLines/>
              <w:jc w:val="center"/>
              <w:rPr>
                <w:rStyle w:val="Footer1"/>
                <w:color w:val="000000"/>
                <w:sz w:val="22"/>
                <w:szCs w:val="22"/>
              </w:rPr>
            </w:pPr>
            <w:r w:rsidRPr="00B14CAF">
              <w:rPr>
                <w:rStyle w:val="Footer1"/>
                <w:color w:val="000000"/>
                <w:sz w:val="22"/>
                <w:szCs w:val="22"/>
              </w:rPr>
              <w:t>$31.23</w:t>
            </w:r>
          </w:p>
          <w:p w:rsidRPr="00B14CAF" w:rsidR="00773E93" w:rsidP="00773E93" w:rsidRDefault="00773E93" w14:paraId="34529BA6" w14:textId="52E1EEEF">
            <w:pPr>
              <w:keepNext/>
              <w:keepLines/>
              <w:jc w:val="center"/>
              <w:rPr>
                <w:rStyle w:val="Footer1"/>
                <w:color w:val="000000"/>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FFFFFF"/>
          </w:tcPr>
          <w:p w:rsidRPr="00B14CAF" w:rsidR="00773E93" w:rsidP="00773E93" w:rsidRDefault="00773E93" w14:paraId="461E1417" w14:textId="2CFE8D6A">
            <w:pPr>
              <w:keepNext/>
              <w:keepLines/>
              <w:jc w:val="center"/>
              <w:rPr>
                <w:rStyle w:val="Footer1"/>
                <w:color w:val="000000"/>
                <w:sz w:val="22"/>
                <w:szCs w:val="22"/>
              </w:rPr>
            </w:pPr>
            <w:r w:rsidRPr="00B14CAF">
              <w:rPr>
                <w:rStyle w:val="Footer1"/>
                <w:color w:val="000000"/>
                <w:sz w:val="22"/>
                <w:szCs w:val="22"/>
              </w:rPr>
              <w:t>$</w:t>
            </w:r>
            <w:r w:rsidR="00B53CCC">
              <w:rPr>
                <w:rStyle w:val="Footer1"/>
                <w:color w:val="000000"/>
                <w:sz w:val="22"/>
                <w:szCs w:val="22"/>
              </w:rPr>
              <w:t>4,997</w:t>
            </w:r>
          </w:p>
        </w:tc>
      </w:tr>
      <w:tr w:rsidRPr="00B14CAF" w:rsidR="00773E93" w:rsidTr="00B14CAF" w14:paraId="4CA5D628" w14:textId="77777777">
        <w:trPr>
          <w:cantSplit/>
          <w:trHeight w:val="408"/>
        </w:trPr>
        <w:tc>
          <w:tcPr>
            <w:tcW w:w="1523" w:type="dxa"/>
            <w:tcBorders>
              <w:top w:val="single" w:color="000000" w:sz="6" w:space="0"/>
              <w:left w:val="single" w:color="000000" w:sz="6" w:space="0"/>
              <w:bottom w:val="single" w:color="000000" w:sz="6" w:space="0"/>
              <w:right w:val="single" w:color="000000" w:sz="6" w:space="0"/>
            </w:tcBorders>
            <w:shd w:val="clear" w:color="auto" w:fill="auto"/>
          </w:tcPr>
          <w:p w:rsidRPr="00B14CAF" w:rsidR="00773E93" w:rsidP="00773E93" w:rsidRDefault="00773E93" w14:paraId="0933C524" w14:textId="77777777">
            <w:pPr>
              <w:keepNext/>
              <w:keepLines/>
              <w:rPr>
                <w:sz w:val="22"/>
                <w:szCs w:val="22"/>
              </w:rPr>
            </w:pPr>
            <w:r w:rsidRPr="00B14CAF">
              <w:rPr>
                <w:sz w:val="22"/>
                <w:szCs w:val="22"/>
              </w:rPr>
              <w:t>Students</w:t>
            </w:r>
          </w:p>
        </w:tc>
        <w:tc>
          <w:tcPr>
            <w:tcW w:w="1897"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221EB89E" w14:textId="77777777">
            <w:pPr>
              <w:keepNext/>
              <w:keepLines/>
              <w:rPr>
                <w:sz w:val="22"/>
                <w:szCs w:val="22"/>
              </w:rPr>
            </w:pPr>
            <w:r w:rsidRPr="00B14CAF">
              <w:rPr>
                <w:sz w:val="22"/>
                <w:szCs w:val="22"/>
              </w:rPr>
              <w:t>Youth Risk Behavior Survey</w:t>
            </w:r>
          </w:p>
        </w:tc>
        <w:tc>
          <w:tcPr>
            <w:tcW w:w="1343" w:type="dxa"/>
            <w:tcBorders>
              <w:top w:val="single" w:color="000000" w:sz="6" w:space="0"/>
              <w:left w:val="single" w:color="000000" w:sz="6" w:space="0"/>
              <w:bottom w:val="single" w:color="000000" w:sz="6" w:space="0"/>
              <w:right w:val="single" w:color="000000" w:sz="6" w:space="0"/>
            </w:tcBorders>
          </w:tcPr>
          <w:p w:rsidRPr="00B14CAF" w:rsidR="00773E93" w:rsidP="00773E93" w:rsidRDefault="00B53CCC" w14:paraId="5C9B4D80" w14:textId="3C83F1FA">
            <w:pPr>
              <w:widowControl/>
              <w:autoSpaceDE/>
              <w:autoSpaceDN/>
              <w:adjustRightInd/>
              <w:jc w:val="center"/>
              <w:rPr>
                <w:color w:val="000000"/>
                <w:sz w:val="22"/>
                <w:szCs w:val="22"/>
              </w:rPr>
            </w:pPr>
            <w:r>
              <w:rPr>
                <w:color w:val="000000"/>
                <w:sz w:val="22"/>
                <w:szCs w:val="22"/>
              </w:rPr>
              <w:t>11,701</w:t>
            </w:r>
          </w:p>
          <w:p w:rsidRPr="00B14CAF" w:rsidR="00773E93" w:rsidP="00773E93" w:rsidRDefault="00773E93" w14:paraId="0F9D4444" w14:textId="0C2E39BD">
            <w:pPr>
              <w:keepNext/>
              <w:keepLines/>
              <w:jc w:val="center"/>
              <w:rPr>
                <w:sz w:val="22"/>
                <w:szCs w:val="22"/>
              </w:rPr>
            </w:pPr>
          </w:p>
        </w:tc>
        <w:tc>
          <w:tcPr>
            <w:tcW w:w="1260"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1F50A764" w14:textId="77777777">
            <w:pPr>
              <w:keepNext/>
              <w:keepLines/>
              <w:jc w:val="center"/>
              <w:rPr>
                <w:sz w:val="22"/>
                <w:szCs w:val="22"/>
              </w:rPr>
            </w:pPr>
            <w:r w:rsidRPr="00B14CAF">
              <w:rPr>
                <w:sz w:val="22"/>
                <w:szCs w:val="22"/>
              </w:rPr>
              <w:t>1</w:t>
            </w:r>
          </w:p>
        </w:tc>
        <w:tc>
          <w:tcPr>
            <w:tcW w:w="1080" w:type="dxa"/>
            <w:tcBorders>
              <w:top w:val="single" w:color="000000" w:sz="6" w:space="0"/>
              <w:left w:val="single" w:color="000000" w:sz="6" w:space="0"/>
              <w:bottom w:val="single" w:color="000000" w:sz="6" w:space="0"/>
              <w:right w:val="single" w:color="000000" w:sz="6" w:space="0"/>
            </w:tcBorders>
          </w:tcPr>
          <w:p w:rsidRPr="00B14CAF" w:rsidR="00773E93" w:rsidP="00773E93" w:rsidRDefault="00773E93" w14:paraId="74327420" w14:textId="77777777">
            <w:pPr>
              <w:keepNext/>
              <w:keepLines/>
              <w:jc w:val="center"/>
              <w:rPr>
                <w:sz w:val="22"/>
                <w:szCs w:val="22"/>
              </w:rPr>
            </w:pPr>
            <w:r w:rsidRPr="00B14CAF">
              <w:rPr>
                <w:sz w:val="22"/>
                <w:szCs w:val="22"/>
              </w:rPr>
              <w:t>45/60</w:t>
            </w:r>
          </w:p>
        </w:tc>
        <w:tc>
          <w:tcPr>
            <w:tcW w:w="900" w:type="dxa"/>
            <w:tcBorders>
              <w:bottom w:val="single" w:color="auto" w:sz="4" w:space="0"/>
            </w:tcBorders>
            <w:shd w:val="clear" w:color="auto" w:fill="FFFFFF"/>
          </w:tcPr>
          <w:p w:rsidRPr="00B14CAF" w:rsidR="00773E93" w:rsidP="00773E93" w:rsidRDefault="00B53CCC" w14:paraId="45174077" w14:textId="2CE6CED3">
            <w:pPr>
              <w:keepNext/>
              <w:keepLines/>
              <w:jc w:val="center"/>
              <w:rPr>
                <w:rStyle w:val="Footer1"/>
                <w:color w:val="000000"/>
                <w:sz w:val="22"/>
                <w:szCs w:val="22"/>
              </w:rPr>
            </w:pPr>
            <w:r>
              <w:rPr>
                <w:sz w:val="22"/>
                <w:szCs w:val="22"/>
              </w:rPr>
              <w:t>8,776</w:t>
            </w:r>
          </w:p>
        </w:tc>
        <w:tc>
          <w:tcPr>
            <w:tcW w:w="810" w:type="dxa"/>
            <w:tcBorders>
              <w:top w:val="single" w:color="000000" w:sz="6" w:space="0"/>
              <w:left w:val="single" w:color="000000" w:sz="6" w:space="0"/>
              <w:bottom w:val="single" w:color="000000" w:sz="6" w:space="0"/>
              <w:right w:val="single" w:color="000000" w:sz="6" w:space="0"/>
            </w:tcBorders>
            <w:shd w:val="clear" w:color="auto" w:fill="FFFFFF"/>
          </w:tcPr>
          <w:p w:rsidRPr="00B14CAF" w:rsidR="00773E93" w:rsidP="00773E93" w:rsidRDefault="00773E93" w14:paraId="4E9DF6CC" w14:textId="278C1BE7">
            <w:pPr>
              <w:keepNext/>
              <w:keepLines/>
              <w:jc w:val="center"/>
              <w:rPr>
                <w:rStyle w:val="Footer1"/>
                <w:color w:val="000000"/>
                <w:sz w:val="22"/>
                <w:szCs w:val="22"/>
              </w:rPr>
            </w:pPr>
            <w:r w:rsidRPr="00B14CAF">
              <w:rPr>
                <w:rStyle w:val="Footer1"/>
                <w:color w:val="000000"/>
                <w:sz w:val="22"/>
                <w:szCs w:val="22"/>
              </w:rPr>
              <w:t>$4.25</w:t>
            </w:r>
          </w:p>
        </w:tc>
        <w:tc>
          <w:tcPr>
            <w:tcW w:w="1260" w:type="dxa"/>
            <w:tcBorders>
              <w:top w:val="single" w:color="000000" w:sz="6" w:space="0"/>
              <w:left w:val="single" w:color="000000" w:sz="6" w:space="0"/>
              <w:bottom w:val="single" w:color="000000" w:sz="6" w:space="0"/>
              <w:right w:val="single" w:color="000000" w:sz="6" w:space="0"/>
            </w:tcBorders>
            <w:shd w:val="clear" w:color="auto" w:fill="FFFFFF"/>
          </w:tcPr>
          <w:p w:rsidRPr="00B14CAF" w:rsidR="00773E93" w:rsidP="00773E93" w:rsidRDefault="00773E93" w14:paraId="796C2EB0" w14:textId="2D9947AD">
            <w:pPr>
              <w:keepNext/>
              <w:keepLines/>
              <w:jc w:val="center"/>
              <w:rPr>
                <w:rStyle w:val="Footer1"/>
                <w:color w:val="000000"/>
                <w:sz w:val="22"/>
                <w:szCs w:val="22"/>
              </w:rPr>
            </w:pPr>
            <w:r w:rsidRPr="00B14CAF">
              <w:rPr>
                <w:rStyle w:val="Footer1"/>
                <w:color w:val="000000"/>
                <w:sz w:val="22"/>
                <w:szCs w:val="22"/>
              </w:rPr>
              <w:t>$</w:t>
            </w:r>
            <w:r w:rsidR="00B53CCC">
              <w:rPr>
                <w:rStyle w:val="Footer1"/>
                <w:color w:val="000000"/>
                <w:sz w:val="22"/>
                <w:szCs w:val="22"/>
              </w:rPr>
              <w:t>37,297</w:t>
            </w:r>
          </w:p>
          <w:p w:rsidRPr="00B14CAF" w:rsidR="00773E93" w:rsidP="00773E93" w:rsidRDefault="00773E93" w14:paraId="1D11BDAA" w14:textId="2EFEA0D1">
            <w:pPr>
              <w:keepNext/>
              <w:keepLines/>
              <w:rPr>
                <w:rStyle w:val="Footer1"/>
                <w:color w:val="000000"/>
                <w:sz w:val="22"/>
                <w:szCs w:val="22"/>
              </w:rPr>
            </w:pPr>
          </w:p>
        </w:tc>
      </w:tr>
      <w:tr w:rsidRPr="00B14CAF" w:rsidR="00773E93" w:rsidTr="00B14CAF" w14:paraId="23DEA441" w14:textId="77777777">
        <w:trPr>
          <w:cantSplit/>
          <w:trHeight w:val="437"/>
        </w:trPr>
        <w:tc>
          <w:tcPr>
            <w:tcW w:w="1523"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14CAF" w:rsidR="00773E93" w:rsidP="0097554E" w:rsidRDefault="00773E93" w14:paraId="1115AD9A" w14:textId="77777777">
            <w:pPr>
              <w:keepNext/>
              <w:keepLines/>
              <w:rPr>
                <w:b/>
                <w:sz w:val="22"/>
                <w:szCs w:val="22"/>
              </w:rPr>
            </w:pPr>
            <w:r w:rsidRPr="00B14CAF">
              <w:rPr>
                <w:b/>
                <w:sz w:val="22"/>
                <w:szCs w:val="22"/>
              </w:rPr>
              <w:t xml:space="preserve">Total </w:t>
            </w:r>
          </w:p>
        </w:tc>
        <w:tc>
          <w:tcPr>
            <w:tcW w:w="1897"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14CAF" w:rsidR="00773E93" w:rsidP="0097554E" w:rsidRDefault="00773E93" w14:paraId="07B1A419" w14:textId="77777777">
            <w:pPr>
              <w:keepNext/>
              <w:keepLines/>
              <w:rPr>
                <w:b/>
                <w:sz w:val="22"/>
                <w:szCs w:val="22"/>
              </w:rPr>
            </w:pPr>
          </w:p>
        </w:tc>
        <w:tc>
          <w:tcPr>
            <w:tcW w:w="1343"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14CAF" w:rsidR="00773E93" w:rsidP="0097554E" w:rsidRDefault="00773E93" w14:paraId="44F0FA92" w14:textId="77777777">
            <w:pPr>
              <w:keepNext/>
              <w:keepLines/>
              <w:jc w:val="center"/>
              <w:rPr>
                <w:b/>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14CAF" w:rsidR="00773E93" w:rsidP="0097554E" w:rsidRDefault="00773E93" w14:paraId="6BC98250" w14:textId="77777777">
            <w:pPr>
              <w:keepNext/>
              <w:keepLines/>
              <w:jc w:val="center"/>
              <w:rPr>
                <w:b/>
                <w:sz w:val="22"/>
                <w:szCs w:val="22"/>
              </w:rPr>
            </w:pPr>
          </w:p>
        </w:tc>
        <w:tc>
          <w:tcPr>
            <w:tcW w:w="108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14CAF" w:rsidR="00773E93" w:rsidP="0097554E" w:rsidRDefault="00773E93" w14:paraId="2C9917A6" w14:textId="77777777">
            <w:pPr>
              <w:keepNext/>
              <w:keepLines/>
              <w:jc w:val="center"/>
              <w:rPr>
                <w:b/>
                <w:sz w:val="22"/>
                <w:szCs w:val="22"/>
              </w:rPr>
            </w:pPr>
          </w:p>
        </w:tc>
        <w:tc>
          <w:tcPr>
            <w:tcW w:w="90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14CAF" w:rsidR="00773E93" w:rsidP="0097554E" w:rsidRDefault="00773E93" w14:paraId="2BB4D27E" w14:textId="77777777">
            <w:pPr>
              <w:keepNext/>
              <w:keepLines/>
              <w:jc w:val="center"/>
              <w:rPr>
                <w:b/>
                <w:sz w:val="22"/>
                <w:szCs w:val="22"/>
              </w:rPr>
            </w:pPr>
          </w:p>
        </w:tc>
        <w:tc>
          <w:tcPr>
            <w:tcW w:w="81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14CAF" w:rsidR="00773E93" w:rsidP="0097554E" w:rsidRDefault="00773E93" w14:paraId="082CF407" w14:textId="2810E884">
            <w:pPr>
              <w:keepNext/>
              <w:keepLines/>
              <w:jc w:val="center"/>
              <w:rPr>
                <w:b/>
                <w:sz w:val="22"/>
                <w:szCs w:val="22"/>
              </w:rPr>
            </w:pPr>
          </w:p>
        </w:tc>
        <w:tc>
          <w:tcPr>
            <w:tcW w:w="1260" w:type="dxa"/>
            <w:tcBorders>
              <w:top w:val="single" w:color="000000" w:sz="6" w:space="0"/>
              <w:left w:val="single" w:color="000000" w:sz="6" w:space="0"/>
              <w:bottom w:val="single" w:color="000000" w:sz="6" w:space="0"/>
              <w:right w:val="single" w:color="000000" w:sz="6" w:space="0"/>
            </w:tcBorders>
            <w:shd w:val="clear" w:color="auto" w:fill="FFFFFF" w:themeFill="background1"/>
          </w:tcPr>
          <w:p w:rsidRPr="00B14CAF" w:rsidR="00773E93" w:rsidP="0097554E" w:rsidRDefault="00773E93" w14:paraId="3F9A7747" w14:textId="6C5F7536">
            <w:pPr>
              <w:keepNext/>
              <w:keepLines/>
              <w:jc w:val="center"/>
              <w:rPr>
                <w:b/>
                <w:sz w:val="22"/>
                <w:szCs w:val="22"/>
              </w:rPr>
            </w:pPr>
            <w:r w:rsidRPr="00B14CAF">
              <w:rPr>
                <w:b/>
                <w:sz w:val="22"/>
                <w:szCs w:val="22"/>
              </w:rPr>
              <w:t>$</w:t>
            </w:r>
            <w:r w:rsidR="00B53CCC">
              <w:rPr>
                <w:b/>
                <w:sz w:val="22"/>
                <w:szCs w:val="22"/>
              </w:rPr>
              <w:t>47,654</w:t>
            </w:r>
          </w:p>
        </w:tc>
      </w:tr>
    </w:tbl>
    <w:p w:rsidRPr="001C2747" w:rsidR="0050513E" w:rsidP="0097554E" w:rsidRDefault="0050513E" w14:paraId="4E362F9C" w14:textId="49C91B06">
      <w:pPr>
        <w:pStyle w:val="Heading2"/>
        <w:spacing w:before="120" w:after="120"/>
        <w:ind w:left="720" w:hanging="720"/>
      </w:pPr>
      <w:r w:rsidRPr="001C2747">
        <w:rPr>
          <w:rFonts w:ascii="Times New Roman" w:hAnsi="Times New Roman" w:cs="Times New Roman"/>
          <w:b/>
          <w:bCs/>
        </w:rPr>
        <w:t>A.13</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 xml:space="preserve">ESTIMATES OF OTHER TOTAL ANNUAL COST BURDEN TO </w:t>
      </w:r>
      <w:r w:rsidRPr="001C2747" w:rsidR="0085287A">
        <w:rPr>
          <w:rFonts w:ascii="Times New Roman" w:hAnsi="Times New Roman" w:cs="Times New Roman"/>
          <w:b/>
          <w:bCs/>
          <w:u w:val="single"/>
        </w:rPr>
        <w:t>R</w:t>
      </w:r>
      <w:r w:rsidRPr="001C2747">
        <w:rPr>
          <w:rFonts w:ascii="Times New Roman" w:hAnsi="Times New Roman" w:cs="Times New Roman"/>
          <w:b/>
          <w:bCs/>
          <w:u w:val="single"/>
        </w:rPr>
        <w:t>ESPONDENTS OR RECORD KEEPERS</w:t>
      </w:r>
    </w:p>
    <w:p w:rsidRPr="001C2747" w:rsidR="0050513E" w:rsidP="000B0C2E" w:rsidRDefault="0050513E" w14:paraId="0FCD6498" w14:textId="13DBC1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rPr>
          <w:b/>
          <w:bCs/>
        </w:rPr>
      </w:pPr>
      <w:r w:rsidRPr="001C2747">
        <w:t xml:space="preserve">There will be no respondent capital </w:t>
      </w:r>
      <w:r w:rsidRPr="001C2747" w:rsidR="0085287A">
        <w:t>or</w:t>
      </w:r>
      <w:r w:rsidRPr="001C2747">
        <w:t xml:space="preserve"> maintenance costs.</w:t>
      </w:r>
    </w:p>
    <w:p w:rsidRPr="001C2747" w:rsidR="0050513E" w:rsidP="0097554E" w:rsidRDefault="0050513E" w14:paraId="0887959D" w14:textId="431E8C2C">
      <w:pPr>
        <w:pStyle w:val="Heading2"/>
        <w:spacing w:before="120" w:after="120"/>
      </w:pPr>
      <w:r w:rsidRPr="001C2747">
        <w:rPr>
          <w:rFonts w:ascii="Times New Roman" w:hAnsi="Times New Roman" w:cs="Times New Roman"/>
          <w:b/>
          <w:bCs/>
        </w:rPr>
        <w:t>A.14</w:t>
      </w:r>
      <w:r w:rsidRPr="001C2747" w:rsidR="00793222">
        <w:rPr>
          <w:rFonts w:ascii="Times New Roman" w:hAnsi="Times New Roman" w:cs="Times New Roman"/>
          <w:b/>
          <w:bCs/>
        </w:rPr>
        <w:t>.</w:t>
      </w:r>
      <w:r w:rsidRPr="001C2747">
        <w:rPr>
          <w:rFonts w:ascii="Times New Roman" w:hAnsi="Times New Roman" w:cs="Times New Roman"/>
          <w:b/>
          <w:bCs/>
        </w:rPr>
        <w:tab/>
      </w:r>
      <w:r w:rsidRPr="001C2747" w:rsidR="00793222">
        <w:rPr>
          <w:rFonts w:ascii="Times New Roman" w:hAnsi="Times New Roman" w:cs="Times New Roman"/>
          <w:b/>
          <w:bCs/>
          <w:u w:val="single"/>
        </w:rPr>
        <w:t>ANNUALIZED COST</w:t>
      </w:r>
      <w:r w:rsidRPr="001C2747">
        <w:rPr>
          <w:rFonts w:ascii="Times New Roman" w:hAnsi="Times New Roman" w:cs="Times New Roman"/>
          <w:b/>
          <w:bCs/>
          <w:u w:val="single"/>
        </w:rPr>
        <w:t xml:space="preserve"> TO THE GOVERNMENT</w:t>
      </w:r>
    </w:p>
    <w:p w:rsidRPr="001C2747" w:rsidR="00921D26" w:rsidP="000B0C2E" w:rsidRDefault="0006760A" w14:paraId="506B6A77" w14:textId="4AB83DDD">
      <w:pPr>
        <w:spacing w:before="120" w:after="120"/>
        <w:rPr>
          <w:rStyle w:val="Footer1"/>
          <w:color w:val="000000"/>
        </w:rPr>
      </w:pPr>
      <w:r w:rsidRPr="001C2747">
        <w:tab/>
      </w:r>
      <w:r w:rsidRPr="003D56AD" w:rsidR="00921D26">
        <w:t xml:space="preserve">The study is funded under Contract No. </w:t>
      </w:r>
      <w:r w:rsidRPr="003D56AD" w:rsidR="00921D26">
        <w:rPr>
          <w:rStyle w:val="Strong"/>
          <w:b w:val="0"/>
        </w:rPr>
        <w:t>200-2</w:t>
      </w:r>
      <w:r w:rsidRPr="003D56AD" w:rsidR="00B06279">
        <w:rPr>
          <w:rStyle w:val="Strong"/>
          <w:b w:val="0"/>
        </w:rPr>
        <w:t>0</w:t>
      </w:r>
      <w:r w:rsidRPr="003D56AD" w:rsidR="001B6E07">
        <w:rPr>
          <w:rStyle w:val="Strong"/>
          <w:b w:val="0"/>
        </w:rPr>
        <w:t>18</w:t>
      </w:r>
      <w:r w:rsidRPr="003D56AD" w:rsidR="00921D26">
        <w:rPr>
          <w:rStyle w:val="Strong"/>
          <w:b w:val="0"/>
        </w:rPr>
        <w:t>-</w:t>
      </w:r>
      <w:r w:rsidRPr="003D56AD" w:rsidR="00B06279">
        <w:rPr>
          <w:rStyle w:val="Strong"/>
          <w:b w:val="0"/>
        </w:rPr>
        <w:t>F-</w:t>
      </w:r>
      <w:r w:rsidRPr="003D56AD" w:rsidR="001B6E07">
        <w:rPr>
          <w:rStyle w:val="Strong"/>
          <w:b w:val="0"/>
        </w:rPr>
        <w:t>00039</w:t>
      </w:r>
      <w:r w:rsidRPr="003D56AD" w:rsidR="00921D26">
        <w:t xml:space="preserve">. </w:t>
      </w:r>
      <w:r w:rsidRPr="003D56AD" w:rsidR="00B06279">
        <w:t xml:space="preserve">The total contract cost for conducting the </w:t>
      </w:r>
      <w:r w:rsidR="00510FC8">
        <w:t xml:space="preserve">ABES and </w:t>
      </w:r>
      <w:r w:rsidRPr="003D56AD" w:rsidR="00D00148">
        <w:t xml:space="preserve">2021 </w:t>
      </w:r>
      <w:r w:rsidRPr="003D56AD" w:rsidR="00B06279">
        <w:t xml:space="preserve">and </w:t>
      </w:r>
      <w:r w:rsidRPr="003D56AD" w:rsidR="00D00148">
        <w:t xml:space="preserve">2023 </w:t>
      </w:r>
      <w:r w:rsidRPr="003D56AD" w:rsidR="00B06279">
        <w:t xml:space="preserve">YRBS is </w:t>
      </w:r>
      <w:r w:rsidRPr="003D56AD" w:rsidR="00381CB2">
        <w:t>$</w:t>
      </w:r>
      <w:r w:rsidR="00777ED6">
        <w:t>5,281,</w:t>
      </w:r>
      <w:r w:rsidR="00F1704B">
        <w:t>395</w:t>
      </w:r>
      <w:r w:rsidRPr="003D56AD" w:rsidR="00381CB2">
        <w:t xml:space="preserve"> </w:t>
      </w:r>
      <w:r w:rsidRPr="003D56AD" w:rsidR="00B06279">
        <w:t>over a 44</w:t>
      </w:r>
      <w:r w:rsidRPr="003D56AD" w:rsidR="00921D26">
        <w:rPr>
          <w:rStyle w:val="Footer1"/>
          <w:color w:val="000000"/>
        </w:rPr>
        <w:t>-month period.  Thus</w:t>
      </w:r>
      <w:r w:rsidR="003D56AD">
        <w:rPr>
          <w:rStyle w:val="Footer1"/>
          <w:color w:val="000000"/>
        </w:rPr>
        <w:t>,</w:t>
      </w:r>
      <w:r w:rsidRPr="003D56AD" w:rsidR="00921D26">
        <w:rPr>
          <w:rStyle w:val="Footer1"/>
          <w:color w:val="000000"/>
        </w:rPr>
        <w:t xml:space="preserve"> the annualized contract cost is </w:t>
      </w:r>
      <w:r w:rsidRPr="003D56AD" w:rsidR="00EC41E3">
        <w:rPr>
          <w:rStyle w:val="Footer1"/>
          <w:color w:val="000000"/>
        </w:rPr>
        <w:t xml:space="preserve">approximately </w:t>
      </w:r>
      <w:r w:rsidRPr="003D56AD" w:rsidR="00921D26">
        <w:rPr>
          <w:rStyle w:val="Footer1"/>
          <w:color w:val="000000"/>
        </w:rPr>
        <w:t>$</w:t>
      </w:r>
      <w:r w:rsidR="00CC5F47">
        <w:rPr>
          <w:rStyle w:val="Footer1"/>
          <w:color w:val="000000"/>
        </w:rPr>
        <w:t>1,440,3</w:t>
      </w:r>
      <w:r w:rsidR="00F1704B">
        <w:rPr>
          <w:rStyle w:val="Footer1"/>
          <w:color w:val="000000"/>
        </w:rPr>
        <w:t>80</w:t>
      </w:r>
      <w:r w:rsidRPr="003D56AD" w:rsidR="00921D26">
        <w:rPr>
          <w:rStyle w:val="Footer1"/>
          <w:color w:val="000000"/>
        </w:rPr>
        <w:t>.  These costs cover the activities in Table A-14 below.</w:t>
      </w:r>
    </w:p>
    <w:p w:rsidRPr="00F13BE0" w:rsidR="00921D26" w:rsidP="0097554E" w:rsidRDefault="00921D26" w14:paraId="0C0F0279" w14:textId="101C73C3">
      <w:pPr>
        <w:spacing w:before="120" w:after="120"/>
        <w:ind w:firstLine="720"/>
        <w:rPr>
          <w:rStyle w:val="Footer1"/>
          <w:color w:val="000000"/>
        </w:rPr>
      </w:pPr>
      <w:r w:rsidRPr="00F13BE0">
        <w:rPr>
          <w:rStyle w:val="Footer1"/>
          <w:color w:val="000000"/>
        </w:rPr>
        <w:t xml:space="preserve">Additional costs will be incurred indirectly by the government in personnel costs of staff involved in oversight of the study and in conducting data analysis.  </w:t>
      </w:r>
      <w:bookmarkStart w:name="OLE_LINK29" w:id="15"/>
      <w:bookmarkStart w:name="OLE_LINK30" w:id="16"/>
      <w:r w:rsidRPr="00F13BE0">
        <w:rPr>
          <w:rStyle w:val="Footer1"/>
          <w:color w:val="000000"/>
        </w:rPr>
        <w:t xml:space="preserve">It is estimated that </w:t>
      </w:r>
      <w:r w:rsidRPr="00F13BE0" w:rsidR="009F4B26">
        <w:rPr>
          <w:rStyle w:val="Footer1"/>
          <w:color w:val="000000"/>
        </w:rPr>
        <w:t xml:space="preserve">one </w:t>
      </w:r>
      <w:r w:rsidRPr="00F13BE0">
        <w:rPr>
          <w:rStyle w:val="Footer1"/>
          <w:color w:val="000000"/>
        </w:rPr>
        <w:t xml:space="preserve">CDC employee will be involved for approximately </w:t>
      </w:r>
      <w:r w:rsidRPr="00F13BE0" w:rsidR="009F4B26">
        <w:rPr>
          <w:rStyle w:val="Footer1"/>
          <w:color w:val="000000"/>
        </w:rPr>
        <w:t>1</w:t>
      </w:r>
      <w:r w:rsidRPr="00F13BE0">
        <w:rPr>
          <w:rStyle w:val="Footer1"/>
          <w:color w:val="000000"/>
        </w:rPr>
        <w:t>0%</w:t>
      </w:r>
      <w:r w:rsidRPr="00F13BE0" w:rsidR="00D00148">
        <w:rPr>
          <w:rStyle w:val="Footer1"/>
          <w:color w:val="000000"/>
        </w:rPr>
        <w:t xml:space="preserve"> </w:t>
      </w:r>
      <w:r w:rsidRPr="00F13BE0">
        <w:rPr>
          <w:rStyle w:val="Footer1"/>
          <w:color w:val="000000"/>
        </w:rPr>
        <w:t xml:space="preserve">of </w:t>
      </w:r>
      <w:r w:rsidRPr="00F13BE0" w:rsidR="009F4B26">
        <w:rPr>
          <w:rStyle w:val="Footer1"/>
          <w:color w:val="000000"/>
        </w:rPr>
        <w:t xml:space="preserve">her </w:t>
      </w:r>
      <w:r w:rsidRPr="00F13BE0">
        <w:rPr>
          <w:rStyle w:val="Footer1"/>
          <w:color w:val="000000"/>
        </w:rPr>
        <w:t xml:space="preserve">time </w:t>
      </w:r>
      <w:r w:rsidRPr="00F13BE0" w:rsidR="00D0464D">
        <w:rPr>
          <w:rStyle w:val="Footer1"/>
          <w:color w:val="000000"/>
        </w:rPr>
        <w:t xml:space="preserve">(for federal personnel </w:t>
      </w:r>
      <w:r w:rsidRPr="00F13BE0" w:rsidR="006A346A">
        <w:rPr>
          <w:rStyle w:val="Footer1"/>
          <w:color w:val="000000"/>
        </w:rPr>
        <w:t>100% time=2080 hours annually</w:t>
      </w:r>
      <w:r w:rsidRPr="00F13BE0" w:rsidR="00D0464D">
        <w:rPr>
          <w:rStyle w:val="Footer1"/>
          <w:color w:val="000000"/>
        </w:rPr>
        <w:t xml:space="preserve">) </w:t>
      </w:r>
      <w:r w:rsidRPr="00F13BE0">
        <w:rPr>
          <w:rStyle w:val="Footer1"/>
          <w:color w:val="000000"/>
        </w:rPr>
        <w:t xml:space="preserve">at </w:t>
      </w:r>
      <w:r w:rsidRPr="00F13BE0" w:rsidR="009F4B26">
        <w:rPr>
          <w:rStyle w:val="Footer1"/>
          <w:color w:val="000000"/>
        </w:rPr>
        <w:t xml:space="preserve">a </w:t>
      </w:r>
      <w:r w:rsidRPr="00F13BE0">
        <w:rPr>
          <w:rStyle w:val="Footer1"/>
          <w:color w:val="000000"/>
        </w:rPr>
        <w:t>salar</w:t>
      </w:r>
      <w:r w:rsidRPr="00F13BE0" w:rsidR="009F4B26">
        <w:rPr>
          <w:rStyle w:val="Footer1"/>
          <w:color w:val="000000"/>
        </w:rPr>
        <w:t>y</w:t>
      </w:r>
      <w:r w:rsidRPr="00F13BE0">
        <w:rPr>
          <w:rStyle w:val="Footer1"/>
          <w:color w:val="000000"/>
        </w:rPr>
        <w:t xml:space="preserve"> of $</w:t>
      </w:r>
      <w:r w:rsidR="00773E93">
        <w:rPr>
          <w:rStyle w:val="Footer1"/>
          <w:color w:val="000000"/>
        </w:rPr>
        <w:t>68.67</w:t>
      </w:r>
      <w:r w:rsidRPr="00F13BE0">
        <w:rPr>
          <w:rStyle w:val="Footer1"/>
          <w:color w:val="000000"/>
        </w:rPr>
        <w:t xml:space="preserve"> per hour</w:t>
      </w:r>
      <w:r w:rsidRPr="00F13BE0" w:rsidR="009F4B26">
        <w:rPr>
          <w:rStyle w:val="Footer1"/>
          <w:color w:val="000000"/>
        </w:rPr>
        <w:t xml:space="preserve">. </w:t>
      </w:r>
      <w:r w:rsidRPr="00F13BE0">
        <w:rPr>
          <w:rStyle w:val="Footer1"/>
          <w:color w:val="000000"/>
        </w:rPr>
        <w:t xml:space="preserve">The direct annual costs in CDC staff time will </w:t>
      </w:r>
      <w:r w:rsidRPr="00F13BE0" w:rsidR="00D0464D">
        <w:rPr>
          <w:rStyle w:val="Footer1"/>
          <w:color w:val="000000"/>
        </w:rPr>
        <w:t xml:space="preserve">be </w:t>
      </w:r>
      <w:r w:rsidRPr="00F13BE0">
        <w:rPr>
          <w:rStyle w:val="Footer1"/>
          <w:color w:val="000000"/>
        </w:rPr>
        <w:t>approximate</w:t>
      </w:r>
      <w:r w:rsidRPr="00F13BE0" w:rsidR="00D0464D">
        <w:rPr>
          <w:rStyle w:val="Footer1"/>
          <w:color w:val="000000"/>
        </w:rPr>
        <w:t>ly</w:t>
      </w:r>
      <w:r w:rsidRPr="00F13BE0">
        <w:rPr>
          <w:rStyle w:val="Footer1"/>
          <w:color w:val="000000"/>
        </w:rPr>
        <w:t xml:space="preserve"> $</w:t>
      </w:r>
      <w:r w:rsidR="00773E93">
        <w:rPr>
          <w:rStyle w:val="Footer1"/>
          <w:color w:val="000000"/>
        </w:rPr>
        <w:t>14,283</w:t>
      </w:r>
      <w:r w:rsidRPr="00F13BE0">
        <w:rPr>
          <w:rStyle w:val="Footer1"/>
          <w:color w:val="000000"/>
        </w:rPr>
        <w:t xml:space="preserve"> annually.  </w:t>
      </w:r>
      <w:bookmarkEnd w:id="15"/>
      <w:bookmarkEnd w:id="16"/>
    </w:p>
    <w:p w:rsidR="00921D26" w:rsidP="0097554E" w:rsidRDefault="00921D26" w14:paraId="11B5F812" w14:textId="60826EC0">
      <w:pPr>
        <w:spacing w:before="120" w:after="120"/>
        <w:ind w:firstLine="720"/>
        <w:rPr>
          <w:rStyle w:val="Footer1"/>
          <w:color w:val="000000"/>
        </w:rPr>
      </w:pPr>
      <w:r w:rsidRPr="00F13BE0">
        <w:rPr>
          <w:rStyle w:val="Footer1"/>
          <w:color w:val="000000"/>
        </w:rPr>
        <w:t>The total cost for the study over a</w:t>
      </w:r>
      <w:r w:rsidRPr="00F13BE0" w:rsidR="003A537E">
        <w:rPr>
          <w:rStyle w:val="Footer1"/>
          <w:color w:val="000000"/>
        </w:rPr>
        <w:t xml:space="preserve"> </w:t>
      </w:r>
      <w:r w:rsidRPr="00F13BE0" w:rsidR="00B06279">
        <w:rPr>
          <w:rStyle w:val="Footer1"/>
          <w:color w:val="000000"/>
        </w:rPr>
        <w:t>44</w:t>
      </w:r>
      <w:r w:rsidRPr="00F13BE0">
        <w:rPr>
          <w:rStyle w:val="Footer1"/>
          <w:color w:val="000000"/>
        </w:rPr>
        <w:t>-month period, including the cont</w:t>
      </w:r>
      <w:r w:rsidRPr="00F13BE0" w:rsidR="00D344C1">
        <w:rPr>
          <w:rStyle w:val="Footer1"/>
          <w:color w:val="000000"/>
        </w:rPr>
        <w:t>r</w:t>
      </w:r>
      <w:r w:rsidRPr="00F13BE0">
        <w:rPr>
          <w:rStyle w:val="Footer1"/>
          <w:color w:val="000000"/>
        </w:rPr>
        <w:t>act cost and federal government personnel cost is $</w:t>
      </w:r>
      <w:r w:rsidR="008A4E06">
        <w:rPr>
          <w:rStyle w:val="Footer1"/>
          <w:color w:val="000000"/>
        </w:rPr>
        <w:t>5,333,766</w:t>
      </w:r>
      <w:r w:rsidRPr="00F13BE0">
        <w:rPr>
          <w:rStyle w:val="Footer1"/>
          <w:color w:val="000000"/>
        </w:rPr>
        <w:t xml:space="preserve">.  The annualized cost to the government for the study will be </w:t>
      </w:r>
      <w:r w:rsidRPr="00F13BE0" w:rsidR="003A537E">
        <w:rPr>
          <w:rStyle w:val="Footer1"/>
          <w:color w:val="000000"/>
        </w:rPr>
        <w:t>$</w:t>
      </w:r>
      <w:r w:rsidRPr="00CC5F47" w:rsidR="00CC5F47">
        <w:rPr>
          <w:rStyle w:val="Footer1"/>
          <w:color w:val="000000"/>
        </w:rPr>
        <w:t>1,440,3</w:t>
      </w:r>
      <w:r w:rsidR="008A4E06">
        <w:rPr>
          <w:rStyle w:val="Footer1"/>
          <w:color w:val="000000"/>
        </w:rPr>
        <w:t>80</w:t>
      </w:r>
      <w:r w:rsidRPr="00CC5F47" w:rsidR="00CC5F47">
        <w:rPr>
          <w:rStyle w:val="Footer1"/>
          <w:color w:val="000000"/>
        </w:rPr>
        <w:t xml:space="preserve"> </w:t>
      </w:r>
      <w:r w:rsidRPr="00F13BE0">
        <w:rPr>
          <w:rStyle w:val="Footer1"/>
          <w:color w:val="000000"/>
        </w:rPr>
        <w:t>+ $</w:t>
      </w:r>
      <w:r w:rsidR="00773E93">
        <w:rPr>
          <w:rStyle w:val="Footer1"/>
          <w:color w:val="000000"/>
        </w:rPr>
        <w:t>14,283</w:t>
      </w:r>
      <w:r w:rsidRPr="00F13BE0" w:rsidR="007B592E">
        <w:rPr>
          <w:rStyle w:val="Footer1"/>
          <w:color w:val="000000"/>
        </w:rPr>
        <w:t xml:space="preserve"> = $</w:t>
      </w:r>
      <w:r w:rsidR="00773E93">
        <w:rPr>
          <w:rStyle w:val="Footer1"/>
          <w:color w:val="000000"/>
        </w:rPr>
        <w:t>1,</w:t>
      </w:r>
      <w:r w:rsidR="008A4E06">
        <w:rPr>
          <w:rStyle w:val="Footer1"/>
          <w:color w:val="000000"/>
        </w:rPr>
        <w:t>454,6</w:t>
      </w:r>
      <w:r w:rsidR="001F2B9D">
        <w:rPr>
          <w:rStyle w:val="Footer1"/>
          <w:color w:val="000000"/>
        </w:rPr>
        <w:t>6</w:t>
      </w:r>
      <w:r w:rsidR="008A4E06">
        <w:rPr>
          <w:rStyle w:val="Footer1"/>
          <w:color w:val="000000"/>
        </w:rPr>
        <w:t>3</w:t>
      </w:r>
      <w:r w:rsidRPr="00F13BE0" w:rsidR="007B592E">
        <w:rPr>
          <w:rStyle w:val="Footer1"/>
          <w:color w:val="000000"/>
        </w:rPr>
        <w:t>.</w:t>
      </w:r>
    </w:p>
    <w:p w:rsidRPr="00F13BE0" w:rsidR="00025D8E" w:rsidP="0097554E" w:rsidRDefault="00025D8E" w14:paraId="703BB802" w14:textId="77777777">
      <w:pPr>
        <w:spacing w:before="120" w:after="120"/>
        <w:ind w:firstLine="720"/>
        <w:rPr>
          <w:rStyle w:val="Footer1"/>
          <w:color w:val="000000"/>
        </w:rPr>
      </w:pPr>
    </w:p>
    <w:p w:rsidRPr="00F13BE0" w:rsidR="00921D26" w:rsidP="000B0C2E" w:rsidRDefault="00921D26" w14:paraId="0CFA8476" w14:textId="77777777">
      <w:pPr>
        <w:spacing w:before="120" w:after="120"/>
        <w:jc w:val="center"/>
        <w:rPr>
          <w:rStyle w:val="Footer1"/>
          <w:b/>
          <w:color w:val="000000"/>
        </w:rPr>
      </w:pPr>
      <w:r w:rsidRPr="00F13BE0">
        <w:rPr>
          <w:rStyle w:val="Footer1"/>
          <w:b/>
          <w:color w:val="000000"/>
        </w:rPr>
        <w:t xml:space="preserve">Table </w:t>
      </w:r>
      <w:r w:rsidRPr="00F13BE0" w:rsidR="00784344">
        <w:rPr>
          <w:rStyle w:val="Footer1"/>
          <w:b/>
          <w:color w:val="000000"/>
        </w:rPr>
        <w:t>A</w:t>
      </w:r>
      <w:r w:rsidRPr="00F13BE0" w:rsidR="00EA1262">
        <w:rPr>
          <w:rStyle w:val="Footer1"/>
          <w:b/>
          <w:color w:val="000000"/>
        </w:rPr>
        <w:t>-</w:t>
      </w:r>
      <w:r w:rsidRPr="00F13BE0">
        <w:rPr>
          <w:rStyle w:val="Footer1"/>
          <w:b/>
          <w:color w:val="000000"/>
        </w:rPr>
        <w:t xml:space="preserve">14. </w:t>
      </w:r>
      <w:r w:rsidRPr="00F13BE0" w:rsidR="00C423EA">
        <w:rPr>
          <w:rStyle w:val="Footer1"/>
          <w:b/>
          <w:color w:val="000000"/>
        </w:rPr>
        <w:t>Estimated</w:t>
      </w:r>
      <w:r w:rsidRPr="00F13BE0" w:rsidR="00322F02">
        <w:rPr>
          <w:rStyle w:val="Footer1"/>
          <w:b/>
          <w:color w:val="000000"/>
        </w:rPr>
        <w:t xml:space="preserve"> </w:t>
      </w:r>
      <w:r w:rsidRPr="00F13BE0">
        <w:rPr>
          <w:rStyle w:val="Footer1"/>
          <w:b/>
          <w:color w:val="000000"/>
        </w:rPr>
        <w:t xml:space="preserve">Annualized Study </w:t>
      </w:r>
      <w:r w:rsidRPr="00F13BE0" w:rsidR="00C423EA">
        <w:rPr>
          <w:rStyle w:val="Footer1"/>
          <w:b/>
          <w:color w:val="000000"/>
        </w:rPr>
        <w:t xml:space="preserve">Hours and </w:t>
      </w:r>
      <w:r w:rsidRPr="00F13BE0">
        <w:rPr>
          <w:rStyle w:val="Footer1"/>
          <w:b/>
          <w:color w:val="000000"/>
        </w:rPr>
        <w:t>Cost</w:t>
      </w:r>
      <w:r w:rsidRPr="00F13BE0">
        <w:rPr>
          <w:rStyle w:val="Footer1"/>
          <w:b/>
          <w:color w:val="000000"/>
        </w:rPr>
        <w:b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45"/>
        <w:gridCol w:w="3150"/>
      </w:tblGrid>
      <w:tr w:rsidRPr="00F13BE0" w:rsidR="00DB4459" w:rsidTr="00364E4D" w14:paraId="7273C31E" w14:textId="77777777">
        <w:trPr>
          <w:jc w:val="center"/>
        </w:trPr>
        <w:tc>
          <w:tcPr>
            <w:tcW w:w="4945" w:type="dxa"/>
          </w:tcPr>
          <w:p w:rsidRPr="00F13BE0" w:rsidR="00DB4459" w:rsidP="0097554E" w:rsidRDefault="00DB4459" w14:paraId="01B86602" w14:textId="77777777">
            <w:pPr>
              <w:rPr>
                <w:rStyle w:val="Footer1"/>
                <w:b/>
                <w:color w:val="000000"/>
              </w:rPr>
            </w:pPr>
            <w:r w:rsidRPr="00F13BE0">
              <w:rPr>
                <w:rStyle w:val="Footer1"/>
                <w:b/>
                <w:color w:val="000000"/>
              </w:rPr>
              <w:t>Activity</w:t>
            </w:r>
          </w:p>
        </w:tc>
        <w:tc>
          <w:tcPr>
            <w:tcW w:w="3150" w:type="dxa"/>
            <w:tcBorders>
              <w:bottom w:val="single" w:color="auto" w:sz="4" w:space="0"/>
            </w:tcBorders>
          </w:tcPr>
          <w:p w:rsidRPr="00F13BE0" w:rsidR="00DB4459" w:rsidP="0097554E" w:rsidRDefault="00DB4459" w14:paraId="1A2E049D" w14:textId="77777777">
            <w:pPr>
              <w:rPr>
                <w:rStyle w:val="Footer1"/>
                <w:b/>
                <w:color w:val="000000"/>
              </w:rPr>
            </w:pPr>
            <w:r w:rsidRPr="00F13BE0">
              <w:rPr>
                <w:rStyle w:val="Footer1"/>
                <w:b/>
                <w:color w:val="000000"/>
              </w:rPr>
              <w:t>Total Respondent Costs</w:t>
            </w:r>
          </w:p>
        </w:tc>
      </w:tr>
      <w:tr w:rsidRPr="00F13BE0" w:rsidR="00DB4459" w:rsidTr="00364E4D" w14:paraId="362A205B" w14:textId="77777777">
        <w:trPr>
          <w:jc w:val="center"/>
        </w:trPr>
        <w:tc>
          <w:tcPr>
            <w:tcW w:w="4945" w:type="dxa"/>
          </w:tcPr>
          <w:p w:rsidRPr="00F13BE0" w:rsidR="00DB4459" w:rsidP="0097554E" w:rsidRDefault="00DB4459" w14:paraId="5E113CB3" w14:textId="77777777">
            <w:pPr>
              <w:rPr>
                <w:rStyle w:val="Footer1"/>
                <w:i/>
                <w:color w:val="000000"/>
              </w:rPr>
            </w:pPr>
            <w:r w:rsidRPr="00F13BE0">
              <w:rPr>
                <w:rStyle w:val="Footer1"/>
                <w:i/>
                <w:color w:val="000000"/>
              </w:rPr>
              <w:t>Contract Costs</w:t>
            </w:r>
          </w:p>
        </w:tc>
        <w:tc>
          <w:tcPr>
            <w:tcW w:w="3150" w:type="dxa"/>
          </w:tcPr>
          <w:p w:rsidRPr="00F13BE0" w:rsidR="00DB4459" w:rsidP="0097554E" w:rsidRDefault="00DB4459" w14:paraId="565280F5" w14:textId="77777777">
            <w:pPr>
              <w:rPr>
                <w:rStyle w:val="Footer1"/>
                <w:color w:val="000000"/>
              </w:rPr>
            </w:pPr>
          </w:p>
        </w:tc>
      </w:tr>
      <w:tr w:rsidRPr="00F13BE0" w:rsidR="001F2B9D" w:rsidTr="00364E4D" w14:paraId="6EE529CA" w14:textId="77777777">
        <w:trPr>
          <w:jc w:val="center"/>
        </w:trPr>
        <w:tc>
          <w:tcPr>
            <w:tcW w:w="4945" w:type="dxa"/>
          </w:tcPr>
          <w:p w:rsidRPr="00F13BE0" w:rsidR="001F2B9D" w:rsidP="001F2B9D" w:rsidRDefault="001F2B9D" w14:paraId="09280560" w14:textId="77777777">
            <w:pPr>
              <w:rPr>
                <w:rStyle w:val="Footer1"/>
                <w:color w:val="000000"/>
                <w:sz w:val="22"/>
                <w:szCs w:val="22"/>
              </w:rPr>
            </w:pPr>
            <w:bookmarkStart w:name="_Hlk187150227" w:id="17"/>
            <w:r w:rsidRPr="00F13BE0">
              <w:rPr>
                <w:rStyle w:val="Footer1"/>
                <w:color w:val="000000"/>
                <w:sz w:val="22"/>
                <w:szCs w:val="22"/>
              </w:rPr>
              <w:t xml:space="preserve">Design and plan </w:t>
            </w:r>
          </w:p>
        </w:tc>
        <w:tc>
          <w:tcPr>
            <w:tcW w:w="3150" w:type="dxa"/>
            <w:vAlign w:val="bottom"/>
          </w:tcPr>
          <w:p w:rsidRPr="001F2B9D" w:rsidR="001F2B9D" w:rsidP="001F2B9D" w:rsidRDefault="001F2B9D" w14:paraId="5F62DDD5" w14:textId="06DFA900">
            <w:pPr>
              <w:jc w:val="center"/>
              <w:rPr>
                <w:rStyle w:val="Footer1"/>
              </w:rPr>
            </w:pPr>
            <w:r w:rsidRPr="001F2B9D">
              <w:rPr>
                <w:color w:val="000000"/>
                <w:sz w:val="22"/>
                <w:szCs w:val="22"/>
              </w:rPr>
              <w:t xml:space="preserve"> $           147,735 </w:t>
            </w:r>
          </w:p>
        </w:tc>
      </w:tr>
      <w:tr w:rsidRPr="00F13BE0" w:rsidR="001F2B9D" w:rsidTr="00364E4D" w14:paraId="09A34D0F" w14:textId="77777777">
        <w:trPr>
          <w:jc w:val="center"/>
        </w:trPr>
        <w:tc>
          <w:tcPr>
            <w:tcW w:w="4945" w:type="dxa"/>
          </w:tcPr>
          <w:p w:rsidRPr="00F13BE0" w:rsidR="001F2B9D" w:rsidP="001F2B9D" w:rsidRDefault="001F2B9D" w14:paraId="68811C6C" w14:textId="77777777">
            <w:pPr>
              <w:rPr>
                <w:rStyle w:val="Footer1"/>
                <w:color w:val="000000"/>
                <w:sz w:val="22"/>
                <w:szCs w:val="22"/>
              </w:rPr>
            </w:pPr>
            <w:r w:rsidRPr="00F13BE0">
              <w:rPr>
                <w:rStyle w:val="Footer1"/>
                <w:color w:val="000000"/>
                <w:sz w:val="22"/>
                <w:szCs w:val="22"/>
              </w:rPr>
              <w:t xml:space="preserve">Programming and developing </w:t>
            </w:r>
          </w:p>
        </w:tc>
        <w:tc>
          <w:tcPr>
            <w:tcW w:w="3150" w:type="dxa"/>
            <w:vAlign w:val="bottom"/>
          </w:tcPr>
          <w:p w:rsidRPr="001F2B9D" w:rsidR="001F2B9D" w:rsidP="001F2B9D" w:rsidRDefault="001F2B9D" w14:paraId="3C2C46C2" w14:textId="4D631208">
            <w:pPr>
              <w:jc w:val="center"/>
              <w:rPr>
                <w:rStyle w:val="Footer1"/>
              </w:rPr>
            </w:pPr>
            <w:r w:rsidRPr="001F2B9D">
              <w:rPr>
                <w:color w:val="000000"/>
                <w:sz w:val="22"/>
                <w:szCs w:val="22"/>
              </w:rPr>
              <w:t xml:space="preserve"> $           129,447 </w:t>
            </w:r>
          </w:p>
        </w:tc>
      </w:tr>
      <w:tr w:rsidRPr="00F13BE0" w:rsidR="001F2B9D" w:rsidTr="00364E4D" w14:paraId="19ECD34C" w14:textId="77777777">
        <w:trPr>
          <w:jc w:val="center"/>
        </w:trPr>
        <w:tc>
          <w:tcPr>
            <w:tcW w:w="4945" w:type="dxa"/>
          </w:tcPr>
          <w:p w:rsidRPr="00F13BE0" w:rsidR="001F2B9D" w:rsidP="001F2B9D" w:rsidRDefault="001F2B9D" w14:paraId="58CFDDFD" w14:textId="77777777">
            <w:pPr>
              <w:rPr>
                <w:rStyle w:val="Footer1"/>
                <w:color w:val="000000"/>
                <w:sz w:val="22"/>
                <w:szCs w:val="22"/>
              </w:rPr>
            </w:pPr>
            <w:r w:rsidRPr="00F13BE0">
              <w:rPr>
                <w:rStyle w:val="Footer1"/>
                <w:color w:val="000000"/>
                <w:sz w:val="22"/>
                <w:szCs w:val="22"/>
              </w:rPr>
              <w:t>Recruitment and preparation</w:t>
            </w:r>
          </w:p>
        </w:tc>
        <w:tc>
          <w:tcPr>
            <w:tcW w:w="3150" w:type="dxa"/>
            <w:vAlign w:val="bottom"/>
          </w:tcPr>
          <w:p w:rsidRPr="001F2B9D" w:rsidR="001F2B9D" w:rsidP="001F2B9D" w:rsidRDefault="001F2B9D" w14:paraId="39840CD3" w14:textId="6CB79D1D">
            <w:pPr>
              <w:jc w:val="center"/>
              <w:rPr>
                <w:rStyle w:val="Footer1"/>
              </w:rPr>
            </w:pPr>
            <w:r w:rsidRPr="001F2B9D">
              <w:rPr>
                <w:color w:val="000000"/>
                <w:sz w:val="22"/>
                <w:szCs w:val="22"/>
              </w:rPr>
              <w:t xml:space="preserve"> $           165,791 </w:t>
            </w:r>
          </w:p>
        </w:tc>
      </w:tr>
      <w:tr w:rsidRPr="00F13BE0" w:rsidR="001F2B9D" w:rsidTr="00364E4D" w14:paraId="34E4CED1" w14:textId="77777777">
        <w:trPr>
          <w:jc w:val="center"/>
        </w:trPr>
        <w:tc>
          <w:tcPr>
            <w:tcW w:w="4945" w:type="dxa"/>
          </w:tcPr>
          <w:p w:rsidRPr="00F13BE0" w:rsidR="001F2B9D" w:rsidP="001F2B9D" w:rsidRDefault="001F2B9D" w14:paraId="2D72B984" w14:textId="77777777">
            <w:pPr>
              <w:rPr>
                <w:rStyle w:val="Footer1"/>
                <w:color w:val="000000"/>
                <w:sz w:val="22"/>
                <w:szCs w:val="22"/>
              </w:rPr>
            </w:pPr>
            <w:r w:rsidRPr="00F13BE0">
              <w:rPr>
                <w:rStyle w:val="Footer1"/>
                <w:color w:val="000000"/>
                <w:sz w:val="22"/>
                <w:szCs w:val="22"/>
              </w:rPr>
              <w:t>Printing and distribution</w:t>
            </w:r>
          </w:p>
        </w:tc>
        <w:tc>
          <w:tcPr>
            <w:tcW w:w="3150" w:type="dxa"/>
            <w:vAlign w:val="bottom"/>
          </w:tcPr>
          <w:p w:rsidRPr="001F2B9D" w:rsidR="001F2B9D" w:rsidP="001F2B9D" w:rsidRDefault="001F2B9D" w14:paraId="2543CB8E" w14:textId="5B134411">
            <w:pPr>
              <w:jc w:val="center"/>
              <w:rPr>
                <w:rStyle w:val="Footer1"/>
              </w:rPr>
            </w:pPr>
            <w:r w:rsidRPr="001F2B9D">
              <w:rPr>
                <w:color w:val="000000"/>
                <w:sz w:val="22"/>
                <w:szCs w:val="22"/>
              </w:rPr>
              <w:t xml:space="preserve"> $              39,538 </w:t>
            </w:r>
          </w:p>
        </w:tc>
      </w:tr>
      <w:tr w:rsidRPr="00F13BE0" w:rsidR="001F2B9D" w:rsidTr="00364E4D" w14:paraId="3CC42614" w14:textId="77777777">
        <w:trPr>
          <w:jc w:val="center"/>
        </w:trPr>
        <w:tc>
          <w:tcPr>
            <w:tcW w:w="4945" w:type="dxa"/>
          </w:tcPr>
          <w:p w:rsidRPr="00F13BE0" w:rsidR="001F2B9D" w:rsidP="001F2B9D" w:rsidRDefault="001F2B9D" w14:paraId="48DF05A9" w14:textId="77777777">
            <w:pPr>
              <w:rPr>
                <w:rStyle w:val="Footer1"/>
                <w:color w:val="000000"/>
                <w:sz w:val="22"/>
                <w:szCs w:val="22"/>
              </w:rPr>
            </w:pPr>
            <w:r w:rsidRPr="00F13BE0">
              <w:rPr>
                <w:rStyle w:val="Footer1"/>
                <w:color w:val="000000"/>
                <w:sz w:val="22"/>
                <w:szCs w:val="22"/>
              </w:rPr>
              <w:t xml:space="preserve">Recruiting and training </w:t>
            </w:r>
          </w:p>
        </w:tc>
        <w:tc>
          <w:tcPr>
            <w:tcW w:w="3150" w:type="dxa"/>
            <w:vAlign w:val="bottom"/>
          </w:tcPr>
          <w:p w:rsidRPr="001F2B9D" w:rsidR="001F2B9D" w:rsidP="001F2B9D" w:rsidRDefault="001F2B9D" w14:paraId="2EE90727" w14:textId="0D2714A0">
            <w:pPr>
              <w:jc w:val="center"/>
              <w:rPr>
                <w:rStyle w:val="Footer1"/>
              </w:rPr>
            </w:pPr>
            <w:r w:rsidRPr="001F2B9D">
              <w:rPr>
                <w:color w:val="000000"/>
                <w:sz w:val="22"/>
                <w:szCs w:val="22"/>
              </w:rPr>
              <w:t xml:space="preserve"> $           110,737 </w:t>
            </w:r>
          </w:p>
        </w:tc>
      </w:tr>
      <w:tr w:rsidRPr="00F13BE0" w:rsidR="001F2B9D" w:rsidTr="00364E4D" w14:paraId="451A1E98" w14:textId="77777777">
        <w:trPr>
          <w:jc w:val="center"/>
        </w:trPr>
        <w:tc>
          <w:tcPr>
            <w:tcW w:w="4945" w:type="dxa"/>
          </w:tcPr>
          <w:p w:rsidRPr="00F13BE0" w:rsidR="001F2B9D" w:rsidP="001F2B9D" w:rsidRDefault="001F2B9D" w14:paraId="4BF5AEF9" w14:textId="77777777">
            <w:pPr>
              <w:rPr>
                <w:rStyle w:val="Footer1"/>
                <w:color w:val="000000"/>
                <w:sz w:val="22"/>
                <w:szCs w:val="22"/>
              </w:rPr>
            </w:pPr>
            <w:r w:rsidRPr="00F13BE0">
              <w:rPr>
                <w:rStyle w:val="Footer1"/>
                <w:color w:val="000000"/>
                <w:sz w:val="22"/>
                <w:szCs w:val="22"/>
              </w:rPr>
              <w:t>Collection of data</w:t>
            </w:r>
          </w:p>
        </w:tc>
        <w:tc>
          <w:tcPr>
            <w:tcW w:w="3150" w:type="dxa"/>
            <w:vAlign w:val="bottom"/>
          </w:tcPr>
          <w:p w:rsidRPr="001F2B9D" w:rsidR="001F2B9D" w:rsidP="001F2B9D" w:rsidRDefault="001F2B9D" w14:paraId="2B465AE7" w14:textId="2F4EE670">
            <w:pPr>
              <w:jc w:val="center"/>
              <w:rPr>
                <w:rStyle w:val="Footer1"/>
              </w:rPr>
            </w:pPr>
            <w:r w:rsidRPr="001F2B9D">
              <w:rPr>
                <w:color w:val="000000"/>
                <w:sz w:val="22"/>
                <w:szCs w:val="22"/>
              </w:rPr>
              <w:t xml:space="preserve"> $           644,325 </w:t>
            </w:r>
          </w:p>
        </w:tc>
      </w:tr>
      <w:tr w:rsidRPr="00F13BE0" w:rsidR="001F2B9D" w:rsidTr="00364E4D" w14:paraId="37CAEE2E" w14:textId="77777777">
        <w:trPr>
          <w:jc w:val="center"/>
        </w:trPr>
        <w:tc>
          <w:tcPr>
            <w:tcW w:w="4945" w:type="dxa"/>
          </w:tcPr>
          <w:p w:rsidRPr="00F13BE0" w:rsidR="001F2B9D" w:rsidP="001F2B9D" w:rsidRDefault="001F2B9D" w14:paraId="16147C6C" w14:textId="538C31D4">
            <w:pPr>
              <w:rPr>
                <w:rStyle w:val="Footer1"/>
                <w:color w:val="000000"/>
                <w:sz w:val="22"/>
                <w:szCs w:val="22"/>
              </w:rPr>
            </w:pPr>
            <w:r w:rsidRPr="00F13BE0">
              <w:rPr>
                <w:rStyle w:val="Footer1"/>
                <w:color w:val="000000"/>
                <w:sz w:val="22"/>
                <w:szCs w:val="22"/>
              </w:rPr>
              <w:t>Processing, cleaning, weigh</w:t>
            </w:r>
            <w:r>
              <w:rPr>
                <w:rStyle w:val="Footer1"/>
                <w:color w:val="000000"/>
                <w:sz w:val="22"/>
                <w:szCs w:val="22"/>
              </w:rPr>
              <w:t>t</w:t>
            </w:r>
            <w:r w:rsidRPr="00F13BE0">
              <w:rPr>
                <w:rStyle w:val="Footer1"/>
                <w:color w:val="000000"/>
                <w:sz w:val="22"/>
                <w:szCs w:val="22"/>
              </w:rPr>
              <w:t xml:space="preserve">ing and developing data files </w:t>
            </w:r>
          </w:p>
        </w:tc>
        <w:tc>
          <w:tcPr>
            <w:tcW w:w="3150" w:type="dxa"/>
            <w:vAlign w:val="bottom"/>
          </w:tcPr>
          <w:p w:rsidRPr="001F2B9D" w:rsidR="001F2B9D" w:rsidP="001F2B9D" w:rsidRDefault="001F2B9D" w14:paraId="2AF5EE7D" w14:textId="00EB25E4">
            <w:pPr>
              <w:jc w:val="center"/>
              <w:rPr>
                <w:rStyle w:val="Footer1"/>
              </w:rPr>
            </w:pPr>
            <w:r w:rsidRPr="001F2B9D">
              <w:rPr>
                <w:color w:val="000000"/>
                <w:sz w:val="22"/>
                <w:szCs w:val="22"/>
              </w:rPr>
              <w:t xml:space="preserve"> $           139,083 </w:t>
            </w:r>
          </w:p>
        </w:tc>
      </w:tr>
      <w:tr w:rsidRPr="00F13BE0" w:rsidR="001F2B9D" w:rsidTr="00364E4D" w14:paraId="5404E540" w14:textId="77777777">
        <w:trPr>
          <w:jc w:val="center"/>
        </w:trPr>
        <w:tc>
          <w:tcPr>
            <w:tcW w:w="4945" w:type="dxa"/>
          </w:tcPr>
          <w:p w:rsidRPr="00F13BE0" w:rsidR="001F2B9D" w:rsidP="001F2B9D" w:rsidRDefault="001F2B9D" w14:paraId="7F201A19" w14:textId="77777777">
            <w:pPr>
              <w:rPr>
                <w:rStyle w:val="Footer1"/>
                <w:color w:val="000000"/>
                <w:sz w:val="22"/>
                <w:szCs w:val="22"/>
              </w:rPr>
            </w:pPr>
            <w:r w:rsidRPr="00F13BE0">
              <w:rPr>
                <w:rStyle w:val="Footer1"/>
                <w:color w:val="000000"/>
                <w:sz w:val="22"/>
                <w:szCs w:val="22"/>
              </w:rPr>
              <w:t>Dissemination and reporting of results</w:t>
            </w:r>
          </w:p>
        </w:tc>
        <w:tc>
          <w:tcPr>
            <w:tcW w:w="3150" w:type="dxa"/>
            <w:vAlign w:val="bottom"/>
          </w:tcPr>
          <w:p w:rsidRPr="001F2B9D" w:rsidR="001F2B9D" w:rsidP="001F2B9D" w:rsidRDefault="001F2B9D" w14:paraId="0D96248D" w14:textId="58194F14">
            <w:pPr>
              <w:jc w:val="center"/>
              <w:rPr>
                <w:rStyle w:val="Footer1"/>
              </w:rPr>
            </w:pPr>
            <w:r w:rsidRPr="001F2B9D">
              <w:rPr>
                <w:color w:val="000000"/>
                <w:sz w:val="22"/>
                <w:szCs w:val="22"/>
              </w:rPr>
              <w:t xml:space="preserve"> $              63,724 </w:t>
            </w:r>
          </w:p>
        </w:tc>
      </w:tr>
      <w:tr w:rsidRPr="00F13BE0" w:rsidR="001F2B9D" w:rsidTr="00364E4D" w14:paraId="67E435C4" w14:textId="77777777">
        <w:trPr>
          <w:jc w:val="center"/>
        </w:trPr>
        <w:tc>
          <w:tcPr>
            <w:tcW w:w="4945" w:type="dxa"/>
          </w:tcPr>
          <w:p w:rsidRPr="00F13BE0" w:rsidR="001F2B9D" w:rsidP="001F2B9D" w:rsidRDefault="001F2B9D" w14:paraId="5ADBB2A6" w14:textId="77777777">
            <w:pPr>
              <w:rPr>
                <w:rStyle w:val="Footer1"/>
                <w:b/>
                <w:color w:val="000000"/>
                <w:sz w:val="22"/>
                <w:szCs w:val="22"/>
              </w:rPr>
            </w:pPr>
            <w:r w:rsidRPr="00F13BE0">
              <w:rPr>
                <w:rStyle w:val="Footer1"/>
                <w:b/>
                <w:color w:val="000000"/>
                <w:sz w:val="22"/>
                <w:szCs w:val="22"/>
              </w:rPr>
              <w:t>Subtotal</w:t>
            </w:r>
          </w:p>
        </w:tc>
        <w:tc>
          <w:tcPr>
            <w:tcW w:w="3150" w:type="dxa"/>
            <w:vAlign w:val="bottom"/>
          </w:tcPr>
          <w:p w:rsidRPr="001F2B9D" w:rsidR="001F2B9D" w:rsidP="001F2B9D" w:rsidRDefault="001F2B9D" w14:paraId="39616172" w14:textId="179F34E9">
            <w:pPr>
              <w:jc w:val="center"/>
              <w:rPr>
                <w:rStyle w:val="Footer1"/>
                <w:b/>
                <w:bCs/>
              </w:rPr>
            </w:pPr>
            <w:r w:rsidRPr="001F2B9D">
              <w:rPr>
                <w:color w:val="000000"/>
                <w:sz w:val="22"/>
                <w:szCs w:val="22"/>
              </w:rPr>
              <w:t xml:space="preserve"> $        1,440,380 </w:t>
            </w:r>
          </w:p>
        </w:tc>
      </w:tr>
      <w:bookmarkEnd w:id="17"/>
      <w:tr w:rsidRPr="00F13BE0" w:rsidR="001F2B9D" w:rsidTr="00364E4D" w14:paraId="48A3AA9F" w14:textId="77777777">
        <w:trPr>
          <w:jc w:val="center"/>
        </w:trPr>
        <w:tc>
          <w:tcPr>
            <w:tcW w:w="4945" w:type="dxa"/>
          </w:tcPr>
          <w:p w:rsidRPr="00F13BE0" w:rsidR="001F2B9D" w:rsidP="001F2B9D" w:rsidRDefault="001F2B9D" w14:paraId="38EF9ADD" w14:textId="77777777">
            <w:pPr>
              <w:rPr>
                <w:rStyle w:val="Footer1"/>
                <w:i/>
                <w:color w:val="000000"/>
                <w:sz w:val="22"/>
                <w:szCs w:val="22"/>
              </w:rPr>
            </w:pPr>
            <w:r w:rsidRPr="00F13BE0">
              <w:rPr>
                <w:rStyle w:val="Footer1"/>
                <w:i/>
                <w:color w:val="000000"/>
                <w:sz w:val="22"/>
                <w:szCs w:val="22"/>
              </w:rPr>
              <w:t>Federal Employee Time Cost</w:t>
            </w:r>
          </w:p>
        </w:tc>
        <w:tc>
          <w:tcPr>
            <w:tcW w:w="3150" w:type="dxa"/>
            <w:vAlign w:val="bottom"/>
          </w:tcPr>
          <w:p w:rsidRPr="001F2B9D" w:rsidR="001F2B9D" w:rsidP="001F2B9D" w:rsidRDefault="001F2B9D" w14:paraId="5B14D106" w14:textId="77777777">
            <w:pPr>
              <w:jc w:val="center"/>
              <w:rPr>
                <w:rStyle w:val="Footer1"/>
                <w:b/>
                <w:color w:val="000000"/>
              </w:rPr>
            </w:pPr>
          </w:p>
        </w:tc>
      </w:tr>
      <w:tr w:rsidRPr="00F13BE0" w:rsidR="001F2B9D" w:rsidTr="00364E4D" w14:paraId="0E207E36" w14:textId="77777777">
        <w:trPr>
          <w:jc w:val="center"/>
        </w:trPr>
        <w:tc>
          <w:tcPr>
            <w:tcW w:w="4945" w:type="dxa"/>
          </w:tcPr>
          <w:p w:rsidRPr="00F13BE0" w:rsidR="001F2B9D" w:rsidP="001F2B9D" w:rsidRDefault="001F2B9D" w14:paraId="49D56EA0" w14:textId="552E1488">
            <w:pPr>
              <w:rPr>
                <w:rStyle w:val="Footer1"/>
                <w:color w:val="000000"/>
                <w:sz w:val="22"/>
                <w:szCs w:val="22"/>
              </w:rPr>
            </w:pPr>
            <w:r w:rsidRPr="00F13BE0">
              <w:rPr>
                <w:rStyle w:val="Footer1"/>
                <w:color w:val="000000"/>
                <w:sz w:val="22"/>
                <w:szCs w:val="22"/>
              </w:rPr>
              <w:lastRenderedPageBreak/>
              <w:t>10% time for contract officer technical representative</w:t>
            </w:r>
          </w:p>
        </w:tc>
        <w:tc>
          <w:tcPr>
            <w:tcW w:w="3150" w:type="dxa"/>
            <w:vAlign w:val="bottom"/>
          </w:tcPr>
          <w:p w:rsidRPr="001F2B9D" w:rsidR="001F2B9D" w:rsidP="001F2B9D" w:rsidRDefault="001F2B9D" w14:paraId="1C01DA4D" w14:textId="70D9328A">
            <w:pPr>
              <w:jc w:val="center"/>
              <w:rPr>
                <w:rStyle w:val="Footer1"/>
                <w:color w:val="000000"/>
              </w:rPr>
            </w:pPr>
            <w:r w:rsidRPr="001F2B9D">
              <w:rPr>
                <w:color w:val="000000"/>
                <w:sz w:val="22"/>
                <w:szCs w:val="22"/>
              </w:rPr>
              <w:t xml:space="preserve"> $              14,283 </w:t>
            </w:r>
          </w:p>
        </w:tc>
      </w:tr>
      <w:tr w:rsidRPr="001C2747" w:rsidR="001F2B9D" w:rsidTr="00364E4D" w14:paraId="4603356A" w14:textId="77777777">
        <w:trPr>
          <w:jc w:val="center"/>
        </w:trPr>
        <w:tc>
          <w:tcPr>
            <w:tcW w:w="4945" w:type="dxa"/>
          </w:tcPr>
          <w:p w:rsidRPr="00F13BE0" w:rsidR="001F2B9D" w:rsidP="001F2B9D" w:rsidRDefault="001F2B9D" w14:paraId="6C8DE0D7" w14:textId="77777777">
            <w:pPr>
              <w:rPr>
                <w:rStyle w:val="Footer1"/>
                <w:b/>
                <w:color w:val="000000"/>
                <w:sz w:val="22"/>
                <w:szCs w:val="22"/>
              </w:rPr>
            </w:pPr>
            <w:r w:rsidRPr="00F13BE0">
              <w:rPr>
                <w:rStyle w:val="Footer1"/>
                <w:b/>
                <w:color w:val="000000"/>
                <w:sz w:val="22"/>
                <w:szCs w:val="22"/>
              </w:rPr>
              <w:t>Average Annualized Cost</w:t>
            </w:r>
          </w:p>
        </w:tc>
        <w:tc>
          <w:tcPr>
            <w:tcW w:w="3150" w:type="dxa"/>
            <w:vAlign w:val="bottom"/>
          </w:tcPr>
          <w:p w:rsidRPr="001F2B9D" w:rsidR="001F2B9D" w:rsidP="001F2B9D" w:rsidRDefault="001F2B9D" w14:paraId="19F779AA" w14:textId="6C6BB6B8">
            <w:pPr>
              <w:jc w:val="center"/>
              <w:rPr>
                <w:rStyle w:val="Footer1"/>
                <w:b/>
                <w:bCs/>
                <w:color w:val="000000"/>
              </w:rPr>
            </w:pPr>
            <w:r w:rsidRPr="001F2B9D">
              <w:rPr>
                <w:color w:val="000000"/>
                <w:sz w:val="22"/>
                <w:szCs w:val="22"/>
              </w:rPr>
              <w:t xml:space="preserve"> $        1,454,663 </w:t>
            </w:r>
          </w:p>
        </w:tc>
      </w:tr>
    </w:tbl>
    <w:p w:rsidRPr="001C2747" w:rsidR="0050513E" w:rsidP="000B0C2E" w:rsidRDefault="0050513E" w14:paraId="7ABFFAAD" w14:textId="77777777">
      <w:pPr>
        <w:pStyle w:val="Heading2"/>
        <w:spacing w:before="120" w:after="120"/>
        <w:rPr>
          <w:rFonts w:ascii="Times New Roman" w:hAnsi="Times New Roman" w:cs="Times New Roman"/>
        </w:rPr>
      </w:pPr>
      <w:r w:rsidRPr="001C2747">
        <w:rPr>
          <w:rFonts w:ascii="Times New Roman" w:hAnsi="Times New Roman" w:cs="Times New Roman"/>
          <w:b/>
          <w:bCs/>
        </w:rPr>
        <w:t>A.15</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EXPLANATION OF PROGRAM CHANGES OR ADJUSTMENTS</w:t>
      </w:r>
      <w:r w:rsidRPr="001C2747">
        <w:rPr>
          <w:rFonts w:ascii="Times New Roman" w:hAnsi="Times New Roman" w:cs="Times New Roman"/>
          <w:b/>
          <w:bCs/>
        </w:rPr>
        <w:t xml:space="preserve"> </w:t>
      </w:r>
    </w:p>
    <w:p w:rsidRPr="001C2747" w:rsidR="00D60CBD" w:rsidP="000B0C2E" w:rsidRDefault="00DA2F72" w14:paraId="62719EAC" w14:textId="72D1B596">
      <w:pPr>
        <w:spacing w:before="120" w:after="120"/>
        <w:ind w:firstLine="720"/>
      </w:pPr>
      <w:r w:rsidRPr="001C2747">
        <w:t xml:space="preserve">The proposed study is a reinstatement of the YRBS </w:t>
      </w:r>
      <w:r w:rsidRPr="001C2747" w:rsidR="00D00148">
        <w:t>20</w:t>
      </w:r>
      <w:r w:rsidR="00D00148">
        <w:t>19</w:t>
      </w:r>
      <w:r w:rsidRPr="001C2747" w:rsidR="00D00148">
        <w:t xml:space="preserve"> </w:t>
      </w:r>
      <w:r w:rsidRPr="001C2747">
        <w:t xml:space="preserve">study, with changes. </w:t>
      </w:r>
      <w:r w:rsidRPr="001C2747" w:rsidR="00D60CBD">
        <w:t xml:space="preserve"> CDC seeks to reinstate the information collection for a period of three years in order to conduct the </w:t>
      </w:r>
      <w:r w:rsidR="006C64AB">
        <w:t xml:space="preserve">ABES in spring 2021 and the </w:t>
      </w:r>
      <w:r w:rsidRPr="001C2747" w:rsidR="00D60CBD">
        <w:t xml:space="preserve">YRBS in </w:t>
      </w:r>
      <w:r w:rsidR="006C64AB">
        <w:t xml:space="preserve">fall </w:t>
      </w:r>
      <w:r w:rsidRPr="001C2747" w:rsidR="00D00148">
        <w:t>20</w:t>
      </w:r>
      <w:r w:rsidR="00D00148">
        <w:t>21</w:t>
      </w:r>
      <w:r w:rsidRPr="001C2747" w:rsidR="00D00148">
        <w:t xml:space="preserve"> </w:t>
      </w:r>
      <w:r w:rsidRPr="001C2747" w:rsidR="00D60CBD">
        <w:t xml:space="preserve">and </w:t>
      </w:r>
      <w:r w:rsidR="006C64AB">
        <w:t xml:space="preserve">spring </w:t>
      </w:r>
      <w:r w:rsidRPr="001C2747" w:rsidR="00D00148">
        <w:t>20</w:t>
      </w:r>
      <w:r w:rsidR="00D00148">
        <w:t>23</w:t>
      </w:r>
      <w:r w:rsidRPr="001C2747" w:rsidR="00D60CBD">
        <w:t xml:space="preserve">.  </w:t>
      </w:r>
      <w:r w:rsidRPr="001C2747" w:rsidR="00B878FB">
        <w:t xml:space="preserve">Minor changes incorporated into this reinstatement request include: an updated title for the information collection to accurately reflect the years in which the </w:t>
      </w:r>
      <w:r w:rsidR="00301322">
        <w:t>YRBS</w:t>
      </w:r>
      <w:r w:rsidRPr="001C2747" w:rsidR="00301322">
        <w:t xml:space="preserve"> </w:t>
      </w:r>
      <w:r w:rsidRPr="001C2747" w:rsidR="00B878FB">
        <w:t>will be conducted, a slightly modified</w:t>
      </w:r>
      <w:r w:rsidR="00301322">
        <w:t xml:space="preserve"> YRBS</w:t>
      </w:r>
      <w:r w:rsidRPr="001C2747" w:rsidR="00B878FB">
        <w:t xml:space="preserve"> questionnaire (</w:t>
      </w:r>
      <w:r w:rsidR="00761D81">
        <w:rPr>
          <w:b/>
        </w:rPr>
        <w:t>Attachment</w:t>
      </w:r>
      <w:r w:rsidRPr="006A1E7E" w:rsidR="00B878FB">
        <w:rPr>
          <w:b/>
          <w:bCs/>
        </w:rPr>
        <w:t xml:space="preserve"> </w:t>
      </w:r>
      <w:r w:rsidR="00C536A7">
        <w:rPr>
          <w:b/>
          <w:bCs/>
        </w:rPr>
        <w:t>K</w:t>
      </w:r>
      <w:r w:rsidR="00301322">
        <w:rPr>
          <w:b/>
          <w:bCs/>
        </w:rPr>
        <w:t>1</w:t>
      </w:r>
      <w:r w:rsidRPr="001C2747" w:rsidR="00B878FB">
        <w:t xml:space="preserve">), and </w:t>
      </w:r>
      <w:r w:rsidRPr="001C2747">
        <w:t>a</w:t>
      </w:r>
      <w:r w:rsidR="00C536A7">
        <w:t xml:space="preserve"> transition to a tablet-based methodology in 2023</w:t>
      </w:r>
      <w:r w:rsidR="00503DFB">
        <w:t xml:space="preserve"> that includes a test of this methodology in 2021</w:t>
      </w:r>
      <w:r w:rsidR="00C536A7">
        <w:t xml:space="preserve">.  </w:t>
      </w:r>
      <w:r w:rsidRPr="001C2747" w:rsidR="00412086">
        <w:t xml:space="preserve">The </w:t>
      </w:r>
      <w:r w:rsidRPr="001C2747" w:rsidR="00D00148">
        <w:t>20</w:t>
      </w:r>
      <w:r w:rsidR="00D00148">
        <w:t>21</w:t>
      </w:r>
      <w:r w:rsidRPr="001C2747" w:rsidR="00D00148">
        <w:t xml:space="preserve"> </w:t>
      </w:r>
      <w:r w:rsidRPr="001C2747" w:rsidR="00412086">
        <w:t xml:space="preserve">YRBS questionnaire </w:t>
      </w:r>
      <w:r w:rsidRPr="001C2747" w:rsidR="00260743">
        <w:t>(</w:t>
      </w:r>
      <w:r w:rsidR="00761D81">
        <w:rPr>
          <w:b/>
        </w:rPr>
        <w:t>Attachment</w:t>
      </w:r>
      <w:r w:rsidRPr="001C2747" w:rsidR="00260743">
        <w:rPr>
          <w:b/>
        </w:rPr>
        <w:t xml:space="preserve"> </w:t>
      </w:r>
      <w:r w:rsidR="00C536A7">
        <w:rPr>
          <w:b/>
        </w:rPr>
        <w:t>K</w:t>
      </w:r>
      <w:r w:rsidR="00503DFB">
        <w:rPr>
          <w:b/>
        </w:rPr>
        <w:t>1</w:t>
      </w:r>
      <w:r w:rsidRPr="001C2747" w:rsidR="00260743">
        <w:t xml:space="preserve">) </w:t>
      </w:r>
      <w:r w:rsidRPr="001C2747" w:rsidR="00412086">
        <w:t>was created by modifying the 201</w:t>
      </w:r>
      <w:r w:rsidR="00D00148">
        <w:t>9</w:t>
      </w:r>
      <w:r w:rsidRPr="001C2747" w:rsidR="00C31862">
        <w:t xml:space="preserve"> YRBS questionnaire.</w:t>
      </w:r>
      <w:r w:rsidRPr="001C2747" w:rsidR="00301322">
        <w:t xml:space="preserve"> </w:t>
      </w:r>
      <w:r w:rsidR="00301322">
        <w:t xml:space="preserve">This reinstatement with change also adds the Adolescent Behaviors and Experiences Survey (ABES), which will use a slightly modified Youth Risk Behavior Survey questionnaire </w:t>
      </w:r>
      <w:r w:rsidR="00503DFB">
        <w:t>(</w:t>
      </w:r>
      <w:r w:rsidRPr="00503DFB" w:rsidR="00503DFB">
        <w:rPr>
          <w:b/>
          <w:bCs/>
        </w:rPr>
        <w:t>Attachment K2</w:t>
      </w:r>
      <w:r w:rsidR="00503DFB">
        <w:t xml:space="preserve">) </w:t>
      </w:r>
      <w:r w:rsidR="00301322">
        <w:t>to collect data from high school students during the COVID-19 pandemic</w:t>
      </w:r>
      <w:r w:rsidR="00503DFB">
        <w:t xml:space="preserve"> using web-based data collection.</w:t>
      </w:r>
      <w:r w:rsidRPr="001C2747" w:rsidR="00C31862">
        <w:t xml:space="preserve"> </w:t>
      </w:r>
    </w:p>
    <w:p w:rsidRPr="001C2747" w:rsidR="0050513E" w:rsidP="000B0C2E" w:rsidRDefault="0050513E" w14:paraId="47B5D688" w14:textId="77777777">
      <w:pPr>
        <w:pStyle w:val="Heading2"/>
        <w:spacing w:before="120" w:after="120"/>
        <w:ind w:left="720" w:hanging="720"/>
        <w:rPr>
          <w:rFonts w:ascii="Times New Roman" w:hAnsi="Times New Roman" w:cs="Times New Roman"/>
        </w:rPr>
      </w:pPr>
      <w:r w:rsidRPr="001C2747">
        <w:rPr>
          <w:rFonts w:ascii="Times New Roman" w:hAnsi="Times New Roman" w:cs="Times New Roman"/>
          <w:b/>
          <w:bCs/>
        </w:rPr>
        <w:t>A.16</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PLANS FOR TABULATION AND PUBLICATION AND PROJECT TIME SCHEDULE</w:t>
      </w:r>
    </w:p>
    <w:p w:rsidRPr="001C2747" w:rsidR="0050513E" w:rsidP="000B0C2E" w:rsidRDefault="0050513E" w14:paraId="1DFAFD0D" w14:textId="121F33A8">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1440" w:hanging="720"/>
        <w:rPr>
          <w:b/>
        </w:rPr>
      </w:pPr>
      <w:r w:rsidRPr="001C2747">
        <w:rPr>
          <w:b/>
          <w:bCs/>
          <w:u w:val="single"/>
        </w:rPr>
        <w:t>Tabulation Plans</w:t>
      </w:r>
    </w:p>
    <w:p w:rsidRPr="001C2747" w:rsidR="0050513E" w:rsidP="000B0C2E" w:rsidRDefault="0050513E" w14:paraId="43F79AC7" w14:textId="35531EF7">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 xml:space="preserve">Data </w:t>
      </w:r>
      <w:r w:rsidR="00503DFB">
        <w:t xml:space="preserve">from both the ABES and YRBS </w:t>
      </w:r>
      <w:r w:rsidRPr="001C2747">
        <w:t xml:space="preserve">will be tabulated in ways that will address the </w:t>
      </w:r>
      <w:r w:rsidR="002A0C10">
        <w:t>principal</w:t>
      </w:r>
      <w:r w:rsidRPr="001C2747" w:rsidR="002A0C10">
        <w:t xml:space="preserve"> </w:t>
      </w:r>
      <w:r w:rsidRPr="001C2747">
        <w:t xml:space="preserve">research purposes outlined in </w:t>
      </w:r>
      <w:r w:rsidRPr="001C2747" w:rsidR="00553BAE">
        <w:t xml:space="preserve">Sections A.1 and </w:t>
      </w:r>
      <w:r w:rsidRPr="001C2747">
        <w:t>A.2.  The planned analyses to be conducted by CDC are described briefly below</w:t>
      </w:r>
      <w:r w:rsidR="007A6E82">
        <w:t>:</w:t>
      </w:r>
    </w:p>
    <w:p w:rsidRPr="001C2747" w:rsidR="0050513E" w:rsidP="00031FBD" w:rsidRDefault="0050513E" w14:paraId="5C826F0F" w14:textId="389EBFDB">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hanging="720"/>
      </w:pPr>
      <w:r w:rsidRPr="0097554E">
        <w:rPr>
          <w:i/>
          <w:iCs/>
        </w:rPr>
        <w:t>Estimate the extent to which high school students engage in behaviors placing them at risk for the major short- and long-term causes of mortality and morbidity</w:t>
      </w:r>
      <w:r w:rsidR="002A1938">
        <w:rPr>
          <w:i/>
          <w:iCs/>
        </w:rPr>
        <w:t xml:space="preserve"> and describe their experiences during the COVID-19 pandemic</w:t>
      </w:r>
      <w:r w:rsidRPr="001C2747">
        <w:t xml:space="preserve">--Descriptive statistics (percentages and confidence intervals) will be calculated to address this objective. </w:t>
      </w:r>
    </w:p>
    <w:p w:rsidRPr="001C2747" w:rsidR="0050513E" w:rsidP="0097554E" w:rsidRDefault="0050513E" w14:paraId="7112B199" w14:textId="3B5535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2.</w:t>
      </w:r>
      <w:r w:rsidRPr="001C2747">
        <w:tab/>
      </w:r>
      <w:r w:rsidRPr="001C2747">
        <w:rPr>
          <w:i/>
          <w:iCs/>
        </w:rPr>
        <w:t xml:space="preserve">Assess the degree to which </w:t>
      </w:r>
      <w:r w:rsidRPr="001C2747" w:rsidR="00F71AA1">
        <w:rPr>
          <w:i/>
          <w:iCs/>
        </w:rPr>
        <w:t>health</w:t>
      </w:r>
      <w:r w:rsidR="00F71AA1">
        <w:rPr>
          <w:i/>
          <w:iCs/>
        </w:rPr>
        <w:t>-</w:t>
      </w:r>
      <w:r w:rsidRPr="001C2747">
        <w:rPr>
          <w:i/>
          <w:iCs/>
        </w:rPr>
        <w:t xml:space="preserve">risk behaviors </w:t>
      </w:r>
      <w:r w:rsidR="002A1938">
        <w:rPr>
          <w:i/>
          <w:iCs/>
        </w:rPr>
        <w:t xml:space="preserve">and experiences </w:t>
      </w:r>
      <w:r w:rsidRPr="001C2747">
        <w:rPr>
          <w:i/>
          <w:iCs/>
        </w:rPr>
        <w:t>var</w:t>
      </w:r>
      <w:r w:rsidR="002A1938">
        <w:rPr>
          <w:i/>
          <w:iCs/>
        </w:rPr>
        <w:t>y</w:t>
      </w:r>
      <w:r w:rsidRPr="001C2747">
        <w:rPr>
          <w:i/>
          <w:iCs/>
        </w:rPr>
        <w:t xml:space="preserve"> by student as a function of gender, age, grade in school, and race/ethnicity</w:t>
      </w:r>
      <w:r w:rsidRPr="001C2747">
        <w:t>--Cross tabulations, Chi-square analyses, and regression analysis initially will be conducted to address this objective.  Subsequently, student demographic characteristics will be regressed against behaviors.</w:t>
      </w:r>
    </w:p>
    <w:p w:rsidRPr="001C2747" w:rsidR="0050513E" w:rsidP="000B0C2E" w:rsidRDefault="0050513E" w14:paraId="75342DE5" w14:textId="3110DF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rPr>
          <w:i/>
          <w:iCs/>
        </w:rPr>
      </w:pPr>
      <w:r w:rsidRPr="001C2747">
        <w:t>3.</w:t>
      </w:r>
      <w:r w:rsidRPr="001C2747">
        <w:tab/>
      </w:r>
      <w:r w:rsidRPr="001C2747">
        <w:rPr>
          <w:i/>
          <w:iCs/>
        </w:rPr>
        <w:t xml:space="preserve">Determine the interrelationships among </w:t>
      </w:r>
      <w:r w:rsidRPr="001C2747" w:rsidR="00F71AA1">
        <w:rPr>
          <w:i/>
          <w:iCs/>
        </w:rPr>
        <w:t>health</w:t>
      </w:r>
      <w:r w:rsidR="00F71AA1">
        <w:rPr>
          <w:i/>
          <w:iCs/>
        </w:rPr>
        <w:t>-</w:t>
      </w:r>
      <w:r w:rsidRPr="001C2747">
        <w:rPr>
          <w:i/>
          <w:iCs/>
        </w:rPr>
        <w:t>risk behaviors</w:t>
      </w:r>
      <w:r w:rsidR="002A1938">
        <w:rPr>
          <w:i/>
          <w:iCs/>
        </w:rPr>
        <w:t xml:space="preserve"> and experiences</w:t>
      </w:r>
      <w:r w:rsidRPr="001C2747">
        <w:rPr>
          <w:i/>
          <w:iCs/>
        </w:rPr>
        <w:t xml:space="preserve"> and whether these interrelationships vary as a function of gender, age, grade in school, and race/ethnicity--</w:t>
      </w:r>
      <w:r w:rsidRPr="001C2747">
        <w:t xml:space="preserve">Correlation matrices and a variety of multiple regression techniques will be used to determine the relationships among </w:t>
      </w:r>
      <w:r w:rsidRPr="001C2747" w:rsidR="00F71AA1">
        <w:t>health</w:t>
      </w:r>
      <w:r w:rsidR="00F71AA1">
        <w:t>-</w:t>
      </w:r>
      <w:r w:rsidRPr="001C2747">
        <w:t xml:space="preserve">risk behaviors.  Discriminant analyses will be used to predict risk of certain events (e.g., suicide attempts; adolescent pregnancy). Correlation matrices and a variety of multiple regression techniques also will be used to assess the contributions of demographic factors to interrelationships among </w:t>
      </w:r>
      <w:r w:rsidRPr="001C2747" w:rsidR="00F71AA1">
        <w:t>health</w:t>
      </w:r>
      <w:r w:rsidR="00F71AA1">
        <w:t>-</w:t>
      </w:r>
      <w:r w:rsidRPr="001C2747">
        <w:t>risk behaviors.</w:t>
      </w:r>
    </w:p>
    <w:p w:rsidRPr="001C2747" w:rsidR="0050513E" w:rsidP="0097554E" w:rsidRDefault="0050513E" w14:paraId="04CDD07E" w14:textId="2F10C9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4.</w:t>
      </w:r>
      <w:r w:rsidRPr="001C2747">
        <w:tab/>
      </w:r>
      <w:r w:rsidRPr="001C2747">
        <w:rPr>
          <w:i/>
          <w:iCs/>
        </w:rPr>
        <w:t xml:space="preserve">Estimate the extent to which high school students engage </w:t>
      </w:r>
      <w:r w:rsidRPr="001C2747">
        <w:rPr>
          <w:i/>
          <w:iCs/>
          <w:u w:val="single"/>
        </w:rPr>
        <w:t>at school</w:t>
      </w:r>
      <w:r w:rsidRPr="001C2747">
        <w:rPr>
          <w:i/>
          <w:iCs/>
        </w:rPr>
        <w:t xml:space="preserve"> in </w:t>
      </w:r>
      <w:r w:rsidRPr="001C2747" w:rsidR="00F71AA1">
        <w:rPr>
          <w:i/>
          <w:iCs/>
        </w:rPr>
        <w:t>health</w:t>
      </w:r>
      <w:r w:rsidR="00F71AA1">
        <w:rPr>
          <w:i/>
          <w:iCs/>
        </w:rPr>
        <w:t>-</w:t>
      </w:r>
      <w:r w:rsidRPr="001C2747">
        <w:rPr>
          <w:i/>
          <w:iCs/>
        </w:rPr>
        <w:t>risk behaviors involving tobacco, alcohol, and other drug use or contributing to violence, and determine whether this pattern changes over time</w:t>
      </w:r>
      <w:r w:rsidRPr="001C2747">
        <w:t xml:space="preserve">--Descriptive statistics (percentages and confidence intervals) will be calculated to quantify the extent of such behaviors.  Trend analyses will be conducted to assess changes over time. </w:t>
      </w:r>
    </w:p>
    <w:p w:rsidRPr="001C2747" w:rsidR="00D70E6E" w:rsidP="000B0C2E" w:rsidRDefault="0050513E" w14:paraId="66C4124A" w14:textId="1D285A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hanging="720"/>
      </w:pPr>
      <w:r w:rsidRPr="001C2747">
        <w:t>5.</w:t>
      </w:r>
      <w:r w:rsidRPr="001C2747">
        <w:tab/>
      </w:r>
      <w:r w:rsidRPr="001C2747">
        <w:rPr>
          <w:i/>
          <w:iCs/>
        </w:rPr>
        <w:t xml:space="preserve">Describe the trends in </w:t>
      </w:r>
      <w:r w:rsidRPr="001C2747" w:rsidR="00F71AA1">
        <w:rPr>
          <w:i/>
          <w:iCs/>
        </w:rPr>
        <w:t>health</w:t>
      </w:r>
      <w:r w:rsidR="00F71AA1">
        <w:rPr>
          <w:i/>
          <w:iCs/>
        </w:rPr>
        <w:t>-</w:t>
      </w:r>
      <w:r w:rsidRPr="001C2747">
        <w:rPr>
          <w:i/>
          <w:iCs/>
        </w:rPr>
        <w:t xml:space="preserve">risk behaviors and assess the degree to which these trends </w:t>
      </w:r>
      <w:r w:rsidRPr="001C2747">
        <w:rPr>
          <w:i/>
          <w:iCs/>
        </w:rPr>
        <w:lastRenderedPageBreak/>
        <w:t>vary as a function of gender, age, grade in school, and race/ethnicity--</w:t>
      </w:r>
      <w:r w:rsidRPr="001C2747">
        <w:t>Multiple regression analyses that control for sex, grade, and race/ethnicity and that simultaneously assess linear and higher order time effects will be used.</w:t>
      </w:r>
    </w:p>
    <w:p w:rsidRPr="001C2747" w:rsidR="00D70E6E" w:rsidP="000B0C2E" w:rsidRDefault="00D70E6E" w14:paraId="647F65C9" w14:textId="278E548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left="720"/>
      </w:pPr>
      <w:r w:rsidRPr="001C2747">
        <w:t xml:space="preserve">Examples of the table shells that will be completed through analysis of the data are in </w:t>
      </w:r>
      <w:r w:rsidR="00761D81">
        <w:rPr>
          <w:b/>
        </w:rPr>
        <w:t>Attachment</w:t>
      </w:r>
      <w:r w:rsidRPr="001C2747">
        <w:rPr>
          <w:b/>
        </w:rPr>
        <w:t xml:space="preserve"> </w:t>
      </w:r>
      <w:r w:rsidR="00C536A7">
        <w:rPr>
          <w:b/>
        </w:rPr>
        <w:t>M</w:t>
      </w:r>
      <w:r w:rsidRPr="001C2747">
        <w:t>.</w:t>
      </w:r>
    </w:p>
    <w:p w:rsidRPr="001C2747" w:rsidR="0050513E" w:rsidP="000B0C2E" w:rsidRDefault="0050513E" w14:paraId="2C7E9F98" w14:textId="6A92F20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rPr>
      </w:pPr>
      <w:r w:rsidRPr="001C2747">
        <w:rPr>
          <w:b/>
          <w:bCs/>
          <w:u w:val="single"/>
        </w:rPr>
        <w:t>Publication Plans</w:t>
      </w:r>
    </w:p>
    <w:p w:rsidRPr="001C2747" w:rsidR="0050513E" w:rsidP="000B0C2E" w:rsidRDefault="0050513E" w14:paraId="49FCC46B" w14:textId="7C3471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YRBS results are regularly made available to the public through a variety of publications and through the annual conferences of several national organizations.  The publications include analyses of the results and assessment of the implications of results for school health education and related efforts to reduce </w:t>
      </w:r>
      <w:r w:rsidRPr="001C2747" w:rsidR="00F71AA1">
        <w:t>health</w:t>
      </w:r>
      <w:r w:rsidR="00F71AA1">
        <w:t>-</w:t>
      </w:r>
      <w:r w:rsidRPr="001C2747">
        <w:t>risk behaviors and associated health problems among youth.</w:t>
      </w:r>
      <w:r w:rsidR="00863521">
        <w:t xml:space="preserve"> Similar publications and presentations are planned for the ABES results.</w:t>
      </w:r>
    </w:p>
    <w:p w:rsidRPr="001C2747" w:rsidR="0050513E" w:rsidP="000B0C2E" w:rsidRDefault="0050513E" w14:paraId="2E4516D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following journals have carried articles on the YRBS design and results and are expected to serve as continuing vehicles for distribution of YRBS results: </w:t>
      </w:r>
      <w:r w:rsidRPr="001C2747">
        <w:rPr>
          <w:i/>
          <w:iCs/>
        </w:rPr>
        <w:t>Accident Analysis and Prevention; Adolescence; Adolescent Medicine; AIDS Education and Prevention</w:t>
      </w:r>
      <w:r w:rsidRPr="001C2747">
        <w:t>;</w:t>
      </w:r>
      <w:r w:rsidRPr="001C2747">
        <w:rPr>
          <w:i/>
          <w:iCs/>
        </w:rPr>
        <w:t xml:space="preserve"> Alaska Medicine; Alcohol Health and Research World;</w:t>
      </w:r>
      <w:r w:rsidRPr="001C2747">
        <w:t xml:space="preserve"> the </w:t>
      </w:r>
      <w:r w:rsidRPr="001C2747">
        <w:rPr>
          <w:i/>
          <w:iCs/>
        </w:rPr>
        <w:t xml:space="preserve">American Journal of Clinical Nutrition; </w:t>
      </w:r>
      <w:r w:rsidRPr="001C2747">
        <w:t xml:space="preserve">the </w:t>
      </w:r>
      <w:r w:rsidRPr="001C2747">
        <w:rPr>
          <w:i/>
          <w:iCs/>
        </w:rPr>
        <w:t>American Journal of College Health</w:t>
      </w:r>
      <w:r w:rsidRPr="001C2747">
        <w:t xml:space="preserve">; the </w:t>
      </w:r>
      <w:r w:rsidRPr="001C2747">
        <w:rPr>
          <w:i/>
          <w:iCs/>
        </w:rPr>
        <w:t xml:space="preserve">American Journal of Epidemiology; </w:t>
      </w:r>
      <w:r w:rsidRPr="001C2747">
        <w:t xml:space="preserve">the </w:t>
      </w:r>
      <w:r w:rsidRPr="001C2747">
        <w:rPr>
          <w:i/>
          <w:iCs/>
        </w:rPr>
        <w:t xml:space="preserve">American Journal of Health Behavior; </w:t>
      </w:r>
      <w:r w:rsidRPr="001C2747">
        <w:t xml:space="preserve">the </w:t>
      </w:r>
      <w:r w:rsidRPr="001C2747" w:rsidR="00D344C1">
        <w:rPr>
          <w:i/>
          <w:iCs/>
        </w:rPr>
        <w:t>American Journal of Preventive</w:t>
      </w:r>
      <w:r w:rsidRPr="001C2747">
        <w:rPr>
          <w:i/>
          <w:iCs/>
        </w:rPr>
        <w:t xml:space="preserve"> Medicine</w:t>
      </w:r>
      <w:r w:rsidRPr="001C2747">
        <w:t xml:space="preserve">; the </w:t>
      </w:r>
      <w:r w:rsidRPr="001C2747">
        <w:rPr>
          <w:i/>
          <w:iCs/>
        </w:rPr>
        <w:t>American Journal of Public Health</w:t>
      </w:r>
      <w:r w:rsidRPr="001C2747">
        <w:t xml:space="preserve">; </w:t>
      </w:r>
      <w:r w:rsidRPr="001C2747">
        <w:rPr>
          <w:i/>
          <w:iCs/>
        </w:rPr>
        <w:t xml:space="preserve">Annals of Emergency Medicine; Annals of Internal Medicine; </w:t>
      </w:r>
      <w:r w:rsidRPr="001C2747">
        <w:t xml:space="preserve">the </w:t>
      </w:r>
      <w:r w:rsidRPr="001C2747">
        <w:rPr>
          <w:i/>
          <w:iCs/>
        </w:rPr>
        <w:t>Archives of Pediatric and Adolescent Medicine</w:t>
      </w:r>
      <w:r w:rsidRPr="001C2747">
        <w:t xml:space="preserve">; </w:t>
      </w:r>
      <w:r w:rsidRPr="001C2747">
        <w:rPr>
          <w:i/>
          <w:iCs/>
        </w:rPr>
        <w:t xml:space="preserve">Clinical Journal of Sports Medicine; Contraception Report; Drug and Alcohol Dependence; Ethnicity and Disease; Evaluation Review; Family and Community Health; Family Planning Perspectives; Health Education and Behavior; Health Education Research; Health Services Research; Health Values; International Journal of Circumpolar Health; International Journal of Eating Disorders; Journal of Addictions and Offender Counseling; </w:t>
      </w:r>
      <w:r w:rsidRPr="001C2747">
        <w:t>the</w:t>
      </w:r>
      <w:r w:rsidRPr="001C2747">
        <w:rPr>
          <w:i/>
          <w:iCs/>
        </w:rPr>
        <w:t xml:space="preserve"> Journal of Adolescent Health; </w:t>
      </w:r>
      <w:r w:rsidRPr="001C2747">
        <w:t>the</w:t>
      </w:r>
      <w:r w:rsidRPr="001C2747">
        <w:rPr>
          <w:i/>
          <w:iCs/>
        </w:rPr>
        <w:t xml:space="preserve"> Journal of the American Medical Association</w:t>
      </w:r>
      <w:r w:rsidRPr="001C2747">
        <w:t xml:space="preserve">; the </w:t>
      </w:r>
      <w:r w:rsidRPr="001C2747">
        <w:rPr>
          <w:i/>
          <w:iCs/>
        </w:rPr>
        <w:t xml:space="preserve">Journal of Child and Family Studies; </w:t>
      </w:r>
      <w:r w:rsidRPr="001C2747">
        <w:t xml:space="preserve">the </w:t>
      </w:r>
      <w:r w:rsidRPr="001C2747">
        <w:rPr>
          <w:i/>
          <w:iCs/>
        </w:rPr>
        <w:t xml:space="preserve">Journal of Consulting and Clinical Psychology; </w:t>
      </w:r>
      <w:r w:rsidRPr="001C2747">
        <w:t xml:space="preserve">the </w:t>
      </w:r>
      <w:r w:rsidRPr="001C2747">
        <w:rPr>
          <w:i/>
          <w:iCs/>
        </w:rPr>
        <w:t xml:space="preserve">Journal of Drug Education; </w:t>
      </w:r>
      <w:r w:rsidRPr="001C2747">
        <w:t xml:space="preserve">the </w:t>
      </w:r>
      <w:r w:rsidRPr="001C2747">
        <w:rPr>
          <w:i/>
          <w:iCs/>
        </w:rPr>
        <w:t xml:space="preserve">Journal of Drug Issues; </w:t>
      </w:r>
      <w:r w:rsidRPr="001C2747">
        <w:t xml:space="preserve">the </w:t>
      </w:r>
      <w:r w:rsidRPr="001C2747">
        <w:rPr>
          <w:i/>
          <w:iCs/>
        </w:rPr>
        <w:t>Journal of Health Education</w:t>
      </w:r>
      <w:r w:rsidRPr="001C2747">
        <w:t xml:space="preserve">; the </w:t>
      </w:r>
      <w:r w:rsidRPr="001C2747">
        <w:rPr>
          <w:i/>
          <w:iCs/>
        </w:rPr>
        <w:t xml:space="preserve">Journal of Interpersonal Violence; </w:t>
      </w:r>
      <w:r w:rsidRPr="001C2747">
        <w:t xml:space="preserve">the </w:t>
      </w:r>
      <w:r w:rsidRPr="001C2747">
        <w:rPr>
          <w:i/>
          <w:iCs/>
        </w:rPr>
        <w:t xml:space="preserve">Journal of Pediatrics; </w:t>
      </w:r>
      <w:r w:rsidRPr="001C2747">
        <w:t xml:space="preserve">the </w:t>
      </w:r>
      <w:r w:rsidRPr="001C2747">
        <w:rPr>
          <w:i/>
          <w:iCs/>
        </w:rPr>
        <w:t>Journal of School Health</w:t>
      </w:r>
      <w:r w:rsidRPr="001C2747">
        <w:t xml:space="preserve">; the </w:t>
      </w:r>
      <w:r w:rsidRPr="001C2747">
        <w:rPr>
          <w:i/>
          <w:iCs/>
        </w:rPr>
        <w:t xml:space="preserve">Journal of Sex Education and Therapy; </w:t>
      </w:r>
      <w:r w:rsidRPr="001C2747">
        <w:t xml:space="preserve">the </w:t>
      </w:r>
      <w:r w:rsidRPr="001C2747">
        <w:rPr>
          <w:i/>
          <w:iCs/>
        </w:rPr>
        <w:t xml:space="preserve">Journal of Studies on Alcohol; </w:t>
      </w:r>
      <w:r w:rsidRPr="001C2747">
        <w:t xml:space="preserve">the </w:t>
      </w:r>
      <w:r w:rsidRPr="001C2747">
        <w:rPr>
          <w:i/>
          <w:iCs/>
        </w:rPr>
        <w:t xml:space="preserve">Journal of the American Dietetic Association; </w:t>
      </w:r>
      <w:r w:rsidRPr="001C2747">
        <w:t xml:space="preserve">the </w:t>
      </w:r>
      <w:r w:rsidRPr="001C2747">
        <w:rPr>
          <w:i/>
          <w:iCs/>
        </w:rPr>
        <w:t xml:space="preserve">Journal of Youth and Adolescence; Maternal and Child Health Journal; Medicine and Science in Sports and Exercise; </w:t>
      </w:r>
      <w:r w:rsidRPr="001C2747">
        <w:t xml:space="preserve">the </w:t>
      </w:r>
      <w:r w:rsidRPr="001C2747">
        <w:rPr>
          <w:i/>
          <w:iCs/>
        </w:rPr>
        <w:t>Morbidity and Mortality Weekly Report</w:t>
      </w:r>
      <w:r w:rsidRPr="001C2747">
        <w:t xml:space="preserve">; </w:t>
      </w:r>
      <w:r w:rsidRPr="001C2747">
        <w:rPr>
          <w:i/>
          <w:iCs/>
        </w:rPr>
        <w:t xml:space="preserve">Obesity Research; Pediatric Nursing; Pediatrics; Preventive Medicine; Psychological Reports; Psychology in Schools; Public Health Reports; School Psychology International; Sexually Transmitted Diseases; Social Indicators Research; Sociology of Sport Journal; Substance Use and Misuse, Suicide and Life-threatening Behavior; Tobacco Control; </w:t>
      </w:r>
      <w:r w:rsidRPr="001C2747">
        <w:t>and</w:t>
      </w:r>
      <w:r w:rsidRPr="001C2747">
        <w:rPr>
          <w:i/>
          <w:iCs/>
        </w:rPr>
        <w:t xml:space="preserve"> Vital and Health Statistics</w:t>
      </w:r>
      <w:r w:rsidRPr="001C2747">
        <w:t xml:space="preserve">.  An entire special issue of </w:t>
      </w:r>
      <w:r w:rsidRPr="001C2747">
        <w:rPr>
          <w:i/>
          <w:iCs/>
        </w:rPr>
        <w:t>Public Health Reports</w:t>
      </w:r>
      <w:r w:rsidRPr="001C2747">
        <w:t xml:space="preserve"> documented the development and rationale of the Youth Risk Behavior Surveillance System.  The YRBS results have been cited in literally thousands of articles and stories by print and broadcast media.  </w:t>
      </w:r>
    </w:p>
    <w:p w:rsidR="0063037B" w:rsidP="000B0C2E" w:rsidRDefault="0050513E" w14:paraId="52A7686F" w14:textId="205585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 xml:space="preserve">CDC has distributed the YRBS results primarily through </w:t>
      </w:r>
      <w:r w:rsidRPr="001C2747" w:rsidR="0003137A">
        <w:t xml:space="preserve">its flagship publication, the Morbidity and Mortality Weekly Report (MMWR). </w:t>
      </w:r>
    </w:p>
    <w:p w:rsidRPr="001C2747" w:rsidR="00664A6E" w:rsidP="000B0C2E" w:rsidRDefault="0050121F" w14:paraId="2B8970A6" w14:textId="0EF1105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 xml:space="preserve">Awareness of the most common risk behaviors among high school students was promoted among the thousands of individuals who read articles based on the </w:t>
      </w:r>
      <w:r w:rsidRPr="003E36F7" w:rsidR="0003137A">
        <w:t>201</w:t>
      </w:r>
      <w:r w:rsidRPr="003E36F7" w:rsidR="003E36F7">
        <w:t>7</w:t>
      </w:r>
      <w:r w:rsidRPr="003E36F7" w:rsidR="0003137A">
        <w:t xml:space="preserve"> </w:t>
      </w:r>
      <w:r w:rsidRPr="003E36F7">
        <w:t>YRBS data press release</w:t>
      </w:r>
      <w:r w:rsidRPr="003E36F7" w:rsidR="000A6777">
        <w:t xml:space="preserve"> in June 201</w:t>
      </w:r>
      <w:r w:rsidRPr="003E36F7" w:rsidR="003E36F7">
        <w:t>8</w:t>
      </w:r>
      <w:r w:rsidRPr="003E36F7" w:rsidR="00296210">
        <w:t>.</w:t>
      </w:r>
      <w:r w:rsidRPr="001C2747" w:rsidR="00296210">
        <w:t xml:space="preserve"> </w:t>
      </w:r>
      <w:r w:rsidRPr="003E36F7" w:rsidR="00296210">
        <w:t xml:space="preserve">The press release yielded impressive coverage including </w:t>
      </w:r>
      <w:r w:rsidRPr="003E36F7" w:rsidR="00892CE2">
        <w:t xml:space="preserve">197 unique stories and an additional 93 stories via syndication. </w:t>
      </w:r>
      <w:r w:rsidRPr="003E36F7" w:rsidR="003E36F7">
        <w:t xml:space="preserve">The potential audience reach for this media coverage totaled 952,330,809 including 358 million from syndication of </w:t>
      </w:r>
      <w:r w:rsidR="0063037B">
        <w:t xml:space="preserve">via the </w:t>
      </w:r>
      <w:r w:rsidRPr="003E36F7" w:rsidR="0063037B">
        <w:t>A</w:t>
      </w:r>
      <w:r w:rsidR="0063037B">
        <w:t xml:space="preserve">ssociated </w:t>
      </w:r>
      <w:r w:rsidRPr="003E36F7" w:rsidR="003E36F7">
        <w:lastRenderedPageBreak/>
        <w:t>P</w:t>
      </w:r>
      <w:r w:rsidR="0063037B">
        <w:t>ress</w:t>
      </w:r>
      <w:r w:rsidRPr="003E36F7" w:rsidR="003E36F7">
        <w:t xml:space="preserve">, CNN, </w:t>
      </w:r>
      <w:r w:rsidR="003E36F7">
        <w:t>N</w:t>
      </w:r>
      <w:r w:rsidR="0063037B">
        <w:t xml:space="preserve">ational </w:t>
      </w:r>
      <w:r w:rsidRPr="003E36F7" w:rsidR="003E36F7">
        <w:t>P</w:t>
      </w:r>
      <w:r w:rsidR="0063037B">
        <w:t xml:space="preserve">ublic </w:t>
      </w:r>
      <w:r w:rsidRPr="003E36F7" w:rsidR="003E36F7">
        <w:t>R</w:t>
      </w:r>
      <w:r w:rsidR="0063037B">
        <w:t>adio</w:t>
      </w:r>
      <w:r w:rsidRPr="003E36F7" w:rsidR="003E36F7">
        <w:t xml:space="preserve">, Washington Post, ABC News and others. </w:t>
      </w:r>
      <w:bookmarkStart w:name="OLE_LINK7" w:id="18"/>
      <w:bookmarkStart w:name="OLE_LINK8" w:id="19"/>
      <w:r w:rsidR="0063037B">
        <w:t xml:space="preserve">The overall reach of the 2017 YRBS release </w:t>
      </w:r>
      <w:r w:rsidR="0079721A">
        <w:t xml:space="preserve">measured by #CDCYRBS and #YRBS </w:t>
      </w:r>
      <w:r w:rsidR="0063037B">
        <w:t>resulted in 10.5 million impressions</w:t>
      </w:r>
      <w:r w:rsidR="0079721A">
        <w:t>, 211 unique users and 390 mentions.</w:t>
      </w:r>
      <w:r w:rsidR="00E6757A">
        <w:t xml:space="preserve"> </w:t>
      </w:r>
    </w:p>
    <w:bookmarkEnd w:id="18"/>
    <w:bookmarkEnd w:id="19"/>
    <w:p w:rsidR="008371D9" w:rsidP="000B0C2E" w:rsidRDefault="008371D9" w14:paraId="553BB8A5" w14:textId="155476B2">
      <w:pPr>
        <w:pStyle w:val="NormalWeb"/>
        <w:spacing w:before="120" w:beforeAutospacing="0" w:after="120" w:afterAutospacing="0"/>
        <w:ind w:firstLine="720"/>
      </w:pPr>
      <w:r>
        <w:t>YRBS results are also made available via the Internet on a public-facing website (</w:t>
      </w:r>
      <w:hyperlink w:history="1" r:id="rId28">
        <w:r>
          <w:rPr>
            <w:rStyle w:val="Hyperlink"/>
          </w:rPr>
          <w:t>www.cdc.gov/yrbs</w:t>
        </w:r>
      </w:hyperlink>
      <w:r>
        <w:t>). The website includes the following materials: an overview of the YRBS, 14 fact sheets, tables that compare state and national results and district and national results, and selected YRBS publications.  The YRBS web page received 809,203 views during the year following the data release. </w:t>
      </w:r>
      <w:r>
        <w:rPr>
          <w:color w:val="FF0000"/>
        </w:rPr>
        <w:t> </w:t>
      </w:r>
      <w:r>
        <w:t xml:space="preserve">The website also houses Youth Online, an interactive web database that provides YRBS results.  During the year following the release of the 2017 YRBS data, there were 875,300 views of Youth Online </w:t>
      </w:r>
      <w:r w:rsidR="00756090">
        <w:t xml:space="preserve">at </w:t>
      </w:r>
      <w:hyperlink w:history="1" r:id="rId29">
        <w:r>
          <w:rPr>
            <w:rStyle w:val="Hyperlink"/>
          </w:rPr>
          <w:t>https://nccd.cdc.gov/youthonline/App/Default.aspx</w:t>
        </w:r>
      </w:hyperlink>
    </w:p>
    <w:p w:rsidRPr="001C2747" w:rsidR="0050513E" w:rsidP="000B0C2E" w:rsidRDefault="0050513E" w14:paraId="4784947B" w14:textId="5A551A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firstLine="720"/>
      </w:pPr>
      <w:r w:rsidRPr="001C2747">
        <w:t>In addition, YRBS results have been and will be distributed through the publications and annual conferences of many national health and education organizations including the following: the American Alliance for Health, Physical Education, Recreation and Dance; the American Association of School Administrators;  the American College Health Association; the American Medical Association; the American Public Health Association; the American School Health Association; the Council of Chief State School Officers; the National Association of Secondary School Principals; the National Association of School Nurses; the National Association of State Boards of Education;  the National Education Association; the National P</w:t>
      </w:r>
      <w:r w:rsidRPr="001C2747" w:rsidR="008904FA">
        <w:t>arent Teacher Association</w:t>
      </w:r>
      <w:r w:rsidRPr="001C2747">
        <w:t>; the National School Boards Association</w:t>
      </w:r>
      <w:r w:rsidR="002A0C10">
        <w:t>, and the Society for Adolescent Health and Medicine</w:t>
      </w:r>
      <w:r w:rsidRPr="001C2747">
        <w:t>.</w:t>
      </w:r>
    </w:p>
    <w:p w:rsidRPr="001C2747" w:rsidR="0050513E" w:rsidP="000B0C2E" w:rsidRDefault="0050513E" w14:paraId="44410A80" w14:textId="67A7AD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3" w:lineRule="auto"/>
        <w:ind w:left="1440" w:hanging="720"/>
        <w:rPr>
          <w:b/>
        </w:rPr>
      </w:pPr>
      <w:r w:rsidRPr="001C2747">
        <w:rPr>
          <w:b/>
          <w:bCs/>
          <w:u w:val="single"/>
        </w:rPr>
        <w:t>Time Schedule for the Project</w:t>
      </w:r>
    </w:p>
    <w:p w:rsidRPr="001C2747" w:rsidR="0050513E" w:rsidP="000B0C2E" w:rsidRDefault="0050513E" w14:paraId="47B32509" w14:textId="32BFDA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 xml:space="preserve">The following represents our proposed schedule of activities for the YRBS, in terms of months after receipt of OMB clearance.  </w:t>
      </w:r>
      <w:r w:rsidR="00FC1301">
        <w:t xml:space="preserve">Ideally, data collection must begin in the first month of the </w:t>
      </w:r>
      <w:r w:rsidR="00F93E5A">
        <w:t xml:space="preserve">relevant </w:t>
      </w:r>
      <w:r w:rsidR="00FC1301">
        <w:t xml:space="preserve">semester of school (i.e., January 2021 </w:t>
      </w:r>
      <w:r w:rsidR="00F93E5A">
        <w:t xml:space="preserve">for ABES </w:t>
      </w:r>
      <w:r w:rsidR="00FC1301">
        <w:t>and 2023</w:t>
      </w:r>
      <w:r w:rsidR="00F93E5A">
        <w:t xml:space="preserve"> YRBS, August for 2021 YRBS</w:t>
      </w:r>
      <w:r w:rsidR="00FC1301">
        <w:t xml:space="preserve">).  </w:t>
      </w:r>
      <w:r w:rsidRPr="001C2747">
        <w:t xml:space="preserve">The end date for data collection is constrained by the dates on which schools close for the </w:t>
      </w:r>
      <w:r w:rsidR="00F93E5A">
        <w:t>relevant semester</w:t>
      </w:r>
      <w:r w:rsidRPr="001C2747">
        <w:t xml:space="preserve">.  In addition, given that </w:t>
      </w:r>
      <w:r w:rsidRPr="001C2747" w:rsidR="00432474">
        <w:t xml:space="preserve">the final months of school </w:t>
      </w:r>
      <w:r w:rsidRPr="001C2747" w:rsidR="00296E83">
        <w:t xml:space="preserve">are </w:t>
      </w:r>
      <w:r w:rsidRPr="001C2747" w:rsidR="00432474">
        <w:t>often extremely busy (e.g., finals, field trips, graduation, early release for 12</w:t>
      </w:r>
      <w:r w:rsidRPr="001C2747" w:rsidR="00432474">
        <w:rPr>
          <w:vertAlign w:val="superscript"/>
        </w:rPr>
        <w:t>th</w:t>
      </w:r>
      <w:r w:rsidRPr="001C2747" w:rsidR="00432474">
        <w:t xml:space="preserve"> graders) </w:t>
      </w:r>
      <w:r w:rsidRPr="001C2747">
        <w:t xml:space="preserve">, it is highly desirable to complete </w:t>
      </w:r>
      <w:r w:rsidR="00F93E5A">
        <w:t xml:space="preserve">spring </w:t>
      </w:r>
      <w:r w:rsidRPr="001C2747">
        <w:t xml:space="preserve">data collection </w:t>
      </w:r>
      <w:r w:rsidR="00756090">
        <w:t xml:space="preserve">one to </w:t>
      </w:r>
      <w:r w:rsidRPr="001C2747">
        <w:t xml:space="preserve">two months before schools close for the summer; i.e., by the end of </w:t>
      </w:r>
      <w:r w:rsidR="00756090">
        <w:t>April</w:t>
      </w:r>
      <w:r w:rsidRPr="001C2747">
        <w:t>.</w:t>
      </w:r>
      <w:r w:rsidR="00F93E5A">
        <w:t xml:space="preserve"> Similarly, given that </w:t>
      </w:r>
      <w:r w:rsidR="00625CB1">
        <w:t xml:space="preserve">the end of the fall semester </w:t>
      </w:r>
      <w:r w:rsidR="00F93E5A">
        <w:t>is</w:t>
      </w:r>
      <w:r w:rsidR="00625CB1">
        <w:t xml:space="preserve"> busy with finals and holiday breaks, it is desirable to complete fall data collection by mid-November.</w:t>
      </w:r>
    </w:p>
    <w:p w:rsidR="00A25447" w:rsidRDefault="00A25447" w14:paraId="77490E0B" w14:textId="77777777">
      <w:pPr>
        <w:widowControl/>
        <w:autoSpaceDE/>
        <w:autoSpaceDN/>
        <w:adjustRightInd/>
      </w:pPr>
      <w:r>
        <w:br w:type="page"/>
      </w:r>
    </w:p>
    <w:p w:rsidRPr="001C2747" w:rsidR="0050513E" w:rsidP="000B0C2E" w:rsidRDefault="0050513E" w14:paraId="3642BB22" w14:textId="6B5D88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lastRenderedPageBreak/>
        <w:t xml:space="preserve">Key project dates will occur during the following time periods for the </w:t>
      </w:r>
      <w:r w:rsidR="00510FC8">
        <w:t>ABES</w:t>
      </w:r>
      <w:r w:rsidRPr="001C2747" w:rsidR="00510FC8">
        <w:t xml:space="preserve"> </w:t>
      </w:r>
      <w:r w:rsidRPr="001C2747">
        <w:t>data collection:</w:t>
      </w:r>
    </w:p>
    <w:tbl>
      <w:tblPr>
        <w:tblW w:w="9360" w:type="dxa"/>
        <w:tblLayout w:type="fixed"/>
        <w:tblCellMar>
          <w:left w:w="120" w:type="dxa"/>
          <w:right w:w="120" w:type="dxa"/>
        </w:tblCellMar>
        <w:tblLook w:val="0000" w:firstRow="0" w:lastRow="0" w:firstColumn="0" w:lastColumn="0" w:noHBand="0" w:noVBand="0"/>
      </w:tblPr>
      <w:tblGrid>
        <w:gridCol w:w="4680"/>
        <w:gridCol w:w="4680"/>
      </w:tblGrid>
      <w:tr w:rsidRPr="001C2747" w:rsidR="0050513E" w:rsidTr="0097554E" w14:paraId="1FA0A686" w14:textId="77777777">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7EC7DD28" w14:textId="77777777">
            <w:pPr>
              <w:spacing w:line="120" w:lineRule="exact"/>
              <w:rPr>
                <w:b/>
                <w:bCs/>
              </w:rPr>
            </w:pPr>
          </w:p>
          <w:p w:rsidRPr="001C2747" w:rsidR="0050513E" w:rsidP="0097554E" w:rsidRDefault="0050513E" w14:paraId="547C51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1C2747">
              <w:rPr>
                <w:b/>
                <w:bCs/>
                <w:u w:val="single"/>
              </w:rPr>
              <w:t>Activity</w:t>
            </w:r>
          </w:p>
        </w:tc>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404E783B" w14:textId="77777777">
            <w:pPr>
              <w:spacing w:line="120" w:lineRule="exact"/>
              <w:rPr>
                <w:b/>
                <w:bCs/>
              </w:rPr>
            </w:pPr>
          </w:p>
          <w:p w:rsidRPr="001C2747" w:rsidR="0050513E" w:rsidP="0097554E" w:rsidRDefault="0050513E" w14:paraId="1D67512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1C2747">
              <w:rPr>
                <w:b/>
                <w:bCs/>
                <w:u w:val="single"/>
              </w:rPr>
              <w:t>Time Period</w:t>
            </w:r>
          </w:p>
        </w:tc>
      </w:tr>
      <w:tr w:rsidRPr="001C2747" w:rsidR="0050513E" w:rsidTr="0097554E" w14:paraId="39994A31" w14:textId="77777777">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7121315A" w14:textId="77777777">
            <w:pPr>
              <w:spacing w:line="120" w:lineRule="exact"/>
            </w:pPr>
          </w:p>
          <w:p w:rsidRPr="001C2747" w:rsidR="0050513E" w:rsidP="0097554E" w:rsidRDefault="0050513E" w14:paraId="216F3F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Recruit and schedule schools</w:t>
            </w:r>
          </w:p>
        </w:tc>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43DAA0AA" w14:textId="77777777">
            <w:pPr>
              <w:spacing w:line="120" w:lineRule="exact"/>
            </w:pPr>
          </w:p>
          <w:p w:rsidRPr="001C2747" w:rsidR="0050513E" w:rsidP="0097554E" w:rsidRDefault="0050513E" w14:paraId="355283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 to 3 months after OMB clearance</w:t>
            </w:r>
          </w:p>
        </w:tc>
      </w:tr>
      <w:tr w:rsidRPr="001C2747" w:rsidR="0050513E" w:rsidTr="0097554E" w14:paraId="2DE083B5" w14:textId="77777777">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48C00747" w14:textId="77777777">
            <w:pPr>
              <w:spacing w:line="120" w:lineRule="exact"/>
            </w:pPr>
          </w:p>
          <w:p w:rsidRPr="001C2747" w:rsidR="0050513E" w:rsidP="0097554E" w:rsidRDefault="00C91C32" w14:paraId="09E40198" w14:textId="08FE4D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Program web-based</w:t>
            </w:r>
            <w:r w:rsidRPr="001C2747" w:rsidR="0050513E">
              <w:t xml:space="preserve"> questionnaire</w:t>
            </w:r>
          </w:p>
        </w:tc>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0B1DCCAF" w14:textId="77777777">
            <w:pPr>
              <w:spacing w:line="120" w:lineRule="exact"/>
            </w:pPr>
          </w:p>
          <w:p w:rsidRPr="001C2747" w:rsidR="0050513E" w:rsidP="0097554E" w:rsidRDefault="0050513E" w14:paraId="11420C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 to 2 months after OMB clearance</w:t>
            </w:r>
          </w:p>
        </w:tc>
      </w:tr>
      <w:tr w:rsidRPr="001C2747" w:rsidR="0050513E" w:rsidTr="0097554E" w14:paraId="33404331" w14:textId="77777777">
        <w:trPr>
          <w:cantSplit/>
        </w:trPr>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2757A717" w14:textId="77777777">
            <w:pPr>
              <w:spacing w:line="120" w:lineRule="exact"/>
            </w:pPr>
          </w:p>
          <w:p w:rsidRPr="001C2747" w:rsidR="0050513E" w:rsidP="0097554E" w:rsidRDefault="0050513E" w14:paraId="68B1EC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Collect data</w:t>
            </w:r>
          </w:p>
        </w:tc>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0CD29CF2" w14:textId="77777777">
            <w:pPr>
              <w:spacing w:line="120" w:lineRule="exact"/>
            </w:pPr>
          </w:p>
          <w:p w:rsidRPr="001C2747" w:rsidR="0050513E" w:rsidP="0097554E" w:rsidRDefault="0050513E" w14:paraId="06DBA4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2 to 5 months after OMB clearance</w:t>
            </w:r>
          </w:p>
        </w:tc>
      </w:tr>
      <w:tr w:rsidRPr="001C2747" w:rsidR="0050513E" w:rsidTr="0097554E" w14:paraId="1A1DBF2D" w14:textId="77777777">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435E74DC" w14:textId="77777777">
            <w:pPr>
              <w:spacing w:line="120" w:lineRule="exact"/>
            </w:pPr>
          </w:p>
          <w:p w:rsidRPr="001C2747" w:rsidR="0050513E" w:rsidP="0097554E" w:rsidRDefault="0050513E" w14:paraId="19B5E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Process data</w:t>
            </w:r>
          </w:p>
        </w:tc>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73ADB680" w14:textId="77777777">
            <w:pPr>
              <w:spacing w:line="120" w:lineRule="exact"/>
            </w:pPr>
          </w:p>
          <w:p w:rsidRPr="001C2747" w:rsidR="0050513E" w:rsidP="0097554E" w:rsidRDefault="007B122B" w14:paraId="6A3F5145" w14:textId="741E8A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6</w:t>
            </w:r>
            <w:r w:rsidRPr="001C2747" w:rsidR="0050513E">
              <w:t xml:space="preserve"> to </w:t>
            </w:r>
            <w:r>
              <w:t>7</w:t>
            </w:r>
            <w:r w:rsidRPr="001C2747" w:rsidR="0050513E">
              <w:t xml:space="preserve"> months after OMB clearance</w:t>
            </w:r>
          </w:p>
        </w:tc>
      </w:tr>
      <w:tr w:rsidRPr="001C2747" w:rsidR="0050513E" w:rsidTr="0097554E" w14:paraId="1B3C078C" w14:textId="77777777">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023BE589" w14:textId="77777777">
            <w:pPr>
              <w:spacing w:line="120" w:lineRule="exact"/>
            </w:pPr>
          </w:p>
          <w:p w:rsidRPr="001C2747" w:rsidR="0050513E" w:rsidP="0097554E" w:rsidRDefault="0050513E" w14:paraId="4EE1777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Weight/clean data</w:t>
            </w:r>
            <w:r w:rsidRPr="001C2747">
              <w:tab/>
            </w:r>
          </w:p>
        </w:tc>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3AB1AB2A" w14:textId="77777777">
            <w:pPr>
              <w:spacing w:line="120" w:lineRule="exact"/>
            </w:pPr>
          </w:p>
          <w:p w:rsidRPr="001C2747" w:rsidR="0050513E" w:rsidP="0097554E" w:rsidRDefault="007B122B" w14:paraId="4D002FF1" w14:textId="532DC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7</w:t>
            </w:r>
            <w:r w:rsidRPr="001C2747" w:rsidR="0050513E">
              <w:t xml:space="preserve"> to </w:t>
            </w:r>
            <w:r>
              <w:t>9</w:t>
            </w:r>
            <w:r w:rsidRPr="001C2747" w:rsidR="0050513E">
              <w:t xml:space="preserve"> months after OMB clearance</w:t>
            </w:r>
          </w:p>
        </w:tc>
      </w:tr>
      <w:tr w:rsidRPr="001C2747" w:rsidR="0050513E" w:rsidTr="0097554E" w14:paraId="605D1523" w14:textId="77777777">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68FA34EA" w14:textId="77777777">
            <w:pPr>
              <w:spacing w:line="120" w:lineRule="exact"/>
            </w:pPr>
          </w:p>
          <w:p w:rsidRPr="001C2747" w:rsidR="0050513E" w:rsidP="0097554E" w:rsidRDefault="0050513E" w14:paraId="61CCD1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Produce data file with documentation</w:t>
            </w:r>
          </w:p>
        </w:tc>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098FA7DA" w14:textId="77777777">
            <w:pPr>
              <w:spacing w:line="120" w:lineRule="exact"/>
            </w:pPr>
          </w:p>
          <w:p w:rsidRPr="001C2747" w:rsidR="0050513E" w:rsidP="0097554E" w:rsidRDefault="007B122B" w14:paraId="67270E51" w14:textId="0D62C9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10</w:t>
            </w:r>
            <w:r w:rsidRPr="001C2747" w:rsidR="0050513E">
              <w:t xml:space="preserve"> months after OMB clearance</w:t>
            </w:r>
          </w:p>
        </w:tc>
      </w:tr>
      <w:tr w:rsidRPr="001C2747" w:rsidR="0050513E" w:rsidTr="0097554E" w14:paraId="386E1767" w14:textId="77777777">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6E00C624" w14:textId="77777777">
            <w:pPr>
              <w:spacing w:line="120" w:lineRule="exact"/>
            </w:pPr>
          </w:p>
          <w:p w:rsidRPr="001C2747" w:rsidR="0050513E" w:rsidP="0097554E" w:rsidRDefault="0050513E" w14:paraId="2EBE38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Analyze data</w:t>
            </w:r>
          </w:p>
        </w:tc>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528B9125" w14:textId="77777777">
            <w:pPr>
              <w:spacing w:line="120" w:lineRule="exact"/>
            </w:pPr>
          </w:p>
          <w:p w:rsidRPr="001C2747" w:rsidR="0050513E" w:rsidP="0097554E" w:rsidRDefault="0050513E" w14:paraId="4F4C2D2E" w14:textId="5D3290E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w:t>
            </w:r>
            <w:r w:rsidR="007B122B">
              <w:t>1</w:t>
            </w:r>
            <w:r w:rsidRPr="001C2747">
              <w:t xml:space="preserve"> to 1</w:t>
            </w:r>
            <w:r w:rsidR="007B122B">
              <w:t>2</w:t>
            </w:r>
            <w:r w:rsidRPr="001C2747">
              <w:t xml:space="preserve"> months after OMB clearance</w:t>
            </w:r>
          </w:p>
        </w:tc>
      </w:tr>
      <w:tr w:rsidRPr="001C2747" w:rsidR="0050513E" w:rsidTr="0097554E" w14:paraId="20E332C5" w14:textId="77777777">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72848E26" w14:textId="77777777">
            <w:pPr>
              <w:spacing w:line="120" w:lineRule="exact"/>
            </w:pPr>
          </w:p>
          <w:p w:rsidRPr="001C2747" w:rsidR="0050513E" w:rsidP="0097554E" w:rsidRDefault="0050513E" w14:paraId="624E4F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Publish results</w:t>
            </w:r>
            <w:r w:rsidRPr="001C2747">
              <w:tab/>
            </w:r>
          </w:p>
        </w:tc>
        <w:tc>
          <w:tcPr>
            <w:tcW w:w="4680" w:type="dxa"/>
            <w:tcBorders>
              <w:top w:val="single" w:color="000000" w:sz="7" w:space="0"/>
              <w:left w:val="single" w:color="000000" w:sz="7" w:space="0"/>
              <w:bottom w:val="single" w:color="000000" w:sz="7" w:space="0"/>
              <w:right w:val="single" w:color="000000" w:sz="7" w:space="0"/>
            </w:tcBorders>
          </w:tcPr>
          <w:p w:rsidRPr="001C2747" w:rsidR="0050513E" w:rsidP="0097554E" w:rsidRDefault="0050513E" w14:paraId="71583905" w14:textId="77777777">
            <w:pPr>
              <w:spacing w:line="120" w:lineRule="exact"/>
            </w:pPr>
          </w:p>
          <w:p w:rsidRPr="001C2747" w:rsidR="0050513E" w:rsidP="0097554E" w:rsidRDefault="0050513E" w14:paraId="609074F1" w14:textId="22C2A5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2747">
              <w:t>1</w:t>
            </w:r>
            <w:r w:rsidR="007B122B">
              <w:t>6</w:t>
            </w:r>
            <w:r w:rsidRPr="001C2747">
              <w:t xml:space="preserve"> to 1</w:t>
            </w:r>
            <w:r w:rsidR="007B122B">
              <w:t>8</w:t>
            </w:r>
            <w:r w:rsidRPr="001C2747">
              <w:t xml:space="preserve"> months after OMB clearance</w:t>
            </w:r>
          </w:p>
        </w:tc>
      </w:tr>
    </w:tbl>
    <w:p w:rsidRPr="001C2747" w:rsidR="0050513E" w:rsidP="0097554E" w:rsidRDefault="00510FC8" w14:paraId="3070A3D1" w14:textId="3EB0F5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rPr>
          <w:b/>
          <w:bCs/>
        </w:rPr>
      </w:pPr>
      <w:r>
        <w:t>ABES d</w:t>
      </w:r>
      <w:r w:rsidRPr="001C2747" w:rsidR="0050513E">
        <w:t xml:space="preserve">ata collection is </w:t>
      </w:r>
      <w:r w:rsidRPr="001C2747" w:rsidR="008904FA">
        <w:t>currently scheduled to occur during January through</w:t>
      </w:r>
      <w:r w:rsidRPr="001C2747" w:rsidR="0050513E">
        <w:t xml:space="preserve"> </w:t>
      </w:r>
      <w:r w:rsidR="00756090">
        <w:t>April</w:t>
      </w:r>
      <w:r w:rsidRPr="001C2747" w:rsidR="0050513E">
        <w:t xml:space="preserve"> 20</w:t>
      </w:r>
      <w:r w:rsidR="00D00148">
        <w:t>21</w:t>
      </w:r>
      <w:r w:rsidR="00756090">
        <w:t xml:space="preserve">.  The </w:t>
      </w:r>
      <w:r w:rsidRPr="001C2747" w:rsidR="0050513E">
        <w:t xml:space="preserve">time schedule for the </w:t>
      </w:r>
      <w:r>
        <w:t xml:space="preserve">fall 2021 YRBS and </w:t>
      </w:r>
      <w:r w:rsidRPr="001C2747" w:rsidR="0050513E">
        <w:t>20</w:t>
      </w:r>
      <w:r w:rsidR="00D00148">
        <w:t>23</w:t>
      </w:r>
      <w:r w:rsidRPr="001C2747" w:rsidR="0050513E">
        <w:t xml:space="preserve"> </w:t>
      </w:r>
      <w:r>
        <w:t xml:space="preserve">YRBS </w:t>
      </w:r>
      <w:r w:rsidRPr="001C2747" w:rsidR="0050513E">
        <w:t xml:space="preserve">data collection will </w:t>
      </w:r>
      <w:r w:rsidRPr="001C2747" w:rsidR="00731602">
        <w:t xml:space="preserve">be analogous to that of the </w:t>
      </w:r>
      <w:r>
        <w:t>ABES</w:t>
      </w:r>
      <w:r w:rsidRPr="001C2747" w:rsidR="0050513E">
        <w:t xml:space="preserve"> data collection.  Results</w:t>
      </w:r>
      <w:r w:rsidRPr="001C2747" w:rsidR="00731602">
        <w:t xml:space="preserve"> </w:t>
      </w:r>
      <w:r w:rsidR="002679A3">
        <w:t xml:space="preserve">from the 2021 </w:t>
      </w:r>
      <w:r w:rsidR="00C91C32">
        <w:t xml:space="preserve">and 2023 </w:t>
      </w:r>
      <w:r w:rsidR="002679A3">
        <w:t xml:space="preserve">YRBS </w:t>
      </w:r>
      <w:r w:rsidRPr="001C2747" w:rsidR="00731602">
        <w:t>will be published in</w:t>
      </w:r>
      <w:r w:rsidRPr="001C2747" w:rsidR="006134F8">
        <w:t xml:space="preserve"> </w:t>
      </w:r>
      <w:r w:rsidR="002679A3">
        <w:t>late</w:t>
      </w:r>
      <w:r w:rsidRPr="001C2747" w:rsidR="00731602">
        <w:t xml:space="preserve"> 20</w:t>
      </w:r>
      <w:r w:rsidR="00D00148">
        <w:t>22</w:t>
      </w:r>
      <w:r w:rsidRPr="001C2747" w:rsidR="00D70E6E">
        <w:t xml:space="preserve"> and </w:t>
      </w:r>
      <w:r w:rsidR="002679A3">
        <w:t xml:space="preserve">summer </w:t>
      </w:r>
      <w:r w:rsidRPr="001C2747" w:rsidR="00D70E6E">
        <w:t>20</w:t>
      </w:r>
      <w:r w:rsidR="00D00148">
        <w:t>24</w:t>
      </w:r>
      <w:r w:rsidRPr="001C2747" w:rsidR="0050513E">
        <w:t xml:space="preserve">, </w:t>
      </w:r>
      <w:r w:rsidR="00C91C32">
        <w:t xml:space="preserve">respectively, </w:t>
      </w:r>
      <w:r w:rsidRPr="001C2747" w:rsidR="0050513E">
        <w:t xml:space="preserve">initially in the </w:t>
      </w:r>
      <w:r w:rsidRPr="001C2747" w:rsidR="0050513E">
        <w:rPr>
          <w:i/>
          <w:iCs/>
        </w:rPr>
        <w:t>MMWR</w:t>
      </w:r>
      <w:r w:rsidRPr="001C2747" w:rsidR="0050513E">
        <w:t xml:space="preserve">, and subsequently in other publications. </w:t>
      </w:r>
    </w:p>
    <w:p w:rsidRPr="001C2747" w:rsidR="0050513E" w:rsidP="000B0C2E" w:rsidRDefault="0050513E" w14:paraId="6C496276" w14:textId="7C3EE9C7">
      <w:pPr>
        <w:pStyle w:val="Heading2"/>
        <w:spacing w:before="120" w:after="120"/>
        <w:ind w:left="720" w:hanging="720"/>
        <w:rPr>
          <w:rFonts w:ascii="Times New Roman" w:hAnsi="Times New Roman" w:cs="Times New Roman"/>
        </w:rPr>
      </w:pPr>
      <w:r w:rsidRPr="001C2747">
        <w:rPr>
          <w:rFonts w:ascii="Times New Roman" w:hAnsi="Times New Roman" w:cs="Times New Roman"/>
          <w:b/>
          <w:bCs/>
        </w:rPr>
        <w:t>A.17</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REASON(S) DISPLAY OF OMB EXPIRATION DATE IS</w:t>
      </w:r>
      <w:r w:rsidR="002A0C10">
        <w:rPr>
          <w:rFonts w:ascii="Times New Roman" w:hAnsi="Times New Roman" w:cs="Times New Roman"/>
          <w:b/>
          <w:bCs/>
          <w:u w:val="single"/>
        </w:rPr>
        <w:t xml:space="preserve"> </w:t>
      </w:r>
      <w:r w:rsidRPr="001C2747">
        <w:rPr>
          <w:rFonts w:ascii="Times New Roman" w:hAnsi="Times New Roman" w:cs="Times New Roman"/>
          <w:b/>
          <w:bCs/>
          <w:u w:val="single"/>
        </w:rPr>
        <w:t>INAPPROPRIATE</w:t>
      </w:r>
    </w:p>
    <w:p w:rsidR="0050513E" w:rsidP="000B0C2E" w:rsidRDefault="00296E83" w14:paraId="5480255A" w14:textId="04585B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 display of the OMB expiration date is not inappropriate.</w:t>
      </w:r>
    </w:p>
    <w:p w:rsidRPr="001C2747" w:rsidR="0050513E" w:rsidP="000B0C2E" w:rsidRDefault="0050513E" w14:paraId="6B844304" w14:textId="77777777">
      <w:pPr>
        <w:pStyle w:val="Heading2"/>
        <w:spacing w:before="120" w:after="120"/>
        <w:ind w:left="720" w:hanging="720"/>
        <w:rPr>
          <w:rFonts w:ascii="Times New Roman" w:hAnsi="Times New Roman" w:cs="Times New Roman"/>
          <w:b/>
          <w:bCs/>
        </w:rPr>
      </w:pPr>
      <w:r w:rsidRPr="001C2747">
        <w:rPr>
          <w:rFonts w:ascii="Times New Roman" w:hAnsi="Times New Roman" w:cs="Times New Roman"/>
          <w:b/>
          <w:bCs/>
        </w:rPr>
        <w:t>A.18</w:t>
      </w:r>
      <w:r w:rsidRPr="001C2747" w:rsidR="00793222">
        <w:rPr>
          <w:rFonts w:ascii="Times New Roman" w:hAnsi="Times New Roman" w:cs="Times New Roman"/>
          <w:b/>
          <w:bCs/>
        </w:rPr>
        <w:t>.</w:t>
      </w:r>
      <w:r w:rsidRPr="001C2747">
        <w:rPr>
          <w:rFonts w:ascii="Times New Roman" w:hAnsi="Times New Roman" w:cs="Times New Roman"/>
          <w:b/>
          <w:bCs/>
        </w:rPr>
        <w:tab/>
      </w:r>
      <w:r w:rsidRPr="001C2747">
        <w:rPr>
          <w:rFonts w:ascii="Times New Roman" w:hAnsi="Times New Roman" w:cs="Times New Roman"/>
          <w:b/>
          <w:bCs/>
          <w:u w:val="single"/>
        </w:rPr>
        <w:t>EXCEPTIONS TO CERTIFICATION FOR PAPERWORK REDUCTION ACT SUBMISSIONS</w:t>
      </w:r>
    </w:p>
    <w:p w:rsidRPr="001C2747" w:rsidR="00296210" w:rsidP="0097554E" w:rsidRDefault="00296E83" w14:paraId="0BFD959C" w14:textId="5933FE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ind w:firstLine="720"/>
      </w:pPr>
      <w:r w:rsidRPr="001C2747">
        <w:t>There are no exceptions to the certification.</w:t>
      </w:r>
    </w:p>
    <w:p w:rsidR="007642F8" w:rsidRDefault="007642F8" w14:paraId="33F73E8F" w14:textId="77777777">
      <w:pPr>
        <w:widowControl/>
        <w:autoSpaceDE/>
        <w:autoSpaceDN/>
        <w:adjustRightInd/>
        <w:rPr>
          <w:b/>
          <w:bCs/>
        </w:rPr>
      </w:pPr>
      <w:r>
        <w:rPr>
          <w:b/>
          <w:bCs/>
        </w:rPr>
        <w:br w:type="page"/>
      </w:r>
    </w:p>
    <w:p w:rsidRPr="001C2747" w:rsidR="00296210" w:rsidP="0097554E" w:rsidRDefault="00296210" w14:paraId="1A612AF6" w14:textId="1A4A6A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jc w:val="center"/>
      </w:pPr>
      <w:r w:rsidRPr="001C2747">
        <w:rPr>
          <w:b/>
          <w:bCs/>
        </w:rPr>
        <w:lastRenderedPageBreak/>
        <w:t>REFERENCES</w:t>
      </w:r>
    </w:p>
    <w:p w:rsidRPr="007F2C47" w:rsidR="007F2C47" w:rsidP="000B0C2E" w:rsidRDefault="007F2C47" w14:paraId="53FE67D2" w14:textId="3D13507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303030"/>
          <w:shd w:val="clear" w:color="auto" w:fill="FFFFFF"/>
        </w:rPr>
      </w:pPr>
      <w:r w:rsidRPr="007F2C47">
        <w:rPr>
          <w:color w:val="303030"/>
          <w:shd w:val="clear" w:color="auto" w:fill="FFFFFF"/>
        </w:rPr>
        <w:t>Biener A, Cawley J, Meyerhoefer C. The High and Rising Costs of Obesity to the US Health Care System. </w:t>
      </w:r>
      <w:r w:rsidRPr="007F2C47">
        <w:rPr>
          <w:i/>
          <w:iCs/>
          <w:color w:val="303030"/>
          <w:shd w:val="clear" w:color="auto" w:fill="FFFFFF"/>
        </w:rPr>
        <w:t>J Gen Intern Med</w:t>
      </w:r>
      <w:r w:rsidRPr="007F2C47">
        <w:rPr>
          <w:color w:val="303030"/>
          <w:shd w:val="clear" w:color="auto" w:fill="FFFFFF"/>
        </w:rPr>
        <w:t>. 2017;32(Suppl 1).</w:t>
      </w:r>
    </w:p>
    <w:p w:rsidRPr="001C2747" w:rsidR="00296210" w:rsidP="000B0C2E" w:rsidRDefault="00296210" w14:paraId="20561495" w14:textId="5B79354B">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t xml:space="preserve">Bouchery EE, Harwood HJ, Sacks J, Simon C, Brewer R (2011). Economic Costs of Excessive Alcohol Consumption in the U.S., 2006. </w:t>
      </w:r>
      <w:r w:rsidRPr="001C2747">
        <w:rPr>
          <w:i/>
        </w:rPr>
        <w:t>American Journal of Preventive Medicine;</w:t>
      </w:r>
      <w:r w:rsidRPr="001C2747">
        <w:t xml:space="preserve"> 41(5):516-524.</w:t>
      </w:r>
    </w:p>
    <w:p w:rsidRPr="000F52A8" w:rsidR="000F52A8" w:rsidP="000B0C2E" w:rsidRDefault="000F52A8" w14:paraId="5BBC622B" w14:textId="2113803B">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303030"/>
          <w:shd w:val="clear" w:color="auto" w:fill="FFFFFF"/>
        </w:rPr>
      </w:pPr>
      <w:r w:rsidRPr="000F52A8">
        <w:rPr>
          <w:color w:val="303030"/>
          <w:shd w:val="clear" w:color="auto" w:fill="FFFFFF"/>
        </w:rPr>
        <w:t>Carlson SA, Fulton JE, Pratt M, Yang Z, Adams EK. Inadequate physical activity and health care expenditures in the United States. </w:t>
      </w:r>
      <w:r w:rsidRPr="000F52A8">
        <w:rPr>
          <w:i/>
          <w:iCs/>
          <w:color w:val="303030"/>
          <w:shd w:val="clear" w:color="auto" w:fill="FFFFFF"/>
        </w:rPr>
        <w:t>Prog Cardiovasc Dis</w:t>
      </w:r>
      <w:r w:rsidRPr="000F52A8">
        <w:rPr>
          <w:color w:val="303030"/>
          <w:shd w:val="clear" w:color="auto" w:fill="FFFFFF"/>
        </w:rPr>
        <w:t xml:space="preserve">. 2015;57(4):315–323. </w:t>
      </w:r>
    </w:p>
    <w:p w:rsidRPr="001C2747" w:rsidR="003D2661" w:rsidP="000B0C2E" w:rsidRDefault="003D2661" w14:paraId="0860928B" w14:textId="3264AFE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t>Cawley J, Meyerhoefer C. The medical care costs of obesity: an instrumental variables approach. </w:t>
      </w:r>
      <w:hyperlink w:tooltip="The medical care costs of obesity: an instrumental variables approach." w:history="1" r:id="rId30">
        <w:r w:rsidRPr="001C2747">
          <w:rPr>
            <w:i/>
          </w:rPr>
          <w:t>Journal of Health Econ</w:t>
        </w:r>
      </w:hyperlink>
      <w:r w:rsidRPr="001C2747">
        <w:rPr>
          <w:i/>
          <w:iCs/>
        </w:rPr>
        <w:t>omics.</w:t>
      </w:r>
      <w:r w:rsidRPr="001C2747">
        <w:t xml:space="preserve"> 2012; 31:219-30. </w:t>
      </w:r>
    </w:p>
    <w:p w:rsidRPr="001C2747" w:rsidR="00296210" w:rsidP="000B0C2E" w:rsidRDefault="00296210" w14:paraId="4F1E6C41" w14:textId="7D0BC42D">
      <w:pPr>
        <w:widowControl/>
        <w:spacing w:before="120" w:after="120"/>
      </w:pPr>
      <w:r w:rsidRPr="001C2747">
        <w:t>CDC (20</w:t>
      </w:r>
      <w:r w:rsidR="00A65977">
        <w:t>12</w:t>
      </w:r>
      <w:r w:rsidRPr="001C2747">
        <w:t>).</w:t>
      </w:r>
      <w:r w:rsidRPr="001C2747">
        <w:rPr>
          <w:i/>
        </w:rPr>
        <w:t xml:space="preserve"> Health Education Curriculum Analysis Tool</w:t>
      </w:r>
      <w:r w:rsidRPr="001C2747">
        <w:t>. Atlanta: CDC.</w:t>
      </w:r>
    </w:p>
    <w:p w:rsidRPr="001C2747" w:rsidR="00296210" w:rsidP="000B0C2E" w:rsidRDefault="00DD3F86" w14:paraId="562E30F2" w14:textId="634CC4B1">
      <w:pPr>
        <w:spacing w:before="120" w:after="120"/>
        <w:rPr>
          <w:rFonts w:eastAsia="AGaramondPro-Regular"/>
          <w:color w:val="000000"/>
        </w:rPr>
      </w:pPr>
      <w:r w:rsidRPr="001C2747">
        <w:rPr>
          <w:rFonts w:eastAsia="AGaramondPro-Regular"/>
          <w:color w:val="000000"/>
        </w:rPr>
        <w:t>CDC, NCHHSTP</w:t>
      </w:r>
      <w:r w:rsidRPr="001C2747" w:rsidR="001E1CCE">
        <w:rPr>
          <w:rFonts w:eastAsia="AGaramondPro-Regular"/>
          <w:color w:val="000000"/>
        </w:rPr>
        <w:t xml:space="preserve"> (2013)</w:t>
      </w:r>
      <w:r w:rsidRPr="001C2747">
        <w:rPr>
          <w:rFonts w:eastAsia="AGaramondPro-Regular"/>
          <w:color w:val="000000"/>
        </w:rPr>
        <w:t xml:space="preserve">. Sexually transmitted disease morbidity for selected STDs by age, race/ethnicity, and gender, 1996-2011, CDC WONDER Online Database, December 2013. Available at http://wonder.cdc.gov/ std-std-race-age.html. </w:t>
      </w:r>
    </w:p>
    <w:p w:rsidRPr="001C2747" w:rsidR="00296210" w:rsidP="000B0C2E" w:rsidRDefault="00DD3F86" w14:paraId="5C742AB1" w14:textId="0C3087AE">
      <w:pPr>
        <w:spacing w:before="120" w:after="120"/>
        <w:rPr>
          <w:rFonts w:eastAsia="AGaramondPro-Regular"/>
          <w:color w:val="000000"/>
        </w:rPr>
      </w:pPr>
      <w:r w:rsidRPr="001C2747">
        <w:rPr>
          <w:rFonts w:eastAsia="AGaramondPro-Regular"/>
          <w:color w:val="000000"/>
        </w:rPr>
        <w:t>CDC. HIV Surveillance Report, 2011</w:t>
      </w:r>
      <w:r w:rsidRPr="001C2747" w:rsidR="005C781B">
        <w:rPr>
          <w:rFonts w:eastAsia="AGaramondPro-Regular"/>
          <w:color w:val="000000"/>
        </w:rPr>
        <w:t xml:space="preserve"> (2011a). V</w:t>
      </w:r>
      <w:r w:rsidRPr="001C2747">
        <w:rPr>
          <w:rFonts w:eastAsia="AGaramondPro-Regular"/>
          <w:color w:val="000000"/>
        </w:rPr>
        <w:t>ol. 23. Available at http://www. cdc.gov/hiv/pdf/statistics_2011_HIV_Surveillance_Report_vol_23.pdf.</w:t>
      </w:r>
    </w:p>
    <w:p w:rsidRPr="001C2747" w:rsidR="00296210" w:rsidP="000B0C2E" w:rsidRDefault="00296210" w14:paraId="7E55D31E" w14:textId="34E685DF">
      <w:pPr>
        <w:spacing w:before="120" w:after="120"/>
      </w:pPr>
      <w:r w:rsidRPr="001C2747">
        <w:rPr>
          <w:rFonts w:eastAsia="AGaramondPro-Regular"/>
          <w:color w:val="000000"/>
        </w:rPr>
        <w:t>CDC</w:t>
      </w:r>
      <w:r w:rsidRPr="001C2747">
        <w:t xml:space="preserve"> (2011</w:t>
      </w:r>
      <w:r w:rsidRPr="001C2747" w:rsidR="000B17AD">
        <w:t>b</w:t>
      </w:r>
      <w:r w:rsidRPr="001C2747">
        <w:t xml:space="preserve">). School Health Guidelines to Promote Healthy Eating and Physical Activity. </w:t>
      </w:r>
      <w:r w:rsidRPr="001C2747">
        <w:rPr>
          <w:i/>
        </w:rPr>
        <w:t>MMWR</w:t>
      </w:r>
      <w:r w:rsidRPr="001C2747">
        <w:t>; 60(RR#5):1-76.</w:t>
      </w:r>
    </w:p>
    <w:p w:rsidRPr="001C2747" w:rsidR="00296210" w:rsidP="000B0C2E" w:rsidRDefault="00877CB3" w14:paraId="3D913084" w14:textId="070D699D">
      <w:pPr>
        <w:spacing w:before="120" w:after="120"/>
      </w:pPr>
      <w:r w:rsidRPr="001C2747">
        <w:t>CDC (2013a). Mortality data file for 2010 with all state identifiers [CD-ROM].</w:t>
      </w:r>
    </w:p>
    <w:p w:rsidRPr="001C2747" w:rsidR="003A6B11" w:rsidP="000B0C2E" w:rsidRDefault="003A6B11" w14:paraId="05FF134B" w14:textId="77777777">
      <w:pPr>
        <w:widowControl/>
        <w:spacing w:before="120" w:after="120"/>
      </w:pPr>
      <w:r w:rsidRPr="001C2747">
        <w:t xml:space="preserve">CDC (2014). </w:t>
      </w:r>
      <w:r w:rsidRPr="001C2747">
        <w:rPr>
          <w:i/>
        </w:rPr>
        <w:t>Best Practices for Comprehensive Tobacco Control Programs—2014</w:t>
      </w:r>
      <w:r w:rsidRPr="001C2747">
        <w:t>. Atlanta: U.S. Department of Health and Human Services, Centers for Disease Control and Prevention, National Center for Chronic Disease Prevention and Health Promotion, Office on Smoking and Health.</w:t>
      </w:r>
    </w:p>
    <w:p w:rsidRPr="001C2747" w:rsidR="00704BD7" w:rsidP="000B0C2E" w:rsidRDefault="00704BD7" w14:paraId="2FD49EA3"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t xml:space="preserve">CDC (2013b).  Incidence, Prevalence, and Cost of Sexually Transmitted Infections in the United States.  Available at </w:t>
      </w:r>
      <w:hyperlink w:history="1" r:id="rId31">
        <w:r w:rsidRPr="001C2747">
          <w:rPr>
            <w:rStyle w:val="Hyperlink"/>
          </w:rPr>
          <w:t>http://www.cdc.gov/std/stats/sti-estimates-fact-sheet-feb-2013.pdf</w:t>
        </w:r>
      </w:hyperlink>
      <w:r w:rsidRPr="001C2747">
        <w:t>.  Accessed on January 26, 2016.</w:t>
      </w:r>
    </w:p>
    <w:p w:rsidR="00296210" w:rsidP="000B0C2E" w:rsidRDefault="00296210" w14:paraId="3631AA13" w14:textId="27C5636C">
      <w:pPr>
        <w:spacing w:before="120" w:after="120"/>
      </w:pPr>
      <w:r w:rsidRPr="001C2747">
        <w:t>CDC (201</w:t>
      </w:r>
      <w:r w:rsidRPr="001C2747" w:rsidR="003F3170">
        <w:t>5</w:t>
      </w:r>
      <w:r w:rsidRPr="001C2747">
        <w:t xml:space="preserve">). Indicators for </w:t>
      </w:r>
      <w:r w:rsidRPr="001C2747" w:rsidR="003F3170">
        <w:t>C</w:t>
      </w:r>
      <w:r w:rsidRPr="001C2747">
        <w:t xml:space="preserve">hronic </w:t>
      </w:r>
      <w:r w:rsidRPr="001C2747" w:rsidR="003F3170">
        <w:t>D</w:t>
      </w:r>
      <w:r w:rsidRPr="001C2747">
        <w:t xml:space="preserve">isease </w:t>
      </w:r>
      <w:r w:rsidRPr="001C2747" w:rsidR="003F3170">
        <w:t>S</w:t>
      </w:r>
      <w:r w:rsidRPr="001C2747">
        <w:t>urveillance.</w:t>
      </w:r>
      <w:r w:rsidRPr="001C2747">
        <w:rPr>
          <w:i/>
        </w:rPr>
        <w:t xml:space="preserve"> </w:t>
      </w:r>
      <w:r w:rsidRPr="001C2747">
        <w:t xml:space="preserve">Available at </w:t>
      </w:r>
      <w:hyperlink w:history="1" r:id="rId32">
        <w:r w:rsidRPr="001C2747" w:rsidR="003F3170">
          <w:rPr>
            <w:rStyle w:val="Hyperlink"/>
          </w:rPr>
          <w:t>http://www.cdc.gov/mmwr/preview/mmwrhtml/rr6401a1.htm</w:t>
        </w:r>
      </w:hyperlink>
      <w:r w:rsidRPr="001C2747" w:rsidR="003F3170">
        <w:t xml:space="preserve">.  Accessed January 26, 2016.  </w:t>
      </w:r>
    </w:p>
    <w:p w:rsidR="003C581E" w:rsidP="000B0C2E" w:rsidRDefault="003C581E" w14:paraId="19F63B4D" w14:textId="37A5743B">
      <w:pPr>
        <w:spacing w:before="120" w:after="120"/>
      </w:pPr>
      <w:r>
        <w:t>CDC (2017)</w:t>
      </w:r>
      <w:r w:rsidRPr="003C581E">
        <w:t xml:space="preserve">. </w:t>
      </w:r>
      <w:r w:rsidRPr="008F089C">
        <w:rPr>
          <w:i/>
          <w:iCs/>
        </w:rPr>
        <w:t>School Health Index: A Self-Assessment and Planning Guide. Middle school/high school version</w:t>
      </w:r>
      <w:r w:rsidRPr="003C581E">
        <w:t>. Atlanta, Georgia.</w:t>
      </w:r>
    </w:p>
    <w:p w:rsidRPr="00547AD9" w:rsidR="00467C25" w:rsidP="000B0C2E" w:rsidRDefault="00467C25" w14:paraId="41B3AFBC" w14:textId="166BA014">
      <w:pPr>
        <w:spacing w:before="120" w:after="120"/>
      </w:pPr>
      <w:r w:rsidRPr="00547AD9">
        <w:t xml:space="preserve">CDC (2018). </w:t>
      </w:r>
      <w:r w:rsidRPr="00547AD9">
        <w:rPr>
          <w:i/>
          <w:iCs/>
        </w:rPr>
        <w:t>HIV Surveillance Report: Diagnoses of HIV Infection in the United States and Dependent Areas</w:t>
      </w:r>
      <w:r w:rsidRPr="00547AD9">
        <w:t xml:space="preserve">, 2018; vol. 30. </w:t>
      </w:r>
      <w:hyperlink w:history="1" r:id="rId33">
        <w:r w:rsidRPr="00547AD9">
          <w:rPr>
            <w:rStyle w:val="Hyperlink"/>
          </w:rPr>
          <w:t>https://www.cdc.gov/hiv/statistics/overview/index.html</w:t>
        </w:r>
      </w:hyperlink>
      <w:r w:rsidRPr="00547AD9">
        <w:t xml:space="preserve"> Accessed </w:t>
      </w:r>
      <w:r w:rsidRPr="00547AD9">
        <w:rPr>
          <w:rStyle w:val="A7"/>
          <w:sz w:val="24"/>
          <w:szCs w:val="24"/>
          <w:u w:val="none"/>
        </w:rPr>
        <w:t>December 4, 2019.</w:t>
      </w:r>
    </w:p>
    <w:p w:rsidRPr="00547AD9" w:rsidR="006E0432" w:rsidP="000B0C2E" w:rsidRDefault="00CF771F" w14:paraId="55D0649B" w14:textId="70E51081">
      <w:pPr>
        <w:spacing w:before="120" w:after="120"/>
      </w:pPr>
      <w:r w:rsidRPr="00547AD9">
        <w:t xml:space="preserve">CDC (2019). </w:t>
      </w:r>
      <w:r w:rsidRPr="00547AD9" w:rsidR="006E0432">
        <w:rPr>
          <w:i/>
          <w:iCs/>
        </w:rPr>
        <w:t>National Vital Statistics Reports</w:t>
      </w:r>
      <w:r w:rsidRPr="00547AD9" w:rsidR="006E0432">
        <w:t>, Vol. 68, No. 6, June 24, 2019</w:t>
      </w:r>
      <w:r w:rsidRPr="00547AD9">
        <w:t xml:space="preserve">.  </w:t>
      </w:r>
    </w:p>
    <w:p w:rsidRPr="00547AD9" w:rsidR="00F97220" w:rsidP="000B0C2E" w:rsidRDefault="00F97220" w14:paraId="05459811" w14:textId="59E76B49">
      <w:pPr>
        <w:widowControl/>
        <w:spacing w:before="120" w:after="120"/>
      </w:pPr>
      <w:r w:rsidRPr="00547AD9">
        <w:t xml:space="preserve">CDC (2019). </w:t>
      </w:r>
      <w:r w:rsidRPr="00547AD9">
        <w:rPr>
          <w:i/>
        </w:rPr>
        <w:t>Physical Education Curriculum Analysis Tool</w:t>
      </w:r>
      <w:r w:rsidRPr="00547AD9">
        <w:t>. Atlanta, Georgia.</w:t>
      </w:r>
    </w:p>
    <w:p w:rsidR="0097554E" w:rsidRDefault="0097554E" w14:paraId="3948A0D0" w14:textId="77777777">
      <w:pPr>
        <w:widowControl/>
        <w:autoSpaceDE/>
        <w:autoSpaceDN/>
        <w:adjustRightInd/>
        <w:rPr>
          <w:color w:val="000000"/>
        </w:rPr>
      </w:pPr>
      <w:r>
        <w:rPr>
          <w:color w:val="000000"/>
        </w:rPr>
        <w:br w:type="page"/>
      </w:r>
    </w:p>
    <w:p w:rsidRPr="008F089C" w:rsidR="004F4C58" w:rsidP="000B0C2E" w:rsidRDefault="00467C25" w14:paraId="646879FE" w14:textId="7CE005BA">
      <w:pPr>
        <w:spacing w:before="120" w:after="120"/>
        <w:rPr>
          <w:rFonts w:eastAsia="AGaramondPro-Regular"/>
          <w:color w:val="000000"/>
        </w:rPr>
      </w:pPr>
      <w:r w:rsidRPr="00547AD9">
        <w:rPr>
          <w:color w:val="000000"/>
        </w:rPr>
        <w:lastRenderedPageBreak/>
        <w:t>CDC (2019)</w:t>
      </w:r>
      <w:r w:rsidRPr="00547AD9" w:rsidR="004F4C58">
        <w:rPr>
          <w:color w:val="000000"/>
        </w:rPr>
        <w:t xml:space="preserve">. </w:t>
      </w:r>
      <w:r w:rsidRPr="00547AD9" w:rsidR="004F4C58">
        <w:rPr>
          <w:i/>
          <w:iCs/>
          <w:color w:val="000000"/>
        </w:rPr>
        <w:t>Sexually Transmitted Disease Surveillance 2018</w:t>
      </w:r>
      <w:r w:rsidRPr="00547AD9" w:rsidR="004F4C58">
        <w:rPr>
          <w:color w:val="000000"/>
        </w:rPr>
        <w:t xml:space="preserve">. Atlanta: U.S. Department of Health and Human Services; 2019. DOI: 10.15620/cdc.79370. </w:t>
      </w:r>
      <w:r w:rsidRPr="00547AD9" w:rsidR="004F4C58">
        <w:rPr>
          <w:rStyle w:val="A7"/>
          <w:sz w:val="24"/>
          <w:szCs w:val="24"/>
        </w:rPr>
        <w:t>https://www.cdc.gov/std/stats</w:t>
      </w:r>
      <w:r w:rsidRPr="00547AD9" w:rsidR="004F4C58">
        <w:t xml:space="preserve"> </w:t>
      </w:r>
      <w:bookmarkStart w:name="_Hlk26362366" w:id="20"/>
      <w:r w:rsidRPr="00547AD9" w:rsidR="004F4C58">
        <w:t xml:space="preserve">Accessed </w:t>
      </w:r>
      <w:r w:rsidRPr="00547AD9" w:rsidR="004F4C58">
        <w:rPr>
          <w:rStyle w:val="A7"/>
          <w:sz w:val="24"/>
          <w:szCs w:val="24"/>
          <w:u w:val="none"/>
        </w:rPr>
        <w:t>December 4, 2019.</w:t>
      </w:r>
      <w:bookmarkEnd w:id="20"/>
    </w:p>
    <w:p w:rsidRPr="001C2747" w:rsidR="00296210" w:rsidP="000B0C2E" w:rsidRDefault="00296210" w14:paraId="01B1676F"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t xml:space="preserve">Eaton DK, Brener ND, Kann L, Denniston M, McManus T, Kyle TM, Roberts AM, Flint KH, Gross JG. (2010a) Comparison of paper-and-pencil versus web administration of the Youth Risk Behavior Survey (YRBS): risk behavior prevalence estimates. </w:t>
      </w:r>
      <w:r w:rsidRPr="001C2747">
        <w:rPr>
          <w:i/>
        </w:rPr>
        <w:t>Evaluation Review</w:t>
      </w:r>
      <w:r w:rsidRPr="001C2747">
        <w:t>; 34(2): 137-153.</w:t>
      </w:r>
    </w:p>
    <w:p w:rsidR="00E40E36" w:rsidP="000B0C2E" w:rsidRDefault="00E40E36" w14:paraId="22503097" w14:textId="62F61F2E">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t xml:space="preserve">Federal Interagency Forum on Child and Family Statistics. </w:t>
      </w:r>
      <w:r w:rsidRPr="00E40E36">
        <w:rPr>
          <w:i/>
          <w:iCs/>
        </w:rPr>
        <w:t>America’s Children: Key National Indicators of Well-Being, 2018</w:t>
      </w:r>
      <w:r>
        <w:t>. Washington, DC: U.S. Government Printing Office.</w:t>
      </w:r>
    </w:p>
    <w:p w:rsidRPr="001C2747" w:rsidR="00296210" w:rsidP="000B0C2E" w:rsidRDefault="00296210" w14:paraId="1E860B01"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rPr>
          <w:color w:val="000000"/>
        </w:rPr>
        <w:t xml:space="preserve">Foti K, Balaji A, Shanklin S (2011). Uses of Youth Risk Behavior Survey and School Health Profiles Data: Applications for Improving Adolescent and School Health. </w:t>
      </w:r>
      <w:r w:rsidRPr="001C2747">
        <w:rPr>
          <w:i/>
          <w:color w:val="000000"/>
        </w:rPr>
        <w:t>Journal of School Health</w:t>
      </w:r>
      <w:r w:rsidRPr="001C2747">
        <w:rPr>
          <w:color w:val="000000"/>
        </w:rPr>
        <w:t>; 81(6):345–354</w:t>
      </w:r>
    </w:p>
    <w:p w:rsidRPr="001C2747" w:rsidR="00296210" w:rsidP="000B0C2E" w:rsidRDefault="009B72A4" w14:paraId="69697AFB"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t>Hoffman, S. D., &amp; Maynard, R. A. (Eds.). (2008). </w:t>
      </w:r>
      <w:r w:rsidRPr="00BF7AEF">
        <w:rPr>
          <w:i/>
          <w:iCs/>
        </w:rPr>
        <w:t>Kids having kids: economic costs and social consequences of teen pregnancy (2nd ed.)</w:t>
      </w:r>
      <w:r w:rsidRPr="001C2747">
        <w:t>. Washington, DC: Urban Institute Press</w:t>
      </w:r>
    </w:p>
    <w:p w:rsidR="001A453E" w:rsidP="000B0C2E" w:rsidRDefault="001A453E" w14:paraId="238D62FB" w14:textId="41A16986">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strike/>
          <w:highlight w:val="cyan"/>
        </w:rPr>
      </w:pPr>
      <w:r w:rsidRPr="001A453E">
        <w:rPr>
          <w:color w:val="000000"/>
          <w:shd w:val="clear" w:color="auto" w:fill="FFFFFF"/>
        </w:rPr>
        <w:t>Machlin, S. </w:t>
      </w:r>
      <w:r w:rsidRPr="001A453E">
        <w:rPr>
          <w:i/>
          <w:iCs/>
          <w:color w:val="000000"/>
        </w:rPr>
        <w:t>Health Care Expenditures for Injury-Related Conditions, 2002</w:t>
      </w:r>
      <w:r w:rsidRPr="001A453E">
        <w:rPr>
          <w:color w:val="000000"/>
          <w:shd w:val="clear" w:color="auto" w:fill="FFFFFF"/>
        </w:rPr>
        <w:t>. Statistical Brief #93. August 2005. Agency for Healthcare Research and Quality, Rockville,</w:t>
      </w:r>
      <w:r>
        <w:rPr>
          <w:rFonts w:ascii="Verdana" w:hAnsi="Verdana"/>
          <w:color w:val="000000"/>
          <w:sz w:val="18"/>
          <w:szCs w:val="18"/>
          <w:shd w:val="clear" w:color="auto" w:fill="FFFFFF"/>
        </w:rPr>
        <w:t xml:space="preserve"> Md. </w:t>
      </w:r>
      <w:hyperlink w:history="1" r:id="rId34">
        <w:r>
          <w:rPr>
            <w:rStyle w:val="Hyperlink"/>
            <w:rFonts w:ascii="Verdana" w:hAnsi="Verdana"/>
            <w:color w:val="0741A2"/>
            <w:sz w:val="18"/>
            <w:szCs w:val="18"/>
          </w:rPr>
          <w:t>http://meps.ahrq.gov/mepsweb/data_files/publications/st93/stat93.shtml</w:t>
        </w:r>
      </w:hyperlink>
    </w:p>
    <w:p w:rsidR="005B15D5" w:rsidP="000B0C2E" w:rsidRDefault="005B15D5" w14:paraId="4C52C329" w14:textId="64428D6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547AD9">
        <w:t xml:space="preserve">Martin JA, Hamilton BE, Osterman MJK, Driscoll AK, Drake P. (2018). </w:t>
      </w:r>
      <w:r w:rsidRPr="00547AD9">
        <w:rPr>
          <w:i/>
          <w:iCs/>
        </w:rPr>
        <w:t>Births: Final data for 2017</w:t>
      </w:r>
      <w:r w:rsidRPr="00547AD9">
        <w:t>. National Vital Statistics Reports; vol 67 no 8.</w:t>
      </w:r>
      <w:r>
        <w:t xml:space="preserve"> </w:t>
      </w:r>
    </w:p>
    <w:p w:rsidR="00406B1D" w:rsidP="000B0C2E" w:rsidRDefault="00406B1D" w14:paraId="447360F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t xml:space="preserve">Musu, L., Zhang, A., Wang, K., Zhang, J., and Oudekerk, B.A. (2019). </w:t>
      </w:r>
      <w:r w:rsidRPr="00406B1D">
        <w:rPr>
          <w:i/>
          <w:iCs/>
        </w:rPr>
        <w:t>Indicators of School Crime and Safety: 2018</w:t>
      </w:r>
      <w:r>
        <w:t xml:space="preserve"> (NCES 2019-047/NCJ 252571). National Center for Education Statistics, U.S. Department of Education, and Bureau of Justice Statistics, Office of Justice Programs, U.S. Department of Justice. Washington, DC. </w:t>
      </w:r>
    </w:p>
    <w:p w:rsidRPr="001C2747" w:rsidR="00296210" w:rsidP="000B0C2E" w:rsidRDefault="00296210" w14:paraId="265F5548" w14:textId="195B9A9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t xml:space="preserve">National Center for Health Statistics (2011). </w:t>
      </w:r>
      <w:r w:rsidRPr="008F089C">
        <w:rPr>
          <w:iCs/>
        </w:rPr>
        <w:t>Health, United States, 201</w:t>
      </w:r>
      <w:r w:rsidRPr="008F089C" w:rsidR="003F3170">
        <w:rPr>
          <w:iCs/>
        </w:rPr>
        <w:t>3</w:t>
      </w:r>
      <w:r w:rsidRPr="008F089C">
        <w:rPr>
          <w:iCs/>
        </w:rPr>
        <w:t xml:space="preserve">: With Special Feature on </w:t>
      </w:r>
      <w:r w:rsidRPr="008F089C" w:rsidR="003F3170">
        <w:rPr>
          <w:iCs/>
        </w:rPr>
        <w:t>Prescription Drugs</w:t>
      </w:r>
      <w:r w:rsidRPr="001C2747">
        <w:rPr>
          <w:i/>
        </w:rPr>
        <w:t xml:space="preserve">. </w:t>
      </w:r>
      <w:r w:rsidRPr="001C2747">
        <w:t xml:space="preserve">Hyattsville, Maryland. </w:t>
      </w:r>
    </w:p>
    <w:p w:rsidRPr="001C2747" w:rsidR="00296210" w:rsidP="000B0C2E" w:rsidRDefault="00296210" w14:paraId="713970ED"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t xml:space="preserve">National Drug Intelligence Center (2011). </w:t>
      </w:r>
      <w:r w:rsidRPr="008F089C">
        <w:t>The Economic Impact of Illicit Drug Use on American Society</w:t>
      </w:r>
      <w:r w:rsidRPr="001C2747">
        <w:t>. Washington D.C.: United States Department of Justice.</w:t>
      </w:r>
    </w:p>
    <w:p w:rsidRPr="001C2747" w:rsidR="00296210" w:rsidP="000B0C2E" w:rsidRDefault="00296210" w14:paraId="0DD13772" w14:textId="77777777">
      <w:pPr>
        <w:tabs>
          <w:tab w:val="left" w:pos="-1080"/>
          <w:tab w:val="left" w:pos="-720"/>
          <w:tab w:val="left" w:pos="0"/>
          <w:tab w:val="left" w:pos="720"/>
          <w:tab w:val="left" w:pos="1440"/>
          <w:tab w:val="left" w:pos="2160"/>
          <w:tab w:val="left" w:pos="2454"/>
          <w:tab w:val="left" w:pos="2700"/>
          <w:tab w:val="left" w:pos="3690"/>
          <w:tab w:val="left" w:pos="4320"/>
          <w:tab w:val="left" w:pos="5760"/>
          <w:tab w:val="left" w:pos="6480"/>
          <w:tab w:val="left" w:pos="7200"/>
          <w:tab w:val="left" w:pos="7920"/>
          <w:tab w:val="left" w:pos="8640"/>
          <w:tab w:val="left" w:pos="9360"/>
        </w:tabs>
        <w:spacing w:before="120" w:after="120"/>
        <w:rPr>
          <w:bCs/>
        </w:rPr>
      </w:pPr>
      <w:r w:rsidRPr="001C2747">
        <w:rPr>
          <w:color w:val="000000"/>
        </w:rPr>
        <w:t xml:space="preserve">Office of the Assistant Secretary for Planning and Evaluation, U.S. Department of Health and Human Services (2004). </w:t>
      </w:r>
      <w:r w:rsidRPr="001C2747">
        <w:rPr>
          <w:i/>
          <w:iCs/>
          <w:color w:val="000000"/>
        </w:rPr>
        <w:t>Trends in the Well-being of America’s Children and Youth, 2003</w:t>
      </w:r>
      <w:r w:rsidRPr="001C2747">
        <w:rPr>
          <w:color w:val="000000"/>
        </w:rPr>
        <w:t>. Available on-line</w:t>
      </w:r>
      <w:r w:rsidRPr="001C2747">
        <w:t>:</w:t>
      </w:r>
      <w:r w:rsidRPr="001C2747">
        <w:rPr>
          <w:bCs/>
        </w:rPr>
        <w:t xml:space="preserve"> </w:t>
      </w:r>
      <w:hyperlink w:history="1" r:id="rId35">
        <w:r w:rsidRPr="001C2747">
          <w:rPr>
            <w:rStyle w:val="Hyperlink"/>
            <w:bCs/>
          </w:rPr>
          <w:t>http://aspe.hhs.gov/hsp/03trends/index.htm</w:t>
        </w:r>
      </w:hyperlink>
      <w:r w:rsidRPr="001C2747">
        <w:rPr>
          <w:bCs/>
        </w:rPr>
        <w:t>.</w:t>
      </w:r>
    </w:p>
    <w:p w:rsidRPr="001C2747" w:rsidR="00EF6A97" w:rsidP="000B0C2E" w:rsidRDefault="00EF6A97" w14:paraId="245E4381" w14:textId="77777777">
      <w:pPr>
        <w:spacing w:before="120" w:after="120"/>
      </w:pPr>
      <w:r w:rsidRPr="001C2747">
        <w:t xml:space="preserve">Sacks, J.J., Gonzalez, K.R., Bourchery, E.E., Tomedi, L.E., Brewer, R.D. (2015).  </w:t>
      </w:r>
      <w:r w:rsidRPr="008F089C">
        <w:t>2010 National and State Costs of Excessive Alcohol Consumption</w:t>
      </w:r>
      <w:r w:rsidRPr="001C2747">
        <w:t xml:space="preserve">.  </w:t>
      </w:r>
      <w:hyperlink w:history="1" r:id="rId36">
        <w:r w:rsidRPr="001C2747">
          <w:rPr>
            <w:rStyle w:val="Hyperlink"/>
          </w:rPr>
          <w:t>http://www.ajpmonline.org/article/S0749-3797(15)00354-2/abstract</w:t>
        </w:r>
      </w:hyperlink>
    </w:p>
    <w:p w:rsidRPr="001C2747" w:rsidR="007B175F" w:rsidP="000B0C2E" w:rsidRDefault="007B175F" w14:paraId="72D96BD1"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pPr>
      <w:r w:rsidRPr="001C2747">
        <w:rPr>
          <w:color w:val="000000"/>
        </w:rPr>
        <w:t>U.S. Department of Agriculture</w:t>
      </w:r>
      <w:r w:rsidRPr="001C2747" w:rsidDel="007B175F">
        <w:t xml:space="preserve"> </w:t>
      </w:r>
      <w:r w:rsidRPr="001C2747">
        <w:t>(20</w:t>
      </w:r>
      <w:r>
        <w:t>1</w:t>
      </w:r>
      <w:r w:rsidRPr="001C2747">
        <w:t xml:space="preserve">4). </w:t>
      </w:r>
      <w:r w:rsidRPr="001C2747">
        <w:rPr>
          <w:i/>
        </w:rPr>
        <w:t>Food-Safe Schools Action Guide.</w:t>
      </w:r>
      <w:r w:rsidRPr="001C2747">
        <w:t xml:space="preserve"> Available at: </w:t>
      </w:r>
      <w:r w:rsidRPr="007B175F">
        <w:t>https://fns-prod.azureedge.net/sites/default/files/Food-Safe-Schools-Action-Guide.pdf</w:t>
      </w:r>
    </w:p>
    <w:p w:rsidRPr="001C2747" w:rsidR="00296210" w:rsidP="000B0C2E" w:rsidRDefault="00296210" w14:paraId="63DE35F4"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(1994). </w:t>
      </w:r>
      <w:r w:rsidRPr="008F089C">
        <w:rPr>
          <w:i/>
          <w:color w:val="000000"/>
        </w:rPr>
        <w:t xml:space="preserve">Preventing tobacco use among young people: a report of the Surgeon General.  </w:t>
      </w:r>
      <w:r w:rsidRPr="001C2747">
        <w:rPr>
          <w:color w:val="000000"/>
        </w:rPr>
        <w:t>Atlanta GA.</w:t>
      </w:r>
    </w:p>
    <w:p w:rsidRPr="001C2747" w:rsidR="00296210" w:rsidP="000B0C2E" w:rsidRDefault="00296210" w14:paraId="569A9A7F"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(1996). </w:t>
      </w:r>
      <w:r w:rsidRPr="008F089C">
        <w:rPr>
          <w:i/>
          <w:color w:val="000000"/>
        </w:rPr>
        <w:t>Physical activity and health: a report of the Surgeon General</w:t>
      </w:r>
      <w:r w:rsidRPr="008F089C">
        <w:rPr>
          <w:iCs/>
          <w:color w:val="000000"/>
        </w:rPr>
        <w:t xml:space="preserve">.  </w:t>
      </w:r>
      <w:r w:rsidRPr="001C2747">
        <w:rPr>
          <w:color w:val="000000"/>
        </w:rPr>
        <w:t>Atlanta GA.</w:t>
      </w:r>
    </w:p>
    <w:p w:rsidRPr="001C2747" w:rsidR="00296210" w:rsidP="000B0C2E" w:rsidRDefault="00296210" w14:paraId="3C66F6CB" w14:textId="68BC269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(1998). </w:t>
      </w:r>
      <w:r w:rsidRPr="008F089C">
        <w:rPr>
          <w:i/>
          <w:color w:val="000000"/>
        </w:rPr>
        <w:t xml:space="preserve">Tobacco use among U.S. racial/ethnic </w:t>
      </w:r>
      <w:r w:rsidRPr="008F089C">
        <w:rPr>
          <w:i/>
          <w:color w:val="000000"/>
        </w:rPr>
        <w:lastRenderedPageBreak/>
        <w:t>minority groups: A report of the Surgeon General</w:t>
      </w:r>
      <w:r w:rsidRPr="008F089C">
        <w:rPr>
          <w:iCs/>
          <w:color w:val="000000"/>
        </w:rPr>
        <w:t xml:space="preserve">.  </w:t>
      </w:r>
      <w:r w:rsidRPr="001C2747">
        <w:rPr>
          <w:color w:val="000000"/>
        </w:rPr>
        <w:t>Atlanta GA.</w:t>
      </w:r>
    </w:p>
    <w:p w:rsidRPr="001C2747" w:rsidR="00296210" w:rsidP="000B0C2E" w:rsidRDefault="00296210" w14:paraId="5D83863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(1999). </w:t>
      </w:r>
      <w:r w:rsidRPr="008F089C">
        <w:rPr>
          <w:i/>
          <w:color w:val="000000"/>
        </w:rPr>
        <w:t>Mental health: a report of the Surgeon General</w:t>
      </w:r>
      <w:r w:rsidRPr="001C2747">
        <w:rPr>
          <w:i/>
          <w:color w:val="000000"/>
        </w:rPr>
        <w:t xml:space="preserve">. </w:t>
      </w:r>
      <w:r w:rsidRPr="001C2747">
        <w:rPr>
          <w:color w:val="000000"/>
        </w:rPr>
        <w:t xml:space="preserve"> Atlanta GA.</w:t>
      </w:r>
    </w:p>
    <w:p w:rsidRPr="001C2747" w:rsidR="00296210" w:rsidP="000B0C2E" w:rsidRDefault="00296210" w14:paraId="0E44B695"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(1999). </w:t>
      </w:r>
      <w:r w:rsidRPr="001C2747">
        <w:rPr>
          <w:i/>
          <w:color w:val="000000"/>
        </w:rPr>
        <w:t>The Surgeon General’s call to action to prevent suicide.</w:t>
      </w:r>
      <w:r w:rsidRPr="001C2747">
        <w:rPr>
          <w:color w:val="000000"/>
        </w:rPr>
        <w:t xml:space="preserve">  Atlanta GA.</w:t>
      </w:r>
    </w:p>
    <w:p w:rsidRPr="001C2747" w:rsidR="00296210" w:rsidP="000B0C2E" w:rsidRDefault="00296210" w14:paraId="6526BB39"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Office of Disease Prevention and Health Promotion. (2011) </w:t>
      </w:r>
      <w:r w:rsidRPr="001C2747">
        <w:rPr>
          <w:i/>
          <w:color w:val="000000"/>
        </w:rPr>
        <w:t>Healthy People 2020.</w:t>
      </w:r>
      <w:r w:rsidRPr="001C2747">
        <w:rPr>
          <w:color w:val="000000"/>
        </w:rPr>
        <w:t xml:space="preserve"> Washington, DC. Available at http://www.healthypeople.gov. Accessed February 6, 2012.</w:t>
      </w:r>
    </w:p>
    <w:p w:rsidRPr="001C2747" w:rsidR="00296210" w:rsidP="000B0C2E" w:rsidRDefault="00296210" w14:paraId="2CB1B46C"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(2001). </w:t>
      </w:r>
      <w:r w:rsidRPr="001C2747">
        <w:rPr>
          <w:i/>
          <w:color w:val="000000"/>
        </w:rPr>
        <w:t xml:space="preserve">Women and smoking: a report of the Surgeon General.  </w:t>
      </w:r>
      <w:r w:rsidRPr="001C2747">
        <w:rPr>
          <w:color w:val="000000"/>
        </w:rPr>
        <w:t>Atlanta GA.</w:t>
      </w:r>
    </w:p>
    <w:p w:rsidRPr="001C2747" w:rsidR="00296210" w:rsidP="000B0C2E" w:rsidRDefault="00296210" w14:paraId="56DE2049"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(2001). </w:t>
      </w:r>
      <w:r w:rsidRPr="001C2747">
        <w:rPr>
          <w:i/>
          <w:color w:val="000000"/>
        </w:rPr>
        <w:t>Youth violence: a report of the Surgeon General.</w:t>
      </w:r>
      <w:r w:rsidRPr="001C2747">
        <w:rPr>
          <w:color w:val="000000"/>
        </w:rPr>
        <w:t xml:space="preserve">  Atlanta GA.</w:t>
      </w:r>
    </w:p>
    <w:p w:rsidRPr="001C2747" w:rsidR="00296210" w:rsidP="000B0C2E" w:rsidRDefault="00296210" w14:paraId="0BD0A7F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after="120"/>
        <w:rPr>
          <w:color w:val="000000"/>
        </w:rPr>
      </w:pPr>
      <w:r w:rsidRPr="001C2747">
        <w:rPr>
          <w:color w:val="000000"/>
        </w:rPr>
        <w:t xml:space="preserve">U.S. Department of Health and Human Services (2004). </w:t>
      </w:r>
      <w:r w:rsidRPr="001C2747">
        <w:rPr>
          <w:i/>
          <w:color w:val="000000"/>
        </w:rPr>
        <w:t>The health consequences of smoking: a report of the Surgeon General.</w:t>
      </w:r>
      <w:r w:rsidRPr="001C2747">
        <w:rPr>
          <w:color w:val="000000"/>
        </w:rPr>
        <w:t xml:space="preserve">  Atlanta GA.</w:t>
      </w:r>
    </w:p>
    <w:p w:rsidRPr="0097424C" w:rsidR="003D2661" w:rsidP="000B0C2E" w:rsidRDefault="003D2661" w14:paraId="42BDDE5D" w14:textId="77777777">
      <w:pPr>
        <w:widowControl/>
        <w:spacing w:before="120" w:after="120"/>
      </w:pPr>
      <w:r w:rsidRPr="001C2747">
        <w:t xml:space="preserve">U.S. Department of Health and Human Services (2014). </w:t>
      </w:r>
      <w:r w:rsidRPr="007E1E66">
        <w:rPr>
          <w:i/>
          <w:iCs/>
        </w:rPr>
        <w:t>The Health Consequences of Smoking- 50 years of Progress: A Report of the Surgeon General.</w:t>
      </w:r>
      <w:r w:rsidRPr="001C2747">
        <w:t xml:space="preserve"> Atlanta, GA: U.S. Department of Health and Human Services, Centers for Disease Control and Prevention, National Center for Chronic Disease Prevention and Health Promotion, Office on Smoking and Health.</w:t>
      </w:r>
    </w:p>
    <w:p w:rsidR="003F1E16" w:rsidP="000B0C2E" w:rsidRDefault="003F1E16" w14:paraId="5E240468" w14:textId="0550AEB5">
      <w:pPr>
        <w:spacing w:before="120" w:after="120"/>
      </w:pPr>
      <w:r w:rsidRPr="003F1E16">
        <w:t xml:space="preserve">U.S. Department of Health and Human Services and U.S. Department of Agriculture. 2015–2020 </w:t>
      </w:r>
      <w:r w:rsidRPr="002C3C4A">
        <w:rPr>
          <w:i/>
          <w:iCs/>
        </w:rPr>
        <w:t>Dietary Guidelines for Americans. 8th Edition</w:t>
      </w:r>
      <w:r w:rsidRPr="003F1E16">
        <w:t>. December 2015. Available at http://health.gov/dietaryguidelines/2015/guidelines/.</w:t>
      </w:r>
    </w:p>
    <w:p w:rsidRPr="003F1E16" w:rsidR="003F1E16" w:rsidP="000B0C2E" w:rsidRDefault="003F1E16" w14:paraId="1034C94E" w14:textId="40EEADF2">
      <w:pPr>
        <w:spacing w:before="120" w:after="120"/>
      </w:pPr>
      <w:r w:rsidRPr="003F1E16">
        <w:t xml:space="preserve">U.S. Department of Health and Human Services. </w:t>
      </w:r>
      <w:r w:rsidRPr="002C3C4A">
        <w:rPr>
          <w:i/>
          <w:iCs/>
        </w:rPr>
        <w:t>Physical Activity Guidelines for Americans, 2nd edition</w:t>
      </w:r>
      <w:r w:rsidRPr="003F1E16">
        <w:t>. Washington, DC: U.S. Department of Health and Human Services; 2018.</w:t>
      </w:r>
    </w:p>
    <w:sectPr w:rsidRPr="003F1E16" w:rsidR="003F1E16" w:rsidSect="00D16224">
      <w:endnotePr>
        <w:numFmt w:val="decimal"/>
      </w:endnotePr>
      <w:type w:val="continuous"/>
      <w:pgSz w:w="12240" w:h="15840" w:code="1"/>
      <w:pgMar w:top="1440" w:right="1440" w:bottom="1440" w:left="1440" w:header="1080" w:footer="576"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5461D" w16cex:dateUtc="2020-10-17T14:29:00Z"/>
  <w16cex:commentExtensible w16cex:durableId="23355127" w16cex:dateUtc="2020-10-17T15:16:00Z"/>
  <w16cex:commentExtensible w16cex:durableId="233571D4" w16cex:dateUtc="2020-10-17T17: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CC5CE" w14:textId="77777777" w:rsidR="00C93DC3" w:rsidRDefault="00C93DC3">
      <w:r>
        <w:separator/>
      </w:r>
    </w:p>
  </w:endnote>
  <w:endnote w:type="continuationSeparator" w:id="0">
    <w:p w14:paraId="6C24CE70" w14:textId="77777777" w:rsidR="00C93DC3" w:rsidRDefault="00C9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GaramondPro-Regular">
    <w:altName w:val="MS Mincho"/>
    <w:panose1 w:val="00000000000000000000"/>
    <w:charset w:val="80"/>
    <w:family w:val="roman"/>
    <w:notTrueType/>
    <w:pitch w:val="default"/>
    <w:sig w:usb0="00000000"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A1FE" w14:textId="77777777" w:rsidR="00C40D10" w:rsidRDefault="00C40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6B062" w14:textId="77777777" w:rsidR="00C93DC3" w:rsidRDefault="00C93DC3">
    <w:pPr>
      <w:spacing w:line="240" w:lineRule="exact"/>
    </w:pPr>
  </w:p>
  <w:p w14:paraId="02995D1F" w14:textId="77777777" w:rsidR="00C93DC3" w:rsidRDefault="00C93DC3">
    <w:pPr>
      <w:framePr w:w="10801" w:wrap="notBeside" w:vAnchor="text" w:hAnchor="text" w:x="1" w:y="1"/>
      <w:jc w:val="center"/>
      <w:rPr>
        <w:sz w:val="22"/>
        <w:szCs w:val="22"/>
      </w:rPr>
    </w:pPr>
    <w:r>
      <w:rPr>
        <w:sz w:val="22"/>
        <w:szCs w:val="22"/>
      </w:rPr>
      <w:fldChar w:fldCharType="begin"/>
    </w:r>
    <w:r>
      <w:rPr>
        <w:sz w:val="22"/>
        <w:szCs w:val="22"/>
      </w:rPr>
      <w:instrText xml:space="preserve">PAGE </w:instrText>
    </w:r>
    <w:r>
      <w:rPr>
        <w:sz w:val="22"/>
        <w:szCs w:val="22"/>
      </w:rPr>
      <w:fldChar w:fldCharType="separate"/>
    </w:r>
    <w:r>
      <w:rPr>
        <w:noProof/>
        <w:sz w:val="22"/>
        <w:szCs w:val="22"/>
      </w:rPr>
      <w:t>21</w:t>
    </w:r>
    <w:r>
      <w:rPr>
        <w:sz w:val="22"/>
        <w:szCs w:val="22"/>
      </w:rPr>
      <w:fldChar w:fldCharType="end"/>
    </w:r>
  </w:p>
  <w:p w14:paraId="5096269B" w14:textId="77777777" w:rsidR="00C93DC3" w:rsidRDefault="00C93DC3">
    <w:pPr>
      <w:ind w:left="864" w:right="5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74257" w14:textId="77777777" w:rsidR="00C40D10" w:rsidRDefault="00C4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F985A" w14:textId="77777777" w:rsidR="00C93DC3" w:rsidRDefault="00C93DC3">
      <w:r>
        <w:separator/>
      </w:r>
    </w:p>
  </w:footnote>
  <w:footnote w:type="continuationSeparator" w:id="0">
    <w:p w14:paraId="7764095C" w14:textId="77777777" w:rsidR="00C93DC3" w:rsidRDefault="00C9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3288A" w14:textId="77777777" w:rsidR="00C40D10" w:rsidRDefault="00C40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F34AF" w14:textId="77777777" w:rsidR="00C40D10" w:rsidRDefault="00C40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6D55B" w14:textId="77777777" w:rsidR="00C40D10" w:rsidRDefault="00C40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D821230"/>
    <w:lvl w:ilvl="0">
      <w:numFmt w:val="decimal"/>
      <w:lvlText w:val="*"/>
      <w:lvlJc w:val="left"/>
    </w:lvl>
  </w:abstractNum>
  <w:abstractNum w:abstractNumId="1" w15:restartNumberingAfterBreak="0">
    <w:nsid w:val="00000001"/>
    <w:multiLevelType w:val="multilevel"/>
    <w:tmpl w:val="00000000"/>
    <w:lvl w:ilvl="0">
      <w:start w:val="1"/>
      <w:numFmt w:val="upperLetter"/>
      <w:lvlText w:val="%1."/>
      <w:lvlJc w:val="left"/>
      <w:pPr>
        <w:tabs>
          <w:tab w:val="num" w:pos="288"/>
        </w:tabs>
        <w:ind w:left="288" w:hanging="288"/>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2"/>
    <w:multiLevelType w:val="multilevel"/>
    <w:tmpl w:val="ED764D2E"/>
    <w:lvl w:ilvl="0">
      <w:start w:val="1"/>
      <w:numFmt w:val="decimal"/>
      <w:lvlText w:val="%1."/>
      <w:lvlJc w:val="left"/>
      <w:pPr>
        <w:tabs>
          <w:tab w:val="num" w:pos="288"/>
        </w:tabs>
        <w:ind w:left="8640" w:hanging="86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4530CAF"/>
    <w:multiLevelType w:val="hybridMultilevel"/>
    <w:tmpl w:val="80F49E74"/>
    <w:lvl w:ilvl="0" w:tplc="AAF06BD6">
      <w:start w:val="13"/>
      <w:numFmt w:val="decimal"/>
      <w:lvlText w:val="%1."/>
      <w:lvlJc w:val="left"/>
      <w:pPr>
        <w:tabs>
          <w:tab w:val="num" w:pos="726"/>
        </w:tabs>
        <w:ind w:left="726" w:hanging="420"/>
      </w:pPr>
      <w:rPr>
        <w:rFonts w:hint="default"/>
      </w:rPr>
    </w:lvl>
    <w:lvl w:ilvl="1" w:tplc="04090019" w:tentative="1">
      <w:start w:val="1"/>
      <w:numFmt w:val="lowerLetter"/>
      <w:lvlText w:val="%2."/>
      <w:lvlJc w:val="left"/>
      <w:pPr>
        <w:tabs>
          <w:tab w:val="num" w:pos="1386"/>
        </w:tabs>
        <w:ind w:left="1386" w:hanging="360"/>
      </w:pPr>
    </w:lvl>
    <w:lvl w:ilvl="2" w:tplc="0409001B" w:tentative="1">
      <w:start w:val="1"/>
      <w:numFmt w:val="lowerRoman"/>
      <w:lvlText w:val="%3."/>
      <w:lvlJc w:val="right"/>
      <w:pPr>
        <w:tabs>
          <w:tab w:val="num" w:pos="2106"/>
        </w:tabs>
        <w:ind w:left="2106" w:hanging="180"/>
      </w:pPr>
    </w:lvl>
    <w:lvl w:ilvl="3" w:tplc="0409000F" w:tentative="1">
      <w:start w:val="1"/>
      <w:numFmt w:val="decimal"/>
      <w:lvlText w:val="%4."/>
      <w:lvlJc w:val="left"/>
      <w:pPr>
        <w:tabs>
          <w:tab w:val="num" w:pos="2826"/>
        </w:tabs>
        <w:ind w:left="2826" w:hanging="360"/>
      </w:pPr>
    </w:lvl>
    <w:lvl w:ilvl="4" w:tplc="04090019" w:tentative="1">
      <w:start w:val="1"/>
      <w:numFmt w:val="lowerLetter"/>
      <w:lvlText w:val="%5."/>
      <w:lvlJc w:val="left"/>
      <w:pPr>
        <w:tabs>
          <w:tab w:val="num" w:pos="3546"/>
        </w:tabs>
        <w:ind w:left="3546" w:hanging="360"/>
      </w:pPr>
    </w:lvl>
    <w:lvl w:ilvl="5" w:tplc="0409001B" w:tentative="1">
      <w:start w:val="1"/>
      <w:numFmt w:val="lowerRoman"/>
      <w:lvlText w:val="%6."/>
      <w:lvlJc w:val="right"/>
      <w:pPr>
        <w:tabs>
          <w:tab w:val="num" w:pos="4266"/>
        </w:tabs>
        <w:ind w:left="4266" w:hanging="180"/>
      </w:pPr>
    </w:lvl>
    <w:lvl w:ilvl="6" w:tplc="0409000F" w:tentative="1">
      <w:start w:val="1"/>
      <w:numFmt w:val="decimal"/>
      <w:lvlText w:val="%7."/>
      <w:lvlJc w:val="left"/>
      <w:pPr>
        <w:tabs>
          <w:tab w:val="num" w:pos="4986"/>
        </w:tabs>
        <w:ind w:left="4986" w:hanging="360"/>
      </w:pPr>
    </w:lvl>
    <w:lvl w:ilvl="7" w:tplc="04090019" w:tentative="1">
      <w:start w:val="1"/>
      <w:numFmt w:val="lowerLetter"/>
      <w:lvlText w:val="%8."/>
      <w:lvlJc w:val="left"/>
      <w:pPr>
        <w:tabs>
          <w:tab w:val="num" w:pos="5706"/>
        </w:tabs>
        <w:ind w:left="5706" w:hanging="360"/>
      </w:pPr>
    </w:lvl>
    <w:lvl w:ilvl="8" w:tplc="0409001B" w:tentative="1">
      <w:start w:val="1"/>
      <w:numFmt w:val="lowerRoman"/>
      <w:lvlText w:val="%9."/>
      <w:lvlJc w:val="right"/>
      <w:pPr>
        <w:tabs>
          <w:tab w:val="num" w:pos="6426"/>
        </w:tabs>
        <w:ind w:left="6426" w:hanging="180"/>
      </w:pPr>
    </w:lvl>
  </w:abstractNum>
  <w:abstractNum w:abstractNumId="6" w15:restartNumberingAfterBreak="0">
    <w:nsid w:val="046A7981"/>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B1313C"/>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5D7BA2"/>
    <w:multiLevelType w:val="hybridMultilevel"/>
    <w:tmpl w:val="9C0C0F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024779"/>
    <w:multiLevelType w:val="hybridMultilevel"/>
    <w:tmpl w:val="671AC784"/>
    <w:lvl w:ilvl="0" w:tplc="31D62D0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8A6096"/>
    <w:multiLevelType w:val="hybridMultilevel"/>
    <w:tmpl w:val="DBD0640C"/>
    <w:lvl w:ilvl="0" w:tplc="CA0CE4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EC477C"/>
    <w:multiLevelType w:val="hybridMultilevel"/>
    <w:tmpl w:val="278A4724"/>
    <w:lvl w:ilvl="0" w:tplc="CA0CE41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5751B"/>
    <w:multiLevelType w:val="hybridMultilevel"/>
    <w:tmpl w:val="9F925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F76372"/>
    <w:multiLevelType w:val="hybridMultilevel"/>
    <w:tmpl w:val="A88E04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FF4F2F"/>
    <w:multiLevelType w:val="hybridMultilevel"/>
    <w:tmpl w:val="8B48C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DD20E6F"/>
    <w:multiLevelType w:val="hybridMultilevel"/>
    <w:tmpl w:val="892A91C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0B7D4F"/>
    <w:multiLevelType w:val="hybridMultilevel"/>
    <w:tmpl w:val="3F6C72AC"/>
    <w:lvl w:ilvl="0" w:tplc="CC88341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4549EC"/>
    <w:multiLevelType w:val="hybridMultilevel"/>
    <w:tmpl w:val="2EC489D4"/>
    <w:lvl w:ilvl="0" w:tplc="4094C5BC">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2B2357"/>
    <w:multiLevelType w:val="hybridMultilevel"/>
    <w:tmpl w:val="F9AE0D26"/>
    <w:lvl w:ilvl="0" w:tplc="C7F6C558">
      <w:start w:val="1"/>
      <w:numFmt w:val="bullet"/>
      <w:lvlText w:val="•"/>
      <w:lvlJc w:val="left"/>
      <w:pPr>
        <w:ind w:hanging="360"/>
      </w:pPr>
      <w:rPr>
        <w:rFonts w:ascii="Courier New" w:eastAsia="Courier New" w:hAnsi="Courier New" w:hint="default"/>
        <w:color w:val="231F20"/>
        <w:sz w:val="24"/>
        <w:szCs w:val="24"/>
      </w:rPr>
    </w:lvl>
    <w:lvl w:ilvl="1" w:tplc="6DD2A064">
      <w:start w:val="1"/>
      <w:numFmt w:val="bullet"/>
      <w:lvlText w:val="•"/>
      <w:lvlJc w:val="left"/>
      <w:rPr>
        <w:rFonts w:hint="default"/>
      </w:rPr>
    </w:lvl>
    <w:lvl w:ilvl="2" w:tplc="8A94BA7E">
      <w:start w:val="1"/>
      <w:numFmt w:val="bullet"/>
      <w:lvlText w:val="•"/>
      <w:lvlJc w:val="left"/>
      <w:rPr>
        <w:rFonts w:hint="default"/>
      </w:rPr>
    </w:lvl>
    <w:lvl w:ilvl="3" w:tplc="2C5661F2">
      <w:start w:val="1"/>
      <w:numFmt w:val="bullet"/>
      <w:lvlText w:val="•"/>
      <w:lvlJc w:val="left"/>
      <w:rPr>
        <w:rFonts w:hint="default"/>
      </w:rPr>
    </w:lvl>
    <w:lvl w:ilvl="4" w:tplc="16701FDC">
      <w:start w:val="1"/>
      <w:numFmt w:val="bullet"/>
      <w:lvlText w:val="•"/>
      <w:lvlJc w:val="left"/>
      <w:rPr>
        <w:rFonts w:hint="default"/>
      </w:rPr>
    </w:lvl>
    <w:lvl w:ilvl="5" w:tplc="BF0CB160">
      <w:start w:val="1"/>
      <w:numFmt w:val="bullet"/>
      <w:lvlText w:val="•"/>
      <w:lvlJc w:val="left"/>
      <w:rPr>
        <w:rFonts w:hint="default"/>
      </w:rPr>
    </w:lvl>
    <w:lvl w:ilvl="6" w:tplc="63C63222">
      <w:start w:val="1"/>
      <w:numFmt w:val="bullet"/>
      <w:lvlText w:val="•"/>
      <w:lvlJc w:val="left"/>
      <w:rPr>
        <w:rFonts w:hint="default"/>
      </w:rPr>
    </w:lvl>
    <w:lvl w:ilvl="7" w:tplc="A8ECF5A8">
      <w:start w:val="1"/>
      <w:numFmt w:val="bullet"/>
      <w:lvlText w:val="•"/>
      <w:lvlJc w:val="left"/>
      <w:rPr>
        <w:rFonts w:hint="default"/>
      </w:rPr>
    </w:lvl>
    <w:lvl w:ilvl="8" w:tplc="C55A9304">
      <w:start w:val="1"/>
      <w:numFmt w:val="bullet"/>
      <w:lvlText w:val="•"/>
      <w:lvlJc w:val="left"/>
      <w:rPr>
        <w:rFonts w:hint="default"/>
      </w:rPr>
    </w:lvl>
  </w:abstractNum>
  <w:abstractNum w:abstractNumId="19" w15:restartNumberingAfterBreak="0">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20" w15:restartNumberingAfterBreak="0">
    <w:nsid w:val="38C346E4"/>
    <w:multiLevelType w:val="hybridMultilevel"/>
    <w:tmpl w:val="D27C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2161D0"/>
    <w:multiLevelType w:val="hybridMultilevel"/>
    <w:tmpl w:val="987C37D2"/>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06349E"/>
    <w:multiLevelType w:val="hybridMultilevel"/>
    <w:tmpl w:val="8A9CE38E"/>
    <w:lvl w:ilvl="0" w:tplc="B35A30F0">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49DA00ED"/>
    <w:multiLevelType w:val="hybridMultilevel"/>
    <w:tmpl w:val="085C23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3374E2"/>
    <w:multiLevelType w:val="hybridMultilevel"/>
    <w:tmpl w:val="8AAA063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14430"/>
    <w:multiLevelType w:val="hybridMultilevel"/>
    <w:tmpl w:val="8714AD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D1E0E8F"/>
    <w:multiLevelType w:val="hybridMultilevel"/>
    <w:tmpl w:val="4E48B24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A1AA8"/>
    <w:multiLevelType w:val="hybridMultilevel"/>
    <w:tmpl w:val="B48AB676"/>
    <w:lvl w:ilvl="0" w:tplc="558893E8">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8847D2"/>
    <w:multiLevelType w:val="multilevel"/>
    <w:tmpl w:val="19C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87636F"/>
    <w:multiLevelType w:val="hybridMultilevel"/>
    <w:tmpl w:val="47FAA12E"/>
    <w:lvl w:ilvl="0" w:tplc="51940F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D114CA"/>
    <w:multiLevelType w:val="hybridMultilevel"/>
    <w:tmpl w:val="A5A889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1A4C92"/>
    <w:multiLevelType w:val="hybridMultilevel"/>
    <w:tmpl w:val="6922DED2"/>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FD14F5"/>
    <w:multiLevelType w:val="hybridMultilevel"/>
    <w:tmpl w:val="58DC5F40"/>
    <w:lvl w:ilvl="0" w:tplc="03BCB842">
      <w:start w:val="12"/>
      <w:numFmt w:val="decimal"/>
      <w:lvlText w:val="%1."/>
      <w:lvlJc w:val="left"/>
      <w:pPr>
        <w:tabs>
          <w:tab w:val="num" w:pos="723"/>
        </w:tabs>
        <w:ind w:left="723" w:hanging="435"/>
      </w:pPr>
      <w:rPr>
        <w:rFonts w:hint="default"/>
      </w:rPr>
    </w:lvl>
    <w:lvl w:ilvl="1" w:tplc="89528B2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3" w15:restartNumberingAfterBreak="0">
    <w:nsid w:val="73037CA2"/>
    <w:multiLevelType w:val="hybridMultilevel"/>
    <w:tmpl w:val="55806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077EE3"/>
    <w:multiLevelType w:val="hybridMultilevel"/>
    <w:tmpl w:val="0E148984"/>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A65380E"/>
    <w:multiLevelType w:val="hybridMultilevel"/>
    <w:tmpl w:val="53B6F044"/>
    <w:lvl w:ilvl="0" w:tplc="4094C5B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0"/>
    <w:lvlOverride w:ilvl="0">
      <w:lvl w:ilvl="0">
        <w:numFmt w:val="bullet"/>
        <w:lvlText w:val="$"/>
        <w:legacy w:legacy="1" w:legacySpace="0" w:legacyIndent="1440"/>
        <w:lvlJc w:val="left"/>
        <w:pPr>
          <w:ind w:left="1440" w:hanging="1440"/>
        </w:pPr>
        <w:rPr>
          <w:rFonts w:ascii="WP TypographicSymbols" w:hAnsi="WP TypographicSymbols" w:hint="default"/>
        </w:rPr>
      </w:lvl>
    </w:lvlOverride>
  </w:num>
  <w:num w:numId="6">
    <w:abstractNumId w:val="5"/>
  </w:num>
  <w:num w:numId="7">
    <w:abstractNumId w:val="19"/>
  </w:num>
  <w:num w:numId="8">
    <w:abstractNumId w:val="16"/>
  </w:num>
  <w:num w:numId="9">
    <w:abstractNumId w:val="22"/>
  </w:num>
  <w:num w:numId="10">
    <w:abstractNumId w:val="9"/>
  </w:num>
  <w:num w:numId="11">
    <w:abstractNumId w:val="33"/>
  </w:num>
  <w:num w:numId="12">
    <w:abstractNumId w:val="32"/>
  </w:num>
  <w:num w:numId="13">
    <w:abstractNumId w:val="15"/>
  </w:num>
  <w:num w:numId="14">
    <w:abstractNumId w:val="6"/>
  </w:num>
  <w:num w:numId="15">
    <w:abstractNumId w:val="29"/>
  </w:num>
  <w:num w:numId="16">
    <w:abstractNumId w:val="28"/>
  </w:num>
  <w:num w:numId="17">
    <w:abstractNumId w:val="7"/>
  </w:num>
  <w:num w:numId="18">
    <w:abstractNumId w:val="13"/>
  </w:num>
  <w:num w:numId="19">
    <w:abstractNumId w:val="12"/>
  </w:num>
  <w:num w:numId="20">
    <w:abstractNumId w:val="8"/>
  </w:num>
  <w:num w:numId="21">
    <w:abstractNumId w:val="23"/>
  </w:num>
  <w:num w:numId="22">
    <w:abstractNumId w:val="14"/>
  </w:num>
  <w:num w:numId="23">
    <w:abstractNumId w:val="30"/>
  </w:num>
  <w:num w:numId="24">
    <w:abstractNumId w:val="25"/>
  </w:num>
  <w:num w:numId="25">
    <w:abstractNumId w:val="24"/>
  </w:num>
  <w:num w:numId="26">
    <w:abstractNumId w:val="10"/>
  </w:num>
  <w:num w:numId="27">
    <w:abstractNumId w:val="11"/>
  </w:num>
  <w:num w:numId="28">
    <w:abstractNumId w:val="31"/>
  </w:num>
  <w:num w:numId="29">
    <w:abstractNumId w:val="17"/>
  </w:num>
  <w:num w:numId="30">
    <w:abstractNumId w:val="34"/>
  </w:num>
  <w:num w:numId="31">
    <w:abstractNumId w:val="35"/>
  </w:num>
  <w:num w:numId="32">
    <w:abstractNumId w:val="26"/>
  </w:num>
  <w:num w:numId="33">
    <w:abstractNumId w:val="21"/>
  </w:num>
  <w:num w:numId="34">
    <w:abstractNumId w:val="18"/>
  </w:num>
  <w:num w:numId="35">
    <w:abstractNumId w:val="2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62"/>
    <w:rsid w:val="00002003"/>
    <w:rsid w:val="00004146"/>
    <w:rsid w:val="000048AB"/>
    <w:rsid w:val="00011BE0"/>
    <w:rsid w:val="000204D6"/>
    <w:rsid w:val="00020638"/>
    <w:rsid w:val="00021FCF"/>
    <w:rsid w:val="00025D8E"/>
    <w:rsid w:val="000260E6"/>
    <w:rsid w:val="00026318"/>
    <w:rsid w:val="00027570"/>
    <w:rsid w:val="0003137A"/>
    <w:rsid w:val="00031FBD"/>
    <w:rsid w:val="00037B09"/>
    <w:rsid w:val="00040284"/>
    <w:rsid w:val="00043A4E"/>
    <w:rsid w:val="00045BDF"/>
    <w:rsid w:val="00047655"/>
    <w:rsid w:val="000477E7"/>
    <w:rsid w:val="00051F97"/>
    <w:rsid w:val="0005330A"/>
    <w:rsid w:val="000533B2"/>
    <w:rsid w:val="00053B4E"/>
    <w:rsid w:val="00055EF5"/>
    <w:rsid w:val="0006007C"/>
    <w:rsid w:val="00063661"/>
    <w:rsid w:val="0006760A"/>
    <w:rsid w:val="000676D8"/>
    <w:rsid w:val="00067B04"/>
    <w:rsid w:val="00067D87"/>
    <w:rsid w:val="00070C18"/>
    <w:rsid w:val="00071423"/>
    <w:rsid w:val="00073967"/>
    <w:rsid w:val="0007415D"/>
    <w:rsid w:val="00077CCA"/>
    <w:rsid w:val="000823CE"/>
    <w:rsid w:val="000861C7"/>
    <w:rsid w:val="00087993"/>
    <w:rsid w:val="0009234C"/>
    <w:rsid w:val="000945F3"/>
    <w:rsid w:val="00096467"/>
    <w:rsid w:val="000A00F0"/>
    <w:rsid w:val="000A36CE"/>
    <w:rsid w:val="000A6777"/>
    <w:rsid w:val="000A6F8F"/>
    <w:rsid w:val="000B0304"/>
    <w:rsid w:val="000B0C2E"/>
    <w:rsid w:val="000B17AD"/>
    <w:rsid w:val="000B25D8"/>
    <w:rsid w:val="000B550E"/>
    <w:rsid w:val="000B6791"/>
    <w:rsid w:val="000C02FE"/>
    <w:rsid w:val="000C43A4"/>
    <w:rsid w:val="000C43ED"/>
    <w:rsid w:val="000C497E"/>
    <w:rsid w:val="000C5127"/>
    <w:rsid w:val="000D0608"/>
    <w:rsid w:val="000D2978"/>
    <w:rsid w:val="000D5B34"/>
    <w:rsid w:val="000D5CFD"/>
    <w:rsid w:val="000E2A64"/>
    <w:rsid w:val="000E335A"/>
    <w:rsid w:val="000F52A8"/>
    <w:rsid w:val="000F5929"/>
    <w:rsid w:val="000F6B31"/>
    <w:rsid w:val="000F770E"/>
    <w:rsid w:val="00100A02"/>
    <w:rsid w:val="0010377C"/>
    <w:rsid w:val="00103C62"/>
    <w:rsid w:val="00105B14"/>
    <w:rsid w:val="00106335"/>
    <w:rsid w:val="001143AF"/>
    <w:rsid w:val="001177F6"/>
    <w:rsid w:val="00121AE8"/>
    <w:rsid w:val="00123C81"/>
    <w:rsid w:val="0013301D"/>
    <w:rsid w:val="00133372"/>
    <w:rsid w:val="00135880"/>
    <w:rsid w:val="0014349C"/>
    <w:rsid w:val="0014464D"/>
    <w:rsid w:val="00147F4A"/>
    <w:rsid w:val="00150A4D"/>
    <w:rsid w:val="00157802"/>
    <w:rsid w:val="0016118E"/>
    <w:rsid w:val="00161F9D"/>
    <w:rsid w:val="001624A4"/>
    <w:rsid w:val="00170561"/>
    <w:rsid w:val="00175B02"/>
    <w:rsid w:val="00175FA3"/>
    <w:rsid w:val="001776C5"/>
    <w:rsid w:val="00181D95"/>
    <w:rsid w:val="00182635"/>
    <w:rsid w:val="00184878"/>
    <w:rsid w:val="00185AC5"/>
    <w:rsid w:val="0018743F"/>
    <w:rsid w:val="00187C52"/>
    <w:rsid w:val="00190797"/>
    <w:rsid w:val="001937C1"/>
    <w:rsid w:val="00193D85"/>
    <w:rsid w:val="0019405A"/>
    <w:rsid w:val="00195541"/>
    <w:rsid w:val="001955A8"/>
    <w:rsid w:val="001A00FF"/>
    <w:rsid w:val="001A453E"/>
    <w:rsid w:val="001A77D7"/>
    <w:rsid w:val="001B2F27"/>
    <w:rsid w:val="001B6350"/>
    <w:rsid w:val="001B6DB7"/>
    <w:rsid w:val="001B6E07"/>
    <w:rsid w:val="001B7594"/>
    <w:rsid w:val="001C2747"/>
    <w:rsid w:val="001C5A4E"/>
    <w:rsid w:val="001D1437"/>
    <w:rsid w:val="001D1A33"/>
    <w:rsid w:val="001D24CB"/>
    <w:rsid w:val="001E1CCE"/>
    <w:rsid w:val="001F1A8D"/>
    <w:rsid w:val="001F226E"/>
    <w:rsid w:val="001F2B9D"/>
    <w:rsid w:val="001F3C60"/>
    <w:rsid w:val="00202763"/>
    <w:rsid w:val="00203331"/>
    <w:rsid w:val="002044F9"/>
    <w:rsid w:val="00204652"/>
    <w:rsid w:val="00204B19"/>
    <w:rsid w:val="00207BA9"/>
    <w:rsid w:val="00210CE8"/>
    <w:rsid w:val="00211B96"/>
    <w:rsid w:val="00216FCB"/>
    <w:rsid w:val="0022195F"/>
    <w:rsid w:val="00225959"/>
    <w:rsid w:val="00226984"/>
    <w:rsid w:val="00230530"/>
    <w:rsid w:val="0023202A"/>
    <w:rsid w:val="00232789"/>
    <w:rsid w:val="002330B6"/>
    <w:rsid w:val="00241B60"/>
    <w:rsid w:val="00242675"/>
    <w:rsid w:val="00242F77"/>
    <w:rsid w:val="00244F8C"/>
    <w:rsid w:val="002463F8"/>
    <w:rsid w:val="0024660B"/>
    <w:rsid w:val="00247006"/>
    <w:rsid w:val="0025016E"/>
    <w:rsid w:val="00251725"/>
    <w:rsid w:val="002530F0"/>
    <w:rsid w:val="0025562E"/>
    <w:rsid w:val="002602EA"/>
    <w:rsid w:val="00260743"/>
    <w:rsid w:val="00260B0E"/>
    <w:rsid w:val="002622F9"/>
    <w:rsid w:val="002662CB"/>
    <w:rsid w:val="002679A3"/>
    <w:rsid w:val="0027189D"/>
    <w:rsid w:val="00273B6A"/>
    <w:rsid w:val="00274247"/>
    <w:rsid w:val="002749B8"/>
    <w:rsid w:val="00276C9D"/>
    <w:rsid w:val="00277020"/>
    <w:rsid w:val="002774C1"/>
    <w:rsid w:val="002805C5"/>
    <w:rsid w:val="002810E2"/>
    <w:rsid w:val="00281B2F"/>
    <w:rsid w:val="002829A8"/>
    <w:rsid w:val="00282A3B"/>
    <w:rsid w:val="00287202"/>
    <w:rsid w:val="0029015F"/>
    <w:rsid w:val="00291568"/>
    <w:rsid w:val="00291B2E"/>
    <w:rsid w:val="00292E2C"/>
    <w:rsid w:val="00293587"/>
    <w:rsid w:val="00296210"/>
    <w:rsid w:val="00296E83"/>
    <w:rsid w:val="002975C0"/>
    <w:rsid w:val="002A0B1E"/>
    <w:rsid w:val="002A0C10"/>
    <w:rsid w:val="002A1938"/>
    <w:rsid w:val="002A3A6C"/>
    <w:rsid w:val="002B147E"/>
    <w:rsid w:val="002B39CB"/>
    <w:rsid w:val="002B4EE1"/>
    <w:rsid w:val="002B719B"/>
    <w:rsid w:val="002B7CA1"/>
    <w:rsid w:val="002C14EF"/>
    <w:rsid w:val="002C3C4A"/>
    <w:rsid w:val="002C4356"/>
    <w:rsid w:val="002C6AA8"/>
    <w:rsid w:val="002E025D"/>
    <w:rsid w:val="002E0D50"/>
    <w:rsid w:val="002E169C"/>
    <w:rsid w:val="002F35ED"/>
    <w:rsid w:val="003002A0"/>
    <w:rsid w:val="00300DCB"/>
    <w:rsid w:val="00301322"/>
    <w:rsid w:val="00303730"/>
    <w:rsid w:val="003077AE"/>
    <w:rsid w:val="00312647"/>
    <w:rsid w:val="003140D2"/>
    <w:rsid w:val="00314AB0"/>
    <w:rsid w:val="00314D2C"/>
    <w:rsid w:val="00317C9B"/>
    <w:rsid w:val="00322F02"/>
    <w:rsid w:val="003251E7"/>
    <w:rsid w:val="00325620"/>
    <w:rsid w:val="00325C17"/>
    <w:rsid w:val="003376A6"/>
    <w:rsid w:val="00341914"/>
    <w:rsid w:val="003433BB"/>
    <w:rsid w:val="00344E97"/>
    <w:rsid w:val="0035149C"/>
    <w:rsid w:val="00355AAE"/>
    <w:rsid w:val="003609C2"/>
    <w:rsid w:val="003638A8"/>
    <w:rsid w:val="00363A42"/>
    <w:rsid w:val="0036456D"/>
    <w:rsid w:val="00364E4D"/>
    <w:rsid w:val="00366A4D"/>
    <w:rsid w:val="003674C2"/>
    <w:rsid w:val="003730B9"/>
    <w:rsid w:val="00374B99"/>
    <w:rsid w:val="00375FB4"/>
    <w:rsid w:val="00380D82"/>
    <w:rsid w:val="00381CB2"/>
    <w:rsid w:val="003829F5"/>
    <w:rsid w:val="00386905"/>
    <w:rsid w:val="003913CE"/>
    <w:rsid w:val="00391781"/>
    <w:rsid w:val="00393B0B"/>
    <w:rsid w:val="00394186"/>
    <w:rsid w:val="00396091"/>
    <w:rsid w:val="0039736B"/>
    <w:rsid w:val="003A4542"/>
    <w:rsid w:val="003A4D0D"/>
    <w:rsid w:val="003A537E"/>
    <w:rsid w:val="003A6B11"/>
    <w:rsid w:val="003B1B3D"/>
    <w:rsid w:val="003B5043"/>
    <w:rsid w:val="003C08E5"/>
    <w:rsid w:val="003C42F8"/>
    <w:rsid w:val="003C581E"/>
    <w:rsid w:val="003C615F"/>
    <w:rsid w:val="003D2661"/>
    <w:rsid w:val="003D2F51"/>
    <w:rsid w:val="003D56AD"/>
    <w:rsid w:val="003E087A"/>
    <w:rsid w:val="003E276F"/>
    <w:rsid w:val="003E36F7"/>
    <w:rsid w:val="003E3EBF"/>
    <w:rsid w:val="003E607D"/>
    <w:rsid w:val="003E66BF"/>
    <w:rsid w:val="003F1752"/>
    <w:rsid w:val="003F1E16"/>
    <w:rsid w:val="003F3170"/>
    <w:rsid w:val="003F51AE"/>
    <w:rsid w:val="003F6A56"/>
    <w:rsid w:val="00400E36"/>
    <w:rsid w:val="00405026"/>
    <w:rsid w:val="00406B1D"/>
    <w:rsid w:val="00407E27"/>
    <w:rsid w:val="00412086"/>
    <w:rsid w:val="004135C5"/>
    <w:rsid w:val="00414026"/>
    <w:rsid w:val="004147B4"/>
    <w:rsid w:val="00416742"/>
    <w:rsid w:val="00425CD1"/>
    <w:rsid w:val="00430148"/>
    <w:rsid w:val="004308F1"/>
    <w:rsid w:val="00432474"/>
    <w:rsid w:val="0043261E"/>
    <w:rsid w:val="0043265E"/>
    <w:rsid w:val="00432E39"/>
    <w:rsid w:val="00434BEE"/>
    <w:rsid w:val="0043660C"/>
    <w:rsid w:val="00440D6F"/>
    <w:rsid w:val="00441979"/>
    <w:rsid w:val="00441DAC"/>
    <w:rsid w:val="00451EF1"/>
    <w:rsid w:val="00452A0A"/>
    <w:rsid w:val="0046041B"/>
    <w:rsid w:val="004609C4"/>
    <w:rsid w:val="00464E0F"/>
    <w:rsid w:val="00467C25"/>
    <w:rsid w:val="00473B40"/>
    <w:rsid w:val="00474D85"/>
    <w:rsid w:val="0047590B"/>
    <w:rsid w:val="00476487"/>
    <w:rsid w:val="00484434"/>
    <w:rsid w:val="00484778"/>
    <w:rsid w:val="00484A2C"/>
    <w:rsid w:val="004870D9"/>
    <w:rsid w:val="00491ABA"/>
    <w:rsid w:val="004A13B9"/>
    <w:rsid w:val="004A6899"/>
    <w:rsid w:val="004B1F77"/>
    <w:rsid w:val="004B3278"/>
    <w:rsid w:val="004B356E"/>
    <w:rsid w:val="004B4095"/>
    <w:rsid w:val="004C016E"/>
    <w:rsid w:val="004C0844"/>
    <w:rsid w:val="004C3D91"/>
    <w:rsid w:val="004C5352"/>
    <w:rsid w:val="004C74CE"/>
    <w:rsid w:val="004C7A96"/>
    <w:rsid w:val="004D21ED"/>
    <w:rsid w:val="004D4F22"/>
    <w:rsid w:val="004D705C"/>
    <w:rsid w:val="004D7F07"/>
    <w:rsid w:val="004E1042"/>
    <w:rsid w:val="004F105E"/>
    <w:rsid w:val="004F1385"/>
    <w:rsid w:val="004F17B9"/>
    <w:rsid w:val="004F4C58"/>
    <w:rsid w:val="004F7CAD"/>
    <w:rsid w:val="00500C2B"/>
    <w:rsid w:val="0050121F"/>
    <w:rsid w:val="00503DFB"/>
    <w:rsid w:val="00504B30"/>
    <w:rsid w:val="0050513E"/>
    <w:rsid w:val="005067AC"/>
    <w:rsid w:val="00507EC6"/>
    <w:rsid w:val="00510FC8"/>
    <w:rsid w:val="00511D9A"/>
    <w:rsid w:val="00516247"/>
    <w:rsid w:val="00517910"/>
    <w:rsid w:val="00517DA5"/>
    <w:rsid w:val="0052148B"/>
    <w:rsid w:val="00522454"/>
    <w:rsid w:val="00522CAA"/>
    <w:rsid w:val="00525908"/>
    <w:rsid w:val="005260A0"/>
    <w:rsid w:val="00531870"/>
    <w:rsid w:val="0053522D"/>
    <w:rsid w:val="005363E5"/>
    <w:rsid w:val="00542B2A"/>
    <w:rsid w:val="005430A7"/>
    <w:rsid w:val="00546C9E"/>
    <w:rsid w:val="00547AD9"/>
    <w:rsid w:val="00550648"/>
    <w:rsid w:val="0055123A"/>
    <w:rsid w:val="005526A0"/>
    <w:rsid w:val="00552802"/>
    <w:rsid w:val="00553BAE"/>
    <w:rsid w:val="00560885"/>
    <w:rsid w:val="00562792"/>
    <w:rsid w:val="00562C3E"/>
    <w:rsid w:val="00572B26"/>
    <w:rsid w:val="00573C74"/>
    <w:rsid w:val="00576D96"/>
    <w:rsid w:val="005773D2"/>
    <w:rsid w:val="00577B62"/>
    <w:rsid w:val="005805B1"/>
    <w:rsid w:val="00580DFD"/>
    <w:rsid w:val="00581426"/>
    <w:rsid w:val="00582473"/>
    <w:rsid w:val="0058620E"/>
    <w:rsid w:val="00590BFC"/>
    <w:rsid w:val="005A0F21"/>
    <w:rsid w:val="005A2FA8"/>
    <w:rsid w:val="005A31A2"/>
    <w:rsid w:val="005A37D3"/>
    <w:rsid w:val="005A529F"/>
    <w:rsid w:val="005A66CF"/>
    <w:rsid w:val="005B15D5"/>
    <w:rsid w:val="005B3209"/>
    <w:rsid w:val="005B3A50"/>
    <w:rsid w:val="005C3C63"/>
    <w:rsid w:val="005C781B"/>
    <w:rsid w:val="005D0DC1"/>
    <w:rsid w:val="005D1349"/>
    <w:rsid w:val="005D1BF9"/>
    <w:rsid w:val="005D220A"/>
    <w:rsid w:val="005D34ED"/>
    <w:rsid w:val="005D6244"/>
    <w:rsid w:val="005D7512"/>
    <w:rsid w:val="005E4D00"/>
    <w:rsid w:val="005E555C"/>
    <w:rsid w:val="005E6C28"/>
    <w:rsid w:val="005F325C"/>
    <w:rsid w:val="005F45FE"/>
    <w:rsid w:val="005F51DF"/>
    <w:rsid w:val="005F71E6"/>
    <w:rsid w:val="006007D3"/>
    <w:rsid w:val="006016AD"/>
    <w:rsid w:val="00601CB7"/>
    <w:rsid w:val="00605E49"/>
    <w:rsid w:val="006134F8"/>
    <w:rsid w:val="006147DE"/>
    <w:rsid w:val="00614924"/>
    <w:rsid w:val="00615660"/>
    <w:rsid w:val="006161C9"/>
    <w:rsid w:val="00620B8E"/>
    <w:rsid w:val="0062504A"/>
    <w:rsid w:val="00625CB1"/>
    <w:rsid w:val="0063037B"/>
    <w:rsid w:val="006336A3"/>
    <w:rsid w:val="00633A30"/>
    <w:rsid w:val="00634F0B"/>
    <w:rsid w:val="00635524"/>
    <w:rsid w:val="006362F4"/>
    <w:rsid w:val="0063772D"/>
    <w:rsid w:val="006418D9"/>
    <w:rsid w:val="0064620B"/>
    <w:rsid w:val="00650223"/>
    <w:rsid w:val="00650781"/>
    <w:rsid w:val="0065567A"/>
    <w:rsid w:val="0066146B"/>
    <w:rsid w:val="00663B6E"/>
    <w:rsid w:val="00664A6E"/>
    <w:rsid w:val="0066567A"/>
    <w:rsid w:val="006674CB"/>
    <w:rsid w:val="00667D2C"/>
    <w:rsid w:val="00667ECD"/>
    <w:rsid w:val="006771FB"/>
    <w:rsid w:val="006803F8"/>
    <w:rsid w:val="006826E0"/>
    <w:rsid w:val="00682A85"/>
    <w:rsid w:val="0068381D"/>
    <w:rsid w:val="006948D4"/>
    <w:rsid w:val="00695A34"/>
    <w:rsid w:val="006A1E7E"/>
    <w:rsid w:val="006A1ECF"/>
    <w:rsid w:val="006A204F"/>
    <w:rsid w:val="006A346A"/>
    <w:rsid w:val="006A3E2F"/>
    <w:rsid w:val="006A70A1"/>
    <w:rsid w:val="006B3A2C"/>
    <w:rsid w:val="006B3D23"/>
    <w:rsid w:val="006B4D64"/>
    <w:rsid w:val="006B57C1"/>
    <w:rsid w:val="006B67F5"/>
    <w:rsid w:val="006B782A"/>
    <w:rsid w:val="006C0236"/>
    <w:rsid w:val="006C64AB"/>
    <w:rsid w:val="006C654B"/>
    <w:rsid w:val="006D697D"/>
    <w:rsid w:val="006E0432"/>
    <w:rsid w:val="006E398D"/>
    <w:rsid w:val="006E5A84"/>
    <w:rsid w:val="006E6AAE"/>
    <w:rsid w:val="006F1F6B"/>
    <w:rsid w:val="006F5F6D"/>
    <w:rsid w:val="006F68AC"/>
    <w:rsid w:val="006F6E36"/>
    <w:rsid w:val="0070119E"/>
    <w:rsid w:val="00702875"/>
    <w:rsid w:val="007037D8"/>
    <w:rsid w:val="007040A8"/>
    <w:rsid w:val="00704BD7"/>
    <w:rsid w:val="0070562D"/>
    <w:rsid w:val="00706039"/>
    <w:rsid w:val="00707871"/>
    <w:rsid w:val="00707F3C"/>
    <w:rsid w:val="0071263F"/>
    <w:rsid w:val="00714AD7"/>
    <w:rsid w:val="007208E1"/>
    <w:rsid w:val="00725A7F"/>
    <w:rsid w:val="00725C46"/>
    <w:rsid w:val="00730E1E"/>
    <w:rsid w:val="00731377"/>
    <w:rsid w:val="00731602"/>
    <w:rsid w:val="00733814"/>
    <w:rsid w:val="007342AA"/>
    <w:rsid w:val="0073548D"/>
    <w:rsid w:val="00735908"/>
    <w:rsid w:val="00736881"/>
    <w:rsid w:val="00736C90"/>
    <w:rsid w:val="007405D3"/>
    <w:rsid w:val="007414EB"/>
    <w:rsid w:val="00741A0F"/>
    <w:rsid w:val="00742848"/>
    <w:rsid w:val="00743B83"/>
    <w:rsid w:val="0074496A"/>
    <w:rsid w:val="00750A9B"/>
    <w:rsid w:val="00751757"/>
    <w:rsid w:val="00751DE1"/>
    <w:rsid w:val="00751FAF"/>
    <w:rsid w:val="00753851"/>
    <w:rsid w:val="0075389F"/>
    <w:rsid w:val="00756090"/>
    <w:rsid w:val="00761D81"/>
    <w:rsid w:val="007642F8"/>
    <w:rsid w:val="00765DB2"/>
    <w:rsid w:val="00767881"/>
    <w:rsid w:val="00770512"/>
    <w:rsid w:val="007710AE"/>
    <w:rsid w:val="007736A8"/>
    <w:rsid w:val="00773E93"/>
    <w:rsid w:val="00774D1E"/>
    <w:rsid w:val="00775E52"/>
    <w:rsid w:val="00777ED6"/>
    <w:rsid w:val="007807C6"/>
    <w:rsid w:val="00784344"/>
    <w:rsid w:val="00786D2A"/>
    <w:rsid w:val="00786EB4"/>
    <w:rsid w:val="00791DED"/>
    <w:rsid w:val="00792E02"/>
    <w:rsid w:val="00793222"/>
    <w:rsid w:val="007934D9"/>
    <w:rsid w:val="00793A64"/>
    <w:rsid w:val="00794D08"/>
    <w:rsid w:val="0079721A"/>
    <w:rsid w:val="007A05CE"/>
    <w:rsid w:val="007A2779"/>
    <w:rsid w:val="007A31E1"/>
    <w:rsid w:val="007A358F"/>
    <w:rsid w:val="007A680C"/>
    <w:rsid w:val="007A6852"/>
    <w:rsid w:val="007A6AFF"/>
    <w:rsid w:val="007A6E82"/>
    <w:rsid w:val="007B122B"/>
    <w:rsid w:val="007B1349"/>
    <w:rsid w:val="007B175F"/>
    <w:rsid w:val="007B49FE"/>
    <w:rsid w:val="007B592E"/>
    <w:rsid w:val="007C064C"/>
    <w:rsid w:val="007C164D"/>
    <w:rsid w:val="007C1778"/>
    <w:rsid w:val="007C17A4"/>
    <w:rsid w:val="007C3838"/>
    <w:rsid w:val="007D176A"/>
    <w:rsid w:val="007D348B"/>
    <w:rsid w:val="007D46CE"/>
    <w:rsid w:val="007D5D6D"/>
    <w:rsid w:val="007D73A8"/>
    <w:rsid w:val="007E0D62"/>
    <w:rsid w:val="007E108B"/>
    <w:rsid w:val="007E1E66"/>
    <w:rsid w:val="007E1F60"/>
    <w:rsid w:val="007F2C47"/>
    <w:rsid w:val="007F2EDE"/>
    <w:rsid w:val="007F4FD6"/>
    <w:rsid w:val="007F5F3D"/>
    <w:rsid w:val="00800287"/>
    <w:rsid w:val="0080185E"/>
    <w:rsid w:val="0080525C"/>
    <w:rsid w:val="00807114"/>
    <w:rsid w:val="00810693"/>
    <w:rsid w:val="00811C18"/>
    <w:rsid w:val="00812A2C"/>
    <w:rsid w:val="00817C85"/>
    <w:rsid w:val="00817D2A"/>
    <w:rsid w:val="00821514"/>
    <w:rsid w:val="00825BC8"/>
    <w:rsid w:val="00830098"/>
    <w:rsid w:val="00832BF2"/>
    <w:rsid w:val="008371D9"/>
    <w:rsid w:val="00837AC5"/>
    <w:rsid w:val="008427CE"/>
    <w:rsid w:val="008443DE"/>
    <w:rsid w:val="00845716"/>
    <w:rsid w:val="0085287A"/>
    <w:rsid w:val="00854C58"/>
    <w:rsid w:val="0086023F"/>
    <w:rsid w:val="008623F6"/>
    <w:rsid w:val="00863521"/>
    <w:rsid w:val="008635CA"/>
    <w:rsid w:val="00872E48"/>
    <w:rsid w:val="00876750"/>
    <w:rsid w:val="00877CB3"/>
    <w:rsid w:val="00880312"/>
    <w:rsid w:val="00886D0E"/>
    <w:rsid w:val="008871AE"/>
    <w:rsid w:val="008904FA"/>
    <w:rsid w:val="00891C9D"/>
    <w:rsid w:val="00891E09"/>
    <w:rsid w:val="00892CE2"/>
    <w:rsid w:val="00894857"/>
    <w:rsid w:val="00896C07"/>
    <w:rsid w:val="008A14C0"/>
    <w:rsid w:val="008A1C0B"/>
    <w:rsid w:val="008A324B"/>
    <w:rsid w:val="008A402D"/>
    <w:rsid w:val="008A4E06"/>
    <w:rsid w:val="008B54CC"/>
    <w:rsid w:val="008B6F32"/>
    <w:rsid w:val="008B734F"/>
    <w:rsid w:val="008B7CFB"/>
    <w:rsid w:val="008C5325"/>
    <w:rsid w:val="008C7873"/>
    <w:rsid w:val="008D2E52"/>
    <w:rsid w:val="008D43F4"/>
    <w:rsid w:val="008D4F8B"/>
    <w:rsid w:val="008E08A1"/>
    <w:rsid w:val="008E2B5D"/>
    <w:rsid w:val="008E408E"/>
    <w:rsid w:val="008F089C"/>
    <w:rsid w:val="008F0BC7"/>
    <w:rsid w:val="008F11B2"/>
    <w:rsid w:val="008F353E"/>
    <w:rsid w:val="008F3614"/>
    <w:rsid w:val="008F5DF9"/>
    <w:rsid w:val="00903827"/>
    <w:rsid w:val="00905BE1"/>
    <w:rsid w:val="00906A29"/>
    <w:rsid w:val="00906AB1"/>
    <w:rsid w:val="00906D3D"/>
    <w:rsid w:val="00907277"/>
    <w:rsid w:val="00911019"/>
    <w:rsid w:val="009117E7"/>
    <w:rsid w:val="00920474"/>
    <w:rsid w:val="00920CD9"/>
    <w:rsid w:val="00921D26"/>
    <w:rsid w:val="00921E22"/>
    <w:rsid w:val="00921FDA"/>
    <w:rsid w:val="00925835"/>
    <w:rsid w:val="00925ACF"/>
    <w:rsid w:val="009262A5"/>
    <w:rsid w:val="00932FE9"/>
    <w:rsid w:val="0093373E"/>
    <w:rsid w:val="00934F47"/>
    <w:rsid w:val="00936766"/>
    <w:rsid w:val="0094014F"/>
    <w:rsid w:val="0094085C"/>
    <w:rsid w:val="00940AF4"/>
    <w:rsid w:val="00946551"/>
    <w:rsid w:val="00947744"/>
    <w:rsid w:val="009507CC"/>
    <w:rsid w:val="009534DE"/>
    <w:rsid w:val="00954733"/>
    <w:rsid w:val="00956478"/>
    <w:rsid w:val="00961326"/>
    <w:rsid w:val="009653B3"/>
    <w:rsid w:val="009718A1"/>
    <w:rsid w:val="00973712"/>
    <w:rsid w:val="0097424C"/>
    <w:rsid w:val="00974D51"/>
    <w:rsid w:val="0097554E"/>
    <w:rsid w:val="00980EC1"/>
    <w:rsid w:val="0098229A"/>
    <w:rsid w:val="00990D18"/>
    <w:rsid w:val="009A52E3"/>
    <w:rsid w:val="009A7D0C"/>
    <w:rsid w:val="009B3868"/>
    <w:rsid w:val="009B478E"/>
    <w:rsid w:val="009B72A4"/>
    <w:rsid w:val="009C2218"/>
    <w:rsid w:val="009C4846"/>
    <w:rsid w:val="009D24B8"/>
    <w:rsid w:val="009D5131"/>
    <w:rsid w:val="009D65F7"/>
    <w:rsid w:val="009E1529"/>
    <w:rsid w:val="009E17C5"/>
    <w:rsid w:val="009E3FCB"/>
    <w:rsid w:val="009F081D"/>
    <w:rsid w:val="009F10B8"/>
    <w:rsid w:val="009F1353"/>
    <w:rsid w:val="009F4B26"/>
    <w:rsid w:val="009F76F6"/>
    <w:rsid w:val="00A02E19"/>
    <w:rsid w:val="00A02F2E"/>
    <w:rsid w:val="00A0512B"/>
    <w:rsid w:val="00A0561E"/>
    <w:rsid w:val="00A123DA"/>
    <w:rsid w:val="00A1248F"/>
    <w:rsid w:val="00A128F2"/>
    <w:rsid w:val="00A214DC"/>
    <w:rsid w:val="00A22AEF"/>
    <w:rsid w:val="00A25447"/>
    <w:rsid w:val="00A306BC"/>
    <w:rsid w:val="00A30862"/>
    <w:rsid w:val="00A32EA9"/>
    <w:rsid w:val="00A36106"/>
    <w:rsid w:val="00A368B0"/>
    <w:rsid w:val="00A4102E"/>
    <w:rsid w:val="00A427CD"/>
    <w:rsid w:val="00A42ACD"/>
    <w:rsid w:val="00A43AEA"/>
    <w:rsid w:val="00A46A76"/>
    <w:rsid w:val="00A472E8"/>
    <w:rsid w:val="00A509DF"/>
    <w:rsid w:val="00A51FEF"/>
    <w:rsid w:val="00A53545"/>
    <w:rsid w:val="00A549C4"/>
    <w:rsid w:val="00A61FC8"/>
    <w:rsid w:val="00A62F0D"/>
    <w:rsid w:val="00A63D72"/>
    <w:rsid w:val="00A64572"/>
    <w:rsid w:val="00A6594D"/>
    <w:rsid w:val="00A65977"/>
    <w:rsid w:val="00A678AA"/>
    <w:rsid w:val="00A7380D"/>
    <w:rsid w:val="00A73E29"/>
    <w:rsid w:val="00A74EC9"/>
    <w:rsid w:val="00A765E3"/>
    <w:rsid w:val="00A76939"/>
    <w:rsid w:val="00A805BC"/>
    <w:rsid w:val="00A807A7"/>
    <w:rsid w:val="00A8095B"/>
    <w:rsid w:val="00A81183"/>
    <w:rsid w:val="00A84A9D"/>
    <w:rsid w:val="00A85B69"/>
    <w:rsid w:val="00A86BA4"/>
    <w:rsid w:val="00A910FD"/>
    <w:rsid w:val="00A970B9"/>
    <w:rsid w:val="00AA00B8"/>
    <w:rsid w:val="00AA1B9D"/>
    <w:rsid w:val="00AA5276"/>
    <w:rsid w:val="00AA73EA"/>
    <w:rsid w:val="00AB285D"/>
    <w:rsid w:val="00AC05E5"/>
    <w:rsid w:val="00AC294A"/>
    <w:rsid w:val="00AC4988"/>
    <w:rsid w:val="00AD0BD4"/>
    <w:rsid w:val="00AD29B0"/>
    <w:rsid w:val="00AD3ABF"/>
    <w:rsid w:val="00AE2615"/>
    <w:rsid w:val="00AE5E89"/>
    <w:rsid w:val="00AE6501"/>
    <w:rsid w:val="00AF0BF6"/>
    <w:rsid w:val="00AF1402"/>
    <w:rsid w:val="00AF3B22"/>
    <w:rsid w:val="00B00123"/>
    <w:rsid w:val="00B01483"/>
    <w:rsid w:val="00B01A5A"/>
    <w:rsid w:val="00B04AC4"/>
    <w:rsid w:val="00B052E6"/>
    <w:rsid w:val="00B06279"/>
    <w:rsid w:val="00B11337"/>
    <w:rsid w:val="00B12FD6"/>
    <w:rsid w:val="00B140BD"/>
    <w:rsid w:val="00B144B1"/>
    <w:rsid w:val="00B14CAF"/>
    <w:rsid w:val="00B22D09"/>
    <w:rsid w:val="00B23719"/>
    <w:rsid w:val="00B26C75"/>
    <w:rsid w:val="00B35EE3"/>
    <w:rsid w:val="00B4608D"/>
    <w:rsid w:val="00B46EC5"/>
    <w:rsid w:val="00B51017"/>
    <w:rsid w:val="00B52501"/>
    <w:rsid w:val="00B53CCC"/>
    <w:rsid w:val="00B549EB"/>
    <w:rsid w:val="00B55582"/>
    <w:rsid w:val="00B56028"/>
    <w:rsid w:val="00B5724D"/>
    <w:rsid w:val="00B61FED"/>
    <w:rsid w:val="00B6270F"/>
    <w:rsid w:val="00B64862"/>
    <w:rsid w:val="00B66C58"/>
    <w:rsid w:val="00B70A87"/>
    <w:rsid w:val="00B729B2"/>
    <w:rsid w:val="00B73FAE"/>
    <w:rsid w:val="00B75272"/>
    <w:rsid w:val="00B76560"/>
    <w:rsid w:val="00B81629"/>
    <w:rsid w:val="00B8381D"/>
    <w:rsid w:val="00B84377"/>
    <w:rsid w:val="00B853A5"/>
    <w:rsid w:val="00B878FB"/>
    <w:rsid w:val="00B87BF3"/>
    <w:rsid w:val="00B90B84"/>
    <w:rsid w:val="00B9272F"/>
    <w:rsid w:val="00B9428E"/>
    <w:rsid w:val="00BA1D30"/>
    <w:rsid w:val="00BB0018"/>
    <w:rsid w:val="00BB09C2"/>
    <w:rsid w:val="00BC0F14"/>
    <w:rsid w:val="00BC3081"/>
    <w:rsid w:val="00BC33F7"/>
    <w:rsid w:val="00BC6107"/>
    <w:rsid w:val="00BC690B"/>
    <w:rsid w:val="00BD2238"/>
    <w:rsid w:val="00BD6659"/>
    <w:rsid w:val="00BD6B7D"/>
    <w:rsid w:val="00BD74EB"/>
    <w:rsid w:val="00BE122E"/>
    <w:rsid w:val="00BE7CC2"/>
    <w:rsid w:val="00BF0135"/>
    <w:rsid w:val="00BF1A98"/>
    <w:rsid w:val="00BF318B"/>
    <w:rsid w:val="00BF7AEF"/>
    <w:rsid w:val="00C05341"/>
    <w:rsid w:val="00C076F3"/>
    <w:rsid w:val="00C07C63"/>
    <w:rsid w:val="00C1008F"/>
    <w:rsid w:val="00C11DD4"/>
    <w:rsid w:val="00C15EE8"/>
    <w:rsid w:val="00C1704A"/>
    <w:rsid w:val="00C20C23"/>
    <w:rsid w:val="00C2717D"/>
    <w:rsid w:val="00C276EA"/>
    <w:rsid w:val="00C279BF"/>
    <w:rsid w:val="00C31862"/>
    <w:rsid w:val="00C31CAD"/>
    <w:rsid w:val="00C341EB"/>
    <w:rsid w:val="00C40D10"/>
    <w:rsid w:val="00C423EA"/>
    <w:rsid w:val="00C42406"/>
    <w:rsid w:val="00C42672"/>
    <w:rsid w:val="00C43E0F"/>
    <w:rsid w:val="00C443AE"/>
    <w:rsid w:val="00C47C69"/>
    <w:rsid w:val="00C50089"/>
    <w:rsid w:val="00C536A7"/>
    <w:rsid w:val="00C5547A"/>
    <w:rsid w:val="00C603EF"/>
    <w:rsid w:val="00C62176"/>
    <w:rsid w:val="00C660F6"/>
    <w:rsid w:val="00C66EAC"/>
    <w:rsid w:val="00C67BE2"/>
    <w:rsid w:val="00C7057A"/>
    <w:rsid w:val="00C716AC"/>
    <w:rsid w:val="00C71884"/>
    <w:rsid w:val="00C73E7C"/>
    <w:rsid w:val="00C77832"/>
    <w:rsid w:val="00C845C3"/>
    <w:rsid w:val="00C86F01"/>
    <w:rsid w:val="00C87EE5"/>
    <w:rsid w:val="00C91198"/>
    <w:rsid w:val="00C91C32"/>
    <w:rsid w:val="00C92BF1"/>
    <w:rsid w:val="00C93DC3"/>
    <w:rsid w:val="00C94076"/>
    <w:rsid w:val="00CA4EBA"/>
    <w:rsid w:val="00CA6532"/>
    <w:rsid w:val="00CA6D5E"/>
    <w:rsid w:val="00CA6E34"/>
    <w:rsid w:val="00CA6F9D"/>
    <w:rsid w:val="00CC0B87"/>
    <w:rsid w:val="00CC2EAE"/>
    <w:rsid w:val="00CC5F47"/>
    <w:rsid w:val="00CC73B2"/>
    <w:rsid w:val="00CC7CAE"/>
    <w:rsid w:val="00CD07B0"/>
    <w:rsid w:val="00CD55D9"/>
    <w:rsid w:val="00CD6692"/>
    <w:rsid w:val="00CE165B"/>
    <w:rsid w:val="00CE7E04"/>
    <w:rsid w:val="00CF1F61"/>
    <w:rsid w:val="00CF36A0"/>
    <w:rsid w:val="00CF408E"/>
    <w:rsid w:val="00CF771F"/>
    <w:rsid w:val="00D00148"/>
    <w:rsid w:val="00D00578"/>
    <w:rsid w:val="00D0464D"/>
    <w:rsid w:val="00D06DCF"/>
    <w:rsid w:val="00D072DA"/>
    <w:rsid w:val="00D11DBD"/>
    <w:rsid w:val="00D12FA1"/>
    <w:rsid w:val="00D15FD3"/>
    <w:rsid w:val="00D16224"/>
    <w:rsid w:val="00D229B2"/>
    <w:rsid w:val="00D23808"/>
    <w:rsid w:val="00D25EE3"/>
    <w:rsid w:val="00D25F4A"/>
    <w:rsid w:val="00D318D2"/>
    <w:rsid w:val="00D31F4B"/>
    <w:rsid w:val="00D344C1"/>
    <w:rsid w:val="00D40736"/>
    <w:rsid w:val="00D41112"/>
    <w:rsid w:val="00D41C67"/>
    <w:rsid w:val="00D4490A"/>
    <w:rsid w:val="00D54DD0"/>
    <w:rsid w:val="00D55F4D"/>
    <w:rsid w:val="00D56178"/>
    <w:rsid w:val="00D60CBD"/>
    <w:rsid w:val="00D63D70"/>
    <w:rsid w:val="00D67272"/>
    <w:rsid w:val="00D70E6E"/>
    <w:rsid w:val="00D75811"/>
    <w:rsid w:val="00D80DC6"/>
    <w:rsid w:val="00D87713"/>
    <w:rsid w:val="00D914B2"/>
    <w:rsid w:val="00D96FDB"/>
    <w:rsid w:val="00DA169D"/>
    <w:rsid w:val="00DA2F72"/>
    <w:rsid w:val="00DA392A"/>
    <w:rsid w:val="00DA495C"/>
    <w:rsid w:val="00DA58FF"/>
    <w:rsid w:val="00DB0DBF"/>
    <w:rsid w:val="00DB33EB"/>
    <w:rsid w:val="00DB397F"/>
    <w:rsid w:val="00DB4459"/>
    <w:rsid w:val="00DC08C7"/>
    <w:rsid w:val="00DC33FC"/>
    <w:rsid w:val="00DC66FD"/>
    <w:rsid w:val="00DD0D6E"/>
    <w:rsid w:val="00DD1C51"/>
    <w:rsid w:val="00DD2877"/>
    <w:rsid w:val="00DD390A"/>
    <w:rsid w:val="00DD3F86"/>
    <w:rsid w:val="00DD58A7"/>
    <w:rsid w:val="00DD7FD9"/>
    <w:rsid w:val="00DE1033"/>
    <w:rsid w:val="00DE452E"/>
    <w:rsid w:val="00DE52FA"/>
    <w:rsid w:val="00DF6633"/>
    <w:rsid w:val="00E01451"/>
    <w:rsid w:val="00E048CE"/>
    <w:rsid w:val="00E054A1"/>
    <w:rsid w:val="00E0705D"/>
    <w:rsid w:val="00E106C6"/>
    <w:rsid w:val="00E1180B"/>
    <w:rsid w:val="00E13673"/>
    <w:rsid w:val="00E15717"/>
    <w:rsid w:val="00E16520"/>
    <w:rsid w:val="00E21F3D"/>
    <w:rsid w:val="00E222DE"/>
    <w:rsid w:val="00E24931"/>
    <w:rsid w:val="00E24E14"/>
    <w:rsid w:val="00E2650C"/>
    <w:rsid w:val="00E268B9"/>
    <w:rsid w:val="00E26F10"/>
    <w:rsid w:val="00E40E36"/>
    <w:rsid w:val="00E40F83"/>
    <w:rsid w:val="00E425F2"/>
    <w:rsid w:val="00E44CE1"/>
    <w:rsid w:val="00E46A30"/>
    <w:rsid w:val="00E47CF3"/>
    <w:rsid w:val="00E5396E"/>
    <w:rsid w:val="00E560D8"/>
    <w:rsid w:val="00E638EE"/>
    <w:rsid w:val="00E65758"/>
    <w:rsid w:val="00E6757A"/>
    <w:rsid w:val="00E73BCD"/>
    <w:rsid w:val="00E7484A"/>
    <w:rsid w:val="00E77026"/>
    <w:rsid w:val="00E80DE8"/>
    <w:rsid w:val="00E84FF0"/>
    <w:rsid w:val="00E9305C"/>
    <w:rsid w:val="00EA06B2"/>
    <w:rsid w:val="00EA1262"/>
    <w:rsid w:val="00EA2CBA"/>
    <w:rsid w:val="00EA3002"/>
    <w:rsid w:val="00EA3D7D"/>
    <w:rsid w:val="00EA50A2"/>
    <w:rsid w:val="00EA7C7A"/>
    <w:rsid w:val="00EB09E9"/>
    <w:rsid w:val="00EB42B2"/>
    <w:rsid w:val="00EC41E3"/>
    <w:rsid w:val="00EC48C9"/>
    <w:rsid w:val="00EC7CC1"/>
    <w:rsid w:val="00ED050E"/>
    <w:rsid w:val="00ED0F2D"/>
    <w:rsid w:val="00ED1785"/>
    <w:rsid w:val="00ED2DC0"/>
    <w:rsid w:val="00ED61AD"/>
    <w:rsid w:val="00ED6B81"/>
    <w:rsid w:val="00EE3105"/>
    <w:rsid w:val="00EE59B7"/>
    <w:rsid w:val="00EE6147"/>
    <w:rsid w:val="00EE7DB6"/>
    <w:rsid w:val="00EF178B"/>
    <w:rsid w:val="00EF2B7F"/>
    <w:rsid w:val="00EF3424"/>
    <w:rsid w:val="00EF4E7A"/>
    <w:rsid w:val="00EF68B4"/>
    <w:rsid w:val="00EF6A29"/>
    <w:rsid w:val="00EF6A97"/>
    <w:rsid w:val="00F016AA"/>
    <w:rsid w:val="00F01938"/>
    <w:rsid w:val="00F02892"/>
    <w:rsid w:val="00F02AB6"/>
    <w:rsid w:val="00F03070"/>
    <w:rsid w:val="00F0501A"/>
    <w:rsid w:val="00F13B22"/>
    <w:rsid w:val="00F13BE0"/>
    <w:rsid w:val="00F1704B"/>
    <w:rsid w:val="00F20D8F"/>
    <w:rsid w:val="00F2150E"/>
    <w:rsid w:val="00F32A8A"/>
    <w:rsid w:val="00F35D8E"/>
    <w:rsid w:val="00F417CC"/>
    <w:rsid w:val="00F4220A"/>
    <w:rsid w:val="00F455AC"/>
    <w:rsid w:val="00F46C6B"/>
    <w:rsid w:val="00F5125C"/>
    <w:rsid w:val="00F51433"/>
    <w:rsid w:val="00F525C0"/>
    <w:rsid w:val="00F54BBD"/>
    <w:rsid w:val="00F55C7E"/>
    <w:rsid w:val="00F57F1A"/>
    <w:rsid w:val="00F63915"/>
    <w:rsid w:val="00F66418"/>
    <w:rsid w:val="00F66916"/>
    <w:rsid w:val="00F71AA1"/>
    <w:rsid w:val="00F72617"/>
    <w:rsid w:val="00F76112"/>
    <w:rsid w:val="00F83807"/>
    <w:rsid w:val="00F84099"/>
    <w:rsid w:val="00F844D9"/>
    <w:rsid w:val="00F84DA4"/>
    <w:rsid w:val="00F8522C"/>
    <w:rsid w:val="00F86E66"/>
    <w:rsid w:val="00F875A4"/>
    <w:rsid w:val="00F91CCA"/>
    <w:rsid w:val="00F92105"/>
    <w:rsid w:val="00F93E5A"/>
    <w:rsid w:val="00F96465"/>
    <w:rsid w:val="00F97220"/>
    <w:rsid w:val="00FA2021"/>
    <w:rsid w:val="00FA2336"/>
    <w:rsid w:val="00FB0AD7"/>
    <w:rsid w:val="00FB3C55"/>
    <w:rsid w:val="00FC0665"/>
    <w:rsid w:val="00FC1301"/>
    <w:rsid w:val="00FC29BC"/>
    <w:rsid w:val="00FC3FA1"/>
    <w:rsid w:val="00FC6447"/>
    <w:rsid w:val="00FD0835"/>
    <w:rsid w:val="00FD0ADD"/>
    <w:rsid w:val="00FD3486"/>
    <w:rsid w:val="00FD6B30"/>
    <w:rsid w:val="00FD6ECA"/>
    <w:rsid w:val="00FE1CD5"/>
    <w:rsid w:val="00FE1D87"/>
    <w:rsid w:val="00FE253E"/>
    <w:rsid w:val="00FE5A67"/>
    <w:rsid w:val="00FF00CD"/>
    <w:rsid w:val="00FF2CBB"/>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EE0C65"/>
  <w15:docId w15:val="{F3FE5EEC-BD9C-422E-A2E8-5A71ACFC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AC05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87EE5"/>
    <w:pPr>
      <w:keepNext/>
      <w:spacing w:before="240" w:after="60"/>
      <w:outlineLvl w:val="2"/>
    </w:pPr>
    <w:rPr>
      <w:rFonts w:ascii="Arial" w:hAnsi="Arial" w:cs="Arial"/>
      <w:b/>
      <w:bCs/>
      <w:sz w:val="26"/>
      <w:szCs w:val="26"/>
    </w:rPr>
  </w:style>
  <w:style w:type="paragraph" w:styleId="Heading7">
    <w:name w:val="heading 7"/>
    <w:basedOn w:val="Normal"/>
    <w:next w:val="Normal"/>
    <w:qFormat/>
    <w:rsid w:val="00D0057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7"/>
      </w:numPr>
      <w:outlineLvl w:val="0"/>
    </w:pPr>
  </w:style>
  <w:style w:type="paragraph" w:styleId="Footer">
    <w:name w:val="footer"/>
    <w:basedOn w:val="Normal"/>
    <w:link w:val="FooterChar"/>
    <w:pPr>
      <w:tabs>
        <w:tab w:val="center" w:pos="4320"/>
        <w:tab w:val="right" w:pos="8640"/>
      </w:tabs>
    </w:pPr>
  </w:style>
  <w:style w:type="paragraph" w:customStyle="1" w:styleId="a">
    <w:name w:val="_"/>
    <w:basedOn w:val="Normal"/>
    <w:pPr>
      <w:ind w:left="1440" w:hanging="720"/>
    </w:pPr>
  </w:style>
  <w:style w:type="paragraph" w:styleId="BodyText">
    <w:name w:val="Body Text"/>
    <w:basedOn w:val="Normal"/>
    <w:pPr>
      <w:spacing w:after="120"/>
    </w:pPr>
  </w:style>
  <w:style w:type="character" w:customStyle="1" w:styleId="Hypertext">
    <w:name w:val="Hypertext"/>
    <w:rPr>
      <w:color w:val="0000FF"/>
      <w:u w:val="single"/>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style>
  <w:style w:type="character" w:styleId="FollowedHyperlink">
    <w:name w:val="FollowedHyperlink"/>
    <w:basedOn w:val="DefaultParagraphFont"/>
    <w:rPr>
      <w:color w:val="800080"/>
      <w:u w:val="single"/>
    </w:rPr>
  </w:style>
  <w:style w:type="character" w:customStyle="1" w:styleId="Heading31">
    <w:name w:val="Heading 31"/>
    <w:rsid w:val="00D00578"/>
    <w:rPr>
      <w:b/>
    </w:rPr>
  </w:style>
  <w:style w:type="character" w:customStyle="1" w:styleId="Footer1">
    <w:name w:val="Footer1"/>
    <w:rsid w:val="00D00578"/>
  </w:style>
  <w:style w:type="paragraph" w:styleId="Title">
    <w:name w:val="Title"/>
    <w:basedOn w:val="Normal"/>
    <w:qFormat/>
    <w:rsid w:val="00D00578"/>
    <w:pPr>
      <w:widowControl/>
      <w:autoSpaceDE/>
      <w:autoSpaceDN/>
      <w:adjustRightInd/>
      <w:jc w:val="center"/>
    </w:pPr>
    <w:rPr>
      <w:b/>
      <w:sz w:val="20"/>
    </w:rPr>
  </w:style>
  <w:style w:type="paragraph" w:customStyle="1" w:styleId="Level9">
    <w:name w:val="Level 9"/>
    <w:basedOn w:val="Normal"/>
    <w:rsid w:val="00D00578"/>
    <w:pPr>
      <w:autoSpaceDE/>
      <w:autoSpaceDN/>
      <w:adjustRightInd/>
    </w:pPr>
    <w:rPr>
      <w:b/>
      <w:szCs w:val="20"/>
    </w:rPr>
  </w:style>
  <w:style w:type="character" w:customStyle="1" w:styleId="Heading11">
    <w:name w:val="Heading 11"/>
    <w:rsid w:val="0019405A"/>
    <w:rPr>
      <w:b/>
    </w:rPr>
  </w:style>
  <w:style w:type="paragraph" w:styleId="NormalWeb">
    <w:name w:val="Normal (Web)"/>
    <w:basedOn w:val="Normal"/>
    <w:uiPriority w:val="99"/>
    <w:rsid w:val="003E276F"/>
    <w:pPr>
      <w:widowControl/>
      <w:autoSpaceDE/>
      <w:autoSpaceDN/>
      <w:adjustRightInd/>
      <w:spacing w:before="100" w:beforeAutospacing="1" w:after="100" w:afterAutospacing="1"/>
    </w:pPr>
  </w:style>
  <w:style w:type="paragraph" w:styleId="BalloonText">
    <w:name w:val="Balloon Text"/>
    <w:basedOn w:val="Normal"/>
    <w:semiHidden/>
    <w:rsid w:val="0047590B"/>
    <w:rPr>
      <w:rFonts w:ascii="Tahoma" w:hAnsi="Tahoma" w:cs="Tahoma"/>
      <w:sz w:val="16"/>
      <w:szCs w:val="16"/>
    </w:rPr>
  </w:style>
  <w:style w:type="table" w:styleId="TableGrid">
    <w:name w:val="Table Grid"/>
    <w:basedOn w:val="TableNormal"/>
    <w:rsid w:val="00A6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21D26"/>
    <w:rPr>
      <w:b/>
      <w:bCs/>
    </w:rPr>
  </w:style>
  <w:style w:type="character" w:styleId="CommentReference">
    <w:name w:val="annotation reference"/>
    <w:basedOn w:val="DefaultParagraphFont"/>
    <w:semiHidden/>
    <w:rsid w:val="003E66BF"/>
    <w:rPr>
      <w:sz w:val="16"/>
      <w:szCs w:val="16"/>
    </w:rPr>
  </w:style>
  <w:style w:type="paragraph" w:styleId="CommentText">
    <w:name w:val="annotation text"/>
    <w:basedOn w:val="Normal"/>
    <w:semiHidden/>
    <w:rsid w:val="003E66BF"/>
    <w:rPr>
      <w:sz w:val="20"/>
      <w:szCs w:val="20"/>
    </w:rPr>
  </w:style>
  <w:style w:type="paragraph" w:styleId="CommentSubject">
    <w:name w:val="annotation subject"/>
    <w:basedOn w:val="CommentText"/>
    <w:next w:val="CommentText"/>
    <w:semiHidden/>
    <w:rsid w:val="003E66BF"/>
    <w:rPr>
      <w:b/>
      <w:bCs/>
    </w:rPr>
  </w:style>
  <w:style w:type="character" w:styleId="Emphasis">
    <w:name w:val="Emphasis"/>
    <w:basedOn w:val="DefaultParagraphFont"/>
    <w:uiPriority w:val="20"/>
    <w:qFormat/>
    <w:rsid w:val="008F5DF9"/>
    <w:rPr>
      <w:i/>
      <w:iCs/>
    </w:rPr>
  </w:style>
  <w:style w:type="character" w:customStyle="1" w:styleId="FooterChar">
    <w:name w:val="Footer Char"/>
    <w:basedOn w:val="DefaultParagraphFont"/>
    <w:link w:val="Footer"/>
    <w:rsid w:val="00A128F2"/>
    <w:rPr>
      <w:sz w:val="24"/>
      <w:szCs w:val="24"/>
      <w:lang w:val="en-US" w:eastAsia="en-US" w:bidi="ar-SA"/>
    </w:rPr>
  </w:style>
  <w:style w:type="paragraph" w:styleId="ListParagraph">
    <w:name w:val="List Paragraph"/>
    <w:basedOn w:val="Normal"/>
    <w:uiPriority w:val="34"/>
    <w:qFormat/>
    <w:rsid w:val="0075389F"/>
    <w:pPr>
      <w:ind w:left="720"/>
      <w:contextualSpacing/>
    </w:pPr>
  </w:style>
  <w:style w:type="paragraph" w:styleId="TOCHeading">
    <w:name w:val="TOC Heading"/>
    <w:basedOn w:val="Heading1"/>
    <w:next w:val="Normal"/>
    <w:uiPriority w:val="39"/>
    <w:unhideWhenUsed/>
    <w:qFormat/>
    <w:rsid w:val="007C3838"/>
    <w:pPr>
      <w:keepLines/>
      <w:widowControl/>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1">
    <w:name w:val="toc 1"/>
    <w:basedOn w:val="Normal"/>
    <w:next w:val="Normal"/>
    <w:autoRedefine/>
    <w:uiPriority w:val="39"/>
    <w:unhideWhenUsed/>
    <w:rsid w:val="007807C6"/>
    <w:pPr>
      <w:tabs>
        <w:tab w:val="right" w:leader="dot" w:pos="9350"/>
      </w:tabs>
      <w:autoSpaceDE/>
      <w:autoSpaceDN/>
      <w:adjustRightInd/>
      <w:spacing w:after="100"/>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7807C6"/>
    <w:pPr>
      <w:tabs>
        <w:tab w:val="left" w:pos="720"/>
        <w:tab w:val="right" w:leader="dot" w:pos="9350"/>
      </w:tabs>
      <w:autoSpaceDE/>
      <w:autoSpaceDN/>
      <w:adjustRightInd/>
      <w:spacing w:after="100"/>
      <w:ind w:left="1260" w:hanging="630"/>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AC05E5"/>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3D2661"/>
  </w:style>
  <w:style w:type="character" w:customStyle="1" w:styleId="Heading1Char">
    <w:name w:val="Heading 1 Char"/>
    <w:basedOn w:val="DefaultParagraphFont"/>
    <w:link w:val="Heading1"/>
    <w:uiPriority w:val="9"/>
    <w:rsid w:val="007807C6"/>
    <w:rPr>
      <w:rFonts w:ascii="Arial" w:hAnsi="Arial" w:cs="Arial"/>
      <w:b/>
      <w:bCs/>
      <w:kern w:val="32"/>
      <w:sz w:val="32"/>
      <w:szCs w:val="32"/>
    </w:rPr>
  </w:style>
  <w:style w:type="character" w:customStyle="1" w:styleId="UnresolvedMention1">
    <w:name w:val="Unresolved Mention1"/>
    <w:basedOn w:val="DefaultParagraphFont"/>
    <w:uiPriority w:val="99"/>
    <w:semiHidden/>
    <w:unhideWhenUsed/>
    <w:rsid w:val="003A4542"/>
    <w:rPr>
      <w:color w:val="605E5C"/>
      <w:shd w:val="clear" w:color="auto" w:fill="E1DFDD"/>
    </w:rPr>
  </w:style>
  <w:style w:type="character" w:customStyle="1" w:styleId="A7">
    <w:name w:val="A7"/>
    <w:uiPriority w:val="99"/>
    <w:rsid w:val="004F4C58"/>
    <w:rPr>
      <w:color w:val="000000"/>
      <w:sz w:val="22"/>
      <w:szCs w:val="22"/>
      <w:u w:val="single"/>
    </w:rPr>
  </w:style>
  <w:style w:type="character" w:styleId="UnresolvedMention">
    <w:name w:val="Unresolved Mention"/>
    <w:basedOn w:val="DefaultParagraphFont"/>
    <w:uiPriority w:val="99"/>
    <w:semiHidden/>
    <w:unhideWhenUsed/>
    <w:rsid w:val="00467C25"/>
    <w:rPr>
      <w:color w:val="605E5C"/>
      <w:shd w:val="clear" w:color="auto" w:fill="E1DFDD"/>
    </w:rPr>
  </w:style>
  <w:style w:type="paragraph" w:styleId="Revision">
    <w:name w:val="Revision"/>
    <w:hidden/>
    <w:uiPriority w:val="99"/>
    <w:semiHidden/>
    <w:rsid w:val="00B052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6431">
      <w:bodyDiv w:val="1"/>
      <w:marLeft w:val="0"/>
      <w:marRight w:val="0"/>
      <w:marTop w:val="0"/>
      <w:marBottom w:val="0"/>
      <w:divBdr>
        <w:top w:val="none" w:sz="0" w:space="0" w:color="auto"/>
        <w:left w:val="none" w:sz="0" w:space="0" w:color="auto"/>
        <w:bottom w:val="none" w:sz="0" w:space="0" w:color="auto"/>
        <w:right w:val="none" w:sz="0" w:space="0" w:color="auto"/>
      </w:divBdr>
    </w:div>
    <w:div w:id="332031114">
      <w:bodyDiv w:val="1"/>
      <w:marLeft w:val="0"/>
      <w:marRight w:val="0"/>
      <w:marTop w:val="0"/>
      <w:marBottom w:val="0"/>
      <w:divBdr>
        <w:top w:val="none" w:sz="0" w:space="0" w:color="auto"/>
        <w:left w:val="none" w:sz="0" w:space="0" w:color="auto"/>
        <w:bottom w:val="none" w:sz="0" w:space="0" w:color="auto"/>
        <w:right w:val="none" w:sz="0" w:space="0" w:color="auto"/>
      </w:divBdr>
    </w:div>
    <w:div w:id="765464857">
      <w:bodyDiv w:val="1"/>
      <w:marLeft w:val="0"/>
      <w:marRight w:val="0"/>
      <w:marTop w:val="0"/>
      <w:marBottom w:val="0"/>
      <w:divBdr>
        <w:top w:val="none" w:sz="0" w:space="0" w:color="auto"/>
        <w:left w:val="none" w:sz="0" w:space="0" w:color="auto"/>
        <w:bottom w:val="none" w:sz="0" w:space="0" w:color="auto"/>
        <w:right w:val="none" w:sz="0" w:space="0" w:color="auto"/>
      </w:divBdr>
    </w:div>
    <w:div w:id="774325055">
      <w:bodyDiv w:val="1"/>
      <w:marLeft w:val="0"/>
      <w:marRight w:val="0"/>
      <w:marTop w:val="0"/>
      <w:marBottom w:val="0"/>
      <w:divBdr>
        <w:top w:val="none" w:sz="0" w:space="0" w:color="auto"/>
        <w:left w:val="none" w:sz="0" w:space="0" w:color="auto"/>
        <w:bottom w:val="none" w:sz="0" w:space="0" w:color="auto"/>
        <w:right w:val="none" w:sz="0" w:space="0" w:color="auto"/>
      </w:divBdr>
    </w:div>
    <w:div w:id="894705336">
      <w:bodyDiv w:val="1"/>
      <w:marLeft w:val="0"/>
      <w:marRight w:val="0"/>
      <w:marTop w:val="0"/>
      <w:marBottom w:val="0"/>
      <w:divBdr>
        <w:top w:val="none" w:sz="0" w:space="0" w:color="auto"/>
        <w:left w:val="none" w:sz="0" w:space="0" w:color="auto"/>
        <w:bottom w:val="none" w:sz="0" w:space="0" w:color="auto"/>
        <w:right w:val="none" w:sz="0" w:space="0" w:color="auto"/>
      </w:divBdr>
    </w:div>
    <w:div w:id="1015157367">
      <w:bodyDiv w:val="1"/>
      <w:marLeft w:val="0"/>
      <w:marRight w:val="0"/>
      <w:marTop w:val="0"/>
      <w:marBottom w:val="0"/>
      <w:divBdr>
        <w:top w:val="none" w:sz="0" w:space="0" w:color="auto"/>
        <w:left w:val="none" w:sz="0" w:space="0" w:color="auto"/>
        <w:bottom w:val="none" w:sz="0" w:space="0" w:color="auto"/>
        <w:right w:val="none" w:sz="0" w:space="0" w:color="auto"/>
      </w:divBdr>
    </w:div>
    <w:div w:id="1052264617">
      <w:bodyDiv w:val="1"/>
      <w:marLeft w:val="0"/>
      <w:marRight w:val="0"/>
      <w:marTop w:val="0"/>
      <w:marBottom w:val="0"/>
      <w:divBdr>
        <w:top w:val="none" w:sz="0" w:space="0" w:color="auto"/>
        <w:left w:val="none" w:sz="0" w:space="0" w:color="auto"/>
        <w:bottom w:val="none" w:sz="0" w:space="0" w:color="auto"/>
        <w:right w:val="none" w:sz="0" w:space="0" w:color="auto"/>
      </w:divBdr>
    </w:div>
    <w:div w:id="1055006527">
      <w:bodyDiv w:val="1"/>
      <w:marLeft w:val="0"/>
      <w:marRight w:val="0"/>
      <w:marTop w:val="0"/>
      <w:marBottom w:val="0"/>
      <w:divBdr>
        <w:top w:val="none" w:sz="0" w:space="0" w:color="auto"/>
        <w:left w:val="none" w:sz="0" w:space="0" w:color="auto"/>
        <w:bottom w:val="none" w:sz="0" w:space="0" w:color="auto"/>
        <w:right w:val="none" w:sz="0" w:space="0" w:color="auto"/>
      </w:divBdr>
    </w:div>
    <w:div w:id="1352878230">
      <w:bodyDiv w:val="1"/>
      <w:marLeft w:val="0"/>
      <w:marRight w:val="0"/>
      <w:marTop w:val="0"/>
      <w:marBottom w:val="0"/>
      <w:divBdr>
        <w:top w:val="none" w:sz="0" w:space="0" w:color="auto"/>
        <w:left w:val="none" w:sz="0" w:space="0" w:color="auto"/>
        <w:bottom w:val="none" w:sz="0" w:space="0" w:color="auto"/>
        <w:right w:val="none" w:sz="0" w:space="0" w:color="auto"/>
      </w:divBdr>
      <w:divsChild>
        <w:div w:id="208345439">
          <w:marLeft w:val="0"/>
          <w:marRight w:val="0"/>
          <w:marTop w:val="0"/>
          <w:marBottom w:val="0"/>
          <w:divBdr>
            <w:top w:val="none" w:sz="0" w:space="0" w:color="auto"/>
            <w:left w:val="none" w:sz="0" w:space="0" w:color="auto"/>
            <w:bottom w:val="none" w:sz="0" w:space="0" w:color="auto"/>
            <w:right w:val="none" w:sz="0" w:space="0" w:color="auto"/>
          </w:divBdr>
        </w:div>
        <w:div w:id="345986216">
          <w:marLeft w:val="0"/>
          <w:marRight w:val="0"/>
          <w:marTop w:val="0"/>
          <w:marBottom w:val="0"/>
          <w:divBdr>
            <w:top w:val="none" w:sz="0" w:space="0" w:color="auto"/>
            <w:left w:val="none" w:sz="0" w:space="0" w:color="auto"/>
            <w:bottom w:val="none" w:sz="0" w:space="0" w:color="auto"/>
            <w:right w:val="none" w:sz="0" w:space="0" w:color="auto"/>
          </w:divBdr>
        </w:div>
        <w:div w:id="842205365">
          <w:marLeft w:val="0"/>
          <w:marRight w:val="0"/>
          <w:marTop w:val="0"/>
          <w:marBottom w:val="0"/>
          <w:divBdr>
            <w:top w:val="none" w:sz="0" w:space="0" w:color="auto"/>
            <w:left w:val="none" w:sz="0" w:space="0" w:color="auto"/>
            <w:bottom w:val="none" w:sz="0" w:space="0" w:color="auto"/>
            <w:right w:val="none" w:sz="0" w:space="0" w:color="auto"/>
          </w:divBdr>
        </w:div>
        <w:div w:id="1696886273">
          <w:marLeft w:val="0"/>
          <w:marRight w:val="0"/>
          <w:marTop w:val="0"/>
          <w:marBottom w:val="0"/>
          <w:divBdr>
            <w:top w:val="none" w:sz="0" w:space="0" w:color="auto"/>
            <w:left w:val="none" w:sz="0" w:space="0" w:color="auto"/>
            <w:bottom w:val="none" w:sz="0" w:space="0" w:color="auto"/>
            <w:right w:val="none" w:sz="0" w:space="0" w:color="auto"/>
          </w:divBdr>
        </w:div>
        <w:div w:id="1850824310">
          <w:marLeft w:val="0"/>
          <w:marRight w:val="0"/>
          <w:marTop w:val="0"/>
          <w:marBottom w:val="0"/>
          <w:divBdr>
            <w:top w:val="none" w:sz="0" w:space="0" w:color="auto"/>
            <w:left w:val="none" w:sz="0" w:space="0" w:color="auto"/>
            <w:bottom w:val="none" w:sz="0" w:space="0" w:color="auto"/>
            <w:right w:val="none" w:sz="0" w:space="0" w:color="auto"/>
          </w:divBdr>
        </w:div>
      </w:divsChild>
    </w:div>
    <w:div w:id="1456018855">
      <w:bodyDiv w:val="1"/>
      <w:marLeft w:val="0"/>
      <w:marRight w:val="0"/>
      <w:marTop w:val="0"/>
      <w:marBottom w:val="0"/>
      <w:divBdr>
        <w:top w:val="none" w:sz="0" w:space="0" w:color="auto"/>
        <w:left w:val="none" w:sz="0" w:space="0" w:color="auto"/>
        <w:bottom w:val="none" w:sz="0" w:space="0" w:color="auto"/>
        <w:right w:val="none" w:sz="0" w:space="0" w:color="auto"/>
      </w:divBdr>
    </w:div>
    <w:div w:id="1610315452">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14231970">
      <w:bodyDiv w:val="1"/>
      <w:marLeft w:val="0"/>
      <w:marRight w:val="0"/>
      <w:marTop w:val="0"/>
      <w:marBottom w:val="0"/>
      <w:divBdr>
        <w:top w:val="none" w:sz="0" w:space="0" w:color="auto"/>
        <w:left w:val="none" w:sz="0" w:space="0" w:color="auto"/>
        <w:bottom w:val="none" w:sz="0" w:space="0" w:color="auto"/>
        <w:right w:val="none" w:sz="0" w:space="0" w:color="auto"/>
      </w:divBdr>
    </w:div>
    <w:div w:id="1729068271">
      <w:bodyDiv w:val="1"/>
      <w:marLeft w:val="0"/>
      <w:marRight w:val="0"/>
      <w:marTop w:val="0"/>
      <w:marBottom w:val="0"/>
      <w:divBdr>
        <w:top w:val="none" w:sz="0" w:space="0" w:color="auto"/>
        <w:left w:val="none" w:sz="0" w:space="0" w:color="auto"/>
        <w:bottom w:val="none" w:sz="0" w:space="0" w:color="auto"/>
        <w:right w:val="none" w:sz="0" w:space="0" w:color="auto"/>
      </w:divBdr>
    </w:div>
    <w:div w:id="1890721778">
      <w:bodyDiv w:val="1"/>
      <w:marLeft w:val="0"/>
      <w:marRight w:val="0"/>
      <w:marTop w:val="0"/>
      <w:marBottom w:val="0"/>
      <w:divBdr>
        <w:top w:val="none" w:sz="0" w:space="0" w:color="auto"/>
        <w:left w:val="none" w:sz="0" w:space="0" w:color="auto"/>
        <w:bottom w:val="none" w:sz="0" w:space="0" w:color="auto"/>
        <w:right w:val="none" w:sz="0" w:space="0" w:color="auto"/>
      </w:divBdr>
    </w:div>
    <w:div w:id="19453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ildstats.gov/pdf/ac2018/ac_18.pdf" TargetMode="External"/><Relationship Id="rId18" Type="http://schemas.openxmlformats.org/officeDocument/2006/relationships/hyperlink" Target="mailto:jim.scanlon@hhs.gov" TargetMode="External"/><Relationship Id="rId26" Type="http://schemas.openxmlformats.org/officeDocument/2006/relationships/footer" Target="footer3.xml"/><Relationship Id="rId39" Type="http://schemas.microsoft.com/office/2018/08/relationships/commentsExtensible" Target="commentsExtensible.xml"/><Relationship Id="rId21" Type="http://schemas.openxmlformats.org/officeDocument/2006/relationships/header" Target="header1.xml"/><Relationship Id="rId34" Type="http://schemas.openxmlformats.org/officeDocument/2006/relationships/hyperlink" Target="http://meps.ahrq.gov/mepsweb/data_files/publications/st93/stat93.shtml" TargetMode="External"/><Relationship Id="rId7" Type="http://schemas.openxmlformats.org/officeDocument/2006/relationships/endnotes" Target="endnotes.xml"/><Relationship Id="rId12" Type="http://schemas.openxmlformats.org/officeDocument/2006/relationships/hyperlink" Target="https://mchb.hrsa.gov/chusa14/" TargetMode="External"/><Relationship Id="rId17" Type="http://schemas.openxmlformats.org/officeDocument/2006/relationships/hyperlink" Target="mailto:jfg2@cdc.gov" TargetMode="External"/><Relationship Id="rId25" Type="http://schemas.openxmlformats.org/officeDocument/2006/relationships/header" Target="header3.xml"/><Relationship Id="rId33" Type="http://schemas.openxmlformats.org/officeDocument/2006/relationships/hyperlink" Target="https://www.cdc.gov/hiv/statistics/overview/index.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hildtrends.org/indicators?a-z" TargetMode="External"/><Relationship Id="rId20" Type="http://schemas.openxmlformats.org/officeDocument/2006/relationships/hyperlink" Target="mailto:cvega-matos@ph.lacounty.gov" TargetMode="External"/><Relationship Id="rId29" Type="http://schemas.openxmlformats.org/officeDocument/2006/relationships/hyperlink" Target="https://nccd.cdc.gov/youthonline/App/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system/files/pdf/72851/TeenRiskTaking.pdf" TargetMode="External"/><Relationship Id="rId24" Type="http://schemas.openxmlformats.org/officeDocument/2006/relationships/footer" Target="footer2.xml"/><Relationship Id="rId32" Type="http://schemas.openxmlformats.org/officeDocument/2006/relationships/hyperlink" Target="http://www.cdc.gov/mmwr/preview/mmwrhtml/rr6401a1.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c.gov/nchs/data/hus/hus18.pdf" TargetMode="External"/><Relationship Id="rId23" Type="http://schemas.openxmlformats.org/officeDocument/2006/relationships/footer" Target="footer1.xml"/><Relationship Id="rId28" Type="http://schemas.openxmlformats.org/officeDocument/2006/relationships/hyperlink" Target="http://www.cdc.gov/yrbs" TargetMode="External"/><Relationship Id="rId36" Type="http://schemas.openxmlformats.org/officeDocument/2006/relationships/hyperlink" Target="http://www.ajpmonline.org/article/S0749-3797(15)00354-2/abstract" TargetMode="External"/><Relationship Id="rId10" Type="http://schemas.openxmlformats.org/officeDocument/2006/relationships/hyperlink" Target="https://nces.ed.gov/pubs2019/2019047.pdf" TargetMode="External"/><Relationship Id="rId19" Type="http://schemas.openxmlformats.org/officeDocument/2006/relationships/hyperlink" Target="mailto:BStanton@dmc.org" TargetMode="External"/><Relationship Id="rId31" Type="http://schemas.openxmlformats.org/officeDocument/2006/relationships/hyperlink" Target="http://www.cdc.gov/std/stats/sti-estimates-fact-sheet-feb-2013.pdf" TargetMode="External"/><Relationship Id="rId4" Type="http://schemas.openxmlformats.org/officeDocument/2006/relationships/settings" Target="settings.xml"/><Relationship Id="rId9" Type="http://schemas.openxmlformats.org/officeDocument/2006/relationships/hyperlink" Target="http://www.physicalactivityplan.org" TargetMode="External"/><Relationship Id="rId14" Type="http://schemas.openxmlformats.org/officeDocument/2006/relationships/hyperlink" Target="https://nces.ed.gov/pubs2019/2019047.pdf" TargetMode="External"/><Relationship Id="rId22" Type="http://schemas.openxmlformats.org/officeDocument/2006/relationships/header" Target="header2.xml"/><Relationship Id="rId27" Type="http://schemas.openxmlformats.org/officeDocument/2006/relationships/hyperlink" Target="http://www.dol.gov/dol/topic/wages/minimumwage.htm" TargetMode="External"/><Relationship Id="rId30" Type="http://schemas.openxmlformats.org/officeDocument/2006/relationships/hyperlink" Target="http://www.ncbi.nlm.nih.gov/pubmed/22094013" TargetMode="External"/><Relationship Id="rId35" Type="http://schemas.openxmlformats.org/officeDocument/2006/relationships/hyperlink" Target="http://aspe.hhs.gov/hsp/03trends/index.htm" TargetMode="External"/><Relationship Id="rId8" Type="http://schemas.openxmlformats.org/officeDocument/2006/relationships/hyperlink" Target="mailto:nad1@cdc.go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17FBC-5A31-4E36-92B4-AC775E49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33</Pages>
  <Words>12646</Words>
  <Characters>75945</Characters>
  <Application>Microsoft Office Word</Application>
  <DocSecurity>0</DocSecurity>
  <Lines>632</Lines>
  <Paragraphs>176</Paragraphs>
  <ScaleCrop>false</ScaleCrop>
  <HeadingPairs>
    <vt:vector size="2" baseType="variant">
      <vt:variant>
        <vt:lpstr>Title</vt:lpstr>
      </vt:variant>
      <vt:variant>
        <vt:i4>1</vt:i4>
      </vt:variant>
    </vt:vector>
  </HeadingPairs>
  <TitlesOfParts>
    <vt:vector size="1" baseType="lpstr">
      <vt:lpstr>OMB SUPPORTING STATEMENT FOR THE</vt:lpstr>
    </vt:vector>
  </TitlesOfParts>
  <Company>ORC Macro</Company>
  <LinksUpToDate>false</LinksUpToDate>
  <CharactersWithSpaces>88415</CharactersWithSpaces>
  <SharedDoc>false</SharedDoc>
  <HLinks>
    <vt:vector size="60" baseType="variant">
      <vt:variant>
        <vt:i4>6422582</vt:i4>
      </vt:variant>
      <vt:variant>
        <vt:i4>27</vt:i4>
      </vt:variant>
      <vt:variant>
        <vt:i4>0</vt:i4>
      </vt:variant>
      <vt:variant>
        <vt:i4>5</vt:i4>
      </vt:variant>
      <vt:variant>
        <vt:lpwstr>http://aspe.hhs.gov/hsp/03trends/index.htm</vt:lpwstr>
      </vt:variant>
      <vt:variant>
        <vt:lpwstr/>
      </vt:variant>
      <vt:variant>
        <vt:i4>3735583</vt:i4>
      </vt:variant>
      <vt:variant>
        <vt:i4>24</vt:i4>
      </vt:variant>
      <vt:variant>
        <vt:i4>0</vt:i4>
      </vt:variant>
      <vt:variant>
        <vt:i4>5</vt:i4>
      </vt:variant>
      <vt:variant>
        <vt:lpwstr>mailto:cvega-matos@ph.lacounty.gov</vt:lpwstr>
      </vt:variant>
      <vt:variant>
        <vt:lpwstr/>
      </vt:variant>
      <vt:variant>
        <vt:i4>262186</vt:i4>
      </vt:variant>
      <vt:variant>
        <vt:i4>21</vt:i4>
      </vt:variant>
      <vt:variant>
        <vt:i4>0</vt:i4>
      </vt:variant>
      <vt:variant>
        <vt:i4>5</vt:i4>
      </vt:variant>
      <vt:variant>
        <vt:lpwstr>mailto:BStanton@dmc.org</vt:lpwstr>
      </vt:variant>
      <vt:variant>
        <vt:lpwstr/>
      </vt:variant>
      <vt:variant>
        <vt:i4>8323078</vt:i4>
      </vt:variant>
      <vt:variant>
        <vt:i4>18</vt:i4>
      </vt:variant>
      <vt:variant>
        <vt:i4>0</vt:i4>
      </vt:variant>
      <vt:variant>
        <vt:i4>5</vt:i4>
      </vt:variant>
      <vt:variant>
        <vt:lpwstr>mailto:jim.scanlon@hhs.gov</vt:lpwstr>
      </vt:variant>
      <vt:variant>
        <vt:lpwstr/>
      </vt:variant>
      <vt:variant>
        <vt:i4>655481</vt:i4>
      </vt:variant>
      <vt:variant>
        <vt:i4>15</vt:i4>
      </vt:variant>
      <vt:variant>
        <vt:i4>0</vt:i4>
      </vt:variant>
      <vt:variant>
        <vt:i4>5</vt:i4>
      </vt:variant>
      <vt:variant>
        <vt:lpwstr>mailto:jfg2@cdc.gov</vt:lpwstr>
      </vt:variant>
      <vt:variant>
        <vt:lpwstr/>
      </vt:variant>
      <vt:variant>
        <vt:i4>196695</vt:i4>
      </vt:variant>
      <vt:variant>
        <vt:i4>12</vt:i4>
      </vt:variant>
      <vt:variant>
        <vt:i4>0</vt:i4>
      </vt:variant>
      <vt:variant>
        <vt:i4>5</vt:i4>
      </vt:variant>
      <vt:variant>
        <vt:lpwstr>http://nces.ed.gov/surveys/ssocs/</vt:lpwstr>
      </vt:variant>
      <vt:variant>
        <vt:lpwstr/>
      </vt:variant>
      <vt:variant>
        <vt:i4>6</vt:i4>
      </vt:variant>
      <vt:variant>
        <vt:i4>9</vt:i4>
      </vt:variant>
      <vt:variant>
        <vt:i4>0</vt:i4>
      </vt:variant>
      <vt:variant>
        <vt:i4>5</vt:i4>
      </vt:variant>
      <vt:variant>
        <vt:lpwstr>http://nces.ed.gov/programs/crimeindicators/crimeindicators2007/index.asp</vt:lpwstr>
      </vt:variant>
      <vt:variant>
        <vt:lpwstr/>
      </vt:variant>
      <vt:variant>
        <vt:i4>4915230</vt:i4>
      </vt:variant>
      <vt:variant>
        <vt:i4>6</vt:i4>
      </vt:variant>
      <vt:variant>
        <vt:i4>0</vt:i4>
      </vt:variant>
      <vt:variant>
        <vt:i4>5</vt:i4>
      </vt:variant>
      <vt:variant>
        <vt:lpwstr>http://www.ed.gov/programs/whitephysed/applicant.html</vt:lpwstr>
      </vt:variant>
      <vt:variant>
        <vt:lpwstr/>
      </vt:variant>
      <vt:variant>
        <vt:i4>3145854</vt:i4>
      </vt:variant>
      <vt:variant>
        <vt:i4>3</vt:i4>
      </vt:variant>
      <vt:variant>
        <vt:i4>0</vt:i4>
      </vt:variant>
      <vt:variant>
        <vt:i4>5</vt:i4>
      </vt:variant>
      <vt:variant>
        <vt:lpwstr>http://www.ed.gov/programs/mentalhealth/applicant.html</vt:lpwstr>
      </vt:variant>
      <vt:variant>
        <vt:lpwstr/>
      </vt:variant>
      <vt:variant>
        <vt:i4>393333</vt:i4>
      </vt:variant>
      <vt:variant>
        <vt:i4>0</vt:i4>
      </vt:variant>
      <vt:variant>
        <vt:i4>0</vt:i4>
      </vt:variant>
      <vt:variant>
        <vt:i4>5</vt:i4>
      </vt:variant>
      <vt:variant>
        <vt:lpwstr>mailto:dhe0@cdc.gov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 THE</dc:title>
  <dc:subject/>
  <dc:creator>dallen</dc:creator>
  <cp:keywords/>
  <dc:description/>
  <cp:lastModifiedBy>Joyce, Kevin J. (CDC/DDPHSS/OS/OSI)</cp:lastModifiedBy>
  <cp:revision>15</cp:revision>
  <cp:lastPrinted>2016-02-05T15:00:00Z</cp:lastPrinted>
  <dcterms:created xsi:type="dcterms:W3CDTF">2020-10-20T14:24:00Z</dcterms:created>
  <dcterms:modified xsi:type="dcterms:W3CDTF">2020-10-30T17:12:00Z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2020-10-28T20:40:19Z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d5309889-9463-4889-8e45-32f443095959</vt:lpwstr>
  </property>
  <property fmtid="{D5CDD505-2E9C-101B-9397-08002B2CF9AE}" pid="8" name="MSIP_Label_7b94a7b8-f06c-4dfe-bdcc-9b548fd58c31_ContentBits">
    <vt:lpwstr>0</vt:lpwstr>
  </property>
</Properties>
</file>