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722B" w:rsidR="001170DD" w:rsidP="007B3D7D" w:rsidRDefault="005E2A6F" w14:paraId="114F6BBB" w14:textId="77777777">
      <w:pPr>
        <w:pStyle w:val="Title"/>
        <w:spacing w:after="200"/>
      </w:pPr>
      <w:r>
        <w:t xml:space="preserve">Exposure Assessment </w:t>
      </w:r>
      <w:r w:rsidR="00316ECC">
        <w:t xml:space="preserve">Protocol: </w:t>
      </w:r>
      <w:r>
        <w:t xml:space="preserve">Biological </w:t>
      </w:r>
      <w:r w:rsidR="00394141">
        <w:t xml:space="preserve">and Environmental </w:t>
      </w:r>
      <w:r>
        <w:t xml:space="preserve">Sampling </w:t>
      </w:r>
      <w:r w:rsidR="00316ECC">
        <w:t>of Per- and Polyfluoroalkyl Substances (PFAS)</w:t>
      </w:r>
    </w:p>
    <w:p w:rsidRPr="00DF516A" w:rsidR="00110D70" w:rsidP="007B3D7D" w:rsidRDefault="00110D70" w14:paraId="2EE4A5E6" w14:textId="77777777">
      <w:pPr>
        <w:pStyle w:val="NoSpacing"/>
        <w:rPr>
          <w:rStyle w:val="BookTitle"/>
        </w:rPr>
      </w:pPr>
      <w:r w:rsidRPr="00DF516A">
        <w:rPr>
          <w:u w:val="single"/>
        </w:rPr>
        <w:br/>
      </w:r>
      <w:r w:rsidRPr="00DF516A">
        <w:rPr>
          <w:rStyle w:val="BookTitle"/>
        </w:rPr>
        <w:t>Funded and Sponsored by</w:t>
      </w:r>
    </w:p>
    <w:p w:rsidRPr="00DF516A" w:rsidR="00110D70" w:rsidP="007B3D7D" w:rsidRDefault="00110D70" w14:paraId="14BD2E8A" w14:textId="77777777">
      <w:pPr>
        <w:pStyle w:val="NoSpacing"/>
      </w:pPr>
      <w:r w:rsidRPr="00DF516A">
        <w:t xml:space="preserve">Agency </w:t>
      </w:r>
      <w:r w:rsidRPr="00DF516A" w:rsidR="00E95F75">
        <w:t>for Toxic</w:t>
      </w:r>
      <w:r w:rsidRPr="00DF516A" w:rsidR="00B32AFA">
        <w:t xml:space="preserve"> Substances and Disease Registry</w:t>
      </w:r>
      <w:r w:rsidR="00A16780">
        <w:t xml:space="preserve"> (ATSDR)</w:t>
      </w:r>
    </w:p>
    <w:p w:rsidRPr="00DF516A" w:rsidR="00B32AFA" w:rsidP="007B3D7D" w:rsidRDefault="00B32AFA" w14:paraId="38AF30A3" w14:textId="77777777">
      <w:pPr>
        <w:pStyle w:val="NoSpacing"/>
      </w:pPr>
      <w:r w:rsidRPr="00DF516A">
        <w:t>4770 Buford Highway</w:t>
      </w:r>
      <w:r w:rsidRPr="00DF516A" w:rsidR="00872D30">
        <w:t>, MS F-59</w:t>
      </w:r>
    </w:p>
    <w:p w:rsidRPr="00DF516A" w:rsidR="00B32AFA" w:rsidP="007B3D7D" w:rsidRDefault="00B32AFA" w14:paraId="33E9A226" w14:textId="77777777">
      <w:pPr>
        <w:pStyle w:val="NoSpacing"/>
      </w:pPr>
      <w:r w:rsidRPr="00DF516A">
        <w:t>Atlanta, GA 30341</w:t>
      </w:r>
    </w:p>
    <w:p w:rsidRPr="00DF516A" w:rsidR="00872D30" w:rsidP="007B3D7D" w:rsidRDefault="00872D30" w14:paraId="24FE69D7" w14:textId="77777777">
      <w:pPr>
        <w:pStyle w:val="NoSpacing"/>
      </w:pPr>
    </w:p>
    <w:p w:rsidRPr="00E60EB8" w:rsidR="00E60EB8" w:rsidP="007B3D7D" w:rsidRDefault="00B06B73" w14:paraId="6DA93EE2" w14:textId="326C2288">
      <w:pPr>
        <w:tabs>
          <w:tab w:val="left" w:pos="8227"/>
        </w:tabs>
        <w:spacing w:after="0" w:line="240" w:lineRule="auto"/>
        <w:rPr>
          <w:b/>
        </w:rPr>
      </w:pPr>
      <w:r>
        <w:rPr>
          <w:b/>
        </w:rPr>
        <w:br w:type="page"/>
      </w:r>
      <w:r w:rsidRPr="00E60EB8" w:rsidR="00E60EB8">
        <w:rPr>
          <w:b/>
        </w:rPr>
        <w:lastRenderedPageBreak/>
        <w:tab/>
      </w:r>
    </w:p>
    <w:p w:rsidR="003A003C" w:rsidP="007B3D7D" w:rsidRDefault="003A003C" w14:paraId="10DE5B77" w14:textId="77777777">
      <w:pPr>
        <w:tabs>
          <w:tab w:val="left" w:pos="8227"/>
        </w:tabs>
        <w:spacing w:line="240" w:lineRule="auto"/>
        <w:contextualSpacing/>
        <w:sectPr w:rsidR="003A003C" w:rsidSect="003A003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sdt>
      <w:sdtPr>
        <w:rPr>
          <w:rFonts w:asciiTheme="minorHAnsi" w:hAnsiTheme="minorHAnsi" w:eastAsiaTheme="minorHAnsi" w:cstheme="minorBidi"/>
          <w:b w:val="0"/>
          <w:bCs w:val="0"/>
          <w:color w:val="auto"/>
          <w:sz w:val="22"/>
          <w:szCs w:val="22"/>
          <w:lang w:eastAsia="en-US"/>
        </w:rPr>
        <w:id w:val="1541708649"/>
        <w:docPartObj>
          <w:docPartGallery w:val="Table of Contents"/>
          <w:docPartUnique/>
        </w:docPartObj>
      </w:sdtPr>
      <w:sdtEndPr>
        <w:rPr>
          <w:noProof/>
        </w:rPr>
      </w:sdtEndPr>
      <w:sdtContent>
        <w:p w:rsidR="00A577D9" w:rsidRDefault="00A577D9" w14:paraId="3D67A558" w14:textId="77777777">
          <w:pPr>
            <w:pStyle w:val="TOCHeading"/>
          </w:pPr>
          <w:r>
            <w:t>Table of Contents</w:t>
          </w:r>
        </w:p>
        <w:p w:rsidR="00656872" w:rsidRDefault="00A577D9" w14:paraId="257BE8B3" w14:textId="7468FD89">
          <w:pPr>
            <w:pStyle w:val="TOC1"/>
            <w:rPr>
              <w:rFonts w:eastAsiaTheme="minorEastAsia"/>
              <w:b w:val="0"/>
            </w:rPr>
          </w:pPr>
          <w:r>
            <w:fldChar w:fldCharType="begin"/>
          </w:r>
          <w:r>
            <w:instrText xml:space="preserve"> TOC \o "1-3" \h \z \u </w:instrText>
          </w:r>
          <w:r>
            <w:fldChar w:fldCharType="separate"/>
          </w:r>
          <w:hyperlink w:history="1" w:anchor="_Toc6924080">
            <w:r w:rsidRPr="00AB737D" w:rsidR="00656872">
              <w:rPr>
                <w:rStyle w:val="Hyperlink"/>
              </w:rPr>
              <w:t>Abbreviations and Acronyms</w:t>
            </w:r>
            <w:r w:rsidR="00656872">
              <w:rPr>
                <w:webHidden/>
              </w:rPr>
              <w:tab/>
            </w:r>
            <w:r w:rsidR="00656872">
              <w:rPr>
                <w:webHidden/>
              </w:rPr>
              <w:fldChar w:fldCharType="begin"/>
            </w:r>
            <w:r w:rsidR="00656872">
              <w:rPr>
                <w:webHidden/>
              </w:rPr>
              <w:instrText xml:space="preserve"> PAGEREF _Toc6924080 \h </w:instrText>
            </w:r>
            <w:r w:rsidR="00656872">
              <w:rPr>
                <w:webHidden/>
              </w:rPr>
            </w:r>
            <w:r w:rsidR="00656872">
              <w:rPr>
                <w:webHidden/>
              </w:rPr>
              <w:fldChar w:fldCharType="separate"/>
            </w:r>
            <w:r w:rsidR="00A700FD">
              <w:rPr>
                <w:webHidden/>
              </w:rPr>
              <w:t>4</w:t>
            </w:r>
            <w:r w:rsidR="00656872">
              <w:rPr>
                <w:webHidden/>
              </w:rPr>
              <w:fldChar w:fldCharType="end"/>
            </w:r>
          </w:hyperlink>
        </w:p>
        <w:p w:rsidR="00656872" w:rsidRDefault="00D43D42" w14:paraId="1D9AE330" w14:textId="28963D7B">
          <w:pPr>
            <w:pStyle w:val="TOC1"/>
            <w:rPr>
              <w:rFonts w:eastAsiaTheme="minorEastAsia"/>
              <w:b w:val="0"/>
            </w:rPr>
          </w:pPr>
          <w:hyperlink w:history="1" w:anchor="_Toc6924081">
            <w:r w:rsidRPr="00AB737D" w:rsidR="00656872">
              <w:rPr>
                <w:rStyle w:val="Hyperlink"/>
              </w:rPr>
              <w:t>Project Overview</w:t>
            </w:r>
            <w:r w:rsidR="00656872">
              <w:rPr>
                <w:webHidden/>
              </w:rPr>
              <w:tab/>
            </w:r>
            <w:r w:rsidR="00656872">
              <w:rPr>
                <w:webHidden/>
              </w:rPr>
              <w:fldChar w:fldCharType="begin"/>
            </w:r>
            <w:r w:rsidR="00656872">
              <w:rPr>
                <w:webHidden/>
              </w:rPr>
              <w:instrText xml:space="preserve"> PAGEREF _Toc6924081 \h </w:instrText>
            </w:r>
            <w:r w:rsidR="00656872">
              <w:rPr>
                <w:webHidden/>
              </w:rPr>
            </w:r>
            <w:r w:rsidR="00656872">
              <w:rPr>
                <w:webHidden/>
              </w:rPr>
              <w:fldChar w:fldCharType="separate"/>
            </w:r>
            <w:r w:rsidR="00A700FD">
              <w:rPr>
                <w:webHidden/>
              </w:rPr>
              <w:t>6</w:t>
            </w:r>
            <w:r w:rsidR="00656872">
              <w:rPr>
                <w:webHidden/>
              </w:rPr>
              <w:fldChar w:fldCharType="end"/>
            </w:r>
          </w:hyperlink>
        </w:p>
        <w:p w:rsidR="00656872" w:rsidRDefault="00D43D42" w14:paraId="5A0A58D7" w14:textId="270FA0A7">
          <w:pPr>
            <w:pStyle w:val="TOC2"/>
            <w:rPr>
              <w:rFonts w:eastAsiaTheme="minorEastAsia"/>
              <w:noProof/>
            </w:rPr>
          </w:pPr>
          <w:hyperlink w:history="1" w:anchor="_Toc6924082">
            <w:r w:rsidRPr="00AB737D" w:rsidR="00656872">
              <w:rPr>
                <w:rStyle w:val="Hyperlink"/>
                <w:noProof/>
              </w:rPr>
              <w:t>Title</w:t>
            </w:r>
            <w:r w:rsidR="00656872">
              <w:rPr>
                <w:noProof/>
                <w:webHidden/>
              </w:rPr>
              <w:tab/>
            </w:r>
            <w:r w:rsidR="00656872">
              <w:rPr>
                <w:noProof/>
                <w:webHidden/>
              </w:rPr>
              <w:fldChar w:fldCharType="begin"/>
            </w:r>
            <w:r w:rsidR="00656872">
              <w:rPr>
                <w:noProof/>
                <w:webHidden/>
              </w:rPr>
              <w:instrText xml:space="preserve"> PAGEREF _Toc6924082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D43D42" w14:paraId="59FF16FB" w14:textId="2A4239C9">
          <w:pPr>
            <w:pStyle w:val="TOC2"/>
            <w:rPr>
              <w:rFonts w:eastAsiaTheme="minorEastAsia"/>
              <w:noProof/>
            </w:rPr>
          </w:pPr>
          <w:hyperlink w:history="1" w:anchor="_Toc6924083">
            <w:r w:rsidRPr="00AB737D" w:rsidR="00656872">
              <w:rPr>
                <w:rStyle w:val="Hyperlink"/>
                <w:noProof/>
              </w:rPr>
              <w:t>Protocol Summary</w:t>
            </w:r>
            <w:r w:rsidR="00656872">
              <w:rPr>
                <w:noProof/>
                <w:webHidden/>
              </w:rPr>
              <w:tab/>
            </w:r>
            <w:r w:rsidR="00656872">
              <w:rPr>
                <w:noProof/>
                <w:webHidden/>
              </w:rPr>
              <w:fldChar w:fldCharType="begin"/>
            </w:r>
            <w:r w:rsidR="00656872">
              <w:rPr>
                <w:noProof/>
                <w:webHidden/>
              </w:rPr>
              <w:instrText xml:space="preserve"> PAGEREF _Toc6924083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D43D42" w14:paraId="2A218416" w14:textId="7FAAA5C3">
          <w:pPr>
            <w:pStyle w:val="TOC2"/>
            <w:rPr>
              <w:rFonts w:eastAsiaTheme="minorEastAsia"/>
              <w:noProof/>
            </w:rPr>
          </w:pPr>
          <w:hyperlink w:history="1" w:anchor="_Toc6924084">
            <w:r w:rsidRPr="00AB737D" w:rsidR="00656872">
              <w:rPr>
                <w:rStyle w:val="Hyperlink"/>
                <w:noProof/>
              </w:rPr>
              <w:t>Participating Agencies/Contractors</w:t>
            </w:r>
            <w:r w:rsidR="00656872">
              <w:rPr>
                <w:noProof/>
                <w:webHidden/>
              </w:rPr>
              <w:tab/>
            </w:r>
            <w:r w:rsidR="00656872">
              <w:rPr>
                <w:noProof/>
                <w:webHidden/>
              </w:rPr>
              <w:fldChar w:fldCharType="begin"/>
            </w:r>
            <w:r w:rsidR="00656872">
              <w:rPr>
                <w:noProof/>
                <w:webHidden/>
              </w:rPr>
              <w:instrText xml:space="preserve"> PAGEREF _Toc6924084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D43D42" w14:paraId="62D4FEDB" w14:textId="533E6930">
          <w:pPr>
            <w:pStyle w:val="TOC2"/>
            <w:rPr>
              <w:rFonts w:eastAsiaTheme="minorEastAsia"/>
              <w:noProof/>
            </w:rPr>
          </w:pPr>
          <w:hyperlink w:history="1" w:anchor="_Toc6924085">
            <w:r w:rsidRPr="00AB737D" w:rsidR="00656872">
              <w:rPr>
                <w:rStyle w:val="Hyperlink"/>
                <w:noProof/>
              </w:rPr>
              <w:t>Conflicts of Interest</w:t>
            </w:r>
            <w:r w:rsidR="00656872">
              <w:rPr>
                <w:noProof/>
                <w:webHidden/>
              </w:rPr>
              <w:tab/>
            </w:r>
            <w:r w:rsidR="00656872">
              <w:rPr>
                <w:noProof/>
                <w:webHidden/>
              </w:rPr>
              <w:fldChar w:fldCharType="begin"/>
            </w:r>
            <w:r w:rsidR="00656872">
              <w:rPr>
                <w:noProof/>
                <w:webHidden/>
              </w:rPr>
              <w:instrText xml:space="preserve"> PAGEREF _Toc6924085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D43D42" w14:paraId="2042009C" w14:textId="4E76D8A6">
          <w:pPr>
            <w:pStyle w:val="TOC1"/>
            <w:rPr>
              <w:rFonts w:eastAsiaTheme="minorEastAsia"/>
              <w:b w:val="0"/>
            </w:rPr>
          </w:pPr>
          <w:hyperlink w:history="1" w:anchor="_Toc6924086">
            <w:r w:rsidRPr="00AB737D" w:rsidR="00656872">
              <w:rPr>
                <w:rStyle w:val="Hyperlink"/>
              </w:rPr>
              <w:t>Introduction</w:t>
            </w:r>
            <w:r w:rsidR="00656872">
              <w:rPr>
                <w:webHidden/>
              </w:rPr>
              <w:tab/>
            </w:r>
            <w:r w:rsidR="00656872">
              <w:rPr>
                <w:webHidden/>
              </w:rPr>
              <w:fldChar w:fldCharType="begin"/>
            </w:r>
            <w:r w:rsidR="00656872">
              <w:rPr>
                <w:webHidden/>
              </w:rPr>
              <w:instrText xml:space="preserve"> PAGEREF _Toc6924086 \h </w:instrText>
            </w:r>
            <w:r w:rsidR="00656872">
              <w:rPr>
                <w:webHidden/>
              </w:rPr>
            </w:r>
            <w:r w:rsidR="00656872">
              <w:rPr>
                <w:webHidden/>
              </w:rPr>
              <w:fldChar w:fldCharType="separate"/>
            </w:r>
            <w:r w:rsidR="00A700FD">
              <w:rPr>
                <w:webHidden/>
              </w:rPr>
              <w:t>8</w:t>
            </w:r>
            <w:r w:rsidR="00656872">
              <w:rPr>
                <w:webHidden/>
              </w:rPr>
              <w:fldChar w:fldCharType="end"/>
            </w:r>
          </w:hyperlink>
        </w:p>
        <w:p w:rsidR="00656872" w:rsidRDefault="00D43D42" w14:paraId="1F1E2D7A" w14:textId="397CC50A">
          <w:pPr>
            <w:pStyle w:val="TOC2"/>
            <w:rPr>
              <w:rFonts w:eastAsiaTheme="minorEastAsia"/>
              <w:noProof/>
            </w:rPr>
          </w:pPr>
          <w:hyperlink w:history="1" w:anchor="_Toc6924087">
            <w:r w:rsidRPr="00AB737D" w:rsidR="00656872">
              <w:rPr>
                <w:rStyle w:val="Hyperlink"/>
                <w:noProof/>
              </w:rPr>
              <w:t>Literature Review</w:t>
            </w:r>
            <w:r w:rsidR="00656872">
              <w:rPr>
                <w:noProof/>
                <w:webHidden/>
              </w:rPr>
              <w:tab/>
            </w:r>
            <w:r w:rsidR="00656872">
              <w:rPr>
                <w:noProof/>
                <w:webHidden/>
              </w:rPr>
              <w:fldChar w:fldCharType="begin"/>
            </w:r>
            <w:r w:rsidR="00656872">
              <w:rPr>
                <w:noProof/>
                <w:webHidden/>
              </w:rPr>
              <w:instrText xml:space="preserve"> PAGEREF _Toc6924087 \h </w:instrText>
            </w:r>
            <w:r w:rsidR="00656872">
              <w:rPr>
                <w:noProof/>
                <w:webHidden/>
              </w:rPr>
            </w:r>
            <w:r w:rsidR="00656872">
              <w:rPr>
                <w:noProof/>
                <w:webHidden/>
              </w:rPr>
              <w:fldChar w:fldCharType="separate"/>
            </w:r>
            <w:r w:rsidR="00A700FD">
              <w:rPr>
                <w:noProof/>
                <w:webHidden/>
              </w:rPr>
              <w:t>8</w:t>
            </w:r>
            <w:r w:rsidR="00656872">
              <w:rPr>
                <w:noProof/>
                <w:webHidden/>
              </w:rPr>
              <w:fldChar w:fldCharType="end"/>
            </w:r>
          </w:hyperlink>
        </w:p>
        <w:p w:rsidR="00656872" w:rsidRDefault="00D43D42" w14:paraId="63C35BC3" w14:textId="79F8BE60">
          <w:pPr>
            <w:pStyle w:val="TOC2"/>
            <w:rPr>
              <w:rFonts w:eastAsiaTheme="minorEastAsia"/>
              <w:noProof/>
            </w:rPr>
          </w:pPr>
          <w:hyperlink w:history="1" w:anchor="_Toc6924088">
            <w:r w:rsidRPr="00AB737D" w:rsidR="00656872">
              <w:rPr>
                <w:rStyle w:val="Hyperlink"/>
                <w:noProof/>
              </w:rPr>
              <w:t>Justification for Exposure Assessments</w:t>
            </w:r>
            <w:r w:rsidR="00656872">
              <w:rPr>
                <w:noProof/>
                <w:webHidden/>
              </w:rPr>
              <w:tab/>
            </w:r>
            <w:r w:rsidR="00656872">
              <w:rPr>
                <w:noProof/>
                <w:webHidden/>
              </w:rPr>
              <w:fldChar w:fldCharType="begin"/>
            </w:r>
            <w:r w:rsidR="00656872">
              <w:rPr>
                <w:noProof/>
                <w:webHidden/>
              </w:rPr>
              <w:instrText xml:space="preserve"> PAGEREF _Toc6924088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D43D42" w14:paraId="58A43BC1" w14:textId="04826254">
          <w:pPr>
            <w:pStyle w:val="TOC2"/>
            <w:rPr>
              <w:rFonts w:eastAsiaTheme="minorEastAsia"/>
              <w:noProof/>
            </w:rPr>
          </w:pPr>
          <w:hyperlink w:history="1" w:anchor="_Toc6924089">
            <w:r w:rsidRPr="00AB737D" w:rsidR="00656872">
              <w:rPr>
                <w:rStyle w:val="Hyperlink"/>
                <w:i/>
                <w:noProof/>
              </w:rPr>
              <w:t>Limitations of the Investigation</w:t>
            </w:r>
            <w:r w:rsidR="00656872">
              <w:rPr>
                <w:noProof/>
                <w:webHidden/>
              </w:rPr>
              <w:tab/>
            </w:r>
            <w:r w:rsidR="00656872">
              <w:rPr>
                <w:noProof/>
                <w:webHidden/>
              </w:rPr>
              <w:fldChar w:fldCharType="begin"/>
            </w:r>
            <w:r w:rsidR="00656872">
              <w:rPr>
                <w:noProof/>
                <w:webHidden/>
              </w:rPr>
              <w:instrText xml:space="preserve"> PAGEREF _Toc6924089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D43D42" w14:paraId="2F9534E1" w14:textId="7B2AACA2">
          <w:pPr>
            <w:pStyle w:val="TOC2"/>
            <w:rPr>
              <w:rFonts w:eastAsiaTheme="minorEastAsia"/>
              <w:noProof/>
            </w:rPr>
          </w:pPr>
          <w:hyperlink w:history="1" w:anchor="_Toc6924090">
            <w:r w:rsidRPr="00AB737D" w:rsidR="00656872">
              <w:rPr>
                <w:rStyle w:val="Hyperlink"/>
                <w:noProof/>
              </w:rPr>
              <w:t>Intended/Potential Use of Exposure Assessment Findings</w:t>
            </w:r>
            <w:r w:rsidR="00656872">
              <w:rPr>
                <w:noProof/>
                <w:webHidden/>
              </w:rPr>
              <w:tab/>
            </w:r>
            <w:r w:rsidR="00656872">
              <w:rPr>
                <w:noProof/>
                <w:webHidden/>
              </w:rPr>
              <w:fldChar w:fldCharType="begin"/>
            </w:r>
            <w:r w:rsidR="00656872">
              <w:rPr>
                <w:noProof/>
                <w:webHidden/>
              </w:rPr>
              <w:instrText xml:space="preserve"> PAGEREF _Toc6924090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D43D42" w14:paraId="0A1A6672" w14:textId="6543F848">
          <w:pPr>
            <w:pStyle w:val="TOC2"/>
            <w:rPr>
              <w:rFonts w:eastAsiaTheme="minorEastAsia"/>
              <w:noProof/>
            </w:rPr>
          </w:pPr>
          <w:hyperlink w:history="1" w:anchor="_Toc6924091">
            <w:r w:rsidRPr="00AB737D" w:rsidR="00656872">
              <w:rPr>
                <w:rStyle w:val="Hyperlink"/>
                <w:noProof/>
              </w:rPr>
              <w:t>Exposure Assessment Locations</w:t>
            </w:r>
            <w:r w:rsidR="00656872">
              <w:rPr>
                <w:noProof/>
                <w:webHidden/>
              </w:rPr>
              <w:tab/>
            </w:r>
            <w:r w:rsidR="00656872">
              <w:rPr>
                <w:noProof/>
                <w:webHidden/>
              </w:rPr>
              <w:fldChar w:fldCharType="begin"/>
            </w:r>
            <w:r w:rsidR="00656872">
              <w:rPr>
                <w:noProof/>
                <w:webHidden/>
              </w:rPr>
              <w:instrText xml:space="preserve"> PAGEREF _Toc6924091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D43D42" w14:paraId="31D8DA90" w14:textId="6111BC72">
          <w:pPr>
            <w:pStyle w:val="TOC3"/>
            <w:tabs>
              <w:tab w:val="right" w:leader="dot" w:pos="9350"/>
            </w:tabs>
            <w:rPr>
              <w:rFonts w:eastAsiaTheme="minorEastAsia"/>
              <w:noProof/>
            </w:rPr>
          </w:pPr>
          <w:hyperlink w:history="1" w:anchor="_Toc6924092">
            <w:r w:rsidRPr="00AB737D" w:rsidR="00656872">
              <w:rPr>
                <w:rStyle w:val="Hyperlink"/>
                <w:noProof/>
              </w:rPr>
              <w:t>Site-specific Community Engagement</w:t>
            </w:r>
            <w:r w:rsidR="00656872">
              <w:rPr>
                <w:noProof/>
                <w:webHidden/>
              </w:rPr>
              <w:tab/>
            </w:r>
            <w:r w:rsidR="00656872">
              <w:rPr>
                <w:noProof/>
                <w:webHidden/>
              </w:rPr>
              <w:fldChar w:fldCharType="begin"/>
            </w:r>
            <w:r w:rsidR="00656872">
              <w:rPr>
                <w:noProof/>
                <w:webHidden/>
              </w:rPr>
              <w:instrText xml:space="preserve"> PAGEREF _Toc6924092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D43D42" w14:paraId="67459429" w14:textId="45ED3198">
          <w:pPr>
            <w:pStyle w:val="TOC2"/>
            <w:rPr>
              <w:rFonts w:eastAsiaTheme="minorEastAsia"/>
              <w:noProof/>
            </w:rPr>
          </w:pPr>
          <w:hyperlink w:history="1" w:anchor="_Toc6924093">
            <w:r w:rsidRPr="00AB737D" w:rsidR="00656872">
              <w:rPr>
                <w:rStyle w:val="Hyperlink"/>
                <w:noProof/>
              </w:rPr>
              <w:t>Objectives</w:t>
            </w:r>
            <w:r w:rsidR="00656872">
              <w:rPr>
                <w:noProof/>
                <w:webHidden/>
              </w:rPr>
              <w:tab/>
            </w:r>
            <w:r w:rsidR="00656872">
              <w:rPr>
                <w:noProof/>
                <w:webHidden/>
              </w:rPr>
              <w:fldChar w:fldCharType="begin"/>
            </w:r>
            <w:r w:rsidR="00656872">
              <w:rPr>
                <w:noProof/>
                <w:webHidden/>
              </w:rPr>
              <w:instrText xml:space="preserve"> PAGEREF _Toc6924093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D43D42" w14:paraId="7351DE87" w14:textId="3840F01D">
          <w:pPr>
            <w:pStyle w:val="TOC1"/>
            <w:rPr>
              <w:rFonts w:eastAsiaTheme="minorEastAsia"/>
              <w:b w:val="0"/>
            </w:rPr>
          </w:pPr>
          <w:hyperlink w:history="1" w:anchor="_Toc6924094">
            <w:r w:rsidRPr="00AB737D" w:rsidR="00656872">
              <w:rPr>
                <w:rStyle w:val="Hyperlink"/>
              </w:rPr>
              <w:t>Procedures and Methods</w:t>
            </w:r>
            <w:r w:rsidR="00656872">
              <w:rPr>
                <w:webHidden/>
              </w:rPr>
              <w:tab/>
            </w:r>
            <w:r w:rsidR="00656872">
              <w:rPr>
                <w:webHidden/>
              </w:rPr>
              <w:fldChar w:fldCharType="begin"/>
            </w:r>
            <w:r w:rsidR="00656872">
              <w:rPr>
                <w:webHidden/>
              </w:rPr>
              <w:instrText xml:space="preserve"> PAGEREF _Toc6924094 \h </w:instrText>
            </w:r>
            <w:r w:rsidR="00656872">
              <w:rPr>
                <w:webHidden/>
              </w:rPr>
            </w:r>
            <w:r w:rsidR="00656872">
              <w:rPr>
                <w:webHidden/>
              </w:rPr>
              <w:fldChar w:fldCharType="separate"/>
            </w:r>
            <w:r w:rsidR="00A700FD">
              <w:rPr>
                <w:webHidden/>
              </w:rPr>
              <w:t>16</w:t>
            </w:r>
            <w:r w:rsidR="00656872">
              <w:rPr>
                <w:webHidden/>
              </w:rPr>
              <w:fldChar w:fldCharType="end"/>
            </w:r>
          </w:hyperlink>
        </w:p>
        <w:p w:rsidR="00656872" w:rsidRDefault="00D43D42" w14:paraId="26D2E7FE" w14:textId="7F1F9D87">
          <w:pPr>
            <w:pStyle w:val="TOC2"/>
            <w:rPr>
              <w:rFonts w:eastAsiaTheme="minorEastAsia"/>
              <w:noProof/>
            </w:rPr>
          </w:pPr>
          <w:hyperlink w:history="1" w:anchor="_Toc6924095">
            <w:r w:rsidRPr="00AB737D" w:rsidR="00656872">
              <w:rPr>
                <w:rStyle w:val="Hyperlink"/>
                <w:noProof/>
              </w:rPr>
              <w:t>Sampling Strategy</w:t>
            </w:r>
            <w:r w:rsidR="00656872">
              <w:rPr>
                <w:noProof/>
                <w:webHidden/>
              </w:rPr>
              <w:tab/>
            </w:r>
            <w:r w:rsidR="00656872">
              <w:rPr>
                <w:noProof/>
                <w:webHidden/>
              </w:rPr>
              <w:fldChar w:fldCharType="begin"/>
            </w:r>
            <w:r w:rsidR="00656872">
              <w:rPr>
                <w:noProof/>
                <w:webHidden/>
              </w:rPr>
              <w:instrText xml:space="preserve"> PAGEREF _Toc6924095 \h </w:instrText>
            </w:r>
            <w:r w:rsidR="00656872">
              <w:rPr>
                <w:noProof/>
                <w:webHidden/>
              </w:rPr>
            </w:r>
            <w:r w:rsidR="00656872">
              <w:rPr>
                <w:noProof/>
                <w:webHidden/>
              </w:rPr>
              <w:fldChar w:fldCharType="separate"/>
            </w:r>
            <w:r w:rsidR="00A700FD">
              <w:rPr>
                <w:noProof/>
                <w:webHidden/>
              </w:rPr>
              <w:t>16</w:t>
            </w:r>
            <w:r w:rsidR="00656872">
              <w:rPr>
                <w:noProof/>
                <w:webHidden/>
              </w:rPr>
              <w:fldChar w:fldCharType="end"/>
            </w:r>
          </w:hyperlink>
        </w:p>
        <w:p w:rsidR="00656872" w:rsidRDefault="00D43D42" w14:paraId="041AB400" w14:textId="2BA948BB">
          <w:pPr>
            <w:pStyle w:val="TOC2"/>
            <w:rPr>
              <w:rFonts w:eastAsiaTheme="minorEastAsia"/>
              <w:noProof/>
            </w:rPr>
          </w:pPr>
          <w:hyperlink w:history="1" w:anchor="_Toc6924096">
            <w:r w:rsidRPr="00AB737D" w:rsidR="00656872">
              <w:rPr>
                <w:rStyle w:val="Hyperlink"/>
                <w:noProof/>
              </w:rPr>
              <w:t>Biological Sampling Eligibility Criteria and Recruitment</w:t>
            </w:r>
            <w:r w:rsidR="00656872">
              <w:rPr>
                <w:noProof/>
                <w:webHidden/>
              </w:rPr>
              <w:tab/>
            </w:r>
            <w:r w:rsidR="00656872">
              <w:rPr>
                <w:noProof/>
                <w:webHidden/>
              </w:rPr>
              <w:fldChar w:fldCharType="begin"/>
            </w:r>
            <w:r w:rsidR="00656872">
              <w:rPr>
                <w:noProof/>
                <w:webHidden/>
              </w:rPr>
              <w:instrText xml:space="preserve"> PAGEREF _Toc6924096 \h </w:instrText>
            </w:r>
            <w:r w:rsidR="00656872">
              <w:rPr>
                <w:noProof/>
                <w:webHidden/>
              </w:rPr>
            </w:r>
            <w:r w:rsidR="00656872">
              <w:rPr>
                <w:noProof/>
                <w:webHidden/>
              </w:rPr>
              <w:fldChar w:fldCharType="separate"/>
            </w:r>
            <w:r w:rsidR="00A700FD">
              <w:rPr>
                <w:noProof/>
                <w:webHidden/>
              </w:rPr>
              <w:t>19</w:t>
            </w:r>
            <w:r w:rsidR="00656872">
              <w:rPr>
                <w:noProof/>
                <w:webHidden/>
              </w:rPr>
              <w:fldChar w:fldCharType="end"/>
            </w:r>
          </w:hyperlink>
        </w:p>
        <w:p w:rsidR="00656872" w:rsidRDefault="00D43D42" w14:paraId="0F78045F" w14:textId="0620B151">
          <w:pPr>
            <w:pStyle w:val="TOC2"/>
            <w:rPr>
              <w:rFonts w:eastAsiaTheme="minorEastAsia"/>
              <w:noProof/>
            </w:rPr>
          </w:pPr>
          <w:hyperlink w:history="1" w:anchor="_Toc6924097">
            <w:r w:rsidRPr="00AB737D" w:rsidR="00656872">
              <w:rPr>
                <w:rStyle w:val="Hyperlink"/>
                <w:noProof/>
              </w:rPr>
              <w:t>Environmental Sampling Eligibility and Recruitment</w:t>
            </w:r>
            <w:r w:rsidR="00656872">
              <w:rPr>
                <w:noProof/>
                <w:webHidden/>
              </w:rPr>
              <w:tab/>
            </w:r>
            <w:r w:rsidR="00656872">
              <w:rPr>
                <w:noProof/>
                <w:webHidden/>
              </w:rPr>
              <w:fldChar w:fldCharType="begin"/>
            </w:r>
            <w:r w:rsidR="00656872">
              <w:rPr>
                <w:noProof/>
                <w:webHidden/>
              </w:rPr>
              <w:instrText xml:space="preserve"> PAGEREF _Toc6924097 \h </w:instrText>
            </w:r>
            <w:r w:rsidR="00656872">
              <w:rPr>
                <w:noProof/>
                <w:webHidden/>
              </w:rPr>
            </w:r>
            <w:r w:rsidR="00656872">
              <w:rPr>
                <w:noProof/>
                <w:webHidden/>
              </w:rPr>
              <w:fldChar w:fldCharType="separate"/>
            </w:r>
            <w:r w:rsidR="00A700FD">
              <w:rPr>
                <w:noProof/>
                <w:webHidden/>
              </w:rPr>
              <w:t>20</w:t>
            </w:r>
            <w:r w:rsidR="00656872">
              <w:rPr>
                <w:noProof/>
                <w:webHidden/>
              </w:rPr>
              <w:fldChar w:fldCharType="end"/>
            </w:r>
          </w:hyperlink>
        </w:p>
        <w:p w:rsidR="00656872" w:rsidRDefault="00D43D42" w14:paraId="0A4C75F9" w14:textId="464C2370">
          <w:pPr>
            <w:pStyle w:val="TOC2"/>
            <w:rPr>
              <w:rFonts w:eastAsiaTheme="minorEastAsia"/>
              <w:noProof/>
            </w:rPr>
          </w:pPr>
          <w:hyperlink w:history="1" w:anchor="_Toc6924098">
            <w:r w:rsidRPr="00AB737D" w:rsidR="00656872">
              <w:rPr>
                <w:rStyle w:val="Hyperlink"/>
                <w:noProof/>
              </w:rPr>
              <w:t>Sample Collection Procedures</w:t>
            </w:r>
            <w:r w:rsidR="00656872">
              <w:rPr>
                <w:noProof/>
                <w:webHidden/>
              </w:rPr>
              <w:tab/>
            </w:r>
            <w:r w:rsidR="00656872">
              <w:rPr>
                <w:noProof/>
                <w:webHidden/>
              </w:rPr>
              <w:fldChar w:fldCharType="begin"/>
            </w:r>
            <w:r w:rsidR="00656872">
              <w:rPr>
                <w:noProof/>
                <w:webHidden/>
              </w:rPr>
              <w:instrText xml:space="preserve"> PAGEREF _Toc6924098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D43D42" w14:paraId="3256938C" w14:textId="7352902F">
          <w:pPr>
            <w:pStyle w:val="TOC3"/>
            <w:tabs>
              <w:tab w:val="right" w:leader="dot" w:pos="9350"/>
            </w:tabs>
            <w:rPr>
              <w:rFonts w:eastAsiaTheme="minorEastAsia"/>
              <w:noProof/>
            </w:rPr>
          </w:pPr>
          <w:hyperlink w:history="1" w:anchor="_Toc6924099">
            <w:r w:rsidRPr="00AB737D" w:rsidR="00656872">
              <w:rPr>
                <w:rStyle w:val="Hyperlink"/>
                <w:noProof/>
              </w:rPr>
              <w:t>Informed Consent/Assent</w:t>
            </w:r>
            <w:r w:rsidR="00656872">
              <w:rPr>
                <w:noProof/>
                <w:webHidden/>
              </w:rPr>
              <w:tab/>
            </w:r>
            <w:r w:rsidR="00656872">
              <w:rPr>
                <w:noProof/>
                <w:webHidden/>
              </w:rPr>
              <w:fldChar w:fldCharType="begin"/>
            </w:r>
            <w:r w:rsidR="00656872">
              <w:rPr>
                <w:noProof/>
                <w:webHidden/>
              </w:rPr>
              <w:instrText xml:space="preserve"> PAGEREF _Toc6924099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D43D42" w14:paraId="3E671D47" w14:textId="4B1B2275">
          <w:pPr>
            <w:pStyle w:val="TOC3"/>
            <w:tabs>
              <w:tab w:val="right" w:leader="dot" w:pos="9350"/>
            </w:tabs>
            <w:rPr>
              <w:rFonts w:eastAsiaTheme="minorEastAsia"/>
              <w:noProof/>
            </w:rPr>
          </w:pPr>
          <w:hyperlink w:history="1" w:anchor="_Toc6924100">
            <w:r w:rsidRPr="00AB737D" w:rsidR="00656872">
              <w:rPr>
                <w:rStyle w:val="Hyperlink"/>
                <w:noProof/>
              </w:rPr>
              <w:t>Blood Sampling</w:t>
            </w:r>
            <w:r w:rsidR="00656872">
              <w:rPr>
                <w:noProof/>
                <w:webHidden/>
              </w:rPr>
              <w:tab/>
            </w:r>
            <w:r w:rsidR="00656872">
              <w:rPr>
                <w:noProof/>
                <w:webHidden/>
              </w:rPr>
              <w:fldChar w:fldCharType="begin"/>
            </w:r>
            <w:r w:rsidR="00656872">
              <w:rPr>
                <w:noProof/>
                <w:webHidden/>
              </w:rPr>
              <w:instrText xml:space="preserve"> PAGEREF _Toc6924100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D43D42" w14:paraId="14DB0835" w14:textId="2BFBA97F">
          <w:pPr>
            <w:pStyle w:val="TOC3"/>
            <w:tabs>
              <w:tab w:val="right" w:leader="dot" w:pos="9350"/>
            </w:tabs>
            <w:rPr>
              <w:rFonts w:eastAsiaTheme="minorEastAsia"/>
              <w:noProof/>
            </w:rPr>
          </w:pPr>
          <w:hyperlink w:history="1" w:anchor="_Toc6924101">
            <w:r w:rsidRPr="00AB737D" w:rsidR="00656872">
              <w:rPr>
                <w:rStyle w:val="Hyperlink"/>
                <w:noProof/>
              </w:rPr>
              <w:t>Urine Sampling</w:t>
            </w:r>
            <w:r w:rsidR="00656872">
              <w:rPr>
                <w:noProof/>
                <w:webHidden/>
              </w:rPr>
              <w:tab/>
            </w:r>
            <w:r w:rsidR="00656872">
              <w:rPr>
                <w:noProof/>
                <w:webHidden/>
              </w:rPr>
              <w:fldChar w:fldCharType="begin"/>
            </w:r>
            <w:r w:rsidR="00656872">
              <w:rPr>
                <w:noProof/>
                <w:webHidden/>
              </w:rPr>
              <w:instrText xml:space="preserve"> PAGEREF _Toc6924101 \h </w:instrText>
            </w:r>
            <w:r w:rsidR="00656872">
              <w:rPr>
                <w:noProof/>
                <w:webHidden/>
              </w:rPr>
            </w:r>
            <w:r w:rsidR="00656872">
              <w:rPr>
                <w:noProof/>
                <w:webHidden/>
              </w:rPr>
              <w:fldChar w:fldCharType="separate"/>
            </w:r>
            <w:r w:rsidR="00A700FD">
              <w:rPr>
                <w:noProof/>
                <w:webHidden/>
              </w:rPr>
              <w:t>25</w:t>
            </w:r>
            <w:r w:rsidR="00656872">
              <w:rPr>
                <w:noProof/>
                <w:webHidden/>
              </w:rPr>
              <w:fldChar w:fldCharType="end"/>
            </w:r>
          </w:hyperlink>
        </w:p>
        <w:p w:rsidR="00656872" w:rsidRDefault="00D43D42" w14:paraId="31D6A3CF" w14:textId="5B12D5D5">
          <w:pPr>
            <w:pStyle w:val="TOC3"/>
            <w:tabs>
              <w:tab w:val="right" w:leader="dot" w:pos="9350"/>
            </w:tabs>
            <w:rPr>
              <w:rFonts w:eastAsiaTheme="minorEastAsia"/>
              <w:noProof/>
            </w:rPr>
          </w:pPr>
          <w:hyperlink w:history="1" w:anchor="_Toc6924102">
            <w:r w:rsidRPr="00AB737D" w:rsidR="00656872">
              <w:rPr>
                <w:rStyle w:val="Hyperlink"/>
                <w:noProof/>
              </w:rPr>
              <w:t>Questionnaire</w:t>
            </w:r>
            <w:r w:rsidR="00656872">
              <w:rPr>
                <w:noProof/>
                <w:webHidden/>
              </w:rPr>
              <w:tab/>
            </w:r>
            <w:r w:rsidR="00656872">
              <w:rPr>
                <w:noProof/>
                <w:webHidden/>
              </w:rPr>
              <w:fldChar w:fldCharType="begin"/>
            </w:r>
            <w:r w:rsidR="00656872">
              <w:rPr>
                <w:noProof/>
                <w:webHidden/>
              </w:rPr>
              <w:instrText xml:space="preserve"> PAGEREF _Toc6924102 \h </w:instrText>
            </w:r>
            <w:r w:rsidR="00656872">
              <w:rPr>
                <w:noProof/>
                <w:webHidden/>
              </w:rPr>
            </w:r>
            <w:r w:rsidR="00656872">
              <w:rPr>
                <w:noProof/>
                <w:webHidden/>
              </w:rPr>
              <w:fldChar w:fldCharType="separate"/>
            </w:r>
            <w:r w:rsidR="00A700FD">
              <w:rPr>
                <w:noProof/>
                <w:webHidden/>
              </w:rPr>
              <w:t>26</w:t>
            </w:r>
            <w:r w:rsidR="00656872">
              <w:rPr>
                <w:noProof/>
                <w:webHidden/>
              </w:rPr>
              <w:fldChar w:fldCharType="end"/>
            </w:r>
          </w:hyperlink>
        </w:p>
        <w:p w:rsidR="00656872" w:rsidRDefault="00D43D42" w14:paraId="12570BC7" w14:textId="35ED50C1">
          <w:pPr>
            <w:pStyle w:val="TOC3"/>
            <w:tabs>
              <w:tab w:val="right" w:leader="dot" w:pos="9350"/>
            </w:tabs>
            <w:rPr>
              <w:rFonts w:eastAsiaTheme="minorEastAsia"/>
              <w:noProof/>
            </w:rPr>
          </w:pPr>
          <w:hyperlink w:history="1" w:anchor="_Toc6924103">
            <w:r w:rsidRPr="00AB737D" w:rsidR="00656872">
              <w:rPr>
                <w:rStyle w:val="Hyperlink"/>
                <w:noProof/>
              </w:rPr>
              <w:t>Environmental Sample Collection Teams</w:t>
            </w:r>
            <w:r w:rsidR="00656872">
              <w:rPr>
                <w:noProof/>
                <w:webHidden/>
              </w:rPr>
              <w:tab/>
            </w:r>
            <w:r w:rsidR="00656872">
              <w:rPr>
                <w:noProof/>
                <w:webHidden/>
              </w:rPr>
              <w:fldChar w:fldCharType="begin"/>
            </w:r>
            <w:r w:rsidR="00656872">
              <w:rPr>
                <w:noProof/>
                <w:webHidden/>
              </w:rPr>
              <w:instrText xml:space="preserve"> PAGEREF _Toc6924103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D43D42" w14:paraId="306B8106" w14:textId="7774F369">
          <w:pPr>
            <w:pStyle w:val="TOC3"/>
            <w:tabs>
              <w:tab w:val="right" w:leader="dot" w:pos="9350"/>
            </w:tabs>
            <w:rPr>
              <w:rFonts w:eastAsiaTheme="minorEastAsia"/>
              <w:noProof/>
            </w:rPr>
          </w:pPr>
          <w:hyperlink w:history="1" w:anchor="_Toc6924104">
            <w:r w:rsidRPr="00AB737D" w:rsidR="00656872">
              <w:rPr>
                <w:rStyle w:val="Hyperlink"/>
                <w:noProof/>
              </w:rPr>
              <w:t>Drinking Water Sampling</w:t>
            </w:r>
            <w:r w:rsidR="00656872">
              <w:rPr>
                <w:noProof/>
                <w:webHidden/>
              </w:rPr>
              <w:tab/>
            </w:r>
            <w:r w:rsidR="00656872">
              <w:rPr>
                <w:noProof/>
                <w:webHidden/>
              </w:rPr>
              <w:fldChar w:fldCharType="begin"/>
            </w:r>
            <w:r w:rsidR="00656872">
              <w:rPr>
                <w:noProof/>
                <w:webHidden/>
              </w:rPr>
              <w:instrText xml:space="preserve"> PAGEREF _Toc6924104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D43D42" w14:paraId="274191B5" w14:textId="0407D22D">
          <w:pPr>
            <w:pStyle w:val="TOC3"/>
            <w:tabs>
              <w:tab w:val="right" w:leader="dot" w:pos="9350"/>
            </w:tabs>
            <w:rPr>
              <w:rFonts w:eastAsiaTheme="minorEastAsia"/>
              <w:noProof/>
            </w:rPr>
          </w:pPr>
          <w:hyperlink w:history="1" w:anchor="_Toc6924105">
            <w:r w:rsidRPr="00AB737D" w:rsidR="00656872">
              <w:rPr>
                <w:rStyle w:val="Hyperlink"/>
                <w:noProof/>
              </w:rPr>
              <w:t>Indoor Dust Sampling</w:t>
            </w:r>
            <w:r w:rsidR="00656872">
              <w:rPr>
                <w:noProof/>
                <w:webHidden/>
              </w:rPr>
              <w:tab/>
            </w:r>
            <w:r w:rsidR="00656872">
              <w:rPr>
                <w:noProof/>
                <w:webHidden/>
              </w:rPr>
              <w:fldChar w:fldCharType="begin"/>
            </w:r>
            <w:r w:rsidR="00656872">
              <w:rPr>
                <w:noProof/>
                <w:webHidden/>
              </w:rPr>
              <w:instrText xml:space="preserve"> PAGEREF _Toc6924105 \h </w:instrText>
            </w:r>
            <w:r w:rsidR="00656872">
              <w:rPr>
                <w:noProof/>
                <w:webHidden/>
              </w:rPr>
            </w:r>
            <w:r w:rsidR="00656872">
              <w:rPr>
                <w:noProof/>
                <w:webHidden/>
              </w:rPr>
              <w:fldChar w:fldCharType="separate"/>
            </w:r>
            <w:r w:rsidR="00A700FD">
              <w:rPr>
                <w:noProof/>
                <w:webHidden/>
              </w:rPr>
              <w:t>29</w:t>
            </w:r>
            <w:r w:rsidR="00656872">
              <w:rPr>
                <w:noProof/>
                <w:webHidden/>
              </w:rPr>
              <w:fldChar w:fldCharType="end"/>
            </w:r>
          </w:hyperlink>
        </w:p>
        <w:p w:rsidR="00656872" w:rsidRDefault="00D43D42" w14:paraId="197F8E05" w14:textId="373755E2">
          <w:pPr>
            <w:pStyle w:val="TOC2"/>
            <w:rPr>
              <w:rFonts w:eastAsiaTheme="minorEastAsia"/>
              <w:noProof/>
            </w:rPr>
          </w:pPr>
          <w:hyperlink w:history="1" w:anchor="_Toc6924106">
            <w:r w:rsidRPr="00AB737D" w:rsidR="00656872">
              <w:rPr>
                <w:rStyle w:val="Hyperlink"/>
                <w:noProof/>
              </w:rPr>
              <w:t>Anticipated Risks and Benefits</w:t>
            </w:r>
            <w:r w:rsidR="00656872">
              <w:rPr>
                <w:noProof/>
                <w:webHidden/>
              </w:rPr>
              <w:tab/>
            </w:r>
            <w:r w:rsidR="00656872">
              <w:rPr>
                <w:noProof/>
                <w:webHidden/>
              </w:rPr>
              <w:fldChar w:fldCharType="begin"/>
            </w:r>
            <w:r w:rsidR="00656872">
              <w:rPr>
                <w:noProof/>
                <w:webHidden/>
              </w:rPr>
              <w:instrText xml:space="preserve"> PAGEREF _Toc6924106 \h </w:instrText>
            </w:r>
            <w:r w:rsidR="00656872">
              <w:rPr>
                <w:noProof/>
                <w:webHidden/>
              </w:rPr>
            </w:r>
            <w:r w:rsidR="00656872">
              <w:rPr>
                <w:noProof/>
                <w:webHidden/>
              </w:rPr>
              <w:fldChar w:fldCharType="separate"/>
            </w:r>
            <w:r w:rsidR="00A700FD">
              <w:rPr>
                <w:noProof/>
                <w:webHidden/>
              </w:rPr>
              <w:t>31</w:t>
            </w:r>
            <w:r w:rsidR="00656872">
              <w:rPr>
                <w:noProof/>
                <w:webHidden/>
              </w:rPr>
              <w:fldChar w:fldCharType="end"/>
            </w:r>
          </w:hyperlink>
        </w:p>
        <w:p w:rsidR="00656872" w:rsidRDefault="00D43D42" w14:paraId="4D78114F" w14:textId="6D4B52A6">
          <w:pPr>
            <w:pStyle w:val="TOC2"/>
            <w:rPr>
              <w:rFonts w:eastAsiaTheme="minorEastAsia"/>
              <w:noProof/>
            </w:rPr>
          </w:pPr>
          <w:hyperlink w:history="1" w:anchor="_Toc6924107">
            <w:r w:rsidRPr="00AB737D" w:rsidR="00656872">
              <w:rPr>
                <w:rStyle w:val="Hyperlink"/>
                <w:noProof/>
              </w:rPr>
              <w:t>Privacy Protections</w:t>
            </w:r>
            <w:r w:rsidR="00656872">
              <w:rPr>
                <w:noProof/>
                <w:webHidden/>
              </w:rPr>
              <w:tab/>
            </w:r>
            <w:r w:rsidR="00656872">
              <w:rPr>
                <w:noProof/>
                <w:webHidden/>
              </w:rPr>
              <w:fldChar w:fldCharType="begin"/>
            </w:r>
            <w:r w:rsidR="00656872">
              <w:rPr>
                <w:noProof/>
                <w:webHidden/>
              </w:rPr>
              <w:instrText xml:space="preserve"> PAGEREF _Toc6924107 \h </w:instrText>
            </w:r>
            <w:r w:rsidR="00656872">
              <w:rPr>
                <w:noProof/>
                <w:webHidden/>
              </w:rPr>
            </w:r>
            <w:r w:rsidR="00656872">
              <w:rPr>
                <w:noProof/>
                <w:webHidden/>
              </w:rPr>
              <w:fldChar w:fldCharType="separate"/>
            </w:r>
            <w:r w:rsidR="00A700FD">
              <w:rPr>
                <w:noProof/>
                <w:webHidden/>
              </w:rPr>
              <w:t>32</w:t>
            </w:r>
            <w:r w:rsidR="00656872">
              <w:rPr>
                <w:noProof/>
                <w:webHidden/>
              </w:rPr>
              <w:fldChar w:fldCharType="end"/>
            </w:r>
          </w:hyperlink>
        </w:p>
        <w:p w:rsidR="00656872" w:rsidRDefault="00D43D42" w14:paraId="123CE615" w14:textId="4B4CABC5">
          <w:pPr>
            <w:pStyle w:val="TOC2"/>
            <w:rPr>
              <w:rFonts w:eastAsiaTheme="minorEastAsia"/>
              <w:noProof/>
            </w:rPr>
          </w:pPr>
          <w:hyperlink w:history="1" w:anchor="_Toc6924108">
            <w:r w:rsidRPr="00AB737D" w:rsidR="00656872">
              <w:rPr>
                <w:rStyle w:val="Hyperlink"/>
                <w:noProof/>
              </w:rPr>
              <w:t>Data Handling and Analysis</w:t>
            </w:r>
            <w:r w:rsidR="00656872">
              <w:rPr>
                <w:noProof/>
                <w:webHidden/>
              </w:rPr>
              <w:tab/>
            </w:r>
            <w:r w:rsidR="00656872">
              <w:rPr>
                <w:noProof/>
                <w:webHidden/>
              </w:rPr>
              <w:fldChar w:fldCharType="begin"/>
            </w:r>
            <w:r w:rsidR="00656872">
              <w:rPr>
                <w:noProof/>
                <w:webHidden/>
              </w:rPr>
              <w:instrText xml:space="preserve"> PAGEREF _Toc6924108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D43D42" w14:paraId="45537A10" w14:textId="52BF6724">
          <w:pPr>
            <w:pStyle w:val="TOC3"/>
            <w:tabs>
              <w:tab w:val="right" w:leader="dot" w:pos="9350"/>
            </w:tabs>
            <w:rPr>
              <w:rFonts w:eastAsiaTheme="minorEastAsia"/>
              <w:noProof/>
            </w:rPr>
          </w:pPr>
          <w:hyperlink w:history="1" w:anchor="_Toc6924109">
            <w:r w:rsidRPr="00AB737D" w:rsidR="00656872">
              <w:rPr>
                <w:rStyle w:val="Hyperlink"/>
                <w:noProof/>
              </w:rPr>
              <w:t>Data Handling</w:t>
            </w:r>
            <w:r w:rsidR="00656872">
              <w:rPr>
                <w:noProof/>
                <w:webHidden/>
              </w:rPr>
              <w:tab/>
            </w:r>
            <w:r w:rsidR="00656872">
              <w:rPr>
                <w:noProof/>
                <w:webHidden/>
              </w:rPr>
              <w:fldChar w:fldCharType="begin"/>
            </w:r>
            <w:r w:rsidR="00656872">
              <w:rPr>
                <w:noProof/>
                <w:webHidden/>
              </w:rPr>
              <w:instrText xml:space="preserve"> PAGEREF _Toc6924109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D43D42" w14:paraId="2E7E87C3" w14:textId="23257563">
          <w:pPr>
            <w:pStyle w:val="TOC3"/>
            <w:tabs>
              <w:tab w:val="right" w:leader="dot" w:pos="9350"/>
            </w:tabs>
            <w:rPr>
              <w:rFonts w:eastAsiaTheme="minorEastAsia"/>
              <w:noProof/>
            </w:rPr>
          </w:pPr>
          <w:hyperlink w:history="1" w:anchor="_Toc6924110">
            <w:r w:rsidRPr="00AB737D" w:rsidR="00656872">
              <w:rPr>
                <w:rStyle w:val="Hyperlink"/>
                <w:noProof/>
              </w:rPr>
              <w:t>Statistical Analysis of Serum and Urine Data from Individual Participants</w:t>
            </w:r>
            <w:r w:rsidR="00656872">
              <w:rPr>
                <w:noProof/>
                <w:webHidden/>
              </w:rPr>
              <w:tab/>
            </w:r>
            <w:r w:rsidR="00656872">
              <w:rPr>
                <w:noProof/>
                <w:webHidden/>
              </w:rPr>
              <w:fldChar w:fldCharType="begin"/>
            </w:r>
            <w:r w:rsidR="00656872">
              <w:rPr>
                <w:noProof/>
                <w:webHidden/>
              </w:rPr>
              <w:instrText xml:space="preserve"> PAGEREF _Toc6924110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D43D42" w14:paraId="472B1669" w14:textId="5D8FD7A3">
          <w:pPr>
            <w:pStyle w:val="TOC3"/>
            <w:tabs>
              <w:tab w:val="right" w:leader="dot" w:pos="9350"/>
            </w:tabs>
            <w:rPr>
              <w:rFonts w:eastAsiaTheme="minorEastAsia"/>
              <w:noProof/>
            </w:rPr>
          </w:pPr>
          <w:hyperlink w:history="1" w:anchor="_Toc6924111">
            <w:r w:rsidRPr="00AB737D" w:rsidR="00656872">
              <w:rPr>
                <w:rStyle w:val="Hyperlink"/>
                <w:noProof/>
              </w:rPr>
              <w:t>Statistical Analysis of Aggregate Data</w:t>
            </w:r>
            <w:r w:rsidR="00656872">
              <w:rPr>
                <w:noProof/>
                <w:webHidden/>
              </w:rPr>
              <w:tab/>
            </w:r>
            <w:r w:rsidR="00656872">
              <w:rPr>
                <w:noProof/>
                <w:webHidden/>
              </w:rPr>
              <w:fldChar w:fldCharType="begin"/>
            </w:r>
            <w:r w:rsidR="00656872">
              <w:rPr>
                <w:noProof/>
                <w:webHidden/>
              </w:rPr>
              <w:instrText xml:space="preserve"> PAGEREF _Toc6924111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D43D42" w14:paraId="5B079A6D" w14:textId="6B37397E">
          <w:pPr>
            <w:pStyle w:val="TOC3"/>
            <w:tabs>
              <w:tab w:val="right" w:leader="dot" w:pos="9350"/>
            </w:tabs>
            <w:rPr>
              <w:rFonts w:eastAsiaTheme="minorEastAsia"/>
              <w:noProof/>
            </w:rPr>
          </w:pPr>
          <w:hyperlink w:history="1" w:anchor="_Toc6924112">
            <w:r w:rsidRPr="00AB737D" w:rsidR="00656872">
              <w:rPr>
                <w:rStyle w:val="Hyperlink"/>
                <w:noProof/>
              </w:rPr>
              <w:t>Environmental Data</w:t>
            </w:r>
            <w:r w:rsidR="00656872">
              <w:rPr>
                <w:noProof/>
                <w:webHidden/>
              </w:rPr>
              <w:tab/>
            </w:r>
            <w:r w:rsidR="00656872">
              <w:rPr>
                <w:noProof/>
                <w:webHidden/>
              </w:rPr>
              <w:fldChar w:fldCharType="begin"/>
            </w:r>
            <w:r w:rsidR="00656872">
              <w:rPr>
                <w:noProof/>
                <w:webHidden/>
              </w:rPr>
              <w:instrText xml:space="preserve"> PAGEREF _Toc6924112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D43D42" w14:paraId="4DBC3119" w14:textId="534C33AC">
          <w:pPr>
            <w:pStyle w:val="TOC3"/>
            <w:tabs>
              <w:tab w:val="right" w:leader="dot" w:pos="9350"/>
            </w:tabs>
            <w:rPr>
              <w:rFonts w:eastAsiaTheme="minorEastAsia"/>
              <w:noProof/>
            </w:rPr>
          </w:pPr>
          <w:hyperlink w:history="1" w:anchor="_Toc6924113">
            <w:r w:rsidRPr="00AB737D" w:rsidR="00656872">
              <w:rPr>
                <w:rStyle w:val="Hyperlink"/>
                <w:noProof/>
              </w:rPr>
              <w:t>Anticipated Products</w:t>
            </w:r>
            <w:r w:rsidR="00656872">
              <w:rPr>
                <w:noProof/>
                <w:webHidden/>
              </w:rPr>
              <w:tab/>
            </w:r>
            <w:r w:rsidR="00656872">
              <w:rPr>
                <w:noProof/>
                <w:webHidden/>
              </w:rPr>
              <w:fldChar w:fldCharType="begin"/>
            </w:r>
            <w:r w:rsidR="00656872">
              <w:rPr>
                <w:noProof/>
                <w:webHidden/>
              </w:rPr>
              <w:instrText xml:space="preserve"> PAGEREF _Toc6924113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D43D42" w14:paraId="47B45C55" w14:textId="3522DB94">
          <w:pPr>
            <w:pStyle w:val="TOC1"/>
            <w:rPr>
              <w:rFonts w:eastAsiaTheme="minorEastAsia"/>
              <w:b w:val="0"/>
            </w:rPr>
          </w:pPr>
          <w:hyperlink w:history="1" w:anchor="_Toc6924114">
            <w:r w:rsidRPr="00AB737D" w:rsidR="00656872">
              <w:rPr>
                <w:rStyle w:val="Hyperlink"/>
              </w:rPr>
              <w:t>References</w:t>
            </w:r>
            <w:r w:rsidR="00656872">
              <w:rPr>
                <w:webHidden/>
              </w:rPr>
              <w:tab/>
            </w:r>
            <w:r w:rsidR="00656872">
              <w:rPr>
                <w:webHidden/>
              </w:rPr>
              <w:fldChar w:fldCharType="begin"/>
            </w:r>
            <w:r w:rsidR="00656872">
              <w:rPr>
                <w:webHidden/>
              </w:rPr>
              <w:instrText xml:space="preserve"> PAGEREF _Toc6924114 \h </w:instrText>
            </w:r>
            <w:r w:rsidR="00656872">
              <w:rPr>
                <w:webHidden/>
              </w:rPr>
            </w:r>
            <w:r w:rsidR="00656872">
              <w:rPr>
                <w:webHidden/>
              </w:rPr>
              <w:fldChar w:fldCharType="separate"/>
            </w:r>
            <w:r w:rsidR="00A700FD">
              <w:rPr>
                <w:webHidden/>
              </w:rPr>
              <w:t>36</w:t>
            </w:r>
            <w:r w:rsidR="00656872">
              <w:rPr>
                <w:webHidden/>
              </w:rPr>
              <w:fldChar w:fldCharType="end"/>
            </w:r>
          </w:hyperlink>
        </w:p>
        <w:p w:rsidR="00656872" w:rsidRDefault="00D43D42" w14:paraId="6D46F0F5" w14:textId="31B01C2E">
          <w:pPr>
            <w:pStyle w:val="TOC1"/>
            <w:rPr>
              <w:rFonts w:eastAsiaTheme="minorEastAsia"/>
              <w:b w:val="0"/>
            </w:rPr>
          </w:pPr>
          <w:hyperlink w:history="1" w:anchor="_Toc6924115">
            <w:r w:rsidRPr="00AB737D" w:rsidR="00656872">
              <w:rPr>
                <w:rStyle w:val="Hyperlink"/>
              </w:rPr>
              <w:t>Appendix A: Community Event Evaluation Survey, Recruitment Letter and Phone Script</w:t>
            </w:r>
            <w:r w:rsidR="00656872">
              <w:rPr>
                <w:webHidden/>
              </w:rPr>
              <w:tab/>
            </w:r>
            <w:r w:rsidR="00656872">
              <w:rPr>
                <w:webHidden/>
              </w:rPr>
              <w:fldChar w:fldCharType="begin"/>
            </w:r>
            <w:r w:rsidR="00656872">
              <w:rPr>
                <w:webHidden/>
              </w:rPr>
              <w:instrText xml:space="preserve"> PAGEREF _Toc6924115 \h </w:instrText>
            </w:r>
            <w:r w:rsidR="00656872">
              <w:rPr>
                <w:webHidden/>
              </w:rPr>
            </w:r>
            <w:r w:rsidR="00656872">
              <w:rPr>
                <w:webHidden/>
              </w:rPr>
              <w:fldChar w:fldCharType="separate"/>
            </w:r>
            <w:r w:rsidR="00A700FD">
              <w:rPr>
                <w:webHidden/>
              </w:rPr>
              <w:t>44</w:t>
            </w:r>
            <w:r w:rsidR="00656872">
              <w:rPr>
                <w:webHidden/>
              </w:rPr>
              <w:fldChar w:fldCharType="end"/>
            </w:r>
          </w:hyperlink>
        </w:p>
        <w:p w:rsidR="00656872" w:rsidRDefault="00D43D42" w14:paraId="5596DD2A" w14:textId="1AC454E0">
          <w:pPr>
            <w:pStyle w:val="TOC1"/>
            <w:rPr>
              <w:rFonts w:eastAsiaTheme="minorEastAsia"/>
              <w:b w:val="0"/>
            </w:rPr>
          </w:pPr>
          <w:hyperlink w:history="1" w:anchor="_Toc6924116">
            <w:r w:rsidRPr="00AB737D" w:rsidR="00656872">
              <w:rPr>
                <w:rStyle w:val="Hyperlink"/>
              </w:rPr>
              <w:t>Appendix B: Privacy Act Statement, Consent, Parental Permission and Assent Forms, and Biological Testing Tracking Form</w:t>
            </w:r>
            <w:r w:rsidR="00656872">
              <w:rPr>
                <w:webHidden/>
              </w:rPr>
              <w:tab/>
            </w:r>
            <w:r w:rsidR="00656872">
              <w:rPr>
                <w:webHidden/>
              </w:rPr>
              <w:fldChar w:fldCharType="begin"/>
            </w:r>
            <w:r w:rsidR="00656872">
              <w:rPr>
                <w:webHidden/>
              </w:rPr>
              <w:instrText xml:space="preserve"> PAGEREF _Toc6924116 \h </w:instrText>
            </w:r>
            <w:r w:rsidR="00656872">
              <w:rPr>
                <w:webHidden/>
              </w:rPr>
            </w:r>
            <w:r w:rsidR="00656872">
              <w:rPr>
                <w:webHidden/>
              </w:rPr>
              <w:fldChar w:fldCharType="separate"/>
            </w:r>
            <w:r w:rsidR="00A700FD">
              <w:rPr>
                <w:webHidden/>
              </w:rPr>
              <w:t>56</w:t>
            </w:r>
            <w:r w:rsidR="00656872">
              <w:rPr>
                <w:webHidden/>
              </w:rPr>
              <w:fldChar w:fldCharType="end"/>
            </w:r>
          </w:hyperlink>
        </w:p>
        <w:p w:rsidR="00656872" w:rsidRDefault="00D43D42" w14:paraId="17AF7F55" w14:textId="7C1C77F2">
          <w:pPr>
            <w:pStyle w:val="TOC1"/>
            <w:rPr>
              <w:rFonts w:eastAsiaTheme="minorEastAsia"/>
              <w:b w:val="0"/>
            </w:rPr>
          </w:pPr>
          <w:hyperlink w:history="1" w:anchor="_Toc6924117">
            <w:r w:rsidRPr="00AB737D" w:rsidR="00656872">
              <w:rPr>
                <w:rStyle w:val="Hyperlink"/>
              </w:rPr>
              <w:t>Appendix C: Sample Collection Logs</w:t>
            </w:r>
            <w:r w:rsidR="00656872">
              <w:rPr>
                <w:webHidden/>
              </w:rPr>
              <w:tab/>
            </w:r>
            <w:r w:rsidR="00656872">
              <w:rPr>
                <w:webHidden/>
              </w:rPr>
              <w:fldChar w:fldCharType="begin"/>
            </w:r>
            <w:r w:rsidR="00656872">
              <w:rPr>
                <w:webHidden/>
              </w:rPr>
              <w:instrText xml:space="preserve"> PAGEREF _Toc6924117 \h </w:instrText>
            </w:r>
            <w:r w:rsidR="00656872">
              <w:rPr>
                <w:webHidden/>
              </w:rPr>
            </w:r>
            <w:r w:rsidR="00656872">
              <w:rPr>
                <w:webHidden/>
              </w:rPr>
              <w:fldChar w:fldCharType="separate"/>
            </w:r>
            <w:r w:rsidR="00A700FD">
              <w:rPr>
                <w:webHidden/>
              </w:rPr>
              <w:t>76</w:t>
            </w:r>
            <w:r w:rsidR="00656872">
              <w:rPr>
                <w:webHidden/>
              </w:rPr>
              <w:fldChar w:fldCharType="end"/>
            </w:r>
          </w:hyperlink>
        </w:p>
        <w:p w:rsidR="00656872" w:rsidRDefault="00D43D42" w14:paraId="42B4A902" w14:textId="421AA29D">
          <w:pPr>
            <w:pStyle w:val="TOC1"/>
            <w:rPr>
              <w:rFonts w:eastAsiaTheme="minorEastAsia"/>
              <w:b w:val="0"/>
            </w:rPr>
          </w:pPr>
          <w:hyperlink w:history="1" w:anchor="_Toc6924118">
            <w:r w:rsidRPr="00AB737D" w:rsidR="00656872">
              <w:rPr>
                <w:rStyle w:val="Hyperlink"/>
              </w:rPr>
              <w:t>Appendix D: Chain of Custody Forms</w:t>
            </w:r>
            <w:r w:rsidR="00656872">
              <w:rPr>
                <w:webHidden/>
              </w:rPr>
              <w:tab/>
            </w:r>
            <w:r w:rsidR="00656872">
              <w:rPr>
                <w:webHidden/>
              </w:rPr>
              <w:fldChar w:fldCharType="begin"/>
            </w:r>
            <w:r w:rsidR="00656872">
              <w:rPr>
                <w:webHidden/>
              </w:rPr>
              <w:instrText xml:space="preserve"> PAGEREF _Toc6924118 \h </w:instrText>
            </w:r>
            <w:r w:rsidR="00656872">
              <w:rPr>
                <w:webHidden/>
              </w:rPr>
            </w:r>
            <w:r w:rsidR="00656872">
              <w:rPr>
                <w:webHidden/>
              </w:rPr>
              <w:fldChar w:fldCharType="separate"/>
            </w:r>
            <w:r w:rsidR="00A700FD">
              <w:rPr>
                <w:webHidden/>
              </w:rPr>
              <w:t>81</w:t>
            </w:r>
            <w:r w:rsidR="00656872">
              <w:rPr>
                <w:webHidden/>
              </w:rPr>
              <w:fldChar w:fldCharType="end"/>
            </w:r>
          </w:hyperlink>
        </w:p>
        <w:p w:rsidR="00656872" w:rsidRDefault="00D43D42" w14:paraId="27C4965B" w14:textId="45575FCB">
          <w:pPr>
            <w:pStyle w:val="TOC1"/>
            <w:rPr>
              <w:rFonts w:eastAsiaTheme="minorEastAsia"/>
              <w:b w:val="0"/>
            </w:rPr>
          </w:pPr>
          <w:hyperlink w:history="1" w:anchor="_Toc6924119">
            <w:r w:rsidRPr="00AB737D" w:rsidR="00656872">
              <w:rPr>
                <w:rStyle w:val="Hyperlink"/>
              </w:rPr>
              <w:t>Appendix E: Urine Collection Instructions</w:t>
            </w:r>
            <w:r w:rsidR="00656872">
              <w:rPr>
                <w:webHidden/>
              </w:rPr>
              <w:tab/>
            </w:r>
            <w:r w:rsidR="00656872">
              <w:rPr>
                <w:webHidden/>
              </w:rPr>
              <w:fldChar w:fldCharType="begin"/>
            </w:r>
            <w:r w:rsidR="00656872">
              <w:rPr>
                <w:webHidden/>
              </w:rPr>
              <w:instrText xml:space="preserve"> PAGEREF _Toc6924119 \h </w:instrText>
            </w:r>
            <w:r w:rsidR="00656872">
              <w:rPr>
                <w:webHidden/>
              </w:rPr>
            </w:r>
            <w:r w:rsidR="00656872">
              <w:rPr>
                <w:webHidden/>
              </w:rPr>
              <w:fldChar w:fldCharType="separate"/>
            </w:r>
            <w:r w:rsidR="00A700FD">
              <w:rPr>
                <w:webHidden/>
              </w:rPr>
              <w:t>83</w:t>
            </w:r>
            <w:r w:rsidR="00656872">
              <w:rPr>
                <w:webHidden/>
              </w:rPr>
              <w:fldChar w:fldCharType="end"/>
            </w:r>
          </w:hyperlink>
        </w:p>
        <w:p w:rsidR="00656872" w:rsidRDefault="00D43D42" w14:paraId="3BC8F8BA" w14:textId="1F4F90D5">
          <w:pPr>
            <w:pStyle w:val="TOC1"/>
            <w:rPr>
              <w:rFonts w:eastAsiaTheme="minorEastAsia"/>
              <w:b w:val="0"/>
            </w:rPr>
          </w:pPr>
          <w:hyperlink w:history="1" w:anchor="_Toc6924120">
            <w:r w:rsidRPr="00AB737D" w:rsidR="00656872">
              <w:rPr>
                <w:rStyle w:val="Hyperlink"/>
              </w:rPr>
              <w:t>Appendix F: Questionnaire</w:t>
            </w:r>
            <w:r w:rsidR="00656872">
              <w:rPr>
                <w:webHidden/>
              </w:rPr>
              <w:tab/>
            </w:r>
            <w:r w:rsidR="00656872">
              <w:rPr>
                <w:webHidden/>
              </w:rPr>
              <w:fldChar w:fldCharType="begin"/>
            </w:r>
            <w:r w:rsidR="00656872">
              <w:rPr>
                <w:webHidden/>
              </w:rPr>
              <w:instrText xml:space="preserve"> PAGEREF _Toc6924120 \h </w:instrText>
            </w:r>
            <w:r w:rsidR="00656872">
              <w:rPr>
                <w:webHidden/>
              </w:rPr>
            </w:r>
            <w:r w:rsidR="00656872">
              <w:rPr>
                <w:webHidden/>
              </w:rPr>
              <w:fldChar w:fldCharType="separate"/>
            </w:r>
            <w:r w:rsidR="00A700FD">
              <w:rPr>
                <w:webHidden/>
              </w:rPr>
              <w:t>85</w:t>
            </w:r>
            <w:r w:rsidR="00656872">
              <w:rPr>
                <w:webHidden/>
              </w:rPr>
              <w:fldChar w:fldCharType="end"/>
            </w:r>
          </w:hyperlink>
        </w:p>
        <w:p w:rsidR="00656872" w:rsidRDefault="00D43D42" w14:paraId="27FABEFB" w14:textId="701321B7">
          <w:pPr>
            <w:pStyle w:val="TOC1"/>
            <w:rPr>
              <w:rFonts w:eastAsiaTheme="minorEastAsia"/>
              <w:b w:val="0"/>
            </w:rPr>
          </w:pPr>
          <w:hyperlink w:history="1" w:anchor="_Toc6924121">
            <w:r w:rsidRPr="00AB737D" w:rsidR="00656872">
              <w:rPr>
                <w:rStyle w:val="Hyperlink"/>
              </w:rPr>
              <w:t>Appendix G: Results Letters</w:t>
            </w:r>
            <w:r w:rsidR="00656872">
              <w:rPr>
                <w:webHidden/>
              </w:rPr>
              <w:tab/>
            </w:r>
            <w:r w:rsidR="00656872">
              <w:rPr>
                <w:webHidden/>
              </w:rPr>
              <w:fldChar w:fldCharType="begin"/>
            </w:r>
            <w:r w:rsidR="00656872">
              <w:rPr>
                <w:webHidden/>
              </w:rPr>
              <w:instrText xml:space="preserve"> PAGEREF _Toc6924121 \h </w:instrText>
            </w:r>
            <w:r w:rsidR="00656872">
              <w:rPr>
                <w:webHidden/>
              </w:rPr>
            </w:r>
            <w:r w:rsidR="00656872">
              <w:rPr>
                <w:webHidden/>
              </w:rPr>
              <w:fldChar w:fldCharType="separate"/>
            </w:r>
            <w:r w:rsidR="00A700FD">
              <w:rPr>
                <w:webHidden/>
              </w:rPr>
              <w:t>105</w:t>
            </w:r>
            <w:r w:rsidR="00656872">
              <w:rPr>
                <w:webHidden/>
              </w:rPr>
              <w:fldChar w:fldCharType="end"/>
            </w:r>
          </w:hyperlink>
        </w:p>
        <w:p w:rsidR="00656872" w:rsidRDefault="00D43D42" w14:paraId="597D5AA1" w14:textId="5D7D808D">
          <w:pPr>
            <w:pStyle w:val="TOC1"/>
            <w:rPr>
              <w:rFonts w:eastAsiaTheme="minorEastAsia"/>
              <w:b w:val="0"/>
            </w:rPr>
          </w:pPr>
          <w:hyperlink w:history="1" w:anchor="_Toc6924122">
            <w:r w:rsidRPr="00AB737D" w:rsidR="00656872">
              <w:rPr>
                <w:rStyle w:val="Hyperlink"/>
              </w:rPr>
              <w:t>Appendix H: Site Health and Safety Plan</w:t>
            </w:r>
            <w:r w:rsidR="00656872">
              <w:rPr>
                <w:webHidden/>
              </w:rPr>
              <w:tab/>
            </w:r>
            <w:r w:rsidR="00656872">
              <w:rPr>
                <w:webHidden/>
              </w:rPr>
              <w:fldChar w:fldCharType="begin"/>
            </w:r>
            <w:r w:rsidR="00656872">
              <w:rPr>
                <w:webHidden/>
              </w:rPr>
              <w:instrText xml:space="preserve"> PAGEREF _Toc6924122 \h </w:instrText>
            </w:r>
            <w:r w:rsidR="00656872">
              <w:rPr>
                <w:webHidden/>
              </w:rPr>
            </w:r>
            <w:r w:rsidR="00656872">
              <w:rPr>
                <w:webHidden/>
              </w:rPr>
              <w:fldChar w:fldCharType="separate"/>
            </w:r>
            <w:r w:rsidR="00A700FD">
              <w:rPr>
                <w:webHidden/>
              </w:rPr>
              <w:t>121</w:t>
            </w:r>
            <w:r w:rsidR="00656872">
              <w:rPr>
                <w:webHidden/>
              </w:rPr>
              <w:fldChar w:fldCharType="end"/>
            </w:r>
          </w:hyperlink>
        </w:p>
        <w:p w:rsidR="00656872" w:rsidRDefault="00D43D42" w14:paraId="390ABC36" w14:textId="6F106771">
          <w:pPr>
            <w:pStyle w:val="TOC2"/>
            <w:rPr>
              <w:rFonts w:eastAsiaTheme="minorEastAsia"/>
              <w:noProof/>
            </w:rPr>
          </w:pPr>
          <w:hyperlink w:history="1" w:anchor="_Toc6924123">
            <w:r w:rsidRPr="00AB737D" w:rsidR="00656872">
              <w:rPr>
                <w:rStyle w:val="Hyperlink"/>
                <w:noProof/>
              </w:rPr>
              <w:t>Introduction</w:t>
            </w:r>
            <w:r w:rsidR="00656872">
              <w:rPr>
                <w:noProof/>
                <w:webHidden/>
              </w:rPr>
              <w:tab/>
            </w:r>
            <w:r w:rsidR="00656872">
              <w:rPr>
                <w:noProof/>
                <w:webHidden/>
              </w:rPr>
              <w:fldChar w:fldCharType="begin"/>
            </w:r>
            <w:r w:rsidR="00656872">
              <w:rPr>
                <w:noProof/>
                <w:webHidden/>
              </w:rPr>
              <w:instrText xml:space="preserve"> PAGEREF _Toc6924123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D43D42" w14:paraId="6BE348C5" w14:textId="0B04D0DB">
          <w:pPr>
            <w:pStyle w:val="TOC2"/>
            <w:rPr>
              <w:rFonts w:eastAsiaTheme="minorEastAsia"/>
              <w:noProof/>
            </w:rPr>
          </w:pPr>
          <w:hyperlink w:history="1" w:anchor="_Toc6924124">
            <w:r w:rsidRPr="00AB737D" w:rsidR="00656872">
              <w:rPr>
                <w:rStyle w:val="Hyperlink"/>
                <w:noProof/>
              </w:rPr>
              <w:t>Personnel Training Requirements</w:t>
            </w:r>
            <w:r w:rsidR="00656872">
              <w:rPr>
                <w:noProof/>
                <w:webHidden/>
              </w:rPr>
              <w:tab/>
            </w:r>
            <w:r w:rsidR="00656872">
              <w:rPr>
                <w:noProof/>
                <w:webHidden/>
              </w:rPr>
              <w:fldChar w:fldCharType="begin"/>
            </w:r>
            <w:r w:rsidR="00656872">
              <w:rPr>
                <w:noProof/>
                <w:webHidden/>
              </w:rPr>
              <w:instrText xml:space="preserve"> PAGEREF _Toc6924124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D43D42" w14:paraId="096B8FA7" w14:textId="52C302AB">
          <w:pPr>
            <w:pStyle w:val="TOC2"/>
            <w:rPr>
              <w:rFonts w:eastAsiaTheme="minorEastAsia"/>
              <w:noProof/>
            </w:rPr>
          </w:pPr>
          <w:hyperlink w:history="1" w:anchor="_Toc6924125">
            <w:r w:rsidRPr="00AB737D" w:rsidR="00656872">
              <w:rPr>
                <w:rStyle w:val="Hyperlink"/>
                <w:noProof/>
              </w:rPr>
              <w:t>Personal Protective Equipment</w:t>
            </w:r>
            <w:r w:rsidR="00656872">
              <w:rPr>
                <w:noProof/>
                <w:webHidden/>
              </w:rPr>
              <w:tab/>
            </w:r>
            <w:r w:rsidR="00656872">
              <w:rPr>
                <w:noProof/>
                <w:webHidden/>
              </w:rPr>
              <w:fldChar w:fldCharType="begin"/>
            </w:r>
            <w:r w:rsidR="00656872">
              <w:rPr>
                <w:noProof/>
                <w:webHidden/>
              </w:rPr>
              <w:instrText xml:space="preserve"> PAGEREF _Toc6924125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7E72A44C" w14:textId="1807C995">
          <w:pPr>
            <w:pStyle w:val="TOC2"/>
            <w:rPr>
              <w:rFonts w:eastAsiaTheme="minorEastAsia"/>
              <w:noProof/>
            </w:rPr>
          </w:pPr>
          <w:hyperlink w:history="1" w:anchor="_Toc6924126">
            <w:r w:rsidRPr="00AB737D" w:rsidR="00656872">
              <w:rPr>
                <w:rStyle w:val="Hyperlink"/>
                <w:noProof/>
              </w:rPr>
              <w:t>Emergency Procedures</w:t>
            </w:r>
            <w:r w:rsidR="00656872">
              <w:rPr>
                <w:noProof/>
                <w:webHidden/>
              </w:rPr>
              <w:tab/>
            </w:r>
            <w:r w:rsidR="00656872">
              <w:rPr>
                <w:noProof/>
                <w:webHidden/>
              </w:rPr>
              <w:fldChar w:fldCharType="begin"/>
            </w:r>
            <w:r w:rsidR="00656872">
              <w:rPr>
                <w:noProof/>
                <w:webHidden/>
              </w:rPr>
              <w:instrText xml:space="preserve"> PAGEREF _Toc6924126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0F160561" w14:textId="29AE516A">
          <w:pPr>
            <w:pStyle w:val="TOC3"/>
            <w:tabs>
              <w:tab w:val="right" w:leader="dot" w:pos="9350"/>
            </w:tabs>
            <w:rPr>
              <w:rFonts w:eastAsiaTheme="minorEastAsia"/>
              <w:noProof/>
            </w:rPr>
          </w:pPr>
          <w:hyperlink w:history="1" w:anchor="_Toc6924127">
            <w:r w:rsidRPr="00AB737D" w:rsidR="00656872">
              <w:rPr>
                <w:rStyle w:val="Hyperlink"/>
                <w:noProof/>
              </w:rPr>
              <w:t>Personal Injury</w:t>
            </w:r>
            <w:r w:rsidR="00656872">
              <w:rPr>
                <w:noProof/>
                <w:webHidden/>
              </w:rPr>
              <w:tab/>
            </w:r>
            <w:r w:rsidR="00656872">
              <w:rPr>
                <w:noProof/>
                <w:webHidden/>
              </w:rPr>
              <w:fldChar w:fldCharType="begin"/>
            </w:r>
            <w:r w:rsidR="00656872">
              <w:rPr>
                <w:noProof/>
                <w:webHidden/>
              </w:rPr>
              <w:instrText xml:space="preserve"> PAGEREF _Toc6924127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5AD900D3" w14:textId="5AC0F1CB">
          <w:pPr>
            <w:pStyle w:val="TOC3"/>
            <w:tabs>
              <w:tab w:val="right" w:leader="dot" w:pos="9350"/>
            </w:tabs>
            <w:rPr>
              <w:rFonts w:eastAsiaTheme="minorEastAsia"/>
              <w:noProof/>
            </w:rPr>
          </w:pPr>
          <w:hyperlink w:history="1" w:anchor="_Toc6924128">
            <w:r w:rsidRPr="00AB737D" w:rsidR="00656872">
              <w:rPr>
                <w:rStyle w:val="Hyperlink"/>
                <w:noProof/>
              </w:rPr>
              <w:t>Fire or Explosion</w:t>
            </w:r>
            <w:r w:rsidR="00656872">
              <w:rPr>
                <w:noProof/>
                <w:webHidden/>
              </w:rPr>
              <w:tab/>
            </w:r>
            <w:r w:rsidR="00656872">
              <w:rPr>
                <w:noProof/>
                <w:webHidden/>
              </w:rPr>
              <w:fldChar w:fldCharType="begin"/>
            </w:r>
            <w:r w:rsidR="00656872">
              <w:rPr>
                <w:noProof/>
                <w:webHidden/>
              </w:rPr>
              <w:instrText xml:space="preserve"> PAGEREF _Toc6924128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52018D65" w14:textId="674332D9">
          <w:pPr>
            <w:pStyle w:val="TOC3"/>
            <w:tabs>
              <w:tab w:val="right" w:leader="dot" w:pos="9350"/>
            </w:tabs>
            <w:rPr>
              <w:rFonts w:eastAsiaTheme="minorEastAsia"/>
              <w:noProof/>
            </w:rPr>
          </w:pPr>
          <w:hyperlink w:history="1" w:anchor="_Toc6924129">
            <w:r w:rsidRPr="00AB737D" w:rsidR="00656872">
              <w:rPr>
                <w:rStyle w:val="Hyperlink"/>
                <w:noProof/>
              </w:rPr>
              <w:t>Natural Hazards</w:t>
            </w:r>
            <w:r w:rsidR="00656872">
              <w:rPr>
                <w:noProof/>
                <w:webHidden/>
              </w:rPr>
              <w:tab/>
            </w:r>
            <w:r w:rsidR="00656872">
              <w:rPr>
                <w:noProof/>
                <w:webHidden/>
              </w:rPr>
              <w:fldChar w:fldCharType="begin"/>
            </w:r>
            <w:r w:rsidR="00656872">
              <w:rPr>
                <w:noProof/>
                <w:webHidden/>
              </w:rPr>
              <w:instrText xml:space="preserve"> PAGEREF _Toc6924129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209A475E" w14:textId="62CE9DB5">
          <w:pPr>
            <w:pStyle w:val="TOC3"/>
            <w:tabs>
              <w:tab w:val="right" w:leader="dot" w:pos="9350"/>
            </w:tabs>
            <w:rPr>
              <w:rFonts w:eastAsiaTheme="minorEastAsia"/>
              <w:noProof/>
            </w:rPr>
          </w:pPr>
          <w:hyperlink w:history="1" w:anchor="_Toc6924130">
            <w:r w:rsidRPr="00AB737D" w:rsidR="00656872">
              <w:rPr>
                <w:rStyle w:val="Hyperlink"/>
                <w:noProof/>
              </w:rPr>
              <w:t>Equipment Failure</w:t>
            </w:r>
            <w:r w:rsidR="00656872">
              <w:rPr>
                <w:noProof/>
                <w:webHidden/>
              </w:rPr>
              <w:tab/>
            </w:r>
            <w:r w:rsidR="00656872">
              <w:rPr>
                <w:noProof/>
                <w:webHidden/>
              </w:rPr>
              <w:fldChar w:fldCharType="begin"/>
            </w:r>
            <w:r w:rsidR="00656872">
              <w:rPr>
                <w:noProof/>
                <w:webHidden/>
              </w:rPr>
              <w:instrText xml:space="preserve"> PAGEREF _Toc6924130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D43D42" w14:paraId="59B0954C" w14:textId="48E8C613">
          <w:pPr>
            <w:pStyle w:val="TOC2"/>
            <w:rPr>
              <w:rFonts w:eastAsiaTheme="minorEastAsia"/>
              <w:noProof/>
            </w:rPr>
          </w:pPr>
          <w:hyperlink w:history="1" w:anchor="_Toc6924131">
            <w:r w:rsidRPr="00AB737D" w:rsidR="00656872">
              <w:rPr>
                <w:rStyle w:val="Hyperlink"/>
                <w:noProof/>
              </w:rPr>
              <w:t>Centrifuge Safety Procedures</w:t>
            </w:r>
            <w:r w:rsidR="00656872">
              <w:rPr>
                <w:noProof/>
                <w:webHidden/>
              </w:rPr>
              <w:tab/>
            </w:r>
            <w:r w:rsidR="00656872">
              <w:rPr>
                <w:noProof/>
                <w:webHidden/>
              </w:rPr>
              <w:fldChar w:fldCharType="begin"/>
            </w:r>
            <w:r w:rsidR="00656872">
              <w:rPr>
                <w:noProof/>
                <w:webHidden/>
              </w:rPr>
              <w:instrText xml:space="preserve"> PAGEREF _Toc6924131 \h </w:instrText>
            </w:r>
            <w:r w:rsidR="00656872">
              <w:rPr>
                <w:noProof/>
                <w:webHidden/>
              </w:rPr>
            </w:r>
            <w:r w:rsidR="00656872">
              <w:rPr>
                <w:noProof/>
                <w:webHidden/>
              </w:rPr>
              <w:fldChar w:fldCharType="separate"/>
            </w:r>
            <w:r w:rsidR="00A700FD">
              <w:rPr>
                <w:noProof/>
                <w:webHidden/>
              </w:rPr>
              <w:t>124</w:t>
            </w:r>
            <w:r w:rsidR="00656872">
              <w:rPr>
                <w:noProof/>
                <w:webHidden/>
              </w:rPr>
              <w:fldChar w:fldCharType="end"/>
            </w:r>
          </w:hyperlink>
        </w:p>
        <w:p w:rsidR="00656872" w:rsidRDefault="00D43D42" w14:paraId="665C6EA2" w14:textId="61EC8A50">
          <w:pPr>
            <w:pStyle w:val="TOC1"/>
            <w:rPr>
              <w:rFonts w:eastAsiaTheme="minorEastAsia"/>
              <w:b w:val="0"/>
            </w:rPr>
          </w:pPr>
          <w:hyperlink w:history="1" w:anchor="_Toc6924132">
            <w:r w:rsidRPr="00AB737D" w:rsidR="00656872">
              <w:rPr>
                <w:rStyle w:val="Hyperlink"/>
              </w:rPr>
              <w:t>Appendix I: Data Management Plan</w:t>
            </w:r>
            <w:r w:rsidR="00656872">
              <w:rPr>
                <w:webHidden/>
              </w:rPr>
              <w:tab/>
            </w:r>
            <w:r w:rsidR="00656872">
              <w:rPr>
                <w:webHidden/>
              </w:rPr>
              <w:fldChar w:fldCharType="begin"/>
            </w:r>
            <w:r w:rsidR="00656872">
              <w:rPr>
                <w:webHidden/>
              </w:rPr>
              <w:instrText xml:space="preserve"> PAGEREF _Toc6924132 \h </w:instrText>
            </w:r>
            <w:r w:rsidR="00656872">
              <w:rPr>
                <w:webHidden/>
              </w:rPr>
            </w:r>
            <w:r w:rsidR="00656872">
              <w:rPr>
                <w:webHidden/>
              </w:rPr>
              <w:fldChar w:fldCharType="separate"/>
            </w:r>
            <w:r w:rsidR="00A700FD">
              <w:rPr>
                <w:webHidden/>
              </w:rPr>
              <w:t>125</w:t>
            </w:r>
            <w:r w:rsidR="00656872">
              <w:rPr>
                <w:webHidden/>
              </w:rPr>
              <w:fldChar w:fldCharType="end"/>
            </w:r>
          </w:hyperlink>
        </w:p>
        <w:p w:rsidR="00860589" w:rsidP="001D7332" w:rsidRDefault="00A577D9" w14:paraId="74CE327D" w14:textId="77777777">
          <w:pPr>
            <w:spacing w:after="120"/>
            <w:rPr>
              <w:b/>
              <w:bCs/>
              <w:noProof/>
            </w:rPr>
          </w:pPr>
          <w:r>
            <w:rPr>
              <w:b/>
              <w:bCs/>
              <w:noProof/>
            </w:rPr>
            <w:fldChar w:fldCharType="end"/>
          </w:r>
          <w:r w:rsidR="00A0791A">
            <w:rPr>
              <w:b/>
              <w:bCs/>
              <w:noProof/>
            </w:rPr>
            <w:t xml:space="preserve">Appendix J: </w:t>
          </w:r>
          <w:r w:rsidR="007B514E">
            <w:rPr>
              <w:b/>
              <w:bCs/>
              <w:noProof/>
            </w:rPr>
            <w:t>PFAS EA Restart Plan</w:t>
          </w:r>
        </w:p>
        <w:p w:rsidR="00A577D9" w:rsidP="001D7332" w:rsidRDefault="00860589" w14:paraId="6439EC2C" w14:textId="3A610927">
          <w:pPr>
            <w:spacing w:after="120"/>
          </w:pPr>
          <w:r>
            <w:rPr>
              <w:b/>
              <w:bCs/>
              <w:noProof/>
            </w:rPr>
            <w:t xml:space="preserve">Appendix K: Crosswalk Table for </w:t>
          </w:r>
          <w:r w:rsidR="00E017C4">
            <w:rPr>
              <w:b/>
              <w:bCs/>
              <w:noProof/>
            </w:rPr>
            <w:t>Protocol Modifications</w:t>
          </w:r>
        </w:p>
      </w:sdtContent>
    </w:sdt>
    <w:p w:rsidRPr="00915EB0" w:rsidR="00C3756A" w:rsidP="007B3D7D" w:rsidRDefault="001374BF" w14:paraId="1D262D27" w14:textId="77777777">
      <w:pPr>
        <w:pStyle w:val="Heading1"/>
        <w:spacing w:before="0" w:after="200" w:line="240" w:lineRule="auto"/>
      </w:pPr>
      <w:r w:rsidRPr="00915EB0">
        <w:br w:type="page"/>
      </w:r>
      <w:bookmarkStart w:name="_Toc536793460" w:id="0"/>
      <w:bookmarkStart w:name="_Toc6924080" w:id="1"/>
      <w:r w:rsidRPr="00915EB0" w:rsidR="00FF6C0A">
        <w:lastRenderedPageBreak/>
        <w:t xml:space="preserve">Abbreviations and </w:t>
      </w:r>
      <w:r w:rsidRPr="00915EB0" w:rsidR="00C3756A">
        <w:t>Acronyms</w:t>
      </w:r>
      <w:bookmarkEnd w:id="0"/>
      <w:bookmarkEnd w:id="1"/>
    </w:p>
    <w:tbl>
      <w:tblPr>
        <w:tblStyle w:val="TableGrid"/>
        <w:tblW w:w="0" w:type="auto"/>
        <w:tblLook w:val="04A0" w:firstRow="1" w:lastRow="0" w:firstColumn="1" w:lastColumn="0" w:noHBand="0" w:noVBand="1"/>
      </w:tblPr>
      <w:tblGrid>
        <w:gridCol w:w="9128"/>
        <w:gridCol w:w="232"/>
      </w:tblGrid>
      <w:tr w:rsidR="008B3392" w:rsidTr="009022B2" w14:paraId="5237CA29" w14:textId="77777777">
        <w:tc>
          <w:tcPr>
            <w:tcW w:w="4788" w:type="dxa"/>
            <w:tcBorders>
              <w:top w:val="nil"/>
              <w:left w:val="nil"/>
              <w:bottom w:val="nil"/>
              <w:right w:val="nil"/>
            </w:tcBorders>
          </w:tcPr>
          <w:tbl>
            <w:tblPr>
              <w:tblW w:w="8912" w:type="dxa"/>
              <w:tblLook w:val="04A0" w:firstRow="1" w:lastRow="0" w:firstColumn="1" w:lastColumn="0" w:noHBand="0" w:noVBand="1"/>
            </w:tblPr>
            <w:tblGrid>
              <w:gridCol w:w="2223"/>
              <w:gridCol w:w="6689"/>
            </w:tblGrid>
            <w:tr w:rsidRPr="008B3392" w:rsidR="005B2011" w:rsidTr="00656872" w14:paraId="46F326E5" w14:textId="77777777">
              <w:trPr>
                <w:trHeight w:val="360" w:hRule="exact"/>
              </w:trPr>
              <w:tc>
                <w:tcPr>
                  <w:tcW w:w="2223" w:type="dxa"/>
                  <w:shd w:val="clear" w:color="auto" w:fill="auto"/>
                  <w:noWrap/>
                </w:tcPr>
                <w:p w:rsidRPr="00C868C3" w:rsidR="005B2011" w:rsidP="00624145" w:rsidRDefault="005B2011" w14:paraId="5C9EEA7D" w14:textId="77777777">
                  <w:pPr>
                    <w:pStyle w:val="NoSpacing"/>
                    <w:spacing w:line="360" w:lineRule="auto"/>
                  </w:pPr>
                  <w:r>
                    <w:t>11Cl-PF3OUdS</w:t>
                  </w:r>
                </w:p>
              </w:tc>
              <w:tc>
                <w:tcPr>
                  <w:tcW w:w="6689" w:type="dxa"/>
                  <w:shd w:val="clear" w:color="auto" w:fill="auto"/>
                  <w:noWrap/>
                </w:tcPr>
                <w:p w:rsidRPr="00C868C3" w:rsidR="005B2011" w:rsidP="00624145" w:rsidRDefault="005B2011" w14:paraId="57969586" w14:textId="77777777">
                  <w:pPr>
                    <w:pStyle w:val="NoSpacing"/>
                    <w:spacing w:line="360" w:lineRule="auto"/>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r>
            <w:tr w:rsidRPr="008B3392" w:rsidR="005B2011" w:rsidTr="00656872" w14:paraId="28AD308A" w14:textId="77777777">
              <w:trPr>
                <w:trHeight w:val="360" w:hRule="exact"/>
              </w:trPr>
              <w:tc>
                <w:tcPr>
                  <w:tcW w:w="2223" w:type="dxa"/>
                  <w:shd w:val="clear" w:color="auto" w:fill="auto"/>
                  <w:noWrap/>
                </w:tcPr>
                <w:p w:rsidRPr="00C868C3" w:rsidR="005B2011" w:rsidP="00624145" w:rsidRDefault="005B2011" w14:paraId="79280AA3" w14:textId="77777777">
                  <w:pPr>
                    <w:pStyle w:val="NoSpacing"/>
                    <w:spacing w:line="360" w:lineRule="auto"/>
                  </w:pPr>
                  <w:r>
                    <w:t>9Cl-PF3ONS</w:t>
                  </w:r>
                </w:p>
              </w:tc>
              <w:tc>
                <w:tcPr>
                  <w:tcW w:w="6689" w:type="dxa"/>
                  <w:shd w:val="clear" w:color="auto" w:fill="auto"/>
                  <w:noWrap/>
                </w:tcPr>
                <w:p w:rsidRPr="00C868C3" w:rsidR="005B2011" w:rsidP="00624145" w:rsidRDefault="005B2011" w14:paraId="102CFB31" w14:textId="77777777">
                  <w:pPr>
                    <w:pStyle w:val="NoSpacing"/>
                    <w:spacing w:line="360" w:lineRule="auto"/>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r>
            <w:tr w:rsidRPr="008B3392" w:rsidR="00C51D29" w:rsidTr="00656872" w14:paraId="26DB1CA1" w14:textId="77777777">
              <w:trPr>
                <w:trHeight w:val="360" w:hRule="exact"/>
              </w:trPr>
              <w:tc>
                <w:tcPr>
                  <w:tcW w:w="2223" w:type="dxa"/>
                  <w:shd w:val="clear" w:color="auto" w:fill="auto"/>
                  <w:noWrap/>
                  <w:hideMark/>
                </w:tcPr>
                <w:p w:rsidRPr="00C868C3" w:rsidR="00C51D29" w:rsidP="00624145" w:rsidRDefault="00045DB1" w14:paraId="172BD848" w14:textId="77777777">
                  <w:pPr>
                    <w:pStyle w:val="NoSpacing"/>
                    <w:spacing w:line="360" w:lineRule="auto"/>
                  </w:pPr>
                  <w:r w:rsidRPr="00C868C3">
                    <w:t>ALT</w:t>
                  </w:r>
                </w:p>
              </w:tc>
              <w:tc>
                <w:tcPr>
                  <w:tcW w:w="6689" w:type="dxa"/>
                  <w:shd w:val="clear" w:color="auto" w:fill="auto"/>
                  <w:noWrap/>
                  <w:hideMark/>
                </w:tcPr>
                <w:p w:rsidRPr="00C868C3" w:rsidR="00C51D29" w:rsidP="00624145" w:rsidRDefault="00C51D29" w14:paraId="0814F3D6" w14:textId="77777777">
                  <w:pPr>
                    <w:pStyle w:val="NoSpacing"/>
                    <w:spacing w:line="360" w:lineRule="auto"/>
                  </w:pPr>
                  <w:r w:rsidRPr="00C868C3">
                    <w:t>Alanine aminotransferase</w:t>
                  </w:r>
                </w:p>
              </w:tc>
            </w:tr>
            <w:tr w:rsidRPr="008B3392" w:rsidR="00C51D29" w:rsidTr="00656872" w14:paraId="3E70D51A" w14:textId="77777777">
              <w:trPr>
                <w:trHeight w:val="360" w:hRule="exact"/>
              </w:trPr>
              <w:tc>
                <w:tcPr>
                  <w:tcW w:w="2223" w:type="dxa"/>
                  <w:shd w:val="clear" w:color="auto" w:fill="auto"/>
                  <w:noWrap/>
                  <w:hideMark/>
                </w:tcPr>
                <w:p w:rsidRPr="00C868C3" w:rsidR="00C51D29" w:rsidP="00624145" w:rsidRDefault="00C51D29" w14:paraId="3EE615B2" w14:textId="77777777">
                  <w:pPr>
                    <w:pStyle w:val="NoSpacing"/>
                    <w:spacing w:line="360" w:lineRule="auto"/>
                  </w:pPr>
                  <w:r w:rsidRPr="00C868C3">
                    <w:t>ATSDR</w:t>
                  </w:r>
                </w:p>
              </w:tc>
              <w:tc>
                <w:tcPr>
                  <w:tcW w:w="6689" w:type="dxa"/>
                  <w:shd w:val="clear" w:color="auto" w:fill="auto"/>
                  <w:noWrap/>
                  <w:hideMark/>
                </w:tcPr>
                <w:p w:rsidRPr="00C868C3" w:rsidR="00C51D29" w:rsidP="00624145" w:rsidRDefault="00C51D29" w14:paraId="1BDB12E6" w14:textId="77777777">
                  <w:pPr>
                    <w:pStyle w:val="NoSpacing"/>
                    <w:spacing w:line="360" w:lineRule="auto"/>
                  </w:pPr>
                  <w:r w:rsidRPr="00C868C3">
                    <w:t>Agency for Toxic Substances and Disease Registry</w:t>
                  </w:r>
                </w:p>
              </w:tc>
            </w:tr>
            <w:tr w:rsidRPr="008B3392" w:rsidR="00C51D29" w:rsidTr="00656872" w14:paraId="34FD1B8B" w14:textId="77777777">
              <w:trPr>
                <w:trHeight w:val="360" w:hRule="exact"/>
              </w:trPr>
              <w:tc>
                <w:tcPr>
                  <w:tcW w:w="2223" w:type="dxa"/>
                  <w:shd w:val="clear" w:color="auto" w:fill="auto"/>
                  <w:noWrap/>
                  <w:hideMark/>
                </w:tcPr>
                <w:p w:rsidRPr="00C868C3" w:rsidR="00C51D29" w:rsidP="00624145" w:rsidRDefault="00C51D29" w14:paraId="09AC0E3B" w14:textId="77777777">
                  <w:pPr>
                    <w:pStyle w:val="NoSpacing"/>
                    <w:spacing w:line="360" w:lineRule="auto"/>
                  </w:pPr>
                  <w:r w:rsidRPr="00C868C3">
                    <w:t>DCHI</w:t>
                  </w:r>
                </w:p>
              </w:tc>
              <w:tc>
                <w:tcPr>
                  <w:tcW w:w="6689" w:type="dxa"/>
                  <w:shd w:val="clear" w:color="auto" w:fill="auto"/>
                  <w:noWrap/>
                  <w:hideMark/>
                </w:tcPr>
                <w:p w:rsidRPr="00C868C3" w:rsidR="00C51D29" w:rsidP="00624145" w:rsidRDefault="00C51D29" w14:paraId="28AAA15C" w14:textId="77777777">
                  <w:pPr>
                    <w:pStyle w:val="NoSpacing"/>
                    <w:spacing w:line="360" w:lineRule="auto"/>
                  </w:pPr>
                  <w:r w:rsidRPr="00C868C3">
                    <w:t>Division of Community Health Investigations</w:t>
                  </w:r>
                </w:p>
              </w:tc>
            </w:tr>
            <w:tr w:rsidRPr="008B3392" w:rsidR="00D237D4" w:rsidTr="00656872" w14:paraId="32D3BE3C" w14:textId="77777777">
              <w:trPr>
                <w:trHeight w:val="360" w:hRule="exact"/>
              </w:trPr>
              <w:tc>
                <w:tcPr>
                  <w:tcW w:w="2223" w:type="dxa"/>
                  <w:shd w:val="clear" w:color="auto" w:fill="auto"/>
                  <w:noWrap/>
                </w:tcPr>
                <w:p w:rsidRPr="00C868C3" w:rsidR="00D237D4" w:rsidP="00624145" w:rsidRDefault="00D237D4" w14:paraId="3912F2C9" w14:textId="33235645">
                  <w:pPr>
                    <w:pStyle w:val="NoSpacing"/>
                    <w:spacing w:line="360" w:lineRule="auto"/>
                  </w:pPr>
                  <w:r>
                    <w:t>DE</w:t>
                  </w:r>
                </w:p>
              </w:tc>
              <w:tc>
                <w:tcPr>
                  <w:tcW w:w="6689" w:type="dxa"/>
                  <w:shd w:val="clear" w:color="auto" w:fill="auto"/>
                  <w:noWrap/>
                </w:tcPr>
                <w:p w:rsidRPr="00C868C3" w:rsidR="00D237D4" w:rsidP="00624145" w:rsidRDefault="00D237D4" w14:paraId="26F8D36D" w14:textId="65A75CE5">
                  <w:pPr>
                    <w:pStyle w:val="NoSpacing"/>
                    <w:spacing w:line="360" w:lineRule="auto"/>
                  </w:pPr>
                  <w:r>
                    <w:t>Design effect</w:t>
                  </w:r>
                </w:p>
              </w:tc>
            </w:tr>
            <w:tr w:rsidRPr="008B3392" w:rsidR="00337CC8" w:rsidTr="00656872" w14:paraId="0BC4784A" w14:textId="77777777">
              <w:trPr>
                <w:trHeight w:val="360" w:hRule="exact"/>
              </w:trPr>
              <w:tc>
                <w:tcPr>
                  <w:tcW w:w="2223" w:type="dxa"/>
                  <w:shd w:val="clear" w:color="auto" w:fill="auto"/>
                  <w:noWrap/>
                </w:tcPr>
                <w:p w:rsidRPr="00C868C3" w:rsidR="00337CC8" w:rsidP="00624145" w:rsidRDefault="00337CC8" w14:paraId="6D166428" w14:textId="77777777">
                  <w:pPr>
                    <w:pStyle w:val="NoSpacing"/>
                    <w:spacing w:line="360" w:lineRule="auto"/>
                  </w:pPr>
                  <w:r>
                    <w:t>dL</w:t>
                  </w:r>
                </w:p>
              </w:tc>
              <w:tc>
                <w:tcPr>
                  <w:tcW w:w="6689" w:type="dxa"/>
                  <w:shd w:val="clear" w:color="auto" w:fill="auto"/>
                  <w:noWrap/>
                </w:tcPr>
                <w:p w:rsidRPr="00C868C3" w:rsidR="00337CC8" w:rsidP="00624145" w:rsidRDefault="00337CC8" w14:paraId="0F0D495F" w14:textId="77777777">
                  <w:pPr>
                    <w:pStyle w:val="NoSpacing"/>
                    <w:spacing w:line="360" w:lineRule="auto"/>
                  </w:pPr>
                  <w:r>
                    <w:t>Deciliter</w:t>
                  </w:r>
                </w:p>
              </w:tc>
            </w:tr>
            <w:tr w:rsidRPr="008B3392" w:rsidR="00724A35" w:rsidTr="00656872" w14:paraId="660DF576" w14:textId="77777777">
              <w:trPr>
                <w:trHeight w:val="360" w:hRule="exact"/>
              </w:trPr>
              <w:tc>
                <w:tcPr>
                  <w:tcW w:w="2223" w:type="dxa"/>
                  <w:shd w:val="clear" w:color="auto" w:fill="auto"/>
                  <w:noWrap/>
                </w:tcPr>
                <w:p w:rsidRPr="00C868C3" w:rsidR="00724A35" w:rsidP="00624145" w:rsidRDefault="00724A35" w14:paraId="0B4759E5" w14:textId="77777777">
                  <w:pPr>
                    <w:pStyle w:val="NoSpacing"/>
                    <w:spacing w:line="360" w:lineRule="auto"/>
                  </w:pPr>
                  <w:r>
                    <w:t>DoD</w:t>
                  </w:r>
                </w:p>
              </w:tc>
              <w:tc>
                <w:tcPr>
                  <w:tcW w:w="6689" w:type="dxa"/>
                  <w:shd w:val="clear" w:color="auto" w:fill="auto"/>
                  <w:noWrap/>
                </w:tcPr>
                <w:p w:rsidRPr="00C868C3" w:rsidR="00724A35" w:rsidP="00624145" w:rsidRDefault="00724A35" w14:paraId="4B5063B5" w14:textId="77777777">
                  <w:pPr>
                    <w:pStyle w:val="NoSpacing"/>
                    <w:spacing w:line="360" w:lineRule="auto"/>
                  </w:pPr>
                  <w:r>
                    <w:t>US Department of Defense</w:t>
                  </w:r>
                </w:p>
              </w:tc>
            </w:tr>
            <w:tr w:rsidRPr="008B3392" w:rsidR="00F55C71" w:rsidTr="00656872" w14:paraId="7C120BBF" w14:textId="77777777">
              <w:trPr>
                <w:trHeight w:val="360" w:hRule="exact"/>
              </w:trPr>
              <w:tc>
                <w:tcPr>
                  <w:tcW w:w="2223" w:type="dxa"/>
                  <w:shd w:val="clear" w:color="auto" w:fill="auto"/>
                  <w:noWrap/>
                </w:tcPr>
                <w:p w:rsidR="00F55C71" w:rsidP="00624145" w:rsidRDefault="00F55C71" w14:paraId="408EA07C" w14:textId="77777777">
                  <w:pPr>
                    <w:pStyle w:val="NoSpacing"/>
                    <w:spacing w:line="360" w:lineRule="auto"/>
                  </w:pPr>
                  <w:r>
                    <w:t>DONA</w:t>
                  </w:r>
                </w:p>
              </w:tc>
              <w:tc>
                <w:tcPr>
                  <w:tcW w:w="6689" w:type="dxa"/>
                  <w:shd w:val="clear" w:color="auto" w:fill="auto"/>
                  <w:noWrap/>
                </w:tcPr>
                <w:p w:rsidR="00F55C71" w:rsidP="00624145" w:rsidRDefault="005B2011" w14:paraId="3AAF8F1D" w14:textId="77777777">
                  <w:pPr>
                    <w:pStyle w:val="NoSpacing"/>
                    <w:spacing w:line="360" w:lineRule="auto"/>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r>
            <w:tr w:rsidRPr="008B3392" w:rsidR="00C51D29" w:rsidTr="00656872" w14:paraId="55E7D121" w14:textId="77777777">
              <w:trPr>
                <w:trHeight w:val="360" w:hRule="exact"/>
              </w:trPr>
              <w:tc>
                <w:tcPr>
                  <w:tcW w:w="2223" w:type="dxa"/>
                  <w:shd w:val="clear" w:color="auto" w:fill="auto"/>
                  <w:noWrap/>
                  <w:hideMark/>
                </w:tcPr>
                <w:p w:rsidRPr="00C868C3" w:rsidR="00C51D29" w:rsidP="00624145" w:rsidRDefault="00710692" w14:paraId="5B5991C6" w14:textId="77777777">
                  <w:pPr>
                    <w:pStyle w:val="NoSpacing"/>
                    <w:spacing w:line="360" w:lineRule="auto"/>
                  </w:pPr>
                  <w:r>
                    <w:t>EA</w:t>
                  </w:r>
                </w:p>
              </w:tc>
              <w:tc>
                <w:tcPr>
                  <w:tcW w:w="6689" w:type="dxa"/>
                  <w:shd w:val="clear" w:color="auto" w:fill="auto"/>
                  <w:noWrap/>
                  <w:hideMark/>
                </w:tcPr>
                <w:p w:rsidRPr="00C868C3" w:rsidR="00C51D29" w:rsidP="00624145" w:rsidRDefault="00710692" w14:paraId="163A4EA5" w14:textId="77777777">
                  <w:pPr>
                    <w:pStyle w:val="NoSpacing"/>
                    <w:spacing w:line="360" w:lineRule="auto"/>
                  </w:pPr>
                  <w:r>
                    <w:t>Exposure Assessment</w:t>
                  </w:r>
                </w:p>
              </w:tc>
            </w:tr>
            <w:tr w:rsidRPr="008B3392" w:rsidR="00710692" w:rsidTr="00656872" w14:paraId="051DF9CD" w14:textId="77777777">
              <w:trPr>
                <w:trHeight w:val="360" w:hRule="exact"/>
              </w:trPr>
              <w:tc>
                <w:tcPr>
                  <w:tcW w:w="2223" w:type="dxa"/>
                  <w:shd w:val="clear" w:color="auto" w:fill="auto"/>
                  <w:noWrap/>
                </w:tcPr>
                <w:p w:rsidR="00710692" w:rsidP="00624145" w:rsidRDefault="00710692" w14:paraId="394EB9E1" w14:textId="77777777">
                  <w:pPr>
                    <w:pStyle w:val="NoSpacing"/>
                    <w:spacing w:line="360" w:lineRule="auto"/>
                  </w:pPr>
                  <w:r w:rsidRPr="00C868C3">
                    <w:t>EPA</w:t>
                  </w:r>
                </w:p>
              </w:tc>
              <w:tc>
                <w:tcPr>
                  <w:tcW w:w="6689" w:type="dxa"/>
                  <w:shd w:val="clear" w:color="auto" w:fill="auto"/>
                  <w:noWrap/>
                </w:tcPr>
                <w:p w:rsidR="00710692" w:rsidP="00624145" w:rsidRDefault="00710692" w14:paraId="1C3DACE1" w14:textId="77777777">
                  <w:pPr>
                    <w:pStyle w:val="NoSpacing"/>
                    <w:spacing w:line="360" w:lineRule="auto"/>
                  </w:pPr>
                  <w:r w:rsidRPr="00C868C3">
                    <w:t>Environmental Protection Agency</w:t>
                  </w:r>
                </w:p>
              </w:tc>
            </w:tr>
            <w:tr w:rsidRPr="008B3392" w:rsidR="00C51D29" w:rsidTr="00656872" w14:paraId="24A869F6" w14:textId="77777777">
              <w:trPr>
                <w:trHeight w:val="360" w:hRule="exact"/>
              </w:trPr>
              <w:tc>
                <w:tcPr>
                  <w:tcW w:w="2223" w:type="dxa"/>
                  <w:shd w:val="clear" w:color="auto" w:fill="auto"/>
                  <w:noWrap/>
                  <w:hideMark/>
                </w:tcPr>
                <w:p w:rsidRPr="00C868C3" w:rsidR="00C51D29" w:rsidP="00624145" w:rsidRDefault="00D84023" w14:paraId="6A04DA94" w14:textId="66F78CE4">
                  <w:pPr>
                    <w:pStyle w:val="NoSpacing"/>
                    <w:spacing w:line="360" w:lineRule="auto"/>
                  </w:pPr>
                  <w:proofErr w:type="spellStart"/>
                  <w:r>
                    <w:t>EtFOSAA</w:t>
                  </w:r>
                  <w:proofErr w:type="spellEnd"/>
                </w:p>
              </w:tc>
              <w:tc>
                <w:tcPr>
                  <w:tcW w:w="6689" w:type="dxa"/>
                  <w:shd w:val="clear" w:color="auto" w:fill="auto"/>
                  <w:noWrap/>
                  <w:hideMark/>
                </w:tcPr>
                <w:p w:rsidRPr="00C868C3" w:rsidR="00C51D29" w:rsidP="00624145" w:rsidRDefault="00C51D29" w14:paraId="574246F1" w14:textId="07DBCBA5">
                  <w:pPr>
                    <w:pStyle w:val="NoSpacing"/>
                    <w:spacing w:line="360" w:lineRule="auto"/>
                  </w:pPr>
                  <w:r w:rsidRPr="00C868C3">
                    <w:t>N-ethyl</w:t>
                  </w:r>
                  <w:r w:rsidRPr="00D84023" w:rsidR="00D84023">
                    <w:t xml:space="preserve"> </w:t>
                  </w:r>
                  <w:proofErr w:type="spellStart"/>
                  <w:r w:rsidRPr="00D84023" w:rsidR="00D84023">
                    <w:t>perfluorooctanesulfonamidoacetic</w:t>
                  </w:r>
                  <w:proofErr w:type="spellEnd"/>
                  <w:r w:rsidRPr="00C868C3">
                    <w:t xml:space="preserve"> acid</w:t>
                  </w:r>
                </w:p>
              </w:tc>
            </w:tr>
            <w:tr w:rsidRPr="008B3392" w:rsidR="00337CC8" w:rsidTr="00656872" w14:paraId="27487313" w14:textId="77777777">
              <w:trPr>
                <w:trHeight w:val="360" w:hRule="exact"/>
              </w:trPr>
              <w:tc>
                <w:tcPr>
                  <w:tcW w:w="2223" w:type="dxa"/>
                  <w:shd w:val="clear" w:color="auto" w:fill="auto"/>
                  <w:noWrap/>
                </w:tcPr>
                <w:p w:rsidRPr="00C868C3" w:rsidR="00337CC8" w:rsidP="00624145" w:rsidRDefault="00337CC8" w14:paraId="6BF5D71C" w14:textId="77777777">
                  <w:pPr>
                    <w:pStyle w:val="NoSpacing"/>
                    <w:spacing w:line="360" w:lineRule="auto"/>
                  </w:pPr>
                  <w:r>
                    <w:t>FRB</w:t>
                  </w:r>
                </w:p>
              </w:tc>
              <w:tc>
                <w:tcPr>
                  <w:tcW w:w="6689" w:type="dxa"/>
                  <w:shd w:val="clear" w:color="auto" w:fill="auto"/>
                  <w:noWrap/>
                </w:tcPr>
                <w:p w:rsidRPr="00C868C3" w:rsidR="00337CC8" w:rsidP="00624145" w:rsidRDefault="00337CC8" w14:paraId="514A37B8" w14:textId="77777777">
                  <w:pPr>
                    <w:pStyle w:val="NoSpacing"/>
                    <w:spacing w:line="360" w:lineRule="auto"/>
                  </w:pPr>
                  <w:r>
                    <w:t>Field reagent blank</w:t>
                  </w:r>
                </w:p>
              </w:tc>
            </w:tr>
            <w:tr w:rsidRPr="008B3392" w:rsidR="00F55C71" w:rsidTr="00656872" w14:paraId="4A2498D7" w14:textId="77777777">
              <w:trPr>
                <w:trHeight w:val="360" w:hRule="exact"/>
              </w:trPr>
              <w:tc>
                <w:tcPr>
                  <w:tcW w:w="2223" w:type="dxa"/>
                  <w:shd w:val="clear" w:color="auto" w:fill="auto"/>
                  <w:noWrap/>
                </w:tcPr>
                <w:p w:rsidR="00F55C71" w:rsidP="00624145" w:rsidRDefault="005B2011" w14:paraId="21736297" w14:textId="77777777">
                  <w:pPr>
                    <w:pStyle w:val="NoSpacing"/>
                    <w:spacing w:line="360" w:lineRule="auto"/>
                  </w:pPr>
                  <w:proofErr w:type="spellStart"/>
                  <w:r>
                    <w:t>Ft</w:t>
                  </w:r>
                  <w:r w:rsidR="00F55C71">
                    <w:t>S</w:t>
                  </w:r>
                  <w:proofErr w:type="spellEnd"/>
                  <w:r w:rsidR="00F55C71">
                    <w:t xml:space="preserve"> 8:2</w:t>
                  </w:r>
                </w:p>
              </w:tc>
              <w:tc>
                <w:tcPr>
                  <w:tcW w:w="6689" w:type="dxa"/>
                  <w:shd w:val="clear" w:color="auto" w:fill="auto"/>
                  <w:noWrap/>
                </w:tcPr>
                <w:p w:rsidR="00F55C71" w:rsidP="00624145" w:rsidRDefault="005B2011" w14:paraId="629A07A8" w14:textId="77777777">
                  <w:pPr>
                    <w:pStyle w:val="NoSpacing"/>
                    <w:spacing w:line="360" w:lineRule="auto"/>
                  </w:pPr>
                  <w:r>
                    <w:rPr>
                      <w:rFonts w:eastAsia="Times New Roman"/>
                      <w:color w:val="000000"/>
                    </w:rPr>
                    <w:t>f</w:t>
                  </w:r>
                  <w:r w:rsidRPr="00C1486F">
                    <w:rPr>
                      <w:rFonts w:eastAsia="Times New Roman"/>
                      <w:color w:val="000000"/>
                    </w:rPr>
                    <w:t>luorotelomer sul</w:t>
                  </w:r>
                  <w:r>
                    <w:rPr>
                      <w:rFonts w:eastAsia="Times New Roman"/>
                      <w:color w:val="000000"/>
                    </w:rPr>
                    <w:t>f</w:t>
                  </w:r>
                  <w:r w:rsidRPr="00C1486F">
                    <w:rPr>
                      <w:rFonts w:eastAsia="Times New Roman"/>
                      <w:color w:val="000000"/>
                    </w:rPr>
                    <w:t>onic acid 8:2</w:t>
                  </w:r>
                </w:p>
              </w:tc>
            </w:tr>
            <w:tr w:rsidRPr="008B3392" w:rsidR="00F55C71" w:rsidTr="00656872" w14:paraId="3C606FF7" w14:textId="77777777">
              <w:trPr>
                <w:trHeight w:val="360" w:hRule="exact"/>
              </w:trPr>
              <w:tc>
                <w:tcPr>
                  <w:tcW w:w="2223" w:type="dxa"/>
                  <w:shd w:val="clear" w:color="auto" w:fill="auto"/>
                  <w:noWrap/>
                </w:tcPr>
                <w:p w:rsidR="00F55C71" w:rsidP="00624145" w:rsidRDefault="005B2011" w14:paraId="79083DA7" w14:textId="77777777">
                  <w:pPr>
                    <w:pStyle w:val="NoSpacing"/>
                    <w:spacing w:line="360" w:lineRule="auto"/>
                  </w:pPr>
                  <w:proofErr w:type="spellStart"/>
                  <w:r>
                    <w:t>Ft</w:t>
                  </w:r>
                  <w:r w:rsidR="00F55C71">
                    <w:t>S</w:t>
                  </w:r>
                  <w:proofErr w:type="spellEnd"/>
                  <w:r w:rsidR="00F55C71">
                    <w:t xml:space="preserve"> 6:2</w:t>
                  </w:r>
                </w:p>
              </w:tc>
              <w:tc>
                <w:tcPr>
                  <w:tcW w:w="6689" w:type="dxa"/>
                  <w:shd w:val="clear" w:color="auto" w:fill="auto"/>
                  <w:noWrap/>
                </w:tcPr>
                <w:p w:rsidR="00F55C71" w:rsidP="00624145" w:rsidRDefault="005B2011" w14:paraId="4C322FCC" w14:textId="77777777">
                  <w:pPr>
                    <w:pStyle w:val="NoSpacing"/>
                    <w:spacing w:line="360" w:lineRule="auto"/>
                  </w:pPr>
                  <w:r>
                    <w:t>fluorotelomer sulfonic acid 6:2</w:t>
                  </w:r>
                </w:p>
              </w:tc>
            </w:tr>
            <w:tr w:rsidRPr="008B3392" w:rsidR="00F55C71" w:rsidTr="00656872" w14:paraId="59E7E5CB" w14:textId="77777777">
              <w:trPr>
                <w:trHeight w:val="360" w:hRule="exact"/>
              </w:trPr>
              <w:tc>
                <w:tcPr>
                  <w:tcW w:w="2223" w:type="dxa"/>
                  <w:shd w:val="clear" w:color="auto" w:fill="auto"/>
                  <w:noWrap/>
                </w:tcPr>
                <w:p w:rsidR="00F55C71" w:rsidP="00624145" w:rsidRDefault="005B2011" w14:paraId="5AB41BD0" w14:textId="77777777">
                  <w:pPr>
                    <w:pStyle w:val="NoSpacing"/>
                    <w:spacing w:line="360" w:lineRule="auto"/>
                  </w:pPr>
                  <w:proofErr w:type="spellStart"/>
                  <w:r>
                    <w:t>Ft</w:t>
                  </w:r>
                  <w:r w:rsidR="00F55C71">
                    <w:t>S</w:t>
                  </w:r>
                  <w:proofErr w:type="spellEnd"/>
                  <w:r w:rsidR="00F55C71">
                    <w:t xml:space="preserve"> 4:2</w:t>
                  </w:r>
                </w:p>
              </w:tc>
              <w:tc>
                <w:tcPr>
                  <w:tcW w:w="6689" w:type="dxa"/>
                  <w:shd w:val="clear" w:color="auto" w:fill="auto"/>
                  <w:noWrap/>
                </w:tcPr>
                <w:p w:rsidR="00F55C71" w:rsidP="00624145" w:rsidRDefault="005B2011" w14:paraId="4A9BE689" w14:textId="77777777">
                  <w:pPr>
                    <w:pStyle w:val="NoSpacing"/>
                    <w:spacing w:line="360" w:lineRule="auto"/>
                  </w:pPr>
                  <w:r>
                    <w:t>fluorotelomer sulfonic acid 4:2</w:t>
                  </w:r>
                </w:p>
              </w:tc>
            </w:tr>
            <w:tr w:rsidRPr="008B3392" w:rsidR="00C51D29" w:rsidTr="00656872" w14:paraId="686DBF15" w14:textId="77777777">
              <w:trPr>
                <w:trHeight w:val="360" w:hRule="exact"/>
              </w:trPr>
              <w:tc>
                <w:tcPr>
                  <w:tcW w:w="2223" w:type="dxa"/>
                  <w:shd w:val="clear" w:color="auto" w:fill="auto"/>
                  <w:noWrap/>
                  <w:hideMark/>
                </w:tcPr>
                <w:p w:rsidRPr="00C868C3" w:rsidR="00C51D29" w:rsidP="00624145" w:rsidRDefault="00C51D29" w14:paraId="30677649" w14:textId="77777777">
                  <w:pPr>
                    <w:pStyle w:val="NoSpacing"/>
                    <w:spacing w:line="360" w:lineRule="auto"/>
                  </w:pPr>
                  <w:r w:rsidRPr="00C868C3">
                    <w:t xml:space="preserve">g </w:t>
                  </w:r>
                </w:p>
              </w:tc>
              <w:tc>
                <w:tcPr>
                  <w:tcW w:w="6689" w:type="dxa"/>
                  <w:shd w:val="clear" w:color="auto" w:fill="auto"/>
                  <w:noWrap/>
                  <w:hideMark/>
                </w:tcPr>
                <w:p w:rsidRPr="00C868C3" w:rsidR="00C51D29" w:rsidP="00624145" w:rsidRDefault="00026C63" w14:paraId="0C31AAAF" w14:textId="77777777">
                  <w:pPr>
                    <w:pStyle w:val="NoSpacing"/>
                    <w:spacing w:line="360" w:lineRule="auto"/>
                  </w:pPr>
                  <w:r>
                    <w:t>G</w:t>
                  </w:r>
                  <w:r w:rsidRPr="00C868C3" w:rsidR="00C51D29">
                    <w:t>ram</w:t>
                  </w:r>
                </w:p>
              </w:tc>
            </w:tr>
            <w:tr w:rsidRPr="008B3392" w:rsidR="00C51D29" w:rsidTr="00656872" w14:paraId="3695DA3F" w14:textId="77777777">
              <w:trPr>
                <w:trHeight w:val="360" w:hRule="exact"/>
              </w:trPr>
              <w:tc>
                <w:tcPr>
                  <w:tcW w:w="2223" w:type="dxa"/>
                  <w:shd w:val="clear" w:color="auto" w:fill="auto"/>
                  <w:noWrap/>
                  <w:hideMark/>
                </w:tcPr>
                <w:p w:rsidRPr="00C868C3" w:rsidR="00C51D29" w:rsidP="00624145" w:rsidRDefault="00C51D29" w14:paraId="55487BB8" w14:textId="77777777">
                  <w:pPr>
                    <w:pStyle w:val="NoSpacing"/>
                    <w:spacing w:line="360" w:lineRule="auto"/>
                  </w:pPr>
                  <w:r w:rsidRPr="00C868C3">
                    <w:t>GGT</w:t>
                  </w:r>
                </w:p>
              </w:tc>
              <w:tc>
                <w:tcPr>
                  <w:tcW w:w="6689" w:type="dxa"/>
                  <w:shd w:val="clear" w:color="auto" w:fill="auto"/>
                  <w:noWrap/>
                  <w:hideMark/>
                </w:tcPr>
                <w:p w:rsidRPr="00C868C3" w:rsidR="00C51D29" w:rsidP="00624145" w:rsidRDefault="00C51D29" w14:paraId="58BF1BAE" w14:textId="77777777">
                  <w:pPr>
                    <w:pStyle w:val="NoSpacing"/>
                    <w:spacing w:line="360" w:lineRule="auto"/>
                  </w:pPr>
                  <w:r w:rsidRPr="00C868C3">
                    <w:t>Gamma-glutamyl transferase</w:t>
                  </w:r>
                </w:p>
              </w:tc>
            </w:tr>
            <w:tr w:rsidRPr="008B3392" w:rsidR="00C51D29" w:rsidTr="00656872" w14:paraId="2DDD5192" w14:textId="77777777">
              <w:trPr>
                <w:trHeight w:val="360" w:hRule="exact"/>
              </w:trPr>
              <w:tc>
                <w:tcPr>
                  <w:tcW w:w="2223" w:type="dxa"/>
                  <w:shd w:val="clear" w:color="auto" w:fill="auto"/>
                  <w:noWrap/>
                  <w:hideMark/>
                </w:tcPr>
                <w:p w:rsidRPr="00C868C3" w:rsidR="00C51D29" w:rsidP="00624145" w:rsidRDefault="00C51D29" w14:paraId="2DE27C47" w14:textId="77777777">
                  <w:pPr>
                    <w:pStyle w:val="NoSpacing"/>
                    <w:spacing w:line="360" w:lineRule="auto"/>
                  </w:pPr>
                  <w:r w:rsidRPr="00C868C3">
                    <w:t xml:space="preserve">HDL </w:t>
                  </w:r>
                </w:p>
              </w:tc>
              <w:tc>
                <w:tcPr>
                  <w:tcW w:w="6689" w:type="dxa"/>
                  <w:shd w:val="clear" w:color="auto" w:fill="auto"/>
                  <w:noWrap/>
                  <w:hideMark/>
                </w:tcPr>
                <w:p w:rsidRPr="00C868C3" w:rsidR="00C51D29" w:rsidP="00624145" w:rsidRDefault="00026C63" w14:paraId="64C67E04" w14:textId="77777777">
                  <w:pPr>
                    <w:pStyle w:val="NoSpacing"/>
                    <w:spacing w:line="360" w:lineRule="auto"/>
                  </w:pPr>
                  <w:r>
                    <w:t>H</w:t>
                  </w:r>
                  <w:r w:rsidRPr="00C868C3" w:rsidR="00C51D29">
                    <w:t>igh density lipoprotein</w:t>
                  </w:r>
                </w:p>
              </w:tc>
            </w:tr>
            <w:tr w:rsidRPr="008B3392" w:rsidR="00F55C71" w:rsidTr="00656872" w14:paraId="79A873C2" w14:textId="77777777">
              <w:trPr>
                <w:trHeight w:val="360" w:hRule="exact"/>
              </w:trPr>
              <w:tc>
                <w:tcPr>
                  <w:tcW w:w="2223" w:type="dxa"/>
                  <w:shd w:val="clear" w:color="auto" w:fill="auto"/>
                  <w:noWrap/>
                </w:tcPr>
                <w:p w:rsidRPr="00C868C3" w:rsidR="00F55C71" w:rsidP="00624145" w:rsidRDefault="00F55C71" w14:paraId="1E8F1A05" w14:textId="77777777">
                  <w:pPr>
                    <w:pStyle w:val="NoSpacing"/>
                    <w:spacing w:line="360" w:lineRule="auto"/>
                  </w:pPr>
                  <w:r>
                    <w:t>HFPO-DA</w:t>
                  </w:r>
                  <w:r w:rsidR="005B2011">
                    <w:t xml:space="preserve"> (</w:t>
                  </w:r>
                  <w:proofErr w:type="spellStart"/>
                  <w:r w:rsidR="005B2011">
                    <w:t>GenX</w:t>
                  </w:r>
                  <w:proofErr w:type="spellEnd"/>
                  <w:r w:rsidR="005B2011">
                    <w:t>)</w:t>
                  </w:r>
                </w:p>
              </w:tc>
              <w:tc>
                <w:tcPr>
                  <w:tcW w:w="6689" w:type="dxa"/>
                  <w:shd w:val="clear" w:color="auto" w:fill="auto"/>
                  <w:noWrap/>
                </w:tcPr>
                <w:p w:rsidR="00F55C71" w:rsidP="00624145" w:rsidRDefault="005B2011" w14:paraId="72E5EC55" w14:textId="77777777">
                  <w:pPr>
                    <w:pStyle w:val="NoSpacing"/>
                    <w:spacing w:line="360" w:lineRule="auto"/>
                  </w:pPr>
                  <w:r>
                    <w:rPr>
                      <w:rFonts w:ascii="Calibri" w:hAnsi="Calibri" w:eastAsia="Times New Roman" w:cs="Calibri"/>
                      <w:color w:val="000000"/>
                    </w:rPr>
                    <w:t>hexafluoropropylene oxide dimer acid</w:t>
                  </w:r>
                </w:p>
              </w:tc>
            </w:tr>
            <w:tr w:rsidRPr="008B3392" w:rsidR="00D237D4" w:rsidTr="00656872" w14:paraId="43DCE9C7" w14:textId="77777777">
              <w:trPr>
                <w:trHeight w:val="360" w:hRule="exact"/>
              </w:trPr>
              <w:tc>
                <w:tcPr>
                  <w:tcW w:w="2223" w:type="dxa"/>
                  <w:shd w:val="clear" w:color="auto" w:fill="auto"/>
                  <w:noWrap/>
                </w:tcPr>
                <w:p w:rsidR="00D237D4" w:rsidP="00624145" w:rsidRDefault="00D237D4" w14:paraId="191D42F0" w14:textId="768B5A4E">
                  <w:pPr>
                    <w:pStyle w:val="NoSpacing"/>
                    <w:spacing w:line="360" w:lineRule="auto"/>
                  </w:pPr>
                  <w:r>
                    <w:t>ICC</w:t>
                  </w:r>
                </w:p>
              </w:tc>
              <w:tc>
                <w:tcPr>
                  <w:tcW w:w="6689" w:type="dxa"/>
                  <w:shd w:val="clear" w:color="auto" w:fill="auto"/>
                  <w:noWrap/>
                </w:tcPr>
                <w:p w:rsidR="00D237D4" w:rsidP="00624145" w:rsidRDefault="00D237D4" w14:paraId="129D9EAC" w14:textId="0DB46766">
                  <w:pPr>
                    <w:pStyle w:val="NoSpacing"/>
                    <w:spacing w:line="360" w:lineRule="auto"/>
                    <w:rPr>
                      <w:rFonts w:ascii="Calibri" w:hAnsi="Calibri" w:eastAsia="Times New Roman" w:cs="Calibri"/>
                      <w:color w:val="000000"/>
                    </w:rPr>
                  </w:pPr>
                  <w:r>
                    <w:rPr>
                      <w:rFonts w:ascii="Calibri" w:hAnsi="Calibri" w:eastAsia="Times New Roman" w:cs="Calibri"/>
                      <w:color w:val="000000"/>
                    </w:rPr>
                    <w:t>intra-cluster correlation coefficient</w:t>
                  </w:r>
                </w:p>
              </w:tc>
            </w:tr>
            <w:tr w:rsidRPr="008B3392" w:rsidR="00C51D29" w:rsidTr="00656872" w14:paraId="3337A27C" w14:textId="77777777">
              <w:trPr>
                <w:trHeight w:val="360" w:hRule="exact"/>
              </w:trPr>
              <w:tc>
                <w:tcPr>
                  <w:tcW w:w="2223" w:type="dxa"/>
                  <w:shd w:val="clear" w:color="auto" w:fill="auto"/>
                  <w:noWrap/>
                  <w:hideMark/>
                </w:tcPr>
                <w:p w:rsidRPr="00C868C3" w:rsidR="00C51D29" w:rsidP="00624145" w:rsidRDefault="00337CC8" w14:paraId="4E6DD57B" w14:textId="77777777">
                  <w:pPr>
                    <w:pStyle w:val="NoSpacing"/>
                    <w:spacing w:line="360" w:lineRule="auto"/>
                  </w:pPr>
                  <w:r>
                    <w:t>L</w:t>
                  </w:r>
                </w:p>
              </w:tc>
              <w:tc>
                <w:tcPr>
                  <w:tcW w:w="6689" w:type="dxa"/>
                  <w:shd w:val="clear" w:color="auto" w:fill="auto"/>
                  <w:noWrap/>
                  <w:hideMark/>
                </w:tcPr>
                <w:p w:rsidRPr="00C868C3" w:rsidR="00C51D29" w:rsidP="00624145" w:rsidRDefault="00337CC8" w14:paraId="66A3C133" w14:textId="77777777">
                  <w:pPr>
                    <w:pStyle w:val="NoSpacing"/>
                    <w:spacing w:line="360" w:lineRule="auto"/>
                  </w:pPr>
                  <w:r>
                    <w:t>Liter</w:t>
                  </w:r>
                </w:p>
              </w:tc>
            </w:tr>
            <w:tr w:rsidRPr="008B3392" w:rsidR="00710692" w:rsidTr="00656872" w14:paraId="777077B2" w14:textId="77777777">
              <w:trPr>
                <w:trHeight w:val="360" w:hRule="exact"/>
              </w:trPr>
              <w:tc>
                <w:tcPr>
                  <w:tcW w:w="2223" w:type="dxa"/>
                  <w:shd w:val="clear" w:color="auto" w:fill="auto"/>
                  <w:noWrap/>
                </w:tcPr>
                <w:p w:rsidR="00710692" w:rsidP="00624145" w:rsidRDefault="00710692" w14:paraId="78614A88" w14:textId="77777777">
                  <w:pPr>
                    <w:pStyle w:val="NoSpacing"/>
                    <w:spacing w:line="360" w:lineRule="auto"/>
                  </w:pPr>
                  <w:r w:rsidRPr="00C868C3">
                    <w:t>LDL</w:t>
                  </w:r>
                </w:p>
              </w:tc>
              <w:tc>
                <w:tcPr>
                  <w:tcW w:w="6689" w:type="dxa"/>
                  <w:shd w:val="clear" w:color="auto" w:fill="auto"/>
                  <w:noWrap/>
                </w:tcPr>
                <w:p w:rsidR="00710692" w:rsidP="00624145" w:rsidRDefault="00710692" w14:paraId="47753B4B" w14:textId="77777777">
                  <w:pPr>
                    <w:pStyle w:val="NoSpacing"/>
                    <w:spacing w:line="360" w:lineRule="auto"/>
                  </w:pPr>
                  <w:r>
                    <w:t>L</w:t>
                  </w:r>
                  <w:r w:rsidRPr="00C868C3">
                    <w:t>ow density lipoprotein</w:t>
                  </w:r>
                </w:p>
              </w:tc>
            </w:tr>
            <w:tr w:rsidRPr="008B3392" w:rsidR="00337CC8" w:rsidTr="00656872" w14:paraId="270CA2D8" w14:textId="77777777">
              <w:trPr>
                <w:trHeight w:val="360" w:hRule="exact"/>
              </w:trPr>
              <w:tc>
                <w:tcPr>
                  <w:tcW w:w="2223" w:type="dxa"/>
                  <w:shd w:val="clear" w:color="auto" w:fill="auto"/>
                  <w:noWrap/>
                </w:tcPr>
                <w:p w:rsidR="00337CC8" w:rsidP="00624145" w:rsidRDefault="00337CC8" w14:paraId="30ACE47F" w14:textId="77777777">
                  <w:pPr>
                    <w:pStyle w:val="NoSpacing"/>
                    <w:spacing w:line="360" w:lineRule="auto"/>
                  </w:pPr>
                  <w:r>
                    <w:t>LOD</w:t>
                  </w:r>
                </w:p>
              </w:tc>
              <w:tc>
                <w:tcPr>
                  <w:tcW w:w="6689" w:type="dxa"/>
                  <w:shd w:val="clear" w:color="auto" w:fill="auto"/>
                  <w:noWrap/>
                </w:tcPr>
                <w:p w:rsidR="00337CC8" w:rsidP="00624145" w:rsidRDefault="00337CC8" w14:paraId="73C6A749" w14:textId="77777777">
                  <w:pPr>
                    <w:pStyle w:val="NoSpacing"/>
                    <w:spacing w:line="360" w:lineRule="auto"/>
                  </w:pPr>
                  <w:r>
                    <w:t>Limit of detection</w:t>
                  </w:r>
                </w:p>
              </w:tc>
            </w:tr>
            <w:tr w:rsidRPr="008B3392" w:rsidR="00C51D29" w:rsidTr="00656872" w14:paraId="0E6E6543" w14:textId="77777777">
              <w:trPr>
                <w:trHeight w:val="360" w:hRule="exact"/>
              </w:trPr>
              <w:tc>
                <w:tcPr>
                  <w:tcW w:w="2223" w:type="dxa"/>
                  <w:shd w:val="clear" w:color="auto" w:fill="auto"/>
                  <w:noWrap/>
                  <w:hideMark/>
                </w:tcPr>
                <w:p w:rsidRPr="00C868C3" w:rsidR="00C51D29" w:rsidP="00624145" w:rsidRDefault="00D84023" w14:paraId="2ACFEDBF" w14:textId="162037E2">
                  <w:pPr>
                    <w:pStyle w:val="NoSpacing"/>
                    <w:spacing w:line="360" w:lineRule="auto"/>
                  </w:pPr>
                  <w:proofErr w:type="spellStart"/>
                  <w:r>
                    <w:t>MeFOSAA</w:t>
                  </w:r>
                  <w:proofErr w:type="spellEnd"/>
                </w:p>
              </w:tc>
              <w:tc>
                <w:tcPr>
                  <w:tcW w:w="6689" w:type="dxa"/>
                  <w:shd w:val="clear" w:color="auto" w:fill="auto"/>
                  <w:hideMark/>
                </w:tcPr>
                <w:p w:rsidRPr="00C868C3" w:rsidR="00C51D29" w:rsidP="00624145" w:rsidRDefault="00C51D29" w14:paraId="05E0717C" w14:textId="004EA0DE">
                  <w:pPr>
                    <w:pStyle w:val="NoSpacing"/>
                    <w:spacing w:line="360" w:lineRule="auto"/>
                  </w:pPr>
                  <w:r w:rsidRPr="009022B2">
                    <w:t>N-methyl</w:t>
                  </w:r>
                  <w:r w:rsidRPr="00755BC6" w:rsidR="00D84023">
                    <w:rPr>
                      <w:rFonts w:ascii="Calibri" w:hAnsi="Calibri" w:eastAsia="Times New Roman" w:cs="Calibri"/>
                      <w:color w:val="000000"/>
                    </w:rPr>
                    <w:t xml:space="preserve"> </w:t>
                  </w:r>
                  <w:proofErr w:type="spellStart"/>
                  <w:r w:rsidRPr="00755BC6" w:rsidR="00D84023">
                    <w:rPr>
                      <w:rFonts w:ascii="Calibri" w:hAnsi="Calibri" w:eastAsia="Times New Roman" w:cs="Calibri"/>
                      <w:color w:val="000000"/>
                    </w:rPr>
                    <w:t>perfluorooctanesulfonamidoacetic</w:t>
                  </w:r>
                  <w:proofErr w:type="spellEnd"/>
                  <w:r w:rsidRPr="009022B2">
                    <w:t xml:space="preserve"> acid</w:t>
                  </w:r>
                </w:p>
              </w:tc>
            </w:tr>
            <w:tr w:rsidRPr="008B3392" w:rsidR="00337CC8" w:rsidTr="00656872" w14:paraId="4B3161CC" w14:textId="77777777">
              <w:trPr>
                <w:trHeight w:val="360" w:hRule="exact"/>
              </w:trPr>
              <w:tc>
                <w:tcPr>
                  <w:tcW w:w="2223" w:type="dxa"/>
                  <w:shd w:val="clear" w:color="auto" w:fill="auto"/>
                  <w:noWrap/>
                </w:tcPr>
                <w:p w:rsidRPr="00C868C3" w:rsidR="00337CC8" w:rsidP="00624145" w:rsidRDefault="000D31CB" w14:paraId="3C2F6C32" w14:textId="5A1D408A">
                  <w:pPr>
                    <w:pStyle w:val="NoSpacing"/>
                    <w:spacing w:line="360" w:lineRule="auto"/>
                  </w:pPr>
                  <w:r>
                    <w:t>M</w:t>
                  </w:r>
                  <w:r w:rsidR="00337CC8">
                    <w:t>g</w:t>
                  </w:r>
                </w:p>
              </w:tc>
              <w:tc>
                <w:tcPr>
                  <w:tcW w:w="6689" w:type="dxa"/>
                  <w:shd w:val="clear" w:color="auto" w:fill="auto"/>
                </w:tcPr>
                <w:p w:rsidRPr="00C868C3" w:rsidR="00337CC8" w:rsidP="00337CC8" w:rsidRDefault="00337CC8" w14:paraId="02567E21" w14:textId="77777777">
                  <w:pPr>
                    <w:pStyle w:val="NoSpacing"/>
                    <w:spacing w:line="360" w:lineRule="auto"/>
                  </w:pPr>
                  <w:r>
                    <w:t>Milligrams</w:t>
                  </w:r>
                </w:p>
              </w:tc>
            </w:tr>
            <w:tr w:rsidRPr="008B3392" w:rsidR="00C51D29" w:rsidTr="00656872" w14:paraId="6B2C5B10" w14:textId="77777777">
              <w:trPr>
                <w:trHeight w:val="360" w:hRule="exact"/>
              </w:trPr>
              <w:tc>
                <w:tcPr>
                  <w:tcW w:w="2223" w:type="dxa"/>
                  <w:shd w:val="clear" w:color="auto" w:fill="auto"/>
                  <w:noWrap/>
                  <w:hideMark/>
                </w:tcPr>
                <w:p w:rsidRPr="00C868C3" w:rsidR="00C51D29" w:rsidP="00337CC8" w:rsidRDefault="00754FCA" w14:paraId="4081B697" w14:textId="77777777">
                  <w:pPr>
                    <w:pStyle w:val="NoSpacing"/>
                    <w:spacing w:line="360" w:lineRule="auto"/>
                  </w:pPr>
                  <w:r>
                    <w:t>m</w:t>
                  </w:r>
                  <w:r w:rsidR="00337CC8">
                    <w:t>L</w:t>
                  </w:r>
                </w:p>
              </w:tc>
              <w:tc>
                <w:tcPr>
                  <w:tcW w:w="6689" w:type="dxa"/>
                  <w:shd w:val="clear" w:color="auto" w:fill="auto"/>
                  <w:noWrap/>
                  <w:hideMark/>
                </w:tcPr>
                <w:p w:rsidRPr="00C868C3" w:rsidR="00C51D29" w:rsidP="00624145" w:rsidRDefault="008A7D07" w14:paraId="4B46836A" w14:textId="77777777">
                  <w:pPr>
                    <w:pStyle w:val="NoSpacing"/>
                    <w:spacing w:line="360" w:lineRule="auto"/>
                  </w:pPr>
                  <w:r>
                    <w:t>M</w:t>
                  </w:r>
                  <w:r w:rsidRPr="00C868C3">
                    <w:t>il</w:t>
                  </w:r>
                  <w:r>
                    <w:t>l</w:t>
                  </w:r>
                  <w:r w:rsidRPr="00C868C3">
                    <w:t>iliter</w:t>
                  </w:r>
                </w:p>
              </w:tc>
            </w:tr>
            <w:tr w:rsidRPr="008B3392" w:rsidR="00C51D29" w:rsidTr="00656872" w14:paraId="413A8918" w14:textId="77777777">
              <w:trPr>
                <w:trHeight w:val="360" w:hRule="exact"/>
              </w:trPr>
              <w:tc>
                <w:tcPr>
                  <w:tcW w:w="2223" w:type="dxa"/>
                  <w:shd w:val="clear" w:color="auto" w:fill="auto"/>
                  <w:noWrap/>
                  <w:hideMark/>
                </w:tcPr>
                <w:p w:rsidRPr="00C868C3" w:rsidR="00C51D29" w:rsidP="00624145" w:rsidRDefault="00C51D29" w14:paraId="1FAE61B0" w14:textId="77777777">
                  <w:pPr>
                    <w:pStyle w:val="NoSpacing"/>
                    <w:spacing w:line="360" w:lineRule="auto"/>
                  </w:pPr>
                  <w:r w:rsidRPr="00C868C3">
                    <w:t>MRL</w:t>
                  </w:r>
                </w:p>
              </w:tc>
              <w:tc>
                <w:tcPr>
                  <w:tcW w:w="6689" w:type="dxa"/>
                  <w:shd w:val="clear" w:color="auto" w:fill="auto"/>
                  <w:noWrap/>
                  <w:hideMark/>
                </w:tcPr>
                <w:p w:rsidRPr="00C868C3" w:rsidR="00C51D29" w:rsidP="00624145" w:rsidRDefault="00026C63" w14:paraId="7FE64D90" w14:textId="77777777">
                  <w:pPr>
                    <w:pStyle w:val="NoSpacing"/>
                    <w:spacing w:line="360" w:lineRule="auto"/>
                  </w:pPr>
                  <w:r>
                    <w:t>M</w:t>
                  </w:r>
                  <w:r w:rsidRPr="00C868C3" w:rsidR="00C51D29">
                    <w:t>inimum risk level</w:t>
                  </w:r>
                </w:p>
              </w:tc>
            </w:tr>
            <w:tr w:rsidRPr="008B3392" w:rsidR="005B2011" w:rsidTr="00656872" w14:paraId="6C16A35D" w14:textId="77777777">
              <w:trPr>
                <w:trHeight w:val="360" w:hRule="exact"/>
              </w:trPr>
              <w:tc>
                <w:tcPr>
                  <w:tcW w:w="2223" w:type="dxa"/>
                  <w:shd w:val="clear" w:color="auto" w:fill="auto"/>
                  <w:noWrap/>
                </w:tcPr>
                <w:p w:rsidRPr="00C868C3" w:rsidR="005B2011" w:rsidP="00624145" w:rsidRDefault="005B2011" w14:paraId="7DAA3A40" w14:textId="77777777">
                  <w:pPr>
                    <w:pStyle w:val="NoSpacing"/>
                    <w:spacing w:line="360" w:lineRule="auto"/>
                  </w:pPr>
                  <w:r>
                    <w:t>n-PFOA</w:t>
                  </w:r>
                </w:p>
              </w:tc>
              <w:tc>
                <w:tcPr>
                  <w:tcW w:w="6689" w:type="dxa"/>
                  <w:shd w:val="clear" w:color="auto" w:fill="auto"/>
                  <w:noWrap/>
                </w:tcPr>
                <w:p w:rsidR="005B2011" w:rsidP="00624145" w:rsidRDefault="005B2011" w14:paraId="0689B5F8" w14:textId="77777777">
                  <w:pPr>
                    <w:pStyle w:val="NoSpacing"/>
                    <w:spacing w:line="360" w:lineRule="auto"/>
                  </w:pPr>
                  <w:r>
                    <w:rPr>
                      <w:rFonts w:cs="Arial"/>
                      <w:color w:val="000000"/>
                    </w:rPr>
                    <w:t>ammonium perfluorooctanoate</w:t>
                  </w:r>
                </w:p>
              </w:tc>
            </w:tr>
            <w:tr w:rsidRPr="008B3392" w:rsidR="005B2011" w:rsidTr="00656872" w14:paraId="7BF0312B" w14:textId="77777777">
              <w:trPr>
                <w:trHeight w:val="360" w:hRule="exact"/>
              </w:trPr>
              <w:tc>
                <w:tcPr>
                  <w:tcW w:w="2223" w:type="dxa"/>
                  <w:shd w:val="clear" w:color="auto" w:fill="auto"/>
                  <w:noWrap/>
                </w:tcPr>
                <w:p w:rsidRPr="00C868C3" w:rsidR="005B2011" w:rsidP="00624145" w:rsidRDefault="005B2011" w14:paraId="3B86106F" w14:textId="77777777">
                  <w:pPr>
                    <w:pStyle w:val="NoSpacing"/>
                    <w:spacing w:line="360" w:lineRule="auto"/>
                  </w:pPr>
                  <w:r>
                    <w:t>n-PFOS</w:t>
                  </w:r>
                </w:p>
              </w:tc>
              <w:tc>
                <w:tcPr>
                  <w:tcW w:w="6689" w:type="dxa"/>
                  <w:shd w:val="clear" w:color="auto" w:fill="auto"/>
                  <w:noWrap/>
                </w:tcPr>
                <w:p w:rsidR="005B2011" w:rsidP="00624145" w:rsidRDefault="005B2011" w14:paraId="213150A9" w14:textId="77777777">
                  <w:pPr>
                    <w:pStyle w:val="NoSpacing"/>
                    <w:spacing w:line="360" w:lineRule="auto"/>
                  </w:pPr>
                  <w:r w:rsidRPr="00643526">
                    <w:rPr>
                      <w:rFonts w:cs="Arial"/>
                      <w:color w:val="000000"/>
                    </w:rPr>
                    <w:t>sodium perfluoro-1-octanesulfonate</w:t>
                  </w:r>
                </w:p>
              </w:tc>
            </w:tr>
            <w:tr w:rsidRPr="008B3392" w:rsidR="00C51D29" w:rsidTr="00656872" w14:paraId="272DBD00" w14:textId="77777777">
              <w:trPr>
                <w:trHeight w:val="360" w:hRule="exact"/>
              </w:trPr>
              <w:tc>
                <w:tcPr>
                  <w:tcW w:w="2223" w:type="dxa"/>
                  <w:shd w:val="clear" w:color="auto" w:fill="auto"/>
                  <w:noWrap/>
                  <w:hideMark/>
                </w:tcPr>
                <w:p w:rsidRPr="00C868C3" w:rsidR="00C51D29" w:rsidP="00624145" w:rsidRDefault="00C51D29" w14:paraId="489B2D4A" w14:textId="77777777">
                  <w:pPr>
                    <w:pStyle w:val="NoSpacing"/>
                    <w:spacing w:line="360" w:lineRule="auto"/>
                  </w:pPr>
                  <w:r w:rsidRPr="00C868C3">
                    <w:t>NCEH</w:t>
                  </w:r>
                </w:p>
              </w:tc>
              <w:tc>
                <w:tcPr>
                  <w:tcW w:w="6689" w:type="dxa"/>
                  <w:shd w:val="clear" w:color="auto" w:fill="auto"/>
                  <w:noWrap/>
                  <w:hideMark/>
                </w:tcPr>
                <w:p w:rsidRPr="00C868C3" w:rsidR="00C51D29" w:rsidP="00624145" w:rsidRDefault="00C51D29" w14:paraId="042554AA" w14:textId="77777777">
                  <w:pPr>
                    <w:pStyle w:val="NoSpacing"/>
                    <w:spacing w:line="360" w:lineRule="auto"/>
                  </w:pPr>
                  <w:r w:rsidRPr="00C868C3">
                    <w:t>National Center for Environmental Health</w:t>
                  </w:r>
                </w:p>
              </w:tc>
            </w:tr>
            <w:tr w:rsidRPr="008B3392" w:rsidR="00F2072F" w:rsidTr="00656872" w14:paraId="36C9C19B" w14:textId="77777777">
              <w:trPr>
                <w:trHeight w:val="360" w:hRule="exact"/>
              </w:trPr>
              <w:tc>
                <w:tcPr>
                  <w:tcW w:w="2223" w:type="dxa"/>
                  <w:shd w:val="clear" w:color="auto" w:fill="auto"/>
                  <w:noWrap/>
                </w:tcPr>
                <w:p w:rsidRPr="00C868C3" w:rsidR="00F2072F" w:rsidP="00624145" w:rsidRDefault="00F2072F" w14:paraId="20B8682B" w14:textId="77777777">
                  <w:pPr>
                    <w:pStyle w:val="NoSpacing"/>
                    <w:spacing w:line="360" w:lineRule="auto"/>
                  </w:pPr>
                  <w:r>
                    <w:lastRenderedPageBreak/>
                    <w:t>NDAA</w:t>
                  </w:r>
                </w:p>
              </w:tc>
              <w:tc>
                <w:tcPr>
                  <w:tcW w:w="6689" w:type="dxa"/>
                  <w:shd w:val="clear" w:color="auto" w:fill="auto"/>
                  <w:noWrap/>
                </w:tcPr>
                <w:p w:rsidRPr="00C868C3" w:rsidR="00F2072F" w:rsidP="00624145" w:rsidRDefault="00F2072F" w14:paraId="5D80F1D1" w14:textId="77777777">
                  <w:pPr>
                    <w:pStyle w:val="NoSpacing"/>
                    <w:spacing w:line="360" w:lineRule="auto"/>
                  </w:pPr>
                  <w:r>
                    <w:t>National Defense Authorization Act</w:t>
                  </w:r>
                </w:p>
              </w:tc>
            </w:tr>
            <w:tr w:rsidRPr="008B3392" w:rsidR="00C51D29" w:rsidTr="00656872" w14:paraId="7F2FEF6D" w14:textId="77777777">
              <w:trPr>
                <w:trHeight w:val="360" w:hRule="exact"/>
              </w:trPr>
              <w:tc>
                <w:tcPr>
                  <w:tcW w:w="2223" w:type="dxa"/>
                  <w:shd w:val="clear" w:color="auto" w:fill="auto"/>
                  <w:noWrap/>
                  <w:hideMark/>
                </w:tcPr>
                <w:p w:rsidRPr="00C868C3" w:rsidR="00C51D29" w:rsidP="00624145" w:rsidRDefault="000D31CB" w14:paraId="7515399D" w14:textId="5CA3EF4D">
                  <w:pPr>
                    <w:pStyle w:val="NoSpacing"/>
                    <w:spacing w:line="360" w:lineRule="auto"/>
                  </w:pPr>
                  <w:r>
                    <w:t>N</w:t>
                  </w:r>
                  <w:r w:rsidRPr="00C868C3" w:rsidR="00C51D29">
                    <w:t>g</w:t>
                  </w:r>
                </w:p>
              </w:tc>
              <w:tc>
                <w:tcPr>
                  <w:tcW w:w="6689" w:type="dxa"/>
                  <w:shd w:val="clear" w:color="auto" w:fill="auto"/>
                  <w:noWrap/>
                  <w:hideMark/>
                </w:tcPr>
                <w:p w:rsidRPr="00C868C3" w:rsidR="00C51D29" w:rsidP="00624145" w:rsidRDefault="00026C63" w14:paraId="4A5021DD" w14:textId="77777777">
                  <w:pPr>
                    <w:pStyle w:val="NoSpacing"/>
                    <w:spacing w:line="360" w:lineRule="auto"/>
                  </w:pPr>
                  <w:r>
                    <w:t>N</w:t>
                  </w:r>
                  <w:r w:rsidRPr="00C868C3" w:rsidR="00C51D29">
                    <w:t>anogram</w:t>
                  </w:r>
                </w:p>
              </w:tc>
            </w:tr>
            <w:tr w:rsidRPr="008B3392" w:rsidR="00C51D29" w:rsidTr="00656872" w14:paraId="585BF5A1" w14:textId="77777777">
              <w:trPr>
                <w:trHeight w:val="360" w:hRule="exact"/>
              </w:trPr>
              <w:tc>
                <w:tcPr>
                  <w:tcW w:w="2223" w:type="dxa"/>
                  <w:shd w:val="clear" w:color="auto" w:fill="auto"/>
                  <w:noWrap/>
                  <w:hideMark/>
                </w:tcPr>
                <w:p w:rsidRPr="00C868C3" w:rsidR="00C51D29" w:rsidP="00624145" w:rsidRDefault="00C51D29" w14:paraId="6D012820" w14:textId="77777777">
                  <w:pPr>
                    <w:pStyle w:val="NoSpacing"/>
                    <w:spacing w:line="360" w:lineRule="auto"/>
                  </w:pPr>
                  <w:r w:rsidRPr="00C868C3">
                    <w:t>NHANES</w:t>
                  </w:r>
                </w:p>
              </w:tc>
              <w:tc>
                <w:tcPr>
                  <w:tcW w:w="6689" w:type="dxa"/>
                  <w:shd w:val="clear" w:color="auto" w:fill="auto"/>
                  <w:noWrap/>
                  <w:hideMark/>
                </w:tcPr>
                <w:p w:rsidRPr="00C868C3" w:rsidR="00C51D29" w:rsidP="00624145" w:rsidRDefault="00C51D29" w14:paraId="606D3375" w14:textId="77777777">
                  <w:pPr>
                    <w:pStyle w:val="NoSpacing"/>
                    <w:spacing w:line="360" w:lineRule="auto"/>
                  </w:pPr>
                  <w:r w:rsidRPr="00C868C3">
                    <w:t>National Health and Nutrition Examination Survey</w:t>
                  </w:r>
                </w:p>
              </w:tc>
            </w:tr>
            <w:tr w:rsidRPr="008B3392" w:rsidR="00C51D29" w:rsidTr="00656872" w14:paraId="6EB0EB92" w14:textId="77777777">
              <w:trPr>
                <w:trHeight w:val="360" w:hRule="exact"/>
              </w:trPr>
              <w:tc>
                <w:tcPr>
                  <w:tcW w:w="2223" w:type="dxa"/>
                  <w:shd w:val="clear" w:color="auto" w:fill="auto"/>
                  <w:noWrap/>
                  <w:hideMark/>
                </w:tcPr>
                <w:p w:rsidRPr="00C868C3" w:rsidR="00C51D29" w:rsidP="00624145" w:rsidRDefault="00724A35" w14:paraId="5AEB116E" w14:textId="77777777">
                  <w:pPr>
                    <w:pStyle w:val="NoSpacing"/>
                    <w:spacing w:line="360" w:lineRule="auto"/>
                  </w:pPr>
                  <w:r>
                    <w:t>NIEHS</w:t>
                  </w:r>
                </w:p>
              </w:tc>
              <w:tc>
                <w:tcPr>
                  <w:tcW w:w="6689" w:type="dxa"/>
                  <w:shd w:val="clear" w:color="auto" w:fill="auto"/>
                  <w:noWrap/>
                  <w:hideMark/>
                </w:tcPr>
                <w:p w:rsidRPr="00C868C3" w:rsidR="00C51D29" w:rsidP="00624145" w:rsidRDefault="00724A35" w14:paraId="0708910A" w14:textId="77777777">
                  <w:pPr>
                    <w:pStyle w:val="NoSpacing"/>
                    <w:spacing w:line="360" w:lineRule="auto"/>
                  </w:pPr>
                  <w:r>
                    <w:t>National Institute of Environmental Health Sciences</w:t>
                  </w:r>
                </w:p>
              </w:tc>
            </w:tr>
            <w:tr w:rsidRPr="008B3392" w:rsidR="00C51D29" w:rsidTr="00656872" w14:paraId="2E6A4B0B" w14:textId="77777777">
              <w:trPr>
                <w:trHeight w:val="360" w:hRule="exact"/>
              </w:trPr>
              <w:tc>
                <w:tcPr>
                  <w:tcW w:w="2223" w:type="dxa"/>
                  <w:shd w:val="clear" w:color="auto" w:fill="auto"/>
                  <w:noWrap/>
                  <w:hideMark/>
                </w:tcPr>
                <w:p w:rsidRPr="00C868C3" w:rsidR="00C51D29" w:rsidP="00624145" w:rsidRDefault="00710692" w14:paraId="144A300F" w14:textId="77777777">
                  <w:pPr>
                    <w:pStyle w:val="NoSpacing"/>
                    <w:spacing w:line="360" w:lineRule="auto"/>
                  </w:pPr>
                  <w:r>
                    <w:t>PFAS</w:t>
                  </w:r>
                </w:p>
              </w:tc>
              <w:tc>
                <w:tcPr>
                  <w:tcW w:w="6689" w:type="dxa"/>
                  <w:shd w:val="clear" w:color="auto" w:fill="auto"/>
                  <w:noWrap/>
                  <w:hideMark/>
                </w:tcPr>
                <w:p w:rsidRPr="00C868C3" w:rsidR="00C51D29" w:rsidP="00624145" w:rsidRDefault="002757A1" w14:paraId="7D227834" w14:textId="77777777">
                  <w:pPr>
                    <w:pStyle w:val="NoSpacing"/>
                    <w:spacing w:line="360" w:lineRule="auto"/>
                  </w:pPr>
                  <w:r>
                    <w:rPr>
                      <w:rFonts w:ascii="Calibri" w:hAnsi="Calibri"/>
                    </w:rPr>
                    <w:t>Per- and polyfluoroalkyl substances</w:t>
                  </w:r>
                </w:p>
              </w:tc>
            </w:tr>
            <w:tr w:rsidRPr="008B3392" w:rsidR="00F55C71" w:rsidTr="00656872" w14:paraId="62502DC3" w14:textId="77777777">
              <w:trPr>
                <w:trHeight w:val="360" w:hRule="exact"/>
              </w:trPr>
              <w:tc>
                <w:tcPr>
                  <w:tcW w:w="2223" w:type="dxa"/>
                  <w:shd w:val="clear" w:color="auto" w:fill="auto"/>
                  <w:noWrap/>
                </w:tcPr>
                <w:p w:rsidR="00F55C71" w:rsidP="00624145" w:rsidRDefault="00F55C71" w14:paraId="3ECDAB0E" w14:textId="77777777">
                  <w:pPr>
                    <w:pStyle w:val="NoSpacing"/>
                    <w:spacing w:line="360" w:lineRule="auto"/>
                  </w:pPr>
                  <w:r>
                    <w:t>PFBA</w:t>
                  </w:r>
                </w:p>
              </w:tc>
              <w:tc>
                <w:tcPr>
                  <w:tcW w:w="6689" w:type="dxa"/>
                  <w:shd w:val="clear" w:color="auto" w:fill="auto"/>
                  <w:noWrap/>
                </w:tcPr>
                <w:p w:rsidR="00F55C71" w:rsidP="00624145" w:rsidRDefault="005B2011" w14:paraId="73280B8E" w14:textId="77777777">
                  <w:pPr>
                    <w:pStyle w:val="NoSpacing"/>
                    <w:spacing w:line="360" w:lineRule="auto"/>
                    <w:rPr>
                      <w:rFonts w:ascii="Calibri" w:hAnsi="Calibri"/>
                    </w:rPr>
                  </w:pPr>
                  <w:proofErr w:type="spellStart"/>
                  <w:r>
                    <w:rPr>
                      <w:rFonts w:ascii="Calibri" w:hAnsi="Calibri"/>
                    </w:rPr>
                    <w:t>perfluorobutanoic</w:t>
                  </w:r>
                  <w:proofErr w:type="spellEnd"/>
                  <w:r>
                    <w:rPr>
                      <w:rFonts w:ascii="Calibri" w:hAnsi="Calibri"/>
                    </w:rPr>
                    <w:t xml:space="preserve"> acid</w:t>
                  </w:r>
                </w:p>
              </w:tc>
            </w:tr>
            <w:tr w:rsidRPr="008B3392" w:rsidR="00710692" w:rsidTr="00656872" w14:paraId="6A4033B6" w14:textId="77777777">
              <w:trPr>
                <w:trHeight w:val="360" w:hRule="exact"/>
              </w:trPr>
              <w:tc>
                <w:tcPr>
                  <w:tcW w:w="2223" w:type="dxa"/>
                  <w:shd w:val="clear" w:color="auto" w:fill="auto"/>
                  <w:noWrap/>
                </w:tcPr>
                <w:p w:rsidR="00710692" w:rsidP="00624145" w:rsidRDefault="00710692" w14:paraId="38F87053" w14:textId="637E1640">
                  <w:pPr>
                    <w:pStyle w:val="NoSpacing"/>
                    <w:spacing w:line="360" w:lineRule="auto"/>
                  </w:pPr>
                  <w:r w:rsidRPr="00C868C3">
                    <w:t>PFBS</w:t>
                  </w:r>
                </w:p>
              </w:tc>
              <w:tc>
                <w:tcPr>
                  <w:tcW w:w="6689" w:type="dxa"/>
                  <w:shd w:val="clear" w:color="auto" w:fill="auto"/>
                  <w:noWrap/>
                </w:tcPr>
                <w:p w:rsidR="00710692" w:rsidP="00624145" w:rsidRDefault="005B2011" w14:paraId="2DF9FBDE" w14:textId="77287887">
                  <w:pPr>
                    <w:pStyle w:val="NoSpacing"/>
                    <w:spacing w:line="360" w:lineRule="auto"/>
                    <w:rPr>
                      <w:rFonts w:ascii="Calibri" w:hAnsi="Calibri"/>
                    </w:rPr>
                  </w:pPr>
                  <w:proofErr w:type="spellStart"/>
                  <w:r>
                    <w:t>p</w:t>
                  </w:r>
                  <w:r w:rsidRPr="00C868C3" w:rsidR="00710692">
                    <w:t>erfluorobutane</w:t>
                  </w:r>
                  <w:proofErr w:type="spellEnd"/>
                  <w:r w:rsidRPr="00C868C3" w:rsidR="00710692">
                    <w:t xml:space="preserve"> sulfonic acid</w:t>
                  </w:r>
                </w:p>
              </w:tc>
            </w:tr>
            <w:tr w:rsidRPr="008B3392" w:rsidR="00C51D29" w:rsidTr="00656872" w14:paraId="7173A14A" w14:textId="77777777">
              <w:trPr>
                <w:trHeight w:val="360" w:hRule="exact"/>
              </w:trPr>
              <w:tc>
                <w:tcPr>
                  <w:tcW w:w="2223" w:type="dxa"/>
                  <w:shd w:val="clear" w:color="auto" w:fill="auto"/>
                  <w:noWrap/>
                  <w:hideMark/>
                </w:tcPr>
                <w:p w:rsidRPr="00C868C3" w:rsidR="00C51D29" w:rsidP="00624145" w:rsidRDefault="00F55C71" w14:paraId="3C0CB292" w14:textId="66A4D51E">
                  <w:pPr>
                    <w:pStyle w:val="NoSpacing"/>
                    <w:spacing w:line="360" w:lineRule="auto"/>
                  </w:pPr>
                  <w:r>
                    <w:t>PFD</w:t>
                  </w:r>
                  <w:r w:rsidRPr="00C868C3" w:rsidR="00C51D29">
                    <w:t>A</w:t>
                  </w:r>
                </w:p>
              </w:tc>
              <w:tc>
                <w:tcPr>
                  <w:tcW w:w="6689" w:type="dxa"/>
                  <w:shd w:val="clear" w:color="auto" w:fill="auto"/>
                  <w:noWrap/>
                  <w:hideMark/>
                </w:tcPr>
                <w:p w:rsidRPr="00C868C3" w:rsidR="00C51D29" w:rsidP="00624145" w:rsidRDefault="005B2011" w14:paraId="4E2B62A1" w14:textId="5C90C653">
                  <w:pPr>
                    <w:pStyle w:val="NoSpacing"/>
                    <w:spacing w:line="360" w:lineRule="auto"/>
                  </w:pPr>
                  <w:proofErr w:type="spellStart"/>
                  <w:r>
                    <w:t>p</w:t>
                  </w:r>
                  <w:r w:rsidRPr="00C868C3" w:rsidR="00C51D29">
                    <w:t>erfluorodecanoic</w:t>
                  </w:r>
                  <w:proofErr w:type="spellEnd"/>
                  <w:r w:rsidRPr="00C868C3" w:rsidR="00C51D29">
                    <w:t xml:space="preserve"> acid</w:t>
                  </w:r>
                </w:p>
              </w:tc>
            </w:tr>
            <w:tr w:rsidRPr="008B3392" w:rsidR="00F55C71" w:rsidTr="00656872" w14:paraId="4521D444" w14:textId="77777777">
              <w:trPr>
                <w:trHeight w:val="360" w:hRule="exact"/>
              </w:trPr>
              <w:tc>
                <w:tcPr>
                  <w:tcW w:w="2223" w:type="dxa"/>
                  <w:shd w:val="clear" w:color="auto" w:fill="auto"/>
                  <w:noWrap/>
                </w:tcPr>
                <w:p w:rsidR="00F55C71" w:rsidP="00624145" w:rsidRDefault="00F55C71" w14:paraId="7BFF75D0" w14:textId="77777777">
                  <w:pPr>
                    <w:pStyle w:val="NoSpacing"/>
                    <w:spacing w:line="360" w:lineRule="auto"/>
                  </w:pPr>
                  <w:r>
                    <w:t>PFDS</w:t>
                  </w:r>
                </w:p>
              </w:tc>
              <w:tc>
                <w:tcPr>
                  <w:tcW w:w="6689" w:type="dxa"/>
                  <w:shd w:val="clear" w:color="auto" w:fill="auto"/>
                  <w:noWrap/>
                </w:tcPr>
                <w:p w:rsidRPr="00C868C3" w:rsidR="00F55C71" w:rsidP="00624145" w:rsidRDefault="005B2011" w14:paraId="125795FD" w14:textId="77777777">
                  <w:pPr>
                    <w:pStyle w:val="NoSpacing"/>
                    <w:spacing w:line="360" w:lineRule="auto"/>
                  </w:pPr>
                  <w:proofErr w:type="spellStart"/>
                  <w:r>
                    <w:t>perfluorodecane</w:t>
                  </w:r>
                  <w:proofErr w:type="spellEnd"/>
                  <w:r>
                    <w:t xml:space="preserve"> sulfonic acid</w:t>
                  </w:r>
                </w:p>
              </w:tc>
            </w:tr>
            <w:tr w:rsidRPr="008B3392" w:rsidR="00C51D29" w:rsidTr="00656872" w14:paraId="5F37C6BD" w14:textId="77777777">
              <w:trPr>
                <w:trHeight w:val="360" w:hRule="exact"/>
              </w:trPr>
              <w:tc>
                <w:tcPr>
                  <w:tcW w:w="2223" w:type="dxa"/>
                  <w:shd w:val="clear" w:color="auto" w:fill="auto"/>
                  <w:noWrap/>
                  <w:hideMark/>
                </w:tcPr>
                <w:p w:rsidRPr="00C868C3" w:rsidR="00C51D29" w:rsidP="00624145" w:rsidRDefault="00C51D29" w14:paraId="3DD907E0" w14:textId="77777777">
                  <w:pPr>
                    <w:pStyle w:val="NoSpacing"/>
                    <w:spacing w:line="360" w:lineRule="auto"/>
                  </w:pPr>
                  <w:proofErr w:type="spellStart"/>
                  <w:r w:rsidRPr="00C868C3">
                    <w:t>PFDoA</w:t>
                  </w:r>
                  <w:proofErr w:type="spellEnd"/>
                </w:p>
              </w:tc>
              <w:tc>
                <w:tcPr>
                  <w:tcW w:w="6689" w:type="dxa"/>
                  <w:shd w:val="clear" w:color="auto" w:fill="auto"/>
                  <w:noWrap/>
                  <w:hideMark/>
                </w:tcPr>
                <w:p w:rsidRPr="00C868C3" w:rsidR="00C51D29" w:rsidP="00624145" w:rsidRDefault="005B2011" w14:paraId="4A0FE7AD" w14:textId="3915439B">
                  <w:pPr>
                    <w:pStyle w:val="NoSpacing"/>
                    <w:spacing w:line="360" w:lineRule="auto"/>
                  </w:pPr>
                  <w:proofErr w:type="spellStart"/>
                  <w:r>
                    <w:t>p</w:t>
                  </w:r>
                  <w:r w:rsidRPr="00C868C3" w:rsidR="00C51D29">
                    <w:t>erfluorododecanoic</w:t>
                  </w:r>
                  <w:proofErr w:type="spellEnd"/>
                  <w:r w:rsidRPr="00C868C3" w:rsidR="00C51D29">
                    <w:t xml:space="preserve"> acid</w:t>
                  </w:r>
                </w:p>
              </w:tc>
            </w:tr>
            <w:tr w:rsidRPr="008B3392" w:rsidR="00C51D29" w:rsidTr="00656872" w14:paraId="07E93D2B" w14:textId="77777777">
              <w:trPr>
                <w:trHeight w:val="360" w:hRule="exact"/>
              </w:trPr>
              <w:tc>
                <w:tcPr>
                  <w:tcW w:w="2223" w:type="dxa"/>
                  <w:shd w:val="clear" w:color="auto" w:fill="auto"/>
                  <w:noWrap/>
                  <w:hideMark/>
                </w:tcPr>
                <w:p w:rsidRPr="00C868C3" w:rsidR="00C51D29" w:rsidP="00624145" w:rsidRDefault="00C51D29" w14:paraId="79D03A44" w14:textId="77777777">
                  <w:pPr>
                    <w:pStyle w:val="NoSpacing"/>
                    <w:spacing w:line="360" w:lineRule="auto"/>
                  </w:pPr>
                  <w:proofErr w:type="spellStart"/>
                  <w:r w:rsidRPr="00C868C3">
                    <w:t>PFHpA</w:t>
                  </w:r>
                  <w:proofErr w:type="spellEnd"/>
                </w:p>
              </w:tc>
              <w:tc>
                <w:tcPr>
                  <w:tcW w:w="6689" w:type="dxa"/>
                  <w:shd w:val="clear" w:color="auto" w:fill="auto"/>
                  <w:noWrap/>
                  <w:hideMark/>
                </w:tcPr>
                <w:p w:rsidRPr="00C868C3" w:rsidR="00C51D29" w:rsidP="00624145" w:rsidRDefault="005B2011" w14:paraId="44583B56" w14:textId="7FCF68E5">
                  <w:pPr>
                    <w:pStyle w:val="NoSpacing"/>
                    <w:spacing w:line="360" w:lineRule="auto"/>
                  </w:pPr>
                  <w:proofErr w:type="spellStart"/>
                  <w:r>
                    <w:t>p</w:t>
                  </w:r>
                  <w:r w:rsidRPr="00C868C3" w:rsidR="00C51D29">
                    <w:t>erfluoroheptanoic</w:t>
                  </w:r>
                  <w:proofErr w:type="spellEnd"/>
                  <w:r w:rsidRPr="00C868C3" w:rsidR="00C51D29">
                    <w:t xml:space="preserve"> acid</w:t>
                  </w:r>
                </w:p>
              </w:tc>
            </w:tr>
            <w:tr w:rsidRPr="008B3392" w:rsidR="00F55C71" w:rsidTr="00656872" w14:paraId="6971EE3D" w14:textId="77777777">
              <w:trPr>
                <w:trHeight w:val="360" w:hRule="exact"/>
              </w:trPr>
              <w:tc>
                <w:tcPr>
                  <w:tcW w:w="2223" w:type="dxa"/>
                  <w:shd w:val="clear" w:color="auto" w:fill="auto"/>
                  <w:noWrap/>
                </w:tcPr>
                <w:p w:rsidRPr="00C868C3" w:rsidR="00F55C71" w:rsidP="00624145" w:rsidRDefault="00F55C71" w14:paraId="19DC55D1" w14:textId="77777777">
                  <w:pPr>
                    <w:pStyle w:val="NoSpacing"/>
                    <w:spacing w:line="360" w:lineRule="auto"/>
                  </w:pPr>
                  <w:proofErr w:type="spellStart"/>
                  <w:r>
                    <w:t>PFHpS</w:t>
                  </w:r>
                  <w:proofErr w:type="spellEnd"/>
                </w:p>
              </w:tc>
              <w:tc>
                <w:tcPr>
                  <w:tcW w:w="6689" w:type="dxa"/>
                  <w:shd w:val="clear" w:color="auto" w:fill="auto"/>
                  <w:noWrap/>
                </w:tcPr>
                <w:p w:rsidRPr="00C868C3" w:rsidR="00F55C71" w:rsidP="00624145" w:rsidRDefault="005B2011" w14:paraId="34D4F96F" w14:textId="77777777">
                  <w:pPr>
                    <w:pStyle w:val="NoSpacing"/>
                    <w:spacing w:line="360" w:lineRule="auto"/>
                  </w:pPr>
                  <w:proofErr w:type="spellStart"/>
                  <w:r>
                    <w:t>perfluoroheptane</w:t>
                  </w:r>
                  <w:proofErr w:type="spellEnd"/>
                  <w:r>
                    <w:t xml:space="preserve"> sulfonic acid</w:t>
                  </w:r>
                </w:p>
              </w:tc>
            </w:tr>
            <w:tr w:rsidRPr="008B3392" w:rsidR="00F55C71" w:rsidTr="00656872" w14:paraId="26CD8984" w14:textId="77777777">
              <w:trPr>
                <w:trHeight w:val="360" w:hRule="exact"/>
              </w:trPr>
              <w:tc>
                <w:tcPr>
                  <w:tcW w:w="2223" w:type="dxa"/>
                  <w:shd w:val="clear" w:color="auto" w:fill="auto"/>
                  <w:noWrap/>
                </w:tcPr>
                <w:p w:rsidR="00F55C71" w:rsidP="00624145" w:rsidRDefault="00F55C71" w14:paraId="52CD8EF9" w14:textId="77777777">
                  <w:pPr>
                    <w:pStyle w:val="NoSpacing"/>
                    <w:spacing w:line="360" w:lineRule="auto"/>
                  </w:pPr>
                  <w:proofErr w:type="spellStart"/>
                  <w:r>
                    <w:t>PFHxA</w:t>
                  </w:r>
                  <w:proofErr w:type="spellEnd"/>
                </w:p>
              </w:tc>
              <w:tc>
                <w:tcPr>
                  <w:tcW w:w="6689" w:type="dxa"/>
                  <w:shd w:val="clear" w:color="auto" w:fill="auto"/>
                  <w:noWrap/>
                </w:tcPr>
                <w:p w:rsidRPr="00C868C3" w:rsidR="00F55C71" w:rsidP="00624145" w:rsidRDefault="005B2011" w14:paraId="32F2C71E" w14:textId="77777777">
                  <w:pPr>
                    <w:pStyle w:val="NoSpacing"/>
                    <w:spacing w:line="360" w:lineRule="auto"/>
                  </w:pPr>
                  <w:proofErr w:type="spellStart"/>
                  <w:r>
                    <w:t>perfluorohexanoic</w:t>
                  </w:r>
                  <w:proofErr w:type="spellEnd"/>
                  <w:r>
                    <w:t xml:space="preserve"> acid</w:t>
                  </w:r>
                </w:p>
              </w:tc>
            </w:tr>
            <w:tr w:rsidRPr="008B3392" w:rsidR="00C51D29" w:rsidTr="00656872" w14:paraId="0E8E6F54" w14:textId="77777777">
              <w:trPr>
                <w:trHeight w:val="360" w:hRule="exact"/>
              </w:trPr>
              <w:tc>
                <w:tcPr>
                  <w:tcW w:w="2223" w:type="dxa"/>
                  <w:shd w:val="clear" w:color="auto" w:fill="auto"/>
                  <w:noWrap/>
                  <w:hideMark/>
                </w:tcPr>
                <w:p w:rsidRPr="00C868C3" w:rsidR="00C51D29" w:rsidP="00624145" w:rsidRDefault="00C51D29" w14:paraId="36214899" w14:textId="77777777">
                  <w:pPr>
                    <w:pStyle w:val="NoSpacing"/>
                    <w:spacing w:line="360" w:lineRule="auto"/>
                  </w:pPr>
                  <w:proofErr w:type="spellStart"/>
                  <w:r w:rsidRPr="00C868C3">
                    <w:t>PFHxS</w:t>
                  </w:r>
                  <w:proofErr w:type="spellEnd"/>
                </w:p>
              </w:tc>
              <w:tc>
                <w:tcPr>
                  <w:tcW w:w="6689" w:type="dxa"/>
                  <w:shd w:val="clear" w:color="auto" w:fill="auto"/>
                  <w:noWrap/>
                  <w:hideMark/>
                </w:tcPr>
                <w:p w:rsidRPr="00C868C3" w:rsidR="00C51D29" w:rsidP="00624145" w:rsidRDefault="005B2011" w14:paraId="35EADF8A" w14:textId="52F8265B">
                  <w:pPr>
                    <w:pStyle w:val="NoSpacing"/>
                    <w:spacing w:line="360" w:lineRule="auto"/>
                  </w:pPr>
                  <w:proofErr w:type="spellStart"/>
                  <w:r>
                    <w:t>p</w:t>
                  </w:r>
                  <w:r w:rsidRPr="00C868C3" w:rsidR="00C51D29">
                    <w:t>erfluorohexane</w:t>
                  </w:r>
                  <w:proofErr w:type="spellEnd"/>
                  <w:r w:rsidRPr="00C868C3" w:rsidR="00C51D29">
                    <w:t xml:space="preserve"> sulfonic acid</w:t>
                  </w:r>
                </w:p>
              </w:tc>
            </w:tr>
            <w:tr w:rsidRPr="008B3392" w:rsidR="00C51D29" w:rsidTr="00656872" w14:paraId="71C3DFA4" w14:textId="77777777">
              <w:trPr>
                <w:trHeight w:val="360" w:hRule="exact"/>
              </w:trPr>
              <w:tc>
                <w:tcPr>
                  <w:tcW w:w="2223" w:type="dxa"/>
                  <w:shd w:val="clear" w:color="auto" w:fill="auto"/>
                  <w:noWrap/>
                  <w:hideMark/>
                </w:tcPr>
                <w:p w:rsidRPr="00C868C3" w:rsidR="00C51D29" w:rsidP="00624145" w:rsidRDefault="00C51D29" w14:paraId="095193DB" w14:textId="77777777">
                  <w:pPr>
                    <w:pStyle w:val="NoSpacing"/>
                    <w:spacing w:line="360" w:lineRule="auto"/>
                  </w:pPr>
                  <w:r w:rsidRPr="00C868C3">
                    <w:t>PFNA</w:t>
                  </w:r>
                </w:p>
              </w:tc>
              <w:tc>
                <w:tcPr>
                  <w:tcW w:w="6689" w:type="dxa"/>
                  <w:shd w:val="clear" w:color="auto" w:fill="auto"/>
                  <w:noWrap/>
                  <w:hideMark/>
                </w:tcPr>
                <w:p w:rsidRPr="00C868C3" w:rsidR="00C51D29" w:rsidP="00624145" w:rsidRDefault="005B2011" w14:paraId="19A1DDBA" w14:textId="14E452FE">
                  <w:pPr>
                    <w:pStyle w:val="NoSpacing"/>
                    <w:spacing w:line="360" w:lineRule="auto"/>
                  </w:pPr>
                  <w:proofErr w:type="spellStart"/>
                  <w:r>
                    <w:t>p</w:t>
                  </w:r>
                  <w:r w:rsidRPr="00C868C3" w:rsidR="00C51D29">
                    <w:t>erfluorononanoic</w:t>
                  </w:r>
                  <w:proofErr w:type="spellEnd"/>
                  <w:r w:rsidRPr="00C868C3" w:rsidR="00C51D29">
                    <w:t xml:space="preserve"> acid</w:t>
                  </w:r>
                </w:p>
              </w:tc>
            </w:tr>
            <w:tr w:rsidRPr="008B3392" w:rsidR="00F55C71" w:rsidTr="00656872" w14:paraId="1F22B150" w14:textId="77777777">
              <w:trPr>
                <w:trHeight w:val="360" w:hRule="exact"/>
              </w:trPr>
              <w:tc>
                <w:tcPr>
                  <w:tcW w:w="2223" w:type="dxa"/>
                  <w:shd w:val="clear" w:color="auto" w:fill="auto"/>
                  <w:noWrap/>
                </w:tcPr>
                <w:p w:rsidRPr="00C868C3" w:rsidR="00F55C71" w:rsidP="00624145" w:rsidRDefault="00F55C71" w14:paraId="026783D4" w14:textId="77777777">
                  <w:pPr>
                    <w:pStyle w:val="NoSpacing"/>
                    <w:spacing w:line="360" w:lineRule="auto"/>
                  </w:pPr>
                  <w:r>
                    <w:t>PFNS</w:t>
                  </w:r>
                </w:p>
              </w:tc>
              <w:tc>
                <w:tcPr>
                  <w:tcW w:w="6689" w:type="dxa"/>
                  <w:shd w:val="clear" w:color="auto" w:fill="auto"/>
                  <w:noWrap/>
                </w:tcPr>
                <w:p w:rsidRPr="00C868C3" w:rsidR="00F55C71" w:rsidP="00624145" w:rsidRDefault="005B2011" w14:paraId="58390932" w14:textId="77777777">
                  <w:pPr>
                    <w:pStyle w:val="NoSpacing"/>
                    <w:spacing w:line="360" w:lineRule="auto"/>
                  </w:pPr>
                  <w:proofErr w:type="spellStart"/>
                  <w:r>
                    <w:t>perfluorononane</w:t>
                  </w:r>
                  <w:proofErr w:type="spellEnd"/>
                  <w:r>
                    <w:t xml:space="preserve"> sulfonic acid</w:t>
                  </w:r>
                </w:p>
              </w:tc>
            </w:tr>
            <w:tr w:rsidRPr="008B3392" w:rsidR="00C51D29" w:rsidTr="00656872" w14:paraId="2C8FF801" w14:textId="77777777">
              <w:trPr>
                <w:trHeight w:val="360" w:hRule="exact"/>
              </w:trPr>
              <w:tc>
                <w:tcPr>
                  <w:tcW w:w="2223" w:type="dxa"/>
                  <w:shd w:val="clear" w:color="auto" w:fill="auto"/>
                  <w:noWrap/>
                  <w:hideMark/>
                </w:tcPr>
                <w:p w:rsidRPr="00C868C3" w:rsidR="00C51D29" w:rsidP="00624145" w:rsidRDefault="00C51D29" w14:paraId="10F914FE" w14:textId="77777777">
                  <w:pPr>
                    <w:pStyle w:val="NoSpacing"/>
                    <w:spacing w:line="360" w:lineRule="auto"/>
                  </w:pPr>
                  <w:r w:rsidRPr="00C868C3">
                    <w:t xml:space="preserve">PFOA </w:t>
                  </w:r>
                </w:p>
              </w:tc>
              <w:tc>
                <w:tcPr>
                  <w:tcW w:w="6689" w:type="dxa"/>
                  <w:shd w:val="clear" w:color="auto" w:fill="auto"/>
                  <w:noWrap/>
                  <w:hideMark/>
                </w:tcPr>
                <w:p w:rsidRPr="00C868C3" w:rsidR="00C51D29" w:rsidP="00624145" w:rsidRDefault="005B2011" w14:paraId="3EA72053" w14:textId="2DADD5A7">
                  <w:pPr>
                    <w:pStyle w:val="NoSpacing"/>
                    <w:spacing w:line="360" w:lineRule="auto"/>
                  </w:pPr>
                  <w:r>
                    <w:t>p</w:t>
                  </w:r>
                  <w:r w:rsidRPr="00C868C3" w:rsidR="00C51D29">
                    <w:t>erfluorooctanoic acid</w:t>
                  </w:r>
                </w:p>
              </w:tc>
            </w:tr>
            <w:tr w:rsidRPr="008B3392" w:rsidR="00C51D29" w:rsidTr="00656872" w14:paraId="50E3D37A" w14:textId="77777777">
              <w:trPr>
                <w:trHeight w:val="360" w:hRule="exact"/>
              </w:trPr>
              <w:tc>
                <w:tcPr>
                  <w:tcW w:w="2223" w:type="dxa"/>
                  <w:shd w:val="clear" w:color="auto" w:fill="auto"/>
                  <w:noWrap/>
                  <w:hideMark/>
                </w:tcPr>
                <w:p w:rsidRPr="00C868C3" w:rsidR="00C51D29" w:rsidP="00624145" w:rsidRDefault="00C51D29" w14:paraId="2A2A0EC3" w14:textId="77777777">
                  <w:pPr>
                    <w:pStyle w:val="NoSpacing"/>
                    <w:spacing w:line="360" w:lineRule="auto"/>
                  </w:pPr>
                  <w:r w:rsidRPr="00C868C3">
                    <w:t>PFOS</w:t>
                  </w:r>
                </w:p>
              </w:tc>
              <w:tc>
                <w:tcPr>
                  <w:tcW w:w="6689" w:type="dxa"/>
                  <w:shd w:val="clear" w:color="auto" w:fill="auto"/>
                  <w:noWrap/>
                  <w:hideMark/>
                </w:tcPr>
                <w:p w:rsidRPr="00C868C3" w:rsidR="00C51D29" w:rsidP="00624145" w:rsidRDefault="005B2011" w14:paraId="2A8524DC" w14:textId="3472DA53">
                  <w:pPr>
                    <w:pStyle w:val="NoSpacing"/>
                    <w:spacing w:line="360" w:lineRule="auto"/>
                  </w:pPr>
                  <w:proofErr w:type="spellStart"/>
                  <w:r>
                    <w:t>p</w:t>
                  </w:r>
                  <w:r w:rsidR="002F4990">
                    <w:t>erfluorooctane</w:t>
                  </w:r>
                  <w:proofErr w:type="spellEnd"/>
                  <w:r w:rsidR="002F4990">
                    <w:t xml:space="preserve"> sulfonic acid</w:t>
                  </w:r>
                </w:p>
              </w:tc>
            </w:tr>
            <w:tr w:rsidRPr="008B3392" w:rsidR="00C51D29" w:rsidTr="00656872" w14:paraId="551D9EEF" w14:textId="77777777">
              <w:trPr>
                <w:trHeight w:val="360" w:hRule="exact"/>
              </w:trPr>
              <w:tc>
                <w:tcPr>
                  <w:tcW w:w="2223" w:type="dxa"/>
                  <w:shd w:val="clear" w:color="auto" w:fill="auto"/>
                  <w:noWrap/>
                  <w:hideMark/>
                </w:tcPr>
                <w:p w:rsidRPr="00C868C3" w:rsidR="00C51D29" w:rsidP="00624145" w:rsidRDefault="00C51D29" w14:paraId="4F34DB11" w14:textId="77777777">
                  <w:pPr>
                    <w:pStyle w:val="NoSpacing"/>
                    <w:spacing w:line="360" w:lineRule="auto"/>
                  </w:pPr>
                  <w:r w:rsidRPr="00C868C3">
                    <w:t>PFOSA</w:t>
                  </w:r>
                </w:p>
              </w:tc>
              <w:tc>
                <w:tcPr>
                  <w:tcW w:w="6689" w:type="dxa"/>
                  <w:shd w:val="clear" w:color="auto" w:fill="auto"/>
                  <w:noWrap/>
                  <w:hideMark/>
                </w:tcPr>
                <w:p w:rsidRPr="00C868C3" w:rsidR="00C51D29" w:rsidP="00624145" w:rsidRDefault="005B2011" w14:paraId="39C4FCA8" w14:textId="352E6DD5">
                  <w:pPr>
                    <w:pStyle w:val="NoSpacing"/>
                    <w:spacing w:line="360" w:lineRule="auto"/>
                  </w:pPr>
                  <w:proofErr w:type="spellStart"/>
                  <w:r>
                    <w:t>p</w:t>
                  </w:r>
                  <w:r w:rsidRPr="00C868C3" w:rsidR="00C51D29">
                    <w:t>erfluorooctane</w:t>
                  </w:r>
                  <w:proofErr w:type="spellEnd"/>
                  <w:r w:rsidRPr="00C868C3" w:rsidR="00C51D29">
                    <w:t xml:space="preserve"> sulfonamide</w:t>
                  </w:r>
                </w:p>
              </w:tc>
            </w:tr>
            <w:tr w:rsidRPr="008B3392" w:rsidR="00C51D29" w:rsidTr="00656872" w14:paraId="2F4AC2C1" w14:textId="77777777">
              <w:trPr>
                <w:trHeight w:val="360" w:hRule="exact"/>
              </w:trPr>
              <w:tc>
                <w:tcPr>
                  <w:tcW w:w="2223" w:type="dxa"/>
                  <w:shd w:val="clear" w:color="auto" w:fill="auto"/>
                  <w:noWrap/>
                  <w:hideMark/>
                </w:tcPr>
                <w:p w:rsidRPr="00C868C3" w:rsidR="00C51D29" w:rsidP="00624145" w:rsidRDefault="00F55C71" w14:paraId="6C6711DC" w14:textId="513854E3">
                  <w:pPr>
                    <w:pStyle w:val="NoSpacing"/>
                    <w:spacing w:line="360" w:lineRule="auto"/>
                  </w:pPr>
                  <w:proofErr w:type="spellStart"/>
                  <w:r>
                    <w:t>PFPeA</w:t>
                  </w:r>
                  <w:proofErr w:type="spellEnd"/>
                </w:p>
              </w:tc>
              <w:tc>
                <w:tcPr>
                  <w:tcW w:w="6689" w:type="dxa"/>
                  <w:shd w:val="clear" w:color="auto" w:fill="auto"/>
                  <w:noWrap/>
                  <w:hideMark/>
                </w:tcPr>
                <w:p w:rsidRPr="00C868C3" w:rsidR="00C51D29" w:rsidP="00624145" w:rsidRDefault="005B2011" w14:paraId="4925195C" w14:textId="791D7C1D">
                  <w:pPr>
                    <w:pStyle w:val="NoSpacing"/>
                    <w:spacing w:line="360" w:lineRule="auto"/>
                  </w:pPr>
                  <w:proofErr w:type="spellStart"/>
                  <w:r>
                    <w:t>perfluoropentanoic</w:t>
                  </w:r>
                  <w:proofErr w:type="spellEnd"/>
                  <w:r w:rsidRPr="00C868C3" w:rsidR="00C51D29">
                    <w:t xml:space="preserve"> acid</w:t>
                  </w:r>
                </w:p>
              </w:tc>
            </w:tr>
            <w:tr w:rsidRPr="008B3392" w:rsidR="00F55C71" w:rsidTr="00656872" w14:paraId="738C094B" w14:textId="77777777">
              <w:trPr>
                <w:trHeight w:val="360" w:hRule="exact"/>
              </w:trPr>
              <w:tc>
                <w:tcPr>
                  <w:tcW w:w="2223" w:type="dxa"/>
                  <w:shd w:val="clear" w:color="auto" w:fill="auto"/>
                  <w:noWrap/>
                </w:tcPr>
                <w:p w:rsidRPr="00C868C3" w:rsidR="00F55C71" w:rsidP="00624145" w:rsidRDefault="00F55C71" w14:paraId="621E21E8" w14:textId="77777777">
                  <w:pPr>
                    <w:pStyle w:val="NoSpacing"/>
                    <w:spacing w:line="360" w:lineRule="auto"/>
                  </w:pPr>
                  <w:proofErr w:type="spellStart"/>
                  <w:r>
                    <w:t>PFPeS</w:t>
                  </w:r>
                  <w:proofErr w:type="spellEnd"/>
                </w:p>
              </w:tc>
              <w:tc>
                <w:tcPr>
                  <w:tcW w:w="6689" w:type="dxa"/>
                  <w:shd w:val="clear" w:color="auto" w:fill="auto"/>
                  <w:noWrap/>
                </w:tcPr>
                <w:p w:rsidRPr="00C868C3" w:rsidR="00F55C71" w:rsidP="00624145" w:rsidRDefault="005B2011" w14:paraId="3907992C" w14:textId="77777777">
                  <w:pPr>
                    <w:pStyle w:val="NoSpacing"/>
                    <w:spacing w:line="360" w:lineRule="auto"/>
                  </w:pPr>
                  <w:proofErr w:type="spellStart"/>
                  <w:r>
                    <w:t>perfluoropentane</w:t>
                  </w:r>
                  <w:proofErr w:type="spellEnd"/>
                  <w:r>
                    <w:t xml:space="preserve"> sulfonic acid</w:t>
                  </w:r>
                </w:p>
              </w:tc>
            </w:tr>
            <w:tr w:rsidRPr="008B3392" w:rsidR="00F55C71" w:rsidTr="00656872" w14:paraId="4DFA9F30" w14:textId="77777777">
              <w:trPr>
                <w:trHeight w:val="360" w:hRule="exact"/>
              </w:trPr>
              <w:tc>
                <w:tcPr>
                  <w:tcW w:w="2223" w:type="dxa"/>
                  <w:shd w:val="clear" w:color="auto" w:fill="auto"/>
                  <w:noWrap/>
                </w:tcPr>
                <w:p w:rsidR="00F55C71" w:rsidP="00624145" w:rsidRDefault="00F55C71" w14:paraId="2146F307" w14:textId="77777777">
                  <w:pPr>
                    <w:pStyle w:val="NoSpacing"/>
                    <w:spacing w:line="360" w:lineRule="auto"/>
                  </w:pPr>
                  <w:r>
                    <w:t>PFTA</w:t>
                  </w:r>
                </w:p>
              </w:tc>
              <w:tc>
                <w:tcPr>
                  <w:tcW w:w="6689" w:type="dxa"/>
                  <w:shd w:val="clear" w:color="auto" w:fill="auto"/>
                  <w:noWrap/>
                </w:tcPr>
                <w:p w:rsidRPr="00C868C3" w:rsidR="00F55C71" w:rsidP="00624145" w:rsidRDefault="005B2011" w14:paraId="39E62A89" w14:textId="77777777">
                  <w:pPr>
                    <w:pStyle w:val="NoSpacing"/>
                    <w:spacing w:line="360" w:lineRule="auto"/>
                  </w:pPr>
                  <w:proofErr w:type="spellStart"/>
                  <w:r>
                    <w:t>perfluorotetradecanoic</w:t>
                  </w:r>
                  <w:proofErr w:type="spellEnd"/>
                  <w:r>
                    <w:t xml:space="preserve"> acid</w:t>
                  </w:r>
                </w:p>
              </w:tc>
            </w:tr>
            <w:tr w:rsidRPr="008B3392" w:rsidR="00F55C71" w:rsidTr="00656872" w14:paraId="12E1D1B0" w14:textId="77777777">
              <w:trPr>
                <w:trHeight w:val="360" w:hRule="exact"/>
              </w:trPr>
              <w:tc>
                <w:tcPr>
                  <w:tcW w:w="2223" w:type="dxa"/>
                  <w:shd w:val="clear" w:color="auto" w:fill="auto"/>
                  <w:noWrap/>
                </w:tcPr>
                <w:p w:rsidR="00F55C71" w:rsidP="00624145" w:rsidRDefault="00F55C71" w14:paraId="22B9D0FA" w14:textId="77777777">
                  <w:pPr>
                    <w:pStyle w:val="NoSpacing"/>
                    <w:spacing w:line="360" w:lineRule="auto"/>
                  </w:pPr>
                  <w:proofErr w:type="spellStart"/>
                  <w:r>
                    <w:t>PFTrA</w:t>
                  </w:r>
                  <w:proofErr w:type="spellEnd"/>
                </w:p>
              </w:tc>
              <w:tc>
                <w:tcPr>
                  <w:tcW w:w="6689" w:type="dxa"/>
                  <w:shd w:val="clear" w:color="auto" w:fill="auto"/>
                  <w:noWrap/>
                </w:tcPr>
                <w:p w:rsidRPr="00C868C3" w:rsidR="00F55C71" w:rsidP="00624145" w:rsidRDefault="005B2011" w14:paraId="4D92C6CF" w14:textId="77777777">
                  <w:pPr>
                    <w:pStyle w:val="NoSpacing"/>
                    <w:spacing w:line="360" w:lineRule="auto"/>
                  </w:pPr>
                  <w:proofErr w:type="spellStart"/>
                  <w:r>
                    <w:t>perfluorotridecanoic</w:t>
                  </w:r>
                  <w:proofErr w:type="spellEnd"/>
                  <w:r>
                    <w:t xml:space="preserve"> acid</w:t>
                  </w:r>
                </w:p>
              </w:tc>
            </w:tr>
            <w:tr w:rsidRPr="008B3392" w:rsidR="00C51D29" w:rsidTr="00656872" w14:paraId="607F7971" w14:textId="77777777">
              <w:trPr>
                <w:trHeight w:val="360" w:hRule="exact"/>
              </w:trPr>
              <w:tc>
                <w:tcPr>
                  <w:tcW w:w="2223" w:type="dxa"/>
                  <w:shd w:val="clear" w:color="auto" w:fill="auto"/>
                  <w:noWrap/>
                  <w:hideMark/>
                </w:tcPr>
                <w:p w:rsidRPr="00C868C3" w:rsidR="00C51D29" w:rsidP="00624145" w:rsidRDefault="00C51D29" w14:paraId="7C360248" w14:textId="77777777">
                  <w:pPr>
                    <w:pStyle w:val="NoSpacing"/>
                    <w:spacing w:line="360" w:lineRule="auto"/>
                  </w:pPr>
                  <w:proofErr w:type="spellStart"/>
                  <w:r w:rsidRPr="00C868C3">
                    <w:t>PFU</w:t>
                  </w:r>
                  <w:r w:rsidR="00F55C71">
                    <w:t>n</w:t>
                  </w:r>
                  <w:r w:rsidRPr="00C868C3">
                    <w:t>A</w:t>
                  </w:r>
                  <w:proofErr w:type="spellEnd"/>
                </w:p>
              </w:tc>
              <w:tc>
                <w:tcPr>
                  <w:tcW w:w="6689" w:type="dxa"/>
                  <w:shd w:val="clear" w:color="auto" w:fill="auto"/>
                  <w:noWrap/>
                  <w:hideMark/>
                </w:tcPr>
                <w:p w:rsidRPr="00C868C3" w:rsidR="00C51D29" w:rsidP="00624145" w:rsidRDefault="005B2011" w14:paraId="3F0290F2" w14:textId="77777777">
                  <w:pPr>
                    <w:pStyle w:val="NoSpacing"/>
                    <w:spacing w:line="360" w:lineRule="auto"/>
                  </w:pPr>
                  <w:proofErr w:type="spellStart"/>
                  <w:r>
                    <w:t>p</w:t>
                  </w:r>
                  <w:r w:rsidRPr="00C868C3" w:rsidR="00C51D29">
                    <w:t>erfluoroundecanoic</w:t>
                  </w:r>
                  <w:proofErr w:type="spellEnd"/>
                  <w:r w:rsidRPr="00C868C3" w:rsidR="00C51D29">
                    <w:t xml:space="preserve"> acid</w:t>
                  </w:r>
                </w:p>
              </w:tc>
            </w:tr>
            <w:tr w:rsidRPr="008B3392" w:rsidR="005B2011" w:rsidTr="00656872" w14:paraId="4AFD0800" w14:textId="77777777">
              <w:trPr>
                <w:trHeight w:val="360" w:hRule="exact"/>
              </w:trPr>
              <w:tc>
                <w:tcPr>
                  <w:tcW w:w="2223" w:type="dxa"/>
                  <w:shd w:val="clear" w:color="auto" w:fill="auto"/>
                  <w:noWrap/>
                </w:tcPr>
                <w:p w:rsidRPr="00C868C3" w:rsidR="005B2011" w:rsidP="00624145" w:rsidRDefault="005B2011" w14:paraId="1562C29D" w14:textId="77777777">
                  <w:pPr>
                    <w:pStyle w:val="NoSpacing"/>
                    <w:spacing w:line="360" w:lineRule="auto"/>
                  </w:pPr>
                  <w:r>
                    <w:t>Sb-PFOA</w:t>
                  </w:r>
                </w:p>
              </w:tc>
              <w:tc>
                <w:tcPr>
                  <w:tcW w:w="6689" w:type="dxa"/>
                  <w:shd w:val="clear" w:color="auto" w:fill="auto"/>
                  <w:noWrap/>
                </w:tcPr>
                <w:p w:rsidRPr="00C868C3" w:rsidR="005B2011" w:rsidP="00624145" w:rsidRDefault="005B2011" w14:paraId="08D0BD5B" w14:textId="77777777">
                  <w:pPr>
                    <w:pStyle w:val="NoSpacing"/>
                    <w:spacing w:line="360" w:lineRule="auto"/>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r>
            <w:tr w:rsidRPr="008B3392" w:rsidR="005B2011" w:rsidTr="00656872" w14:paraId="735BA830" w14:textId="77777777">
              <w:trPr>
                <w:trHeight w:val="360" w:hRule="exact"/>
              </w:trPr>
              <w:tc>
                <w:tcPr>
                  <w:tcW w:w="2223" w:type="dxa"/>
                  <w:shd w:val="clear" w:color="auto" w:fill="auto"/>
                  <w:noWrap/>
                </w:tcPr>
                <w:p w:rsidRPr="00C868C3" w:rsidR="005B2011" w:rsidP="00624145" w:rsidRDefault="005B2011" w14:paraId="6828CDD3" w14:textId="77777777">
                  <w:pPr>
                    <w:pStyle w:val="NoSpacing"/>
                    <w:spacing w:line="360" w:lineRule="auto"/>
                  </w:pPr>
                  <w:proofErr w:type="spellStart"/>
                  <w:r>
                    <w:t>Sm</w:t>
                  </w:r>
                  <w:proofErr w:type="spellEnd"/>
                  <w:r>
                    <w:t>-PFOS</w:t>
                  </w:r>
                </w:p>
              </w:tc>
              <w:tc>
                <w:tcPr>
                  <w:tcW w:w="6689" w:type="dxa"/>
                  <w:shd w:val="clear" w:color="auto" w:fill="auto"/>
                  <w:noWrap/>
                </w:tcPr>
                <w:p w:rsidRPr="00C868C3" w:rsidR="005B2011" w:rsidP="00624145" w:rsidRDefault="005B2011" w14:paraId="006D1217" w14:textId="77777777">
                  <w:pPr>
                    <w:pStyle w:val="NoSpacing"/>
                    <w:spacing w:line="360" w:lineRule="auto"/>
                  </w:pPr>
                  <w:r w:rsidRPr="00643526">
                    <w:rPr>
                      <w:rFonts w:cs="Arial"/>
                      <w:color w:val="000000"/>
                    </w:rPr>
                    <w:t>mixture of sodium perfluoro-5-methylheptane sulfonate</w:t>
                  </w:r>
                  <w:r>
                    <w:rPr>
                      <w:rFonts w:cs="Arial"/>
                      <w:color w:val="000000"/>
                    </w:rPr>
                    <w:t xml:space="preserve"> isomers</w:t>
                  </w:r>
                </w:p>
              </w:tc>
            </w:tr>
          </w:tbl>
          <w:p w:rsidR="008B3392" w:rsidP="007B3D7D" w:rsidRDefault="008B3392" w14:paraId="1E501D3F" w14:textId="77777777"/>
        </w:tc>
        <w:tc>
          <w:tcPr>
            <w:tcW w:w="4788" w:type="dxa"/>
            <w:tcBorders>
              <w:top w:val="nil"/>
              <w:left w:val="nil"/>
              <w:bottom w:val="nil"/>
              <w:right w:val="nil"/>
            </w:tcBorders>
          </w:tcPr>
          <w:p w:rsidR="008B3392" w:rsidP="007B3D7D" w:rsidRDefault="008B3392" w14:paraId="027EB6CF" w14:textId="77777777"/>
        </w:tc>
      </w:tr>
      <w:tr w:rsidR="00D237D4" w:rsidTr="009022B2" w14:paraId="6A8FBB2C" w14:textId="77777777">
        <w:tc>
          <w:tcPr>
            <w:tcW w:w="4788" w:type="dxa"/>
            <w:tcBorders>
              <w:top w:val="nil"/>
              <w:left w:val="nil"/>
              <w:bottom w:val="nil"/>
              <w:right w:val="nil"/>
            </w:tcBorders>
          </w:tcPr>
          <w:p w:rsidR="00D237D4" w:rsidP="00624145" w:rsidRDefault="00D237D4" w14:paraId="18F746E8" w14:textId="77777777">
            <w:pPr>
              <w:pStyle w:val="NoSpacing"/>
              <w:spacing w:line="360" w:lineRule="auto"/>
            </w:pPr>
          </w:p>
        </w:tc>
        <w:tc>
          <w:tcPr>
            <w:tcW w:w="4788" w:type="dxa"/>
            <w:tcBorders>
              <w:top w:val="nil"/>
              <w:left w:val="nil"/>
              <w:bottom w:val="nil"/>
              <w:right w:val="nil"/>
            </w:tcBorders>
          </w:tcPr>
          <w:p w:rsidR="00D237D4" w:rsidP="007B3D7D" w:rsidRDefault="00D237D4" w14:paraId="6167EA2D" w14:textId="77777777"/>
        </w:tc>
      </w:tr>
    </w:tbl>
    <w:p w:rsidR="00C77BA2" w:rsidP="00C77BA2" w:rsidRDefault="00C3756A" w14:paraId="4401641D" w14:textId="2254A6C8">
      <w:pPr>
        <w:rPr>
          <w:rStyle w:val="Hyperlink"/>
        </w:rPr>
      </w:pPr>
      <w:r>
        <w:br w:type="page"/>
      </w:r>
      <w:r w:rsidR="00C77BA2">
        <w:rPr>
          <w:noProof/>
        </w:rPr>
        <w:lastRenderedPageBreak/>
        <mc:AlternateContent>
          <mc:Choice Requires="wps">
            <w:drawing>
              <wp:anchor distT="45720" distB="45720" distL="114300" distR="114300" simplePos="0" relativeHeight="251731968" behindDoc="0" locked="0" layoutInCell="1" allowOverlap="1" wp14:editId="22DC1ECC" wp14:anchorId="67F35BFA">
                <wp:simplePos x="0" y="0"/>
                <wp:positionH relativeFrom="margin">
                  <wp:align>center</wp:align>
                </wp:positionH>
                <wp:positionV relativeFrom="paragraph">
                  <wp:posOffset>294005</wp:posOffset>
                </wp:positionV>
                <wp:extent cx="6267450" cy="5848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848350"/>
                        </a:xfrm>
                        <a:prstGeom prst="rect">
                          <a:avLst/>
                        </a:prstGeom>
                        <a:solidFill>
                          <a:srgbClr val="FFFFFF"/>
                        </a:solidFill>
                        <a:ln w="9525">
                          <a:solidFill>
                            <a:schemeClr val="tx1"/>
                          </a:solidFill>
                          <a:miter lim="800000"/>
                          <a:headEnd/>
                          <a:tailEnd/>
                        </a:ln>
                      </wps:spPr>
                      <wps:txbx>
                        <w:txbxContent>
                          <w:p w:rsidR="0022113E" w:rsidP="00C77BA2" w:rsidRDefault="0022113E" w14:paraId="62BDC7A7" w14:textId="583D83F6">
                            <w:pPr>
                              <w:rPr>
                                <w:rStyle w:val="Hyperlink"/>
                              </w:rPr>
                            </w:pPr>
                            <w:r w:rsidRPr="004055E4">
                              <w:rPr>
                                <w:b/>
                                <w:bCs/>
                              </w:rPr>
                              <w:t xml:space="preserve">This protocol has been updated to reflect changes necessary to compete the </w:t>
                            </w:r>
                            <w:r w:rsidR="000379E8">
                              <w:rPr>
                                <w:b/>
                                <w:bCs/>
                              </w:rPr>
                              <w:t xml:space="preserve">Exposure Assessments </w:t>
                            </w:r>
                            <w:r w:rsidRPr="004055E4">
                              <w:rPr>
                                <w:b/>
                                <w:bCs/>
                              </w:rPr>
                              <w:t>during the Covid-19 pandemic. Appropriate safety precautions</w:t>
                            </w:r>
                            <w:r>
                              <w:rPr>
                                <w:b/>
                                <w:bCs/>
                              </w:rPr>
                              <w:t>, including the use of all appropriate personal protective equipment (PPE),</w:t>
                            </w:r>
                            <w:r w:rsidRPr="004055E4">
                              <w:rPr>
                                <w:b/>
                                <w:bCs/>
                              </w:rPr>
                              <w:t xml:space="preserve"> will be implemented to keep </w:t>
                            </w:r>
                            <w:r>
                              <w:rPr>
                                <w:b/>
                                <w:bCs/>
                              </w:rPr>
                              <w:t>the</w:t>
                            </w:r>
                            <w:r w:rsidRPr="004055E4">
                              <w:rPr>
                                <w:b/>
                                <w:bCs/>
                              </w:rPr>
                              <w:t xml:space="preserve"> EA team and participants safe during the </w:t>
                            </w:r>
                            <w:r>
                              <w:rPr>
                                <w:b/>
                                <w:bCs/>
                              </w:rPr>
                              <w:t>EA process</w:t>
                            </w:r>
                            <w:r w:rsidRPr="004055E4">
                              <w:rPr>
                                <w:b/>
                                <w:bCs/>
                              </w:rPr>
                              <w:t>. Appendix J</w:t>
                            </w:r>
                            <w:r>
                              <w:rPr>
                                <w:b/>
                                <w:bCs/>
                              </w:rPr>
                              <w:t>, the PFAS EA Restart Plan,</w:t>
                            </w:r>
                            <w:r w:rsidRPr="004055E4">
                              <w:rPr>
                                <w:b/>
                                <w:bCs/>
                              </w:rPr>
                              <w:t xml:space="preserve"> has been included that outlines the additional procedures that will be implemented during recruitment</w:t>
                            </w:r>
                            <w:r>
                              <w:rPr>
                                <w:b/>
                                <w:bCs/>
                              </w:rPr>
                              <w:t>,</w:t>
                            </w:r>
                            <w:r w:rsidRPr="004055E4">
                              <w:rPr>
                                <w:b/>
                                <w:bCs/>
                              </w:rPr>
                              <w:t xml:space="preserve"> field work </w:t>
                            </w:r>
                            <w:r>
                              <w:rPr>
                                <w:b/>
                                <w:bCs/>
                              </w:rPr>
                              <w:t xml:space="preserve">and community meetings </w:t>
                            </w:r>
                            <w:r w:rsidRPr="004055E4">
                              <w:rPr>
                                <w:b/>
                                <w:bCs/>
                              </w:rPr>
                              <w:t>to ensure that the EAs are completed in compliance with CDC and state requirements.</w:t>
                            </w:r>
                            <w:r w:rsidRPr="00C77BA2">
                              <w:t xml:space="preserve"> </w:t>
                            </w:r>
                            <w:hyperlink w:history="1" r:id="rId15">
                              <w:r w:rsidRPr="00784FA2">
                                <w:rPr>
                                  <w:rStyle w:val="Hyperlink"/>
                                </w:rPr>
                                <w:t>https://www.cdc.gov/coronavirus/2019-ncov/hcp/non-covid-19-client-interaction.html for non-COVID-19</w:t>
                              </w:r>
                            </w:hyperlink>
                          </w:p>
                          <w:p w:rsidR="0022113E" w:rsidRDefault="0022113E" w14:paraId="7752DBA8" w14:textId="4DA506DF">
                            <w:pPr>
                              <w:rPr>
                                <w:b/>
                                <w:bCs/>
                              </w:rPr>
                            </w:pPr>
                            <w:r>
                              <w:rPr>
                                <w:b/>
                                <w:bCs/>
                              </w:rPr>
                              <w:t>The activities that will be modified include:</w:t>
                            </w:r>
                          </w:p>
                          <w:p w:rsidR="0022113E" w:rsidP="00496381" w:rsidRDefault="0022113E" w14:paraId="4F057DF1" w14:textId="4F47F6C8">
                            <w:pPr>
                              <w:pStyle w:val="ListParagraph"/>
                              <w:numPr>
                                <w:ilvl w:val="0"/>
                                <w:numId w:val="74"/>
                              </w:numPr>
                              <w:rPr>
                                <w:b/>
                                <w:bCs/>
                              </w:rPr>
                            </w:pPr>
                            <w:r>
                              <w:rPr>
                                <w:b/>
                                <w:bCs/>
                              </w:rPr>
                              <w:t xml:space="preserve">Holding virtual community meetings, including the kickoff meeting and the presentation of results. Small group (less than 10 participants) may be held as needed following applicable </w:t>
                            </w:r>
                            <w:r w:rsidR="007563B0">
                              <w:rPr>
                                <w:b/>
                                <w:bCs/>
                              </w:rPr>
                              <w:t xml:space="preserve">local, </w:t>
                            </w:r>
                            <w:r>
                              <w:rPr>
                                <w:b/>
                                <w:bCs/>
                              </w:rPr>
                              <w:t>state and CDC guidelines in place at the time of the meeting.</w:t>
                            </w:r>
                          </w:p>
                          <w:p w:rsidR="0022113E" w:rsidP="00496381" w:rsidRDefault="0022113E" w14:paraId="6FECBC71" w14:textId="4295E02A">
                            <w:pPr>
                              <w:pStyle w:val="ListParagraph"/>
                              <w:numPr>
                                <w:ilvl w:val="0"/>
                                <w:numId w:val="74"/>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2113E" w:rsidP="00496381" w:rsidRDefault="0022113E" w14:paraId="14D8B43E" w14:textId="2D0C8A04">
                            <w:pPr>
                              <w:pStyle w:val="ListParagraph"/>
                              <w:numPr>
                                <w:ilvl w:val="0"/>
                                <w:numId w:val="74"/>
                              </w:numPr>
                              <w:rPr>
                                <w:b/>
                                <w:bCs/>
                              </w:rPr>
                            </w:pPr>
                            <w:r>
                              <w:rPr>
                                <w:b/>
                                <w:bCs/>
                              </w:rPr>
                              <w:t>Adding information to the recruitment letter to reassure potential EA participants that all state and CDC guidelines will be in place during the EA testing.</w:t>
                            </w:r>
                          </w:p>
                          <w:p w:rsidR="0022113E" w:rsidP="00496381" w:rsidRDefault="0022113E" w14:paraId="42E6E2BF" w14:textId="48F0E433">
                            <w:pPr>
                              <w:pStyle w:val="ListParagraph"/>
                              <w:numPr>
                                <w:ilvl w:val="0"/>
                                <w:numId w:val="74"/>
                              </w:numPr>
                              <w:rPr>
                                <w:b/>
                                <w:bCs/>
                              </w:rPr>
                            </w:pPr>
                            <w:r>
                              <w:rPr>
                                <w:b/>
                                <w:bCs/>
                              </w:rPr>
                              <w:t xml:space="preserve">Asking participants about their and their family’s health/COVID-19-status during their appointment reminder phone call and prior to beginning the testing process. </w:t>
                            </w:r>
                          </w:p>
                          <w:p w:rsidR="0022113E" w:rsidP="00496381" w:rsidRDefault="0022113E" w14:paraId="5F54B3EC" w14:textId="5C6F4674">
                            <w:pPr>
                              <w:pStyle w:val="ListParagraph"/>
                              <w:numPr>
                                <w:ilvl w:val="0"/>
                                <w:numId w:val="74"/>
                              </w:numPr>
                              <w:rPr>
                                <w:b/>
                                <w:bCs/>
                              </w:rPr>
                            </w:pPr>
                            <w:r>
                              <w:rPr>
                                <w:b/>
                                <w:bCs/>
                              </w:rPr>
                              <w:t>Monitoring the temperature of EA team members (CDC/ATSDR and contractor staff) twice daily and taking participant’s temperatures prior to entering the EA testing facility.</w:t>
                            </w:r>
                          </w:p>
                          <w:p w:rsidR="0022113E" w:rsidP="00496381" w:rsidRDefault="0022113E" w14:paraId="4E743490" w14:textId="33EEA662">
                            <w:pPr>
                              <w:pStyle w:val="ListParagraph"/>
                              <w:numPr>
                                <w:ilvl w:val="0"/>
                                <w:numId w:val="74"/>
                              </w:numPr>
                              <w:rPr>
                                <w:b/>
                                <w:bCs/>
                              </w:rPr>
                            </w:pPr>
                            <w:r>
                              <w:rPr>
                                <w:b/>
                                <w:bCs/>
                              </w:rPr>
                              <w:t>Administering the exposure questionnaire over the phone instead of at the testing facility to reduce exposure time: consent form administration and collection of biological samples will occur at the testing location.</w:t>
                            </w:r>
                          </w:p>
                          <w:p w:rsidRPr="004055E4" w:rsidR="0022113E" w:rsidP="004055E4" w:rsidRDefault="0022113E" w14:paraId="4F192080" w14:textId="57E2EFC6">
                            <w:pPr>
                              <w:ind w:left="360"/>
                              <w:rPr>
                                <w:b/>
                                <w:bCs/>
                              </w:rPr>
                            </w:pPr>
                            <w:r>
                              <w:rPr>
                                <w:b/>
                                <w:bCs/>
                              </w:rPr>
                              <w:t>These changes are provided in modified Appendices and scripts.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F35BFA">
                <v:stroke joinstyle="miter"/>
                <v:path gradientshapeok="t" o:connecttype="rect"/>
              </v:shapetype>
              <v:shape id="Text Box 2" style="position:absolute;margin-left:0;margin-top:23.15pt;width:493.5pt;height:460.5pt;z-index:251731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">
                <v:textbox>
                  <w:txbxContent>
                    <w:p w:rsidR="0022113E" w:rsidP="00C77BA2" w:rsidRDefault="0022113E" w14:paraId="62BDC7A7" w14:textId="583D83F6">
                      <w:pPr>
                        <w:rPr>
                          <w:rStyle w:val="Hyperlink"/>
                        </w:rPr>
                      </w:pPr>
                      <w:r w:rsidRPr="004055E4">
                        <w:rPr>
                          <w:b/>
                          <w:bCs/>
                        </w:rPr>
                        <w:t xml:space="preserve">This protocol has been updated to reflect changes necessary to compete the </w:t>
                      </w:r>
                      <w:r w:rsidR="000379E8">
                        <w:rPr>
                          <w:b/>
                          <w:bCs/>
                        </w:rPr>
                        <w:t xml:space="preserve">Exposure Assessments </w:t>
                      </w:r>
                      <w:r w:rsidRPr="004055E4">
                        <w:rPr>
                          <w:b/>
                          <w:bCs/>
                        </w:rPr>
                        <w:t>during the Covid-19 pandemic. Appropriate safety precautions</w:t>
                      </w:r>
                      <w:r>
                        <w:rPr>
                          <w:b/>
                          <w:bCs/>
                        </w:rPr>
                        <w:t>, including the use of all appropriate personal protective equipment (PPE),</w:t>
                      </w:r>
                      <w:r w:rsidRPr="004055E4">
                        <w:rPr>
                          <w:b/>
                          <w:bCs/>
                        </w:rPr>
                        <w:t xml:space="preserve"> will be implemented to keep </w:t>
                      </w:r>
                      <w:r>
                        <w:rPr>
                          <w:b/>
                          <w:bCs/>
                        </w:rPr>
                        <w:t>the</w:t>
                      </w:r>
                      <w:r w:rsidRPr="004055E4">
                        <w:rPr>
                          <w:b/>
                          <w:bCs/>
                        </w:rPr>
                        <w:t xml:space="preserve"> EA team and participants safe during the </w:t>
                      </w:r>
                      <w:r>
                        <w:rPr>
                          <w:b/>
                          <w:bCs/>
                        </w:rPr>
                        <w:t>EA process</w:t>
                      </w:r>
                      <w:r w:rsidRPr="004055E4">
                        <w:rPr>
                          <w:b/>
                          <w:bCs/>
                        </w:rPr>
                        <w:t>. Appendix J</w:t>
                      </w:r>
                      <w:r>
                        <w:rPr>
                          <w:b/>
                          <w:bCs/>
                        </w:rPr>
                        <w:t>, the PFAS EA Restart Plan,</w:t>
                      </w:r>
                      <w:r w:rsidRPr="004055E4">
                        <w:rPr>
                          <w:b/>
                          <w:bCs/>
                        </w:rPr>
                        <w:t xml:space="preserve"> has been included that outlines the additional procedures that will be implemented during recruitment</w:t>
                      </w:r>
                      <w:r>
                        <w:rPr>
                          <w:b/>
                          <w:bCs/>
                        </w:rPr>
                        <w:t>,</w:t>
                      </w:r>
                      <w:r w:rsidRPr="004055E4">
                        <w:rPr>
                          <w:b/>
                          <w:bCs/>
                        </w:rPr>
                        <w:t xml:space="preserve"> field work </w:t>
                      </w:r>
                      <w:r>
                        <w:rPr>
                          <w:b/>
                          <w:bCs/>
                        </w:rPr>
                        <w:t xml:space="preserve">and community meetings </w:t>
                      </w:r>
                      <w:r w:rsidRPr="004055E4">
                        <w:rPr>
                          <w:b/>
                          <w:bCs/>
                        </w:rPr>
                        <w:t>to ensure that the EAs are completed in compliance with CDC and state requirements.</w:t>
                      </w:r>
                      <w:r w:rsidRPr="00C77BA2">
                        <w:t xml:space="preserve"> </w:t>
                      </w:r>
                      <w:hyperlink w:history="1" r:id="rId16">
                        <w:r w:rsidRPr="00784FA2">
                          <w:rPr>
                            <w:rStyle w:val="Hyperlink"/>
                          </w:rPr>
                          <w:t>https://www.cdc.gov/coronavirus/2019-ncov/hcp/non-covid-19-client-interaction.html for non-COVID-19</w:t>
                        </w:r>
                      </w:hyperlink>
                    </w:p>
                    <w:p w:rsidR="0022113E" w:rsidRDefault="0022113E" w14:paraId="7752DBA8" w14:textId="4DA506DF">
                      <w:pPr>
                        <w:rPr>
                          <w:b/>
                          <w:bCs/>
                        </w:rPr>
                      </w:pPr>
                      <w:r>
                        <w:rPr>
                          <w:b/>
                          <w:bCs/>
                        </w:rPr>
                        <w:t>The activities that will be modified include:</w:t>
                      </w:r>
                    </w:p>
                    <w:p w:rsidR="0022113E" w:rsidP="00496381" w:rsidRDefault="0022113E" w14:paraId="4F057DF1" w14:textId="4F47F6C8">
                      <w:pPr>
                        <w:pStyle w:val="ListParagraph"/>
                        <w:numPr>
                          <w:ilvl w:val="0"/>
                          <w:numId w:val="74"/>
                        </w:numPr>
                        <w:rPr>
                          <w:b/>
                          <w:bCs/>
                        </w:rPr>
                      </w:pPr>
                      <w:r>
                        <w:rPr>
                          <w:b/>
                          <w:bCs/>
                        </w:rPr>
                        <w:t xml:space="preserve">Holding virtual community meetings, including the kickoff meeting and the presentation of results. Small group (less than 10 participants) may be held as needed following applicable </w:t>
                      </w:r>
                      <w:r w:rsidR="007563B0">
                        <w:rPr>
                          <w:b/>
                          <w:bCs/>
                        </w:rPr>
                        <w:t xml:space="preserve">local, </w:t>
                      </w:r>
                      <w:r>
                        <w:rPr>
                          <w:b/>
                          <w:bCs/>
                        </w:rPr>
                        <w:t>state and CDC guidelines in place at the time of the meeting.</w:t>
                      </w:r>
                    </w:p>
                    <w:p w:rsidR="0022113E" w:rsidP="00496381" w:rsidRDefault="0022113E" w14:paraId="6FECBC71" w14:textId="4295E02A">
                      <w:pPr>
                        <w:pStyle w:val="ListParagraph"/>
                        <w:numPr>
                          <w:ilvl w:val="0"/>
                          <w:numId w:val="74"/>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2113E" w:rsidP="00496381" w:rsidRDefault="0022113E" w14:paraId="14D8B43E" w14:textId="2D0C8A04">
                      <w:pPr>
                        <w:pStyle w:val="ListParagraph"/>
                        <w:numPr>
                          <w:ilvl w:val="0"/>
                          <w:numId w:val="74"/>
                        </w:numPr>
                        <w:rPr>
                          <w:b/>
                          <w:bCs/>
                        </w:rPr>
                      </w:pPr>
                      <w:r>
                        <w:rPr>
                          <w:b/>
                          <w:bCs/>
                        </w:rPr>
                        <w:t>Adding information to the recruitment letter to reassure potential EA participants that all state and CDC guidelines will be in place during the EA testing.</w:t>
                      </w:r>
                    </w:p>
                    <w:p w:rsidR="0022113E" w:rsidP="00496381" w:rsidRDefault="0022113E" w14:paraId="42E6E2BF" w14:textId="48F0E433">
                      <w:pPr>
                        <w:pStyle w:val="ListParagraph"/>
                        <w:numPr>
                          <w:ilvl w:val="0"/>
                          <w:numId w:val="74"/>
                        </w:numPr>
                        <w:rPr>
                          <w:b/>
                          <w:bCs/>
                        </w:rPr>
                      </w:pPr>
                      <w:r>
                        <w:rPr>
                          <w:b/>
                          <w:bCs/>
                        </w:rPr>
                        <w:t xml:space="preserve">Asking participants about their and their family’s health/COVID-19-status during their appointment reminder phone call and prior to beginning the testing process. </w:t>
                      </w:r>
                    </w:p>
                    <w:p w:rsidR="0022113E" w:rsidP="00496381" w:rsidRDefault="0022113E" w14:paraId="5F54B3EC" w14:textId="5C6F4674">
                      <w:pPr>
                        <w:pStyle w:val="ListParagraph"/>
                        <w:numPr>
                          <w:ilvl w:val="0"/>
                          <w:numId w:val="74"/>
                        </w:numPr>
                        <w:rPr>
                          <w:b/>
                          <w:bCs/>
                        </w:rPr>
                      </w:pPr>
                      <w:r>
                        <w:rPr>
                          <w:b/>
                          <w:bCs/>
                        </w:rPr>
                        <w:t>Monitoring the temperature of EA team members (CDC/ATSDR and contractor staff) twice daily and taking participant’s temperatures prior to entering the EA testing facility.</w:t>
                      </w:r>
                    </w:p>
                    <w:p w:rsidR="0022113E" w:rsidP="00496381" w:rsidRDefault="0022113E" w14:paraId="4E743490" w14:textId="33EEA662">
                      <w:pPr>
                        <w:pStyle w:val="ListParagraph"/>
                        <w:numPr>
                          <w:ilvl w:val="0"/>
                          <w:numId w:val="74"/>
                        </w:numPr>
                        <w:rPr>
                          <w:b/>
                          <w:bCs/>
                        </w:rPr>
                      </w:pPr>
                      <w:r>
                        <w:rPr>
                          <w:b/>
                          <w:bCs/>
                        </w:rPr>
                        <w:t>Administering the exposure questionnaire over the phone instead of at the testing facility to reduce exposure time: consent form administration and collection of biological samples will occur at the testing location.</w:t>
                      </w:r>
                    </w:p>
                    <w:p w:rsidRPr="004055E4" w:rsidR="0022113E" w:rsidP="004055E4" w:rsidRDefault="0022113E" w14:paraId="4F192080" w14:textId="57E2EFC6">
                      <w:pPr>
                        <w:ind w:left="360"/>
                        <w:rPr>
                          <w:b/>
                          <w:bCs/>
                        </w:rPr>
                      </w:pPr>
                      <w:r>
                        <w:rPr>
                          <w:b/>
                          <w:bCs/>
                        </w:rPr>
                        <w:t>These changes are provided in modified Appendices and scripts.</w:t>
                      </w:r>
                    </w:p>
                  </w:txbxContent>
                </v:textbox>
                <w10:wrap type="square" anchorx="margin"/>
              </v:shape>
            </w:pict>
          </mc:Fallback>
        </mc:AlternateContent>
      </w:r>
      <w:r w:rsidR="00C77BA2">
        <w:t xml:space="preserve"> </w:t>
      </w:r>
    </w:p>
    <w:p w:rsidR="00C62E6D" w:rsidRDefault="00C62E6D" w14:paraId="4153721F" w14:textId="7BCA7E1A">
      <w:r>
        <w:br w:type="page"/>
      </w:r>
    </w:p>
    <w:p w:rsidR="00C3756A" w:rsidP="007B3D7D" w:rsidRDefault="00C3756A" w14:paraId="65D22DEF" w14:textId="77777777">
      <w:pPr>
        <w:spacing w:line="240" w:lineRule="auto"/>
        <w:rPr>
          <w:rFonts w:asciiTheme="majorHAnsi" w:hAnsiTheme="majorHAnsi" w:eastAsiaTheme="majorEastAsia" w:cstheme="majorBidi"/>
          <w:color w:val="365F91" w:themeColor="accent1" w:themeShade="BF"/>
          <w:sz w:val="28"/>
          <w:szCs w:val="28"/>
        </w:rPr>
      </w:pPr>
    </w:p>
    <w:p w:rsidRPr="00A354EE" w:rsidR="00110D70" w:rsidP="007B3D7D" w:rsidRDefault="00C3756A" w14:paraId="394DD6F8" w14:textId="77777777">
      <w:pPr>
        <w:pStyle w:val="Heading1"/>
        <w:spacing w:before="0" w:after="200" w:line="240" w:lineRule="auto"/>
      </w:pPr>
      <w:bookmarkStart w:name="_Toc536793461" w:id="2"/>
      <w:bookmarkStart w:name="_Toc6924081" w:id="3"/>
      <w:r>
        <w:t>P</w:t>
      </w:r>
      <w:r w:rsidRPr="00A354EE" w:rsidR="00A823F4">
        <w:t>roject Overview</w:t>
      </w:r>
      <w:bookmarkEnd w:id="2"/>
      <w:bookmarkEnd w:id="3"/>
    </w:p>
    <w:p w:rsidRPr="00293DA9" w:rsidR="00FC0E6C" w:rsidP="00293DA9" w:rsidRDefault="00A823F4" w14:paraId="7A3CBB69" w14:textId="77777777">
      <w:pPr>
        <w:pStyle w:val="Heading2"/>
        <w:rPr>
          <w:b w:val="0"/>
        </w:rPr>
      </w:pPr>
      <w:bookmarkStart w:name="_Toc536793462" w:id="4"/>
      <w:bookmarkStart w:name="_Toc6924082" w:id="5"/>
      <w:r w:rsidRPr="00293DA9">
        <w:rPr>
          <w:rStyle w:val="Heading2Char"/>
          <w:b/>
        </w:rPr>
        <w:t>Title</w:t>
      </w:r>
      <w:bookmarkEnd w:id="4"/>
      <w:bookmarkEnd w:id="5"/>
      <w:r w:rsidRPr="00293DA9">
        <w:rPr>
          <w:b w:val="0"/>
        </w:rPr>
        <w:t xml:space="preserve"> </w:t>
      </w:r>
    </w:p>
    <w:p w:rsidRPr="00DF516A" w:rsidR="008C5C46" w:rsidP="007B3D7D" w:rsidRDefault="005E2A6F" w14:paraId="06EEAAC0" w14:textId="77777777">
      <w:pPr>
        <w:pStyle w:val="NoSpacing"/>
        <w:spacing w:after="200"/>
      </w:pPr>
      <w:r>
        <w:t>Biological</w:t>
      </w:r>
      <w:r w:rsidR="00394141">
        <w:t xml:space="preserve"> and Environmental</w:t>
      </w:r>
      <w:r>
        <w:t xml:space="preserve"> Sampling</w:t>
      </w:r>
      <w:r w:rsidR="00237980">
        <w:t xml:space="preserve"> of Per- and Polyfluoroalkyl Substances</w:t>
      </w:r>
      <w:r w:rsidR="00FB78F0">
        <w:t xml:space="preserve"> (PFAS)</w:t>
      </w:r>
    </w:p>
    <w:p w:rsidRPr="00BE7147" w:rsidR="002757A1" w:rsidP="00BE7147" w:rsidRDefault="008C5C46" w14:paraId="0D19481E" w14:textId="77777777">
      <w:pPr>
        <w:pStyle w:val="Heading2"/>
      </w:pPr>
      <w:bookmarkStart w:name="_Toc536793463" w:id="6"/>
      <w:bookmarkStart w:name="_Toc6924083" w:id="7"/>
      <w:r w:rsidRPr="00BE7147">
        <w:rPr>
          <w:rStyle w:val="Heading2Char"/>
          <w:b/>
        </w:rPr>
        <w:t>Protocol Summary</w:t>
      </w:r>
      <w:bookmarkEnd w:id="6"/>
      <w:bookmarkEnd w:id="7"/>
    </w:p>
    <w:p w:rsidR="00FB78F0" w:rsidP="007B3D7D" w:rsidRDefault="00796457" w14:paraId="1DF05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Under Section 8006 of the Consolidated Appropriations Act, 2018, </w:t>
      </w:r>
      <w:r w:rsidRPr="00D87F4B" w:rsidR="000C6C65">
        <w:rPr>
          <w:rFonts w:ascii="Calibri" w:hAnsi="Calibri"/>
        </w:rPr>
        <w:t xml:space="preserve">ATSDR </w:t>
      </w:r>
      <w:r>
        <w:rPr>
          <w:rFonts w:ascii="Calibri" w:hAnsi="Calibri"/>
        </w:rPr>
        <w:t xml:space="preserve">is required </w:t>
      </w:r>
      <w:r w:rsidRPr="00D87F4B" w:rsidR="000C6C65">
        <w:rPr>
          <w:rFonts w:ascii="Calibri" w:hAnsi="Calibri"/>
        </w:rPr>
        <w:t>to conduct</w:t>
      </w:r>
      <w:r w:rsidRPr="00D87F4B" w:rsidR="00FB78F0">
        <w:rPr>
          <w:rFonts w:ascii="Calibri" w:hAnsi="Calibri"/>
        </w:rPr>
        <w:t xml:space="preserve"> statistically</w:t>
      </w:r>
      <w:r w:rsidR="00243A02">
        <w:rPr>
          <w:rFonts w:ascii="Calibri" w:hAnsi="Calibri"/>
        </w:rPr>
        <w:t xml:space="preserve"> </w:t>
      </w:r>
      <w:r w:rsidRPr="00D87F4B" w:rsidR="00FB78F0">
        <w:rPr>
          <w:rFonts w:ascii="Calibri" w:hAnsi="Calibri"/>
        </w:rPr>
        <w:t xml:space="preserve">based biomonitoring </w:t>
      </w:r>
      <w:r w:rsidRPr="002757A1" w:rsidR="003A201A">
        <w:rPr>
          <w:rFonts w:ascii="Calibri" w:hAnsi="Calibri"/>
        </w:rPr>
        <w:t>exposure assessments (EAs)</w:t>
      </w:r>
      <w:r w:rsidRPr="002757A1" w:rsidR="00FB78F0">
        <w:rPr>
          <w:rFonts w:ascii="Calibri" w:hAnsi="Calibri"/>
        </w:rPr>
        <w:t xml:space="preserve"> at </w:t>
      </w:r>
      <w:r w:rsidRPr="002757A1" w:rsidR="00061574">
        <w:rPr>
          <w:rFonts w:ascii="Calibri" w:hAnsi="Calibri"/>
        </w:rPr>
        <w:t>“</w:t>
      </w:r>
      <w:r w:rsidRPr="002757A1" w:rsidR="00FB78F0">
        <w:rPr>
          <w:rFonts w:ascii="Calibri" w:hAnsi="Calibri"/>
        </w:rPr>
        <w:t>no less than</w:t>
      </w:r>
      <w:r w:rsidRPr="00FB78F0" w:rsidR="00FB78F0">
        <w:rPr>
          <w:rFonts w:ascii="Calibri" w:hAnsi="Calibri"/>
        </w:rPr>
        <w:t xml:space="preserve"> eight current or former</w:t>
      </w:r>
      <w:r w:rsidR="00061574">
        <w:rPr>
          <w:rFonts w:ascii="Calibri" w:hAnsi="Calibri"/>
        </w:rPr>
        <w:t xml:space="preserve"> domestic military installations”</w:t>
      </w:r>
      <w:r w:rsidRPr="007A45C7" w:rsidR="007A45C7">
        <w:rPr>
          <w:rFonts w:ascii="Calibri" w:hAnsi="Calibri"/>
        </w:rPr>
        <w:t xml:space="preserve"> </w:t>
      </w:r>
      <w:r w:rsidR="007A45C7">
        <w:rPr>
          <w:rFonts w:ascii="Calibri" w:hAnsi="Calibri"/>
        </w:rPr>
        <w:t>that have or have had documented exposures to PFAS in drinking water</w:t>
      </w:r>
      <w:r w:rsidRPr="00FB78F0" w:rsidR="00FB78F0">
        <w:rPr>
          <w:rFonts w:ascii="Calibri" w:hAnsi="Calibri"/>
        </w:rPr>
        <w:t xml:space="preserve">. </w:t>
      </w:r>
      <w:r w:rsidR="000C6C65">
        <w:rPr>
          <w:rFonts w:ascii="Calibri" w:hAnsi="Calibri"/>
        </w:rPr>
        <w:t xml:space="preserve">This protocol describes how these </w:t>
      </w:r>
      <w:r w:rsidR="003A201A">
        <w:rPr>
          <w:rFonts w:ascii="Calibri" w:hAnsi="Calibri"/>
        </w:rPr>
        <w:t xml:space="preserve">EAs </w:t>
      </w:r>
      <w:r w:rsidR="000C6C65">
        <w:rPr>
          <w:rFonts w:ascii="Calibri" w:hAnsi="Calibri"/>
        </w:rPr>
        <w:t xml:space="preserve">will be conducted. </w:t>
      </w:r>
    </w:p>
    <w:p w:rsidR="00F85916" w:rsidP="00F85916" w:rsidRDefault="00FF2F07" w14:paraId="28F30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For each site, a</w:t>
      </w:r>
      <w:r w:rsidR="000A30A9">
        <w:rPr>
          <w:rFonts w:ascii="Calibri" w:hAnsi="Calibri"/>
        </w:rPr>
        <w:t xml:space="preserve"> </w:t>
      </w:r>
      <w:r w:rsidRPr="000C6C65" w:rsidR="000C6C65">
        <w:rPr>
          <w:rFonts w:ascii="Calibri" w:hAnsi="Calibri"/>
        </w:rPr>
        <w:t xml:space="preserve">statistically based, community sampling design </w:t>
      </w:r>
      <w:r w:rsidR="000A30A9">
        <w:rPr>
          <w:rFonts w:ascii="Calibri" w:hAnsi="Calibri"/>
        </w:rPr>
        <w:t xml:space="preserve">will be used to </w:t>
      </w:r>
      <w:r w:rsidR="00241C06">
        <w:rPr>
          <w:rFonts w:ascii="Calibri" w:hAnsi="Calibri"/>
        </w:rPr>
        <w:t>determine</w:t>
      </w:r>
      <w:r w:rsidR="00043DE8">
        <w:rPr>
          <w:rFonts w:ascii="Calibri" w:hAnsi="Calibri"/>
        </w:rPr>
        <w:t>:</w:t>
      </w:r>
    </w:p>
    <w:p w:rsidR="00F85916" w:rsidP="00A856CF" w:rsidRDefault="00834823" w14:paraId="0E04969D" w14:textId="708B81C6">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The distribution of </w:t>
      </w:r>
      <w:r w:rsidRPr="00F85916" w:rsidR="000C6C65">
        <w:rPr>
          <w:rFonts w:ascii="Calibri" w:hAnsi="Calibri"/>
        </w:rPr>
        <w:t xml:space="preserve">PFAS </w:t>
      </w:r>
      <w:r w:rsidRPr="00F85916" w:rsidR="00241C06">
        <w:rPr>
          <w:rFonts w:ascii="Calibri" w:hAnsi="Calibri"/>
        </w:rPr>
        <w:t xml:space="preserve">serum concentrations </w:t>
      </w:r>
      <w:r>
        <w:rPr>
          <w:rFonts w:ascii="Calibri" w:hAnsi="Calibri"/>
        </w:rPr>
        <w:t xml:space="preserve">in communities </w:t>
      </w:r>
      <w:r w:rsidRPr="00376E1B" w:rsidR="00F85916">
        <w:rPr>
          <w:rFonts w:ascii="Calibri" w:hAnsi="Calibri"/>
        </w:rPr>
        <w:t xml:space="preserve">with </w:t>
      </w:r>
      <w:r w:rsidR="00376E1B">
        <w:rPr>
          <w:rFonts w:ascii="Calibri" w:hAnsi="Calibri"/>
        </w:rPr>
        <w:t xml:space="preserve">recent or past </w:t>
      </w:r>
      <w:r w:rsidRPr="00376E1B" w:rsidR="00F85916">
        <w:rPr>
          <w:rFonts w:ascii="Calibri" w:hAnsi="Calibri"/>
        </w:rPr>
        <w:t>exposures to PFAS in drinking water</w:t>
      </w:r>
      <w:r w:rsidRPr="00F85916" w:rsidR="000C6C65">
        <w:rPr>
          <w:rFonts w:ascii="Calibri" w:hAnsi="Calibri"/>
        </w:rPr>
        <w:t xml:space="preserve">. </w:t>
      </w:r>
    </w:p>
    <w:p w:rsidR="00F85916" w:rsidP="00A856CF" w:rsidRDefault="00F85916" w14:paraId="6112B284" w14:textId="49E399D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urine concentrations from a subset of participants </w:t>
      </w:r>
      <w:r w:rsidRPr="00376E1B">
        <w:rPr>
          <w:rFonts w:ascii="Calibri" w:hAnsi="Calibri"/>
        </w:rPr>
        <w:t xml:space="preserve">with </w:t>
      </w:r>
      <w:r w:rsidR="00376E1B">
        <w:rPr>
          <w:rFonts w:ascii="Calibri" w:hAnsi="Calibri"/>
        </w:rPr>
        <w:t xml:space="preserve">recent or past </w:t>
      </w:r>
      <w:r w:rsidRPr="00376E1B">
        <w:rPr>
          <w:rFonts w:ascii="Calibri" w:hAnsi="Calibri"/>
        </w:rPr>
        <w:t>exposures to PFAS in drinking water</w:t>
      </w:r>
      <w:r>
        <w:rPr>
          <w:rFonts w:ascii="Calibri" w:hAnsi="Calibri"/>
        </w:rPr>
        <w:t xml:space="preserve">. </w:t>
      </w:r>
    </w:p>
    <w:p w:rsidR="00F85916" w:rsidP="00A856CF" w:rsidRDefault="00F85916" w14:paraId="2557559C"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concentrations in indoor dust and tap water samples from a subset of homes of participants in biological sampling. </w:t>
      </w:r>
    </w:p>
    <w:p w:rsidRPr="00F85916" w:rsidR="000C6C65" w:rsidP="00F85916" w:rsidRDefault="000A30A9" w14:paraId="227C0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sidRPr="00F85916">
        <w:rPr>
          <w:rFonts w:ascii="Calibri" w:hAnsi="Calibri"/>
        </w:rPr>
        <w:t>A questionnaire will be administered</w:t>
      </w:r>
      <w:r w:rsidRPr="00F85916" w:rsidR="00F01671">
        <w:rPr>
          <w:rFonts w:ascii="Calibri" w:hAnsi="Calibri"/>
        </w:rPr>
        <w:t xml:space="preserve"> to </w:t>
      </w:r>
      <w:r w:rsidR="00F85916">
        <w:rPr>
          <w:rFonts w:ascii="Calibri" w:hAnsi="Calibri"/>
        </w:rPr>
        <w:t xml:space="preserve">all </w:t>
      </w:r>
      <w:r w:rsidRPr="00F85916" w:rsidR="00F01671">
        <w:rPr>
          <w:rFonts w:ascii="Calibri" w:hAnsi="Calibri"/>
        </w:rPr>
        <w:t>participants</w:t>
      </w:r>
      <w:r w:rsidRPr="00F85916">
        <w:rPr>
          <w:rFonts w:ascii="Calibri" w:hAnsi="Calibri"/>
        </w:rPr>
        <w:t xml:space="preserve"> to gather information to characterize </w:t>
      </w:r>
      <w:proofErr w:type="gramStart"/>
      <w:r w:rsidRPr="00F85916">
        <w:rPr>
          <w:rFonts w:ascii="Calibri" w:hAnsi="Calibri"/>
        </w:rPr>
        <w:t>each individual’s</w:t>
      </w:r>
      <w:proofErr w:type="gramEnd"/>
      <w:r w:rsidRPr="00F85916">
        <w:rPr>
          <w:rFonts w:ascii="Calibri" w:hAnsi="Calibri"/>
        </w:rPr>
        <w:t xml:space="preserve"> exposure</w:t>
      </w:r>
      <w:r w:rsidRPr="00F85916" w:rsidR="00B644EE">
        <w:rPr>
          <w:rFonts w:ascii="Calibri" w:hAnsi="Calibri"/>
        </w:rPr>
        <w:t>.</w:t>
      </w:r>
      <w:r w:rsidRPr="00F85916">
        <w:rPr>
          <w:rFonts w:ascii="Calibri" w:hAnsi="Calibri"/>
        </w:rPr>
        <w:t xml:space="preserve"> </w:t>
      </w:r>
    </w:p>
    <w:p w:rsidR="004E2FB4" w:rsidP="007B3D7D" w:rsidRDefault="00834823" w14:paraId="0BD11DF1" w14:textId="01F89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Blood and urine samples from EA participants </w:t>
      </w:r>
      <w:r w:rsidR="004E2FB4">
        <w:rPr>
          <w:rFonts w:ascii="Calibri" w:hAnsi="Calibri"/>
        </w:rPr>
        <w:t xml:space="preserve">will be analyzed to determine </w:t>
      </w:r>
      <w:r>
        <w:rPr>
          <w:rFonts w:ascii="Calibri" w:hAnsi="Calibri"/>
        </w:rPr>
        <w:t xml:space="preserve">the distribution of </w:t>
      </w:r>
      <w:r w:rsidR="004E2FB4">
        <w:rPr>
          <w:rFonts w:ascii="Calibri" w:hAnsi="Calibri"/>
        </w:rPr>
        <w:t xml:space="preserve">PFAS levels </w:t>
      </w:r>
      <w:r>
        <w:rPr>
          <w:rFonts w:ascii="Calibri" w:hAnsi="Calibri"/>
        </w:rPr>
        <w:t xml:space="preserve">in each </w:t>
      </w:r>
      <w:r w:rsidR="004E2FB4">
        <w:rPr>
          <w:rFonts w:ascii="Calibri" w:hAnsi="Calibri"/>
        </w:rPr>
        <w:t>community</w:t>
      </w:r>
      <w:r w:rsidR="00EA3D13">
        <w:rPr>
          <w:rFonts w:ascii="Calibri" w:hAnsi="Calibri"/>
        </w:rPr>
        <w:t xml:space="preserve">. </w:t>
      </w:r>
      <w:r w:rsidR="00FF2F07">
        <w:rPr>
          <w:rFonts w:ascii="Calibri" w:hAnsi="Calibri"/>
        </w:rPr>
        <w:t>Individual and aggregated community s</w:t>
      </w:r>
      <w:r w:rsidR="00B85222">
        <w:rPr>
          <w:rFonts w:ascii="Calibri" w:hAnsi="Calibri"/>
        </w:rPr>
        <w:t>erum and urine concentrations will be compared to reference ranges from nationally representative data</w:t>
      </w:r>
      <w:r>
        <w:rPr>
          <w:rFonts w:ascii="Calibri" w:hAnsi="Calibri"/>
        </w:rPr>
        <w:t xml:space="preserve">. Environmental samples will be analyzed to determine PFAS </w:t>
      </w:r>
      <w:r w:rsidR="008076B1">
        <w:rPr>
          <w:rFonts w:ascii="Calibri" w:hAnsi="Calibri"/>
        </w:rPr>
        <w:t xml:space="preserve">exposure </w:t>
      </w:r>
      <w:r>
        <w:rPr>
          <w:rFonts w:ascii="Calibri" w:hAnsi="Calibri"/>
        </w:rPr>
        <w:t>concentrations and</w:t>
      </w:r>
      <w:r w:rsidR="00334E4E">
        <w:rPr>
          <w:rFonts w:ascii="Calibri" w:hAnsi="Calibri"/>
        </w:rPr>
        <w:t>, in conjunction with questionnaire data,</w:t>
      </w:r>
      <w:r>
        <w:rPr>
          <w:rFonts w:ascii="Calibri" w:hAnsi="Calibri"/>
        </w:rPr>
        <w:t xml:space="preserve"> to </w:t>
      </w:r>
      <w:r w:rsidR="009701EF">
        <w:rPr>
          <w:rFonts w:ascii="Calibri" w:hAnsi="Calibri"/>
        </w:rPr>
        <w:t xml:space="preserve">provide insight into </w:t>
      </w:r>
      <w:r>
        <w:rPr>
          <w:rFonts w:ascii="Calibri" w:hAnsi="Calibri"/>
        </w:rPr>
        <w:t xml:space="preserve">environmental </w:t>
      </w:r>
      <w:r w:rsidR="00DB186C">
        <w:rPr>
          <w:rFonts w:ascii="Calibri" w:hAnsi="Calibri"/>
        </w:rPr>
        <w:t xml:space="preserve">contributors to </w:t>
      </w:r>
      <w:r>
        <w:rPr>
          <w:rFonts w:ascii="Calibri" w:hAnsi="Calibri"/>
        </w:rPr>
        <w:t>biological PFAS concentrations</w:t>
      </w:r>
      <w:r w:rsidR="006A0EC2">
        <w:rPr>
          <w:rFonts w:ascii="Calibri" w:hAnsi="Calibri"/>
        </w:rPr>
        <w:t xml:space="preserve"> across all included sites</w:t>
      </w:r>
      <w:r>
        <w:rPr>
          <w:rFonts w:ascii="Calibri" w:hAnsi="Calibri"/>
        </w:rPr>
        <w:t>.</w:t>
      </w:r>
      <w:r w:rsidR="00784C16">
        <w:rPr>
          <w:rFonts w:ascii="Calibri" w:hAnsi="Calibri"/>
        </w:rPr>
        <w:t xml:space="preserve"> </w:t>
      </w:r>
    </w:p>
    <w:p w:rsidRPr="0042298E" w:rsidR="00995C52" w:rsidP="007B3D7D" w:rsidRDefault="00FF2F07" w14:paraId="70765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Cs/>
        </w:rPr>
      </w:pPr>
      <w:r>
        <w:t xml:space="preserve">Each </w:t>
      </w:r>
      <w:r w:rsidR="00241C06">
        <w:t>exposure assessment</w:t>
      </w:r>
      <w:r w:rsidRPr="00FF2F07">
        <w:rPr>
          <w:color w:val="000000"/>
        </w:rPr>
        <w:t xml:space="preserve"> </w:t>
      </w:r>
      <w:r>
        <w:rPr>
          <w:color w:val="000000"/>
        </w:rPr>
        <w:t xml:space="preserve">will </w:t>
      </w:r>
      <w:r>
        <w:t>include</w:t>
      </w:r>
      <w:r w:rsidRPr="0042298E" w:rsidR="00E32238">
        <w:t xml:space="preserve"> the following goals:</w:t>
      </w:r>
    </w:p>
    <w:p w:rsidRPr="000377A3" w:rsidR="000377A3" w:rsidP="00141E5F" w:rsidRDefault="00995C52" w14:paraId="074611C5" w14:textId="480BB42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t xml:space="preserve">Provide a public health service to the community: </w:t>
      </w:r>
      <w:r w:rsidRPr="00FD3F95">
        <w:rPr>
          <w:rFonts w:ascii="Calibri" w:hAnsi="Calibri" w:eastAsia="Times New Roman" w:cs="Times New Roman"/>
          <w:bCs/>
        </w:rPr>
        <w:t>This investigation will p</w:t>
      </w:r>
      <w:r>
        <w:rPr>
          <w:rFonts w:ascii="Calibri" w:hAnsi="Calibri" w:eastAsia="Times New Roman" w:cs="Times New Roman"/>
          <w:bCs/>
        </w:rPr>
        <w:t xml:space="preserve">rovide information to community members about their </w:t>
      </w:r>
      <w:r w:rsidR="00241C06">
        <w:rPr>
          <w:rFonts w:ascii="Calibri" w:hAnsi="Calibri" w:eastAsia="Times New Roman" w:cs="Times New Roman"/>
          <w:bCs/>
        </w:rPr>
        <w:t xml:space="preserve">PFAS </w:t>
      </w:r>
      <w:r>
        <w:rPr>
          <w:rFonts w:ascii="Calibri" w:hAnsi="Calibri" w:eastAsia="Times New Roman" w:cs="Times New Roman"/>
          <w:bCs/>
        </w:rPr>
        <w:t xml:space="preserve">body burden, including an assessment of how their </w:t>
      </w:r>
      <w:r w:rsidR="00241C06">
        <w:rPr>
          <w:rFonts w:ascii="Calibri" w:hAnsi="Calibri" w:eastAsia="Times New Roman" w:cs="Times New Roman"/>
          <w:bCs/>
        </w:rPr>
        <w:t>PFAS</w:t>
      </w:r>
      <w:r>
        <w:rPr>
          <w:rFonts w:ascii="Calibri" w:hAnsi="Calibri" w:eastAsia="Times New Roman" w:cs="Times New Roman"/>
          <w:bCs/>
        </w:rPr>
        <w:t xml:space="preserve"> concentrations compare to national reference populations. </w:t>
      </w:r>
      <w:r w:rsidR="000377A3">
        <w:rPr>
          <w:rFonts w:ascii="Calibri" w:hAnsi="Calibri" w:eastAsia="Times New Roman" w:cs="Times New Roman"/>
          <w:bCs/>
        </w:rPr>
        <w:t xml:space="preserve">The investigation will also provide information about </w:t>
      </w:r>
      <w:r w:rsidR="00FF2F07">
        <w:rPr>
          <w:rFonts w:ascii="Calibri" w:hAnsi="Calibri" w:eastAsia="Times New Roman" w:cs="Times New Roman"/>
          <w:bCs/>
        </w:rPr>
        <w:t xml:space="preserve">aggregate serum concentrations and </w:t>
      </w:r>
      <w:r w:rsidR="000377A3">
        <w:rPr>
          <w:rFonts w:ascii="Calibri" w:hAnsi="Calibri" w:eastAsia="Times New Roman" w:cs="Times New Roman"/>
          <w:bCs/>
        </w:rPr>
        <w:t>exposure in the community from which participants are selected.</w:t>
      </w:r>
    </w:p>
    <w:p w:rsidRPr="00671507" w:rsidR="00671507" w:rsidP="007B3D7D" w:rsidRDefault="00995C52" w14:paraId="262470D5" w14:textId="17551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Calibri" w:hAnsi="Calibri" w:eastAsia="Times New Roman" w:cs="Times New Roman"/>
          <w:bCs/>
        </w:rPr>
      </w:pPr>
      <w:r>
        <w:rPr>
          <w:rFonts w:ascii="Calibri" w:hAnsi="Calibri" w:eastAsia="Times New Roman" w:cs="Times New Roman"/>
          <w:bCs/>
        </w:rPr>
        <w:t xml:space="preserve">Depending on the results of the investigation, ATSDR will make recommendations to further reduce exposure or conduct </w:t>
      </w:r>
      <w:r w:rsidR="0026412A">
        <w:rPr>
          <w:rFonts w:ascii="Calibri" w:hAnsi="Calibri" w:eastAsia="Times New Roman" w:cs="Times New Roman"/>
          <w:bCs/>
        </w:rPr>
        <w:t>additional</w:t>
      </w:r>
      <w:r>
        <w:rPr>
          <w:rFonts w:ascii="Calibri" w:hAnsi="Calibri" w:eastAsia="Times New Roman" w:cs="Times New Roman"/>
          <w:bCs/>
        </w:rPr>
        <w:t xml:space="preserve"> activities to </w:t>
      </w:r>
      <w:r w:rsidR="003C0267">
        <w:rPr>
          <w:rFonts w:ascii="Calibri" w:hAnsi="Calibri" w:eastAsia="Times New Roman" w:cs="Times New Roman"/>
          <w:bCs/>
        </w:rPr>
        <w:t xml:space="preserve">better </w:t>
      </w:r>
      <w:r w:rsidR="00241C06">
        <w:rPr>
          <w:rFonts w:ascii="Calibri" w:hAnsi="Calibri" w:eastAsia="Times New Roman" w:cs="Times New Roman"/>
          <w:bCs/>
        </w:rPr>
        <w:t>understand the impact of PFAS exposure on human health.</w:t>
      </w:r>
    </w:p>
    <w:p w:rsidRPr="006A0EC2" w:rsidR="00C24988" w:rsidP="00141E5F" w:rsidRDefault="00C24988" w14:paraId="5F09730B" w14:textId="2D7229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lastRenderedPageBreak/>
        <w:t xml:space="preserve">Generate </w:t>
      </w:r>
      <w:r w:rsidR="00E54D45">
        <w:rPr>
          <w:rFonts w:ascii="Calibri" w:hAnsi="Calibri" w:eastAsia="Times New Roman" w:cs="Times New Roman"/>
          <w:b/>
          <w:bCs/>
        </w:rPr>
        <w:t>information about</w:t>
      </w:r>
      <w:r>
        <w:rPr>
          <w:rFonts w:ascii="Calibri" w:hAnsi="Calibri" w:eastAsia="Times New Roman" w:cs="Times New Roman"/>
          <w:b/>
          <w:bCs/>
        </w:rPr>
        <w:t xml:space="preserve"> pathways of exposures in the community: </w:t>
      </w:r>
      <w:r>
        <w:t xml:space="preserve">Environmental sampling data will be combined with biological sampling results to generate </w:t>
      </w:r>
      <w:r w:rsidR="00E54D45">
        <w:t>information about</w:t>
      </w:r>
      <w:r>
        <w:t xml:space="preserve"> the impact of drinking water and </w:t>
      </w:r>
      <w:r w:rsidR="002118EA">
        <w:t xml:space="preserve">some </w:t>
      </w:r>
      <w:r>
        <w:t xml:space="preserve">non-drinking water PFAS exposure pathways on PFAS body burden </w:t>
      </w:r>
      <w:r>
        <w:rPr>
          <w:rFonts w:ascii="Calibri" w:hAnsi="Calibri" w:eastAsia="Times New Roman" w:cs="Times New Roman"/>
          <w:bCs/>
        </w:rPr>
        <w:t xml:space="preserve">in </w:t>
      </w:r>
      <w:r w:rsidR="00E54D45">
        <w:rPr>
          <w:rFonts w:ascii="Calibri" w:hAnsi="Calibri" w:eastAsia="Times New Roman" w:cs="Times New Roman"/>
          <w:bCs/>
        </w:rPr>
        <w:t>each</w:t>
      </w:r>
      <w:r>
        <w:rPr>
          <w:rFonts w:ascii="Calibri" w:hAnsi="Calibri" w:eastAsia="Times New Roman" w:cs="Times New Roman"/>
          <w:bCs/>
        </w:rPr>
        <w:t xml:space="preserve"> community. </w:t>
      </w:r>
      <w:r w:rsidR="002118EA">
        <w:rPr>
          <w:rFonts w:ascii="Calibri" w:hAnsi="Calibri" w:eastAsia="Times New Roman" w:cs="Times New Roman"/>
          <w:bCs/>
        </w:rPr>
        <w:t xml:space="preserve">For example, </w:t>
      </w:r>
      <w:r w:rsidR="00951316">
        <w:rPr>
          <w:rFonts w:ascii="Calibri" w:hAnsi="Calibri" w:eastAsia="Times New Roman" w:cs="Times New Roman"/>
          <w:bCs/>
        </w:rPr>
        <w:t xml:space="preserve">environmental sampling data </w:t>
      </w:r>
      <w:r w:rsidR="002118EA">
        <w:rPr>
          <w:rFonts w:ascii="Calibri" w:hAnsi="Calibri" w:eastAsia="Times New Roman" w:cs="Times New Roman"/>
          <w:bCs/>
        </w:rPr>
        <w:t>might</w:t>
      </w:r>
      <w:r w:rsidR="00951316">
        <w:rPr>
          <w:rFonts w:ascii="Calibri" w:hAnsi="Calibri" w:eastAsia="Times New Roman" w:cs="Times New Roman"/>
          <w:bCs/>
        </w:rPr>
        <w:t xml:space="preserve"> allow </w:t>
      </w:r>
      <w:r w:rsidR="002118EA">
        <w:rPr>
          <w:rFonts w:ascii="Calibri" w:hAnsi="Calibri" w:eastAsia="Times New Roman" w:cs="Times New Roman"/>
          <w:bCs/>
        </w:rPr>
        <w:t xml:space="preserve">investigators to assess </w:t>
      </w:r>
      <w:r w:rsidR="00951316">
        <w:rPr>
          <w:rFonts w:ascii="Calibri" w:hAnsi="Calibri" w:eastAsia="Times New Roman" w:cs="Times New Roman"/>
          <w:bCs/>
        </w:rPr>
        <w:t>the relative contribution of dust to PFAS exposure</w:t>
      </w:r>
      <w:r w:rsidR="00321E60">
        <w:rPr>
          <w:rFonts w:ascii="Calibri" w:hAnsi="Calibri" w:eastAsia="Times New Roman" w:cs="Times New Roman"/>
          <w:bCs/>
        </w:rPr>
        <w:t xml:space="preserve">, </w:t>
      </w:r>
      <w:r w:rsidR="00951316">
        <w:rPr>
          <w:rFonts w:ascii="Calibri" w:hAnsi="Calibri" w:eastAsia="Times New Roman" w:cs="Times New Roman"/>
          <w:bCs/>
        </w:rPr>
        <w:t xml:space="preserve">but not </w:t>
      </w:r>
      <w:r w:rsidR="002118EA">
        <w:rPr>
          <w:rFonts w:ascii="Calibri" w:hAnsi="Calibri" w:eastAsia="Times New Roman" w:cs="Times New Roman"/>
          <w:bCs/>
        </w:rPr>
        <w:t xml:space="preserve">necessarily other exposure </w:t>
      </w:r>
      <w:r w:rsidR="00321E60">
        <w:rPr>
          <w:rFonts w:ascii="Calibri" w:hAnsi="Calibri" w:eastAsia="Times New Roman" w:cs="Times New Roman"/>
          <w:bCs/>
        </w:rPr>
        <w:t xml:space="preserve">sources </w:t>
      </w:r>
      <w:r w:rsidR="002118EA">
        <w:rPr>
          <w:rFonts w:ascii="Calibri" w:hAnsi="Calibri" w:eastAsia="Times New Roman" w:cs="Times New Roman"/>
          <w:bCs/>
        </w:rPr>
        <w:t xml:space="preserve">such as </w:t>
      </w:r>
      <w:r w:rsidR="00321E60">
        <w:rPr>
          <w:rFonts w:ascii="Calibri" w:hAnsi="Calibri" w:eastAsia="Times New Roman" w:cs="Times New Roman"/>
          <w:bCs/>
        </w:rPr>
        <w:t>foods</w:t>
      </w:r>
      <w:r w:rsidR="002118EA">
        <w:rPr>
          <w:rFonts w:ascii="Calibri" w:hAnsi="Calibri" w:eastAsia="Times New Roman" w:cs="Times New Roman"/>
          <w:bCs/>
        </w:rPr>
        <w:t>.</w:t>
      </w:r>
    </w:p>
    <w:p w:rsidRPr="00B06B73" w:rsidR="003C2EED" w:rsidP="00B06B73" w:rsidRDefault="003C2EED" w14:paraId="088F5AC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p>
    <w:p w:rsidRPr="00B506FD" w:rsidR="009F2545" w:rsidP="009F2545" w:rsidRDefault="006A0EC2" w14:paraId="7E99EF0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sidRPr="006A0EC2">
        <w:rPr>
          <w:b/>
          <w:color w:val="000000"/>
        </w:rPr>
        <w:t>Inform future studies to evaluate the impact of PFAS exposure on human health</w:t>
      </w:r>
      <w:r>
        <w:rPr>
          <w:b/>
          <w:color w:val="000000"/>
        </w:rPr>
        <w:t xml:space="preserve">: </w:t>
      </w:r>
      <w:r>
        <w:rPr>
          <w:color w:val="000000"/>
        </w:rPr>
        <w:t xml:space="preserve">The results of these EAs will inform the design </w:t>
      </w:r>
      <w:r w:rsidR="0009783A">
        <w:rPr>
          <w:color w:val="000000"/>
        </w:rPr>
        <w:t xml:space="preserve">and implementation </w:t>
      </w:r>
      <w:r>
        <w:rPr>
          <w:color w:val="000000"/>
        </w:rPr>
        <w:t>of the CDC Multi-site PFAS Health Study.</w:t>
      </w:r>
      <w:r w:rsidR="009F2545">
        <w:rPr>
          <w:color w:val="000000"/>
        </w:rPr>
        <w:t xml:space="preserve"> </w:t>
      </w:r>
    </w:p>
    <w:p w:rsidRPr="00B506FD" w:rsidR="009F2545" w:rsidP="00A856CF" w:rsidRDefault="009F2545" w14:paraId="72732FD0" w14:textId="0B92B361">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For example, exploration of indoor dust sampling and analysis </w:t>
      </w:r>
      <w:r w:rsidR="00685895">
        <w:rPr>
          <w:color w:val="000000"/>
        </w:rPr>
        <w:t>may</w:t>
      </w:r>
      <w:r w:rsidRPr="00B506FD">
        <w:rPr>
          <w:color w:val="000000"/>
        </w:rPr>
        <w:t xml:space="preserve"> provide valuable insight into the utility of including indoor dust sampling in future PFAS studies. </w:t>
      </w:r>
    </w:p>
    <w:p w:rsidRPr="00B506FD" w:rsidR="009F2545" w:rsidP="00A856CF" w:rsidRDefault="009F2545" w14:paraId="47FE23CA" w14:textId="22AE0539">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Similarly, collection of paired serum and urine samples will provide information on relationships between PFAS concentrations measured in these media and </w:t>
      </w:r>
      <w:r w:rsidR="00685895">
        <w:rPr>
          <w:color w:val="000000"/>
        </w:rPr>
        <w:t xml:space="preserve">may </w:t>
      </w:r>
      <w:r w:rsidRPr="00B506FD">
        <w:rPr>
          <w:color w:val="000000"/>
        </w:rPr>
        <w:t xml:space="preserve">generate insight into the utility of measuring PFAS in urine in future health studies. </w:t>
      </w:r>
    </w:p>
    <w:p w:rsidRPr="00B506FD" w:rsidR="009F2545" w:rsidP="00A856CF" w:rsidRDefault="009F2545" w14:paraId="7BAFE581"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Additionally, measurement of PFAS in serum and urine will generate data that could potentially be used for validation and calibration of </w:t>
      </w:r>
      <w:proofErr w:type="gramStart"/>
      <w:r w:rsidRPr="00B506FD">
        <w:rPr>
          <w:color w:val="000000"/>
        </w:rPr>
        <w:t>physiologically-based</w:t>
      </w:r>
      <w:proofErr w:type="gramEnd"/>
      <w:r w:rsidRPr="00B506FD">
        <w:rPr>
          <w:color w:val="000000"/>
        </w:rPr>
        <w:t xml:space="preserve"> pharmacokinetic modeling tools in support of historical dose reconstruction for PFAS health studies. </w:t>
      </w:r>
    </w:p>
    <w:p w:rsidRPr="00B506FD" w:rsidR="009F2545" w:rsidP="00A856CF" w:rsidRDefault="009F2545" w14:paraId="26048000"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Tracking information on recruitment outcomes and response rates will allow ATSDR to improve methodology for conducting statistically representative sampling in the future. </w:t>
      </w:r>
    </w:p>
    <w:p w:rsidRPr="00DF516A" w:rsidR="001867BA" w:rsidP="00BE7147" w:rsidRDefault="00DE2AE2" w14:paraId="15AF367A" w14:textId="369E37E5">
      <w:pPr>
        <w:pStyle w:val="Heading2"/>
      </w:pPr>
      <w:bookmarkStart w:name="_Toc536793464" w:id="8"/>
      <w:bookmarkStart w:name="_Toc6924084" w:id="9"/>
      <w:r>
        <w:t>Participating Agencies</w:t>
      </w:r>
      <w:r w:rsidRPr="00DF516A" w:rsidR="00D043C1">
        <w:t>/</w:t>
      </w:r>
      <w:r w:rsidRPr="00DF516A">
        <w:t>Co</w:t>
      </w:r>
      <w:r>
        <w:t>ntractors</w:t>
      </w:r>
      <w:bookmarkEnd w:id="8"/>
      <w:bookmarkEnd w:id="9"/>
    </w:p>
    <w:tbl>
      <w:tblPr>
        <w:tblStyle w:val="TableGrid"/>
        <w:tblW w:w="0" w:type="auto"/>
        <w:tblLook w:val="04A0" w:firstRow="1" w:lastRow="0" w:firstColumn="1" w:lastColumn="0" w:noHBand="0" w:noVBand="1"/>
      </w:tblPr>
      <w:tblGrid>
        <w:gridCol w:w="4686"/>
        <w:gridCol w:w="4149"/>
      </w:tblGrid>
      <w:tr w:rsidRPr="00DF516A" w:rsidR="009022B2" w:rsidTr="009022B2" w14:paraId="4C4B152B" w14:textId="77777777">
        <w:trPr>
          <w:trHeight w:val="331"/>
        </w:trPr>
        <w:tc>
          <w:tcPr>
            <w:tcW w:w="4686" w:type="dxa"/>
          </w:tcPr>
          <w:p w:rsidRPr="00DF516A" w:rsidR="009022B2" w:rsidP="007E697F" w:rsidRDefault="009022B2" w14:paraId="7DC99BD1" w14:textId="77777777">
            <w:pPr>
              <w:pStyle w:val="NoSpacing"/>
              <w:spacing w:after="200"/>
              <w:rPr>
                <w:b/>
              </w:rPr>
            </w:pPr>
            <w:r w:rsidRPr="00DF516A">
              <w:rPr>
                <w:b/>
              </w:rPr>
              <w:t>Institution</w:t>
            </w:r>
          </w:p>
        </w:tc>
        <w:tc>
          <w:tcPr>
            <w:tcW w:w="4149" w:type="dxa"/>
          </w:tcPr>
          <w:p w:rsidRPr="00DF516A" w:rsidR="009022B2" w:rsidP="007E697F" w:rsidRDefault="009022B2" w14:paraId="3A6B954A" w14:textId="77777777">
            <w:pPr>
              <w:pStyle w:val="NoSpacing"/>
              <w:spacing w:after="200"/>
              <w:rPr>
                <w:b/>
              </w:rPr>
            </w:pPr>
            <w:r w:rsidRPr="00DF516A">
              <w:rPr>
                <w:b/>
              </w:rPr>
              <w:t>Role</w:t>
            </w:r>
          </w:p>
        </w:tc>
      </w:tr>
      <w:tr w:rsidRPr="00DF516A" w:rsidR="009022B2" w:rsidTr="009022B2" w14:paraId="58AE859D" w14:textId="77777777">
        <w:trPr>
          <w:trHeight w:val="331"/>
        </w:trPr>
        <w:tc>
          <w:tcPr>
            <w:tcW w:w="4686" w:type="dxa"/>
          </w:tcPr>
          <w:p w:rsidRPr="00DF516A" w:rsidR="009022B2" w:rsidP="007E697F" w:rsidRDefault="009022B2" w14:paraId="7777F1ED" w14:textId="77777777">
            <w:pPr>
              <w:pStyle w:val="NoSpacing"/>
              <w:spacing w:after="200"/>
            </w:pPr>
            <w:r>
              <w:t>Agency for Toxic Substances and Disease Registry</w:t>
            </w:r>
          </w:p>
        </w:tc>
        <w:tc>
          <w:tcPr>
            <w:tcW w:w="4149" w:type="dxa"/>
          </w:tcPr>
          <w:p w:rsidR="009022B2" w:rsidP="007E697F" w:rsidRDefault="009022B2" w14:paraId="4F891319" w14:textId="77777777">
            <w:pPr>
              <w:pStyle w:val="NoSpacing"/>
              <w:spacing w:after="200"/>
            </w:pPr>
            <w:r>
              <w:t>Sponsoring</w:t>
            </w:r>
            <w:r w:rsidRPr="00DF516A">
              <w:t xml:space="preserve"> </w:t>
            </w:r>
            <w:r>
              <w:t>Agency, Funding Agency</w:t>
            </w:r>
          </w:p>
        </w:tc>
      </w:tr>
      <w:tr w:rsidRPr="00DF516A" w:rsidR="009022B2" w:rsidTr="009022B2" w14:paraId="5FB1EA9E" w14:textId="77777777">
        <w:trPr>
          <w:trHeight w:val="331"/>
        </w:trPr>
        <w:tc>
          <w:tcPr>
            <w:tcW w:w="4686" w:type="dxa"/>
          </w:tcPr>
          <w:p w:rsidRPr="00DF516A" w:rsidR="009022B2" w:rsidP="007E697F" w:rsidRDefault="00113210" w14:paraId="3A48C894" w14:textId="6ED32581">
            <w:pPr>
              <w:pStyle w:val="NoSpacing"/>
              <w:spacing w:after="200"/>
            </w:pPr>
            <w:r>
              <w:t>Centers for Disease Control and Prevention</w:t>
            </w:r>
          </w:p>
        </w:tc>
        <w:tc>
          <w:tcPr>
            <w:tcW w:w="4149" w:type="dxa"/>
          </w:tcPr>
          <w:p w:rsidR="009022B2" w:rsidP="007E697F" w:rsidRDefault="009022B2" w14:paraId="1543A8DD" w14:textId="77777777">
            <w:pPr>
              <w:pStyle w:val="NoSpacing"/>
              <w:spacing w:after="200"/>
            </w:pPr>
            <w:r>
              <w:t>Collaborating Agency</w:t>
            </w:r>
          </w:p>
        </w:tc>
      </w:tr>
      <w:tr w:rsidRPr="00DF516A" w:rsidR="009022B2" w:rsidTr="009022B2" w14:paraId="2C925208" w14:textId="77777777">
        <w:trPr>
          <w:trHeight w:val="331"/>
        </w:trPr>
        <w:tc>
          <w:tcPr>
            <w:tcW w:w="4686" w:type="dxa"/>
          </w:tcPr>
          <w:p w:rsidRPr="00DF516A" w:rsidR="009022B2" w:rsidP="007E697F" w:rsidRDefault="009022B2" w14:paraId="4782A26A" w14:textId="77777777">
            <w:pPr>
              <w:pStyle w:val="NoSpacing"/>
              <w:spacing w:after="200"/>
            </w:pPr>
            <w:r>
              <w:t>Eastern Research Group</w:t>
            </w:r>
          </w:p>
        </w:tc>
        <w:tc>
          <w:tcPr>
            <w:tcW w:w="4149" w:type="dxa"/>
          </w:tcPr>
          <w:p w:rsidRPr="00DF516A" w:rsidR="009022B2" w:rsidP="007E697F" w:rsidRDefault="009022B2" w14:paraId="799D8F60" w14:textId="77777777">
            <w:pPr>
              <w:pStyle w:val="NoSpacing"/>
              <w:spacing w:after="200"/>
            </w:pPr>
            <w:r>
              <w:t>Contractor</w:t>
            </w:r>
          </w:p>
        </w:tc>
      </w:tr>
      <w:tr w:rsidRPr="00DF516A" w:rsidR="009022B2" w:rsidTr="009022B2" w14:paraId="26F208EF" w14:textId="77777777">
        <w:trPr>
          <w:trHeight w:val="331"/>
        </w:trPr>
        <w:tc>
          <w:tcPr>
            <w:tcW w:w="4686" w:type="dxa"/>
          </w:tcPr>
          <w:p w:rsidRPr="00DF516A" w:rsidR="009022B2" w:rsidP="007E697F" w:rsidRDefault="009022B2" w14:paraId="0461D600" w14:textId="77777777">
            <w:pPr>
              <w:pStyle w:val="NoSpacing"/>
              <w:spacing w:after="200"/>
            </w:pPr>
            <w:proofErr w:type="spellStart"/>
            <w:r>
              <w:t>Abt</w:t>
            </w:r>
            <w:proofErr w:type="spellEnd"/>
            <w:r>
              <w:t xml:space="preserve"> Associates</w:t>
            </w:r>
          </w:p>
        </w:tc>
        <w:tc>
          <w:tcPr>
            <w:tcW w:w="4149" w:type="dxa"/>
          </w:tcPr>
          <w:p w:rsidRPr="00DF516A" w:rsidR="009022B2" w:rsidP="007E697F" w:rsidRDefault="009022B2" w14:paraId="385B705A" w14:textId="77777777">
            <w:pPr>
              <w:pStyle w:val="NoSpacing"/>
              <w:spacing w:after="200"/>
            </w:pPr>
            <w:r>
              <w:t>Contractor</w:t>
            </w:r>
          </w:p>
        </w:tc>
      </w:tr>
    </w:tbl>
    <w:p w:rsidR="00FF2F07" w:rsidP="00BB28D6" w:rsidRDefault="00FF2F07" w14:paraId="2E4D834E" w14:textId="77777777">
      <w:pPr>
        <w:pStyle w:val="NoSpacing"/>
        <w:rPr>
          <w:rStyle w:val="Heading2Char"/>
        </w:rPr>
      </w:pPr>
    </w:p>
    <w:p w:rsidRPr="00BE7147" w:rsidR="002757A1" w:rsidP="00BE7147" w:rsidRDefault="008C5C46" w14:paraId="6EB30FF0" w14:textId="77777777">
      <w:pPr>
        <w:pStyle w:val="Heading2"/>
      </w:pPr>
      <w:bookmarkStart w:name="_Toc536793465" w:id="10"/>
      <w:bookmarkStart w:name="_Toc6924085" w:id="11"/>
      <w:r w:rsidRPr="00BE7147">
        <w:rPr>
          <w:rStyle w:val="Heading2Char"/>
          <w:b/>
        </w:rPr>
        <w:t>Conflicts of Interest</w:t>
      </w:r>
      <w:bookmarkEnd w:id="10"/>
      <w:bookmarkEnd w:id="11"/>
    </w:p>
    <w:p w:rsidR="00AC1A26" w:rsidP="00624145" w:rsidRDefault="006C1849" w14:paraId="66776AC3" w14:textId="77777777">
      <w:pPr>
        <w:pStyle w:val="NoSpacing"/>
        <w:spacing w:after="200"/>
        <w:rPr>
          <w:rFonts w:asciiTheme="majorHAnsi" w:hAnsiTheme="majorHAnsi" w:eastAsiaTheme="majorEastAsia" w:cstheme="majorBidi"/>
          <w:b/>
          <w:bCs/>
          <w:color w:val="365F91" w:themeColor="accent1" w:themeShade="BF"/>
          <w:sz w:val="28"/>
          <w:szCs w:val="28"/>
        </w:rPr>
      </w:pPr>
      <w:r w:rsidRPr="00DF516A">
        <w:t xml:space="preserve">The investigators report no conflicts of interest that would prevent them from objectively carrying out the investigation. </w:t>
      </w:r>
      <w:r w:rsidR="00AC1A26">
        <w:br w:type="page"/>
      </w:r>
    </w:p>
    <w:p w:rsidRPr="008D6365" w:rsidR="00B64CA5" w:rsidP="007B3D7D" w:rsidRDefault="00924592" w14:paraId="0E47AF5B" w14:textId="77777777">
      <w:pPr>
        <w:pStyle w:val="Heading1"/>
        <w:spacing w:before="0" w:after="200" w:line="240" w:lineRule="auto"/>
      </w:pPr>
      <w:bookmarkStart w:name="_Toc536793466" w:id="12"/>
      <w:bookmarkStart w:name="_Toc6924086" w:id="13"/>
      <w:r w:rsidRPr="008D6365">
        <w:lastRenderedPageBreak/>
        <w:t>Introduction</w:t>
      </w:r>
      <w:bookmarkEnd w:id="12"/>
      <w:bookmarkEnd w:id="13"/>
    </w:p>
    <w:p w:rsidRPr="00293DA9" w:rsidR="00293DA9" w:rsidP="00293DA9" w:rsidRDefault="00603289" w14:paraId="6F1EFAD7" w14:textId="77777777">
      <w:pPr>
        <w:pStyle w:val="Heading2"/>
        <w:rPr>
          <w:rStyle w:val="Heading2Char"/>
          <w:b/>
        </w:rPr>
      </w:pPr>
      <w:bookmarkStart w:name="_Toc536793467" w:id="14"/>
      <w:bookmarkStart w:name="_Toc6924087" w:id="15"/>
      <w:r w:rsidRPr="00293DA9">
        <w:rPr>
          <w:rStyle w:val="Heading2Char"/>
          <w:b/>
        </w:rPr>
        <w:t>Literature Review</w:t>
      </w:r>
      <w:bookmarkEnd w:id="14"/>
      <w:bookmarkEnd w:id="15"/>
    </w:p>
    <w:p w:rsidRPr="00DF516A" w:rsidR="001B6750" w:rsidP="007B3D7D" w:rsidRDefault="003F0577" w14:paraId="128A0092" w14:textId="53E41989">
      <w:pPr>
        <w:pStyle w:val="NoSpacing"/>
        <w:spacing w:after="200"/>
      </w:pPr>
      <w:r>
        <w:rPr>
          <w:color w:val="000000"/>
        </w:rPr>
        <w:t>PFAS</w:t>
      </w:r>
      <w:r w:rsidRPr="00DF516A" w:rsidR="001B6750">
        <w:rPr>
          <w:color w:val="000000"/>
        </w:rPr>
        <w:t xml:space="preserve"> </w:t>
      </w:r>
      <w:r w:rsidR="00132EF1">
        <w:rPr>
          <w:color w:val="000000"/>
        </w:rPr>
        <w:t xml:space="preserve">are a large family of chemicals with </w:t>
      </w:r>
      <w:r w:rsidR="0063688F">
        <w:rPr>
          <w:color w:val="000000"/>
        </w:rPr>
        <w:t>several thousand</w:t>
      </w:r>
      <w:r w:rsidR="00132EF1">
        <w:rPr>
          <w:color w:val="000000"/>
        </w:rPr>
        <w:t xml:space="preserve"> members. They </w:t>
      </w:r>
      <w:r w:rsidRPr="00DF516A" w:rsidR="001B6750">
        <w:rPr>
          <w:color w:val="000000"/>
        </w:rPr>
        <w:t>are used in a variety of industrial and consumer applications and products, including</w:t>
      </w:r>
      <w:r w:rsidR="0061076E">
        <w:rPr>
          <w:color w:val="000000"/>
        </w:rPr>
        <w:t>:</w:t>
      </w:r>
      <w:r w:rsidRPr="00DF516A" w:rsidR="001B6750">
        <w:rPr>
          <w:color w:val="000000"/>
        </w:rPr>
        <w:t xml:space="preserve"> fire-fighting foams; personal care and cleaning </w:t>
      </w:r>
      <w:r w:rsidRPr="00724A35" w:rsidR="001B6750">
        <w:rPr>
          <w:color w:val="000000"/>
        </w:rPr>
        <w:t xml:space="preserve">products; </w:t>
      </w:r>
      <w:r w:rsidRPr="00724A35" w:rsidR="0061076E">
        <w:rPr>
          <w:color w:val="000000"/>
        </w:rPr>
        <w:t xml:space="preserve">as well as </w:t>
      </w:r>
      <w:r w:rsidRPr="00724A35" w:rsidR="001B6750">
        <w:rPr>
          <w:color w:val="000000"/>
        </w:rPr>
        <w:t>oil, stain, grease, and water</w:t>
      </w:r>
      <w:r w:rsidRPr="00724A35" w:rsidR="0061076E">
        <w:rPr>
          <w:color w:val="000000"/>
        </w:rPr>
        <w:t>-</w:t>
      </w:r>
      <w:r w:rsidRPr="00724A35" w:rsidR="001B6750">
        <w:rPr>
          <w:color w:val="000000"/>
        </w:rPr>
        <w:t xml:space="preserve">repellent coatings on carpet, textiles, leather, and paper </w:t>
      </w:r>
      <w:r w:rsidRPr="00724A35" w:rsidR="001B6750">
        <w:rPr>
          <w:color w:val="000000"/>
        </w:rPr>
        <w:fldChar w:fldCharType="begin"/>
      </w:r>
      <w:r w:rsidRPr="00724A35" w:rsidR="0054544D">
        <w:rPr>
          <w:color w:val="000000"/>
        </w:rPr>
        <w:instrText xml:space="preserve"> ADDIN EN.CITE &lt;EndNote&gt;&lt;Cite&gt;&lt;Author&gt;ATSDR&lt;/Author&gt;&lt;Year&gt;2009&lt;/Year&gt;&lt;RecNum&gt;89&lt;/RecNum&gt;&lt;DisplayText&gt;[1]&lt;/DisplayText&gt;&lt;record&gt;&lt;rec-number&gt;89&lt;/rec-number&gt;&lt;foreign-keys&gt;&lt;key app="EN" db-id="5sspex222t9z93e0vpq5pxsgvdfxvrr0z9w5"&gt;89&lt;/key&gt;&lt;/foreign-keys&gt;&lt;ref-type name="Journal Article"&gt;17&lt;/ref-type&gt;&lt;contributors&gt;&lt;authors&gt;&lt;author&gt;ATSDR&lt;/author&gt;&lt;/authors&gt;&lt;/contributors&gt;&lt;titles&gt;&lt;title&gt;Draft Toxicological Profile for Perfluoroalkyls&lt;/title&gt;&lt;secondary-title&gt;US Department of Health and Human Services&lt;/secondary-title&gt;&lt;/titles&gt;&lt;periodical&gt;&lt;full-title&gt;US Department of Health and Human Services&lt;/full-title&gt;&lt;/periodical&gt;&lt;volume&gt;Agency for Toxic Substances and Disease Registry&lt;/volume&gt;&lt;dates&gt;&lt;year&gt;2009&lt;/year&gt;&lt;pub-dates&gt;&lt;date&gt;May 2009&lt;/date&gt;&lt;/pub-dates&gt;&lt;/dates&gt;&lt;urls&gt;&lt;/urls&gt;&lt;/record&gt;&lt;/Cite&gt;&lt;/EndNote&gt;</w:instrText>
      </w:r>
      <w:r w:rsidRPr="00724A35" w:rsidR="001B6750">
        <w:rPr>
          <w:color w:val="000000"/>
        </w:rPr>
        <w:fldChar w:fldCharType="separate"/>
      </w:r>
      <w:r w:rsidRPr="00724A35" w:rsidR="0054544D">
        <w:rPr>
          <w:noProof/>
          <w:color w:val="000000"/>
        </w:rPr>
        <w:t>[1]</w:t>
      </w:r>
      <w:r w:rsidRPr="00724A35" w:rsidR="001B6750">
        <w:rPr>
          <w:color w:val="000000"/>
        </w:rPr>
        <w:fldChar w:fldCharType="end"/>
      </w:r>
      <w:r w:rsidRPr="00724A35" w:rsidR="001B6750">
        <w:rPr>
          <w:color w:val="000000"/>
        </w:rPr>
        <w:t xml:space="preserve">. </w:t>
      </w:r>
      <w:r w:rsidRPr="00724A35" w:rsidR="001B6750">
        <w:t>Perfluorooctanoi</w:t>
      </w:r>
      <w:r w:rsidRPr="00724A35" w:rsidR="00DA25A4">
        <w:t xml:space="preserve">c acid (PFOA), </w:t>
      </w:r>
      <w:proofErr w:type="spellStart"/>
      <w:r w:rsidRPr="00724A35">
        <w:t>perfluorooctane</w:t>
      </w:r>
      <w:proofErr w:type="spellEnd"/>
      <w:r w:rsidRPr="00724A35">
        <w:t xml:space="preserve"> sulfonic acid </w:t>
      </w:r>
      <w:r w:rsidRPr="00724A35" w:rsidR="001B6750">
        <w:t>(PFOS)</w:t>
      </w:r>
      <w:r w:rsidRPr="00724A35" w:rsidR="00DA25A4">
        <w:t xml:space="preserve">, </w:t>
      </w:r>
      <w:proofErr w:type="spellStart"/>
      <w:r w:rsidRPr="00724A35" w:rsidR="00DA25A4">
        <w:t>perfluorononanoic</w:t>
      </w:r>
      <w:proofErr w:type="spellEnd"/>
      <w:r w:rsidRPr="00724A35" w:rsidR="00DA25A4">
        <w:t xml:space="preserve"> acid (PFNA), and </w:t>
      </w:r>
      <w:proofErr w:type="spellStart"/>
      <w:r w:rsidRPr="00724A35" w:rsidR="00DA25A4">
        <w:t>perfluorohexan</w:t>
      </w:r>
      <w:r w:rsidR="00705E94">
        <w:t>e</w:t>
      </w:r>
      <w:proofErr w:type="spellEnd"/>
      <w:r w:rsidR="00705E94">
        <w:t xml:space="preserve"> sulfon</w:t>
      </w:r>
      <w:r w:rsidRPr="00724A35" w:rsidR="00705E94">
        <w:t>ic</w:t>
      </w:r>
      <w:r w:rsidRPr="00724A35" w:rsidR="00DA25A4">
        <w:t xml:space="preserve"> acid (</w:t>
      </w:r>
      <w:proofErr w:type="spellStart"/>
      <w:r w:rsidRPr="00724A35" w:rsidR="00DA25A4">
        <w:t>PFHxS</w:t>
      </w:r>
      <w:proofErr w:type="spellEnd"/>
      <w:r w:rsidRPr="00724A35" w:rsidR="00DA25A4">
        <w:t>)</w:t>
      </w:r>
      <w:r w:rsidRPr="00DF516A" w:rsidR="001B6750">
        <w:t xml:space="preserve"> are the most extensively studied</w:t>
      </w:r>
      <w:r w:rsidR="00DA25A4">
        <w:t xml:space="preserve"> PFAS</w:t>
      </w:r>
      <w:r w:rsidR="0061076E">
        <w:t xml:space="preserve"> </w:t>
      </w:r>
      <w:r w:rsidR="0063688F">
        <w:t>but</w:t>
      </w:r>
      <w:r w:rsidRPr="00DF516A" w:rsidR="001B6750">
        <w:t xml:space="preserve"> there is little toxicity data </w:t>
      </w:r>
      <w:r w:rsidR="0063688F">
        <w:t>available for</w:t>
      </w:r>
      <w:r w:rsidR="0061076E">
        <w:t xml:space="preserve"> </w:t>
      </w:r>
      <w:r>
        <w:t>other PFAS</w:t>
      </w:r>
      <w:r w:rsidRPr="00DF516A" w:rsidR="001B6750">
        <w:t>.</w:t>
      </w:r>
    </w:p>
    <w:p w:rsidRPr="003F0577" w:rsidR="00F340A0" w:rsidP="007B3D7D" w:rsidRDefault="001B6750" w14:paraId="53449B42" w14:textId="58782611">
      <w:pPr>
        <w:pStyle w:val="NoSpacing"/>
        <w:spacing w:after="200"/>
        <w:rPr>
          <w:color w:val="000000"/>
        </w:rPr>
      </w:pPr>
      <w:r w:rsidRPr="00DF516A">
        <w:rPr>
          <w:color w:val="000000"/>
        </w:rPr>
        <w:t xml:space="preserve">PFOS is no longer manufactured in the United States. In January 2006, the </w:t>
      </w:r>
      <w:r w:rsidR="0061076E">
        <w:rPr>
          <w:color w:val="000000"/>
        </w:rPr>
        <w:t>Environmental Protection Agency (</w:t>
      </w:r>
      <w:r w:rsidRPr="00724A35">
        <w:rPr>
          <w:color w:val="000000"/>
        </w:rPr>
        <w:t>EPA</w:t>
      </w:r>
      <w:r w:rsidR="0061076E">
        <w:rPr>
          <w:color w:val="000000"/>
        </w:rPr>
        <w:t>)</w:t>
      </w:r>
      <w:r w:rsidRPr="00DF516A">
        <w:rPr>
          <w:color w:val="000000"/>
        </w:rPr>
        <w:t xml:space="preserve"> initiated the 2010/15 PFOA Stewardship Program, in which the eight major companies in the</w:t>
      </w:r>
      <w:r w:rsidR="007727EE">
        <w:rPr>
          <w:color w:val="000000"/>
        </w:rPr>
        <w:t xml:space="preserve"> </w:t>
      </w:r>
      <w:r w:rsidR="00FF2F07">
        <w:t>PFAS</w:t>
      </w:r>
      <w:r w:rsidRPr="00DF516A">
        <w:rPr>
          <w:color w:val="000000"/>
        </w:rPr>
        <w:t xml:space="preserve"> industry committed to work</w:t>
      </w:r>
      <w:r w:rsidR="007727EE">
        <w:rPr>
          <w:color w:val="000000"/>
        </w:rPr>
        <w:t>ing</w:t>
      </w:r>
      <w:r w:rsidRPr="00DF516A">
        <w:rPr>
          <w:color w:val="000000"/>
        </w:rPr>
        <w:t xml:space="preserve"> toward eliminating emissions and prod</w:t>
      </w:r>
      <w:r w:rsidR="00FF6C0A">
        <w:rPr>
          <w:color w:val="000000"/>
        </w:rPr>
        <w:t>uct content of PFOA by 2015</w:t>
      </w:r>
      <w:r w:rsidR="00276ACC">
        <w:rPr>
          <w:color w:val="000000"/>
        </w:rPr>
        <w:t xml:space="preserve"> </w:t>
      </w:r>
      <w:r w:rsidR="00276ACC">
        <w:rPr>
          <w:color w:val="000000"/>
        </w:rPr>
        <w:fldChar w:fldCharType="begin"/>
      </w:r>
      <w:r w:rsidR="0054544D">
        <w:rPr>
          <w:color w:val="000000"/>
        </w:rPr>
        <w:instrText xml:space="preserve"> ADDIN EN.CITE &lt;EndNote&gt;&lt;Cite&gt;&lt;Author&gt;USEPA&lt;/Author&gt;&lt;Year&gt;2012&lt;/Year&gt;&lt;RecNum&gt;614&lt;/RecNum&gt;&lt;DisplayText&gt;[2, 3]&lt;/DisplayText&gt;&lt;record&gt;&lt;rec-number&gt;614&lt;/rec-number&gt;&lt;foreign-keys&gt;&lt;key app="EN" db-id="rw00aww2fxw5pherwx6v59rqdtsppfap29fz" timestamp="1512495191"&gt;614&lt;/key&gt;&lt;key app="ENWeb" db-id=""&gt;0&lt;/key&gt;&lt;/foreign-keys&gt;&lt;ref-type name="Legal Rule or Regulation"&gt;50&lt;/ref-type&gt;&lt;contributors&gt;&lt;authors&gt;&lt;author&gt;USEPA&lt;/author&gt;&lt;/authors&gt;&lt;secondary-authors&gt;&lt;author&gt;Environmental Protection Agency&lt;/author&gt;&lt;/secondary-authors&gt;&lt;/contributors&gt;&lt;titles&gt;&lt;title&gt;Revisions to the Unregulated Contaminant Monitoring Regulation (UCMR 3) for Public Water Systems&lt;/title&gt;&lt;secondary-title&gt;77 FR 26071&lt;/secondary-title&gt;&lt;/titles&gt;&lt;pages&gt;26071 -26101 (31 pages)&lt;/pages&gt;&lt;volume&gt;40 CFR 142&lt;/volume&gt;&lt;dates&gt;&lt;year&gt;2012&lt;/year&gt;&lt;pub-dates&gt;&lt;date&gt;June 1, 2012&lt;/date&gt;&lt;/pub-dates&gt;&lt;/dates&gt;&lt;isbn&gt;2012-9978&lt;/isbn&gt;&lt;urls&gt;&lt;/urls&gt;&lt;/record&gt;&lt;/Cite&gt;&lt;Cite&gt;&lt;Author&gt;USEPA&lt;/Author&gt;&lt;Year&gt;2014&lt;/Year&gt;&lt;RecNum&gt;666&lt;/RecNum&gt;&lt;record&gt;&lt;rec-number&gt;666&lt;/rec-number&gt;&lt;foreign-keys&gt;&lt;key app="EN" db-id="rw00aww2fxw5pherwx6v59rqdtsppfap29fz" timestamp="1512495556"&gt;666&lt;/key&gt;&lt;key app="ENWeb" db-id=""&gt;0&lt;/key&gt;&lt;/foreign-keys&gt;&lt;ref-type name="Journal Article"&gt;17&lt;/ref-type&gt;&lt;contributors&gt;&lt;authors&gt;&lt;author&gt;USEPA&lt;/author&gt;&lt;/authors&gt;&lt;/contributors&gt;&lt;titles&gt;&lt;title&gt;Public Comment Draft Health Effects Document for Perfluorooctanoic Acid (PFOA)&lt;/title&gt;&lt;secondary-title&gt;Office of Water&lt;/secondary-title&gt;&lt;/titles&gt;&lt;periodical&gt;&lt;full-title&gt;Office of Water&lt;/full-title&gt;&lt;/periodical&gt;&lt;dates&gt;&lt;year&gt;2014&lt;/year&gt;&lt;pub-dates&gt;&lt;date&gt;February 2014&lt;/date&gt;&lt;/pub-dates&gt;&lt;/dates&gt;&lt;urls&gt;&lt;/urls&gt;&lt;/record&gt;&lt;/Cite&gt;&lt;/EndNote&gt;</w:instrText>
      </w:r>
      <w:r w:rsidR="00276ACC">
        <w:rPr>
          <w:color w:val="000000"/>
        </w:rPr>
        <w:fldChar w:fldCharType="separate"/>
      </w:r>
      <w:r w:rsidR="0054544D">
        <w:rPr>
          <w:noProof/>
          <w:color w:val="000000"/>
        </w:rPr>
        <w:t>[2, 3]</w:t>
      </w:r>
      <w:r w:rsidR="00276ACC">
        <w:rPr>
          <w:color w:val="000000"/>
        </w:rPr>
        <w:fldChar w:fldCharType="end"/>
      </w:r>
      <w:r w:rsidR="003F0577">
        <w:rPr>
          <w:color w:val="000000"/>
        </w:rPr>
        <w:t xml:space="preserve">. The goals </w:t>
      </w:r>
      <w:r w:rsidR="007727EE">
        <w:rPr>
          <w:color w:val="000000"/>
        </w:rPr>
        <w:t>set forth by</w:t>
      </w:r>
      <w:r w:rsidR="003F0577">
        <w:rPr>
          <w:color w:val="000000"/>
        </w:rPr>
        <w:t xml:space="preserve"> this program were met, </w:t>
      </w:r>
      <w:r w:rsidR="007727EE">
        <w:rPr>
          <w:color w:val="000000"/>
        </w:rPr>
        <w:t>resulting in a significant decrease in the</w:t>
      </w:r>
      <w:r w:rsidR="003F0577">
        <w:rPr>
          <w:color w:val="000000"/>
        </w:rPr>
        <w:t xml:space="preserve"> manufactur</w:t>
      </w:r>
      <w:r w:rsidR="0063688F">
        <w:rPr>
          <w:color w:val="000000"/>
        </w:rPr>
        <w:t>e</w:t>
      </w:r>
      <w:r w:rsidR="003F0577">
        <w:rPr>
          <w:color w:val="000000"/>
        </w:rPr>
        <w:t xml:space="preserve"> and use of PFOA in the United States. However, </w:t>
      </w:r>
      <w:r w:rsidR="00DB57A3">
        <w:rPr>
          <w:color w:val="000000"/>
        </w:rPr>
        <w:t>PFOA, PFOS, and other PFAS</w:t>
      </w:r>
      <w:r w:rsidR="003F0577">
        <w:rPr>
          <w:color w:val="000000"/>
        </w:rPr>
        <w:t xml:space="preserve"> continue to be </w:t>
      </w:r>
      <w:r w:rsidRPr="00DF516A" w:rsidR="00F340A0">
        <w:t>found in the environment, wildlife</w:t>
      </w:r>
      <w:r w:rsidR="00E64EED">
        <w:t>,</w:t>
      </w:r>
      <w:r w:rsidRPr="00DF516A" w:rsidR="00F340A0">
        <w:t xml:space="preserve"> and blood of the general population </w:t>
      </w:r>
      <w:r w:rsidRPr="00DF516A" w:rsidR="00F340A0">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 </w:instrText>
      </w:r>
      <w:r w:rsidR="0054544D">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EN.CITE.DATA </w:instrText>
      </w:r>
      <w:r w:rsidR="0054544D">
        <w:fldChar w:fldCharType="end"/>
      </w:r>
      <w:r w:rsidRPr="00DF516A" w:rsidR="00F340A0">
        <w:fldChar w:fldCharType="separate"/>
      </w:r>
      <w:r w:rsidR="0054544D">
        <w:rPr>
          <w:noProof/>
        </w:rPr>
        <w:t>[4-7]</w:t>
      </w:r>
      <w:r w:rsidRPr="00DF516A" w:rsidR="00F340A0">
        <w:fldChar w:fldCharType="end"/>
      </w:r>
      <w:r w:rsidRPr="00DF516A" w:rsidR="00F340A0">
        <w:t xml:space="preserve">. </w:t>
      </w:r>
      <w:r w:rsidR="000260CF">
        <w:t>Additionally, new PFAS have been developed to replace PFOA and PFOS</w:t>
      </w:r>
      <w:r w:rsidR="007727EE">
        <w:t xml:space="preserve">, </w:t>
      </w:r>
      <w:r w:rsidR="00BD769C">
        <w:t xml:space="preserve">many </w:t>
      </w:r>
      <w:r w:rsidR="007727EE">
        <w:t>of which</w:t>
      </w:r>
      <w:r w:rsidR="0054544D">
        <w:t xml:space="preserve"> have been detected in environmental samples near manufacturing facilities </w: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 </w:instrTex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EN.CITE.DATA </w:instrText>
      </w:r>
      <w:r w:rsidR="0054544D">
        <w:fldChar w:fldCharType="end"/>
      </w:r>
      <w:r w:rsidR="0054544D">
        <w:fldChar w:fldCharType="separate"/>
      </w:r>
      <w:r w:rsidR="0054544D">
        <w:rPr>
          <w:noProof/>
        </w:rPr>
        <w:t>[8-10]</w:t>
      </w:r>
      <w:r w:rsidR="0054544D">
        <w:fldChar w:fldCharType="end"/>
      </w:r>
      <w:r w:rsidR="000260CF">
        <w:t xml:space="preserve">. </w:t>
      </w:r>
      <w:r w:rsidR="00987942">
        <w:t xml:space="preserve">Very little is known about these </w:t>
      </w:r>
      <w:r w:rsidR="00951316">
        <w:t>new</w:t>
      </w:r>
      <w:r w:rsidR="00987942">
        <w:t xml:space="preserve"> PFAS, though they may have the potential to cause adverse health effects. </w:t>
      </w:r>
    </w:p>
    <w:p w:rsidR="00F44358" w:rsidP="007B3D7D" w:rsidRDefault="007727EE" w14:paraId="0A0511FD" w14:textId="7C2B3BAE">
      <w:pPr>
        <w:pStyle w:val="NoSpacing"/>
        <w:spacing w:after="200"/>
      </w:pPr>
      <w:r>
        <w:t>Due to</w:t>
      </w:r>
      <w:r w:rsidR="00334FEB">
        <w:t xml:space="preserve"> past environmental contamination, PFAS have been detected in numerous public and private drinking water </w:t>
      </w:r>
      <w:r>
        <w:t xml:space="preserve">systems </w:t>
      </w:r>
      <w:r w:rsidR="00334FEB">
        <w:t xml:space="preserve">throughout the United States. As a result, public health agencies </w:t>
      </w:r>
      <w:r w:rsidR="004B4D9C">
        <w:t>are concerned</w:t>
      </w:r>
      <w:r w:rsidR="00334FEB">
        <w:t xml:space="preserve"> about</w:t>
      </w:r>
      <w:r>
        <w:t xml:space="preserve"> the</w:t>
      </w:r>
      <w:r w:rsidR="00334FEB">
        <w:t xml:space="preserve"> possible health risks </w:t>
      </w:r>
      <w:r w:rsidR="004B4D9C">
        <w:t>for</w:t>
      </w:r>
      <w:r w:rsidR="00334FEB">
        <w:t xml:space="preserve"> communities exposed to these drinking water supplies as well as other </w:t>
      </w:r>
      <w:r w:rsidR="00FF2F07">
        <w:t>sources of PFAS contamination. In 2016 t</w:t>
      </w:r>
      <w:r w:rsidR="00334FEB">
        <w:t>he EPA established a</w:t>
      </w:r>
      <w:r w:rsidR="009C035F">
        <w:t xml:space="preserve"> lifetime</w:t>
      </w:r>
      <w:r w:rsidR="00334FEB">
        <w:t xml:space="preserve"> health advisory level of 70 parts per trillion for two PFAS (PFOA and PFOS</w:t>
      </w:r>
      <w:r w:rsidR="00076AA7">
        <w:t xml:space="preserve">, either </w:t>
      </w:r>
      <w:r w:rsidR="00334FEB">
        <w:t>separately or combined) in drinking water</w:t>
      </w:r>
      <w:r w:rsidR="00DA25A4">
        <w:t xml:space="preserve"> </w:t>
      </w:r>
      <w:r w:rsidR="00DA25A4">
        <w:fldChar w:fldCharType="begin"/>
      </w:r>
      <w:r w:rsidR="00DA25A4">
        <w:instrText xml:space="preserve"> ADDIN EN.CITE &lt;EndNote&gt;&lt;Cite&gt;&lt;Author&gt;USEPA&lt;/Author&gt;&lt;Year&gt;2016&lt;/Year&gt;&lt;RecNum&gt;267&lt;/RecNum&gt;&lt;DisplayText&gt;[11, 12]&lt;/DisplayText&gt;&lt;record&gt;&lt;rec-number&gt;267&lt;/rec-number&gt;&lt;foreign-keys&gt;&lt;key app="EN" db-id="rw00aww2fxw5pherwx6v59rqdtsppfap29fz" timestamp="1512493669"&gt;267&lt;/key&gt;&lt;/foreign-keys&gt;&lt;ref-type name="Journal Article"&gt;17&lt;/ref-type&gt;&lt;contributors&gt;&lt;authors&gt;&lt;author&gt;USEPA&lt;/author&gt;&lt;/authors&gt;&lt;/contributors&gt;&lt;titles&gt;&lt;title&gt;Drinking Water Health Advisory for Perfluorooctanoic Acid (PFOA)&lt;/title&gt;&lt;/titles&gt;&lt;dates&gt;&lt;year&gt;2016&lt;/year&gt;&lt;pub-dates&gt;&lt;date&gt;May 2016&lt;/date&gt;&lt;/pub-dates&gt;&lt;/dates&gt;&lt;urls&gt;&lt;/urls&gt;&lt;/record&gt;&lt;/Cite&gt;&lt;Cite&gt;&lt;Author&gt;USEPA&lt;/Author&gt;&lt;Year&gt;2016&lt;/Year&gt;&lt;RecNum&gt;268&lt;/RecNum&gt;&lt;record&gt;&lt;rec-number&gt;268&lt;/rec-number&gt;&lt;foreign-keys&gt;&lt;key app="EN" db-id="rw00aww2fxw5pherwx6v59rqdtsppfap29fz" timestamp="1512493670"&gt;268&lt;/key&gt;&lt;/foreign-keys&gt;&lt;ref-type name="Journal Article"&gt;17&lt;/ref-type&gt;&lt;contributors&gt;&lt;authors&gt;&lt;author&gt;USEPA&lt;/author&gt;&lt;/authors&gt;&lt;/contributors&gt;&lt;titles&gt;&lt;title&gt;Drinking Water Health Advisory for Perfluorooctane Sulfonate (PFOS)&lt;/title&gt;&lt;/titles&gt;&lt;dates&gt;&lt;year&gt;2016&lt;/year&gt;&lt;pub-dates&gt;&lt;date&gt;May 2016&lt;/date&gt;&lt;/pub-dates&gt;&lt;/dates&gt;&lt;urls&gt;&lt;/urls&gt;&lt;/record&gt;&lt;/Cite&gt;&lt;/EndNote&gt;</w:instrText>
      </w:r>
      <w:r w:rsidR="00DA25A4">
        <w:fldChar w:fldCharType="separate"/>
      </w:r>
      <w:r w:rsidR="00DA25A4">
        <w:rPr>
          <w:noProof/>
        </w:rPr>
        <w:t>[11, 12]</w:t>
      </w:r>
      <w:r w:rsidR="00DA25A4">
        <w:fldChar w:fldCharType="end"/>
      </w:r>
      <w:r w:rsidR="00334FEB">
        <w:t xml:space="preserve">.  </w:t>
      </w:r>
      <w:r w:rsidR="009C035F">
        <w:t>This health advi</w:t>
      </w:r>
      <w:r w:rsidRPr="009C035F" w:rsidR="009C035F">
        <w:t>sory level offers a margin of protection for all Americans throughout their life from adverse health effects resulting from exposure to PFOA and PFOS in drinking water.</w:t>
      </w:r>
      <w:r w:rsidR="009C035F">
        <w:t xml:space="preserve"> </w:t>
      </w:r>
      <w:r w:rsidR="00334FEB">
        <w:t xml:space="preserve">These values may be revised as the science of PFAS progresses or if new values are </w:t>
      </w:r>
      <w:r w:rsidR="00076AA7">
        <w:t xml:space="preserve">established </w:t>
      </w:r>
      <w:r w:rsidR="00334FEB">
        <w:t>for other PFAS.</w:t>
      </w:r>
      <w:r w:rsidR="00DA25A4">
        <w:t xml:space="preserve"> </w:t>
      </w:r>
      <w:r w:rsidR="0063688F">
        <w:t>In addition, s</w:t>
      </w:r>
      <w:r w:rsidR="00375AEA">
        <w:t>everal s</w:t>
      </w:r>
      <w:r w:rsidR="00334FEB">
        <w:t xml:space="preserve">tates </w:t>
      </w:r>
      <w:r w:rsidR="00DB57A3">
        <w:t>have</w:t>
      </w:r>
      <w:r w:rsidR="00334FEB">
        <w:t xml:space="preserve"> </w:t>
      </w:r>
      <w:r w:rsidR="00DB57A3">
        <w:t xml:space="preserve">developed </w:t>
      </w:r>
      <w:r w:rsidR="00F44358">
        <w:t xml:space="preserve">their own </w:t>
      </w:r>
      <w:r w:rsidR="00BF6D81">
        <w:t>standards and guidance</w:t>
      </w:r>
      <w:r w:rsidR="00F44358">
        <w:t xml:space="preserve">. </w:t>
      </w:r>
    </w:p>
    <w:p w:rsidR="003B33E6" w:rsidP="007B3D7D" w:rsidRDefault="003B33E6" w14:paraId="01E8F346" w14:textId="15F859D2">
      <w:pPr>
        <w:pStyle w:val="NoSpacing"/>
        <w:spacing w:after="200"/>
      </w:pPr>
      <w:r w:rsidRPr="003B33E6">
        <w:t>Human dietary exposure is thought to be a significant exposure route for PFAS</w:t>
      </w:r>
      <w:r>
        <w:t xml:space="preserve"> </w: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 </w:instrTex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EN.CITE.DATA </w:instrText>
      </w:r>
      <w:r>
        <w:fldChar w:fldCharType="end"/>
      </w:r>
      <w:r>
        <w:fldChar w:fldCharType="separate"/>
      </w:r>
      <w:r>
        <w:rPr>
          <w:noProof/>
        </w:rPr>
        <w:t>[13-19]</w:t>
      </w:r>
      <w:r>
        <w:fldChar w:fldCharType="end"/>
      </w:r>
      <w:r w:rsidRPr="003B33E6">
        <w:t>. Some PFAS have been shown to accumulate in fish. In the general population, fish and shellfish consumption have been associated with PFAS serum levels</w:t>
      </w:r>
      <w:r>
        <w:t xml:space="preserve"> </w: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 </w:instrTex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EN.CITE.DATA </w:instrText>
      </w:r>
      <w:r>
        <w:fldChar w:fldCharType="end"/>
      </w:r>
      <w:r>
        <w:fldChar w:fldCharType="separate"/>
      </w:r>
      <w:r>
        <w:rPr>
          <w:noProof/>
        </w:rPr>
        <w:t>[20-22]</w:t>
      </w:r>
      <w:r>
        <w:fldChar w:fldCharType="end"/>
      </w:r>
      <w:r w:rsidRPr="003B33E6">
        <w:t>. In communities near PFAS point-sources, a positive relationship between consumption of fish from PFAS-impacted waters and serum PFAS concentrations have been clearly demonstrated</w:t>
      </w:r>
      <w:r>
        <w:t xml:space="preserve"> </w:t>
      </w:r>
      <w:r>
        <w:fldChar w:fldCharType="begin"/>
      </w:r>
      <w:r>
        <w:instrText xml:space="preserve"> ADDIN EN.CITE &lt;EndNote&gt;&lt;Cite&gt;&lt;Author&gt;Hansen&lt;/Author&gt;&lt;Year&gt;2016&lt;/Year&gt;&lt;RecNum&gt;768&lt;/RecNum&gt;&lt;DisplayText&gt;[23]&lt;/DisplayText&gt;&lt;record&gt;&lt;rec-number&gt;768&lt;/rec-number&gt;&lt;foreign-keys&gt;&lt;key app="EN" db-id="rw00aww2fxw5pherwx6v59rqdtsppfap29fz" timestamp="1512572540"&gt;768&lt;/key&gt;&lt;/foreign-keys&gt;&lt;ref-type name="Journal Article"&gt;17&lt;/ref-type&gt;&lt;contributors&gt;&lt;authors&gt;&lt;author&gt;Hansen, S.&lt;/author&gt;&lt;author&gt;Vestergren, R.&lt;/author&gt;&lt;author&gt;Herzke, D.&lt;/author&gt;&lt;author&gt;Melhus, M.&lt;/author&gt;&lt;author&gt;Evenset, A.&lt;/author&gt;&lt;author&gt;Hanssen, L.&lt;/author&gt;&lt;author&gt;Brustad, M.&lt;/author&gt;&lt;author&gt;Sandanger, T. M.&lt;/author&gt;&lt;/authors&gt;&lt;/contributors&gt;&lt;titles&gt;&lt;title&gt;Exposure to per- and polyfluoroalkyl substances through the consumption of fish from lakes affected by aqueous film-forming foam emissions - A combined epidemiological and exposure modeling approach. The SAMINOR 2 Clinical Study&lt;/title&gt;&lt;secondary-title&gt;Environ Int&lt;/secondary-title&gt;&lt;/titles&gt;&lt;periodical&gt;&lt;full-title&gt;Environ Int&lt;/full-title&gt;&lt;abbr-1&gt;Environment international&lt;/abbr-1&gt;&lt;/periodical&gt;&lt;pages&gt;272-82&lt;/pages&gt;&lt;volume&gt;94&lt;/volume&gt;&lt;edition&gt;2016/06/07&lt;/edition&gt;&lt;dates&gt;&lt;year&gt;2016&lt;/year&gt;&lt;pub-dates&gt;&lt;date&gt;Sep&lt;/date&gt;&lt;/pub-dates&gt;&lt;/dates&gt;&lt;isbn&gt;1873-6750&lt;/isbn&gt;&lt;accession-num&gt;27286038&lt;/accession-num&gt;&lt;urls&gt;&lt;related-urls&gt;&lt;url&gt;https://www.ncbi.nlm.nih.gov/pubmed/27286038&lt;/url&gt;&lt;/related-urls&gt;&lt;/urls&gt;&lt;electronic-resource-num&gt;10.1016/j.envint.2016.05.030&lt;/electronic-resource-num&gt;&lt;language&gt;eng&lt;/language&gt;&lt;/record&gt;&lt;/Cite&gt;&lt;/EndNote&gt;</w:instrText>
      </w:r>
      <w:r>
        <w:fldChar w:fldCharType="separate"/>
      </w:r>
      <w:r>
        <w:rPr>
          <w:noProof/>
        </w:rPr>
        <w:t>[23]</w:t>
      </w:r>
      <w:r>
        <w:fldChar w:fldCharType="end"/>
      </w:r>
      <w:r w:rsidRPr="003B33E6">
        <w:t xml:space="preserve">. Additionally, several peer reviewed studies have shown a direct correlation between PFAS concentrations in soil and bioaccumulation in plants </w: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 </w:instrTex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EN.CITE.DATA </w:instrText>
      </w:r>
      <w:r>
        <w:fldChar w:fldCharType="end"/>
      </w:r>
      <w:r>
        <w:fldChar w:fldCharType="separate"/>
      </w:r>
      <w:r>
        <w:rPr>
          <w:noProof/>
        </w:rPr>
        <w:t>[13, 14, 24]</w:t>
      </w:r>
      <w:r>
        <w:fldChar w:fldCharType="end"/>
      </w:r>
      <w:r w:rsidRPr="003B33E6">
        <w:t xml:space="preserve">. PFAS have been detected in potatoes and cereal seeds as well as leafy vegetables and fruits </w: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 </w:instrTex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EN.CITE.DATA </w:instrText>
      </w:r>
      <w:r w:rsidR="00A028B8">
        <w:fldChar w:fldCharType="end"/>
      </w:r>
      <w:r w:rsidR="00A028B8">
        <w:fldChar w:fldCharType="separate"/>
      </w:r>
      <w:r w:rsidR="00A028B8">
        <w:rPr>
          <w:noProof/>
        </w:rPr>
        <w:t>[24]</w:t>
      </w:r>
      <w:r w:rsidR="00A028B8">
        <w:fldChar w:fldCharType="end"/>
      </w:r>
      <w:r w:rsidRPr="003B33E6">
        <w:t xml:space="preserve">. Thus, consideration of the consumption of </w:t>
      </w:r>
      <w:proofErr w:type="gramStart"/>
      <w:r w:rsidRPr="003B33E6">
        <w:t>locally-grown</w:t>
      </w:r>
      <w:proofErr w:type="gramEnd"/>
      <w:r w:rsidRPr="003B33E6">
        <w:t xml:space="preserve"> fruits and vegetables as well as locally-caught fish is important for exposure assessment.</w:t>
      </w:r>
    </w:p>
    <w:p w:rsidR="002B5ACD" w:rsidP="007B3D7D" w:rsidRDefault="002B5ACD" w14:paraId="6D7A72E5" w14:textId="739A8F00">
      <w:pPr>
        <w:pStyle w:val="NoSpacing"/>
        <w:spacing w:after="200"/>
      </w:pPr>
      <w:r w:rsidRPr="002B5ACD">
        <w:t xml:space="preserve">Infant consumption of formula reconstituted with PFAS-contaminated water as well as consumption of breastmilk from mothers who have been exposed to PFAS are significant dietary sources of PFAS exposure for young children. Empirical data have demonstrated that infant PFOA serum concentrations </w:t>
      </w:r>
      <w:r w:rsidRPr="002B5ACD">
        <w:lastRenderedPageBreak/>
        <w:t xml:space="preserve">are higher than those of older individuals exposed to the same contaminated drinking water source </w:t>
      </w:r>
      <w:r w:rsidR="0091082B">
        <w:t>for</w:t>
      </w:r>
      <w:r w:rsidRPr="002B5ACD">
        <w:t xml:space="preserve"> breastfed </w:t>
      </w:r>
      <w:r w:rsidR="0091082B">
        <w:t xml:space="preserve">infants </w:t>
      </w:r>
      <w:r w:rsidRPr="002B5ACD">
        <w:t xml:space="preserve">and those fed formula reconstituted with PFAS-contaminated water </w:t>
      </w:r>
      <w:r w:rsidRPr="002B5ACD">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 </w:instrText>
      </w:r>
      <w:r w:rsidR="0091082B">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EN.CITE.DATA </w:instrText>
      </w:r>
      <w:r w:rsidR="0091082B">
        <w:fldChar w:fldCharType="end"/>
      </w:r>
      <w:r w:rsidRPr="002B5ACD">
        <w:fldChar w:fldCharType="separate"/>
      </w:r>
      <w:r w:rsidR="0091082B">
        <w:rPr>
          <w:noProof/>
        </w:rPr>
        <w:t>[25, 26]</w:t>
      </w:r>
      <w:r w:rsidRPr="002B5ACD">
        <w:fldChar w:fldCharType="end"/>
      </w:r>
    </w:p>
    <w:p w:rsidR="00334FEB" w:rsidP="007B3D7D" w:rsidRDefault="00F44358" w14:paraId="7F8FD6AC" w14:textId="03D7162D">
      <w:pPr>
        <w:pStyle w:val="NoSpacing"/>
        <w:spacing w:after="200"/>
      </w:pPr>
      <w:r w:rsidRPr="00724A35">
        <w:t xml:space="preserve">ATSDR is currently updating </w:t>
      </w:r>
      <w:r w:rsidR="0063688F">
        <w:t>its</w:t>
      </w:r>
      <w:r w:rsidRPr="00724A35">
        <w:t xml:space="preserve"> Toxicological Profile for Perfluoroalkyls. The profile will include Minimal Risk Levels (MRLs) for four PFAS (PFOA, PFOS, </w:t>
      </w:r>
      <w:proofErr w:type="spellStart"/>
      <w:r w:rsidRPr="00724A35">
        <w:t>PFHxS</w:t>
      </w:r>
      <w:proofErr w:type="spellEnd"/>
      <w:r w:rsidRPr="00724A35">
        <w:t>, and PFNA). MRLs are estimates of daily human exposure to a hazardous substance at or below which that substance is not expected to pose a measurable risk of adverse non</w:t>
      </w:r>
      <w:r w:rsidRPr="00724A35" w:rsidR="00327A40">
        <w:t>-</w:t>
      </w:r>
      <w:r w:rsidRPr="00724A35">
        <w:t xml:space="preserve">cancerous </w:t>
      </w:r>
      <w:r w:rsidRPr="00724A35" w:rsidR="00327A40">
        <w:t>(e.g.</w:t>
      </w:r>
      <w:r w:rsidRPr="00724A35" w:rsidR="004E7644">
        <w:t>,</w:t>
      </w:r>
      <w:r w:rsidRPr="00724A35">
        <w:t xml:space="preserve"> neurological, respiratory, </w:t>
      </w:r>
      <w:r w:rsidRPr="00724A35" w:rsidR="00327A40">
        <w:t xml:space="preserve">or </w:t>
      </w:r>
      <w:r w:rsidRPr="00724A35">
        <w:t>reproductive</w:t>
      </w:r>
      <w:r w:rsidRPr="00724A35" w:rsidR="00327A40">
        <w:t>)</w:t>
      </w:r>
      <w:r w:rsidRPr="00724A35">
        <w:t xml:space="preserve"> effects. MRLs are used </w:t>
      </w:r>
      <w:r w:rsidRPr="00724A35" w:rsidR="00F54550">
        <w:t>to derive</w:t>
      </w:r>
      <w:r w:rsidRPr="00724A35">
        <w:t xml:space="preserve"> screening values </w:t>
      </w:r>
      <w:r w:rsidR="0063688F">
        <w:t>used by</w:t>
      </w:r>
      <w:r w:rsidRPr="00724A35">
        <w:t xml:space="preserve"> ATSDR health assessors and others to identify</w:t>
      </w:r>
      <w:r w:rsidRPr="00724A35" w:rsidR="00250D63">
        <w:t xml:space="preserve"> potentially harmful levels of</w:t>
      </w:r>
      <w:r w:rsidRPr="00724A35">
        <w:t xml:space="preserve"> contaminants at hazardous waste sites and determine whether further investigation is needed to protect communities from exposure.</w:t>
      </w:r>
    </w:p>
    <w:p w:rsidR="007E697F" w:rsidP="006B20B4" w:rsidRDefault="00BD44A2" w14:paraId="4C2B746D" w14:textId="39487BA4">
      <w:pPr>
        <w:pStyle w:val="NoSpacing"/>
      </w:pPr>
      <w:r>
        <w:t>Limited e</w:t>
      </w:r>
      <w:r w:rsidRPr="00DF516A" w:rsidR="00F340A0">
        <w:t>pidemiological studies have assess</w:t>
      </w:r>
      <w:r>
        <w:t>ed</w:t>
      </w:r>
      <w:r w:rsidRPr="00DF516A" w:rsidR="00F340A0">
        <w:t xml:space="preserve"> the relationship between </w:t>
      </w:r>
      <w:r w:rsidR="00334FEB">
        <w:t>PFAS</w:t>
      </w:r>
      <w:r w:rsidRPr="00DF516A" w:rsidR="00F340A0">
        <w:t xml:space="preserve"> exposure and adverse health effects in humans. These studies have been conducted in occupationally exposed populations, residential populations exposed to </w:t>
      </w:r>
      <w:r w:rsidR="00334FEB">
        <w:t>PFAS</w:t>
      </w:r>
      <w:r w:rsidRPr="00DF516A" w:rsidR="00F340A0">
        <w:t xml:space="preserve"> through contaminated drinking water, and the general United States population. </w:t>
      </w:r>
    </w:p>
    <w:p w:rsidR="007E697F" w:rsidP="006B20B4" w:rsidRDefault="007E697F" w14:paraId="3A1E61D3" w14:textId="77777777">
      <w:pPr>
        <w:pStyle w:val="NoSpacing"/>
      </w:pPr>
    </w:p>
    <w:p w:rsidR="006B20B4" w:rsidP="006B20B4" w:rsidRDefault="006B20B4" w14:paraId="3A9BA888" w14:textId="77777777">
      <w:pPr>
        <w:pStyle w:val="NoSpacing"/>
      </w:pPr>
      <w:r>
        <w:t xml:space="preserve">PFOS, PFOA, </w:t>
      </w:r>
      <w:proofErr w:type="spellStart"/>
      <w:r>
        <w:t>PFHxS</w:t>
      </w:r>
      <w:proofErr w:type="spellEnd"/>
      <w:r>
        <w:t>, and PFNA have been more widely studied than other PFAS. Some, but not all, studies in humans with PFAS exposure have shown that certain PFAS may:</w:t>
      </w:r>
    </w:p>
    <w:p w:rsidR="006B20B4" w:rsidP="00CE7CBF" w:rsidRDefault="006B20B4" w14:paraId="009D2AD3" w14:textId="044AFA57">
      <w:pPr>
        <w:pStyle w:val="NoSpacing"/>
        <w:numPr>
          <w:ilvl w:val="0"/>
          <w:numId w:val="58"/>
        </w:numPr>
      </w:pPr>
      <w:r>
        <w:t>affect growth</w:t>
      </w:r>
      <w:r w:rsidR="00CE7CBF">
        <w:t xml:space="preserve"> </w: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 </w:instrTex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EN.CITE.DATA </w:instrText>
      </w:r>
      <w:r w:rsidR="00CE7CBF">
        <w:fldChar w:fldCharType="end"/>
      </w:r>
      <w:r w:rsidR="00CE7CBF">
        <w:fldChar w:fldCharType="separate"/>
      </w:r>
      <w:r w:rsidR="00CE7CBF">
        <w:rPr>
          <w:noProof/>
        </w:rPr>
        <w:t>[27, 28]</w:t>
      </w:r>
      <w:r w:rsidR="00CE7CBF">
        <w:fldChar w:fldCharType="end"/>
      </w:r>
      <w:r>
        <w:t>, learning</w:t>
      </w:r>
      <w:r w:rsidR="00CE7CBF">
        <w:t xml:space="preserve"> </w: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 </w:instrTex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[29]</w:t>
      </w:r>
      <w:r w:rsidR="00CE7CBF">
        <w:fldChar w:fldCharType="end"/>
      </w:r>
      <w:r>
        <w:t>, and behavior</w:t>
      </w:r>
      <w:r w:rsidR="00CE7CBF">
        <w:t xml:space="preserve"> </w: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 </w:instrTex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[30-32]</w:t>
      </w:r>
      <w:r w:rsidR="00CE7CBF">
        <w:fldChar w:fldCharType="end"/>
      </w:r>
      <w:r>
        <w:t xml:space="preserve"> of infants and older children</w:t>
      </w:r>
    </w:p>
    <w:p w:rsidR="006B20B4" w:rsidP="00CE7CBF" w:rsidRDefault="006B20B4" w14:paraId="288083B8" w14:textId="0758D934">
      <w:pPr>
        <w:pStyle w:val="NoSpacing"/>
        <w:numPr>
          <w:ilvl w:val="0"/>
          <w:numId w:val="58"/>
        </w:numPr>
      </w:pPr>
      <w:r>
        <w:t>lower a woman’s chance of getting pregnant</w:t>
      </w:r>
      <w:r w:rsidR="003442FB">
        <w:t xml:space="preserve"> </w: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 </w:instrTex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EN.CITE.DATA </w:instrText>
      </w:r>
      <w:r w:rsidR="003442FB">
        <w:fldChar w:fldCharType="end"/>
      </w:r>
      <w:r w:rsidR="003442FB">
        <w:fldChar w:fldCharType="separate"/>
      </w:r>
      <w:r w:rsidR="003442FB">
        <w:rPr>
          <w:noProof/>
        </w:rPr>
        <w:t>[33, 34]</w:t>
      </w:r>
      <w:r w:rsidR="003442FB">
        <w:fldChar w:fldCharType="end"/>
      </w:r>
      <w:r>
        <w:t xml:space="preserve"> </w:t>
      </w:r>
    </w:p>
    <w:p w:rsidR="006B20B4" w:rsidP="00CE7CBF" w:rsidRDefault="006B20B4" w14:paraId="654A03FB" w14:textId="4C54453F">
      <w:pPr>
        <w:pStyle w:val="NoSpacing"/>
        <w:numPr>
          <w:ilvl w:val="0"/>
          <w:numId w:val="58"/>
        </w:numPr>
      </w:pPr>
      <w:r>
        <w:t xml:space="preserve">interfere with </w:t>
      </w:r>
      <w:r w:rsidR="00E21DB9">
        <w:t xml:space="preserve">the </w:t>
      </w:r>
      <w:r>
        <w:t>body’s natural hormones</w:t>
      </w:r>
      <w:r w:rsidR="003442FB">
        <w:t xml:space="preserve"> </w: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 </w:instrTex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EN.CITE.DATA </w:instrText>
      </w:r>
      <w:r w:rsidR="003442FB">
        <w:fldChar w:fldCharType="end"/>
      </w:r>
      <w:r w:rsidR="003442FB">
        <w:fldChar w:fldCharType="separate"/>
      </w:r>
      <w:r w:rsidR="003442FB">
        <w:rPr>
          <w:noProof/>
        </w:rPr>
        <w:t>[35, 36]</w:t>
      </w:r>
      <w:r w:rsidR="003442FB">
        <w:fldChar w:fldCharType="end"/>
      </w:r>
    </w:p>
    <w:p w:rsidR="006B20B4" w:rsidP="00CE7CBF" w:rsidRDefault="006B20B4" w14:paraId="6387AD3A" w14:textId="5D9D59B2">
      <w:pPr>
        <w:pStyle w:val="NoSpacing"/>
        <w:numPr>
          <w:ilvl w:val="0"/>
          <w:numId w:val="58"/>
        </w:numPr>
      </w:pPr>
      <w:r>
        <w:t>increase cholesterol levels</w:t>
      </w:r>
      <w:r w:rsidR="003442FB">
        <w:t xml:space="preserve"> </w:t>
      </w:r>
      <w:r w:rsidR="003442FB">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 </w:instrText>
      </w:r>
      <w:r w:rsidR="00AC42B9">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EN.CITE.DATA </w:instrText>
      </w:r>
      <w:r w:rsidR="00AC42B9">
        <w:fldChar w:fldCharType="end"/>
      </w:r>
      <w:r w:rsidR="003442FB">
        <w:fldChar w:fldCharType="separate"/>
      </w:r>
      <w:r w:rsidR="00AC42B9">
        <w:rPr>
          <w:noProof/>
        </w:rPr>
        <w:t>[37-40]</w:t>
      </w:r>
      <w:r w:rsidR="003442FB">
        <w:fldChar w:fldCharType="end"/>
      </w:r>
    </w:p>
    <w:p w:rsidR="006B20B4" w:rsidP="00CE7CBF" w:rsidRDefault="006B20B4" w14:paraId="670D87F3" w14:textId="3BC1528D">
      <w:pPr>
        <w:pStyle w:val="NoSpacing"/>
        <w:numPr>
          <w:ilvl w:val="0"/>
          <w:numId w:val="58"/>
        </w:numPr>
      </w:pPr>
      <w:r>
        <w:t>affect the immune system</w:t>
      </w:r>
      <w:r w:rsidR="00AC42B9">
        <w:t xml:space="preserve"> </w: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 </w:instrTex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EN.CITE.DATA </w:instrText>
      </w:r>
      <w:r w:rsidR="00AC42B9">
        <w:fldChar w:fldCharType="end"/>
      </w:r>
      <w:r w:rsidR="00AC42B9">
        <w:fldChar w:fldCharType="separate"/>
      </w:r>
      <w:r w:rsidR="00AC42B9">
        <w:rPr>
          <w:noProof/>
        </w:rPr>
        <w:t>[41-45]</w:t>
      </w:r>
      <w:r w:rsidR="00AC42B9">
        <w:fldChar w:fldCharType="end"/>
      </w:r>
    </w:p>
    <w:p w:rsidR="006B20B4" w:rsidP="00CE7CBF" w:rsidRDefault="006B20B4" w14:paraId="0D25551D" w14:textId="2501303F">
      <w:pPr>
        <w:pStyle w:val="NoSpacing"/>
        <w:numPr>
          <w:ilvl w:val="0"/>
          <w:numId w:val="58"/>
        </w:numPr>
      </w:pPr>
      <w:r>
        <w:t>increase the risk of cancer</w:t>
      </w:r>
      <w:r w:rsidR="00AC42B9">
        <w:t xml:space="preserve"> </w: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 </w:instrTex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EN.CITE.DATA </w:instrText>
      </w:r>
      <w:r w:rsidR="00AC42B9">
        <w:fldChar w:fldCharType="end"/>
      </w:r>
      <w:r w:rsidR="00AC42B9">
        <w:fldChar w:fldCharType="separate"/>
      </w:r>
      <w:r w:rsidR="00AC42B9">
        <w:rPr>
          <w:noProof/>
        </w:rPr>
        <w:t>[46]</w:t>
      </w:r>
      <w:r w:rsidR="00AC42B9">
        <w:fldChar w:fldCharType="end"/>
      </w:r>
    </w:p>
    <w:p w:rsidR="006B20B4" w:rsidP="006B20B4" w:rsidRDefault="006B20B4" w14:paraId="6C3EF939" w14:textId="77777777">
      <w:pPr>
        <w:pStyle w:val="NoSpacing"/>
      </w:pPr>
    </w:p>
    <w:p w:rsidR="006B20B4" w:rsidP="00D55338" w:rsidRDefault="006B20B4" w14:paraId="46EBE8AE" w14:textId="3EDE9BB4">
      <w:pPr>
        <w:pStyle w:val="NoSpacing"/>
      </w:pPr>
      <w:r>
        <w:t>Scientists</w:t>
      </w:r>
      <w:r w:rsidR="00E21DB9">
        <w:t xml:space="preserve"> are </w:t>
      </w:r>
      <w:r>
        <w:t>still learning about the health effects of</w:t>
      </w:r>
      <w:r w:rsidR="00204BC4">
        <w:t xml:space="preserve"> exposures </w:t>
      </w:r>
      <w:r>
        <w:t xml:space="preserve">to mixtures of PFAS. More research will help scientists fully understand how PFAS </w:t>
      </w:r>
      <w:r w:rsidR="00685895">
        <w:t xml:space="preserve">may </w:t>
      </w:r>
      <w:r>
        <w:t>affect human health.</w:t>
      </w:r>
    </w:p>
    <w:p w:rsidR="00D55338" w:rsidP="00D55338" w:rsidRDefault="00D55338" w14:paraId="634A477B" w14:textId="77777777">
      <w:pPr>
        <w:pStyle w:val="NoSpacing"/>
      </w:pPr>
    </w:p>
    <w:p w:rsidRPr="00DF516A" w:rsidR="00F340A0" w:rsidP="007B3D7D" w:rsidRDefault="007E697F" w14:paraId="33A52595" w14:textId="36291926">
      <w:pPr>
        <w:pStyle w:val="NoSpacing"/>
        <w:spacing w:after="200"/>
      </w:pPr>
      <w:r>
        <w:t xml:space="preserve">Although none of the results are definitive due to limitations in the study designs and relevance of the PFAS exposures in those studies to community settings and relevance of other factors that may influence health effects in affected communities, these studies have generated concerns amongst communities with identified exposures to PFAS. </w:t>
      </w:r>
      <w:r w:rsidR="00375AEA">
        <w:t xml:space="preserve">Though </w:t>
      </w:r>
      <w:r w:rsidR="0063688F">
        <w:t>the</w:t>
      </w:r>
      <w:r w:rsidR="00E54D45">
        <w:t xml:space="preserve"> PFAS exposure assessments </w:t>
      </w:r>
      <w:r w:rsidR="0063688F">
        <w:t xml:space="preserve">described in this protocol </w:t>
      </w:r>
      <w:r w:rsidR="00E54D45">
        <w:t xml:space="preserve">are </w:t>
      </w:r>
      <w:r w:rsidR="0063688F">
        <w:t>not designed</w:t>
      </w:r>
      <w:r w:rsidR="00E54D45">
        <w:t xml:space="preserve"> to </w:t>
      </w:r>
      <w:r w:rsidR="0063688F">
        <w:t>assess</w:t>
      </w:r>
      <w:r w:rsidR="00E54D45">
        <w:t xml:space="preserve"> the </w:t>
      </w:r>
      <w:r w:rsidR="0063688F">
        <w:t>relationship</w:t>
      </w:r>
      <w:r w:rsidR="00E54D45">
        <w:t xml:space="preserve"> between PFAS </w:t>
      </w:r>
      <w:r w:rsidR="00375AEA">
        <w:t xml:space="preserve">exposure </w:t>
      </w:r>
      <w:r w:rsidR="0063688F">
        <w:t xml:space="preserve">and </w:t>
      </w:r>
      <w:r w:rsidR="00375AEA">
        <w:t xml:space="preserve">health effects, they </w:t>
      </w:r>
      <w:r w:rsidR="00BF6D81">
        <w:t>will measure body burden of PFAS</w:t>
      </w:r>
      <w:r w:rsidR="0063688F">
        <w:t>,</w:t>
      </w:r>
      <w:r w:rsidR="00BF6D81">
        <w:t xml:space="preserve"> may result in recommendations to reduce </w:t>
      </w:r>
      <w:r w:rsidR="0063688F">
        <w:t>exposure, and will inform the design and implementation of future health studies</w:t>
      </w:r>
      <w:r w:rsidR="00BF6D81">
        <w:t>.</w:t>
      </w:r>
    </w:p>
    <w:p w:rsidRPr="00DF516A" w:rsidR="00F340A0" w:rsidP="007B3D7D" w:rsidRDefault="00E21DB9" w14:paraId="619F8E2F" w14:textId="0B6CD84E">
      <w:pPr>
        <w:pStyle w:val="NoSpacing"/>
        <w:spacing w:after="200"/>
      </w:pPr>
      <w:r>
        <w:t>For instance, e</w:t>
      </w:r>
      <w:r w:rsidRPr="00DF516A" w:rsidR="00F81836">
        <w:t xml:space="preserve">pidemiological </w:t>
      </w:r>
      <w:r w:rsidRPr="00DF516A" w:rsidR="00F340A0">
        <w:t xml:space="preserve">studies have demonstrated a positive association between serum PFOA and </w:t>
      </w:r>
      <w:r w:rsidR="004E7644">
        <w:t xml:space="preserve">elevated </w:t>
      </w:r>
      <w:r w:rsidRPr="00DF516A" w:rsidR="00F340A0">
        <w:t>cholesterol</w:t>
      </w:r>
      <w:r w:rsidR="004E7644">
        <w:t xml:space="preserve"> levels</w:t>
      </w:r>
      <w:r w:rsidRPr="00DF516A" w:rsidR="00F340A0">
        <w:t xml:space="preserve"> in occupational and </w:t>
      </w:r>
      <w:r w:rsidR="008A33A0">
        <w:t>residential</w:t>
      </w:r>
      <w:r w:rsidRPr="00DF516A" w:rsidR="00F340A0">
        <w:t xml:space="preserve"> </w:t>
      </w:r>
      <w:r w:rsidRPr="00DF516A" w:rsidR="00146750">
        <w:t>populations</w:t>
      </w:r>
      <w:r w:rsidR="00327A40">
        <w:t>,</w:t>
      </w:r>
      <w:r w:rsidRPr="00DF516A" w:rsidR="00F340A0">
        <w:t xml:space="preserve"> though no consistent trend between serum PFOA and </w:t>
      </w:r>
      <w:proofErr w:type="gramStart"/>
      <w:r w:rsidRPr="00DF516A" w:rsidR="00F340A0">
        <w:t>low density</w:t>
      </w:r>
      <w:proofErr w:type="gramEnd"/>
      <w:r w:rsidRPr="00DF516A" w:rsidR="00F340A0">
        <w:t xml:space="preserve"> lipoprotein (LDL) and high density lipoprotein (HDL) is evident </w:t>
      </w:r>
      <w:r w:rsidRPr="00DF516A" w:rsidR="00F340A0">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 </w:instrText>
      </w:r>
      <w:r w:rsidR="00AC42B9">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EN.CITE.DATA </w:instrText>
      </w:r>
      <w:r w:rsidR="00AC42B9">
        <w:fldChar w:fldCharType="end"/>
      </w:r>
      <w:r w:rsidRPr="00DF516A" w:rsidR="00F340A0">
        <w:fldChar w:fldCharType="separate"/>
      </w:r>
      <w:r w:rsidR="00AC42B9">
        <w:rPr>
          <w:noProof/>
        </w:rPr>
        <w:t>[47-50]</w:t>
      </w:r>
      <w:r w:rsidRPr="00DF516A" w:rsidR="00F340A0">
        <w:fldChar w:fldCharType="end"/>
      </w:r>
      <w:r w:rsidRPr="00DF516A" w:rsidR="00F340A0">
        <w:t xml:space="preserve">. </w:t>
      </w:r>
      <w:r w:rsidRPr="00DF516A" w:rsidR="00A23029">
        <w:t xml:space="preserve">PFOA and PFOS have been shown to modulate expression of genes related to cholesterol metabolism and transport in men and women </w:t>
      </w:r>
      <w:r w:rsidRPr="00DF516A" w:rsidR="00A2302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 </w:instrText>
      </w:r>
      <w:r w:rsidR="00AC42B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EN.CITE.DATA </w:instrText>
      </w:r>
      <w:r w:rsidR="00AC42B9">
        <w:fldChar w:fldCharType="end"/>
      </w:r>
      <w:r w:rsidRPr="00DF516A" w:rsidR="00A23029">
        <w:fldChar w:fldCharType="separate"/>
      </w:r>
      <w:r w:rsidR="00AC42B9">
        <w:rPr>
          <w:noProof/>
        </w:rPr>
        <w:t>[51]</w:t>
      </w:r>
      <w:r w:rsidRPr="00DF516A" w:rsidR="00A23029">
        <w:fldChar w:fldCharType="end"/>
      </w:r>
      <w:r w:rsidRPr="00DF516A" w:rsidR="00A23029">
        <w:t xml:space="preserve">. </w:t>
      </w:r>
    </w:p>
    <w:p w:rsidRPr="00DF516A" w:rsidR="00F340A0" w:rsidP="007B3D7D" w:rsidRDefault="00F340A0" w14:paraId="411E7EBC" w14:textId="69B2F1FD">
      <w:pPr>
        <w:pStyle w:val="NoSpacing"/>
        <w:spacing w:after="200"/>
      </w:pPr>
      <w:r w:rsidRPr="00DF516A">
        <w:t>Evaluation of liver enzymes suggests that there is a positive association between serum PFOA and liver enzymes and a</w:t>
      </w:r>
      <w:r w:rsidR="009A5CC0">
        <w:t>n</w:t>
      </w:r>
      <w:r w:rsidRPr="00DF516A">
        <w:t xml:space="preserve"> </w:t>
      </w:r>
      <w:r w:rsidR="009A5CC0">
        <w:t xml:space="preserve">inverse </w:t>
      </w:r>
      <w:r w:rsidRPr="00DF516A">
        <w:t xml:space="preserve">association between serum PFOA and bilirubin levels </w:t>
      </w:r>
      <w:r w:rsidRPr="00DF516A">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EN.CITE.DATA </w:instrText>
      </w:r>
      <w:r w:rsidR="00AC42B9">
        <w:fldChar w:fldCharType="end"/>
      </w:r>
      <w:r w:rsidRPr="00DF516A">
        <w:fldChar w:fldCharType="separate"/>
      </w:r>
      <w:r w:rsidR="00AC42B9">
        <w:rPr>
          <w:noProof/>
        </w:rPr>
        <w:t>[48-50, 52, 53]</w:t>
      </w:r>
      <w:r w:rsidRPr="00DF516A">
        <w:fldChar w:fldCharType="end"/>
      </w:r>
      <w:r w:rsidRPr="00DF516A">
        <w:t xml:space="preserve">. This </w:t>
      </w:r>
      <w:r w:rsidRPr="00DF516A">
        <w:lastRenderedPageBreak/>
        <w:t xml:space="preserve">association is evident in both occupational and </w:t>
      </w:r>
      <w:r w:rsidR="008A33A0">
        <w:t>residential</w:t>
      </w:r>
      <w:r w:rsidRPr="00DF516A">
        <w:t xml:space="preserve"> populations.</w:t>
      </w:r>
      <w:r w:rsidRPr="00DF516A" w:rsidR="00693451">
        <w:t xml:space="preserve"> </w:t>
      </w:r>
      <w:r w:rsidRPr="00DF516A" w:rsidR="00A23029">
        <w:t xml:space="preserve">A positive relationship between liver enzyme </w:t>
      </w:r>
      <w:r w:rsidR="004E70ED">
        <w:t xml:space="preserve">gamma-glutamyl </w:t>
      </w:r>
      <w:r w:rsidRPr="00724A35" w:rsidR="004E70ED">
        <w:t>transferase (</w:t>
      </w:r>
      <w:r w:rsidRPr="00724A35" w:rsidR="00A23029">
        <w:t>GGT</w:t>
      </w:r>
      <w:r w:rsidRPr="00724A35" w:rsidR="004E70ED">
        <w:t>)</w:t>
      </w:r>
      <w:r w:rsidRPr="00724A35" w:rsidR="00A23029">
        <w:t xml:space="preserve"> and PFOA serum concentration was observed in an occupational cohort </w:t>
      </w:r>
      <w:r w:rsidRPr="00724A35" w:rsidR="00A2302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 </w:instrText>
      </w:r>
      <w:r w:rsidR="00AC42B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EN.CITE.DATA </w:instrText>
      </w:r>
      <w:r w:rsidR="00AC42B9">
        <w:fldChar w:fldCharType="end"/>
      </w:r>
      <w:r w:rsidRPr="00724A35" w:rsidR="00A23029">
        <w:fldChar w:fldCharType="separate"/>
      </w:r>
      <w:r w:rsidR="00AC42B9">
        <w:rPr>
          <w:noProof/>
        </w:rPr>
        <w:t>[49]</w:t>
      </w:r>
      <w:r w:rsidRPr="00724A35" w:rsidR="00A23029">
        <w:fldChar w:fldCharType="end"/>
      </w:r>
      <w:r w:rsidRPr="00724A35" w:rsidR="00A23029">
        <w:t xml:space="preserve">. A positive association between </w:t>
      </w:r>
      <w:r w:rsidRPr="00724A35" w:rsidR="0094163F">
        <w:t xml:space="preserve">serum </w:t>
      </w:r>
      <w:r w:rsidRPr="00724A35" w:rsidR="00A23029">
        <w:t xml:space="preserve">PFOA and </w:t>
      </w:r>
      <w:r w:rsidRPr="00724A35" w:rsidR="0094163F">
        <w:t xml:space="preserve">serum </w:t>
      </w:r>
      <w:r w:rsidRPr="00724A35" w:rsidR="00A23029">
        <w:t>PFOS concentrations and serum</w:t>
      </w:r>
      <w:r w:rsidRPr="00724A35" w:rsidR="004E70ED">
        <w:t xml:space="preserve"> alanine aminotransferase (</w:t>
      </w:r>
      <w:r w:rsidRPr="00724A35" w:rsidR="00146750">
        <w:t>ALT)</w:t>
      </w:r>
      <w:r w:rsidRPr="00724A35" w:rsidR="004E70ED">
        <w:t xml:space="preserve"> </w:t>
      </w:r>
      <w:r w:rsidRPr="00724A35" w:rsidR="00A23029">
        <w:t>levels</w:t>
      </w:r>
      <w:r w:rsidRPr="00DF516A" w:rsidR="00A23029">
        <w:t xml:space="preserve"> (a marker of hepatocellular damage) was observed in a large residential study </w:t>
      </w:r>
      <w:r w:rsidRPr="00DF516A" w:rsidR="00A2302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EN.CITE.DATA </w:instrText>
      </w:r>
      <w:r w:rsidR="00AC42B9">
        <w:fldChar w:fldCharType="end"/>
      </w:r>
      <w:r w:rsidRPr="00DF516A" w:rsidR="00A23029">
        <w:fldChar w:fldCharType="separate"/>
      </w:r>
      <w:r w:rsidR="00AC42B9">
        <w:rPr>
          <w:noProof/>
        </w:rPr>
        <w:t>[52]</w:t>
      </w:r>
      <w:r w:rsidRPr="00DF516A" w:rsidR="00A23029">
        <w:fldChar w:fldCharType="end"/>
      </w:r>
      <w:r w:rsidRPr="00DF516A" w:rsidR="00A23029">
        <w:t>.</w:t>
      </w:r>
    </w:p>
    <w:p w:rsidRPr="00DF516A" w:rsidR="00F340A0" w:rsidP="007B3D7D" w:rsidRDefault="00F340A0" w14:paraId="49F0CE15" w14:textId="5F12C2AE">
      <w:pPr>
        <w:pStyle w:val="NoSpacing"/>
        <w:spacing w:after="200"/>
      </w:pPr>
      <w:r w:rsidRPr="00DF516A">
        <w:t xml:space="preserve">There is evidence to suggest a positive association between serum PFOA and chronic kidney disease </w:t>
      </w:r>
      <w:r w:rsidRPr="00DF516A">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 </w:instrText>
      </w:r>
      <w:r w:rsidR="00AC42B9">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EN.CITE.DATA </w:instrText>
      </w:r>
      <w:r w:rsidR="00AC42B9">
        <w:fldChar w:fldCharType="end"/>
      </w:r>
      <w:r w:rsidRPr="00DF516A">
        <w:fldChar w:fldCharType="separate"/>
      </w:r>
      <w:r w:rsidR="00AC42B9">
        <w:rPr>
          <w:noProof/>
        </w:rPr>
        <w:t>[54, 55]</w:t>
      </w:r>
      <w:r w:rsidRPr="00DF516A">
        <w:fldChar w:fldCharType="end"/>
      </w:r>
      <w:r w:rsidRPr="00DF516A">
        <w:t xml:space="preserve"> in the general population</w:t>
      </w:r>
      <w:r w:rsidR="00204BC4">
        <w:t>, although questions remain</w:t>
      </w:r>
      <w:r w:rsidRPr="00DF516A">
        <w:t>.</w:t>
      </w:r>
      <w:r w:rsidR="002B5ACD">
        <w:t xml:space="preserve"> Because of the cross-sectional nature of some studies, it is not clear if high PFOA and PFOS serum concentrations preceded the observed chronic kidney disease or vice versa [4]. Similarly, some cross-sectional studies also indicate an association between serum PFAS concentrations and early menopause, however the design of these studies make</w:t>
      </w:r>
      <w:r w:rsidR="0091082B">
        <w:t>s</w:t>
      </w:r>
      <w:r w:rsidR="002B5ACD">
        <w:t xml:space="preserve"> it difficult to determine the direction of causality [4].</w:t>
      </w:r>
    </w:p>
    <w:p w:rsidRPr="0048041E" w:rsidR="00A23029" w:rsidP="007B3D7D" w:rsidRDefault="00A23029" w14:paraId="361EE906" w14:textId="72A8CA19">
      <w:pPr>
        <w:pStyle w:val="NoSpacing"/>
        <w:spacing w:after="200"/>
      </w:pPr>
      <w:r w:rsidRPr="00DF516A">
        <w:t xml:space="preserve">PFOA has been associated with kidney and testicular cancer in a survivor cohort living near a chemical plant </w:t>
      </w:r>
      <w:r w:rsidRPr="00DF516A">
        <w:fldChar w:fldCharType="begin"/>
      </w:r>
      <w:r w:rsidR="00AC42B9">
        <w:instrText xml:space="preserve"> ADDIN EN.CITE &lt;EndNote&gt;&lt;Cite&gt;&lt;Author&gt;Vaughn&lt;/Author&gt;&lt;Year&gt;2013&lt;/Year&gt;&lt;RecNum&gt;643&lt;/RecNum&gt;&lt;DisplayText&gt;[54]&lt;/DisplayText&gt;&lt;record&gt;&lt;rec-number&gt;643&lt;/rec-number&gt;&lt;foreign-keys&gt;&lt;key app="EN" db-id="rw00aww2fxw5pherwx6v59rqdtsppfap29fz" timestamp="1512495389"&gt;643&lt;/key&gt;&lt;key app="ENWeb" db-id=""&gt;0&lt;/key&gt;&lt;/foreign-keys&gt;&lt;ref-type name="Journal Article"&gt;17&lt;/ref-type&gt;&lt;contributors&gt;&lt;authors&gt;&lt;author&gt;Vaughn, Barry&lt;/author&gt;&lt;author&gt;Winquist, A.&lt;/author&gt;&lt;author&gt;Steenland, K.&lt;/author&gt;&lt;/authors&gt;&lt;/contributors&gt;&lt;auth-address&gt;Rollins School of Public Health, Emory University, Atlanta, Georgia, USA.&lt;/auth-address&gt;&lt;titles&gt;&lt;title&gt;Perfluorooctanoic acid (PFOA) exposures and incident cancers among adults living near a chemical plant&lt;/title&gt;&lt;secondary-title&gt;Environ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1313-8&lt;/pages&gt;&lt;volume&gt;121&lt;/volume&gt;&lt;number&gt;11-12&lt;/number&gt;&lt;dates&gt;&lt;year&gt;2013&lt;/year&gt;&lt;pub-dates&gt;&lt;date&gt;Nov-Dec&lt;/date&gt;&lt;/pub-dates&gt;&lt;/dates&gt;&lt;isbn&gt;1552-9924 (Electronic)&amp;#xD;0091-6765 (Linking)&lt;/isbn&gt;&lt;accession-num&gt;24007715&lt;/accession-num&gt;&lt;urls&gt;&lt;related-urls&gt;&lt;url&gt;http://www.ncbi.nlm.nih.gov/pubmed/24007715&lt;/url&gt;&lt;/related-urls&gt;&lt;/urls&gt;&lt;custom2&gt;3855514&lt;/custom2&gt;&lt;electronic-resource-num&gt;10.1289/ehp.1306615&lt;/electronic-resource-num&gt;&lt;/record&gt;&lt;/Cite&gt;&lt;/EndNote&gt;</w:instrText>
      </w:r>
      <w:r w:rsidRPr="00DF516A">
        <w:fldChar w:fldCharType="separate"/>
      </w:r>
      <w:r w:rsidR="00AC42B9">
        <w:rPr>
          <w:noProof/>
        </w:rPr>
        <w:t>[54]</w:t>
      </w:r>
      <w:r w:rsidRPr="00DF516A">
        <w:fldChar w:fldCharType="end"/>
      </w:r>
      <w:r w:rsidRPr="00DF516A">
        <w:t>. A retrospective cohort study showed an association between length of employment at 3M Chemical Division</w:t>
      </w:r>
      <w:r w:rsidR="00731B02">
        <w:t xml:space="preserve"> (while PFAS production was ongoing)</w:t>
      </w:r>
      <w:r w:rsidRPr="00DF516A">
        <w:t xml:space="preserve"> and prostate cancer </w:t>
      </w:r>
      <w:r w:rsidRPr="00DF516A">
        <w:fldChar w:fldCharType="begin"/>
      </w:r>
      <w:r w:rsidR="00C46348">
        <w:instrText xml:space="preserve"> ADDIN EN.CITE &lt;EndNote&gt;&lt;Cite&gt;&lt;Author&gt;Gilliland&lt;/Author&gt;&lt;Year&gt;1993&lt;/Year&gt;&lt;RecNum&gt;483&lt;/RecNum&gt;&lt;DisplayText&gt;[56]&lt;/DisplayText&gt;&lt;record&gt;&lt;rec-number&gt;483&lt;/rec-number&gt;&lt;foreign-keys&gt;&lt;key app="EN" db-id="rw00aww2fxw5pherwx6v59rqdtsppfap29fz" timestamp="1512494195"&gt;483&lt;/key&gt;&lt;key app="ENWeb" db-id=""&gt;0&lt;/key&gt;&lt;/foreign-keys&gt;&lt;ref-type name="Journal Article"&gt;17&lt;/ref-type&gt;&lt;contributors&gt;&lt;authors&gt;&lt;author&gt;Gilliland, F. D.&lt;/author&gt;&lt;author&gt;Mandel, J. S.&lt;/author&gt;&lt;/authors&gt;&lt;/contributors&gt;&lt;auth-address&gt;Division of Environmental and Occupational Health, School of Public Health, University of Minnesota, Minneapolis.&lt;/auth-address&gt;&lt;titles&gt;&lt;title&gt;Mortality among employees of a perfluorooctanoic acid production plant&lt;/title&gt;&lt;secondary-title&gt;J Occup Med&lt;/secondary-title&gt;&lt;alt-title&gt;Journal of occupational medicine. : official publication of the Industrial Medical Association&lt;/alt-title&gt;&lt;/titles&gt;&lt;periodical&gt;&lt;full-title&gt;J Occup Med&lt;/full-title&gt;&lt;/periodical&gt;&lt;pages&gt;950-4&lt;/pages&gt;&lt;volume&gt;35&lt;/volume&gt;&lt;number&gt;9&lt;/number&gt;&lt;edition&gt;1993/09/01&lt;/edition&gt;&lt;keywords&gt;&lt;keyword&gt;Adult&lt;/keyword&gt;&lt;keyword&gt;Aged&lt;/keyword&gt;&lt;keyword&gt;Caprylates/*adverse effects/pharmacokinetics&lt;/keyword&gt;&lt;keyword&gt;Cause of Death&lt;/keyword&gt;&lt;keyword&gt;Chemical Industry&lt;/keyword&gt;&lt;keyword&gt;Cohort Studies&lt;/keyword&gt;&lt;keyword&gt;Environmental Monitoring&lt;/keyword&gt;&lt;keyword&gt;Female&lt;/keyword&gt;&lt;keyword&gt;Fluorocarbons/*adverse effects/pharmacokinetics&lt;/keyword&gt;&lt;keyword&gt;Follow-Up Studies&lt;/keyword&gt;&lt;keyword&gt;Humans&lt;/keyword&gt;&lt;keyword&gt;Male&lt;/keyword&gt;&lt;keyword&gt;Maximum Allowable Concentration&lt;/keyword&gt;&lt;keyword&gt;Middle Aged&lt;/keyword&gt;&lt;keyword&gt;Neoplasms/blood/chemically induced/mortality&lt;/keyword&gt;&lt;keyword&gt;Occupational Diseases/blood/*chemically induced/mortality&lt;/keyword&gt;&lt;keyword&gt;Occupational Exposure/*adverse effects&lt;/keyword&gt;&lt;keyword&gt;Survival Rate&lt;/keyword&gt;&lt;/keywords&gt;&lt;dates&gt;&lt;year&gt;1993&lt;/year&gt;&lt;pub-dates&gt;&lt;date&gt;Sep&lt;/date&gt;&lt;/pub-dates&gt;&lt;/dates&gt;&lt;isbn&gt;0096-1736 (Print)&amp;#xD;0096-1736&lt;/isbn&gt;&lt;accession-num&gt;8229349&lt;/accession-num&gt;&lt;urls&gt;&lt;/urls&gt;&lt;remote-database-provider&gt;Nlm&lt;/remote-database-provider&gt;&lt;language&gt;eng&lt;/language&gt;&lt;/record&gt;&lt;/Cite&gt;&lt;/EndNote&gt;</w:instrText>
      </w:r>
      <w:r w:rsidRPr="00DF516A">
        <w:fldChar w:fldCharType="separate"/>
      </w:r>
      <w:r w:rsidR="00C46348">
        <w:rPr>
          <w:noProof/>
        </w:rPr>
        <w:t>[56]</w:t>
      </w:r>
      <w:r w:rsidRPr="00DF516A">
        <w:fldChar w:fldCharType="end"/>
      </w:r>
      <w:r w:rsidRPr="00DF516A">
        <w:t>.</w:t>
      </w:r>
      <w:r w:rsidRPr="0048041E" w:rsidR="0048041E">
        <w:t xml:space="preserve"> In 2005, EPA’s Science Advisory Board suggested that PFOA is “likely to be carcinogenic in humans,” based on the evidence available at the time</w:t>
      </w:r>
      <w:r w:rsidR="00951EE2">
        <w:t xml:space="preserve"> </w:t>
      </w:r>
      <w:r w:rsidR="00951EE2">
        <w:fldChar w:fldCharType="begin"/>
      </w:r>
      <w:r w:rsidR="00C46348">
        <w:instrText xml:space="preserve"> ADDIN EN.CITE &lt;EndNote&gt;&lt;Cite&gt;&lt;Author&gt;USEPA&lt;/Author&gt;&lt;Year&gt;2005&lt;/Year&gt;&lt;RecNum&gt;515&lt;/RecNum&gt;&lt;DisplayText&gt;[57]&lt;/DisplayText&gt;&lt;record&gt;&lt;rec-number&gt;515&lt;/rec-number&gt;&lt;foreign-keys&gt;&lt;key app="EN" db-id="rw00aww2fxw5pherwx6v59rqdtsppfap29fz" timestamp="1512494464"&gt;515&lt;/key&gt;&lt;key app="ENWeb" db-id=""&gt;0&lt;/key&gt;&lt;/foreign-keys&gt;&lt;ref-type name="Journal Article"&gt;17&lt;/ref-type&gt;&lt;contributors&gt;&lt;authors&gt;&lt;author&gt;USEPA&lt;/author&gt;&lt;/authors&gt;&lt;/contributors&gt;&lt;titles&gt;&lt;title&gt;Draft Risk Assessment of the Potential Human Health Effects Associated with Exposure to PFOA and its Salts&lt;/title&gt;&lt;secondary-title&gt;Office of Pollution Prevention and Toxics&lt;/secondary-title&gt;&lt;/titles&gt;&lt;periodical&gt;&lt;full-title&gt;Office of Pollution Prevention and Toxics&lt;/full-title&gt;&lt;/periodical&gt;&lt;dates&gt;&lt;year&gt;2005&lt;/year&gt;&lt;pub-dates&gt;&lt;date&gt;January 4, 2005&lt;/date&gt;&lt;/pub-dates&gt;&lt;/dates&gt;&lt;urls&gt;&lt;/urls&gt;&lt;/record&gt;&lt;/Cite&gt;&lt;/EndNote&gt;</w:instrText>
      </w:r>
      <w:r w:rsidR="00951EE2">
        <w:fldChar w:fldCharType="separate"/>
      </w:r>
      <w:r w:rsidR="00C46348">
        <w:rPr>
          <w:noProof/>
        </w:rPr>
        <w:t>[57]</w:t>
      </w:r>
      <w:r w:rsidR="00951EE2">
        <w:fldChar w:fldCharType="end"/>
      </w:r>
      <w:r w:rsidRPr="0048041E" w:rsidR="0048041E">
        <w:t>.</w:t>
      </w:r>
      <w:r w:rsidR="0048041E">
        <w:t xml:space="preserve"> T</w:t>
      </w:r>
      <w:r w:rsidRPr="0048041E" w:rsidR="0048041E">
        <w:t xml:space="preserve">he International Agency for Research on Cancer </w:t>
      </w:r>
      <w:r w:rsidR="000E76A3">
        <w:t>has characterized</w:t>
      </w:r>
      <w:r w:rsidRPr="0048041E" w:rsidR="0048041E">
        <w:t xml:space="preserve"> PFOA as “possibly carcinogenic to humans</w:t>
      </w:r>
      <w:r w:rsidR="00951EE2">
        <w:t xml:space="preserve"> </w:t>
      </w:r>
      <w:r w:rsidR="00951EE2">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 </w:instrText>
      </w:r>
      <w:r w:rsidR="00C46348">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EN.CITE.DATA </w:instrText>
      </w:r>
      <w:r w:rsidR="00C46348">
        <w:fldChar w:fldCharType="end"/>
      </w:r>
      <w:r w:rsidR="00951EE2">
        <w:fldChar w:fldCharType="separate"/>
      </w:r>
      <w:r w:rsidR="00C46348">
        <w:rPr>
          <w:noProof/>
        </w:rPr>
        <w:t>[46, 58]</w:t>
      </w:r>
      <w:r w:rsidR="00951EE2">
        <w:fldChar w:fldCharType="end"/>
      </w:r>
      <w:r w:rsidRPr="0048041E" w:rsidR="0048041E">
        <w:t xml:space="preserve">.”  </w:t>
      </w:r>
    </w:p>
    <w:p w:rsidRPr="00EC30F3" w:rsidR="00F340A0" w:rsidP="007B3D7D" w:rsidRDefault="00A23029" w14:paraId="5ADE6C83" w14:textId="3DB19E79">
      <w:pPr>
        <w:pStyle w:val="NoSpacing"/>
        <w:spacing w:after="200"/>
      </w:pPr>
      <w:r w:rsidRPr="00DF516A">
        <w:t>Immune system responses have been observed in adults</w:t>
      </w:r>
      <w:r w:rsidR="00764734">
        <w:t xml:space="preserve"> exposed </w:t>
      </w:r>
      <w:r w:rsidR="00FB643D">
        <w:t>to PFAS</w:t>
      </w:r>
      <w:r w:rsidR="002D63D6">
        <w:t>. E</w:t>
      </w:r>
      <w:r w:rsidRPr="00DF516A">
        <w:t xml:space="preserve">pidemiological studies suggest a positive association between </w:t>
      </w:r>
      <w:r w:rsidR="0094163F">
        <w:t xml:space="preserve">serum </w:t>
      </w:r>
      <w:r w:rsidRPr="00DF516A">
        <w:t xml:space="preserve">PFOA and </w:t>
      </w:r>
      <w:r w:rsidR="0094163F">
        <w:t xml:space="preserve">serum </w:t>
      </w:r>
      <w:r w:rsidRPr="00DF516A">
        <w:t>PFOS concentrations and suppressed antibody responses to vaccines</w:t>
      </w:r>
      <w:r w:rsidR="002D63D6">
        <w:t>.</w:t>
      </w:r>
      <w:r w:rsidRPr="00DF516A">
        <w:t xml:space="preserve"> </w:t>
      </w:r>
      <w:r w:rsidR="002D63D6">
        <w:rPr>
          <w:i/>
        </w:rPr>
        <w:t>I</w:t>
      </w:r>
      <w:r w:rsidRPr="00DF516A">
        <w:rPr>
          <w:i/>
        </w:rPr>
        <w:t>n vitro</w:t>
      </w:r>
      <w:r w:rsidRPr="00DF516A">
        <w:t xml:space="preserve"> studies with human cell lines suggest that PFOA inhibits cytokines that help regulate immune responses </w:t>
      </w:r>
      <w:r w:rsidRPr="00DF516A">
        <w:fldChar w:fldCharType="begin"/>
      </w:r>
      <w:r w:rsidR="00C46348">
        <w:instrText xml:space="preserve"> ADDIN EN.CITE &lt;EndNote&gt;&lt;Cite&gt;&lt;Author&gt;Looker&lt;/Author&gt;&lt;Year&gt;2014&lt;/Year&gt;&lt;RecNum&gt;656&lt;/RecNum&gt;&lt;DisplayText&gt;[59]&lt;/DisplayText&gt;&lt;record&gt;&lt;rec-number&gt;656&lt;/rec-number&gt;&lt;foreign-keys&gt;&lt;key app="EN" db-id="rw00aww2fxw5pherwx6v59rqdtsppfap29fz" timestamp="1512495479"&gt;656&lt;/key&gt;&lt;key app="ENWeb" db-id=""&gt;0&lt;/key&gt;&lt;/foreign-keys&gt;&lt;ref-type name="Journal Article"&gt;17&lt;/ref-type&gt;&lt;contributors&gt;&lt;authors&gt;&lt;author&gt;Looker, C.&lt;/author&gt;&lt;author&gt;Luster, M. I.&lt;/author&gt;&lt;author&gt;Calafat, A. M.&lt;/author&gt;&lt;author&gt;Johnson, V. J.&lt;/author&gt;&lt;author&gt;Burleson, G. R.&lt;/author&gt;&lt;author&gt;Burleson, F. G.&lt;/author&gt;&lt;author&gt;Fletcher, T.&lt;/author&gt;&lt;/authors&gt;&lt;/contributors&gt;&lt;auth-address&gt;* Department of Social and Environmental Health Research, London School of Hygiene and Tropical Medicine, London, WCIH 9SH, UK;&lt;/auth-address&gt;&lt;titles&gt;&lt;title&gt;Influenza vaccine response in adults exposed to perfluorooctanoate and perfluorooctanesulfonate&lt;/title&gt;&lt;secondary-title&gt;Toxicol Sci&lt;/secondary-title&gt;&lt;alt-title&gt;Toxicological sciences : an official journal of the Society of Toxicology&lt;/alt-title&gt;&lt;/titles&gt;&lt;periodical&gt;&lt;full-title&gt;Toxicol Sci&lt;/full-title&gt;&lt;abbr-1&gt;Toxicological sciences : an official journal of the Society of Toxicology&lt;/abbr-1&gt;&lt;/periodical&gt;&lt;alt-periodical&gt;&lt;full-title&gt;Toxicol Sci&lt;/full-title&gt;&lt;abbr-1&gt;Toxicological sciences : an official journal of the Society of Toxicology&lt;/abbr-1&gt;&lt;/alt-periodical&gt;&lt;pages&gt;76-88&lt;/pages&gt;&lt;volume&gt;138&lt;/volume&gt;&lt;number&gt;1&lt;/number&gt;&lt;dates&gt;&lt;year&gt;2014&lt;/year&gt;&lt;pub-dates&gt;&lt;date&gt;Mar&lt;/date&gt;&lt;/pub-dates&gt;&lt;/dates&gt;&lt;isbn&gt;1096-0929 (Electronic)&amp;#xD;1096-0929 (Linking)&lt;/isbn&gt;&lt;accession-num&gt;24284791&lt;/accession-num&gt;&lt;urls&gt;&lt;related-urls&gt;&lt;url&gt;http://www.ncbi.nlm.nih.gov/pubmed/24284791&lt;/url&gt;&lt;/related-urls&gt;&lt;/urls&gt;&lt;electronic-resource-num&gt;10.1093/toxsci/kft269&lt;/electronic-resource-num&gt;&lt;/record&gt;&lt;/Cite&gt;&lt;/EndNote&gt;</w:instrText>
      </w:r>
      <w:r w:rsidRPr="00DF516A">
        <w:fldChar w:fldCharType="separate"/>
      </w:r>
      <w:r w:rsidR="00C46348">
        <w:rPr>
          <w:noProof/>
        </w:rPr>
        <w:t>[59]</w:t>
      </w:r>
      <w:r w:rsidRPr="00DF516A">
        <w:fldChar w:fldCharType="end"/>
      </w:r>
      <w:r w:rsidRPr="00DF516A">
        <w:t>.</w:t>
      </w:r>
      <w:r w:rsidR="00D82A2A">
        <w:t xml:space="preserve"> In studies of children, evidence suggests that early development of the adaptive immune system may be vulnerable to exposure </w:t>
      </w:r>
      <w:r w:rsidR="00467479">
        <w:t xml:space="preserve">to PFOA and PFOS </w:t>
      </w:r>
      <w:r w:rsidR="00D82A2A">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EN.CITE.DATA </w:instrText>
      </w:r>
      <w:r w:rsidR="00C46348">
        <w:fldChar w:fldCharType="end"/>
      </w:r>
      <w:r w:rsidR="00D82A2A">
        <w:fldChar w:fldCharType="separate"/>
      </w:r>
      <w:r w:rsidR="00C46348">
        <w:rPr>
          <w:noProof/>
        </w:rPr>
        <w:t>[60]</w:t>
      </w:r>
      <w:r w:rsidR="00D82A2A">
        <w:fldChar w:fldCharType="end"/>
      </w:r>
      <w:r w:rsidR="00A32702">
        <w:t xml:space="preserve">. </w:t>
      </w:r>
      <w:r w:rsidR="00467479">
        <w:t>S</w:t>
      </w:r>
      <w:r w:rsidR="00D62D40">
        <w:t xml:space="preserve">tudies in the Faroe Islands showed that a doubling in </w:t>
      </w:r>
      <w:r w:rsidR="009B3387">
        <w:t>PFOA and PFOS</w:t>
      </w:r>
      <w:r w:rsidR="00D62D40">
        <w:t xml:space="preserve"> exposure at </w:t>
      </w:r>
      <w:r w:rsidR="002D63D6">
        <w:t xml:space="preserve">seven </w:t>
      </w:r>
      <w:r w:rsidR="00D62D40">
        <w:t xml:space="preserve">years of age was associated with </w:t>
      </w:r>
      <w:proofErr w:type="gramStart"/>
      <w:r w:rsidR="009B3387">
        <w:t>clinically-significant</w:t>
      </w:r>
      <w:proofErr w:type="gramEnd"/>
      <w:r w:rsidR="009B3387">
        <w:t xml:space="preserve"> </w:t>
      </w:r>
      <w:r w:rsidR="000E0234">
        <w:t>decreases</w:t>
      </w:r>
      <w:r w:rsidR="00D62D40">
        <w:t xml:space="preserve"> in diphtheria antibody concentrations a</w:t>
      </w:r>
      <w:r w:rsidR="00113515">
        <w:t>t</w:t>
      </w:r>
      <w:r w:rsidR="00D62D40">
        <w:t xml:space="preserve"> </w:t>
      </w:r>
      <w:r w:rsidR="000E0234">
        <w:t xml:space="preserve">7 and </w:t>
      </w:r>
      <w:r w:rsidR="00D62D40">
        <w:t xml:space="preserve">13 years of age </w:t>
      </w:r>
      <w:r w:rsidR="00D62D40">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EN.CITE.DATA </w:instrText>
      </w:r>
      <w:r w:rsidR="00C46348">
        <w:fldChar w:fldCharType="end"/>
      </w:r>
      <w:r w:rsidR="00D62D40">
        <w:fldChar w:fldCharType="separate"/>
      </w:r>
      <w:r w:rsidR="00C46348">
        <w:rPr>
          <w:noProof/>
        </w:rPr>
        <w:t>[61]</w:t>
      </w:r>
      <w:r w:rsidR="00D62D40">
        <w:fldChar w:fldCharType="end"/>
      </w:r>
      <w:r w:rsidR="00D62D40">
        <w:t>. I</w:t>
      </w:r>
      <w:r w:rsidR="00EC30F3">
        <w:t>n 2016</w:t>
      </w:r>
      <w:r w:rsidR="002D63D6">
        <w:t>,</w:t>
      </w:r>
      <w:r w:rsidR="00EC30F3">
        <w:t xml:space="preserve"> </w:t>
      </w:r>
      <w:r w:rsidRPr="00EC30F3" w:rsidR="00EC30F3">
        <w:t>the National Toxicology Program concluded that</w:t>
      </w:r>
      <w:r w:rsidR="00101E19">
        <w:t xml:space="preserve"> both</w:t>
      </w:r>
      <w:r w:rsidRPr="00EC30F3" w:rsidR="00EC30F3">
        <w:t xml:space="preserve"> PFOA </w:t>
      </w:r>
      <w:r w:rsidR="00101E19">
        <w:t>and PFOS are</w:t>
      </w:r>
      <w:r w:rsidRPr="00EC30F3" w:rsidR="00EC30F3">
        <w:t xml:space="preserve"> presumed to be an immune hazard to humans</w:t>
      </w:r>
      <w:r w:rsidR="00EC30F3">
        <w:t xml:space="preserve"> </w:t>
      </w:r>
      <w:r w:rsidR="00101E19">
        <w:fldChar w:fldCharType="begin"/>
      </w:r>
      <w:r w:rsidR="00C46348">
        <w:instrText xml:space="preserve"> ADDIN EN.CITE &lt;EndNote&gt;&lt;Cite&gt;&lt;Author&gt;Program)&lt;/Author&gt;&lt;Year&gt;2016&lt;/Year&gt;&lt;RecNum&gt;915&lt;/RecNum&gt;&lt;DisplayText&gt;[62]&lt;/DisplayText&gt;&lt;record&gt;&lt;rec-number&gt;915&lt;/rec-number&gt;&lt;foreign-keys&gt;&lt;key app="EN" db-id="rw00aww2fxw5pherwx6v59rqdtsppfap29fz" timestamp="1520607205"&gt;915&lt;/key&gt;&lt;key app="ENWeb" db-id=""&gt;0&lt;/key&gt;&lt;/foreign-keys&gt;&lt;ref-type name="Report"&gt;27&lt;/ref-type&gt;&lt;contributors&gt;&lt;authors&gt;&lt;author&gt;NTP (National Toxicology Program)&lt;/author&gt;&lt;/authors&gt;&lt;/contributors&gt;&lt;titles&gt;&lt;title&gt;Monograph on Immunotoxicity Associated with Exposure to Perfluorooctanoic acid (PFOA) and perfluorooctane sulfonate (PFOS)&lt;/title&gt;&lt;/titles&gt;&lt;dates&gt;&lt;year&gt;2016&lt;/year&gt;&lt;/dates&gt;&lt;pub-location&gt;Research Triangle Park, NC&lt;/pub-location&gt;&lt;publisher&gt;National Toxicology Program&lt;/publisher&gt;&lt;urls&gt;&lt;related-urls&gt;&lt;url&gt;https://ntp.niehs.nih.gov/ntp/ohat/pfoa_pfos/pfoa_pfosmonograph_508.pdf&lt;/url&gt;&lt;/related-urls&gt;&lt;/urls&gt;&lt;/record&gt;&lt;/Cite&gt;&lt;/EndNote&gt;</w:instrText>
      </w:r>
      <w:r w:rsidR="00101E19">
        <w:fldChar w:fldCharType="separate"/>
      </w:r>
      <w:r w:rsidR="00C46348">
        <w:rPr>
          <w:noProof/>
        </w:rPr>
        <w:t>[62]</w:t>
      </w:r>
      <w:r w:rsidR="00101E19">
        <w:fldChar w:fldCharType="end"/>
      </w:r>
      <w:r w:rsidR="00101E19">
        <w:t xml:space="preserve">. </w:t>
      </w:r>
    </w:p>
    <w:p w:rsidRPr="00DF516A" w:rsidR="00FF3631" w:rsidP="007B3D7D" w:rsidRDefault="00FF3631" w14:paraId="21F5B58F" w14:textId="0469647A">
      <w:pPr>
        <w:pStyle w:val="NoSpacing"/>
        <w:spacing w:after="200"/>
      </w:pPr>
      <w:r w:rsidRPr="00DF516A">
        <w:t xml:space="preserve">Cross-sectional studies provide some evidence for associations between exposure to </w:t>
      </w:r>
      <w:r w:rsidR="00E0609A">
        <w:t>PF</w:t>
      </w:r>
      <w:r w:rsidR="00BA4BC5">
        <w:t>O</w:t>
      </w:r>
      <w:r w:rsidR="00E0609A">
        <w:t>A</w:t>
      </w:r>
      <w:r w:rsidRPr="00DF516A">
        <w:t xml:space="preserve"> and</w:t>
      </w:r>
      <w:r w:rsidR="00BA4BC5">
        <w:t xml:space="preserve"> other </w:t>
      </w:r>
      <w:r w:rsidR="00E0609A">
        <w:t>PFAS</w:t>
      </w:r>
      <w:r w:rsidR="00BA4BC5">
        <w:t xml:space="preserve"> species</w:t>
      </w:r>
      <w:r w:rsidRPr="00DF516A">
        <w:t xml:space="preserve"> and asthma-related outcomes in children, though this is not yet well studied </w:t>
      </w:r>
      <w:r w:rsidRPr="00DF516A">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 </w:instrText>
      </w:r>
      <w:r w:rsidR="00C46348">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EN.CITE.DATA </w:instrText>
      </w:r>
      <w:r w:rsidR="00C46348">
        <w:fldChar w:fldCharType="end"/>
      </w:r>
      <w:r w:rsidRPr="00DF516A">
        <w:fldChar w:fldCharType="separate"/>
      </w:r>
      <w:r w:rsidR="00C46348">
        <w:rPr>
          <w:noProof/>
        </w:rPr>
        <w:t>[63, 64]</w:t>
      </w:r>
      <w:r w:rsidRPr="00DF516A">
        <w:fldChar w:fldCharType="end"/>
      </w:r>
      <w:r w:rsidRPr="00DF516A">
        <w:t xml:space="preserve">. There is no evidence of association between human maternal serum PFOA or PFOS and preterm birth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Pr="00DF516A">
        <w:t xml:space="preserve">, despite observed impacts on pup mortality in rodent studies </w:t>
      </w:r>
      <w:r w:rsidRPr="00DF516A">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 </w:instrText>
      </w:r>
      <w:r w:rsidR="00C46348">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EN.CITE.DATA </w:instrText>
      </w:r>
      <w:r w:rsidR="00C46348">
        <w:fldChar w:fldCharType="end"/>
      </w:r>
      <w:r w:rsidRPr="00DF516A">
        <w:fldChar w:fldCharType="separate"/>
      </w:r>
      <w:r w:rsidR="00C46348">
        <w:rPr>
          <w:noProof/>
        </w:rPr>
        <w:t>[66]</w:t>
      </w:r>
      <w:r w:rsidRPr="00DF516A">
        <w:fldChar w:fldCharType="end"/>
      </w:r>
      <w:r w:rsidRPr="00DF516A">
        <w:t xml:space="preserve">. A modest </w:t>
      </w:r>
      <w:r w:rsidR="00F14A3A">
        <w:t>inverse</w:t>
      </w:r>
      <w:r w:rsidRPr="00DF516A" w:rsidR="00F14A3A">
        <w:t xml:space="preserve"> </w:t>
      </w:r>
      <w:r w:rsidRPr="00DF516A">
        <w:t xml:space="preserve">association between maternal PFOS serum concentration and birth weight in full term infants has been observed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00061574">
        <w:t>.</w:t>
      </w:r>
    </w:p>
    <w:p w:rsidRPr="00DF516A" w:rsidR="00F340A0" w:rsidP="007B3D7D" w:rsidRDefault="00F340A0" w14:paraId="6A42EBDD" w14:textId="1E4D02D7">
      <w:pPr>
        <w:pStyle w:val="NoSpacing"/>
        <w:spacing w:after="200"/>
      </w:pPr>
      <w:r w:rsidRPr="00DF516A">
        <w:t xml:space="preserve">In animals, adverse health effects have been demonstrated </w:t>
      </w:r>
      <w:r w:rsidR="0094163F">
        <w:t>in response to</w:t>
      </w:r>
      <w:r w:rsidRPr="00DF516A">
        <w:t xml:space="preserve"> PFOA</w:t>
      </w:r>
      <w:r w:rsidRPr="00DF516A" w:rsidR="00AD206A">
        <w:t xml:space="preserve"> and </w:t>
      </w:r>
      <w:r w:rsidRPr="00DF516A">
        <w:t xml:space="preserve">PFOS exposure </w:t>
      </w:r>
      <w:r w:rsidRPr="00DF516A">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 </w:instrText>
      </w:r>
      <w:r w:rsidR="00C46348">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EN.CITE.DATA </w:instrText>
      </w:r>
      <w:r w:rsidR="00C46348">
        <w:fldChar w:fldCharType="end"/>
      </w:r>
      <w:r w:rsidRPr="00DF516A">
        <w:fldChar w:fldCharType="separate"/>
      </w:r>
      <w:r w:rsidR="00C46348">
        <w:rPr>
          <w:noProof/>
        </w:rPr>
        <w:t>[67, 68]</w:t>
      </w:r>
      <w:r w:rsidRPr="00DF516A">
        <w:fldChar w:fldCharType="end"/>
      </w:r>
      <w:r w:rsidRPr="00DF516A">
        <w:rPr>
          <w:color w:val="0000FF"/>
        </w:rPr>
        <w:t xml:space="preserve">. </w:t>
      </w:r>
      <w:r w:rsidRPr="00DF516A">
        <w:t xml:space="preserve">These studies </w:t>
      </w:r>
      <w:r w:rsidR="0094163F">
        <w:t>identify</w:t>
      </w:r>
      <w:r w:rsidRPr="00DF516A">
        <w:t xml:space="preserve"> increased liver weight as one of the primary critical effects </w:t>
      </w:r>
      <w:r w:rsidRPr="00DF516A">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 </w:instrText>
      </w:r>
      <w:r w:rsidR="00C46348">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[67, 69-73]</w:t>
      </w:r>
      <w:r w:rsidRPr="00DF516A">
        <w:fldChar w:fldCharType="end"/>
      </w:r>
      <w:r w:rsidRPr="00DF516A">
        <w:t xml:space="preserve">. Other effects include changes in spleen and thymus </w:t>
      </w:r>
      <w:r w:rsidRPr="00DF516A">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EN.CITE.DATA </w:instrText>
      </w:r>
      <w:r w:rsidR="00C46348">
        <w:fldChar w:fldCharType="end"/>
      </w:r>
      <w:r w:rsidRPr="00DF516A">
        <w:fldChar w:fldCharType="separate"/>
      </w:r>
      <w:r w:rsidR="00C46348">
        <w:rPr>
          <w:noProof/>
        </w:rPr>
        <w:t>[70, 74]</w:t>
      </w:r>
      <w:r w:rsidRPr="00DF516A">
        <w:fldChar w:fldCharType="end"/>
      </w:r>
      <w:r w:rsidR="00061574">
        <w:t>,</w:t>
      </w:r>
      <w:r w:rsidRPr="00DF516A">
        <w:t xml:space="preserve"> as well as developmental effects </w:t>
      </w:r>
      <w:r w:rsidRPr="00DF516A">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EN.CITE.DATA </w:instrText>
      </w:r>
      <w:r w:rsidR="00C46348">
        <w:fldChar w:fldCharType="end"/>
      </w:r>
      <w:r w:rsidRPr="00DF516A">
        <w:fldChar w:fldCharType="separate"/>
      </w:r>
      <w:r w:rsidR="00C46348">
        <w:rPr>
          <w:noProof/>
        </w:rPr>
        <w:t>[68, 75]</w:t>
      </w:r>
      <w:r w:rsidRPr="00DF516A">
        <w:fldChar w:fldCharType="end"/>
      </w:r>
      <w:r w:rsidRPr="00DF516A">
        <w:t xml:space="preserve">. However, it is important to note that extrapolation from animals to humans is uncertain because of pronounced differences in elimination rates and substantial variability across species </w:t>
      </w:r>
      <w:r w:rsidRPr="00DF516A">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EN.CITE.DATA </w:instrText>
      </w:r>
      <w:r w:rsidR="00C46348">
        <w:fldChar w:fldCharType="end"/>
      </w:r>
      <w:r w:rsidRPr="00DF516A">
        <w:fldChar w:fldCharType="separate"/>
      </w:r>
      <w:r w:rsidR="00C46348">
        <w:rPr>
          <w:noProof/>
        </w:rPr>
        <w:t>[76-78]</w:t>
      </w:r>
      <w:r w:rsidRPr="00DF516A">
        <w:fldChar w:fldCharType="end"/>
      </w:r>
      <w:r w:rsidRPr="00DF516A">
        <w:t>.</w:t>
      </w:r>
    </w:p>
    <w:p w:rsidR="00603289" w:rsidP="007B3D7D" w:rsidRDefault="00AD206A" w14:paraId="245F70FA" w14:textId="4F0439EB">
      <w:pPr>
        <w:pStyle w:val="NoSpacing"/>
        <w:spacing w:after="200"/>
      </w:pPr>
      <w:r w:rsidRPr="00DF516A">
        <w:t xml:space="preserve">There is much uncertainty regarding the </w:t>
      </w:r>
      <w:proofErr w:type="spellStart"/>
      <w:r w:rsidRPr="00DF516A">
        <w:t>toxicokinetics</w:t>
      </w:r>
      <w:proofErr w:type="spellEnd"/>
      <w:r w:rsidRPr="00DF516A">
        <w:t xml:space="preserve"> of </w:t>
      </w:r>
      <w:r w:rsidR="0095006B">
        <w:t>PFAS</w:t>
      </w:r>
      <w:r w:rsidRPr="00DF516A">
        <w:t xml:space="preserve">, especially in humans </w:t>
      </w:r>
      <w:r w:rsidRPr="00DF516A">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 </w:instrText>
      </w:r>
      <w:r w:rsidR="00C46348">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[79]</w:t>
      </w:r>
      <w:r w:rsidRPr="00DF516A">
        <w:fldChar w:fldCharType="end"/>
      </w:r>
      <w:r w:rsidRPr="00DF516A">
        <w:t xml:space="preserve">. The toxicokinetic behavior of these compounds appears to be very different in humans than in laboratory </w:t>
      </w:r>
      <w:r w:rsidRPr="00DF516A">
        <w:lastRenderedPageBreak/>
        <w:t xml:space="preserve">species. </w:t>
      </w:r>
      <w:r w:rsidR="00097DC3">
        <w:t xml:space="preserve">The rate at which </w:t>
      </w:r>
      <w:r w:rsidR="0095006B">
        <w:t>PFAS</w:t>
      </w:r>
      <w:r w:rsidR="00097DC3">
        <w:t xml:space="preserve"> are eliminated from the body is an important driver of toxic</w:t>
      </w:r>
      <w:r w:rsidR="00A66EBA">
        <w:t>ity</w:t>
      </w:r>
      <w:r w:rsidR="00061574">
        <w:t>, with</w:t>
      </w:r>
      <w:r w:rsidR="00A66EBA">
        <w:t xml:space="preserve"> longer half-lives indicat</w:t>
      </w:r>
      <w:r w:rsidR="00061574">
        <w:t>ing</w:t>
      </w:r>
      <w:r w:rsidR="00A66EBA">
        <w:t xml:space="preserve"> greater potential for bioaccumulation</w:t>
      </w:r>
      <w:r w:rsidR="002B5C17">
        <w:t xml:space="preserve"> </w:t>
      </w:r>
      <w:r w:rsidR="002B5C17">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2B5C17">
        <w:fldChar w:fldCharType="separate"/>
      </w:r>
      <w:r w:rsidR="00C46348">
        <w:rPr>
          <w:noProof/>
        </w:rPr>
        <w:t>[80]</w:t>
      </w:r>
      <w:r w:rsidR="002B5C17">
        <w:fldChar w:fldCharType="end"/>
      </w:r>
      <w:r w:rsidR="00A66EBA">
        <w:t xml:space="preserve">. </w:t>
      </w:r>
      <w:r w:rsidR="00913E40">
        <w:t>Biological half-life has been estimated in humans for several PFAS in both occupationally</w:t>
      </w:r>
      <w:r w:rsidR="00CF21FC">
        <w:t xml:space="preserve"> </w:t>
      </w:r>
      <w:r w:rsidR="00CF21FC">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 </w:instrText>
      </w:r>
      <w:r w:rsidR="00C46348">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EN.CITE.DATA </w:instrText>
      </w:r>
      <w:r w:rsidR="00C46348">
        <w:fldChar w:fldCharType="end"/>
      </w:r>
      <w:r w:rsidR="00CF21FC">
        <w:fldChar w:fldCharType="separate"/>
      </w:r>
      <w:r w:rsidR="00C46348">
        <w:rPr>
          <w:noProof/>
        </w:rPr>
        <w:t>[81]</w:t>
      </w:r>
      <w:r w:rsidR="00CF21FC">
        <w:fldChar w:fldCharType="end"/>
      </w:r>
      <w:r w:rsidR="00913E40">
        <w:t xml:space="preserve"> and residentially exposed populations</w:t>
      </w:r>
      <w:r w:rsidR="00CF21FC">
        <w:t xml:space="preserve"> </w:t>
      </w:r>
      <w:r w:rsidR="00CF21FC">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CF21FC">
        <w:fldChar w:fldCharType="separate"/>
      </w:r>
      <w:r w:rsidR="00C46348">
        <w:rPr>
          <w:noProof/>
        </w:rPr>
        <w:t>[80, 82, 83]</w:t>
      </w:r>
      <w:r w:rsidR="00CF21FC">
        <w:fldChar w:fldCharType="end"/>
      </w:r>
      <w:r w:rsidR="00913E40">
        <w:t>. However, differences in the studied populations, including the level of exposure and the treatment of ongoing background exposures</w:t>
      </w:r>
      <w:r w:rsidR="00061574">
        <w:t>,</w:t>
      </w:r>
      <w:r w:rsidR="00913E40">
        <w:t xml:space="preserve"> have resulted in discrepancies across estimates </w:t>
      </w:r>
      <w:r w:rsidR="00913E40">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 </w:instrText>
      </w:r>
      <w:r w:rsidR="00C46348">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EN.CITE.DATA </w:instrText>
      </w:r>
      <w:r w:rsidR="00C46348">
        <w:fldChar w:fldCharType="end"/>
      </w:r>
      <w:r w:rsidR="00913E40">
        <w:fldChar w:fldCharType="separate"/>
      </w:r>
      <w:r w:rsidR="00C46348">
        <w:rPr>
          <w:noProof/>
        </w:rPr>
        <w:t>[83]</w:t>
      </w:r>
      <w:r w:rsidR="00913E40">
        <w:fldChar w:fldCharType="end"/>
      </w:r>
      <w:r w:rsidR="00913E40">
        <w:t xml:space="preserve">. </w:t>
      </w:r>
    </w:p>
    <w:p w:rsidR="00DA282A" w:rsidP="007B3D7D" w:rsidRDefault="00DA282A" w14:paraId="7C7DEBAD" w14:textId="13F1AD6E">
      <w:pPr>
        <w:pStyle w:val="NoSpacing"/>
        <w:spacing w:after="200"/>
      </w:pPr>
      <w:r>
        <w:t>PFAS excretion is an important determinant of human body burden for these compounds.</w:t>
      </w:r>
      <w:r w:rsidRPr="00DA282A">
        <w:t xml:space="preserve"> </w:t>
      </w:r>
      <w:r>
        <w:t xml:space="preserve">In humans, PFAS are excreted primarily in the urine </w:t>
      </w:r>
      <w:r>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 </w:instrText>
      </w:r>
      <w:r w:rsidR="00C46348">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EN.CITE.DATA </w:instrText>
      </w:r>
      <w:r w:rsidR="00C46348">
        <w:fldChar w:fldCharType="end"/>
      </w:r>
      <w:r>
        <w:fldChar w:fldCharType="separate"/>
      </w:r>
      <w:r w:rsidR="00C46348">
        <w:rPr>
          <w:noProof/>
        </w:rPr>
        <w:t>[78, 80, 84, 85]</w:t>
      </w:r>
      <w:r>
        <w:fldChar w:fldCharType="end"/>
      </w:r>
      <w:r>
        <w:t xml:space="preserve">. Renal excretion of PFAS occurs by both active and passive mechanisms and is determined by the sum of glomerular filtration, renal tubular </w:t>
      </w:r>
      <w:proofErr w:type="gramStart"/>
      <w:r>
        <w:t>secretion</w:t>
      </w:r>
      <w:proofErr w:type="gramEnd"/>
      <w:r>
        <w:t xml:space="preserve"> and renal tubular absorption </w:t>
      </w:r>
      <w:r>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 </w:instrText>
      </w:r>
      <w:r w:rsidR="00C46348">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EN.CITE.DATA </w:instrText>
      </w:r>
      <w:r w:rsidR="00C46348">
        <w:fldChar w:fldCharType="end"/>
      </w:r>
      <w:r>
        <w:fldChar w:fldCharType="separate"/>
      </w:r>
      <w:r w:rsidR="00C46348">
        <w:rPr>
          <w:noProof/>
        </w:rPr>
        <w:t>[77-79]</w:t>
      </w:r>
      <w:r>
        <w:fldChar w:fldCharType="end"/>
      </w:r>
      <w:r>
        <w:t xml:space="preserve">. Diabetes </w:t>
      </w:r>
      <w:r>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 </w:instrText>
      </w:r>
      <w:r w:rsidR="00C46348">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EN.CITE.DATA </w:instrText>
      </w:r>
      <w:r w:rsidR="00C46348">
        <w:fldChar w:fldCharType="end"/>
      </w:r>
      <w:r>
        <w:fldChar w:fldCharType="separate"/>
      </w:r>
      <w:r w:rsidR="00C46348">
        <w:rPr>
          <w:noProof/>
        </w:rPr>
        <w:t>[86]</w:t>
      </w:r>
      <w:r>
        <w:fldChar w:fldCharType="end"/>
      </w:r>
      <w:r>
        <w:t xml:space="preserve"> is associated with a significant lifetime risk or kidney disease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and diabetic kidney disease is the leading cause of end-stage renal disease in North America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Diabetic kidney disease is characterized by the development of </w:t>
      </w:r>
      <w:proofErr w:type="spellStart"/>
      <w:r>
        <w:t>macroalbunuria</w:t>
      </w:r>
      <w:proofErr w:type="spellEnd"/>
      <w:r>
        <w:t xml:space="preserve"> which is followed by a decline in glomerular filtration rate </w:t>
      </w:r>
      <w:r>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 </w:instrText>
      </w:r>
      <w:r w:rsidR="00C46348">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EN.CITE.DATA </w:instrText>
      </w:r>
      <w:r w:rsidR="00C46348">
        <w:fldChar w:fldCharType="end"/>
      </w:r>
      <w:r>
        <w:fldChar w:fldCharType="separate"/>
      </w:r>
      <w:r w:rsidR="00C46348">
        <w:rPr>
          <w:noProof/>
        </w:rPr>
        <w:t>[88, 89]</w:t>
      </w:r>
      <w:r>
        <w:fldChar w:fldCharType="end"/>
      </w:r>
      <w:r>
        <w:t xml:space="preserve">. Hepatitis C has been shown to be an important risk factor for the development of renal insufficiency and decline in glomerular filtration rate </w:t>
      </w:r>
      <w:r>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 </w:instrText>
      </w:r>
      <w:r w:rsidR="00C46348">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EN.CITE.DATA </w:instrText>
      </w:r>
      <w:r w:rsidR="00C46348">
        <w:fldChar w:fldCharType="end"/>
      </w:r>
      <w:r>
        <w:fldChar w:fldCharType="separate"/>
      </w:r>
      <w:r w:rsidR="00C46348">
        <w:rPr>
          <w:noProof/>
        </w:rPr>
        <w:t>[90]</w:t>
      </w:r>
      <w:r>
        <w:fldChar w:fldCharType="end"/>
      </w:r>
      <w:r>
        <w:t xml:space="preserve">. Chronic kidney disease is characterized by decreased kidney function </w:t>
      </w:r>
      <w:r>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 </w:instrText>
      </w:r>
      <w:r w:rsidR="00C46348">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EN.CITE.DATA </w:instrText>
      </w:r>
      <w:r w:rsidR="00C46348">
        <w:fldChar w:fldCharType="end"/>
      </w:r>
      <w:r>
        <w:fldChar w:fldCharType="separate"/>
      </w:r>
      <w:r w:rsidR="00C46348">
        <w:rPr>
          <w:noProof/>
        </w:rPr>
        <w:t>[91]</w:t>
      </w:r>
      <w:r>
        <w:fldChar w:fldCharType="end"/>
      </w:r>
      <w:r>
        <w:t>. Clinically, decreased kidney function is a diagnostic marker of chronic kidney disease and is defined by a glomerular filtration rate persistently below 60 mL/minute/1.73 m</w:t>
      </w:r>
      <w:r w:rsidRPr="004535CB">
        <w:rPr>
          <w:vertAlign w:val="superscript"/>
        </w:rPr>
        <w:t>2</w:t>
      </w:r>
      <w:r>
        <w:rPr>
          <w:vertAlign w:val="superscript"/>
        </w:rPr>
        <w:t xml:space="preserve"> </w:t>
      </w:r>
      <w:r w:rsidRPr="000A088C">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 </w:instrText>
      </w:r>
      <w:r w:rsidR="00C46348">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EN.CITE.DATA </w:instrText>
      </w:r>
      <w:r w:rsidR="00C46348">
        <w:fldChar w:fldCharType="end"/>
      </w:r>
      <w:r w:rsidRPr="000A088C">
        <w:fldChar w:fldCharType="separate"/>
      </w:r>
      <w:r w:rsidR="00C46348">
        <w:rPr>
          <w:noProof/>
        </w:rPr>
        <w:t>[89, 92, 93]</w:t>
      </w:r>
      <w:r w:rsidRPr="000A088C">
        <w:fldChar w:fldCharType="end"/>
      </w:r>
      <w:r>
        <w:t xml:space="preserve">. Anemia is a common complication of chronic kidney disease </w:t>
      </w:r>
      <w:r>
        <w:fldChar w:fldCharType="begin"/>
      </w:r>
      <w:r w:rsidR="00C46348">
        <w:instrText xml:space="preserve"> ADDIN EN.CITE &lt;EndNote&gt;&lt;Cite&gt;&lt;Author&gt;Rozen-Zvi&lt;/Author&gt;&lt;Year&gt;2008&lt;/Year&gt;&lt;RecNum&gt;1060&lt;/RecNum&gt;&lt;DisplayText&gt;[94]&lt;/DisplayText&gt;&lt;record&gt;&lt;rec-number&gt;1060&lt;/rec-number&gt;&lt;foreign-keys&gt;&lt;key app="EN" db-id="rw00aww2fxw5pherwx6v59rqdtsppfap29fz" timestamp="1553270303"&gt;1060&lt;/key&gt;&lt;/foreign-keys&gt;&lt;ref-type name="Journal Article"&gt;17&lt;/ref-type&gt;&lt;contributors&gt;&lt;authors&gt;&lt;author&gt;Rozen-Zvi, Benaya&lt;/author&gt;&lt;author&gt;Gafter-Gvili, Anat&lt;/author&gt;&lt;author&gt;Paul, Mical&lt;/author&gt;&lt;author&gt;Leibovici, Leonard&lt;/author&gt;&lt;author&gt;Shpilberg, Ofer&lt;/author&gt;&lt;author&gt;Gafter, Uzi&lt;/author&gt;&lt;/authors&gt;&lt;/contributors&gt;&lt;titles&gt;&lt;title&gt;Intravenous Versus Oral Iron Supplementation for the Treatment of Anemia in CKD: Systematic Review and Meta-analysis&lt;/title&gt;&lt;secondary-title&gt;American Journal of Kidney Diseases&lt;/secondary-title&gt;&lt;/titles&gt;&lt;periodical&gt;&lt;full-title&gt;American Journal of Kidney Diseases&lt;/full-title&gt;&lt;/periodical&gt;&lt;pages&gt;897-906&lt;/pages&gt;&lt;volume&gt;52&lt;/volume&gt;&lt;number&gt;5&lt;/number&gt;&lt;keywords&gt;&lt;keyword&gt;Anemia&lt;/keyword&gt;&lt;keyword&gt;iron&lt;/keyword&gt;&lt;keyword&gt;chronic kidney disease&lt;/keyword&gt;&lt;keyword&gt;hemodialysis&lt;/keyword&gt;&lt;keyword&gt;hemoglobin&lt;/keyword&gt;&lt;keyword&gt;meta-analysis&lt;/keyword&gt;&lt;/keywords&gt;&lt;dates&gt;&lt;year&gt;2008&lt;/year&gt;&lt;pub-dates&gt;&lt;date&gt;2008/11/01/&lt;/date&gt;&lt;/pub-dates&gt;&lt;/dates&gt;&lt;isbn&gt;0272-6386&lt;/isbn&gt;&lt;urls&gt;&lt;related-urls&gt;&lt;url&gt;http://www.sciencedirect.com/science/article/pii/S0272638608010603&lt;/url&gt;&lt;/related-urls&gt;&lt;/urls&gt;&lt;electronic-resource-num&gt;https://doi.org/10.1053/j.ajkd.2008.05.033&lt;/electronic-resource-num&gt;&lt;/record&gt;&lt;/Cite&gt;&lt;/EndNote&gt;</w:instrText>
      </w:r>
      <w:r>
        <w:fldChar w:fldCharType="separate"/>
      </w:r>
      <w:r w:rsidR="00C46348">
        <w:rPr>
          <w:noProof/>
        </w:rPr>
        <w:t>[94]</w:t>
      </w:r>
      <w:r>
        <w:fldChar w:fldCharType="end"/>
      </w:r>
      <w:r>
        <w:t xml:space="preserve">. An analysis of NHANES data demonstrated that lower estimated glomerular filtration rate was associated with higher prevalence of anemia in non-Hispanic white persons, non-Hispanic black persons, and Mexican Americans </w:t>
      </w:r>
      <w:r>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 </w:instrText>
      </w:r>
      <w:r w:rsidR="00C46348">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EN.CITE.DATA </w:instrText>
      </w:r>
      <w:r w:rsidR="00C46348">
        <w:fldChar w:fldCharType="end"/>
      </w:r>
      <w:r>
        <w:fldChar w:fldCharType="separate"/>
      </w:r>
      <w:r w:rsidR="00C46348">
        <w:rPr>
          <w:noProof/>
        </w:rPr>
        <w:t>[95]</w:t>
      </w:r>
      <w:r>
        <w:fldChar w:fldCharType="end"/>
      </w:r>
      <w:r>
        <w:t xml:space="preserve">. Diabetes, hepatitis C, chronic kidney disease and decreased kidney function, and anemia </w:t>
      </w:r>
      <w:r w:rsidR="002231F4">
        <w:t>may have the potential to</w:t>
      </w:r>
      <w:r>
        <w:t xml:space="preserve"> significant</w:t>
      </w:r>
      <w:r w:rsidR="002231F4">
        <w:t>ly</w:t>
      </w:r>
      <w:r>
        <w:t xml:space="preserve"> impact glomerular filtration and PFAS excretion.</w:t>
      </w:r>
    </w:p>
    <w:p w:rsidR="00DA282A" w:rsidP="00DA282A" w:rsidRDefault="00B17945" w14:paraId="05C74948" w14:textId="4E78F664">
      <w:pPr>
        <w:pStyle w:val="Revision"/>
        <w:spacing w:after="200"/>
      </w:pPr>
      <w:r>
        <w:t xml:space="preserve">Dialysis treatment, often prescribed for individuals with kidney disease, may also have the potential to increase the removal of some PFAS from the body and thereby lower some PFAS serum concentrations. </w:t>
      </w:r>
      <w:r w:rsidR="00DA282A">
        <w:t xml:space="preserve">The primary treatment for renal failure is hemodialysis, a process by which a patient’s blood is drawn out through a tube, pumped through a dialyzer to remove waste </w:t>
      </w:r>
      <w:proofErr w:type="gramStart"/>
      <w:r w:rsidR="00DA282A">
        <w:t>products</w:t>
      </w:r>
      <w:proofErr w:type="gramEnd"/>
      <w:r w:rsidR="00DA282A">
        <w:t xml:space="preserve"> and then returned to the patient’s body. The membranes used in dialysis have been shown to provide clearance of PFAS </w:t>
      </w:r>
      <w:r w:rsidR="00DA282A">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EN.CITE.DATA </w:instrText>
      </w:r>
      <w:r w:rsidR="00C46348">
        <w:fldChar w:fldCharType="end"/>
      </w:r>
      <w:r w:rsidR="00DA282A">
        <w:fldChar w:fldCharType="separate"/>
      </w:r>
      <w:r w:rsidR="00C46348">
        <w:rPr>
          <w:noProof/>
        </w:rPr>
        <w:t>[96]</w:t>
      </w:r>
      <w:r w:rsidR="00DA282A">
        <w:fldChar w:fldCharType="end"/>
      </w:r>
      <w:r w:rsidR="00DA282A">
        <w:t xml:space="preserve">. </w:t>
      </w:r>
      <w:proofErr w:type="gramStart"/>
      <w:r w:rsidR="00DA282A">
        <w:t>In particular, concentrations</w:t>
      </w:r>
      <w:proofErr w:type="gramEnd"/>
      <w:r w:rsidR="00DA282A">
        <w:t xml:space="preserve"> of POFA and PFOS were reduced following dialysis with </w:t>
      </w:r>
      <w:proofErr w:type="spellStart"/>
      <w:r w:rsidR="00DA282A">
        <w:t>polysulfone</w:t>
      </w:r>
      <w:proofErr w:type="spellEnd"/>
      <w:r w:rsidR="00DA282A">
        <w:t xml:space="preserve"> dialysis membranes </w:t>
      </w:r>
      <w:r w:rsidR="00DA282A">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EN.CITE.DATA </w:instrText>
      </w:r>
      <w:r w:rsidR="00C46348">
        <w:fldChar w:fldCharType="end"/>
      </w:r>
      <w:r w:rsidR="00DA282A">
        <w:fldChar w:fldCharType="separate"/>
      </w:r>
      <w:r w:rsidR="00C46348">
        <w:rPr>
          <w:noProof/>
        </w:rPr>
        <w:t>[96, 97]</w:t>
      </w:r>
      <w:r w:rsidR="00DA282A">
        <w:fldChar w:fldCharType="end"/>
      </w:r>
      <w:r w:rsidR="00DA282A">
        <w:t>.</w:t>
      </w:r>
    </w:p>
    <w:p w:rsidR="00DA282A" w:rsidP="00DA282A" w:rsidRDefault="00DA282A" w14:paraId="49530554" w14:textId="5E456717">
      <w:pPr>
        <w:pStyle w:val="Revision"/>
        <w:spacing w:after="200"/>
      </w:pPr>
      <w:r>
        <w:t xml:space="preserve">Scientific evidence reported in the peer reviewed literature clearly demonstrates that PFAS accumulate in humans in protein-rich compartments including kidney, liver, and blood. This is attributed primarily to the fact that PFAS have a strong affinity for binding to serum proteins, serum albumin in particular </w:t>
      </w:r>
      <w:r>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[84]</w:t>
      </w:r>
      <w:r>
        <w:fldChar w:fldCharType="end"/>
      </w:r>
      <w:r>
        <w:t xml:space="preserve">.  For example, PFOA and PFNA have been reported to be 90% and 99.9% bound to human serum albumin </w:t>
      </w:r>
      <w:r>
        <w:fldChar w:fldCharType="begin"/>
      </w:r>
      <w:r w:rsidR="00C46348">
        <w:instrText xml:space="preserve"> ADDIN EN.CITE &lt;EndNote&gt;&lt;Cite&gt;&lt;Author&gt;Bischel&lt;/Author&gt;&lt;Year&gt;2010&lt;/Year&gt;&lt;RecNum&gt;1031&lt;/RecNum&gt;&lt;DisplayText&gt;[98]&lt;/DisplayText&gt;&lt;record&gt;&lt;rec-number&gt;1031&lt;/rec-number&gt;&lt;foreign-keys&gt;&lt;key app="EN" db-id="rw00aww2fxw5pherwx6v59rqdtsppfap29fz" timestamp="1553263929"&gt;1031&lt;/key&gt;&lt;/foreign-keys&gt;&lt;ref-type name="Journal Article"&gt;17&lt;/ref-type&gt;&lt;contributors&gt;&lt;authors&gt;&lt;author&gt;Bischel, Heather N.&lt;/author&gt;&lt;author&gt;MacManus-Spencer, Laura A.&lt;/author&gt;&lt;author&gt;Luthy, Richard G.&lt;/author&gt;&lt;/authors&gt;&lt;/contributors&gt;&lt;titles&gt;&lt;title&gt;Noncovalent Interactions of Long-Chain Perfluoroalkyl Acids with Serum Albumin&lt;/title&gt;&lt;secondary-title&gt;Environmental Science &amp;amp; Technology&lt;/secondary-title&gt;&lt;/titles&gt;&lt;periodical&gt;&lt;full-title&gt;Environ Sci Technol&lt;/full-title&gt;&lt;abbr-1&gt;Environmental science &amp;amp; technology&lt;/abbr-1&gt;&lt;/periodical&gt;&lt;pages&gt;5263-5269&lt;/pages&gt;&lt;volume&gt;44&lt;/volume&gt;&lt;number&gt;13&lt;/number&gt;&lt;dates&gt;&lt;year&gt;2010&lt;/year&gt;&lt;pub-dates&gt;&lt;date&gt;2010/07/01&lt;/date&gt;&lt;/pub-dates&gt;&lt;/dates&gt;&lt;publisher&gt;American Chemical Society&lt;/publisher&gt;&lt;isbn&gt;0013-936X&lt;/isbn&gt;&lt;urls&gt;&lt;related-urls&gt;&lt;url&gt;https://doi.org/10.1021/es101334s&lt;/url&gt;&lt;/related-urls&gt;&lt;/urls&gt;&lt;electronic-resource-num&gt;10.1021/es101334s&lt;/electronic-resource-num&gt;&lt;/record&gt;&lt;/Cite&gt;&lt;/EndNote&gt;</w:instrText>
      </w:r>
      <w:r>
        <w:fldChar w:fldCharType="separate"/>
      </w:r>
      <w:r w:rsidR="00C46348">
        <w:rPr>
          <w:noProof/>
        </w:rPr>
        <w:t>[98]</w:t>
      </w:r>
      <w:r>
        <w:fldChar w:fldCharType="end"/>
      </w:r>
      <w:r>
        <w:t xml:space="preserve">. As such, anything that causes significant blood loss will impact the excretion profile. In particular, menstrual fluid contains high levels of albumin </w:t>
      </w:r>
      <w:r>
        <w:fldChar w:fldCharType="begin"/>
      </w:r>
      <w:r w:rsidR="00C46348">
        <w:instrText xml:space="preserve"> ADDIN EN.CITE &lt;EndNote&gt;&lt;Cite&gt;&lt;Author&gt;Cederholm-Williams&lt;/Author&gt;&lt;Year&gt;1984&lt;/Year&gt;&lt;RecNum&gt;1033&lt;/RecNum&gt;&lt;DisplayText&gt;[99]&lt;/DisplayText&gt;&lt;record&gt;&lt;rec-number&gt;1033&lt;/rec-number&gt;&lt;foreign-keys&gt;&lt;key app="EN" db-id="rw00aww2fxw5pherwx6v59rqdtsppfap29fz" timestamp="1553266716"&gt;1033&lt;/key&gt;&lt;/foreign-keys&gt;&lt;ref-type name="Journal Article"&gt;17&lt;/ref-type&gt;&lt;contributors&gt;&lt;authors&gt;&lt;author&gt;Cederholm-Williams, S. A.&lt;/author&gt;&lt;author&gt;Rees, M. C.&lt;/author&gt;&lt;author&gt;Turnbull, A. C.&lt;/author&gt;&lt;/authors&gt;&lt;/contributors&gt;&lt;titles&gt;&lt;title&gt;Consumption of fibrinolytic proteins in menstrual fluid from women with normal menstrual blood loss&lt;/title&gt;&lt;secondary-title&gt;J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pathology&lt;/abbr-1&gt;&lt;/alt-periodical&gt;&lt;pages&gt;879-81&lt;/pages&gt;&lt;volume&gt;37&lt;/volume&gt;&lt;number&gt;8&lt;/number&gt;&lt;edition&gt;1984/08/01&lt;/edition&gt;&lt;keywords&gt;&lt;keyword&gt;Adult&lt;/keyword&gt;&lt;keyword&gt;Blood Proteins/*analysis&lt;/keyword&gt;&lt;keyword&gt;Female&lt;/keyword&gt;&lt;keyword&gt;Fibrin/analysis&lt;/keyword&gt;&lt;keyword&gt;*Fibrinolysis&lt;/keyword&gt;&lt;keyword&gt;Humans&lt;/keyword&gt;&lt;keyword&gt;*Menstruation&lt;/keyword&gt;&lt;keyword&gt;Middle Aged&lt;/keyword&gt;&lt;keyword&gt;Plasminogen Activators/analysis&lt;/keyword&gt;&lt;/keywords&gt;&lt;dates&gt;&lt;year&gt;1984&lt;/year&gt;&lt;pub-dates&gt;&lt;date&gt;Aug&lt;/date&gt;&lt;/pub-dates&gt;&lt;/dates&gt;&lt;isbn&gt;0021-9746 (Print)&amp;#xD;0021-9746&lt;/isbn&gt;&lt;accession-num&gt;6540788&lt;/accession-num&gt;&lt;urls&gt;&lt;/urls&gt;&lt;custom2&gt;PMC498886&lt;/custom2&gt;&lt;remote-database-provider&gt;NLM&lt;/remote-database-provider&gt;&lt;language&gt;eng&lt;/language&gt;&lt;/record&gt;&lt;/Cite&gt;&lt;/EndNote&gt;</w:instrText>
      </w:r>
      <w:r>
        <w:fldChar w:fldCharType="separate"/>
      </w:r>
      <w:r w:rsidR="00C46348">
        <w:rPr>
          <w:noProof/>
        </w:rPr>
        <w:t>[99]</w:t>
      </w:r>
      <w:r>
        <w:fldChar w:fldCharType="end"/>
      </w:r>
      <w:r>
        <w:t xml:space="preserve">. Epidemiologic studies have shown that higher PFAS serum concentrations are measured in postmenopausal women compared with women who are still menstruating </w:t>
      </w:r>
      <w:r>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fldChar w:fldCharType="separate"/>
      </w:r>
      <w:r w:rsidR="00C46348">
        <w:rPr>
          <w:noProof/>
        </w:rPr>
        <w:t>[100, 101]</w:t>
      </w:r>
      <w:r>
        <w:fldChar w:fldCharType="end"/>
      </w:r>
      <w:r>
        <w:t xml:space="preserve">. Further, pharmacokinetic modeling provides additional evidence that menstrual cycles effect PFAS serum concentrations </w:t>
      </w:r>
      <w:r>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 </w:instrText>
      </w:r>
      <w:r w:rsidR="00C46348">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EN.CITE.DATA </w:instrText>
      </w:r>
      <w:r w:rsidR="00C46348">
        <w:fldChar w:fldCharType="end"/>
      </w:r>
      <w:r>
        <w:fldChar w:fldCharType="separate"/>
      </w:r>
      <w:r w:rsidR="00C46348">
        <w:rPr>
          <w:noProof/>
        </w:rPr>
        <w:t>[102, 103]</w:t>
      </w:r>
      <w:r>
        <w:fldChar w:fldCharType="end"/>
      </w:r>
      <w:r>
        <w:t>.</w:t>
      </w:r>
    </w:p>
    <w:p w:rsidR="00DA282A" w:rsidP="00DA282A" w:rsidRDefault="00DA282A" w14:paraId="11004DDF" w14:textId="2A1439FC">
      <w:pPr>
        <w:pStyle w:val="Revision"/>
        <w:spacing w:after="200"/>
      </w:pPr>
      <w:r>
        <w:t xml:space="preserve">Relatedly, PFAS have been demonstrated to pass through the placental barrier and into the developing fetus during gestation. PFAS have been measured in maternal serum </w:t>
      </w:r>
      <w:r>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 </w:instrText>
      </w:r>
      <w:r w:rsidR="00C46348">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EN.CITE.DATA </w:instrText>
      </w:r>
      <w:r w:rsidR="00C46348">
        <w:fldChar w:fldCharType="end"/>
      </w:r>
      <w:r>
        <w:fldChar w:fldCharType="separate"/>
      </w:r>
      <w:r w:rsidR="00C46348">
        <w:rPr>
          <w:noProof/>
        </w:rPr>
        <w:t>[104-109]</w:t>
      </w:r>
      <w:r>
        <w:fldChar w:fldCharType="end"/>
      </w:r>
      <w:r>
        <w:t xml:space="preserve">, cord blood </w:t>
      </w:r>
      <w:r>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 </w:instrText>
      </w:r>
      <w:r w:rsidR="00C46348">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EN.CITE.DATA </w:instrText>
      </w:r>
      <w:r w:rsidR="00C46348">
        <w:fldChar w:fldCharType="end"/>
      </w:r>
      <w:r>
        <w:fldChar w:fldCharType="separate"/>
      </w:r>
      <w:r w:rsidR="00C46348">
        <w:rPr>
          <w:noProof/>
        </w:rPr>
        <w:t>[27, 29, 104, 108, 110-114]</w:t>
      </w:r>
      <w:r>
        <w:fldChar w:fldCharType="end"/>
      </w:r>
      <w:r>
        <w:t xml:space="preserve">, placenta </w:t>
      </w:r>
      <w:r>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[76, 106, 107, 115]</w:t>
      </w:r>
      <w:r>
        <w:fldChar w:fldCharType="end"/>
      </w:r>
      <w:r>
        <w:t xml:space="preserve">, fetal tissue </w:t>
      </w:r>
      <w:r>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 </w:instrText>
      </w:r>
      <w:r w:rsidR="00C46348">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EN.CITE.DATA </w:instrText>
      </w:r>
      <w:r w:rsidR="00C46348">
        <w:fldChar w:fldCharType="end"/>
      </w:r>
      <w:r>
        <w:fldChar w:fldCharType="separate"/>
      </w:r>
      <w:r w:rsidR="00C46348">
        <w:rPr>
          <w:noProof/>
        </w:rPr>
        <w:t>[116]</w:t>
      </w:r>
      <w:r>
        <w:fldChar w:fldCharType="end"/>
      </w:r>
      <w:r>
        <w:t xml:space="preserve">, and neonates </w:t>
      </w:r>
      <w:r>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EN.CITE.DATA </w:instrText>
      </w:r>
      <w:r w:rsidR="00C46348">
        <w:fldChar w:fldCharType="end"/>
      </w:r>
      <w:r>
        <w:fldChar w:fldCharType="separate"/>
      </w:r>
      <w:r w:rsidR="00C46348">
        <w:rPr>
          <w:noProof/>
        </w:rPr>
        <w:t>[117, 118]</w:t>
      </w:r>
      <w:r>
        <w:fldChar w:fldCharType="end"/>
      </w:r>
      <w:r>
        <w:t xml:space="preserve">. These studies </w:t>
      </w:r>
      <w:r>
        <w:lastRenderedPageBreak/>
        <w:t>clearly establish gestation and birth as a significant excretion pathway for mothers and a significant exposure pathway for infants. Women who have been pregnant have a distinct excretion profile from women who have not.</w:t>
      </w:r>
    </w:p>
    <w:p w:rsidRPr="006065BA" w:rsidR="006065BA" w:rsidP="006065BA" w:rsidRDefault="006065BA" w14:paraId="0BD82EEE" w14:textId="63DA51C3">
      <w:pPr>
        <w:pStyle w:val="Revision"/>
        <w:spacing w:after="200"/>
      </w:pPr>
      <w:r w:rsidRPr="006065BA">
        <w:t>Further, lactation is also a significant excretion pathway for breastfeeding women</w:t>
      </w:r>
      <w:r w:rsidR="008A33A0">
        <w:t>, and an exposure route for breastfe</w:t>
      </w:r>
      <w:r w:rsidR="00163C77">
        <w:t>d</w:t>
      </w:r>
      <w:r w:rsidR="008A33A0">
        <w:t xml:space="preserve"> infants</w:t>
      </w:r>
      <w:r w:rsidR="00A028B8">
        <w:t xml:space="preserve"> </w:t>
      </w:r>
      <w:r w:rsidR="00A028B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 </w:instrText>
      </w:r>
      <w:r w:rsidR="00C4634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EN.CITE.DATA </w:instrText>
      </w:r>
      <w:r w:rsidR="00C46348">
        <w:fldChar w:fldCharType="end"/>
      </w:r>
      <w:r w:rsidR="00A028B8">
        <w:fldChar w:fldCharType="separate"/>
      </w:r>
      <w:r w:rsidR="00C46348">
        <w:rPr>
          <w:noProof/>
        </w:rPr>
        <w:t>[119-129]</w:t>
      </w:r>
      <w:r w:rsidR="00A028B8">
        <w:fldChar w:fldCharType="end"/>
      </w:r>
      <w:r w:rsidRPr="006065BA">
        <w:t xml:space="preserve">. PFAS have been measured in </w:t>
      </w:r>
      <w:r>
        <w:t xml:space="preserve">breastmilk in many </w:t>
      </w:r>
      <w:proofErr w:type="gramStart"/>
      <w:r>
        <w:t xml:space="preserve">populations  </w:t>
      </w:r>
      <w:r w:rsidRPr="006065BA">
        <w:t>and</w:t>
      </w:r>
      <w:proofErr w:type="gramEnd"/>
      <w:r w:rsidRPr="006065BA">
        <w:t xml:space="preserve"> the duration of breastfeeding has been demonstrated to be positively associated with serum-PFAS concentrations in children and negatively associated with PFAS-serum concentrations in mothers </w:t>
      </w:r>
      <w:r w:rsidR="00A028B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rsidR="00A028B8">
        <w:fldChar w:fldCharType="separate"/>
      </w:r>
      <w:r w:rsidR="00C46348">
        <w:rPr>
          <w:noProof/>
        </w:rPr>
        <w:t>[130]</w:t>
      </w:r>
      <w:r w:rsidR="00A028B8">
        <w:fldChar w:fldCharType="end"/>
      </w:r>
      <w:r w:rsidRPr="006065BA">
        <w:t>.</w:t>
      </w:r>
    </w:p>
    <w:p w:rsidRPr="00293DA9" w:rsidR="00293DA9" w:rsidP="00BE7147" w:rsidRDefault="004046B3" w14:paraId="53B81C22" w14:textId="77777777">
      <w:pPr>
        <w:pStyle w:val="Heading2"/>
        <w:rPr>
          <w:rStyle w:val="Heading2Char"/>
          <w:b/>
        </w:rPr>
      </w:pPr>
      <w:bookmarkStart w:name="_Toc536793468" w:id="16"/>
      <w:bookmarkStart w:name="_Toc6924088" w:id="17"/>
      <w:r w:rsidRPr="00293DA9">
        <w:rPr>
          <w:rStyle w:val="Heading2Char"/>
          <w:b/>
        </w:rPr>
        <w:t xml:space="preserve">Justification for </w:t>
      </w:r>
      <w:r w:rsidRPr="00293DA9" w:rsidR="00ED619F">
        <w:rPr>
          <w:rStyle w:val="Heading2Char"/>
          <w:b/>
        </w:rPr>
        <w:t xml:space="preserve">Exposure </w:t>
      </w:r>
      <w:r w:rsidRPr="00293DA9" w:rsidR="00DB3712">
        <w:rPr>
          <w:rStyle w:val="Heading2Char"/>
          <w:b/>
        </w:rPr>
        <w:t>Assessments</w:t>
      </w:r>
      <w:bookmarkEnd w:id="16"/>
      <w:bookmarkEnd w:id="17"/>
    </w:p>
    <w:p w:rsidR="00483FF8" w:rsidP="007B3D7D" w:rsidRDefault="001867BA" w14:paraId="591C2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Human exposure to </w:t>
      </w:r>
      <w:r w:rsidR="00E809DD">
        <w:rPr>
          <w:rStyle w:val="NoSpacingChar"/>
        </w:rPr>
        <w:t>PFAS</w:t>
      </w:r>
      <w:r w:rsidR="00784C16">
        <w:rPr>
          <w:rStyle w:val="NoSpacingChar"/>
        </w:rPr>
        <w:t xml:space="preserve"> is a growing </w:t>
      </w:r>
      <w:r w:rsidRPr="000923B4">
        <w:rPr>
          <w:rStyle w:val="NoSpacingChar"/>
        </w:rPr>
        <w:t>en</w:t>
      </w:r>
      <w:r w:rsidR="00D4532D">
        <w:rPr>
          <w:rStyle w:val="NoSpacingChar"/>
        </w:rPr>
        <w:t>vironmental health concern. These</w:t>
      </w:r>
      <w:r w:rsidRPr="000923B4">
        <w:rPr>
          <w:rStyle w:val="NoSpacingChar"/>
        </w:rPr>
        <w:t xml:space="preserve"> </w:t>
      </w:r>
      <w:r w:rsidR="00E809DD">
        <w:rPr>
          <w:rStyle w:val="NoSpacingChar"/>
        </w:rPr>
        <w:t>EA</w:t>
      </w:r>
      <w:r w:rsidR="00D4532D">
        <w:rPr>
          <w:rStyle w:val="NoSpacingChar"/>
        </w:rPr>
        <w:t>s</w:t>
      </w:r>
      <w:r w:rsidR="00E809DD">
        <w:rPr>
          <w:rStyle w:val="NoSpacingChar"/>
        </w:rPr>
        <w:t xml:space="preserve"> </w:t>
      </w:r>
      <w:r w:rsidRPr="000923B4">
        <w:rPr>
          <w:rStyle w:val="NoSpacingChar"/>
        </w:rPr>
        <w:t xml:space="preserve">will </w:t>
      </w:r>
      <w:r w:rsidR="00E809DD">
        <w:rPr>
          <w:rStyle w:val="NoSpacingChar"/>
        </w:rPr>
        <w:t>fulfill the requirements of the 201</w:t>
      </w:r>
      <w:r w:rsidR="00212C37">
        <w:rPr>
          <w:rStyle w:val="NoSpacingChar"/>
        </w:rPr>
        <w:t>8</w:t>
      </w:r>
      <w:r w:rsidR="00E809DD">
        <w:rPr>
          <w:rStyle w:val="NoSpacingChar"/>
        </w:rPr>
        <w:t xml:space="preserve"> </w:t>
      </w:r>
      <w:r w:rsidR="00796457">
        <w:rPr>
          <w:rStyle w:val="NoSpacingChar"/>
        </w:rPr>
        <w:t>Consolidated Appropriations Act</w:t>
      </w:r>
      <w:r w:rsidR="00E809DD">
        <w:rPr>
          <w:rStyle w:val="NoSpacingChar"/>
        </w:rPr>
        <w:t xml:space="preserve">, which requires CDC/ATSDR to conduct </w:t>
      </w:r>
      <w:proofErr w:type="gramStart"/>
      <w:r w:rsidR="00E809DD">
        <w:rPr>
          <w:rStyle w:val="NoSpacingChar"/>
        </w:rPr>
        <w:t>statistically-based</w:t>
      </w:r>
      <w:proofErr w:type="gramEnd"/>
      <w:r w:rsidR="00E809DD">
        <w:rPr>
          <w:rStyle w:val="NoSpacingChar"/>
        </w:rPr>
        <w:t xml:space="preserve"> biomonitoring </w:t>
      </w:r>
      <w:r w:rsidR="0057585A">
        <w:rPr>
          <w:rStyle w:val="NoSpacingChar"/>
        </w:rPr>
        <w:t>EAs</w:t>
      </w:r>
      <w:r w:rsidR="00E809DD">
        <w:rPr>
          <w:rStyle w:val="NoSpacingChar"/>
        </w:rPr>
        <w:t xml:space="preserve"> in </w:t>
      </w:r>
      <w:r w:rsidR="00212C37">
        <w:rPr>
          <w:rFonts w:ascii="Calibri" w:hAnsi="Calibri"/>
        </w:rPr>
        <w:t>“</w:t>
      </w:r>
      <w:r w:rsidRPr="00FB78F0" w:rsidR="00212C37">
        <w:rPr>
          <w:rFonts w:ascii="Calibri" w:hAnsi="Calibri"/>
        </w:rPr>
        <w:t>no less than eight current or former</w:t>
      </w:r>
      <w:r w:rsidR="00212C37">
        <w:rPr>
          <w:rFonts w:ascii="Calibri" w:hAnsi="Calibri"/>
        </w:rPr>
        <w:t xml:space="preserve"> domestic military installations”</w:t>
      </w:r>
      <w:r w:rsidR="00A614F6">
        <w:rPr>
          <w:rFonts w:ascii="Calibri" w:hAnsi="Calibri"/>
        </w:rPr>
        <w:t xml:space="preserve"> that have or have had documented exposures to PFAS in drinking water</w:t>
      </w:r>
      <w:r w:rsidR="00E809DD">
        <w:rPr>
          <w:rStyle w:val="NoSpacingChar"/>
        </w:rPr>
        <w:t>.</w:t>
      </w:r>
      <w:r w:rsidRPr="000923B4">
        <w:rPr>
          <w:rStyle w:val="NoSpacingChar"/>
        </w:rPr>
        <w:t xml:space="preserve"> </w:t>
      </w:r>
    </w:p>
    <w:p w:rsidR="001867BA" w:rsidP="007B3D7D" w:rsidRDefault="001867BA" w14:paraId="2706EC3E" w14:textId="7447E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The results of </w:t>
      </w:r>
      <w:r w:rsidR="00162287">
        <w:rPr>
          <w:rStyle w:val="NoSpacingChar"/>
        </w:rPr>
        <w:t>these EAs</w:t>
      </w:r>
      <w:r w:rsidRPr="000923B4">
        <w:rPr>
          <w:rStyle w:val="NoSpacingChar"/>
        </w:rPr>
        <w:t xml:space="preserve"> </w:t>
      </w:r>
      <w:r w:rsidR="00FC763D">
        <w:rPr>
          <w:rStyle w:val="NoSpacingChar"/>
        </w:rPr>
        <w:t>may</w:t>
      </w:r>
      <w:r w:rsidRPr="000923B4">
        <w:rPr>
          <w:rStyle w:val="NoSpacingChar"/>
        </w:rPr>
        <w:t xml:space="preserve"> help individual participants </w:t>
      </w:r>
      <w:r w:rsidR="00FF2F07">
        <w:rPr>
          <w:rStyle w:val="NoSpacingChar"/>
        </w:rPr>
        <w:t xml:space="preserve">and their communities </w:t>
      </w:r>
      <w:r w:rsidRPr="000923B4">
        <w:rPr>
          <w:rStyle w:val="NoSpacingChar"/>
        </w:rPr>
        <w:t xml:space="preserve">better understand the magnitude of their environmental exposures to </w:t>
      </w:r>
      <w:r w:rsidR="00162287">
        <w:rPr>
          <w:rStyle w:val="NoSpacingChar"/>
        </w:rPr>
        <w:t>PFAS</w:t>
      </w:r>
      <w:r w:rsidR="00F04807">
        <w:rPr>
          <w:rStyle w:val="NoSpacingChar"/>
        </w:rPr>
        <w:t>.</w:t>
      </w:r>
      <w:r w:rsidR="00FF2F07">
        <w:rPr>
          <w:rStyle w:val="NoSpacingChar"/>
        </w:rPr>
        <w:t xml:space="preserve"> </w:t>
      </w:r>
      <w:r w:rsidR="00204BC4">
        <w:rPr>
          <w:rStyle w:val="NoSpacingChar"/>
        </w:rPr>
        <w:t>The sampling is designed to yield r</w:t>
      </w:r>
      <w:r w:rsidR="00162287">
        <w:rPr>
          <w:rStyle w:val="NoSpacingChar"/>
        </w:rPr>
        <w:t xml:space="preserve">esults </w:t>
      </w:r>
      <w:r w:rsidR="00204BC4">
        <w:rPr>
          <w:rStyle w:val="NoSpacingChar"/>
        </w:rPr>
        <w:t>that are</w:t>
      </w:r>
      <w:r w:rsidR="00162287">
        <w:rPr>
          <w:rStyle w:val="NoSpacingChar"/>
        </w:rPr>
        <w:t xml:space="preserve"> generalizable to </w:t>
      </w:r>
      <w:r w:rsidR="003D4BFD">
        <w:rPr>
          <w:rStyle w:val="NoSpacingChar"/>
        </w:rPr>
        <w:t xml:space="preserve">the entire </w:t>
      </w:r>
      <w:r w:rsidR="00714342">
        <w:rPr>
          <w:rStyle w:val="NoSpacingChar"/>
        </w:rPr>
        <w:t xml:space="preserve">population consuming the drinking water </w:t>
      </w:r>
      <w:r w:rsidR="00204BC4">
        <w:rPr>
          <w:rStyle w:val="NoSpacingChar"/>
        </w:rPr>
        <w:t xml:space="preserve">in each community </w:t>
      </w:r>
      <w:r w:rsidR="003D4BFD">
        <w:rPr>
          <w:rStyle w:val="NoSpacingChar"/>
        </w:rPr>
        <w:t xml:space="preserve">and </w:t>
      </w:r>
      <w:r w:rsidR="00FC763D">
        <w:rPr>
          <w:rStyle w:val="NoSpacingChar"/>
        </w:rPr>
        <w:t>to</w:t>
      </w:r>
      <w:r w:rsidR="003D4BFD">
        <w:rPr>
          <w:rStyle w:val="NoSpacingChar"/>
        </w:rPr>
        <w:t xml:space="preserve"> allow for estimation of serum PFAS concentrations in community members who were not tested. </w:t>
      </w:r>
    </w:p>
    <w:p w:rsidRPr="000A659D" w:rsidR="00522F64" w:rsidP="00522F64" w:rsidRDefault="00522F64" w14:paraId="4FA1C59D" w14:textId="77777777">
      <w:pPr>
        <w:pStyle w:val="Heading2"/>
        <w:rPr>
          <w:rStyle w:val="Heading3Char"/>
          <w:b/>
          <w:i w:val="0"/>
        </w:rPr>
      </w:pPr>
      <w:bookmarkStart w:name="_Toc6924089" w:id="18"/>
      <w:r w:rsidRPr="000A659D">
        <w:rPr>
          <w:rStyle w:val="Heading3Char"/>
          <w:b/>
        </w:rPr>
        <w:t>Limitations of the Investigation</w:t>
      </w:r>
      <w:bookmarkEnd w:id="18"/>
    </w:p>
    <w:p w:rsidR="008B4A46" w:rsidP="00522F64" w:rsidRDefault="00522F64" w14:paraId="0C26EFA1" w14:textId="77777777">
      <w:pPr>
        <w:pStyle w:val="NoSpacing"/>
        <w:keepNext/>
        <w:spacing w:after="200"/>
        <w:rPr>
          <w:rFonts w:cs="Arial"/>
        </w:rPr>
      </w:pPr>
      <w:r>
        <w:rPr>
          <w:rFonts w:cs="Arial"/>
        </w:rPr>
        <w:t>PFAS</w:t>
      </w:r>
      <w:r w:rsidRPr="00181C42">
        <w:rPr>
          <w:rFonts w:cs="Arial"/>
        </w:rPr>
        <w:t xml:space="preserve"> concentrations </w:t>
      </w:r>
      <w:r>
        <w:t>measured in this</w:t>
      </w:r>
      <w:r w:rsidRPr="00181C42">
        <w:t xml:space="preserve"> </w:t>
      </w:r>
      <w:r>
        <w:t>EA</w:t>
      </w:r>
      <w:r w:rsidRPr="00181C42">
        <w:t xml:space="preserve"> cannot be used to predict the occurrence of</w:t>
      </w:r>
      <w:r>
        <w:t xml:space="preserve"> </w:t>
      </w:r>
      <w:r w:rsidRPr="00181C42">
        <w:t xml:space="preserve">disease </w:t>
      </w:r>
      <w:r>
        <w:t xml:space="preserve">for an individual and cannot explain an individual’s </w:t>
      </w:r>
      <w:r w:rsidRPr="00181C42">
        <w:t>current health problems</w:t>
      </w:r>
      <w:r w:rsidRPr="00181C42">
        <w:rPr>
          <w:rFonts w:cs="Arial"/>
        </w:rPr>
        <w:t xml:space="preserve">. </w:t>
      </w:r>
    </w:p>
    <w:p w:rsidR="00753DB7" w:rsidP="00522F64" w:rsidRDefault="00522F64" w14:paraId="68C5C41C" w14:textId="7D124381">
      <w:pPr>
        <w:pStyle w:val="NoSpacing"/>
        <w:keepNext/>
        <w:spacing w:after="200"/>
      </w:pPr>
      <w:r w:rsidRPr="00181C42">
        <w:rPr>
          <w:rFonts w:cs="Arial"/>
        </w:rPr>
        <w:t>S</w:t>
      </w:r>
      <w:r>
        <w:rPr>
          <w:rFonts w:cs="Arial"/>
        </w:rPr>
        <w:t xml:space="preserve">erum, urine, and environmental PFAS </w:t>
      </w:r>
      <w:r w:rsidRPr="00181C42">
        <w:rPr>
          <w:rFonts w:cs="Arial"/>
        </w:rPr>
        <w:t xml:space="preserve">concentrations </w:t>
      </w:r>
      <w:r>
        <w:rPr>
          <w:rFonts w:cs="Arial"/>
        </w:rPr>
        <w:t>may</w:t>
      </w:r>
      <w:r w:rsidRPr="00181C42">
        <w:rPr>
          <w:rFonts w:cs="Arial"/>
        </w:rPr>
        <w:t xml:space="preserve"> </w:t>
      </w:r>
      <w:r>
        <w:rPr>
          <w:rFonts w:cs="Arial"/>
        </w:rPr>
        <w:t xml:space="preserve">improve the understanding of exposure in this </w:t>
      </w:r>
      <w:proofErr w:type="gramStart"/>
      <w:r>
        <w:rPr>
          <w:rFonts w:cs="Arial"/>
        </w:rPr>
        <w:t>community, but</w:t>
      </w:r>
      <w:proofErr w:type="gramEnd"/>
      <w:r>
        <w:rPr>
          <w:rFonts w:cs="Arial"/>
        </w:rPr>
        <w:t xml:space="preserve"> will </w:t>
      </w:r>
      <w:r w:rsidRPr="00181C42">
        <w:rPr>
          <w:rFonts w:cs="Arial"/>
        </w:rPr>
        <w:t xml:space="preserve">not provide </w:t>
      </w:r>
      <w:r>
        <w:rPr>
          <w:rFonts w:cs="Arial"/>
        </w:rPr>
        <w:t xml:space="preserve">discrete </w:t>
      </w:r>
      <w:r w:rsidRPr="00181C42">
        <w:rPr>
          <w:rFonts w:cs="Arial"/>
        </w:rPr>
        <w:t>information about</w:t>
      </w:r>
      <w:r>
        <w:rPr>
          <w:rFonts w:cs="Arial"/>
        </w:rPr>
        <w:t xml:space="preserve"> all</w:t>
      </w:r>
      <w:r w:rsidRPr="00181C42">
        <w:rPr>
          <w:rFonts w:cs="Arial"/>
        </w:rPr>
        <w:t xml:space="preserve"> source</w:t>
      </w:r>
      <w:r>
        <w:rPr>
          <w:rFonts w:cs="Arial"/>
        </w:rPr>
        <w:t>s</w:t>
      </w:r>
      <w:r w:rsidRPr="00181C42">
        <w:rPr>
          <w:rFonts w:cs="Arial"/>
        </w:rPr>
        <w:t xml:space="preserve"> of exposu</w:t>
      </w:r>
      <w:r>
        <w:rPr>
          <w:rFonts w:cs="Arial"/>
        </w:rPr>
        <w:t xml:space="preserve">re. </w:t>
      </w:r>
      <w:r w:rsidR="008B4A46">
        <w:rPr>
          <w:rFonts w:cs="Arial"/>
        </w:rPr>
        <w:t xml:space="preserve">Additionally, it is not possible to </w:t>
      </w:r>
      <w:r w:rsidR="00FC763D">
        <w:rPr>
          <w:rFonts w:cs="Arial"/>
        </w:rPr>
        <w:t>identify</w:t>
      </w:r>
      <w:r w:rsidR="008B4A46">
        <w:rPr>
          <w:rFonts w:cs="Arial"/>
        </w:rPr>
        <w:t xml:space="preserve"> every potential confounding exposure. CDC/ATSDR will take this limitation into account when drawing conclusions. </w:t>
      </w:r>
      <w:r>
        <w:rPr>
          <w:rFonts w:cs="Arial"/>
        </w:rPr>
        <w:t xml:space="preserve">The results of this investigation may generate new hypotheses about which PFAS exposure pathways exist in this community. </w:t>
      </w:r>
      <w:r>
        <w:t xml:space="preserve">The results of this </w:t>
      </w:r>
      <w:r w:rsidRPr="00181C42">
        <w:t xml:space="preserve">investigation will be applicable to </w:t>
      </w:r>
      <w:r>
        <w:t xml:space="preserve">all </w:t>
      </w:r>
      <w:r w:rsidRPr="00181C42">
        <w:t>the individuals</w:t>
      </w:r>
      <w:r w:rsidR="00662ECA">
        <w:t xml:space="preserve"> eligible for inclusion in the investigation (see ‘Biological Sampling Eligibility and Recruitment’ section for eligibility criteria</w:t>
      </w:r>
      <w:proofErr w:type="gramStart"/>
      <w:r w:rsidR="00662ECA">
        <w:t>)</w:t>
      </w:r>
      <w:r>
        <w:t>, but</w:t>
      </w:r>
      <w:proofErr w:type="gramEnd"/>
      <w:r w:rsidRPr="00181C42">
        <w:t xml:space="preserve"> cannot be generalized to </w:t>
      </w:r>
      <w:r w:rsidR="00FE6308">
        <w:t>groups not eligible for inclusion in the investigation</w:t>
      </w:r>
      <w:r w:rsidRPr="00181C42">
        <w:t>.</w:t>
      </w:r>
      <w:r w:rsidR="009B238E">
        <w:t xml:space="preserve"> </w:t>
      </w:r>
    </w:p>
    <w:p w:rsidRPr="00AF04A7" w:rsidR="00522F64" w:rsidP="00522F64" w:rsidRDefault="009B238E" w14:paraId="4CC3B3ED" w14:textId="791A2107">
      <w:pPr>
        <w:pStyle w:val="NoSpacing"/>
        <w:keepNext/>
        <w:spacing w:after="200"/>
        <w:rPr>
          <w:rStyle w:val="Heading3Char"/>
          <w:rFonts w:asciiTheme="minorHAnsi" w:hAnsiTheme="minorHAnsi"/>
          <w:b w:val="0"/>
          <w:i w:val="0"/>
          <w:color w:val="auto"/>
          <w:sz w:val="26"/>
          <w:szCs w:val="26"/>
        </w:rPr>
      </w:pPr>
      <w:r>
        <w:t xml:space="preserve">The results will not be applicable to residents who previously lived in the community but moved away prior to this work or to residents who have moved into the community within one year of this work. </w:t>
      </w:r>
      <w:r w:rsidR="00753DB7">
        <w:t xml:space="preserve">While the results are generalizable to the </w:t>
      </w:r>
      <w:proofErr w:type="gramStart"/>
      <w:r w:rsidR="00753DB7">
        <w:t>community as a whole, they</w:t>
      </w:r>
      <w:proofErr w:type="gramEnd"/>
      <w:r w:rsidR="00753DB7">
        <w:t xml:space="preserve"> will not be able to estimate the exact concentrations for individual community members. After analysis of the data, ATSDR will include information on our website and through community meetings to provide individuals with specific information about what the data can and </w:t>
      </w:r>
      <w:proofErr w:type="spellStart"/>
      <w:r w:rsidR="00753DB7">
        <w:t>can not</w:t>
      </w:r>
      <w:proofErr w:type="spellEnd"/>
      <w:r w:rsidR="00753DB7">
        <w:t xml:space="preserve"> say about their exposures. </w:t>
      </w:r>
      <w:r>
        <w:t xml:space="preserve">The investigation is designed to estimate the mean concentration of PFOS in the population with a given level of precision. </w:t>
      </w:r>
      <w:r>
        <w:lastRenderedPageBreak/>
        <w:t>Estimates for other species or in sub-populations may not have the same level of precision in estimating means.</w:t>
      </w:r>
      <w:r w:rsidR="00C11C19">
        <w:t xml:space="preserve"> The actual precision for other estimated means will be presented with the results.</w:t>
      </w:r>
    </w:p>
    <w:p w:rsidR="00522F64" w:rsidP="007B3D7D" w:rsidRDefault="006C2A90" w14:paraId="0ADA6D08" w14:textId="64E0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 xml:space="preserve">While CDC/ATSDR will strive to obtain a representative sample at each site, the ultimate outcome of recruitment may introduce limitations in the ability to </w:t>
      </w:r>
      <w:proofErr w:type="gramStart"/>
      <w:r>
        <w:rPr>
          <w:rStyle w:val="NoSpacingChar"/>
        </w:rPr>
        <w:t>make generalizations</w:t>
      </w:r>
      <w:proofErr w:type="gramEnd"/>
      <w:r>
        <w:rPr>
          <w:rStyle w:val="NoSpacingChar"/>
        </w:rPr>
        <w:t xml:space="preserve"> in each community. These limitations may result in uncertainty in conclusions regarding the comparison of a community’s exposure profile to nationally representative data. CDC/ATSDR will track non-response rates </w:t>
      </w:r>
      <w:proofErr w:type="gramStart"/>
      <w:r>
        <w:rPr>
          <w:rStyle w:val="NoSpacingChar"/>
        </w:rPr>
        <w:t>in order to</w:t>
      </w:r>
      <w:proofErr w:type="gramEnd"/>
      <w:r>
        <w:rPr>
          <w:rStyle w:val="NoSpacingChar"/>
        </w:rPr>
        <w:t xml:space="preserve"> evaluate the potential impact of the response on generalizability of conclusions. </w:t>
      </w:r>
    </w:p>
    <w:p w:rsidRPr="000923B4" w:rsidR="00E6010B" w:rsidP="007B3D7D" w:rsidRDefault="00E6010B" w14:paraId="006D28BE" w14:textId="3CD0A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At all sites identified for exposure assessments, mitigation actions have been implemented to reduce concentrations of PF</w:t>
      </w:r>
      <w:r w:rsidR="00FE6308">
        <w:rPr>
          <w:rStyle w:val="NoSpacingChar"/>
        </w:rPr>
        <w:t>OA and PFO</w:t>
      </w:r>
      <w:r>
        <w:rPr>
          <w:rStyle w:val="NoSpacingChar"/>
        </w:rPr>
        <w:t xml:space="preserve">S in drinking water to below 70 ppt. While there may be ongoing exposure to lower concentrations of PFAS in drinking water, the elevated exposures </w:t>
      </w:r>
      <w:r w:rsidR="00FE6308">
        <w:rPr>
          <w:rStyle w:val="NoSpacingChar"/>
        </w:rPr>
        <w:t xml:space="preserve">to PFOA and PFOS </w:t>
      </w:r>
      <w:r>
        <w:rPr>
          <w:rStyle w:val="NoSpacingChar"/>
        </w:rPr>
        <w:t xml:space="preserve">have been stopped (to the best of our knowledge). </w:t>
      </w:r>
      <w:r w:rsidR="00FE6308">
        <w:rPr>
          <w:rStyle w:val="NoSpacingChar"/>
        </w:rPr>
        <w:t xml:space="preserve">While remediation targeted PFOA and PFOS (per the EPA lifetime health advisory guidance) it is likely that the concentrations of some of the other PFAS chemicals were also reduced. In most cases, less than one biological half-life of time has passed since exposure was reduced. </w:t>
      </w:r>
      <w:r>
        <w:rPr>
          <w:rStyle w:val="NoSpacingChar"/>
        </w:rPr>
        <w:t xml:space="preserve">This means that the exposure assessments will attempt to quantify PFAS concentrations in blood and urine based on past exposure to PFAS above 70 ppt, not current exposure. </w:t>
      </w:r>
    </w:p>
    <w:p w:rsidRPr="00293DA9" w:rsidR="00293DA9" w:rsidP="00293DA9" w:rsidRDefault="001867BA" w14:paraId="78958EE4" w14:textId="77777777">
      <w:pPr>
        <w:pStyle w:val="Heading2"/>
        <w:rPr>
          <w:rStyle w:val="Heading2Char"/>
          <w:b/>
        </w:rPr>
      </w:pPr>
      <w:bookmarkStart w:name="_Toc536793469" w:id="19"/>
      <w:bookmarkStart w:name="_Toc6924090" w:id="20"/>
      <w:r w:rsidRPr="00293DA9">
        <w:rPr>
          <w:rStyle w:val="Heading2Char"/>
          <w:b/>
        </w:rPr>
        <w:t xml:space="preserve">Intended/Potential Use of </w:t>
      </w:r>
      <w:r w:rsidRPr="00293DA9" w:rsidR="00102666">
        <w:rPr>
          <w:rStyle w:val="Heading2Char"/>
          <w:b/>
        </w:rPr>
        <w:t xml:space="preserve">Exposure </w:t>
      </w:r>
      <w:r w:rsidRPr="00293DA9" w:rsidR="00DB3712">
        <w:rPr>
          <w:rStyle w:val="Heading2Char"/>
          <w:b/>
        </w:rPr>
        <w:t>Assessment</w:t>
      </w:r>
      <w:r w:rsidRPr="00293DA9">
        <w:rPr>
          <w:rStyle w:val="Heading2Char"/>
          <w:b/>
        </w:rPr>
        <w:t xml:space="preserve"> Findings</w:t>
      </w:r>
      <w:bookmarkEnd w:id="19"/>
      <w:bookmarkEnd w:id="20"/>
    </w:p>
    <w:p w:rsidR="001867BA" w:rsidP="007B3D7D" w:rsidRDefault="00102666" w14:paraId="1C97A981" w14:textId="6ED218EB">
      <w:pPr>
        <w:spacing w:line="240" w:lineRule="auto"/>
      </w:pPr>
      <w:r>
        <w:rPr>
          <w:rFonts w:ascii="Calibri" w:hAnsi="Calibri"/>
        </w:rPr>
        <w:t>Individual b</w:t>
      </w:r>
      <w:r w:rsidRPr="00DF516A" w:rsidR="001867BA">
        <w:t xml:space="preserve">lood </w:t>
      </w:r>
      <w:r w:rsidR="00043DE8">
        <w:t xml:space="preserve">and urine </w:t>
      </w:r>
      <w:r w:rsidR="003F2475">
        <w:t>results will be provided to participants. H</w:t>
      </w:r>
      <w:r w:rsidR="005C7BB5">
        <w:t xml:space="preserve">ousehold environmental sampling results </w:t>
      </w:r>
      <w:r w:rsidRPr="00DF516A" w:rsidR="001867BA">
        <w:t>will be provided to</w:t>
      </w:r>
      <w:r>
        <w:t xml:space="preserve"> each participant </w:t>
      </w:r>
      <w:r w:rsidR="005D1757">
        <w:t>following laboratory analysis and quality assurance procedures</w:t>
      </w:r>
      <w:r w:rsidR="003F2475">
        <w:t xml:space="preserve">, depending on when analytical methods become available. </w:t>
      </w:r>
      <w:r w:rsidRPr="00DF516A" w:rsidR="001867BA">
        <w:t>If</w:t>
      </w:r>
      <w:r w:rsidR="003F2475">
        <w:t xml:space="preserve"> </w:t>
      </w:r>
      <w:r w:rsidR="001B471B">
        <w:t xml:space="preserve">a participant’s </w:t>
      </w:r>
      <w:r w:rsidR="00212C37">
        <w:t xml:space="preserve">blood </w:t>
      </w:r>
      <w:r w:rsidR="003F2475">
        <w:t xml:space="preserve">or urine </w:t>
      </w:r>
      <w:r w:rsidRPr="00DF516A" w:rsidR="001867BA">
        <w:t>concentration</w:t>
      </w:r>
      <w:r w:rsidR="00212C37">
        <w:t xml:space="preserve"> level</w:t>
      </w:r>
      <w:r w:rsidRPr="00DF516A" w:rsidR="001867BA">
        <w:t xml:space="preserve"> </w:t>
      </w:r>
      <w:r w:rsidR="001B471B">
        <w:t xml:space="preserve">is </w:t>
      </w:r>
      <w:r w:rsidR="00D56B9B">
        <w:t xml:space="preserve">higher </w:t>
      </w:r>
      <w:r w:rsidR="005D1757">
        <w:t>than the 95</w:t>
      </w:r>
      <w:r w:rsidRPr="00BF1F34" w:rsidR="005D1757">
        <w:t>th</w:t>
      </w:r>
      <w:r w:rsidR="005D1757">
        <w:t xml:space="preserve"> percentile reported in the National Health and Nutrition Examination Survey (</w:t>
      </w:r>
      <w:r w:rsidRPr="00724A35" w:rsidR="00D56B9B">
        <w:t>NHANES</w:t>
      </w:r>
      <w:r w:rsidR="005D1757">
        <w:t>)</w:t>
      </w:r>
      <w:r w:rsidR="00D56B9B">
        <w:t xml:space="preserve"> data, </w:t>
      </w:r>
      <w:r w:rsidR="003F2475">
        <w:t xml:space="preserve">or if the </w:t>
      </w:r>
      <w:r w:rsidR="005774C6">
        <w:t>participant’s</w:t>
      </w:r>
      <w:r w:rsidR="003F2475">
        <w:t xml:space="preserve"> tap water sample is higher than</w:t>
      </w:r>
      <w:r w:rsidR="001C36B0">
        <w:t xml:space="preserve"> either</w:t>
      </w:r>
      <w:r w:rsidR="003F2475">
        <w:t xml:space="preserve"> the EPA lifetime health advisory</w:t>
      </w:r>
      <w:r w:rsidR="001C36B0">
        <w:t xml:space="preserve"> or a state value</w:t>
      </w:r>
      <w:r w:rsidR="003F2475">
        <w:t xml:space="preserve">, </w:t>
      </w:r>
      <w:r w:rsidR="00D56B9B">
        <w:t>th</w:t>
      </w:r>
      <w:r w:rsidR="001B471B">
        <w:t>at</w:t>
      </w:r>
      <w:r w:rsidR="00D56B9B">
        <w:t xml:space="preserve"> participant</w:t>
      </w:r>
      <w:r w:rsidRPr="00DF516A" w:rsidR="001867BA">
        <w:t xml:space="preserve"> will be contacted sooner</w:t>
      </w:r>
      <w:r w:rsidR="005774C6">
        <w:t xml:space="preserve"> </w:t>
      </w:r>
      <w:proofErr w:type="gramStart"/>
      <w:r w:rsidR="005774C6">
        <w:t>in order to</w:t>
      </w:r>
      <w:proofErr w:type="gramEnd"/>
      <w:r w:rsidR="005774C6">
        <w:t xml:space="preserve"> facilitate rapid</w:t>
      </w:r>
      <w:r w:rsidR="00714342">
        <w:t xml:space="preserve"> exposure source assessment and mitigation</w:t>
      </w:r>
      <w:r w:rsidR="0059341D">
        <w:t>,</w:t>
      </w:r>
      <w:r w:rsidR="005774C6">
        <w:t xml:space="preserve"> as needed</w:t>
      </w:r>
      <w:r w:rsidRPr="00DF516A" w:rsidR="001867BA">
        <w:t xml:space="preserve">. </w:t>
      </w:r>
      <w:r w:rsidR="00EB6F9C">
        <w:t xml:space="preserve">If PFAS concentrations in tap water samples are higher than either the EPA lifetime health advisory or a state value, we will contact local water utilities and state drinking water officials to share this information. </w:t>
      </w:r>
      <w:r w:rsidR="00F9104A">
        <w:t xml:space="preserve">CDC/ATSDR </w:t>
      </w:r>
      <w:r w:rsidRPr="00B423A5" w:rsidR="00F9104A">
        <w:t>intend</w:t>
      </w:r>
      <w:r w:rsidR="00F9104A">
        <w:t>s</w:t>
      </w:r>
      <w:r w:rsidRPr="00B423A5" w:rsidR="00F9104A">
        <w:t xml:space="preserve"> to align communications with participants regarding water sampling concentrations with EPA’s guidelines for use of the lifetime health advisory.</w:t>
      </w:r>
      <w:r w:rsidR="00F9104A">
        <w:t xml:space="preserve"> </w:t>
      </w:r>
      <w:r w:rsidRPr="00DF516A" w:rsidR="001867BA">
        <w:t xml:space="preserve">The findings from </w:t>
      </w:r>
      <w:r w:rsidR="00A614F6">
        <w:t>each EA</w:t>
      </w:r>
      <w:r w:rsidRPr="00DF516A" w:rsidR="001867BA">
        <w:t xml:space="preserve"> will be released as a</w:t>
      </w:r>
      <w:r w:rsidR="004562C8">
        <w:t xml:space="preserve"> </w:t>
      </w:r>
      <w:r w:rsidRPr="00DF516A" w:rsidR="001867BA">
        <w:t xml:space="preserve">report </w:t>
      </w:r>
      <w:r w:rsidR="004562C8">
        <w:t xml:space="preserve">for the </w:t>
      </w:r>
      <w:proofErr w:type="gramStart"/>
      <w:r w:rsidR="004562C8">
        <w:t>general public</w:t>
      </w:r>
      <w:proofErr w:type="gramEnd"/>
      <w:r w:rsidR="004562C8">
        <w:t xml:space="preserve"> </w:t>
      </w:r>
      <w:r w:rsidRPr="00DF516A" w:rsidR="001867BA">
        <w:t>as soon as possible</w:t>
      </w:r>
      <w:r w:rsidR="001B471B">
        <w:t xml:space="preserve"> and</w:t>
      </w:r>
      <w:r w:rsidRPr="00DF516A" w:rsidR="001867BA">
        <w:t xml:space="preserve"> </w:t>
      </w:r>
      <w:r w:rsidR="00A614F6">
        <w:t xml:space="preserve">aggregate findings </w:t>
      </w:r>
      <w:r w:rsidRPr="00DF516A" w:rsidR="001867BA">
        <w:t xml:space="preserve">will be submitted for publication in the peer-reviewed scientific literature. </w:t>
      </w:r>
    </w:p>
    <w:p w:rsidRPr="00DF516A" w:rsidR="005D1757" w:rsidP="007B3D7D" w:rsidRDefault="005D1757" w14:paraId="014E8A44" w14:textId="162ECDD2">
      <w:pPr>
        <w:spacing w:line="240" w:lineRule="auto"/>
      </w:pPr>
      <w:r w:rsidRPr="00724A35">
        <w:t xml:space="preserve">The findings of these EAs will inform </w:t>
      </w:r>
      <w:r w:rsidR="000E0234">
        <w:t>design</w:t>
      </w:r>
      <w:r w:rsidR="00714342">
        <w:t xml:space="preserve"> </w:t>
      </w:r>
      <w:r w:rsidRPr="00724A35">
        <w:t xml:space="preserve">and implementation </w:t>
      </w:r>
      <w:r w:rsidR="00714342">
        <w:t xml:space="preserve">for the </w:t>
      </w:r>
      <w:r w:rsidRPr="00724A35">
        <w:t>multi-site PFAS health study that will be conducted by CDC</w:t>
      </w:r>
      <w:r w:rsidR="00834684">
        <w:t>/ATSDR</w:t>
      </w:r>
      <w:r w:rsidRPr="00724A35">
        <w:t xml:space="preserve"> in consultation with the National Institute of Environmental Health Sciences (NIEHS) and </w:t>
      </w:r>
      <w:r w:rsidRPr="00724A35" w:rsidR="001B471B">
        <w:t>the US Department of Defense (</w:t>
      </w:r>
      <w:r w:rsidRPr="00724A35">
        <w:t>D</w:t>
      </w:r>
      <w:r w:rsidRPr="00724A35" w:rsidR="001B471B">
        <w:t>o</w:t>
      </w:r>
      <w:r w:rsidRPr="00724A35">
        <w:t>D</w:t>
      </w:r>
      <w:r w:rsidRPr="00724A35" w:rsidR="001B471B">
        <w:t>)</w:t>
      </w:r>
      <w:r w:rsidRPr="00724A35">
        <w:t>.</w:t>
      </w:r>
      <w:r>
        <w:t xml:space="preserve"> </w:t>
      </w:r>
    </w:p>
    <w:p w:rsidRPr="00293DA9" w:rsidR="00293DA9" w:rsidP="00293DA9" w:rsidRDefault="00102666" w14:paraId="3D1B025C" w14:textId="77777777">
      <w:pPr>
        <w:pStyle w:val="Heading2"/>
        <w:rPr>
          <w:rStyle w:val="Heading2Char"/>
          <w:b/>
        </w:rPr>
      </w:pPr>
      <w:bookmarkStart w:name="_Toc536793470" w:id="21"/>
      <w:bookmarkStart w:name="_Toc6924091" w:id="22"/>
      <w:r w:rsidRPr="00293DA9">
        <w:rPr>
          <w:rStyle w:val="Heading2Char"/>
          <w:b/>
        </w:rPr>
        <w:t xml:space="preserve">Exposure </w:t>
      </w:r>
      <w:r w:rsidRPr="00293DA9" w:rsidR="00DB3712">
        <w:rPr>
          <w:rStyle w:val="Heading2Char"/>
          <w:b/>
        </w:rPr>
        <w:t>Assessment</w:t>
      </w:r>
      <w:r w:rsidRPr="00293DA9" w:rsidR="00992AE1">
        <w:rPr>
          <w:rStyle w:val="Heading2Char"/>
          <w:b/>
        </w:rPr>
        <w:t xml:space="preserve"> Location</w:t>
      </w:r>
      <w:r w:rsidRPr="00293DA9" w:rsidR="00DB3712">
        <w:rPr>
          <w:rStyle w:val="Heading2Char"/>
          <w:b/>
        </w:rPr>
        <w:t>s</w:t>
      </w:r>
      <w:bookmarkEnd w:id="21"/>
      <w:bookmarkEnd w:id="22"/>
    </w:p>
    <w:p w:rsidR="0051724F" w:rsidP="00B506FD" w:rsidRDefault="00C22F00" w14:paraId="50364AFB" w14:textId="5258AF83">
      <w:pPr>
        <w:spacing w:line="240" w:lineRule="auto"/>
        <w:rPr>
          <w:rFonts w:ascii="Calibri" w:hAnsi="Calibri"/>
        </w:rPr>
      </w:pPr>
      <w:r>
        <w:rPr>
          <w:rFonts w:ascii="Calibri" w:hAnsi="Calibri"/>
        </w:rPr>
        <w:t xml:space="preserve">EAs </w:t>
      </w:r>
      <w:r w:rsidRPr="00DF516A" w:rsidR="00992AE1">
        <w:rPr>
          <w:rFonts w:ascii="Calibri" w:hAnsi="Calibri"/>
        </w:rPr>
        <w:t xml:space="preserve">will occur </w:t>
      </w:r>
      <w:r w:rsidR="00DB3712">
        <w:rPr>
          <w:rFonts w:ascii="Calibri" w:hAnsi="Calibri"/>
        </w:rPr>
        <w:t xml:space="preserve">at no less than eight communities associated with current or former </w:t>
      </w:r>
      <w:r w:rsidR="008353DA">
        <w:rPr>
          <w:rFonts w:ascii="Calibri" w:hAnsi="Calibri"/>
        </w:rPr>
        <w:t>military</w:t>
      </w:r>
      <w:r w:rsidR="00DB3712">
        <w:rPr>
          <w:rFonts w:ascii="Calibri" w:hAnsi="Calibri"/>
        </w:rPr>
        <w:t xml:space="preserve"> facilities</w:t>
      </w:r>
      <w:r w:rsidR="002348A3">
        <w:rPr>
          <w:rFonts w:ascii="Calibri" w:hAnsi="Calibri"/>
        </w:rPr>
        <w:t xml:space="preserve"> that have or have had documented exposures to PFAS in drinking water</w:t>
      </w:r>
      <w:r w:rsidR="00DB3712">
        <w:rPr>
          <w:rFonts w:ascii="Calibri" w:hAnsi="Calibri"/>
        </w:rPr>
        <w:t xml:space="preserve">. </w:t>
      </w:r>
    </w:p>
    <w:p w:rsidR="0051724F" w:rsidP="0051724F" w:rsidRDefault="0051724F" w14:paraId="4DE75008" w14:textId="2F5213FA">
      <w:r>
        <w:lastRenderedPageBreak/>
        <w:t>ATSDR developed a multistep approach to selecting sites for the PFAS exposure assessments. The process reflects the legislative requirements and the scientific needs of the project. At each step of the process, efforts were made to collect as much information as possible</w:t>
      </w:r>
      <w:r w:rsidR="004E07A9">
        <w:t xml:space="preserve">. </w:t>
      </w:r>
    </w:p>
    <w:p w:rsidRPr="00B506FD" w:rsidR="006E280B" w:rsidP="00B506FD" w:rsidRDefault="006E280B" w14:paraId="268F37B1" w14:textId="7FDD1AD9">
      <w:pPr>
        <w:rPr>
          <w:i/>
        </w:rPr>
      </w:pPr>
      <w:r w:rsidRPr="00541326">
        <w:t xml:space="preserve">ATSDR drew on a variety of candidate sources to assemble a list of candidate sites. Sources of information included information from other federal agencies, including </w:t>
      </w:r>
      <w:r w:rsidRPr="000E7EB2">
        <w:t>DoD and EPA’s UCMR3 data. ATSDR applied inclusion criteria to the candidate list to ensure that the communities were near a current or former military in</w:t>
      </w:r>
      <w:r w:rsidRPr="00FF2732">
        <w:t>stallation, had a completed drinking water exposure pathway for PFOA and/or PFOS above the EPA</w:t>
      </w:r>
      <w:r w:rsidRPr="000D31CB">
        <w:t xml:space="preserve">’s lifetime health advisory of 70 ppt, a population of potentially exposed persons </w:t>
      </w:r>
      <w:r w:rsidR="006941D4">
        <w:t>larger than the sample size calculated in the ‘Sampling Strategy’ section</w:t>
      </w:r>
      <w:r w:rsidRPr="000D31CB" w:rsidR="00541326">
        <w:t>, no previous CDC/ATSDR sponsored PFAS biomonitoring at the site</w:t>
      </w:r>
      <w:r w:rsidR="006C745A">
        <w:t>, and how recently PFAS exposure mitigation had been implemented</w:t>
      </w:r>
      <w:r w:rsidRPr="000D31CB" w:rsidR="00541326">
        <w:t>.</w:t>
      </w:r>
    </w:p>
    <w:p w:rsidRPr="00541326" w:rsidR="00541326" w:rsidP="00B506FD" w:rsidRDefault="00541326" w14:paraId="695657D8" w14:textId="2F260015">
      <w:r>
        <w:t>ATSDR categorized the eligible sites based on the predominant source of drinking water to ensure the exposure assessments included communities served by both public and/or private water systems and private wells.</w:t>
      </w:r>
      <w:r w:rsidR="00B60763">
        <w:t xml:space="preserve"> </w:t>
      </w:r>
      <w:r>
        <w:t xml:space="preserve"> </w:t>
      </w:r>
      <w:r w:rsidR="00B60763">
        <w:t xml:space="preserve">ATSDR used information from the local water utilities to estimate the exposed population for each site. ATSDR evaluated the maximum measured concentrations of PFOA and PFOS combined in drinking water to assess the magnitude of exposure. ATSDR estimated the duration of exposure using information about initial use of AFFF at nearby military installations, service dates for drinking water wells, and information about documented releases of AFFF to surface </w:t>
      </w:r>
      <w:r w:rsidR="008C2C91">
        <w:t>water. Based</w:t>
      </w:r>
      <w:r>
        <w:t xml:space="preserve"> on the information available, ATSDR chose s</w:t>
      </w:r>
      <w:r w:rsidR="000E7EB2">
        <w:t xml:space="preserve">ites that included both private well and water system sites and a geographical diversity of sites. </w:t>
      </w:r>
    </w:p>
    <w:p w:rsidRPr="00FE6BA8" w:rsidR="0051724F" w:rsidP="00FE6BA8" w:rsidRDefault="004E07A9" w14:paraId="4EEAFACA" w14:textId="77777777">
      <w:pPr>
        <w:rPr>
          <w:rFonts w:ascii="Calibri" w:hAnsi="Calibri"/>
        </w:rPr>
      </w:pPr>
      <w:r>
        <w:rPr>
          <w:rFonts w:ascii="Calibri" w:hAnsi="Calibri"/>
        </w:rPr>
        <w:t>L</w:t>
      </w:r>
      <w:r w:rsidRPr="00FE6BA8" w:rsidR="0051724F">
        <w:rPr>
          <w:rFonts w:ascii="Calibri" w:hAnsi="Calibri"/>
        </w:rPr>
        <w:t>isted in alphabetical order by county, the sites selected for PFAS exposure assessments are:</w:t>
      </w:r>
    </w:p>
    <w:p w:rsidRPr="0051724F" w:rsidR="0051724F" w:rsidP="00A856CF" w:rsidRDefault="0051724F" w14:paraId="27A409E0" w14:textId="77777777">
      <w:pPr>
        <w:pStyle w:val="ListParagraph"/>
        <w:numPr>
          <w:ilvl w:val="0"/>
          <w:numId w:val="13"/>
        </w:numPr>
        <w:rPr>
          <w:rFonts w:ascii="Calibri" w:hAnsi="Calibri"/>
        </w:rPr>
      </w:pPr>
      <w:r w:rsidRPr="0051724F">
        <w:rPr>
          <w:rFonts w:ascii="Calibri" w:hAnsi="Calibri"/>
        </w:rPr>
        <w:t>Berkeley County, WV near Shepherd Field Air National Guard Base (Berkeley County)</w:t>
      </w:r>
    </w:p>
    <w:p w:rsidRPr="0051724F" w:rsidR="0051724F" w:rsidP="00A856CF" w:rsidRDefault="0051724F" w14:paraId="5B1B9ED4" w14:textId="77777777">
      <w:pPr>
        <w:pStyle w:val="ListParagraph"/>
        <w:numPr>
          <w:ilvl w:val="0"/>
          <w:numId w:val="13"/>
        </w:numPr>
        <w:rPr>
          <w:rFonts w:ascii="Calibri" w:hAnsi="Calibri"/>
        </w:rPr>
      </w:pPr>
      <w:r w:rsidRPr="0051724F">
        <w:rPr>
          <w:rFonts w:ascii="Calibri" w:hAnsi="Calibri"/>
        </w:rPr>
        <w:t>El Paso County, CO near Peterson Air Force Base (El Paso County)</w:t>
      </w:r>
    </w:p>
    <w:p w:rsidRPr="0051724F" w:rsidR="0051724F" w:rsidP="00A856CF" w:rsidRDefault="0051724F" w14:paraId="4DA91DA8" w14:textId="77777777">
      <w:pPr>
        <w:pStyle w:val="ListParagraph"/>
        <w:numPr>
          <w:ilvl w:val="0"/>
          <w:numId w:val="13"/>
        </w:numPr>
        <w:rPr>
          <w:rFonts w:ascii="Calibri" w:hAnsi="Calibri"/>
        </w:rPr>
      </w:pPr>
      <w:r w:rsidRPr="0051724F">
        <w:rPr>
          <w:rFonts w:ascii="Calibri" w:hAnsi="Calibri"/>
        </w:rPr>
        <w:t>Fairbanks North Star Borough, AK near Eielson Air Force Base (Fairbanks North Star Borough)</w:t>
      </w:r>
    </w:p>
    <w:p w:rsidRPr="0051724F" w:rsidR="0051724F" w:rsidP="00A856CF" w:rsidRDefault="0051724F" w14:paraId="6BE38C6C" w14:textId="77777777">
      <w:pPr>
        <w:pStyle w:val="ListParagraph"/>
        <w:numPr>
          <w:ilvl w:val="0"/>
          <w:numId w:val="13"/>
        </w:numPr>
        <w:rPr>
          <w:rFonts w:ascii="Calibri" w:hAnsi="Calibri"/>
        </w:rPr>
      </w:pPr>
      <w:r w:rsidRPr="0051724F">
        <w:rPr>
          <w:rFonts w:ascii="Calibri" w:hAnsi="Calibri"/>
        </w:rPr>
        <w:t>Hampden County, MA near Barnes Air National Guard Base (Hampden County)</w:t>
      </w:r>
    </w:p>
    <w:p w:rsidRPr="0051724F" w:rsidR="0051724F" w:rsidP="00A856CF" w:rsidRDefault="0051724F" w14:paraId="138EF5A3" w14:textId="77777777">
      <w:pPr>
        <w:pStyle w:val="ListParagraph"/>
        <w:numPr>
          <w:ilvl w:val="0"/>
          <w:numId w:val="13"/>
        </w:numPr>
        <w:rPr>
          <w:rFonts w:ascii="Calibri" w:hAnsi="Calibri"/>
        </w:rPr>
      </w:pPr>
      <w:r w:rsidRPr="0051724F">
        <w:rPr>
          <w:rFonts w:ascii="Calibri" w:hAnsi="Calibri"/>
        </w:rPr>
        <w:t>Lubbock County, TX near Reese Technology Center (Lubbock County)</w:t>
      </w:r>
    </w:p>
    <w:p w:rsidRPr="0051724F" w:rsidR="00490863" w:rsidP="00A856CF" w:rsidRDefault="0051724F" w14:paraId="1140C5B8" w14:textId="7AD51A0F">
      <w:pPr>
        <w:pStyle w:val="ListParagraph"/>
        <w:numPr>
          <w:ilvl w:val="0"/>
          <w:numId w:val="13"/>
        </w:numPr>
        <w:rPr>
          <w:rFonts w:ascii="Calibri" w:hAnsi="Calibri"/>
        </w:rPr>
      </w:pPr>
      <w:r w:rsidRPr="0051724F">
        <w:rPr>
          <w:rFonts w:ascii="Calibri" w:hAnsi="Calibri"/>
        </w:rPr>
        <w:t>New Castle County, DE near New Castle Air National Guard Base (New Castle County)</w:t>
      </w:r>
    </w:p>
    <w:p w:rsidRPr="00FB38BA" w:rsidR="0051724F" w:rsidP="00A856CF" w:rsidRDefault="0051724F" w14:paraId="2B1BD9A1" w14:textId="77777777">
      <w:pPr>
        <w:pStyle w:val="ListParagraph"/>
        <w:numPr>
          <w:ilvl w:val="0"/>
          <w:numId w:val="13"/>
        </w:numPr>
        <w:rPr>
          <w:rFonts w:ascii="Calibri" w:hAnsi="Calibri"/>
        </w:rPr>
      </w:pPr>
      <w:r w:rsidRPr="00FB38BA">
        <w:rPr>
          <w:rFonts w:ascii="Calibri" w:hAnsi="Calibri"/>
        </w:rPr>
        <w:t>Orange County, NY near Stewart Air National Guard Base (Orange County</w:t>
      </w:r>
    </w:p>
    <w:p w:rsidRPr="00376E1B" w:rsidR="00A614F6" w:rsidP="00A856CF" w:rsidRDefault="0051724F" w14:paraId="0B713894" w14:textId="54FAD504">
      <w:pPr>
        <w:pStyle w:val="ListParagraph"/>
        <w:numPr>
          <w:ilvl w:val="0"/>
          <w:numId w:val="13"/>
        </w:numPr>
      </w:pPr>
      <w:r w:rsidRPr="00FE6BA8">
        <w:rPr>
          <w:rFonts w:ascii="Calibri" w:hAnsi="Calibri"/>
        </w:rPr>
        <w:t>Spokane County, WA near Fairchild Air Force Base (Spokane County)</w:t>
      </w:r>
    </w:p>
    <w:p w:rsidR="00D97F70" w:rsidP="00376E1B" w:rsidRDefault="00DA22A7" w14:paraId="7C13E878" w14:textId="4803D615">
      <w:r w:rsidRPr="00DA22A7">
        <w:t>To our knowledge, all municipal systems serving the communities identified as exposure assessment sites took steps to reduce concentrations of PF</w:t>
      </w:r>
      <w:r w:rsidR="00D31535">
        <w:t>OA and PFOS</w:t>
      </w:r>
      <w:r w:rsidRPr="00DA22A7">
        <w:t xml:space="preserve"> below 70 ppt between 2014 and 2017. Additionally, the information available for private wells within these communities indicates that either treatment systems were installed, or alternate sources of water provided between 2015 and 2018 in cases where PF</w:t>
      </w:r>
      <w:r w:rsidR="00FE6308">
        <w:t>OA and PFOS</w:t>
      </w:r>
      <w:r w:rsidRPr="00DA22A7">
        <w:t xml:space="preserve"> concentrations in private wells exceeded 70 ppt. Exposure to lower levels of </w:t>
      </w:r>
      <w:r w:rsidR="00FE6308">
        <w:t>a wide range of PFAS</w:t>
      </w:r>
      <w:r w:rsidRPr="00DA22A7">
        <w:t xml:space="preserve"> may be ongoing. </w:t>
      </w:r>
      <w:r w:rsidRPr="00F5033F">
        <w:t xml:space="preserve">When available, concentrations of PFAS over time will be used </w:t>
      </w:r>
      <w:r w:rsidRPr="00F5033F">
        <w:lastRenderedPageBreak/>
        <w:t>to understand the exposure history at these sites</w:t>
      </w:r>
      <w:r>
        <w:t>, including after mitigation</w:t>
      </w:r>
      <w:r w:rsidRPr="00F5033F">
        <w:t>, but PFAS data are not generally available prior to 2013.</w:t>
      </w:r>
    </w:p>
    <w:p w:rsidRPr="00DA22A7" w:rsidR="008C2C91" w:rsidP="00376E1B" w:rsidRDefault="008C2C91" w14:paraId="6E77D601" w14:textId="6A19258E">
      <w:r>
        <w:t xml:space="preserve">Six of the selected communities (Berkeley County, El Paso County, Hampden County, New Castle County, Orange County, and Spokane County) have water systems that had PFOA + PFOS above 70 ppt. </w:t>
      </w:r>
      <w:proofErr w:type="gramStart"/>
      <w:r>
        <w:t>In order to</w:t>
      </w:r>
      <w:proofErr w:type="gramEnd"/>
      <w:r>
        <w:t xml:space="preserve"> draw generalizable conclusions, the sample frame in these communities will include only public water customers. The other two communities (Fairbanks North Star Borough and Lubbock County) had </w:t>
      </w:r>
      <w:proofErr w:type="gramStart"/>
      <w:r>
        <w:t>a large number of</w:t>
      </w:r>
      <w:proofErr w:type="gramEnd"/>
      <w:r>
        <w:t xml:space="preserve"> private wells with PFOA + PFOS above 70 ppt but no </w:t>
      </w:r>
      <w:r w:rsidR="00203AD0">
        <w:t xml:space="preserve">affected </w:t>
      </w:r>
      <w:r>
        <w:t>municipal systems. The sample frame in these communities will include only households with private wells.</w:t>
      </w:r>
    </w:p>
    <w:p w:rsidR="00CB2EF9" w:rsidP="00FE6BA8" w:rsidRDefault="00CB2EF9" w14:paraId="11943A98" w14:textId="77777777">
      <w:pPr>
        <w:pStyle w:val="Heading3"/>
      </w:pPr>
      <w:bookmarkStart w:name="_Toc6924092" w:id="23"/>
      <w:r>
        <w:t>Site-specific Community Engagement</w:t>
      </w:r>
      <w:bookmarkEnd w:id="23"/>
    </w:p>
    <w:p w:rsidRPr="00285D1A" w:rsidR="00CB2EF9" w:rsidP="00CB2EF9" w:rsidRDefault="00CB2EF9" w14:paraId="7E988EDD" w14:textId="605BF921">
      <w:pPr>
        <w:spacing w:line="240" w:lineRule="auto"/>
      </w:pPr>
      <w:r w:rsidRPr="00285D1A">
        <w:rPr>
          <w:rFonts w:cstheme="minorHAnsi"/>
        </w:rPr>
        <w:t xml:space="preserve">ATSDR/NCEH will hold a </w:t>
      </w:r>
      <w:r>
        <w:rPr>
          <w:rFonts w:cstheme="minorHAnsi"/>
        </w:rPr>
        <w:t xml:space="preserve">community-wide </w:t>
      </w:r>
      <w:r w:rsidRPr="00285D1A">
        <w:rPr>
          <w:rFonts w:cstheme="minorHAnsi"/>
        </w:rPr>
        <w:t xml:space="preserve">public </w:t>
      </w:r>
      <w:r>
        <w:rPr>
          <w:rFonts w:cstheme="minorHAnsi"/>
        </w:rPr>
        <w:t xml:space="preserve">information </w:t>
      </w:r>
      <w:r w:rsidRPr="00285D1A">
        <w:rPr>
          <w:rFonts w:cstheme="minorHAnsi"/>
        </w:rPr>
        <w:t xml:space="preserve">meeting </w:t>
      </w:r>
      <w:r>
        <w:rPr>
          <w:rFonts w:cstheme="minorHAnsi"/>
        </w:rPr>
        <w:t>during the recruitment phase in all</w:t>
      </w:r>
      <w:r w:rsidRPr="00285D1A">
        <w:rPr>
          <w:rFonts w:cstheme="minorHAnsi"/>
        </w:rPr>
        <w:t xml:space="preserve"> EA location</w:t>
      </w:r>
      <w:r>
        <w:rPr>
          <w:rFonts w:cstheme="minorHAnsi"/>
        </w:rPr>
        <w:t>s</w:t>
      </w:r>
      <w:r w:rsidRPr="00285D1A">
        <w:rPr>
          <w:rFonts w:cstheme="minorHAnsi"/>
        </w:rPr>
        <w:t>.</w:t>
      </w:r>
      <w:r>
        <w:rPr>
          <w:rFonts w:cstheme="minorHAnsi"/>
        </w:rPr>
        <w:t xml:space="preserve"> The intended audience is prospective EA participants.</w:t>
      </w:r>
      <w:r w:rsidRPr="00285D1A">
        <w:rPr>
          <w:rFonts w:cstheme="minorHAnsi"/>
        </w:rPr>
        <w:t xml:space="preserve"> A Community Event Evaluation Survey </w:t>
      </w:r>
      <w:r>
        <w:rPr>
          <w:rFonts w:cstheme="minorHAnsi"/>
        </w:rPr>
        <w:t xml:space="preserve">(“the Survey”) </w:t>
      </w:r>
      <w:r w:rsidRPr="00D24276">
        <w:rPr>
          <w:rFonts w:cstheme="minorHAnsi"/>
        </w:rPr>
        <w:t>(Appendix A) will</w:t>
      </w:r>
      <w:r w:rsidRPr="00285D1A">
        <w:rPr>
          <w:rFonts w:cstheme="minorHAnsi"/>
        </w:rPr>
        <w:t xml:space="preserve"> be used as a way for the EA team to receive feedback from prospective EA participants</w:t>
      </w:r>
      <w:r w:rsidRPr="00285D1A">
        <w:t xml:space="preserve"> about ATSDR’s PFAS public health messaging, the ATSDR PFAS EA enrollment processes, and to gauge local feelings toward the ATSDR PFAS EA project. The survey data will help EA team members adjust and enhance public health messaging and EA project information in real time. </w:t>
      </w:r>
    </w:p>
    <w:p w:rsidRPr="00285D1A" w:rsidR="00CB2EF9" w:rsidP="00CB2EF9" w:rsidRDefault="00CB2EF9" w14:paraId="3DADB696" w14:textId="77777777">
      <w:pPr>
        <w:spacing w:line="240" w:lineRule="auto"/>
      </w:pPr>
      <w:r w:rsidRPr="00285D1A">
        <w:t xml:space="preserve">The goals of the Survey are: </w:t>
      </w:r>
    </w:p>
    <w:p w:rsidRPr="00285D1A" w:rsidR="00CB2EF9" w:rsidP="00A856CF" w:rsidRDefault="00CB2EF9" w14:paraId="4C426D89" w14:textId="77777777">
      <w:pPr>
        <w:pStyle w:val="ListParagraph"/>
        <w:numPr>
          <w:ilvl w:val="0"/>
          <w:numId w:val="55"/>
        </w:numPr>
        <w:spacing w:after="160" w:line="240" w:lineRule="auto"/>
      </w:pPr>
      <w:r w:rsidRPr="00285D1A">
        <w:t xml:space="preserve">To learn whether our messages and materials were understood by the </w:t>
      </w:r>
      <w:proofErr w:type="gramStart"/>
      <w:r w:rsidRPr="00285D1A">
        <w:t>audience;</w:t>
      </w:r>
      <w:proofErr w:type="gramEnd"/>
      <w:r w:rsidRPr="00285D1A">
        <w:t xml:space="preserve"> </w:t>
      </w:r>
    </w:p>
    <w:p w:rsidRPr="00285D1A" w:rsidR="00CB2EF9" w:rsidP="00A856CF" w:rsidRDefault="00CB2EF9" w14:paraId="2B7100D4" w14:textId="77777777">
      <w:pPr>
        <w:pStyle w:val="ListParagraph"/>
        <w:numPr>
          <w:ilvl w:val="0"/>
          <w:numId w:val="55"/>
        </w:numPr>
        <w:spacing w:after="160" w:line="240" w:lineRule="auto"/>
      </w:pPr>
      <w:r w:rsidRPr="00285D1A">
        <w:t xml:space="preserve">To understand community feelings towards the project; and </w:t>
      </w:r>
    </w:p>
    <w:p w:rsidRPr="00285D1A" w:rsidR="00CB2EF9" w:rsidP="00A856CF" w:rsidRDefault="00CB2EF9" w14:paraId="2939999D" w14:textId="77777777">
      <w:pPr>
        <w:pStyle w:val="ListParagraph"/>
        <w:numPr>
          <w:ilvl w:val="0"/>
          <w:numId w:val="55"/>
        </w:numPr>
        <w:spacing w:after="160" w:line="240" w:lineRule="auto"/>
      </w:pPr>
      <w:r w:rsidRPr="00285D1A">
        <w:t>To document whether potential participants understand how individuals are selected for potential participation in the Exposure Assessment.</w:t>
      </w:r>
    </w:p>
    <w:p w:rsidR="00CB2EF9" w:rsidP="00CB2EF9" w:rsidRDefault="00CB2EF9" w14:paraId="21C6D249" w14:textId="77777777">
      <w:pPr>
        <w:spacing w:line="240" w:lineRule="auto"/>
        <w:rPr>
          <w:rFonts w:ascii="Calibri" w:hAnsi="Calibri"/>
        </w:rPr>
      </w:pPr>
      <w:r w:rsidRPr="00285D1A">
        <w:t xml:space="preserve">The Survey questions have been adapted from the ATSDR Communications Toolkit available here: </w:t>
      </w:r>
      <w:hyperlink w:history="1" r:id="rId17">
        <w:r w:rsidRPr="00285D1A">
          <w:rPr>
            <w:rStyle w:val="Hyperlink"/>
          </w:rPr>
          <w:t>https://www.atsdr.cdc.gov/communications-toolkit/documents/16_event-evaluation-form-final-101315_508.pdf</w:t>
        </w:r>
      </w:hyperlink>
    </w:p>
    <w:p w:rsidRPr="00293DA9" w:rsidR="00293DA9" w:rsidP="00CE0753" w:rsidRDefault="00EE7A5B" w14:paraId="782E38A8" w14:textId="6A8B78FB">
      <w:pPr>
        <w:pStyle w:val="Heading2"/>
        <w:rPr>
          <w:rStyle w:val="Heading2Char"/>
          <w:b/>
        </w:rPr>
      </w:pPr>
      <w:bookmarkStart w:name="_Toc536793471" w:id="24"/>
      <w:bookmarkStart w:name="_Toc6924093" w:id="25"/>
      <w:r w:rsidRPr="00293DA9">
        <w:rPr>
          <w:rStyle w:val="Heading2Char"/>
          <w:b/>
        </w:rPr>
        <w:t>Objectives</w:t>
      </w:r>
      <w:bookmarkEnd w:id="24"/>
      <w:bookmarkEnd w:id="25"/>
    </w:p>
    <w:p w:rsidRPr="00DF516A" w:rsidR="001D75CD" w:rsidP="007B3D7D" w:rsidRDefault="00760552" w14:paraId="20408E61" w14:textId="03AD2FB2">
      <w:pPr>
        <w:pStyle w:val="NoSpacing"/>
        <w:spacing w:after="200"/>
      </w:pPr>
      <w:r>
        <w:t xml:space="preserve">The overall objective of the PFAS Exposure Assessments (all sites) is to characterize exposures and biomonitoring levels in communities exposed to PFAS in drinking water, and to identify patterns in exposure amongst these communities. </w:t>
      </w:r>
      <w:r w:rsidR="007D454E">
        <w:t>Each EA</w:t>
      </w:r>
      <w:r w:rsidRPr="00DF516A" w:rsidR="001D75CD">
        <w:t xml:space="preserve"> will attempt to answer the following questions:</w:t>
      </w:r>
    </w:p>
    <w:p w:rsidR="001D75CD" w:rsidP="007B3D7D" w:rsidRDefault="00134AE0" w14:paraId="67A2D0C4" w14:textId="77777777">
      <w:pPr>
        <w:pStyle w:val="NoSpacing"/>
        <w:numPr>
          <w:ilvl w:val="0"/>
          <w:numId w:val="1"/>
        </w:numPr>
        <w:spacing w:after="200"/>
      </w:pPr>
      <w:r>
        <w:t>W</w:t>
      </w:r>
      <w:r w:rsidRPr="00DF516A" w:rsidR="001D75CD">
        <w:t xml:space="preserve">hat </w:t>
      </w:r>
      <w:proofErr w:type="gramStart"/>
      <w:r>
        <w:t>are</w:t>
      </w:r>
      <w:proofErr w:type="gramEnd"/>
      <w:r>
        <w:t xml:space="preserve"> serum</w:t>
      </w:r>
      <w:r w:rsidRPr="00DF516A" w:rsidR="001D75CD">
        <w:t xml:space="preserve"> </w:t>
      </w:r>
      <w:r w:rsidR="007D454E">
        <w:t xml:space="preserve">PFAS </w:t>
      </w:r>
      <w:r>
        <w:t>concentrations in</w:t>
      </w:r>
      <w:r w:rsidR="007D454E">
        <w:t xml:space="preserve"> the community</w:t>
      </w:r>
      <w:r w:rsidRPr="00DF516A" w:rsidR="001D75CD">
        <w:t>?</w:t>
      </w:r>
      <w:r w:rsidRPr="00DF516A" w:rsidR="0054541A">
        <w:t xml:space="preserve"> How do these concentrations compare to</w:t>
      </w:r>
      <w:r w:rsidR="00F258E5">
        <w:t xml:space="preserve"> United States</w:t>
      </w:r>
      <w:r w:rsidRPr="00DF516A" w:rsidR="0054541A">
        <w:t xml:space="preserve"> reference populations</w:t>
      </w:r>
      <w:r w:rsidR="00F258E5">
        <w:t xml:space="preserve"> (</w:t>
      </w:r>
      <w:proofErr w:type="gramStart"/>
      <w:r w:rsidR="00F258E5">
        <w:t>e.g.</w:t>
      </w:r>
      <w:proofErr w:type="gramEnd"/>
      <w:r w:rsidR="00F258E5">
        <w:t xml:space="preserve"> NHANES)</w:t>
      </w:r>
      <w:r w:rsidRPr="00DF516A" w:rsidR="0054541A">
        <w:t xml:space="preserve">? </w:t>
      </w:r>
      <w:r w:rsidRPr="00DF516A" w:rsidR="001D75CD">
        <w:t xml:space="preserve"> </w:t>
      </w:r>
    </w:p>
    <w:p w:rsidRPr="00DF516A" w:rsidR="007D454E" w:rsidP="007B3D7D" w:rsidRDefault="002B20B8" w14:paraId="6C2FCB83" w14:textId="6435CF1F">
      <w:pPr>
        <w:pStyle w:val="NoSpacing"/>
        <w:numPr>
          <w:ilvl w:val="0"/>
          <w:numId w:val="1"/>
        </w:numPr>
        <w:spacing w:after="200"/>
      </w:pPr>
      <w:r>
        <w:t>Can PFAS be detected in urine samples from members of the community? If so, h</w:t>
      </w:r>
      <w:r w:rsidR="00645251">
        <w:t xml:space="preserve">ow do these concentrations compare to </w:t>
      </w:r>
      <w:r w:rsidR="00E83300">
        <w:t xml:space="preserve">reference </w:t>
      </w:r>
      <w:r w:rsidR="00645251">
        <w:t xml:space="preserve">populations </w:t>
      </w:r>
      <w:r w:rsidR="00E83300">
        <w:t xml:space="preserve">across </w:t>
      </w:r>
      <w:r w:rsidR="00645251">
        <w:t>the United States?</w:t>
      </w:r>
      <w:r>
        <w:t xml:space="preserve"> </w:t>
      </w:r>
    </w:p>
    <w:p w:rsidR="007D454E" w:rsidP="007B3D7D" w:rsidRDefault="00DB57A3" w14:paraId="009F5868" w14:textId="6FD89CBF">
      <w:pPr>
        <w:pStyle w:val="NoSpacing"/>
        <w:numPr>
          <w:ilvl w:val="0"/>
          <w:numId w:val="1"/>
        </w:numPr>
        <w:spacing w:after="200"/>
      </w:pPr>
      <w:r>
        <w:t>What a</w:t>
      </w:r>
      <w:r w:rsidR="00C3743A">
        <w:t xml:space="preserve">re environmental </w:t>
      </w:r>
      <w:r w:rsidR="005C4214">
        <w:t xml:space="preserve">contributors </w:t>
      </w:r>
      <w:r w:rsidR="001F731D">
        <w:t>to</w:t>
      </w:r>
      <w:r>
        <w:t xml:space="preserve"> </w:t>
      </w:r>
      <w:r w:rsidR="00C3743A">
        <w:t xml:space="preserve">PFAS </w:t>
      </w:r>
      <w:r w:rsidR="00FE1100">
        <w:t xml:space="preserve">concentrations </w:t>
      </w:r>
      <w:r>
        <w:t>in blood and urine?</w:t>
      </w:r>
      <w:r w:rsidR="00C3743A">
        <w:t xml:space="preserve"> What does environmental sampling data suggest about exposure in the community?</w:t>
      </w:r>
    </w:p>
    <w:p w:rsidR="00ED7FF1" w:rsidP="007B3D7D" w:rsidRDefault="00ED7FF1" w14:paraId="7C0F2BF9" w14:textId="133D1A4B">
      <w:pPr>
        <w:pStyle w:val="NoSpacing"/>
        <w:numPr>
          <w:ilvl w:val="0"/>
          <w:numId w:val="1"/>
        </w:numPr>
        <w:spacing w:after="200"/>
      </w:pPr>
      <w:r>
        <w:t xml:space="preserve">What can we learn about </w:t>
      </w:r>
      <w:r w:rsidR="005C4214">
        <w:t>PFAS exposures</w:t>
      </w:r>
      <w:r>
        <w:t xml:space="preserve"> to inform future PFAS studies?</w:t>
      </w:r>
    </w:p>
    <w:p w:rsidRPr="008D6365" w:rsidR="00676174" w:rsidP="007B3D7D" w:rsidRDefault="00676174" w14:paraId="6D16F760" w14:textId="77777777">
      <w:pPr>
        <w:pStyle w:val="Heading1"/>
        <w:spacing w:before="0" w:after="200" w:line="240" w:lineRule="auto"/>
      </w:pPr>
      <w:bookmarkStart w:name="_Toc536793472" w:id="26"/>
      <w:bookmarkStart w:name="_Toc6924094" w:id="27"/>
      <w:r w:rsidRPr="008D6365">
        <w:lastRenderedPageBreak/>
        <w:t>Procedures and Methods</w:t>
      </w:r>
      <w:bookmarkEnd w:id="26"/>
      <w:bookmarkEnd w:id="27"/>
    </w:p>
    <w:p w:rsidRPr="00BE7147" w:rsidR="00293DA9" w:rsidP="00BE7147" w:rsidRDefault="00A215E1" w14:paraId="251D1649" w14:textId="77777777">
      <w:pPr>
        <w:pStyle w:val="Heading2"/>
      </w:pPr>
      <w:bookmarkStart w:name="_Toc536793473" w:id="28"/>
      <w:bookmarkStart w:name="_Toc6924095" w:id="29"/>
      <w:r w:rsidRPr="00BE7147">
        <w:t>Sampling Strategy</w:t>
      </w:r>
      <w:bookmarkEnd w:id="28"/>
      <w:bookmarkEnd w:id="29"/>
    </w:p>
    <w:p w:rsidRPr="00C8096F" w:rsidR="00A215E1" w:rsidP="00AF04A7" w:rsidRDefault="00A215E1" w14:paraId="67ECC476" w14:textId="77777777">
      <w:pPr>
        <w:spacing w:line="240" w:lineRule="auto"/>
      </w:pPr>
      <w:r w:rsidRPr="00C8096F">
        <w:t>A one-stage cluster sample</w:t>
      </w:r>
      <w:r w:rsidRPr="00C8096F" w:rsidR="00406F99">
        <w:t xml:space="preserve"> </w:t>
      </w:r>
      <w:r w:rsidR="002E1F16">
        <w:rPr>
          <w:rFonts w:cstheme="minorHAnsi"/>
        </w:rPr>
        <w:t>—</w:t>
      </w:r>
      <w:r w:rsidRPr="00C8096F">
        <w:t xml:space="preserve"> where </w:t>
      </w:r>
      <w:r w:rsidR="00E47D1A">
        <w:t>each</w:t>
      </w:r>
      <w:r w:rsidRPr="00C8096F">
        <w:t xml:space="preserve"> </w:t>
      </w:r>
      <w:r w:rsidR="00E47D1A">
        <w:t xml:space="preserve">household in the area receiving impacted water is a </w:t>
      </w:r>
      <w:r w:rsidRPr="00C8096F">
        <w:t xml:space="preserve">cluster and all individuals in </w:t>
      </w:r>
      <w:r w:rsidRPr="00C8096F" w:rsidR="00406F99">
        <w:t xml:space="preserve">a </w:t>
      </w:r>
      <w:r w:rsidRPr="00C8096F">
        <w:t>selected household are included in the sample</w:t>
      </w:r>
      <w:r w:rsidRPr="00C8096F" w:rsidR="00406F99">
        <w:t xml:space="preserve"> </w:t>
      </w:r>
      <w:r w:rsidR="000A1543">
        <w:rPr>
          <w:rFonts w:cstheme="minorHAnsi"/>
        </w:rPr>
        <w:t>—</w:t>
      </w:r>
      <w:r w:rsidRPr="00C8096F">
        <w:t xml:space="preserve"> will be used to </w:t>
      </w:r>
      <w:r w:rsidRPr="00C8096F" w:rsidR="00FC176D">
        <w:t xml:space="preserve">identify participants </w:t>
      </w:r>
      <w:r w:rsidRPr="00C8096F" w:rsidR="00406F99">
        <w:t xml:space="preserve">for </w:t>
      </w:r>
      <w:r w:rsidRPr="00C8096F" w:rsidR="00FC176D">
        <w:t xml:space="preserve">each EA. </w:t>
      </w:r>
      <w:r w:rsidR="00E47D1A">
        <w:t xml:space="preserve">Clusters (households) will be randomly selected from the sampling frame. </w:t>
      </w:r>
      <w:r w:rsidRPr="00C8096F">
        <w:t xml:space="preserve">This sampling design is representative of the </w:t>
      </w:r>
      <w:r w:rsidR="00E47D1A">
        <w:t>impacted</w:t>
      </w:r>
      <w:r w:rsidRPr="00C8096F">
        <w:t xml:space="preserve"> population, allowing for inferences to be made on the entire sampling frame. </w:t>
      </w:r>
      <w:r w:rsidRPr="00C8096F" w:rsidR="00645251">
        <w:t xml:space="preserve">A step-by-step approach for the one-stage cluster sampling is described below. </w:t>
      </w:r>
    </w:p>
    <w:p w:rsidRPr="00406F99" w:rsidR="00645251" w:rsidP="00141E5F" w:rsidRDefault="00406F99" w14:paraId="0139C9D3" w14:textId="77777777">
      <w:pPr>
        <w:pStyle w:val="NoSpacing"/>
        <w:numPr>
          <w:ilvl w:val="0"/>
          <w:numId w:val="5"/>
        </w:numPr>
        <w:spacing w:after="200"/>
        <w:rPr>
          <w:b/>
        </w:rPr>
      </w:pPr>
      <w:r w:rsidRPr="00406F99">
        <w:rPr>
          <w:b/>
        </w:rPr>
        <w:t xml:space="preserve">ESTABLISH THE </w:t>
      </w:r>
      <w:r w:rsidRPr="006037EE">
        <w:rPr>
          <w:b/>
        </w:rPr>
        <w:t>SAMPLING</w:t>
      </w:r>
      <w:r w:rsidRPr="00406F99">
        <w:rPr>
          <w:b/>
        </w:rPr>
        <w:t xml:space="preserve"> FRAME</w:t>
      </w:r>
    </w:p>
    <w:p w:rsidR="00347AB6" w:rsidP="007B3D7D" w:rsidRDefault="00645251" w14:paraId="210046CC" w14:textId="77777777">
      <w:pPr>
        <w:pStyle w:val="NoSpacing"/>
        <w:spacing w:after="200"/>
        <w:ind w:left="720"/>
      </w:pPr>
      <w:r>
        <w:t xml:space="preserve">A geographic area where PFAS exposure is known or expected will be defined and a complete list of all </w:t>
      </w:r>
      <w:r w:rsidR="000A1543">
        <w:t xml:space="preserve">exposed/affected </w:t>
      </w:r>
      <w:r>
        <w:t>households in this area will be identified. This list comprises the sampling frame. Depending on the operations of the water system, the geographic area may be defined by the service boundaries of specific municipal water systems.</w:t>
      </w:r>
      <w:r w:rsidR="000F15D6">
        <w:t xml:space="preserve"> The geographic area may also be defined as the area with impacted private drinking water wells.</w:t>
      </w:r>
      <w:r>
        <w:t xml:space="preserve"> </w:t>
      </w:r>
    </w:p>
    <w:p w:rsidR="00A91376" w:rsidP="007B3D7D" w:rsidRDefault="00645251" w14:paraId="22A8BADB" w14:textId="77777777">
      <w:pPr>
        <w:pStyle w:val="NoSpacing"/>
        <w:spacing w:after="200"/>
        <w:ind w:left="720"/>
      </w:pPr>
      <w:r>
        <w:t>For simple water systems expected to deliver drinking water with consistent PFAS concentrations to all end users</w:t>
      </w:r>
      <w:r w:rsidR="00514CAC">
        <w:t xml:space="preserve"> (</w:t>
      </w:r>
      <w:proofErr w:type="gramStart"/>
      <w:r w:rsidR="00514CAC">
        <w:t>e.g.</w:t>
      </w:r>
      <w:proofErr w:type="gramEnd"/>
      <w:r w:rsidR="00514CAC">
        <w:t xml:space="preserve"> municipal drinking water systems with one ground water supply well, or municipal drinking water systems with a surface water source)</w:t>
      </w:r>
      <w:r>
        <w:t>, the</w:t>
      </w:r>
      <w:r w:rsidR="00347AB6">
        <w:t xml:space="preserve"> sampling frame will</w:t>
      </w:r>
      <w:r>
        <w:t xml:space="preserve"> consist of all households served by the impacted water system. </w:t>
      </w:r>
    </w:p>
    <w:p w:rsidR="00522AA4" w:rsidP="007B3D7D" w:rsidRDefault="00A333A9" w14:paraId="4E30A731" w14:textId="77777777">
      <w:pPr>
        <w:pStyle w:val="NoSpacing"/>
        <w:spacing w:after="200"/>
        <w:ind w:left="720"/>
      </w:pPr>
      <w:r>
        <w:t xml:space="preserve">The </w:t>
      </w:r>
      <w:r w:rsidR="00645251">
        <w:t xml:space="preserve">list </w:t>
      </w:r>
      <w:r>
        <w:t xml:space="preserve">of households served by municipal water systems </w:t>
      </w:r>
      <w:r w:rsidR="00F04EC2">
        <w:t>can</w:t>
      </w:r>
      <w:r w:rsidR="00645251">
        <w:t xml:space="preserve"> be obtained from the water company or </w:t>
      </w:r>
      <w:r w:rsidR="00C93227">
        <w:t xml:space="preserve">from </w:t>
      </w:r>
      <w:r w:rsidR="00645251">
        <w:t xml:space="preserve">local municipal water supply billing information.  </w:t>
      </w:r>
    </w:p>
    <w:p w:rsidR="00522AA4" w:rsidP="00C8096F" w:rsidRDefault="00522AA4" w14:paraId="3B8ACF61" w14:textId="77777777">
      <w:pPr>
        <w:pStyle w:val="NoSpacing"/>
        <w:spacing w:after="200"/>
        <w:ind w:left="720"/>
      </w:pPr>
      <w:r>
        <w:t xml:space="preserve">Sequential numbers will be assigned to each household (1, 2, </w:t>
      </w:r>
      <w:proofErr w:type="gramStart"/>
      <w:r>
        <w:t>3,…</w:t>
      </w:r>
      <w:proofErr w:type="gramEnd"/>
      <w:r>
        <w:t xml:space="preserve">N) in the sampling frame. </w:t>
      </w:r>
    </w:p>
    <w:p w:rsidRPr="00C6478B" w:rsidR="00522AA4" w:rsidP="00141E5F" w:rsidRDefault="00406F99" w14:paraId="57428824" w14:textId="77777777">
      <w:pPr>
        <w:pStyle w:val="NoSpacing"/>
        <w:keepNext/>
        <w:keepLines/>
        <w:numPr>
          <w:ilvl w:val="0"/>
          <w:numId w:val="5"/>
        </w:numPr>
        <w:spacing w:after="200"/>
        <w:rPr>
          <w:b/>
        </w:rPr>
      </w:pPr>
      <w:r w:rsidRPr="00C6478B">
        <w:rPr>
          <w:b/>
        </w:rPr>
        <w:t>CALCULATE SAMPLE SIZE</w:t>
      </w:r>
    </w:p>
    <w:p w:rsidR="009F35F7" w:rsidP="007B3D7D" w:rsidRDefault="009F35F7" w14:paraId="2E6DA6FE" w14:textId="50F66192">
      <w:pPr>
        <w:pStyle w:val="NoSpacing"/>
        <w:spacing w:after="200"/>
        <w:ind w:left="720"/>
      </w:pPr>
      <w:r>
        <w:t xml:space="preserve">The required sample size of </w:t>
      </w:r>
      <w:r w:rsidR="00337A3B">
        <w:t>independent</w:t>
      </w:r>
      <w:r w:rsidR="00ED7FF1">
        <w:t xml:space="preserve"> </w:t>
      </w:r>
      <w:r>
        <w:t>individuals</w:t>
      </w:r>
      <w:r w:rsidR="00ED7FF1">
        <w:t xml:space="preserve"> in each community for blood sampling </w:t>
      </w:r>
      <w:r>
        <w:t xml:space="preserve">is given by: </w:t>
      </w:r>
    </w:p>
    <w:p w:rsidRPr="007852DE" w:rsidR="009F35F7" w:rsidP="007B3D7D" w:rsidRDefault="009F35F7" w14:paraId="3FAC36EA" w14:textId="77777777">
      <w:pPr>
        <w:pStyle w:val="NoSpacing"/>
        <w:spacing w:after="200"/>
        <w:ind w:left="720"/>
        <w:rPr>
          <w:rFonts w:eastAsiaTheme="minorEastAsia"/>
        </w:rPr>
      </w:pPr>
      <m:oMathPara>
        <m:oMath>
          <m:r>
            <w:rPr>
              <w:rFonts w:ascii="Cambria Math" w:hAnsi="Cambria Math"/>
            </w:rPr>
            <m:t>m=</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f>
                            <m:fPr>
                              <m:type m:val="skw"/>
                              <m:ctrlPr>
                                <w:rPr>
                                  <w:rFonts w:ascii="Cambria Math" w:hAnsi="Cambria Math"/>
                                  <w:i/>
                                </w:rPr>
                              </m:ctrlPr>
                            </m:fPr>
                            <m:num>
                              <m:r>
                                <w:rPr>
                                  <w:rFonts w:ascii="Cambria Math" w:hAnsi="Cambria Math"/>
                                </w:rPr>
                                <m:t>∝</m:t>
                              </m:r>
                            </m:num>
                            <m:den>
                              <m:r>
                                <w:rPr>
                                  <w:rFonts w:ascii="Cambria Math" w:hAnsi="Cambria Math"/>
                                </w:rPr>
                                <m:t>2</m:t>
                              </m:r>
                            </m:den>
                          </m:f>
                        </m:sub>
                      </m:sSub>
                      <m:r>
                        <w:rPr>
                          <w:rFonts w:ascii="Cambria Math" w:hAnsi="Cambria Math"/>
                        </w:rPr>
                        <m:t>∙ σ</m:t>
                      </m:r>
                    </m:num>
                    <m:den>
                      <m:r>
                        <w:rPr>
                          <w:rFonts w:ascii="Cambria Math" w:hAnsi="Cambria Math"/>
                        </w:rPr>
                        <m:t>E</m:t>
                      </m:r>
                    </m:den>
                  </m:f>
                </m:e>
              </m:d>
            </m:e>
            <m:sup>
              <m:r>
                <w:rPr>
                  <w:rFonts w:ascii="Cambria Math" w:hAnsi="Cambria Math"/>
                </w:rPr>
                <m:t>2</m:t>
              </m:r>
            </m:sup>
          </m:sSup>
          <m:r>
            <w:rPr>
              <w:rFonts w:ascii="Cambria Math" w:hAnsi="Cambria Math"/>
            </w:rPr>
            <m:t xml:space="preserve"> </m:t>
          </m:r>
        </m:oMath>
      </m:oMathPara>
    </w:p>
    <w:p w:rsidR="007852DE" w:rsidP="00C6478B" w:rsidRDefault="007852DE" w14:paraId="4CC38447" w14:textId="77777777">
      <w:pPr>
        <w:spacing w:after="0" w:line="240" w:lineRule="auto"/>
      </w:pPr>
      <w:r>
        <w:tab/>
      </w:r>
      <w:proofErr w:type="gramStart"/>
      <w:r>
        <w:t>Where</w:t>
      </w:r>
      <w:proofErr w:type="gramEnd"/>
      <w:r w:rsidR="00146AF3">
        <w:t>,</w:t>
      </w:r>
      <w:r>
        <w:tab/>
      </w:r>
    </w:p>
    <w:p w:rsidR="007852DE" w:rsidP="00C6478B" w:rsidRDefault="007852DE" w14:paraId="03B66666" w14:textId="77777777">
      <w:pPr>
        <w:spacing w:after="0" w:line="240" w:lineRule="auto"/>
      </w:pPr>
      <w:r>
        <w:tab/>
      </w:r>
      <w:r>
        <w:tab/>
        <w:t>m = sample size (individuals)</w:t>
      </w:r>
    </w:p>
    <w:p w:rsidRPr="00F0375A" w:rsidR="00F0375A" w:rsidP="00C6478B" w:rsidRDefault="00F0375A" w14:paraId="0782F8ED" w14:textId="77777777">
      <w:pPr>
        <w:spacing w:after="0" w:line="240" w:lineRule="auto"/>
        <w:ind w:left="720" w:firstLine="720"/>
      </w:pPr>
      <w:r>
        <w:t>z</w:t>
      </w:r>
      <w:r w:rsidRPr="00F0375A">
        <w:t xml:space="preserve"> = Z value (</w:t>
      </w:r>
      <w:proofErr w:type="gramStart"/>
      <w:r w:rsidRPr="00F0375A">
        <w:t>e.g.</w:t>
      </w:r>
      <w:proofErr w:type="gramEnd"/>
      <w:r w:rsidRPr="00F0375A">
        <w:t xml:space="preserve"> 1.96 for 95% confidence level)</w:t>
      </w:r>
    </w:p>
    <w:p w:rsidR="00F0375A" w:rsidP="00C6478B" w:rsidRDefault="007852DE" w14:paraId="46945378" w14:textId="77777777">
      <w:pPr>
        <w:spacing w:after="0" w:line="240" w:lineRule="auto"/>
      </w:pPr>
      <w:r>
        <w:tab/>
      </w:r>
      <w:r>
        <w:tab/>
        <w:t>α = level of significance</w:t>
      </w:r>
    </w:p>
    <w:p w:rsidR="00F0375A" w:rsidP="00C6478B" w:rsidRDefault="00687C7D" w14:paraId="43530559" w14:textId="77777777">
      <w:pPr>
        <w:spacing w:after="0" w:line="240" w:lineRule="auto"/>
        <w:ind w:left="720" w:firstLine="720"/>
      </w:pPr>
      <w:r>
        <w:t>E = maximum error</w:t>
      </w:r>
    </w:p>
    <w:p w:rsidR="00F0375A" w:rsidP="007B3D7D" w:rsidRDefault="00F0375A" w14:paraId="6301109B" w14:textId="77777777">
      <w:pPr>
        <w:spacing w:line="240" w:lineRule="auto"/>
        <w:ind w:left="720" w:firstLine="720"/>
      </w:pPr>
      <w:r w:rsidRPr="00F0375A">
        <w:t xml:space="preserve">σ = standard deviation of the logarithm of measured PFAS levels.   </w:t>
      </w:r>
    </w:p>
    <w:p w:rsidR="00242BE0" w:rsidP="00C8096F" w:rsidRDefault="00242BE0" w14:paraId="3AE6EC04" w14:textId="1612930D">
      <w:pPr>
        <w:spacing w:line="240" w:lineRule="auto"/>
        <w:ind w:left="720"/>
      </w:pPr>
      <w:r>
        <w:t xml:space="preserve">If local biomonitoring data </w:t>
      </w:r>
      <w:r w:rsidR="009507E0">
        <w:t>are</w:t>
      </w:r>
      <w:r>
        <w:t xml:space="preserve"> available to determine the standard deviation of the </w:t>
      </w:r>
      <w:r w:rsidR="008745D4">
        <w:t xml:space="preserve">natural </w:t>
      </w:r>
      <w:r>
        <w:t xml:space="preserve">logarithm of measured PFAS levels, this data </w:t>
      </w:r>
      <w:r w:rsidR="00B203FE">
        <w:t>can</w:t>
      </w:r>
      <w:r>
        <w:t xml:space="preserve"> be used. If </w:t>
      </w:r>
      <w:r w:rsidR="00B203FE">
        <w:t>these</w:t>
      </w:r>
      <w:r>
        <w:t xml:space="preserve"> data </w:t>
      </w:r>
      <w:r w:rsidR="009507E0">
        <w:t>are</w:t>
      </w:r>
      <w:r>
        <w:t xml:space="preserve"> not available, </w:t>
      </w:r>
      <w:r>
        <w:lastRenderedPageBreak/>
        <w:t xml:space="preserve">national data from NHANES will be used to calculate the necessary sample size, as described </w:t>
      </w:r>
      <w:r w:rsidR="00CC4C66">
        <w:t>below</w:t>
      </w:r>
      <w:r>
        <w:t>.</w:t>
      </w:r>
    </w:p>
    <w:p w:rsidR="00242BE0" w:rsidP="007B3D7D" w:rsidRDefault="00242BE0" w14:paraId="47F929E6" w14:textId="154B5FDE">
      <w:pPr>
        <w:spacing w:line="240" w:lineRule="auto"/>
        <w:ind w:left="720"/>
      </w:pPr>
      <w:r>
        <w:t>The geometric mean for serum PFOS was 4.</w:t>
      </w:r>
      <w:r w:rsidR="00337A3B">
        <w:t xml:space="preserve">72 </w:t>
      </w:r>
      <w:r>
        <w:t>µg/L for the US population in 201</w:t>
      </w:r>
      <w:r w:rsidR="00337A3B">
        <w:t>5</w:t>
      </w:r>
      <w:r>
        <w:t>–201</w:t>
      </w:r>
      <w:r w:rsidR="00337A3B">
        <w:t>6</w:t>
      </w:r>
      <w:r>
        <w:t xml:space="preserve"> NHANES. The corresponding 95% confidence interval (4.</w:t>
      </w:r>
      <w:r w:rsidR="00337A3B">
        <w:t>4</w:t>
      </w:r>
      <w:r>
        <w:t>0, 5.</w:t>
      </w:r>
      <w:r w:rsidR="00337A3B">
        <w:t>07</w:t>
      </w:r>
      <w:r>
        <w:t xml:space="preserve">) and the NHANES sample size of </w:t>
      </w:r>
      <w:r w:rsidR="00337A3B">
        <w:t>1,993</w:t>
      </w:r>
      <w:r>
        <w:t xml:space="preserve"> are used to estimate the standard deviation of the </w:t>
      </w:r>
      <w:r w:rsidR="00E84E8C">
        <w:t xml:space="preserve">ln </w:t>
      </w:r>
      <w:r w:rsidR="002C4B1D">
        <w:t>(values). U</w:t>
      </w:r>
      <w:r>
        <w:t>sing the upper l</w:t>
      </w:r>
      <w:r w:rsidR="002C4B1D">
        <w:t>imit of the confidence interval</w:t>
      </w:r>
      <w:r w:rsidR="006E7E2A">
        <w:t>:</w:t>
      </w:r>
    </w:p>
    <w:p w:rsidR="006043D2" w:rsidP="007B3D7D" w:rsidRDefault="006043D2" w14:paraId="3CC92B3B" w14:textId="77777777">
      <w:pPr>
        <w:spacing w:line="240" w:lineRule="auto"/>
        <w:ind w:left="720"/>
      </w:pPr>
    </w:p>
    <w:p w:rsidR="002C4B1D" w:rsidP="007B3D7D" w:rsidRDefault="00D43D42" w14:paraId="0C8C45A3" w14:textId="5E9A9CB4">
      <w:pPr>
        <w:spacing w:line="240" w:lineRule="auto"/>
        <w:ind w:left="720"/>
      </w:pPr>
      <m:oMathPara>
        <m:oMath>
          <m:acc>
            <m:accPr>
              <m:ctrlPr>
                <w:rPr>
                  <w:rFonts w:ascii="Cambria Math" w:hAnsi="Cambria Math"/>
                  <w:i/>
                </w:rPr>
              </m:ctrlPr>
            </m:accPr>
            <m:e>
              <m:r>
                <w:rPr>
                  <w:rFonts w:ascii="Cambria Math" w:hAnsi="Cambria Math"/>
                </w:rPr>
                <m:t>σ</m:t>
              </m:r>
            </m:e>
          </m:acc>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1993</m:t>
                  </m:r>
                </m:e>
              </m:rad>
              <m:r>
                <w:rPr>
                  <w:rFonts w:ascii="Cambria Math" w:hAnsi="Cambria Math"/>
                </w:rPr>
                <m:t xml:space="preserve"> ∙ </m:t>
              </m:r>
              <m:d>
                <m:dPr>
                  <m:begChr m:val="["/>
                  <m:endChr m:val="]"/>
                  <m:ctrlPr>
                    <w:rPr>
                      <w:rFonts w:ascii="Cambria Math" w:hAnsi="Cambria Math"/>
                      <w:i/>
                    </w:rPr>
                  </m:ctrlPr>
                </m:dPr>
                <m:e>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5.07</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(4.72)</m:t>
                          </m:r>
                        </m:e>
                      </m:func>
                    </m:e>
                  </m:func>
                </m:e>
              </m:d>
            </m:num>
            <m:den>
              <m:r>
                <w:rPr>
                  <w:rFonts w:ascii="Cambria Math" w:hAnsi="Cambria Math"/>
                </w:rPr>
                <m:t>1.96</m:t>
              </m:r>
            </m:den>
          </m:f>
          <m:r>
            <w:rPr>
              <w:rFonts w:ascii="Cambria Math" w:hAnsi="Cambria Math"/>
            </w:rPr>
            <m:t>= 1.63</m:t>
          </m:r>
        </m:oMath>
      </m:oMathPara>
    </w:p>
    <w:p w:rsidR="006043D2" w:rsidP="007B3D7D" w:rsidRDefault="006043D2" w14:paraId="7C583176" w14:textId="77777777">
      <w:pPr>
        <w:spacing w:line="240" w:lineRule="auto"/>
        <w:ind w:left="720"/>
      </w:pPr>
    </w:p>
    <w:p w:rsidR="002C4B1D" w:rsidP="007B3D7D" w:rsidRDefault="00242BE0" w14:paraId="5E6E855C" w14:textId="02AB2180">
      <w:pPr>
        <w:spacing w:line="240" w:lineRule="auto"/>
        <w:ind w:left="720"/>
      </w:pPr>
      <w:r>
        <w:t xml:space="preserve">Then, the sample size of </w:t>
      </w:r>
      <w:r w:rsidR="00337A3B">
        <w:t xml:space="preserve">independent </w:t>
      </w:r>
      <w:r>
        <w:t xml:space="preserve">individuals to estimate the mean with precision 15% of the </w:t>
      </w:r>
      <w:r w:rsidR="00E84E8C">
        <w:t>ln</w:t>
      </w:r>
      <w:r>
        <w:t xml:space="preserve"> (geometric mean), and 5% level of significance is</w:t>
      </w:r>
      <w:r w:rsidR="006E7E2A">
        <w:t>:</w:t>
      </w:r>
    </w:p>
    <w:p w:rsidR="002C4B1D" w:rsidP="007B3D7D" w:rsidRDefault="002C4B1D" w14:paraId="50FF0040" w14:textId="77777777">
      <w:pPr>
        <w:spacing w:line="240" w:lineRule="auto"/>
        <w:ind w:left="720"/>
      </w:pPr>
    </w:p>
    <w:p w:rsidR="002C4B1D" w:rsidP="007B3D7D" w:rsidRDefault="002C4B1D" w14:paraId="61B96B51" w14:textId="52B02302">
      <w:pPr>
        <w:spacing w:line="240" w:lineRule="auto"/>
        <w:ind w:left="720"/>
        <w:rPr>
          <w:rFonts w:ascii="Cambria Math" w:hAnsi="Cambria Math" w:cs="Cambria Math"/>
        </w:rPr>
      </w:pPr>
      <m:oMathPara>
        <m:oMath>
          <m:r>
            <w:rPr>
              <w:rFonts w:ascii="Cambria Math" w:hAnsi="Cambria Math" w:cs="Cambria Math"/>
            </w:rPr>
            <m:t xml:space="preserve">m= </m:t>
          </m:r>
          <m:sSup>
            <m:sSupPr>
              <m:ctrlPr>
                <w:rPr>
                  <w:rFonts w:ascii="Cambria Math" w:hAnsi="Cambria Math" w:cs="Cambria Math"/>
                  <w:i/>
                </w:rPr>
              </m:ctrlPr>
            </m:sSupPr>
            <m:e>
              <m:d>
                <m:dPr>
                  <m:begChr m:val="["/>
                  <m:endChr m:val="]"/>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1.96 ∙1.63</m:t>
                      </m:r>
                    </m:num>
                    <m:den>
                      <m:r>
                        <w:rPr>
                          <w:rFonts w:ascii="Cambria Math" w:hAnsi="Cambria Math" w:cs="Cambria Math"/>
                        </w:rPr>
                        <m:t>0.15 ∙</m:t>
                      </m:r>
                      <m:r>
                        <m:rPr>
                          <m:sty m:val="p"/>
                        </m:rPr>
                        <w:rPr>
                          <w:rFonts w:ascii="Cambria Math" w:hAnsi="Cambria Math" w:cs="Cambria Math"/>
                        </w:rPr>
                        <m:t>ln⁡</m:t>
                      </m:r>
                      <m:r>
                        <w:rPr>
                          <w:rFonts w:ascii="Cambria Math" w:hAnsi="Cambria Math" w:cs="Cambria Math"/>
                        </w:rPr>
                        <m:t>(4.72)</m:t>
                      </m:r>
                    </m:den>
                  </m:f>
                </m:e>
              </m:d>
            </m:e>
            <m:sup>
              <m:r>
                <w:rPr>
                  <w:rFonts w:ascii="Cambria Math" w:hAnsi="Cambria Math" w:cs="Cambria Math"/>
                </w:rPr>
                <m:t>2</m:t>
              </m:r>
            </m:sup>
          </m:sSup>
          <m:r>
            <w:rPr>
              <w:rFonts w:ascii="Cambria Math" w:hAnsi="Cambria Math" w:cs="Cambria Math"/>
            </w:rPr>
            <m:t>= 188</m:t>
          </m:r>
        </m:oMath>
      </m:oMathPara>
    </w:p>
    <w:p w:rsidR="00242BE0" w:rsidP="007B3D7D" w:rsidRDefault="00242BE0" w14:paraId="2156FAFD" w14:textId="77777777">
      <w:pPr>
        <w:spacing w:line="240" w:lineRule="auto"/>
        <w:ind w:left="720"/>
      </w:pPr>
    </w:p>
    <w:p w:rsidR="00337A3B" w:rsidP="006043D2" w:rsidRDefault="00337A3B" w14:paraId="1BEF673C" w14:textId="747EAA4B">
      <w:pPr>
        <w:spacing w:line="240" w:lineRule="auto"/>
        <w:ind w:left="720"/>
      </w:pPr>
      <w:r>
        <w:t xml:space="preserve">Since data are collected using a cluster design, individuals within a household are not independent. The lack of independence must be accounted for by incorporating the design effect </w:t>
      </w:r>
      <w:r w:rsidR="004B57D9">
        <w:t xml:space="preserve">(DE) </w:t>
      </w:r>
      <w:r>
        <w:t xml:space="preserve">into calculation of the required sample size. </w:t>
      </w:r>
      <w:r w:rsidR="004B57D9">
        <w:t>The required sample size for a cluster sample is the sample size for an independent sample multiplied by DE.</w:t>
      </w:r>
    </w:p>
    <w:p w:rsidRPr="004B57D9" w:rsidR="00337A3B" w:rsidP="006043D2" w:rsidRDefault="004B57D9" w14:paraId="24864DD3" w14:textId="6DE08E8F">
      <w:pPr>
        <w:spacing w:line="240" w:lineRule="auto"/>
        <w:ind w:left="720"/>
        <w:rPr>
          <w:rFonts w:eastAsiaTheme="minorEastAsia"/>
        </w:rPr>
      </w:pPr>
      <m:oMathPara>
        <m:oMath>
          <m:r>
            <w:rPr>
              <w:rFonts w:ascii="Cambria Math" w:hAnsi="Cambria Math"/>
            </w:rPr>
            <m:t>DE=1+ICC*(k-1)</m:t>
          </m:r>
        </m:oMath>
      </m:oMathPara>
    </w:p>
    <w:p w:rsidR="004B57D9" w:rsidP="006043D2" w:rsidRDefault="004B57D9" w14:paraId="5AC9E8A7" w14:textId="167FD6F4">
      <w:pPr>
        <w:spacing w:line="240" w:lineRule="auto"/>
        <w:ind w:left="720"/>
        <w:contextualSpacing/>
      </w:pPr>
      <w:proofErr w:type="gramStart"/>
      <w:r>
        <w:t>Where</w:t>
      </w:r>
      <w:proofErr w:type="gramEnd"/>
      <w:r>
        <w:t>,</w:t>
      </w:r>
    </w:p>
    <w:p w:rsidR="004B57D9" w:rsidP="006043D2" w:rsidRDefault="004B57D9" w14:paraId="416611A0" w14:textId="4B6F4FDE">
      <w:pPr>
        <w:spacing w:line="240" w:lineRule="auto"/>
        <w:ind w:left="720"/>
        <w:contextualSpacing/>
      </w:pPr>
      <w:r>
        <w:tab/>
        <w:t>DE = design effect</w:t>
      </w:r>
    </w:p>
    <w:p w:rsidR="004B57D9" w:rsidP="006043D2" w:rsidRDefault="004B57D9" w14:paraId="0857D131" w14:textId="01F46483">
      <w:pPr>
        <w:spacing w:line="240" w:lineRule="auto"/>
        <w:ind w:left="720"/>
        <w:contextualSpacing/>
      </w:pPr>
      <w:r>
        <w:tab/>
        <w:t>ICC = intra-cluster correlation coefficient</w:t>
      </w:r>
    </w:p>
    <w:p w:rsidR="004B57D9" w:rsidP="006043D2" w:rsidRDefault="004B57D9" w14:paraId="17C0ACAA" w14:textId="02674C71">
      <w:pPr>
        <w:spacing w:line="240" w:lineRule="auto"/>
        <w:ind w:left="720"/>
        <w:contextualSpacing/>
      </w:pPr>
      <w:r>
        <w:tab/>
        <w:t>k = cluster size</w:t>
      </w:r>
    </w:p>
    <w:p w:rsidR="004B57D9" w:rsidP="006043D2" w:rsidRDefault="004B57D9" w14:paraId="14619ECC" w14:textId="77777777">
      <w:pPr>
        <w:spacing w:line="240" w:lineRule="auto"/>
        <w:ind w:left="720"/>
      </w:pPr>
    </w:p>
    <w:p w:rsidR="00337A3B" w:rsidP="006043D2" w:rsidRDefault="00337A3B" w14:paraId="2FF9E6E0" w14:textId="5CFB7E1B">
      <w:pPr>
        <w:spacing w:line="240" w:lineRule="auto"/>
        <w:ind w:left="720"/>
      </w:pPr>
      <w:r>
        <w:t xml:space="preserve">A pilot of representative biomonitoring for PFAS conducted by the New York State Department of Health and the Pennsylvania Department of Health resulted in retrospective calculations of the intra-cluster correlation coefficient </w:t>
      </w:r>
      <w:r w:rsidR="004B57D9">
        <w:t xml:space="preserve">(ICC) </w:t>
      </w:r>
      <w:r>
        <w:t>for PFAS in serum ranging from 0.39 to 0.54 (unpublished data from New York State Department of Health and Pennsylvania Department of Health, 2019).</w:t>
      </w:r>
      <w:r w:rsidR="004B57D9">
        <w:t xml:space="preserve"> To be conservative, we assume an ICC of 0.54 for our calculation of the design effect.</w:t>
      </w:r>
    </w:p>
    <w:p w:rsidR="00337A3B" w:rsidP="006043D2" w:rsidRDefault="004B57D9" w14:paraId="0509D80F" w14:textId="06925AC6">
      <w:pPr>
        <w:spacing w:line="240" w:lineRule="auto"/>
        <w:ind w:left="720"/>
      </w:pPr>
      <w:r>
        <w:lastRenderedPageBreak/>
        <w:t>The average household (cluster) size for the communities selected as exposure assessment sites range</w:t>
      </w:r>
      <w:r w:rsidR="00244249">
        <w:t>s</w:t>
      </w:r>
      <w:r>
        <w:t xml:space="preserve"> from 2.4 to 3.0 individuals per household. To be conservative, we assume a household (cluster) size </w:t>
      </w:r>
      <w:r w:rsidR="00501AF1">
        <w:t>o</w:t>
      </w:r>
      <w:r>
        <w:t>f 3 for our calculation of the design effect.</w:t>
      </w:r>
    </w:p>
    <w:p w:rsidR="004B57D9" w:rsidP="006043D2" w:rsidRDefault="004B57D9" w14:paraId="452F7647" w14:textId="6C00F970">
      <w:pPr>
        <w:spacing w:line="240" w:lineRule="auto"/>
        <w:ind w:left="720"/>
      </w:pPr>
      <w:r>
        <w:t>Using these values, the design effect is:</w:t>
      </w:r>
    </w:p>
    <w:p w:rsidR="004B57D9" w:rsidP="006043D2" w:rsidRDefault="004B57D9" w14:paraId="0DCFB666" w14:textId="2EC58DC8">
      <w:pPr>
        <w:spacing w:line="240" w:lineRule="auto"/>
        <w:ind w:left="720"/>
      </w:pPr>
      <m:oMathPara>
        <m:oMath>
          <m:r>
            <w:rPr>
              <w:rFonts w:ascii="Cambria Math" w:hAnsi="Cambria Math"/>
            </w:rPr>
            <m:t>1+0.54*</m:t>
          </m:r>
          <m:d>
            <m:dPr>
              <m:ctrlPr>
                <w:rPr>
                  <w:rFonts w:ascii="Cambria Math" w:hAnsi="Cambria Math"/>
                  <w:i/>
                </w:rPr>
              </m:ctrlPr>
            </m:dPr>
            <m:e>
              <m:r>
                <w:rPr>
                  <w:rFonts w:ascii="Cambria Math" w:hAnsi="Cambria Math"/>
                </w:rPr>
                <m:t>3-1</m:t>
              </m:r>
            </m:e>
          </m:d>
          <m:r>
            <w:rPr>
              <w:rFonts w:ascii="Cambria Math" w:hAnsi="Cambria Math"/>
            </w:rPr>
            <m:t>=2.1</m:t>
          </m:r>
        </m:oMath>
      </m:oMathPara>
    </w:p>
    <w:p w:rsidR="00501AF1" w:rsidP="006043D2" w:rsidRDefault="004B57D9" w14:paraId="51CBD627" w14:textId="77777777">
      <w:pPr>
        <w:spacing w:line="240" w:lineRule="auto"/>
        <w:ind w:left="720"/>
      </w:pPr>
      <w:r>
        <w:t>As a conservative assumption, we use a design effect of 2.1 to calculate our required sample size.</w:t>
      </w:r>
      <w:r w:rsidR="000D332C">
        <w:t xml:space="preserve"> </w:t>
      </w:r>
    </w:p>
    <w:p w:rsidRPr="00055EEA" w:rsidR="00501AF1" w:rsidP="00501AF1" w:rsidRDefault="00501AF1" w14:paraId="1ED435FD" w14:textId="77777777">
      <w:pPr>
        <w:spacing w:line="240" w:lineRule="auto"/>
        <w:ind w:left="720"/>
        <w:rPr>
          <w:rFonts w:eastAsiaTheme="minorEastAsia"/>
        </w:rPr>
      </w:pPr>
      <m:oMathPara>
        <m:oMath>
          <m:r>
            <w:rPr>
              <w:rFonts w:ascii="Cambria Math" w:hAnsi="Cambria Math"/>
            </w:rPr>
            <m:t>sample size=m ∙DE</m:t>
          </m:r>
        </m:oMath>
      </m:oMathPara>
    </w:p>
    <w:p w:rsidR="00501AF1" w:rsidP="006043D2" w:rsidRDefault="00501AF1" w14:paraId="0E2ED85A" w14:textId="77777777">
      <w:pPr>
        <w:spacing w:line="240" w:lineRule="auto"/>
        <w:ind w:left="720"/>
      </w:pPr>
    </w:p>
    <w:p w:rsidR="004B57D9" w:rsidP="006043D2" w:rsidRDefault="000D332C" w14:paraId="338D9E63" w14:textId="697FE3DB">
      <w:pPr>
        <w:spacing w:line="240" w:lineRule="auto"/>
        <w:ind w:left="720"/>
      </w:pPr>
      <w:r>
        <w:t xml:space="preserve">This results in a sample size of 2.1*188=395 individuals </w:t>
      </w:r>
      <w:r w:rsidR="00501AF1">
        <w:t xml:space="preserve">accounting for </w:t>
      </w:r>
      <w:proofErr w:type="spellStart"/>
      <w:r w:rsidR="00501AF1">
        <w:t>intracluster</w:t>
      </w:r>
      <w:proofErr w:type="spellEnd"/>
      <w:r w:rsidR="00501AF1">
        <w:t xml:space="preserve"> correlation</w:t>
      </w:r>
      <w:r>
        <w:t>. To be conservative, we will use this design effect for all communities, even when a smaller average household size would result in a lower design effect.</w:t>
      </w:r>
    </w:p>
    <w:p w:rsidR="00FE0AA2" w:rsidP="006043D2" w:rsidRDefault="005B19C5" w14:paraId="20E7795B" w14:textId="4A3BE788">
      <w:pPr>
        <w:spacing w:line="240" w:lineRule="auto"/>
        <w:ind w:left="720"/>
      </w:pPr>
      <w:r>
        <w:t xml:space="preserve">Assuming </w:t>
      </w:r>
      <w:r w:rsidR="00242BE0">
        <w:t xml:space="preserve">all individuals from each selected household </w:t>
      </w:r>
      <w:r>
        <w:t>are included in the sample</w:t>
      </w:r>
      <w:r w:rsidR="00242BE0">
        <w:t xml:space="preserve">, the required </w:t>
      </w:r>
      <w:r w:rsidR="00501AF1">
        <w:t>number</w:t>
      </w:r>
      <w:r w:rsidR="00242BE0">
        <w:t xml:space="preserve"> of households </w:t>
      </w:r>
      <w:r w:rsidR="00501AF1">
        <w:t xml:space="preserve">that should be contacted for recruitment </w:t>
      </w:r>
      <w:r w:rsidR="00242BE0">
        <w:t>is given by</w:t>
      </w:r>
    </w:p>
    <w:p w:rsidR="00FE0AA2" w:rsidP="00FE0AA2" w:rsidRDefault="00FE0AA2" w14:paraId="6B27496F" w14:textId="772E2425">
      <w:pPr>
        <w:spacing w:line="240" w:lineRule="auto"/>
        <w:ind w:left="720"/>
        <w:jc w:val="center"/>
      </w:pPr>
      <m:oMathPara>
        <m:oMath>
          <m:r>
            <w:rPr>
              <w:rFonts w:ascii="Cambria Math" w:hAnsi="Cambria Math"/>
            </w:rPr>
            <m:t>n=sample size ∙(</m:t>
          </m:r>
          <m:f>
            <m:fPr>
              <m:type m:val="skw"/>
              <m:ctrlPr>
                <w:rPr>
                  <w:rFonts w:ascii="Cambria Math" w:hAnsi="Cambria Math"/>
                  <w:i/>
                </w:rPr>
              </m:ctrlPr>
            </m:fPr>
            <m:num>
              <m:r>
                <w:rPr>
                  <w:rFonts w:ascii="Cambria Math" w:hAnsi="Cambria Math"/>
                </w:rPr>
                <m:t>N</m:t>
              </m:r>
            </m:num>
            <m:den>
              <m:r>
                <w:rPr>
                  <w:rFonts w:ascii="Cambria Math" w:hAnsi="Cambria Math"/>
                </w:rPr>
                <m:t>M</m:t>
              </m:r>
            </m:den>
          </m:f>
          <m:r>
            <w:rPr>
              <w:rFonts w:ascii="Cambria Math" w:hAnsi="Cambria Math"/>
            </w:rPr>
            <m:t>)</m:t>
          </m:r>
        </m:oMath>
      </m:oMathPara>
    </w:p>
    <w:p w:rsidR="00FE0AA2" w:rsidP="00FE0AA2" w:rsidRDefault="00FE0AA2" w14:paraId="5D391C10" w14:textId="77777777">
      <w:pPr>
        <w:spacing w:after="0" w:line="240" w:lineRule="auto"/>
        <w:ind w:left="720"/>
      </w:pPr>
      <w:proofErr w:type="gramStart"/>
      <w:r>
        <w:t>Where</w:t>
      </w:r>
      <w:proofErr w:type="gramEnd"/>
      <w:r>
        <w:t>,</w:t>
      </w:r>
    </w:p>
    <w:p w:rsidR="00FE0AA2" w:rsidP="00FE0AA2" w:rsidRDefault="00FE0AA2" w14:paraId="728CB756" w14:textId="77777777">
      <w:pPr>
        <w:spacing w:after="0" w:line="240" w:lineRule="auto"/>
        <w:ind w:left="1440"/>
      </w:pPr>
      <w:r>
        <w:t>n = required number of households</w:t>
      </w:r>
    </w:p>
    <w:p w:rsidR="00FE0AA2" w:rsidP="00FE0AA2" w:rsidRDefault="00FE0AA2" w14:paraId="1B625E26" w14:textId="77777777">
      <w:pPr>
        <w:spacing w:after="0" w:line="240" w:lineRule="auto"/>
        <w:ind w:left="1440"/>
      </w:pPr>
      <w:r>
        <w:t xml:space="preserve">N = the total number of households in the sampling frame </w:t>
      </w:r>
    </w:p>
    <w:p w:rsidR="00FE0AA2" w:rsidP="00FE0AA2" w:rsidRDefault="00FE0AA2" w14:paraId="27C28DAE" w14:textId="77777777">
      <w:pPr>
        <w:spacing w:after="0" w:line="240" w:lineRule="auto"/>
        <w:ind w:left="1440"/>
      </w:pPr>
      <w:r>
        <w:t>M = the total number of individuals in the sampling frame</w:t>
      </w:r>
    </w:p>
    <w:p w:rsidR="00FE0AA2" w:rsidP="006043D2" w:rsidRDefault="00FE0AA2" w14:paraId="6DC216B0" w14:textId="77777777">
      <w:pPr>
        <w:spacing w:line="240" w:lineRule="auto"/>
        <w:ind w:left="720"/>
      </w:pPr>
    </w:p>
    <w:p w:rsidR="00242BE0" w:rsidP="006043D2" w:rsidRDefault="000D332C" w14:paraId="49ED4CE8" w14:textId="5911B630">
      <w:pPr>
        <w:spacing w:line="240" w:lineRule="auto"/>
        <w:ind w:left="720"/>
      </w:pPr>
      <w:r>
        <w:t>In the Hampden County community</w:t>
      </w:r>
      <w:r w:rsidR="00072C94">
        <w:t xml:space="preserve"> (the first exposure assessment site)</w:t>
      </w:r>
      <w:r w:rsidR="00242BE0">
        <w:t xml:space="preserve"> m = </w:t>
      </w:r>
      <w:r w:rsidR="002A28CF">
        <w:t>3</w:t>
      </w:r>
      <w:r>
        <w:t>95</w:t>
      </w:r>
      <w:r w:rsidR="00242BE0">
        <w:t xml:space="preserve">, N = </w:t>
      </w:r>
      <w:r w:rsidR="008052B2">
        <w:t>2,882</w:t>
      </w:r>
      <w:r w:rsidR="00242BE0">
        <w:t xml:space="preserve">, M = </w:t>
      </w:r>
      <w:r w:rsidR="008052B2">
        <w:t>7,665</w:t>
      </w:r>
      <w:r w:rsidR="005D50CE">
        <w:t xml:space="preserve"> </w:t>
      </w:r>
      <w:r w:rsidR="002B63F9">
        <w:t>so a</w:t>
      </w:r>
      <w:r w:rsidR="00D0694E">
        <w:t xml:space="preserve"> sample of n = </w:t>
      </w:r>
      <w:r w:rsidR="008052B2">
        <w:t>14</w:t>
      </w:r>
      <w:r w:rsidR="00072C94">
        <w:t>9</w:t>
      </w:r>
      <w:r w:rsidR="008052B2">
        <w:t xml:space="preserve"> </w:t>
      </w:r>
      <w:r w:rsidR="006043D2">
        <w:t xml:space="preserve">households is needed. </w:t>
      </w:r>
      <w:r w:rsidR="00072C94">
        <w:t>Values for N and M taken from 2010 census data for census tract 8125 in Hampden County, MA.</w:t>
      </w:r>
      <w:r w:rsidR="00E54AF0">
        <w:t xml:space="preserve"> At the pilot sites, a within household response rate of 85% was achieved for households in which at least one person participated. Assuming this response rate applies at all sites, the total number of households that need to be contacted </w:t>
      </w:r>
      <w:proofErr w:type="gramStart"/>
      <w:r w:rsidR="00E54AF0">
        <w:t>in order to</w:t>
      </w:r>
      <w:proofErr w:type="gramEnd"/>
      <w:r w:rsidR="00E54AF0">
        <w:t xml:space="preserve"> get 395 individuals to participate is </w:t>
      </w:r>
      <w:r w:rsidR="00FB69B0">
        <w:t>269 households. This value is based on a</w:t>
      </w:r>
      <w:r w:rsidR="00E61603">
        <w:t>n</w:t>
      </w:r>
      <w:r w:rsidR="00FB69B0">
        <w:t xml:space="preserve"> </w:t>
      </w:r>
      <w:r w:rsidR="00E61603">
        <w:t>85</w:t>
      </w:r>
      <w:r w:rsidR="00FB69B0">
        <w:t xml:space="preserve">% </w:t>
      </w:r>
      <w:r w:rsidR="00E61603">
        <w:t>household p</w:t>
      </w:r>
      <w:r w:rsidR="00FB69B0">
        <w:t>articipation rate (149/0.</w:t>
      </w:r>
      <w:r w:rsidR="00E61603">
        <w:t>8</w:t>
      </w:r>
      <w:r w:rsidR="00FB69B0">
        <w:t xml:space="preserve">5 = </w:t>
      </w:r>
      <w:r w:rsidR="00E61603">
        <w:t>175</w:t>
      </w:r>
      <w:r w:rsidR="00FB69B0">
        <w:t xml:space="preserve">) and a </w:t>
      </w:r>
      <w:r w:rsidR="00E61603">
        <w:t>general</w:t>
      </w:r>
      <w:r w:rsidR="00FB69B0">
        <w:t xml:space="preserve"> </w:t>
      </w:r>
      <w:r w:rsidR="00221D4F">
        <w:t>response</w:t>
      </w:r>
      <w:r w:rsidR="00FB69B0">
        <w:t xml:space="preserve"> rate of </w:t>
      </w:r>
      <w:r w:rsidR="00E61603">
        <w:t>6</w:t>
      </w:r>
      <w:r w:rsidR="00FB69B0">
        <w:t>5% (175/0.</w:t>
      </w:r>
      <w:r w:rsidR="00E61603">
        <w:t>6</w:t>
      </w:r>
      <w:r w:rsidR="00FB69B0">
        <w:t>5 = 269)</w:t>
      </w:r>
      <w:r w:rsidR="00E54AF0">
        <w:t>.</w:t>
      </w:r>
    </w:p>
    <w:p w:rsidR="003A24CE" w:rsidP="006043D2" w:rsidRDefault="002D774B" w14:paraId="2FAC3A92" w14:textId="18C768A1">
      <w:pPr>
        <w:spacing w:line="240" w:lineRule="auto"/>
        <w:ind w:left="720"/>
      </w:pPr>
      <w:r>
        <w:t>S</w:t>
      </w:r>
      <w:r w:rsidR="00242BE0">
        <w:t xml:space="preserve">ample size estimate </w:t>
      </w:r>
      <w:r>
        <w:t xml:space="preserve">will be adjusted </w:t>
      </w:r>
      <w:r w:rsidR="00242BE0">
        <w:t>to ensure adequate precision despit</w:t>
      </w:r>
      <w:r>
        <w:t>e non-participating households</w:t>
      </w:r>
      <w:r w:rsidR="008745D4">
        <w:t>, using a</w:t>
      </w:r>
      <w:r w:rsidR="00B203FE">
        <w:t>n estimated</w:t>
      </w:r>
      <w:r w:rsidR="008745D4">
        <w:t xml:space="preserve"> </w:t>
      </w:r>
      <w:r w:rsidR="00912B55">
        <w:t xml:space="preserve">household </w:t>
      </w:r>
      <w:r w:rsidR="008745D4">
        <w:t>response rate of 65%</w:t>
      </w:r>
      <w:r w:rsidR="00242BE0">
        <w:t xml:space="preserve">. </w:t>
      </w:r>
      <w:r w:rsidR="008052B2">
        <w:t>In Hampden County,</w:t>
      </w:r>
      <w:r w:rsidR="00242BE0">
        <w:t xml:space="preserve"> </w:t>
      </w:r>
      <w:r>
        <w:t xml:space="preserve">n = </w:t>
      </w:r>
      <w:r w:rsidR="00FB69B0">
        <w:t>75</w:t>
      </w:r>
      <w:r>
        <w:t xml:space="preserve">/0.65 = </w:t>
      </w:r>
      <w:r w:rsidR="00FB69B0">
        <w:t xml:space="preserve">269 </w:t>
      </w:r>
      <w:r w:rsidR="008745D4">
        <w:t>households</w:t>
      </w:r>
      <w:r>
        <w:t xml:space="preserve"> </w:t>
      </w:r>
      <w:r w:rsidR="008052B2">
        <w:t xml:space="preserve">will </w:t>
      </w:r>
      <w:r>
        <w:t xml:space="preserve">be </w:t>
      </w:r>
      <w:r w:rsidR="008052B2">
        <w:t>contacted</w:t>
      </w:r>
      <w:r w:rsidR="006043D2">
        <w:t>.</w:t>
      </w:r>
      <w:r w:rsidR="008052B2">
        <w:t xml:space="preserve"> The number of households contacted in each community will be based on the total number of households and total number of individuals in the sampling frame but will use the same sample size of individuals for all sites.</w:t>
      </w:r>
      <w:r w:rsidR="00501AF1">
        <w:t xml:space="preserve"> The sample size of 188 independent individuals (based on the original NHANES calculation) will be used for all sites and will be modified by response rate, design effect and required household sample size.</w:t>
      </w:r>
    </w:p>
    <w:p w:rsidRPr="00501AF1" w:rsidR="00501AF1" w:rsidP="00E5733F" w:rsidRDefault="00501AF1" w14:paraId="7ACE8985" w14:textId="4DB1DBA7">
      <w:pPr>
        <w:spacing w:line="240" w:lineRule="auto"/>
        <w:ind w:left="720"/>
      </w:pPr>
      <w:r w:rsidRPr="00501AF1">
        <w:lastRenderedPageBreak/>
        <w:t xml:space="preserve">Sampling weights for both households and children are needed to calculate prevalence estimates and make inferences about the entire population of children </w:t>
      </w:r>
      <w:r w:rsidR="00525977">
        <w:t>three years of age or older</w:t>
      </w:r>
      <w:r w:rsidRPr="00501AF1">
        <w:t xml:space="preserve">. Sampling weights can be adjusted to account for unequal probabilities of selection that may have occurred due to non-response from potential participants. Complex survey procedures in SAS/SUDAAN software or </w:t>
      </w:r>
      <w:proofErr w:type="spellStart"/>
      <w:r w:rsidRPr="00501AF1">
        <w:t>EpiInfo</w:t>
      </w:r>
      <w:proofErr w:type="spellEnd"/>
      <w:r w:rsidRPr="00501AF1">
        <w:t xml:space="preserve"> software </w:t>
      </w:r>
      <w:r w:rsidR="00525977">
        <w:t>will</w:t>
      </w:r>
      <w:r w:rsidRPr="00501AF1">
        <w:t xml:space="preserve"> be used to account for unequal weighting, </w:t>
      </w:r>
      <w:proofErr w:type="gramStart"/>
      <w:r w:rsidRPr="00501AF1">
        <w:t>stratification</w:t>
      </w:r>
      <w:proofErr w:type="gramEnd"/>
      <w:r w:rsidRPr="00501AF1">
        <w:t xml:space="preserve"> and clustering in the sample (SAS Institute, Inc., Cary, NC; RTI International, Research Triangle Park, NC). </w:t>
      </w:r>
    </w:p>
    <w:p w:rsidR="00501AF1" w:rsidP="006043D2" w:rsidRDefault="002A2DC5" w14:paraId="6166AE68" w14:textId="5EBCF7CC">
      <w:pPr>
        <w:spacing w:line="240" w:lineRule="auto"/>
        <w:ind w:left="720"/>
      </w:pPr>
      <w:r>
        <w:t>Based on the eight EAs completed in 2019 to 2020, the average response rate</w:t>
      </w:r>
      <w:r w:rsidR="00511EB7">
        <w:t xml:space="preserve"> to the recruitment letters was 10%, and not 65%. Therefore, additional EAs that may be completed would use a response rate of 10% for the recruitment letters.</w:t>
      </w:r>
      <w:r w:rsidR="00435EE4">
        <w:t xml:space="preserve"> A maximum of 3000 households will be sent </w:t>
      </w:r>
      <w:r w:rsidR="0067686E">
        <w:t>recruitment letters.</w:t>
      </w:r>
    </w:p>
    <w:p w:rsidRPr="0042621C" w:rsidR="003A24CE" w:rsidP="00141E5F" w:rsidRDefault="006E7E2A" w14:paraId="7D4FC827" w14:textId="77777777">
      <w:pPr>
        <w:pStyle w:val="NoSpacing"/>
        <w:numPr>
          <w:ilvl w:val="0"/>
          <w:numId w:val="5"/>
        </w:numPr>
        <w:spacing w:after="200"/>
        <w:rPr>
          <w:b/>
        </w:rPr>
      </w:pPr>
      <w:r w:rsidRPr="006E7E2A">
        <w:rPr>
          <w:b/>
        </w:rPr>
        <w:t>SELECT HOUSEHOLDS</w:t>
      </w:r>
    </w:p>
    <w:p w:rsidR="003A24CE" w:rsidP="007B3D7D" w:rsidRDefault="00D412C0" w14:paraId="78BE8D8E" w14:textId="721A74AF">
      <w:pPr>
        <w:spacing w:line="240" w:lineRule="auto"/>
        <w:ind w:left="720"/>
      </w:pPr>
      <w:r>
        <w:t>Each h</w:t>
      </w:r>
      <w:r w:rsidR="003A24CE">
        <w:t xml:space="preserve">ousehold </w:t>
      </w:r>
      <w:r w:rsidR="00AD7AAC">
        <w:t xml:space="preserve">in the sampling frame </w:t>
      </w:r>
      <w:r>
        <w:t xml:space="preserve">will be assigned a number (1, 2, </w:t>
      </w:r>
      <w:proofErr w:type="gramStart"/>
      <w:r>
        <w:t>3,…</w:t>
      </w:r>
      <w:proofErr w:type="gramEnd"/>
      <w:r>
        <w:t xml:space="preserve">N). </w:t>
      </w:r>
      <w:r w:rsidR="003A24CE">
        <w:t xml:space="preserve">A random number generator will be used to </w:t>
      </w:r>
      <w:r w:rsidR="00AD7AAC">
        <w:t>create a list</w:t>
      </w:r>
      <w:r w:rsidR="00BC3F7F">
        <w:t xml:space="preserve"> of </w:t>
      </w:r>
      <w:r w:rsidR="003A24CE">
        <w:t xml:space="preserve">random numbers equal </w:t>
      </w:r>
      <w:r w:rsidR="00BC3F7F">
        <w:t xml:space="preserve">in size </w:t>
      </w:r>
      <w:r w:rsidR="003A24CE">
        <w:t xml:space="preserve">to the number of households </w:t>
      </w:r>
      <w:r w:rsidR="00AD7AAC">
        <w:t>in the sampling frame</w:t>
      </w:r>
      <w:r>
        <w:t xml:space="preserve">. </w:t>
      </w:r>
      <w:r w:rsidR="001A3114">
        <w:t>Households will be contacted for recruitment into the EA based on estimated household size in the community and using an estimated response rate. If the response rate is lower than estimated, a reserve sample of households will be contacted for recruitment into the EA to reach the target sample size. If the reserve sample is used, households within the reserve sample will be given equal opportunity to participate as households initially invited to participate.</w:t>
      </w:r>
    </w:p>
    <w:p w:rsidRPr="00A215E1" w:rsidR="00A215E1" w:rsidP="00293DA9" w:rsidRDefault="00723EEA" w14:paraId="4149777F" w14:textId="77777777">
      <w:pPr>
        <w:pStyle w:val="Heading2"/>
      </w:pPr>
      <w:bookmarkStart w:name="_Toc536793474" w:id="30"/>
      <w:bookmarkStart w:name="_Toc6924096" w:id="31"/>
      <w:r>
        <w:t xml:space="preserve">Biological Sampling </w:t>
      </w:r>
      <w:r w:rsidR="00A215E1">
        <w:t>Eligibility Criteria</w:t>
      </w:r>
      <w:r>
        <w:t xml:space="preserve"> and Recruitment</w:t>
      </w:r>
      <w:bookmarkEnd w:id="30"/>
      <w:bookmarkEnd w:id="31"/>
    </w:p>
    <w:p w:rsidRPr="0066754C" w:rsidR="00C208CE" w:rsidP="000A2E11" w:rsidRDefault="00C208CE" w14:paraId="33C5CBC3" w14:textId="2A18ACF3">
      <w:pPr>
        <w:pStyle w:val="NoSpacing"/>
        <w:spacing w:after="200"/>
      </w:pPr>
      <w:r>
        <w:t xml:space="preserve">Households identified in the sampling strategy will be contacted </w:t>
      </w:r>
      <w:r w:rsidRPr="00DD02A2">
        <w:t>by</w:t>
      </w:r>
      <w:r>
        <w:t xml:space="preserve"> mail and </w:t>
      </w:r>
      <w:r w:rsidRPr="00DD02A2">
        <w:t>phone</w:t>
      </w:r>
      <w:r w:rsidR="005D50CE">
        <w:t xml:space="preserve"> and an in-person visit, if needed</w:t>
      </w:r>
      <w:r w:rsidRPr="00DD02A2">
        <w:t>.</w:t>
      </w:r>
      <w:r>
        <w:t xml:space="preserve"> The recruitment letter and script for recruitment phone calls can be found in Appendix A. </w:t>
      </w:r>
      <w:r w:rsidRPr="00DD02A2">
        <w:t xml:space="preserve"> </w:t>
      </w:r>
      <w:r w:rsidR="000A2E11">
        <w:t>Based on response rates from national surveys (e.g., National Health and Nutrition Examination Survey, Behavior Risk Factor Surveillance System) EA staff will make up to eight attempts to reach each randomly selected household by phone.</w:t>
      </w:r>
      <w:r w:rsidRPr="007A603D" w:rsidR="007A603D">
        <w:rPr>
          <w:color w:val="FF0000"/>
        </w:rPr>
        <w:t xml:space="preserve"> </w:t>
      </w:r>
      <w:r w:rsidRPr="0066754C" w:rsidR="007A603D">
        <w:t>For randomly selected households we are unable to reach by phone, we will attempt one in-person visit to recruit EA participants.</w:t>
      </w:r>
    </w:p>
    <w:p w:rsidR="0068183E" w:rsidP="0068183E" w:rsidRDefault="0068183E" w14:paraId="4626B907" w14:textId="73227962">
      <w:pPr>
        <w:pStyle w:val="NoSpacing"/>
        <w:spacing w:after="200"/>
      </w:pPr>
      <w:proofErr w:type="gramStart"/>
      <w:r>
        <w:t>In order to</w:t>
      </w:r>
      <w:proofErr w:type="gramEnd"/>
      <w:r>
        <w:t xml:space="preserve"> ensure that a sufficient number of participants are included in each EA to allow for generalizable conclusions about the exposure of the impacted community, a target for the number of participants in each EA will be set, as described in the ‘Sampling Strategy’ section of the protocol. </w:t>
      </w:r>
    </w:p>
    <w:p w:rsidR="000A2E11" w:rsidP="000A2E11" w:rsidRDefault="000A2E11" w14:paraId="56951C6E" w14:textId="1AD933A2">
      <w:pPr>
        <w:pStyle w:val="NoSpacing"/>
        <w:spacing w:after="200"/>
      </w:pPr>
      <w:r>
        <w:t xml:space="preserve">To increase the likelihood that the target sample size will be reached at each EA site, </w:t>
      </w:r>
      <w:r w:rsidR="003474F0">
        <w:t>a</w:t>
      </w:r>
      <w:r w:rsidR="001A3114">
        <w:t xml:space="preserve"> reserve sample will be contacted for recruitment if the response rate is lower than estimated</w:t>
      </w:r>
      <w:r>
        <w:t xml:space="preserve">. Site-specific response rate estimates will be used to calculate the number of households to be approached for recruitment to meet the target sample size. Each </w:t>
      </w:r>
      <w:proofErr w:type="gramStart"/>
      <w:r>
        <w:t>randomly-selected</w:t>
      </w:r>
      <w:proofErr w:type="gramEnd"/>
      <w:r>
        <w:t xml:space="preserve"> household in this block of households will have an equal opportunity to participate, meaning that study staff will carry out the planned outreach to all households within the block, regardless of whether the target sample size was met before all households were contacted for recruitment. If, on the other hand, sample size requirements are not met after attempting recruitment from the </w:t>
      </w:r>
      <w:r w:rsidR="001A3114">
        <w:t>initial sample</w:t>
      </w:r>
      <w:r>
        <w:t xml:space="preserve">, </w:t>
      </w:r>
      <w:r w:rsidR="001A3114">
        <w:t>a reserve sample</w:t>
      </w:r>
      <w:r>
        <w:t xml:space="preserve"> will be identified and approached </w:t>
      </w:r>
      <w:r>
        <w:lastRenderedPageBreak/>
        <w:t xml:space="preserve">using the same outreach described above. The size of </w:t>
      </w:r>
      <w:r w:rsidR="001A3114">
        <w:t>the reserve sample</w:t>
      </w:r>
      <w:r>
        <w:t xml:space="preserve"> required will vary from site to site.</w:t>
      </w:r>
    </w:p>
    <w:p w:rsidR="000A2E11" w:rsidP="000A2E11" w:rsidRDefault="000A2E11" w14:paraId="31708E77" w14:textId="77777777">
      <w:pPr>
        <w:pStyle w:val="NoSpacing"/>
        <w:spacing w:after="200"/>
      </w:pPr>
      <w:r>
        <w:t xml:space="preserve">To decrease the chance of participation bias – in which </w:t>
      </w:r>
      <w:r w:rsidRPr="0041382D">
        <w:t xml:space="preserve">those that do not choose to participate </w:t>
      </w:r>
      <w:r>
        <w:t xml:space="preserve">are </w:t>
      </w:r>
      <w:r w:rsidRPr="0041382D">
        <w:t>substantively different from those that do</w:t>
      </w:r>
      <w:r>
        <w:t xml:space="preserve"> – </w:t>
      </w:r>
      <w:r w:rsidRPr="0041382D">
        <w:t>households that choose not to participate</w:t>
      </w:r>
      <w:r>
        <w:t xml:space="preserve"> will not be replaced</w:t>
      </w:r>
      <w:r w:rsidRPr="0041382D">
        <w:t xml:space="preserve">. </w:t>
      </w:r>
      <w:r>
        <w:t xml:space="preserve">Information on recruitment, contact attempts, eligibility, enrollment, and batch number will be collected and used to assess for bias </w:t>
      </w:r>
      <w:proofErr w:type="gramStart"/>
      <w:r>
        <w:t>and also</w:t>
      </w:r>
      <w:proofErr w:type="gramEnd"/>
      <w:r>
        <w:t xml:space="preserve"> to weight data accordingly during the analysis phase.</w:t>
      </w:r>
    </w:p>
    <w:p w:rsidR="00C208CE" w:rsidP="00C208CE" w:rsidRDefault="00C208CE" w14:paraId="5C6DB75A" w14:textId="77777777">
      <w:pPr>
        <w:pStyle w:val="NoSpacing"/>
        <w:spacing w:after="200"/>
      </w:pPr>
      <w:r>
        <w:t xml:space="preserve">EA staff will schedule biological sampling appointments for all recruited participants during the initial phone call. </w:t>
      </w:r>
      <w:r w:rsidRPr="00DD02A2">
        <w:t xml:space="preserve">Recruited participants will </w:t>
      </w:r>
      <w:r>
        <w:t>receive</w:t>
      </w:r>
      <w:r w:rsidRPr="00DD02A2">
        <w:t xml:space="preserve"> a letter that confirms their participation, </w:t>
      </w:r>
      <w:r>
        <w:t>provides</w:t>
      </w:r>
      <w:r w:rsidRPr="00DD02A2">
        <w:t xml:space="preserve"> information about the </w:t>
      </w:r>
      <w:proofErr w:type="gramStart"/>
      <w:r>
        <w:t>assessment</w:t>
      </w:r>
      <w:proofErr w:type="gramEnd"/>
      <w:r>
        <w:t xml:space="preserve"> and includes</w:t>
      </w:r>
      <w:r w:rsidRPr="00DD02A2">
        <w:t xml:space="preserve"> a </w:t>
      </w:r>
      <w:r>
        <w:t>toll-free</w:t>
      </w:r>
      <w:r w:rsidRPr="00DD02A2">
        <w:t xml:space="preserve"> number for participants to call </w:t>
      </w:r>
      <w:r>
        <w:t>with any questions.</w:t>
      </w:r>
    </w:p>
    <w:p w:rsidR="005476B3" w:rsidP="007B3D7D" w:rsidRDefault="00C208CE" w14:paraId="79B5EF6B" w14:textId="5CC73B16">
      <w:pPr>
        <w:pStyle w:val="NoSpacing"/>
        <w:spacing w:after="200"/>
        <w:rPr>
          <w:rStyle w:val="NoSpacingChar"/>
        </w:rPr>
      </w:pPr>
      <w:r>
        <w:rPr>
          <w:rStyle w:val="NoSpacingChar"/>
        </w:rPr>
        <w:t xml:space="preserve">For sampled households that agree to participate, </w:t>
      </w:r>
      <w:proofErr w:type="gramStart"/>
      <w:r>
        <w:rPr>
          <w:rStyle w:val="NoSpacingChar"/>
        </w:rPr>
        <w:t>e</w:t>
      </w:r>
      <w:r w:rsidR="00B008DD">
        <w:rPr>
          <w:rStyle w:val="NoSpacingChar"/>
        </w:rPr>
        <w:t xml:space="preserve">ach </w:t>
      </w:r>
      <w:r>
        <w:rPr>
          <w:rStyle w:val="NoSpacingChar"/>
        </w:rPr>
        <w:t>individual</w:t>
      </w:r>
      <w:proofErr w:type="gramEnd"/>
      <w:r>
        <w:rPr>
          <w:rStyle w:val="NoSpacingChar"/>
        </w:rPr>
        <w:t xml:space="preserve"> will be screened using </w:t>
      </w:r>
      <w:r w:rsidR="00B008DD">
        <w:rPr>
          <w:rStyle w:val="NoSpacingChar"/>
        </w:rPr>
        <w:t>a series of eligibility questions when they are contacted for recruitment into the EA</w:t>
      </w:r>
      <w:r w:rsidR="00912443">
        <w:rPr>
          <w:rStyle w:val="NoSpacingChar"/>
        </w:rPr>
        <w:t xml:space="preserve"> (Appendix A)</w:t>
      </w:r>
      <w:r w:rsidR="00B008DD">
        <w:rPr>
          <w:rStyle w:val="NoSpacingChar"/>
        </w:rPr>
        <w:t xml:space="preserve">. </w:t>
      </w:r>
      <w:r w:rsidR="005476B3">
        <w:rPr>
          <w:rStyle w:val="NoSpacingChar"/>
        </w:rPr>
        <w:t>Individuals within each selected household must meet the following</w:t>
      </w:r>
      <w:r w:rsidRPr="00BF2364" w:rsidR="005476B3">
        <w:rPr>
          <w:rStyle w:val="NoSpacingChar"/>
        </w:rPr>
        <w:t xml:space="preserve"> </w:t>
      </w:r>
      <w:r w:rsidR="005476B3">
        <w:rPr>
          <w:rStyle w:val="NoSpacingChar"/>
        </w:rPr>
        <w:t>inclusion criteria</w:t>
      </w:r>
      <w:r w:rsidRPr="00BF2364" w:rsidR="005476B3">
        <w:rPr>
          <w:rStyle w:val="NoSpacingChar"/>
        </w:rPr>
        <w:t xml:space="preserve"> to pa</w:t>
      </w:r>
      <w:r w:rsidR="005476B3">
        <w:rPr>
          <w:rStyle w:val="NoSpacingChar"/>
        </w:rPr>
        <w:t>r</w:t>
      </w:r>
      <w:r w:rsidR="006043D2">
        <w:rPr>
          <w:rStyle w:val="NoSpacingChar"/>
        </w:rPr>
        <w:t>ticipate in this investigation:</w:t>
      </w:r>
    </w:p>
    <w:p w:rsidR="00166690" w:rsidP="004F5164" w:rsidRDefault="00A215E1" w14:paraId="53AED6FA" w14:textId="77777777">
      <w:pPr>
        <w:pStyle w:val="NoSpacing"/>
        <w:numPr>
          <w:ilvl w:val="0"/>
          <w:numId w:val="2"/>
        </w:numPr>
        <w:spacing w:after="120"/>
      </w:pPr>
      <w:r>
        <w:t xml:space="preserve">Is </w:t>
      </w:r>
      <w:r w:rsidR="006E7E2A">
        <w:t>three</w:t>
      </w:r>
      <w:r>
        <w:t xml:space="preserve"> </w:t>
      </w:r>
      <w:r w:rsidRPr="003E1071" w:rsidR="00166690">
        <w:t xml:space="preserve">years of age </w:t>
      </w:r>
      <w:r w:rsidR="006E7E2A">
        <w:t>or</w:t>
      </w:r>
      <w:r w:rsidRPr="003E1071" w:rsidR="006E7E2A">
        <w:t xml:space="preserve"> </w:t>
      </w:r>
      <w:r w:rsidRPr="003E1071" w:rsidR="00166690">
        <w:t>older</w:t>
      </w:r>
      <w:r w:rsidR="004A3164">
        <w:t xml:space="preserve"> </w:t>
      </w:r>
    </w:p>
    <w:p w:rsidRPr="003E1071" w:rsidR="007D6FAB" w:rsidP="004F5164" w:rsidRDefault="007D6FAB" w14:paraId="757A1F71" w14:textId="169016D5">
      <w:pPr>
        <w:pStyle w:val="NoSpacing"/>
        <w:numPr>
          <w:ilvl w:val="0"/>
          <w:numId w:val="2"/>
        </w:numPr>
        <w:spacing w:after="120"/>
      </w:pPr>
      <w:r>
        <w:t>Has lived in the community for at least one year</w:t>
      </w:r>
    </w:p>
    <w:p w:rsidRPr="003E1071" w:rsidR="00166690" w:rsidP="004F5164" w:rsidRDefault="00166690" w14:paraId="69151E18" w14:textId="77777777">
      <w:pPr>
        <w:pStyle w:val="NoSpacing"/>
        <w:numPr>
          <w:ilvl w:val="0"/>
          <w:numId w:val="2"/>
        </w:numPr>
        <w:spacing w:after="120"/>
      </w:pPr>
      <w:r w:rsidRPr="003E1071">
        <w:t xml:space="preserve">Does not have a bleeding disorder and is not anemic </w:t>
      </w:r>
    </w:p>
    <w:p w:rsidR="00642ADB" w:rsidP="007B3D7D" w:rsidRDefault="007A1027" w14:paraId="6A307C39" w14:textId="6E9CD6E4">
      <w:pPr>
        <w:pStyle w:val="NoSpacing"/>
        <w:spacing w:after="200"/>
      </w:pPr>
      <w:r>
        <w:t>Children younger than 3</w:t>
      </w:r>
      <w:r w:rsidRPr="003E1071" w:rsidR="00166690">
        <w:t xml:space="preserve"> years old are excluded</w:t>
      </w:r>
      <w:r w:rsidR="00642ADB">
        <w:t xml:space="preserve"> from the </w:t>
      </w:r>
      <w:r w:rsidR="006D52DE">
        <w:t>assessments</w:t>
      </w:r>
      <w:r w:rsidRPr="003E1071" w:rsidR="00166690">
        <w:t xml:space="preserve"> because the reference values to be used for comparison for serum concentrations in this investigation are only avai</w:t>
      </w:r>
      <w:r>
        <w:t xml:space="preserve">lable for children </w:t>
      </w:r>
      <w:r w:rsidR="006E7E2A">
        <w:t>ages three</w:t>
      </w:r>
      <w:r w:rsidRPr="003E1071" w:rsidR="004842E8">
        <w:t xml:space="preserve"> and older </w:t>
      </w:r>
      <w:r w:rsidRPr="003E1071" w:rsidR="004842E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 </w:instrText>
      </w:r>
      <w:r w:rsidR="00C4634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EN.CITE.DATA </w:instrText>
      </w:r>
      <w:r w:rsidR="00C46348">
        <w:fldChar w:fldCharType="end"/>
      </w:r>
      <w:r w:rsidRPr="003E1071" w:rsidR="004842E8">
        <w:fldChar w:fldCharType="separate"/>
      </w:r>
      <w:r w:rsidR="00C46348">
        <w:rPr>
          <w:noProof/>
        </w:rPr>
        <w:t>[5, 131]</w:t>
      </w:r>
      <w:r w:rsidRPr="003E1071" w:rsidR="004842E8">
        <w:fldChar w:fldCharType="end"/>
      </w:r>
      <w:r w:rsidRPr="003E1071" w:rsidR="004842E8">
        <w:t xml:space="preserve">. </w:t>
      </w:r>
      <w:r w:rsidR="00642ADB">
        <w:t xml:space="preserve">Children under </w:t>
      </w:r>
      <w:r w:rsidR="006E7E2A">
        <w:t>three</w:t>
      </w:r>
      <w:r w:rsidR="00642ADB">
        <w:t xml:space="preserve"> years old may still be sampled at the request of parents or guardians</w:t>
      </w:r>
      <w:r w:rsidR="00A5766D">
        <w:t xml:space="preserve">; </w:t>
      </w:r>
      <w:r w:rsidR="00963BF1">
        <w:t>however, the child’s general state of health, age, and size will be taken into consideration and EA personnel may elect not to collect a blood sample from any child identified as potentially at risk from doing so. W</w:t>
      </w:r>
      <w:r w:rsidR="00A5766D">
        <w:t>hile indiv</w:t>
      </w:r>
      <w:r w:rsidR="00F041E1">
        <w:t>i</w:t>
      </w:r>
      <w:r w:rsidR="00A5766D">
        <w:t>d</w:t>
      </w:r>
      <w:r w:rsidR="00F041E1">
        <w:t>u</w:t>
      </w:r>
      <w:r w:rsidR="00A5766D">
        <w:t xml:space="preserve">al results from children under age three will be reported to parents or guardians, </w:t>
      </w:r>
      <w:r w:rsidR="00642ADB">
        <w:t xml:space="preserve">data from these participants will not </w:t>
      </w:r>
      <w:r w:rsidR="006043D2">
        <w:t xml:space="preserve">be included in the analysis. </w:t>
      </w:r>
      <w:r w:rsidR="00D57243">
        <w:t xml:space="preserve">Individuals with bleeding disorders or anemia will be excluded </w:t>
      </w:r>
      <w:proofErr w:type="gramStart"/>
      <w:r w:rsidR="00D57243">
        <w:t>in order to</w:t>
      </w:r>
      <w:proofErr w:type="gramEnd"/>
      <w:r w:rsidR="00D57243">
        <w:t xml:space="preserve"> reduce burden and risk of blood sampling. </w:t>
      </w:r>
    </w:p>
    <w:p w:rsidR="001A316D" w:rsidP="007B3D7D" w:rsidRDefault="009B4BB8" w14:paraId="611A7A0F" w14:textId="77777777">
      <w:pPr>
        <w:pStyle w:val="NoSpacing"/>
        <w:spacing w:after="200"/>
      </w:pPr>
      <w:r>
        <w:t>To assess for the potential impact on PFAS excretion and resulting concentrations in blood and urine, p</w:t>
      </w:r>
      <w:r w:rsidR="00545065">
        <w:t>articipants with diagnosed conditions that impact kidney function (</w:t>
      </w:r>
      <w:r w:rsidR="00A5766D">
        <w:t xml:space="preserve">e.g., </w:t>
      </w:r>
      <w:r w:rsidR="00545065">
        <w:t xml:space="preserve">kidney disease, </w:t>
      </w:r>
      <w:r w:rsidR="006C7DC3">
        <w:t xml:space="preserve">diabetes, </w:t>
      </w:r>
      <w:r w:rsidR="001C3091">
        <w:t>hepatitis C</w:t>
      </w:r>
      <w:r w:rsidR="006C7DC3">
        <w:t xml:space="preserve">) will be asked to self-identify via the </w:t>
      </w:r>
      <w:proofErr w:type="gramStart"/>
      <w:r w:rsidR="006C7DC3">
        <w:t>questionnaire, but</w:t>
      </w:r>
      <w:proofErr w:type="gramEnd"/>
      <w:r w:rsidR="006C7DC3">
        <w:t xml:space="preserve"> will not be excluded from the </w:t>
      </w:r>
      <w:r w:rsidR="006D52DE">
        <w:t>assessment</w:t>
      </w:r>
      <w:r w:rsidR="006C7DC3">
        <w:t>.</w:t>
      </w:r>
      <w:r>
        <w:t xml:space="preserve"> Similarly, because pregnancy can impact PFAS excretion, p</w:t>
      </w:r>
      <w:r w:rsidR="006C7DC3">
        <w:t xml:space="preserve">regnant women will neither be targeted nor excluded, but will also be asked to self-identify via the questionnaire. </w:t>
      </w:r>
    </w:p>
    <w:p w:rsidRPr="00181C42" w:rsidR="0009745C" w:rsidP="007B3D7D" w:rsidRDefault="003819F2" w14:paraId="4FC98C1B" w14:textId="77777777">
      <w:pPr>
        <w:pStyle w:val="NoSpacing"/>
        <w:spacing w:after="200"/>
      </w:pPr>
      <w:r>
        <w:t xml:space="preserve">Participants will not be </w:t>
      </w:r>
      <w:r w:rsidR="00DC5E23">
        <w:t>reimburse</w:t>
      </w:r>
      <w:r>
        <w:t>d</w:t>
      </w:r>
      <w:r w:rsidR="00DC5E23">
        <w:t xml:space="preserve"> or incentiv</w:t>
      </w:r>
      <w:r>
        <w:t>ized to take part in the EA and, similarly, there</w:t>
      </w:r>
      <w:r w:rsidR="00DC5E23">
        <w:t xml:space="preserve"> will be no costs to participants</w:t>
      </w:r>
      <w:r>
        <w:t>.</w:t>
      </w:r>
    </w:p>
    <w:p w:rsidRPr="00AF04A7" w:rsidR="00723EEA" w:rsidP="00723EEA" w:rsidRDefault="00723EEA" w14:paraId="4B7D5CDC" w14:textId="77777777">
      <w:pPr>
        <w:pStyle w:val="Heading2"/>
      </w:pPr>
      <w:bookmarkStart w:name="_Toc536793475" w:id="32"/>
      <w:bookmarkStart w:name="_Toc6924097" w:id="33"/>
      <w:r>
        <w:rPr>
          <w:rStyle w:val="Heading3Char"/>
          <w:b/>
          <w:i w:val="0"/>
          <w:color w:val="548DD4" w:themeColor="text2" w:themeTint="99"/>
        </w:rPr>
        <w:t xml:space="preserve">Environmental Sampling Eligibility and </w:t>
      </w:r>
      <w:r w:rsidRPr="000530E7">
        <w:rPr>
          <w:rStyle w:val="Heading3Char"/>
          <w:b/>
          <w:i w:val="0"/>
          <w:color w:val="548DD4" w:themeColor="text2" w:themeTint="99"/>
        </w:rPr>
        <w:t>Recruitment</w:t>
      </w:r>
      <w:bookmarkEnd w:id="32"/>
      <w:bookmarkEnd w:id="33"/>
      <w:r>
        <w:rPr>
          <w:rStyle w:val="Heading3Char"/>
          <w:b/>
          <w:i w:val="0"/>
          <w:color w:val="548DD4" w:themeColor="text2" w:themeTint="99"/>
        </w:rPr>
        <w:t xml:space="preserve"> </w:t>
      </w:r>
    </w:p>
    <w:p w:rsidR="00723EEA" w:rsidP="007B3D7D" w:rsidRDefault="009A40F7" w14:paraId="23603EBD" w14:textId="6E7AA110">
      <w:pPr>
        <w:pStyle w:val="NoSpacing"/>
        <w:spacing w:after="200"/>
      </w:pPr>
      <w:r>
        <w:t>A</w:t>
      </w:r>
      <w:r w:rsidR="009A0076">
        <w:t>n arbitrary</w:t>
      </w:r>
      <w:r>
        <w:t xml:space="preserve"> target of t</w:t>
      </w:r>
      <w:r w:rsidR="00B24441">
        <w:t xml:space="preserve">en percent of households recruited into the EA will </w:t>
      </w:r>
      <w:r>
        <w:t xml:space="preserve">also </w:t>
      </w:r>
      <w:r w:rsidR="00570126">
        <w:t>be invited to participate in</w:t>
      </w:r>
      <w:r w:rsidR="00B24441">
        <w:t xml:space="preserve"> </w:t>
      </w:r>
      <w:r w:rsidR="00F20D64">
        <w:t xml:space="preserve">exploratory </w:t>
      </w:r>
      <w:r w:rsidR="00B24441">
        <w:t xml:space="preserve">environmental (indoor dust and tap water) sampling. </w:t>
      </w:r>
      <w:r w:rsidR="00570126">
        <w:t xml:space="preserve">These households will be randomly </w:t>
      </w:r>
      <w:r w:rsidR="00570126">
        <w:lastRenderedPageBreak/>
        <w:t xml:space="preserve">selected from the list of households that </w:t>
      </w:r>
      <w:r w:rsidR="00627E27">
        <w:t xml:space="preserve">have been </w:t>
      </w:r>
      <w:r w:rsidR="00B72ABB">
        <w:t>recruited into the EA</w:t>
      </w:r>
      <w:r w:rsidR="00723EEA">
        <w:t>. Each household must meet the following eligibility criteria to take part in environmental sampling:</w:t>
      </w:r>
    </w:p>
    <w:p w:rsidR="00723EEA" w:rsidP="004F5164" w:rsidRDefault="00723EEA" w14:paraId="3E5391D5" w14:textId="77777777">
      <w:pPr>
        <w:pStyle w:val="NoSpacing"/>
        <w:numPr>
          <w:ilvl w:val="0"/>
          <w:numId w:val="2"/>
        </w:numPr>
        <w:spacing w:after="120"/>
      </w:pPr>
      <w:r>
        <w:t>At least one member of the household is participating in biological sampling</w:t>
      </w:r>
    </w:p>
    <w:p w:rsidR="00723EEA" w:rsidP="004F5164" w:rsidRDefault="00723EEA" w14:paraId="270E628F" w14:textId="77777777">
      <w:pPr>
        <w:pStyle w:val="NoSpacing"/>
        <w:numPr>
          <w:ilvl w:val="0"/>
          <w:numId w:val="2"/>
        </w:numPr>
        <w:spacing w:after="120"/>
      </w:pPr>
      <w:r>
        <w:t xml:space="preserve">Head of household reports that people who live in the home primarily drink tap water.  </w:t>
      </w:r>
    </w:p>
    <w:p w:rsidR="006D52DE" w:rsidP="00723EEA" w:rsidRDefault="00B24441" w14:paraId="6DE7DB0B" w14:textId="0F6F1923">
      <w:pPr>
        <w:pStyle w:val="NoSpacing"/>
        <w:spacing w:after="200"/>
      </w:pPr>
      <w:proofErr w:type="gramStart"/>
      <w:r>
        <w:t>In order to</w:t>
      </w:r>
      <w:proofErr w:type="gramEnd"/>
      <w:r>
        <w:t xml:space="preserve"> </w:t>
      </w:r>
      <w:r w:rsidR="009A40F7">
        <w:t xml:space="preserve">ensure an adequate number of households are </w:t>
      </w:r>
      <w:r w:rsidR="00570126">
        <w:t xml:space="preserve">identified for </w:t>
      </w:r>
      <w:r w:rsidR="009A40F7">
        <w:t xml:space="preserve">environmental sampling, </w:t>
      </w:r>
      <w:r w:rsidR="006A0227">
        <w:t>an estimated</w:t>
      </w:r>
      <w:r w:rsidR="009A40F7">
        <w:t xml:space="preserve"> response rate of 65% </w:t>
      </w:r>
      <w:r w:rsidR="00570126">
        <w:t xml:space="preserve">will be used to determine how many households will be invited to participate in environmental sampling. </w:t>
      </w:r>
      <w:r w:rsidR="004079E1">
        <w:t xml:space="preserve">For example, if a target of 15 households </w:t>
      </w:r>
      <w:proofErr w:type="gramStart"/>
      <w:r w:rsidR="004079E1">
        <w:t>are</w:t>
      </w:r>
      <w:proofErr w:type="gramEnd"/>
      <w:r w:rsidR="004079E1">
        <w:t xml:space="preserve"> needed for environmental sampling, then n = 15/0.65 = 23 will be the number of households randomly selected </w:t>
      </w:r>
      <w:r w:rsidR="00D946DF">
        <w:t>to receive</w:t>
      </w:r>
      <w:r w:rsidR="004079E1">
        <w:t xml:space="preserve"> environmental sampling invitations. </w:t>
      </w:r>
    </w:p>
    <w:p w:rsidR="00A9039D" w:rsidP="007B3D7D" w:rsidRDefault="001C1EDF" w14:paraId="72CB1FB1" w14:textId="1CA8D4FB">
      <w:pPr>
        <w:pStyle w:val="NoSpacing"/>
        <w:spacing w:after="200"/>
      </w:pPr>
      <w:r>
        <w:t xml:space="preserve">Similar to the multi-stage recruitment approach described above, if sample size goals are not met after attempting to recruit from the first batch of </w:t>
      </w:r>
      <w:proofErr w:type="gramStart"/>
      <w:r>
        <w:t>randomly-selected</w:t>
      </w:r>
      <w:proofErr w:type="gramEnd"/>
      <w:r>
        <w:t xml:space="preserve"> households, subsequent batches will be identified and approached. </w:t>
      </w:r>
      <w:r w:rsidR="009B4BB8">
        <w:t>The head of household</w:t>
      </w:r>
      <w:r w:rsidR="00BD69C6">
        <w:t xml:space="preserve"> from households </w:t>
      </w:r>
      <w:r>
        <w:t xml:space="preserve">randomly </w:t>
      </w:r>
      <w:r w:rsidR="00BD69C6">
        <w:t>selected for environmental sampling will be invited to participate in environmental sampling</w:t>
      </w:r>
      <w:r w:rsidR="00580011">
        <w:t xml:space="preserve"> </w:t>
      </w:r>
      <w:r w:rsidR="00A06298">
        <w:t xml:space="preserve">during a follow up phone call. </w:t>
      </w:r>
      <w:r w:rsidR="00B72ABB">
        <w:t>A home visit will be scheduled for environmental sampling during the same two</w:t>
      </w:r>
      <w:r w:rsidR="00234009">
        <w:t>-</w:t>
      </w:r>
      <w:r w:rsidR="00B72ABB">
        <w:t xml:space="preserve">week period </w:t>
      </w:r>
      <w:r w:rsidR="00234009">
        <w:t xml:space="preserve">of </w:t>
      </w:r>
      <w:r w:rsidR="00B72ABB">
        <w:t>bi</w:t>
      </w:r>
      <w:r w:rsidR="00D946DF">
        <w:t xml:space="preserve">ological sampling. </w:t>
      </w:r>
    </w:p>
    <w:p w:rsidR="00580011" w:rsidP="007B3D7D" w:rsidRDefault="009B4BB8" w14:paraId="758BBC50" w14:textId="77777777">
      <w:pPr>
        <w:pStyle w:val="NoSpacing"/>
        <w:spacing w:after="200"/>
      </w:pPr>
      <w:r>
        <w:t xml:space="preserve">All participating households </w:t>
      </w:r>
      <w:r w:rsidR="00A9039D">
        <w:t xml:space="preserve">will </w:t>
      </w:r>
      <w:r w:rsidR="00D946DF">
        <w:t>receive a follow</w:t>
      </w:r>
      <w:r w:rsidR="00234009">
        <w:t>-</w:t>
      </w:r>
      <w:r w:rsidR="00D946DF">
        <w:t xml:space="preserve">up letter confirming their </w:t>
      </w:r>
      <w:r w:rsidR="00A9039D">
        <w:t>participation and</w:t>
      </w:r>
      <w:r w:rsidR="007A2910">
        <w:t xml:space="preserve"> sampling appointment</w:t>
      </w:r>
      <w:r w:rsidR="00A9039D">
        <w:t>s</w:t>
      </w:r>
      <w:r w:rsidR="007A2910">
        <w:t>.</w:t>
      </w:r>
    </w:p>
    <w:p w:rsidR="00146A5D" w:rsidP="00BF0348" w:rsidRDefault="00580011" w14:paraId="0CC44260" w14:textId="46F739CC">
      <w:pPr>
        <w:pStyle w:val="NoSpacing"/>
        <w:spacing w:after="200"/>
      </w:pPr>
      <w:r>
        <w:t>F</w:t>
      </w:r>
      <w:r w:rsidR="00146A5D">
        <w:t xml:space="preserve">igure 1 visually depicts the recruitment process. </w:t>
      </w:r>
    </w:p>
    <w:p w:rsidRPr="004F5164" w:rsidR="00AD4FCF" w:rsidP="00AD4FCF" w:rsidRDefault="00AD4FCF" w14:paraId="107F3A55" w14:textId="77777777">
      <w:pPr>
        <w:pStyle w:val="Heading2"/>
      </w:pPr>
      <w:bookmarkStart w:name="_Toc536793476" w:id="34"/>
      <w:bookmarkStart w:name="_Toc6924098" w:id="35"/>
      <w:r w:rsidRPr="004F5164">
        <w:t>Sample Collection Procedures</w:t>
      </w:r>
      <w:bookmarkEnd w:id="34"/>
      <w:bookmarkEnd w:id="35"/>
    </w:p>
    <w:p w:rsidRPr="004F5164" w:rsidR="00AD4FCF" w:rsidP="00AD4FCF" w:rsidRDefault="00AD4FCF" w14:paraId="7BED7743" w14:textId="77777777">
      <w:pPr>
        <w:pStyle w:val="Heading3"/>
      </w:pPr>
      <w:bookmarkStart w:name="_Toc536793477" w:id="36"/>
      <w:bookmarkStart w:name="_Toc6924099" w:id="37"/>
      <w:r w:rsidRPr="004F5164">
        <w:t>Informed Consent/Assent</w:t>
      </w:r>
      <w:bookmarkEnd w:id="36"/>
      <w:bookmarkEnd w:id="37"/>
    </w:p>
    <w:p w:rsidRPr="00FD7C42" w:rsidR="00AD4FCF" w:rsidP="00AD4FCF" w:rsidRDefault="00AD4FCF" w14:paraId="600541DE" w14:textId="77777777">
      <w:pPr>
        <w:pStyle w:val="NoSpacing"/>
        <w:spacing w:after="200"/>
        <w:rPr>
          <w:rStyle w:val="Heading4Char"/>
          <w:rFonts w:asciiTheme="minorHAnsi" w:hAnsiTheme="minorHAnsi" w:eastAsiaTheme="minorHAnsi" w:cstheme="minorBidi"/>
          <w:bCs w:val="0"/>
          <w:i w:val="0"/>
          <w:iCs w:val="0"/>
          <w:color w:val="auto"/>
        </w:rPr>
      </w:pPr>
      <w:r w:rsidRPr="0090320D">
        <w:t>Upon arrival at the</w:t>
      </w:r>
      <w:r>
        <w:t xml:space="preserve"> centralized</w:t>
      </w:r>
      <w:r w:rsidRPr="0090320D">
        <w:t xml:space="preserve"> sample collection location, </w:t>
      </w:r>
      <w:r>
        <w:t xml:space="preserve">a Privacy Act Statement, PRA statement, </w:t>
      </w:r>
      <w:r w:rsidRPr="0090320D">
        <w:t xml:space="preserve">consent, assent, and parental permission forms (Appendix B) will be provided for participants to read and sign prior to any sample collection activities. </w:t>
      </w:r>
      <w:r>
        <w:t xml:space="preserve">Participants will also be provided </w:t>
      </w:r>
      <w:r w:rsidRPr="00342034">
        <w:t xml:space="preserve">a Biological Testing Tracking Form that they will carry with them throughout the EA testing process to ensure that all appropriate forms are </w:t>
      </w:r>
      <w:proofErr w:type="gramStart"/>
      <w:r w:rsidRPr="00342034">
        <w:t>completed</w:t>
      </w:r>
      <w:proofErr w:type="gramEnd"/>
      <w:r w:rsidRPr="00342034">
        <w:t xml:space="preserve"> and biological samples are provided (Appendix B).</w:t>
      </w:r>
      <w:r>
        <w:t xml:space="preserve"> Consent forms will be provided for all adults aged </w:t>
      </w:r>
      <w:r>
        <w:rPr>
          <w:rFonts w:cstheme="minorHAnsi"/>
        </w:rPr>
        <w:t>≥</w:t>
      </w:r>
      <w:r>
        <w:t xml:space="preserve"> 18 years (Appendix B). </w:t>
      </w:r>
      <w:r w:rsidRPr="0090320D">
        <w:t>Assent forms (Appendix B) will be provided for children aged 12</w:t>
      </w:r>
      <w:r>
        <w:rPr>
          <w:rFonts w:cstheme="minorHAnsi"/>
        </w:rPr>
        <w:t>–</w:t>
      </w:r>
      <w:r>
        <w:t>17</w:t>
      </w:r>
      <w:r w:rsidRPr="0090320D">
        <w:t xml:space="preserve">. Parental permission forms (Appendix B) will be provided for the parents or guardians of </w:t>
      </w:r>
      <w:r>
        <w:t xml:space="preserve">all </w:t>
      </w:r>
      <w:r w:rsidRPr="0090320D">
        <w:t xml:space="preserve">children participating in the investigation. Consent/assent forms </w:t>
      </w:r>
      <w:r>
        <w:t>include:</w:t>
      </w:r>
      <w:r w:rsidRPr="0090320D">
        <w:t xml:space="preserve"> the purpose of the </w:t>
      </w:r>
      <w:r>
        <w:t>assessment;</w:t>
      </w:r>
      <w:r w:rsidRPr="0090320D">
        <w:t xml:space="preserve"> procedures for sample collection</w:t>
      </w:r>
      <w:r>
        <w:t>;</w:t>
      </w:r>
      <w:r w:rsidRPr="0090320D">
        <w:t xml:space="preserve"> benefits and risks of participation</w:t>
      </w:r>
      <w:r>
        <w:t>;</w:t>
      </w:r>
      <w:r w:rsidRPr="0090320D">
        <w:t xml:space="preserve"> and contact information should participants have additional questions. </w:t>
      </w:r>
      <w:r>
        <w:t xml:space="preserve">All forms are written at the appropriate reading level for each group. All signed consent/assent/parental permission forms will be mailed to and securely archived at ATSDR. </w:t>
      </w:r>
    </w:p>
    <w:p w:rsidRPr="004F5164" w:rsidR="00AD4FCF" w:rsidP="00AD4FCF" w:rsidRDefault="00AD4FCF" w14:paraId="44BCDDA8" w14:textId="77777777">
      <w:pPr>
        <w:pStyle w:val="Heading3"/>
        <w:rPr>
          <w:rStyle w:val="Heading3Char"/>
          <w:b/>
          <w:i/>
        </w:rPr>
      </w:pPr>
      <w:bookmarkStart w:name="_Toc536793478" w:id="38"/>
      <w:bookmarkStart w:name="_Toc6924100" w:id="39"/>
      <w:r w:rsidRPr="004F5164">
        <w:rPr>
          <w:rStyle w:val="Heading3Char"/>
          <w:b/>
          <w:i/>
        </w:rPr>
        <w:t>Blood Sampling</w:t>
      </w:r>
      <w:bookmarkEnd w:id="38"/>
      <w:bookmarkEnd w:id="39"/>
    </w:p>
    <w:p w:rsidR="00AD4FCF" w:rsidP="00AD4FCF" w:rsidRDefault="00AD4FCF" w14:paraId="1C904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 licensed/qualified phlebotomist will collect approximately 6 mL of </w:t>
      </w:r>
      <w:r w:rsidRPr="00181C42">
        <w:t>blood in a</w:t>
      </w:r>
      <w:r>
        <w:t xml:space="preserve"> red top</w:t>
      </w:r>
      <w:r w:rsidRPr="00181C42">
        <w:t xml:space="preserve"> tube by venipuncture</w:t>
      </w:r>
      <w:r>
        <w:t xml:space="preserve"> from all EA participants (adults and children)</w:t>
      </w:r>
      <w:r w:rsidRPr="00181C42">
        <w:t>.</w:t>
      </w:r>
      <w:r>
        <w:t xml:space="preserve"> Each blood tube will be labeled with a preprinted bar-coded label associated with the participant. A collection log will also be maintained (Appendix C). Each sample tube will be placed upright in a rack; the blood will be allowed to clot for 30 </w:t>
      </w:r>
      <w:r>
        <w:lastRenderedPageBreak/>
        <w:t xml:space="preserve">minutes to 1 hour to create maximum serum yield. Following clotting, the red top tube will be centrifuged for 15 minutes at 1000 – 1300 g force.  </w:t>
      </w:r>
    </w:p>
    <w:p w:rsidR="00AD4FCF" w:rsidP="00AD4FCF" w:rsidRDefault="00AD4FCF" w14:paraId="5717A5C2" w14:textId="77777777">
      <w:pPr>
        <w:pStyle w:val="NoSpacing"/>
        <w:spacing w:after="200"/>
      </w:pPr>
      <w:r>
        <w:t xml:space="preserve">After the contents in the tube have clotted and been centrifuged, two serum aliquots will be obtained. In the first, a minimum of 1.0 mL serum will be pipetted into a cryovial (designated as serum sample #1). The remaining serum (max 1.8 mL) will be pipetted into a second cryovial (designated as serum sample #2). Following serum aliquoting, the red top tube and its contents will be safely discarded into a biohazard multipurpose container. </w:t>
      </w:r>
    </w:p>
    <w:p w:rsidR="00AD4FCF" w:rsidP="00BF0348" w:rsidRDefault="00AD4FCF" w14:paraId="15711051" w14:textId="174F4D77">
      <w:pPr>
        <w:pStyle w:val="NoSpacing"/>
        <w:spacing w:after="200"/>
      </w:pPr>
      <w:r w:rsidRPr="009F6C7C">
        <w:t xml:space="preserve">To protect anonymity, the samples will be labeled with a coded identification number. The identification number on the </w:t>
      </w:r>
      <w:r>
        <w:t>serum</w:t>
      </w:r>
      <w:r w:rsidRPr="009F6C7C">
        <w:t xml:space="preserve"> sample will match the identification number on the </w:t>
      </w:r>
      <w:r>
        <w:t>blood</w:t>
      </w:r>
      <w:r w:rsidRPr="009F6C7C">
        <w:t xml:space="preserve"> sample </w:t>
      </w:r>
      <w:proofErr w:type="gramStart"/>
      <w:r w:rsidRPr="009F6C7C">
        <w:t>in order to</w:t>
      </w:r>
      <w:proofErr w:type="gramEnd"/>
      <w:r w:rsidRPr="009F6C7C">
        <w:t xml:space="preserve"> pair each individ</w:t>
      </w:r>
      <w:r>
        <w:t xml:space="preserve">ual’s blood and urine samples. </w:t>
      </w:r>
    </w:p>
    <w:p w:rsidRPr="00A577D9" w:rsidR="00146A5D" w:rsidP="005F4516" w:rsidRDefault="00234009" w14:paraId="60331359" w14:textId="77777777">
      <w:pPr>
        <w:keepNext/>
        <w:keepLines/>
        <w:rPr>
          <w:b/>
        </w:rPr>
      </w:pPr>
      <w:r w:rsidRPr="00A577D9">
        <w:rPr>
          <w:b/>
        </w:rPr>
        <w:lastRenderedPageBreak/>
        <w:t>FIGURE 1: PFAS EXPOSURE ASSESSMENT RECRUITMENT PROCESS</w:t>
      </w:r>
    </w:p>
    <w:p w:rsidRPr="00146A5D" w:rsidR="00146A5D" w:rsidP="005F4516" w:rsidRDefault="00DA1369" w14:paraId="227A1932" w14:textId="13FF575C">
      <w:pPr>
        <w:pStyle w:val="NoSpacing"/>
        <w:keepNext/>
        <w:keepLines/>
        <w:spacing w:after="200"/>
        <w:rPr>
          <w:rStyle w:val="Heading3Char"/>
          <w:rFonts w:asciiTheme="minorHAnsi" w:hAnsiTheme="minorHAnsi"/>
          <w:bCs/>
          <w:i w:val="0"/>
          <w:iCs/>
          <w:color w:val="auto"/>
        </w:rPr>
      </w:pPr>
      <w:r>
        <w:rPr>
          <w:noProof/>
        </w:rPr>
        <w:drawing>
          <wp:anchor distT="0" distB="0" distL="114300" distR="114300" simplePos="0" relativeHeight="251729920" behindDoc="1" locked="0" layoutInCell="1" allowOverlap="1" wp14:editId="2273C346" wp14:anchorId="0846E2B4">
            <wp:simplePos x="0" y="0"/>
            <wp:positionH relativeFrom="column">
              <wp:posOffset>0</wp:posOffset>
            </wp:positionH>
            <wp:positionV relativeFrom="paragraph">
              <wp:posOffset>-2540</wp:posOffset>
            </wp:positionV>
            <wp:extent cx="5276850" cy="5753100"/>
            <wp:effectExtent l="0" t="0" r="0" b="19050"/>
            <wp:wrapTight wrapText="bothSides">
              <wp:wrapPolygon edited="0">
                <wp:start x="2105" y="0"/>
                <wp:lineTo x="2027" y="143"/>
                <wp:lineTo x="1949" y="2575"/>
                <wp:lineTo x="8578" y="3433"/>
                <wp:lineTo x="2573" y="3648"/>
                <wp:lineTo x="1949" y="3719"/>
                <wp:lineTo x="1949" y="6294"/>
                <wp:lineTo x="6238" y="6866"/>
                <wp:lineTo x="10059" y="6866"/>
                <wp:lineTo x="3197" y="7295"/>
                <wp:lineTo x="1949" y="7438"/>
                <wp:lineTo x="1949" y="10013"/>
                <wp:lineTo x="4289" y="10299"/>
                <wp:lineTo x="10293" y="10299"/>
                <wp:lineTo x="4445" y="10872"/>
                <wp:lineTo x="1949" y="11158"/>
                <wp:lineTo x="1949" y="13661"/>
                <wp:lineTo x="2339" y="13732"/>
                <wp:lineTo x="9279" y="13875"/>
                <wp:lineTo x="2105" y="14805"/>
                <wp:lineTo x="2027" y="15020"/>
                <wp:lineTo x="1949" y="17881"/>
                <wp:lineTo x="5303" y="18310"/>
                <wp:lineTo x="10293" y="18310"/>
                <wp:lineTo x="3821" y="18882"/>
                <wp:lineTo x="1949" y="19097"/>
                <wp:lineTo x="2027" y="21600"/>
                <wp:lineTo x="19573" y="21600"/>
                <wp:lineTo x="19806" y="19097"/>
                <wp:lineTo x="11229" y="18310"/>
                <wp:lineTo x="16375" y="18310"/>
                <wp:lineTo x="19729" y="17881"/>
                <wp:lineTo x="19573" y="14805"/>
                <wp:lineTo x="13022" y="14019"/>
                <wp:lineTo x="10761" y="13732"/>
                <wp:lineTo x="19105" y="13732"/>
                <wp:lineTo x="19806" y="13661"/>
                <wp:lineTo x="19806" y="11158"/>
                <wp:lineTo x="11229" y="10299"/>
                <wp:lineTo x="16921" y="10299"/>
                <wp:lineTo x="19729" y="9942"/>
                <wp:lineTo x="19806" y="7438"/>
                <wp:lineTo x="18481" y="7295"/>
                <wp:lineTo x="11463" y="6866"/>
                <wp:lineTo x="14894" y="6866"/>
                <wp:lineTo x="19729" y="6223"/>
                <wp:lineTo x="19806" y="3719"/>
                <wp:lineTo x="19027" y="3648"/>
                <wp:lineTo x="13022" y="3433"/>
                <wp:lineTo x="19651" y="2575"/>
                <wp:lineTo x="19573" y="0"/>
                <wp:lineTo x="210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Pr="00AD4FCF" w:rsidR="00FC6F65" w:rsidP="00AD4FCF" w:rsidRDefault="00146A5D" w14:paraId="779B7E75" w14:textId="3C1F2E14">
      <w:pPr>
        <w:keepNext/>
        <w:keepLines/>
        <w:spacing w:line="240" w:lineRule="auto"/>
        <w:rPr>
          <w:rFonts w:asciiTheme="majorHAnsi" w:hAnsiTheme="majorHAnsi" w:eastAsiaTheme="majorEastAsia" w:cstheme="majorBidi"/>
          <w:b/>
          <w:iCs/>
          <w:color w:val="0070C0"/>
          <w:sz w:val="26"/>
          <w:szCs w:val="26"/>
        </w:rPr>
      </w:pPr>
      <w:r>
        <w:rPr>
          <w:rStyle w:val="Heading3Char"/>
          <w:b w:val="0"/>
          <w:bCs/>
          <w:i w:val="0"/>
          <w:iCs/>
        </w:rPr>
        <w:br w:type="page"/>
      </w:r>
      <w:r w:rsidR="00530D8A">
        <w:lastRenderedPageBreak/>
        <w:t xml:space="preserve">All serum sample #1 </w:t>
      </w:r>
      <w:r w:rsidR="0088689B">
        <w:t>c</w:t>
      </w:r>
      <w:r w:rsidR="00CB67AD">
        <w:t xml:space="preserve">ryovials will be </w:t>
      </w:r>
      <w:r w:rsidR="00FC6F65">
        <w:t xml:space="preserve">placed inside storage boxes provided by the laboratory. Each box will be placed inside a plastic </w:t>
      </w:r>
      <w:proofErr w:type="spellStart"/>
      <w:r w:rsidR="00FC6F65">
        <w:t>Saf</w:t>
      </w:r>
      <w:proofErr w:type="spellEnd"/>
      <w:r w:rsidR="00FC6F65">
        <w:t>-T-Pak™ biohazard bag along with an absorbent pad and sealed.  This plastic bag will be placed inside a larger Tyvek® bag and sealed. The bagged specimen boxes will be placed inside a Styrofoam shipping container. Dry ice will be added to the shipper</w:t>
      </w:r>
      <w:r w:rsidR="009F1399">
        <w:t xml:space="preserve"> and serum specimens will </w:t>
      </w:r>
      <w:r w:rsidR="00377B9C">
        <w:t xml:space="preserve">be </w:t>
      </w:r>
      <w:r w:rsidR="009F1399">
        <w:t>maintained in their frozen state</w:t>
      </w:r>
      <w:r w:rsidR="00514CAC">
        <w:t xml:space="preserve">. </w:t>
      </w:r>
      <w:r w:rsidR="009F1399">
        <w:t xml:space="preserve">EA personnel </w:t>
      </w:r>
      <w:r w:rsidR="00514CAC">
        <w:t xml:space="preserve">will perform </w:t>
      </w:r>
      <w:r w:rsidR="009F1399">
        <w:t xml:space="preserve">twice daily checks </w:t>
      </w:r>
      <w:r w:rsidR="00514CAC">
        <w:t>to ensure that samples remain frozen and add</w:t>
      </w:r>
      <w:r w:rsidR="009F1399">
        <w:t xml:space="preserve"> dry ice as needed</w:t>
      </w:r>
      <w:r w:rsidR="00FC6F65">
        <w:t xml:space="preserve">. The blood samples will be shipped overnight on dry ice to the </w:t>
      </w:r>
      <w:r w:rsidRPr="00564745" w:rsidR="00FC6F65">
        <w:t>NCEH</w:t>
      </w:r>
      <w:r w:rsidR="00FC6F65">
        <w:t xml:space="preserve"> Laboratory in Atlanta, Georgia</w:t>
      </w:r>
      <w:r w:rsidR="00E44D9F">
        <w:t xml:space="preserve"> </w:t>
      </w:r>
      <w:r w:rsidR="0088689B">
        <w:t xml:space="preserve">preferably </w:t>
      </w:r>
      <w:r w:rsidR="00E44D9F">
        <w:t xml:space="preserve">on </w:t>
      </w:r>
      <w:r w:rsidR="003A13D1">
        <w:t xml:space="preserve">Wednesdays </w:t>
      </w:r>
      <w:r w:rsidR="00E44D9F">
        <w:t>and Mondays during the sample collection period</w:t>
      </w:r>
      <w:r w:rsidR="00FC6F65">
        <w:t xml:space="preserve">. </w:t>
      </w:r>
      <w:r w:rsidR="000768DA">
        <w:t>Field and laboratory s</w:t>
      </w:r>
      <w:r w:rsidR="00FC6F65">
        <w:t xml:space="preserve">taff will maintain and manage proper chain of custody (Appendix D) for all </w:t>
      </w:r>
      <w:r w:rsidR="00112E83">
        <w:t xml:space="preserve">serum </w:t>
      </w:r>
      <w:r w:rsidR="00FC6F65">
        <w:t>samples.</w:t>
      </w:r>
    </w:p>
    <w:p w:rsidR="00530D8A" w:rsidP="007B3D7D" w:rsidRDefault="00530D8A" w14:paraId="234F3B27" w14:textId="0528D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All serum sample #2 cryovials will be packed in storage boxes and shipping containers and maintained in a frozen state on dry ice as described above. These samples will be shipped overnight on dry ice to </w:t>
      </w:r>
      <w:r>
        <w:rPr>
          <w:rStyle w:val="Heading3Char"/>
          <w:rFonts w:asciiTheme="minorHAnsi" w:hAnsiTheme="minorHAnsi"/>
          <w:b w:val="0"/>
          <w:bCs/>
          <w:i w:val="0"/>
          <w:color w:val="auto"/>
        </w:rPr>
        <w:t xml:space="preserve">a centralized bio-specimen repository where they </w:t>
      </w:r>
      <w:r w:rsidRPr="006731EE">
        <w:rPr>
          <w:rStyle w:val="Heading3Char"/>
          <w:rFonts w:asciiTheme="minorHAnsi" w:hAnsiTheme="minorHAnsi"/>
          <w:b w:val="0"/>
          <w:bCs/>
          <w:i w:val="0"/>
          <w:color w:val="auto"/>
        </w:rPr>
        <w:t xml:space="preserve">will be stored. Consent forms will allow participants to choose </w:t>
      </w:r>
      <w:proofErr w:type="gramStart"/>
      <w:r w:rsidRPr="006731EE">
        <w:rPr>
          <w:rStyle w:val="Heading3Char"/>
          <w:rFonts w:asciiTheme="minorHAnsi" w:hAnsiTheme="minorHAnsi"/>
          <w:b w:val="0"/>
          <w:bCs/>
          <w:i w:val="0"/>
          <w:color w:val="auto"/>
        </w:rPr>
        <w:t>whether or not</w:t>
      </w:r>
      <w:proofErr w:type="gramEnd"/>
      <w:r w:rsidRPr="006731EE">
        <w:rPr>
          <w:rStyle w:val="Heading3Char"/>
          <w:rFonts w:asciiTheme="minorHAnsi" w:hAnsiTheme="minorHAnsi"/>
          <w:b w:val="0"/>
          <w:bCs/>
          <w:i w:val="0"/>
          <w:color w:val="auto"/>
        </w:rPr>
        <w:t xml:space="preserve"> they consent to the storage of their </w:t>
      </w:r>
      <w:r>
        <w:rPr>
          <w:rStyle w:val="Heading3Char"/>
          <w:rFonts w:asciiTheme="minorHAnsi" w:hAnsiTheme="minorHAnsi"/>
          <w:b w:val="0"/>
          <w:bCs/>
          <w:i w:val="0"/>
          <w:color w:val="auto"/>
        </w:rPr>
        <w:t>serum</w:t>
      </w:r>
      <w:r w:rsidRPr="006731EE">
        <w:rPr>
          <w:rStyle w:val="Heading3Char"/>
          <w:rFonts w:asciiTheme="minorHAnsi" w:hAnsiTheme="minorHAnsi"/>
          <w:b w:val="0"/>
          <w:bCs/>
          <w:i w:val="0"/>
          <w:color w:val="auto"/>
        </w:rPr>
        <w:t xml:space="preserve"> sample</w:t>
      </w:r>
      <w:r w:rsidR="00F723F2">
        <w:rPr>
          <w:rStyle w:val="Heading3Char"/>
          <w:rFonts w:asciiTheme="minorHAnsi" w:hAnsiTheme="minorHAnsi"/>
          <w:b w:val="0"/>
          <w:bCs/>
          <w:i w:val="0"/>
          <w:color w:val="auto"/>
        </w:rPr>
        <w:t xml:space="preserve"> for future use</w:t>
      </w:r>
      <w:r w:rsidRPr="006731EE">
        <w:rPr>
          <w:rStyle w:val="Heading3Char"/>
          <w:rFonts w:asciiTheme="minorHAnsi" w:hAnsiTheme="minorHAnsi"/>
          <w:b w:val="0"/>
          <w:bCs/>
          <w:i w:val="0"/>
          <w:color w:val="auto"/>
        </w:rPr>
        <w:t xml:space="preserve"> (Appendix B).</w:t>
      </w:r>
      <w:r w:rsidRPr="00662D2B">
        <w:rPr>
          <w:rStyle w:val="Heading3Char"/>
          <w:rFonts w:asciiTheme="minorHAnsi" w:hAnsiTheme="minorHAnsi"/>
          <w:bCs/>
          <w:color w:val="auto"/>
        </w:rPr>
        <w:t xml:space="preserve">  </w:t>
      </w:r>
    </w:p>
    <w:p w:rsidR="00FC6F65" w:rsidP="007B3D7D" w:rsidRDefault="00112E83" w14:paraId="319D0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Serum</w:t>
      </w:r>
      <w:r w:rsidRPr="00181C42">
        <w:t xml:space="preserve"> </w:t>
      </w:r>
      <w:r w:rsidR="00530D8A">
        <w:t xml:space="preserve">sample #1 cryovials will be received by the NCEH laboratory and </w:t>
      </w:r>
      <w:r w:rsidRPr="00181C42" w:rsidR="00FC6F65">
        <w:t>analyzed for</w:t>
      </w:r>
      <w:r w:rsidR="00942004">
        <w:t xml:space="preserve"> the suite of</w:t>
      </w:r>
      <w:r w:rsidRPr="00181C42" w:rsidR="00FC6F65">
        <w:t xml:space="preserve"> </w:t>
      </w:r>
      <w:r w:rsidR="00431438">
        <w:t>PFAS</w:t>
      </w:r>
      <w:r w:rsidR="00942004">
        <w:t xml:space="preserve"> measured in the most recent NHANES cycle with </w:t>
      </w:r>
      <w:proofErr w:type="spellStart"/>
      <w:r w:rsidR="00942004">
        <w:t>publically</w:t>
      </w:r>
      <w:proofErr w:type="spellEnd"/>
      <w:r w:rsidR="00942004">
        <w:t xml:space="preserve"> available data</w:t>
      </w:r>
      <w:r w:rsidRPr="00181C42" w:rsidR="00FC6F65">
        <w:t xml:space="preserve">. </w:t>
      </w:r>
      <w:r w:rsidR="00E675A6">
        <w:t xml:space="preserve">Additional analytes may be added should methods become available. </w:t>
      </w:r>
      <w:r w:rsidRPr="00181C42" w:rsidR="00FC6F65">
        <w:t xml:space="preserve">Test results will be reported as nanograms of the analyte per </w:t>
      </w:r>
      <w:r w:rsidR="00FC6F65">
        <w:t>mill</w:t>
      </w:r>
      <w:r w:rsidRPr="00181C42" w:rsidR="00FC6F65">
        <w:t xml:space="preserve">iliter of </w:t>
      </w:r>
      <w:r>
        <w:t>serum</w:t>
      </w:r>
      <w:r w:rsidRPr="00181C42">
        <w:t xml:space="preserve"> </w:t>
      </w:r>
      <w:r w:rsidRPr="00181C42" w:rsidR="00FC6F65">
        <w:t>(</w:t>
      </w:r>
      <w:r w:rsidRPr="00564745" w:rsidR="00FC6F65">
        <w:t>ng/mL</w:t>
      </w:r>
      <w:r w:rsidRPr="00181C42" w:rsidR="00FC6F65">
        <w:t>). All laboratory analysis will be conducted with established procedures for</w:t>
      </w:r>
      <w:r w:rsidR="00456742">
        <w:t xml:space="preserve"> quality assurance and control according to NCEH methodology. </w:t>
      </w:r>
    </w:p>
    <w:p w:rsidRPr="00181C42" w:rsidR="00FC6F65" w:rsidP="007B3D7D" w:rsidRDefault="00FC6F65" w14:paraId="707BC443" w14:textId="77777777">
      <w:pPr>
        <w:pStyle w:val="NoSpacing"/>
        <w:spacing w:after="200"/>
        <w:rPr>
          <w:rFonts w:cs="Arial"/>
        </w:rPr>
      </w:pPr>
      <w:r w:rsidRPr="00181C42">
        <w:rPr>
          <w:rFonts w:cs="Arial"/>
        </w:rPr>
        <w:t>Table 1 provides the list o</w:t>
      </w:r>
      <w:r>
        <w:rPr>
          <w:rFonts w:cs="Arial"/>
        </w:rPr>
        <w:t xml:space="preserve">f the </w:t>
      </w:r>
      <w:r w:rsidR="000F20D1">
        <w:rPr>
          <w:rFonts w:cs="Arial"/>
        </w:rPr>
        <w:t>PFAS</w:t>
      </w:r>
      <w:r>
        <w:rPr>
          <w:rFonts w:cs="Arial"/>
        </w:rPr>
        <w:t xml:space="preserve"> </w:t>
      </w:r>
      <w:r w:rsidR="00514CAC">
        <w:rPr>
          <w:rFonts w:cs="Arial"/>
        </w:rPr>
        <w:t>currently measured in NHANES</w:t>
      </w:r>
      <w:r>
        <w:rPr>
          <w:rFonts w:cs="Arial"/>
        </w:rPr>
        <w:t xml:space="preserve"> in </w:t>
      </w:r>
      <w:r w:rsidR="00112E83">
        <w:rPr>
          <w:rFonts w:cs="Arial"/>
        </w:rPr>
        <w:t xml:space="preserve">serum </w:t>
      </w:r>
      <w:r>
        <w:rPr>
          <w:rFonts w:cs="Arial"/>
        </w:rPr>
        <w:t xml:space="preserve">and </w:t>
      </w:r>
      <w:r w:rsidR="00514CAC">
        <w:rPr>
          <w:rFonts w:cs="Arial"/>
        </w:rPr>
        <w:t xml:space="preserve">the </w:t>
      </w:r>
      <w:r>
        <w:rPr>
          <w:rFonts w:cs="Arial"/>
        </w:rPr>
        <w:t xml:space="preserve">associated </w:t>
      </w:r>
      <w:r w:rsidRPr="00181C42">
        <w:rPr>
          <w:rFonts w:cs="Arial"/>
        </w:rPr>
        <w:t>limits</w:t>
      </w:r>
      <w:r w:rsidR="006043D2">
        <w:rPr>
          <w:rFonts w:cs="Arial"/>
        </w:rPr>
        <w:t xml:space="preserve"> of detection. </w:t>
      </w:r>
      <w:r w:rsidR="00D26E99">
        <w:rPr>
          <w:rFonts w:cs="Arial"/>
        </w:rPr>
        <w:t xml:space="preserve">For PFOA and PFOS, samples will be </w:t>
      </w:r>
      <w:r w:rsidRPr="00D26E99" w:rsidR="00D26E99">
        <w:rPr>
          <w:rFonts w:cs="Arial"/>
        </w:rPr>
        <w:t xml:space="preserve">analyzed for individual PFOA and PFOS isomers, but </w:t>
      </w:r>
      <w:r w:rsidR="00C80628">
        <w:rPr>
          <w:rFonts w:cs="Arial"/>
        </w:rPr>
        <w:t xml:space="preserve">both isomer-specific and aggregated values will be </w:t>
      </w:r>
      <w:r w:rsidRPr="00D26E99" w:rsidR="00D26E99">
        <w:rPr>
          <w:rFonts w:cs="Arial"/>
        </w:rPr>
        <w:t xml:space="preserve">reported </w:t>
      </w:r>
      <w:r w:rsidR="00C80628">
        <w:rPr>
          <w:rFonts w:cs="Arial"/>
        </w:rPr>
        <w:t xml:space="preserve">to allow for comparison to </w:t>
      </w:r>
      <w:r w:rsidRPr="00D26E99" w:rsidR="00D26E99">
        <w:rPr>
          <w:rFonts w:cs="Arial"/>
        </w:rPr>
        <w:t xml:space="preserve">past NHANES </w:t>
      </w:r>
      <w:r w:rsidR="00C80628">
        <w:rPr>
          <w:rFonts w:cs="Arial"/>
        </w:rPr>
        <w:t xml:space="preserve">that only reported aggregate measurements </w:t>
      </w:r>
      <w:r w:rsidRPr="00D26E99" w:rsidR="00D26E99">
        <w:rPr>
          <w:rFonts w:cs="Arial"/>
        </w:rPr>
        <w:t>(up to NHANES 2011-12)</w:t>
      </w:r>
      <w:r w:rsidR="00C80628">
        <w:rPr>
          <w:rFonts w:cs="Arial"/>
        </w:rPr>
        <w:t xml:space="preserve">. </w:t>
      </w:r>
    </w:p>
    <w:tbl>
      <w:tblPr>
        <w:tblW w:w="835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817"/>
        <w:gridCol w:w="5131"/>
        <w:gridCol w:w="1410"/>
      </w:tblGrid>
      <w:tr w:rsidRPr="00181C42" w:rsidR="00FC6F65" w:rsidTr="00AD4FCF" w14:paraId="4A7B70A4" w14:textId="77777777">
        <w:trPr>
          <w:trHeight w:val="288"/>
        </w:trPr>
        <w:tc>
          <w:tcPr>
            <w:tcW w:w="8358" w:type="dxa"/>
            <w:gridSpan w:val="3"/>
            <w:tcBorders>
              <w:top w:val="single" w:color="000000" w:sz="8" w:space="0"/>
              <w:bottom w:val="single" w:color="000000" w:sz="8" w:space="0"/>
            </w:tcBorders>
          </w:tcPr>
          <w:p w:rsidRPr="00181C42" w:rsidR="00FC6F65" w:rsidP="00112E83" w:rsidRDefault="00FC6F65" w14:paraId="57253BFE" w14:textId="77777777">
            <w:pPr>
              <w:pStyle w:val="NoSpacing"/>
              <w:spacing w:line="276" w:lineRule="auto"/>
              <w:rPr>
                <w:rFonts w:cs="Arial"/>
                <w:b/>
              </w:rPr>
            </w:pPr>
            <w:r w:rsidRPr="00181C42">
              <w:rPr>
                <w:rFonts w:cs="Arial"/>
                <w:b/>
              </w:rPr>
              <w:t xml:space="preserve">Table 1:  List of </w:t>
            </w:r>
            <w:r w:rsidR="00755BC6">
              <w:rPr>
                <w:rFonts w:cs="Arial"/>
                <w:b/>
              </w:rPr>
              <w:t>PFAS</w:t>
            </w:r>
            <w:r w:rsidRPr="00181C42">
              <w:rPr>
                <w:rFonts w:cs="Arial"/>
                <w:b/>
              </w:rPr>
              <w:t xml:space="preserve"> </w:t>
            </w:r>
            <w:r w:rsidR="0088689B">
              <w:rPr>
                <w:rFonts w:cs="Arial"/>
                <w:b/>
              </w:rPr>
              <w:t xml:space="preserve">proposed </w:t>
            </w:r>
            <w:r w:rsidRPr="00181C42">
              <w:rPr>
                <w:rFonts w:cs="Arial"/>
                <w:b/>
              </w:rPr>
              <w:t>to</w:t>
            </w:r>
            <w:r>
              <w:rPr>
                <w:rFonts w:cs="Arial"/>
                <w:b/>
              </w:rPr>
              <w:t xml:space="preserve"> be </w:t>
            </w:r>
            <w:r w:rsidRPr="00181C42">
              <w:rPr>
                <w:rFonts w:cs="Arial"/>
                <w:b/>
              </w:rPr>
              <w:t>measure</w:t>
            </w:r>
            <w:r>
              <w:rPr>
                <w:rFonts w:cs="Arial"/>
                <w:b/>
              </w:rPr>
              <w:t>d</w:t>
            </w:r>
            <w:r w:rsidRPr="00181C42">
              <w:rPr>
                <w:rFonts w:cs="Arial"/>
                <w:b/>
              </w:rPr>
              <w:t xml:space="preserve"> in </w:t>
            </w:r>
            <w:r w:rsidR="00112E83">
              <w:rPr>
                <w:rFonts w:cs="Arial"/>
                <w:b/>
              </w:rPr>
              <w:t xml:space="preserve">serum </w:t>
            </w:r>
            <w:r>
              <w:rPr>
                <w:rFonts w:cs="Arial"/>
                <w:b/>
              </w:rPr>
              <w:t xml:space="preserve">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88689B">
              <w:rPr>
                <w:rFonts w:cs="Arial"/>
                <w:b/>
              </w:rPr>
              <w:t xml:space="preserve">current </w:t>
            </w:r>
            <w:r>
              <w:rPr>
                <w:rFonts w:cs="Arial"/>
                <w:b/>
              </w:rPr>
              <w:t>limit of detection (LOD)</w:t>
            </w:r>
          </w:p>
        </w:tc>
      </w:tr>
      <w:tr w:rsidRPr="00181C42" w:rsidR="00CE0753" w:rsidTr="00D778B4" w14:paraId="1B4DC41D"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7C9D1698" w14:textId="77777777">
            <w:pPr>
              <w:pStyle w:val="NoSpacing"/>
              <w:spacing w:line="276" w:lineRule="auto"/>
              <w:jc w:val="center"/>
              <w:rPr>
                <w:rFonts w:cs="Arial"/>
                <w:color w:val="000000"/>
              </w:rPr>
            </w:pPr>
            <w:r w:rsidRPr="00181C42">
              <w:rPr>
                <w:rFonts w:cs="Arial"/>
                <w:b/>
                <w:bCs/>
                <w:color w:val="000000"/>
              </w:rPr>
              <w:t>Abbreviation</w:t>
            </w:r>
          </w:p>
        </w:tc>
        <w:tc>
          <w:tcPr>
            <w:tcW w:w="5131" w:type="dxa"/>
            <w:tcBorders>
              <w:top w:val="single" w:color="000000" w:sz="8" w:space="0"/>
              <w:left w:val="single" w:color="000000" w:sz="8" w:space="0"/>
              <w:bottom w:val="single" w:color="000000" w:sz="8" w:space="0"/>
            </w:tcBorders>
          </w:tcPr>
          <w:p w:rsidRPr="00181C42" w:rsidR="00FC6F65" w:rsidP="006043D2" w:rsidRDefault="00FC6F65" w14:paraId="3178CF50" w14:textId="77777777">
            <w:pPr>
              <w:pStyle w:val="NoSpacing"/>
              <w:spacing w:line="276" w:lineRule="auto"/>
              <w:jc w:val="center"/>
              <w:rPr>
                <w:rFonts w:cs="Arial"/>
                <w:b/>
                <w:color w:val="000000"/>
              </w:rPr>
            </w:pPr>
            <w:r w:rsidRPr="00181C42">
              <w:rPr>
                <w:rFonts w:cs="Arial"/>
                <w:b/>
                <w:color w:val="000000"/>
              </w:rPr>
              <w:t>Chemical Name</w:t>
            </w:r>
          </w:p>
        </w:tc>
        <w:tc>
          <w:tcPr>
            <w:tcW w:w="1410" w:type="dxa"/>
            <w:tcBorders>
              <w:top w:val="single" w:color="000000" w:sz="8" w:space="0"/>
              <w:left w:val="single" w:color="000000" w:sz="8" w:space="0"/>
              <w:bottom w:val="single" w:color="000000" w:sz="8" w:space="0"/>
            </w:tcBorders>
          </w:tcPr>
          <w:p w:rsidRPr="00181C42" w:rsidR="00FC6F65" w:rsidP="006043D2" w:rsidRDefault="00FC6F65" w14:paraId="02B600EA" w14:textId="77777777">
            <w:pPr>
              <w:pStyle w:val="NoSpacing"/>
              <w:spacing w:line="276" w:lineRule="auto"/>
              <w:jc w:val="center"/>
            </w:pPr>
            <w:r w:rsidRPr="00181C42">
              <w:rPr>
                <w:b/>
                <w:bCs/>
              </w:rPr>
              <w:t>LOD (ng/mL)</w:t>
            </w:r>
          </w:p>
        </w:tc>
      </w:tr>
      <w:tr w:rsidRPr="00181C42" w:rsidR="00CE0753" w:rsidTr="00D778B4" w14:paraId="3FAC6385"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F03983" w:rsidRDefault="00FC6F65" w14:paraId="11693B5F" w14:textId="77777777">
            <w:pPr>
              <w:pStyle w:val="NoSpacing"/>
              <w:spacing w:line="276" w:lineRule="auto"/>
              <w:jc w:val="center"/>
              <w:rPr>
                <w:rFonts w:cs="Arial"/>
                <w:color w:val="000000"/>
              </w:rPr>
            </w:pPr>
            <w:proofErr w:type="spellStart"/>
            <w:r w:rsidRPr="00181C42">
              <w:rPr>
                <w:rFonts w:cs="Arial"/>
                <w:color w:val="000000"/>
              </w:rPr>
              <w:t>Me</w:t>
            </w:r>
            <w:r w:rsidR="00F03983">
              <w:rPr>
                <w:rFonts w:cs="Arial"/>
                <w:color w:val="000000"/>
              </w:rPr>
              <w:t>FOSAA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D1763C9" w14:textId="3CB69780">
            <w:pPr>
              <w:pStyle w:val="NoSpacing"/>
              <w:spacing w:line="276" w:lineRule="auto"/>
              <w:jc w:val="center"/>
              <w:rPr>
                <w:rFonts w:cs="Arial"/>
                <w:color w:val="000000"/>
                <w:lang w:val="es-ES_tradnl"/>
              </w:rPr>
            </w:pPr>
            <w:r w:rsidRPr="004B331D">
              <w:rPr>
                <w:color w:val="000000"/>
                <w:lang w:val="es-ES_tradnl"/>
              </w:rPr>
              <w:t>N-</w:t>
            </w:r>
            <w:proofErr w:type="spellStart"/>
            <w:r w:rsidRPr="004B331D">
              <w:rPr>
                <w:color w:val="000000"/>
                <w:lang w:val="es-ES_tradnl"/>
              </w:rPr>
              <w:t>methyl</w:t>
            </w:r>
            <w:proofErr w:type="spellEnd"/>
            <w:r w:rsidRPr="00755BC6" w:rsidR="00582FBF">
              <w:rPr>
                <w:rFonts w:ascii="Calibri" w:hAnsi="Calibri" w:eastAsia="Times New Roman" w:cs="Calibri"/>
                <w:color w:val="000000"/>
              </w:rPr>
              <w:t xml:space="preserve"> </w:t>
            </w:r>
            <w:proofErr w:type="spellStart"/>
            <w:r w:rsidRPr="00755BC6" w:rsidR="00582FBF">
              <w:rPr>
                <w:rFonts w:ascii="Calibri" w:hAnsi="Calibri" w:eastAsia="Times New Roman" w:cs="Calibri"/>
                <w:color w:val="000000"/>
              </w:rPr>
              <w:t>perfluorooctanesulfonamidoacetic</w:t>
            </w:r>
            <w:proofErr w:type="spellEnd"/>
            <w:r w:rsidRPr="004B331D">
              <w:rPr>
                <w:color w:val="000000"/>
                <w:lang w:val="es-ES_tradnl"/>
              </w:rPr>
              <w:t xml:space="preserve"> </w:t>
            </w:r>
            <w:proofErr w:type="spellStart"/>
            <w:r w:rsidRPr="004B331D">
              <w:rPr>
                <w:color w:val="000000"/>
                <w:lang w:val="es-ES_tradnl"/>
              </w:rPr>
              <w:t>acid</w:t>
            </w:r>
            <w:proofErr w:type="spellEnd"/>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555BD94E" w14:textId="77777777">
            <w:pPr>
              <w:pStyle w:val="NoSpacing"/>
              <w:spacing w:line="276" w:lineRule="auto"/>
              <w:jc w:val="center"/>
            </w:pPr>
            <w:r w:rsidRPr="00181C42">
              <w:t>0.1</w:t>
            </w:r>
          </w:p>
        </w:tc>
      </w:tr>
      <w:tr w:rsidRPr="00181C42" w:rsidR="00CE0753" w:rsidTr="00D778B4" w14:paraId="7C5360D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5E709D1" w14:textId="77777777">
            <w:pPr>
              <w:pStyle w:val="NoSpacing"/>
              <w:spacing w:line="276" w:lineRule="auto"/>
              <w:jc w:val="center"/>
              <w:rPr>
                <w:rFonts w:cs="Arial"/>
                <w:color w:val="000000"/>
              </w:rPr>
            </w:pPr>
            <w:proofErr w:type="spellStart"/>
            <w:r w:rsidRPr="00181C42">
              <w:rPr>
                <w:rFonts w:cs="Arial"/>
                <w:color w:val="000000"/>
              </w:rPr>
              <w:t>PFHxS</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B7070B1" w14:textId="59FAC44F">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erfluorohexane</w:t>
            </w:r>
            <w:proofErr w:type="spellEnd"/>
            <w:r w:rsidRPr="00181C42" w:rsidR="00FC6F65">
              <w:rPr>
                <w:rFonts w:cs="Arial"/>
                <w:color w:val="000000"/>
              </w:rPr>
              <w:t xml:space="preserv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13A00102" w14:textId="77777777">
            <w:pPr>
              <w:pStyle w:val="NoSpacing"/>
              <w:spacing w:line="276" w:lineRule="auto"/>
              <w:jc w:val="center"/>
            </w:pPr>
            <w:r w:rsidRPr="00181C42">
              <w:t>0.1</w:t>
            </w:r>
          </w:p>
        </w:tc>
      </w:tr>
      <w:tr w:rsidRPr="00181C42" w:rsidR="00CE0753" w:rsidTr="00D778B4" w14:paraId="7E72F51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0452FB" w14:paraId="25B83F3A" w14:textId="77777777">
            <w:pPr>
              <w:pStyle w:val="NoSpacing"/>
              <w:spacing w:line="276" w:lineRule="auto"/>
              <w:jc w:val="center"/>
              <w:rPr>
                <w:rFonts w:cs="Arial"/>
                <w:color w:val="000000"/>
              </w:rPr>
            </w:pPr>
            <w:r>
              <w:rPr>
                <w:rFonts w:cs="Arial"/>
                <w:color w:val="000000"/>
              </w:rPr>
              <w:t xml:space="preserve">Total </w:t>
            </w:r>
            <w:r w:rsidRPr="00181C42" w:rsidR="00FC6F65">
              <w:rPr>
                <w:rFonts w:cs="Arial"/>
                <w:color w:val="000000"/>
              </w:rPr>
              <w:t>PFOS</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85E636C" w14:textId="0449F361">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erfluorooctane</w:t>
            </w:r>
            <w:proofErr w:type="spellEnd"/>
            <w:r w:rsidRPr="00181C42" w:rsidR="00FC6F65">
              <w:rPr>
                <w:rFonts w:cs="Arial"/>
                <w:color w:val="000000"/>
              </w:rPr>
              <w:t xml:space="preserv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C54257" w14:paraId="4818E76C" w14:textId="240A7A33">
            <w:pPr>
              <w:pStyle w:val="NoSpacing"/>
              <w:spacing w:line="276" w:lineRule="auto"/>
              <w:jc w:val="center"/>
            </w:pPr>
            <w:r>
              <w:t>--</w:t>
            </w:r>
          </w:p>
        </w:tc>
      </w:tr>
      <w:tr w:rsidRPr="00181C42" w:rsidR="000452FB" w:rsidTr="00D778B4" w14:paraId="4D0CFE86"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1B328CC4" w14:textId="77777777">
            <w:pPr>
              <w:pStyle w:val="NoSpacing"/>
              <w:spacing w:line="276" w:lineRule="auto"/>
              <w:jc w:val="center"/>
              <w:rPr>
                <w:rFonts w:cs="Arial"/>
                <w:color w:val="000000"/>
              </w:rPr>
            </w:pPr>
            <w:r>
              <w:rPr>
                <w:rFonts w:cs="Arial"/>
                <w:color w:val="000000"/>
              </w:rPr>
              <w:t>n-PFOS</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D4F0142" w14:textId="77777777">
            <w:pPr>
              <w:pStyle w:val="NoSpacing"/>
              <w:spacing w:line="276" w:lineRule="auto"/>
              <w:jc w:val="center"/>
              <w:rPr>
                <w:rFonts w:cs="Arial"/>
                <w:color w:val="000000"/>
              </w:rPr>
            </w:pPr>
            <w:r w:rsidRPr="00643526">
              <w:rPr>
                <w:rFonts w:cs="Arial"/>
                <w:color w:val="000000"/>
              </w:rPr>
              <w:t>sodium perfluoro-1-octanesulfonate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5AF03ACF" w14:textId="77777777">
            <w:pPr>
              <w:pStyle w:val="NoSpacing"/>
              <w:spacing w:line="276" w:lineRule="auto"/>
              <w:jc w:val="center"/>
            </w:pPr>
            <w:r>
              <w:t>0.1</w:t>
            </w:r>
          </w:p>
        </w:tc>
      </w:tr>
      <w:tr w:rsidRPr="00181C42" w:rsidR="00BB12BA" w:rsidTr="00A700FD" w14:paraId="7C378C47" w14:textId="77777777">
        <w:trPr>
          <w:cantSplit/>
          <w:trHeight w:val="596" w:hRule="exact"/>
        </w:trPr>
        <w:tc>
          <w:tcPr>
            <w:tcW w:w="1817" w:type="dxa"/>
            <w:tcBorders>
              <w:top w:val="single" w:color="000000" w:sz="8" w:space="0"/>
              <w:bottom w:val="single" w:color="000000" w:sz="8" w:space="0"/>
              <w:right w:val="single" w:color="000000" w:sz="8" w:space="0"/>
            </w:tcBorders>
          </w:tcPr>
          <w:p w:rsidR="00BB12BA" w:rsidP="006043D2" w:rsidRDefault="00BB12BA" w14:paraId="068D4708" w14:textId="77777777">
            <w:pPr>
              <w:pStyle w:val="NoSpacing"/>
              <w:spacing w:line="276" w:lineRule="auto"/>
              <w:jc w:val="center"/>
              <w:rPr>
                <w:rFonts w:cs="Arial"/>
                <w:color w:val="000000"/>
              </w:rPr>
            </w:pPr>
            <w:proofErr w:type="spellStart"/>
            <w:r>
              <w:rPr>
                <w:rFonts w:cs="Arial"/>
                <w:color w:val="000000"/>
              </w:rPr>
              <w:t>Sm</w:t>
            </w:r>
            <w:proofErr w:type="spellEnd"/>
            <w:r>
              <w:rPr>
                <w:rFonts w:cs="Arial"/>
                <w:color w:val="000000"/>
              </w:rPr>
              <w:t>-PFOS</w:t>
            </w:r>
          </w:p>
        </w:tc>
        <w:tc>
          <w:tcPr>
            <w:tcW w:w="5131" w:type="dxa"/>
            <w:tcBorders>
              <w:top w:val="single" w:color="000000" w:sz="8" w:space="0"/>
              <w:left w:val="single" w:color="000000" w:sz="8" w:space="0"/>
              <w:bottom w:val="single" w:color="000000" w:sz="8" w:space="0"/>
              <w:right w:val="single" w:color="000000" w:sz="8" w:space="0"/>
            </w:tcBorders>
          </w:tcPr>
          <w:p w:rsidRPr="00643526" w:rsidR="00BB12BA" w:rsidP="006043D2" w:rsidRDefault="00BB12BA" w14:paraId="74EAA40B" w14:textId="77777777">
            <w:pPr>
              <w:pStyle w:val="NoSpacing"/>
              <w:spacing w:line="276" w:lineRule="auto"/>
              <w:jc w:val="center"/>
              <w:rPr>
                <w:rFonts w:cs="Arial"/>
                <w:color w:val="000000"/>
              </w:rPr>
            </w:pPr>
            <w:r w:rsidRPr="00643526">
              <w:rPr>
                <w:rFonts w:cs="Arial"/>
                <w:color w:val="000000"/>
              </w:rPr>
              <w:t>mixture of sodium perfluoro-5-methylheptane sulfonate</w:t>
            </w:r>
            <w:r>
              <w:rPr>
                <w:rFonts w:cs="Arial"/>
                <w:color w:val="000000"/>
              </w:rPr>
              <w:t xml:space="preserve">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BB12BA" w:rsidP="006043D2" w:rsidRDefault="00BB12BA" w14:paraId="68A4254B" w14:textId="77777777">
            <w:pPr>
              <w:pStyle w:val="NoSpacing"/>
              <w:spacing w:line="276" w:lineRule="auto"/>
              <w:jc w:val="center"/>
            </w:pPr>
            <w:r>
              <w:t>0.1</w:t>
            </w:r>
          </w:p>
        </w:tc>
      </w:tr>
      <w:tr w:rsidRPr="00181C42" w:rsidR="00D778B4" w:rsidTr="00D778B4" w14:paraId="202B9030" w14:textId="77777777">
        <w:trPr>
          <w:cantSplit/>
          <w:trHeight w:val="288" w:hRule="exact"/>
        </w:trPr>
        <w:tc>
          <w:tcPr>
            <w:tcW w:w="1817" w:type="dxa"/>
            <w:tcBorders>
              <w:top w:val="single" w:color="000000" w:sz="8" w:space="0"/>
              <w:bottom w:val="single" w:color="000000" w:sz="8" w:space="0"/>
              <w:right w:val="single" w:color="000000" w:sz="8" w:space="0"/>
            </w:tcBorders>
          </w:tcPr>
          <w:p w:rsidR="00D778B4" w:rsidP="006043D2" w:rsidRDefault="00D778B4" w14:paraId="6FCD7A08" w14:textId="31C05FA6">
            <w:pPr>
              <w:pStyle w:val="NoSpacing"/>
              <w:spacing w:line="276" w:lineRule="auto"/>
              <w:jc w:val="center"/>
              <w:rPr>
                <w:rFonts w:cs="Arial"/>
                <w:color w:val="000000"/>
              </w:rPr>
            </w:pPr>
            <w:r>
              <w:rPr>
                <w:rFonts w:cs="Arial"/>
                <w:color w:val="000000"/>
              </w:rPr>
              <w:t>Total PFOA</w:t>
            </w:r>
          </w:p>
        </w:tc>
        <w:tc>
          <w:tcPr>
            <w:tcW w:w="5131" w:type="dxa"/>
            <w:tcBorders>
              <w:top w:val="single" w:color="000000" w:sz="8" w:space="0"/>
              <w:left w:val="single" w:color="000000" w:sz="8" w:space="0"/>
              <w:bottom w:val="single" w:color="000000" w:sz="8" w:space="0"/>
              <w:right w:val="single" w:color="000000" w:sz="8" w:space="0"/>
            </w:tcBorders>
          </w:tcPr>
          <w:p w:rsidRPr="00643526" w:rsidR="00D778B4" w:rsidP="006043D2" w:rsidRDefault="00D778B4" w14:paraId="38CF6963" w14:textId="5C97ECCC">
            <w:pPr>
              <w:pStyle w:val="NoSpacing"/>
              <w:spacing w:line="276" w:lineRule="auto"/>
              <w:jc w:val="center"/>
              <w:rPr>
                <w:rFonts w:cs="Arial"/>
                <w:color w:val="000000"/>
              </w:rPr>
            </w:pPr>
            <w:r>
              <w:rPr>
                <w:rFonts w:cs="Arial"/>
                <w:color w:val="000000"/>
              </w:rPr>
              <w:t>p</w:t>
            </w:r>
            <w:r w:rsidRPr="00181C42">
              <w:rPr>
                <w:rFonts w:cs="Arial"/>
                <w:color w:val="000000"/>
              </w:rPr>
              <w:t>erfluorooctanoic acid</w:t>
            </w:r>
          </w:p>
        </w:tc>
        <w:tc>
          <w:tcPr>
            <w:tcW w:w="1410" w:type="dxa"/>
            <w:tcBorders>
              <w:top w:val="single" w:color="000000" w:sz="8" w:space="0"/>
              <w:left w:val="single" w:color="000000" w:sz="8" w:space="0"/>
              <w:bottom w:val="single" w:color="000000" w:sz="8" w:space="0"/>
              <w:right w:val="single" w:color="000000" w:sz="8" w:space="0"/>
            </w:tcBorders>
          </w:tcPr>
          <w:p w:rsidR="00D778B4" w:rsidP="006043D2" w:rsidRDefault="00D778B4" w14:paraId="080AC4C6" w14:textId="04ED94DB">
            <w:pPr>
              <w:pStyle w:val="NoSpacing"/>
              <w:spacing w:line="276" w:lineRule="auto"/>
              <w:jc w:val="center"/>
            </w:pPr>
            <w:r>
              <w:t>--</w:t>
            </w:r>
          </w:p>
        </w:tc>
      </w:tr>
      <w:tr w:rsidRPr="00181C42" w:rsidR="000452FB" w:rsidTr="00D778B4" w14:paraId="2E3B9C9D"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4F29EEF3" w14:textId="77777777">
            <w:pPr>
              <w:pStyle w:val="NoSpacing"/>
              <w:spacing w:line="276" w:lineRule="auto"/>
              <w:jc w:val="center"/>
              <w:rPr>
                <w:rFonts w:cs="Arial"/>
                <w:color w:val="000000"/>
              </w:rPr>
            </w:pPr>
            <w:r>
              <w:rPr>
                <w:rFonts w:cs="Arial"/>
                <w:color w:val="000000"/>
              </w:rPr>
              <w:t>n-PFOA</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16C0AF08" w14:textId="77777777">
            <w:pPr>
              <w:pStyle w:val="NoSpacing"/>
              <w:spacing w:line="276" w:lineRule="auto"/>
              <w:jc w:val="center"/>
              <w:rPr>
                <w:rFonts w:cs="Arial"/>
                <w:color w:val="000000"/>
              </w:rPr>
            </w:pPr>
            <w:r>
              <w:rPr>
                <w:rFonts w:cs="Arial"/>
                <w:color w:val="000000"/>
              </w:rPr>
              <w:t>ammonium perfluorooctanoate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90775B5" w14:textId="77777777">
            <w:pPr>
              <w:pStyle w:val="NoSpacing"/>
              <w:spacing w:line="276" w:lineRule="auto"/>
              <w:jc w:val="center"/>
            </w:pPr>
            <w:r>
              <w:t>0.1</w:t>
            </w:r>
          </w:p>
        </w:tc>
      </w:tr>
      <w:tr w:rsidRPr="00181C42" w:rsidR="00CE0753" w:rsidTr="00D778B4" w14:paraId="70C0CE84"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BB12BA" w14:paraId="3FF3F040" w14:textId="77777777">
            <w:pPr>
              <w:pStyle w:val="NoSpacing"/>
              <w:spacing w:line="276" w:lineRule="auto"/>
              <w:jc w:val="center"/>
              <w:rPr>
                <w:rFonts w:cs="Arial"/>
                <w:color w:val="000000"/>
              </w:rPr>
            </w:pPr>
            <w:r>
              <w:rPr>
                <w:rFonts w:cs="Arial"/>
                <w:color w:val="000000"/>
              </w:rPr>
              <w:t>Sb-</w:t>
            </w:r>
            <w:r w:rsidRPr="00181C42" w:rsidR="00FC6F65">
              <w:rPr>
                <w:rFonts w:cs="Arial"/>
                <w:color w:val="000000"/>
              </w:rPr>
              <w:t>PFOA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BB12BA" w14:paraId="0C54B074" w14:textId="4241FC6C">
            <w:pPr>
              <w:pStyle w:val="NoSpacing"/>
              <w:spacing w:line="276" w:lineRule="auto"/>
              <w:jc w:val="center"/>
              <w:rPr>
                <w:rFonts w:cs="Arial"/>
                <w:color w:val="000000"/>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28020684" w14:textId="77777777">
            <w:pPr>
              <w:pStyle w:val="NoSpacing"/>
              <w:spacing w:line="276" w:lineRule="auto"/>
              <w:jc w:val="center"/>
            </w:pPr>
            <w:r w:rsidRPr="00181C42">
              <w:t>0.1</w:t>
            </w:r>
          </w:p>
        </w:tc>
      </w:tr>
      <w:tr w:rsidRPr="00181C42" w:rsidR="00CE0753" w:rsidTr="00D778B4" w14:paraId="25D0BD0C"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FBF929E" w14:textId="77777777">
            <w:pPr>
              <w:pStyle w:val="NoSpacing"/>
              <w:spacing w:line="276" w:lineRule="auto"/>
              <w:jc w:val="center"/>
              <w:rPr>
                <w:rFonts w:cs="Arial"/>
                <w:color w:val="000000"/>
              </w:rPr>
            </w:pPr>
            <w:r w:rsidRPr="00181C42">
              <w:rPr>
                <w:rFonts w:cs="Arial"/>
                <w:color w:val="000000"/>
              </w:rPr>
              <w:t>PFNA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3688A31" w14:textId="787DA03C">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erfluorononanoic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3C8A6EFD" w14:textId="77777777">
            <w:pPr>
              <w:pStyle w:val="NoSpacing"/>
              <w:spacing w:line="276" w:lineRule="auto"/>
              <w:jc w:val="center"/>
            </w:pPr>
            <w:r w:rsidRPr="00181C42">
              <w:t>0.1</w:t>
            </w:r>
          </w:p>
        </w:tc>
      </w:tr>
      <w:tr w:rsidRPr="00181C42" w:rsidR="00CE0753" w:rsidTr="00D778B4" w14:paraId="361D38A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D84023" w14:paraId="53F146BB" w14:textId="0679184F">
            <w:pPr>
              <w:pStyle w:val="NoSpacing"/>
              <w:spacing w:line="276" w:lineRule="auto"/>
              <w:jc w:val="center"/>
              <w:rPr>
                <w:rFonts w:cs="Arial"/>
                <w:color w:val="000000"/>
              </w:rPr>
            </w:pPr>
            <w:r>
              <w:rPr>
                <w:rFonts w:cs="Arial"/>
                <w:color w:val="000000"/>
              </w:rPr>
              <w:t>PFD</w:t>
            </w:r>
            <w:r w:rsidRPr="00181C42" w:rsidR="00FC6F65">
              <w:rPr>
                <w:rFonts w:cs="Arial"/>
                <w:color w:val="000000"/>
              </w:rPr>
              <w:t>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A3357D0" w14:textId="6EA64193">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4EBCA545" w14:textId="7B2E8B0D">
            <w:pPr>
              <w:pStyle w:val="NoSpacing"/>
              <w:spacing w:line="276" w:lineRule="auto"/>
              <w:jc w:val="center"/>
            </w:pPr>
            <w:r w:rsidRPr="00181C42">
              <w:t>0.</w:t>
            </w:r>
            <w:r w:rsidR="00C54257">
              <w:t>1</w:t>
            </w:r>
          </w:p>
        </w:tc>
      </w:tr>
      <w:tr w:rsidRPr="00181C42" w:rsidR="00CE0753" w:rsidTr="00D778B4" w14:paraId="56C11547"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1A146BA4" w14:textId="43996C3B">
            <w:pPr>
              <w:pStyle w:val="NoSpacing"/>
              <w:spacing w:line="276" w:lineRule="auto"/>
              <w:jc w:val="center"/>
              <w:rPr>
                <w:rFonts w:cs="Arial"/>
                <w:color w:val="000000"/>
              </w:rPr>
            </w:pPr>
            <w:proofErr w:type="spellStart"/>
            <w:r w:rsidRPr="00181C42">
              <w:rPr>
                <w:rFonts w:cs="Arial"/>
                <w:color w:val="000000"/>
              </w:rPr>
              <w:t>PFU</w:t>
            </w:r>
            <w:r w:rsidR="00D84023">
              <w:rPr>
                <w:rFonts w:cs="Arial"/>
                <w:color w:val="000000"/>
              </w:rPr>
              <w:t>n</w:t>
            </w:r>
            <w:r w:rsidRPr="00181C42">
              <w:rPr>
                <w:rFonts w:cs="Arial"/>
                <w:color w:val="000000"/>
              </w:rPr>
              <w:t>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1C7232CB" w14:textId="6FD9ECAC">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erfluoroundecanoic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641362C5" w14:textId="16596924">
            <w:pPr>
              <w:pStyle w:val="NoSpacing"/>
              <w:spacing w:line="276" w:lineRule="auto"/>
              <w:jc w:val="center"/>
            </w:pPr>
            <w:r w:rsidRPr="00181C42">
              <w:t>0.</w:t>
            </w:r>
            <w:r w:rsidR="00C54257">
              <w:t>1</w:t>
            </w:r>
          </w:p>
        </w:tc>
      </w:tr>
      <w:tr w:rsidRPr="00181C42" w:rsidR="00CE0753" w:rsidTr="00D778B4" w14:paraId="5AF1B9D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485A2C58" w14:textId="77777777">
            <w:pPr>
              <w:pStyle w:val="NoSpacing"/>
              <w:spacing w:line="276" w:lineRule="auto"/>
              <w:jc w:val="center"/>
              <w:rPr>
                <w:rFonts w:cs="Arial"/>
                <w:color w:val="000000"/>
              </w:rPr>
            </w:pPr>
            <w:proofErr w:type="spellStart"/>
            <w:r w:rsidRPr="00181C42">
              <w:rPr>
                <w:rFonts w:cs="Arial"/>
                <w:color w:val="000000"/>
              </w:rPr>
              <w:t>PFDoA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466406DB" w14:textId="7F2337DB">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erfluorododecanoic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667E610" w14:textId="0522CC17">
            <w:pPr>
              <w:pStyle w:val="NoSpacing"/>
              <w:spacing w:line="276" w:lineRule="auto"/>
              <w:jc w:val="center"/>
            </w:pPr>
            <w:r w:rsidRPr="00181C42">
              <w:t>0.</w:t>
            </w:r>
            <w:r w:rsidR="00C54257">
              <w:t>1</w:t>
            </w:r>
          </w:p>
        </w:tc>
      </w:tr>
      <w:tr w:rsidRPr="00181C42" w:rsidR="00FC6F65" w:rsidTr="00D778B4" w14:paraId="3C7F1CDC" w14:textId="77777777">
        <w:trPr>
          <w:cantSplit/>
          <w:trHeight w:val="288" w:hRule="exact"/>
        </w:trPr>
        <w:tc>
          <w:tcPr>
            <w:tcW w:w="8358" w:type="dxa"/>
            <w:gridSpan w:val="3"/>
            <w:tcBorders>
              <w:top w:val="single" w:color="000000" w:sz="8" w:space="0"/>
              <w:bottom w:val="single" w:color="000000" w:sz="8" w:space="0"/>
              <w:right w:val="single" w:color="000000" w:sz="8" w:space="0"/>
            </w:tcBorders>
          </w:tcPr>
          <w:p w:rsidRPr="00181C42" w:rsidR="00FC6F65" w:rsidP="006043D2" w:rsidRDefault="00FC6F65" w14:paraId="0674737C" w14:textId="77777777">
            <w:pPr>
              <w:pStyle w:val="NoSpacing"/>
              <w:spacing w:line="276" w:lineRule="auto"/>
            </w:pPr>
            <w:r>
              <w:t>* ng/</w:t>
            </w:r>
            <w:proofErr w:type="gramStart"/>
            <w:r>
              <w:t xml:space="preserve">mL  </w:t>
            </w:r>
            <w:r w:rsidR="009611F6">
              <w:t>-</w:t>
            </w:r>
            <w:proofErr w:type="gramEnd"/>
            <w:r w:rsidR="009611F6">
              <w:t xml:space="preserve"> </w:t>
            </w:r>
            <w:r>
              <w:t>nanograms per milliliter</w:t>
            </w:r>
          </w:p>
        </w:tc>
      </w:tr>
    </w:tbl>
    <w:p w:rsidR="00FC6F65" w:rsidP="007B3D7D" w:rsidRDefault="00FC6F65" w14:paraId="73830254" w14:textId="77777777">
      <w:pPr>
        <w:pStyle w:val="NoSpacing"/>
        <w:spacing w:after="200"/>
        <w:rPr>
          <w:rStyle w:val="Heading3Char"/>
        </w:rPr>
      </w:pPr>
    </w:p>
    <w:p w:rsidRPr="004F5164" w:rsidR="004F5164" w:rsidP="004F5164" w:rsidRDefault="00FC6F65" w14:paraId="03FD4BA0" w14:textId="77777777">
      <w:pPr>
        <w:pStyle w:val="Heading3"/>
      </w:pPr>
      <w:bookmarkStart w:name="_Toc536793479" w:id="40"/>
      <w:bookmarkStart w:name="_Toc6924101" w:id="41"/>
      <w:r w:rsidRPr="004F5164">
        <w:t>Urine Sampling</w:t>
      </w:r>
      <w:bookmarkEnd w:id="40"/>
      <w:bookmarkEnd w:id="41"/>
    </w:p>
    <w:p w:rsidR="00B835EE" w:rsidP="007B3D7D" w:rsidRDefault="00F723F2" w14:paraId="274AFD63" w14:textId="38A0A83D">
      <w:pPr>
        <w:pStyle w:val="NoSpacing"/>
        <w:spacing w:after="200"/>
        <w:rPr>
          <w:rStyle w:val="NoSpacingChar"/>
        </w:rPr>
      </w:pPr>
      <w:r>
        <w:t>All p</w:t>
      </w:r>
      <w:r w:rsidR="00C360A9">
        <w:t xml:space="preserve">articipants will be </w:t>
      </w:r>
      <w:r w:rsidR="00CA7BC3">
        <w:t>mailed</w:t>
      </w:r>
      <w:r w:rsidR="00C360A9">
        <w:t xml:space="preserve"> a </w:t>
      </w:r>
      <w:r w:rsidR="00E743D9">
        <w:t xml:space="preserve">labeled urine collection cup, </w:t>
      </w:r>
      <w:r w:rsidR="00E76EDE">
        <w:t xml:space="preserve">urine collection </w:t>
      </w:r>
      <w:r w:rsidR="00C360A9">
        <w:t>instructions (</w:t>
      </w:r>
      <w:r w:rsidR="00D327AD">
        <w:t>Appendix E</w:t>
      </w:r>
      <w:r w:rsidR="00C360A9">
        <w:t>)</w:t>
      </w:r>
      <w:r w:rsidR="00E743D9">
        <w:t>, insulated cooler, and ice pack</w:t>
      </w:r>
      <w:r w:rsidR="00117D5D">
        <w:t>, which they’ll be instructed to store in their freezer</w:t>
      </w:r>
      <w:r w:rsidR="00E76EDE">
        <w:t>.</w:t>
      </w:r>
      <w:r w:rsidR="00C360A9">
        <w:t xml:space="preserve"> </w:t>
      </w:r>
      <w:r w:rsidR="00E743D9">
        <w:t xml:space="preserve">The morning </w:t>
      </w:r>
      <w:r w:rsidR="00CA7BC3">
        <w:t xml:space="preserve">of </w:t>
      </w:r>
      <w:r w:rsidR="00E743D9">
        <w:t>their blood sampling appointment, p</w:t>
      </w:r>
      <w:r w:rsidR="00E76EDE">
        <w:t xml:space="preserve">articipants will collect </w:t>
      </w:r>
      <w:r w:rsidR="00E743D9">
        <w:t>a first</w:t>
      </w:r>
      <w:r w:rsidR="00BE2387">
        <w:t>-</w:t>
      </w:r>
      <w:r w:rsidR="00E743D9">
        <w:t>morning urine sample</w:t>
      </w:r>
      <w:r w:rsidR="00C702A9">
        <w:t xml:space="preserve"> (filling at least</w:t>
      </w:r>
      <w:r w:rsidR="00F652FF">
        <w:t xml:space="preserve"> one quarter of</w:t>
      </w:r>
      <w:r w:rsidR="00C702A9">
        <w:t xml:space="preserve"> the cup, if possible)</w:t>
      </w:r>
      <w:r w:rsidR="00E76EDE">
        <w:t xml:space="preserve">, </w:t>
      </w:r>
      <w:r w:rsidR="00E76EDE">
        <w:rPr>
          <w:rStyle w:val="NoSpacingChar"/>
        </w:rPr>
        <w:t>cap the container, seal</w:t>
      </w:r>
      <w:r w:rsidR="00BE2387">
        <w:rPr>
          <w:rStyle w:val="NoSpacingChar"/>
        </w:rPr>
        <w:t xml:space="preserve"> the container</w:t>
      </w:r>
      <w:r w:rsidR="00E76EDE">
        <w:rPr>
          <w:rStyle w:val="NoSpacingChar"/>
        </w:rPr>
        <w:t xml:space="preserve"> </w:t>
      </w:r>
      <w:r w:rsidRPr="008C3662" w:rsidR="00FC6F65">
        <w:rPr>
          <w:rStyle w:val="NoSpacingChar"/>
        </w:rPr>
        <w:t xml:space="preserve">in a plastic bag, </w:t>
      </w:r>
      <w:r w:rsidR="00FC6F65">
        <w:rPr>
          <w:rStyle w:val="NoSpacingChar"/>
        </w:rPr>
        <w:t xml:space="preserve">and </w:t>
      </w:r>
      <w:r w:rsidR="00E743D9">
        <w:rPr>
          <w:rStyle w:val="NoSpacingChar"/>
        </w:rPr>
        <w:t xml:space="preserve">place in a refrigerator until they travel to the blood sampling location. Participants will transport their sample to </w:t>
      </w:r>
      <w:r w:rsidR="00BE2387">
        <w:rPr>
          <w:rStyle w:val="NoSpacingChar"/>
        </w:rPr>
        <w:t>EA</w:t>
      </w:r>
      <w:r w:rsidR="00E743D9">
        <w:rPr>
          <w:rStyle w:val="NoSpacingChar"/>
        </w:rPr>
        <w:t xml:space="preserve"> staff in an insulated cooler with </w:t>
      </w:r>
      <w:r w:rsidR="00117D5D">
        <w:rPr>
          <w:rStyle w:val="NoSpacingChar"/>
        </w:rPr>
        <w:t xml:space="preserve">the </w:t>
      </w:r>
      <w:proofErr w:type="gramStart"/>
      <w:r w:rsidR="00A92005">
        <w:rPr>
          <w:rStyle w:val="NoSpacingChar"/>
        </w:rPr>
        <w:t>frozen</w:t>
      </w:r>
      <w:r w:rsidR="00117D5D">
        <w:rPr>
          <w:rStyle w:val="NoSpacingChar"/>
        </w:rPr>
        <w:t xml:space="preserve"> </w:t>
      </w:r>
      <w:r w:rsidR="00E743D9">
        <w:rPr>
          <w:rStyle w:val="NoSpacingChar"/>
        </w:rPr>
        <w:t>ice</w:t>
      </w:r>
      <w:proofErr w:type="gramEnd"/>
      <w:r w:rsidR="00E743D9">
        <w:rPr>
          <w:rStyle w:val="NoSpacingChar"/>
        </w:rPr>
        <w:t xml:space="preserve"> pack.</w:t>
      </w:r>
      <w:r w:rsidR="00E76EDE">
        <w:rPr>
          <w:rStyle w:val="NoSpacingChar"/>
        </w:rPr>
        <w:t xml:space="preserve"> </w:t>
      </w:r>
    </w:p>
    <w:p w:rsidR="00FC6F65" w:rsidP="007B3D7D" w:rsidRDefault="003A13D1" w14:paraId="02E784A7" w14:textId="215FAEDD">
      <w:pPr>
        <w:pStyle w:val="NoSpacing"/>
        <w:spacing w:after="200"/>
      </w:pPr>
      <w:r>
        <w:rPr>
          <w:rStyle w:val="NoSpacingChar"/>
        </w:rPr>
        <w:t>Urine samples</w:t>
      </w:r>
      <w:r w:rsidR="00EC41A1">
        <w:rPr>
          <w:rStyle w:val="NoSpacingChar"/>
        </w:rPr>
        <w:t xml:space="preserve"> </w:t>
      </w:r>
      <w:r w:rsidR="00D5714B">
        <w:rPr>
          <w:rStyle w:val="NoSpacingChar"/>
        </w:rPr>
        <w:t xml:space="preserve">will </w:t>
      </w:r>
      <w:r w:rsidR="009A6DF7">
        <w:rPr>
          <w:rStyle w:val="NoSpacingChar"/>
        </w:rPr>
        <w:t xml:space="preserve">be </w:t>
      </w:r>
      <w:r w:rsidR="00D5714B">
        <w:t xml:space="preserve">placed inside storage boxes provided by the laboratory. Each box will be placed inside a plastic </w:t>
      </w:r>
      <w:proofErr w:type="spellStart"/>
      <w:r w:rsidR="00D5714B">
        <w:t>Saf</w:t>
      </w:r>
      <w:proofErr w:type="spellEnd"/>
      <w:r w:rsidR="00D5714B">
        <w:t xml:space="preserve">-T-Pak™ biohazard bag along with an absorbent pad and sealed.  This plastic bag will be placed inside a larger Tyvek® bag and sealed. The bagged specimen boxes will be placed inside a Styrofoam shipping container. </w:t>
      </w:r>
      <w:r w:rsidR="00EC41A1">
        <w:t>Dry ice will be added to the shipper and urine specimens will maintained in their frozen state</w:t>
      </w:r>
      <w:r w:rsidR="00514CAC">
        <w:t xml:space="preserve">. </w:t>
      </w:r>
      <w:r w:rsidR="00EC41A1">
        <w:t xml:space="preserve">EA personnel </w:t>
      </w:r>
      <w:r w:rsidR="00514CAC">
        <w:t>will perform</w:t>
      </w:r>
      <w:r w:rsidR="00EC41A1">
        <w:t xml:space="preserve"> twice daily checks </w:t>
      </w:r>
      <w:r w:rsidR="00514CAC">
        <w:t xml:space="preserve">to ensure that samples remain frozen and will add dry </w:t>
      </w:r>
      <w:r w:rsidR="00EC41A1">
        <w:t>ice as needed.</w:t>
      </w:r>
      <w:r w:rsidR="00C702A9">
        <w:t xml:space="preserve"> </w:t>
      </w:r>
      <w:r w:rsidR="00F2680B">
        <w:t>All u</w:t>
      </w:r>
      <w:r w:rsidR="00C702A9">
        <w:t xml:space="preserve">rine samples will be shipped overnight on dry ice to a centralized bio-specimen repository on </w:t>
      </w:r>
      <w:r>
        <w:t xml:space="preserve">Wednesdays </w:t>
      </w:r>
      <w:r w:rsidR="00C702A9">
        <w:t>and Mondays during</w:t>
      </w:r>
      <w:r w:rsidR="005A7234">
        <w:t xml:space="preserve"> the sample collection period. Field and bio-specimen repository s</w:t>
      </w:r>
      <w:r w:rsidR="00C702A9">
        <w:t>taff will maintain and manage proper chain of custody (Appendix D) for all urine samples.</w:t>
      </w:r>
    </w:p>
    <w:p w:rsidR="00E76EDE" w:rsidP="007B3D7D" w:rsidRDefault="00CF792C" w14:paraId="06D8A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proofErr w:type="gramStart"/>
      <w:r>
        <w:rPr>
          <w:rStyle w:val="NoSpacingChar"/>
        </w:rPr>
        <w:t>In order to</w:t>
      </w:r>
      <w:proofErr w:type="gramEnd"/>
      <w:r>
        <w:rPr>
          <w:rStyle w:val="NoSpacingChar"/>
        </w:rPr>
        <w:t xml:space="preserve"> evaluate whether the available method for measuring PFAS in urine is able to detect PFAS in urine samples, a</w:t>
      </w:r>
      <w:r w:rsidR="009A6DF7">
        <w:rPr>
          <w:rStyle w:val="NoSpacingChar"/>
        </w:rPr>
        <w:t xml:space="preserve">n initial subset of ten percent of urine samples will be analyzed for PFAS. If possible, </w:t>
      </w:r>
      <w:r w:rsidR="00FE41CC">
        <w:rPr>
          <w:rStyle w:val="NoSpacingChar"/>
        </w:rPr>
        <w:t>the initial</w:t>
      </w:r>
      <w:r w:rsidR="009A6DF7">
        <w:rPr>
          <w:rStyle w:val="NoSpacingChar"/>
        </w:rPr>
        <w:t xml:space="preserve"> subset of urine </w:t>
      </w:r>
      <w:r w:rsidR="00B835EE">
        <w:rPr>
          <w:rStyle w:val="NoSpacingChar"/>
        </w:rPr>
        <w:t>s</w:t>
      </w:r>
      <w:r w:rsidR="009A6DF7">
        <w:rPr>
          <w:rStyle w:val="NoSpacingChar"/>
        </w:rPr>
        <w:t xml:space="preserve">amples will be selected randomly from participants with the highest drinking water exposures. If it is not possible to stratify participants based on drinking water exposure, ten percent will be randomly selected from the entire sampling frame. </w:t>
      </w:r>
      <w:r w:rsidR="00225027">
        <w:rPr>
          <w:rStyle w:val="NoSpacingChar"/>
        </w:rPr>
        <w:t xml:space="preserve">For each </w:t>
      </w:r>
      <w:r w:rsidR="00225027">
        <w:t>sample</w:t>
      </w:r>
      <w:r w:rsidRPr="009F6C7C" w:rsidR="00FC6F65">
        <w:t xml:space="preserve"> </w:t>
      </w:r>
      <w:r w:rsidR="009A6DF7">
        <w:t>selected for laboratory analysis</w:t>
      </w:r>
      <w:r w:rsidR="00225027">
        <w:t>, biorepository personnel will pipette 1.8 mL of urine into a cryovial</w:t>
      </w:r>
      <w:r w:rsidR="009A6DF7">
        <w:t xml:space="preserve"> </w:t>
      </w:r>
      <w:r w:rsidR="00225027">
        <w:t xml:space="preserve">and </w:t>
      </w:r>
      <w:r w:rsidR="00B30366">
        <w:t>ship samples</w:t>
      </w:r>
      <w:r w:rsidRPr="009F6C7C" w:rsidR="00FC6F65">
        <w:t xml:space="preserve"> </w:t>
      </w:r>
      <w:r w:rsidR="00E76EDE">
        <w:t xml:space="preserve">overnight on dry ice </w:t>
      </w:r>
      <w:r w:rsidR="00C702A9">
        <w:t xml:space="preserve">from the bio-specimen repository </w:t>
      </w:r>
      <w:r w:rsidR="00E76EDE">
        <w:t xml:space="preserve">to the NCEH </w:t>
      </w:r>
      <w:r w:rsidR="00BE2387">
        <w:t>l</w:t>
      </w:r>
      <w:r w:rsidR="00B30366">
        <w:t xml:space="preserve">aboratory in Atlanta, Georgia. Biorepository staff </w:t>
      </w:r>
      <w:r w:rsidR="00D1453B">
        <w:t xml:space="preserve">and NCEH/ATSDR personnel </w:t>
      </w:r>
      <w:r w:rsidR="00E76EDE">
        <w:t>will maintain and manage proper chain of custody (Appendix D) for all urine samples.</w:t>
      </w:r>
    </w:p>
    <w:p w:rsidR="00F652FF" w:rsidP="007B3D7D" w:rsidRDefault="00F652FF" w14:paraId="41305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If the geometric mean PFAS urine concentrations in a community are higher than the NHANES 95</w:t>
      </w:r>
      <w:r w:rsidRPr="00A40CFD">
        <w:rPr>
          <w:vertAlign w:val="superscript"/>
        </w:rPr>
        <w:t>th</w:t>
      </w:r>
      <w:r>
        <w:t xml:space="preserve"> percentile, all urine samples for the community will be shipped from the repository to the NCEH laboratory and analyzed.</w:t>
      </w:r>
      <w:r w:rsidR="0033743F">
        <w:t xml:space="preserve"> The geometric mean will be used in this instance because it minimizes the effect of very high or very low values. </w:t>
      </w:r>
    </w:p>
    <w:p w:rsidRPr="009F6C7C" w:rsidR="00FC6F65" w:rsidP="007B3D7D" w:rsidRDefault="00FC6F65" w14:paraId="76ADF812" w14:textId="77777777">
      <w:pPr>
        <w:pStyle w:val="NoSpacing"/>
        <w:spacing w:after="200"/>
      </w:pPr>
      <w:r w:rsidRPr="009F6C7C">
        <w:t xml:space="preserve">To protect anonymity, the samples will be labeled with a coded identification number. The identification number on the urine sample will match the identification number on the </w:t>
      </w:r>
      <w:r w:rsidR="00300226">
        <w:t>serum</w:t>
      </w:r>
      <w:r w:rsidRPr="009F6C7C" w:rsidR="00300226">
        <w:t xml:space="preserve"> </w:t>
      </w:r>
      <w:r w:rsidRPr="009F6C7C">
        <w:t xml:space="preserve">sample </w:t>
      </w:r>
      <w:proofErr w:type="gramStart"/>
      <w:r w:rsidRPr="009F6C7C">
        <w:t>in order to</w:t>
      </w:r>
      <w:proofErr w:type="gramEnd"/>
      <w:r w:rsidRPr="009F6C7C">
        <w:t xml:space="preserve"> pair each individ</w:t>
      </w:r>
      <w:r w:rsidR="00FD7C42">
        <w:t xml:space="preserve">ual’s blood and urine samples. </w:t>
      </w:r>
    </w:p>
    <w:p w:rsidR="00C74EA9" w:rsidP="007B3D7D" w:rsidRDefault="00B835EE" w14:paraId="0B12BEE8" w14:textId="69DB8BE6">
      <w:pPr>
        <w:pStyle w:val="NoSpacing"/>
        <w:spacing w:after="200"/>
      </w:pPr>
      <w:r>
        <w:t>U</w:t>
      </w:r>
      <w:r w:rsidRPr="009F6C7C" w:rsidR="00FC6F65">
        <w:t xml:space="preserve">rine samples </w:t>
      </w:r>
      <w:r>
        <w:t xml:space="preserve">selected for laboratory analysis </w:t>
      </w:r>
      <w:r w:rsidRPr="009F6C7C" w:rsidR="00FC6F65">
        <w:t xml:space="preserve">will be analyzed for </w:t>
      </w:r>
      <w:r w:rsidR="00C74EA9">
        <w:t>PFAS</w:t>
      </w:r>
      <w:r w:rsidR="00222670">
        <w:t xml:space="preserve"> and creatinine</w:t>
      </w:r>
      <w:r w:rsidR="00CD4105">
        <w:t>.</w:t>
      </w:r>
      <w:r w:rsidR="00090863">
        <w:t xml:space="preserve"> </w:t>
      </w:r>
      <w:r w:rsidR="00E675A6">
        <w:t xml:space="preserve">Additional analytes may be added should methods become available. </w:t>
      </w:r>
      <w:r w:rsidR="00F5092E">
        <w:t>If</w:t>
      </w:r>
      <w:r w:rsidR="006D1F2B">
        <w:t xml:space="preserve"> </w:t>
      </w:r>
      <w:r w:rsidR="00E369DA">
        <w:t xml:space="preserve">the geometric mean PFAS concentrations in </w:t>
      </w:r>
      <w:r w:rsidR="00F5092E">
        <w:t>this initial subset</w:t>
      </w:r>
      <w:r w:rsidR="00FB7E7F">
        <w:t xml:space="preserve"> </w:t>
      </w:r>
      <w:r w:rsidR="00A638D1">
        <w:t xml:space="preserve">are </w:t>
      </w:r>
      <w:r w:rsidR="00E369DA">
        <w:t xml:space="preserve">elevated compared to </w:t>
      </w:r>
      <w:r w:rsidR="00A638D1">
        <w:t xml:space="preserve">the U.S. </w:t>
      </w:r>
      <w:r w:rsidR="00FB7E7F">
        <w:t>national reference population, as defined by the 2013-2014 NHANES 95</w:t>
      </w:r>
      <w:r w:rsidRPr="00CD6BAF" w:rsidR="00FB7E7F">
        <w:t>th</w:t>
      </w:r>
      <w:r w:rsidR="00FB7E7F">
        <w:t xml:space="preserve"> percentile</w:t>
      </w:r>
      <w:r w:rsidR="00F5092E">
        <w:t xml:space="preserve">, all other urine samples </w:t>
      </w:r>
      <w:r w:rsidR="00FB7E7F">
        <w:t xml:space="preserve">from the site </w:t>
      </w:r>
      <w:r w:rsidR="00F5092E">
        <w:t xml:space="preserve">will be analyzed. </w:t>
      </w:r>
    </w:p>
    <w:p w:rsidRPr="00181C42" w:rsidR="00FC6F65" w:rsidP="007B3D7D" w:rsidRDefault="00222670" w14:paraId="69328134" w14:textId="77777777">
      <w:pPr>
        <w:pStyle w:val="NoSpacing"/>
        <w:spacing w:after="200"/>
        <w:rPr>
          <w:rFonts w:cs="Arial"/>
        </w:rPr>
      </w:pPr>
      <w:r>
        <w:lastRenderedPageBreak/>
        <w:t>PFAS t</w:t>
      </w:r>
      <w:r w:rsidRPr="009F6C7C" w:rsidR="00FC6F65">
        <w:t>est results will be rep</w:t>
      </w:r>
      <w:r w:rsidR="00C74EA9">
        <w:t>orted as nan</w:t>
      </w:r>
      <w:r w:rsidR="00FC6F65">
        <w:t xml:space="preserve">ograms </w:t>
      </w:r>
      <w:r w:rsidRPr="00337CC8" w:rsidR="00FC6F65">
        <w:t>per millilit</w:t>
      </w:r>
      <w:r w:rsidRPr="00337CC8" w:rsidR="00C74EA9">
        <w:t>er of urine (n</w:t>
      </w:r>
      <w:r w:rsidRPr="00337CC8" w:rsidR="00FC6F65">
        <w:t xml:space="preserve">g/mL). </w:t>
      </w:r>
      <w:r w:rsidRPr="00337CC8">
        <w:t xml:space="preserve">Creatinine results will be reported as </w:t>
      </w:r>
      <w:r w:rsidRPr="00337CC8" w:rsidR="008A7D07">
        <w:t>milligrams</w:t>
      </w:r>
      <w:r w:rsidRPr="00337CC8">
        <w:t xml:space="preserve"> per deciliter of urine (mg/dL).</w:t>
      </w:r>
      <w:r>
        <w:t xml:space="preserve"> </w:t>
      </w:r>
      <w:r w:rsidR="00C74EA9">
        <w:t>L</w:t>
      </w:r>
      <w:r w:rsidRPr="00181C42" w:rsidR="007A2085">
        <w:t>aboratory processing, analysis methods, quality assurance and quality control measures</w:t>
      </w:r>
      <w:r w:rsidR="00C74EA9">
        <w:t xml:space="preserve"> will be conducted in accordance with NCEH laboratory methods</w:t>
      </w:r>
      <w:r w:rsidR="007A2085">
        <w:t>.</w:t>
      </w:r>
    </w:p>
    <w:p w:rsidRPr="00181C42" w:rsidR="00130B08" w:rsidP="00130B08" w:rsidRDefault="00FC6F65" w14:paraId="51938733" w14:textId="77777777">
      <w:pPr>
        <w:pStyle w:val="NoSpacing"/>
        <w:spacing w:after="200"/>
        <w:rPr>
          <w:rFonts w:cs="Arial"/>
        </w:rPr>
      </w:pPr>
      <w:r w:rsidRPr="00181C42">
        <w:rPr>
          <w:rFonts w:cs="Arial"/>
        </w:rPr>
        <w:t xml:space="preserve">Table </w:t>
      </w:r>
      <w:r>
        <w:rPr>
          <w:rFonts w:cs="Arial"/>
        </w:rPr>
        <w:t>2</w:t>
      </w:r>
      <w:r w:rsidRPr="00181C42">
        <w:rPr>
          <w:rFonts w:cs="Arial"/>
        </w:rPr>
        <w:t xml:space="preserve"> provides the list </w:t>
      </w:r>
      <w:r w:rsidRPr="00181C42" w:rsidR="00E675A6">
        <w:rPr>
          <w:rFonts w:cs="Arial"/>
        </w:rPr>
        <w:t xml:space="preserve">of </w:t>
      </w:r>
      <w:r w:rsidR="00E675A6">
        <w:rPr>
          <w:rFonts w:cs="Arial"/>
        </w:rPr>
        <w:t>PFAS</w:t>
      </w:r>
      <w:r w:rsidRPr="00181C42">
        <w:rPr>
          <w:rFonts w:cs="Arial"/>
        </w:rPr>
        <w:t xml:space="preserve"> to be measured in </w:t>
      </w:r>
      <w:r>
        <w:rPr>
          <w:rFonts w:cs="Arial"/>
        </w:rPr>
        <w:t xml:space="preserve">urine in </w:t>
      </w:r>
      <w:r w:rsidRPr="00181C42">
        <w:rPr>
          <w:rFonts w:cs="Arial"/>
        </w:rPr>
        <w:t>this investigation</w:t>
      </w:r>
      <w:r w:rsidRPr="00F20E4C">
        <w:t xml:space="preserve"> </w:t>
      </w:r>
      <w:r w:rsidRPr="00F20E4C">
        <w:rPr>
          <w:rFonts w:cs="Arial"/>
        </w:rPr>
        <w:t xml:space="preserve">and associated limits of detection. </w:t>
      </w:r>
      <w:r w:rsidR="00130B08">
        <w:rPr>
          <w:rFonts w:cs="Arial"/>
        </w:rPr>
        <w:t xml:space="preserve">For PFOA and PFOS, samples will be </w:t>
      </w:r>
      <w:r w:rsidRPr="00D26E99" w:rsidR="00130B08">
        <w:rPr>
          <w:rFonts w:cs="Arial"/>
        </w:rPr>
        <w:t xml:space="preserve">analyzed for individual PFOA and PFOS isomers, but </w:t>
      </w:r>
      <w:r w:rsidR="00130B08">
        <w:rPr>
          <w:rFonts w:cs="Arial"/>
        </w:rPr>
        <w:t xml:space="preserve">both isomer-specific and aggregated values will be </w:t>
      </w:r>
      <w:r w:rsidRPr="00D26E99" w:rsidR="00130B08">
        <w:rPr>
          <w:rFonts w:cs="Arial"/>
        </w:rPr>
        <w:t>reported</w:t>
      </w:r>
      <w:r w:rsidR="00130B08">
        <w:rPr>
          <w:rFonts w:cs="Arial"/>
        </w:rPr>
        <w:t>.</w:t>
      </w:r>
    </w:p>
    <w:tbl>
      <w:tblPr>
        <w:tblStyle w:val="TableGrid"/>
        <w:tblW w:w="8455" w:type="dxa"/>
        <w:jc w:val="center"/>
        <w:tblLook w:val="0600" w:firstRow="0" w:lastRow="0" w:firstColumn="0" w:lastColumn="0" w:noHBand="1" w:noVBand="1"/>
      </w:tblPr>
      <w:tblGrid>
        <w:gridCol w:w="1846"/>
        <w:gridCol w:w="4989"/>
        <w:gridCol w:w="1620"/>
      </w:tblGrid>
      <w:tr w:rsidRPr="00D73080" w:rsidR="007673D5" w:rsidTr="009776E7" w14:paraId="2D05A9B8" w14:textId="77777777">
        <w:trPr>
          <w:trHeight w:val="488"/>
          <w:jc w:val="center"/>
        </w:trPr>
        <w:tc>
          <w:tcPr>
            <w:tcW w:w="8455" w:type="dxa"/>
            <w:gridSpan w:val="3"/>
            <w:vAlign w:val="center"/>
          </w:tcPr>
          <w:p w:rsidRPr="00D73080" w:rsidR="007673D5" w:rsidP="009776E7" w:rsidRDefault="007673D5" w14:paraId="23B68B2B" w14:textId="77777777">
            <w:pPr>
              <w:keepNext/>
              <w:rPr>
                <w:rFonts w:cstheme="minorHAnsi"/>
                <w:b/>
                <w:kern w:val="24"/>
                <w:lang w:eastAsia="ja-JP"/>
              </w:rPr>
            </w:pPr>
            <w:r w:rsidRPr="00181C42">
              <w:rPr>
                <w:rFonts w:cs="Arial"/>
                <w:b/>
              </w:rPr>
              <w:t xml:space="preserve">Table </w:t>
            </w:r>
            <w:r>
              <w:rPr>
                <w:rFonts w:cs="Arial"/>
                <w:b/>
              </w:rPr>
              <w:t>2</w:t>
            </w:r>
            <w:r w:rsidRPr="00181C42">
              <w:rPr>
                <w:rFonts w:cs="Arial"/>
                <w:b/>
              </w:rPr>
              <w:t xml:space="preserve">:  List of </w:t>
            </w:r>
            <w:r w:rsidR="00903C42">
              <w:rPr>
                <w:rFonts w:cs="Arial"/>
                <w:b/>
              </w:rPr>
              <w:t xml:space="preserve">proposed </w:t>
            </w:r>
            <w:r>
              <w:rPr>
                <w:rFonts w:cs="Arial"/>
                <w:b/>
              </w:rPr>
              <w:t>PFAS</w:t>
            </w:r>
            <w:r w:rsidRPr="00181C42">
              <w:rPr>
                <w:rFonts w:cs="Arial"/>
                <w:b/>
              </w:rPr>
              <w:t xml:space="preserve"> to </w:t>
            </w:r>
            <w:r w:rsidR="006208D3">
              <w:rPr>
                <w:rFonts w:cs="Arial"/>
                <w:b/>
              </w:rPr>
              <w:t xml:space="preserve">be </w:t>
            </w:r>
            <w:r w:rsidRPr="00181C42">
              <w:rPr>
                <w:rFonts w:cs="Arial"/>
                <w:b/>
              </w:rPr>
              <w:t xml:space="preserve">measured in </w:t>
            </w:r>
            <w:r>
              <w:rPr>
                <w:rFonts w:cs="Arial"/>
                <w:b/>
              </w:rPr>
              <w:t xml:space="preserve">urine 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903C42">
              <w:rPr>
                <w:rFonts w:cs="Arial"/>
                <w:b/>
              </w:rPr>
              <w:t xml:space="preserve">current </w:t>
            </w:r>
            <w:r>
              <w:rPr>
                <w:rFonts w:cs="Arial"/>
                <w:b/>
              </w:rPr>
              <w:t>limit of detection (</w:t>
            </w:r>
            <w:r w:rsidRPr="00337CC8">
              <w:rPr>
                <w:rFonts w:cs="Arial"/>
                <w:b/>
              </w:rPr>
              <w:t>LOD</w:t>
            </w:r>
            <w:r>
              <w:rPr>
                <w:rFonts w:cs="Arial"/>
                <w:b/>
              </w:rPr>
              <w:t>)</w:t>
            </w:r>
          </w:p>
        </w:tc>
      </w:tr>
      <w:tr w:rsidRPr="00D73080" w:rsidR="00D73080" w:rsidTr="009776E7" w14:paraId="7FB46EC7" w14:textId="77777777">
        <w:trPr>
          <w:trHeight w:val="488"/>
          <w:jc w:val="center"/>
        </w:trPr>
        <w:tc>
          <w:tcPr>
            <w:tcW w:w="1846" w:type="dxa"/>
            <w:vAlign w:val="center"/>
            <w:hideMark/>
          </w:tcPr>
          <w:p w:rsidRPr="00D73080" w:rsidR="00D73080" w:rsidP="009776E7" w:rsidRDefault="00D73080" w14:paraId="4D4CBB0E" w14:textId="77777777">
            <w:pPr>
              <w:keepNext/>
              <w:jc w:val="center"/>
              <w:rPr>
                <w:rFonts w:eastAsia="Times New Roman" w:cstheme="minorHAnsi"/>
                <w:b/>
                <w:bCs/>
                <w:lang w:eastAsia="ja-JP"/>
              </w:rPr>
            </w:pPr>
            <w:r w:rsidRPr="00D73080">
              <w:rPr>
                <w:rFonts w:eastAsia="Times New Roman" w:cstheme="minorHAnsi"/>
                <w:b/>
                <w:bCs/>
                <w:lang w:eastAsia="ja-JP"/>
              </w:rPr>
              <w:t>Abbreviation</w:t>
            </w:r>
          </w:p>
        </w:tc>
        <w:tc>
          <w:tcPr>
            <w:tcW w:w="4989" w:type="dxa"/>
            <w:vAlign w:val="center"/>
          </w:tcPr>
          <w:p w:rsidRPr="00D73080" w:rsidR="00D73080" w:rsidP="009776E7" w:rsidRDefault="00D73080" w14:paraId="13B0DF4E" w14:textId="77777777">
            <w:pPr>
              <w:keepNext/>
              <w:jc w:val="center"/>
              <w:rPr>
                <w:rFonts w:cstheme="minorHAnsi"/>
                <w:b/>
                <w:kern w:val="24"/>
                <w:lang w:eastAsia="ja-JP"/>
              </w:rPr>
            </w:pPr>
            <w:r w:rsidRPr="00D73080">
              <w:rPr>
                <w:rFonts w:cstheme="minorHAnsi"/>
                <w:b/>
                <w:kern w:val="24"/>
                <w:lang w:eastAsia="ja-JP"/>
              </w:rPr>
              <w:t>Chemical Name</w:t>
            </w:r>
          </w:p>
        </w:tc>
        <w:tc>
          <w:tcPr>
            <w:tcW w:w="1620" w:type="dxa"/>
            <w:vAlign w:val="center"/>
            <w:hideMark/>
          </w:tcPr>
          <w:p w:rsidRPr="00D73080" w:rsidR="00D73080" w:rsidP="009776E7" w:rsidRDefault="00D73080" w14:paraId="0373774D" w14:textId="77777777">
            <w:pPr>
              <w:keepNext/>
              <w:jc w:val="center"/>
              <w:rPr>
                <w:rFonts w:eastAsia="Times New Roman" w:cstheme="minorHAnsi"/>
                <w:b/>
                <w:bCs/>
                <w:lang w:eastAsia="ja-JP"/>
              </w:rPr>
            </w:pPr>
            <w:r w:rsidRPr="00D73080">
              <w:rPr>
                <w:rFonts w:cstheme="minorHAnsi"/>
                <w:b/>
                <w:kern w:val="24"/>
                <w:lang w:eastAsia="ja-JP"/>
              </w:rPr>
              <w:t>LOD (ng/mL)</w:t>
            </w:r>
          </w:p>
        </w:tc>
      </w:tr>
      <w:tr w:rsidRPr="00D73080" w:rsidR="00D73080" w:rsidTr="009776E7" w14:paraId="056B80FD" w14:textId="77777777">
        <w:trPr>
          <w:trHeight w:val="289"/>
          <w:jc w:val="center"/>
        </w:trPr>
        <w:tc>
          <w:tcPr>
            <w:tcW w:w="1846" w:type="dxa"/>
            <w:vAlign w:val="center"/>
          </w:tcPr>
          <w:p w:rsidRPr="00D73080" w:rsidR="00D73080" w:rsidP="009776E7" w:rsidRDefault="00D73080" w14:paraId="38D284BE" w14:textId="77777777">
            <w:pPr>
              <w:keepNext/>
              <w:jc w:val="center"/>
              <w:rPr>
                <w:rFonts w:eastAsia="Times New Roman" w:cstheme="minorHAnsi"/>
                <w:bCs/>
                <w:kern w:val="24"/>
                <w:lang w:eastAsia="ja-JP"/>
              </w:rPr>
            </w:pPr>
            <w:r w:rsidRPr="00D73080">
              <w:rPr>
                <w:rFonts w:eastAsia="Times New Roman" w:cstheme="minorHAnsi"/>
                <w:kern w:val="24"/>
                <w:lang w:eastAsia="ja-JP"/>
              </w:rPr>
              <w:t>PFBS</w:t>
            </w:r>
          </w:p>
        </w:tc>
        <w:tc>
          <w:tcPr>
            <w:tcW w:w="4989" w:type="dxa"/>
            <w:vAlign w:val="center"/>
          </w:tcPr>
          <w:p w:rsidRPr="00D73080" w:rsidR="00D73080" w:rsidP="009776E7" w:rsidRDefault="00705E94" w14:paraId="7F3B3EEB" w14:textId="435C4FB4">
            <w:pPr>
              <w:keepNext/>
              <w:jc w:val="center"/>
              <w:rPr>
                <w:rFonts w:cstheme="minorHAnsi"/>
                <w:kern w:val="24"/>
                <w:lang w:eastAsia="ja-JP"/>
              </w:rPr>
            </w:pPr>
            <w:proofErr w:type="spellStart"/>
            <w:r>
              <w:rPr>
                <w:rFonts w:cstheme="minorHAnsi"/>
                <w:kern w:val="24"/>
                <w:lang w:eastAsia="ja-JP"/>
              </w:rPr>
              <w:t>perfluorobutane</w:t>
            </w:r>
            <w:proofErr w:type="spellEnd"/>
            <w:r>
              <w:rPr>
                <w:rFonts w:cstheme="minorHAnsi"/>
                <w:kern w:val="24"/>
                <w:lang w:eastAsia="ja-JP"/>
              </w:rPr>
              <w:t xml:space="preserve"> sulfonic acid</w:t>
            </w:r>
          </w:p>
        </w:tc>
        <w:tc>
          <w:tcPr>
            <w:tcW w:w="1620" w:type="dxa"/>
            <w:vAlign w:val="center"/>
          </w:tcPr>
          <w:p w:rsidRPr="00D73080" w:rsidR="00D73080" w:rsidP="009776E7" w:rsidRDefault="00D73080" w14:paraId="1EE9ABAB" w14:textId="77777777">
            <w:pPr>
              <w:keepNext/>
              <w:jc w:val="center"/>
              <w:rPr>
                <w:rFonts w:cstheme="minorHAnsi"/>
                <w:bCs/>
                <w:kern w:val="24"/>
                <w:lang w:eastAsia="ja-JP"/>
              </w:rPr>
            </w:pPr>
            <w:r w:rsidRPr="00D73080">
              <w:rPr>
                <w:rFonts w:cstheme="minorHAnsi"/>
                <w:kern w:val="24"/>
                <w:lang w:eastAsia="ja-JP"/>
              </w:rPr>
              <w:t>0.1</w:t>
            </w:r>
          </w:p>
        </w:tc>
      </w:tr>
      <w:tr w:rsidRPr="00D73080" w:rsidR="00D73080" w:rsidTr="009776E7" w14:paraId="3869F375" w14:textId="77777777">
        <w:trPr>
          <w:trHeight w:val="289"/>
          <w:jc w:val="center"/>
        </w:trPr>
        <w:tc>
          <w:tcPr>
            <w:tcW w:w="1846" w:type="dxa"/>
            <w:vAlign w:val="center"/>
          </w:tcPr>
          <w:p w:rsidRPr="00D73080" w:rsidR="00D73080" w:rsidP="009776E7" w:rsidRDefault="00D73080" w14:paraId="0840106D" w14:textId="77777777">
            <w:pPr>
              <w:keepNext/>
              <w:jc w:val="center"/>
              <w:rPr>
                <w:rFonts w:eastAsia="Times New Roman" w:cstheme="minorHAnsi"/>
                <w:bCs/>
                <w:lang w:eastAsia="ja-JP"/>
              </w:rPr>
            </w:pPr>
            <w:proofErr w:type="spellStart"/>
            <w:r w:rsidRPr="00D73080">
              <w:rPr>
                <w:rFonts w:eastAsia="Times New Roman" w:cstheme="minorHAnsi"/>
                <w:lang w:eastAsia="ja-JP"/>
              </w:rPr>
              <w:t>PFHpS</w:t>
            </w:r>
            <w:proofErr w:type="spellEnd"/>
          </w:p>
        </w:tc>
        <w:tc>
          <w:tcPr>
            <w:tcW w:w="4989" w:type="dxa"/>
            <w:vAlign w:val="center"/>
          </w:tcPr>
          <w:p w:rsidRPr="00D73080" w:rsidR="00D73080" w:rsidP="009776E7" w:rsidRDefault="002F4990" w14:paraId="1CC2E703" w14:textId="476A955D">
            <w:pPr>
              <w:keepNext/>
              <w:jc w:val="center"/>
              <w:rPr>
                <w:rFonts w:eastAsia="Times New Roman" w:cstheme="minorHAnsi"/>
                <w:lang w:eastAsia="ja-JP"/>
              </w:rPr>
            </w:pPr>
            <w:proofErr w:type="spellStart"/>
            <w:r>
              <w:rPr>
                <w:rFonts w:eastAsia="Times New Roman" w:cstheme="minorHAnsi"/>
                <w:lang w:eastAsia="ja-JP"/>
              </w:rPr>
              <w:t>perfluoroheptane</w:t>
            </w:r>
            <w:proofErr w:type="spellEnd"/>
            <w:r>
              <w:rPr>
                <w:rFonts w:eastAsia="Times New Roman" w:cstheme="minorHAnsi"/>
                <w:lang w:eastAsia="ja-JP"/>
              </w:rPr>
              <w:t xml:space="preserve"> sulfonic acid</w:t>
            </w:r>
          </w:p>
        </w:tc>
        <w:tc>
          <w:tcPr>
            <w:tcW w:w="1620" w:type="dxa"/>
            <w:vAlign w:val="center"/>
          </w:tcPr>
          <w:p w:rsidRPr="00D73080" w:rsidR="00D73080" w:rsidP="009776E7" w:rsidRDefault="00D73080" w14:paraId="7C252784" w14:textId="77777777">
            <w:pPr>
              <w:keepNext/>
              <w:jc w:val="center"/>
              <w:rPr>
                <w:rFonts w:eastAsia="Times New Roman" w:cstheme="minorHAnsi"/>
                <w:bCs/>
                <w:lang w:eastAsia="ja-JP"/>
              </w:rPr>
            </w:pPr>
            <w:r w:rsidRPr="00D73080">
              <w:rPr>
                <w:rFonts w:eastAsia="Times New Roman" w:cstheme="minorHAnsi"/>
                <w:lang w:eastAsia="ja-JP"/>
              </w:rPr>
              <w:t>0.</w:t>
            </w:r>
            <w:r w:rsidR="00903C42">
              <w:rPr>
                <w:rFonts w:eastAsia="Times New Roman" w:cstheme="minorHAnsi"/>
                <w:lang w:eastAsia="ja-JP"/>
              </w:rPr>
              <w:t>1</w:t>
            </w:r>
          </w:p>
        </w:tc>
      </w:tr>
      <w:tr w:rsidRPr="00D73080" w:rsidR="00006ADA" w:rsidTr="009776E7" w14:paraId="26789809" w14:textId="77777777">
        <w:trPr>
          <w:trHeight w:val="289"/>
          <w:jc w:val="center"/>
        </w:trPr>
        <w:tc>
          <w:tcPr>
            <w:tcW w:w="1846" w:type="dxa"/>
            <w:vAlign w:val="center"/>
          </w:tcPr>
          <w:p w:rsidRPr="00D73080" w:rsidR="00006ADA" w:rsidP="009776E7" w:rsidRDefault="00006ADA" w14:paraId="53AD96C3" w14:textId="77777777">
            <w:pPr>
              <w:keepNext/>
              <w:jc w:val="center"/>
              <w:rPr>
                <w:rFonts w:eastAsia="Times New Roman" w:cstheme="minorHAnsi"/>
                <w:bCs/>
                <w:lang w:eastAsia="ja-JP"/>
              </w:rPr>
            </w:pPr>
            <w:proofErr w:type="spellStart"/>
            <w:r w:rsidRPr="00D73080">
              <w:rPr>
                <w:rFonts w:eastAsia="Times New Roman" w:cstheme="minorHAnsi"/>
                <w:kern w:val="24"/>
                <w:lang w:eastAsia="ja-JP"/>
              </w:rPr>
              <w:t>PFHxS</w:t>
            </w:r>
            <w:proofErr w:type="spellEnd"/>
          </w:p>
        </w:tc>
        <w:tc>
          <w:tcPr>
            <w:tcW w:w="4989" w:type="dxa"/>
          </w:tcPr>
          <w:p w:rsidRPr="00D73080" w:rsidR="00006ADA" w:rsidP="009776E7" w:rsidRDefault="00643526" w14:paraId="457D86B7" w14:textId="77777777">
            <w:pPr>
              <w:keepNext/>
              <w:jc w:val="center"/>
              <w:rPr>
                <w:rFonts w:cstheme="minorHAnsi"/>
                <w:kern w:val="24"/>
                <w:lang w:eastAsia="ja-JP"/>
              </w:rPr>
            </w:pPr>
            <w:proofErr w:type="spellStart"/>
            <w:r>
              <w:rPr>
                <w:rFonts w:cs="Arial"/>
                <w:color w:val="000000"/>
              </w:rPr>
              <w:t>p</w:t>
            </w:r>
            <w:r w:rsidRPr="00181C42" w:rsidR="00006ADA">
              <w:rPr>
                <w:rFonts w:cs="Arial"/>
                <w:color w:val="000000"/>
              </w:rPr>
              <w:t>erfluorohexane</w:t>
            </w:r>
            <w:proofErr w:type="spellEnd"/>
            <w:r w:rsidRPr="00181C42" w:rsidR="00006ADA">
              <w:rPr>
                <w:rFonts w:cs="Arial"/>
                <w:color w:val="000000"/>
              </w:rPr>
              <w:t xml:space="preserve"> sulfonic acid</w:t>
            </w:r>
          </w:p>
        </w:tc>
        <w:tc>
          <w:tcPr>
            <w:tcW w:w="1620" w:type="dxa"/>
            <w:vAlign w:val="center"/>
          </w:tcPr>
          <w:p w:rsidRPr="00D73080" w:rsidR="00006ADA" w:rsidP="009776E7" w:rsidRDefault="00006ADA" w14:paraId="7BA5E614" w14:textId="77777777">
            <w:pPr>
              <w:keepNext/>
              <w:jc w:val="center"/>
              <w:rPr>
                <w:rFonts w:eastAsia="Times New Roman" w:cstheme="minorHAnsi"/>
                <w:bCs/>
                <w:lang w:eastAsia="ja-JP"/>
              </w:rPr>
            </w:pPr>
            <w:r w:rsidRPr="00D73080">
              <w:rPr>
                <w:rFonts w:cstheme="minorHAnsi"/>
                <w:kern w:val="24"/>
                <w:lang w:eastAsia="ja-JP"/>
              </w:rPr>
              <w:t>0.1</w:t>
            </w:r>
          </w:p>
        </w:tc>
      </w:tr>
      <w:tr w:rsidRPr="00D73080" w:rsidR="008D72D3" w:rsidTr="006140AC" w14:paraId="5B47746F" w14:textId="77777777">
        <w:trPr>
          <w:trHeight w:val="289"/>
          <w:jc w:val="center"/>
        </w:trPr>
        <w:tc>
          <w:tcPr>
            <w:tcW w:w="1846" w:type="dxa"/>
            <w:vAlign w:val="center"/>
          </w:tcPr>
          <w:p w:rsidRPr="00D73080" w:rsidR="008D72D3" w:rsidP="00641109" w:rsidRDefault="008D72D3" w14:paraId="7B6D5407" w14:textId="77777777">
            <w:pPr>
              <w:keepNext/>
              <w:jc w:val="center"/>
              <w:rPr>
                <w:rFonts w:eastAsia="Times New Roman" w:cstheme="minorHAnsi"/>
                <w:kern w:val="24"/>
                <w:lang w:eastAsia="ja-JP"/>
              </w:rPr>
            </w:pPr>
            <w:r>
              <w:rPr>
                <w:rFonts w:eastAsia="Times New Roman" w:cstheme="minorHAnsi"/>
                <w:kern w:val="24"/>
                <w:lang w:eastAsia="ja-JP"/>
              </w:rPr>
              <w:t>Total PFOS</w:t>
            </w:r>
          </w:p>
        </w:tc>
        <w:tc>
          <w:tcPr>
            <w:tcW w:w="4989" w:type="dxa"/>
          </w:tcPr>
          <w:p w:rsidR="008D72D3" w:rsidP="00641109" w:rsidRDefault="008D72D3" w14:paraId="2C3D8AAD" w14:textId="77777777">
            <w:pPr>
              <w:keepNext/>
              <w:jc w:val="center"/>
              <w:rPr>
                <w:rFonts w:cs="Arial"/>
                <w:color w:val="000000"/>
              </w:rPr>
            </w:pPr>
            <w:proofErr w:type="spellStart"/>
            <w:r>
              <w:rPr>
                <w:rFonts w:cs="Arial"/>
                <w:color w:val="000000"/>
              </w:rPr>
              <w:t>p</w:t>
            </w:r>
            <w:r w:rsidRPr="00181C42">
              <w:rPr>
                <w:rFonts w:cs="Arial"/>
                <w:color w:val="000000"/>
              </w:rPr>
              <w:t>erfluorooctane</w:t>
            </w:r>
            <w:proofErr w:type="spellEnd"/>
            <w:r w:rsidRPr="00181C42">
              <w:rPr>
                <w:rFonts w:cs="Arial"/>
                <w:color w:val="000000"/>
              </w:rPr>
              <w:t xml:space="preserve"> sulfonic acid</w:t>
            </w:r>
          </w:p>
        </w:tc>
        <w:tc>
          <w:tcPr>
            <w:tcW w:w="1620" w:type="dxa"/>
            <w:vAlign w:val="center"/>
          </w:tcPr>
          <w:p w:rsidRPr="00D73080" w:rsidR="008D72D3" w:rsidP="00641109" w:rsidRDefault="00245FE6" w14:paraId="4FFDEBAF" w14:textId="2692F496">
            <w:pPr>
              <w:keepNext/>
              <w:jc w:val="center"/>
              <w:rPr>
                <w:rFonts w:cstheme="minorHAnsi"/>
                <w:kern w:val="24"/>
                <w:lang w:eastAsia="ja-JP"/>
              </w:rPr>
            </w:pPr>
            <w:r>
              <w:rPr>
                <w:rFonts w:cstheme="minorHAnsi"/>
                <w:kern w:val="24"/>
                <w:lang w:eastAsia="ja-JP"/>
              </w:rPr>
              <w:t>--</w:t>
            </w:r>
          </w:p>
        </w:tc>
      </w:tr>
      <w:tr w:rsidRPr="00D73080" w:rsidR="00006ADA" w:rsidTr="009776E7" w14:paraId="09E81434" w14:textId="77777777">
        <w:trPr>
          <w:trHeight w:val="289"/>
          <w:jc w:val="center"/>
        </w:trPr>
        <w:tc>
          <w:tcPr>
            <w:tcW w:w="1846" w:type="dxa"/>
            <w:vAlign w:val="center"/>
            <w:hideMark/>
          </w:tcPr>
          <w:p w:rsidRPr="00D73080" w:rsidR="00006ADA" w:rsidP="006043D2" w:rsidRDefault="00006ADA" w14:paraId="5F4ABAB0" w14:textId="77777777">
            <w:pPr>
              <w:jc w:val="center"/>
              <w:rPr>
                <w:rFonts w:eastAsia="Times New Roman" w:cstheme="minorHAnsi"/>
                <w:bCs/>
                <w:lang w:eastAsia="ja-JP"/>
              </w:rPr>
            </w:pPr>
            <w:r w:rsidRPr="00D73080">
              <w:rPr>
                <w:rFonts w:eastAsia="Times New Roman" w:cstheme="minorHAnsi"/>
                <w:kern w:val="24"/>
                <w:lang w:eastAsia="ja-JP"/>
              </w:rPr>
              <w:t>n-PFOS</w:t>
            </w:r>
          </w:p>
        </w:tc>
        <w:tc>
          <w:tcPr>
            <w:tcW w:w="4989" w:type="dxa"/>
            <w:vAlign w:val="center"/>
          </w:tcPr>
          <w:p w:rsidRPr="00D73080" w:rsidR="00006ADA" w:rsidP="006043D2" w:rsidRDefault="00643526" w14:paraId="50E8CF26" w14:textId="77777777">
            <w:pPr>
              <w:jc w:val="center"/>
              <w:rPr>
                <w:rFonts w:cstheme="minorHAnsi"/>
                <w:kern w:val="24"/>
                <w:lang w:eastAsia="ja-JP"/>
              </w:rPr>
            </w:pPr>
            <w:r w:rsidRPr="00643526">
              <w:rPr>
                <w:rFonts w:cs="Arial"/>
                <w:color w:val="000000"/>
              </w:rPr>
              <w:t>sodium perfluoro-1-octanesulfonate</w:t>
            </w:r>
          </w:p>
        </w:tc>
        <w:tc>
          <w:tcPr>
            <w:tcW w:w="1620" w:type="dxa"/>
            <w:vAlign w:val="center"/>
            <w:hideMark/>
          </w:tcPr>
          <w:p w:rsidRPr="00D73080" w:rsidR="00006ADA" w:rsidP="006043D2" w:rsidRDefault="00006ADA" w14:paraId="0E5FBD2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D2965A1" w14:textId="77777777">
        <w:trPr>
          <w:trHeight w:val="289"/>
          <w:jc w:val="center"/>
        </w:trPr>
        <w:tc>
          <w:tcPr>
            <w:tcW w:w="1846" w:type="dxa"/>
            <w:vAlign w:val="center"/>
            <w:hideMark/>
          </w:tcPr>
          <w:p w:rsidRPr="00D73080" w:rsidR="00006ADA" w:rsidP="006043D2" w:rsidRDefault="00006ADA" w14:paraId="275BC79D" w14:textId="77777777">
            <w:pPr>
              <w:jc w:val="center"/>
              <w:rPr>
                <w:rFonts w:eastAsia="Times New Roman" w:cstheme="minorHAnsi"/>
                <w:bCs/>
                <w:lang w:eastAsia="ja-JP"/>
              </w:rPr>
            </w:pPr>
            <w:proofErr w:type="spellStart"/>
            <w:r w:rsidRPr="00D73080">
              <w:rPr>
                <w:rFonts w:eastAsia="Times New Roman" w:cstheme="minorHAnsi"/>
                <w:kern w:val="24"/>
                <w:lang w:eastAsia="ja-JP"/>
              </w:rPr>
              <w:t>Sm</w:t>
            </w:r>
            <w:proofErr w:type="spellEnd"/>
            <w:r w:rsidRPr="00D73080">
              <w:rPr>
                <w:rFonts w:eastAsia="Times New Roman" w:cstheme="minorHAnsi"/>
                <w:kern w:val="24"/>
                <w:lang w:eastAsia="ja-JP"/>
              </w:rPr>
              <w:t>-PFOS</w:t>
            </w:r>
          </w:p>
        </w:tc>
        <w:tc>
          <w:tcPr>
            <w:tcW w:w="4989" w:type="dxa"/>
            <w:vAlign w:val="center"/>
          </w:tcPr>
          <w:p w:rsidRPr="00D73080" w:rsidR="00006ADA" w:rsidP="006043D2" w:rsidRDefault="00643526" w14:paraId="070598C5" w14:textId="77777777">
            <w:pPr>
              <w:jc w:val="center"/>
              <w:rPr>
                <w:rFonts w:cstheme="minorHAnsi"/>
                <w:kern w:val="24"/>
                <w:lang w:eastAsia="ja-JP"/>
              </w:rPr>
            </w:pPr>
            <w:r w:rsidRPr="00643526">
              <w:rPr>
                <w:rFonts w:cs="Arial"/>
                <w:color w:val="000000"/>
              </w:rPr>
              <w:t>mixture of sodium perfluoro-5-methylheptane sulfonate</w:t>
            </w:r>
            <w:r>
              <w:rPr>
                <w:rFonts w:cs="Arial"/>
                <w:color w:val="000000"/>
              </w:rPr>
              <w:t xml:space="preserve"> isomers</w:t>
            </w:r>
          </w:p>
        </w:tc>
        <w:tc>
          <w:tcPr>
            <w:tcW w:w="1620" w:type="dxa"/>
            <w:vAlign w:val="center"/>
            <w:hideMark/>
          </w:tcPr>
          <w:p w:rsidRPr="00D73080" w:rsidR="00006ADA" w:rsidP="006043D2" w:rsidRDefault="00006ADA" w14:paraId="7CC2830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F540A37" w14:textId="77777777">
        <w:trPr>
          <w:trHeight w:val="289"/>
          <w:jc w:val="center"/>
        </w:trPr>
        <w:tc>
          <w:tcPr>
            <w:tcW w:w="1846" w:type="dxa"/>
            <w:vAlign w:val="center"/>
          </w:tcPr>
          <w:p w:rsidRPr="00D73080" w:rsidR="00006ADA" w:rsidP="006043D2" w:rsidRDefault="00006ADA" w14:paraId="482CB36B" w14:textId="77777777">
            <w:pPr>
              <w:jc w:val="center"/>
              <w:rPr>
                <w:rFonts w:eastAsia="Times New Roman" w:cstheme="minorHAnsi"/>
                <w:bCs/>
                <w:lang w:eastAsia="ja-JP"/>
              </w:rPr>
            </w:pPr>
            <w:r w:rsidRPr="00D73080">
              <w:rPr>
                <w:rFonts w:eastAsia="Times New Roman" w:cstheme="minorHAnsi"/>
                <w:kern w:val="24"/>
                <w:lang w:eastAsia="ja-JP"/>
              </w:rPr>
              <w:t>PFBA</w:t>
            </w:r>
          </w:p>
        </w:tc>
        <w:tc>
          <w:tcPr>
            <w:tcW w:w="4989" w:type="dxa"/>
            <w:vAlign w:val="center"/>
          </w:tcPr>
          <w:p w:rsidRPr="00D73080" w:rsidR="00006ADA" w:rsidP="006043D2" w:rsidRDefault="002F4990" w14:paraId="75EBF938" w14:textId="5E260E1C">
            <w:pPr>
              <w:jc w:val="center"/>
              <w:rPr>
                <w:rFonts w:cstheme="minorHAnsi"/>
                <w:kern w:val="24"/>
                <w:lang w:eastAsia="ja-JP"/>
              </w:rPr>
            </w:pPr>
            <w:proofErr w:type="spellStart"/>
            <w:r>
              <w:rPr>
                <w:rFonts w:cstheme="minorHAnsi"/>
                <w:kern w:val="24"/>
                <w:lang w:eastAsia="ja-JP"/>
              </w:rPr>
              <w:t>perfluorobutanoic</w:t>
            </w:r>
            <w:proofErr w:type="spellEnd"/>
            <w:r>
              <w:rPr>
                <w:rFonts w:cstheme="minorHAnsi"/>
                <w:kern w:val="24"/>
                <w:lang w:eastAsia="ja-JP"/>
              </w:rPr>
              <w:t xml:space="preserve"> acid</w:t>
            </w:r>
          </w:p>
        </w:tc>
        <w:tc>
          <w:tcPr>
            <w:tcW w:w="1620" w:type="dxa"/>
            <w:vAlign w:val="center"/>
            <w:hideMark/>
          </w:tcPr>
          <w:p w:rsidRPr="00D73080" w:rsidR="00006ADA" w:rsidP="006043D2" w:rsidRDefault="00006ADA" w14:paraId="78C4C204"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61034290" w14:textId="77777777">
        <w:trPr>
          <w:trHeight w:val="289"/>
          <w:jc w:val="center"/>
        </w:trPr>
        <w:tc>
          <w:tcPr>
            <w:tcW w:w="1846" w:type="dxa"/>
            <w:vAlign w:val="center"/>
            <w:hideMark/>
          </w:tcPr>
          <w:p w:rsidRPr="00D73080" w:rsidR="00006ADA" w:rsidP="006043D2" w:rsidRDefault="00006ADA" w14:paraId="4618B613" w14:textId="77777777">
            <w:pPr>
              <w:jc w:val="center"/>
              <w:rPr>
                <w:rFonts w:eastAsia="Times New Roman" w:cstheme="minorHAnsi"/>
                <w:bCs/>
                <w:kern w:val="24"/>
                <w:lang w:eastAsia="ja-JP"/>
              </w:rPr>
            </w:pPr>
            <w:proofErr w:type="spellStart"/>
            <w:r w:rsidRPr="00D73080">
              <w:rPr>
                <w:rFonts w:eastAsia="Times New Roman" w:cstheme="minorHAnsi"/>
                <w:kern w:val="24"/>
                <w:lang w:eastAsia="ja-JP"/>
              </w:rPr>
              <w:t>PFPeA</w:t>
            </w:r>
            <w:proofErr w:type="spellEnd"/>
          </w:p>
        </w:tc>
        <w:tc>
          <w:tcPr>
            <w:tcW w:w="4989" w:type="dxa"/>
            <w:vAlign w:val="center"/>
          </w:tcPr>
          <w:p w:rsidRPr="00D73080" w:rsidR="00006ADA" w:rsidP="006043D2" w:rsidRDefault="002F4990" w14:paraId="3D0DC56D" w14:textId="72179266">
            <w:pPr>
              <w:jc w:val="center"/>
              <w:rPr>
                <w:rFonts w:cstheme="minorHAnsi"/>
                <w:kern w:val="24"/>
                <w:lang w:eastAsia="ja-JP"/>
              </w:rPr>
            </w:pPr>
            <w:proofErr w:type="spellStart"/>
            <w:r>
              <w:rPr>
                <w:rFonts w:cstheme="minorHAnsi"/>
                <w:kern w:val="24"/>
                <w:lang w:eastAsia="ja-JP"/>
              </w:rPr>
              <w:t>perfluoropentanoic</w:t>
            </w:r>
            <w:proofErr w:type="spellEnd"/>
            <w:r>
              <w:rPr>
                <w:rFonts w:cstheme="minorHAnsi"/>
                <w:kern w:val="24"/>
                <w:lang w:eastAsia="ja-JP"/>
              </w:rPr>
              <w:t xml:space="preserve"> acid</w:t>
            </w:r>
          </w:p>
        </w:tc>
        <w:tc>
          <w:tcPr>
            <w:tcW w:w="1620" w:type="dxa"/>
            <w:vAlign w:val="center"/>
            <w:hideMark/>
          </w:tcPr>
          <w:p w:rsidRPr="00D73080" w:rsidR="00006ADA" w:rsidP="006043D2" w:rsidRDefault="00006ADA" w14:paraId="545BCE39"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1D3F737B" w14:textId="77777777">
        <w:trPr>
          <w:trHeight w:val="289"/>
          <w:jc w:val="center"/>
        </w:trPr>
        <w:tc>
          <w:tcPr>
            <w:tcW w:w="1846" w:type="dxa"/>
            <w:vAlign w:val="center"/>
          </w:tcPr>
          <w:p w:rsidRPr="00D73080" w:rsidR="00006ADA" w:rsidP="006043D2" w:rsidRDefault="00006ADA" w14:paraId="551D70B1" w14:textId="77777777">
            <w:pPr>
              <w:jc w:val="center"/>
              <w:rPr>
                <w:rFonts w:cstheme="minorHAnsi"/>
              </w:rPr>
            </w:pPr>
            <w:proofErr w:type="spellStart"/>
            <w:r w:rsidRPr="00D73080">
              <w:rPr>
                <w:rFonts w:cstheme="minorHAnsi"/>
              </w:rPr>
              <w:t>PFHxA</w:t>
            </w:r>
            <w:proofErr w:type="spellEnd"/>
          </w:p>
        </w:tc>
        <w:tc>
          <w:tcPr>
            <w:tcW w:w="4989" w:type="dxa"/>
            <w:vAlign w:val="center"/>
          </w:tcPr>
          <w:p w:rsidRPr="00D73080" w:rsidR="00006ADA" w:rsidP="006043D2" w:rsidRDefault="002F4990" w14:paraId="65792318" w14:textId="11539328">
            <w:pPr>
              <w:jc w:val="center"/>
              <w:rPr>
                <w:rFonts w:cstheme="minorHAnsi"/>
                <w:kern w:val="24"/>
                <w:lang w:eastAsia="ja-JP"/>
              </w:rPr>
            </w:pPr>
            <w:proofErr w:type="spellStart"/>
            <w:r>
              <w:rPr>
                <w:rFonts w:cstheme="minorHAnsi"/>
                <w:kern w:val="24"/>
                <w:lang w:eastAsia="ja-JP"/>
              </w:rPr>
              <w:t>perfluorohexanoic</w:t>
            </w:r>
            <w:proofErr w:type="spellEnd"/>
            <w:r>
              <w:rPr>
                <w:rFonts w:cstheme="minorHAnsi"/>
                <w:kern w:val="24"/>
                <w:lang w:eastAsia="ja-JP"/>
              </w:rPr>
              <w:t xml:space="preserve"> acid</w:t>
            </w:r>
          </w:p>
        </w:tc>
        <w:tc>
          <w:tcPr>
            <w:tcW w:w="1620" w:type="dxa"/>
            <w:vAlign w:val="center"/>
          </w:tcPr>
          <w:p w:rsidRPr="00D73080" w:rsidR="00006ADA" w:rsidP="006043D2" w:rsidRDefault="00006ADA" w14:paraId="7344460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E91633F" w14:textId="77777777">
        <w:trPr>
          <w:trHeight w:val="289"/>
          <w:jc w:val="center"/>
        </w:trPr>
        <w:tc>
          <w:tcPr>
            <w:tcW w:w="1846" w:type="dxa"/>
            <w:vAlign w:val="center"/>
          </w:tcPr>
          <w:p w:rsidRPr="00D73080" w:rsidR="00006ADA" w:rsidP="006043D2" w:rsidRDefault="00006ADA" w14:paraId="263DEFC1" w14:textId="77777777">
            <w:pPr>
              <w:jc w:val="center"/>
              <w:rPr>
                <w:rFonts w:cstheme="minorHAnsi"/>
              </w:rPr>
            </w:pPr>
            <w:proofErr w:type="spellStart"/>
            <w:r w:rsidRPr="00D73080">
              <w:rPr>
                <w:rFonts w:cstheme="minorHAnsi"/>
              </w:rPr>
              <w:t>PFHpA</w:t>
            </w:r>
            <w:proofErr w:type="spellEnd"/>
          </w:p>
        </w:tc>
        <w:tc>
          <w:tcPr>
            <w:tcW w:w="4989" w:type="dxa"/>
            <w:vAlign w:val="center"/>
          </w:tcPr>
          <w:p w:rsidRPr="00D73080" w:rsidR="00006ADA" w:rsidP="006043D2" w:rsidRDefault="00705E94" w14:paraId="31239030" w14:textId="33AE04C9">
            <w:pPr>
              <w:jc w:val="center"/>
              <w:rPr>
                <w:rFonts w:cstheme="minorHAnsi"/>
                <w:kern w:val="24"/>
                <w:lang w:eastAsia="ja-JP"/>
              </w:rPr>
            </w:pPr>
            <w:proofErr w:type="spellStart"/>
            <w:r>
              <w:rPr>
                <w:rFonts w:cstheme="minorHAnsi"/>
                <w:kern w:val="24"/>
                <w:lang w:eastAsia="ja-JP"/>
              </w:rPr>
              <w:t>perfluoroheptanoic</w:t>
            </w:r>
            <w:proofErr w:type="spellEnd"/>
            <w:r>
              <w:rPr>
                <w:rFonts w:cstheme="minorHAnsi"/>
                <w:kern w:val="24"/>
                <w:lang w:eastAsia="ja-JP"/>
              </w:rPr>
              <w:t xml:space="preserve"> acid</w:t>
            </w:r>
          </w:p>
        </w:tc>
        <w:tc>
          <w:tcPr>
            <w:tcW w:w="1620" w:type="dxa"/>
            <w:vAlign w:val="center"/>
          </w:tcPr>
          <w:p w:rsidRPr="00D73080" w:rsidR="00006ADA" w:rsidP="006043D2" w:rsidRDefault="00006ADA" w14:paraId="3C5F4972" w14:textId="77777777">
            <w:pPr>
              <w:jc w:val="center"/>
              <w:rPr>
                <w:rFonts w:eastAsia="Times New Roman" w:cstheme="minorHAnsi"/>
                <w:bCs/>
                <w:lang w:eastAsia="ja-JP"/>
              </w:rPr>
            </w:pPr>
            <w:r w:rsidRPr="00D73080">
              <w:rPr>
                <w:rFonts w:cstheme="minorHAnsi"/>
                <w:kern w:val="24"/>
                <w:lang w:eastAsia="ja-JP"/>
              </w:rPr>
              <w:t>0.1</w:t>
            </w:r>
          </w:p>
        </w:tc>
      </w:tr>
      <w:tr w:rsidRPr="00D73080" w:rsidR="008D72D3" w:rsidTr="00D73080" w14:paraId="0ADB6602" w14:textId="77777777">
        <w:trPr>
          <w:trHeight w:val="289"/>
          <w:jc w:val="center"/>
        </w:trPr>
        <w:tc>
          <w:tcPr>
            <w:tcW w:w="1846" w:type="dxa"/>
            <w:vAlign w:val="center"/>
          </w:tcPr>
          <w:p w:rsidRPr="00D73080" w:rsidR="008D72D3" w:rsidP="006043D2" w:rsidRDefault="008D72D3" w14:paraId="1A9930A5" w14:textId="77777777">
            <w:pPr>
              <w:jc w:val="center"/>
              <w:rPr>
                <w:rFonts w:cstheme="minorHAnsi"/>
              </w:rPr>
            </w:pPr>
            <w:r>
              <w:rPr>
                <w:rFonts w:cstheme="minorHAnsi"/>
              </w:rPr>
              <w:t>Total PFOA</w:t>
            </w:r>
          </w:p>
        </w:tc>
        <w:tc>
          <w:tcPr>
            <w:tcW w:w="4989" w:type="dxa"/>
            <w:vAlign w:val="center"/>
          </w:tcPr>
          <w:p w:rsidRPr="00436316" w:rsidR="008D72D3" w:rsidP="006043D2" w:rsidRDefault="008D72D3" w14:paraId="01EBEBBC" w14:textId="77777777">
            <w:pPr>
              <w:jc w:val="center"/>
              <w:rPr>
                <w:rFonts w:cstheme="minorHAnsi"/>
                <w:kern w:val="24"/>
                <w:lang w:eastAsia="ja-JP"/>
              </w:rPr>
            </w:pPr>
            <w:r>
              <w:rPr>
                <w:rFonts w:cs="Arial"/>
                <w:color w:val="000000"/>
              </w:rPr>
              <w:t>p</w:t>
            </w:r>
            <w:r w:rsidRPr="00181C42">
              <w:rPr>
                <w:rFonts w:cs="Arial"/>
                <w:color w:val="000000"/>
              </w:rPr>
              <w:t>erfluorooctanoic acid</w:t>
            </w:r>
          </w:p>
        </w:tc>
        <w:tc>
          <w:tcPr>
            <w:tcW w:w="1620" w:type="dxa"/>
            <w:vAlign w:val="center"/>
          </w:tcPr>
          <w:p w:rsidRPr="00D73080" w:rsidR="008D72D3" w:rsidP="006043D2" w:rsidRDefault="00245FE6" w14:paraId="52BF2AD7" w14:textId="6EBDE5E5">
            <w:pPr>
              <w:jc w:val="center"/>
              <w:rPr>
                <w:rFonts w:cstheme="minorHAnsi"/>
                <w:kern w:val="24"/>
                <w:lang w:eastAsia="ja-JP"/>
              </w:rPr>
            </w:pPr>
            <w:r>
              <w:rPr>
                <w:rFonts w:cstheme="minorHAnsi"/>
                <w:kern w:val="24"/>
                <w:lang w:eastAsia="ja-JP"/>
              </w:rPr>
              <w:t>--</w:t>
            </w:r>
          </w:p>
        </w:tc>
      </w:tr>
      <w:tr w:rsidRPr="00D73080" w:rsidR="00006ADA" w:rsidTr="009776E7" w14:paraId="15592373" w14:textId="77777777">
        <w:trPr>
          <w:trHeight w:val="289"/>
          <w:jc w:val="center"/>
        </w:trPr>
        <w:tc>
          <w:tcPr>
            <w:tcW w:w="1846" w:type="dxa"/>
            <w:vAlign w:val="center"/>
          </w:tcPr>
          <w:p w:rsidRPr="00D73080" w:rsidR="00006ADA" w:rsidP="006043D2" w:rsidRDefault="00006ADA" w14:paraId="1DE5146C" w14:textId="77777777">
            <w:pPr>
              <w:jc w:val="center"/>
              <w:rPr>
                <w:rFonts w:cstheme="minorHAnsi"/>
              </w:rPr>
            </w:pPr>
            <w:r w:rsidRPr="00D73080">
              <w:rPr>
                <w:rFonts w:cstheme="minorHAnsi"/>
              </w:rPr>
              <w:t>n-PFOA</w:t>
            </w:r>
          </w:p>
        </w:tc>
        <w:tc>
          <w:tcPr>
            <w:tcW w:w="4989" w:type="dxa"/>
          </w:tcPr>
          <w:p w:rsidRPr="00D73080" w:rsidR="00006ADA" w:rsidP="006043D2" w:rsidRDefault="00436316" w14:paraId="784D47D3" w14:textId="77777777">
            <w:pPr>
              <w:jc w:val="center"/>
              <w:rPr>
                <w:rFonts w:cstheme="minorHAnsi"/>
                <w:kern w:val="24"/>
                <w:lang w:eastAsia="ja-JP"/>
              </w:rPr>
            </w:pPr>
            <w:r w:rsidRPr="00436316">
              <w:rPr>
                <w:rFonts w:cs="Arial"/>
                <w:color w:val="000000"/>
              </w:rPr>
              <w:t>ammonium perfluorooctanoate</w:t>
            </w:r>
          </w:p>
        </w:tc>
        <w:tc>
          <w:tcPr>
            <w:tcW w:w="1620" w:type="dxa"/>
            <w:vAlign w:val="center"/>
          </w:tcPr>
          <w:p w:rsidRPr="00D73080" w:rsidR="00006ADA" w:rsidP="006043D2" w:rsidRDefault="00006ADA" w14:paraId="47C96CA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131744A" w14:textId="77777777">
        <w:trPr>
          <w:trHeight w:val="289"/>
          <w:jc w:val="center"/>
        </w:trPr>
        <w:tc>
          <w:tcPr>
            <w:tcW w:w="1846" w:type="dxa"/>
            <w:vAlign w:val="center"/>
          </w:tcPr>
          <w:p w:rsidRPr="00D73080" w:rsidR="00006ADA" w:rsidP="006043D2" w:rsidRDefault="00006ADA" w14:paraId="17B1A6C8" w14:textId="77777777">
            <w:pPr>
              <w:jc w:val="center"/>
              <w:rPr>
                <w:rFonts w:cstheme="minorHAnsi"/>
              </w:rPr>
            </w:pPr>
            <w:r w:rsidRPr="00D73080">
              <w:rPr>
                <w:rFonts w:cstheme="minorHAnsi"/>
              </w:rPr>
              <w:t>Sb-PFOA</w:t>
            </w:r>
          </w:p>
        </w:tc>
        <w:tc>
          <w:tcPr>
            <w:tcW w:w="4989" w:type="dxa"/>
          </w:tcPr>
          <w:p w:rsidRPr="00AC05D1" w:rsidR="00006ADA" w:rsidP="006043D2" w:rsidRDefault="00AC05D1" w14:paraId="1557FC62" w14:textId="77777777">
            <w:pPr>
              <w:jc w:val="center"/>
              <w:rPr>
                <w:rFonts w:cstheme="minorHAnsi"/>
                <w:kern w:val="24"/>
                <w:lang w:eastAsia="ja-JP"/>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620" w:type="dxa"/>
            <w:vAlign w:val="center"/>
          </w:tcPr>
          <w:p w:rsidRPr="00D73080" w:rsidR="00006ADA" w:rsidP="006043D2" w:rsidRDefault="00006ADA" w14:paraId="6B79F824"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80AEA67" w14:textId="77777777">
        <w:trPr>
          <w:trHeight w:val="289"/>
          <w:jc w:val="center"/>
        </w:trPr>
        <w:tc>
          <w:tcPr>
            <w:tcW w:w="1846" w:type="dxa"/>
            <w:vAlign w:val="center"/>
          </w:tcPr>
          <w:p w:rsidRPr="00D73080" w:rsidR="00006ADA" w:rsidP="006043D2" w:rsidRDefault="00006ADA" w14:paraId="2147146D" w14:textId="77777777">
            <w:pPr>
              <w:jc w:val="center"/>
              <w:rPr>
                <w:rFonts w:cstheme="minorHAnsi"/>
              </w:rPr>
            </w:pPr>
            <w:r w:rsidRPr="00D73080">
              <w:rPr>
                <w:rFonts w:cstheme="minorHAnsi"/>
              </w:rPr>
              <w:t>PFNA</w:t>
            </w:r>
          </w:p>
        </w:tc>
        <w:tc>
          <w:tcPr>
            <w:tcW w:w="4989" w:type="dxa"/>
          </w:tcPr>
          <w:p w:rsidRPr="00D73080" w:rsidR="00006ADA" w:rsidP="006043D2" w:rsidRDefault="00436316" w14:paraId="3EE74F66" w14:textId="77777777">
            <w:pPr>
              <w:jc w:val="center"/>
              <w:rPr>
                <w:rFonts w:cstheme="minorHAnsi"/>
                <w:kern w:val="24"/>
                <w:lang w:eastAsia="ja-JP"/>
              </w:rPr>
            </w:pPr>
            <w:proofErr w:type="spellStart"/>
            <w:r w:rsidRPr="00436316">
              <w:rPr>
                <w:rFonts w:cs="Arial"/>
                <w:color w:val="000000"/>
              </w:rPr>
              <w:t>perfluorononanoic</w:t>
            </w:r>
            <w:proofErr w:type="spellEnd"/>
            <w:r w:rsidRPr="00436316">
              <w:rPr>
                <w:rFonts w:cs="Arial"/>
                <w:color w:val="000000"/>
              </w:rPr>
              <w:t xml:space="preserve"> acid</w:t>
            </w:r>
          </w:p>
        </w:tc>
        <w:tc>
          <w:tcPr>
            <w:tcW w:w="1620" w:type="dxa"/>
            <w:vAlign w:val="center"/>
          </w:tcPr>
          <w:p w:rsidRPr="00D73080" w:rsidR="00006ADA" w:rsidP="006043D2" w:rsidRDefault="00006ADA" w14:paraId="4ADDBF9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556B43E3" w14:textId="77777777">
        <w:trPr>
          <w:trHeight w:val="289"/>
          <w:jc w:val="center"/>
        </w:trPr>
        <w:tc>
          <w:tcPr>
            <w:tcW w:w="1846" w:type="dxa"/>
            <w:vAlign w:val="center"/>
          </w:tcPr>
          <w:p w:rsidRPr="00D73080" w:rsidR="00006ADA" w:rsidP="006043D2" w:rsidRDefault="00006ADA" w14:paraId="15CF4B43" w14:textId="77777777">
            <w:pPr>
              <w:jc w:val="center"/>
              <w:rPr>
                <w:rFonts w:cstheme="minorHAnsi"/>
              </w:rPr>
            </w:pPr>
            <w:r w:rsidRPr="00D73080">
              <w:rPr>
                <w:rFonts w:cstheme="minorHAnsi"/>
              </w:rPr>
              <w:t>PFDA</w:t>
            </w:r>
          </w:p>
        </w:tc>
        <w:tc>
          <w:tcPr>
            <w:tcW w:w="4989" w:type="dxa"/>
            <w:vAlign w:val="center"/>
          </w:tcPr>
          <w:p w:rsidRPr="00D73080" w:rsidR="00006ADA" w:rsidP="006043D2" w:rsidRDefault="00436316" w14:paraId="4C86F4A6" w14:textId="77777777">
            <w:pPr>
              <w:jc w:val="center"/>
              <w:rPr>
                <w:rFonts w:cstheme="minorHAnsi"/>
                <w:kern w:val="24"/>
                <w:lang w:eastAsia="ja-JP"/>
              </w:rPr>
            </w:pPr>
            <w:proofErr w:type="spellStart"/>
            <w:r w:rsidRPr="00436316">
              <w:rPr>
                <w:rFonts w:cstheme="minorHAnsi"/>
                <w:kern w:val="24"/>
                <w:lang w:eastAsia="ja-JP"/>
              </w:rPr>
              <w:t>perfluorodecanoic</w:t>
            </w:r>
            <w:proofErr w:type="spellEnd"/>
            <w:r w:rsidRPr="00436316">
              <w:rPr>
                <w:rFonts w:cstheme="minorHAnsi"/>
                <w:kern w:val="24"/>
                <w:lang w:eastAsia="ja-JP"/>
              </w:rPr>
              <w:t xml:space="preserve"> acid</w:t>
            </w:r>
          </w:p>
        </w:tc>
        <w:tc>
          <w:tcPr>
            <w:tcW w:w="1620" w:type="dxa"/>
            <w:vAlign w:val="center"/>
          </w:tcPr>
          <w:p w:rsidRPr="00D73080" w:rsidR="00006ADA" w:rsidP="006043D2" w:rsidRDefault="00006ADA" w14:paraId="70645DB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F2AB7D2" w14:textId="77777777">
        <w:trPr>
          <w:trHeight w:val="289"/>
          <w:jc w:val="center"/>
        </w:trPr>
        <w:tc>
          <w:tcPr>
            <w:tcW w:w="1846" w:type="dxa"/>
            <w:vAlign w:val="center"/>
          </w:tcPr>
          <w:p w:rsidRPr="00D73080" w:rsidR="00006ADA" w:rsidP="006043D2" w:rsidRDefault="00D84023" w14:paraId="0F184D95" w14:textId="35FA6717">
            <w:pPr>
              <w:jc w:val="center"/>
              <w:rPr>
                <w:rFonts w:cstheme="minorHAnsi"/>
              </w:rPr>
            </w:pPr>
            <w:proofErr w:type="spellStart"/>
            <w:r>
              <w:rPr>
                <w:rFonts w:cstheme="minorHAnsi"/>
              </w:rPr>
              <w:t>PFUn</w:t>
            </w:r>
            <w:r w:rsidRPr="00D73080" w:rsidR="00006ADA">
              <w:rPr>
                <w:rFonts w:cstheme="minorHAnsi"/>
              </w:rPr>
              <w:t>A</w:t>
            </w:r>
            <w:proofErr w:type="spellEnd"/>
          </w:p>
        </w:tc>
        <w:tc>
          <w:tcPr>
            <w:tcW w:w="4989" w:type="dxa"/>
            <w:vAlign w:val="center"/>
          </w:tcPr>
          <w:p w:rsidRPr="00D73080" w:rsidR="00006ADA" w:rsidP="006043D2" w:rsidRDefault="00436316" w14:paraId="3265191B" w14:textId="77777777">
            <w:pPr>
              <w:jc w:val="center"/>
              <w:rPr>
                <w:rFonts w:cstheme="minorHAnsi"/>
                <w:kern w:val="24"/>
                <w:lang w:eastAsia="ja-JP"/>
              </w:rPr>
            </w:pPr>
            <w:proofErr w:type="spellStart"/>
            <w:r w:rsidRPr="00436316">
              <w:rPr>
                <w:rFonts w:cstheme="minorHAnsi"/>
                <w:kern w:val="24"/>
                <w:lang w:eastAsia="ja-JP"/>
              </w:rPr>
              <w:t>perfluoroundecanoic</w:t>
            </w:r>
            <w:proofErr w:type="spellEnd"/>
            <w:r w:rsidRPr="00436316">
              <w:rPr>
                <w:rFonts w:cstheme="minorHAnsi"/>
                <w:kern w:val="24"/>
                <w:lang w:eastAsia="ja-JP"/>
              </w:rPr>
              <w:t xml:space="preserve"> acid</w:t>
            </w:r>
          </w:p>
        </w:tc>
        <w:tc>
          <w:tcPr>
            <w:tcW w:w="1620" w:type="dxa"/>
            <w:vAlign w:val="center"/>
          </w:tcPr>
          <w:p w:rsidRPr="00D73080" w:rsidR="00006ADA" w:rsidP="006043D2" w:rsidRDefault="00006ADA" w14:paraId="6B8101B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43679E4" w14:textId="77777777">
        <w:trPr>
          <w:trHeight w:val="289"/>
          <w:jc w:val="center"/>
        </w:trPr>
        <w:tc>
          <w:tcPr>
            <w:tcW w:w="1846" w:type="dxa"/>
            <w:vAlign w:val="center"/>
          </w:tcPr>
          <w:p w:rsidRPr="00D73080" w:rsidR="00006ADA" w:rsidP="006043D2" w:rsidRDefault="00006ADA" w14:paraId="34DAC8EF" w14:textId="77777777">
            <w:pPr>
              <w:jc w:val="center"/>
              <w:rPr>
                <w:rFonts w:cstheme="minorHAnsi"/>
              </w:rPr>
            </w:pPr>
            <w:r w:rsidRPr="00D73080">
              <w:rPr>
                <w:rFonts w:cstheme="minorHAnsi"/>
              </w:rPr>
              <w:t>HFPO-DA</w:t>
            </w:r>
            <w:r w:rsidR="00AC6A58">
              <w:rPr>
                <w:rFonts w:cstheme="minorHAnsi"/>
              </w:rPr>
              <w:t xml:space="preserve"> (</w:t>
            </w:r>
            <w:proofErr w:type="spellStart"/>
            <w:r w:rsidR="00AC6A58">
              <w:rPr>
                <w:rFonts w:cstheme="minorHAnsi"/>
              </w:rPr>
              <w:t>GenX</w:t>
            </w:r>
            <w:proofErr w:type="spellEnd"/>
            <w:r w:rsidR="00AC6A58">
              <w:rPr>
                <w:rFonts w:cstheme="minorHAnsi"/>
              </w:rPr>
              <w:t>)</w:t>
            </w:r>
          </w:p>
        </w:tc>
        <w:tc>
          <w:tcPr>
            <w:tcW w:w="4989" w:type="dxa"/>
            <w:vAlign w:val="center"/>
          </w:tcPr>
          <w:p w:rsidRPr="00D73080" w:rsidR="00006ADA" w:rsidP="006043D2" w:rsidRDefault="002F4990" w14:paraId="485B43E7" w14:textId="6251AF8D">
            <w:pPr>
              <w:jc w:val="center"/>
              <w:rPr>
                <w:rFonts w:cstheme="minorHAnsi"/>
                <w:kern w:val="24"/>
                <w:lang w:eastAsia="ja-JP"/>
              </w:rPr>
            </w:pPr>
            <w:r>
              <w:rPr>
                <w:rFonts w:ascii="Calibri" w:hAnsi="Calibri" w:eastAsia="Times New Roman" w:cs="Calibri"/>
                <w:color w:val="000000"/>
              </w:rPr>
              <w:t>hexafluoropropylene oxide dimer acid</w:t>
            </w:r>
          </w:p>
        </w:tc>
        <w:tc>
          <w:tcPr>
            <w:tcW w:w="1620" w:type="dxa"/>
            <w:vAlign w:val="center"/>
          </w:tcPr>
          <w:p w:rsidRPr="00D73080" w:rsidR="00006ADA" w:rsidP="006043D2" w:rsidRDefault="00006ADA" w14:paraId="7048CEE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3425C7F" w14:textId="77777777">
        <w:trPr>
          <w:trHeight w:val="352"/>
          <w:jc w:val="center"/>
        </w:trPr>
        <w:tc>
          <w:tcPr>
            <w:tcW w:w="1846" w:type="dxa"/>
            <w:vAlign w:val="center"/>
          </w:tcPr>
          <w:p w:rsidRPr="00D73080" w:rsidR="00006ADA" w:rsidP="006043D2" w:rsidRDefault="00006ADA" w14:paraId="28EEF0FA" w14:textId="77777777">
            <w:pPr>
              <w:jc w:val="center"/>
              <w:rPr>
                <w:rFonts w:cstheme="minorHAnsi"/>
              </w:rPr>
            </w:pPr>
            <w:r w:rsidRPr="00D73080">
              <w:rPr>
                <w:rFonts w:cstheme="minorHAnsi"/>
              </w:rPr>
              <w:t>DONA</w:t>
            </w:r>
          </w:p>
        </w:tc>
        <w:tc>
          <w:tcPr>
            <w:tcW w:w="4989" w:type="dxa"/>
            <w:vAlign w:val="center"/>
          </w:tcPr>
          <w:p w:rsidRPr="00D73080" w:rsidR="00006ADA" w:rsidP="006043D2" w:rsidRDefault="002F4990" w14:paraId="719F75CB" w14:textId="72C89806">
            <w:pPr>
              <w:jc w:val="center"/>
              <w:rPr>
                <w:rFonts w:cstheme="minorHAnsi"/>
                <w:kern w:val="24"/>
                <w:lang w:eastAsia="ja-JP"/>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1620" w:type="dxa"/>
            <w:vAlign w:val="center"/>
          </w:tcPr>
          <w:p w:rsidRPr="00D73080" w:rsidR="00006ADA" w:rsidP="006043D2" w:rsidRDefault="00006ADA" w14:paraId="0D76D7D2"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09CE9E0" w14:textId="77777777">
        <w:trPr>
          <w:trHeight w:val="289"/>
          <w:jc w:val="center"/>
        </w:trPr>
        <w:tc>
          <w:tcPr>
            <w:tcW w:w="1846" w:type="dxa"/>
            <w:vAlign w:val="center"/>
          </w:tcPr>
          <w:p w:rsidRPr="00D73080" w:rsidR="00006ADA" w:rsidP="006043D2" w:rsidRDefault="00006ADA" w14:paraId="43E3395F" w14:textId="77777777">
            <w:pPr>
              <w:jc w:val="center"/>
              <w:rPr>
                <w:rFonts w:eastAsia="Times New Roman" w:cstheme="minorHAnsi"/>
                <w:bCs/>
                <w:lang w:eastAsia="ja-JP"/>
              </w:rPr>
            </w:pPr>
            <w:r w:rsidRPr="00D73080">
              <w:rPr>
                <w:rFonts w:eastAsia="Times New Roman" w:cstheme="minorHAnsi"/>
                <w:lang w:eastAsia="ja-JP"/>
              </w:rPr>
              <w:t>9Cl-PF3ONS</w:t>
            </w:r>
          </w:p>
        </w:tc>
        <w:tc>
          <w:tcPr>
            <w:tcW w:w="4989" w:type="dxa"/>
            <w:vAlign w:val="center"/>
          </w:tcPr>
          <w:p w:rsidRPr="00D73080" w:rsidR="00006ADA" w:rsidP="006043D2" w:rsidRDefault="00436316" w14:paraId="7F1CC50E" w14:textId="1EB2EAF9">
            <w:pPr>
              <w:jc w:val="center"/>
              <w:rPr>
                <w:rFonts w:cstheme="minorHAnsi"/>
                <w:kern w:val="24"/>
                <w:lang w:eastAsia="ja-JP"/>
              </w:rPr>
            </w:pPr>
            <w:r w:rsidRPr="009776E7">
              <w:rPr>
                <w:rFonts w:ascii="Calibri" w:hAnsi="Calibri"/>
                <w:color w:val="000000"/>
              </w:rPr>
              <w:t>9-chlorohexadecafluoro-3-</w:t>
            </w:r>
            <w:r w:rsidR="002F4990">
              <w:rPr>
                <w:rFonts w:ascii="Calibri" w:hAnsi="Calibri" w:eastAsia="Times New Roman" w:cs="Calibri"/>
                <w:color w:val="000000"/>
              </w:rPr>
              <w:t>oxanone</w:t>
            </w:r>
            <w:r w:rsidRPr="009776E7">
              <w:rPr>
                <w:rFonts w:ascii="Calibri" w:hAnsi="Calibri"/>
                <w:color w:val="000000"/>
              </w:rPr>
              <w:t>-1-</w:t>
            </w:r>
            <w:r w:rsidR="002F4990">
              <w:rPr>
                <w:rFonts w:ascii="Calibri" w:hAnsi="Calibri" w:eastAsia="Times New Roman" w:cs="Calibri"/>
                <w:color w:val="000000"/>
              </w:rPr>
              <w:t>sulfonic acid</w:t>
            </w:r>
          </w:p>
        </w:tc>
        <w:tc>
          <w:tcPr>
            <w:tcW w:w="1620" w:type="dxa"/>
            <w:vAlign w:val="center"/>
          </w:tcPr>
          <w:p w:rsidRPr="00D73080" w:rsidR="00006ADA" w:rsidP="006043D2" w:rsidRDefault="00006ADA" w14:paraId="0DC0983C"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34ADB1F6" w14:textId="77777777">
        <w:trPr>
          <w:trHeight w:val="289"/>
          <w:jc w:val="center"/>
        </w:trPr>
        <w:tc>
          <w:tcPr>
            <w:tcW w:w="8455" w:type="dxa"/>
            <w:gridSpan w:val="3"/>
            <w:vAlign w:val="center"/>
          </w:tcPr>
          <w:p w:rsidRPr="00006ADA" w:rsidR="00006ADA" w:rsidP="006043D2" w:rsidRDefault="00006ADA" w14:paraId="0EC4F312" w14:textId="77777777">
            <w:pPr>
              <w:rPr>
                <w:rFonts w:cstheme="minorHAnsi"/>
                <w:kern w:val="24"/>
                <w:lang w:eastAsia="ja-JP"/>
              </w:rPr>
            </w:pPr>
            <w:r>
              <w:rPr>
                <w:rFonts w:cstheme="minorHAnsi"/>
                <w:kern w:val="24"/>
                <w:lang w:eastAsia="ja-JP"/>
              </w:rPr>
              <w:t>* ng/mL – nanograms per milliliter</w:t>
            </w:r>
          </w:p>
        </w:tc>
      </w:tr>
    </w:tbl>
    <w:p w:rsidR="00337CC8" w:rsidP="00710692" w:rsidRDefault="00337CC8" w14:paraId="0690FB98" w14:textId="77777777"/>
    <w:p w:rsidRPr="004F5164" w:rsidR="004F5164" w:rsidP="004F5164" w:rsidRDefault="00D40FB2" w14:paraId="0310A5CD" w14:textId="77777777">
      <w:pPr>
        <w:pStyle w:val="Heading3"/>
      </w:pPr>
      <w:bookmarkStart w:name="_Toc536793480" w:id="42"/>
      <w:bookmarkStart w:name="_Toc6924102" w:id="43"/>
      <w:r w:rsidRPr="004F5164">
        <w:t>Questionnaire</w:t>
      </w:r>
      <w:bookmarkEnd w:id="42"/>
      <w:bookmarkEnd w:id="43"/>
    </w:p>
    <w:p w:rsidRPr="00461474" w:rsidR="00D40FB2" w:rsidP="007B3D7D" w:rsidRDefault="00D40FB2" w14:paraId="30B56A10" w14:textId="63843CD7">
      <w:pPr>
        <w:pStyle w:val="NoSpacing"/>
        <w:spacing w:after="200"/>
      </w:pPr>
      <w:r>
        <w:t>An EA team member will administer a</w:t>
      </w:r>
      <w:r w:rsidR="00D327AD">
        <w:t xml:space="preserve"> questionnaire (Appendix F</w:t>
      </w:r>
      <w:r>
        <w:t>) to each participant</w:t>
      </w:r>
      <w:r w:rsidRPr="00181C42">
        <w:t xml:space="preserve"> to gather information on risk factors for exposure to </w:t>
      </w:r>
      <w:r>
        <w:t>PFAS</w:t>
      </w:r>
      <w:r w:rsidRPr="00181C42">
        <w:t xml:space="preserve"> through food pathways, contact with contam</w:t>
      </w:r>
      <w:r>
        <w:t xml:space="preserve">inated soil, and </w:t>
      </w:r>
      <w:r w:rsidR="006208D3">
        <w:t xml:space="preserve">water </w:t>
      </w:r>
      <w:r>
        <w:t>consumption</w:t>
      </w:r>
      <w:r w:rsidRPr="00181C42">
        <w:rPr>
          <w:color w:val="0000FF"/>
        </w:rPr>
        <w:t>.</w:t>
      </w:r>
      <w:r w:rsidRPr="00181C42">
        <w:t xml:space="preserve"> </w:t>
      </w:r>
      <w:r>
        <w:t>This information will be used to interpret biomonitoring data and to help understand any unexpected or unusual results. An EA team member</w:t>
      </w:r>
      <w:r w:rsidRPr="00662D2B">
        <w:t xml:space="preserve"> will administer the questionnaire and record each participant’s responses</w:t>
      </w:r>
      <w:r w:rsidR="001E0BC9">
        <w:t xml:space="preserve"> using the Epi Info suite of software tools</w:t>
      </w:r>
      <w:r w:rsidR="007F3974">
        <w:t xml:space="preserve"> either in person or over the phone</w:t>
      </w:r>
      <w:r w:rsidRPr="00662D2B">
        <w:t>.</w:t>
      </w:r>
      <w:r w:rsidR="00414200">
        <w:t xml:space="preserve"> An ATSDR staff person</w:t>
      </w:r>
      <w:r w:rsidR="006208D3">
        <w:t xml:space="preserve"> will train </w:t>
      </w:r>
      <w:r>
        <w:t>EA teams</w:t>
      </w:r>
      <w:r w:rsidRPr="00662D2B">
        <w:t xml:space="preserve"> on how to ask each question, which questions </w:t>
      </w:r>
      <w:r w:rsidRPr="00662D2B">
        <w:lastRenderedPageBreak/>
        <w:t>should be asked of which participa</w:t>
      </w:r>
      <w:r>
        <w:t xml:space="preserve">nts, and how to </w:t>
      </w:r>
      <w:proofErr w:type="gramStart"/>
      <w:r>
        <w:t>accurately and c</w:t>
      </w:r>
      <w:r w:rsidRPr="00662D2B">
        <w:t>onsistently record responses</w:t>
      </w:r>
      <w:proofErr w:type="gramEnd"/>
      <w:r w:rsidRPr="00662D2B">
        <w:t>.</w:t>
      </w:r>
      <w:r w:rsidR="00461474">
        <w:rPr>
          <w:b/>
        </w:rPr>
        <w:t xml:space="preserve"> </w:t>
      </w:r>
      <w:r w:rsidR="00461474">
        <w:t xml:space="preserve">All questionnaire records will be provided to ATSDR. </w:t>
      </w:r>
    </w:p>
    <w:p w:rsidR="00D40FB2" w:rsidP="007B3D7D" w:rsidRDefault="00D40FB2" w14:paraId="3AB2B152" w14:textId="07C5DE67">
      <w:pPr>
        <w:pStyle w:val="NoSpacing"/>
        <w:spacing w:after="200"/>
      </w:pPr>
      <w:r>
        <w:t>Participants will be asked their current address, how long they have lived there, and to identify their primary source of drinking water.</w:t>
      </w:r>
      <w:r w:rsidR="001B4762">
        <w:t xml:space="preserve"> Participants will be asked to characterize how much water they drink </w:t>
      </w:r>
      <w:proofErr w:type="gramStart"/>
      <w:r w:rsidR="001B4762">
        <w:t>on a daily basis</w:t>
      </w:r>
      <w:proofErr w:type="gramEnd"/>
      <w:r w:rsidR="001B4762">
        <w:t xml:space="preserve">, and to identify where their drinking water comes from (bottled water, tap water, filtered water, </w:t>
      </w:r>
      <w:proofErr w:type="spellStart"/>
      <w:r w:rsidR="001B4762">
        <w:t>etc</w:t>
      </w:r>
      <w:proofErr w:type="spellEnd"/>
      <w:r w:rsidR="001B4762">
        <w:t xml:space="preserve">…). </w:t>
      </w:r>
      <w:r w:rsidR="009961DC">
        <w:t xml:space="preserve">Participants will also be asked for information about their residential history prior to living in their current home. </w:t>
      </w:r>
      <w:r>
        <w:t>This information will help characterize the extent and duration of their potential exposure to PFAS</w:t>
      </w:r>
      <w:r w:rsidR="006208D3">
        <w:t>-</w:t>
      </w:r>
      <w:r>
        <w:t>contaminated drinking water</w:t>
      </w:r>
      <w:r w:rsidR="00317DA8">
        <w:t xml:space="preserve"> in the community</w:t>
      </w:r>
      <w:r>
        <w:t xml:space="preserve">.  </w:t>
      </w:r>
    </w:p>
    <w:p w:rsidR="005D7202" w:rsidP="007B3D7D" w:rsidRDefault="00D40FB2" w14:paraId="25DB9DD3" w14:textId="6EC408A8">
      <w:pPr>
        <w:pStyle w:val="NoSpacing"/>
        <w:spacing w:after="200"/>
      </w:pPr>
      <w:r>
        <w:t>PFAS</w:t>
      </w:r>
      <w:r w:rsidRPr="00662D2B">
        <w:t xml:space="preserve"> are excreted primarily in the urine and are highly bound in the blood. Participants will be asked </w:t>
      </w:r>
      <w:r w:rsidR="00D778B4">
        <w:t xml:space="preserve">about </w:t>
      </w:r>
      <w:r w:rsidRPr="00662D2B">
        <w:t xml:space="preserve">the frequency with which they donate blood (participants over the age of 17 only) and if they have been </w:t>
      </w:r>
      <w:r w:rsidR="005D7202">
        <w:t xml:space="preserve">told they have kidney disease </w:t>
      </w:r>
      <w:proofErr w:type="gramStart"/>
      <w:r>
        <w:t>in order to</w:t>
      </w:r>
      <w:proofErr w:type="gramEnd"/>
      <w:r>
        <w:t xml:space="preserve"> characterize excretion. </w:t>
      </w:r>
      <w:r w:rsidR="001B4762">
        <w:t xml:space="preserve">PFAS are also excreted during pregnancy and lactation. Adult women will be asked about their history of pregnancy and breastfeeding. </w:t>
      </w:r>
      <w:r>
        <w:t>This information will be used to help interpret unusual or unexpected biomonitoring data.</w:t>
      </w:r>
      <w:r w:rsidR="005D7202">
        <w:t xml:space="preserve"> </w:t>
      </w:r>
    </w:p>
    <w:p w:rsidR="00D40FB2" w:rsidP="007B3D7D" w:rsidRDefault="005D7202" w14:paraId="74496888" w14:textId="321B13B7">
      <w:pPr>
        <w:pStyle w:val="NoSpacing"/>
        <w:spacing w:after="200"/>
      </w:pPr>
      <w:bookmarkStart w:name="_Hlk41842504" w:id="44"/>
      <w:proofErr w:type="gramStart"/>
      <w:r>
        <w:t>In the event that</w:t>
      </w:r>
      <w:proofErr w:type="gramEnd"/>
      <w:r>
        <w:t xml:space="preserve"> unexpected serum PFAS concentrations are measured in an individual, ATSDR may use this information to provide context to the result. For example, if an individual reports that they have kidney disease and has PFAS serum concentrations</w:t>
      </w:r>
      <w:r w:rsidR="004E51C5">
        <w:t xml:space="preserve"> that are significantly higher than others in the household</w:t>
      </w:r>
      <w:r>
        <w:t>, ATSDR may inform the individual that kidney disease may reduce the rate at which PFAS are cleared from the body, which could have contributed to the obs</w:t>
      </w:r>
      <w:r w:rsidR="004E51C5">
        <w:t>erved PFAS serum concentration. Similarly, if a woman who reports multiple pregnancies and significant breastfeeding duration and has lower PFAS serum concentrations that others in her household, ATSDR may inform the individual that pregnancy and breastfeeding are excretion pathways that may have resulted in lower PFAS serum concentrations in her body. In all cases, ATSDR will explain that an individual’s PFAS body burden is the product of many complex factors, including but not limited to drinking water exposure, non-drinking water exposure, as well as active and passive excretion.</w:t>
      </w:r>
    </w:p>
    <w:p w:rsidR="004E51C5" w:rsidP="007B3D7D" w:rsidRDefault="004E51C5" w14:paraId="4C986EDC" w14:textId="42B92D20">
      <w:pPr>
        <w:pStyle w:val="NoSpacing"/>
        <w:spacing w:after="200"/>
      </w:pPr>
      <w:r>
        <w:t xml:space="preserve">ATSDR will not use this information to assess impact at the aggregate level or to inform comparisons to the NHANES cohort. </w:t>
      </w:r>
    </w:p>
    <w:bookmarkEnd w:id="44"/>
    <w:p w:rsidR="005265F8" w:rsidP="005265F8" w:rsidRDefault="005265F8" w14:paraId="3F3C3021" w14:textId="718D13F5">
      <w:pPr>
        <w:pStyle w:val="NoSpacing"/>
        <w:spacing w:after="200"/>
      </w:pPr>
      <w:r w:rsidRPr="00662D2B">
        <w:t xml:space="preserve">Children (ages 12 – 17) participating in the study will not be asked questions that are inappropriate for their age (pregnancy, blood donation) and will be allowed to obtain parental assistance in answering questions </w:t>
      </w:r>
      <w:r>
        <w:t>they</w:t>
      </w:r>
      <w:r w:rsidRPr="00662D2B">
        <w:t xml:space="preserve"> </w:t>
      </w:r>
      <w:r>
        <w:t xml:space="preserve">have difficulty answering. </w:t>
      </w:r>
    </w:p>
    <w:p w:rsidR="00D40FB2" w:rsidP="007B3D7D" w:rsidRDefault="005265F8" w14:paraId="030F2C3F" w14:textId="77777777">
      <w:pPr>
        <w:pStyle w:val="NoSpacing"/>
        <w:spacing w:after="200"/>
      </w:pPr>
      <w:proofErr w:type="gramStart"/>
      <w:r>
        <w:t>In order to</w:t>
      </w:r>
      <w:proofErr w:type="gramEnd"/>
      <w:r>
        <w:t xml:space="preserve"> characterize the potential for additional exposures, participants will also be asked about their occupational history; use of certain consumer products; and the frequency with which they work with the soil, consume locally grown vegetables, and eat locally caught fish. </w:t>
      </w:r>
      <w:proofErr w:type="gramStart"/>
      <w:r w:rsidR="00D40FB2">
        <w:t>In an effort to</w:t>
      </w:r>
      <w:proofErr w:type="gramEnd"/>
      <w:r w:rsidR="00D40FB2">
        <w:t xml:space="preserve"> understand recent behavioral changes that may impact PFAS exposure, participants will be asked to identify any recent changes related to drinking water, consumption of locally caught fish and locally grown vegetables, or other changes that may impact their exposure to PFA</w:t>
      </w:r>
      <w:r w:rsidR="00FD7C42">
        <w:t xml:space="preserve">S. </w:t>
      </w:r>
    </w:p>
    <w:p w:rsidRPr="00FD7C42" w:rsidR="006E7BF3" w:rsidP="007B3D7D" w:rsidRDefault="00D40FB2" w14:paraId="29EC0113" w14:textId="77777777">
      <w:pPr>
        <w:pStyle w:val="NoSpacing"/>
        <w:spacing w:after="200"/>
        <w:rPr>
          <w:rStyle w:val="Heading3Char"/>
          <w:rFonts w:asciiTheme="minorHAnsi" w:hAnsiTheme="minorHAnsi"/>
          <w:b w:val="0"/>
          <w:i w:val="0"/>
          <w:color w:val="auto"/>
        </w:rPr>
      </w:pPr>
      <w:r>
        <w:t>Answers to questions on the questionnaire will not be used to disqualify participants from th</w:t>
      </w:r>
      <w:r w:rsidR="00FD7C42">
        <w:t xml:space="preserve">e study. </w:t>
      </w:r>
    </w:p>
    <w:p w:rsidRPr="00F81649" w:rsidR="00F81649" w:rsidP="00AD4FCF" w:rsidRDefault="006043D2" w14:paraId="5DF1F391" w14:textId="77777777">
      <w:pPr>
        <w:pStyle w:val="Heading3"/>
        <w:keepNext/>
        <w:rPr>
          <w:rStyle w:val="Heading3Char"/>
          <w:b/>
          <w:i/>
        </w:rPr>
      </w:pPr>
      <w:bookmarkStart w:name="_Toc536793481" w:id="45"/>
      <w:bookmarkStart w:name="_Toc6924103" w:id="46"/>
      <w:r w:rsidRPr="00F81649">
        <w:rPr>
          <w:rStyle w:val="Heading3Char"/>
          <w:b/>
          <w:i/>
        </w:rPr>
        <w:lastRenderedPageBreak/>
        <w:t xml:space="preserve">Environmental </w:t>
      </w:r>
      <w:r w:rsidRPr="00F81649" w:rsidR="00E93393">
        <w:rPr>
          <w:rStyle w:val="Heading3Char"/>
          <w:b/>
          <w:i/>
        </w:rPr>
        <w:t>Sample Colle</w:t>
      </w:r>
      <w:r w:rsidRPr="00F81649" w:rsidR="00F81649">
        <w:rPr>
          <w:rStyle w:val="Heading3Char"/>
          <w:b/>
          <w:i/>
        </w:rPr>
        <w:t>ction Teams</w:t>
      </w:r>
      <w:bookmarkEnd w:id="45"/>
      <w:bookmarkEnd w:id="46"/>
    </w:p>
    <w:p w:rsidRPr="00AF04A7" w:rsidR="00E93393" w:rsidP="00AD4FCF" w:rsidRDefault="00E93393" w14:paraId="2619EE53" w14:textId="77777777">
      <w:pPr>
        <w:keepNext/>
      </w:pPr>
      <w:r w:rsidRPr="003873C8">
        <w:t xml:space="preserve">Sample collection teams comprised of at least </w:t>
      </w:r>
      <w:r w:rsidR="008B4EEB">
        <w:t>two EA staff people,</w:t>
      </w:r>
      <w:r w:rsidRPr="003873C8">
        <w:t xml:space="preserve"> at least one </w:t>
      </w:r>
      <w:r w:rsidR="008B4EEB">
        <w:t xml:space="preserve">of whom is an </w:t>
      </w:r>
      <w:r w:rsidRPr="003873C8">
        <w:t>ATSDR staff person</w:t>
      </w:r>
      <w:r w:rsidR="008B4EEB">
        <w:t>,</w:t>
      </w:r>
      <w:r w:rsidRPr="003873C8">
        <w:t xml:space="preserve"> will travel </w:t>
      </w:r>
      <w:r w:rsidRPr="003873C8" w:rsidR="003B1AFB">
        <w:t>together</w:t>
      </w:r>
      <w:r w:rsidRPr="003873C8" w:rsidR="005D20B8">
        <w:t xml:space="preserve"> </w:t>
      </w:r>
      <w:r w:rsidRPr="003873C8">
        <w:t>to each household</w:t>
      </w:r>
      <w:r w:rsidRPr="003873C8" w:rsidR="005D20B8">
        <w:t xml:space="preserve"> </w:t>
      </w:r>
      <w:r w:rsidRPr="003873C8" w:rsidR="00723524">
        <w:t xml:space="preserve">selected to </w:t>
      </w:r>
      <w:r w:rsidRPr="003873C8" w:rsidR="005D20B8">
        <w:t>participat</w:t>
      </w:r>
      <w:r w:rsidRPr="003873C8" w:rsidR="00723524">
        <w:t>e</w:t>
      </w:r>
      <w:r w:rsidRPr="003873C8" w:rsidR="005D20B8">
        <w:t xml:space="preserve"> in environmental sampling. </w:t>
      </w:r>
    </w:p>
    <w:p w:rsidR="00D86C19" w:rsidP="005F4516" w:rsidRDefault="00D86C19" w14:paraId="4BD8A82A" w14:textId="77777777">
      <w:pPr>
        <w:pStyle w:val="Heading3"/>
        <w:keepNext/>
      </w:pPr>
      <w:bookmarkStart w:name="_Toc536793482" w:id="47"/>
      <w:bookmarkStart w:name="_Toc6924104" w:id="48"/>
      <w:r w:rsidRPr="00F81649">
        <w:t>Drinking Water Sampling</w:t>
      </w:r>
      <w:bookmarkEnd w:id="47"/>
      <w:bookmarkEnd w:id="48"/>
      <w:r w:rsidRPr="00F81649" w:rsidR="00B02ABB">
        <w:t xml:space="preserve"> </w:t>
      </w:r>
    </w:p>
    <w:p w:rsidRPr="00DC5A1F" w:rsidR="00DC5A1F" w:rsidP="005F4516" w:rsidRDefault="00DC5A1F" w14:paraId="51B82E12" w14:textId="2D47D347">
      <w:pPr>
        <w:keepNext/>
      </w:pPr>
      <w:r>
        <w:t>A subset of 10% of participating households will be selected for</w:t>
      </w:r>
      <w:r w:rsidR="00B12439">
        <w:t xml:space="preserve"> environmental sampling, including</w:t>
      </w:r>
      <w:r>
        <w:t xml:space="preserve"> drinking water sampling. </w:t>
      </w:r>
      <w:r w:rsidR="00624AE1">
        <w:t>Identification and recruitment of these households is described in more detail in the ‘</w:t>
      </w:r>
      <w:r w:rsidRPr="00100AE9" w:rsidR="00100AE9">
        <w:t>Environmental Sampling Eligibility and</w:t>
      </w:r>
      <w:r w:rsidR="00100AE9">
        <w:rPr>
          <w:rStyle w:val="Heading3Char"/>
          <w:b w:val="0"/>
          <w:i w:val="0"/>
          <w:color w:val="548DD4" w:themeColor="text2" w:themeTint="99"/>
        </w:rPr>
        <w:t xml:space="preserve"> </w:t>
      </w:r>
      <w:r w:rsidR="00624AE1">
        <w:t xml:space="preserve">Recruitment’ section of this protocol. </w:t>
      </w:r>
    </w:p>
    <w:p w:rsidRPr="00AF04A7" w:rsidR="00F719C4" w:rsidP="00682A19" w:rsidRDefault="00FB4D80" w14:paraId="21CC4813" w14:textId="71561AA3">
      <w:pPr>
        <w:spacing w:line="240" w:lineRule="auto"/>
      </w:pPr>
      <w:r w:rsidRPr="003873C8">
        <w:t>A d</w:t>
      </w:r>
      <w:r w:rsidRPr="003873C8" w:rsidR="00F719C4">
        <w:t>rinking wate</w:t>
      </w:r>
      <w:r w:rsidRPr="003873C8">
        <w:t>r sample</w:t>
      </w:r>
      <w:r w:rsidRPr="003873C8" w:rsidR="00F719C4">
        <w:t xml:space="preserve"> will be collected from the primary drinking water location</w:t>
      </w:r>
      <w:r w:rsidRPr="003873C8" w:rsidR="00163A33">
        <w:t xml:space="preserve"> (</w:t>
      </w:r>
      <w:proofErr w:type="gramStart"/>
      <w:r w:rsidRPr="003873C8" w:rsidR="00163A33">
        <w:t>e.g.</w:t>
      </w:r>
      <w:proofErr w:type="gramEnd"/>
      <w:r w:rsidRPr="003873C8" w:rsidR="00163A33">
        <w:t xml:space="preserve"> kitchen tap)</w:t>
      </w:r>
      <w:r w:rsidRPr="003873C8" w:rsidR="000F7886">
        <w:t xml:space="preserve"> at each household</w:t>
      </w:r>
      <w:r w:rsidRPr="003873C8" w:rsidR="00F719C4">
        <w:t>. If point of use filtration is in place, every attempt will be made to collect a sample prior to filtration</w:t>
      </w:r>
      <w:r w:rsidR="00414200">
        <w:t xml:space="preserve"> and after filtration</w:t>
      </w:r>
      <w:r w:rsidRPr="003873C8" w:rsidR="00F719C4">
        <w:t xml:space="preserve">. </w:t>
      </w:r>
      <w:r w:rsidRPr="003873C8" w:rsidR="009462A4">
        <w:t>Samples will be collected</w:t>
      </w:r>
      <w:r w:rsidRPr="003873C8" w:rsidR="00D658C0">
        <w:t xml:space="preserve"> in accordance with EPA Method 537</w:t>
      </w:r>
      <w:r w:rsidR="00DE2AE2">
        <w:t>.</w:t>
      </w:r>
      <w:r w:rsidRPr="003873C8" w:rsidR="00D658C0">
        <w:t xml:space="preserve">1. </w:t>
      </w:r>
      <w:r w:rsidR="00C43FDD">
        <w:t>Each s</w:t>
      </w:r>
      <w:r w:rsidRPr="003873C8" w:rsidR="00D658C0">
        <w:t>ample will be collected</w:t>
      </w:r>
      <w:r w:rsidRPr="003873C8" w:rsidR="009462A4">
        <w:t xml:space="preserve"> in </w:t>
      </w:r>
      <w:r w:rsidR="00C43FDD">
        <w:t xml:space="preserve">a </w:t>
      </w:r>
      <w:r w:rsidRPr="003873C8" w:rsidR="009462A4">
        <w:t>250 mL polypropylene bottle with a polypropylene screw cap. A preservation reagent (</w:t>
      </w:r>
      <w:proofErr w:type="spellStart"/>
      <w:r w:rsidRPr="003873C8" w:rsidR="009462A4">
        <w:t>Trizma</w:t>
      </w:r>
      <w:proofErr w:type="spellEnd"/>
      <w:r w:rsidRPr="003873C8" w:rsidR="009462A4">
        <w:t>) will be added</w:t>
      </w:r>
      <w:r w:rsidRPr="003873C8" w:rsidR="00C43FDD">
        <w:t xml:space="preserve"> as a solid</w:t>
      </w:r>
      <w:r w:rsidRPr="003873C8" w:rsidR="009462A4">
        <w:t xml:space="preserve"> to each sample bottle prior to shipment to the field (or prior to sample collection).</w:t>
      </w:r>
    </w:p>
    <w:p w:rsidR="009462A4" w:rsidP="00682A19" w:rsidRDefault="00723524" w14:paraId="34F5CB15" w14:textId="77777777">
      <w:pPr>
        <w:spacing w:line="240" w:lineRule="auto"/>
      </w:pPr>
      <w:r>
        <w:t>S</w:t>
      </w:r>
      <w:r w:rsidR="009462A4">
        <w:t>ample handler</w:t>
      </w:r>
      <w:r>
        <w:t>s</w:t>
      </w:r>
      <w:r w:rsidR="009462A4">
        <w:t xml:space="preserve"> will wash their hands before sampling and wear nitrile gloves while filling and sealing the sample bottles. The tap will be opened and allowed to flush until the water temperature has stabilized (approximately 3 to 5 min). Samples will be collected from the flowing system, taking care not to flush out the sample preservation reagent. </w:t>
      </w:r>
      <w:r w:rsidR="00C43FDD">
        <w:t>Bottles should be filled to near capacity, but s</w:t>
      </w:r>
      <w:r w:rsidR="009462A4">
        <w:t>amples do not need to be collected headspace free. After collecting the sample, the sample handler will cap the bottle and agitate by hand until preservative is dissolved. The sample will be kept sealed from time of collection until extraction</w:t>
      </w:r>
      <w:r w:rsidR="00714EA5">
        <w:t xml:space="preserve"> at the laboratory</w:t>
      </w:r>
      <w:r w:rsidR="009462A4">
        <w:t>.</w:t>
      </w:r>
    </w:p>
    <w:p w:rsidR="00E82DD4" w:rsidP="007B3D7D" w:rsidRDefault="00E82DD4" w14:paraId="547CB7B9" w14:textId="0F48E304">
      <w:pPr>
        <w:spacing w:line="240" w:lineRule="auto"/>
      </w:pPr>
      <w:r>
        <w:t>A field reagent blank (</w:t>
      </w:r>
      <w:r w:rsidRPr="00337CC8">
        <w:t>FRB</w:t>
      </w:r>
      <w:r>
        <w:t xml:space="preserve">) will be </w:t>
      </w:r>
      <w:r w:rsidR="00C364B9">
        <w:t xml:space="preserve">prepared </w:t>
      </w:r>
      <w:r>
        <w:t xml:space="preserve">along with each </w:t>
      </w:r>
      <w:r w:rsidR="00C364B9">
        <w:t xml:space="preserve">household tap water </w:t>
      </w:r>
      <w:r>
        <w:t>sample</w:t>
      </w:r>
      <w:r w:rsidR="00F339BB">
        <w:t xml:space="preserve">, and field duplicates collected when indicated per EPA Method </w:t>
      </w:r>
      <w:r w:rsidR="00DE2AE2">
        <w:t>537.1</w:t>
      </w:r>
      <w:r>
        <w:t xml:space="preserve">. </w:t>
      </w:r>
      <w:r w:rsidR="00C364B9">
        <w:t xml:space="preserve">Prior to the investigation, </w:t>
      </w:r>
      <w:r>
        <w:t>laboratory</w:t>
      </w:r>
      <w:r w:rsidR="00C364B9">
        <w:t xml:space="preserve"> staff will prepare</w:t>
      </w:r>
      <w:r>
        <w:t xml:space="preserve"> </w:t>
      </w:r>
      <w:r w:rsidR="00C364B9">
        <w:t xml:space="preserve">two </w:t>
      </w:r>
      <w:r>
        <w:t>bottle</w:t>
      </w:r>
      <w:r w:rsidR="00C364B9">
        <w:t>s</w:t>
      </w:r>
      <w:r w:rsidR="00212201">
        <w:t xml:space="preserve"> for each household</w:t>
      </w:r>
      <w:r w:rsidR="00C364B9">
        <w:t xml:space="preserve">, one empty (preservative free) bottle, and another </w:t>
      </w:r>
      <w:r>
        <w:t>filled with reagent water and preservatives</w:t>
      </w:r>
      <w:r w:rsidR="00C364B9">
        <w:t>, which will be</w:t>
      </w:r>
      <w:r>
        <w:t xml:space="preserve"> sealed</w:t>
      </w:r>
      <w:r w:rsidR="00C364B9">
        <w:t>.</w:t>
      </w:r>
      <w:r>
        <w:t xml:space="preserve"> </w:t>
      </w:r>
      <w:r w:rsidR="00212201">
        <w:t xml:space="preserve">These </w:t>
      </w:r>
      <w:r w:rsidR="00C364B9">
        <w:t xml:space="preserve">bottles will be </w:t>
      </w:r>
      <w:r>
        <w:t>shipped to the sampling site along with the sample bottles</w:t>
      </w:r>
      <w:r w:rsidR="00212201">
        <w:t>.</w:t>
      </w:r>
      <w:r>
        <w:t xml:space="preserve"> At the sampling site, the sampler will open the </w:t>
      </w:r>
      <w:r w:rsidR="00C364B9">
        <w:t xml:space="preserve">bottle containing </w:t>
      </w:r>
      <w:r>
        <w:t xml:space="preserve">the preserved reagent water </w:t>
      </w:r>
      <w:r w:rsidR="00C364B9">
        <w:t xml:space="preserve">and pour it </w:t>
      </w:r>
      <w:r>
        <w:t xml:space="preserve">into the empty sample bottle, </w:t>
      </w:r>
      <w:r w:rsidR="009E3D2A">
        <w:t xml:space="preserve">after which the sampler will </w:t>
      </w:r>
      <w:r>
        <w:t xml:space="preserve">seal and label this bottle as the FRB. The FRB will be shipped back to the laboratory along with the </w:t>
      </w:r>
      <w:r w:rsidR="00C364B9">
        <w:t xml:space="preserve">tap water </w:t>
      </w:r>
      <w:r>
        <w:t>sample and</w:t>
      </w:r>
      <w:r w:rsidR="00A55345">
        <w:t xml:space="preserve"> analyzed to ensure that PFAS</w:t>
      </w:r>
      <w:r>
        <w:t xml:space="preserve"> were not introduced into the sample during sample</w:t>
      </w:r>
      <w:r w:rsidR="00A55345">
        <w:t xml:space="preserve"> </w:t>
      </w:r>
      <w:r>
        <w:t>collection/handling.</w:t>
      </w:r>
    </w:p>
    <w:p w:rsidR="00277693" w:rsidP="007B3D7D" w:rsidRDefault="00CF3335" w14:paraId="4FA11EE7" w14:textId="46EBA477">
      <w:pPr>
        <w:spacing w:line="240" w:lineRule="auto"/>
      </w:pPr>
      <w:r>
        <w:t>Samples</w:t>
      </w:r>
      <w:r w:rsidR="001A0274">
        <w:t xml:space="preserve"> placed in insulated shipping containers with ice packs and</w:t>
      </w:r>
      <w:r>
        <w:t xml:space="preserve"> cooled to less than 10 degrees Celsius (but not frozen)</w:t>
      </w:r>
      <w:r w:rsidR="001A0274">
        <w:t xml:space="preserve">. </w:t>
      </w:r>
      <w:r w:rsidR="00277693">
        <w:t>Tap water samples will be maintained in their cooled state with EA personnel performing twice daily checks of cooler temperature and adding ice packs as needed. Water samples will be shipped overnight to a laboratory accredited to perform EPA Method 537</w:t>
      </w:r>
      <w:r w:rsidR="00DE2AE2">
        <w:t>.</w:t>
      </w:r>
      <w:r w:rsidR="009F25BB">
        <w:t>1.</w:t>
      </w:r>
      <w:r w:rsidR="00277693">
        <w:t xml:space="preserve"> Staff will maintain and manage proper chain of custody (Appendix D) for all water samples.</w:t>
      </w:r>
      <w:r>
        <w:t xml:space="preserve"> </w:t>
      </w:r>
    </w:p>
    <w:p w:rsidR="00CF3335" w:rsidP="007B3D7D" w:rsidRDefault="00CF3335" w14:paraId="732B76EE" w14:textId="740898BA">
      <w:pPr>
        <w:spacing w:line="240" w:lineRule="auto"/>
      </w:pPr>
      <w:r w:rsidRPr="00337CC8">
        <w:t xml:space="preserve">Samples will be analyzed </w:t>
      </w:r>
      <w:r w:rsidRPr="00337CC8" w:rsidR="002A7C50">
        <w:t xml:space="preserve">for </w:t>
      </w:r>
      <w:r w:rsidRPr="00337CC8" w:rsidR="005A2326">
        <w:t>PFAS according to EPA method 537.1</w:t>
      </w:r>
      <w:r w:rsidR="001B4762">
        <w:t xml:space="preserve"> by</w:t>
      </w:r>
      <w:r w:rsidR="00810D68">
        <w:t xml:space="preserve"> an EPA-approved </w:t>
      </w:r>
      <w:r w:rsidR="001B4762">
        <w:t>laboratory</w:t>
      </w:r>
      <w:r w:rsidRPr="00337CC8" w:rsidR="005A2326">
        <w:t>. Test results will be rep</w:t>
      </w:r>
      <w:r w:rsidRPr="00337CC8" w:rsidR="009611F6">
        <w:t>orted as ng/L</w:t>
      </w:r>
      <w:r w:rsidRPr="00337CC8" w:rsidR="005A2326">
        <w:t>. All laboratory analysis will be conducted with established procedures fo</w:t>
      </w:r>
      <w:r w:rsidRPr="00337CC8" w:rsidR="00D327AD">
        <w:t>r quality assurance and control</w:t>
      </w:r>
      <w:r w:rsidRPr="00A577D9" w:rsidR="005A2326">
        <w:t>.</w:t>
      </w:r>
      <w:r w:rsidRPr="00710692" w:rsidR="00920A73">
        <w:t xml:space="preserve"> </w:t>
      </w:r>
      <w:r w:rsidRPr="00710692" w:rsidR="005A2326">
        <w:t>Table 3 provides the list of PFAS that will be measured in drinking water in this EA.</w:t>
      </w:r>
      <w:r w:rsidR="005A2326">
        <w:t xml:space="preserve"> </w:t>
      </w:r>
    </w:p>
    <w:tbl>
      <w:tblPr>
        <w:tblStyle w:val="TableGrid"/>
        <w:tblW w:w="8941" w:type="dxa"/>
        <w:tblLook w:val="04A0" w:firstRow="1" w:lastRow="0" w:firstColumn="1" w:lastColumn="0" w:noHBand="0" w:noVBand="1"/>
      </w:tblPr>
      <w:tblGrid>
        <w:gridCol w:w="1705"/>
        <w:gridCol w:w="5040"/>
        <w:gridCol w:w="2196"/>
      </w:tblGrid>
      <w:tr w:rsidRPr="00755BC6" w:rsidR="00755BC6" w:rsidTr="004F5C64" w14:paraId="41425F9B" w14:textId="77777777">
        <w:trPr>
          <w:trHeight w:val="530"/>
        </w:trPr>
        <w:tc>
          <w:tcPr>
            <w:tcW w:w="8941" w:type="dxa"/>
            <w:gridSpan w:val="3"/>
            <w:vAlign w:val="center"/>
          </w:tcPr>
          <w:p w:rsidRPr="00755BC6" w:rsidR="00755BC6" w:rsidP="005F4516" w:rsidRDefault="00755BC6" w14:paraId="657E81B1" w14:textId="77777777">
            <w:pPr>
              <w:keepNext/>
              <w:rPr>
                <w:rFonts w:ascii="Calibri" w:hAnsi="Calibri" w:eastAsia="Times New Roman" w:cs="Calibri"/>
                <w:b/>
                <w:color w:val="000000"/>
              </w:rPr>
            </w:pPr>
            <w:r>
              <w:rPr>
                <w:rFonts w:ascii="Calibri" w:hAnsi="Calibri" w:eastAsia="Times New Roman" w:cs="Calibri"/>
                <w:b/>
                <w:color w:val="000000"/>
              </w:rPr>
              <w:lastRenderedPageBreak/>
              <w:t xml:space="preserve">Table 3. </w:t>
            </w:r>
            <w:r w:rsidR="002A7C50">
              <w:rPr>
                <w:rFonts w:ascii="Calibri" w:hAnsi="Calibri" w:eastAsia="Times New Roman" w:cs="Calibri"/>
                <w:b/>
                <w:color w:val="000000"/>
              </w:rPr>
              <w:t>List of PFAS to be measured in drinking water in this investigation – Abbreviation, Chemical Name, and</w:t>
            </w:r>
            <w:r w:rsidR="00232AA9">
              <w:rPr>
                <w:rFonts w:ascii="Calibri" w:hAnsi="Calibri" w:eastAsia="Times New Roman" w:cs="Calibri"/>
                <w:b/>
                <w:color w:val="000000"/>
              </w:rPr>
              <w:t xml:space="preserve"> Lowest Concentration Minimum Reporting Level (LCMRL)</w:t>
            </w:r>
          </w:p>
        </w:tc>
      </w:tr>
      <w:tr w:rsidRPr="00755BC6" w:rsidR="00755BC6" w:rsidTr="004F5C64" w14:paraId="0D84B2D4" w14:textId="77777777">
        <w:trPr>
          <w:trHeight w:val="341"/>
        </w:trPr>
        <w:tc>
          <w:tcPr>
            <w:tcW w:w="1705" w:type="dxa"/>
            <w:vAlign w:val="center"/>
          </w:tcPr>
          <w:p w:rsidRPr="00755BC6" w:rsidR="00755BC6" w:rsidP="005F4516" w:rsidRDefault="00755BC6" w14:paraId="2A5AA443"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Abbreviation</w:t>
            </w:r>
          </w:p>
        </w:tc>
        <w:tc>
          <w:tcPr>
            <w:tcW w:w="5040" w:type="dxa"/>
            <w:noWrap/>
            <w:vAlign w:val="center"/>
            <w:hideMark/>
          </w:tcPr>
          <w:p w:rsidRPr="00755BC6" w:rsidR="00755BC6" w:rsidP="005F4516" w:rsidRDefault="00755BC6" w14:paraId="725C67D7"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Chemical Name</w:t>
            </w:r>
          </w:p>
        </w:tc>
        <w:tc>
          <w:tcPr>
            <w:tcW w:w="2196" w:type="dxa"/>
            <w:vAlign w:val="center"/>
            <w:hideMark/>
          </w:tcPr>
          <w:p w:rsidRPr="00755BC6" w:rsidR="00755BC6" w:rsidP="00D501C8" w:rsidRDefault="00232AA9" w14:paraId="5E08AA93" w14:textId="77777777">
            <w:pPr>
              <w:jc w:val="center"/>
              <w:rPr>
                <w:rFonts w:ascii="Calibri" w:hAnsi="Calibri" w:eastAsia="Times New Roman" w:cs="Calibri"/>
                <w:b/>
                <w:color w:val="000000"/>
              </w:rPr>
            </w:pPr>
            <w:r>
              <w:rPr>
                <w:rFonts w:ascii="Calibri" w:hAnsi="Calibri" w:eastAsia="Times New Roman" w:cs="Calibri"/>
                <w:b/>
                <w:color w:val="000000"/>
              </w:rPr>
              <w:t>LCMRL</w:t>
            </w:r>
            <w:r w:rsidR="009611F6">
              <w:rPr>
                <w:rFonts w:ascii="Calibri" w:hAnsi="Calibri" w:eastAsia="Times New Roman" w:cs="Calibri"/>
                <w:b/>
                <w:color w:val="000000"/>
              </w:rPr>
              <w:t xml:space="preserve"> (ng/L)</w:t>
            </w:r>
          </w:p>
        </w:tc>
      </w:tr>
      <w:tr w:rsidRPr="00755BC6" w:rsidR="0056291C" w:rsidTr="00694EF7" w14:paraId="40BA8311" w14:textId="77777777">
        <w:trPr>
          <w:trHeight w:val="341"/>
        </w:trPr>
        <w:tc>
          <w:tcPr>
            <w:tcW w:w="1705" w:type="dxa"/>
            <w:vAlign w:val="center"/>
          </w:tcPr>
          <w:p w:rsidRPr="0056291C" w:rsidR="0056291C" w:rsidP="005F4516" w:rsidRDefault="0056291C" w14:paraId="36CD384C" w14:textId="77777777">
            <w:pPr>
              <w:keepNext/>
              <w:jc w:val="center"/>
              <w:rPr>
                <w:rFonts w:ascii="Calibri" w:hAnsi="Calibri" w:eastAsia="Times New Roman" w:cs="Calibri"/>
                <w:color w:val="000000"/>
              </w:rPr>
            </w:pPr>
            <w:r w:rsidRPr="0056291C">
              <w:rPr>
                <w:rFonts w:ascii="Calibri" w:hAnsi="Calibri" w:eastAsia="Times New Roman" w:cs="Calibri"/>
                <w:color w:val="000000"/>
              </w:rPr>
              <w:t>HFPO-DA</w:t>
            </w:r>
          </w:p>
        </w:tc>
        <w:tc>
          <w:tcPr>
            <w:tcW w:w="5040" w:type="dxa"/>
            <w:noWrap/>
            <w:vAlign w:val="center"/>
          </w:tcPr>
          <w:p w:rsidRPr="0056291C" w:rsidR="0056291C" w:rsidP="005F4516" w:rsidRDefault="00E25CEC" w14:paraId="79F587CF" w14:textId="77777777">
            <w:pPr>
              <w:keepNext/>
              <w:jc w:val="center"/>
              <w:rPr>
                <w:rFonts w:ascii="Calibri" w:hAnsi="Calibri" w:eastAsia="Times New Roman" w:cs="Calibri"/>
                <w:color w:val="000000"/>
              </w:rPr>
            </w:pPr>
            <w:r>
              <w:rPr>
                <w:rFonts w:ascii="Calibri" w:hAnsi="Calibri" w:eastAsia="Times New Roman" w:cs="Calibri"/>
                <w:color w:val="000000"/>
              </w:rPr>
              <w:t>h</w:t>
            </w:r>
            <w:r w:rsidR="0056291C">
              <w:rPr>
                <w:rFonts w:ascii="Calibri" w:hAnsi="Calibri" w:eastAsia="Times New Roman" w:cs="Calibri"/>
                <w:color w:val="000000"/>
              </w:rPr>
              <w:t>exafluoropropylene oxide dimer acid</w:t>
            </w:r>
          </w:p>
        </w:tc>
        <w:tc>
          <w:tcPr>
            <w:tcW w:w="2196" w:type="dxa"/>
            <w:vAlign w:val="center"/>
          </w:tcPr>
          <w:p w:rsidRPr="0056291C" w:rsidR="0056291C" w:rsidP="00D501C8" w:rsidRDefault="00DE2AE2" w14:paraId="5B6805FC" w14:textId="77777777">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663A745D" w14:textId="77777777">
        <w:trPr>
          <w:trHeight w:val="300"/>
        </w:trPr>
        <w:tc>
          <w:tcPr>
            <w:tcW w:w="1705" w:type="dxa"/>
            <w:vAlign w:val="center"/>
          </w:tcPr>
          <w:p w:rsidRPr="00755BC6" w:rsidR="00755BC6" w:rsidP="00D501C8" w:rsidRDefault="00755BC6" w14:paraId="4E42F9F1" w14:textId="03F995BA">
            <w:pPr>
              <w:jc w:val="center"/>
              <w:rPr>
                <w:rFonts w:ascii="Calibri" w:hAnsi="Calibri" w:eastAsia="Times New Roman" w:cs="Calibri"/>
                <w:color w:val="000000"/>
              </w:rPr>
            </w:pPr>
            <w:proofErr w:type="spellStart"/>
            <w:r w:rsidRPr="00755BC6">
              <w:rPr>
                <w:rFonts w:ascii="Calibri" w:hAnsi="Calibri" w:eastAsia="Times New Roman" w:cs="Calibri"/>
                <w:color w:val="000000"/>
              </w:rPr>
              <w:t>EtFOSAA</w:t>
            </w:r>
            <w:proofErr w:type="spellEnd"/>
          </w:p>
        </w:tc>
        <w:tc>
          <w:tcPr>
            <w:tcW w:w="5040" w:type="dxa"/>
            <w:noWrap/>
            <w:vAlign w:val="center"/>
            <w:hideMark/>
          </w:tcPr>
          <w:p w:rsidRPr="00755BC6" w:rsidR="00755BC6" w:rsidP="00D501C8" w:rsidRDefault="00755BC6" w14:paraId="7A7B796D" w14:textId="77777777">
            <w:pPr>
              <w:jc w:val="center"/>
              <w:rPr>
                <w:rFonts w:ascii="Calibri" w:hAnsi="Calibri" w:eastAsia="Times New Roman" w:cs="Calibri"/>
                <w:color w:val="000000"/>
              </w:rPr>
            </w:pPr>
            <w:r w:rsidRPr="00755BC6">
              <w:rPr>
                <w:rFonts w:ascii="Calibri" w:hAnsi="Calibri" w:eastAsia="Times New Roman" w:cs="Calibri"/>
                <w:color w:val="000000"/>
              </w:rPr>
              <w:t xml:space="preserve">N-ethyl </w:t>
            </w:r>
            <w:proofErr w:type="spellStart"/>
            <w:r w:rsidRPr="00755BC6">
              <w:rPr>
                <w:rFonts w:ascii="Calibri" w:hAnsi="Calibri" w:eastAsia="Times New Roman" w:cs="Calibri"/>
                <w:color w:val="000000"/>
              </w:rPr>
              <w:t>perfluorooctanesulfonamidoacetic</w:t>
            </w:r>
            <w:proofErr w:type="spellEnd"/>
            <w:r w:rsidRP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6DEE337F" w14:textId="18F1B46C">
            <w:pPr>
              <w:jc w:val="center"/>
              <w:rPr>
                <w:rFonts w:ascii="Calibri" w:hAnsi="Calibri" w:eastAsia="Times New Roman" w:cs="Calibri"/>
                <w:color w:val="000000"/>
              </w:rPr>
            </w:pPr>
            <w:r>
              <w:rPr>
                <w:rFonts w:ascii="Calibri" w:hAnsi="Calibri" w:eastAsia="Times New Roman" w:cs="Calibri"/>
                <w:color w:val="000000"/>
              </w:rPr>
              <w:t>4.8</w:t>
            </w:r>
          </w:p>
        </w:tc>
      </w:tr>
      <w:tr w:rsidRPr="00755BC6" w:rsidR="00755BC6" w:rsidTr="004F5C64" w14:paraId="155288D5" w14:textId="77777777">
        <w:trPr>
          <w:trHeight w:val="300"/>
        </w:trPr>
        <w:tc>
          <w:tcPr>
            <w:tcW w:w="1705" w:type="dxa"/>
            <w:vAlign w:val="center"/>
          </w:tcPr>
          <w:p w:rsidRPr="00755BC6" w:rsidR="00755BC6" w:rsidP="00D501C8" w:rsidRDefault="00755BC6" w14:paraId="6B8EFCE8" w14:textId="0BA36163">
            <w:pPr>
              <w:jc w:val="center"/>
              <w:rPr>
                <w:rFonts w:ascii="Calibri" w:hAnsi="Calibri" w:eastAsia="Times New Roman" w:cs="Calibri"/>
                <w:color w:val="000000"/>
              </w:rPr>
            </w:pPr>
            <w:proofErr w:type="spellStart"/>
            <w:r w:rsidRPr="00755BC6">
              <w:rPr>
                <w:rFonts w:ascii="Calibri" w:hAnsi="Calibri" w:eastAsia="Times New Roman" w:cs="Calibri"/>
                <w:color w:val="000000"/>
              </w:rPr>
              <w:t>MeFOSAA</w:t>
            </w:r>
            <w:proofErr w:type="spellEnd"/>
          </w:p>
        </w:tc>
        <w:tc>
          <w:tcPr>
            <w:tcW w:w="5040" w:type="dxa"/>
            <w:noWrap/>
            <w:vAlign w:val="center"/>
            <w:hideMark/>
          </w:tcPr>
          <w:p w:rsidRPr="00755BC6" w:rsidR="00755BC6" w:rsidP="00D501C8" w:rsidRDefault="00755BC6" w14:paraId="67894A6A" w14:textId="77777777">
            <w:pPr>
              <w:jc w:val="center"/>
              <w:rPr>
                <w:rFonts w:ascii="Calibri" w:hAnsi="Calibri" w:eastAsia="Times New Roman" w:cs="Calibri"/>
                <w:color w:val="000000"/>
              </w:rPr>
            </w:pPr>
            <w:r w:rsidRPr="00755BC6">
              <w:rPr>
                <w:rFonts w:ascii="Calibri" w:hAnsi="Calibri" w:eastAsia="Times New Roman" w:cs="Calibri"/>
                <w:color w:val="000000"/>
              </w:rPr>
              <w:t xml:space="preserve">N-methyl </w:t>
            </w:r>
            <w:proofErr w:type="spellStart"/>
            <w:r w:rsidRPr="00755BC6">
              <w:rPr>
                <w:rFonts w:ascii="Calibri" w:hAnsi="Calibri" w:eastAsia="Times New Roman" w:cs="Calibri"/>
                <w:color w:val="000000"/>
              </w:rPr>
              <w:t>perfluorooctanesulfonamidoacetic</w:t>
            </w:r>
            <w:proofErr w:type="spellEnd"/>
            <w:r w:rsidRP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18F8A159" w14:textId="15DBD7C0">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19485DA9" w14:textId="77777777">
        <w:trPr>
          <w:trHeight w:val="300"/>
        </w:trPr>
        <w:tc>
          <w:tcPr>
            <w:tcW w:w="1705" w:type="dxa"/>
            <w:vAlign w:val="center"/>
          </w:tcPr>
          <w:p w:rsidRPr="00755BC6" w:rsidR="00755BC6" w:rsidP="00D501C8" w:rsidRDefault="00755BC6" w14:paraId="1A582162" w14:textId="77777777">
            <w:pPr>
              <w:jc w:val="center"/>
              <w:rPr>
                <w:rFonts w:ascii="Calibri" w:hAnsi="Calibri" w:eastAsia="Times New Roman" w:cs="Calibri"/>
                <w:color w:val="000000"/>
              </w:rPr>
            </w:pPr>
            <w:r w:rsidRPr="00755BC6">
              <w:rPr>
                <w:rFonts w:ascii="Calibri" w:hAnsi="Calibri" w:eastAsia="Times New Roman" w:cs="Calibri"/>
                <w:color w:val="000000"/>
              </w:rPr>
              <w:t>PFBS</w:t>
            </w:r>
          </w:p>
        </w:tc>
        <w:tc>
          <w:tcPr>
            <w:tcW w:w="5040" w:type="dxa"/>
            <w:noWrap/>
            <w:vAlign w:val="center"/>
            <w:hideMark/>
          </w:tcPr>
          <w:p w:rsidRPr="00755BC6" w:rsidR="00755BC6" w:rsidP="00D501C8" w:rsidRDefault="00705E94" w14:paraId="42056373" w14:textId="2DF0B0DA">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erfluorobutane</w:t>
            </w:r>
            <w:proofErr w:type="spellEnd"/>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63C50B1E" w14:textId="05BD5558">
            <w:pPr>
              <w:jc w:val="center"/>
              <w:rPr>
                <w:rFonts w:ascii="Calibri" w:hAnsi="Calibri" w:eastAsia="Times New Roman" w:cs="Calibri"/>
                <w:color w:val="000000"/>
              </w:rPr>
            </w:pPr>
            <w:r>
              <w:rPr>
                <w:rFonts w:ascii="Calibri" w:hAnsi="Calibri" w:eastAsia="Times New Roman" w:cs="Calibri"/>
                <w:color w:val="000000"/>
              </w:rPr>
              <w:t>6.</w:t>
            </w:r>
            <w:r w:rsidR="00232AA9">
              <w:rPr>
                <w:rFonts w:ascii="Calibri" w:hAnsi="Calibri" w:eastAsia="Times New Roman" w:cs="Calibri"/>
                <w:color w:val="000000"/>
              </w:rPr>
              <w:t>3</w:t>
            </w:r>
          </w:p>
        </w:tc>
      </w:tr>
      <w:tr w:rsidRPr="00755BC6" w:rsidR="00755BC6" w:rsidTr="004F5C64" w14:paraId="79737125" w14:textId="77777777">
        <w:trPr>
          <w:trHeight w:val="300"/>
        </w:trPr>
        <w:tc>
          <w:tcPr>
            <w:tcW w:w="1705" w:type="dxa"/>
            <w:vAlign w:val="center"/>
          </w:tcPr>
          <w:p w:rsidRPr="00755BC6" w:rsidR="00755BC6" w:rsidP="00D501C8" w:rsidRDefault="00755BC6" w14:paraId="083DD51E" w14:textId="77777777">
            <w:pPr>
              <w:jc w:val="center"/>
              <w:rPr>
                <w:rFonts w:ascii="Calibri" w:hAnsi="Calibri" w:eastAsia="Times New Roman" w:cs="Calibri"/>
                <w:color w:val="000000"/>
              </w:rPr>
            </w:pPr>
            <w:r w:rsidRPr="00755BC6">
              <w:rPr>
                <w:rFonts w:ascii="Calibri" w:hAnsi="Calibri" w:eastAsia="Times New Roman" w:cs="Calibri"/>
                <w:color w:val="000000"/>
              </w:rPr>
              <w:t>PFDA</w:t>
            </w:r>
          </w:p>
        </w:tc>
        <w:tc>
          <w:tcPr>
            <w:tcW w:w="5040" w:type="dxa"/>
            <w:noWrap/>
            <w:vAlign w:val="center"/>
            <w:hideMark/>
          </w:tcPr>
          <w:p w:rsidRPr="00755BC6" w:rsidR="00755BC6" w:rsidP="00D501C8" w:rsidRDefault="00E25CEC" w14:paraId="4725A6A1" w14:textId="4B7FC2A5">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232AA9" w14:paraId="0A765A50" w14:textId="7F5B1E30">
            <w:pPr>
              <w:jc w:val="center"/>
              <w:rPr>
                <w:rFonts w:ascii="Calibri" w:hAnsi="Calibri" w:eastAsia="Times New Roman" w:cs="Calibri"/>
                <w:color w:val="000000"/>
              </w:rPr>
            </w:pPr>
            <w:r>
              <w:rPr>
                <w:rFonts w:ascii="Calibri" w:hAnsi="Calibri" w:eastAsia="Times New Roman" w:cs="Calibri"/>
                <w:color w:val="000000"/>
              </w:rPr>
              <w:t>3.</w:t>
            </w:r>
            <w:r w:rsidR="00DE2AE2">
              <w:rPr>
                <w:rFonts w:ascii="Calibri" w:hAnsi="Calibri" w:eastAsia="Times New Roman" w:cs="Calibri"/>
                <w:color w:val="000000"/>
              </w:rPr>
              <w:t>3</w:t>
            </w:r>
          </w:p>
        </w:tc>
      </w:tr>
      <w:tr w:rsidRPr="00755BC6" w:rsidR="00755BC6" w:rsidTr="004F5C64" w14:paraId="3537BE35" w14:textId="77777777">
        <w:trPr>
          <w:trHeight w:val="300"/>
        </w:trPr>
        <w:tc>
          <w:tcPr>
            <w:tcW w:w="1705" w:type="dxa"/>
            <w:vAlign w:val="center"/>
          </w:tcPr>
          <w:p w:rsidRPr="00755BC6" w:rsidR="00755BC6" w:rsidP="00D501C8" w:rsidRDefault="00755BC6" w14:paraId="5CC8A096"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PFDoA</w:t>
            </w:r>
            <w:proofErr w:type="spellEnd"/>
          </w:p>
        </w:tc>
        <w:tc>
          <w:tcPr>
            <w:tcW w:w="5040" w:type="dxa"/>
            <w:noWrap/>
            <w:vAlign w:val="center"/>
            <w:hideMark/>
          </w:tcPr>
          <w:p w:rsidRPr="00755BC6" w:rsidR="00755BC6" w:rsidP="00D501C8" w:rsidRDefault="00E25CEC" w14:paraId="17C575FB" w14:textId="65A20701">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erfluorododecanoic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D4BEFB6" w14:textId="13F39D0A">
            <w:pPr>
              <w:jc w:val="center"/>
              <w:rPr>
                <w:rFonts w:ascii="Calibri" w:hAnsi="Calibri" w:eastAsia="Times New Roman" w:cs="Calibri"/>
                <w:color w:val="000000"/>
              </w:rPr>
            </w:pPr>
            <w:r>
              <w:rPr>
                <w:rFonts w:ascii="Calibri" w:hAnsi="Calibri" w:eastAsia="Times New Roman" w:cs="Calibri"/>
                <w:color w:val="000000"/>
              </w:rPr>
              <w:t>1.</w:t>
            </w:r>
            <w:r w:rsidR="0000304D">
              <w:rPr>
                <w:rFonts w:ascii="Calibri" w:hAnsi="Calibri" w:eastAsia="Times New Roman" w:cs="Calibri"/>
                <w:color w:val="000000"/>
              </w:rPr>
              <w:t>3</w:t>
            </w:r>
          </w:p>
        </w:tc>
      </w:tr>
      <w:tr w:rsidRPr="00755BC6" w:rsidR="00755BC6" w:rsidTr="004F5C64" w14:paraId="2C91F7F2" w14:textId="77777777">
        <w:trPr>
          <w:trHeight w:val="300"/>
        </w:trPr>
        <w:tc>
          <w:tcPr>
            <w:tcW w:w="1705" w:type="dxa"/>
            <w:vAlign w:val="center"/>
          </w:tcPr>
          <w:p w:rsidRPr="00755BC6" w:rsidR="00755BC6" w:rsidP="00D501C8" w:rsidRDefault="00755BC6" w14:paraId="3688CDB9"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PFHpA</w:t>
            </w:r>
            <w:proofErr w:type="spellEnd"/>
          </w:p>
        </w:tc>
        <w:tc>
          <w:tcPr>
            <w:tcW w:w="5040" w:type="dxa"/>
            <w:noWrap/>
            <w:vAlign w:val="center"/>
            <w:hideMark/>
          </w:tcPr>
          <w:p w:rsidRPr="00755BC6" w:rsidR="00755BC6" w:rsidP="00D501C8" w:rsidRDefault="00E25CEC" w14:paraId="3948FD36" w14:textId="03DC3CC9">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erfluoroheptanoic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4026D3A3" w14:textId="3314AEAE">
            <w:pPr>
              <w:jc w:val="center"/>
              <w:rPr>
                <w:rFonts w:ascii="Calibri" w:hAnsi="Calibri" w:eastAsia="Times New Roman" w:cs="Calibri"/>
                <w:color w:val="000000"/>
              </w:rPr>
            </w:pPr>
            <w:r>
              <w:rPr>
                <w:rFonts w:ascii="Calibri" w:hAnsi="Calibri" w:eastAsia="Times New Roman" w:cs="Calibri"/>
                <w:color w:val="000000"/>
              </w:rPr>
              <w:t>0.63</w:t>
            </w:r>
          </w:p>
        </w:tc>
      </w:tr>
      <w:tr w:rsidRPr="00755BC6" w:rsidR="00755BC6" w:rsidTr="004F5C64" w14:paraId="3DF136B5" w14:textId="77777777">
        <w:trPr>
          <w:trHeight w:val="300"/>
        </w:trPr>
        <w:tc>
          <w:tcPr>
            <w:tcW w:w="1705" w:type="dxa"/>
            <w:vAlign w:val="center"/>
          </w:tcPr>
          <w:p w:rsidRPr="00755BC6" w:rsidR="00755BC6" w:rsidP="00D501C8" w:rsidRDefault="00755BC6" w14:paraId="76E1CFAF"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PFHxS</w:t>
            </w:r>
            <w:proofErr w:type="spellEnd"/>
          </w:p>
        </w:tc>
        <w:tc>
          <w:tcPr>
            <w:tcW w:w="5040" w:type="dxa"/>
            <w:noWrap/>
            <w:vAlign w:val="center"/>
            <w:hideMark/>
          </w:tcPr>
          <w:p w:rsidRPr="00755BC6" w:rsidR="00755BC6" w:rsidP="00D501C8" w:rsidRDefault="00705E94" w14:paraId="4FE9656F" w14:textId="3B7E23E0">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erfluorohexane</w:t>
            </w:r>
            <w:proofErr w:type="spellEnd"/>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47E52CB7" w14:textId="713319F8">
            <w:pPr>
              <w:jc w:val="center"/>
              <w:rPr>
                <w:rFonts w:ascii="Calibri" w:hAnsi="Calibri" w:eastAsia="Times New Roman" w:cs="Calibri"/>
                <w:color w:val="000000"/>
              </w:rPr>
            </w:pPr>
            <w:r>
              <w:rPr>
                <w:rFonts w:ascii="Calibri" w:hAnsi="Calibri" w:eastAsia="Times New Roman" w:cs="Calibri"/>
                <w:color w:val="000000"/>
              </w:rPr>
              <w:t>2.4</w:t>
            </w:r>
          </w:p>
        </w:tc>
      </w:tr>
      <w:tr w:rsidRPr="00755BC6" w:rsidR="00755BC6" w:rsidTr="004F5C64" w14:paraId="63D80B72" w14:textId="77777777">
        <w:trPr>
          <w:trHeight w:val="300"/>
        </w:trPr>
        <w:tc>
          <w:tcPr>
            <w:tcW w:w="1705" w:type="dxa"/>
            <w:vAlign w:val="center"/>
          </w:tcPr>
          <w:p w:rsidRPr="00755BC6" w:rsidR="00755BC6" w:rsidP="00D501C8" w:rsidRDefault="00755BC6" w14:paraId="69CC8981"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PFHxA</w:t>
            </w:r>
            <w:proofErr w:type="spellEnd"/>
          </w:p>
        </w:tc>
        <w:tc>
          <w:tcPr>
            <w:tcW w:w="5040" w:type="dxa"/>
            <w:noWrap/>
            <w:vAlign w:val="center"/>
            <w:hideMark/>
          </w:tcPr>
          <w:p w:rsidRPr="00755BC6" w:rsidR="00755BC6" w:rsidP="00D501C8" w:rsidRDefault="00E25CEC" w14:paraId="66C40C34" w14:textId="507837E1">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erfluorohexanoic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A1507C7" w14:textId="2F048516">
            <w:pPr>
              <w:jc w:val="center"/>
              <w:rPr>
                <w:rFonts w:ascii="Calibri" w:hAnsi="Calibri" w:eastAsia="Times New Roman" w:cs="Calibri"/>
                <w:color w:val="000000"/>
              </w:rPr>
            </w:pPr>
            <w:r>
              <w:rPr>
                <w:rFonts w:ascii="Calibri" w:hAnsi="Calibri" w:eastAsia="Times New Roman" w:cs="Calibri"/>
                <w:color w:val="000000"/>
              </w:rPr>
              <w:t>1.7</w:t>
            </w:r>
          </w:p>
        </w:tc>
      </w:tr>
      <w:tr w:rsidRPr="00755BC6" w:rsidR="00755BC6" w:rsidTr="004F5C64" w14:paraId="2F034713" w14:textId="77777777">
        <w:trPr>
          <w:trHeight w:val="300"/>
        </w:trPr>
        <w:tc>
          <w:tcPr>
            <w:tcW w:w="1705" w:type="dxa"/>
            <w:vAlign w:val="center"/>
          </w:tcPr>
          <w:p w:rsidRPr="00755BC6" w:rsidR="00755BC6" w:rsidP="00D501C8" w:rsidRDefault="00755BC6" w14:paraId="723C106B" w14:textId="77777777">
            <w:pPr>
              <w:jc w:val="center"/>
              <w:rPr>
                <w:rFonts w:ascii="Calibri" w:hAnsi="Calibri" w:eastAsia="Times New Roman" w:cs="Calibri"/>
                <w:color w:val="000000"/>
              </w:rPr>
            </w:pPr>
            <w:r w:rsidRPr="00755BC6">
              <w:rPr>
                <w:rFonts w:ascii="Calibri" w:hAnsi="Calibri" w:eastAsia="Times New Roman" w:cs="Calibri"/>
                <w:color w:val="000000"/>
              </w:rPr>
              <w:t>PFNA</w:t>
            </w:r>
          </w:p>
        </w:tc>
        <w:tc>
          <w:tcPr>
            <w:tcW w:w="5040" w:type="dxa"/>
            <w:noWrap/>
            <w:vAlign w:val="center"/>
            <w:hideMark/>
          </w:tcPr>
          <w:p w:rsidRPr="00755BC6" w:rsidR="00755BC6" w:rsidP="00D501C8" w:rsidRDefault="00E25CEC" w14:paraId="054ECA51" w14:textId="5B72685E">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erfluorononanoic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3AB43934" w14:textId="4F1AD403">
            <w:pPr>
              <w:jc w:val="center"/>
              <w:rPr>
                <w:rFonts w:ascii="Calibri" w:hAnsi="Calibri" w:eastAsia="Times New Roman" w:cs="Calibri"/>
                <w:color w:val="000000"/>
              </w:rPr>
            </w:pPr>
            <w:r>
              <w:rPr>
                <w:rFonts w:ascii="Calibri" w:hAnsi="Calibri" w:eastAsia="Times New Roman" w:cs="Calibri"/>
                <w:color w:val="000000"/>
              </w:rPr>
              <w:t>0.83</w:t>
            </w:r>
          </w:p>
        </w:tc>
      </w:tr>
      <w:tr w:rsidRPr="00755BC6" w:rsidR="00755BC6" w:rsidTr="004F5C64" w14:paraId="0599527D" w14:textId="77777777">
        <w:trPr>
          <w:trHeight w:val="300"/>
        </w:trPr>
        <w:tc>
          <w:tcPr>
            <w:tcW w:w="1705" w:type="dxa"/>
            <w:vAlign w:val="center"/>
          </w:tcPr>
          <w:p w:rsidRPr="00755BC6" w:rsidR="00755BC6" w:rsidP="00D501C8" w:rsidRDefault="00755BC6" w14:paraId="2BCA6CCF" w14:textId="77777777">
            <w:pPr>
              <w:jc w:val="center"/>
              <w:rPr>
                <w:rFonts w:ascii="Calibri" w:hAnsi="Calibri" w:eastAsia="Times New Roman" w:cs="Calibri"/>
                <w:color w:val="000000"/>
              </w:rPr>
            </w:pPr>
            <w:r w:rsidRPr="00755BC6">
              <w:rPr>
                <w:rFonts w:ascii="Calibri" w:hAnsi="Calibri" w:eastAsia="Times New Roman" w:cs="Calibri"/>
                <w:color w:val="000000"/>
              </w:rPr>
              <w:t>PFOS</w:t>
            </w:r>
          </w:p>
        </w:tc>
        <w:tc>
          <w:tcPr>
            <w:tcW w:w="5040" w:type="dxa"/>
            <w:noWrap/>
            <w:vAlign w:val="center"/>
            <w:hideMark/>
          </w:tcPr>
          <w:p w:rsidRPr="00755BC6" w:rsidR="00755BC6" w:rsidP="00D501C8" w:rsidRDefault="00F2029C" w14:paraId="0FBD10ED" w14:textId="53444637">
            <w:pPr>
              <w:jc w:val="center"/>
              <w:rPr>
                <w:rFonts w:ascii="Calibri" w:hAnsi="Calibri" w:eastAsia="Times New Roman" w:cs="Calibri"/>
                <w:color w:val="000000"/>
              </w:rPr>
            </w:pPr>
            <w:proofErr w:type="spellStart"/>
            <w:r>
              <w:rPr>
                <w:rFonts w:ascii="Calibri" w:hAnsi="Calibri" w:eastAsia="Times New Roman" w:cs="Calibri"/>
                <w:color w:val="000000"/>
              </w:rPr>
              <w:t>perfluorooctan</w:t>
            </w:r>
            <w:proofErr w:type="spellEnd"/>
            <w:r>
              <w:rPr>
                <w:rFonts w:ascii="Calibri" w:hAnsi="Calibri" w:eastAsia="Times New Roman" w:cs="Calibri"/>
                <w:color w:val="000000"/>
              </w:rPr>
              <w:t xml:space="preserve"> </w:t>
            </w:r>
            <w:proofErr w:type="spellStart"/>
            <w:r w:rsidRPr="00755BC6" w:rsidR="00755BC6">
              <w:rPr>
                <w:rFonts w:ascii="Calibri" w:hAnsi="Calibri" w:eastAsia="Times New Roman" w:cs="Calibri"/>
                <w:color w:val="000000"/>
              </w:rPr>
              <w:t>esulfonic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633F11C3" w14:textId="7D467E9F">
            <w:pPr>
              <w:jc w:val="center"/>
              <w:rPr>
                <w:rFonts w:ascii="Calibri" w:hAnsi="Calibri" w:eastAsia="Times New Roman" w:cs="Calibri"/>
                <w:color w:val="000000"/>
              </w:rPr>
            </w:pPr>
            <w:r>
              <w:rPr>
                <w:rFonts w:ascii="Calibri" w:hAnsi="Calibri" w:eastAsia="Times New Roman" w:cs="Calibri"/>
                <w:color w:val="000000"/>
              </w:rPr>
              <w:t>2.7</w:t>
            </w:r>
          </w:p>
        </w:tc>
      </w:tr>
      <w:tr w:rsidRPr="00755BC6" w:rsidR="00755BC6" w:rsidTr="004F5C64" w14:paraId="7783775E" w14:textId="77777777">
        <w:trPr>
          <w:trHeight w:val="300"/>
        </w:trPr>
        <w:tc>
          <w:tcPr>
            <w:tcW w:w="1705" w:type="dxa"/>
            <w:vAlign w:val="center"/>
          </w:tcPr>
          <w:p w:rsidRPr="00755BC6" w:rsidR="00755BC6" w:rsidP="00D501C8" w:rsidRDefault="00755BC6" w14:paraId="65FE476C" w14:textId="77777777">
            <w:pPr>
              <w:jc w:val="center"/>
              <w:rPr>
                <w:rFonts w:ascii="Calibri" w:hAnsi="Calibri" w:eastAsia="Times New Roman" w:cs="Calibri"/>
                <w:color w:val="000000"/>
              </w:rPr>
            </w:pPr>
            <w:r w:rsidRPr="00755BC6">
              <w:rPr>
                <w:rFonts w:ascii="Calibri" w:hAnsi="Calibri" w:eastAsia="Times New Roman" w:cs="Calibri"/>
                <w:color w:val="000000"/>
              </w:rPr>
              <w:t>PFOA</w:t>
            </w:r>
          </w:p>
        </w:tc>
        <w:tc>
          <w:tcPr>
            <w:tcW w:w="5040" w:type="dxa"/>
            <w:noWrap/>
            <w:vAlign w:val="center"/>
            <w:hideMark/>
          </w:tcPr>
          <w:p w:rsidRPr="00755BC6" w:rsidR="00755BC6" w:rsidP="00D501C8" w:rsidRDefault="00E25CEC" w14:paraId="6706D50C" w14:textId="1474A761">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erfluorooctanoic acid</w:t>
            </w:r>
          </w:p>
        </w:tc>
        <w:tc>
          <w:tcPr>
            <w:tcW w:w="2196" w:type="dxa"/>
            <w:noWrap/>
            <w:vAlign w:val="center"/>
          </w:tcPr>
          <w:p w:rsidRPr="00755BC6" w:rsidR="00755BC6" w:rsidP="00D501C8" w:rsidRDefault="00DE2AE2" w14:paraId="0C280CE5" w14:textId="5A45F367">
            <w:pPr>
              <w:jc w:val="center"/>
              <w:rPr>
                <w:rFonts w:ascii="Calibri" w:hAnsi="Calibri" w:eastAsia="Times New Roman" w:cs="Calibri"/>
                <w:color w:val="000000"/>
              </w:rPr>
            </w:pPr>
            <w:r>
              <w:rPr>
                <w:rFonts w:ascii="Calibri" w:hAnsi="Calibri" w:eastAsia="Times New Roman" w:cs="Calibri"/>
                <w:color w:val="000000"/>
              </w:rPr>
              <w:t>0.82</w:t>
            </w:r>
          </w:p>
        </w:tc>
      </w:tr>
      <w:tr w:rsidRPr="00755BC6" w:rsidR="00755BC6" w:rsidTr="004F5C64" w14:paraId="48005A00" w14:textId="77777777">
        <w:trPr>
          <w:trHeight w:val="300"/>
        </w:trPr>
        <w:tc>
          <w:tcPr>
            <w:tcW w:w="1705" w:type="dxa"/>
            <w:vAlign w:val="center"/>
          </w:tcPr>
          <w:p w:rsidRPr="00755BC6" w:rsidR="00755BC6" w:rsidP="00D501C8" w:rsidRDefault="00755BC6" w14:paraId="09874A9C" w14:textId="77777777">
            <w:pPr>
              <w:jc w:val="center"/>
              <w:rPr>
                <w:rFonts w:ascii="Calibri" w:hAnsi="Calibri" w:eastAsia="Times New Roman" w:cs="Calibri"/>
                <w:color w:val="000000"/>
              </w:rPr>
            </w:pPr>
            <w:r w:rsidRPr="00755BC6">
              <w:rPr>
                <w:rFonts w:ascii="Calibri" w:hAnsi="Calibri" w:eastAsia="Times New Roman" w:cs="Calibri"/>
                <w:color w:val="000000"/>
              </w:rPr>
              <w:t>PFTA</w:t>
            </w:r>
          </w:p>
        </w:tc>
        <w:tc>
          <w:tcPr>
            <w:tcW w:w="5040" w:type="dxa"/>
            <w:noWrap/>
            <w:vAlign w:val="center"/>
            <w:hideMark/>
          </w:tcPr>
          <w:p w:rsidRPr="00755BC6" w:rsidR="00755BC6" w:rsidP="00D501C8" w:rsidRDefault="00E25CEC" w14:paraId="26460715" w14:textId="489794FA">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erfluorotetradecanoic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64F09" w14:paraId="678A843F" w14:textId="7A3B1D7F">
            <w:pPr>
              <w:jc w:val="center"/>
              <w:rPr>
                <w:rFonts w:ascii="Calibri" w:hAnsi="Calibri" w:eastAsia="Times New Roman" w:cs="Calibri"/>
                <w:color w:val="000000"/>
              </w:rPr>
            </w:pPr>
            <w:r>
              <w:rPr>
                <w:rFonts w:ascii="Calibri" w:hAnsi="Calibri" w:eastAsia="Times New Roman" w:cs="Calibri"/>
                <w:color w:val="000000"/>
              </w:rPr>
              <w:t>1.2</w:t>
            </w:r>
          </w:p>
        </w:tc>
      </w:tr>
      <w:tr w:rsidRPr="00755BC6" w:rsidR="00755BC6" w:rsidTr="004F5C64" w14:paraId="12B694DE" w14:textId="77777777">
        <w:trPr>
          <w:trHeight w:val="300"/>
        </w:trPr>
        <w:tc>
          <w:tcPr>
            <w:tcW w:w="1705" w:type="dxa"/>
            <w:vAlign w:val="center"/>
          </w:tcPr>
          <w:p w:rsidRPr="00755BC6" w:rsidR="00755BC6" w:rsidP="00D501C8" w:rsidRDefault="00D65268" w14:paraId="5089882B" w14:textId="48E799CE">
            <w:pPr>
              <w:jc w:val="center"/>
              <w:rPr>
                <w:rFonts w:ascii="Calibri" w:hAnsi="Calibri" w:eastAsia="Times New Roman" w:cs="Calibri"/>
                <w:color w:val="000000"/>
              </w:rPr>
            </w:pPr>
            <w:proofErr w:type="spellStart"/>
            <w:r>
              <w:rPr>
                <w:rFonts w:ascii="Calibri" w:hAnsi="Calibri" w:eastAsia="Times New Roman" w:cs="Calibri"/>
                <w:color w:val="000000"/>
              </w:rPr>
              <w:t>PFTr</w:t>
            </w:r>
            <w:r w:rsidRPr="00755BC6" w:rsidR="00755BC6">
              <w:rPr>
                <w:rFonts w:ascii="Calibri" w:hAnsi="Calibri" w:eastAsia="Times New Roman" w:cs="Calibri"/>
                <w:color w:val="000000"/>
              </w:rPr>
              <w:t>A</w:t>
            </w:r>
            <w:proofErr w:type="spellEnd"/>
          </w:p>
        </w:tc>
        <w:tc>
          <w:tcPr>
            <w:tcW w:w="5040" w:type="dxa"/>
            <w:noWrap/>
            <w:vAlign w:val="center"/>
            <w:hideMark/>
          </w:tcPr>
          <w:p w:rsidRPr="00755BC6" w:rsidR="00755BC6" w:rsidP="00D501C8" w:rsidRDefault="00E25CEC" w14:paraId="4739AF1D" w14:textId="780459A9">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erfluorotridecanoic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AFFCF0B" w14:textId="59F0A2D3">
            <w:pPr>
              <w:jc w:val="center"/>
              <w:rPr>
                <w:rFonts w:ascii="Calibri" w:hAnsi="Calibri" w:eastAsia="Times New Roman" w:cs="Calibri"/>
                <w:color w:val="000000"/>
              </w:rPr>
            </w:pPr>
            <w:r>
              <w:rPr>
                <w:rFonts w:ascii="Calibri" w:hAnsi="Calibri" w:eastAsia="Times New Roman" w:cs="Calibri"/>
                <w:color w:val="000000"/>
              </w:rPr>
              <w:t>0.53</w:t>
            </w:r>
          </w:p>
        </w:tc>
      </w:tr>
      <w:tr w:rsidRPr="00755BC6" w:rsidR="00755BC6" w:rsidTr="004F5C64" w14:paraId="63DFF146" w14:textId="77777777">
        <w:trPr>
          <w:trHeight w:val="300"/>
        </w:trPr>
        <w:tc>
          <w:tcPr>
            <w:tcW w:w="1705" w:type="dxa"/>
            <w:vAlign w:val="center"/>
          </w:tcPr>
          <w:p w:rsidRPr="00755BC6" w:rsidR="00755BC6" w:rsidP="00D501C8" w:rsidRDefault="00755BC6" w14:paraId="0179C126"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PFUnA</w:t>
            </w:r>
            <w:proofErr w:type="spellEnd"/>
          </w:p>
        </w:tc>
        <w:tc>
          <w:tcPr>
            <w:tcW w:w="5040" w:type="dxa"/>
            <w:noWrap/>
            <w:vAlign w:val="center"/>
            <w:hideMark/>
          </w:tcPr>
          <w:p w:rsidRPr="00755BC6" w:rsidR="00755BC6" w:rsidP="00D501C8" w:rsidRDefault="00E25CEC" w14:paraId="36F380A2" w14:textId="7FA3715C">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erfluoroundecanoic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369A98AD" w14:textId="3C40C82A">
            <w:pPr>
              <w:jc w:val="center"/>
              <w:rPr>
                <w:rFonts w:ascii="Calibri" w:hAnsi="Calibri" w:eastAsia="Times New Roman" w:cs="Calibri"/>
                <w:color w:val="000000"/>
              </w:rPr>
            </w:pPr>
            <w:r>
              <w:rPr>
                <w:rFonts w:ascii="Calibri" w:hAnsi="Calibri" w:eastAsia="Times New Roman" w:cs="Calibri"/>
                <w:color w:val="000000"/>
              </w:rPr>
              <w:t>5.2</w:t>
            </w:r>
          </w:p>
        </w:tc>
      </w:tr>
      <w:tr w:rsidRPr="00755BC6" w:rsidR="0056291C" w:rsidTr="00694EF7" w14:paraId="55357569" w14:textId="77777777">
        <w:trPr>
          <w:trHeight w:val="300"/>
        </w:trPr>
        <w:tc>
          <w:tcPr>
            <w:tcW w:w="1705" w:type="dxa"/>
            <w:vAlign w:val="center"/>
          </w:tcPr>
          <w:p w:rsidRPr="00755BC6" w:rsidR="0056291C" w:rsidP="0056291C" w:rsidRDefault="0056291C" w14:paraId="2137EEC3" w14:textId="77777777">
            <w:pPr>
              <w:jc w:val="center"/>
              <w:rPr>
                <w:rFonts w:ascii="Calibri" w:hAnsi="Calibri" w:eastAsia="Times New Roman" w:cs="Calibri"/>
                <w:color w:val="000000"/>
              </w:rPr>
            </w:pPr>
            <w:r w:rsidRPr="009B3B0C">
              <w:rPr>
                <w:rFonts w:ascii="Calibri" w:hAnsi="Calibri" w:eastAsia="Times New Roman" w:cs="Calibri"/>
                <w:color w:val="000000"/>
              </w:rPr>
              <w:t>11Cl-PF3OUdS</w:t>
            </w:r>
          </w:p>
        </w:tc>
        <w:tc>
          <w:tcPr>
            <w:tcW w:w="5040" w:type="dxa"/>
            <w:noWrap/>
            <w:vAlign w:val="center"/>
          </w:tcPr>
          <w:p w:rsidRPr="00755BC6" w:rsidR="0056291C" w:rsidP="0056291C" w:rsidRDefault="0056291C" w14:paraId="79CF6AA1" w14:textId="77777777">
            <w:pPr>
              <w:jc w:val="center"/>
              <w:rPr>
                <w:rFonts w:ascii="Calibri" w:hAnsi="Calibri" w:eastAsia="Times New Roman" w:cs="Calibri"/>
                <w:color w:val="000000"/>
              </w:rPr>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c>
          <w:tcPr>
            <w:tcW w:w="2196" w:type="dxa"/>
            <w:noWrap/>
            <w:vAlign w:val="center"/>
          </w:tcPr>
          <w:p w:rsidR="0056291C" w:rsidP="0056291C" w:rsidRDefault="00DE2AE2" w14:paraId="253AA0BF" w14:textId="77777777">
            <w:pPr>
              <w:jc w:val="center"/>
              <w:rPr>
                <w:rFonts w:ascii="Calibri" w:hAnsi="Calibri" w:eastAsia="Times New Roman" w:cs="Calibri"/>
                <w:color w:val="000000"/>
              </w:rPr>
            </w:pPr>
            <w:r>
              <w:rPr>
                <w:rFonts w:ascii="Calibri" w:hAnsi="Calibri" w:eastAsia="Times New Roman" w:cs="Calibri"/>
                <w:color w:val="000000"/>
              </w:rPr>
              <w:t>1.5</w:t>
            </w:r>
          </w:p>
        </w:tc>
      </w:tr>
      <w:tr w:rsidRPr="00755BC6" w:rsidR="0056291C" w:rsidTr="00694EF7" w14:paraId="15AD7A8B" w14:textId="77777777">
        <w:trPr>
          <w:trHeight w:val="300"/>
        </w:trPr>
        <w:tc>
          <w:tcPr>
            <w:tcW w:w="1705" w:type="dxa"/>
            <w:vAlign w:val="center"/>
          </w:tcPr>
          <w:p w:rsidRPr="00755BC6" w:rsidR="0056291C" w:rsidP="0056291C" w:rsidRDefault="0056291C" w14:paraId="7EE6158E" w14:textId="77777777">
            <w:pPr>
              <w:jc w:val="center"/>
              <w:rPr>
                <w:rFonts w:ascii="Calibri" w:hAnsi="Calibri" w:eastAsia="Times New Roman" w:cs="Calibri"/>
                <w:color w:val="000000"/>
              </w:rPr>
            </w:pPr>
            <w:r>
              <w:rPr>
                <w:rFonts w:ascii="Calibri" w:hAnsi="Calibri" w:eastAsia="Times New Roman" w:cs="Calibri"/>
                <w:color w:val="000000"/>
              </w:rPr>
              <w:t>9Cl-PF3ONS</w:t>
            </w:r>
          </w:p>
        </w:tc>
        <w:tc>
          <w:tcPr>
            <w:tcW w:w="5040" w:type="dxa"/>
            <w:noWrap/>
            <w:vAlign w:val="center"/>
          </w:tcPr>
          <w:p w:rsidRPr="00755BC6" w:rsidR="0056291C" w:rsidP="0056291C" w:rsidRDefault="0056291C" w14:paraId="5BD5F5AD" w14:textId="77777777">
            <w:pPr>
              <w:jc w:val="center"/>
              <w:rPr>
                <w:rFonts w:ascii="Calibri" w:hAnsi="Calibri" w:eastAsia="Times New Roman" w:cs="Calibri"/>
                <w:color w:val="000000"/>
              </w:rPr>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c>
          <w:tcPr>
            <w:tcW w:w="2196" w:type="dxa"/>
            <w:noWrap/>
            <w:vAlign w:val="center"/>
          </w:tcPr>
          <w:p w:rsidR="0056291C" w:rsidP="0056291C" w:rsidRDefault="00DE2AE2" w14:paraId="3A3EC8E3" w14:textId="77777777">
            <w:pPr>
              <w:jc w:val="center"/>
              <w:rPr>
                <w:rFonts w:ascii="Calibri" w:hAnsi="Calibri" w:eastAsia="Times New Roman" w:cs="Calibri"/>
                <w:color w:val="000000"/>
              </w:rPr>
            </w:pPr>
            <w:r>
              <w:rPr>
                <w:rFonts w:ascii="Calibri" w:hAnsi="Calibri" w:eastAsia="Times New Roman" w:cs="Calibri"/>
                <w:color w:val="000000"/>
              </w:rPr>
              <w:t>1.8</w:t>
            </w:r>
          </w:p>
        </w:tc>
      </w:tr>
      <w:tr w:rsidRPr="00755BC6" w:rsidR="0056291C" w:rsidTr="00694EF7" w14:paraId="54244172" w14:textId="77777777">
        <w:trPr>
          <w:trHeight w:val="300"/>
        </w:trPr>
        <w:tc>
          <w:tcPr>
            <w:tcW w:w="1705" w:type="dxa"/>
            <w:vAlign w:val="center"/>
          </w:tcPr>
          <w:p w:rsidRPr="00755BC6" w:rsidR="0056291C" w:rsidP="0056291C" w:rsidRDefault="0056291C" w14:paraId="3B42E450" w14:textId="77777777">
            <w:pPr>
              <w:jc w:val="center"/>
              <w:rPr>
                <w:rFonts w:ascii="Calibri" w:hAnsi="Calibri" w:eastAsia="Times New Roman" w:cs="Calibri"/>
                <w:color w:val="000000"/>
              </w:rPr>
            </w:pPr>
            <w:r w:rsidRPr="009B3B0C">
              <w:rPr>
                <w:rFonts w:ascii="Calibri" w:hAnsi="Calibri" w:eastAsia="Times New Roman" w:cs="Calibri"/>
                <w:color w:val="000000"/>
              </w:rPr>
              <w:t>DONA</w:t>
            </w:r>
          </w:p>
        </w:tc>
        <w:tc>
          <w:tcPr>
            <w:tcW w:w="5040" w:type="dxa"/>
            <w:noWrap/>
            <w:vAlign w:val="center"/>
          </w:tcPr>
          <w:p w:rsidRPr="00755BC6" w:rsidR="0056291C" w:rsidP="0056291C" w:rsidRDefault="0056291C" w14:paraId="103DA549" w14:textId="77777777">
            <w:pPr>
              <w:jc w:val="center"/>
              <w:rPr>
                <w:rFonts w:ascii="Calibri" w:hAnsi="Calibri" w:eastAsia="Times New Roman" w:cs="Calibri"/>
                <w:color w:val="000000"/>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2196" w:type="dxa"/>
            <w:noWrap/>
            <w:vAlign w:val="center"/>
          </w:tcPr>
          <w:p w:rsidR="0056291C" w:rsidP="0056291C" w:rsidRDefault="00DE2AE2" w14:paraId="27FA9B4B" w14:textId="77777777">
            <w:pPr>
              <w:jc w:val="center"/>
              <w:rPr>
                <w:rFonts w:ascii="Calibri" w:hAnsi="Calibri" w:eastAsia="Times New Roman" w:cs="Calibri"/>
                <w:color w:val="000000"/>
              </w:rPr>
            </w:pPr>
            <w:r>
              <w:rPr>
                <w:rFonts w:ascii="Calibri" w:hAnsi="Calibri" w:eastAsia="Times New Roman" w:cs="Calibri"/>
                <w:color w:val="000000"/>
              </w:rPr>
              <w:t>0.55</w:t>
            </w:r>
          </w:p>
        </w:tc>
      </w:tr>
      <w:tr w:rsidRPr="00755BC6" w:rsidR="009611F6" w:rsidTr="004F5C64" w14:paraId="39B0AD9D" w14:textId="77777777">
        <w:trPr>
          <w:trHeight w:val="300"/>
        </w:trPr>
        <w:tc>
          <w:tcPr>
            <w:tcW w:w="8941" w:type="dxa"/>
            <w:gridSpan w:val="3"/>
          </w:tcPr>
          <w:p w:rsidR="009611F6" w:rsidP="00D501C8" w:rsidRDefault="009611F6" w14:paraId="0DEF8AE8" w14:textId="77777777">
            <w:pPr>
              <w:rPr>
                <w:rFonts w:ascii="Calibri" w:hAnsi="Calibri" w:eastAsia="Times New Roman" w:cs="Calibri"/>
                <w:color w:val="000000"/>
              </w:rPr>
            </w:pPr>
            <w:r>
              <w:rPr>
                <w:rFonts w:ascii="Calibri" w:hAnsi="Calibri" w:eastAsia="Times New Roman" w:cs="Calibri"/>
                <w:color w:val="000000"/>
              </w:rPr>
              <w:t>ng/L – nanograms per liter</w:t>
            </w:r>
          </w:p>
        </w:tc>
      </w:tr>
    </w:tbl>
    <w:p w:rsidR="00B02ABB" w:rsidP="007B3D7D" w:rsidRDefault="00B02ABB" w14:paraId="4A0136E0" w14:textId="77777777">
      <w:pPr>
        <w:pStyle w:val="NoSpacing"/>
        <w:spacing w:after="200"/>
        <w:rPr>
          <w:rStyle w:val="Heading3Char"/>
        </w:rPr>
      </w:pPr>
    </w:p>
    <w:p w:rsidR="00E30CB4" w:rsidP="00D501C8" w:rsidRDefault="00E30CB4" w14:paraId="2BA31D39" w14:textId="77777777">
      <w:pPr>
        <w:pStyle w:val="Heading3"/>
      </w:pPr>
      <w:bookmarkStart w:name="_Toc536793483" w:id="49"/>
      <w:bookmarkStart w:name="_Toc6924105" w:id="50"/>
      <w:r w:rsidRPr="00A27E89">
        <w:t>Indoor Dust Sampling</w:t>
      </w:r>
      <w:bookmarkEnd w:id="49"/>
      <w:bookmarkEnd w:id="50"/>
    </w:p>
    <w:p w:rsidRPr="00B506FD" w:rsidR="0007696A" w:rsidP="00B506FD" w:rsidRDefault="0037394E" w14:paraId="2BA4D220" w14:textId="04794084">
      <w:pPr>
        <w:rPr>
          <w:rFonts w:ascii="Calibri" w:hAnsi="Calibri" w:cs="Calibri"/>
          <w:color w:val="000000"/>
        </w:rPr>
      </w:pPr>
      <w:r>
        <w:rPr>
          <w:rFonts w:ascii="Calibri" w:hAnsi="Calibri" w:cs="Calibri"/>
          <w:color w:val="000000"/>
        </w:rPr>
        <w:t xml:space="preserve">Measurements of household dust may act (to some extent) as a proxy for the presence of the analytes in products used in the household and as a descriptor of direct exposures (dust ingestion). </w:t>
      </w:r>
      <w:r w:rsidRPr="00B63E26" w:rsidR="00EB25F0">
        <w:rPr>
          <w:rFonts w:ascii="Calibri" w:hAnsi="Calibri" w:cs="Calibri"/>
        </w:rPr>
        <w:t xml:space="preserve">Dust collection is intended to generate additional information about the contribution of non-drinking water exposures to overall PFAS exposure. Dust collection is exploratory and will yield information about how levels of PFAS in indoor dust samples correlated with PFAS serum concentrations. </w:t>
      </w:r>
      <w:r w:rsidR="0007696A">
        <w:t>A subset of 10% of participating households will be selected for</w:t>
      </w:r>
      <w:r w:rsidR="00B12439">
        <w:t xml:space="preserve"> environmental sampling, including</w:t>
      </w:r>
      <w:r w:rsidR="0007696A">
        <w:t xml:space="preserve"> indoor dust sampling. Identification and recruitment of these households is described in more detail in the ‘Recruitment’ section of this protocol. </w:t>
      </w:r>
    </w:p>
    <w:p w:rsidR="009E3D2A" w:rsidP="00682A19" w:rsidRDefault="00913FE4" w14:paraId="6D1DD4DD" w14:textId="77777777">
      <w:pPr>
        <w:spacing w:line="240" w:lineRule="auto"/>
      </w:pPr>
      <w:r>
        <w:t>A composite dust sample</w:t>
      </w:r>
      <w:r w:rsidR="00716F6F">
        <w:t xml:space="preserve"> will be collected from </w:t>
      </w:r>
      <w:r w:rsidR="00B55ED6">
        <w:t xml:space="preserve">the floor of </w:t>
      </w:r>
      <w:r w:rsidR="00716F6F">
        <w:t xml:space="preserve">three locations inside each selected home – the primary living space </w:t>
      </w:r>
      <w:r>
        <w:t xml:space="preserve">as identified by the </w:t>
      </w:r>
      <w:proofErr w:type="gramStart"/>
      <w:r>
        <w:t>home owner</w:t>
      </w:r>
      <w:proofErr w:type="gramEnd"/>
      <w:r>
        <w:t xml:space="preserve"> </w:t>
      </w:r>
      <w:r w:rsidR="00716F6F">
        <w:t>(e.g</w:t>
      </w:r>
      <w:r w:rsidR="00693E79">
        <w:t>.,</w:t>
      </w:r>
      <w:r w:rsidR="00716F6F">
        <w:t xml:space="preserve"> living room</w:t>
      </w:r>
      <w:r w:rsidR="00B55ED6">
        <w:t>, family room,</w:t>
      </w:r>
      <w:r w:rsidR="002B4C6E">
        <w:t xml:space="preserve"> </w:t>
      </w:r>
      <w:r w:rsidR="00B55ED6">
        <w:t>television room</w:t>
      </w:r>
      <w:r w:rsidR="00716F6F">
        <w:t xml:space="preserve">), the kitchen, and </w:t>
      </w:r>
      <w:r w:rsidR="00414200">
        <w:t>the bedroom in which EA participants spend the most time, as identified by the homeowner</w:t>
      </w:r>
      <w:r w:rsidR="00716F6F">
        <w:t xml:space="preserve">. </w:t>
      </w:r>
      <w:r w:rsidR="00DD1A1E">
        <w:t>Vacuum sampling will be used to collect dust samples</w:t>
      </w:r>
      <w:r w:rsidR="00124A16">
        <w:t>. U</w:t>
      </w:r>
      <w:r w:rsidR="00DD1A1E">
        <w:t>nless otherwise indicated</w:t>
      </w:r>
      <w:r w:rsidR="00124A16">
        <w:t xml:space="preserve">, the </w:t>
      </w:r>
      <w:r w:rsidR="00F16058">
        <w:t xml:space="preserve">method described in the </w:t>
      </w:r>
      <w:r w:rsidR="00124A16">
        <w:t>EPA technical standard operating procedure</w:t>
      </w:r>
      <w:r w:rsidR="00DD1A1E">
        <w:t xml:space="preserve"> </w:t>
      </w:r>
      <w:r w:rsidR="00124A16">
        <w:t xml:space="preserve">for High Volume Indoor Dust </w:t>
      </w:r>
      <w:r w:rsidR="00124A16">
        <w:lastRenderedPageBreak/>
        <w:t xml:space="preserve">Sampling at Residences for </w:t>
      </w:r>
      <w:r w:rsidR="00F16058">
        <w:t xml:space="preserve">Risk-Based Exposure to Metals (available here: </w:t>
      </w:r>
      <w:hyperlink w:history="1" r:id="rId23">
        <w:r w:rsidRPr="009B1B7A" w:rsidR="00F16058">
          <w:rPr>
            <w:rStyle w:val="Hyperlink"/>
          </w:rPr>
          <w:t>https://www.epa.gov/sites/production/files/documents/r8-src_src-dust-01.pdf</w:t>
        </w:r>
      </w:hyperlink>
      <w:r w:rsidR="00F16058">
        <w:t xml:space="preserve">), will be used to collect samples. This protocol is suitable for the collection of interior dust samples from either hard or smooth and highly textured surfaces, including brickwork and rough concrete as well as carpeting. </w:t>
      </w:r>
    </w:p>
    <w:p w:rsidR="00B55ED6" w:rsidP="00682A19" w:rsidRDefault="00EC0B0B" w14:paraId="2C7C07D1" w14:textId="77777777">
      <w:pPr>
        <w:spacing w:line="240" w:lineRule="auto"/>
      </w:pPr>
      <w:r>
        <w:t xml:space="preserve">Dust will be removed from the designated surface area by means of a flowing air stream passing through a sampling nozzle at a specific velocity and flow rate. Dust will be separated from the air mechanically by a cyclone and collected in a catch bottle attached to the bottom of the cyclone. After collection, the bottle will be tightly capped, labeled, and placed upright in a storage container. </w:t>
      </w:r>
      <w:r w:rsidR="00DA0F03">
        <w:t>All sampling equipment</w:t>
      </w:r>
      <w:r w:rsidR="00E01289">
        <w:t xml:space="preserve"> will be decontaminated and inspected for cleanliness prior to colle</w:t>
      </w:r>
      <w:r w:rsidR="00520C6C">
        <w:t>c</w:t>
      </w:r>
      <w:r w:rsidR="00E01289">
        <w:t xml:space="preserve">tion of each sample. </w:t>
      </w:r>
      <w:r w:rsidR="00F120B6">
        <w:t xml:space="preserve">Quality control samples will be collected to identify any potential cross-contamination between samples. </w:t>
      </w:r>
      <w:r>
        <w:t xml:space="preserve">Samples will be kept at an ambient temperature and shipped to an </w:t>
      </w:r>
      <w:r w:rsidR="00E01289">
        <w:t xml:space="preserve">EPA approved and DOD accredited laboratory for analysis. </w:t>
      </w:r>
    </w:p>
    <w:p w:rsidR="00E01289" w:rsidP="00682A19" w:rsidRDefault="00E01289" w14:paraId="2D449533" w14:textId="77777777">
      <w:pPr>
        <w:spacing w:line="240" w:lineRule="auto"/>
      </w:pPr>
      <w:r>
        <w:t xml:space="preserve">Indoor dust samples will be analyzed for 24 PFAS and PFAS </w:t>
      </w:r>
      <w:r w:rsidR="00ED4E45">
        <w:t>precursors</w:t>
      </w:r>
      <w:r w:rsidR="00810D68">
        <w:t xml:space="preserve"> by an EPA-approved laboratory</w:t>
      </w:r>
      <w:r w:rsidR="00A0733B">
        <w:t xml:space="preserve">. </w:t>
      </w:r>
      <w:r w:rsidR="00722615">
        <w:t>An EPA-validated isotope dilution method (</w:t>
      </w:r>
      <w:r w:rsidR="000E0234">
        <w:t xml:space="preserve">such as </w:t>
      </w:r>
      <w:r w:rsidR="00722615">
        <w:t xml:space="preserve">SWA 846) will be used to measure PFAS in indoor dust samples when it is </w:t>
      </w:r>
      <w:r w:rsidR="00DA0F03">
        <w:t>available and approved for use</w:t>
      </w:r>
      <w:r w:rsidR="00722615">
        <w:t xml:space="preserve">. </w:t>
      </w:r>
      <w:r w:rsidR="00913FE4">
        <w:t xml:space="preserve">Samples will be held at the identified laboratory until the analytical method is available for analysis. </w:t>
      </w:r>
    </w:p>
    <w:p w:rsidR="00A0733B" w:rsidP="00D501C8" w:rsidRDefault="00A0733B" w14:paraId="3B1C88D0" w14:textId="77777777">
      <w:r>
        <w:t>Table 4 identifies the species to be measured in indoor dust samples.</w:t>
      </w:r>
    </w:p>
    <w:tbl>
      <w:tblPr>
        <w:tblStyle w:val="TableGrid"/>
        <w:tblW w:w="7375" w:type="dxa"/>
        <w:tblLook w:val="04A0" w:firstRow="1" w:lastRow="0" w:firstColumn="1" w:lastColumn="0" w:noHBand="0" w:noVBand="1"/>
      </w:tblPr>
      <w:tblGrid>
        <w:gridCol w:w="1581"/>
        <w:gridCol w:w="5794"/>
      </w:tblGrid>
      <w:tr w:rsidRPr="00C1486F" w:rsidR="00722615" w:rsidTr="004F5C64" w14:paraId="754D9296" w14:textId="77777777">
        <w:tc>
          <w:tcPr>
            <w:tcW w:w="7375" w:type="dxa"/>
            <w:gridSpan w:val="2"/>
          </w:tcPr>
          <w:p w:rsidRPr="00C1486F" w:rsidR="00722615" w:rsidP="005F4516" w:rsidRDefault="00722615" w14:paraId="50B971BF" w14:textId="77777777">
            <w:pPr>
              <w:keepNext/>
              <w:jc w:val="center"/>
              <w:rPr>
                <w:b/>
              </w:rPr>
            </w:pPr>
            <w:r>
              <w:rPr>
                <w:rFonts w:ascii="Calibri" w:hAnsi="Calibri" w:eastAsia="Times New Roman" w:cs="Calibri"/>
                <w:b/>
                <w:color w:val="000000"/>
              </w:rPr>
              <w:lastRenderedPageBreak/>
              <w:t>Table 4. List of PFAS and PFAS precursors to be measured in indoor dust samples in this investigation – Abbreviation and Chemical Name</w:t>
            </w:r>
          </w:p>
        </w:tc>
      </w:tr>
      <w:tr w:rsidRPr="00C1486F" w:rsidR="00722615" w:rsidTr="004F5C64" w14:paraId="2B8EBC10" w14:textId="77777777">
        <w:tc>
          <w:tcPr>
            <w:tcW w:w="1581" w:type="dxa"/>
          </w:tcPr>
          <w:p w:rsidRPr="00C1486F" w:rsidR="00722615" w:rsidP="005F4516" w:rsidRDefault="00722615" w14:paraId="3BFD7B67" w14:textId="77777777">
            <w:pPr>
              <w:keepNext/>
              <w:jc w:val="center"/>
              <w:rPr>
                <w:b/>
              </w:rPr>
            </w:pPr>
            <w:r>
              <w:rPr>
                <w:b/>
              </w:rPr>
              <w:t>Abbreviation</w:t>
            </w:r>
          </w:p>
        </w:tc>
        <w:tc>
          <w:tcPr>
            <w:tcW w:w="5794" w:type="dxa"/>
          </w:tcPr>
          <w:p w:rsidRPr="00C1486F" w:rsidR="00722615" w:rsidP="005F4516" w:rsidRDefault="00722615" w14:paraId="06740273" w14:textId="77777777">
            <w:pPr>
              <w:keepNext/>
              <w:jc w:val="center"/>
              <w:rPr>
                <w:b/>
              </w:rPr>
            </w:pPr>
            <w:r>
              <w:rPr>
                <w:b/>
              </w:rPr>
              <w:t>Chemical Name</w:t>
            </w:r>
          </w:p>
        </w:tc>
      </w:tr>
      <w:tr w:rsidRPr="00C1486F" w:rsidR="00722615" w:rsidTr="004F5C64" w14:paraId="6C96F4C3" w14:textId="77777777">
        <w:tc>
          <w:tcPr>
            <w:tcW w:w="1581" w:type="dxa"/>
          </w:tcPr>
          <w:p w:rsidRPr="00C1486F" w:rsidR="00722615" w:rsidP="005F4516" w:rsidRDefault="006700C2" w14:paraId="1DD173D4" w14:textId="1C4BC2E9">
            <w:pPr>
              <w:keepNext/>
            </w:pPr>
            <w:r>
              <w:t>PFT</w:t>
            </w:r>
            <w:r w:rsidRPr="00C1486F" w:rsidR="00722615">
              <w:t>A</w:t>
            </w:r>
          </w:p>
        </w:tc>
        <w:tc>
          <w:tcPr>
            <w:tcW w:w="5794" w:type="dxa"/>
          </w:tcPr>
          <w:p w:rsidRPr="00C1486F" w:rsidR="00722615" w:rsidP="005F4516" w:rsidRDefault="00E25CEC" w14:paraId="07554078" w14:textId="7102C95F">
            <w:pPr>
              <w:keepNext/>
            </w:pPr>
            <w:proofErr w:type="spellStart"/>
            <w:r>
              <w:t>p</w:t>
            </w:r>
            <w:r w:rsidRPr="00C1486F" w:rsidR="00722615">
              <w:t>erfluorotetradecanoic</w:t>
            </w:r>
            <w:proofErr w:type="spellEnd"/>
            <w:r w:rsidRPr="00C1486F" w:rsidR="00722615">
              <w:t xml:space="preserve"> acid</w:t>
            </w:r>
          </w:p>
        </w:tc>
      </w:tr>
      <w:tr w:rsidRPr="00C1486F" w:rsidR="00722615" w:rsidTr="004F5C64" w14:paraId="3E69862E" w14:textId="77777777">
        <w:trPr>
          <w:trHeight w:val="300"/>
        </w:trPr>
        <w:tc>
          <w:tcPr>
            <w:tcW w:w="1581" w:type="dxa"/>
            <w:vAlign w:val="center"/>
          </w:tcPr>
          <w:p w:rsidRPr="00C1486F" w:rsidR="00722615" w:rsidP="005F4516" w:rsidRDefault="006700C2" w14:paraId="7638CD61" w14:textId="12F42984">
            <w:pPr>
              <w:keepNext/>
              <w:rPr>
                <w:color w:val="000000"/>
              </w:rPr>
            </w:pPr>
            <w:proofErr w:type="spellStart"/>
            <w:r>
              <w:rPr>
                <w:color w:val="000000"/>
              </w:rPr>
              <w:t>PFTr</w:t>
            </w:r>
            <w:r w:rsidRPr="00C1486F" w:rsidR="00722615">
              <w:rPr>
                <w:color w:val="000000"/>
              </w:rPr>
              <w:t>A</w:t>
            </w:r>
            <w:proofErr w:type="spellEnd"/>
          </w:p>
        </w:tc>
        <w:tc>
          <w:tcPr>
            <w:tcW w:w="5794" w:type="dxa"/>
          </w:tcPr>
          <w:p w:rsidRPr="00C1486F" w:rsidR="00722615" w:rsidP="005F4516" w:rsidRDefault="00E25CEC" w14:paraId="7C2BFBD8" w14:textId="3BE964ED">
            <w:pPr>
              <w:keepNext/>
              <w:rPr>
                <w:color w:val="000000"/>
              </w:rPr>
            </w:pPr>
            <w:proofErr w:type="spellStart"/>
            <w:r>
              <w:rPr>
                <w:rFonts w:eastAsia="Times New Roman"/>
                <w:color w:val="000000"/>
              </w:rPr>
              <w:t>p</w:t>
            </w:r>
            <w:r w:rsidRPr="00C1486F" w:rsidR="00722615">
              <w:rPr>
                <w:rFonts w:eastAsia="Times New Roman"/>
                <w:color w:val="000000"/>
              </w:rPr>
              <w:t>erfluorotridecanoic</w:t>
            </w:r>
            <w:proofErr w:type="spellEnd"/>
            <w:r w:rsidRPr="00C1486F" w:rsidR="00722615">
              <w:rPr>
                <w:rFonts w:eastAsia="Times New Roman"/>
                <w:color w:val="000000"/>
              </w:rPr>
              <w:t xml:space="preserve"> acid</w:t>
            </w:r>
          </w:p>
        </w:tc>
      </w:tr>
      <w:tr w:rsidRPr="00C1486F" w:rsidR="00722615" w:rsidTr="004F5C64" w14:paraId="7E2675B8" w14:textId="77777777">
        <w:trPr>
          <w:trHeight w:val="300"/>
        </w:trPr>
        <w:tc>
          <w:tcPr>
            <w:tcW w:w="1581" w:type="dxa"/>
            <w:vAlign w:val="center"/>
          </w:tcPr>
          <w:p w:rsidRPr="00C1486F" w:rsidR="00722615" w:rsidP="005F4516" w:rsidRDefault="00722615" w14:paraId="714D5E29" w14:textId="77777777">
            <w:pPr>
              <w:keepNext/>
              <w:rPr>
                <w:color w:val="000000"/>
              </w:rPr>
            </w:pPr>
            <w:proofErr w:type="spellStart"/>
            <w:r w:rsidRPr="00C1486F">
              <w:rPr>
                <w:color w:val="000000"/>
              </w:rPr>
              <w:t>PFDoA</w:t>
            </w:r>
            <w:proofErr w:type="spellEnd"/>
          </w:p>
        </w:tc>
        <w:tc>
          <w:tcPr>
            <w:tcW w:w="5794" w:type="dxa"/>
          </w:tcPr>
          <w:p w:rsidRPr="00C1486F" w:rsidR="00722615" w:rsidP="005F4516" w:rsidRDefault="00E25CEC" w14:paraId="402247BA" w14:textId="03D1A5E1">
            <w:pPr>
              <w:keepNext/>
              <w:rPr>
                <w:color w:val="000000"/>
              </w:rPr>
            </w:pPr>
            <w:proofErr w:type="spellStart"/>
            <w:r>
              <w:rPr>
                <w:rFonts w:eastAsia="Times New Roman"/>
                <w:color w:val="000000"/>
              </w:rPr>
              <w:t>p</w:t>
            </w:r>
            <w:r w:rsidRPr="00C1486F" w:rsidR="00722615">
              <w:rPr>
                <w:rFonts w:eastAsia="Times New Roman"/>
                <w:color w:val="000000"/>
              </w:rPr>
              <w:t>erfluorododecanoic</w:t>
            </w:r>
            <w:proofErr w:type="spellEnd"/>
            <w:r w:rsidRPr="00C1486F" w:rsidR="00722615">
              <w:rPr>
                <w:rFonts w:eastAsia="Times New Roman"/>
                <w:color w:val="000000"/>
              </w:rPr>
              <w:t xml:space="preserve"> acid</w:t>
            </w:r>
          </w:p>
        </w:tc>
      </w:tr>
      <w:tr w:rsidRPr="00C1486F" w:rsidR="00722615" w:rsidTr="004F5C64" w14:paraId="6C8331A6" w14:textId="77777777">
        <w:trPr>
          <w:trHeight w:val="300"/>
        </w:trPr>
        <w:tc>
          <w:tcPr>
            <w:tcW w:w="1581" w:type="dxa"/>
            <w:vAlign w:val="center"/>
          </w:tcPr>
          <w:p w:rsidRPr="00C1486F" w:rsidR="00722615" w:rsidP="005F4516" w:rsidRDefault="00722615" w14:paraId="247F1B2B" w14:textId="77777777">
            <w:pPr>
              <w:keepNext/>
              <w:rPr>
                <w:color w:val="000000"/>
              </w:rPr>
            </w:pPr>
            <w:proofErr w:type="spellStart"/>
            <w:r w:rsidRPr="00C1486F">
              <w:rPr>
                <w:color w:val="000000"/>
              </w:rPr>
              <w:t>PFUnA</w:t>
            </w:r>
            <w:proofErr w:type="spellEnd"/>
          </w:p>
        </w:tc>
        <w:tc>
          <w:tcPr>
            <w:tcW w:w="5794" w:type="dxa"/>
          </w:tcPr>
          <w:p w:rsidRPr="00C1486F" w:rsidR="00722615" w:rsidP="005F4516" w:rsidRDefault="00E25CEC" w14:paraId="3B41F5E5" w14:textId="1CD54AAF">
            <w:pPr>
              <w:keepNext/>
              <w:rPr>
                <w:color w:val="000000"/>
              </w:rPr>
            </w:pPr>
            <w:proofErr w:type="spellStart"/>
            <w:r>
              <w:rPr>
                <w:rFonts w:eastAsia="Times New Roman"/>
                <w:color w:val="000000"/>
              </w:rPr>
              <w:t>p</w:t>
            </w:r>
            <w:r w:rsidRPr="00C1486F" w:rsidR="00722615">
              <w:rPr>
                <w:rFonts w:eastAsia="Times New Roman"/>
                <w:color w:val="000000"/>
              </w:rPr>
              <w:t>erfluoroundecanoic</w:t>
            </w:r>
            <w:proofErr w:type="spellEnd"/>
            <w:r w:rsidRPr="00C1486F" w:rsidR="00722615">
              <w:rPr>
                <w:rFonts w:eastAsia="Times New Roman"/>
                <w:color w:val="000000"/>
              </w:rPr>
              <w:t xml:space="preserve"> acid</w:t>
            </w:r>
          </w:p>
        </w:tc>
      </w:tr>
      <w:tr w:rsidRPr="00C1486F" w:rsidR="00722615" w:rsidTr="004F5C64" w14:paraId="1119B6D7" w14:textId="77777777">
        <w:trPr>
          <w:trHeight w:val="300"/>
        </w:trPr>
        <w:tc>
          <w:tcPr>
            <w:tcW w:w="1581" w:type="dxa"/>
            <w:vAlign w:val="center"/>
          </w:tcPr>
          <w:p w:rsidRPr="00C1486F" w:rsidR="00722615" w:rsidP="005F4516" w:rsidRDefault="00722615" w14:paraId="001496E2" w14:textId="77777777">
            <w:pPr>
              <w:keepNext/>
              <w:rPr>
                <w:color w:val="000000"/>
              </w:rPr>
            </w:pPr>
            <w:r w:rsidRPr="00C1486F">
              <w:rPr>
                <w:color w:val="000000"/>
              </w:rPr>
              <w:t>PFDA</w:t>
            </w:r>
          </w:p>
        </w:tc>
        <w:tc>
          <w:tcPr>
            <w:tcW w:w="5794" w:type="dxa"/>
          </w:tcPr>
          <w:p w:rsidRPr="00C1486F" w:rsidR="00722615" w:rsidP="005F4516" w:rsidRDefault="00E25CEC" w14:paraId="30ED0D08" w14:textId="3D9ED9EA">
            <w:pPr>
              <w:keepNext/>
              <w:rPr>
                <w:color w:val="000000"/>
              </w:rPr>
            </w:pPr>
            <w:proofErr w:type="spellStart"/>
            <w:r>
              <w:rPr>
                <w:rFonts w:eastAsia="Times New Roman"/>
                <w:color w:val="000000"/>
              </w:rPr>
              <w:t>p</w:t>
            </w:r>
            <w:r w:rsidRPr="00C1486F" w:rsidR="00722615">
              <w:rPr>
                <w:rFonts w:eastAsia="Times New Roman"/>
                <w:color w:val="000000"/>
              </w:rPr>
              <w:t>erfluorodecanoic</w:t>
            </w:r>
            <w:proofErr w:type="spellEnd"/>
            <w:r w:rsidRPr="00C1486F" w:rsidR="00722615">
              <w:rPr>
                <w:rFonts w:eastAsia="Times New Roman"/>
                <w:color w:val="000000"/>
              </w:rPr>
              <w:t xml:space="preserve"> acid</w:t>
            </w:r>
          </w:p>
        </w:tc>
      </w:tr>
      <w:tr w:rsidRPr="00C1486F" w:rsidR="00722615" w:rsidTr="004F5C64" w14:paraId="14554015" w14:textId="77777777">
        <w:trPr>
          <w:trHeight w:val="300"/>
        </w:trPr>
        <w:tc>
          <w:tcPr>
            <w:tcW w:w="1581" w:type="dxa"/>
            <w:vAlign w:val="center"/>
          </w:tcPr>
          <w:p w:rsidRPr="00C1486F" w:rsidR="00722615" w:rsidP="005F4516" w:rsidRDefault="00722615" w14:paraId="2288096F" w14:textId="77777777">
            <w:pPr>
              <w:keepNext/>
              <w:rPr>
                <w:color w:val="000000"/>
              </w:rPr>
            </w:pPr>
            <w:r w:rsidRPr="00C1486F">
              <w:rPr>
                <w:color w:val="000000"/>
              </w:rPr>
              <w:t>PFNA</w:t>
            </w:r>
          </w:p>
        </w:tc>
        <w:tc>
          <w:tcPr>
            <w:tcW w:w="5794" w:type="dxa"/>
          </w:tcPr>
          <w:p w:rsidRPr="00C1486F" w:rsidR="00722615" w:rsidP="005F4516" w:rsidRDefault="00E25CEC" w14:paraId="57DEAB0F" w14:textId="121AC4A5">
            <w:pPr>
              <w:keepNext/>
              <w:rPr>
                <w:color w:val="000000"/>
              </w:rPr>
            </w:pPr>
            <w:proofErr w:type="spellStart"/>
            <w:r>
              <w:rPr>
                <w:rFonts w:eastAsia="Times New Roman"/>
                <w:color w:val="000000"/>
              </w:rPr>
              <w:t>p</w:t>
            </w:r>
            <w:r w:rsidRPr="00C1486F" w:rsidR="00722615">
              <w:rPr>
                <w:rFonts w:eastAsia="Times New Roman"/>
                <w:color w:val="000000"/>
              </w:rPr>
              <w:t>erfluorononanoic</w:t>
            </w:r>
            <w:proofErr w:type="spellEnd"/>
            <w:r w:rsidRPr="00C1486F" w:rsidR="00722615">
              <w:rPr>
                <w:rFonts w:eastAsia="Times New Roman"/>
                <w:color w:val="000000"/>
              </w:rPr>
              <w:t xml:space="preserve"> acid</w:t>
            </w:r>
          </w:p>
        </w:tc>
      </w:tr>
      <w:tr w:rsidRPr="00C1486F" w:rsidR="00722615" w:rsidTr="004F5C64" w14:paraId="03CFBA23" w14:textId="77777777">
        <w:trPr>
          <w:trHeight w:val="300"/>
        </w:trPr>
        <w:tc>
          <w:tcPr>
            <w:tcW w:w="1581" w:type="dxa"/>
            <w:vAlign w:val="center"/>
          </w:tcPr>
          <w:p w:rsidRPr="00C1486F" w:rsidR="00722615" w:rsidP="005F4516" w:rsidRDefault="00722615" w14:paraId="2588331B" w14:textId="77777777">
            <w:pPr>
              <w:keepNext/>
              <w:rPr>
                <w:color w:val="000000"/>
              </w:rPr>
            </w:pPr>
            <w:r w:rsidRPr="00C1486F">
              <w:rPr>
                <w:color w:val="000000"/>
              </w:rPr>
              <w:t>PFOA</w:t>
            </w:r>
          </w:p>
        </w:tc>
        <w:tc>
          <w:tcPr>
            <w:tcW w:w="5794" w:type="dxa"/>
          </w:tcPr>
          <w:p w:rsidRPr="00C1486F" w:rsidR="00722615" w:rsidP="005F4516" w:rsidRDefault="00E25CEC" w14:paraId="751D659A" w14:textId="27F6B13B">
            <w:pPr>
              <w:keepNext/>
              <w:rPr>
                <w:color w:val="000000"/>
              </w:rPr>
            </w:pPr>
            <w:r>
              <w:rPr>
                <w:rFonts w:eastAsia="Times New Roman"/>
                <w:color w:val="000000"/>
              </w:rPr>
              <w:t>p</w:t>
            </w:r>
            <w:r w:rsidRPr="00C1486F" w:rsidR="00722615">
              <w:rPr>
                <w:rFonts w:eastAsia="Times New Roman"/>
                <w:color w:val="000000"/>
              </w:rPr>
              <w:t>erfluorooctanoic acid</w:t>
            </w:r>
          </w:p>
        </w:tc>
      </w:tr>
      <w:tr w:rsidRPr="00C1486F" w:rsidR="00722615" w:rsidTr="004F5C64" w14:paraId="1CC1B78A" w14:textId="77777777">
        <w:trPr>
          <w:trHeight w:val="300"/>
        </w:trPr>
        <w:tc>
          <w:tcPr>
            <w:tcW w:w="1581" w:type="dxa"/>
            <w:vAlign w:val="center"/>
          </w:tcPr>
          <w:p w:rsidRPr="00C1486F" w:rsidR="00722615" w:rsidP="005F4516" w:rsidRDefault="00722615" w14:paraId="5324877D" w14:textId="77777777">
            <w:pPr>
              <w:keepNext/>
              <w:rPr>
                <w:color w:val="000000"/>
              </w:rPr>
            </w:pPr>
            <w:proofErr w:type="spellStart"/>
            <w:r w:rsidRPr="00C1486F">
              <w:rPr>
                <w:color w:val="000000"/>
              </w:rPr>
              <w:t>PFHpA</w:t>
            </w:r>
            <w:proofErr w:type="spellEnd"/>
          </w:p>
        </w:tc>
        <w:tc>
          <w:tcPr>
            <w:tcW w:w="5794" w:type="dxa"/>
          </w:tcPr>
          <w:p w:rsidRPr="00C1486F" w:rsidR="00722615" w:rsidP="005F4516" w:rsidRDefault="00E25CEC" w14:paraId="3B6E97C8" w14:textId="3DF9DC41">
            <w:pPr>
              <w:keepNext/>
              <w:rPr>
                <w:color w:val="000000"/>
              </w:rPr>
            </w:pPr>
            <w:proofErr w:type="spellStart"/>
            <w:r>
              <w:rPr>
                <w:rFonts w:eastAsia="Times New Roman"/>
                <w:color w:val="000000"/>
              </w:rPr>
              <w:t>p</w:t>
            </w:r>
            <w:r w:rsidRPr="00C1486F" w:rsidR="00722615">
              <w:rPr>
                <w:rFonts w:eastAsia="Times New Roman"/>
                <w:color w:val="000000"/>
              </w:rPr>
              <w:t>erfluoroheptanoic</w:t>
            </w:r>
            <w:proofErr w:type="spellEnd"/>
            <w:r w:rsidRPr="00C1486F" w:rsidR="00722615">
              <w:rPr>
                <w:rFonts w:eastAsia="Times New Roman"/>
                <w:color w:val="000000"/>
              </w:rPr>
              <w:t xml:space="preserve"> acid</w:t>
            </w:r>
          </w:p>
        </w:tc>
      </w:tr>
      <w:tr w:rsidRPr="00C1486F" w:rsidR="00722615" w:rsidTr="004F5C64" w14:paraId="631FD240" w14:textId="77777777">
        <w:trPr>
          <w:trHeight w:val="300"/>
        </w:trPr>
        <w:tc>
          <w:tcPr>
            <w:tcW w:w="1581" w:type="dxa"/>
            <w:vAlign w:val="center"/>
          </w:tcPr>
          <w:p w:rsidRPr="00C1486F" w:rsidR="00722615" w:rsidP="005F4516" w:rsidRDefault="00722615" w14:paraId="4EAAE17A" w14:textId="77777777">
            <w:pPr>
              <w:keepNext/>
              <w:rPr>
                <w:color w:val="000000"/>
              </w:rPr>
            </w:pPr>
            <w:proofErr w:type="spellStart"/>
            <w:r w:rsidRPr="00C1486F">
              <w:rPr>
                <w:color w:val="000000"/>
              </w:rPr>
              <w:t>PFHxA</w:t>
            </w:r>
            <w:proofErr w:type="spellEnd"/>
          </w:p>
        </w:tc>
        <w:tc>
          <w:tcPr>
            <w:tcW w:w="5794" w:type="dxa"/>
          </w:tcPr>
          <w:p w:rsidRPr="00C1486F" w:rsidR="00722615" w:rsidP="005F4516" w:rsidRDefault="00E25CEC" w14:paraId="0C98F5F1" w14:textId="35838FD1">
            <w:pPr>
              <w:keepNext/>
              <w:rPr>
                <w:color w:val="000000"/>
              </w:rPr>
            </w:pPr>
            <w:proofErr w:type="spellStart"/>
            <w:r>
              <w:rPr>
                <w:rFonts w:eastAsia="Times New Roman"/>
                <w:color w:val="000000"/>
              </w:rPr>
              <w:t>p</w:t>
            </w:r>
            <w:r w:rsidRPr="00C1486F" w:rsidR="00722615">
              <w:rPr>
                <w:rFonts w:eastAsia="Times New Roman"/>
                <w:color w:val="000000"/>
              </w:rPr>
              <w:t>erfluorohexanoic</w:t>
            </w:r>
            <w:proofErr w:type="spellEnd"/>
            <w:r w:rsidRPr="00C1486F" w:rsidR="00722615">
              <w:rPr>
                <w:rFonts w:eastAsia="Times New Roman"/>
                <w:color w:val="000000"/>
              </w:rPr>
              <w:t xml:space="preserve"> acid</w:t>
            </w:r>
          </w:p>
        </w:tc>
      </w:tr>
      <w:tr w:rsidRPr="00C1486F" w:rsidR="00722615" w:rsidTr="004F5C64" w14:paraId="1B8BBE59" w14:textId="77777777">
        <w:trPr>
          <w:trHeight w:val="300"/>
        </w:trPr>
        <w:tc>
          <w:tcPr>
            <w:tcW w:w="1581" w:type="dxa"/>
            <w:vAlign w:val="center"/>
          </w:tcPr>
          <w:p w:rsidRPr="00C1486F" w:rsidR="00722615" w:rsidP="005F4516" w:rsidRDefault="00722615" w14:paraId="56D1C7D3" w14:textId="77777777">
            <w:pPr>
              <w:keepNext/>
              <w:rPr>
                <w:color w:val="000000"/>
              </w:rPr>
            </w:pPr>
            <w:proofErr w:type="spellStart"/>
            <w:r w:rsidRPr="00C1486F">
              <w:rPr>
                <w:color w:val="000000"/>
              </w:rPr>
              <w:t>PFPeA</w:t>
            </w:r>
            <w:proofErr w:type="spellEnd"/>
          </w:p>
        </w:tc>
        <w:tc>
          <w:tcPr>
            <w:tcW w:w="5794" w:type="dxa"/>
          </w:tcPr>
          <w:p w:rsidRPr="00C1486F" w:rsidR="00722615" w:rsidP="005F4516" w:rsidRDefault="00E25CEC" w14:paraId="48EBDD0B" w14:textId="1331157A">
            <w:pPr>
              <w:keepNext/>
              <w:rPr>
                <w:color w:val="000000"/>
              </w:rPr>
            </w:pPr>
            <w:proofErr w:type="spellStart"/>
            <w:r>
              <w:rPr>
                <w:rFonts w:eastAsia="Times New Roman"/>
                <w:color w:val="000000"/>
              </w:rPr>
              <w:t>p</w:t>
            </w:r>
            <w:r w:rsidRPr="00C1486F" w:rsidR="00722615">
              <w:rPr>
                <w:rFonts w:eastAsia="Times New Roman"/>
                <w:color w:val="000000"/>
              </w:rPr>
              <w:t>erfluoropentanoic</w:t>
            </w:r>
            <w:proofErr w:type="spellEnd"/>
            <w:r w:rsidRPr="00C1486F" w:rsidR="00722615">
              <w:rPr>
                <w:rFonts w:eastAsia="Times New Roman"/>
                <w:color w:val="000000"/>
              </w:rPr>
              <w:t xml:space="preserve"> acid</w:t>
            </w:r>
          </w:p>
        </w:tc>
      </w:tr>
      <w:tr w:rsidRPr="00C1486F" w:rsidR="00722615" w:rsidTr="004F5C64" w14:paraId="57757B64" w14:textId="77777777">
        <w:trPr>
          <w:trHeight w:val="332"/>
        </w:trPr>
        <w:tc>
          <w:tcPr>
            <w:tcW w:w="1581" w:type="dxa"/>
            <w:vAlign w:val="center"/>
          </w:tcPr>
          <w:p w:rsidRPr="00C1486F" w:rsidR="00722615" w:rsidP="005F4516" w:rsidRDefault="00722615" w14:paraId="5B121D85" w14:textId="77777777">
            <w:pPr>
              <w:keepNext/>
              <w:rPr>
                <w:color w:val="000000"/>
              </w:rPr>
            </w:pPr>
            <w:r w:rsidRPr="00C1486F">
              <w:rPr>
                <w:color w:val="000000"/>
              </w:rPr>
              <w:t>PFBA</w:t>
            </w:r>
          </w:p>
        </w:tc>
        <w:tc>
          <w:tcPr>
            <w:tcW w:w="5794" w:type="dxa"/>
          </w:tcPr>
          <w:p w:rsidRPr="00C1486F" w:rsidR="00722615" w:rsidP="005F4516" w:rsidRDefault="00E25CEC" w14:paraId="61035234" w14:textId="5D11A6E9">
            <w:pPr>
              <w:keepNext/>
              <w:rPr>
                <w:color w:val="000000"/>
              </w:rPr>
            </w:pPr>
            <w:proofErr w:type="spellStart"/>
            <w:r>
              <w:rPr>
                <w:rFonts w:eastAsia="Times New Roman"/>
                <w:color w:val="000000"/>
              </w:rPr>
              <w:t>p</w:t>
            </w:r>
            <w:r w:rsidRPr="00C1486F" w:rsidR="00722615">
              <w:rPr>
                <w:rFonts w:eastAsia="Times New Roman"/>
                <w:color w:val="000000"/>
              </w:rPr>
              <w:t>erfluorobutanoic</w:t>
            </w:r>
            <w:proofErr w:type="spellEnd"/>
            <w:r w:rsidRPr="00C1486F" w:rsidR="00722615">
              <w:rPr>
                <w:rFonts w:eastAsia="Times New Roman"/>
                <w:color w:val="000000"/>
              </w:rPr>
              <w:t xml:space="preserve"> acid</w:t>
            </w:r>
          </w:p>
        </w:tc>
      </w:tr>
      <w:tr w:rsidRPr="00C1486F" w:rsidR="00722615" w:rsidTr="004F5C64" w14:paraId="7F7C6F84" w14:textId="77777777">
        <w:trPr>
          <w:trHeight w:val="300"/>
        </w:trPr>
        <w:tc>
          <w:tcPr>
            <w:tcW w:w="1581" w:type="dxa"/>
            <w:vAlign w:val="center"/>
          </w:tcPr>
          <w:p w:rsidRPr="00C1486F" w:rsidR="00722615" w:rsidP="005F4516" w:rsidRDefault="00722615" w14:paraId="510B97C0" w14:textId="77777777">
            <w:pPr>
              <w:keepNext/>
              <w:rPr>
                <w:color w:val="000000"/>
              </w:rPr>
            </w:pPr>
            <w:r w:rsidRPr="00C1486F">
              <w:rPr>
                <w:color w:val="000000"/>
              </w:rPr>
              <w:t>PFDS</w:t>
            </w:r>
          </w:p>
        </w:tc>
        <w:tc>
          <w:tcPr>
            <w:tcW w:w="5794" w:type="dxa"/>
          </w:tcPr>
          <w:p w:rsidRPr="00C1486F" w:rsidR="00722615" w:rsidP="005F4516" w:rsidRDefault="00E25CEC" w14:paraId="44C97438" w14:textId="093D1E53">
            <w:pPr>
              <w:keepNext/>
              <w:rPr>
                <w:color w:val="000000"/>
              </w:rPr>
            </w:pPr>
            <w:proofErr w:type="spellStart"/>
            <w:r>
              <w:rPr>
                <w:rFonts w:eastAsia="Times New Roman"/>
                <w:color w:val="000000"/>
              </w:rPr>
              <w:t>p</w:t>
            </w:r>
            <w:r w:rsidRPr="00C1486F" w:rsidR="00722615">
              <w:rPr>
                <w:rFonts w:eastAsia="Times New Roman"/>
                <w:color w:val="000000"/>
              </w:rPr>
              <w:t>erfluorodecane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6C1CA29C" w14:textId="77777777">
        <w:trPr>
          <w:trHeight w:val="300"/>
        </w:trPr>
        <w:tc>
          <w:tcPr>
            <w:tcW w:w="1581" w:type="dxa"/>
            <w:vAlign w:val="center"/>
          </w:tcPr>
          <w:p w:rsidRPr="00C1486F" w:rsidR="00722615" w:rsidP="005F4516" w:rsidRDefault="00722615" w14:paraId="63CF1FB9" w14:textId="77777777">
            <w:pPr>
              <w:keepNext/>
              <w:rPr>
                <w:color w:val="000000"/>
              </w:rPr>
            </w:pPr>
            <w:r w:rsidRPr="00C1486F">
              <w:rPr>
                <w:color w:val="000000"/>
              </w:rPr>
              <w:t>PFNS</w:t>
            </w:r>
          </w:p>
        </w:tc>
        <w:tc>
          <w:tcPr>
            <w:tcW w:w="5794" w:type="dxa"/>
          </w:tcPr>
          <w:p w:rsidRPr="00C1486F" w:rsidR="00722615" w:rsidP="005F4516" w:rsidRDefault="00E25CEC" w14:paraId="1C00F751" w14:textId="08C11C4A">
            <w:pPr>
              <w:keepNext/>
              <w:rPr>
                <w:color w:val="000000"/>
              </w:rPr>
            </w:pPr>
            <w:proofErr w:type="spellStart"/>
            <w:r>
              <w:rPr>
                <w:rFonts w:eastAsia="Times New Roman"/>
                <w:color w:val="000000"/>
              </w:rPr>
              <w:t>p</w:t>
            </w:r>
            <w:r w:rsidRPr="00C1486F" w:rsidR="00722615">
              <w:rPr>
                <w:rFonts w:eastAsia="Times New Roman"/>
                <w:color w:val="000000"/>
              </w:rPr>
              <w:t>erfluorononane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399A4A33" w14:textId="77777777">
        <w:trPr>
          <w:trHeight w:val="300"/>
        </w:trPr>
        <w:tc>
          <w:tcPr>
            <w:tcW w:w="1581" w:type="dxa"/>
            <w:vAlign w:val="center"/>
          </w:tcPr>
          <w:p w:rsidRPr="00C1486F" w:rsidR="00722615" w:rsidP="005F4516" w:rsidRDefault="00722615" w14:paraId="21971FC1" w14:textId="77777777">
            <w:pPr>
              <w:keepNext/>
              <w:rPr>
                <w:color w:val="000000"/>
              </w:rPr>
            </w:pPr>
            <w:r w:rsidRPr="00C1486F">
              <w:rPr>
                <w:color w:val="000000"/>
              </w:rPr>
              <w:t>PFOS</w:t>
            </w:r>
          </w:p>
        </w:tc>
        <w:tc>
          <w:tcPr>
            <w:tcW w:w="5794" w:type="dxa"/>
          </w:tcPr>
          <w:p w:rsidRPr="00C1486F" w:rsidR="00722615" w:rsidP="005F4516" w:rsidRDefault="00E25CEC" w14:paraId="3DA9E3F0" w14:textId="7366F6F5">
            <w:pPr>
              <w:keepNext/>
              <w:rPr>
                <w:color w:val="000000"/>
              </w:rPr>
            </w:pPr>
            <w:proofErr w:type="spellStart"/>
            <w:r>
              <w:rPr>
                <w:rFonts w:eastAsia="Times New Roman"/>
                <w:color w:val="000000"/>
              </w:rPr>
              <w:t>p</w:t>
            </w:r>
            <w:r w:rsidRPr="00C1486F" w:rsidR="00722615">
              <w:rPr>
                <w:rFonts w:eastAsia="Times New Roman"/>
                <w:color w:val="000000"/>
              </w:rPr>
              <w:t>erfluorooctane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0FE031C5" w14:textId="77777777">
        <w:trPr>
          <w:trHeight w:val="300"/>
        </w:trPr>
        <w:tc>
          <w:tcPr>
            <w:tcW w:w="1581" w:type="dxa"/>
            <w:vAlign w:val="center"/>
          </w:tcPr>
          <w:p w:rsidRPr="00C1486F" w:rsidR="00722615" w:rsidP="005F4516" w:rsidRDefault="00722615" w14:paraId="6F1D6276" w14:textId="77777777">
            <w:pPr>
              <w:keepNext/>
              <w:rPr>
                <w:color w:val="000000"/>
              </w:rPr>
            </w:pPr>
            <w:proofErr w:type="spellStart"/>
            <w:r w:rsidRPr="00C1486F">
              <w:rPr>
                <w:color w:val="000000"/>
              </w:rPr>
              <w:t>PFHpS</w:t>
            </w:r>
            <w:proofErr w:type="spellEnd"/>
          </w:p>
        </w:tc>
        <w:tc>
          <w:tcPr>
            <w:tcW w:w="5794" w:type="dxa"/>
          </w:tcPr>
          <w:p w:rsidRPr="00C1486F" w:rsidR="00722615" w:rsidP="005F4516" w:rsidRDefault="00E25CEC" w14:paraId="55574433" w14:textId="501CF80F">
            <w:pPr>
              <w:keepNext/>
              <w:rPr>
                <w:color w:val="000000"/>
              </w:rPr>
            </w:pPr>
            <w:proofErr w:type="spellStart"/>
            <w:r>
              <w:rPr>
                <w:rFonts w:eastAsia="Times New Roman"/>
                <w:color w:val="000000"/>
              </w:rPr>
              <w:t>p</w:t>
            </w:r>
            <w:r w:rsidRPr="00C1486F" w:rsidR="00722615">
              <w:rPr>
                <w:rFonts w:eastAsia="Times New Roman"/>
                <w:color w:val="000000"/>
              </w:rPr>
              <w:t>erfluoroheptane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1DFF25D1" w14:textId="77777777">
        <w:trPr>
          <w:trHeight w:val="300"/>
        </w:trPr>
        <w:tc>
          <w:tcPr>
            <w:tcW w:w="1581" w:type="dxa"/>
            <w:vAlign w:val="center"/>
          </w:tcPr>
          <w:p w:rsidRPr="00C1486F" w:rsidR="00722615" w:rsidP="005F4516" w:rsidRDefault="00722615" w14:paraId="26E212DB" w14:textId="77777777">
            <w:pPr>
              <w:keepNext/>
              <w:rPr>
                <w:color w:val="000000"/>
              </w:rPr>
            </w:pPr>
            <w:proofErr w:type="spellStart"/>
            <w:r w:rsidRPr="00C1486F">
              <w:rPr>
                <w:color w:val="000000"/>
              </w:rPr>
              <w:t>PFHxS</w:t>
            </w:r>
            <w:proofErr w:type="spellEnd"/>
          </w:p>
        </w:tc>
        <w:tc>
          <w:tcPr>
            <w:tcW w:w="5794" w:type="dxa"/>
          </w:tcPr>
          <w:p w:rsidRPr="00C1486F" w:rsidR="00722615" w:rsidP="005F4516" w:rsidRDefault="00705E94" w14:paraId="49FA2F8E" w14:textId="02653663">
            <w:pPr>
              <w:keepNext/>
              <w:rPr>
                <w:color w:val="000000"/>
              </w:rPr>
            </w:pPr>
            <w:proofErr w:type="spellStart"/>
            <w:r>
              <w:rPr>
                <w:rFonts w:eastAsia="Times New Roman"/>
                <w:color w:val="000000"/>
              </w:rPr>
              <w:t>p</w:t>
            </w:r>
            <w:r w:rsidRPr="00C1486F" w:rsidR="00722615">
              <w:rPr>
                <w:rFonts w:eastAsia="Times New Roman"/>
                <w:color w:val="000000"/>
              </w:rPr>
              <w:t>erfluorohexane</w:t>
            </w:r>
            <w:proofErr w:type="spellEnd"/>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1BD45231" w14:textId="77777777">
        <w:trPr>
          <w:trHeight w:val="300"/>
        </w:trPr>
        <w:tc>
          <w:tcPr>
            <w:tcW w:w="1581" w:type="dxa"/>
            <w:vAlign w:val="center"/>
          </w:tcPr>
          <w:p w:rsidRPr="00C1486F" w:rsidR="00722615" w:rsidP="005F4516" w:rsidRDefault="00722615" w14:paraId="605A847D" w14:textId="77777777">
            <w:pPr>
              <w:keepNext/>
              <w:rPr>
                <w:color w:val="000000"/>
              </w:rPr>
            </w:pPr>
            <w:proofErr w:type="spellStart"/>
            <w:r w:rsidRPr="00C1486F">
              <w:rPr>
                <w:color w:val="000000"/>
              </w:rPr>
              <w:t>PFPeS</w:t>
            </w:r>
            <w:proofErr w:type="spellEnd"/>
          </w:p>
        </w:tc>
        <w:tc>
          <w:tcPr>
            <w:tcW w:w="5794" w:type="dxa"/>
          </w:tcPr>
          <w:p w:rsidRPr="00C1486F" w:rsidR="00722615" w:rsidP="005F4516" w:rsidRDefault="00E25CEC" w14:paraId="0B9986C8" w14:textId="7FE42CC2">
            <w:pPr>
              <w:keepNext/>
              <w:rPr>
                <w:color w:val="000000"/>
              </w:rPr>
            </w:pPr>
            <w:proofErr w:type="spellStart"/>
            <w:r>
              <w:rPr>
                <w:rFonts w:eastAsia="Times New Roman"/>
                <w:color w:val="000000"/>
              </w:rPr>
              <w:t>p</w:t>
            </w:r>
            <w:r w:rsidRPr="00C1486F" w:rsidR="00722615">
              <w:rPr>
                <w:rFonts w:eastAsia="Times New Roman"/>
                <w:color w:val="000000"/>
              </w:rPr>
              <w:t>erfluoropentanes</w:t>
            </w:r>
            <w:proofErr w:type="spellEnd"/>
            <w:r w:rsidR="00F2029C">
              <w:rPr>
                <w:rFonts w:eastAsia="Times New Roman"/>
                <w:color w:val="000000"/>
              </w:rPr>
              <w:t xml:space="preserve"> </w:t>
            </w:r>
            <w:proofErr w:type="spellStart"/>
            <w:r w:rsidRPr="00C1486F" w:rsidR="00722615">
              <w:rPr>
                <w:rFonts w:eastAsia="Times New Roman"/>
                <w:color w:val="000000"/>
              </w:rPr>
              <w:t>ulfonic</w:t>
            </w:r>
            <w:proofErr w:type="spellEnd"/>
            <w:r w:rsidRPr="00C1486F" w:rsidR="00722615">
              <w:rPr>
                <w:rFonts w:eastAsia="Times New Roman"/>
                <w:color w:val="000000"/>
              </w:rPr>
              <w:t xml:space="preserve"> acid</w:t>
            </w:r>
          </w:p>
        </w:tc>
      </w:tr>
      <w:tr w:rsidRPr="00C1486F" w:rsidR="00722615" w:rsidTr="004F5C64" w14:paraId="4C2A58C5" w14:textId="77777777">
        <w:trPr>
          <w:trHeight w:val="300"/>
        </w:trPr>
        <w:tc>
          <w:tcPr>
            <w:tcW w:w="1581" w:type="dxa"/>
            <w:vAlign w:val="center"/>
          </w:tcPr>
          <w:p w:rsidRPr="00C1486F" w:rsidR="00722615" w:rsidP="005F4516" w:rsidRDefault="00722615" w14:paraId="3B61E9BC" w14:textId="77777777">
            <w:pPr>
              <w:keepNext/>
              <w:rPr>
                <w:color w:val="000000"/>
              </w:rPr>
            </w:pPr>
            <w:r w:rsidRPr="00C1486F">
              <w:rPr>
                <w:color w:val="000000"/>
              </w:rPr>
              <w:t>PFBS</w:t>
            </w:r>
          </w:p>
        </w:tc>
        <w:tc>
          <w:tcPr>
            <w:tcW w:w="5794" w:type="dxa"/>
          </w:tcPr>
          <w:p w:rsidRPr="00C1486F" w:rsidR="00722615" w:rsidP="005F4516" w:rsidRDefault="00705E94" w14:paraId="36509329" w14:textId="6F96028A">
            <w:pPr>
              <w:keepNext/>
              <w:rPr>
                <w:color w:val="000000"/>
              </w:rPr>
            </w:pPr>
            <w:proofErr w:type="spellStart"/>
            <w:r>
              <w:rPr>
                <w:rFonts w:eastAsia="Times New Roman"/>
                <w:color w:val="000000"/>
              </w:rPr>
              <w:t>p</w:t>
            </w:r>
            <w:r w:rsidRPr="00C1486F" w:rsidR="00722615">
              <w:rPr>
                <w:rFonts w:eastAsia="Times New Roman"/>
                <w:color w:val="000000"/>
              </w:rPr>
              <w:t>erfluorobutane</w:t>
            </w:r>
            <w:proofErr w:type="spellEnd"/>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61DDE531" w14:textId="77777777">
        <w:trPr>
          <w:trHeight w:val="300"/>
        </w:trPr>
        <w:tc>
          <w:tcPr>
            <w:tcW w:w="1581" w:type="dxa"/>
            <w:vAlign w:val="center"/>
          </w:tcPr>
          <w:p w:rsidRPr="00C1486F" w:rsidR="00722615" w:rsidP="005F4516" w:rsidRDefault="00722615" w14:paraId="0F9C6558" w14:textId="77777777">
            <w:pPr>
              <w:keepNext/>
              <w:rPr>
                <w:color w:val="000000"/>
              </w:rPr>
            </w:pPr>
            <w:r w:rsidRPr="00C1486F">
              <w:rPr>
                <w:color w:val="000000"/>
              </w:rPr>
              <w:t>PFOSA</w:t>
            </w:r>
          </w:p>
        </w:tc>
        <w:tc>
          <w:tcPr>
            <w:tcW w:w="5794" w:type="dxa"/>
          </w:tcPr>
          <w:p w:rsidRPr="00C1486F" w:rsidR="00722615" w:rsidP="005F4516" w:rsidRDefault="00E25CEC" w14:paraId="7DE8AA65" w14:textId="68EC66D6">
            <w:pPr>
              <w:keepNext/>
              <w:rPr>
                <w:color w:val="000000"/>
              </w:rPr>
            </w:pPr>
            <w:proofErr w:type="spellStart"/>
            <w:r>
              <w:rPr>
                <w:rFonts w:eastAsia="Times New Roman"/>
                <w:color w:val="000000"/>
              </w:rPr>
              <w:t>p</w:t>
            </w:r>
            <w:r w:rsidRPr="00C1486F" w:rsidR="00722615">
              <w:rPr>
                <w:rFonts w:eastAsia="Times New Roman"/>
                <w:color w:val="000000"/>
              </w:rPr>
              <w:t>erfluorooctanesulfonamide</w:t>
            </w:r>
            <w:proofErr w:type="spellEnd"/>
          </w:p>
        </w:tc>
      </w:tr>
      <w:tr w:rsidRPr="00C1486F" w:rsidR="00722615" w:rsidTr="004F5C64" w14:paraId="7A8C46C5" w14:textId="77777777">
        <w:trPr>
          <w:trHeight w:val="300"/>
        </w:trPr>
        <w:tc>
          <w:tcPr>
            <w:tcW w:w="1581" w:type="dxa"/>
            <w:vAlign w:val="center"/>
          </w:tcPr>
          <w:p w:rsidRPr="00C1486F" w:rsidR="00722615" w:rsidP="005F4516" w:rsidRDefault="00722615" w14:paraId="18AE766C" w14:textId="77777777">
            <w:pPr>
              <w:keepNext/>
              <w:rPr>
                <w:color w:val="000000"/>
              </w:rPr>
            </w:pPr>
            <w:proofErr w:type="spellStart"/>
            <w:r w:rsidRPr="00C1486F">
              <w:rPr>
                <w:color w:val="000000"/>
              </w:rPr>
              <w:t>FtS</w:t>
            </w:r>
            <w:proofErr w:type="spellEnd"/>
            <w:r w:rsidRPr="00C1486F">
              <w:rPr>
                <w:color w:val="000000"/>
              </w:rPr>
              <w:t xml:space="preserve"> 8:2</w:t>
            </w:r>
          </w:p>
        </w:tc>
        <w:tc>
          <w:tcPr>
            <w:tcW w:w="5794" w:type="dxa"/>
          </w:tcPr>
          <w:p w:rsidRPr="00C1486F" w:rsidR="00722615" w:rsidP="005F4516" w:rsidRDefault="00E25CEC" w14:paraId="7801DD1B" w14:textId="5031FF93">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8:2</w:t>
            </w:r>
          </w:p>
        </w:tc>
      </w:tr>
      <w:tr w:rsidRPr="00C1486F" w:rsidR="00722615" w:rsidTr="004F5C64" w14:paraId="0E73FFF9" w14:textId="77777777">
        <w:trPr>
          <w:trHeight w:val="300"/>
        </w:trPr>
        <w:tc>
          <w:tcPr>
            <w:tcW w:w="1581" w:type="dxa"/>
            <w:vAlign w:val="center"/>
          </w:tcPr>
          <w:p w:rsidRPr="00C1486F" w:rsidR="00722615" w:rsidP="005F4516" w:rsidRDefault="00722615" w14:paraId="7283FE68" w14:textId="77777777">
            <w:pPr>
              <w:keepNext/>
              <w:rPr>
                <w:color w:val="000000"/>
              </w:rPr>
            </w:pPr>
            <w:proofErr w:type="spellStart"/>
            <w:r w:rsidRPr="00C1486F">
              <w:rPr>
                <w:color w:val="000000"/>
              </w:rPr>
              <w:t>FtS</w:t>
            </w:r>
            <w:proofErr w:type="spellEnd"/>
            <w:r w:rsidRPr="00C1486F">
              <w:rPr>
                <w:color w:val="000000"/>
              </w:rPr>
              <w:t xml:space="preserve"> 6:2</w:t>
            </w:r>
          </w:p>
        </w:tc>
        <w:tc>
          <w:tcPr>
            <w:tcW w:w="5794" w:type="dxa"/>
          </w:tcPr>
          <w:p w:rsidRPr="00C1486F" w:rsidR="00722615" w:rsidP="005F4516" w:rsidRDefault="00E25CEC" w14:paraId="4CC3CBF3" w14:textId="29269075">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6:2</w:t>
            </w:r>
          </w:p>
        </w:tc>
      </w:tr>
      <w:tr w:rsidRPr="00C1486F" w:rsidR="00722615" w:rsidTr="004F5C64" w14:paraId="301592AC" w14:textId="77777777">
        <w:trPr>
          <w:trHeight w:val="300"/>
        </w:trPr>
        <w:tc>
          <w:tcPr>
            <w:tcW w:w="1581" w:type="dxa"/>
            <w:vAlign w:val="center"/>
          </w:tcPr>
          <w:p w:rsidRPr="00C1486F" w:rsidR="00722615" w:rsidP="005F4516" w:rsidRDefault="00722615" w14:paraId="132FAD01" w14:textId="77777777">
            <w:pPr>
              <w:keepNext/>
              <w:rPr>
                <w:color w:val="000000"/>
              </w:rPr>
            </w:pPr>
            <w:proofErr w:type="spellStart"/>
            <w:r w:rsidRPr="00C1486F">
              <w:rPr>
                <w:color w:val="000000"/>
              </w:rPr>
              <w:t>FtS</w:t>
            </w:r>
            <w:proofErr w:type="spellEnd"/>
            <w:r w:rsidRPr="00C1486F">
              <w:rPr>
                <w:color w:val="000000"/>
              </w:rPr>
              <w:t xml:space="preserve"> 4:2</w:t>
            </w:r>
          </w:p>
        </w:tc>
        <w:tc>
          <w:tcPr>
            <w:tcW w:w="5794" w:type="dxa"/>
          </w:tcPr>
          <w:p w:rsidRPr="00C1486F" w:rsidR="00722615" w:rsidP="005F4516" w:rsidRDefault="00E25CEC" w14:paraId="270CC606" w14:textId="47809B1D">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4:2</w:t>
            </w:r>
          </w:p>
        </w:tc>
      </w:tr>
      <w:tr w:rsidRPr="00C1486F" w:rsidR="00722615" w:rsidTr="004F5C64" w14:paraId="2CDE2FB1" w14:textId="77777777">
        <w:trPr>
          <w:trHeight w:val="300"/>
        </w:trPr>
        <w:tc>
          <w:tcPr>
            <w:tcW w:w="1581" w:type="dxa"/>
            <w:vAlign w:val="center"/>
          </w:tcPr>
          <w:p w:rsidRPr="00C1486F" w:rsidR="00722615" w:rsidP="005F4516" w:rsidRDefault="00722615" w14:paraId="46A896B1" w14:textId="2BCB93BC">
            <w:pPr>
              <w:keepNext/>
              <w:rPr>
                <w:color w:val="000000"/>
              </w:rPr>
            </w:pPr>
            <w:proofErr w:type="spellStart"/>
            <w:r w:rsidRPr="00C1486F">
              <w:rPr>
                <w:color w:val="000000"/>
              </w:rPr>
              <w:t>EtFOSAA</w:t>
            </w:r>
            <w:proofErr w:type="spellEnd"/>
          </w:p>
        </w:tc>
        <w:tc>
          <w:tcPr>
            <w:tcW w:w="5794" w:type="dxa"/>
          </w:tcPr>
          <w:p w:rsidRPr="00C1486F" w:rsidR="00722615" w:rsidP="005F4516" w:rsidRDefault="00722615" w14:paraId="4CA9E5B5" w14:textId="67245876">
            <w:pPr>
              <w:keepNext/>
              <w:rPr>
                <w:color w:val="000000"/>
              </w:rPr>
            </w:pPr>
            <w:r w:rsidRPr="004F5C64">
              <w:rPr>
                <w:color w:val="000000"/>
              </w:rPr>
              <w:t>N-</w:t>
            </w:r>
            <w:r w:rsidRPr="00755BC6" w:rsidR="006700C2">
              <w:rPr>
                <w:rFonts w:ascii="Calibri" w:hAnsi="Calibri" w:eastAsia="Times New Roman" w:cs="Calibri"/>
                <w:color w:val="000000"/>
              </w:rPr>
              <w:t xml:space="preserve">ethyl </w:t>
            </w:r>
            <w:proofErr w:type="spellStart"/>
            <w:r w:rsidRPr="00755BC6" w:rsidR="006700C2">
              <w:rPr>
                <w:rFonts w:ascii="Calibri" w:hAnsi="Calibri" w:eastAsia="Times New Roman" w:cs="Calibri"/>
                <w:color w:val="000000"/>
              </w:rPr>
              <w:t>perfluorooctanesulfonamidoacetic</w:t>
            </w:r>
            <w:proofErr w:type="spellEnd"/>
            <w:r w:rsidRPr="004F5C64">
              <w:rPr>
                <w:color w:val="000000"/>
              </w:rPr>
              <w:t xml:space="preserve"> acid</w:t>
            </w:r>
          </w:p>
        </w:tc>
      </w:tr>
      <w:tr w:rsidRPr="003B6D65" w:rsidR="00722615" w:rsidTr="004F5C64" w14:paraId="63581E5B" w14:textId="77777777">
        <w:trPr>
          <w:trHeight w:val="300"/>
        </w:trPr>
        <w:tc>
          <w:tcPr>
            <w:tcW w:w="1581" w:type="dxa"/>
            <w:vAlign w:val="center"/>
          </w:tcPr>
          <w:p w:rsidRPr="00C1486F" w:rsidR="00722615" w:rsidP="005F4516" w:rsidRDefault="00722615" w14:paraId="62D85218" w14:textId="78628426">
            <w:pPr>
              <w:keepNext/>
              <w:rPr>
                <w:color w:val="000000"/>
              </w:rPr>
            </w:pPr>
            <w:proofErr w:type="spellStart"/>
            <w:r w:rsidRPr="00C1486F">
              <w:rPr>
                <w:color w:val="000000"/>
              </w:rPr>
              <w:t>MeFOSAA</w:t>
            </w:r>
            <w:proofErr w:type="spellEnd"/>
          </w:p>
        </w:tc>
        <w:tc>
          <w:tcPr>
            <w:tcW w:w="5794" w:type="dxa"/>
          </w:tcPr>
          <w:p w:rsidRPr="00C1486F" w:rsidR="00722615" w:rsidP="005F4516" w:rsidRDefault="00722615" w14:paraId="1FD256C9" w14:textId="74E342F4">
            <w:pPr>
              <w:keepNext/>
              <w:rPr>
                <w:color w:val="000000"/>
              </w:rPr>
            </w:pPr>
            <w:r w:rsidRPr="004F5C64">
              <w:rPr>
                <w:color w:val="000000"/>
              </w:rPr>
              <w:t>N-</w:t>
            </w:r>
            <w:r w:rsidRPr="00755BC6" w:rsidR="00D84023">
              <w:rPr>
                <w:rFonts w:ascii="Calibri" w:hAnsi="Calibri" w:eastAsia="Times New Roman" w:cs="Calibri"/>
                <w:color w:val="000000"/>
              </w:rPr>
              <w:t xml:space="preserve">methyl </w:t>
            </w:r>
            <w:proofErr w:type="spellStart"/>
            <w:r w:rsidRPr="00755BC6" w:rsidR="00D84023">
              <w:rPr>
                <w:rFonts w:ascii="Calibri" w:hAnsi="Calibri" w:eastAsia="Times New Roman" w:cs="Calibri"/>
                <w:color w:val="000000"/>
              </w:rPr>
              <w:t>perfluorooctanesulfonamidoacetic</w:t>
            </w:r>
            <w:proofErr w:type="spellEnd"/>
            <w:r w:rsidRPr="004F5C64">
              <w:rPr>
                <w:color w:val="000000"/>
              </w:rPr>
              <w:t xml:space="preserve"> acid</w:t>
            </w:r>
          </w:p>
        </w:tc>
      </w:tr>
    </w:tbl>
    <w:p w:rsidRPr="00AF04A7" w:rsidR="00A0733B" w:rsidP="00D501C8" w:rsidRDefault="00A0733B" w14:paraId="469171E2" w14:textId="77777777"/>
    <w:p w:rsidRPr="00AF04A7" w:rsidR="00AF04A7" w:rsidP="00AF04A7" w:rsidRDefault="00023B2A" w14:paraId="54CAC95C" w14:textId="77777777">
      <w:pPr>
        <w:pStyle w:val="Heading2"/>
        <w:rPr>
          <w:rStyle w:val="Heading2Char"/>
          <w:b/>
        </w:rPr>
      </w:pPr>
      <w:bookmarkStart w:name="_Toc536793484" w:id="51"/>
      <w:bookmarkStart w:name="_Toc6924106" w:id="52"/>
      <w:r w:rsidRPr="00AF04A7">
        <w:rPr>
          <w:rStyle w:val="Heading2Char"/>
          <w:b/>
        </w:rPr>
        <w:t>Anticipated</w:t>
      </w:r>
      <w:r w:rsidRPr="00AF04A7" w:rsidR="00BB1D62">
        <w:rPr>
          <w:rStyle w:val="Heading2Char"/>
          <w:b/>
        </w:rPr>
        <w:t xml:space="preserve"> Risks and Benefits</w:t>
      </w:r>
      <w:bookmarkEnd w:id="51"/>
      <w:bookmarkEnd w:id="52"/>
    </w:p>
    <w:p w:rsidR="0021404C" w:rsidP="007B3D7D" w:rsidRDefault="0021404C" w14:paraId="029BBB99" w14:textId="77777777">
      <w:pPr>
        <w:pStyle w:val="NoSpacing"/>
        <w:spacing w:after="200"/>
      </w:pPr>
      <w:r>
        <w:t xml:space="preserve">Participants may experience some discomfort and bruising in the area where the blood sample was collected. Blood samples will be collected by licensed and trained phlebotomists. Risk of harm from participation in this investigation is considered minimal. </w:t>
      </w:r>
    </w:p>
    <w:p w:rsidR="00985551" w:rsidP="007B3D7D" w:rsidRDefault="00985551" w14:paraId="2B7882A6" w14:textId="2A96A5B8">
      <w:pPr>
        <w:pStyle w:val="NoSpacing"/>
        <w:spacing w:after="200"/>
      </w:pPr>
      <w:r>
        <w:t>All p</w:t>
      </w:r>
      <w:r w:rsidR="00023B2A">
        <w:t xml:space="preserve">articipants in this </w:t>
      </w:r>
      <w:r w:rsidR="00050F9D">
        <w:t>EA</w:t>
      </w:r>
      <w:r w:rsidR="0021404C">
        <w:t xml:space="preserve"> </w:t>
      </w:r>
      <w:r w:rsidR="00023B2A">
        <w:t xml:space="preserve">will </w:t>
      </w:r>
      <w:r w:rsidR="00131199">
        <w:t>be informed of</w:t>
      </w:r>
      <w:r w:rsidR="00023B2A">
        <w:t xml:space="preserve"> the concentration of </w:t>
      </w:r>
      <w:r w:rsidR="00050F9D">
        <w:t>PFAS</w:t>
      </w:r>
      <w:r w:rsidR="00023B2A">
        <w:t xml:space="preserve"> in their </w:t>
      </w:r>
      <w:r w:rsidR="00EF0A2C">
        <w:t>serum</w:t>
      </w:r>
      <w:r w:rsidR="0021404C">
        <w:t xml:space="preserve"> </w:t>
      </w:r>
      <w:r w:rsidR="00EF0A2C">
        <w:t>and how their serum concentrations compare to national reference populations</w:t>
      </w:r>
      <w:r w:rsidR="00023B2A">
        <w:t>.</w:t>
      </w:r>
      <w:r w:rsidR="0021404C">
        <w:t xml:space="preserve"> </w:t>
      </w:r>
      <w:r w:rsidR="005D460F">
        <w:t>The</w:t>
      </w:r>
      <w:r w:rsidR="00087F90">
        <w:t xml:space="preserve"> subset of p</w:t>
      </w:r>
      <w:r w:rsidR="0021404C">
        <w:t xml:space="preserve">articipants </w:t>
      </w:r>
      <w:r w:rsidR="005D460F">
        <w:t xml:space="preserve">whose urine was randomly selected for analysis </w:t>
      </w:r>
      <w:r w:rsidR="00B06D4E">
        <w:t>will</w:t>
      </w:r>
      <w:r w:rsidR="0021404C">
        <w:t xml:space="preserve"> </w:t>
      </w:r>
      <w:r w:rsidR="00131199">
        <w:t>be informed of</w:t>
      </w:r>
      <w:r w:rsidR="0021404C">
        <w:t xml:space="preserve"> the concentration of </w:t>
      </w:r>
      <w:r w:rsidR="00050F9D">
        <w:t>PFAS</w:t>
      </w:r>
      <w:r w:rsidR="0021404C">
        <w:t xml:space="preserve"> in their</w:t>
      </w:r>
      <w:r>
        <w:t xml:space="preserve"> urine</w:t>
      </w:r>
      <w:r w:rsidR="005D460F">
        <w:t>; as detailed in the methods above, if the geometric mean for a subset exceeds the NHANES 95</w:t>
      </w:r>
      <w:r w:rsidRPr="00694EF7" w:rsidR="005D460F">
        <w:rPr>
          <w:vertAlign w:val="superscript"/>
        </w:rPr>
        <w:t>th</w:t>
      </w:r>
      <w:r w:rsidR="005D460F">
        <w:t xml:space="preserve"> percentile, all urine samples from that site will be analyzed and results shared with participants</w:t>
      </w:r>
      <w:r w:rsidR="0021404C">
        <w:t xml:space="preserve">. </w:t>
      </w:r>
      <w:r w:rsidR="005D460F">
        <w:t>The</w:t>
      </w:r>
      <w:r w:rsidR="0065640C">
        <w:t xml:space="preserve"> subset of </w:t>
      </w:r>
      <w:r w:rsidR="0065640C">
        <w:lastRenderedPageBreak/>
        <w:t>p</w:t>
      </w:r>
      <w:r w:rsidR="00FF48AD">
        <w:t xml:space="preserve">articipants </w:t>
      </w:r>
      <w:r w:rsidR="005D460F">
        <w:t xml:space="preserve">whose households were randomly selected for </w:t>
      </w:r>
      <w:r w:rsidR="00FF48AD">
        <w:t xml:space="preserve">dust and </w:t>
      </w:r>
      <w:r w:rsidR="005D460F">
        <w:t xml:space="preserve">tap </w:t>
      </w:r>
      <w:r w:rsidR="00FF48AD">
        <w:t xml:space="preserve">water </w:t>
      </w:r>
      <w:r w:rsidR="005D460F">
        <w:t xml:space="preserve">PFAS analysis </w:t>
      </w:r>
      <w:r w:rsidR="00FF48AD">
        <w:t xml:space="preserve">will </w:t>
      </w:r>
      <w:r w:rsidR="005D460F">
        <w:t>receive these results</w:t>
      </w:r>
      <w:r w:rsidR="00FF48AD">
        <w:t>.</w:t>
      </w:r>
    </w:p>
    <w:p w:rsidR="001A450D" w:rsidP="007B3D7D" w:rsidRDefault="00EF0A2C" w14:paraId="4938D846" w14:textId="77777777">
      <w:pPr>
        <w:pStyle w:val="NoSpacing"/>
        <w:spacing w:after="200"/>
      </w:pPr>
      <w:r>
        <w:t xml:space="preserve">Participants will be informed that their participation in this </w:t>
      </w:r>
      <w:r w:rsidR="00050F9D">
        <w:t>EA</w:t>
      </w:r>
      <w:r>
        <w:t xml:space="preserve"> will help advance </w:t>
      </w:r>
      <w:r w:rsidR="00642ADB">
        <w:t>the understanding of</w:t>
      </w:r>
      <w:r>
        <w:t xml:space="preserve"> </w:t>
      </w:r>
      <w:r w:rsidR="00050F9D">
        <w:t xml:space="preserve">PFAS </w:t>
      </w:r>
      <w:r w:rsidR="00642ADB">
        <w:t xml:space="preserve">exposure </w:t>
      </w:r>
      <w:r w:rsidR="00050F9D">
        <w:t>and will inform future PFAS health studies</w:t>
      </w:r>
      <w:r>
        <w:t xml:space="preserve">. </w:t>
      </w:r>
      <w:r w:rsidR="00050F9D">
        <w:t xml:space="preserve">Upon completion of the EA, participants </w:t>
      </w:r>
      <w:r w:rsidRPr="001A450D" w:rsidR="001A450D">
        <w:t xml:space="preserve">will be provided an interpretation of their results by a </w:t>
      </w:r>
      <w:r w:rsidR="001A450D">
        <w:t>public health</w:t>
      </w:r>
      <w:r w:rsidRPr="001A450D" w:rsidR="001A450D">
        <w:t xml:space="preserve"> professional</w:t>
      </w:r>
      <w:r w:rsidR="001A450D">
        <w:t>.</w:t>
      </w:r>
    </w:p>
    <w:p w:rsidR="00B9139F" w:rsidP="007B3D7D" w:rsidRDefault="00D1386C" w14:paraId="24CDC83A" w14:textId="77777777">
      <w:pPr>
        <w:pStyle w:val="NoSpacing"/>
        <w:spacing w:after="200"/>
      </w:pPr>
      <w:r w:rsidRPr="00181C42">
        <w:t xml:space="preserve">The total time it will take participants to read through </w:t>
      </w:r>
      <w:r w:rsidR="00B9139F">
        <w:t xml:space="preserve">and sign </w:t>
      </w:r>
      <w:r w:rsidRPr="00181C42">
        <w:t>consent/assent</w:t>
      </w:r>
      <w:r w:rsidR="00B9139F">
        <w:t>/parental permission forms, respond to the questionnaire</w:t>
      </w:r>
      <w:r w:rsidRPr="00181C42">
        <w:t>, and provide a blood</w:t>
      </w:r>
      <w:r>
        <w:t xml:space="preserve"> and urine</w:t>
      </w:r>
      <w:r w:rsidRPr="00181C42">
        <w:t xml:space="preserve"> specimen is estimated to be </w:t>
      </w:r>
      <w:r>
        <w:t xml:space="preserve">less than </w:t>
      </w:r>
      <w:r w:rsidR="007123B0">
        <w:t>one</w:t>
      </w:r>
      <w:r w:rsidR="00DB3DFE">
        <w:t xml:space="preserve"> </w:t>
      </w:r>
      <w:r>
        <w:t>hour</w:t>
      </w:r>
      <w:r w:rsidRPr="00181C42">
        <w:t>.</w:t>
      </w:r>
      <w:r w:rsidR="0065640C">
        <w:t xml:space="preserve"> </w:t>
      </w:r>
      <w:r w:rsidRPr="0065640C" w:rsidR="00B9139F">
        <w:t>The total time it will take participants to have environmental samples collected is estimated to be</w:t>
      </w:r>
      <w:r w:rsidR="00F723F2">
        <w:t xml:space="preserve"> about 20</w:t>
      </w:r>
      <w:r w:rsidRPr="0065640C" w:rsidR="0065640C">
        <w:t xml:space="preserve"> minutes.</w:t>
      </w:r>
      <w:r w:rsidRPr="0065640C" w:rsidR="00B9139F">
        <w:t xml:space="preserve"> </w:t>
      </w:r>
    </w:p>
    <w:p w:rsidRPr="0065640C" w:rsidR="009A3FF6" w:rsidP="007B3D7D" w:rsidRDefault="009A3FF6" w14:paraId="058727E6" w14:textId="77777777">
      <w:pPr>
        <w:pStyle w:val="NoSpacing"/>
        <w:spacing w:after="200"/>
      </w:pPr>
      <w:r>
        <w:t xml:space="preserve">All sample collection and analysis </w:t>
      </w:r>
      <w:proofErr w:type="gramStart"/>
      <w:r>
        <w:t>is</w:t>
      </w:r>
      <w:proofErr w:type="gramEnd"/>
      <w:r>
        <w:t xml:space="preserve"> provided at no cost to participants. </w:t>
      </w:r>
    </w:p>
    <w:p w:rsidRPr="00AF04A7" w:rsidR="00AF04A7" w:rsidP="0043435D" w:rsidRDefault="00A70A1F" w14:paraId="2D125954" w14:textId="77777777">
      <w:pPr>
        <w:pStyle w:val="Heading2"/>
      </w:pPr>
      <w:bookmarkStart w:name="_Toc536793485" w:id="53"/>
      <w:bookmarkStart w:name="_Toc6924107" w:id="54"/>
      <w:r>
        <w:rPr>
          <w:rStyle w:val="Heading3Char"/>
          <w:b/>
          <w:i w:val="0"/>
          <w:color w:val="548DD4" w:themeColor="text2" w:themeTint="99"/>
        </w:rPr>
        <w:t>Privacy Protections</w:t>
      </w:r>
      <w:bookmarkEnd w:id="53"/>
      <w:bookmarkEnd w:id="54"/>
    </w:p>
    <w:p w:rsidRPr="00F139FD" w:rsidR="00F139FD" w:rsidP="00F139FD" w:rsidRDefault="00F139FD" w14:paraId="33F9BCE4" w14:textId="77777777">
      <w:pPr>
        <w:spacing w:line="240" w:lineRule="auto"/>
      </w:pPr>
      <w:r w:rsidRPr="00F139FD">
        <w:t xml:space="preserve">Personal privacy will be </w:t>
      </w:r>
      <w:proofErr w:type="gramStart"/>
      <w:r w:rsidRPr="00F139FD">
        <w:t>protected to the fullest extent</w:t>
      </w:r>
      <w:proofErr w:type="gramEnd"/>
      <w:r w:rsidRPr="00F139FD">
        <w:t xml:space="preserve"> possible by applicable federal and state laws and regulations. For the data sets collected at each site, the HIPAA Safe Harbor de-identification method will be applied to extract specific personally identifiable information (PII) and store them separately from other information. When the data sets from all sites are reconciled at CDC/ATSDR, statistical re-identification risk assessment principles and methods will be used to fully de-identify the data set.  All documents with personally identifiable information (i.e., consent forms, assent forms, collection logs, etc.) will be kept in locked cabinets and all electronic data will be stored on a password-protected network servers behind firewalls, accessible only to those staff working directly with raw data. Coded biospecimens and environmental samples will be sent to the laboratories—no personally identifiable information will be included. Any reports produced from this information will not identify specific individuals. </w:t>
      </w:r>
    </w:p>
    <w:p w:rsidRPr="00F139FD" w:rsidR="00F139FD" w:rsidP="00F139FD" w:rsidRDefault="00F139FD" w14:paraId="0ED03459" w14:textId="77777777">
      <w:pPr>
        <w:spacing w:line="240" w:lineRule="auto"/>
      </w:pPr>
      <w:r w:rsidRPr="00F139FD">
        <w:t xml:space="preserve">Records will be retained and disposed of in accordance with the ATSDR Records Control Schedule. Physical copies of assessment materials and reports will be maintained at ATSDR until no longer needed by program officials and will be kept in accordance with the corresponding retention schedules. Computer documents will be disposed of when no longer needed by program officials. Personal identifiers will be deleted from records when no longer needed and will be retained no longer than five years. Disposal methods will include erasing computer files, shredding paper materials, or transferring records to the Federal Records Center when no longer needed for evaluation and analysis. Records are retained for 20 years. </w:t>
      </w:r>
    </w:p>
    <w:p w:rsidRPr="00F139FD" w:rsidR="00F139FD" w:rsidP="00F139FD" w:rsidRDefault="00F139FD" w14:paraId="6474F2AD" w14:textId="77777777">
      <w:pPr>
        <w:spacing w:line="240" w:lineRule="auto"/>
      </w:pPr>
      <w:r w:rsidRPr="00F139FD">
        <w:t xml:space="preserve">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 </w:t>
      </w:r>
      <w:r w:rsidRPr="00F139FD">
        <w:rPr>
          <w:rFonts w:ascii="Calibri" w:hAnsi="Calibri" w:cs="Arial"/>
        </w:rPr>
        <w:t xml:space="preserve">These agencies must also protect this private information. Each state health department will act in compliance with their respective Sunshine Laws, which may impact the potential for information sharing. </w:t>
      </w:r>
    </w:p>
    <w:p w:rsidRPr="004F5164" w:rsidR="00B27EB0" w:rsidP="004F5164" w:rsidRDefault="00D71FF2" w14:paraId="758EC776" w14:textId="77777777">
      <w:pPr>
        <w:pStyle w:val="Heading2"/>
      </w:pPr>
      <w:bookmarkStart w:name="_Toc536793486" w:id="55"/>
      <w:bookmarkStart w:name="_Toc6924108" w:id="56"/>
      <w:r w:rsidRPr="004F5164">
        <w:rPr>
          <w:rStyle w:val="Heading3Char"/>
          <w:b/>
          <w:i w:val="0"/>
          <w:color w:val="548DD4" w:themeColor="text2" w:themeTint="99"/>
        </w:rPr>
        <w:lastRenderedPageBreak/>
        <w:t>Data Handling and Analysis</w:t>
      </w:r>
      <w:bookmarkEnd w:id="55"/>
      <w:bookmarkEnd w:id="56"/>
    </w:p>
    <w:p w:rsidRPr="004F5164" w:rsidR="00665AC3" w:rsidP="004F5164" w:rsidRDefault="00665AC3" w14:paraId="0186FA4C" w14:textId="77777777">
      <w:pPr>
        <w:pStyle w:val="Heading3"/>
        <w:rPr>
          <w:rStyle w:val="Heading4Char"/>
          <w:rFonts w:eastAsiaTheme="minorHAnsi" w:cstheme="minorBidi"/>
          <w:bCs w:val="0"/>
          <w:i/>
          <w:iCs w:val="0"/>
          <w:color w:val="0070C0"/>
        </w:rPr>
      </w:pPr>
      <w:bookmarkStart w:name="_Toc536793487" w:id="57"/>
      <w:bookmarkStart w:name="_Toc6924109" w:id="58"/>
      <w:r w:rsidRPr="004F5164">
        <w:rPr>
          <w:rStyle w:val="Heading4Char"/>
          <w:rFonts w:eastAsiaTheme="minorHAnsi" w:cstheme="minorBidi"/>
          <w:bCs w:val="0"/>
          <w:i/>
          <w:iCs w:val="0"/>
          <w:color w:val="0070C0"/>
        </w:rPr>
        <w:t>Data Handling</w:t>
      </w:r>
      <w:bookmarkEnd w:id="57"/>
      <w:bookmarkEnd w:id="58"/>
    </w:p>
    <w:p w:rsidR="00030FA0" w:rsidP="00B72970" w:rsidRDefault="00030FA0" w14:paraId="323CF5F9" w14:textId="77777777">
      <w:pPr>
        <w:pStyle w:val="NoSpacing"/>
        <w:spacing w:after="200"/>
        <w:rPr>
          <w:rStyle w:val="NoSpacingChar"/>
        </w:rPr>
      </w:pPr>
      <w:r>
        <w:rPr>
          <w:rStyle w:val="NoSpacingChar"/>
        </w:rPr>
        <w:t xml:space="preserve">A detailed data management plan for all data collected in the exposure assessment can be found in Appendix I. </w:t>
      </w:r>
    </w:p>
    <w:p w:rsidR="00B72970" w:rsidP="00B72970" w:rsidRDefault="00B72970" w14:paraId="67B52C6B" w14:textId="77777777">
      <w:pPr>
        <w:pStyle w:val="NoSpacing"/>
        <w:spacing w:after="200"/>
        <w:rPr>
          <w:rStyle w:val="NoSpacingChar"/>
        </w:rPr>
      </w:pPr>
      <w:r>
        <w:rPr>
          <w:rStyle w:val="NoSpacingChar"/>
        </w:rPr>
        <w:t>For all serum and urine</w:t>
      </w:r>
      <w:r w:rsidR="000F0667">
        <w:rPr>
          <w:rStyle w:val="NoSpacingChar"/>
        </w:rPr>
        <w:t xml:space="preserve"> samples</w:t>
      </w:r>
      <w:r>
        <w:rPr>
          <w:rStyle w:val="NoSpacingChar"/>
        </w:rPr>
        <w:t xml:space="preserve">, </w:t>
      </w:r>
      <w:r w:rsidR="000F0667">
        <w:rPr>
          <w:rStyle w:val="NoSpacingChar"/>
        </w:rPr>
        <w:t xml:space="preserve">sample analysis, </w:t>
      </w:r>
      <w:r>
        <w:rPr>
          <w:rStyle w:val="NoSpacingChar"/>
        </w:rPr>
        <w:t>d</w:t>
      </w:r>
      <w:r w:rsidRPr="00662D2B">
        <w:rPr>
          <w:rStyle w:val="NoSpacingChar"/>
        </w:rPr>
        <w:t>ata quality assurance and quality control will be performed by the NCEH laboratory</w:t>
      </w:r>
      <w:r>
        <w:rPr>
          <w:rStyle w:val="NoSpacingChar"/>
        </w:rPr>
        <w:t xml:space="preserve"> according to CDC/ATSDR protocols</w:t>
      </w:r>
      <w:r w:rsidR="00F77358">
        <w:rPr>
          <w:rStyle w:val="NoSpacingChar"/>
        </w:rPr>
        <w:t xml:space="preserve">. Data that meets the required quality assurance and quality control specifications will be used for </w:t>
      </w:r>
      <w:r>
        <w:rPr>
          <w:rStyle w:val="NoSpacingChar"/>
        </w:rPr>
        <w:t>analysis.</w:t>
      </w:r>
    </w:p>
    <w:p w:rsidR="00B72970" w:rsidP="00B72970" w:rsidRDefault="00B72970" w14:paraId="2C75FDD8" w14:textId="70604A46">
      <w:pPr>
        <w:pStyle w:val="NoSpacing"/>
        <w:spacing w:after="200"/>
        <w:rPr>
          <w:rStyle w:val="NoSpacingChar"/>
        </w:rPr>
      </w:pPr>
      <w:r>
        <w:rPr>
          <w:rStyle w:val="NoSpacingChar"/>
        </w:rPr>
        <w:t xml:space="preserve">For tap water data, data quality assurance and quality control will be performed by the identified laboratory as described in EPA Method 537.1 and only valid data will be used for analysis. </w:t>
      </w:r>
    </w:p>
    <w:p w:rsidR="00B72970" w:rsidP="00B72970" w:rsidRDefault="00B72970" w14:paraId="45981817" w14:textId="390E55BE">
      <w:pPr>
        <w:pStyle w:val="NoSpacing"/>
        <w:spacing w:after="200"/>
        <w:rPr>
          <w:rStyle w:val="NoSpacingChar"/>
        </w:rPr>
      </w:pPr>
      <w:r>
        <w:rPr>
          <w:rStyle w:val="NoSpacingChar"/>
        </w:rPr>
        <w:t>For indoor dust data, data quality assurance and data quality control will be performed by the identified laboratory according to the EPA-approved method (when available)</w:t>
      </w:r>
      <w:r w:rsidR="003D3DD2">
        <w:rPr>
          <w:rStyle w:val="NoSpacingChar"/>
        </w:rPr>
        <w:t xml:space="preserve"> or in accordance with another identified method capable of quantifying PFAS in a solid matrix should no EPA method be available in time to satisfy the needs of this project</w:t>
      </w:r>
      <w:r>
        <w:rPr>
          <w:rStyle w:val="NoSpacingChar"/>
        </w:rPr>
        <w:t xml:space="preserve">. </w:t>
      </w:r>
    </w:p>
    <w:p w:rsidRPr="00F139FD" w:rsidR="00F139FD" w:rsidP="00F139FD" w:rsidRDefault="00F139FD" w14:paraId="76E11546" w14:textId="77777777">
      <w:pPr>
        <w:spacing w:line="240" w:lineRule="auto"/>
      </w:pPr>
      <w:r w:rsidRPr="00F139FD">
        <w:t xml:space="preserve">Questionnaire data will be collected using the Epi Info software tool and will be kept in a secure and encrypted electronic database.  </w:t>
      </w:r>
    </w:p>
    <w:p w:rsidRPr="00F139FD" w:rsidR="00F139FD" w:rsidP="00F139FD" w:rsidRDefault="00F139FD" w14:paraId="33FA265A" w14:textId="77777777">
      <w:r w:rsidRPr="00F139FD">
        <w:t xml:space="preserve">All data will be transmitted via secure connections and methods to ATSDR or ATSDR contractor for incorporation into a centralized data management repository protected by CDC/ATSDR network firewall and additional security access controls. All results will be electronically transmitted in spreadsheet format using a secured and password-protected network. </w:t>
      </w:r>
    </w:p>
    <w:p w:rsidRPr="000A659D" w:rsidR="00584F27" w:rsidP="000A659D" w:rsidRDefault="00C30015" w14:paraId="1E9E115B" w14:textId="77777777">
      <w:pPr>
        <w:pStyle w:val="Heading3"/>
        <w:rPr>
          <w:rStyle w:val="Heading4Char"/>
          <w:rFonts w:eastAsiaTheme="minorHAnsi" w:cstheme="minorBidi"/>
          <w:bCs w:val="0"/>
          <w:i/>
          <w:iCs w:val="0"/>
          <w:color w:val="0070C0"/>
        </w:rPr>
      </w:pPr>
      <w:bookmarkStart w:name="_Toc536793488" w:id="59"/>
      <w:bookmarkStart w:name="_Toc6924110" w:id="60"/>
      <w:r>
        <w:rPr>
          <w:rStyle w:val="Heading4Char"/>
          <w:rFonts w:eastAsiaTheme="minorHAnsi" w:cstheme="minorBidi"/>
          <w:bCs w:val="0"/>
          <w:i/>
          <w:iCs w:val="0"/>
          <w:color w:val="0070C0"/>
        </w:rPr>
        <w:t xml:space="preserve">Statistical </w:t>
      </w:r>
      <w:r w:rsidRPr="000A659D" w:rsidR="00584F27">
        <w:rPr>
          <w:rStyle w:val="Heading4Char"/>
          <w:rFonts w:eastAsiaTheme="minorHAnsi" w:cstheme="minorBidi"/>
          <w:bCs w:val="0"/>
          <w:i/>
          <w:iCs w:val="0"/>
          <w:color w:val="0070C0"/>
        </w:rPr>
        <w:t>Analysis of Serum and Urine Data from Individual Participants</w:t>
      </w:r>
      <w:bookmarkEnd w:id="59"/>
      <w:bookmarkEnd w:id="60"/>
    </w:p>
    <w:p w:rsidR="00584F27" w:rsidP="00584F27" w:rsidRDefault="00584F27" w14:paraId="310C8E8D" w14:textId="77777777">
      <w:pPr>
        <w:pStyle w:val="NoSpacing"/>
        <w:spacing w:after="200"/>
      </w:pPr>
      <w:r w:rsidRPr="005A1BB1">
        <w:t xml:space="preserve">National values for </w:t>
      </w:r>
      <w:r>
        <w:t>12 PFAS</w:t>
      </w:r>
      <w:r w:rsidRPr="005A1BB1">
        <w:t xml:space="preserve"> in serum are available from the </w:t>
      </w:r>
      <w:r>
        <w:t>2013</w:t>
      </w:r>
      <w:r w:rsidR="00D8430A">
        <w:rPr>
          <w:rFonts w:cstheme="minorHAnsi"/>
        </w:rPr>
        <w:t>–</w:t>
      </w:r>
      <w:r>
        <w:t xml:space="preserve">2014 NHANES </w:t>
      </w:r>
      <w:r w:rsidRPr="005A1BB1">
        <w:t xml:space="preserve">and </w:t>
      </w:r>
      <w:proofErr w:type="gramStart"/>
      <w:r w:rsidRPr="005A1BB1">
        <w:t>are considered to be</w:t>
      </w:r>
      <w:proofErr w:type="gramEnd"/>
      <w:r w:rsidRPr="005A1BB1">
        <w:t xml:space="preserve"> national measures of exposure for the general US population. The </w:t>
      </w:r>
      <w:r>
        <w:t xml:space="preserve">NHANES geometric mean and </w:t>
      </w:r>
      <w:r w:rsidRPr="005A1BB1">
        <w:t>95</w:t>
      </w:r>
      <w:r w:rsidRPr="00E54B52">
        <w:rPr>
          <w:vertAlign w:val="superscript"/>
        </w:rPr>
        <w:t>th</w:t>
      </w:r>
      <w:r w:rsidRPr="005A1BB1">
        <w:t xml:space="preserve"> percentile for each </w:t>
      </w:r>
      <w:r>
        <w:t>PFAS</w:t>
      </w:r>
      <w:r w:rsidRPr="005A1BB1">
        <w:t xml:space="preserve"> serum concentration will be used as a comparison value</w:t>
      </w:r>
      <w:r>
        <w:t xml:space="preserve"> for each EA participant</w:t>
      </w:r>
      <w:r w:rsidRPr="005A1BB1">
        <w:t xml:space="preserve">. </w:t>
      </w:r>
    </w:p>
    <w:p w:rsidR="00584F27" w:rsidP="00584F27" w:rsidRDefault="00584F27" w14:paraId="49C57D6E" w14:textId="77777777">
      <w:pPr>
        <w:pStyle w:val="NoSpacing"/>
        <w:spacing w:after="200"/>
      </w:pPr>
      <w:r>
        <w:t xml:space="preserve">National values for </w:t>
      </w:r>
      <w:r w:rsidR="00A40CFD">
        <w:t>18 PFAS in urine are being developed from the 2013</w:t>
      </w:r>
      <w:r w:rsidR="00D8430A">
        <w:rPr>
          <w:rFonts w:cstheme="minorHAnsi"/>
        </w:rPr>
        <w:t>–</w:t>
      </w:r>
      <w:r w:rsidR="00A40CFD">
        <w:t>2014 NHANES. These will be considered national measures of exposure in the US population. The NHANES geometric mean and 95</w:t>
      </w:r>
      <w:r w:rsidRPr="00A40CFD" w:rsidR="00A40CFD">
        <w:rPr>
          <w:vertAlign w:val="superscript"/>
        </w:rPr>
        <w:t>th</w:t>
      </w:r>
      <w:r w:rsidR="00A40CFD">
        <w:t xml:space="preserve"> percentile for each PFAS urine concentration will be used as a </w:t>
      </w:r>
      <w:proofErr w:type="gramStart"/>
      <w:r w:rsidR="00A40CFD">
        <w:t>comparison values</w:t>
      </w:r>
      <w:proofErr w:type="gramEnd"/>
      <w:r w:rsidR="00A40CFD">
        <w:t xml:space="preserve"> for each EA participant,</w:t>
      </w:r>
      <w:r>
        <w:t xml:space="preserve"> when </w:t>
      </w:r>
      <w:r w:rsidRPr="005A1BB1">
        <w:t>available.</w:t>
      </w:r>
      <w:r w:rsidR="00A40CFD">
        <w:t xml:space="preserve"> Only 10% of collected urine samples will be analyzed initially. If the geometric mean PFAS urine concentrations in a community are higher than the NHANES 95</w:t>
      </w:r>
      <w:r w:rsidRPr="00A40CFD" w:rsidR="00A40CFD">
        <w:rPr>
          <w:vertAlign w:val="superscript"/>
        </w:rPr>
        <w:t>th</w:t>
      </w:r>
      <w:r w:rsidR="00A40CFD">
        <w:t xml:space="preserve"> percentile, all urine samples for the community will be shipped from the repository to th</w:t>
      </w:r>
      <w:r w:rsidR="00853C97">
        <w:t xml:space="preserve">e NCEH laboratory and analyzed as described above. </w:t>
      </w:r>
    </w:p>
    <w:p w:rsidR="004F0915" w:rsidP="00584F27" w:rsidRDefault="004F0915" w14:paraId="3869C65E" w14:textId="77777777">
      <w:pPr>
        <w:pStyle w:val="NoSpacing"/>
        <w:spacing w:after="200"/>
      </w:pPr>
      <w:r>
        <w:t xml:space="preserve">Questionnaire data will be used to aid in the interpretation of anomalous biomonitoring results. </w:t>
      </w:r>
    </w:p>
    <w:p w:rsidR="00584F27" w:rsidP="000A659D" w:rsidRDefault="00C30015" w14:paraId="4CEBE315" w14:textId="77777777">
      <w:pPr>
        <w:pStyle w:val="Heading3"/>
      </w:pPr>
      <w:bookmarkStart w:name="_Toc536793489" w:id="61"/>
      <w:bookmarkStart w:name="_Toc6924111" w:id="62"/>
      <w:bookmarkStart w:name="_Hlk41843218" w:id="63"/>
      <w:r>
        <w:t xml:space="preserve">Statistical </w:t>
      </w:r>
      <w:r w:rsidR="00E94A49">
        <w:t>Analysis of Aggregate Data</w:t>
      </w:r>
      <w:bookmarkEnd w:id="61"/>
      <w:bookmarkEnd w:id="62"/>
    </w:p>
    <w:p w:rsidR="00C1683A" w:rsidP="00C1683A" w:rsidRDefault="00C1683A" w14:paraId="10737BCB" w14:textId="7A849253">
      <w:pPr>
        <w:pStyle w:val="NoSpacing"/>
        <w:spacing w:after="200"/>
      </w:pPr>
      <w:r>
        <w:t xml:space="preserve">Individual participant data will be analyzed in aggregate to estimate community-level PFAS exposure. </w:t>
      </w:r>
      <w:r w:rsidR="005A4125">
        <w:t xml:space="preserve">Aggregate urine data analysis will only be performed if all samples are analyzed at a site. </w:t>
      </w:r>
      <w:r>
        <w:t xml:space="preserve">Based on prior studies showing a log-normal distribution of PFAS concentrations in humans, and to allow for direct </w:t>
      </w:r>
      <w:r>
        <w:lastRenderedPageBreak/>
        <w:t>comparison to NHANES data, the geometric mean with associated 95</w:t>
      </w:r>
      <w:r w:rsidRPr="00584F27">
        <w:rPr>
          <w:vertAlign w:val="superscript"/>
        </w:rPr>
        <w:t>th</w:t>
      </w:r>
      <w:r>
        <w:t xml:space="preserve"> percentile confidence interval, 90</w:t>
      </w:r>
      <w:r w:rsidRPr="00BB0404">
        <w:rPr>
          <w:vertAlign w:val="superscript"/>
        </w:rPr>
        <w:t>th</w:t>
      </w:r>
      <w:r>
        <w:t xml:space="preserve"> percentile, and 95</w:t>
      </w:r>
      <w:r w:rsidRPr="00BB0404">
        <w:rPr>
          <w:vertAlign w:val="superscript"/>
        </w:rPr>
        <w:t>th</w:t>
      </w:r>
      <w:r>
        <w:t xml:space="preserve"> percentile will be calculated for total PFAS and for each species, provided the proportion of censored data</w:t>
      </w:r>
      <w:r w:rsidR="005D54CA">
        <w:t xml:space="preserve"> (data below the limit of detection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w:t>
      </w:r>
      <w:r>
        <w:t xml:space="preserve"> does not equal or exceed 40%. For datasets in which the rate of censoring is below 40%, the limit of detection divided by square root of 2 (LOD/√2) will be substituted for non-detect values</w:t>
      </w:r>
      <w:r w:rsidR="00DD3349">
        <w:t xml:space="preserve"> </w:t>
      </w:r>
      <w:r w:rsidR="00DD3349">
        <w:fldChar w:fldCharType="begin"/>
      </w:r>
      <w:r w:rsidR="00C46348">
        <w:instrText xml:space="preserve"> ADDIN EN.CITE &lt;EndNote&gt;&lt;Cite&gt;&lt;Author&gt;Hornung&lt;/Author&gt;&lt;Year&gt;1990&lt;/Year&gt;&lt;RecNum&gt;931&lt;/RecNum&gt;&lt;DisplayText&gt;[133]&lt;/DisplayText&gt;&lt;record&gt;&lt;rec-number&gt;931&lt;/rec-number&gt;&lt;foreign-keys&gt;&lt;key app="EN" db-id="rw00aww2fxw5pherwx6v59rqdtsppfap29fz" timestamp="1523644730"&gt;931&lt;/key&gt;&lt;/foreign-keys&gt;&lt;ref-type name="Journal Article"&gt;17&lt;/ref-type&gt;&lt;contributors&gt;&lt;authors&gt;&lt;author&gt;Hornung, Richard W.&lt;/author&gt;&lt;author&gt;Reed, Laurence D.&lt;/author&gt;&lt;/authors&gt;&lt;/contributors&gt;&lt;titles&gt;&lt;title&gt;Estimation of Average Concentration in the Presence of Nondetectable Values&lt;/title&gt;&lt;secondary-title&gt;Applied Occupational and Environmental Hygiene&lt;/secondary-title&gt;&lt;/titles&gt;&lt;periodical&gt;&lt;full-title&gt;Applied Occupational and Environmental Hygiene&lt;/full-title&gt;&lt;/periodical&gt;&lt;pages&gt;46-51&lt;/pages&gt;&lt;volume&gt;5&lt;/volume&gt;&lt;number&gt;1&lt;/number&gt;&lt;dates&gt;&lt;year&gt;1990&lt;/year&gt;&lt;pub-dates&gt;&lt;date&gt;1990/01/01&lt;/date&gt;&lt;/pub-dates&gt;&lt;/dates&gt;&lt;publisher&gt;Taylor &amp;amp; Francis&lt;/publisher&gt;&lt;isbn&gt;1047-322X&lt;/isbn&gt;&lt;urls&gt;&lt;related-urls&gt;&lt;url&gt;https://doi.org/10.1080/1047322X.1990.10389587&lt;/url&gt;&lt;/related-urls&gt;&lt;/urls&gt;&lt;electronic-resource-num&gt;10.1080/1047322X.1990.10389587&lt;/electronic-resource-num&gt;&lt;/record&gt;&lt;/Cite&gt;&lt;/EndNote&gt;</w:instrText>
      </w:r>
      <w:r w:rsidR="00DD3349">
        <w:fldChar w:fldCharType="separate"/>
      </w:r>
      <w:r w:rsidR="00C46348">
        <w:rPr>
          <w:noProof/>
        </w:rPr>
        <w:t>[133]</w:t>
      </w:r>
      <w:r w:rsidR="00DD3349">
        <w:fldChar w:fldCharType="end"/>
      </w:r>
      <w:r>
        <w:t>. For datasets in which censoring is equal to or greater than 40%, only high sample percentiles will be reported (e.g., 90</w:t>
      </w:r>
      <w:r w:rsidRPr="00584F27">
        <w:rPr>
          <w:vertAlign w:val="superscript"/>
        </w:rPr>
        <w:t>th</w:t>
      </w:r>
      <w:r>
        <w:t xml:space="preserve"> percentile, 95</w:t>
      </w:r>
      <w:r w:rsidRPr="00584F27">
        <w:rPr>
          <w:vertAlign w:val="superscript"/>
        </w:rPr>
        <w:t>th</w:t>
      </w:r>
      <w:r>
        <w:t xml:space="preserve"> percentile)</w:t>
      </w:r>
      <w:r w:rsidR="00DD3349">
        <w:t xml:space="preserve"> </w:t>
      </w:r>
      <w:r w:rsidR="00DD3349">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DD3349">
        <w:fldChar w:fldCharType="separate"/>
      </w:r>
      <w:r w:rsidR="00C46348">
        <w:rPr>
          <w:noProof/>
        </w:rPr>
        <w:t>[132]</w:t>
      </w:r>
      <w:r w:rsidR="00DD3349">
        <w:fldChar w:fldCharType="end"/>
      </w:r>
      <w:r>
        <w:t xml:space="preserve">.Given the limitations in using substitution when calculating summary statistics for censored data, a sensitivity analysis of aggregated PFAS data will be performed using other statistical methods to account for censoring. For datasets in which &lt;50% data are censored, Kaplan-Meier </w:t>
      </w:r>
      <w:r w:rsidR="00D8430A">
        <w:t xml:space="preserve">method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 xml:space="preserve"> </w:t>
      </w:r>
      <w:r>
        <w:t>will be used to estimate the geometric mean with associated 95</w:t>
      </w:r>
      <w:r w:rsidRPr="00584F27">
        <w:rPr>
          <w:vertAlign w:val="superscript"/>
        </w:rPr>
        <w:t>th</w:t>
      </w:r>
      <w:r>
        <w:t xml:space="preserve"> percent confidence interval, 90</w:t>
      </w:r>
      <w:r w:rsidRPr="00584F27">
        <w:rPr>
          <w:vertAlign w:val="superscript"/>
        </w:rPr>
        <w:t>th</w:t>
      </w:r>
      <w:r>
        <w:t xml:space="preserve"> percentile, and 95</w:t>
      </w:r>
      <w:r w:rsidRPr="00584F27">
        <w:rPr>
          <w:vertAlign w:val="superscript"/>
        </w:rPr>
        <w:t>th</w:t>
      </w:r>
      <w:r>
        <w:t xml:space="preserve"> percentile. For datasets in which 50</w:t>
      </w:r>
      <w:r w:rsidR="00D8430A">
        <w:rPr>
          <w:rFonts w:cstheme="minorHAnsi"/>
        </w:rPr>
        <w:t>–</w:t>
      </w:r>
      <w:r>
        <w:t xml:space="preserve">80% of data are censored, maximum likelihood estimation will be used, and for datasets with &gt;80% censoring, only high sample percentiles will be reported. Given that no nationally representative comparison values using these methods are available, results of this sensitivity </w:t>
      </w:r>
      <w:r w:rsidR="00DD3349">
        <w:t>analysis will be used only as a</w:t>
      </w:r>
      <w:r>
        <w:t xml:space="preserve"> comparison to results obtained using simple substitution of censored values.</w:t>
      </w:r>
    </w:p>
    <w:p w:rsidRPr="005A1BB1" w:rsidR="004F0915" w:rsidP="00C1683A" w:rsidRDefault="004F0915" w14:paraId="3960C216" w14:textId="77777777">
      <w:pPr>
        <w:pStyle w:val="NoSpacing"/>
        <w:spacing w:after="200"/>
      </w:pPr>
      <w:r>
        <w:t xml:space="preserve">Where possible, summary statistics will be stratified based on participants characteristics (male/female, age categories, drinking water source, </w:t>
      </w:r>
      <w:proofErr w:type="spellStart"/>
      <w:r>
        <w:t>etc</w:t>
      </w:r>
      <w:proofErr w:type="spellEnd"/>
      <w:r>
        <w:t xml:space="preserve">…) as reported in the questionnaires. </w:t>
      </w:r>
    </w:p>
    <w:p w:rsidR="00DD3349" w:rsidP="000A659D" w:rsidRDefault="000A659D" w14:paraId="50028754" w14:textId="77777777">
      <w:pPr>
        <w:pStyle w:val="Heading3"/>
      </w:pPr>
      <w:bookmarkStart w:name="_Toc536793490" w:id="64"/>
      <w:bookmarkStart w:name="_Toc6924112" w:id="65"/>
      <w:bookmarkStart w:name="_Hlk41843596" w:id="66"/>
      <w:bookmarkEnd w:id="63"/>
      <w:r>
        <w:t>Environmental Data</w:t>
      </w:r>
      <w:bookmarkEnd w:id="64"/>
      <w:bookmarkEnd w:id="65"/>
    </w:p>
    <w:p w:rsidR="00DD3349" w:rsidP="00DD3349" w:rsidRDefault="00DD3349" w14:paraId="0C0E8A58" w14:textId="77777777">
      <w:r>
        <w:t>Concentrations of PFAS in tap water samples will be compared to federal and</w:t>
      </w:r>
      <w:r w:rsidR="001A6BF6">
        <w:t>/or</w:t>
      </w:r>
      <w:r>
        <w:t xml:space="preserve"> state drinking water guidelines</w:t>
      </w:r>
      <w:r w:rsidR="001A6BF6">
        <w:t>/advisories</w:t>
      </w:r>
      <w:r>
        <w:t xml:space="preserve"> for PFAS</w:t>
      </w:r>
      <w:r w:rsidR="001A6BF6">
        <w:t xml:space="preserve"> as they are available</w:t>
      </w:r>
      <w:r>
        <w:t xml:space="preserve">. </w:t>
      </w:r>
    </w:p>
    <w:p w:rsidR="00C30015" w:rsidP="00A65590" w:rsidRDefault="00C30015" w14:paraId="24DE09DE" w14:textId="0B63CDFE">
      <w:pPr>
        <w:spacing w:line="240" w:lineRule="auto"/>
      </w:pPr>
      <w:r>
        <w:t xml:space="preserve">Prior to any statistical evaluation, </w:t>
      </w:r>
      <w:r w:rsidR="001A6BF6">
        <w:t>one</w:t>
      </w:r>
      <w:r w:rsidR="005246BE">
        <w:t xml:space="preserve"> </w:t>
      </w:r>
      <w:r>
        <w:t>participant will be identified from each household</w:t>
      </w:r>
      <w:r w:rsidR="001A6BF6">
        <w:t xml:space="preserve"> that is expected to </w:t>
      </w:r>
      <w:r>
        <w:t xml:space="preserve">be most exposed to the conditions in that household. For example, an adult who does not work outside of the home and who reports drinking primarily unfiltered tap water would be preferable over an adult who works outside of the home or who frequently drinks bottled water. </w:t>
      </w:r>
    </w:p>
    <w:bookmarkEnd w:id="66"/>
    <w:p w:rsidR="00DD3349" w:rsidP="00A65590" w:rsidRDefault="00DD3349" w14:paraId="752D5074" w14:textId="69FFC27C">
      <w:pPr>
        <w:spacing w:line="240" w:lineRule="auto"/>
      </w:pPr>
      <w:r>
        <w:t xml:space="preserve">Following an exploratory analysis to confirm </w:t>
      </w:r>
      <w:r w:rsidR="001A6BF6">
        <w:t xml:space="preserve">the distribution of the </w:t>
      </w:r>
      <w:r>
        <w:t>environmental data</w:t>
      </w:r>
      <w:r w:rsidR="001A6BF6">
        <w:t xml:space="preserve"> we will apply statistical tests as appropriate. If appropriate, P</w:t>
      </w:r>
      <w:r>
        <w:t>earson’s correlation test will be applied to evaluate the strength of the association between PFAS co</w:t>
      </w:r>
      <w:r w:rsidR="00C30015">
        <w:t xml:space="preserve">ncentrations in drinking water and </w:t>
      </w:r>
      <w:r>
        <w:t xml:space="preserve">indoor dust, </w:t>
      </w:r>
      <w:r w:rsidR="00C30015">
        <w:t xml:space="preserve">and the </w:t>
      </w:r>
      <w:r>
        <w:t>serum</w:t>
      </w:r>
      <w:r w:rsidR="00C30015">
        <w:t xml:space="preserve"> </w:t>
      </w:r>
      <w:r>
        <w:t>and urine</w:t>
      </w:r>
      <w:r w:rsidR="00C30015">
        <w:t xml:space="preserve"> concentrations measured in the sentinel participant</w:t>
      </w:r>
      <w:r>
        <w:t>.</w:t>
      </w:r>
      <w:r w:rsidR="000F0667">
        <w:t xml:space="preserve"> Data distributions will be assessed and transformed </w:t>
      </w:r>
      <w:r w:rsidR="00985C75">
        <w:t>as necessary to meet statistical assumptions such as normality</w:t>
      </w:r>
      <w:r w:rsidR="000F0667">
        <w:t>.</w:t>
      </w:r>
      <w:r>
        <w:t xml:space="preserve"> </w:t>
      </w:r>
      <w:r w:rsidRPr="0006326B">
        <w:t xml:space="preserve">Statistical significance of correlation </w:t>
      </w:r>
      <w:r>
        <w:t>will be</w:t>
      </w:r>
      <w:r w:rsidRPr="0006326B">
        <w:t xml:space="preserve"> evaluated using a two-sided Student's t-test based on a 95% confidence level.</w:t>
      </w:r>
      <w:r>
        <w:t xml:space="preserve"> Correlation coefficients and statistical significance will only be determine</w:t>
      </w:r>
      <w:r w:rsidR="00C30015">
        <w:t>d</w:t>
      </w:r>
      <w:r>
        <w:t xml:space="preserve"> when the rate of detection is greater than 60%. </w:t>
      </w:r>
    </w:p>
    <w:p w:rsidRPr="00E94A49" w:rsidR="00E94A49" w:rsidP="00A65590" w:rsidRDefault="00DD3349" w14:paraId="667464EE" w14:textId="77777777">
      <w:pPr>
        <w:spacing w:line="240" w:lineRule="auto"/>
      </w:pPr>
      <w:r>
        <w:t xml:space="preserve">Other statistical analyses </w:t>
      </w:r>
      <w:r w:rsidR="005F1445">
        <w:t>(e.g.</w:t>
      </w:r>
      <w:r w:rsidR="00985C75">
        <w:t>,</w:t>
      </w:r>
      <w:r w:rsidR="005F1445">
        <w:t xml:space="preserve"> regression modeling) </w:t>
      </w:r>
      <w:r>
        <w:t>may be performed as appropriate and will be described in detail in the final reports.</w:t>
      </w:r>
    </w:p>
    <w:p w:rsidRPr="000A659D" w:rsidR="00AF04A7" w:rsidP="000A659D" w:rsidRDefault="00FD0167" w14:paraId="1A50E2CB" w14:textId="77777777">
      <w:pPr>
        <w:pStyle w:val="Heading3"/>
        <w:rPr>
          <w:rStyle w:val="Heading3Char"/>
          <w:b/>
          <w:i/>
        </w:rPr>
      </w:pPr>
      <w:bookmarkStart w:name="_Toc536793491" w:id="67"/>
      <w:bookmarkStart w:name="_Toc6924113" w:id="68"/>
      <w:r w:rsidRPr="000A659D">
        <w:rPr>
          <w:rStyle w:val="Heading3Char"/>
          <w:b/>
          <w:i/>
        </w:rPr>
        <w:t>Anticipated Products</w:t>
      </w:r>
      <w:bookmarkEnd w:id="67"/>
      <w:bookmarkEnd w:id="68"/>
    </w:p>
    <w:p w:rsidR="004E63E4" w:rsidP="007B3D7D" w:rsidRDefault="00FD0167" w14:paraId="2C19418A" w14:textId="4C4392D1">
      <w:pPr>
        <w:pStyle w:val="NoSpacing"/>
        <w:spacing w:after="200"/>
      </w:pPr>
      <w:r>
        <w:t>Individual test results with a written explanation</w:t>
      </w:r>
      <w:r w:rsidR="004E63E4">
        <w:t xml:space="preserve"> of </w:t>
      </w:r>
      <w:r>
        <w:t>meaning will be provided</w:t>
      </w:r>
      <w:r w:rsidR="007E79EA">
        <w:t xml:space="preserve"> by mail</w:t>
      </w:r>
      <w:r>
        <w:t xml:space="preserve"> to the participants </w:t>
      </w:r>
      <w:r w:rsidR="003C7CA2">
        <w:t xml:space="preserve">(Appendix </w:t>
      </w:r>
      <w:r w:rsidR="00262848">
        <w:t>G</w:t>
      </w:r>
      <w:r w:rsidR="003C7CA2">
        <w:t>)</w:t>
      </w:r>
      <w:r>
        <w:t>.</w:t>
      </w:r>
      <w:r w:rsidR="007E79EA">
        <w:t xml:space="preserve"> Biological sampling results for individuals will be provided separately from environmental sampling results. </w:t>
      </w:r>
      <w:r>
        <w:t xml:space="preserve">Following dissemination of individual results, an </w:t>
      </w:r>
      <w:r w:rsidR="00485887">
        <w:t>EA team member</w:t>
      </w:r>
      <w:r>
        <w:t xml:space="preserve"> will be available to discuss individual questions by phone</w:t>
      </w:r>
      <w:r w:rsidR="00046409">
        <w:t xml:space="preserve"> or email</w:t>
      </w:r>
      <w:r>
        <w:t xml:space="preserve">.  </w:t>
      </w:r>
    </w:p>
    <w:p w:rsidRPr="00DF516A" w:rsidR="00B64CA5" w:rsidP="00FB38BA" w:rsidRDefault="00FD0167" w14:paraId="424F5731" w14:textId="5C5B9D11">
      <w:pPr>
        <w:pStyle w:val="NoSpacing"/>
        <w:rPr>
          <w:rFonts w:ascii="Calibri" w:hAnsi="Calibri"/>
          <w:noProof/>
        </w:rPr>
      </w:pPr>
      <w:r>
        <w:lastRenderedPageBreak/>
        <w:t>At the conclusion of</w:t>
      </w:r>
      <w:r w:rsidR="00FE41CC">
        <w:t xml:space="preserve"> each exposure assessment</w:t>
      </w:r>
      <w:r>
        <w:t>,</w:t>
      </w:r>
      <w:r w:rsidR="007E79EA">
        <w:t xml:space="preserve"> </w:t>
      </w:r>
      <w:r>
        <w:t xml:space="preserve">a report </w:t>
      </w:r>
      <w:r w:rsidR="00053481">
        <w:t xml:space="preserve">will </w:t>
      </w:r>
      <w:r>
        <w:t>summariz</w:t>
      </w:r>
      <w:r w:rsidR="00053481">
        <w:t>e</w:t>
      </w:r>
      <w:r>
        <w:t xml:space="preserve"> the</w:t>
      </w:r>
      <w:r w:rsidR="004E63E4">
        <w:t xml:space="preserve"> overall</w:t>
      </w:r>
      <w:r w:rsidR="00EB0F7D">
        <w:t xml:space="preserve"> aggregate</w:t>
      </w:r>
      <w:r>
        <w:t xml:space="preserve"> findings </w:t>
      </w:r>
      <w:r w:rsidR="004E63E4">
        <w:t xml:space="preserve">and conclusions </w:t>
      </w:r>
      <w:r>
        <w:t xml:space="preserve">of the </w:t>
      </w:r>
      <w:proofErr w:type="gramStart"/>
      <w:r w:rsidR="00FE41CC">
        <w:t>assessment</w:t>
      </w:r>
      <w:r>
        <w:t>, but</w:t>
      </w:r>
      <w:proofErr w:type="gramEnd"/>
      <w:r>
        <w:t xml:space="preserve"> will not reveal personal identifiers.</w:t>
      </w:r>
      <w:r w:rsidR="004E63E4">
        <w:t xml:space="preserve"> </w:t>
      </w:r>
      <w:r w:rsidR="006F1CC1">
        <w:t>If warranted, r</w:t>
      </w:r>
      <w:r w:rsidR="004E63E4">
        <w:t>ecommendations for</w:t>
      </w:r>
      <w:r w:rsidR="0026412A">
        <w:t xml:space="preserve"> additional</w:t>
      </w:r>
      <w:r w:rsidR="004E63E4">
        <w:t xml:space="preserve"> actions such as continued monitoring, educational activities, or interventions to reduce exposure will be made. </w:t>
      </w:r>
      <w:r w:rsidR="00FE41CC">
        <w:t>Aggregate findings from all exposure assessments</w:t>
      </w:r>
      <w:r w:rsidRPr="00891540" w:rsidR="00891540">
        <w:t xml:space="preserve"> will </w:t>
      </w:r>
      <w:r w:rsidR="00053481">
        <w:t xml:space="preserve">be summarized in a </w:t>
      </w:r>
      <w:r w:rsidR="00F40CFF">
        <w:t xml:space="preserve">final </w:t>
      </w:r>
      <w:r w:rsidR="00053481">
        <w:t xml:space="preserve">report and in manuscript(s) </w:t>
      </w:r>
      <w:r w:rsidRPr="00891540" w:rsidR="00891540">
        <w:t>submitted for publication in the peer-reviewed scientific literature.</w:t>
      </w:r>
      <w:r w:rsidR="00891540">
        <w:rPr>
          <w:sz w:val="24"/>
          <w:szCs w:val="24"/>
        </w:rPr>
        <w:t xml:space="preserve"> </w:t>
      </w:r>
      <w:r w:rsidRPr="00DF516A" w:rsidR="00B64CA5">
        <w:br w:type="page"/>
      </w:r>
    </w:p>
    <w:p w:rsidRPr="00DF516A" w:rsidR="00B64CA5" w:rsidP="007B3D7D" w:rsidRDefault="00B64CA5" w14:paraId="78D0CD63" w14:textId="77777777">
      <w:pPr>
        <w:pStyle w:val="Heading1"/>
        <w:spacing w:before="0" w:after="200" w:line="240" w:lineRule="auto"/>
      </w:pPr>
      <w:bookmarkStart w:name="_Toc536793493" w:id="69"/>
      <w:bookmarkStart w:name="_Toc6924114" w:id="70"/>
      <w:r w:rsidRPr="001374BF">
        <w:lastRenderedPageBreak/>
        <w:t>References</w:t>
      </w:r>
      <w:bookmarkEnd w:id="69"/>
      <w:bookmarkEnd w:id="70"/>
    </w:p>
    <w:p w:rsidRPr="00C46348" w:rsidR="00C46348" w:rsidP="00C46348" w:rsidRDefault="00B64CA5" w14:paraId="5B0D54FB" w14:textId="77777777">
      <w:pPr>
        <w:pStyle w:val="EndNoteBibliography"/>
        <w:spacing w:after="0"/>
        <w:ind w:left="720" w:hanging="720"/>
      </w:pPr>
      <w:r w:rsidRPr="00DF516A">
        <w:rPr>
          <w:b/>
        </w:rPr>
        <w:fldChar w:fldCharType="begin"/>
      </w:r>
      <w:r w:rsidRPr="00DF516A">
        <w:rPr>
          <w:b/>
        </w:rPr>
        <w:instrText xml:space="preserve"> ADDIN EN.REFLIST </w:instrText>
      </w:r>
      <w:r w:rsidRPr="00DF516A">
        <w:rPr>
          <w:b/>
        </w:rPr>
        <w:fldChar w:fldCharType="separate"/>
      </w:r>
      <w:r w:rsidRPr="00C46348" w:rsidR="00C46348">
        <w:t>1.</w:t>
      </w:r>
      <w:r w:rsidRPr="00C46348" w:rsidR="00C46348">
        <w:tab/>
        <w:t xml:space="preserve">ATSDR, </w:t>
      </w:r>
      <w:r w:rsidRPr="00C46348" w:rsidR="00C46348">
        <w:rPr>
          <w:i/>
        </w:rPr>
        <w:t>Draft Toxicological Profile for Perfluoroalkyls.</w:t>
      </w:r>
      <w:r w:rsidRPr="00C46348" w:rsidR="00C46348">
        <w:t xml:space="preserve"> US Department of Health and Human Services, 2009. </w:t>
      </w:r>
      <w:r w:rsidRPr="00C46348" w:rsidR="00C46348">
        <w:rPr>
          <w:b/>
        </w:rPr>
        <w:t>Agency for Toxic Substances and Disease Registry</w:t>
      </w:r>
      <w:r w:rsidRPr="00C46348" w:rsidR="00C46348">
        <w:t>.</w:t>
      </w:r>
    </w:p>
    <w:p w:rsidRPr="00C46348" w:rsidR="00C46348" w:rsidP="00C46348" w:rsidRDefault="00C46348" w14:paraId="63E61BD7" w14:textId="77777777">
      <w:pPr>
        <w:pStyle w:val="EndNoteBibliography"/>
        <w:spacing w:after="0"/>
        <w:ind w:left="720" w:hanging="720"/>
      </w:pPr>
      <w:r w:rsidRPr="00C46348">
        <w:t>2.</w:t>
      </w:r>
      <w:r w:rsidRPr="00C46348">
        <w:tab/>
        <w:t xml:space="preserve">USEPA, </w:t>
      </w:r>
      <w:r w:rsidRPr="00C46348">
        <w:rPr>
          <w:i/>
        </w:rPr>
        <w:t>Revisions to the Unregulated Contaminant Monitoring Regulation (UCMR 3) for Public Water Systems</w:t>
      </w:r>
      <w:r w:rsidRPr="00C46348">
        <w:t xml:space="preserve">, in </w:t>
      </w:r>
      <w:r w:rsidRPr="00C46348">
        <w:rPr>
          <w:i/>
        </w:rPr>
        <w:t>77 FR 26071</w:t>
      </w:r>
      <w:r w:rsidRPr="00C46348">
        <w:t>, E.P. Agency, Editor. 2012. p. 26071 -26101 (31 pages).</w:t>
      </w:r>
    </w:p>
    <w:p w:rsidRPr="00C46348" w:rsidR="00C46348" w:rsidP="00C46348" w:rsidRDefault="00C46348" w14:paraId="25E38538" w14:textId="77777777">
      <w:pPr>
        <w:pStyle w:val="EndNoteBibliography"/>
        <w:spacing w:after="0"/>
        <w:ind w:left="720" w:hanging="720"/>
      </w:pPr>
      <w:r w:rsidRPr="00C46348">
        <w:t>3.</w:t>
      </w:r>
      <w:r w:rsidRPr="00C46348">
        <w:tab/>
        <w:t xml:space="preserve">USEPA, </w:t>
      </w:r>
      <w:r w:rsidRPr="00C46348">
        <w:rPr>
          <w:i/>
        </w:rPr>
        <w:t>Public Comment Draft Health Effects Document for Perfluorooctanoic Acid (PFOA).</w:t>
      </w:r>
      <w:r w:rsidRPr="00C46348">
        <w:t xml:space="preserve"> Office of Water, 2014.</w:t>
      </w:r>
    </w:p>
    <w:p w:rsidRPr="00C46348" w:rsidR="00C46348" w:rsidP="00C46348" w:rsidRDefault="00C46348" w14:paraId="5A6DF645" w14:textId="77777777">
      <w:pPr>
        <w:pStyle w:val="EndNoteBibliography"/>
        <w:spacing w:after="0"/>
        <w:ind w:left="720" w:hanging="720"/>
      </w:pPr>
      <w:r w:rsidRPr="00C46348">
        <w:t>4.</w:t>
      </w:r>
      <w:r w:rsidRPr="00C46348">
        <w:tab/>
        <w:t xml:space="preserve">Calafat, A.M., et al., </w:t>
      </w:r>
      <w:r w:rsidRPr="00C46348">
        <w:rPr>
          <w:i/>
        </w:rPr>
        <w:t>Perfluorochemicals in pooled serum samples from United States residents in 2001 and 2002.</w:t>
      </w:r>
      <w:r w:rsidRPr="00C46348">
        <w:t xml:space="preserve"> Environ Sci Technol, 2006. </w:t>
      </w:r>
      <w:r w:rsidRPr="00C46348">
        <w:rPr>
          <w:b/>
        </w:rPr>
        <w:t>40</w:t>
      </w:r>
      <w:r w:rsidRPr="00C46348">
        <w:t>(7): p. 2128-34.</w:t>
      </w:r>
    </w:p>
    <w:p w:rsidRPr="00C46348" w:rsidR="00C46348" w:rsidP="00C46348" w:rsidRDefault="00C46348" w14:paraId="3E91F080" w14:textId="77777777">
      <w:pPr>
        <w:pStyle w:val="EndNoteBibliography"/>
        <w:spacing w:after="0"/>
        <w:ind w:left="720" w:hanging="720"/>
      </w:pPr>
      <w:r w:rsidRPr="00C46348">
        <w:t>5.</w:t>
      </w:r>
      <w:r w:rsidRPr="00C46348">
        <w:tab/>
        <w:t xml:space="preserve">Calafat, A.M., et al., </w:t>
      </w:r>
      <w:r w:rsidRPr="00C46348">
        <w:rPr>
          <w:i/>
        </w:rPr>
        <w:t>Polyfluoroalkyl chemicals in the U.S. population: data from the National Health and Nutrition Examination Survey (NHANES) 2003-2004 and comparisons with NHANES 1999-2000.</w:t>
      </w:r>
      <w:r w:rsidRPr="00C46348">
        <w:t xml:space="preserve"> Environ Health Perspect, 2007. </w:t>
      </w:r>
      <w:r w:rsidRPr="00C46348">
        <w:rPr>
          <w:b/>
        </w:rPr>
        <w:t>115</w:t>
      </w:r>
      <w:r w:rsidRPr="00C46348">
        <w:t>(11): p. 1596-602.</w:t>
      </w:r>
    </w:p>
    <w:p w:rsidRPr="00C46348" w:rsidR="00C46348" w:rsidP="00C46348" w:rsidRDefault="00C46348" w14:paraId="1D6F4C65" w14:textId="77777777">
      <w:pPr>
        <w:pStyle w:val="EndNoteBibliography"/>
        <w:spacing w:after="0"/>
        <w:ind w:left="720" w:hanging="720"/>
      </w:pPr>
      <w:r w:rsidRPr="00C46348">
        <w:t>6.</w:t>
      </w:r>
      <w:r w:rsidRPr="00C46348">
        <w:tab/>
        <w:t xml:space="preserve">Kannan, K., et al., </w:t>
      </w:r>
      <w:r w:rsidRPr="00C46348">
        <w:rPr>
          <w:i/>
        </w:rPr>
        <w:t>Perfluorooctanesulfonate and related fluorochemicals in human blood from several countries.</w:t>
      </w:r>
      <w:r w:rsidRPr="00C46348">
        <w:t xml:space="preserve"> Environ Sci Technol, 2004. </w:t>
      </w:r>
      <w:r w:rsidRPr="00C46348">
        <w:rPr>
          <w:b/>
        </w:rPr>
        <w:t>38</w:t>
      </w:r>
      <w:r w:rsidRPr="00C46348">
        <w:t>(17): p. 4489-95.</w:t>
      </w:r>
    </w:p>
    <w:p w:rsidRPr="00C46348" w:rsidR="00C46348" w:rsidP="00C46348" w:rsidRDefault="00C46348" w14:paraId="12784187" w14:textId="77777777">
      <w:pPr>
        <w:pStyle w:val="EndNoteBibliography"/>
        <w:spacing w:after="0"/>
        <w:ind w:left="720" w:hanging="720"/>
      </w:pPr>
      <w:r w:rsidRPr="00C46348">
        <w:t>7.</w:t>
      </w:r>
      <w:r w:rsidRPr="00C46348">
        <w:tab/>
        <w:t xml:space="preserve">Taniyasu, S., et al., </w:t>
      </w:r>
      <w:r w:rsidRPr="00C46348">
        <w:rPr>
          <w:i/>
        </w:rPr>
        <w:t>A survey of perfluorooctane sulfonate and related perfluorinated organic compounds in water, fish, birds, and humans from Japan.</w:t>
      </w:r>
      <w:r w:rsidRPr="00C46348">
        <w:t xml:space="preserve"> Environ Sci Technol, 2003. </w:t>
      </w:r>
      <w:r w:rsidRPr="00C46348">
        <w:rPr>
          <w:b/>
        </w:rPr>
        <w:t>37</w:t>
      </w:r>
      <w:r w:rsidRPr="00C46348">
        <w:t>(12): p. 2634-9.</w:t>
      </w:r>
    </w:p>
    <w:p w:rsidRPr="00C46348" w:rsidR="00C46348" w:rsidP="00C46348" w:rsidRDefault="00C46348" w14:paraId="571F5F61" w14:textId="77777777">
      <w:pPr>
        <w:pStyle w:val="EndNoteBibliography"/>
        <w:spacing w:after="0"/>
        <w:ind w:left="720" w:hanging="720"/>
      </w:pPr>
      <w:r w:rsidRPr="00C46348">
        <w:t>8.</w:t>
      </w:r>
      <w:r w:rsidRPr="00C46348">
        <w:tab/>
        <w:t xml:space="preserve">Gomis, M.I., et al., </w:t>
      </w:r>
      <w:r w:rsidRPr="00C46348">
        <w:rPr>
          <w:i/>
        </w:rPr>
        <w:t>Comparing the toxic potency in vivo of long-chain perfluoroalkyl acids and fluorinated alternatives.</w:t>
      </w:r>
      <w:r w:rsidRPr="00C46348">
        <w:t xml:space="preserve"> Environ Int, 2018. </w:t>
      </w:r>
      <w:r w:rsidRPr="00C46348">
        <w:rPr>
          <w:b/>
        </w:rPr>
        <w:t>113</w:t>
      </w:r>
      <w:r w:rsidRPr="00C46348">
        <w:t>: p. 1-9.</w:t>
      </w:r>
    </w:p>
    <w:p w:rsidRPr="00C46348" w:rsidR="00C46348" w:rsidP="00C46348" w:rsidRDefault="00C46348" w14:paraId="288147F0" w14:textId="77777777">
      <w:pPr>
        <w:pStyle w:val="EndNoteBibliography"/>
        <w:spacing w:after="0"/>
        <w:ind w:left="720" w:hanging="720"/>
      </w:pPr>
      <w:r w:rsidRPr="00C46348">
        <w:t>9.</w:t>
      </w:r>
      <w:r w:rsidRPr="00C46348">
        <w:tab/>
        <w:t xml:space="preserve">Sun, M., et al., </w:t>
      </w:r>
      <w:r w:rsidRPr="00C46348">
        <w:rPr>
          <w:i/>
        </w:rPr>
        <w:t>Legacy and Emerging Perfluoroalkyl Substances Are Important Drinking Water Contaminants in the Cape Fear River Watershed of North Carolina.</w:t>
      </w:r>
      <w:r w:rsidRPr="00C46348">
        <w:t xml:space="preserve"> Environmental Science &amp; Technology Letters, 2016. </w:t>
      </w:r>
      <w:r w:rsidRPr="00C46348">
        <w:rPr>
          <w:b/>
        </w:rPr>
        <w:t>3</w:t>
      </w:r>
      <w:r w:rsidRPr="00C46348">
        <w:t>(12): p. 415-419.</w:t>
      </w:r>
    </w:p>
    <w:p w:rsidRPr="00C46348" w:rsidR="00C46348" w:rsidP="00C46348" w:rsidRDefault="00C46348" w14:paraId="6FE72ACD" w14:textId="77777777">
      <w:pPr>
        <w:pStyle w:val="EndNoteBibliography"/>
        <w:spacing w:after="0"/>
        <w:ind w:left="720" w:hanging="720"/>
      </w:pPr>
      <w:r w:rsidRPr="00C46348">
        <w:t>10.</w:t>
      </w:r>
      <w:r w:rsidRPr="00C46348">
        <w:tab/>
        <w:t xml:space="preserve">Xiao, F., </w:t>
      </w:r>
      <w:r w:rsidRPr="00C46348">
        <w:rPr>
          <w:i/>
        </w:rPr>
        <w:t>Emerging poly- and perfluoroalkyl substances in the aquatic environment: A review of current literature.</w:t>
      </w:r>
      <w:r w:rsidRPr="00C46348">
        <w:t xml:space="preserve"> Water Res, 2017. </w:t>
      </w:r>
      <w:r w:rsidRPr="00C46348">
        <w:rPr>
          <w:b/>
        </w:rPr>
        <w:t>124</w:t>
      </w:r>
      <w:r w:rsidRPr="00C46348">
        <w:t>: p. 482-495.</w:t>
      </w:r>
    </w:p>
    <w:p w:rsidRPr="00C46348" w:rsidR="00C46348" w:rsidP="00C46348" w:rsidRDefault="00C46348" w14:paraId="7299F8B8" w14:textId="77777777">
      <w:pPr>
        <w:pStyle w:val="EndNoteBibliography"/>
        <w:spacing w:after="0"/>
        <w:ind w:left="720" w:hanging="720"/>
      </w:pPr>
      <w:r w:rsidRPr="00C46348">
        <w:t>11.</w:t>
      </w:r>
      <w:r w:rsidRPr="00C46348">
        <w:tab/>
        <w:t xml:space="preserve">USEPA, </w:t>
      </w:r>
      <w:r w:rsidRPr="00C46348">
        <w:rPr>
          <w:i/>
        </w:rPr>
        <w:t>Drinking Water Health Advisory for Perfluorooctanoic Acid (PFOA).</w:t>
      </w:r>
      <w:r w:rsidRPr="00C46348">
        <w:t xml:space="preserve"> 2016.</w:t>
      </w:r>
    </w:p>
    <w:p w:rsidRPr="00C46348" w:rsidR="00C46348" w:rsidP="00C46348" w:rsidRDefault="00C46348" w14:paraId="2DAAFC55" w14:textId="77777777">
      <w:pPr>
        <w:pStyle w:val="EndNoteBibliography"/>
        <w:spacing w:after="0"/>
        <w:ind w:left="720" w:hanging="720"/>
      </w:pPr>
      <w:r w:rsidRPr="00C46348">
        <w:t>12.</w:t>
      </w:r>
      <w:r w:rsidRPr="00C46348">
        <w:tab/>
        <w:t xml:space="preserve">USEPA, </w:t>
      </w:r>
      <w:r w:rsidRPr="00C46348">
        <w:rPr>
          <w:i/>
        </w:rPr>
        <w:t>Drinking Water Health Advisory for Perfluorooctane Sulfonate (PFOS).</w:t>
      </w:r>
      <w:r w:rsidRPr="00C46348">
        <w:t xml:space="preserve"> 2016.</w:t>
      </w:r>
    </w:p>
    <w:p w:rsidRPr="00C46348" w:rsidR="00C46348" w:rsidP="00C46348" w:rsidRDefault="00C46348" w14:paraId="0CDA23EA" w14:textId="77777777">
      <w:pPr>
        <w:pStyle w:val="EndNoteBibliography"/>
        <w:spacing w:after="0"/>
        <w:ind w:left="720" w:hanging="720"/>
      </w:pPr>
      <w:r w:rsidRPr="00C46348">
        <w:t>13.</w:t>
      </w:r>
      <w:r w:rsidRPr="00C46348">
        <w:tab/>
        <w:t xml:space="preserve">Herzke, D., et al., </w:t>
      </w:r>
      <w:r w:rsidRPr="00C46348">
        <w:rPr>
          <w:i/>
        </w:rPr>
        <w:t>Perfluorinated alkylated substances in vegetables collected in four European countries; occurrence and human exposure estimations.</w:t>
      </w:r>
      <w:r w:rsidRPr="00C46348">
        <w:t xml:space="preserve"> Environ Sci Pollut Res Int, 2013. </w:t>
      </w:r>
      <w:r w:rsidRPr="00C46348">
        <w:rPr>
          <w:b/>
        </w:rPr>
        <w:t>20</w:t>
      </w:r>
      <w:r w:rsidRPr="00C46348">
        <w:t>(11): p. 7930-9.</w:t>
      </w:r>
    </w:p>
    <w:p w:rsidRPr="00C46348" w:rsidR="00C46348" w:rsidP="00C46348" w:rsidRDefault="00C46348" w14:paraId="7D2CB714" w14:textId="77777777">
      <w:pPr>
        <w:pStyle w:val="EndNoteBibliography"/>
        <w:spacing w:after="0"/>
        <w:ind w:left="720" w:hanging="720"/>
      </w:pPr>
      <w:r w:rsidRPr="00C46348">
        <w:t>14.</w:t>
      </w:r>
      <w:r w:rsidRPr="00C46348">
        <w:tab/>
        <w:t xml:space="preserve">Lechner, M. and H. Knapp, </w:t>
      </w:r>
      <w:r w:rsidRPr="00C46348">
        <w:rPr>
          <w:i/>
        </w:rPr>
        <w:t>Carryover of perfluorooctanoic acid (PFOA) and perfluorooctane sulfonate (PFOS) from soil to plant and distribution to the different plant compartments studied in cultures of carrots (Daucus carota ssp. Sativus), potatoes (Solanum tuberosum), and cucumbers (Cucumis Sativus).</w:t>
      </w:r>
      <w:r w:rsidRPr="00C46348">
        <w:t xml:space="preserve"> J Agric Food Chem, 2011. </w:t>
      </w:r>
      <w:r w:rsidRPr="00C46348">
        <w:rPr>
          <w:b/>
        </w:rPr>
        <w:t>59</w:t>
      </w:r>
      <w:r w:rsidRPr="00C46348">
        <w:t>(20): p. 11011-8.</w:t>
      </w:r>
    </w:p>
    <w:p w:rsidRPr="00C46348" w:rsidR="00C46348" w:rsidP="00C46348" w:rsidRDefault="00C46348" w14:paraId="443A7903" w14:textId="77777777">
      <w:pPr>
        <w:pStyle w:val="EndNoteBibliography"/>
        <w:spacing w:after="0"/>
        <w:ind w:left="720" w:hanging="720"/>
      </w:pPr>
      <w:r w:rsidRPr="00C46348">
        <w:t>15.</w:t>
      </w:r>
      <w:r w:rsidRPr="00C46348">
        <w:tab/>
        <w:t xml:space="preserve">Vestergren, R., et al., </w:t>
      </w:r>
      <w:r w:rsidRPr="00C46348">
        <w:rPr>
          <w:i/>
        </w:rPr>
        <w:t>Dietary exposure to perfluoroalkyl acids for the Swedish population in 1999, 2005 and 2010.</w:t>
      </w:r>
      <w:r w:rsidRPr="00C46348">
        <w:t xml:space="preserve"> Environ Int, 2012. </w:t>
      </w:r>
      <w:r w:rsidRPr="00C46348">
        <w:rPr>
          <w:b/>
        </w:rPr>
        <w:t>49</w:t>
      </w:r>
      <w:r w:rsidRPr="00C46348">
        <w:t>: p. 120-7.</w:t>
      </w:r>
    </w:p>
    <w:p w:rsidRPr="00C46348" w:rsidR="00C46348" w:rsidP="00C46348" w:rsidRDefault="00C46348" w14:paraId="0DC3BE97" w14:textId="77777777">
      <w:pPr>
        <w:pStyle w:val="EndNoteBibliography"/>
        <w:spacing w:after="0"/>
        <w:ind w:left="720" w:hanging="720"/>
      </w:pPr>
      <w:r w:rsidRPr="00C46348">
        <w:t>16.</w:t>
      </w:r>
      <w:r w:rsidRPr="00C46348">
        <w:tab/>
        <w:t xml:space="preserve">Halldorsson, T.I., et al., </w:t>
      </w:r>
      <w:r w:rsidRPr="00C46348">
        <w:rPr>
          <w:i/>
        </w:rPr>
        <w:t>Dietary predictors of perfluorinated chemicals: a study from the Danish National Birth Cohort.</w:t>
      </w:r>
      <w:r w:rsidRPr="00C46348">
        <w:t xml:space="preserve"> Environ Sci Technol, 2008. </w:t>
      </w:r>
      <w:r w:rsidRPr="00C46348">
        <w:rPr>
          <w:b/>
        </w:rPr>
        <w:t>42</w:t>
      </w:r>
      <w:r w:rsidRPr="00C46348">
        <w:t>(23): p. 8971-7.</w:t>
      </w:r>
    </w:p>
    <w:p w:rsidRPr="00C46348" w:rsidR="00C46348" w:rsidP="00C46348" w:rsidRDefault="00C46348" w14:paraId="49C4BBE5" w14:textId="77777777">
      <w:pPr>
        <w:pStyle w:val="EndNoteBibliography"/>
        <w:spacing w:after="0"/>
        <w:ind w:left="720" w:hanging="720"/>
      </w:pPr>
      <w:r w:rsidRPr="00C46348">
        <w:t>17.</w:t>
      </w:r>
      <w:r w:rsidRPr="00C46348">
        <w:tab/>
        <w:t xml:space="preserve">Noorlander, C.W., et al., </w:t>
      </w:r>
      <w:r w:rsidRPr="00C46348">
        <w:rPr>
          <w:i/>
        </w:rPr>
        <w:t>Levels of perfluorinated compounds in food and dietary intake of PFOS and PFOA in the Netherlands.</w:t>
      </w:r>
      <w:r w:rsidRPr="00C46348">
        <w:t xml:space="preserve"> J Agric Food Chem, 2011. </w:t>
      </w:r>
      <w:r w:rsidRPr="00C46348">
        <w:rPr>
          <w:b/>
        </w:rPr>
        <w:t>59</w:t>
      </w:r>
      <w:r w:rsidRPr="00C46348">
        <w:t>(13): p. 7496-505.</w:t>
      </w:r>
    </w:p>
    <w:p w:rsidRPr="00C46348" w:rsidR="00C46348" w:rsidP="00C46348" w:rsidRDefault="00C46348" w14:paraId="3C978A60" w14:textId="77777777">
      <w:pPr>
        <w:pStyle w:val="EndNoteBibliography"/>
        <w:spacing w:after="0"/>
        <w:ind w:left="720" w:hanging="720"/>
      </w:pPr>
      <w:r w:rsidRPr="00C46348">
        <w:t>18.</w:t>
      </w:r>
      <w:r w:rsidRPr="00C46348">
        <w:tab/>
        <w:t xml:space="preserve">Wang, X., et al., </w:t>
      </w:r>
      <w:r w:rsidRPr="00C46348">
        <w:rPr>
          <w:i/>
        </w:rPr>
        <w:t>The occurence, exposure and risk assessment of perfluoroalkyl acids in food from mainland, China.</w:t>
      </w:r>
      <w:r w:rsidRPr="00C46348">
        <w:t xml:space="preserve"> Food Addit Contam Part A Chem Anal Control Expo Risk Assess, 2017.</w:t>
      </w:r>
    </w:p>
    <w:p w:rsidRPr="00C46348" w:rsidR="00C46348" w:rsidP="00C46348" w:rsidRDefault="00C46348" w14:paraId="2EFB229D" w14:textId="77777777">
      <w:pPr>
        <w:pStyle w:val="EndNoteBibliography"/>
        <w:spacing w:after="0"/>
        <w:ind w:left="720" w:hanging="720"/>
      </w:pPr>
      <w:r w:rsidRPr="00C46348">
        <w:lastRenderedPageBreak/>
        <w:t>19.</w:t>
      </w:r>
      <w:r w:rsidRPr="00C46348">
        <w:tab/>
        <w:t xml:space="preserve">Xiao, F., M.F. Simcik, and J.S. Gulliver, </w:t>
      </w:r>
      <w:r w:rsidRPr="00C46348">
        <w:rPr>
          <w:i/>
        </w:rPr>
        <w:t>Partitioning characteristics of perfluorooctane sulfonate between water and foods.</w:t>
      </w:r>
      <w:r w:rsidRPr="00C46348">
        <w:t xml:space="preserve"> Arch Environ Contam Toxicol, 2012. </w:t>
      </w:r>
      <w:r w:rsidRPr="00C46348">
        <w:rPr>
          <w:b/>
        </w:rPr>
        <w:t>62</w:t>
      </w:r>
      <w:r w:rsidRPr="00C46348">
        <w:t>(1): p. 42-8.</w:t>
      </w:r>
    </w:p>
    <w:p w:rsidRPr="00C46348" w:rsidR="00C46348" w:rsidP="00C46348" w:rsidRDefault="00C46348" w14:paraId="0263A94C" w14:textId="77777777">
      <w:pPr>
        <w:pStyle w:val="EndNoteBibliography"/>
        <w:spacing w:after="0"/>
        <w:ind w:left="720" w:hanging="720"/>
      </w:pPr>
      <w:r w:rsidRPr="00C46348">
        <w:t>20.</w:t>
      </w:r>
      <w:r w:rsidRPr="00C46348">
        <w:tab/>
        <w:t xml:space="preserve">Christensen, K.Y., et al., </w:t>
      </w:r>
      <w:r w:rsidRPr="00C46348">
        <w:rPr>
          <w:i/>
        </w:rPr>
        <w:t>Perfluoroalkyl substances and fish consumption.</w:t>
      </w:r>
      <w:r w:rsidRPr="00C46348">
        <w:t xml:space="preserve"> Environ Res, 2017. </w:t>
      </w:r>
      <w:r w:rsidRPr="00C46348">
        <w:rPr>
          <w:b/>
        </w:rPr>
        <w:t>154</w:t>
      </w:r>
      <w:r w:rsidRPr="00C46348">
        <w:t>: p. 145-151.</w:t>
      </w:r>
    </w:p>
    <w:p w:rsidRPr="00C46348" w:rsidR="00C46348" w:rsidP="00C46348" w:rsidRDefault="00C46348" w14:paraId="66310948" w14:textId="77777777">
      <w:pPr>
        <w:pStyle w:val="EndNoteBibliography"/>
        <w:spacing w:after="0"/>
        <w:ind w:left="720" w:hanging="720"/>
      </w:pPr>
      <w:r w:rsidRPr="00C46348">
        <w:t>21.</w:t>
      </w:r>
      <w:r w:rsidRPr="00C46348">
        <w:tab/>
        <w:t xml:space="preserve">Denys, S., et al., </w:t>
      </w:r>
      <w:r w:rsidRPr="00C46348">
        <w:rPr>
          <w:i/>
        </w:rPr>
        <w:t>Is the fresh water fish consumption a significant determinant of the internal exposure to perfluoroalkylated substances (PFAS)?</w:t>
      </w:r>
      <w:r w:rsidRPr="00C46348">
        <w:t xml:space="preserve"> Toxicol Lett, 2014. </w:t>
      </w:r>
      <w:r w:rsidRPr="00C46348">
        <w:rPr>
          <w:b/>
        </w:rPr>
        <w:t>231</w:t>
      </w:r>
      <w:r w:rsidRPr="00C46348">
        <w:t>(2): p. 233-8.</w:t>
      </w:r>
    </w:p>
    <w:p w:rsidRPr="00C46348" w:rsidR="00C46348" w:rsidP="00C46348" w:rsidRDefault="00C46348" w14:paraId="710570E9" w14:textId="77777777">
      <w:pPr>
        <w:pStyle w:val="EndNoteBibliography"/>
        <w:spacing w:after="0"/>
        <w:ind w:left="720" w:hanging="720"/>
      </w:pPr>
      <w:r w:rsidRPr="00C46348">
        <w:t>22.</w:t>
      </w:r>
      <w:r w:rsidRPr="00C46348">
        <w:tab/>
        <w:t xml:space="preserve">Shu, H., et al., </w:t>
      </w:r>
      <w:r w:rsidRPr="00C46348">
        <w:rPr>
          <w:i/>
        </w:rPr>
        <w:t>Temporal trends and predictors of perfluoroalkyl substances serum levels in Swedish pregnant women in the SELMA study.</w:t>
      </w:r>
      <w:r w:rsidRPr="00C46348">
        <w:t xml:space="preserve"> PLoS One, 2018. </w:t>
      </w:r>
      <w:r w:rsidRPr="00C46348">
        <w:rPr>
          <w:b/>
        </w:rPr>
        <w:t>13</w:t>
      </w:r>
      <w:r w:rsidRPr="00C46348">
        <w:t>(12): p. e0209255.</w:t>
      </w:r>
    </w:p>
    <w:p w:rsidRPr="00C46348" w:rsidR="00C46348" w:rsidP="00C46348" w:rsidRDefault="00C46348" w14:paraId="373D31A0" w14:textId="77777777">
      <w:pPr>
        <w:pStyle w:val="EndNoteBibliography"/>
        <w:spacing w:after="0"/>
        <w:ind w:left="720" w:hanging="720"/>
      </w:pPr>
      <w:r w:rsidRPr="00C46348">
        <w:t>23.</w:t>
      </w:r>
      <w:r w:rsidRPr="00C46348">
        <w:tab/>
        <w:t xml:space="preserve">Hansen, S., et al., </w:t>
      </w:r>
      <w:r w:rsidRPr="00C46348">
        <w:rPr>
          <w:i/>
        </w:rPr>
        <w:t>Exposure to per- and polyfluoroalkyl substances through the consumption of fish from lakes affected by aqueous film-forming foam emissions - A combined epidemiological and exposure modeling approach. The SAMINOR 2 Clinical Study.</w:t>
      </w:r>
      <w:r w:rsidRPr="00C46348">
        <w:t xml:space="preserve"> Environ Int, 2016. </w:t>
      </w:r>
      <w:r w:rsidRPr="00C46348">
        <w:rPr>
          <w:b/>
        </w:rPr>
        <w:t>94</w:t>
      </w:r>
      <w:r w:rsidRPr="00C46348">
        <w:t>: p. 272-82.</w:t>
      </w:r>
    </w:p>
    <w:p w:rsidRPr="00C46348" w:rsidR="00C46348" w:rsidP="00C46348" w:rsidRDefault="00C46348" w14:paraId="07DB2F67" w14:textId="77777777">
      <w:pPr>
        <w:pStyle w:val="EndNoteBibliography"/>
        <w:spacing w:after="0"/>
        <w:ind w:left="720" w:hanging="720"/>
      </w:pPr>
      <w:r w:rsidRPr="00C46348">
        <w:t>24.</w:t>
      </w:r>
      <w:r w:rsidRPr="00C46348">
        <w:tab/>
        <w:t xml:space="preserve">Ghisi, R., T. Vamerali, and S. Manzetti, </w:t>
      </w:r>
      <w:r w:rsidRPr="00C46348">
        <w:rPr>
          <w:i/>
        </w:rPr>
        <w:t>Accumulation of perfluorinated alkyl substances (PFAS) in agricultural plants: A review.</w:t>
      </w:r>
      <w:r w:rsidRPr="00C46348">
        <w:t xml:space="preserve"> Environ Res, 2019. </w:t>
      </w:r>
      <w:r w:rsidRPr="00C46348">
        <w:rPr>
          <w:b/>
        </w:rPr>
        <w:t>169</w:t>
      </w:r>
      <w:r w:rsidRPr="00C46348">
        <w:t>: p. 326-341.</w:t>
      </w:r>
    </w:p>
    <w:p w:rsidRPr="00C46348" w:rsidR="00C46348" w:rsidP="00C46348" w:rsidRDefault="00C46348" w14:paraId="6A670041" w14:textId="77777777">
      <w:pPr>
        <w:pStyle w:val="EndNoteBibliography"/>
        <w:spacing w:after="0"/>
        <w:ind w:left="720" w:hanging="720"/>
      </w:pPr>
      <w:r w:rsidRPr="00C46348">
        <w:t>25.</w:t>
      </w:r>
      <w:r w:rsidRPr="00C46348">
        <w:tab/>
        <w:t xml:space="preserve">Emmett, E.A., et al., </w:t>
      </w:r>
      <w:r w:rsidRPr="00C46348">
        <w:rPr>
          <w:i/>
        </w:rPr>
        <w:t>Community exposure to perfluorooctanoate: relationships between serum levels and certain health parameters.</w:t>
      </w:r>
      <w:r w:rsidRPr="00C46348">
        <w:t xml:space="preserve"> J Occup Environ Med, 2006. </w:t>
      </w:r>
      <w:r w:rsidRPr="00C46348">
        <w:rPr>
          <w:b/>
        </w:rPr>
        <w:t>48</w:t>
      </w:r>
      <w:r w:rsidRPr="00C46348">
        <w:t>(8): p. 771-9.</w:t>
      </w:r>
    </w:p>
    <w:p w:rsidRPr="00C46348" w:rsidR="00C46348" w:rsidP="00C46348" w:rsidRDefault="00C46348" w14:paraId="77B02553" w14:textId="77777777">
      <w:pPr>
        <w:pStyle w:val="EndNoteBibliography"/>
        <w:spacing w:after="0"/>
        <w:ind w:left="720" w:hanging="720"/>
      </w:pPr>
      <w:r w:rsidRPr="00C46348">
        <w:t>26.</w:t>
      </w:r>
      <w:r w:rsidRPr="00C46348">
        <w:tab/>
        <w:t xml:space="preserve">Goeden, H.M., C.W. Greene, and J.A. Jacobus, </w:t>
      </w:r>
      <w:r w:rsidRPr="00C46348">
        <w:rPr>
          <w:i/>
        </w:rPr>
        <w:t>A transgenerational toxicokinetic model and its use in derivation of Minnesota PFOA water guidance.</w:t>
      </w:r>
      <w:r w:rsidRPr="00C46348">
        <w:t xml:space="preserve"> J Expo Sci Environ Epidemiol, 2019. </w:t>
      </w:r>
      <w:r w:rsidRPr="00C46348">
        <w:rPr>
          <w:b/>
        </w:rPr>
        <w:t>29</w:t>
      </w:r>
      <w:r w:rsidRPr="00C46348">
        <w:t>(2): p. 183-195.</w:t>
      </w:r>
    </w:p>
    <w:p w:rsidRPr="00C46348" w:rsidR="00C46348" w:rsidP="00C46348" w:rsidRDefault="00C46348" w14:paraId="58CB82EF" w14:textId="77777777">
      <w:pPr>
        <w:pStyle w:val="EndNoteBibliography"/>
        <w:spacing w:after="0"/>
        <w:ind w:left="720" w:hanging="720"/>
      </w:pPr>
      <w:r w:rsidRPr="00C46348">
        <w:t>27.</w:t>
      </w:r>
      <w:r w:rsidRPr="00C46348">
        <w:tab/>
        <w:t xml:space="preserve">Apelberg, B.J., et al., </w:t>
      </w:r>
      <w:r w:rsidRPr="00C46348">
        <w:rPr>
          <w:i/>
        </w:rPr>
        <w:t>Cord serum concentrations of perfluorooctane sulfonate (PFOS) and perfluorooctanoate (PFOA) in relation to weight and size at birth.</w:t>
      </w:r>
      <w:r w:rsidRPr="00C46348">
        <w:t xml:space="preserve"> Environ Health Perspect, 2007. </w:t>
      </w:r>
      <w:r w:rsidRPr="00C46348">
        <w:rPr>
          <w:b/>
        </w:rPr>
        <w:t>115</w:t>
      </w:r>
      <w:r w:rsidRPr="00C46348">
        <w:t>(11): p. 1670-6.</w:t>
      </w:r>
    </w:p>
    <w:p w:rsidRPr="00C46348" w:rsidR="00C46348" w:rsidP="00C46348" w:rsidRDefault="00C46348" w14:paraId="2D093A72" w14:textId="77777777">
      <w:pPr>
        <w:pStyle w:val="EndNoteBibliography"/>
        <w:spacing w:after="0"/>
        <w:ind w:left="720" w:hanging="720"/>
      </w:pPr>
      <w:r w:rsidRPr="00C46348">
        <w:t>28.</w:t>
      </w:r>
      <w:r w:rsidRPr="00C46348">
        <w:tab/>
        <w:t xml:space="preserve">Cao, W., et al., </w:t>
      </w:r>
      <w:r w:rsidRPr="00C46348">
        <w:rPr>
          <w:i/>
        </w:rPr>
        <w:t>Perfluoroalkyl substances in umbilical cord serum and gestational and postnatal growth in a Chinese birth cohort.</w:t>
      </w:r>
      <w:r w:rsidRPr="00C46348">
        <w:t xml:space="preserve"> Environ Int, 2018. </w:t>
      </w:r>
      <w:r w:rsidRPr="00C46348">
        <w:rPr>
          <w:b/>
        </w:rPr>
        <w:t>116</w:t>
      </w:r>
      <w:r w:rsidRPr="00C46348">
        <w:t>: p. 197-205.</w:t>
      </w:r>
    </w:p>
    <w:p w:rsidRPr="00C46348" w:rsidR="00C46348" w:rsidP="00C46348" w:rsidRDefault="00C46348" w14:paraId="6D89FF04" w14:textId="77777777">
      <w:pPr>
        <w:pStyle w:val="EndNoteBibliography"/>
        <w:spacing w:after="0"/>
        <w:ind w:left="720" w:hanging="720"/>
      </w:pPr>
      <w:r w:rsidRPr="00C46348">
        <w:t>29.</w:t>
      </w:r>
      <w:r w:rsidRPr="00C46348">
        <w:tab/>
        <w:t xml:space="preserve">Chen, M.H., et al., </w:t>
      </w:r>
      <w:r w:rsidRPr="00C46348">
        <w:rPr>
          <w:i/>
        </w:rPr>
        <w:t>Perfluorinated compound levels in cord blood and neurodevelopment at 2 years of age.</w:t>
      </w:r>
      <w:r w:rsidRPr="00C46348">
        <w:t xml:space="preserve"> Epidemiology, 2013. </w:t>
      </w:r>
      <w:r w:rsidRPr="00C46348">
        <w:rPr>
          <w:b/>
        </w:rPr>
        <w:t>24</w:t>
      </w:r>
      <w:r w:rsidRPr="00C46348">
        <w:t>(6): p. 800-8.</w:t>
      </w:r>
    </w:p>
    <w:p w:rsidRPr="00C46348" w:rsidR="00C46348" w:rsidP="00C46348" w:rsidRDefault="00C46348" w14:paraId="178E2906" w14:textId="77777777">
      <w:pPr>
        <w:pStyle w:val="EndNoteBibliography"/>
        <w:spacing w:after="0"/>
        <w:ind w:left="720" w:hanging="720"/>
      </w:pPr>
      <w:r w:rsidRPr="00C46348">
        <w:t>30.</w:t>
      </w:r>
      <w:r w:rsidRPr="00C46348">
        <w:tab/>
        <w:t xml:space="preserve">Hoyer, B.B., et al., </w:t>
      </w:r>
      <w:r w:rsidRPr="00C46348">
        <w:rPr>
          <w:i/>
        </w:rPr>
        <w:t>Exposure to perfluoroalkyl substances during pregnancy and child behaviour at 5 to 9years of age.</w:t>
      </w:r>
      <w:r w:rsidRPr="00C46348">
        <w:t xml:space="preserve"> Horm Behav, 2017.</w:t>
      </w:r>
    </w:p>
    <w:p w:rsidRPr="00C46348" w:rsidR="00C46348" w:rsidP="00C46348" w:rsidRDefault="00C46348" w14:paraId="60715BA6" w14:textId="77777777">
      <w:pPr>
        <w:pStyle w:val="EndNoteBibliography"/>
        <w:spacing w:after="0"/>
        <w:ind w:left="720" w:hanging="720"/>
      </w:pPr>
      <w:r w:rsidRPr="00C46348">
        <w:t>31.</w:t>
      </w:r>
      <w:r w:rsidRPr="00C46348">
        <w:tab/>
        <w:t xml:space="preserve">Lien, G.W., et al., </w:t>
      </w:r>
      <w:r w:rsidRPr="00C46348">
        <w:rPr>
          <w:i/>
        </w:rPr>
        <w:t>Perfluoroalkyl substances in cord blood and attention deficit/hyperactivity disorder symptoms in seven-year-old children.</w:t>
      </w:r>
      <w:r w:rsidRPr="00C46348">
        <w:t xml:space="preserve"> Chemosphere, 2016. </w:t>
      </w:r>
      <w:r w:rsidRPr="00C46348">
        <w:rPr>
          <w:b/>
        </w:rPr>
        <w:t>156</w:t>
      </w:r>
      <w:r w:rsidRPr="00C46348">
        <w:t>: p. 118-127.</w:t>
      </w:r>
    </w:p>
    <w:p w:rsidRPr="00C46348" w:rsidR="00C46348" w:rsidP="00C46348" w:rsidRDefault="00C46348" w14:paraId="4BED937A" w14:textId="77777777">
      <w:pPr>
        <w:pStyle w:val="EndNoteBibliography"/>
        <w:spacing w:after="0"/>
        <w:ind w:left="720" w:hanging="720"/>
      </w:pPr>
      <w:r w:rsidRPr="00C46348">
        <w:t>32.</w:t>
      </w:r>
      <w:r w:rsidRPr="00C46348">
        <w:tab/>
        <w:t xml:space="preserve">Oulhote, Y., et al., </w:t>
      </w:r>
      <w:r w:rsidRPr="00C46348">
        <w:rPr>
          <w:i/>
        </w:rPr>
        <w:t>Behavioral difficulties in 7-year old children in relation to developmental exposure to perfluorinated alkyl substances.</w:t>
      </w:r>
      <w:r w:rsidRPr="00C46348">
        <w:t xml:space="preserve"> Environ Int, 2016.</w:t>
      </w:r>
    </w:p>
    <w:p w:rsidRPr="00C46348" w:rsidR="00C46348" w:rsidP="00C46348" w:rsidRDefault="00C46348" w14:paraId="42E86DCD" w14:textId="77777777">
      <w:pPr>
        <w:pStyle w:val="EndNoteBibliography"/>
        <w:spacing w:after="0"/>
        <w:ind w:left="720" w:hanging="720"/>
      </w:pPr>
      <w:r w:rsidRPr="00C46348">
        <w:t>33.</w:t>
      </w:r>
      <w:r w:rsidRPr="00C46348">
        <w:tab/>
        <w:t xml:space="preserve">Fei, C., et al., </w:t>
      </w:r>
      <w:r w:rsidRPr="00C46348">
        <w:rPr>
          <w:i/>
        </w:rPr>
        <w:t>Maternal levels of perfluorinated chemicals and subfecundity.</w:t>
      </w:r>
      <w:r w:rsidRPr="00C46348">
        <w:t xml:space="preserve"> Hum Reprod, 2009. </w:t>
      </w:r>
      <w:r w:rsidRPr="00C46348">
        <w:rPr>
          <w:b/>
        </w:rPr>
        <w:t>24</w:t>
      </w:r>
      <w:r w:rsidRPr="00C46348">
        <w:t>(5): p. 1200-5.</w:t>
      </w:r>
    </w:p>
    <w:p w:rsidRPr="00C46348" w:rsidR="00C46348" w:rsidP="00C46348" w:rsidRDefault="00C46348" w14:paraId="71B29308" w14:textId="77777777">
      <w:pPr>
        <w:pStyle w:val="EndNoteBibliography"/>
        <w:spacing w:after="0"/>
        <w:ind w:left="720" w:hanging="720"/>
      </w:pPr>
      <w:r w:rsidRPr="00C46348">
        <w:t>34.</w:t>
      </w:r>
      <w:r w:rsidRPr="00C46348">
        <w:tab/>
        <w:t xml:space="preserve">Wang, B., et al., </w:t>
      </w:r>
      <w:r w:rsidRPr="00C46348">
        <w:rPr>
          <w:i/>
        </w:rPr>
        <w:t>Perfluoroalkyl substances and endometriosis-related infertility in Chinese women.</w:t>
      </w:r>
      <w:r w:rsidRPr="00C46348">
        <w:t xml:space="preserve"> Environ Int, 2017.</w:t>
      </w:r>
    </w:p>
    <w:p w:rsidRPr="00C46348" w:rsidR="00C46348" w:rsidP="00C46348" w:rsidRDefault="00C46348" w14:paraId="14C3D943" w14:textId="77777777">
      <w:pPr>
        <w:pStyle w:val="EndNoteBibliography"/>
        <w:spacing w:after="0"/>
        <w:ind w:left="720" w:hanging="720"/>
      </w:pPr>
      <w:r w:rsidRPr="00C46348">
        <w:t>35.</w:t>
      </w:r>
      <w:r w:rsidRPr="00C46348">
        <w:tab/>
        <w:t xml:space="preserve">Joensen, U.N., et al., </w:t>
      </w:r>
      <w:r w:rsidRPr="00C46348">
        <w:rPr>
          <w:i/>
        </w:rPr>
        <w:t>PFOS (perfluorooctanesulfonate) in serum is negatively associated with testosterone levels, but not with semen quality, in healthy men.</w:t>
      </w:r>
      <w:r w:rsidRPr="00C46348">
        <w:t xml:space="preserve"> Hum Reprod, 2013. </w:t>
      </w:r>
      <w:r w:rsidRPr="00C46348">
        <w:rPr>
          <w:b/>
        </w:rPr>
        <w:t>28</w:t>
      </w:r>
      <w:r w:rsidRPr="00C46348">
        <w:t>(3): p. 599-608.</w:t>
      </w:r>
    </w:p>
    <w:p w:rsidRPr="00C46348" w:rsidR="00C46348" w:rsidP="00C46348" w:rsidRDefault="00C46348" w14:paraId="20B053FE" w14:textId="77777777">
      <w:pPr>
        <w:pStyle w:val="EndNoteBibliography"/>
        <w:spacing w:after="0"/>
        <w:ind w:left="720" w:hanging="720"/>
      </w:pPr>
      <w:r w:rsidRPr="00C46348">
        <w:t>36.</w:t>
      </w:r>
      <w:r w:rsidRPr="00C46348">
        <w:tab/>
        <w:t xml:space="preserve">Zhou, Y., et al., </w:t>
      </w:r>
      <w:r w:rsidRPr="00C46348">
        <w:rPr>
          <w:i/>
        </w:rPr>
        <w:t>Interaction effects of polyfluoroalkyl substances and sex steroid hormones on asthma among children.</w:t>
      </w:r>
      <w:r w:rsidRPr="00C46348">
        <w:t xml:space="preserve"> Sci Rep, 2017. </w:t>
      </w:r>
      <w:r w:rsidRPr="00C46348">
        <w:rPr>
          <w:b/>
        </w:rPr>
        <w:t>7</w:t>
      </w:r>
      <w:r w:rsidRPr="00C46348">
        <w:t>(1): p. 899.</w:t>
      </w:r>
    </w:p>
    <w:p w:rsidRPr="00C46348" w:rsidR="00C46348" w:rsidP="00C46348" w:rsidRDefault="00C46348" w14:paraId="49F6D563" w14:textId="77777777">
      <w:pPr>
        <w:pStyle w:val="EndNoteBibliography"/>
        <w:spacing w:after="0"/>
        <w:ind w:left="720" w:hanging="720"/>
      </w:pPr>
      <w:r w:rsidRPr="00C46348">
        <w:lastRenderedPageBreak/>
        <w:t>37.</w:t>
      </w:r>
      <w:r w:rsidRPr="00C46348">
        <w:tab/>
        <w:t xml:space="preserve">Liu, H.S., et al., </w:t>
      </w:r>
      <w:r w:rsidRPr="00C46348">
        <w:rPr>
          <w:i/>
        </w:rPr>
        <w:t>Association among total serum isomers of perfluorinated chemicals, glucose homeostasis, lipid profiles, serum protein and metabolic syndrome in adults: NHANES, 2013-2014.</w:t>
      </w:r>
      <w:r w:rsidRPr="00C46348">
        <w:t xml:space="preserve"> Environ Pollut, 2017.</w:t>
      </w:r>
    </w:p>
    <w:p w:rsidRPr="00C46348" w:rsidR="00C46348" w:rsidP="00C46348" w:rsidRDefault="00C46348" w14:paraId="46447653" w14:textId="77777777">
      <w:pPr>
        <w:pStyle w:val="EndNoteBibliography"/>
        <w:spacing w:after="0"/>
        <w:ind w:left="720" w:hanging="720"/>
      </w:pPr>
      <w:r w:rsidRPr="00C46348">
        <w:t>38.</w:t>
      </w:r>
      <w:r w:rsidRPr="00C46348">
        <w:tab/>
        <w:t xml:space="preserve">Mora, A.M., et al., </w:t>
      </w:r>
      <w:r w:rsidRPr="00C46348">
        <w:rPr>
          <w:i/>
        </w:rPr>
        <w:t>Early life exposure to per- and polyfluoroalkyl substances and mid-childhood lipid and alanine aminotransferase levels.</w:t>
      </w:r>
      <w:r w:rsidRPr="00C46348">
        <w:t xml:space="preserve"> Environ Int, 2017. </w:t>
      </w:r>
      <w:r w:rsidRPr="00C46348">
        <w:rPr>
          <w:b/>
        </w:rPr>
        <w:t>111</w:t>
      </w:r>
      <w:r w:rsidRPr="00C46348">
        <w:t>: p. 1-13.</w:t>
      </w:r>
    </w:p>
    <w:p w:rsidRPr="00C46348" w:rsidR="00C46348" w:rsidP="00C46348" w:rsidRDefault="00C46348" w14:paraId="75F742DB" w14:textId="77777777">
      <w:pPr>
        <w:pStyle w:val="EndNoteBibliography"/>
        <w:spacing w:after="0"/>
        <w:ind w:left="720" w:hanging="720"/>
      </w:pPr>
      <w:r w:rsidRPr="00C46348">
        <w:t>39.</w:t>
      </w:r>
      <w:r w:rsidRPr="00C46348">
        <w:tab/>
        <w:t xml:space="preserve">Steenland, K., et al., </w:t>
      </w:r>
      <w:r w:rsidRPr="00C46348">
        <w:rPr>
          <w:i/>
        </w:rPr>
        <w:t>Association of perfluorooctanoic acid and perfluorooctane sulfonate with serum lipids among adults living near a chemical plant.</w:t>
      </w:r>
      <w:r w:rsidRPr="00C46348">
        <w:t xml:space="preserve"> Am J Epidemiol, 2009. </w:t>
      </w:r>
      <w:r w:rsidRPr="00C46348">
        <w:rPr>
          <w:b/>
        </w:rPr>
        <w:t>170</w:t>
      </w:r>
      <w:r w:rsidRPr="00C46348">
        <w:t>(10): p. 1268-78.</w:t>
      </w:r>
    </w:p>
    <w:p w:rsidRPr="00C46348" w:rsidR="00C46348" w:rsidP="00C46348" w:rsidRDefault="00C46348" w14:paraId="088CA5B9" w14:textId="77777777">
      <w:pPr>
        <w:pStyle w:val="EndNoteBibliography"/>
        <w:spacing w:after="0"/>
        <w:ind w:left="720" w:hanging="720"/>
      </w:pPr>
      <w:r w:rsidRPr="00C46348">
        <w:t>40.</w:t>
      </w:r>
      <w:r w:rsidRPr="00C46348">
        <w:tab/>
        <w:t xml:space="preserve">Frisbee, S.J., et al., </w:t>
      </w:r>
      <w:r w:rsidRPr="00C46348">
        <w:rPr>
          <w:i/>
        </w:rPr>
        <w:t>Perfluorooctanoic acid, perfluorooctanesulfonate, and serum lipids in children and adolescents: results from the C8 Health Project.</w:t>
      </w:r>
      <w:r w:rsidRPr="00C46348">
        <w:t xml:space="preserve"> Arch Pediatr Adolesc Med, 2010. </w:t>
      </w:r>
      <w:r w:rsidRPr="00C46348">
        <w:rPr>
          <w:b/>
        </w:rPr>
        <w:t>164</w:t>
      </w:r>
      <w:r w:rsidRPr="00C46348">
        <w:t>(9): p. 860-9.</w:t>
      </w:r>
    </w:p>
    <w:p w:rsidRPr="00C46348" w:rsidR="00C46348" w:rsidP="00C46348" w:rsidRDefault="00C46348" w14:paraId="6DDE5E9C" w14:textId="77777777">
      <w:pPr>
        <w:pStyle w:val="EndNoteBibliography"/>
        <w:spacing w:after="0"/>
        <w:ind w:left="720" w:hanging="720"/>
      </w:pPr>
      <w:r w:rsidRPr="00C46348">
        <w:t>41.</w:t>
      </w:r>
      <w:r w:rsidRPr="00C46348">
        <w:tab/>
        <w:t xml:space="preserve">Grandjean, P., et al., </w:t>
      </w:r>
      <w:r w:rsidRPr="00C46348">
        <w:rPr>
          <w:i/>
        </w:rPr>
        <w:t>Serum vaccine antibody concentrations in children exposed to perfluorinated compounds.</w:t>
      </w:r>
      <w:r w:rsidRPr="00C46348">
        <w:t xml:space="preserve"> Jama, 2012. </w:t>
      </w:r>
      <w:r w:rsidRPr="00C46348">
        <w:rPr>
          <w:b/>
        </w:rPr>
        <w:t>307</w:t>
      </w:r>
      <w:r w:rsidRPr="00C46348">
        <w:t>(4): p. 391-7.</w:t>
      </w:r>
    </w:p>
    <w:p w:rsidRPr="00C46348" w:rsidR="00C46348" w:rsidP="00C46348" w:rsidRDefault="00C46348" w14:paraId="6DF3B915" w14:textId="77777777">
      <w:pPr>
        <w:pStyle w:val="EndNoteBibliography"/>
        <w:spacing w:after="0"/>
        <w:ind w:left="720" w:hanging="720"/>
      </w:pPr>
      <w:r w:rsidRPr="00C46348">
        <w:t>42.</w:t>
      </w:r>
      <w:r w:rsidRPr="00C46348">
        <w:tab/>
        <w:t xml:space="preserve">Grandjean, P. and R. Clapp, </w:t>
      </w:r>
      <w:r w:rsidRPr="00C46348">
        <w:rPr>
          <w:i/>
        </w:rPr>
        <w:t>Perfluorinated Alkyl Substances: Emerging Insights Into Health Risks.</w:t>
      </w:r>
      <w:r w:rsidRPr="00C46348">
        <w:t xml:space="preserve"> New Solut, 2015. </w:t>
      </w:r>
      <w:r w:rsidRPr="00C46348">
        <w:rPr>
          <w:b/>
        </w:rPr>
        <w:t>25</w:t>
      </w:r>
      <w:r w:rsidRPr="00C46348">
        <w:t>(2): p. 147-63.</w:t>
      </w:r>
    </w:p>
    <w:p w:rsidRPr="00C46348" w:rsidR="00C46348" w:rsidP="00C46348" w:rsidRDefault="00C46348" w14:paraId="52319A36" w14:textId="77777777">
      <w:pPr>
        <w:pStyle w:val="EndNoteBibliography"/>
        <w:spacing w:after="0"/>
        <w:ind w:left="720" w:hanging="720"/>
      </w:pPr>
      <w:r w:rsidRPr="00C46348">
        <w:t>43.</w:t>
      </w:r>
      <w:r w:rsidRPr="00C46348">
        <w:tab/>
        <w:t xml:space="preserve">Dalsager, L., et al., </w:t>
      </w:r>
      <w:r w:rsidRPr="00C46348">
        <w:rPr>
          <w:i/>
        </w:rPr>
        <w:t>Association between prenatal exposure to perfluorinated compounds and symptoms of infections at age 1-4years among 359 children in the Odense Child Cohort.</w:t>
      </w:r>
      <w:r w:rsidRPr="00C46348">
        <w:t xml:space="preserve"> Environ Int, 2016. </w:t>
      </w:r>
      <w:r w:rsidRPr="00C46348">
        <w:rPr>
          <w:b/>
        </w:rPr>
        <w:t>96</w:t>
      </w:r>
      <w:r w:rsidRPr="00C46348">
        <w:t>: p. 58-64.</w:t>
      </w:r>
    </w:p>
    <w:p w:rsidRPr="00C46348" w:rsidR="00C46348" w:rsidP="00C46348" w:rsidRDefault="00C46348" w14:paraId="24A95885" w14:textId="77777777">
      <w:pPr>
        <w:pStyle w:val="EndNoteBibliography"/>
        <w:spacing w:after="0"/>
        <w:ind w:left="720" w:hanging="720"/>
      </w:pPr>
      <w:r w:rsidRPr="00C46348">
        <w:t>44.</w:t>
      </w:r>
      <w:r w:rsidRPr="00C46348">
        <w:tab/>
        <w:t xml:space="preserve">Timmermann, C.A., et al., </w:t>
      </w:r>
      <w:r w:rsidRPr="00C46348">
        <w:rPr>
          <w:i/>
        </w:rPr>
        <w:t>Association between perfluoroalkyl substance exposure and asthma and allergic disease in children as modified by MMR vaccination.</w:t>
      </w:r>
      <w:r w:rsidRPr="00C46348">
        <w:t xml:space="preserve"> J Immunotoxicol, 2017. </w:t>
      </w:r>
      <w:r w:rsidRPr="00C46348">
        <w:rPr>
          <w:b/>
        </w:rPr>
        <w:t>14</w:t>
      </w:r>
      <w:r w:rsidRPr="00C46348">
        <w:t>(1): p. 39-49.</w:t>
      </w:r>
    </w:p>
    <w:p w:rsidRPr="00C46348" w:rsidR="00C46348" w:rsidP="00C46348" w:rsidRDefault="00C46348" w14:paraId="0A5BFA23" w14:textId="77777777">
      <w:pPr>
        <w:pStyle w:val="EndNoteBibliography"/>
        <w:spacing w:after="0"/>
        <w:ind w:left="720" w:hanging="720"/>
      </w:pPr>
      <w:r w:rsidRPr="00C46348">
        <w:t>45.</w:t>
      </w:r>
      <w:r w:rsidRPr="00C46348">
        <w:tab/>
        <w:t xml:space="preserve">Oulhote, Y., et al., </w:t>
      </w:r>
      <w:r w:rsidRPr="00C46348">
        <w:rPr>
          <w:i/>
        </w:rPr>
        <w:t>Children's white blood cell counts in relation to developmental exposures to methylmercury and persistent organic pollutants.</w:t>
      </w:r>
      <w:r w:rsidRPr="00C46348">
        <w:t xml:space="preserve"> Reprod Toxicol, 2017. </w:t>
      </w:r>
      <w:r w:rsidRPr="00C46348">
        <w:rPr>
          <w:b/>
        </w:rPr>
        <w:t>68</w:t>
      </w:r>
      <w:r w:rsidRPr="00C46348">
        <w:t>: p. 207-214.</w:t>
      </w:r>
    </w:p>
    <w:p w:rsidRPr="00C46348" w:rsidR="00C46348" w:rsidP="00C46348" w:rsidRDefault="00C46348" w14:paraId="2300549B" w14:textId="77777777">
      <w:pPr>
        <w:pStyle w:val="EndNoteBibliography"/>
        <w:spacing w:after="0"/>
        <w:ind w:left="720" w:hanging="720"/>
      </w:pPr>
      <w:r w:rsidRPr="00C46348">
        <w:t>46.</w:t>
      </w:r>
      <w:r w:rsidRPr="00C46348">
        <w:tab/>
        <w:t xml:space="preserve">Benbrahim-Tallaa, L., et al., </w:t>
      </w:r>
      <w:r w:rsidRPr="00C46348">
        <w:rPr>
          <w:i/>
        </w:rPr>
        <w:t>Carcinogenicity of perfluorooctanoic acid, tetrafluoroethylene, dichloromethane, 1,2-dichloropropane, and 1,3-propane sultone.</w:t>
      </w:r>
      <w:r w:rsidRPr="00C46348">
        <w:t xml:space="preserve"> Lancet Oncol, 2014. </w:t>
      </w:r>
      <w:r w:rsidRPr="00C46348">
        <w:rPr>
          <w:b/>
        </w:rPr>
        <w:t>15</w:t>
      </w:r>
      <w:r w:rsidRPr="00C46348">
        <w:t>(9): p. 924-5.</w:t>
      </w:r>
    </w:p>
    <w:p w:rsidRPr="00C46348" w:rsidR="00C46348" w:rsidP="00C46348" w:rsidRDefault="00C46348" w14:paraId="324456D7" w14:textId="77777777">
      <w:pPr>
        <w:pStyle w:val="EndNoteBibliography"/>
        <w:spacing w:after="0"/>
        <w:ind w:left="720" w:hanging="720"/>
      </w:pPr>
      <w:r w:rsidRPr="00C46348">
        <w:t>47.</w:t>
      </w:r>
      <w:r w:rsidRPr="00C46348">
        <w:tab/>
        <w:t xml:space="preserve">Fitz-Simon, N., et al., </w:t>
      </w:r>
      <w:r w:rsidRPr="00C46348">
        <w:rPr>
          <w:i/>
        </w:rPr>
        <w:t>Reductions in serum lipids with a 4-year decline in serum perfluorooctanoic acid and perfluorooctanesulfonic acid.</w:t>
      </w:r>
      <w:r w:rsidRPr="00C46348">
        <w:t xml:space="preserve"> Epidemiology, 2013. </w:t>
      </w:r>
      <w:r w:rsidRPr="00C46348">
        <w:rPr>
          <w:b/>
        </w:rPr>
        <w:t>24</w:t>
      </w:r>
      <w:r w:rsidRPr="00C46348">
        <w:t>(4): p. 569-76.</w:t>
      </w:r>
    </w:p>
    <w:p w:rsidRPr="00C46348" w:rsidR="00C46348" w:rsidP="00C46348" w:rsidRDefault="00C46348" w14:paraId="4F3FA95B" w14:textId="77777777">
      <w:pPr>
        <w:pStyle w:val="EndNoteBibliography"/>
        <w:spacing w:after="0"/>
        <w:ind w:left="720" w:hanging="720"/>
      </w:pPr>
      <w:r w:rsidRPr="00C46348">
        <w:t>48.</w:t>
      </w:r>
      <w:r w:rsidRPr="00C46348">
        <w:tab/>
        <w:t xml:space="preserve">Olsen, G.W. and L.R. Zobel, </w:t>
      </w:r>
      <w:r w:rsidRPr="00C46348">
        <w:rPr>
          <w:i/>
        </w:rPr>
        <w:t>Assessment of lipid, hepatic, and thyroid parameters with serum perfluorooctanoate (PFOA) concentrations in fluorochemical production workers.</w:t>
      </w:r>
      <w:r w:rsidRPr="00C46348">
        <w:t xml:space="preserve"> Int Arch Occup Environ Health, 2007. </w:t>
      </w:r>
      <w:r w:rsidRPr="00C46348">
        <w:rPr>
          <w:b/>
        </w:rPr>
        <w:t>81</w:t>
      </w:r>
      <w:r w:rsidRPr="00C46348">
        <w:t>(2): p. 231-46.</w:t>
      </w:r>
    </w:p>
    <w:p w:rsidRPr="00C46348" w:rsidR="00C46348" w:rsidP="00C46348" w:rsidRDefault="00C46348" w14:paraId="06885342" w14:textId="77777777">
      <w:pPr>
        <w:pStyle w:val="EndNoteBibliography"/>
        <w:spacing w:after="0"/>
        <w:ind w:left="720" w:hanging="720"/>
      </w:pPr>
      <w:r w:rsidRPr="00C46348">
        <w:t>49.</w:t>
      </w:r>
      <w:r w:rsidRPr="00C46348">
        <w:tab/>
        <w:t xml:space="preserve">Sakr, C.J., et al., </w:t>
      </w:r>
      <w:r w:rsidRPr="00C46348">
        <w:rPr>
          <w:i/>
        </w:rPr>
        <w:t>Cross-sectional study of lipids and liver enzymes related to a serum biomarker of exposure (ammonium perfluorooctanoate or APFO) as part of a general health survey in a cohort of occupationally exposed workers.</w:t>
      </w:r>
      <w:r w:rsidRPr="00C46348">
        <w:t xml:space="preserve"> J Occup Environ Med, 2007. </w:t>
      </w:r>
      <w:r w:rsidRPr="00C46348">
        <w:rPr>
          <w:b/>
        </w:rPr>
        <w:t>49</w:t>
      </w:r>
      <w:r w:rsidRPr="00C46348">
        <w:t>(10): p. 1086-96.</w:t>
      </w:r>
    </w:p>
    <w:p w:rsidRPr="00C46348" w:rsidR="00C46348" w:rsidP="00C46348" w:rsidRDefault="00C46348" w14:paraId="5FB96AE1" w14:textId="77777777">
      <w:pPr>
        <w:pStyle w:val="EndNoteBibliography"/>
        <w:spacing w:after="0"/>
        <w:ind w:left="720" w:hanging="720"/>
      </w:pPr>
      <w:r w:rsidRPr="00C46348">
        <w:t>50.</w:t>
      </w:r>
      <w:r w:rsidRPr="00C46348">
        <w:tab/>
        <w:t xml:space="preserve">Sakr, C.J., et al., </w:t>
      </w:r>
      <w:r w:rsidRPr="00C46348">
        <w:rPr>
          <w:i/>
        </w:rPr>
        <w:t>Longitudinal study of serum lipids and liver enzymes in workers with occupational exposure to ammonium perfluorooctanoate.</w:t>
      </w:r>
      <w:r w:rsidRPr="00C46348">
        <w:t xml:space="preserve"> J Occup Environ Med, 2007. </w:t>
      </w:r>
      <w:r w:rsidRPr="00C46348">
        <w:rPr>
          <w:b/>
        </w:rPr>
        <w:t>49</w:t>
      </w:r>
      <w:r w:rsidRPr="00C46348">
        <w:t>(8): p. 872-9.</w:t>
      </w:r>
    </w:p>
    <w:p w:rsidRPr="00C46348" w:rsidR="00C46348" w:rsidP="00C46348" w:rsidRDefault="00C46348" w14:paraId="664A499E" w14:textId="77777777">
      <w:pPr>
        <w:pStyle w:val="EndNoteBibliography"/>
        <w:spacing w:after="0"/>
        <w:ind w:left="720" w:hanging="720"/>
      </w:pPr>
      <w:r w:rsidRPr="00C46348">
        <w:t>51.</w:t>
      </w:r>
      <w:r w:rsidRPr="00C46348">
        <w:tab/>
        <w:t xml:space="preserve">Fletcher, T., et al., </w:t>
      </w:r>
      <w:r w:rsidRPr="00C46348">
        <w:rPr>
          <w:i/>
        </w:rPr>
        <w:t>Associations between PFOA, PFOS and changes in the expression of genes involved in cholesterol metabolism in humans.</w:t>
      </w:r>
      <w:r w:rsidRPr="00C46348">
        <w:t xml:space="preserve"> Environ Int, 2013. </w:t>
      </w:r>
      <w:r w:rsidRPr="00C46348">
        <w:rPr>
          <w:b/>
        </w:rPr>
        <w:t>57-58</w:t>
      </w:r>
      <w:r w:rsidRPr="00C46348">
        <w:t>: p. 2-10.</w:t>
      </w:r>
    </w:p>
    <w:p w:rsidRPr="00C46348" w:rsidR="00C46348" w:rsidP="00C46348" w:rsidRDefault="00C46348" w14:paraId="42E00461" w14:textId="77777777">
      <w:pPr>
        <w:pStyle w:val="EndNoteBibliography"/>
        <w:spacing w:after="0"/>
        <w:ind w:left="720" w:hanging="720"/>
      </w:pPr>
      <w:r w:rsidRPr="00C46348">
        <w:t>52.</w:t>
      </w:r>
      <w:r w:rsidRPr="00C46348">
        <w:tab/>
        <w:t xml:space="preserve">Gallo, V., et al., </w:t>
      </w:r>
      <w:r w:rsidRPr="00C46348">
        <w:rPr>
          <w:i/>
        </w:rPr>
        <w:t>Serum perfluorooctanoate (PFOA) and perfluorooctane sulfonate (PFOS) concentrations and liver function biomarkers in a population with elevated PFOA exposure.</w:t>
      </w:r>
      <w:r w:rsidRPr="00C46348">
        <w:t xml:space="preserve"> Environ Health Perspect, 2012. </w:t>
      </w:r>
      <w:r w:rsidRPr="00C46348">
        <w:rPr>
          <w:b/>
        </w:rPr>
        <w:t>120</w:t>
      </w:r>
      <w:r w:rsidRPr="00C46348">
        <w:t>(5): p. 655-60.</w:t>
      </w:r>
    </w:p>
    <w:p w:rsidRPr="00C46348" w:rsidR="00C46348" w:rsidP="00C46348" w:rsidRDefault="00C46348" w14:paraId="658C02F0" w14:textId="77777777">
      <w:pPr>
        <w:pStyle w:val="EndNoteBibliography"/>
        <w:spacing w:after="0"/>
        <w:ind w:left="720" w:hanging="720"/>
      </w:pPr>
      <w:r w:rsidRPr="00C46348">
        <w:lastRenderedPageBreak/>
        <w:t>53.</w:t>
      </w:r>
      <w:r w:rsidRPr="00C46348">
        <w:tab/>
        <w:t xml:space="preserve">Olsen, G.W., et al., </w:t>
      </w:r>
      <w:r w:rsidRPr="00C46348">
        <w:rPr>
          <w:i/>
        </w:rPr>
        <w:t>Plasma cholecystokinin and hepatic enzymes, cholesterol and lipoproteins in ammonium perfluorooctanoate production workers.</w:t>
      </w:r>
      <w:r w:rsidRPr="00C46348">
        <w:t xml:space="preserve"> Drug Chem Toxicol, 2000. </w:t>
      </w:r>
      <w:r w:rsidRPr="00C46348">
        <w:rPr>
          <w:b/>
        </w:rPr>
        <w:t>23</w:t>
      </w:r>
      <w:r w:rsidRPr="00C46348">
        <w:t>(4): p. 603-20.</w:t>
      </w:r>
    </w:p>
    <w:p w:rsidRPr="00C46348" w:rsidR="00C46348" w:rsidP="00C46348" w:rsidRDefault="00C46348" w14:paraId="2BE52047" w14:textId="77777777">
      <w:pPr>
        <w:pStyle w:val="EndNoteBibliography"/>
        <w:spacing w:after="0"/>
        <w:ind w:left="720" w:hanging="720"/>
      </w:pPr>
      <w:r w:rsidRPr="00C46348">
        <w:t>54.</w:t>
      </w:r>
      <w:r w:rsidRPr="00C46348">
        <w:tab/>
        <w:t xml:space="preserve">Vaughn, B., A. Winquist, and K. Steenland, </w:t>
      </w:r>
      <w:r w:rsidRPr="00C46348">
        <w:rPr>
          <w:i/>
        </w:rPr>
        <w:t>Perfluorooctanoic acid (PFOA) exposures and incident cancers among adults living near a chemical plant.</w:t>
      </w:r>
      <w:r w:rsidRPr="00C46348">
        <w:t xml:space="preserve"> Environ Health Perspect, 2013. </w:t>
      </w:r>
      <w:r w:rsidRPr="00C46348">
        <w:rPr>
          <w:b/>
        </w:rPr>
        <w:t>121</w:t>
      </w:r>
      <w:r w:rsidRPr="00C46348">
        <w:t>(11-12): p. 1313-8.</w:t>
      </w:r>
    </w:p>
    <w:p w:rsidRPr="00C46348" w:rsidR="00C46348" w:rsidP="00C46348" w:rsidRDefault="00C46348" w14:paraId="54E76D77" w14:textId="77777777">
      <w:pPr>
        <w:pStyle w:val="EndNoteBibliography"/>
        <w:spacing w:after="0"/>
        <w:ind w:left="720" w:hanging="720"/>
      </w:pPr>
      <w:r w:rsidRPr="00C46348">
        <w:t>55.</w:t>
      </w:r>
      <w:r w:rsidRPr="00C46348">
        <w:tab/>
        <w:t xml:space="preserve">Watkins, D.J., et al., </w:t>
      </w:r>
      <w:r w:rsidRPr="00C46348">
        <w:rPr>
          <w:i/>
        </w:rPr>
        <w:t>Exposure to perfluoroalkyl acids and markers of kidney function among children and adolescents living near a chemical plant.</w:t>
      </w:r>
      <w:r w:rsidRPr="00C46348">
        <w:t xml:space="preserve"> Environ Health Perspect, 2013. </w:t>
      </w:r>
      <w:r w:rsidRPr="00C46348">
        <w:rPr>
          <w:b/>
        </w:rPr>
        <w:t>121</w:t>
      </w:r>
      <w:r w:rsidRPr="00C46348">
        <w:t>(5): p. 625-30.</w:t>
      </w:r>
    </w:p>
    <w:p w:rsidRPr="00C46348" w:rsidR="00C46348" w:rsidP="00C46348" w:rsidRDefault="00C46348" w14:paraId="1B141DE2" w14:textId="77777777">
      <w:pPr>
        <w:pStyle w:val="EndNoteBibliography"/>
        <w:spacing w:after="0"/>
        <w:ind w:left="720" w:hanging="720"/>
      </w:pPr>
      <w:r w:rsidRPr="00C46348">
        <w:t>56.</w:t>
      </w:r>
      <w:r w:rsidRPr="00C46348">
        <w:tab/>
        <w:t xml:space="preserve">Gilliland, F.D. and J.S. Mandel, </w:t>
      </w:r>
      <w:r w:rsidRPr="00C46348">
        <w:rPr>
          <w:i/>
        </w:rPr>
        <w:t>Mortality among employees of a perfluorooctanoic acid production plant.</w:t>
      </w:r>
      <w:r w:rsidRPr="00C46348">
        <w:t xml:space="preserve"> J Occup Med, 1993. </w:t>
      </w:r>
      <w:r w:rsidRPr="00C46348">
        <w:rPr>
          <w:b/>
        </w:rPr>
        <w:t>35</w:t>
      </w:r>
      <w:r w:rsidRPr="00C46348">
        <w:t>(9): p. 950-4.</w:t>
      </w:r>
    </w:p>
    <w:p w:rsidRPr="00C46348" w:rsidR="00C46348" w:rsidP="00C46348" w:rsidRDefault="00C46348" w14:paraId="2756A871" w14:textId="77777777">
      <w:pPr>
        <w:pStyle w:val="EndNoteBibliography"/>
        <w:spacing w:after="0"/>
        <w:ind w:left="720" w:hanging="720"/>
      </w:pPr>
      <w:r w:rsidRPr="00C46348">
        <w:t>57.</w:t>
      </w:r>
      <w:r w:rsidRPr="00C46348">
        <w:tab/>
        <w:t xml:space="preserve">USEPA, </w:t>
      </w:r>
      <w:r w:rsidRPr="00C46348">
        <w:rPr>
          <w:i/>
        </w:rPr>
        <w:t>Draft Risk Assessment of the Potential Human Health Effects Associated with Exposure to PFOA and its Salts.</w:t>
      </w:r>
      <w:r w:rsidRPr="00C46348">
        <w:t xml:space="preserve"> Office of Pollution Prevention and Toxics, 2005.</w:t>
      </w:r>
    </w:p>
    <w:p w:rsidRPr="00C46348" w:rsidR="00C46348" w:rsidP="00C46348" w:rsidRDefault="00C46348" w14:paraId="1AC7A764" w14:textId="77777777">
      <w:pPr>
        <w:pStyle w:val="EndNoteBibliography"/>
        <w:spacing w:after="0"/>
        <w:ind w:left="720" w:hanging="720"/>
      </w:pPr>
      <w:r w:rsidRPr="00C46348">
        <w:t>58.</w:t>
      </w:r>
      <w:r w:rsidRPr="00C46348">
        <w:tab/>
        <w:t xml:space="preserve">Chiu, W.A., et al., </w:t>
      </w:r>
      <w:r w:rsidRPr="00C46348">
        <w:rPr>
          <w:i/>
        </w:rPr>
        <w:t>Use of high-throughput in vitro toxicity screening data in cancer hazard evaluations by IARC Monograph Working Groups.</w:t>
      </w:r>
      <w:r w:rsidRPr="00C46348">
        <w:t xml:space="preserve"> Altex, 2017.</w:t>
      </w:r>
    </w:p>
    <w:p w:rsidRPr="00C46348" w:rsidR="00C46348" w:rsidP="00C46348" w:rsidRDefault="00C46348" w14:paraId="1877A909" w14:textId="77777777">
      <w:pPr>
        <w:pStyle w:val="EndNoteBibliography"/>
        <w:spacing w:after="0"/>
        <w:ind w:left="720" w:hanging="720"/>
      </w:pPr>
      <w:r w:rsidRPr="00C46348">
        <w:t>59.</w:t>
      </w:r>
      <w:r w:rsidRPr="00C46348">
        <w:tab/>
        <w:t xml:space="preserve">Looker, C., et al., </w:t>
      </w:r>
      <w:r w:rsidRPr="00C46348">
        <w:rPr>
          <w:i/>
        </w:rPr>
        <w:t>Influenza vaccine response in adults exposed to perfluorooctanoate and perfluorooctanesulfonate.</w:t>
      </w:r>
      <w:r w:rsidRPr="00C46348">
        <w:t xml:space="preserve"> Toxicol Sci, 2014. </w:t>
      </w:r>
      <w:r w:rsidRPr="00C46348">
        <w:rPr>
          <w:b/>
        </w:rPr>
        <w:t>138</w:t>
      </w:r>
      <w:r w:rsidRPr="00C46348">
        <w:t>(1): p. 76-88.</w:t>
      </w:r>
    </w:p>
    <w:p w:rsidRPr="00C46348" w:rsidR="00C46348" w:rsidP="00C46348" w:rsidRDefault="00C46348" w14:paraId="09F07877" w14:textId="77777777">
      <w:pPr>
        <w:pStyle w:val="EndNoteBibliography"/>
        <w:spacing w:after="0"/>
        <w:ind w:left="720" w:hanging="720"/>
      </w:pPr>
      <w:r w:rsidRPr="00C46348">
        <w:t>60.</w:t>
      </w:r>
      <w:r w:rsidRPr="00C46348">
        <w:tab/>
        <w:t xml:space="preserve">Grandjean, P., et al., </w:t>
      </w:r>
      <w:r w:rsidRPr="00C46348">
        <w:rPr>
          <w:i/>
        </w:rPr>
        <w:t>Estimated exposures to perfluorinated compounds in infancy predict attenuated vaccine antibody concentrations at age 5-years.</w:t>
      </w:r>
      <w:r w:rsidRPr="00C46348">
        <w:t xml:space="preserve"> J Immunotoxicol, 2017. </w:t>
      </w:r>
      <w:r w:rsidRPr="00C46348">
        <w:rPr>
          <w:b/>
        </w:rPr>
        <w:t>14</w:t>
      </w:r>
      <w:r w:rsidRPr="00C46348">
        <w:t>(1): p. 188-195.</w:t>
      </w:r>
    </w:p>
    <w:p w:rsidRPr="00C46348" w:rsidR="00C46348" w:rsidP="00C46348" w:rsidRDefault="00C46348" w14:paraId="6A64870F" w14:textId="77777777">
      <w:pPr>
        <w:pStyle w:val="EndNoteBibliography"/>
        <w:spacing w:after="0"/>
        <w:ind w:left="720" w:hanging="720"/>
      </w:pPr>
      <w:r w:rsidRPr="00C46348">
        <w:t>61.</w:t>
      </w:r>
      <w:r w:rsidRPr="00C46348">
        <w:tab/>
        <w:t xml:space="preserve">Grandjean, P., et al., </w:t>
      </w:r>
      <w:r w:rsidRPr="00C46348">
        <w:rPr>
          <w:i/>
        </w:rPr>
        <w:t>Serum Vaccine Antibody Concentrations in Adolescents Exposed to Perfluorinated Compounds.</w:t>
      </w:r>
      <w:r w:rsidRPr="00C46348">
        <w:t xml:space="preserve"> Environ Health Perspect, 2017. </w:t>
      </w:r>
      <w:r w:rsidRPr="00C46348">
        <w:rPr>
          <w:b/>
        </w:rPr>
        <w:t>125</w:t>
      </w:r>
      <w:r w:rsidRPr="00C46348">
        <w:t>(7): p. 077018.</w:t>
      </w:r>
    </w:p>
    <w:p w:rsidRPr="00C46348" w:rsidR="00C46348" w:rsidP="00C46348" w:rsidRDefault="00C46348" w14:paraId="7DDF7755" w14:textId="77777777">
      <w:pPr>
        <w:pStyle w:val="EndNoteBibliography"/>
        <w:spacing w:after="0"/>
        <w:ind w:left="720" w:hanging="720"/>
      </w:pPr>
      <w:r w:rsidRPr="00C46348">
        <w:t>62.</w:t>
      </w:r>
      <w:r w:rsidRPr="00C46348">
        <w:tab/>
        <w:t xml:space="preserve">Program), N.N.T., </w:t>
      </w:r>
      <w:r w:rsidRPr="00C46348">
        <w:rPr>
          <w:i/>
        </w:rPr>
        <w:t>Monograph on Immunotoxicity Associated with Exposure to Perfluorooctanoic acid (PFOA) and perfluorooctane sulfonate (PFOS)</w:t>
      </w:r>
      <w:r w:rsidRPr="00C46348">
        <w:t>. 2016, National Toxicology Program: Research Triangle Park, NC.</w:t>
      </w:r>
    </w:p>
    <w:p w:rsidRPr="00C46348" w:rsidR="00C46348" w:rsidP="00C46348" w:rsidRDefault="00C46348" w14:paraId="5E87A6C9" w14:textId="77777777">
      <w:pPr>
        <w:pStyle w:val="EndNoteBibliography"/>
        <w:spacing w:after="0"/>
        <w:ind w:left="720" w:hanging="720"/>
      </w:pPr>
      <w:r w:rsidRPr="00C46348">
        <w:t>63.</w:t>
      </w:r>
      <w:r w:rsidRPr="00C46348">
        <w:tab/>
        <w:t xml:space="preserve">Humblet, O., et al., </w:t>
      </w:r>
      <w:r w:rsidRPr="00C46348">
        <w:rPr>
          <w:i/>
        </w:rPr>
        <w:t>Perfluoroalkyl Chemicals and Asthma among Children 12-19 Years of Age: NHANES (1999-2008).</w:t>
      </w:r>
      <w:r w:rsidRPr="00C46348">
        <w:t xml:space="preserve"> Environ Health Perspect, 2014.</w:t>
      </w:r>
    </w:p>
    <w:p w:rsidRPr="00C46348" w:rsidR="00C46348" w:rsidP="00C46348" w:rsidRDefault="00C46348" w14:paraId="0A391530" w14:textId="77777777">
      <w:pPr>
        <w:pStyle w:val="EndNoteBibliography"/>
        <w:spacing w:after="0"/>
        <w:ind w:left="720" w:hanging="720"/>
      </w:pPr>
      <w:r w:rsidRPr="00C46348">
        <w:t>64.</w:t>
      </w:r>
      <w:r w:rsidRPr="00C46348">
        <w:tab/>
        <w:t xml:space="preserve">Dong, G.H., et al., </w:t>
      </w:r>
      <w:r w:rsidRPr="00C46348">
        <w:rPr>
          <w:i/>
        </w:rPr>
        <w:t>Serum polyfluoroalkyl concentrations, asthma outcomes, and immunological markers in a case-control study of Taiwanese children.</w:t>
      </w:r>
      <w:r w:rsidRPr="00C46348">
        <w:t xml:space="preserve"> Environ Health Perspect, 2013. </w:t>
      </w:r>
      <w:r w:rsidRPr="00C46348">
        <w:rPr>
          <w:b/>
        </w:rPr>
        <w:t>121</w:t>
      </w:r>
      <w:r w:rsidRPr="00C46348">
        <w:t>(4): p. 507-13, 513e1-8.</w:t>
      </w:r>
    </w:p>
    <w:p w:rsidRPr="00C46348" w:rsidR="00C46348" w:rsidP="00C46348" w:rsidRDefault="00C46348" w14:paraId="123C7BBF" w14:textId="77777777">
      <w:pPr>
        <w:pStyle w:val="EndNoteBibliography"/>
        <w:spacing w:after="0"/>
        <w:ind w:left="720" w:hanging="720"/>
      </w:pPr>
      <w:r w:rsidRPr="00C46348">
        <w:t>65.</w:t>
      </w:r>
      <w:r w:rsidRPr="00C46348">
        <w:tab/>
        <w:t xml:space="preserve">Darrow, L.A., C.R. Stein, and K. Steenland, </w:t>
      </w:r>
      <w:r w:rsidRPr="00C46348">
        <w:rPr>
          <w:i/>
        </w:rPr>
        <w:t>Serum perfluorooctanoic acid and perfluorooctane sulfonate concentrations in relation to birth outcomes in the Mid-Ohio Valley, 2005-2010.</w:t>
      </w:r>
      <w:r w:rsidRPr="00C46348">
        <w:t xml:space="preserve"> Environ Health Perspect, 2013. </w:t>
      </w:r>
      <w:r w:rsidRPr="00C46348">
        <w:rPr>
          <w:b/>
        </w:rPr>
        <w:t>121</w:t>
      </w:r>
      <w:r w:rsidRPr="00C46348">
        <w:t>(10): p. 1207-13.</w:t>
      </w:r>
    </w:p>
    <w:p w:rsidRPr="00C46348" w:rsidR="00C46348" w:rsidP="00C46348" w:rsidRDefault="00C46348" w14:paraId="245C380D" w14:textId="77777777">
      <w:pPr>
        <w:pStyle w:val="EndNoteBibliography"/>
        <w:spacing w:after="0"/>
        <w:ind w:left="720" w:hanging="720"/>
      </w:pPr>
      <w:r w:rsidRPr="00C46348">
        <w:t>66.</w:t>
      </w:r>
      <w:r w:rsidRPr="00C46348">
        <w:tab/>
        <w:t xml:space="preserve">Luebker, D.J., et al., </w:t>
      </w:r>
      <w:r w:rsidRPr="00C46348">
        <w:rPr>
          <w:i/>
        </w:rPr>
        <w:t>Neonatal mortality from in utero exposure to perfluorooctanesulfonate (PFOS) in Sprague-Dawley rats: dose-response, and biochemical and pharamacokinetic parameters.</w:t>
      </w:r>
      <w:r w:rsidRPr="00C46348">
        <w:t xml:space="preserve"> Toxicology, 2005. </w:t>
      </w:r>
      <w:r w:rsidRPr="00C46348">
        <w:rPr>
          <w:b/>
        </w:rPr>
        <w:t>215</w:t>
      </w:r>
      <w:r w:rsidRPr="00C46348">
        <w:t>(1-2): p. 149-69.</w:t>
      </w:r>
    </w:p>
    <w:p w:rsidRPr="00C46348" w:rsidR="00C46348" w:rsidP="00C46348" w:rsidRDefault="00C46348" w14:paraId="05DEDB4C" w14:textId="77777777">
      <w:pPr>
        <w:pStyle w:val="EndNoteBibliography"/>
        <w:spacing w:after="0"/>
        <w:ind w:left="720" w:hanging="720"/>
      </w:pPr>
      <w:r w:rsidRPr="00C46348">
        <w:t>67.</w:t>
      </w:r>
      <w:r w:rsidRPr="00C46348">
        <w:tab/>
        <w:t xml:space="preserve">Kennedy, G.L., Jr., et al., </w:t>
      </w:r>
      <w:r w:rsidRPr="00C46348">
        <w:rPr>
          <w:i/>
        </w:rPr>
        <w:t>The toxicology of perfluorooctanoate.</w:t>
      </w:r>
      <w:r w:rsidRPr="00C46348">
        <w:t xml:space="preserve"> Crit Rev Toxicol, 2004. </w:t>
      </w:r>
      <w:r w:rsidRPr="00C46348">
        <w:rPr>
          <w:b/>
        </w:rPr>
        <w:t>34</w:t>
      </w:r>
      <w:r w:rsidRPr="00C46348">
        <w:t>(4): p. 351-84.</w:t>
      </w:r>
    </w:p>
    <w:p w:rsidRPr="00C46348" w:rsidR="00C46348" w:rsidP="00C46348" w:rsidRDefault="00C46348" w14:paraId="66A74D18" w14:textId="77777777">
      <w:pPr>
        <w:pStyle w:val="EndNoteBibliography"/>
        <w:spacing w:after="0"/>
        <w:ind w:left="720" w:hanging="720"/>
      </w:pPr>
      <w:r w:rsidRPr="00C46348">
        <w:t>68.</w:t>
      </w:r>
      <w:r w:rsidRPr="00C46348">
        <w:tab/>
        <w:t xml:space="preserve">Lau, C., J.L. Butenhoff, and J.M. Rogers, </w:t>
      </w:r>
      <w:r w:rsidRPr="00C46348">
        <w:rPr>
          <w:i/>
        </w:rPr>
        <w:t>The developmental toxicity of perfluoroalkyl acids and their derivatives.</w:t>
      </w:r>
      <w:r w:rsidRPr="00C46348">
        <w:t xml:space="preserve"> Toxicol Appl Pharmacol, 2004. </w:t>
      </w:r>
      <w:r w:rsidRPr="00C46348">
        <w:rPr>
          <w:b/>
        </w:rPr>
        <w:t>198</w:t>
      </w:r>
      <w:r w:rsidRPr="00C46348">
        <w:t>(2): p. 231-41.</w:t>
      </w:r>
    </w:p>
    <w:p w:rsidRPr="00C46348" w:rsidR="00C46348" w:rsidP="00C46348" w:rsidRDefault="00C46348" w14:paraId="60A96DCB" w14:textId="77777777">
      <w:pPr>
        <w:pStyle w:val="EndNoteBibliography"/>
        <w:spacing w:after="0"/>
        <w:ind w:left="720" w:hanging="720"/>
      </w:pPr>
      <w:r w:rsidRPr="00C46348">
        <w:t>69.</w:t>
      </w:r>
      <w:r w:rsidRPr="00C46348">
        <w:tab/>
        <w:t xml:space="preserve">Butenhoff, J.L., et al., </w:t>
      </w:r>
      <w:r w:rsidRPr="00C46348">
        <w:rPr>
          <w:i/>
        </w:rPr>
        <w:t>Pharmacokinetics of perfluorooctanoate in cynomolgus monkeys.</w:t>
      </w:r>
      <w:r w:rsidRPr="00C46348">
        <w:t xml:space="preserve"> Toxicol Sci, 2004. </w:t>
      </w:r>
      <w:r w:rsidRPr="00C46348">
        <w:rPr>
          <w:b/>
        </w:rPr>
        <w:t>82</w:t>
      </w:r>
      <w:r w:rsidRPr="00C46348">
        <w:t>(2): p. 394-406.</w:t>
      </w:r>
    </w:p>
    <w:p w:rsidRPr="00C46348" w:rsidR="00C46348" w:rsidP="00C46348" w:rsidRDefault="00C46348" w14:paraId="36451363" w14:textId="77777777">
      <w:pPr>
        <w:pStyle w:val="EndNoteBibliography"/>
        <w:spacing w:after="0"/>
        <w:ind w:left="720" w:hanging="720"/>
      </w:pPr>
      <w:r w:rsidRPr="00C46348">
        <w:t>70.</w:t>
      </w:r>
      <w:r w:rsidRPr="00C46348">
        <w:tab/>
        <w:t xml:space="preserve">Cui, L., et al., </w:t>
      </w:r>
      <w:r w:rsidRPr="00C46348">
        <w:rPr>
          <w:i/>
        </w:rPr>
        <w:t>Studies on the toxicological effects of PFOA and PFOS on rats using histological observation and chemical analysis.</w:t>
      </w:r>
      <w:r w:rsidRPr="00C46348">
        <w:t xml:space="preserve"> Arch Environ Contam Toxicol, 2009. </w:t>
      </w:r>
      <w:r w:rsidRPr="00C46348">
        <w:rPr>
          <w:b/>
        </w:rPr>
        <w:t>56</w:t>
      </w:r>
      <w:r w:rsidRPr="00C46348">
        <w:t>(2): p. 338-49.</w:t>
      </w:r>
    </w:p>
    <w:p w:rsidRPr="00C46348" w:rsidR="00C46348" w:rsidP="00C46348" w:rsidRDefault="00C46348" w14:paraId="6DD59AFA" w14:textId="77777777">
      <w:pPr>
        <w:pStyle w:val="EndNoteBibliography"/>
        <w:spacing w:after="0"/>
        <w:ind w:left="720" w:hanging="720"/>
      </w:pPr>
      <w:r w:rsidRPr="00C46348">
        <w:lastRenderedPageBreak/>
        <w:t>71.</w:t>
      </w:r>
      <w:r w:rsidRPr="00C46348">
        <w:tab/>
        <w:t xml:space="preserve">Guruge, K.S., et al., </w:t>
      </w:r>
      <w:r w:rsidRPr="00C46348">
        <w:rPr>
          <w:i/>
        </w:rPr>
        <w:t>Gene expression profiles in rat liver treated with perfluorooctanoic acid (PFOA).</w:t>
      </w:r>
      <w:r w:rsidRPr="00C46348">
        <w:t xml:space="preserve"> Toxicol Sci, 2006. </w:t>
      </w:r>
      <w:r w:rsidRPr="00C46348">
        <w:rPr>
          <w:b/>
        </w:rPr>
        <w:t>89</w:t>
      </w:r>
      <w:r w:rsidRPr="00C46348">
        <w:t>(1): p. 93-107.</w:t>
      </w:r>
    </w:p>
    <w:p w:rsidRPr="00C46348" w:rsidR="00C46348" w:rsidP="00C46348" w:rsidRDefault="00C46348" w14:paraId="2C0E7D69" w14:textId="77777777">
      <w:pPr>
        <w:pStyle w:val="EndNoteBibliography"/>
        <w:spacing w:after="0"/>
        <w:ind w:left="720" w:hanging="720"/>
      </w:pPr>
      <w:r w:rsidRPr="00C46348">
        <w:t>72.</w:t>
      </w:r>
      <w:r w:rsidRPr="00C46348">
        <w:tab/>
        <w:t xml:space="preserve">Ikeda, T., et al., </w:t>
      </w:r>
      <w:r w:rsidRPr="00C46348">
        <w:rPr>
          <w:i/>
        </w:rPr>
        <w:t>The induction of peroxisome proliferation in rat liver by perfluorinated fatty acids, metabolically inert derivatives of fatty acids.</w:t>
      </w:r>
      <w:r w:rsidRPr="00C46348">
        <w:t xml:space="preserve"> J Biochem, 1985. </w:t>
      </w:r>
      <w:r w:rsidRPr="00C46348">
        <w:rPr>
          <w:b/>
        </w:rPr>
        <w:t>98</w:t>
      </w:r>
      <w:r w:rsidRPr="00C46348">
        <w:t>(2): p. 475-82.</w:t>
      </w:r>
    </w:p>
    <w:p w:rsidRPr="00C46348" w:rsidR="00C46348" w:rsidP="00C46348" w:rsidRDefault="00C46348" w14:paraId="3DCF2D11" w14:textId="77777777">
      <w:pPr>
        <w:pStyle w:val="EndNoteBibliography"/>
        <w:spacing w:after="0"/>
        <w:ind w:left="720" w:hanging="720"/>
      </w:pPr>
      <w:r w:rsidRPr="00C46348">
        <w:t>73.</w:t>
      </w:r>
      <w:r w:rsidRPr="00C46348">
        <w:tab/>
        <w:t xml:space="preserve">Kawashima, Y., et al., </w:t>
      </w:r>
      <w:r w:rsidRPr="00C46348">
        <w:rPr>
          <w:i/>
        </w:rPr>
        <w:t>Characterization of hepatic responses of rat to administration of perfluorooctanoic and perfluorodecanoic acids at low levels.</w:t>
      </w:r>
      <w:r w:rsidRPr="00C46348">
        <w:t xml:space="preserve"> Toxicology, 1995. </w:t>
      </w:r>
      <w:r w:rsidRPr="00C46348">
        <w:rPr>
          <w:b/>
        </w:rPr>
        <w:t>99</w:t>
      </w:r>
      <w:r w:rsidRPr="00C46348">
        <w:t>(3): p. 169-78.</w:t>
      </w:r>
    </w:p>
    <w:p w:rsidRPr="00C46348" w:rsidR="00C46348" w:rsidP="00C46348" w:rsidRDefault="00C46348" w14:paraId="5F1A0336" w14:textId="77777777">
      <w:pPr>
        <w:pStyle w:val="EndNoteBibliography"/>
        <w:spacing w:after="0"/>
        <w:ind w:left="720" w:hanging="720"/>
      </w:pPr>
      <w:r w:rsidRPr="00C46348">
        <w:t>74.</w:t>
      </w:r>
      <w:r w:rsidRPr="00C46348">
        <w:tab/>
        <w:t xml:space="preserve">Qazi, M.R., et al., </w:t>
      </w:r>
      <w:r w:rsidRPr="00C46348">
        <w:rPr>
          <w:i/>
        </w:rPr>
        <w:t>The atrophy and changes in the cellular compositions of the thymus and spleen observed in mice subjected to short-term exposure to perfluorooctanesulfonate are high-dose phenomena mediated in part by peroxisome proliferator-activated receptor-alpha (PPARalpha).</w:t>
      </w:r>
      <w:r w:rsidRPr="00C46348">
        <w:t xml:space="preserve"> Toxicology, 2009. </w:t>
      </w:r>
      <w:r w:rsidRPr="00C46348">
        <w:rPr>
          <w:b/>
        </w:rPr>
        <w:t>260</w:t>
      </w:r>
      <w:r w:rsidRPr="00C46348">
        <w:t>(1-3): p. 68-76.</w:t>
      </w:r>
    </w:p>
    <w:p w:rsidRPr="00C46348" w:rsidR="00C46348" w:rsidP="00C46348" w:rsidRDefault="00C46348" w14:paraId="2CB2A4B1" w14:textId="77777777">
      <w:pPr>
        <w:pStyle w:val="EndNoteBibliography"/>
        <w:spacing w:after="0"/>
        <w:ind w:left="720" w:hanging="720"/>
      </w:pPr>
      <w:r w:rsidRPr="00C46348">
        <w:t>75.</w:t>
      </w:r>
      <w:r w:rsidRPr="00C46348">
        <w:tab/>
        <w:t xml:space="preserve">Butenhoff, J.L., et al., </w:t>
      </w:r>
      <w:r w:rsidRPr="00C46348">
        <w:rPr>
          <w:i/>
        </w:rPr>
        <w:t>The reproductive toxicology of ammonium perfluorooctanoate (APFO) in the rat.</w:t>
      </w:r>
      <w:r w:rsidRPr="00C46348">
        <w:t xml:space="preserve"> Toxicology, 2004. </w:t>
      </w:r>
      <w:r w:rsidRPr="00C46348">
        <w:rPr>
          <w:b/>
        </w:rPr>
        <w:t>196</w:t>
      </w:r>
      <w:r w:rsidRPr="00C46348">
        <w:t>(1-2): p. 95-116.</w:t>
      </w:r>
    </w:p>
    <w:p w:rsidRPr="00C46348" w:rsidR="00C46348" w:rsidP="00C46348" w:rsidRDefault="00C46348" w14:paraId="213C195A" w14:textId="77777777">
      <w:pPr>
        <w:pStyle w:val="EndNoteBibliography"/>
        <w:spacing w:after="0"/>
        <w:ind w:left="720" w:hanging="720"/>
      </w:pPr>
      <w:r w:rsidRPr="00C46348">
        <w:t>76.</w:t>
      </w:r>
      <w:r w:rsidRPr="00C46348">
        <w:tab/>
        <w:t xml:space="preserve">Albrecht, P.P., et al., </w:t>
      </w:r>
      <w:r w:rsidRPr="00C46348">
        <w:rPr>
          <w:i/>
        </w:rPr>
        <w:t>A species difference in the peroxisome proliferator-activated receptor alpha-dependent response to the developmental effects of perfluorooctanoic acid.</w:t>
      </w:r>
      <w:r w:rsidRPr="00C46348">
        <w:t xml:space="preserve"> Toxicol Sci, 2013. </w:t>
      </w:r>
      <w:r w:rsidRPr="00C46348">
        <w:rPr>
          <w:b/>
        </w:rPr>
        <w:t>131</w:t>
      </w:r>
      <w:r w:rsidRPr="00C46348">
        <w:t>(2): p. 568-82.</w:t>
      </w:r>
    </w:p>
    <w:p w:rsidRPr="00C46348" w:rsidR="00C46348" w:rsidP="00C46348" w:rsidRDefault="00C46348" w14:paraId="75610EE2" w14:textId="77777777">
      <w:pPr>
        <w:pStyle w:val="EndNoteBibliography"/>
        <w:spacing w:after="0"/>
        <w:ind w:left="720" w:hanging="720"/>
      </w:pPr>
      <w:r w:rsidRPr="00C46348">
        <w:t>77.</w:t>
      </w:r>
      <w:r w:rsidRPr="00C46348">
        <w:tab/>
        <w:t xml:space="preserve">Han, X., et al., </w:t>
      </w:r>
      <w:r w:rsidRPr="00C46348">
        <w:rPr>
          <w:i/>
        </w:rPr>
        <w:t>Renal elimination of perfluorocarboxylates (PFCAs).</w:t>
      </w:r>
      <w:r w:rsidRPr="00C46348">
        <w:t xml:space="preserve"> Chem Res Toxicol, 2012. </w:t>
      </w:r>
      <w:r w:rsidRPr="00C46348">
        <w:rPr>
          <w:b/>
        </w:rPr>
        <w:t>25</w:t>
      </w:r>
      <w:r w:rsidRPr="00C46348">
        <w:t>(1): p. 35-46.</w:t>
      </w:r>
    </w:p>
    <w:p w:rsidRPr="00C46348" w:rsidR="00C46348" w:rsidP="00C46348" w:rsidRDefault="00C46348" w14:paraId="45C30A33" w14:textId="77777777">
      <w:pPr>
        <w:pStyle w:val="EndNoteBibliography"/>
        <w:spacing w:after="0"/>
        <w:ind w:left="720" w:hanging="720"/>
      </w:pPr>
      <w:r w:rsidRPr="00C46348">
        <w:t>78.</w:t>
      </w:r>
      <w:r w:rsidRPr="00C46348">
        <w:tab/>
        <w:t xml:space="preserve">Harada, K., et al., </w:t>
      </w:r>
      <w:r w:rsidRPr="00C46348">
        <w:rPr>
          <w:i/>
        </w:rPr>
        <w:t>Renal clearance of perfluorooctane sulfonate and perfluorooctanoate in humans and their species-specific excretion.</w:t>
      </w:r>
      <w:r w:rsidRPr="00C46348">
        <w:t xml:space="preserve"> Environ Res, 2005. </w:t>
      </w:r>
      <w:r w:rsidRPr="00C46348">
        <w:rPr>
          <w:b/>
        </w:rPr>
        <w:t>99</w:t>
      </w:r>
      <w:r w:rsidRPr="00C46348">
        <w:t>(2): p. 253-61.</w:t>
      </w:r>
    </w:p>
    <w:p w:rsidRPr="00C46348" w:rsidR="00C46348" w:rsidP="00C46348" w:rsidRDefault="00C46348" w14:paraId="4569E605" w14:textId="77777777">
      <w:pPr>
        <w:pStyle w:val="EndNoteBibliography"/>
        <w:spacing w:after="0"/>
        <w:ind w:left="720" w:hanging="720"/>
      </w:pPr>
      <w:r w:rsidRPr="00C46348">
        <w:t>79.</w:t>
      </w:r>
      <w:r w:rsidRPr="00C46348">
        <w:tab/>
        <w:t xml:space="preserve">Andersen, M.E., et al., </w:t>
      </w:r>
      <w:r w:rsidRPr="00C46348">
        <w:rPr>
          <w:i/>
        </w:rPr>
        <w:t>Pharmacokinetic modeling of saturable, renal resorption of perfluoroalkylacids in monkeys--probing the determinants of long plasma half-lives.</w:t>
      </w:r>
      <w:r w:rsidRPr="00C46348">
        <w:t xml:space="preserve"> Toxicology, 2006. </w:t>
      </w:r>
      <w:r w:rsidRPr="00C46348">
        <w:rPr>
          <w:b/>
        </w:rPr>
        <w:t>227</w:t>
      </w:r>
      <w:r w:rsidRPr="00C46348">
        <w:t>(1-2): p. 156-64.</w:t>
      </w:r>
    </w:p>
    <w:p w:rsidRPr="00C46348" w:rsidR="00C46348" w:rsidP="00C46348" w:rsidRDefault="00C46348" w14:paraId="37761171" w14:textId="77777777">
      <w:pPr>
        <w:pStyle w:val="EndNoteBibliography"/>
        <w:spacing w:after="0"/>
        <w:ind w:left="720" w:hanging="720"/>
      </w:pPr>
      <w:r w:rsidRPr="00C46348">
        <w:t>80.</w:t>
      </w:r>
      <w:r w:rsidRPr="00C46348">
        <w:tab/>
        <w:t xml:space="preserve">Zhang, Y., et al., </w:t>
      </w:r>
      <w:r w:rsidRPr="00C46348">
        <w:rPr>
          <w:i/>
        </w:rPr>
        <w:t>Biomonitoring of perfluoroalkyl acids in human urine and estimates of biological half-life.</w:t>
      </w:r>
      <w:r w:rsidRPr="00C46348">
        <w:t xml:space="preserve"> Environ Sci Technol, 2013. </w:t>
      </w:r>
      <w:r w:rsidRPr="00C46348">
        <w:rPr>
          <w:b/>
        </w:rPr>
        <w:t>47</w:t>
      </w:r>
      <w:r w:rsidRPr="00C46348">
        <w:t>(18): p. 10619-27.</w:t>
      </w:r>
    </w:p>
    <w:p w:rsidRPr="00C46348" w:rsidR="00C46348" w:rsidP="00C46348" w:rsidRDefault="00C46348" w14:paraId="4121EC35" w14:textId="77777777">
      <w:pPr>
        <w:pStyle w:val="EndNoteBibliography"/>
        <w:spacing w:after="0"/>
        <w:ind w:left="720" w:hanging="720"/>
      </w:pPr>
      <w:r w:rsidRPr="00C46348">
        <w:t>81.</w:t>
      </w:r>
      <w:r w:rsidRPr="00C46348">
        <w:tab/>
        <w:t xml:space="preserve">Olsen, G.W., et al., </w:t>
      </w:r>
      <w:r w:rsidRPr="00C46348">
        <w:rPr>
          <w:i/>
        </w:rPr>
        <w:t>Half-life of serum elimination of perfluorooctanesulfonate,perfluorohexanesulfonate, and perfluorooctanoate in retired fluorochemical production workers.</w:t>
      </w:r>
      <w:r w:rsidRPr="00C46348">
        <w:t xml:space="preserve"> Environ Health Perspect, 2007. </w:t>
      </w:r>
      <w:r w:rsidRPr="00C46348">
        <w:rPr>
          <w:b/>
        </w:rPr>
        <w:t>115</w:t>
      </w:r>
      <w:r w:rsidRPr="00C46348">
        <w:t>(9): p. 1298-305.</w:t>
      </w:r>
    </w:p>
    <w:p w:rsidRPr="00C46348" w:rsidR="00C46348" w:rsidP="00C46348" w:rsidRDefault="00C46348" w14:paraId="49A460A4" w14:textId="77777777">
      <w:pPr>
        <w:pStyle w:val="EndNoteBibliography"/>
        <w:spacing w:after="0"/>
        <w:ind w:left="720" w:hanging="720"/>
      </w:pPr>
      <w:r w:rsidRPr="00C46348">
        <w:t>82.</w:t>
      </w:r>
      <w:r w:rsidRPr="00C46348">
        <w:tab/>
        <w:t xml:space="preserve">Bartell, S.M., et al., </w:t>
      </w:r>
      <w:r w:rsidRPr="00C46348">
        <w:rPr>
          <w:i/>
        </w:rPr>
        <w:t>Rate of decline in serum PFOA concentrations after granular activated carbon filtration at two public water systems in Ohio and West Virginia.</w:t>
      </w:r>
      <w:r w:rsidRPr="00C46348">
        <w:t xml:space="preserve"> Environ Health Perspect, 2010. </w:t>
      </w:r>
      <w:r w:rsidRPr="00C46348">
        <w:rPr>
          <w:b/>
        </w:rPr>
        <w:t>118</w:t>
      </w:r>
      <w:r w:rsidRPr="00C46348">
        <w:t>(2): p. 222-8.</w:t>
      </w:r>
    </w:p>
    <w:p w:rsidRPr="00C46348" w:rsidR="00C46348" w:rsidP="00C46348" w:rsidRDefault="00C46348" w14:paraId="26131031" w14:textId="77777777">
      <w:pPr>
        <w:pStyle w:val="EndNoteBibliography"/>
        <w:spacing w:after="0"/>
        <w:ind w:left="720" w:hanging="720"/>
      </w:pPr>
      <w:r w:rsidRPr="00C46348">
        <w:t>83.</w:t>
      </w:r>
      <w:r w:rsidRPr="00C46348">
        <w:tab/>
        <w:t xml:space="preserve">Worley, R.R., et al., </w:t>
      </w:r>
      <w:r w:rsidRPr="00C46348">
        <w:rPr>
          <w:i/>
        </w:rPr>
        <w:t>Per- and polyfluoroalkyl substances in human serum and urine samples from a residentially exposed community.</w:t>
      </w:r>
      <w:r w:rsidRPr="00C46348">
        <w:t xml:space="preserve"> Environ Int, 2017. </w:t>
      </w:r>
      <w:r w:rsidRPr="00C46348">
        <w:rPr>
          <w:b/>
        </w:rPr>
        <w:t>106</w:t>
      </w:r>
      <w:r w:rsidRPr="00C46348">
        <w:t>: p. 135-143.</w:t>
      </w:r>
    </w:p>
    <w:p w:rsidRPr="00C46348" w:rsidR="00C46348" w:rsidP="00C46348" w:rsidRDefault="00C46348" w14:paraId="0072E612" w14:textId="77777777">
      <w:pPr>
        <w:pStyle w:val="EndNoteBibliography"/>
        <w:spacing w:after="0"/>
        <w:ind w:left="720" w:hanging="720"/>
      </w:pPr>
      <w:r w:rsidRPr="00C46348">
        <w:t>84.</w:t>
      </w:r>
      <w:r w:rsidRPr="00C46348">
        <w:tab/>
        <w:t xml:space="preserve">Jian, J.M., et al., </w:t>
      </w:r>
      <w:r w:rsidRPr="00C46348">
        <w:rPr>
          <w:i/>
        </w:rPr>
        <w:t>A short review on human exposure to and tissue distribution of per- and polyfluoroalkyl substances (PFASs).</w:t>
      </w:r>
      <w:r w:rsidRPr="00C46348">
        <w:t xml:space="preserve"> Sci Total Environ, 2018. </w:t>
      </w:r>
      <w:r w:rsidRPr="00C46348">
        <w:rPr>
          <w:b/>
        </w:rPr>
        <w:t>636</w:t>
      </w:r>
      <w:r w:rsidRPr="00C46348">
        <w:t>: p. 1058-1069.</w:t>
      </w:r>
    </w:p>
    <w:p w:rsidRPr="00C46348" w:rsidR="00C46348" w:rsidP="00C46348" w:rsidRDefault="00C46348" w14:paraId="086A479D" w14:textId="77777777">
      <w:pPr>
        <w:pStyle w:val="EndNoteBibliography"/>
        <w:spacing w:after="0"/>
        <w:ind w:left="720" w:hanging="720"/>
      </w:pPr>
      <w:r w:rsidRPr="00C46348">
        <w:t>85.</w:t>
      </w:r>
      <w:r w:rsidRPr="00C46348">
        <w:tab/>
        <w:t xml:space="preserve">Zhang, T., et al., </w:t>
      </w:r>
      <w:r w:rsidRPr="00C46348">
        <w:rPr>
          <w:i/>
        </w:rPr>
        <w:t>PFOS and PFOA in paired urine and blood from general adults and pregnant women: assessment of urinary elimination.</w:t>
      </w:r>
      <w:r w:rsidRPr="00C46348">
        <w:t xml:space="preserve"> Environ Sci Pollut Res Int, 2015. </w:t>
      </w:r>
      <w:r w:rsidRPr="00C46348">
        <w:rPr>
          <w:b/>
        </w:rPr>
        <w:t>22</w:t>
      </w:r>
      <w:r w:rsidRPr="00C46348">
        <w:t>(7): p. 5572-9.</w:t>
      </w:r>
    </w:p>
    <w:p w:rsidRPr="00C46348" w:rsidR="00C46348" w:rsidP="00C46348" w:rsidRDefault="00C46348" w14:paraId="63A839EA" w14:textId="77777777">
      <w:pPr>
        <w:pStyle w:val="EndNoteBibliography"/>
        <w:spacing w:after="0"/>
        <w:ind w:left="720" w:hanging="720"/>
      </w:pPr>
      <w:r w:rsidRPr="00C46348">
        <w:t>86.</w:t>
      </w:r>
      <w:r w:rsidRPr="00C46348">
        <w:tab/>
        <w:t xml:space="preserve">Perkins, B.A., et al., </w:t>
      </w:r>
      <w:r w:rsidRPr="00C46348">
        <w:rPr>
          <w:i/>
        </w:rPr>
        <w:t>Risk Factors for Kidney Disease in Type 1 Diabetes.</w:t>
      </w:r>
      <w:r w:rsidRPr="00C46348">
        <w:t xml:space="preserve"> Diabetes Care, 2019.</w:t>
      </w:r>
    </w:p>
    <w:p w:rsidRPr="00C46348" w:rsidR="00C46348" w:rsidP="00C46348" w:rsidRDefault="00C46348" w14:paraId="3DAAA4F3" w14:textId="77777777">
      <w:pPr>
        <w:pStyle w:val="EndNoteBibliography"/>
        <w:spacing w:after="0"/>
        <w:ind w:left="720" w:hanging="720"/>
      </w:pPr>
      <w:r w:rsidRPr="00C46348">
        <w:t>87.</w:t>
      </w:r>
      <w:r w:rsidRPr="00C46348">
        <w:tab/>
        <w:t xml:space="preserve">Costacou, T. and T.J. Orchard, </w:t>
      </w:r>
      <w:r w:rsidRPr="00C46348">
        <w:rPr>
          <w:i/>
        </w:rPr>
        <w:t>Cumulative Kidney Complication Risk by 50 Years of Type 1 Diabetes: The Effects of Sex, Age, and Calendar Year at Onset.</w:t>
      </w:r>
      <w:r w:rsidRPr="00C46348">
        <w:t xml:space="preserve"> Diabetes Care, 2018. </w:t>
      </w:r>
      <w:r w:rsidRPr="00C46348">
        <w:rPr>
          <w:b/>
        </w:rPr>
        <w:t>41</w:t>
      </w:r>
      <w:r w:rsidRPr="00C46348">
        <w:t>(3): p. 426-433.</w:t>
      </w:r>
    </w:p>
    <w:p w:rsidRPr="00C46348" w:rsidR="00C46348" w:rsidP="00C46348" w:rsidRDefault="00C46348" w14:paraId="0C54BD23" w14:textId="77777777">
      <w:pPr>
        <w:pStyle w:val="EndNoteBibliography"/>
        <w:spacing w:after="0"/>
        <w:ind w:left="720" w:hanging="720"/>
      </w:pPr>
      <w:r w:rsidRPr="00C46348">
        <w:t>88.</w:t>
      </w:r>
      <w:r w:rsidRPr="00C46348">
        <w:tab/>
        <w:t xml:space="preserve">Williams, M.E., </w:t>
      </w:r>
      <w:r w:rsidRPr="00C46348">
        <w:rPr>
          <w:i/>
        </w:rPr>
        <w:t>Diabetic nephropathy: the proteinuria hypothesis.</w:t>
      </w:r>
      <w:r w:rsidRPr="00C46348">
        <w:t xml:space="preserve"> Am J Nephrol, 2005. </w:t>
      </w:r>
      <w:r w:rsidRPr="00C46348">
        <w:rPr>
          <w:b/>
        </w:rPr>
        <w:t>25</w:t>
      </w:r>
      <w:r w:rsidRPr="00C46348">
        <w:t>(2): p. 77-94.</w:t>
      </w:r>
    </w:p>
    <w:p w:rsidRPr="00C46348" w:rsidR="00C46348" w:rsidP="00C46348" w:rsidRDefault="00C46348" w14:paraId="4A390D85" w14:textId="77777777">
      <w:pPr>
        <w:pStyle w:val="EndNoteBibliography"/>
        <w:spacing w:after="0"/>
        <w:ind w:left="720" w:hanging="720"/>
      </w:pPr>
      <w:r w:rsidRPr="00C46348">
        <w:lastRenderedPageBreak/>
        <w:t>89.</w:t>
      </w:r>
      <w:r w:rsidRPr="00C46348">
        <w:tab/>
        <w:t xml:space="preserve">Harris, R.C., </w:t>
      </w:r>
      <w:r w:rsidRPr="00C46348">
        <w:rPr>
          <w:i/>
        </w:rPr>
        <w:t>126 - Diabetes and The Kidney</w:t>
      </w:r>
      <w:r w:rsidRPr="00C46348">
        <w:t xml:space="preserve">, in </w:t>
      </w:r>
      <w:r w:rsidRPr="00C46348">
        <w:rPr>
          <w:i/>
        </w:rPr>
        <w:t>Goldman's Cecil Medicine (Twenty Fourth Edition)</w:t>
      </w:r>
      <w:r w:rsidRPr="00C46348">
        <w:t>, L. Goldman and A.I. Schafer, Editors. 2012, W.B. Saunders: Philadelphia. p. 781-783.</w:t>
      </w:r>
    </w:p>
    <w:p w:rsidRPr="00C46348" w:rsidR="00C46348" w:rsidP="00C46348" w:rsidRDefault="00C46348" w14:paraId="6C492A9D" w14:textId="77777777">
      <w:pPr>
        <w:pStyle w:val="EndNoteBibliography"/>
        <w:spacing w:after="0"/>
        <w:ind w:left="720" w:hanging="720"/>
      </w:pPr>
      <w:r w:rsidRPr="00C46348">
        <w:t>90.</w:t>
      </w:r>
      <w:r w:rsidRPr="00C46348">
        <w:tab/>
        <w:t xml:space="preserve">Shoreibah, M., et al., </w:t>
      </w:r>
      <w:r w:rsidRPr="00C46348">
        <w:rPr>
          <w:i/>
        </w:rPr>
        <w:t>Effect of Hepatitis C Treatment on Renal Function in Liver Transplant Patients.</w:t>
      </w:r>
      <w:r w:rsidRPr="00C46348">
        <w:t xml:space="preserve"> J Clin Transl Hepatol, 2018. </w:t>
      </w:r>
      <w:r w:rsidRPr="00C46348">
        <w:rPr>
          <w:b/>
        </w:rPr>
        <w:t>6</w:t>
      </w:r>
      <w:r w:rsidRPr="00C46348">
        <w:t>(4): p. 391-395.</w:t>
      </w:r>
    </w:p>
    <w:p w:rsidRPr="00C46348" w:rsidR="00C46348" w:rsidP="00C46348" w:rsidRDefault="00C46348" w14:paraId="46908B9B" w14:textId="77777777">
      <w:pPr>
        <w:pStyle w:val="EndNoteBibliography"/>
        <w:spacing w:after="0"/>
        <w:ind w:left="720" w:hanging="720"/>
      </w:pPr>
      <w:r w:rsidRPr="00C46348">
        <w:t>91.</w:t>
      </w:r>
      <w:r w:rsidRPr="00C46348">
        <w:tab/>
        <w:t xml:space="preserve">Webster, A.C., et al., </w:t>
      </w:r>
      <w:r w:rsidRPr="00C46348">
        <w:rPr>
          <w:i/>
        </w:rPr>
        <w:t>Chronic Kidney Disease.</w:t>
      </w:r>
      <w:r w:rsidRPr="00C46348">
        <w:t xml:space="preserve"> Lancet, 2017. </w:t>
      </w:r>
      <w:r w:rsidRPr="00C46348">
        <w:rPr>
          <w:b/>
        </w:rPr>
        <w:t>389</w:t>
      </w:r>
      <w:r w:rsidRPr="00C46348">
        <w:t>(10075): p. 1238-1252.</w:t>
      </w:r>
    </w:p>
    <w:p w:rsidRPr="00C46348" w:rsidR="00C46348" w:rsidP="00C46348" w:rsidRDefault="00C46348" w14:paraId="67187784" w14:textId="77777777">
      <w:pPr>
        <w:pStyle w:val="EndNoteBibliography"/>
        <w:spacing w:after="0"/>
        <w:ind w:left="720" w:hanging="720"/>
      </w:pPr>
      <w:r w:rsidRPr="00C46348">
        <w:t>92.</w:t>
      </w:r>
      <w:r w:rsidRPr="00C46348">
        <w:tab/>
        <w:t xml:space="preserve">Appel, G.B. and J. Radhakrishnan, </w:t>
      </w:r>
      <w:r w:rsidRPr="00C46348">
        <w:rPr>
          <w:i/>
        </w:rPr>
        <w:t>123 - Glomerular Disorders and Nephrotic Syndromes</w:t>
      </w:r>
      <w:r w:rsidRPr="00C46348">
        <w:t xml:space="preserve">, in </w:t>
      </w:r>
      <w:r w:rsidRPr="00C46348">
        <w:rPr>
          <w:i/>
        </w:rPr>
        <w:t>Goldman's Cecil Medicine (Twenty Fourth Edition)</w:t>
      </w:r>
      <w:r w:rsidRPr="00C46348">
        <w:t>, L. Goldman and A.I. Schafer, Editors. 2012, W.B. Saunders: Philadelphia. p. 761-771.</w:t>
      </w:r>
    </w:p>
    <w:p w:rsidRPr="00C46348" w:rsidR="00C46348" w:rsidP="00C46348" w:rsidRDefault="00C46348" w14:paraId="1CADDEDF" w14:textId="77777777">
      <w:pPr>
        <w:pStyle w:val="EndNoteBibliography"/>
        <w:spacing w:after="0"/>
        <w:ind w:left="720" w:hanging="720"/>
      </w:pPr>
      <w:r w:rsidRPr="00C46348">
        <w:t>93.</w:t>
      </w:r>
      <w:r w:rsidRPr="00C46348">
        <w:tab/>
        <w:t xml:space="preserve">Mitch, W.E., </w:t>
      </w:r>
      <w:r w:rsidRPr="00C46348">
        <w:rPr>
          <w:i/>
        </w:rPr>
        <w:t>132 - Chronic Kidney Disease</w:t>
      </w:r>
      <w:r w:rsidRPr="00C46348">
        <w:t xml:space="preserve">, in </w:t>
      </w:r>
      <w:r w:rsidRPr="00C46348">
        <w:rPr>
          <w:i/>
        </w:rPr>
        <w:t>Goldman's Cecil Medicine (Twenty Fourth Edition)</w:t>
      </w:r>
      <w:r w:rsidRPr="00C46348">
        <w:t>, L. Goldman and A.I. Schafer, Editors. 2012, W.B. Saunders: Philadelphia. p. 810-818.</w:t>
      </w:r>
    </w:p>
    <w:p w:rsidRPr="00C46348" w:rsidR="00C46348" w:rsidP="00C46348" w:rsidRDefault="00C46348" w14:paraId="5DB005D4" w14:textId="77777777">
      <w:pPr>
        <w:pStyle w:val="EndNoteBibliography"/>
        <w:spacing w:after="0"/>
        <w:ind w:left="720" w:hanging="720"/>
      </w:pPr>
      <w:r w:rsidRPr="00C46348">
        <w:t>94.</w:t>
      </w:r>
      <w:r w:rsidRPr="00C46348">
        <w:tab/>
        <w:t xml:space="preserve">Rozen-Zvi, B., et al., </w:t>
      </w:r>
      <w:r w:rsidRPr="00C46348">
        <w:rPr>
          <w:i/>
        </w:rPr>
        <w:t>Intravenous Versus Oral Iron Supplementation for the Treatment of Anemia in CKD: Systematic Review and Meta-analysis.</w:t>
      </w:r>
      <w:r w:rsidRPr="00C46348">
        <w:t xml:space="preserve"> American Journal of Kidney Diseases, 2008. </w:t>
      </w:r>
      <w:r w:rsidRPr="00C46348">
        <w:rPr>
          <w:b/>
        </w:rPr>
        <w:t>52</w:t>
      </w:r>
      <w:r w:rsidRPr="00C46348">
        <w:t>(5): p. 897-906.</w:t>
      </w:r>
    </w:p>
    <w:p w:rsidRPr="00C46348" w:rsidR="00C46348" w:rsidP="00C46348" w:rsidRDefault="00C46348" w14:paraId="5EFB2AC2" w14:textId="77777777">
      <w:pPr>
        <w:pStyle w:val="EndNoteBibliography"/>
        <w:spacing w:after="0"/>
        <w:ind w:left="720" w:hanging="720"/>
      </w:pPr>
      <w:r w:rsidRPr="00C46348">
        <w:t>95.</w:t>
      </w:r>
      <w:r w:rsidRPr="00C46348">
        <w:tab/>
        <w:t xml:space="preserve">Astor, B.C., et al., </w:t>
      </w:r>
      <w:r w:rsidRPr="00C46348">
        <w:rPr>
          <w:i/>
        </w:rPr>
        <w:t>Association of kidney function with anemia: the Third National Health and Nutrition Examination Survey (1988-1994).</w:t>
      </w:r>
      <w:r w:rsidRPr="00C46348">
        <w:t xml:space="preserve"> Arch Intern Med, 2002. </w:t>
      </w:r>
      <w:r w:rsidRPr="00C46348">
        <w:rPr>
          <w:b/>
        </w:rPr>
        <w:t>162</w:t>
      </w:r>
      <w:r w:rsidRPr="00C46348">
        <w:t>(12): p. 1401-8.</w:t>
      </w:r>
    </w:p>
    <w:p w:rsidRPr="00C46348" w:rsidR="00C46348" w:rsidP="00C46348" w:rsidRDefault="00C46348" w14:paraId="730CEE1E" w14:textId="77777777">
      <w:pPr>
        <w:pStyle w:val="EndNoteBibliography"/>
        <w:spacing w:after="0"/>
        <w:ind w:left="720" w:hanging="720"/>
      </w:pPr>
      <w:r w:rsidRPr="00C46348">
        <w:t>96.</w:t>
      </w:r>
      <w:r w:rsidRPr="00C46348">
        <w:tab/>
        <w:t xml:space="preserve">Liu, W.S., et al., </w:t>
      </w:r>
      <w:r w:rsidRPr="00C46348">
        <w:rPr>
          <w:i/>
        </w:rPr>
        <w:t>Dialysis Membranes Influence Perfluorochemical Concentrations and Liver Function in Patients on Hemodialysis.</w:t>
      </w:r>
      <w:r w:rsidRPr="00C46348">
        <w:t xml:space="preserve"> Int J Environ Res Public Health, 2018. </w:t>
      </w:r>
      <w:r w:rsidRPr="00C46348">
        <w:rPr>
          <w:b/>
        </w:rPr>
        <w:t>15</w:t>
      </w:r>
      <w:r w:rsidRPr="00C46348">
        <w:t>(11).</w:t>
      </w:r>
    </w:p>
    <w:p w:rsidRPr="00C46348" w:rsidR="00C46348" w:rsidP="00C46348" w:rsidRDefault="00C46348" w14:paraId="78D59E36" w14:textId="77777777">
      <w:pPr>
        <w:pStyle w:val="EndNoteBibliography"/>
        <w:spacing w:after="0"/>
        <w:ind w:left="720" w:hanging="720"/>
      </w:pPr>
      <w:r w:rsidRPr="00C46348">
        <w:t>97.</w:t>
      </w:r>
      <w:r w:rsidRPr="00C46348">
        <w:tab/>
        <w:t xml:space="preserve">Liu, W.S., et al., </w:t>
      </w:r>
      <w:r w:rsidRPr="00C46348">
        <w:rPr>
          <w:i/>
        </w:rPr>
        <w:t>Associations between perfluorinated chemicals and serum biochemical markers and performance status in uremic patients under hemodialysis.</w:t>
      </w:r>
      <w:r w:rsidRPr="00C46348">
        <w:t xml:space="preserve"> PLoS One, 2018. </w:t>
      </w:r>
      <w:r w:rsidRPr="00C46348">
        <w:rPr>
          <w:b/>
        </w:rPr>
        <w:t>13</w:t>
      </w:r>
      <w:r w:rsidRPr="00C46348">
        <w:t>(7): p. e0200271.</w:t>
      </w:r>
    </w:p>
    <w:p w:rsidRPr="00C46348" w:rsidR="00C46348" w:rsidP="00C46348" w:rsidRDefault="00C46348" w14:paraId="5055D8A4" w14:textId="77777777">
      <w:pPr>
        <w:pStyle w:val="EndNoteBibliography"/>
        <w:spacing w:after="0"/>
        <w:ind w:left="720" w:hanging="720"/>
      </w:pPr>
      <w:r w:rsidRPr="00C46348">
        <w:t>98.</w:t>
      </w:r>
      <w:r w:rsidRPr="00C46348">
        <w:tab/>
        <w:t xml:space="preserve">Bischel, H.N., L.A. MacManus-Spencer, and R.G. Luthy, </w:t>
      </w:r>
      <w:r w:rsidRPr="00C46348">
        <w:rPr>
          <w:i/>
        </w:rPr>
        <w:t>Noncovalent Interactions of Long-Chain Perfluoroalkyl Acids with Serum Albumin.</w:t>
      </w:r>
      <w:r w:rsidRPr="00C46348">
        <w:t xml:space="preserve"> Environmental Science &amp; Technology, 2010. </w:t>
      </w:r>
      <w:r w:rsidRPr="00C46348">
        <w:rPr>
          <w:b/>
        </w:rPr>
        <w:t>44</w:t>
      </w:r>
      <w:r w:rsidRPr="00C46348">
        <w:t>(13): p. 5263-5269.</w:t>
      </w:r>
    </w:p>
    <w:p w:rsidRPr="00C46348" w:rsidR="00C46348" w:rsidP="00C46348" w:rsidRDefault="00C46348" w14:paraId="789E774C" w14:textId="77777777">
      <w:pPr>
        <w:pStyle w:val="EndNoteBibliography"/>
        <w:spacing w:after="0"/>
        <w:ind w:left="720" w:hanging="720"/>
      </w:pPr>
      <w:r w:rsidRPr="00C46348">
        <w:t>99.</w:t>
      </w:r>
      <w:r w:rsidRPr="00C46348">
        <w:tab/>
        <w:t xml:space="preserve">Cederholm-Williams, S.A., M.C. Rees, and A.C. Turnbull, </w:t>
      </w:r>
      <w:r w:rsidRPr="00C46348">
        <w:rPr>
          <w:i/>
        </w:rPr>
        <w:t>Consumption of fibrinolytic proteins in menstrual fluid from women with normal menstrual blood loss.</w:t>
      </w:r>
      <w:r w:rsidRPr="00C46348">
        <w:t xml:space="preserve"> J Clin Pathol, 1984. </w:t>
      </w:r>
      <w:r w:rsidRPr="00C46348">
        <w:rPr>
          <w:b/>
        </w:rPr>
        <w:t>37</w:t>
      </w:r>
      <w:r w:rsidRPr="00C46348">
        <w:t>(8): p. 879-81.</w:t>
      </w:r>
    </w:p>
    <w:p w:rsidRPr="00C46348" w:rsidR="00C46348" w:rsidP="00C46348" w:rsidRDefault="00C46348" w14:paraId="0277D4FE" w14:textId="77777777">
      <w:pPr>
        <w:pStyle w:val="EndNoteBibliography"/>
        <w:spacing w:after="0"/>
        <w:ind w:left="720" w:hanging="720"/>
      </w:pPr>
      <w:r w:rsidRPr="00C46348">
        <w:t>100.</w:t>
      </w:r>
      <w:r w:rsidRPr="00C46348">
        <w:tab/>
        <w:t xml:space="preserve">Knox, S.S., et al., </w:t>
      </w:r>
      <w:r w:rsidRPr="00C46348">
        <w:rPr>
          <w:i/>
        </w:rPr>
        <w:t>Implications of early menopause in women exposed to perfluorocarbons.</w:t>
      </w:r>
      <w:r w:rsidRPr="00C46348">
        <w:t xml:space="preserve"> J Clin Endocrinol Metab, 2011. </w:t>
      </w:r>
      <w:r w:rsidRPr="00C46348">
        <w:rPr>
          <w:b/>
        </w:rPr>
        <w:t>96</w:t>
      </w:r>
      <w:r w:rsidRPr="00C46348">
        <w:t>(6): p. 1747-53.</w:t>
      </w:r>
    </w:p>
    <w:p w:rsidRPr="00C46348" w:rsidR="00C46348" w:rsidP="00C46348" w:rsidRDefault="00C46348" w14:paraId="16B61E7E" w14:textId="77777777">
      <w:pPr>
        <w:pStyle w:val="EndNoteBibliography"/>
        <w:spacing w:after="0"/>
        <w:ind w:left="720" w:hanging="720"/>
      </w:pPr>
      <w:r w:rsidRPr="00C46348">
        <w:t>101.</w:t>
      </w:r>
      <w:r w:rsidRPr="00C46348">
        <w:tab/>
        <w:t xml:space="preserve">Taylor, K.W., et al., </w:t>
      </w:r>
      <w:r w:rsidRPr="00C46348">
        <w:rPr>
          <w:i/>
        </w:rPr>
        <w:t>Polyfluoroalkyl chemicals and menopause among women 20-65 years of age (NHANES).</w:t>
      </w:r>
      <w:r w:rsidRPr="00C46348">
        <w:t xml:space="preserve"> Environ Health Perspect, 2014. </w:t>
      </w:r>
      <w:r w:rsidRPr="00C46348">
        <w:rPr>
          <w:b/>
        </w:rPr>
        <w:t>122</w:t>
      </w:r>
      <w:r w:rsidRPr="00C46348">
        <w:t>(2): p. 145-50.</w:t>
      </w:r>
    </w:p>
    <w:p w:rsidRPr="00C46348" w:rsidR="00C46348" w:rsidP="00C46348" w:rsidRDefault="00C46348" w14:paraId="1A420FD0" w14:textId="77777777">
      <w:pPr>
        <w:pStyle w:val="EndNoteBibliography"/>
        <w:spacing w:after="0"/>
        <w:ind w:left="720" w:hanging="720"/>
      </w:pPr>
      <w:r w:rsidRPr="00C46348">
        <w:t>102.</w:t>
      </w:r>
      <w:r w:rsidRPr="00C46348">
        <w:tab/>
        <w:t xml:space="preserve">Ruark, C.D., et al., </w:t>
      </w:r>
      <w:r w:rsidRPr="00C46348">
        <w:rPr>
          <w:i/>
        </w:rPr>
        <w:t>Quantitative bias analysis for epidemiological associations of perfluoroalkyl substance serum concentrations and early onset of menopause.</w:t>
      </w:r>
      <w:r w:rsidRPr="00C46348">
        <w:t xml:space="preserve"> Environ Int, 2017. </w:t>
      </w:r>
      <w:r w:rsidRPr="00C46348">
        <w:rPr>
          <w:b/>
        </w:rPr>
        <w:t>99</w:t>
      </w:r>
      <w:r w:rsidRPr="00C46348">
        <w:t>: p. 245-254.</w:t>
      </w:r>
    </w:p>
    <w:p w:rsidRPr="00C46348" w:rsidR="00C46348" w:rsidP="00C46348" w:rsidRDefault="00C46348" w14:paraId="6E177831" w14:textId="77777777">
      <w:pPr>
        <w:pStyle w:val="EndNoteBibliography"/>
        <w:spacing w:after="0"/>
        <w:ind w:left="720" w:hanging="720"/>
      </w:pPr>
      <w:r w:rsidRPr="00C46348">
        <w:t>103.</w:t>
      </w:r>
      <w:r w:rsidRPr="00C46348">
        <w:tab/>
        <w:t xml:space="preserve">Wong, F., et al., </w:t>
      </w:r>
      <w:r w:rsidRPr="00C46348">
        <w:rPr>
          <w:i/>
        </w:rPr>
        <w:t>Enhanced elimination of perfluorooctane sulfonic acid by menstruating women: evidence from population-based pharmacokinetic modeling.</w:t>
      </w:r>
      <w:r w:rsidRPr="00C46348">
        <w:t xml:space="preserve"> Environ Sci Technol, 2014. </w:t>
      </w:r>
      <w:r w:rsidRPr="00C46348">
        <w:rPr>
          <w:b/>
        </w:rPr>
        <w:t>48</w:t>
      </w:r>
      <w:r w:rsidRPr="00C46348">
        <w:t>(15): p. 8807-14.</w:t>
      </w:r>
    </w:p>
    <w:p w:rsidRPr="00C46348" w:rsidR="00C46348" w:rsidP="00C46348" w:rsidRDefault="00C46348" w14:paraId="418653B2" w14:textId="77777777">
      <w:pPr>
        <w:pStyle w:val="EndNoteBibliography"/>
        <w:spacing w:after="0"/>
        <w:ind w:left="720" w:hanging="720"/>
      </w:pPr>
      <w:r w:rsidRPr="00C46348">
        <w:t>104.</w:t>
      </w:r>
      <w:r w:rsidRPr="00C46348">
        <w:tab/>
        <w:t xml:space="preserve">Cariou, R., et al., </w:t>
      </w:r>
      <w:r w:rsidRPr="00C46348">
        <w:rPr>
          <w:i/>
        </w:rPr>
        <w:t>Perfluoroalkyl acid (PFAA) levels and profiles in breast milk, maternal and cord serum of French women and their newborns.</w:t>
      </w:r>
      <w:r w:rsidRPr="00C46348">
        <w:t xml:space="preserve"> Environ Int, 2015. </w:t>
      </w:r>
      <w:r w:rsidRPr="00C46348">
        <w:rPr>
          <w:b/>
        </w:rPr>
        <w:t>84</w:t>
      </w:r>
      <w:r w:rsidRPr="00C46348">
        <w:t>: p. 71-81.</w:t>
      </w:r>
    </w:p>
    <w:p w:rsidRPr="00C46348" w:rsidR="00C46348" w:rsidP="00C46348" w:rsidRDefault="00C46348" w14:paraId="74806714" w14:textId="77777777">
      <w:pPr>
        <w:pStyle w:val="EndNoteBibliography"/>
        <w:spacing w:after="0"/>
        <w:ind w:left="720" w:hanging="720"/>
      </w:pPr>
      <w:r w:rsidRPr="00C46348">
        <w:t>105.</w:t>
      </w:r>
      <w:r w:rsidRPr="00C46348">
        <w:tab/>
        <w:t xml:space="preserve">Chan, E., et al., </w:t>
      </w:r>
      <w:r w:rsidRPr="00C46348">
        <w:rPr>
          <w:i/>
        </w:rPr>
        <w:t>Perfluorinated acids and hypothyroxinemia in pregnant women.</w:t>
      </w:r>
      <w:r w:rsidRPr="00C46348">
        <w:t xml:space="preserve"> Environ Res, 2011. </w:t>
      </w:r>
      <w:r w:rsidRPr="00C46348">
        <w:rPr>
          <w:b/>
        </w:rPr>
        <w:t>111</w:t>
      </w:r>
      <w:r w:rsidRPr="00C46348">
        <w:t>(4): p. 559-64.</w:t>
      </w:r>
    </w:p>
    <w:p w:rsidRPr="00C46348" w:rsidR="00C46348" w:rsidP="00C46348" w:rsidRDefault="00C46348" w14:paraId="22FF6E97" w14:textId="77777777">
      <w:pPr>
        <w:pStyle w:val="EndNoteBibliography"/>
        <w:spacing w:after="0"/>
        <w:ind w:left="720" w:hanging="720"/>
      </w:pPr>
      <w:r w:rsidRPr="00C46348">
        <w:t>106.</w:t>
      </w:r>
      <w:r w:rsidRPr="00C46348">
        <w:tab/>
        <w:t xml:space="preserve">Chen, F., et al., </w:t>
      </w:r>
      <w:r w:rsidRPr="00C46348">
        <w:rPr>
          <w:i/>
        </w:rPr>
        <w:t>Isomer-Specific Transplacental Transfer of Perfluoroalkyl Acids: Results from a Survey of Paired Maternal, Cord Sera and Placentas.</w:t>
      </w:r>
      <w:r w:rsidRPr="00C46348">
        <w:t xml:space="preserve"> Environ Sci Technol, 2017.</w:t>
      </w:r>
    </w:p>
    <w:p w:rsidRPr="00C46348" w:rsidR="00C46348" w:rsidP="00C46348" w:rsidRDefault="00C46348" w14:paraId="56838C8A" w14:textId="77777777">
      <w:pPr>
        <w:pStyle w:val="EndNoteBibliography"/>
        <w:spacing w:after="0"/>
        <w:ind w:left="720" w:hanging="720"/>
      </w:pPr>
      <w:r w:rsidRPr="00C46348">
        <w:lastRenderedPageBreak/>
        <w:t>107.</w:t>
      </w:r>
      <w:r w:rsidRPr="00C46348">
        <w:tab/>
        <w:t xml:space="preserve">Chen, F., et al., </w:t>
      </w:r>
      <w:r w:rsidRPr="00C46348">
        <w:rPr>
          <w:i/>
        </w:rPr>
        <w:t>Chlorinated Polyfluoroalkyl Ether Sulfonic Acids in Matched Maternal, Cord, and Placenta Samples: A Study of Transplacental Transfer.</w:t>
      </w:r>
      <w:r w:rsidRPr="00C46348">
        <w:t xml:space="preserve"> Environ Sci Technol, 2017.</w:t>
      </w:r>
    </w:p>
    <w:p w:rsidRPr="00C46348" w:rsidR="00C46348" w:rsidP="00C46348" w:rsidRDefault="00C46348" w14:paraId="38F54588" w14:textId="77777777">
      <w:pPr>
        <w:pStyle w:val="EndNoteBibliography"/>
        <w:spacing w:after="0"/>
        <w:ind w:left="720" w:hanging="720"/>
      </w:pPr>
      <w:r w:rsidRPr="00C46348">
        <w:t>108.</w:t>
      </w:r>
      <w:r w:rsidRPr="00C46348">
        <w:tab/>
        <w:t xml:space="preserve">Fromme, H., et al., </w:t>
      </w:r>
      <w:r w:rsidRPr="00C46348">
        <w:rPr>
          <w:i/>
        </w:rPr>
        <w:t>Pre- and postnatal exposure to perfluorinated compounds (PFCs).</w:t>
      </w:r>
      <w:r w:rsidRPr="00C46348">
        <w:t xml:space="preserve"> Environ Sci Technol, 2010. </w:t>
      </w:r>
      <w:r w:rsidRPr="00C46348">
        <w:rPr>
          <w:b/>
        </w:rPr>
        <w:t>44</w:t>
      </w:r>
      <w:r w:rsidRPr="00C46348">
        <w:t>(18): p. 7123-9.</w:t>
      </w:r>
    </w:p>
    <w:p w:rsidRPr="00C46348" w:rsidR="00C46348" w:rsidP="00C46348" w:rsidRDefault="00C46348" w14:paraId="7B4345C6" w14:textId="77777777">
      <w:pPr>
        <w:pStyle w:val="EndNoteBibliography"/>
        <w:spacing w:after="0"/>
        <w:ind w:left="720" w:hanging="720"/>
      </w:pPr>
      <w:r w:rsidRPr="00C46348">
        <w:t>109.</w:t>
      </w:r>
      <w:r w:rsidRPr="00C46348">
        <w:tab/>
        <w:t xml:space="preserve">Han, W., et al., </w:t>
      </w:r>
      <w:r w:rsidRPr="00C46348">
        <w:rPr>
          <w:i/>
        </w:rPr>
        <w:t>Perfluoroalkyl and polyfluoroalkyl substances in matched parental and cord serum in Shandong, China.</w:t>
      </w:r>
      <w:r w:rsidRPr="00C46348">
        <w:t xml:space="preserve"> Environ Int, 2018. </w:t>
      </w:r>
      <w:r w:rsidRPr="00C46348">
        <w:rPr>
          <w:b/>
        </w:rPr>
        <w:t>116</w:t>
      </w:r>
      <w:r w:rsidRPr="00C46348">
        <w:t>: p. 206-213.</w:t>
      </w:r>
    </w:p>
    <w:p w:rsidRPr="00C46348" w:rsidR="00C46348" w:rsidP="00C46348" w:rsidRDefault="00C46348" w14:paraId="39E589A8" w14:textId="77777777">
      <w:pPr>
        <w:pStyle w:val="EndNoteBibliography"/>
        <w:spacing w:after="0"/>
        <w:ind w:left="720" w:hanging="720"/>
      </w:pPr>
      <w:r w:rsidRPr="00C46348">
        <w:t>110.</w:t>
      </w:r>
      <w:r w:rsidRPr="00C46348">
        <w:tab/>
        <w:t xml:space="preserve">Apelberg, B.J., et al., </w:t>
      </w:r>
      <w:r w:rsidRPr="00C46348">
        <w:rPr>
          <w:i/>
        </w:rPr>
        <w:t>Determinants of fetal exposure to polyfluoroalkyl compounds in Baltimore, Maryland.</w:t>
      </w:r>
      <w:r w:rsidRPr="00C46348">
        <w:t xml:space="preserve"> Environ Sci Technol, 2007. </w:t>
      </w:r>
      <w:r w:rsidRPr="00C46348">
        <w:rPr>
          <w:b/>
        </w:rPr>
        <w:t>41</w:t>
      </w:r>
      <w:r w:rsidRPr="00C46348">
        <w:t>(11): p. 3891-7.</w:t>
      </w:r>
    </w:p>
    <w:p w:rsidRPr="00C46348" w:rsidR="00C46348" w:rsidP="00C46348" w:rsidRDefault="00C46348" w14:paraId="20AC2BE2" w14:textId="77777777">
      <w:pPr>
        <w:pStyle w:val="EndNoteBibliography"/>
        <w:spacing w:after="0"/>
        <w:ind w:left="720" w:hanging="720"/>
      </w:pPr>
      <w:r w:rsidRPr="00C46348">
        <w:t>111.</w:t>
      </w:r>
      <w:r w:rsidRPr="00C46348">
        <w:tab/>
        <w:t xml:space="preserve">Arbuckle, T.E., et al., </w:t>
      </w:r>
      <w:r w:rsidRPr="00C46348">
        <w:rPr>
          <w:i/>
        </w:rPr>
        <w:t>Umbilical cord blood levels of perfluoroalkyl acids and polybrominated flame retardants.</w:t>
      </w:r>
      <w:r w:rsidRPr="00C46348">
        <w:t xml:space="preserve"> Int J Hyg Environ Health, 2013. </w:t>
      </w:r>
      <w:r w:rsidRPr="00C46348">
        <w:rPr>
          <w:b/>
        </w:rPr>
        <w:t>216</w:t>
      </w:r>
      <w:r w:rsidRPr="00C46348">
        <w:t>(2): p. 184-94.</w:t>
      </w:r>
    </w:p>
    <w:p w:rsidRPr="00C46348" w:rsidR="00C46348" w:rsidP="00C46348" w:rsidRDefault="00C46348" w14:paraId="4023C589" w14:textId="77777777">
      <w:pPr>
        <w:pStyle w:val="EndNoteBibliography"/>
        <w:spacing w:after="0"/>
        <w:ind w:left="720" w:hanging="720"/>
      </w:pPr>
      <w:r w:rsidRPr="00C46348">
        <w:t>112.</w:t>
      </w:r>
      <w:r w:rsidRPr="00C46348">
        <w:tab/>
        <w:t xml:space="preserve">Chen, M.H., et al., </w:t>
      </w:r>
      <w:r w:rsidRPr="00C46348">
        <w:rPr>
          <w:i/>
        </w:rPr>
        <w:t>Perfluorinated compounds in umbilical cord blood and adverse birth outcomes.</w:t>
      </w:r>
      <w:r w:rsidRPr="00C46348">
        <w:t xml:space="preserve"> PLoS One, 2012. </w:t>
      </w:r>
      <w:r w:rsidRPr="00C46348">
        <w:rPr>
          <w:b/>
        </w:rPr>
        <w:t>7</w:t>
      </w:r>
      <w:r w:rsidRPr="00C46348">
        <w:t>(8): p. e42474.</w:t>
      </w:r>
    </w:p>
    <w:p w:rsidRPr="00C46348" w:rsidR="00C46348" w:rsidP="00C46348" w:rsidRDefault="00C46348" w14:paraId="36F41715" w14:textId="77777777">
      <w:pPr>
        <w:pStyle w:val="EndNoteBibliography"/>
        <w:spacing w:after="0"/>
        <w:ind w:left="720" w:hanging="720"/>
      </w:pPr>
      <w:r w:rsidRPr="00C46348">
        <w:t>113.</w:t>
      </w:r>
      <w:r w:rsidRPr="00C46348">
        <w:tab/>
        <w:t xml:space="preserve">Inoue, K., et al., </w:t>
      </w:r>
      <w:r w:rsidRPr="00C46348">
        <w:rPr>
          <w:i/>
        </w:rPr>
        <w:t>Perfluorooctane sulfonate (PFOS) and related perfluorinated compounds in human maternal and cord blood samples: assessment of PFOS exposure in a susceptible population during pregnancy.</w:t>
      </w:r>
      <w:r w:rsidRPr="00C46348">
        <w:t xml:space="preserve"> Environ Health Perspect, 2004. </w:t>
      </w:r>
      <w:r w:rsidRPr="00C46348">
        <w:rPr>
          <w:b/>
        </w:rPr>
        <w:t>112</w:t>
      </w:r>
      <w:r w:rsidRPr="00C46348">
        <w:t>(11): p. 1204-7.</w:t>
      </w:r>
    </w:p>
    <w:p w:rsidRPr="00C46348" w:rsidR="00C46348" w:rsidP="00C46348" w:rsidRDefault="00C46348" w14:paraId="3514B0A2" w14:textId="77777777">
      <w:pPr>
        <w:pStyle w:val="EndNoteBibliography"/>
        <w:spacing w:after="0"/>
        <w:ind w:left="720" w:hanging="720"/>
      </w:pPr>
      <w:r w:rsidRPr="00C46348">
        <w:t>114.</w:t>
      </w:r>
      <w:r w:rsidRPr="00C46348">
        <w:tab/>
        <w:t xml:space="preserve">Lee, Y.J., et al., </w:t>
      </w:r>
      <w:r w:rsidRPr="00C46348">
        <w:rPr>
          <w:i/>
        </w:rPr>
        <w:t>Concentrations of perfluoroalkyl compounds in maternal and umbilical cord sera and birth outcomes in Korea.</w:t>
      </w:r>
      <w:r w:rsidRPr="00C46348">
        <w:t xml:space="preserve"> Chemosphere, 2013. </w:t>
      </w:r>
      <w:r w:rsidRPr="00C46348">
        <w:rPr>
          <w:b/>
        </w:rPr>
        <w:t>90</w:t>
      </w:r>
      <w:r w:rsidRPr="00C46348">
        <w:t>(5): p. 1603-9.</w:t>
      </w:r>
    </w:p>
    <w:p w:rsidRPr="00C46348" w:rsidR="00C46348" w:rsidP="00C46348" w:rsidRDefault="00C46348" w14:paraId="332C59AE" w14:textId="77777777">
      <w:pPr>
        <w:pStyle w:val="EndNoteBibliography"/>
        <w:spacing w:after="0"/>
        <w:ind w:left="720" w:hanging="720"/>
      </w:pPr>
      <w:r w:rsidRPr="00C46348">
        <w:t>115.</w:t>
      </w:r>
      <w:r w:rsidRPr="00C46348">
        <w:tab/>
        <w:t xml:space="preserve">Mamsen, L.S., et al., </w:t>
      </w:r>
      <w:r w:rsidRPr="00C46348">
        <w:rPr>
          <w:i/>
        </w:rPr>
        <w:t>Concentration of perfluorinated compounds and cotinine in human foetal organs, placenta, and maternal plasma.</w:t>
      </w:r>
      <w:r w:rsidRPr="00C46348">
        <w:t xml:space="preserve"> Sci Total Environ, 2017. </w:t>
      </w:r>
      <w:r w:rsidRPr="00C46348">
        <w:rPr>
          <w:b/>
        </w:rPr>
        <w:t>596-597</w:t>
      </w:r>
      <w:r w:rsidRPr="00C46348">
        <w:t>: p. 97-105.</w:t>
      </w:r>
    </w:p>
    <w:p w:rsidRPr="00C46348" w:rsidR="00C46348" w:rsidP="00C46348" w:rsidRDefault="00C46348" w14:paraId="1252B421" w14:textId="77777777">
      <w:pPr>
        <w:pStyle w:val="EndNoteBibliography"/>
        <w:spacing w:after="0"/>
        <w:ind w:left="720" w:hanging="720"/>
      </w:pPr>
      <w:r w:rsidRPr="00C46348">
        <w:t>116.</w:t>
      </w:r>
      <w:r w:rsidRPr="00C46348">
        <w:tab/>
        <w:t xml:space="preserve">Mamsen, L.S., et al., </w:t>
      </w:r>
      <w:r w:rsidRPr="00C46348">
        <w:rPr>
          <w:i/>
        </w:rPr>
        <w:t>Concentrations of perfluoroalkyl substances (PFASs) in human embryonic and fetal organs from first, second, and third trimester pregnancies.</w:t>
      </w:r>
      <w:r w:rsidRPr="00C46348">
        <w:t xml:space="preserve"> Environ Int, 2019. </w:t>
      </w:r>
      <w:r w:rsidRPr="00C46348">
        <w:rPr>
          <w:b/>
        </w:rPr>
        <w:t>124</w:t>
      </w:r>
      <w:r w:rsidRPr="00C46348">
        <w:t>: p. 482-492.</w:t>
      </w:r>
    </w:p>
    <w:p w:rsidRPr="00C46348" w:rsidR="00C46348" w:rsidP="00C46348" w:rsidRDefault="00C46348" w14:paraId="4EC755A8" w14:textId="77777777">
      <w:pPr>
        <w:pStyle w:val="EndNoteBibliography"/>
        <w:spacing w:after="0"/>
        <w:ind w:left="720" w:hanging="720"/>
      </w:pPr>
      <w:r w:rsidRPr="00C46348">
        <w:t>117.</w:t>
      </w:r>
      <w:r w:rsidRPr="00C46348">
        <w:tab/>
        <w:t xml:space="preserve">Wang, Y., et al., </w:t>
      </w:r>
      <w:r w:rsidRPr="00C46348">
        <w:rPr>
          <w:i/>
        </w:rPr>
        <w:t>Association between maternal serum perfluoroalkyl substances during pregnancy and maternal and cord thyroid hormones: Taiwan maternal and infant cohort study.</w:t>
      </w:r>
      <w:r w:rsidRPr="00C46348">
        <w:t xml:space="preserve"> Environ Health Perspect, 2014. </w:t>
      </w:r>
      <w:r w:rsidRPr="00C46348">
        <w:rPr>
          <w:b/>
        </w:rPr>
        <w:t>122</w:t>
      </w:r>
      <w:r w:rsidRPr="00C46348">
        <w:t>(5): p. 529-34.</w:t>
      </w:r>
    </w:p>
    <w:p w:rsidRPr="00C46348" w:rsidR="00C46348" w:rsidP="00C46348" w:rsidRDefault="00C46348" w14:paraId="64809D51" w14:textId="77777777">
      <w:pPr>
        <w:pStyle w:val="EndNoteBibliography"/>
        <w:spacing w:after="0"/>
        <w:ind w:left="720" w:hanging="720"/>
      </w:pPr>
      <w:r w:rsidRPr="00C46348">
        <w:t>118.</w:t>
      </w:r>
      <w:r w:rsidRPr="00C46348">
        <w:tab/>
        <w:t xml:space="preserve">Liu, J., et al., </w:t>
      </w:r>
      <w:r w:rsidRPr="00C46348">
        <w:rPr>
          <w:i/>
        </w:rPr>
        <w:t>Comparison on gestation and lactation exposure of perfluorinated compounds for newborns.</w:t>
      </w:r>
      <w:r w:rsidRPr="00C46348">
        <w:t xml:space="preserve"> Environ Int, 2011. </w:t>
      </w:r>
      <w:r w:rsidRPr="00C46348">
        <w:rPr>
          <w:b/>
        </w:rPr>
        <w:t>37</w:t>
      </w:r>
      <w:r w:rsidRPr="00C46348">
        <w:t>(7): p. 1206-12.</w:t>
      </w:r>
    </w:p>
    <w:p w:rsidRPr="00C46348" w:rsidR="00C46348" w:rsidP="00C46348" w:rsidRDefault="00C46348" w14:paraId="1F5DDBF2" w14:textId="77777777">
      <w:pPr>
        <w:pStyle w:val="EndNoteBibliography"/>
        <w:spacing w:after="0"/>
        <w:ind w:left="720" w:hanging="720"/>
      </w:pPr>
      <w:r w:rsidRPr="00C46348">
        <w:t>119.</w:t>
      </w:r>
      <w:r w:rsidRPr="00C46348">
        <w:tab/>
        <w:t xml:space="preserve">Barbarossa, A., et al., </w:t>
      </w:r>
      <w:r w:rsidRPr="00C46348">
        <w:rPr>
          <w:i/>
        </w:rPr>
        <w:t>Perfluoroalkyl substances in human milk: a first survey in Italy.</w:t>
      </w:r>
      <w:r w:rsidRPr="00C46348">
        <w:t xml:space="preserve"> Environ Int, 2013. </w:t>
      </w:r>
      <w:r w:rsidRPr="00C46348">
        <w:rPr>
          <w:b/>
        </w:rPr>
        <w:t>51</w:t>
      </w:r>
      <w:r w:rsidRPr="00C46348">
        <w:t>: p. 27-30.</w:t>
      </w:r>
    </w:p>
    <w:p w:rsidRPr="00C46348" w:rsidR="00C46348" w:rsidP="00C46348" w:rsidRDefault="00C46348" w14:paraId="10CCFD8E" w14:textId="77777777">
      <w:pPr>
        <w:pStyle w:val="EndNoteBibliography"/>
        <w:spacing w:after="0"/>
        <w:ind w:left="720" w:hanging="720"/>
      </w:pPr>
      <w:r w:rsidRPr="00C46348">
        <w:t>120.</w:t>
      </w:r>
      <w:r w:rsidRPr="00C46348">
        <w:tab/>
        <w:t xml:space="preserve">Jusko, T.A., et al., </w:t>
      </w:r>
      <w:r w:rsidRPr="00C46348">
        <w:rPr>
          <w:i/>
        </w:rPr>
        <w:t>Demographic, Reproductive, and Dietary Determinants of Perfluorooctane Sulfonic (PFOS) and Perfluorooctanoic Acid (PFOA) Concentrations in Human Colostrum.</w:t>
      </w:r>
      <w:r w:rsidRPr="00C46348">
        <w:t xml:space="preserve"> Environ Sci Technol, 2016. </w:t>
      </w:r>
      <w:r w:rsidRPr="00C46348">
        <w:rPr>
          <w:b/>
        </w:rPr>
        <w:t>50</w:t>
      </w:r>
      <w:r w:rsidRPr="00C46348">
        <w:t>(13): p. 7152-62.</w:t>
      </w:r>
    </w:p>
    <w:p w:rsidRPr="00C46348" w:rsidR="00C46348" w:rsidP="00C46348" w:rsidRDefault="00C46348" w14:paraId="6311FDB1" w14:textId="77777777">
      <w:pPr>
        <w:pStyle w:val="EndNoteBibliography"/>
        <w:spacing w:after="0"/>
        <w:ind w:left="720" w:hanging="720"/>
      </w:pPr>
      <w:r w:rsidRPr="00C46348">
        <w:t>121.</w:t>
      </w:r>
      <w:r w:rsidRPr="00C46348">
        <w:tab/>
        <w:t xml:space="preserve">Kang, H., et al., </w:t>
      </w:r>
      <w:r w:rsidRPr="00C46348">
        <w:rPr>
          <w:i/>
        </w:rPr>
        <w:t>Elevated levels of short carbon-chain PFCAs in breast milk among Korean women: Current status and potential challenges.</w:t>
      </w:r>
      <w:r w:rsidRPr="00C46348">
        <w:t xml:space="preserve"> Environ Res, 2016. </w:t>
      </w:r>
      <w:r w:rsidRPr="00C46348">
        <w:rPr>
          <w:b/>
        </w:rPr>
        <w:t>148</w:t>
      </w:r>
      <w:r w:rsidRPr="00C46348">
        <w:t>: p. 351-359.</w:t>
      </w:r>
    </w:p>
    <w:p w:rsidRPr="00C46348" w:rsidR="00C46348" w:rsidP="00C46348" w:rsidRDefault="00C46348" w14:paraId="012B7A59" w14:textId="77777777">
      <w:pPr>
        <w:pStyle w:val="EndNoteBibliography"/>
        <w:spacing w:after="0"/>
        <w:ind w:left="720" w:hanging="720"/>
      </w:pPr>
      <w:r w:rsidRPr="00C46348">
        <w:t>122.</w:t>
      </w:r>
      <w:r w:rsidRPr="00C46348">
        <w:tab/>
        <w:t xml:space="preserve">Karrman, A., et al., </w:t>
      </w:r>
      <w:r w:rsidRPr="00C46348">
        <w:rPr>
          <w:i/>
        </w:rPr>
        <w:t>Biomonitoring perfluorinated compounds in Catalonia, Spain: concentrations and trends in human liver and milk samples.</w:t>
      </w:r>
      <w:r w:rsidRPr="00C46348">
        <w:t xml:space="preserve"> Environ Sci Pollut Res Int, 2010. </w:t>
      </w:r>
      <w:r w:rsidRPr="00C46348">
        <w:rPr>
          <w:b/>
        </w:rPr>
        <w:t>17</w:t>
      </w:r>
      <w:r w:rsidRPr="00C46348">
        <w:t>(3): p. 750-8.</w:t>
      </w:r>
    </w:p>
    <w:p w:rsidRPr="00C46348" w:rsidR="00C46348" w:rsidP="00C46348" w:rsidRDefault="00C46348" w14:paraId="206000EA" w14:textId="77777777">
      <w:pPr>
        <w:pStyle w:val="EndNoteBibliography"/>
        <w:spacing w:after="0"/>
        <w:ind w:left="720" w:hanging="720"/>
      </w:pPr>
      <w:r w:rsidRPr="00C46348">
        <w:t>123.</w:t>
      </w:r>
      <w:r w:rsidRPr="00C46348">
        <w:tab/>
        <w:t xml:space="preserve">Karrman, A., et al., </w:t>
      </w:r>
      <w:r w:rsidRPr="00C46348">
        <w:rPr>
          <w:i/>
        </w:rPr>
        <w:t>Exposure of perfluorinated chemicals through lactation: levels of matched human milk and serum and a temporal trend, 1996-2004, in Sweden.</w:t>
      </w:r>
      <w:r w:rsidRPr="00C46348">
        <w:t xml:space="preserve"> Environ Health Perspect, 2007. </w:t>
      </w:r>
      <w:r w:rsidRPr="00C46348">
        <w:rPr>
          <w:b/>
        </w:rPr>
        <w:t>115</w:t>
      </w:r>
      <w:r w:rsidRPr="00C46348">
        <w:t>(2): p. 226-30.</w:t>
      </w:r>
    </w:p>
    <w:p w:rsidRPr="00C46348" w:rsidR="00C46348" w:rsidP="00C46348" w:rsidRDefault="00C46348" w14:paraId="3794F694" w14:textId="77777777">
      <w:pPr>
        <w:pStyle w:val="EndNoteBibliography"/>
        <w:spacing w:after="0"/>
        <w:ind w:left="720" w:hanging="720"/>
      </w:pPr>
      <w:r w:rsidRPr="00C46348">
        <w:t>124.</w:t>
      </w:r>
      <w:r w:rsidRPr="00C46348">
        <w:tab/>
        <w:t xml:space="preserve">Kim, S.K., et al., </w:t>
      </w:r>
      <w:r w:rsidRPr="00C46348">
        <w:rPr>
          <w:i/>
        </w:rPr>
        <w:t>Distribution of perfluorochemicals between sera and milk from the same mothers and implications for prenatal and postnatal exposures.</w:t>
      </w:r>
      <w:r w:rsidRPr="00C46348">
        <w:t xml:space="preserve"> Environ Pollut, 2011. </w:t>
      </w:r>
      <w:r w:rsidRPr="00C46348">
        <w:rPr>
          <w:b/>
        </w:rPr>
        <w:t>159</w:t>
      </w:r>
      <w:r w:rsidRPr="00C46348">
        <w:t>(1): p. 169-74.</w:t>
      </w:r>
    </w:p>
    <w:p w:rsidRPr="00C46348" w:rsidR="00C46348" w:rsidP="00C46348" w:rsidRDefault="00C46348" w14:paraId="4E222385" w14:textId="77777777">
      <w:pPr>
        <w:pStyle w:val="EndNoteBibliography"/>
        <w:spacing w:after="0"/>
        <w:ind w:left="720" w:hanging="720"/>
      </w:pPr>
      <w:r w:rsidRPr="00C46348">
        <w:lastRenderedPageBreak/>
        <w:t>125.</w:t>
      </w:r>
      <w:r w:rsidRPr="00C46348">
        <w:tab/>
        <w:t xml:space="preserve">Llorca, M., et al., </w:t>
      </w:r>
      <w:r w:rsidRPr="00C46348">
        <w:rPr>
          <w:i/>
        </w:rPr>
        <w:t>Infant exposure of perfluorinated compounds: levels in breast milk and commercial baby food.</w:t>
      </w:r>
      <w:r w:rsidRPr="00C46348">
        <w:t xml:space="preserve"> Environ Int, 2010. </w:t>
      </w:r>
      <w:r w:rsidRPr="00C46348">
        <w:rPr>
          <w:b/>
        </w:rPr>
        <w:t>36</w:t>
      </w:r>
      <w:r w:rsidRPr="00C46348">
        <w:t>(6): p. 584-92.</w:t>
      </w:r>
    </w:p>
    <w:p w:rsidRPr="00C46348" w:rsidR="00C46348" w:rsidP="00C46348" w:rsidRDefault="00C46348" w14:paraId="7F31EB47" w14:textId="77777777">
      <w:pPr>
        <w:pStyle w:val="EndNoteBibliography"/>
        <w:spacing w:after="0"/>
        <w:ind w:left="720" w:hanging="720"/>
      </w:pPr>
      <w:r w:rsidRPr="00C46348">
        <w:t>126.</w:t>
      </w:r>
      <w:r w:rsidRPr="00C46348">
        <w:tab/>
        <w:t xml:space="preserve">Motas Guzman, M., et al., </w:t>
      </w:r>
      <w:r w:rsidRPr="00C46348">
        <w:rPr>
          <w:i/>
        </w:rPr>
        <w:t>Perfluorinated carboxylic acids in human breast milk from Spain and estimation of infant's daily intake.</w:t>
      </w:r>
      <w:r w:rsidRPr="00C46348">
        <w:t xml:space="preserve"> Sci Total Environ, 2016. </w:t>
      </w:r>
      <w:r w:rsidRPr="00C46348">
        <w:rPr>
          <w:b/>
        </w:rPr>
        <w:t>544</w:t>
      </w:r>
      <w:r w:rsidRPr="00C46348">
        <w:t>: p. 595-600.</w:t>
      </w:r>
    </w:p>
    <w:p w:rsidRPr="00C46348" w:rsidR="00C46348" w:rsidP="00C46348" w:rsidRDefault="00C46348" w14:paraId="3BF156CC" w14:textId="77777777">
      <w:pPr>
        <w:pStyle w:val="EndNoteBibliography"/>
        <w:spacing w:after="0"/>
        <w:ind w:left="720" w:hanging="720"/>
      </w:pPr>
      <w:r w:rsidRPr="00C46348">
        <w:t>127.</w:t>
      </w:r>
      <w:r w:rsidRPr="00C46348">
        <w:tab/>
        <w:t xml:space="preserve">So, M.K., et al., </w:t>
      </w:r>
      <w:r w:rsidRPr="00C46348">
        <w:rPr>
          <w:i/>
        </w:rPr>
        <w:t>Health risks in infants associated with exposure to perfluorinated compounds in human breast milk from Zhoushan, China.</w:t>
      </w:r>
      <w:r w:rsidRPr="00C46348">
        <w:t xml:space="preserve"> Environ Sci Technol, 2006. </w:t>
      </w:r>
      <w:r w:rsidRPr="00C46348">
        <w:rPr>
          <w:b/>
        </w:rPr>
        <w:t>40</w:t>
      </w:r>
      <w:r w:rsidRPr="00C46348">
        <w:t>(9): p. 2924-9.</w:t>
      </w:r>
    </w:p>
    <w:p w:rsidRPr="00C46348" w:rsidR="00C46348" w:rsidP="00C46348" w:rsidRDefault="00C46348" w14:paraId="11A46313" w14:textId="77777777">
      <w:pPr>
        <w:pStyle w:val="EndNoteBibliography"/>
        <w:spacing w:after="0"/>
        <w:ind w:left="720" w:hanging="720"/>
      </w:pPr>
      <w:r w:rsidRPr="00C46348">
        <w:t>128.</w:t>
      </w:r>
      <w:r w:rsidRPr="00C46348">
        <w:tab/>
        <w:t xml:space="preserve">Thomsen, C., et al., </w:t>
      </w:r>
      <w:r w:rsidRPr="00C46348">
        <w:rPr>
          <w:i/>
        </w:rPr>
        <w:t>Changes in concentrations of perfluorinated compounds, polybrominated diphenyl ethers, and polychlorinated biphenyls in Norwegian breast-milk during twelve months of lactation.</w:t>
      </w:r>
      <w:r w:rsidRPr="00C46348">
        <w:t xml:space="preserve"> Environ Sci Technol, 2010. </w:t>
      </w:r>
      <w:r w:rsidRPr="00C46348">
        <w:rPr>
          <w:b/>
        </w:rPr>
        <w:t>44</w:t>
      </w:r>
      <w:r w:rsidRPr="00C46348">
        <w:t>(24): p. 9550-6.</w:t>
      </w:r>
    </w:p>
    <w:p w:rsidRPr="00C46348" w:rsidR="00C46348" w:rsidP="00C46348" w:rsidRDefault="00C46348" w14:paraId="50EBC658" w14:textId="77777777">
      <w:pPr>
        <w:pStyle w:val="EndNoteBibliography"/>
        <w:spacing w:after="0"/>
        <w:ind w:left="720" w:hanging="720"/>
      </w:pPr>
      <w:r w:rsidRPr="00C46348">
        <w:t>129.</w:t>
      </w:r>
      <w:r w:rsidRPr="00C46348">
        <w:tab/>
        <w:t xml:space="preserve">von Ehrenstein, O.S., et al., </w:t>
      </w:r>
      <w:r w:rsidRPr="00C46348">
        <w:rPr>
          <w:i/>
        </w:rPr>
        <w:t>Polyfluoroalkyl chemicals in the serum and milk of breastfeeding women.</w:t>
      </w:r>
      <w:r w:rsidRPr="00C46348">
        <w:t xml:space="preserve"> Reprod Toxicol, 2009. </w:t>
      </w:r>
      <w:r w:rsidRPr="00C46348">
        <w:rPr>
          <w:b/>
        </w:rPr>
        <w:t>27</w:t>
      </w:r>
      <w:r w:rsidRPr="00C46348">
        <w:t>(3-4): p. 239-45.</w:t>
      </w:r>
    </w:p>
    <w:p w:rsidRPr="00C46348" w:rsidR="00C46348" w:rsidP="00C46348" w:rsidRDefault="00C46348" w14:paraId="0EBFAB98" w14:textId="77777777">
      <w:pPr>
        <w:pStyle w:val="EndNoteBibliography"/>
        <w:spacing w:after="0"/>
        <w:ind w:left="720" w:hanging="720"/>
      </w:pPr>
      <w:r w:rsidRPr="00C46348">
        <w:t>130.</w:t>
      </w:r>
      <w:r w:rsidRPr="00C46348">
        <w:tab/>
        <w:t xml:space="preserve">Mogensen, U.B., et al., </w:t>
      </w:r>
      <w:r w:rsidRPr="00C46348">
        <w:rPr>
          <w:i/>
        </w:rPr>
        <w:t>Breastfeeding as an Exposure Pathway for Perfluorinated Alkylates.</w:t>
      </w:r>
      <w:r w:rsidRPr="00C46348">
        <w:t xml:space="preserve"> Environ Sci Technol, 2015. </w:t>
      </w:r>
      <w:r w:rsidRPr="00C46348">
        <w:rPr>
          <w:b/>
        </w:rPr>
        <w:t>49</w:t>
      </w:r>
      <w:r w:rsidRPr="00C46348">
        <w:t>(17): p. 10466-73.</w:t>
      </w:r>
    </w:p>
    <w:p w:rsidRPr="00C46348" w:rsidR="00C46348" w:rsidP="00C46348" w:rsidRDefault="00C46348" w14:paraId="30159485" w14:textId="77777777">
      <w:pPr>
        <w:pStyle w:val="EndNoteBibliography"/>
        <w:spacing w:after="0"/>
        <w:ind w:left="720" w:hanging="720"/>
      </w:pPr>
      <w:r w:rsidRPr="00C46348">
        <w:t>131.</w:t>
      </w:r>
      <w:r w:rsidRPr="00C46348">
        <w:tab/>
        <w:t xml:space="preserve">Ye, X., et al., </w:t>
      </w:r>
      <w:r w:rsidRPr="00C46348">
        <w:rPr>
          <w:i/>
        </w:rPr>
        <w:t>Per- and polyfluoroalkyl substances in sera from children 3 to 11 years of age participating in the National Health and Nutrition Examination Survey 2013-2014.</w:t>
      </w:r>
      <w:r w:rsidRPr="00C46348">
        <w:t xml:space="preserve"> Int J Hyg Environ Health, 2018. </w:t>
      </w:r>
      <w:r w:rsidRPr="00C46348">
        <w:rPr>
          <w:b/>
        </w:rPr>
        <w:t>221</w:t>
      </w:r>
      <w:r w:rsidRPr="00C46348">
        <w:t>(1): p. 9-16.</w:t>
      </w:r>
    </w:p>
    <w:p w:rsidRPr="00C46348" w:rsidR="00C46348" w:rsidP="00C46348" w:rsidRDefault="00C46348" w14:paraId="6F5966C5" w14:textId="77777777">
      <w:pPr>
        <w:pStyle w:val="EndNoteBibliography"/>
        <w:spacing w:after="0"/>
        <w:ind w:left="720" w:hanging="720"/>
      </w:pPr>
      <w:r w:rsidRPr="00C46348">
        <w:t>132.</w:t>
      </w:r>
      <w:r w:rsidRPr="00C46348">
        <w:tab/>
        <w:t xml:space="preserve">Helsel, D.R., </w:t>
      </w:r>
      <w:r w:rsidRPr="00C46348">
        <w:rPr>
          <w:i/>
        </w:rPr>
        <w:t>Statistics for Censored Environmental Data Using Minitab and R</w:t>
      </w:r>
      <w:r w:rsidRPr="00C46348">
        <w:t>. 2011: Wiley.</w:t>
      </w:r>
    </w:p>
    <w:p w:rsidRPr="00C46348" w:rsidR="00C46348" w:rsidP="00C46348" w:rsidRDefault="00C46348" w14:paraId="5AB008B9" w14:textId="77777777">
      <w:pPr>
        <w:pStyle w:val="EndNoteBibliography"/>
        <w:ind w:left="720" w:hanging="720"/>
      </w:pPr>
      <w:r w:rsidRPr="00C46348">
        <w:t>133.</w:t>
      </w:r>
      <w:r w:rsidRPr="00C46348">
        <w:tab/>
        <w:t xml:space="preserve">Hornung, R.W. and L.D. Reed, </w:t>
      </w:r>
      <w:r w:rsidRPr="00C46348">
        <w:rPr>
          <w:i/>
        </w:rPr>
        <w:t>Estimation of Average Concentration in the Presence of Nondetectable Values.</w:t>
      </w:r>
      <w:r w:rsidRPr="00C46348">
        <w:t xml:space="preserve"> Applied Occupational and Environmental Hygiene, 1990. </w:t>
      </w:r>
      <w:r w:rsidRPr="00C46348">
        <w:rPr>
          <w:b/>
        </w:rPr>
        <w:t>5</w:t>
      </w:r>
      <w:r w:rsidRPr="00C46348">
        <w:t>(1): p. 46-51.</w:t>
      </w:r>
    </w:p>
    <w:p w:rsidR="00C73021" w:rsidP="00FB38BA" w:rsidRDefault="00B64CA5" w14:paraId="036D226E" w14:textId="4DD760F9">
      <w:pPr>
        <w:pStyle w:val="NoSpacing"/>
        <w:spacing w:after="200"/>
        <w:rPr>
          <w:b/>
        </w:rPr>
      </w:pPr>
      <w:r w:rsidRPr="00DF516A">
        <w:rPr>
          <w:b/>
        </w:rPr>
        <w:fldChar w:fldCharType="end"/>
      </w:r>
      <w:r w:rsidR="00C73021">
        <w:rPr>
          <w:b/>
        </w:rPr>
        <w:br w:type="page"/>
      </w:r>
    </w:p>
    <w:p w:rsidRPr="00196518" w:rsidR="00530D8A" w:rsidP="00530D8A" w:rsidRDefault="00530D8A" w14:paraId="73BB407B" w14:textId="22450FF4">
      <w:pPr>
        <w:pStyle w:val="Default"/>
        <w:spacing w:after="120" w:line="276" w:lineRule="auto"/>
        <w:rPr>
          <w:bCs/>
          <w:i/>
          <w:color w:val="auto"/>
          <w:sz w:val="23"/>
          <w:szCs w:val="23"/>
        </w:rPr>
      </w:pPr>
      <w:bookmarkStart w:name="_Appendix_N56_Supplemental" w:id="71"/>
      <w:bookmarkEnd w:id="71"/>
    </w:p>
    <w:sectPr w:rsidRPr="00196518" w:rsidR="00530D8A" w:rsidSect="00713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2DD6" w14:textId="77777777" w:rsidR="0022113E" w:rsidRDefault="0022113E" w:rsidP="00022ADC">
      <w:pPr>
        <w:spacing w:after="0" w:line="240" w:lineRule="auto"/>
      </w:pPr>
      <w:r>
        <w:separator/>
      </w:r>
    </w:p>
  </w:endnote>
  <w:endnote w:type="continuationSeparator" w:id="0">
    <w:p w14:paraId="3AE15A35" w14:textId="77777777" w:rsidR="0022113E" w:rsidRDefault="0022113E" w:rsidP="00022ADC">
      <w:pPr>
        <w:spacing w:after="0" w:line="240" w:lineRule="auto"/>
      </w:pPr>
      <w:r>
        <w:continuationSeparator/>
      </w:r>
    </w:p>
  </w:endnote>
  <w:endnote w:type="continuationNotice" w:id="1">
    <w:p w14:paraId="452AF588" w14:textId="77777777" w:rsidR="0022113E" w:rsidRDefault="00221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E127" w14:textId="77777777" w:rsidR="0022113E" w:rsidRDefault="0022113E"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AB74" w14:textId="77777777" w:rsidR="0022113E" w:rsidRDefault="0022113E" w:rsidP="00E964F4">
    <w:pPr>
      <w:pStyle w:val="Footer"/>
      <w:jc w:val="center"/>
    </w:pPr>
  </w:p>
  <w:sdt>
    <w:sdtPr>
      <w:id w:val="-1008974250"/>
      <w:docPartObj>
        <w:docPartGallery w:val="Page Numbers (Bottom of Page)"/>
        <w:docPartUnique/>
      </w:docPartObj>
    </w:sdtPr>
    <w:sdtEndPr/>
    <w:sdtContent>
      <w:p w14:paraId="6164366A" w14:textId="77777777" w:rsidR="0022113E" w:rsidRDefault="0022113E" w:rsidP="00671507">
        <w:pPr>
          <w:pStyle w:val="Footer"/>
          <w:jc w:val="right"/>
        </w:pPr>
      </w:p>
      <w:sdt>
        <w:sdtPr>
          <w:id w:val="-1421947296"/>
          <w:docPartObj>
            <w:docPartGallery w:val="Page Numbers (Top of Page)"/>
            <w:docPartUnique/>
          </w:docPartObj>
        </w:sdtPr>
        <w:sdtEndPr/>
        <w:sdtContent>
          <w:sdt>
            <w:sdtPr>
              <w:id w:val="-788120628"/>
              <w:docPartObj>
                <w:docPartGallery w:val="Page Numbers (Bottom of Page)"/>
                <w:docPartUnique/>
              </w:docPartObj>
            </w:sdtPr>
            <w:sdtEndPr/>
            <w:sdtContent>
              <w:sdt>
                <w:sdtPr>
                  <w:id w:val="-2134781738"/>
                  <w:docPartObj>
                    <w:docPartGallery w:val="Page Numbers (Bottom of Page)"/>
                    <w:docPartUnique/>
                  </w:docPartObj>
                </w:sdtPr>
                <w:sdtEndPr/>
                <w:sdtContent>
                  <w:sdt>
                    <w:sdtPr>
                      <w:id w:val="24839567"/>
                      <w:docPartObj>
                        <w:docPartGallery w:val="Page Numbers (Top of Page)"/>
                        <w:docPartUnique/>
                      </w:docPartObj>
                    </w:sdtPr>
                    <w:sdtEndPr/>
                    <w:sdtContent>
                      <w:p w14:paraId="5C885FF7" w14:textId="77777777" w:rsidR="0022113E" w:rsidRDefault="0022113E" w:rsidP="00671507">
                        <w:pPr>
                          <w:pStyle w:val="Footer"/>
                          <w:jc w:val="right"/>
                        </w:pPr>
                      </w:p>
                      <w:sdt>
                        <w:sdtPr>
                          <w:id w:val="1673683482"/>
                          <w:docPartObj>
                            <w:docPartGallery w:val="Page Numbers (Top of Page)"/>
                            <w:docPartUnique/>
                          </w:docPartObj>
                        </w:sdtPr>
                        <w:sdtEndPr/>
                        <w:sdtContent>
                          <w:p w14:paraId="76D6704D" w14:textId="2AA945B6" w:rsidR="0022113E" w:rsidRDefault="0022113E" w:rsidP="00671507">
                            <w:pPr>
                              <w:pStyle w:val="Footer"/>
                              <w:jc w:val="right"/>
                            </w:pPr>
                            <w:r>
                              <w:t>Protocol, PFAS Exposure Assessment, v3.0</w:t>
                            </w:r>
                          </w:p>
                          <w:p w14:paraId="1B9F378E" w14:textId="4E18E488" w:rsidR="0022113E" w:rsidRDefault="0022113E" w:rsidP="00110D70">
                            <w:pPr>
                              <w:pStyle w:val="Footer"/>
                              <w:jc w:val="right"/>
                            </w:pPr>
                            <w:r>
                              <w:t xml:space="preserve">Last Revised: </w:t>
                            </w:r>
                            <w:r>
                              <w:fldChar w:fldCharType="begin"/>
                            </w:r>
                            <w:r>
                              <w:instrText xml:space="preserve"> DATE \@ "d MMMM yyyy" </w:instrText>
                            </w:r>
                            <w:r>
                              <w:fldChar w:fldCharType="separate"/>
                            </w:r>
                            <w:r w:rsidR="007F3974">
                              <w:rPr>
                                <w:noProof/>
                              </w:rPr>
                              <w:t>23 March 2022</w:t>
                            </w:r>
                            <w:r>
                              <w:fldChar w:fldCharType="end"/>
                            </w:r>
                          </w:p>
                        </w:sdtContent>
                      </w:sdt>
                      <w:p w14:paraId="4623068C" w14:textId="67AEEDF6" w:rsidR="0022113E" w:rsidRDefault="0022113E" w:rsidP="00110D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sdtContent>
          </w:sdt>
        </w:sdtContent>
      </w:sdt>
    </w:sdtContent>
  </w:sdt>
  <w:p w14:paraId="48BEF908" w14:textId="77777777" w:rsidR="0022113E" w:rsidRDefault="00221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7685" w14:textId="77777777" w:rsidR="0022113E" w:rsidRDefault="0022113E"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8C04" w14:textId="77777777" w:rsidR="0022113E" w:rsidRDefault="0022113E" w:rsidP="00022ADC">
      <w:pPr>
        <w:spacing w:after="0" w:line="240" w:lineRule="auto"/>
      </w:pPr>
      <w:r>
        <w:separator/>
      </w:r>
    </w:p>
  </w:footnote>
  <w:footnote w:type="continuationSeparator" w:id="0">
    <w:p w14:paraId="19FFBFE8" w14:textId="77777777" w:rsidR="0022113E" w:rsidRDefault="0022113E" w:rsidP="00022ADC">
      <w:pPr>
        <w:spacing w:after="0" w:line="240" w:lineRule="auto"/>
      </w:pPr>
      <w:r>
        <w:continuationSeparator/>
      </w:r>
    </w:p>
  </w:footnote>
  <w:footnote w:type="continuationNotice" w:id="1">
    <w:p w14:paraId="461DC564" w14:textId="77777777" w:rsidR="0022113E" w:rsidRDefault="00221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B855" w14:textId="77777777" w:rsidR="00AB7D2E" w:rsidRDefault="00AB7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0998" w14:textId="77777777" w:rsidR="00AB7D2E" w:rsidRDefault="00AB7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B64" w14:textId="77777777" w:rsidR="00AB7D2E" w:rsidRDefault="00AB7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8"/>
  </w:num>
  <w:num w:numId="2">
    <w:abstractNumId w:val="29"/>
  </w:num>
  <w:num w:numId="3">
    <w:abstractNumId w:val="64"/>
  </w:num>
  <w:num w:numId="4">
    <w:abstractNumId w:val="21"/>
  </w:num>
  <w:num w:numId="5">
    <w:abstractNumId w:val="5"/>
  </w:num>
  <w:num w:numId="6">
    <w:abstractNumId w:val="31"/>
  </w:num>
  <w:num w:numId="7">
    <w:abstractNumId w:val="26"/>
  </w:num>
  <w:num w:numId="8">
    <w:abstractNumId w:val="37"/>
  </w:num>
  <w:num w:numId="9">
    <w:abstractNumId w:val="65"/>
  </w:num>
  <w:num w:numId="10">
    <w:abstractNumId w:val="23"/>
  </w:num>
  <w:num w:numId="11">
    <w:abstractNumId w:val="15"/>
  </w:num>
  <w:num w:numId="12">
    <w:abstractNumId w:val="45"/>
  </w:num>
  <w:num w:numId="13">
    <w:abstractNumId w:val="59"/>
  </w:num>
  <w:num w:numId="14">
    <w:abstractNumId w:val="49"/>
  </w:num>
  <w:num w:numId="15">
    <w:abstractNumId w:val="68"/>
  </w:num>
  <w:num w:numId="16">
    <w:abstractNumId w:val="2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61"/>
  </w:num>
  <w:num w:numId="21">
    <w:abstractNumId w:val="9"/>
  </w:num>
  <w:num w:numId="22">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3"/>
  </w:num>
  <w:num w:numId="25">
    <w:abstractNumId w:val="34"/>
  </w:num>
  <w:num w:numId="26">
    <w:abstractNumId w:val="4"/>
  </w:num>
  <w:num w:numId="27">
    <w:abstractNumId w:val="46"/>
  </w:num>
  <w:num w:numId="28">
    <w:abstractNumId w:val="8"/>
  </w:num>
  <w:num w:numId="29">
    <w:abstractNumId w:val="16"/>
  </w:num>
  <w:num w:numId="30">
    <w:abstractNumId w:val="50"/>
  </w:num>
  <w:num w:numId="31">
    <w:abstractNumId w:val="0"/>
  </w:num>
  <w:num w:numId="32">
    <w:abstractNumId w:val="20"/>
  </w:num>
  <w:num w:numId="33">
    <w:abstractNumId w:val="54"/>
  </w:num>
  <w:num w:numId="34">
    <w:abstractNumId w:val="41"/>
  </w:num>
  <w:num w:numId="35">
    <w:abstractNumId w:val="56"/>
  </w:num>
  <w:num w:numId="36">
    <w:abstractNumId w:val="36"/>
  </w:num>
  <w:num w:numId="37">
    <w:abstractNumId w:val="63"/>
  </w:num>
  <w:num w:numId="38">
    <w:abstractNumId w:val="69"/>
  </w:num>
  <w:num w:numId="39">
    <w:abstractNumId w:val="67"/>
  </w:num>
  <w:num w:numId="40">
    <w:abstractNumId w:val="12"/>
  </w:num>
  <w:num w:numId="41">
    <w:abstractNumId w:val="1"/>
  </w:num>
  <w:num w:numId="42">
    <w:abstractNumId w:val="3"/>
  </w:num>
  <w:num w:numId="43">
    <w:abstractNumId w:val="25"/>
  </w:num>
  <w:num w:numId="44">
    <w:abstractNumId w:val="22"/>
  </w:num>
  <w:num w:numId="45">
    <w:abstractNumId w:val="52"/>
  </w:num>
  <w:num w:numId="46">
    <w:abstractNumId w:val="28"/>
  </w:num>
  <w:num w:numId="47">
    <w:abstractNumId w:val="39"/>
  </w:num>
  <w:num w:numId="48">
    <w:abstractNumId w:val="47"/>
  </w:num>
  <w:num w:numId="49">
    <w:abstractNumId w:val="24"/>
  </w:num>
  <w:num w:numId="50">
    <w:abstractNumId w:val="11"/>
  </w:num>
  <w:num w:numId="51">
    <w:abstractNumId w:val="44"/>
  </w:num>
  <w:num w:numId="52">
    <w:abstractNumId w:val="10"/>
  </w:num>
  <w:num w:numId="53">
    <w:abstractNumId w:val="31"/>
  </w:num>
  <w:num w:numId="54">
    <w:abstractNumId w:val="57"/>
  </w:num>
  <w:num w:numId="55">
    <w:abstractNumId w:val="51"/>
  </w:num>
  <w:num w:numId="56">
    <w:abstractNumId w:val="6"/>
  </w:num>
  <w:num w:numId="57">
    <w:abstractNumId w:val="66"/>
  </w:num>
  <w:num w:numId="58">
    <w:abstractNumId w:val="53"/>
  </w:num>
  <w:num w:numId="59">
    <w:abstractNumId w:val="7"/>
  </w:num>
  <w:num w:numId="60">
    <w:abstractNumId w:val="60"/>
  </w:num>
  <w:num w:numId="61">
    <w:abstractNumId w:val="14"/>
  </w:num>
  <w:num w:numId="62">
    <w:abstractNumId w:val="33"/>
  </w:num>
  <w:num w:numId="63">
    <w:abstractNumId w:val="30"/>
  </w:num>
  <w:num w:numId="64">
    <w:abstractNumId w:val="62"/>
  </w:num>
  <w:num w:numId="65">
    <w:abstractNumId w:val="2"/>
  </w:num>
  <w:num w:numId="66">
    <w:abstractNumId w:val="17"/>
  </w:num>
  <w:num w:numId="67">
    <w:abstractNumId w:val="19"/>
  </w:num>
  <w:num w:numId="68">
    <w:abstractNumId w:val="32"/>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42"/>
  </w:num>
  <w:num w:numId="73">
    <w:abstractNumId w:val="35"/>
  </w:num>
  <w:num w:numId="74">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674C"/>
    <w:rsid w:val="000376A3"/>
    <w:rsid w:val="000377A3"/>
    <w:rsid w:val="000379E8"/>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2EFA"/>
    <w:rsid w:val="000530E7"/>
    <w:rsid w:val="0005333F"/>
    <w:rsid w:val="00053481"/>
    <w:rsid w:val="0005410B"/>
    <w:rsid w:val="000565E9"/>
    <w:rsid w:val="00056B3E"/>
    <w:rsid w:val="00061574"/>
    <w:rsid w:val="00061F38"/>
    <w:rsid w:val="000626F8"/>
    <w:rsid w:val="0006326B"/>
    <w:rsid w:val="00064A42"/>
    <w:rsid w:val="00067B1E"/>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F90"/>
    <w:rsid w:val="00090863"/>
    <w:rsid w:val="00090F45"/>
    <w:rsid w:val="000923B4"/>
    <w:rsid w:val="00092CFE"/>
    <w:rsid w:val="00093729"/>
    <w:rsid w:val="00094A0E"/>
    <w:rsid w:val="0009745C"/>
    <w:rsid w:val="0009783A"/>
    <w:rsid w:val="00097DC3"/>
    <w:rsid w:val="00097DCE"/>
    <w:rsid w:val="000A0819"/>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2D55"/>
    <w:rsid w:val="000D31CB"/>
    <w:rsid w:val="000D332C"/>
    <w:rsid w:val="000D38EC"/>
    <w:rsid w:val="000D4612"/>
    <w:rsid w:val="000D635C"/>
    <w:rsid w:val="000D758B"/>
    <w:rsid w:val="000E0234"/>
    <w:rsid w:val="000E0772"/>
    <w:rsid w:val="000E0D24"/>
    <w:rsid w:val="000E0D30"/>
    <w:rsid w:val="000E1171"/>
    <w:rsid w:val="000E4D5D"/>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028"/>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947"/>
    <w:rsid w:val="00162287"/>
    <w:rsid w:val="00162453"/>
    <w:rsid w:val="00163A33"/>
    <w:rsid w:val="00163C77"/>
    <w:rsid w:val="00165C86"/>
    <w:rsid w:val="00166690"/>
    <w:rsid w:val="00170881"/>
    <w:rsid w:val="001713D9"/>
    <w:rsid w:val="001717BD"/>
    <w:rsid w:val="00171FA5"/>
    <w:rsid w:val="001721C0"/>
    <w:rsid w:val="001727C7"/>
    <w:rsid w:val="001730F0"/>
    <w:rsid w:val="00173808"/>
    <w:rsid w:val="00173A06"/>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332"/>
    <w:rsid w:val="001D75CD"/>
    <w:rsid w:val="001E044F"/>
    <w:rsid w:val="001E0BC9"/>
    <w:rsid w:val="001E29BD"/>
    <w:rsid w:val="001E6024"/>
    <w:rsid w:val="001E61BD"/>
    <w:rsid w:val="001E659B"/>
    <w:rsid w:val="001E7B5D"/>
    <w:rsid w:val="001E7F25"/>
    <w:rsid w:val="001F1233"/>
    <w:rsid w:val="001F125E"/>
    <w:rsid w:val="001F1920"/>
    <w:rsid w:val="001F1C95"/>
    <w:rsid w:val="001F1E2B"/>
    <w:rsid w:val="001F2F88"/>
    <w:rsid w:val="001F548B"/>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13E"/>
    <w:rsid w:val="00221D4F"/>
    <w:rsid w:val="0022258B"/>
    <w:rsid w:val="00222670"/>
    <w:rsid w:val="00222B96"/>
    <w:rsid w:val="002231F4"/>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848"/>
    <w:rsid w:val="00263F3E"/>
    <w:rsid w:val="0026412A"/>
    <w:rsid w:val="00264B23"/>
    <w:rsid w:val="00265076"/>
    <w:rsid w:val="002656FC"/>
    <w:rsid w:val="002676EE"/>
    <w:rsid w:val="00271B78"/>
    <w:rsid w:val="00272F16"/>
    <w:rsid w:val="00273904"/>
    <w:rsid w:val="00273BB5"/>
    <w:rsid w:val="0027442E"/>
    <w:rsid w:val="002757A1"/>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28CF"/>
    <w:rsid w:val="002A2DC5"/>
    <w:rsid w:val="002A34B1"/>
    <w:rsid w:val="002A357A"/>
    <w:rsid w:val="002A3B2C"/>
    <w:rsid w:val="002A3D81"/>
    <w:rsid w:val="002A3F2F"/>
    <w:rsid w:val="002A4639"/>
    <w:rsid w:val="002A4C46"/>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4AAE"/>
    <w:rsid w:val="002C4B1D"/>
    <w:rsid w:val="002C5FB5"/>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F8D"/>
    <w:rsid w:val="00331C70"/>
    <w:rsid w:val="0033242F"/>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DCA"/>
    <w:rsid w:val="003B7A56"/>
    <w:rsid w:val="003C0267"/>
    <w:rsid w:val="003C196F"/>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55E4"/>
    <w:rsid w:val="00406A8B"/>
    <w:rsid w:val="00406F99"/>
    <w:rsid w:val="004073B9"/>
    <w:rsid w:val="004079E1"/>
    <w:rsid w:val="0041006B"/>
    <w:rsid w:val="00411586"/>
    <w:rsid w:val="004119BF"/>
    <w:rsid w:val="00412C33"/>
    <w:rsid w:val="0041382D"/>
    <w:rsid w:val="00414200"/>
    <w:rsid w:val="00414678"/>
    <w:rsid w:val="00414EC7"/>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5EE4"/>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3C28"/>
    <w:rsid w:val="0049493C"/>
    <w:rsid w:val="00495C7A"/>
    <w:rsid w:val="00496381"/>
    <w:rsid w:val="004A0688"/>
    <w:rsid w:val="004A25AB"/>
    <w:rsid w:val="004A2DB3"/>
    <w:rsid w:val="004A3164"/>
    <w:rsid w:val="004A5813"/>
    <w:rsid w:val="004B26B2"/>
    <w:rsid w:val="004B331D"/>
    <w:rsid w:val="004B4788"/>
    <w:rsid w:val="004B4A5D"/>
    <w:rsid w:val="004B4D9C"/>
    <w:rsid w:val="004B57D9"/>
    <w:rsid w:val="004B7137"/>
    <w:rsid w:val="004B73D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1EB7"/>
    <w:rsid w:val="00512440"/>
    <w:rsid w:val="005130BE"/>
    <w:rsid w:val="005137FC"/>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26CB7"/>
    <w:rsid w:val="00530C90"/>
    <w:rsid w:val="00530D8A"/>
    <w:rsid w:val="00530E07"/>
    <w:rsid w:val="00531F88"/>
    <w:rsid w:val="005325D1"/>
    <w:rsid w:val="00534206"/>
    <w:rsid w:val="0053467C"/>
    <w:rsid w:val="005348E6"/>
    <w:rsid w:val="005350F2"/>
    <w:rsid w:val="0053601C"/>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1BFE"/>
    <w:rsid w:val="005C25F1"/>
    <w:rsid w:val="005C274E"/>
    <w:rsid w:val="005C4214"/>
    <w:rsid w:val="005C47B2"/>
    <w:rsid w:val="005C5156"/>
    <w:rsid w:val="005C5312"/>
    <w:rsid w:val="005C7AF7"/>
    <w:rsid w:val="005C7BB5"/>
    <w:rsid w:val="005D1320"/>
    <w:rsid w:val="005D1757"/>
    <w:rsid w:val="005D20B8"/>
    <w:rsid w:val="005D2929"/>
    <w:rsid w:val="005D460F"/>
    <w:rsid w:val="005D50CE"/>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40AC"/>
    <w:rsid w:val="00615D71"/>
    <w:rsid w:val="00616B50"/>
    <w:rsid w:val="006204E4"/>
    <w:rsid w:val="006208D3"/>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447"/>
    <w:rsid w:val="00657854"/>
    <w:rsid w:val="006606C5"/>
    <w:rsid w:val="006616C1"/>
    <w:rsid w:val="00662CA1"/>
    <w:rsid w:val="00662D2B"/>
    <w:rsid w:val="00662ECA"/>
    <w:rsid w:val="006652F9"/>
    <w:rsid w:val="00665AC3"/>
    <w:rsid w:val="00665CD6"/>
    <w:rsid w:val="006665F5"/>
    <w:rsid w:val="006668DE"/>
    <w:rsid w:val="0066754C"/>
    <w:rsid w:val="006700C2"/>
    <w:rsid w:val="00671507"/>
    <w:rsid w:val="00672CB9"/>
    <w:rsid w:val="006731EE"/>
    <w:rsid w:val="00675F58"/>
    <w:rsid w:val="00676174"/>
    <w:rsid w:val="0067630B"/>
    <w:rsid w:val="00676425"/>
    <w:rsid w:val="0067686E"/>
    <w:rsid w:val="0068008E"/>
    <w:rsid w:val="0068183E"/>
    <w:rsid w:val="00682129"/>
    <w:rsid w:val="00682A19"/>
    <w:rsid w:val="00682D4C"/>
    <w:rsid w:val="00685895"/>
    <w:rsid w:val="00685C47"/>
    <w:rsid w:val="00687C7D"/>
    <w:rsid w:val="006901C6"/>
    <w:rsid w:val="00691213"/>
    <w:rsid w:val="00691DA4"/>
    <w:rsid w:val="00693451"/>
    <w:rsid w:val="00693E79"/>
    <w:rsid w:val="006941D4"/>
    <w:rsid w:val="00694B9A"/>
    <w:rsid w:val="00694EF7"/>
    <w:rsid w:val="00694F97"/>
    <w:rsid w:val="00695A36"/>
    <w:rsid w:val="00695AD4"/>
    <w:rsid w:val="00696AEC"/>
    <w:rsid w:val="006A0227"/>
    <w:rsid w:val="006A0EC2"/>
    <w:rsid w:val="006A1207"/>
    <w:rsid w:val="006A372E"/>
    <w:rsid w:val="006A408B"/>
    <w:rsid w:val="006A465D"/>
    <w:rsid w:val="006A5306"/>
    <w:rsid w:val="006A5F11"/>
    <w:rsid w:val="006A6676"/>
    <w:rsid w:val="006A6F8C"/>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5819"/>
    <w:rsid w:val="006C745A"/>
    <w:rsid w:val="006C7D9C"/>
    <w:rsid w:val="006C7DC3"/>
    <w:rsid w:val="006C7E07"/>
    <w:rsid w:val="006D0278"/>
    <w:rsid w:val="006D03FB"/>
    <w:rsid w:val="006D0E77"/>
    <w:rsid w:val="006D113B"/>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3B0"/>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03D"/>
    <w:rsid w:val="007A6954"/>
    <w:rsid w:val="007A6E18"/>
    <w:rsid w:val="007B0A3A"/>
    <w:rsid w:val="007B1459"/>
    <w:rsid w:val="007B3010"/>
    <w:rsid w:val="007B3BC6"/>
    <w:rsid w:val="007B3D7D"/>
    <w:rsid w:val="007B424C"/>
    <w:rsid w:val="007B514E"/>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3974"/>
    <w:rsid w:val="007F5008"/>
    <w:rsid w:val="007F5BBD"/>
    <w:rsid w:val="007F73CB"/>
    <w:rsid w:val="007F7EDE"/>
    <w:rsid w:val="00800802"/>
    <w:rsid w:val="00800B86"/>
    <w:rsid w:val="0080310F"/>
    <w:rsid w:val="00803542"/>
    <w:rsid w:val="00803C5F"/>
    <w:rsid w:val="008052B2"/>
    <w:rsid w:val="00806E17"/>
    <w:rsid w:val="008076B1"/>
    <w:rsid w:val="00807ACB"/>
    <w:rsid w:val="00807E3F"/>
    <w:rsid w:val="00810D68"/>
    <w:rsid w:val="008113AE"/>
    <w:rsid w:val="0081177E"/>
    <w:rsid w:val="0081289B"/>
    <w:rsid w:val="00813E94"/>
    <w:rsid w:val="00815A2C"/>
    <w:rsid w:val="00815CEF"/>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F6E"/>
    <w:rsid w:val="008339A0"/>
    <w:rsid w:val="00834684"/>
    <w:rsid w:val="00834823"/>
    <w:rsid w:val="008353DA"/>
    <w:rsid w:val="00836488"/>
    <w:rsid w:val="008378F6"/>
    <w:rsid w:val="0084036B"/>
    <w:rsid w:val="0084370C"/>
    <w:rsid w:val="00843C08"/>
    <w:rsid w:val="008461E2"/>
    <w:rsid w:val="0085077E"/>
    <w:rsid w:val="00850BF5"/>
    <w:rsid w:val="00851BA3"/>
    <w:rsid w:val="008522CF"/>
    <w:rsid w:val="00853C97"/>
    <w:rsid w:val="00854424"/>
    <w:rsid w:val="008570D7"/>
    <w:rsid w:val="00857372"/>
    <w:rsid w:val="0085745C"/>
    <w:rsid w:val="00857BB6"/>
    <w:rsid w:val="00860589"/>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3BB6"/>
    <w:rsid w:val="008D4DC0"/>
    <w:rsid w:val="008D6365"/>
    <w:rsid w:val="008D72D3"/>
    <w:rsid w:val="008E5751"/>
    <w:rsid w:val="008E5871"/>
    <w:rsid w:val="008E6595"/>
    <w:rsid w:val="008F0559"/>
    <w:rsid w:val="008F2313"/>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B55"/>
    <w:rsid w:val="00912EA5"/>
    <w:rsid w:val="00913E40"/>
    <w:rsid w:val="00913FE4"/>
    <w:rsid w:val="00915EB0"/>
    <w:rsid w:val="00916E5C"/>
    <w:rsid w:val="009175D8"/>
    <w:rsid w:val="00920A73"/>
    <w:rsid w:val="00922D77"/>
    <w:rsid w:val="009230ED"/>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0791A"/>
    <w:rsid w:val="00A123A9"/>
    <w:rsid w:val="00A14C4D"/>
    <w:rsid w:val="00A153CB"/>
    <w:rsid w:val="00A16780"/>
    <w:rsid w:val="00A16862"/>
    <w:rsid w:val="00A20CBD"/>
    <w:rsid w:val="00A215E1"/>
    <w:rsid w:val="00A22236"/>
    <w:rsid w:val="00A22C8D"/>
    <w:rsid w:val="00A23029"/>
    <w:rsid w:val="00A2422F"/>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43AF"/>
    <w:rsid w:val="00A856CF"/>
    <w:rsid w:val="00A85DA0"/>
    <w:rsid w:val="00A9039D"/>
    <w:rsid w:val="00A90E65"/>
    <w:rsid w:val="00A91376"/>
    <w:rsid w:val="00A92005"/>
    <w:rsid w:val="00A944E3"/>
    <w:rsid w:val="00A95E1E"/>
    <w:rsid w:val="00A96A0A"/>
    <w:rsid w:val="00A96AE6"/>
    <w:rsid w:val="00A9733D"/>
    <w:rsid w:val="00AA012C"/>
    <w:rsid w:val="00AA0822"/>
    <w:rsid w:val="00AA23B6"/>
    <w:rsid w:val="00AA2496"/>
    <w:rsid w:val="00AA2DD3"/>
    <w:rsid w:val="00AA333E"/>
    <w:rsid w:val="00AA3AE8"/>
    <w:rsid w:val="00AA4C67"/>
    <w:rsid w:val="00AA5968"/>
    <w:rsid w:val="00AB111B"/>
    <w:rsid w:val="00AB143B"/>
    <w:rsid w:val="00AB4105"/>
    <w:rsid w:val="00AB51CB"/>
    <w:rsid w:val="00AB53C3"/>
    <w:rsid w:val="00AB5A66"/>
    <w:rsid w:val="00AB7D2E"/>
    <w:rsid w:val="00AC05D1"/>
    <w:rsid w:val="00AC1A26"/>
    <w:rsid w:val="00AC1A61"/>
    <w:rsid w:val="00AC2DDE"/>
    <w:rsid w:val="00AC42B9"/>
    <w:rsid w:val="00AC518E"/>
    <w:rsid w:val="00AC6A58"/>
    <w:rsid w:val="00AD03AB"/>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51A8"/>
    <w:rsid w:val="00B35932"/>
    <w:rsid w:val="00B35F7E"/>
    <w:rsid w:val="00B42954"/>
    <w:rsid w:val="00B42CCC"/>
    <w:rsid w:val="00B43166"/>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5F3E"/>
    <w:rsid w:val="00B67D31"/>
    <w:rsid w:val="00B70313"/>
    <w:rsid w:val="00B70AA3"/>
    <w:rsid w:val="00B7158C"/>
    <w:rsid w:val="00B71BEA"/>
    <w:rsid w:val="00B727B8"/>
    <w:rsid w:val="00B72970"/>
    <w:rsid w:val="00B72ABB"/>
    <w:rsid w:val="00B72B85"/>
    <w:rsid w:val="00B739B4"/>
    <w:rsid w:val="00B74B24"/>
    <w:rsid w:val="00B765D9"/>
    <w:rsid w:val="00B77CD0"/>
    <w:rsid w:val="00B81CA4"/>
    <w:rsid w:val="00B8244D"/>
    <w:rsid w:val="00B824A5"/>
    <w:rsid w:val="00B83036"/>
    <w:rsid w:val="00B835EE"/>
    <w:rsid w:val="00B84899"/>
    <w:rsid w:val="00B85222"/>
    <w:rsid w:val="00B857CC"/>
    <w:rsid w:val="00B859F5"/>
    <w:rsid w:val="00B85AAD"/>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D50"/>
    <w:rsid w:val="00BC29A5"/>
    <w:rsid w:val="00BC3F7F"/>
    <w:rsid w:val="00BC57A7"/>
    <w:rsid w:val="00BC5E81"/>
    <w:rsid w:val="00BD0842"/>
    <w:rsid w:val="00BD10B2"/>
    <w:rsid w:val="00BD1CE4"/>
    <w:rsid w:val="00BD44A2"/>
    <w:rsid w:val="00BD69C6"/>
    <w:rsid w:val="00BD6EED"/>
    <w:rsid w:val="00BD769C"/>
    <w:rsid w:val="00BE221F"/>
    <w:rsid w:val="00BE2387"/>
    <w:rsid w:val="00BE2639"/>
    <w:rsid w:val="00BE2BEC"/>
    <w:rsid w:val="00BE4237"/>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7275"/>
    <w:rsid w:val="00C107BE"/>
    <w:rsid w:val="00C118E9"/>
    <w:rsid w:val="00C11C19"/>
    <w:rsid w:val="00C11F0C"/>
    <w:rsid w:val="00C12799"/>
    <w:rsid w:val="00C1420D"/>
    <w:rsid w:val="00C15329"/>
    <w:rsid w:val="00C16473"/>
    <w:rsid w:val="00C1683A"/>
    <w:rsid w:val="00C16A88"/>
    <w:rsid w:val="00C16D63"/>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9D0"/>
    <w:rsid w:val="00C54257"/>
    <w:rsid w:val="00C55633"/>
    <w:rsid w:val="00C55D67"/>
    <w:rsid w:val="00C56EBB"/>
    <w:rsid w:val="00C576D9"/>
    <w:rsid w:val="00C62177"/>
    <w:rsid w:val="00C62E26"/>
    <w:rsid w:val="00C62E6D"/>
    <w:rsid w:val="00C6478B"/>
    <w:rsid w:val="00C658FA"/>
    <w:rsid w:val="00C675A4"/>
    <w:rsid w:val="00C702A9"/>
    <w:rsid w:val="00C719A4"/>
    <w:rsid w:val="00C71B58"/>
    <w:rsid w:val="00C726AC"/>
    <w:rsid w:val="00C7288E"/>
    <w:rsid w:val="00C73021"/>
    <w:rsid w:val="00C74908"/>
    <w:rsid w:val="00C74EA9"/>
    <w:rsid w:val="00C75695"/>
    <w:rsid w:val="00C77BA2"/>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6011"/>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694E"/>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4A2E"/>
    <w:rsid w:val="00D34FC5"/>
    <w:rsid w:val="00D35557"/>
    <w:rsid w:val="00D36C21"/>
    <w:rsid w:val="00D37A9B"/>
    <w:rsid w:val="00D37AA0"/>
    <w:rsid w:val="00D40C87"/>
    <w:rsid w:val="00D40FB2"/>
    <w:rsid w:val="00D412C0"/>
    <w:rsid w:val="00D41ED4"/>
    <w:rsid w:val="00D42D80"/>
    <w:rsid w:val="00D438F2"/>
    <w:rsid w:val="00D43D42"/>
    <w:rsid w:val="00D44186"/>
    <w:rsid w:val="00D4532D"/>
    <w:rsid w:val="00D4684B"/>
    <w:rsid w:val="00D47A1F"/>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6C"/>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04"/>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7C4"/>
    <w:rsid w:val="00E01BFA"/>
    <w:rsid w:val="00E05D88"/>
    <w:rsid w:val="00E0609A"/>
    <w:rsid w:val="00E1061B"/>
    <w:rsid w:val="00E11BFB"/>
    <w:rsid w:val="00E12030"/>
    <w:rsid w:val="00E12432"/>
    <w:rsid w:val="00E1341D"/>
    <w:rsid w:val="00E13CCA"/>
    <w:rsid w:val="00E142A5"/>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7ABC"/>
    <w:rsid w:val="00EB0F7D"/>
    <w:rsid w:val="00EB25F0"/>
    <w:rsid w:val="00EB325A"/>
    <w:rsid w:val="00EB377E"/>
    <w:rsid w:val="00EB396B"/>
    <w:rsid w:val="00EB3E45"/>
    <w:rsid w:val="00EB581C"/>
    <w:rsid w:val="00EB612A"/>
    <w:rsid w:val="00EB6F9C"/>
    <w:rsid w:val="00EB7773"/>
    <w:rsid w:val="00EB7F0B"/>
    <w:rsid w:val="00EC0ACE"/>
    <w:rsid w:val="00EC0B0B"/>
    <w:rsid w:val="00EC0F47"/>
    <w:rsid w:val="00EC1B50"/>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BAB"/>
    <w:rsid w:val="00F21F51"/>
    <w:rsid w:val="00F231F2"/>
    <w:rsid w:val="00F258E5"/>
    <w:rsid w:val="00F262A6"/>
    <w:rsid w:val="00F2680B"/>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5F3"/>
    <w:rsid w:val="00FC763D"/>
    <w:rsid w:val="00FD0167"/>
    <w:rsid w:val="00FD3F95"/>
    <w:rsid w:val="00FD4BB7"/>
    <w:rsid w:val="00FD6B59"/>
    <w:rsid w:val="00FD6C6D"/>
    <w:rsid w:val="00FD7C42"/>
    <w:rsid w:val="00FD7E60"/>
    <w:rsid w:val="00FE061F"/>
    <w:rsid w:val="00FE0AA2"/>
    <w:rsid w:val="00FE0FF7"/>
    <w:rsid w:val="00FE1100"/>
    <w:rsid w:val="00FE1949"/>
    <w:rsid w:val="00FE2B4F"/>
    <w:rsid w:val="00FE41CC"/>
    <w:rsid w:val="00FE609B"/>
    <w:rsid w:val="00FE6308"/>
    <w:rsid w:val="00FE6811"/>
    <w:rsid w:val="00FE6BA8"/>
    <w:rsid w:val="00FF2732"/>
    <w:rsid w:val="00FF2F07"/>
    <w:rsid w:val="00FF3631"/>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6866F2"/>
  <w15:docId w15:val="{93EE03CF-ACE5-4802-B400-F544784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Data" Target="diagrams/data1.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atsdr.cdc.gov/communications-toolkit/documents/16_event-evaluation-form-final-101315_50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coronavirus/2019-ncov/hcp/non-covid-19-client-interaction.html%20for%20non-COVID-19"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coronavirus/2019-ncov/hcp/non-covid-19-client-interaction.html%20for%20non-COVID-19" TargetMode="External"/><Relationship Id="rId23" Type="http://schemas.openxmlformats.org/officeDocument/2006/relationships/hyperlink" Target="https://www.epa.gov/sites/production/files/documents/r8-src_src-dust-01.pdf" TargetMode="External"/><Relationship Id="rId10" Type="http://schemas.openxmlformats.org/officeDocument/2006/relationships/header" Target="header2.xml"/><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FC88E4-3F06-4F9F-9AFE-92DA8FA507AC}" type="doc">
      <dgm:prSet loTypeId="urn:microsoft.com/office/officeart/2005/8/layout/process2" loCatId="process" qsTypeId="urn:microsoft.com/office/officeart/2005/8/quickstyle/simple1" qsCatId="simple" csTypeId="urn:microsoft.com/office/officeart/2005/8/colors/accent1_2" csCatId="accent1" phldr="1"/>
      <dgm:spPr/>
    </dgm:pt>
    <dgm:pt modelId="{0B65BE52-132C-4236-97DE-679DE9108F0E}">
      <dgm:prSet phldrT="[Text]" custT="1"/>
      <dgm:spPr/>
      <dgm:t>
        <a:bodyPr/>
        <a:lstStyle/>
        <a:p>
          <a:pPr algn="ctr"/>
          <a:r>
            <a:rPr lang="en-US" sz="1200"/>
            <a:t>Establish sampling frame and randomly select households </a:t>
          </a:r>
        </a:p>
      </dgm:t>
    </dgm:pt>
    <dgm:pt modelId="{30E55E12-D869-4183-A8AF-C9D2684CA4D5}" type="parTrans" cxnId="{6741CF9F-60CA-4A0B-AEEE-0C6C5CEFC01F}">
      <dgm:prSet/>
      <dgm:spPr/>
      <dgm:t>
        <a:bodyPr/>
        <a:lstStyle/>
        <a:p>
          <a:pPr algn="ctr"/>
          <a:endParaRPr lang="en-US" sz="1200"/>
        </a:p>
      </dgm:t>
    </dgm:pt>
    <dgm:pt modelId="{1727C9BE-0DA0-40E4-A903-6874D7B07F16}" type="sibTrans" cxnId="{6741CF9F-60CA-4A0B-AEEE-0C6C5CEFC01F}">
      <dgm:prSet custT="1"/>
      <dgm:spPr/>
      <dgm:t>
        <a:bodyPr/>
        <a:lstStyle/>
        <a:p>
          <a:pPr algn="ctr"/>
          <a:endParaRPr lang="en-US" sz="1200"/>
        </a:p>
      </dgm:t>
    </dgm:pt>
    <dgm:pt modelId="{8594AB39-D15D-4EA7-B2B1-FBE1E9B25D98}">
      <dgm:prSet phldrT="[Text]" custT="1"/>
      <dgm:spPr/>
      <dgm:t>
        <a:bodyPr/>
        <a:lstStyle/>
        <a:p>
          <a:pPr algn="ctr"/>
          <a:r>
            <a:rPr lang="en-US" sz="1200"/>
            <a:t>Contact selected households via letter and phone for recruitment. Verify at least one member of the household is  willing and eligible to participate. Schedule biological sampling appointments. </a:t>
          </a:r>
        </a:p>
      </dgm:t>
    </dgm:pt>
    <dgm:pt modelId="{F05EBA01-BCE2-4849-8365-B591AF8057C2}" type="parTrans" cxnId="{53251B86-0C1B-4156-8AD3-A1174ED263C5}">
      <dgm:prSet/>
      <dgm:spPr/>
      <dgm:t>
        <a:bodyPr/>
        <a:lstStyle/>
        <a:p>
          <a:pPr algn="ctr"/>
          <a:endParaRPr lang="en-US" sz="1200"/>
        </a:p>
      </dgm:t>
    </dgm:pt>
    <dgm:pt modelId="{699C507F-F986-4C7B-A2B1-C7FC03089140}" type="sibTrans" cxnId="{53251B86-0C1B-4156-8AD3-A1174ED263C5}">
      <dgm:prSet custT="1"/>
      <dgm:spPr/>
      <dgm:t>
        <a:bodyPr/>
        <a:lstStyle/>
        <a:p>
          <a:pPr algn="ctr"/>
          <a:endParaRPr lang="en-US" sz="1200"/>
        </a:p>
      </dgm:t>
    </dgm:pt>
    <dgm:pt modelId="{200B9C39-6A70-425A-9AD8-9A92E777CB96}">
      <dgm:prSet phldrT="[Text]" custT="1"/>
      <dgm:spPr/>
      <dgm:t>
        <a:bodyPr/>
        <a:lstStyle/>
        <a:p>
          <a:pPr algn="ctr"/>
          <a:r>
            <a:rPr lang="en-US" sz="1200"/>
            <a:t>Finalize household/participant list</a:t>
          </a:r>
        </a:p>
      </dgm:t>
    </dgm:pt>
    <dgm:pt modelId="{9EBC4140-455E-47E1-9559-EBC393747251}" type="parTrans" cxnId="{579B53E3-85EB-4E84-91FD-75285CCC2E5F}">
      <dgm:prSet/>
      <dgm:spPr/>
      <dgm:t>
        <a:bodyPr/>
        <a:lstStyle/>
        <a:p>
          <a:pPr algn="ctr"/>
          <a:endParaRPr lang="en-US" sz="1200"/>
        </a:p>
      </dgm:t>
    </dgm:pt>
    <dgm:pt modelId="{43FD2DA0-F9FB-4262-A4B0-83B018E31590}" type="sibTrans" cxnId="{579B53E3-85EB-4E84-91FD-75285CCC2E5F}">
      <dgm:prSet custT="1"/>
      <dgm:spPr/>
      <dgm:t>
        <a:bodyPr/>
        <a:lstStyle/>
        <a:p>
          <a:pPr algn="ctr"/>
          <a:endParaRPr lang="en-US" sz="1200"/>
        </a:p>
      </dgm:t>
    </dgm:pt>
    <dgm:pt modelId="{D63A8308-2BDF-49EC-89A0-E5D21C09B237}">
      <dgm:prSet custT="1"/>
      <dgm:spPr/>
      <dgm:t>
        <a:bodyPr/>
        <a:lstStyle/>
        <a:p>
          <a:pPr algn="ctr"/>
          <a:r>
            <a:rPr lang="en-US" sz="1200"/>
            <a:t>From finalized household list, randomly select subset for environmental sampling</a:t>
          </a:r>
        </a:p>
      </dgm:t>
    </dgm:pt>
    <dgm:pt modelId="{52FF63DB-2FA8-4F19-9756-4EEECC742DA7}" type="parTrans" cxnId="{0469E129-BDA1-4AF2-BEAC-D08F9DFD9127}">
      <dgm:prSet/>
      <dgm:spPr/>
      <dgm:t>
        <a:bodyPr/>
        <a:lstStyle/>
        <a:p>
          <a:pPr algn="ctr"/>
          <a:endParaRPr lang="en-US" sz="1200"/>
        </a:p>
      </dgm:t>
    </dgm:pt>
    <dgm:pt modelId="{F964944D-F2DB-48E7-B493-357713414A10}" type="sibTrans" cxnId="{0469E129-BDA1-4AF2-BEAC-D08F9DFD9127}">
      <dgm:prSet custT="1"/>
      <dgm:spPr/>
      <dgm:t>
        <a:bodyPr/>
        <a:lstStyle/>
        <a:p>
          <a:pPr algn="ctr"/>
          <a:endParaRPr lang="en-US" sz="1200"/>
        </a:p>
      </dgm:t>
    </dgm:pt>
    <dgm:pt modelId="{B03C2789-99B1-4967-8C56-833FEF4CA0B1}">
      <dgm:prSet custT="1"/>
      <dgm:spPr/>
      <dgm:t>
        <a:bodyPr/>
        <a:lstStyle/>
        <a:p>
          <a:pPr algn="ctr"/>
          <a:r>
            <a:rPr lang="en-US" sz="1200"/>
            <a:t>Invite randomly selected  households to participate in environmental sampling and schedule environmental sampling appointments. </a:t>
          </a:r>
        </a:p>
      </dgm:t>
    </dgm:pt>
    <dgm:pt modelId="{62B25101-BEF8-4D49-A49F-CA552C3B0B76}" type="parTrans" cxnId="{5C7E0808-40A1-484B-9904-EF808FC2A0BA}">
      <dgm:prSet/>
      <dgm:spPr/>
      <dgm:t>
        <a:bodyPr/>
        <a:lstStyle/>
        <a:p>
          <a:pPr algn="ctr"/>
          <a:endParaRPr lang="en-US" sz="1200"/>
        </a:p>
      </dgm:t>
    </dgm:pt>
    <dgm:pt modelId="{E63BF001-98BD-45A0-B8F1-BAC6B05CF511}" type="sibTrans" cxnId="{5C7E0808-40A1-484B-9904-EF808FC2A0BA}">
      <dgm:prSet custT="1"/>
      <dgm:spPr/>
      <dgm:t>
        <a:bodyPr/>
        <a:lstStyle/>
        <a:p>
          <a:pPr algn="ctr"/>
          <a:endParaRPr lang="en-US" sz="1200"/>
        </a:p>
      </dgm:t>
    </dgm:pt>
    <dgm:pt modelId="{FE589172-87BB-4896-A9F8-6D02F05F3BB9}">
      <dgm:prSet custT="1"/>
      <dgm:spPr/>
      <dgm:t>
        <a:bodyPr/>
        <a:lstStyle/>
        <a:p>
          <a:pPr algn="ctr"/>
          <a:r>
            <a:rPr lang="en-US" sz="1200"/>
            <a:t>Finalize biological and environmental sampling schedule and send all participants letter confirming logistics. </a:t>
          </a:r>
        </a:p>
      </dgm:t>
    </dgm:pt>
    <dgm:pt modelId="{66511CD4-F0F4-4546-8700-13DCED2BD1E5}" type="parTrans" cxnId="{00615920-8741-4F5A-8DBA-09DFFBCBC8EC}">
      <dgm:prSet/>
      <dgm:spPr/>
      <dgm:t>
        <a:bodyPr/>
        <a:lstStyle/>
        <a:p>
          <a:pPr algn="ctr"/>
          <a:endParaRPr lang="en-US" sz="1200"/>
        </a:p>
      </dgm:t>
    </dgm:pt>
    <dgm:pt modelId="{976F1FE9-020B-4AFC-8BA9-303EB69293D6}" type="sibTrans" cxnId="{00615920-8741-4F5A-8DBA-09DFFBCBC8EC}">
      <dgm:prSet/>
      <dgm:spPr/>
      <dgm:t>
        <a:bodyPr/>
        <a:lstStyle/>
        <a:p>
          <a:pPr algn="ctr"/>
          <a:endParaRPr lang="en-US" sz="1200"/>
        </a:p>
      </dgm:t>
    </dgm:pt>
    <dgm:pt modelId="{9B91364D-D5D6-4DCB-AADC-40F1123A4582}" type="pres">
      <dgm:prSet presAssocID="{0DFC88E4-3F06-4F9F-9AFE-92DA8FA507AC}" presName="linearFlow" presStyleCnt="0">
        <dgm:presLayoutVars>
          <dgm:resizeHandles val="exact"/>
        </dgm:presLayoutVars>
      </dgm:prSet>
      <dgm:spPr/>
    </dgm:pt>
    <dgm:pt modelId="{C424765A-B21F-456E-B8D4-710A0B40B460}" type="pres">
      <dgm:prSet presAssocID="{0B65BE52-132C-4236-97DE-679DE9108F0E}" presName="node" presStyleLbl="node1" presStyleIdx="0" presStyleCnt="6" custScaleX="160356">
        <dgm:presLayoutVars>
          <dgm:bulletEnabled val="1"/>
        </dgm:presLayoutVars>
      </dgm:prSet>
      <dgm:spPr/>
    </dgm:pt>
    <dgm:pt modelId="{CEA06033-2AED-446F-99DA-E1386019F8C3}" type="pres">
      <dgm:prSet presAssocID="{1727C9BE-0DA0-40E4-A903-6874D7B07F16}" presName="sibTrans" presStyleLbl="sibTrans2D1" presStyleIdx="0" presStyleCnt="5"/>
      <dgm:spPr/>
    </dgm:pt>
    <dgm:pt modelId="{13C63E3C-216A-4F1C-B683-CD856B46D567}" type="pres">
      <dgm:prSet presAssocID="{1727C9BE-0DA0-40E4-A903-6874D7B07F16}" presName="connectorText" presStyleLbl="sibTrans2D1" presStyleIdx="0" presStyleCnt="5"/>
      <dgm:spPr/>
    </dgm:pt>
    <dgm:pt modelId="{5F37AE76-2E1C-48FC-B585-A70407B7D78B}" type="pres">
      <dgm:prSet presAssocID="{8594AB39-D15D-4EA7-B2B1-FBE1E9B25D98}" presName="node" presStyleLbl="node1" presStyleIdx="1" presStyleCnt="6" custScaleX="160356">
        <dgm:presLayoutVars>
          <dgm:bulletEnabled val="1"/>
        </dgm:presLayoutVars>
      </dgm:prSet>
      <dgm:spPr/>
    </dgm:pt>
    <dgm:pt modelId="{1D37256D-1B7C-4F19-BA9D-D0AC72D250A8}" type="pres">
      <dgm:prSet presAssocID="{699C507F-F986-4C7B-A2B1-C7FC03089140}" presName="sibTrans" presStyleLbl="sibTrans2D1" presStyleIdx="1" presStyleCnt="5"/>
      <dgm:spPr/>
    </dgm:pt>
    <dgm:pt modelId="{1590B78C-D825-44D8-8567-FA5D92DF0DE6}" type="pres">
      <dgm:prSet presAssocID="{699C507F-F986-4C7B-A2B1-C7FC03089140}" presName="connectorText" presStyleLbl="sibTrans2D1" presStyleIdx="1" presStyleCnt="5"/>
      <dgm:spPr/>
    </dgm:pt>
    <dgm:pt modelId="{AF4E599B-6AAA-45CD-B4FD-29ED7DE062BE}" type="pres">
      <dgm:prSet presAssocID="{200B9C39-6A70-425A-9AD8-9A92E777CB96}" presName="node" presStyleLbl="node1" presStyleIdx="2" presStyleCnt="6" custScaleX="160356">
        <dgm:presLayoutVars>
          <dgm:bulletEnabled val="1"/>
        </dgm:presLayoutVars>
      </dgm:prSet>
      <dgm:spPr/>
    </dgm:pt>
    <dgm:pt modelId="{55F6C210-594F-4B38-81AB-94BFB7C8018A}" type="pres">
      <dgm:prSet presAssocID="{43FD2DA0-F9FB-4262-A4B0-83B018E31590}" presName="sibTrans" presStyleLbl="sibTrans2D1" presStyleIdx="2" presStyleCnt="5"/>
      <dgm:spPr/>
    </dgm:pt>
    <dgm:pt modelId="{5703B90C-19E3-4C34-9BB3-B61AB928F218}" type="pres">
      <dgm:prSet presAssocID="{43FD2DA0-F9FB-4262-A4B0-83B018E31590}" presName="connectorText" presStyleLbl="sibTrans2D1" presStyleIdx="2" presStyleCnt="5"/>
      <dgm:spPr/>
    </dgm:pt>
    <dgm:pt modelId="{B15D5640-07B3-488F-A1E7-F07ED0C5B744}" type="pres">
      <dgm:prSet presAssocID="{D63A8308-2BDF-49EC-89A0-E5D21C09B237}" presName="node" presStyleLbl="node1" presStyleIdx="3" presStyleCnt="6" custScaleX="160356">
        <dgm:presLayoutVars>
          <dgm:bulletEnabled val="1"/>
        </dgm:presLayoutVars>
      </dgm:prSet>
      <dgm:spPr/>
    </dgm:pt>
    <dgm:pt modelId="{34029D7F-345C-4CAC-92D0-757AACB340DD}" type="pres">
      <dgm:prSet presAssocID="{F964944D-F2DB-48E7-B493-357713414A10}" presName="sibTrans" presStyleLbl="sibTrans2D1" presStyleIdx="3" presStyleCnt="5"/>
      <dgm:spPr/>
    </dgm:pt>
    <dgm:pt modelId="{85F4D32F-C611-4F9B-90D7-526AD29048A8}" type="pres">
      <dgm:prSet presAssocID="{F964944D-F2DB-48E7-B493-357713414A10}" presName="connectorText" presStyleLbl="sibTrans2D1" presStyleIdx="3" presStyleCnt="5"/>
      <dgm:spPr/>
    </dgm:pt>
    <dgm:pt modelId="{9F1A8A13-DF31-4138-8A6A-A6F2B7A9F048}" type="pres">
      <dgm:prSet presAssocID="{B03C2789-99B1-4967-8C56-833FEF4CA0B1}" presName="node" presStyleLbl="node1" presStyleIdx="4" presStyleCnt="6" custScaleX="160356" custScaleY="120981">
        <dgm:presLayoutVars>
          <dgm:bulletEnabled val="1"/>
        </dgm:presLayoutVars>
      </dgm:prSet>
      <dgm:spPr/>
    </dgm:pt>
    <dgm:pt modelId="{C0889D16-1E4C-47D8-BC25-BF1F6B994AC9}" type="pres">
      <dgm:prSet presAssocID="{E63BF001-98BD-45A0-B8F1-BAC6B05CF511}" presName="sibTrans" presStyleLbl="sibTrans2D1" presStyleIdx="4" presStyleCnt="5"/>
      <dgm:spPr/>
    </dgm:pt>
    <dgm:pt modelId="{05343B6F-4BFF-4283-9189-D39A10761B7C}" type="pres">
      <dgm:prSet presAssocID="{E63BF001-98BD-45A0-B8F1-BAC6B05CF511}" presName="connectorText" presStyleLbl="sibTrans2D1" presStyleIdx="4" presStyleCnt="5"/>
      <dgm:spPr/>
    </dgm:pt>
    <dgm:pt modelId="{77A73BF1-098A-48B6-A9F4-46B29B69D137}" type="pres">
      <dgm:prSet presAssocID="{FE589172-87BB-4896-A9F8-6D02F05F3BB9}" presName="node" presStyleLbl="node1" presStyleIdx="5" presStyleCnt="6" custScaleX="160356">
        <dgm:presLayoutVars>
          <dgm:bulletEnabled val="1"/>
        </dgm:presLayoutVars>
      </dgm:prSet>
      <dgm:spPr/>
    </dgm:pt>
  </dgm:ptLst>
  <dgm:cxnLst>
    <dgm:cxn modelId="{05FED601-BC6C-4814-9ACE-CC3B487B803A}" type="presOf" srcId="{FE589172-87BB-4896-A9F8-6D02F05F3BB9}" destId="{77A73BF1-098A-48B6-A9F4-46B29B69D137}" srcOrd="0" destOrd="0" presId="urn:microsoft.com/office/officeart/2005/8/layout/process2"/>
    <dgm:cxn modelId="{5C7E0808-40A1-484B-9904-EF808FC2A0BA}" srcId="{0DFC88E4-3F06-4F9F-9AFE-92DA8FA507AC}" destId="{B03C2789-99B1-4967-8C56-833FEF4CA0B1}" srcOrd="4" destOrd="0" parTransId="{62B25101-BEF8-4D49-A49F-CA552C3B0B76}" sibTransId="{E63BF001-98BD-45A0-B8F1-BAC6B05CF511}"/>
    <dgm:cxn modelId="{DABE5811-9F1B-47AE-9543-3AD6EF621A0D}" type="presOf" srcId="{43FD2DA0-F9FB-4262-A4B0-83B018E31590}" destId="{55F6C210-594F-4B38-81AB-94BFB7C8018A}" srcOrd="0" destOrd="0" presId="urn:microsoft.com/office/officeart/2005/8/layout/process2"/>
    <dgm:cxn modelId="{C6C71214-17D8-432E-8271-2A980566C1E8}" type="presOf" srcId="{E63BF001-98BD-45A0-B8F1-BAC6B05CF511}" destId="{C0889D16-1E4C-47D8-BC25-BF1F6B994AC9}" srcOrd="0" destOrd="0" presId="urn:microsoft.com/office/officeart/2005/8/layout/process2"/>
    <dgm:cxn modelId="{00615920-8741-4F5A-8DBA-09DFFBCBC8EC}" srcId="{0DFC88E4-3F06-4F9F-9AFE-92DA8FA507AC}" destId="{FE589172-87BB-4896-A9F8-6D02F05F3BB9}" srcOrd="5" destOrd="0" parTransId="{66511CD4-F0F4-4546-8700-13DCED2BD1E5}" sibTransId="{976F1FE9-020B-4AFC-8BA9-303EB69293D6}"/>
    <dgm:cxn modelId="{9B2FA728-A88A-4706-B613-D6F95DC8C290}" type="presOf" srcId="{1727C9BE-0DA0-40E4-A903-6874D7B07F16}" destId="{13C63E3C-216A-4F1C-B683-CD856B46D567}" srcOrd="1" destOrd="0" presId="urn:microsoft.com/office/officeart/2005/8/layout/process2"/>
    <dgm:cxn modelId="{0469E129-BDA1-4AF2-BEAC-D08F9DFD9127}" srcId="{0DFC88E4-3F06-4F9F-9AFE-92DA8FA507AC}" destId="{D63A8308-2BDF-49EC-89A0-E5D21C09B237}" srcOrd="3" destOrd="0" parTransId="{52FF63DB-2FA8-4F19-9756-4EEECC742DA7}" sibTransId="{F964944D-F2DB-48E7-B493-357713414A10}"/>
    <dgm:cxn modelId="{900D1268-C5E4-4FE7-B7C6-2ED771E1D473}" type="presOf" srcId="{699C507F-F986-4C7B-A2B1-C7FC03089140}" destId="{1D37256D-1B7C-4F19-BA9D-D0AC72D250A8}" srcOrd="0" destOrd="0" presId="urn:microsoft.com/office/officeart/2005/8/layout/process2"/>
    <dgm:cxn modelId="{CD379657-3399-4F92-A926-9D9496E923DA}" type="presOf" srcId="{0DFC88E4-3F06-4F9F-9AFE-92DA8FA507AC}" destId="{9B91364D-D5D6-4DCB-AADC-40F1123A4582}" srcOrd="0" destOrd="0" presId="urn:microsoft.com/office/officeart/2005/8/layout/process2"/>
    <dgm:cxn modelId="{68800583-F9A1-4496-87FF-0A6060934888}" type="presOf" srcId="{F964944D-F2DB-48E7-B493-357713414A10}" destId="{34029D7F-345C-4CAC-92D0-757AACB340DD}" srcOrd="0" destOrd="0" presId="urn:microsoft.com/office/officeart/2005/8/layout/process2"/>
    <dgm:cxn modelId="{E42E4285-3200-4F95-AEE6-A062E27F3331}" type="presOf" srcId="{B03C2789-99B1-4967-8C56-833FEF4CA0B1}" destId="{9F1A8A13-DF31-4138-8A6A-A6F2B7A9F048}" srcOrd="0" destOrd="0" presId="urn:microsoft.com/office/officeart/2005/8/layout/process2"/>
    <dgm:cxn modelId="{53251B86-0C1B-4156-8AD3-A1174ED263C5}" srcId="{0DFC88E4-3F06-4F9F-9AFE-92DA8FA507AC}" destId="{8594AB39-D15D-4EA7-B2B1-FBE1E9B25D98}" srcOrd="1" destOrd="0" parTransId="{F05EBA01-BCE2-4849-8365-B591AF8057C2}" sibTransId="{699C507F-F986-4C7B-A2B1-C7FC03089140}"/>
    <dgm:cxn modelId="{9BE22C93-224A-4F8A-935F-2B447DA1A27E}" type="presOf" srcId="{E63BF001-98BD-45A0-B8F1-BAC6B05CF511}" destId="{05343B6F-4BFF-4283-9189-D39A10761B7C}" srcOrd="1" destOrd="0" presId="urn:microsoft.com/office/officeart/2005/8/layout/process2"/>
    <dgm:cxn modelId="{35C49796-FF17-4EE7-9F7A-51FEC6F3527D}" type="presOf" srcId="{699C507F-F986-4C7B-A2B1-C7FC03089140}" destId="{1590B78C-D825-44D8-8567-FA5D92DF0DE6}" srcOrd="1" destOrd="0" presId="urn:microsoft.com/office/officeart/2005/8/layout/process2"/>
    <dgm:cxn modelId="{2AFBA196-BD14-4945-A110-CC5C60082EBA}" type="presOf" srcId="{D63A8308-2BDF-49EC-89A0-E5D21C09B237}" destId="{B15D5640-07B3-488F-A1E7-F07ED0C5B744}" srcOrd="0" destOrd="0" presId="urn:microsoft.com/office/officeart/2005/8/layout/process2"/>
    <dgm:cxn modelId="{6741CF9F-60CA-4A0B-AEEE-0C6C5CEFC01F}" srcId="{0DFC88E4-3F06-4F9F-9AFE-92DA8FA507AC}" destId="{0B65BE52-132C-4236-97DE-679DE9108F0E}" srcOrd="0" destOrd="0" parTransId="{30E55E12-D869-4183-A8AF-C9D2684CA4D5}" sibTransId="{1727C9BE-0DA0-40E4-A903-6874D7B07F16}"/>
    <dgm:cxn modelId="{0440B9A8-F4BB-45E2-B5EC-ED191F2479C5}" type="presOf" srcId="{F964944D-F2DB-48E7-B493-357713414A10}" destId="{85F4D32F-C611-4F9B-90D7-526AD29048A8}" srcOrd="1" destOrd="0" presId="urn:microsoft.com/office/officeart/2005/8/layout/process2"/>
    <dgm:cxn modelId="{4339EEB7-B4D6-41A4-B2DD-85FB3B4328AA}" type="presOf" srcId="{43FD2DA0-F9FB-4262-A4B0-83B018E31590}" destId="{5703B90C-19E3-4C34-9BB3-B61AB928F218}" srcOrd="1" destOrd="0" presId="urn:microsoft.com/office/officeart/2005/8/layout/process2"/>
    <dgm:cxn modelId="{0B88C9BA-2CDC-4746-9F5F-3218BCFF7C11}" type="presOf" srcId="{1727C9BE-0DA0-40E4-A903-6874D7B07F16}" destId="{CEA06033-2AED-446F-99DA-E1386019F8C3}" srcOrd="0" destOrd="0" presId="urn:microsoft.com/office/officeart/2005/8/layout/process2"/>
    <dgm:cxn modelId="{A7B6DADA-16BE-4FEC-AC9C-E59183C2509A}" type="presOf" srcId="{200B9C39-6A70-425A-9AD8-9A92E777CB96}" destId="{AF4E599B-6AAA-45CD-B4FD-29ED7DE062BE}" srcOrd="0" destOrd="0" presId="urn:microsoft.com/office/officeart/2005/8/layout/process2"/>
    <dgm:cxn modelId="{2D8A03DC-4DFC-4174-B4C9-0CDB96A4C013}" type="presOf" srcId="{8594AB39-D15D-4EA7-B2B1-FBE1E9B25D98}" destId="{5F37AE76-2E1C-48FC-B585-A70407B7D78B}" srcOrd="0" destOrd="0" presId="urn:microsoft.com/office/officeart/2005/8/layout/process2"/>
    <dgm:cxn modelId="{3C14D6DD-984A-419E-A15A-9D156DB48663}" type="presOf" srcId="{0B65BE52-132C-4236-97DE-679DE9108F0E}" destId="{C424765A-B21F-456E-B8D4-710A0B40B460}" srcOrd="0" destOrd="0" presId="urn:microsoft.com/office/officeart/2005/8/layout/process2"/>
    <dgm:cxn modelId="{579B53E3-85EB-4E84-91FD-75285CCC2E5F}" srcId="{0DFC88E4-3F06-4F9F-9AFE-92DA8FA507AC}" destId="{200B9C39-6A70-425A-9AD8-9A92E777CB96}" srcOrd="2" destOrd="0" parTransId="{9EBC4140-455E-47E1-9559-EBC393747251}" sibTransId="{43FD2DA0-F9FB-4262-A4B0-83B018E31590}"/>
    <dgm:cxn modelId="{D91A7A77-DBD8-429F-8BF8-668A247DD6C7}" type="presParOf" srcId="{9B91364D-D5D6-4DCB-AADC-40F1123A4582}" destId="{C424765A-B21F-456E-B8D4-710A0B40B460}" srcOrd="0" destOrd="0" presId="urn:microsoft.com/office/officeart/2005/8/layout/process2"/>
    <dgm:cxn modelId="{1FFDC27F-FAEB-4D52-A59C-31B4EB74F40B}" type="presParOf" srcId="{9B91364D-D5D6-4DCB-AADC-40F1123A4582}" destId="{CEA06033-2AED-446F-99DA-E1386019F8C3}" srcOrd="1" destOrd="0" presId="urn:microsoft.com/office/officeart/2005/8/layout/process2"/>
    <dgm:cxn modelId="{8B76F551-9F2D-4E54-855F-590BECC26D1D}" type="presParOf" srcId="{CEA06033-2AED-446F-99DA-E1386019F8C3}" destId="{13C63E3C-216A-4F1C-B683-CD856B46D567}" srcOrd="0" destOrd="0" presId="urn:microsoft.com/office/officeart/2005/8/layout/process2"/>
    <dgm:cxn modelId="{BA0A1743-D1A4-4942-83E4-E47817FDF62E}" type="presParOf" srcId="{9B91364D-D5D6-4DCB-AADC-40F1123A4582}" destId="{5F37AE76-2E1C-48FC-B585-A70407B7D78B}" srcOrd="2" destOrd="0" presId="urn:microsoft.com/office/officeart/2005/8/layout/process2"/>
    <dgm:cxn modelId="{5FDDD6C8-C22E-475F-89E2-DE88515D1C2D}" type="presParOf" srcId="{9B91364D-D5D6-4DCB-AADC-40F1123A4582}" destId="{1D37256D-1B7C-4F19-BA9D-D0AC72D250A8}" srcOrd="3" destOrd="0" presId="urn:microsoft.com/office/officeart/2005/8/layout/process2"/>
    <dgm:cxn modelId="{41C8C251-1DD4-4A1F-B177-8047008FBF31}" type="presParOf" srcId="{1D37256D-1B7C-4F19-BA9D-D0AC72D250A8}" destId="{1590B78C-D825-44D8-8567-FA5D92DF0DE6}" srcOrd="0" destOrd="0" presId="urn:microsoft.com/office/officeart/2005/8/layout/process2"/>
    <dgm:cxn modelId="{F737BDB6-1A7F-459B-B16A-5287E07E47F0}" type="presParOf" srcId="{9B91364D-D5D6-4DCB-AADC-40F1123A4582}" destId="{AF4E599B-6AAA-45CD-B4FD-29ED7DE062BE}" srcOrd="4" destOrd="0" presId="urn:microsoft.com/office/officeart/2005/8/layout/process2"/>
    <dgm:cxn modelId="{A5FE9EFB-8D1A-4C87-828A-9CA9ABC056EF}" type="presParOf" srcId="{9B91364D-D5D6-4DCB-AADC-40F1123A4582}" destId="{55F6C210-594F-4B38-81AB-94BFB7C8018A}" srcOrd="5" destOrd="0" presId="urn:microsoft.com/office/officeart/2005/8/layout/process2"/>
    <dgm:cxn modelId="{FDB8D4E3-D9DD-4CAF-BF02-08A10C162D00}" type="presParOf" srcId="{55F6C210-594F-4B38-81AB-94BFB7C8018A}" destId="{5703B90C-19E3-4C34-9BB3-B61AB928F218}" srcOrd="0" destOrd="0" presId="urn:microsoft.com/office/officeart/2005/8/layout/process2"/>
    <dgm:cxn modelId="{9C6D1B23-D213-40E6-9928-4BD2A05B020A}" type="presParOf" srcId="{9B91364D-D5D6-4DCB-AADC-40F1123A4582}" destId="{B15D5640-07B3-488F-A1E7-F07ED0C5B744}" srcOrd="6" destOrd="0" presId="urn:microsoft.com/office/officeart/2005/8/layout/process2"/>
    <dgm:cxn modelId="{331FAB4A-2D0E-43A7-A12D-32BB519146D9}" type="presParOf" srcId="{9B91364D-D5D6-4DCB-AADC-40F1123A4582}" destId="{34029D7F-345C-4CAC-92D0-757AACB340DD}" srcOrd="7" destOrd="0" presId="urn:microsoft.com/office/officeart/2005/8/layout/process2"/>
    <dgm:cxn modelId="{D3BCB8AB-E8F6-4AC0-8379-DF6487ABB8B5}" type="presParOf" srcId="{34029D7F-345C-4CAC-92D0-757AACB340DD}" destId="{85F4D32F-C611-4F9B-90D7-526AD29048A8}" srcOrd="0" destOrd="0" presId="urn:microsoft.com/office/officeart/2005/8/layout/process2"/>
    <dgm:cxn modelId="{582291BA-7150-4971-B3E9-74E41C692099}" type="presParOf" srcId="{9B91364D-D5D6-4DCB-AADC-40F1123A4582}" destId="{9F1A8A13-DF31-4138-8A6A-A6F2B7A9F048}" srcOrd="8" destOrd="0" presId="urn:microsoft.com/office/officeart/2005/8/layout/process2"/>
    <dgm:cxn modelId="{9557A860-A7A4-433B-8D77-772F0B2E5815}" type="presParOf" srcId="{9B91364D-D5D6-4DCB-AADC-40F1123A4582}" destId="{C0889D16-1E4C-47D8-BC25-BF1F6B994AC9}" srcOrd="9" destOrd="0" presId="urn:microsoft.com/office/officeart/2005/8/layout/process2"/>
    <dgm:cxn modelId="{AAB1E03A-7E79-4EB7-9DA4-307B31E2EDBF}" type="presParOf" srcId="{C0889D16-1E4C-47D8-BC25-BF1F6B994AC9}" destId="{05343B6F-4BFF-4283-9189-D39A10761B7C}" srcOrd="0" destOrd="0" presId="urn:microsoft.com/office/officeart/2005/8/layout/process2"/>
    <dgm:cxn modelId="{77846A27-0C6D-4427-971F-BE9AB5C127C4}" type="presParOf" srcId="{9B91364D-D5D6-4DCB-AADC-40F1123A4582}" destId="{77A73BF1-098A-48B6-A9F4-46B29B69D137}" srcOrd="10"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4765A-B21F-456E-B8D4-710A0B40B460}">
      <dsp:nvSpPr>
        <dsp:cNvPr id="0" name=""/>
        <dsp:cNvSpPr/>
      </dsp:nvSpPr>
      <dsp:spPr>
        <a:xfrm>
          <a:off x="523325" y="4485"/>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Establish sampling frame and randomly select households </a:t>
          </a:r>
        </a:p>
      </dsp:txBody>
      <dsp:txXfrm>
        <a:off x="542641" y="23801"/>
        <a:ext cx="4191566" cy="620869"/>
      </dsp:txXfrm>
    </dsp:sp>
    <dsp:sp modelId="{CEA06033-2AED-446F-99DA-E1386019F8C3}">
      <dsp:nvSpPr>
        <dsp:cNvPr id="0" name=""/>
        <dsp:cNvSpPr/>
      </dsp:nvSpPr>
      <dsp:spPr>
        <a:xfrm rot="5400000">
          <a:off x="2514768" y="680474"/>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705205"/>
        <a:ext cx="178065" cy="173118"/>
      </dsp:txXfrm>
    </dsp:sp>
    <dsp:sp modelId="{5F37AE76-2E1C-48FC-B585-A70407B7D78B}">
      <dsp:nvSpPr>
        <dsp:cNvPr id="0" name=""/>
        <dsp:cNvSpPr/>
      </dsp:nvSpPr>
      <dsp:spPr>
        <a:xfrm>
          <a:off x="523325" y="993737"/>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Contact selected households via letter and phone for recruitment. Verify at least one member of the household is  willing and eligible to participate. Schedule biological sampling appointments. </a:t>
          </a:r>
        </a:p>
      </dsp:txBody>
      <dsp:txXfrm>
        <a:off x="542641" y="1013053"/>
        <a:ext cx="4191566" cy="620869"/>
      </dsp:txXfrm>
    </dsp:sp>
    <dsp:sp modelId="{1D37256D-1B7C-4F19-BA9D-D0AC72D250A8}">
      <dsp:nvSpPr>
        <dsp:cNvPr id="0" name=""/>
        <dsp:cNvSpPr/>
      </dsp:nvSpPr>
      <dsp:spPr>
        <a:xfrm rot="5400000">
          <a:off x="2514768" y="1669725"/>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1694456"/>
        <a:ext cx="178065" cy="173118"/>
      </dsp:txXfrm>
    </dsp:sp>
    <dsp:sp modelId="{AF4E599B-6AAA-45CD-B4FD-29ED7DE062BE}">
      <dsp:nvSpPr>
        <dsp:cNvPr id="0" name=""/>
        <dsp:cNvSpPr/>
      </dsp:nvSpPr>
      <dsp:spPr>
        <a:xfrm>
          <a:off x="523325" y="1982988"/>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household/participant list</a:t>
          </a:r>
        </a:p>
      </dsp:txBody>
      <dsp:txXfrm>
        <a:off x="542641" y="2002304"/>
        <a:ext cx="4191566" cy="620869"/>
      </dsp:txXfrm>
    </dsp:sp>
    <dsp:sp modelId="{55F6C210-594F-4B38-81AB-94BFB7C8018A}">
      <dsp:nvSpPr>
        <dsp:cNvPr id="0" name=""/>
        <dsp:cNvSpPr/>
      </dsp:nvSpPr>
      <dsp:spPr>
        <a:xfrm rot="5400000">
          <a:off x="2514768" y="2658977"/>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2683708"/>
        <a:ext cx="178065" cy="173118"/>
      </dsp:txXfrm>
    </dsp:sp>
    <dsp:sp modelId="{B15D5640-07B3-488F-A1E7-F07ED0C5B744}">
      <dsp:nvSpPr>
        <dsp:cNvPr id="0" name=""/>
        <dsp:cNvSpPr/>
      </dsp:nvSpPr>
      <dsp:spPr>
        <a:xfrm>
          <a:off x="523325" y="2972240"/>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From finalized household list, randomly select subset for environmental sampling</a:t>
          </a:r>
        </a:p>
      </dsp:txBody>
      <dsp:txXfrm>
        <a:off x="542641" y="2991556"/>
        <a:ext cx="4191566" cy="620869"/>
      </dsp:txXfrm>
    </dsp:sp>
    <dsp:sp modelId="{34029D7F-345C-4CAC-92D0-757AACB340DD}">
      <dsp:nvSpPr>
        <dsp:cNvPr id="0" name=""/>
        <dsp:cNvSpPr/>
      </dsp:nvSpPr>
      <dsp:spPr>
        <a:xfrm rot="5400000">
          <a:off x="2514768" y="3648228"/>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3672959"/>
        <a:ext cx="178065" cy="173118"/>
      </dsp:txXfrm>
    </dsp:sp>
    <dsp:sp modelId="{9F1A8A13-DF31-4138-8A6A-A6F2B7A9F048}">
      <dsp:nvSpPr>
        <dsp:cNvPr id="0" name=""/>
        <dsp:cNvSpPr/>
      </dsp:nvSpPr>
      <dsp:spPr>
        <a:xfrm>
          <a:off x="523325" y="3961491"/>
          <a:ext cx="4230198" cy="7978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Invite randomly selected  households to participate in environmental sampling and schedule environmental sampling appointments. </a:t>
          </a:r>
        </a:p>
      </dsp:txBody>
      <dsp:txXfrm>
        <a:off x="546694" y="3984860"/>
        <a:ext cx="4183460" cy="751132"/>
      </dsp:txXfrm>
    </dsp:sp>
    <dsp:sp modelId="{C0889D16-1E4C-47D8-BC25-BF1F6B994AC9}">
      <dsp:nvSpPr>
        <dsp:cNvPr id="0" name=""/>
        <dsp:cNvSpPr/>
      </dsp:nvSpPr>
      <dsp:spPr>
        <a:xfrm rot="5400000">
          <a:off x="2514768" y="4775850"/>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4800581"/>
        <a:ext cx="178065" cy="173118"/>
      </dsp:txXfrm>
    </dsp:sp>
    <dsp:sp modelId="{77A73BF1-098A-48B6-A9F4-46B29B69D137}">
      <dsp:nvSpPr>
        <dsp:cNvPr id="0" name=""/>
        <dsp:cNvSpPr/>
      </dsp:nvSpPr>
      <dsp:spPr>
        <a:xfrm>
          <a:off x="523325" y="5089113"/>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biological and environmental sampling schedule and send all participants letter confirming logistics. </a:t>
          </a:r>
        </a:p>
      </dsp:txBody>
      <dsp:txXfrm>
        <a:off x="542641" y="5108429"/>
        <a:ext cx="4191566" cy="6208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Props1.xml><?xml version="1.0" encoding="utf-8"?>
<ds:datastoreItem xmlns:ds="http://schemas.openxmlformats.org/officeDocument/2006/customXml" ds:itemID="{F8F61FBC-F3CE-45AC-901A-1C86941BE7DB}">
  <ds:schemaRefs>
    <ds:schemaRef ds:uri="http://schemas.openxmlformats.org/officeDocument/2006/bibliography"/>
  </ds:schemaRefs>
</ds:datastoreItem>
</file>

<file path=customXml/itemProps2.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20062</Words>
  <Characters>114356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Scruton, Karen M. (ATSDR/OAD/OCHHA)</cp:lastModifiedBy>
  <cp:revision>3</cp:revision>
  <dcterms:created xsi:type="dcterms:W3CDTF">2022-03-23T03:29:00Z</dcterms:created>
  <dcterms:modified xsi:type="dcterms:W3CDTF">2022-03-23T04:34:00Z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2021-10-04T14:06:42Z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6fd7292d-6d9c-425d-8774-2dced3b79332</vt:lpwstr>
  </property>
  <property fmtid="{D5CDD505-2E9C-101B-9397-08002B2CF9AE}" pid="8" name="MSIP_Label_7b94a7b8-f06c-4dfe-bdcc-9b548fd58c31_ContentBits">
    <vt:lpwstr>0</vt:lpwstr>
  </property>
</Properties>
</file>