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C6D" w:rsidP="003A5CB3" w:rsidRDefault="00351C6D" w14:paraId="1AE49D39" w14:textId="77777777">
      <w:pPr>
        <w:spacing w:after="0" w:line="240" w:lineRule="auto"/>
        <w:ind w:left="2880" w:firstLine="720"/>
      </w:pPr>
    </w:p>
    <w:p w:rsidR="00351C6D" w:rsidP="003A5CB3" w:rsidRDefault="00351C6D" w14:paraId="261931B1" w14:textId="77777777">
      <w:pPr>
        <w:spacing w:after="0" w:line="240" w:lineRule="auto"/>
        <w:ind w:left="2880" w:firstLine="720"/>
      </w:pPr>
    </w:p>
    <w:p w:rsidR="00351C6D" w:rsidP="003A5CB3" w:rsidRDefault="00351C6D" w14:paraId="5D534C46" w14:textId="77777777">
      <w:pPr>
        <w:spacing w:after="0" w:line="240" w:lineRule="auto"/>
        <w:ind w:left="2880" w:firstLine="720"/>
      </w:pPr>
    </w:p>
    <w:p w:rsidR="00351C6D" w:rsidP="003A5CB3" w:rsidRDefault="00351C6D" w14:paraId="647F9E68" w14:textId="77777777">
      <w:pPr>
        <w:spacing w:after="0" w:line="240" w:lineRule="auto"/>
        <w:ind w:left="2880" w:firstLine="720"/>
      </w:pPr>
    </w:p>
    <w:p w:rsidR="00E35DD1" w:rsidP="003A5CB3" w:rsidRDefault="00E35DD1" w14:paraId="68BA36D6" w14:textId="0EECEC67">
      <w:pPr>
        <w:spacing w:after="0" w:line="240" w:lineRule="auto"/>
        <w:ind w:left="2880" w:firstLine="720"/>
      </w:pPr>
      <w:r w:rsidRPr="00E35DD1">
        <w:t>Supporting Statement A for</w:t>
      </w:r>
    </w:p>
    <w:p w:rsidR="00351C6D" w:rsidP="003A5CB3" w:rsidRDefault="00351C6D" w14:paraId="3235DF1F" w14:textId="57BD6879">
      <w:pPr>
        <w:spacing w:after="0" w:line="240" w:lineRule="auto"/>
        <w:ind w:left="2880" w:firstLine="720"/>
      </w:pPr>
    </w:p>
    <w:p w:rsidR="00351C6D" w:rsidP="003A5CB3" w:rsidRDefault="0057188C" w14:paraId="25FFF0C4" w14:textId="77777777">
      <w:pPr>
        <w:pStyle w:val="P1-StandPara"/>
        <w:tabs>
          <w:tab w:val="left" w:pos="720"/>
          <w:tab w:val="right" w:leader="dot" w:pos="9504"/>
        </w:tabs>
        <w:spacing w:line="240" w:lineRule="auto"/>
        <w:ind w:firstLine="0"/>
        <w:jc w:val="center"/>
        <w:rPr>
          <w:rFonts w:asciiTheme="minorHAnsi" w:hAnsiTheme="minorHAnsi"/>
          <w:b/>
          <w:bCs/>
          <w:sz w:val="24"/>
          <w:szCs w:val="24"/>
        </w:rPr>
      </w:pPr>
      <w:r>
        <w:rPr>
          <w:rFonts w:asciiTheme="minorHAnsi" w:hAnsiTheme="minorHAnsi" w:cstheme="minorHAnsi"/>
          <w:b/>
          <w:bCs/>
          <w:sz w:val="24"/>
          <w:szCs w:val="24"/>
        </w:rPr>
        <w:t xml:space="preserve">NIH </w:t>
      </w:r>
      <w:r w:rsidRPr="0057188C">
        <w:rPr>
          <w:rFonts w:asciiTheme="minorHAnsi" w:hAnsiTheme="minorHAnsi" w:cstheme="minorHAnsi"/>
          <w:b/>
          <w:bCs/>
          <w:sz w:val="24"/>
          <w:szCs w:val="24"/>
        </w:rPr>
        <w:t>COVID-</w:t>
      </w:r>
      <w:r w:rsidR="00C75860">
        <w:rPr>
          <w:rFonts w:asciiTheme="minorHAnsi" w:hAnsiTheme="minorHAnsi" w:cstheme="minorHAnsi"/>
          <w:b/>
          <w:bCs/>
          <w:sz w:val="24"/>
          <w:szCs w:val="24"/>
        </w:rPr>
        <w:t xml:space="preserve">19 </w:t>
      </w:r>
      <w:r w:rsidRPr="0057188C">
        <w:rPr>
          <w:rFonts w:asciiTheme="minorHAnsi" w:hAnsiTheme="minorHAnsi" w:cstheme="minorHAnsi"/>
          <w:b/>
          <w:bCs/>
          <w:sz w:val="24"/>
          <w:szCs w:val="24"/>
        </w:rPr>
        <w:t xml:space="preserve">Vaccination </w:t>
      </w:r>
      <w:r w:rsidR="00F82C60">
        <w:rPr>
          <w:rFonts w:asciiTheme="minorHAnsi" w:hAnsiTheme="minorHAnsi" w:cstheme="minorHAnsi"/>
          <w:b/>
          <w:bCs/>
          <w:sz w:val="24"/>
          <w:szCs w:val="24"/>
        </w:rPr>
        <w:t>Status</w:t>
      </w:r>
      <w:r w:rsidRPr="0057188C">
        <w:rPr>
          <w:rFonts w:asciiTheme="minorHAnsi" w:hAnsiTheme="minorHAnsi" w:cstheme="minorHAnsi"/>
          <w:b/>
          <w:bCs/>
          <w:sz w:val="24"/>
          <w:szCs w:val="24"/>
        </w:rPr>
        <w:t xml:space="preserve"> Form</w:t>
      </w:r>
      <w:r>
        <w:rPr>
          <w:rFonts w:asciiTheme="minorHAnsi" w:hAnsiTheme="minorHAnsi"/>
          <w:szCs w:val="22"/>
        </w:rPr>
        <w:t xml:space="preserve"> </w:t>
      </w:r>
      <w:r w:rsidRPr="00F514E0">
        <w:rPr>
          <w:rFonts w:asciiTheme="minorHAnsi" w:hAnsiTheme="minorHAnsi"/>
          <w:b/>
          <w:bCs/>
          <w:sz w:val="24"/>
          <w:szCs w:val="24"/>
        </w:rPr>
        <w:t>(ORS)</w:t>
      </w:r>
    </w:p>
    <w:p w:rsidR="00351C6D" w:rsidP="003A5CB3" w:rsidRDefault="00351C6D" w14:paraId="12671D13" w14:textId="77777777">
      <w:pPr>
        <w:pStyle w:val="P1-StandPara"/>
        <w:tabs>
          <w:tab w:val="left" w:pos="720"/>
          <w:tab w:val="right" w:leader="dot" w:pos="9504"/>
        </w:tabs>
        <w:spacing w:line="240" w:lineRule="auto"/>
        <w:ind w:firstLine="0"/>
        <w:jc w:val="center"/>
        <w:rPr>
          <w:rFonts w:asciiTheme="minorHAnsi" w:hAnsiTheme="minorHAnsi"/>
          <w:b/>
          <w:bCs/>
          <w:sz w:val="24"/>
          <w:szCs w:val="24"/>
        </w:rPr>
      </w:pPr>
    </w:p>
    <w:p w:rsidR="00976490" w:rsidP="003A5CB3" w:rsidRDefault="0057188C" w14:paraId="0ED25BFE" w14:textId="18D327F7">
      <w:pPr>
        <w:pStyle w:val="P1-StandPara"/>
        <w:tabs>
          <w:tab w:val="left" w:pos="720"/>
          <w:tab w:val="right" w:leader="dot" w:pos="9504"/>
        </w:tabs>
        <w:spacing w:line="240" w:lineRule="auto"/>
        <w:ind w:firstLine="0"/>
        <w:jc w:val="center"/>
        <w:rPr>
          <w:rFonts w:asciiTheme="minorHAnsi" w:hAnsiTheme="minorHAnsi"/>
          <w:szCs w:val="22"/>
        </w:rPr>
      </w:pPr>
      <w:r>
        <w:rPr>
          <w:rFonts w:asciiTheme="minorHAnsi" w:hAnsiTheme="minorHAnsi"/>
          <w:szCs w:val="22"/>
        </w:rPr>
        <w:br/>
      </w:r>
      <w:r w:rsidR="00FF30CE">
        <w:rPr>
          <w:rFonts w:asciiTheme="minorHAnsi" w:hAnsiTheme="minorHAnsi"/>
          <w:szCs w:val="22"/>
        </w:rPr>
        <w:t xml:space="preserve">OMB# </w:t>
      </w:r>
      <w:r w:rsidR="00F514E0">
        <w:rPr>
          <w:rFonts w:asciiTheme="minorHAnsi" w:hAnsiTheme="minorHAnsi"/>
          <w:szCs w:val="22"/>
        </w:rPr>
        <w:t>0925-</w:t>
      </w:r>
      <w:r w:rsidR="00F7696A">
        <w:rPr>
          <w:rFonts w:asciiTheme="minorHAnsi" w:hAnsiTheme="minorHAnsi"/>
          <w:szCs w:val="22"/>
        </w:rPr>
        <w:t>0771</w:t>
      </w:r>
      <w:r w:rsidR="003A5CB3">
        <w:rPr>
          <w:rFonts w:asciiTheme="minorHAnsi" w:hAnsiTheme="minorHAnsi"/>
          <w:szCs w:val="22"/>
        </w:rPr>
        <w:t xml:space="preserve">; </w:t>
      </w:r>
      <w:r w:rsidR="00F514E0">
        <w:rPr>
          <w:rFonts w:asciiTheme="minorHAnsi" w:hAnsiTheme="minorHAnsi"/>
          <w:szCs w:val="22"/>
        </w:rPr>
        <w:t>E</w:t>
      </w:r>
      <w:r w:rsidR="00FF30CE">
        <w:rPr>
          <w:rFonts w:asciiTheme="minorHAnsi" w:hAnsiTheme="minorHAnsi"/>
          <w:szCs w:val="22"/>
        </w:rPr>
        <w:t xml:space="preserve">xpiration </w:t>
      </w:r>
      <w:r w:rsidR="003A5CB3">
        <w:rPr>
          <w:rFonts w:asciiTheme="minorHAnsi" w:hAnsiTheme="minorHAnsi"/>
          <w:szCs w:val="22"/>
        </w:rPr>
        <w:t>D</w:t>
      </w:r>
      <w:r w:rsidR="00FF30CE">
        <w:rPr>
          <w:rFonts w:asciiTheme="minorHAnsi" w:hAnsiTheme="minorHAnsi"/>
          <w:szCs w:val="22"/>
        </w:rPr>
        <w:t>ate</w:t>
      </w:r>
      <w:r w:rsidR="00F514E0">
        <w:rPr>
          <w:rFonts w:asciiTheme="minorHAnsi" w:hAnsiTheme="minorHAnsi"/>
          <w:szCs w:val="22"/>
        </w:rPr>
        <w:t xml:space="preserve">: </w:t>
      </w:r>
      <w:r w:rsidR="00F7696A">
        <w:rPr>
          <w:rFonts w:asciiTheme="minorHAnsi" w:hAnsiTheme="minorHAnsi"/>
          <w:szCs w:val="22"/>
        </w:rPr>
        <w:t>03/31/</w:t>
      </w:r>
      <w:r w:rsidR="00B95405">
        <w:rPr>
          <w:rFonts w:asciiTheme="minorHAnsi" w:hAnsiTheme="minorHAnsi"/>
          <w:szCs w:val="22"/>
        </w:rPr>
        <w:t>2022</w:t>
      </w:r>
    </w:p>
    <w:p w:rsidRPr="00E35DD1" w:rsidR="00351C6D" w:rsidP="003A5CB3" w:rsidRDefault="00351C6D" w14:paraId="77B0DBD6" w14:textId="77777777">
      <w:pPr>
        <w:pStyle w:val="P1-StandPara"/>
        <w:tabs>
          <w:tab w:val="left" w:pos="720"/>
          <w:tab w:val="right" w:leader="dot" w:pos="9504"/>
        </w:tabs>
        <w:spacing w:line="240" w:lineRule="auto"/>
        <w:ind w:firstLine="0"/>
        <w:jc w:val="center"/>
        <w:rPr>
          <w:rFonts w:asciiTheme="minorHAnsi" w:hAnsiTheme="minorHAnsi"/>
          <w:szCs w:val="22"/>
        </w:rPr>
      </w:pPr>
    </w:p>
    <w:p w:rsidR="00E35DD1" w:rsidP="003A5CB3" w:rsidRDefault="0034545F" w14:paraId="1ECE92EB" w14:textId="1012A90C">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                                                                        </w:t>
      </w:r>
      <w:r w:rsidR="00C305E3">
        <w:rPr>
          <w:rFonts w:asciiTheme="minorHAnsi" w:hAnsiTheme="minorHAnsi"/>
          <w:szCs w:val="22"/>
        </w:rPr>
        <w:t xml:space="preserve">    </w:t>
      </w:r>
      <w:r w:rsidR="008816A8">
        <w:rPr>
          <w:rFonts w:asciiTheme="minorHAnsi" w:hAnsiTheme="minorHAnsi"/>
          <w:szCs w:val="22"/>
        </w:rPr>
        <w:t>February</w:t>
      </w:r>
      <w:r w:rsidR="003A5CB3">
        <w:rPr>
          <w:rFonts w:asciiTheme="minorHAnsi" w:hAnsiTheme="minorHAnsi"/>
          <w:szCs w:val="22"/>
        </w:rPr>
        <w:t xml:space="preserve"> </w:t>
      </w:r>
      <w:r w:rsidR="008816A8">
        <w:rPr>
          <w:rFonts w:asciiTheme="minorHAnsi" w:hAnsiTheme="minorHAnsi"/>
          <w:szCs w:val="22"/>
        </w:rPr>
        <w:t>15</w:t>
      </w:r>
      <w:r w:rsidR="0057188C">
        <w:rPr>
          <w:rFonts w:asciiTheme="minorHAnsi" w:hAnsiTheme="minorHAnsi"/>
          <w:szCs w:val="22"/>
        </w:rPr>
        <w:t>, 202</w:t>
      </w:r>
      <w:r w:rsidR="008816A8">
        <w:rPr>
          <w:rFonts w:asciiTheme="minorHAnsi" w:hAnsiTheme="minorHAnsi"/>
          <w:szCs w:val="22"/>
        </w:rPr>
        <w:t>2</w:t>
      </w:r>
    </w:p>
    <w:p w:rsidR="00351C6D" w:rsidP="003A5CB3" w:rsidRDefault="00351C6D" w14:paraId="17E120DC" w14:textId="32B64D46">
      <w:pPr>
        <w:pStyle w:val="P1-StandPara"/>
        <w:tabs>
          <w:tab w:val="left" w:pos="720"/>
          <w:tab w:val="right" w:leader="dot" w:pos="9504"/>
        </w:tabs>
        <w:spacing w:line="240" w:lineRule="auto"/>
        <w:ind w:firstLine="0"/>
        <w:rPr>
          <w:rFonts w:asciiTheme="minorHAnsi" w:hAnsiTheme="minorHAnsi"/>
          <w:szCs w:val="22"/>
        </w:rPr>
      </w:pPr>
    </w:p>
    <w:p w:rsidR="00351C6D" w:rsidP="003A5CB3" w:rsidRDefault="00351C6D" w14:paraId="16BF367F" w14:textId="409A653A">
      <w:pPr>
        <w:pStyle w:val="P1-StandPara"/>
        <w:tabs>
          <w:tab w:val="left" w:pos="720"/>
          <w:tab w:val="right" w:leader="dot" w:pos="9504"/>
        </w:tabs>
        <w:spacing w:line="240" w:lineRule="auto"/>
        <w:ind w:firstLine="0"/>
        <w:rPr>
          <w:rFonts w:asciiTheme="minorHAnsi" w:hAnsiTheme="minorHAnsi"/>
          <w:szCs w:val="22"/>
        </w:rPr>
      </w:pPr>
    </w:p>
    <w:p w:rsidR="00351C6D" w:rsidP="003A5CB3" w:rsidRDefault="00351C6D" w14:paraId="7E2A39A8" w14:textId="34F2EF32">
      <w:pPr>
        <w:pStyle w:val="P1-StandPara"/>
        <w:tabs>
          <w:tab w:val="left" w:pos="720"/>
          <w:tab w:val="right" w:leader="dot" w:pos="9504"/>
        </w:tabs>
        <w:spacing w:line="240" w:lineRule="auto"/>
        <w:ind w:firstLine="0"/>
        <w:rPr>
          <w:rFonts w:asciiTheme="minorHAnsi" w:hAnsiTheme="minorHAnsi"/>
          <w:szCs w:val="22"/>
        </w:rPr>
      </w:pPr>
    </w:p>
    <w:p w:rsidR="00351C6D" w:rsidP="003A5CB3" w:rsidRDefault="00351C6D" w14:paraId="66CF3318" w14:textId="35E80912">
      <w:pPr>
        <w:pStyle w:val="P1-StandPara"/>
        <w:tabs>
          <w:tab w:val="left" w:pos="720"/>
          <w:tab w:val="right" w:leader="dot" w:pos="9504"/>
        </w:tabs>
        <w:spacing w:line="240" w:lineRule="auto"/>
        <w:ind w:firstLine="0"/>
        <w:rPr>
          <w:rFonts w:asciiTheme="minorHAnsi" w:hAnsiTheme="minorHAnsi"/>
          <w:szCs w:val="22"/>
        </w:rPr>
      </w:pPr>
    </w:p>
    <w:p w:rsidRPr="00E35DD1" w:rsidR="00351C6D" w:rsidP="003A5CB3" w:rsidRDefault="00351C6D" w14:paraId="21B0B9DA" w14:textId="77777777">
      <w:pPr>
        <w:pStyle w:val="P1-StandPara"/>
        <w:tabs>
          <w:tab w:val="left" w:pos="720"/>
          <w:tab w:val="right" w:leader="dot" w:pos="9504"/>
        </w:tabs>
        <w:spacing w:line="240" w:lineRule="auto"/>
        <w:ind w:firstLine="0"/>
        <w:rPr>
          <w:rFonts w:asciiTheme="minorHAnsi" w:hAnsiTheme="minorHAnsi"/>
          <w:szCs w:val="22"/>
        </w:rPr>
      </w:pPr>
    </w:p>
    <w:p w:rsidRPr="000072EF" w:rsidR="00FF30CE" w:rsidP="000072EF" w:rsidRDefault="000072EF" w14:paraId="580EAAC6" w14:textId="1508BA94">
      <w:pPr>
        <w:pStyle w:val="P1-StandPara"/>
        <w:tabs>
          <w:tab w:val="left" w:pos="720"/>
          <w:tab w:val="right" w:leader="dot" w:pos="9504"/>
        </w:tabs>
        <w:spacing w:line="240" w:lineRule="auto"/>
        <w:ind w:firstLine="0"/>
        <w:rPr>
          <w:rFonts w:ascii="Calibri" w:hAnsi="Calibri"/>
          <w:szCs w:val="22"/>
        </w:rPr>
      </w:pPr>
      <w:r>
        <w:rPr>
          <w:rFonts w:ascii="Calibri" w:hAnsi="Calibri"/>
          <w:szCs w:val="22"/>
        </w:rPr>
        <w:t>Submission Type</w:t>
      </w:r>
      <w:r w:rsidRPr="008942E9" w:rsidR="00FF30CE">
        <w:rPr>
          <w:rFonts w:ascii="Calibri" w:hAnsi="Calibri"/>
          <w:szCs w:val="22"/>
        </w:rPr>
        <w:t>:</w:t>
      </w:r>
      <w:r>
        <w:rPr>
          <w:rFonts w:ascii="Calibri" w:hAnsi="Calibri"/>
          <w:szCs w:val="22"/>
        </w:rPr>
        <w:t xml:space="preserve"> </w:t>
      </w:r>
      <w:r w:rsidRPr="009F2345">
        <w:rPr>
          <w:rFonts w:ascii="Calibri" w:hAnsi="Calibri"/>
          <w:szCs w:val="22"/>
          <w:highlight w:val="yellow"/>
        </w:rPr>
        <w:t>Revision</w:t>
      </w:r>
    </w:p>
    <w:p w:rsidR="00FF30CE" w:rsidP="000072EF" w:rsidRDefault="00FF30CE" w14:paraId="45BA54F5" w14:textId="3C8D21A7">
      <w:pPr>
        <w:spacing w:after="0" w:line="240" w:lineRule="auto"/>
      </w:pPr>
      <w:r>
        <w:tab/>
      </w:r>
      <w:r>
        <w:tab/>
      </w:r>
      <w:r>
        <w:tab/>
      </w:r>
    </w:p>
    <w:p w:rsidR="00351C6D" w:rsidP="003A5CB3" w:rsidRDefault="00351C6D" w14:paraId="19451C07" w14:textId="77777777">
      <w:pPr>
        <w:pStyle w:val="P1-StandPara"/>
        <w:tabs>
          <w:tab w:val="left" w:pos="720"/>
          <w:tab w:val="right" w:leader="dot" w:pos="9504"/>
        </w:tabs>
        <w:spacing w:line="240" w:lineRule="auto"/>
        <w:ind w:firstLine="0"/>
        <w:rPr>
          <w:rFonts w:asciiTheme="minorHAnsi" w:hAnsiTheme="minorHAnsi"/>
          <w:szCs w:val="22"/>
        </w:rPr>
      </w:pPr>
    </w:p>
    <w:p w:rsidRPr="005E4492" w:rsidR="00E35DD1" w:rsidP="003A5CB3" w:rsidRDefault="005E4492" w14:paraId="6D261043" w14:textId="358DBAD4">
      <w:pPr>
        <w:pStyle w:val="P1-StandPara"/>
        <w:tabs>
          <w:tab w:val="left" w:pos="720"/>
          <w:tab w:val="right" w:leader="dot" w:pos="9504"/>
        </w:tabs>
        <w:spacing w:line="240" w:lineRule="auto"/>
        <w:ind w:firstLine="0"/>
        <w:rPr>
          <w:rFonts w:asciiTheme="minorHAnsi" w:hAnsiTheme="minorHAnsi"/>
          <w:b/>
          <w:bCs/>
          <w:szCs w:val="22"/>
        </w:rPr>
      </w:pPr>
      <w:r>
        <w:rPr>
          <w:rFonts w:asciiTheme="minorHAnsi" w:hAnsiTheme="minorHAnsi"/>
          <w:szCs w:val="22"/>
        </w:rPr>
        <w:br/>
      </w:r>
      <w:r w:rsidRPr="005E4492" w:rsidR="00BE76A7">
        <w:rPr>
          <w:rFonts w:asciiTheme="minorHAnsi" w:hAnsiTheme="minorHAnsi"/>
          <w:b/>
          <w:bCs/>
          <w:szCs w:val="22"/>
        </w:rPr>
        <w:t>Fed</w:t>
      </w:r>
      <w:r w:rsidRPr="005E4492" w:rsidR="00B96691">
        <w:rPr>
          <w:rFonts w:asciiTheme="minorHAnsi" w:hAnsiTheme="minorHAnsi"/>
          <w:b/>
          <w:bCs/>
          <w:szCs w:val="22"/>
        </w:rPr>
        <w:t>eral Government Employee Information</w:t>
      </w:r>
      <w:r w:rsidRPr="005E4492" w:rsidR="00BE76A7">
        <w:rPr>
          <w:rFonts w:asciiTheme="minorHAnsi" w:hAnsiTheme="minorHAnsi"/>
          <w:b/>
          <w:bCs/>
          <w:szCs w:val="22"/>
        </w:rPr>
        <w:t>:</w:t>
      </w:r>
    </w:p>
    <w:p w:rsidRPr="005E4492" w:rsidR="00B45681" w:rsidP="003A5CB3" w:rsidRDefault="0057188C" w14:paraId="221F807F" w14:textId="07B025DF">
      <w:pPr>
        <w:pStyle w:val="P1-StandPara"/>
        <w:tabs>
          <w:tab w:val="left" w:pos="720"/>
          <w:tab w:val="right" w:leader="dot" w:pos="9504"/>
        </w:tabs>
        <w:spacing w:line="240" w:lineRule="auto"/>
        <w:ind w:firstLine="0"/>
        <w:rPr>
          <w:rFonts w:asciiTheme="minorHAnsi" w:hAnsiTheme="minorHAnsi" w:cstheme="minorHAnsi"/>
          <w:szCs w:val="22"/>
        </w:rPr>
      </w:pPr>
      <w:r w:rsidRPr="0057188C">
        <w:rPr>
          <w:rFonts w:asciiTheme="minorHAnsi" w:hAnsiTheme="minorHAnsi" w:cstheme="minorHAnsi"/>
          <w:szCs w:val="22"/>
        </w:rPr>
        <w:t xml:space="preserve">Jessica McCormick-Ell, Ph.D., </w:t>
      </w:r>
      <w:r w:rsidRPr="0057188C">
        <w:rPr>
          <w:rFonts w:asciiTheme="minorHAnsi" w:hAnsiTheme="minorHAnsi" w:cstheme="minorHAnsi"/>
        </w:rPr>
        <w:t>SM(NRCM), CBSP, RBP</w:t>
      </w:r>
      <w:r w:rsidR="00B45681">
        <w:rPr>
          <w:rFonts w:asciiTheme="minorHAnsi" w:hAnsiTheme="minorHAnsi"/>
          <w:szCs w:val="22"/>
        </w:rPr>
        <w:br/>
        <w:t>NIH/ORS/SR/DOHS</w:t>
      </w:r>
      <w:r w:rsidR="00B45681">
        <w:rPr>
          <w:rFonts w:asciiTheme="minorHAnsi" w:hAnsiTheme="minorHAnsi"/>
          <w:szCs w:val="22"/>
        </w:rPr>
        <w:br/>
        <w:t>Bldg. 13/3W80</w:t>
      </w:r>
      <w:r w:rsidR="00B45681">
        <w:rPr>
          <w:rFonts w:asciiTheme="minorHAnsi" w:hAnsiTheme="minorHAnsi"/>
          <w:szCs w:val="22"/>
        </w:rPr>
        <w:br/>
        <w:t>Bethesda, MD</w:t>
      </w:r>
      <w:r w:rsidR="00B45681">
        <w:rPr>
          <w:rFonts w:asciiTheme="minorHAnsi" w:hAnsiTheme="minorHAnsi"/>
          <w:szCs w:val="22"/>
        </w:rPr>
        <w:br/>
        <w:t>20892-5760</w:t>
      </w:r>
    </w:p>
    <w:p w:rsidRPr="00E35DD1" w:rsidR="00E35DD1" w:rsidP="003A5CB3" w:rsidRDefault="00E35DD1" w14:paraId="570BCCDE" w14:textId="1BD2D3FC">
      <w:pPr>
        <w:pStyle w:val="P1-StandPara"/>
        <w:tabs>
          <w:tab w:val="left" w:pos="720"/>
          <w:tab w:val="right" w:leader="dot" w:pos="9504"/>
        </w:tabs>
        <w:spacing w:line="240" w:lineRule="auto"/>
        <w:ind w:firstLine="0"/>
        <w:rPr>
          <w:rFonts w:asciiTheme="minorHAnsi" w:hAnsiTheme="minorHAnsi"/>
          <w:szCs w:val="22"/>
        </w:rPr>
      </w:pPr>
      <w:r w:rsidRPr="00E35DD1">
        <w:rPr>
          <w:rFonts w:asciiTheme="minorHAnsi" w:hAnsiTheme="minorHAnsi"/>
          <w:szCs w:val="22"/>
        </w:rPr>
        <w:t>Telephone:</w:t>
      </w:r>
      <w:r w:rsidR="0057188C">
        <w:rPr>
          <w:rFonts w:asciiTheme="minorHAnsi" w:hAnsiTheme="minorHAnsi"/>
          <w:szCs w:val="22"/>
        </w:rPr>
        <w:t xml:space="preserve"> 301-496-0590 (office)</w:t>
      </w:r>
    </w:p>
    <w:p w:rsidRPr="00E35DD1" w:rsidR="00E35DD1" w:rsidP="003A5CB3" w:rsidRDefault="00E35DD1" w14:paraId="7ABF3457" w14:textId="77777777">
      <w:pPr>
        <w:pStyle w:val="P1-StandPara"/>
        <w:tabs>
          <w:tab w:val="left" w:pos="720"/>
          <w:tab w:val="right" w:leader="dot" w:pos="9504"/>
        </w:tabs>
        <w:spacing w:line="240" w:lineRule="auto"/>
        <w:ind w:firstLine="0"/>
        <w:rPr>
          <w:rFonts w:asciiTheme="minorHAnsi" w:hAnsiTheme="minorHAnsi"/>
          <w:szCs w:val="22"/>
        </w:rPr>
      </w:pPr>
      <w:r w:rsidRPr="00E35DD1">
        <w:rPr>
          <w:rFonts w:asciiTheme="minorHAnsi" w:hAnsiTheme="minorHAnsi"/>
          <w:szCs w:val="22"/>
        </w:rPr>
        <w:t>Fax:</w:t>
      </w:r>
    </w:p>
    <w:p w:rsidRPr="00E35DD1" w:rsidR="00E35DD1" w:rsidP="003A5CB3" w:rsidRDefault="00E35DD1" w14:paraId="1447E9B1" w14:textId="3FE5B94A">
      <w:pPr>
        <w:pStyle w:val="P1-StandPara"/>
        <w:tabs>
          <w:tab w:val="left" w:pos="720"/>
          <w:tab w:val="right" w:leader="dot" w:pos="9504"/>
        </w:tabs>
        <w:spacing w:line="240" w:lineRule="auto"/>
        <w:ind w:firstLine="0"/>
        <w:rPr>
          <w:rFonts w:asciiTheme="minorHAnsi" w:hAnsiTheme="minorHAnsi"/>
          <w:szCs w:val="22"/>
        </w:rPr>
      </w:pPr>
      <w:r w:rsidRPr="00E35DD1">
        <w:rPr>
          <w:rFonts w:asciiTheme="minorHAnsi" w:hAnsiTheme="minorHAnsi"/>
          <w:szCs w:val="22"/>
        </w:rPr>
        <w:t>Email:</w:t>
      </w:r>
      <w:r w:rsidRPr="0057188C" w:rsidR="0057188C">
        <w:rPr>
          <w:rFonts w:asciiTheme="minorHAnsi" w:hAnsiTheme="minorHAnsi" w:cstheme="minorHAnsi"/>
          <w:szCs w:val="22"/>
        </w:rPr>
        <w:t xml:space="preserve"> </w:t>
      </w:r>
      <w:hyperlink w:history="1" r:id="rId11">
        <w:r w:rsidRPr="0057188C" w:rsidR="0057188C">
          <w:rPr>
            <w:rStyle w:val="Hyperlink"/>
            <w:rFonts w:asciiTheme="minorHAnsi" w:hAnsiTheme="minorHAnsi" w:cstheme="minorHAnsi"/>
          </w:rPr>
          <w:t>jessica.mccormick-ell@nih.gov</w:t>
        </w:r>
      </w:hyperlink>
    </w:p>
    <w:p w:rsidRPr="00E35DD1" w:rsidR="00E35DD1" w:rsidP="003A5CB3" w:rsidRDefault="003A5CB3" w14:paraId="245B699E" w14:textId="7B72F69D">
      <w:pPr>
        <w:pStyle w:val="P1-StandPara"/>
        <w:tabs>
          <w:tab w:val="left" w:pos="720"/>
          <w:tab w:val="right" w:leader="dot" w:pos="9504"/>
        </w:tabs>
        <w:spacing w:line="240" w:lineRule="auto"/>
        <w:jc w:val="center"/>
        <w:rPr>
          <w:rFonts w:asciiTheme="minorHAnsi" w:hAnsiTheme="minorHAnsi"/>
          <w:b/>
          <w:szCs w:val="22"/>
          <w:u w:val="single"/>
        </w:rPr>
      </w:pPr>
      <w:r>
        <w:rPr>
          <w:rFonts w:asciiTheme="minorHAnsi" w:hAnsiTheme="minorHAnsi"/>
          <w:b/>
          <w:szCs w:val="22"/>
          <w:u w:val="single"/>
        </w:rPr>
        <w:br w:type="column"/>
      </w:r>
      <w:r w:rsidRPr="00E35DD1" w:rsidR="00E35DD1">
        <w:rPr>
          <w:rFonts w:asciiTheme="minorHAnsi" w:hAnsiTheme="minorHAnsi"/>
          <w:b/>
          <w:szCs w:val="22"/>
          <w:u w:val="single"/>
        </w:rPr>
        <w:lastRenderedPageBreak/>
        <w:t xml:space="preserve">Table of </w:t>
      </w:r>
      <w:r w:rsidR="005E4492">
        <w:rPr>
          <w:rFonts w:asciiTheme="minorHAnsi" w:hAnsiTheme="minorHAnsi"/>
          <w:b/>
          <w:szCs w:val="22"/>
          <w:u w:val="single"/>
        </w:rPr>
        <w:t>C</w:t>
      </w:r>
      <w:r w:rsidRPr="00E35DD1" w:rsidR="00E35DD1">
        <w:rPr>
          <w:rFonts w:asciiTheme="minorHAnsi" w:hAnsiTheme="minorHAnsi"/>
          <w:b/>
          <w:szCs w:val="22"/>
          <w:u w:val="single"/>
        </w:rPr>
        <w:t>ontents</w:t>
      </w:r>
    </w:p>
    <w:p w:rsidRPr="00E35DD1" w:rsidR="00E35DD1" w:rsidP="00351C6D"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351C6D"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351C6D"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351C6D"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351C6D"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351C6D"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351C6D"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351C6D"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351C6D"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351C6D"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351C6D"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351C6D"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351C6D"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351C6D" w:rsidRDefault="00E35DD1" w14:paraId="147053D2" w14:textId="3208EBC2">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 xml:space="preserve">Estimate of Other Total Annual Cost Burden to Respondents or </w:t>
      </w:r>
      <w:r w:rsidRPr="00E35DD1" w:rsidR="005E4492">
        <w:rPr>
          <w:rFonts w:asciiTheme="minorHAnsi" w:hAnsiTheme="minorHAnsi"/>
          <w:szCs w:val="22"/>
        </w:rPr>
        <w:t>Record</w:t>
      </w:r>
      <w:r w:rsidR="005E4492">
        <w:rPr>
          <w:rFonts w:asciiTheme="minorHAnsi" w:hAnsiTheme="minorHAnsi"/>
          <w:szCs w:val="22"/>
        </w:rPr>
        <w:t xml:space="preserve"> </w:t>
      </w:r>
      <w:r w:rsidRPr="00E35DD1" w:rsidR="005E4492">
        <w:rPr>
          <w:rFonts w:asciiTheme="minorHAnsi" w:hAnsiTheme="minorHAnsi"/>
          <w:szCs w:val="22"/>
        </w:rPr>
        <w:t>keepers</w:t>
      </w:r>
      <w:r w:rsidRPr="00E35DD1">
        <w:rPr>
          <w:rFonts w:asciiTheme="minorHAnsi" w:hAnsiTheme="minorHAnsi"/>
          <w:szCs w:val="22"/>
        </w:rPr>
        <w:tab/>
      </w:r>
    </w:p>
    <w:p w:rsidRPr="00E35DD1" w:rsidR="00E35DD1" w:rsidP="00351C6D"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351C6D"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351C6D"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351C6D"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351C6D" w:rsidP="00351C6D" w:rsidRDefault="00E35DD1" w14:paraId="3D60D12F"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4037C8" w:rsidR="006A45F9" w:rsidP="00351C6D" w:rsidRDefault="006A45F9" w14:paraId="1FDE63E2" w14:textId="747479E5">
      <w:pPr>
        <w:pStyle w:val="P1-StandPara"/>
        <w:ind w:firstLine="0"/>
        <w:rPr>
          <w:rFonts w:asciiTheme="minorHAnsi" w:hAnsiTheme="minorHAnsi"/>
          <w:bCs/>
          <w:iCs/>
          <w:szCs w:val="22"/>
        </w:rPr>
      </w:pPr>
      <w:r w:rsidRPr="007D11BF">
        <w:rPr>
          <w:rFonts w:asciiTheme="minorHAnsi" w:hAnsiTheme="minorHAnsi"/>
          <w:b/>
          <w:i/>
          <w:szCs w:val="22"/>
        </w:rPr>
        <w:t xml:space="preserve"> </w:t>
      </w:r>
    </w:p>
    <w:p w:rsidR="00351C6D" w:rsidP="00351C6D" w:rsidRDefault="00E35DD1" w14:paraId="3B609359" w14:textId="3375365C">
      <w:pPr>
        <w:pStyle w:val="P1-StandPara"/>
        <w:tabs>
          <w:tab w:val="left" w:pos="720"/>
          <w:tab w:val="right" w:leader="dot" w:pos="9504"/>
        </w:tabs>
        <w:ind w:left="720" w:firstLine="0"/>
      </w:pPr>
      <w:r w:rsidRPr="00E35DD1">
        <w:rPr>
          <w:rFonts w:asciiTheme="minorHAnsi" w:hAnsiTheme="minorHAnsi"/>
          <w:szCs w:val="22"/>
        </w:rPr>
        <w:fldChar w:fldCharType="end"/>
      </w:r>
      <w:r w:rsidR="00351C6D">
        <w:br w:type="page"/>
      </w:r>
    </w:p>
    <w:p w:rsidRPr="00351C6D" w:rsidR="00351C6D" w:rsidP="00351C6D" w:rsidRDefault="00351C6D" w14:paraId="3CE4DC62" w14:textId="71A85FD2">
      <w:pPr>
        <w:pStyle w:val="P1-StandPara"/>
        <w:tabs>
          <w:tab w:val="left" w:pos="720"/>
          <w:tab w:val="right" w:leader="dot" w:pos="9504"/>
        </w:tabs>
        <w:spacing w:line="240" w:lineRule="auto"/>
        <w:ind w:firstLine="0"/>
        <w:rPr>
          <w:rFonts w:asciiTheme="minorHAnsi" w:hAnsiTheme="minorHAnsi"/>
          <w:b/>
          <w:bCs/>
          <w:szCs w:val="22"/>
        </w:rPr>
      </w:pPr>
      <w:r>
        <w:rPr>
          <w:rFonts w:asciiTheme="minorHAnsi" w:hAnsiTheme="minorHAnsi"/>
          <w:b/>
          <w:bCs/>
          <w:szCs w:val="22"/>
        </w:rPr>
        <w:lastRenderedPageBreak/>
        <w:t>ATTACHMENTS</w:t>
      </w:r>
    </w:p>
    <w:p w:rsidRPr="00351C6D" w:rsidR="00351C6D" w:rsidP="00351C6D" w:rsidRDefault="00351C6D" w14:paraId="07F142F4" w14:textId="1FBE3203">
      <w:pPr>
        <w:pStyle w:val="P1-StandPara"/>
        <w:tabs>
          <w:tab w:val="left" w:pos="720"/>
          <w:tab w:val="right" w:leader="dot" w:pos="9504"/>
        </w:tabs>
        <w:spacing w:line="240" w:lineRule="auto"/>
        <w:ind w:firstLine="0"/>
        <w:rPr>
          <w:rFonts w:asciiTheme="minorHAnsi" w:hAnsiTheme="minorHAnsi"/>
          <w:b/>
          <w:bCs/>
          <w:szCs w:val="22"/>
        </w:rPr>
      </w:pPr>
      <w:r>
        <w:rPr>
          <w:rFonts w:asciiTheme="minorHAnsi" w:hAnsiTheme="minorHAnsi"/>
          <w:b/>
          <w:bCs/>
          <w:szCs w:val="22"/>
        </w:rPr>
        <w:t xml:space="preserve"> </w:t>
      </w:r>
    </w:p>
    <w:p w:rsidR="00351C6D" w:rsidP="00351C6D" w:rsidRDefault="00351C6D" w14:paraId="3F20E4A6" w14:textId="77777777">
      <w:pPr>
        <w:pStyle w:val="P1-StandPara"/>
        <w:tabs>
          <w:tab w:val="left" w:pos="720"/>
          <w:tab w:val="right" w:leader="dot" w:pos="9504"/>
        </w:tabs>
        <w:spacing w:line="240" w:lineRule="auto"/>
        <w:ind w:left="720" w:firstLine="0"/>
        <w:rPr>
          <w:rFonts w:asciiTheme="minorHAnsi" w:hAnsiTheme="minorHAnsi"/>
          <w:szCs w:val="22"/>
        </w:rPr>
      </w:pPr>
    </w:p>
    <w:p w:rsidR="00351C6D" w:rsidP="00351C6D" w:rsidRDefault="00351C6D" w14:paraId="126CB2DD" w14:textId="15C8458D">
      <w:pPr>
        <w:pStyle w:val="P1-StandPara"/>
        <w:numPr>
          <w:ilvl w:val="0"/>
          <w:numId w:val="15"/>
        </w:numPr>
        <w:tabs>
          <w:tab w:val="left" w:pos="720"/>
          <w:tab w:val="right" w:leader="dot" w:pos="9504"/>
        </w:tabs>
        <w:spacing w:line="240" w:lineRule="auto"/>
        <w:rPr>
          <w:rFonts w:asciiTheme="minorHAnsi" w:hAnsiTheme="minorHAnsi"/>
          <w:szCs w:val="22"/>
        </w:rPr>
      </w:pPr>
      <w:r w:rsidRPr="004037C8">
        <w:rPr>
          <w:rFonts w:asciiTheme="minorHAnsi" w:hAnsiTheme="minorHAnsi"/>
          <w:szCs w:val="22"/>
        </w:rPr>
        <w:t>NIHCOVID-19 Vaccin</w:t>
      </w:r>
      <w:r>
        <w:rPr>
          <w:rFonts w:asciiTheme="minorHAnsi" w:hAnsiTheme="minorHAnsi"/>
          <w:szCs w:val="22"/>
        </w:rPr>
        <w:t xml:space="preserve">ation Status </w:t>
      </w:r>
      <w:r w:rsidRPr="004037C8">
        <w:rPr>
          <w:rFonts w:asciiTheme="minorHAnsi" w:hAnsiTheme="minorHAnsi"/>
          <w:szCs w:val="22"/>
        </w:rPr>
        <w:t>instrument</w:t>
      </w:r>
    </w:p>
    <w:p w:rsidR="00351C6D" w:rsidP="00351C6D" w:rsidRDefault="00351C6D" w14:paraId="6F1676E3" w14:textId="77777777">
      <w:pPr>
        <w:pStyle w:val="P1-StandPara"/>
        <w:numPr>
          <w:ilvl w:val="0"/>
          <w:numId w:val="15"/>
        </w:numPr>
        <w:tabs>
          <w:tab w:val="left" w:pos="720"/>
          <w:tab w:val="right" w:leader="dot" w:pos="9504"/>
        </w:tabs>
        <w:spacing w:line="240" w:lineRule="auto"/>
        <w:rPr>
          <w:rFonts w:asciiTheme="minorHAnsi" w:hAnsiTheme="minorHAnsi"/>
          <w:szCs w:val="22"/>
        </w:rPr>
      </w:pPr>
      <w:r w:rsidRPr="00F514E0">
        <w:rPr>
          <w:rFonts w:asciiTheme="minorHAnsi" w:hAnsiTheme="minorHAnsi"/>
          <w:szCs w:val="22"/>
        </w:rPr>
        <w:t>PIA - NIDDK On-Site Web and Apps</w:t>
      </w:r>
    </w:p>
    <w:p w:rsidR="00351C6D" w:rsidP="00351C6D" w:rsidRDefault="00351C6D" w14:paraId="4BDBE1EB" w14:textId="4853A7AB">
      <w:pPr>
        <w:pStyle w:val="P1-StandPara"/>
        <w:numPr>
          <w:ilvl w:val="0"/>
          <w:numId w:val="15"/>
        </w:numPr>
        <w:tabs>
          <w:tab w:val="left" w:pos="720"/>
          <w:tab w:val="right" w:leader="dot" w:pos="9504"/>
        </w:tabs>
        <w:spacing w:line="240" w:lineRule="auto"/>
        <w:rPr>
          <w:rFonts w:asciiTheme="minorHAnsi" w:hAnsiTheme="minorHAnsi"/>
          <w:szCs w:val="22"/>
        </w:rPr>
      </w:pPr>
      <w:r w:rsidRPr="00F514E0">
        <w:rPr>
          <w:rFonts w:asciiTheme="minorHAnsi" w:hAnsiTheme="minorHAnsi"/>
          <w:szCs w:val="22"/>
        </w:rPr>
        <w:t>P</w:t>
      </w:r>
      <w:r>
        <w:rPr>
          <w:rFonts w:asciiTheme="minorHAnsi" w:hAnsiTheme="minorHAnsi"/>
          <w:szCs w:val="22"/>
        </w:rPr>
        <w:t xml:space="preserve">IA Form, </w:t>
      </w:r>
      <w:r w:rsidRPr="00F514E0">
        <w:rPr>
          <w:rFonts w:asciiTheme="minorHAnsi" w:hAnsiTheme="minorHAnsi"/>
          <w:szCs w:val="22"/>
        </w:rPr>
        <w:t>Privacy Module NSAT Annual Review</w:t>
      </w:r>
    </w:p>
    <w:p w:rsidR="009F2345" w:rsidP="00351C6D" w:rsidRDefault="009F2345" w14:paraId="4C542BA1" w14:textId="1B6FC77C">
      <w:pPr>
        <w:pStyle w:val="P1-StandPara"/>
        <w:numPr>
          <w:ilvl w:val="0"/>
          <w:numId w:val="15"/>
        </w:numPr>
        <w:tabs>
          <w:tab w:val="left" w:pos="720"/>
          <w:tab w:val="right" w:leader="dot" w:pos="9504"/>
        </w:tabs>
        <w:spacing w:line="240" w:lineRule="auto"/>
        <w:rPr>
          <w:rFonts w:asciiTheme="minorHAnsi" w:hAnsiTheme="minorHAnsi"/>
          <w:szCs w:val="22"/>
        </w:rPr>
      </w:pPr>
      <w:r w:rsidRPr="009F2345">
        <w:rPr>
          <w:rFonts w:asciiTheme="minorHAnsi" w:hAnsiTheme="minorHAnsi"/>
          <w:szCs w:val="22"/>
        </w:rPr>
        <w:t>Screening Questionnaire</w:t>
      </w:r>
    </w:p>
    <w:p w:rsidRPr="009F2345" w:rsidR="009F2345" w:rsidP="00351C6D" w:rsidRDefault="009F2345" w14:paraId="2A44A5F5" w14:textId="5BFA9DDE">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9F2345">
        <w:rPr>
          <w:rFonts w:asciiTheme="minorHAnsi" w:hAnsiTheme="minorHAnsi" w:cstheme="minorHAnsi"/>
        </w:rPr>
        <w:t>Building Access Form</w:t>
      </w:r>
    </w:p>
    <w:p w:rsidR="006A45F9" w:rsidP="003A5CB3" w:rsidRDefault="00376FBD" w14:paraId="605173DA" w14:textId="6167EDF6">
      <w:pPr>
        <w:pStyle w:val="P1-StandPara"/>
        <w:tabs>
          <w:tab w:val="left" w:pos="720"/>
          <w:tab w:val="right" w:leader="dot" w:pos="9504"/>
        </w:tabs>
        <w:spacing w:line="240" w:lineRule="auto"/>
        <w:ind w:firstLine="0"/>
        <w:rPr>
          <w:rFonts w:asciiTheme="minorHAnsi" w:hAnsiTheme="minorHAnsi"/>
          <w:b/>
          <w:szCs w:val="22"/>
        </w:rPr>
      </w:pPr>
      <w:r>
        <w:br w:type="page"/>
      </w:r>
      <w:r w:rsidRPr="00F514E0" w:rsidR="006A45F9">
        <w:rPr>
          <w:rFonts w:asciiTheme="minorHAnsi" w:hAnsiTheme="minorHAnsi"/>
          <w:b/>
          <w:szCs w:val="22"/>
        </w:rPr>
        <w:lastRenderedPageBreak/>
        <w:t xml:space="preserve">A. </w:t>
      </w:r>
      <w:r w:rsidR="00351C6D">
        <w:rPr>
          <w:rFonts w:asciiTheme="minorHAnsi" w:hAnsiTheme="minorHAnsi"/>
          <w:b/>
          <w:szCs w:val="22"/>
        </w:rPr>
        <w:t>ABSTRACT</w:t>
      </w:r>
    </w:p>
    <w:p w:rsidRPr="00F514E0" w:rsidR="00351C6D" w:rsidP="003A5CB3" w:rsidRDefault="00351C6D" w14:paraId="6B20D081" w14:textId="77777777">
      <w:pPr>
        <w:pStyle w:val="P1-StandPara"/>
        <w:tabs>
          <w:tab w:val="left" w:pos="720"/>
          <w:tab w:val="right" w:leader="dot" w:pos="9504"/>
        </w:tabs>
        <w:spacing w:line="240" w:lineRule="auto"/>
        <w:ind w:firstLine="0"/>
        <w:rPr>
          <w:rFonts w:asciiTheme="minorHAnsi" w:hAnsiTheme="minorHAnsi"/>
          <w:szCs w:val="22"/>
        </w:rPr>
      </w:pPr>
    </w:p>
    <w:p w:rsidR="00861ECB" w:rsidP="003A5CB3" w:rsidRDefault="007B386F" w14:paraId="4EFF8708" w14:textId="24E35228">
      <w:pPr>
        <w:pStyle w:val="ListParagraph"/>
        <w:spacing w:after="0" w:line="240" w:lineRule="auto"/>
        <w:ind w:left="0"/>
        <w:contextualSpacing w:val="0"/>
      </w:pPr>
      <w:r>
        <w:rPr>
          <w:rFonts w:eastAsia="Times New Roman"/>
        </w:rPr>
        <w:t xml:space="preserve">Executive Order 14043 </w:t>
      </w:r>
      <w:r w:rsidRPr="00E45C03">
        <w:rPr>
          <w:rFonts w:eastAsia="Times New Roman"/>
          <w:i/>
          <w:iCs/>
        </w:rPr>
        <w:t>Requiring Coronavirus Disease 2019 Vaccination for Federal Employees</w:t>
      </w:r>
      <w:r>
        <w:rPr>
          <w:rFonts w:eastAsia="Times New Roman"/>
        </w:rPr>
        <w:t xml:space="preserve"> requires </w:t>
      </w:r>
      <w:r w:rsidRPr="004F5346">
        <w:rPr>
          <w:rFonts w:eastAsia="Times New Roman"/>
        </w:rPr>
        <w:t>that each agency implement a program to require COVID-19 vaccination for all Federal employees</w:t>
      </w:r>
      <w:r>
        <w:rPr>
          <w:rFonts w:eastAsia="Times New Roman"/>
        </w:rPr>
        <w:t xml:space="preserve">. Executive Order 14042 </w:t>
      </w:r>
      <w:r w:rsidRPr="00E45C03">
        <w:rPr>
          <w:rFonts w:eastAsia="Times New Roman"/>
          <w:i/>
          <w:iCs/>
        </w:rPr>
        <w:t>Ensuring Adequate COVID Safety Protocols for Federal Contractors</w:t>
      </w:r>
      <w:r>
        <w:rPr>
          <w:rFonts w:eastAsia="Times New Roman"/>
        </w:rPr>
        <w:t xml:space="preserve"> </w:t>
      </w:r>
      <w:r w:rsidR="00FB4386">
        <w:rPr>
          <w:rFonts w:eastAsia="Times New Roman"/>
        </w:rPr>
        <w:t>requires that parties that contract with the Federal Government comply with guidance published by the Safer Federal Workforce Taskforce. Additionally, t</w:t>
      </w:r>
      <w:r w:rsidR="00861ECB">
        <w:rPr>
          <w:rFonts w:eastAsia="Times New Roman"/>
        </w:rPr>
        <w:t xml:space="preserve">he NIH now has a mandatory vaccination requirement that affects several thousand staff. We have been providing contractors, tenants, fellows and other staff access to testing and vaccines during this pandemic. </w:t>
      </w:r>
      <w:r w:rsidR="003E117A">
        <w:rPr>
          <w:rFonts w:eastAsia="Times New Roman"/>
        </w:rPr>
        <w:t xml:space="preserve">Due to the uncertainties of the pandemic and the need maintain a safe work environment, we are requesting approval of a </w:t>
      </w:r>
      <w:r w:rsidR="003716AF">
        <w:rPr>
          <w:rFonts w:eastAsia="Times New Roman"/>
        </w:rPr>
        <w:t>revision</w:t>
      </w:r>
      <w:r w:rsidR="003E117A">
        <w:rPr>
          <w:rFonts w:eastAsia="Times New Roman"/>
        </w:rPr>
        <w:t xml:space="preserve"> of this information collection for 3 years. </w:t>
      </w:r>
      <w:r w:rsidR="00861ECB">
        <w:rPr>
          <w:rFonts w:eastAsia="Times New Roman"/>
        </w:rPr>
        <w:t>The information to be collected is needed to ensure we have the vaccination details for our staff</w:t>
      </w:r>
      <w:r w:rsidR="00F514E0">
        <w:rPr>
          <w:rFonts w:eastAsia="Times New Roman"/>
        </w:rPr>
        <w:t xml:space="preserve"> (</w:t>
      </w:r>
      <w:r w:rsidR="004E0DE0">
        <w:rPr>
          <w:rFonts w:eastAsia="Times New Roman"/>
        </w:rPr>
        <w:t>e.g.</w:t>
      </w:r>
      <w:r w:rsidR="00C75860">
        <w:rPr>
          <w:rFonts w:eastAsia="Times New Roman"/>
        </w:rPr>
        <w:t>,</w:t>
      </w:r>
      <w:r w:rsidR="00F514E0">
        <w:rPr>
          <w:rFonts w:eastAsia="Times New Roman"/>
        </w:rPr>
        <w:t xml:space="preserve"> those providing </w:t>
      </w:r>
      <w:r w:rsidR="00F514E0">
        <w:t>essential services to the NIH via use agreements, visiting scientists, fellows and contractors,</w:t>
      </w:r>
      <w:r w:rsidRPr="00F514E0" w:rsidR="00F514E0">
        <w:t xml:space="preserve"> </w:t>
      </w:r>
      <w:r w:rsidR="00F514E0">
        <w:t>food service providers and our three separate childcare providers)</w:t>
      </w:r>
      <w:r w:rsidR="00861ECB">
        <w:rPr>
          <w:rFonts w:eastAsia="Times New Roman"/>
        </w:rPr>
        <w:t xml:space="preserve"> to </w:t>
      </w:r>
      <w:r w:rsidR="00404764">
        <w:rPr>
          <w:rFonts w:eastAsia="Times New Roman"/>
        </w:rPr>
        <w:t xml:space="preserve">comply with Executive Order 14042, Executive Order 14043, and U.S. Department of Health and Human Services’ (HHS) policy to mandate COVID-19 vaccinations for patient facing health care staff. </w:t>
      </w:r>
      <w:bookmarkStart w:name="_Hlk95811960" w:id="0"/>
      <w:r w:rsidRPr="00C00C7D" w:rsidR="00C00C7D">
        <w:rPr>
          <w:rFonts w:eastAsia="Times New Roman"/>
          <w:highlight w:val="yellow"/>
        </w:rPr>
        <w:t xml:space="preserve">This revision request includes two new forms as NIH is </w:t>
      </w:r>
      <w:r w:rsidRPr="00C00C7D" w:rsidR="00C00C7D">
        <w:rPr>
          <w:highlight w:val="yellow"/>
        </w:rPr>
        <w:t xml:space="preserve">implementing a building entry protocol </w:t>
      </w:r>
      <w:r w:rsidR="0057005F">
        <w:rPr>
          <w:highlight w:val="yellow"/>
        </w:rPr>
        <w:t xml:space="preserve">(Attachment 5) </w:t>
      </w:r>
      <w:r w:rsidRPr="00C00C7D" w:rsidR="00C00C7D">
        <w:rPr>
          <w:highlight w:val="yellow"/>
        </w:rPr>
        <w:t xml:space="preserve">where </w:t>
      </w:r>
      <w:r w:rsidR="008F05D0">
        <w:rPr>
          <w:highlight w:val="yellow"/>
        </w:rPr>
        <w:t xml:space="preserve">all </w:t>
      </w:r>
      <w:r w:rsidRPr="00C00C7D" w:rsidR="00C00C7D">
        <w:rPr>
          <w:highlight w:val="yellow"/>
        </w:rPr>
        <w:t>people, fed</w:t>
      </w:r>
      <w:r w:rsidR="008F05D0">
        <w:rPr>
          <w:highlight w:val="yellow"/>
        </w:rPr>
        <w:t>eral government employees</w:t>
      </w:r>
      <w:r w:rsidRPr="00C00C7D" w:rsidR="00C00C7D">
        <w:rPr>
          <w:highlight w:val="yellow"/>
        </w:rPr>
        <w:t xml:space="preserve">, contractors, patients, and visitors, will walk up to a door and scan a QR code with their phone and answer </w:t>
      </w:r>
      <w:r w:rsidR="00053A51">
        <w:rPr>
          <w:highlight w:val="yellow"/>
        </w:rPr>
        <w:t xml:space="preserve">screening </w:t>
      </w:r>
      <w:r w:rsidRPr="00C00C7D" w:rsidR="00C00C7D">
        <w:rPr>
          <w:highlight w:val="yellow"/>
        </w:rPr>
        <w:t xml:space="preserve">questions </w:t>
      </w:r>
      <w:r w:rsidR="00053A51">
        <w:rPr>
          <w:highlight w:val="yellow"/>
        </w:rPr>
        <w:t>(Attachment 4)</w:t>
      </w:r>
      <w:r w:rsidRPr="00C00C7D" w:rsidR="00C00C7D">
        <w:rPr>
          <w:highlight w:val="yellow"/>
        </w:rPr>
        <w:t>about Covid exposure every day.</w:t>
      </w:r>
    </w:p>
    <w:bookmarkEnd w:id="0"/>
    <w:p w:rsidR="00C00C7D" w:rsidP="003A5CB3" w:rsidRDefault="00C00C7D" w14:paraId="02FDD686" w14:textId="77777777">
      <w:pPr>
        <w:pStyle w:val="ListParagraph"/>
        <w:spacing w:after="0" w:line="240" w:lineRule="auto"/>
        <w:ind w:left="0"/>
        <w:contextualSpacing w:val="0"/>
        <w:rPr>
          <w:rFonts w:eastAsia="Times New Roman"/>
        </w:rPr>
      </w:pPr>
    </w:p>
    <w:p w:rsidRPr="006E05A8" w:rsidR="00976490" w:rsidP="003A5CB3" w:rsidRDefault="00976490" w14:paraId="4FF2901B" w14:textId="3BEC217D">
      <w:pPr>
        <w:pStyle w:val="P1-StandPara"/>
        <w:tabs>
          <w:tab w:val="left" w:pos="720"/>
          <w:tab w:val="right" w:leader="dot" w:pos="9504"/>
        </w:tabs>
        <w:spacing w:line="240" w:lineRule="auto"/>
        <w:ind w:firstLine="0"/>
        <w:rPr>
          <w:rFonts w:asciiTheme="minorHAnsi" w:hAnsiTheme="minorHAnsi"/>
          <w:b/>
          <w:szCs w:val="22"/>
          <w:u w:val="single"/>
        </w:rPr>
      </w:pPr>
    </w:p>
    <w:p w:rsidRPr="00E35DD1" w:rsidR="000F3043" w:rsidP="003A5CB3" w:rsidRDefault="000F3043" w14:paraId="278F4695" w14:textId="77777777">
      <w:pPr>
        <w:pStyle w:val="P1-StandPara"/>
        <w:tabs>
          <w:tab w:val="left" w:pos="720"/>
          <w:tab w:val="right" w:leader="dot" w:pos="9504"/>
        </w:tabs>
        <w:spacing w:line="240" w:lineRule="auto"/>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Pr="00F514E0" w:rsidR="0057750A" w:rsidP="003A5CB3" w:rsidRDefault="00496167" w14:paraId="762AF00C" w14:textId="339B53F3">
      <w:pPr>
        <w:spacing w:after="0" w:line="240" w:lineRule="auto"/>
        <w:rPr>
          <w:rFonts w:eastAsia="Times New Roman"/>
        </w:rPr>
      </w:pPr>
      <w:r w:rsidRPr="00F514E0">
        <w:rPr>
          <w:rFonts w:cstheme="minorHAnsi"/>
        </w:rPr>
        <w:t>The U.S. Office of Personnel Management (OPM) approved the U.S. Department of Health and Human Services’ (HHS) request for a variation to a strict application of 5 CFR 339.205 under 5 CFR.1 to promote the efficiency of the Government. Under this variation, HHS may use the authority under 5 CFR 339.205 to mandate COVID-19 vaccinations authorized under Emergency Use Authorizations (EUA) for its patient-facing health care personnel, including its health care applicants and employees, who work in Indian Health Service (IHS) medical facilities, National Institutes of Health (NIH) clinical research facilities, or other HHS facilities that provide direct patient care or clinical research.  In addition,</w:t>
      </w:r>
      <w:r w:rsidR="00FB4386">
        <w:rPr>
          <w:rFonts w:cstheme="minorHAnsi"/>
        </w:rPr>
        <w:t xml:space="preserve"> Executive Order 14043 instructed Federal Agencies to implement a program to require COVID-19 vaccination of </w:t>
      </w:r>
      <w:r w:rsidR="00561F9B">
        <w:rPr>
          <w:rFonts w:cstheme="minorHAnsi"/>
        </w:rPr>
        <w:t>all</w:t>
      </w:r>
      <w:r w:rsidR="00FB4386">
        <w:rPr>
          <w:rFonts w:cstheme="minorHAnsi"/>
        </w:rPr>
        <w:t xml:space="preserve"> its Federal employees, with exceptions only required by law. Executive Order 14042 requires Federal Agencies to ensure that contracts and contract-like instruments include a clause to require the contractor to comply with all </w:t>
      </w:r>
      <w:r w:rsidR="00F82C60">
        <w:rPr>
          <w:rFonts w:cstheme="minorHAnsi"/>
        </w:rPr>
        <w:t xml:space="preserve">applicable guidance published by </w:t>
      </w:r>
      <w:r w:rsidRPr="00F514E0">
        <w:rPr>
          <w:rFonts w:cstheme="minorHAnsi"/>
        </w:rPr>
        <w:t>the Safer Federal Workforce Task Force created by President Biden’s Executive Order 13991. The NIH now has a COVID-19 vaccination requirement for those with patient contact, or probable patient contact</w:t>
      </w:r>
      <w:r w:rsidRPr="00F514E0" w:rsidR="003976BE">
        <w:rPr>
          <w:rFonts w:cstheme="minorHAnsi"/>
        </w:rPr>
        <w:t>, and all persons working in Building 10 on the Bethesda campus</w:t>
      </w:r>
      <w:r w:rsidRPr="00F514E0">
        <w:rPr>
          <w:rFonts w:cstheme="minorHAnsi"/>
        </w:rPr>
        <w:t>. The proposed information collection will be used to ensure compliance with the</w:t>
      </w:r>
      <w:r w:rsidRPr="00F514E0" w:rsidR="003976BE">
        <w:rPr>
          <w:rFonts w:cstheme="minorHAnsi"/>
        </w:rPr>
        <w:t xml:space="preserve"> mandatory vaccine policies</w:t>
      </w:r>
      <w:r w:rsidRPr="00F514E0">
        <w:rPr>
          <w:rFonts w:cstheme="minorHAnsi"/>
        </w:rPr>
        <w:t xml:space="preserve">. </w:t>
      </w:r>
    </w:p>
    <w:p w:rsidRPr="00C00C7D" w:rsidR="003A5CB3" w:rsidP="003A5CB3" w:rsidRDefault="00496167" w14:paraId="07F3AE00" w14:textId="72E9A707">
      <w:pPr>
        <w:spacing w:after="0" w:line="240" w:lineRule="auto"/>
        <w:rPr>
          <w:rFonts w:cstheme="minorHAnsi"/>
        </w:rPr>
      </w:pPr>
      <w:r>
        <w:rPr>
          <w:rFonts w:cstheme="minorHAnsi"/>
        </w:rPr>
        <w:br/>
      </w:r>
      <w:r w:rsidRPr="00C00C7D" w:rsidR="002B1F01">
        <w:rPr>
          <w:rFonts w:cstheme="minorHAnsi"/>
        </w:rPr>
        <w:t xml:space="preserve">The purpose of the information collection </w:t>
      </w:r>
      <w:r w:rsidR="008F05D0">
        <w:rPr>
          <w:rFonts w:cstheme="minorHAnsi"/>
        </w:rPr>
        <w:t xml:space="preserve">will continue </w:t>
      </w:r>
      <w:r w:rsidRPr="00C00C7D" w:rsidR="002B1F01">
        <w:rPr>
          <w:rFonts w:cstheme="minorHAnsi"/>
        </w:rPr>
        <w:t xml:space="preserve">to </w:t>
      </w:r>
      <w:r w:rsidRPr="00C00C7D" w:rsidR="00464781">
        <w:t xml:space="preserve">ensure the safety of the Federal workplace consistent with </w:t>
      </w:r>
      <w:hyperlink w:history="1" r:id="rId12">
        <w:r w:rsidRPr="00C00C7D" w:rsidR="00464781">
          <w:rPr>
            <w:rStyle w:val="Hyperlink"/>
            <w:color w:val="auto"/>
            <w:spacing w:val="-1"/>
          </w:rPr>
          <w:t xml:space="preserve">Executive Order </w:t>
        </w:r>
        <w:r w:rsidRPr="00C00C7D" w:rsidR="00464781">
          <w:rPr>
            <w:rStyle w:val="Hyperlink"/>
            <w:color w:val="auto"/>
          </w:rPr>
          <w:t>14042</w:t>
        </w:r>
        <w:r w:rsidRPr="00C00C7D" w:rsidR="00464781">
          <w:rPr>
            <w:rStyle w:val="Hyperlink"/>
            <w:color w:val="auto"/>
            <w:spacing w:val="-1"/>
          </w:rPr>
          <w:t xml:space="preserve"> Ensuring Adequate COVID Safety Protocols for Federal Contractors</w:t>
        </w:r>
      </w:hyperlink>
      <w:r w:rsidRPr="00C00C7D" w:rsidR="00464781">
        <w:rPr>
          <w:spacing w:val="-1"/>
        </w:rPr>
        <w:t>,</w:t>
      </w:r>
      <w:hyperlink w:history="1" r:id="rId13">
        <w:r w:rsidRPr="00C00C7D" w:rsidR="00464781">
          <w:rPr>
            <w:rStyle w:val="Hyperlink"/>
            <w:color w:val="auto"/>
            <w:spacing w:val="-1"/>
          </w:rPr>
          <w:t xml:space="preserve"> </w:t>
        </w:r>
        <w:r w:rsidRPr="00C00C7D" w:rsidR="00464781">
          <w:rPr>
            <w:rStyle w:val="Hyperlink"/>
            <w:color w:val="auto"/>
          </w:rPr>
          <w:t>Executive Order 14043 Requiring Coronavirus Disease 2019 Vaccination for Federal Employees</w:t>
        </w:r>
      </w:hyperlink>
      <w:r w:rsidRPr="00C00C7D" w:rsidR="00464781">
        <w:t xml:space="preserve">, the COVID-19 Workplace Safety: Agency Model Safety Principles established by the Safer Federal Workforce Task Force, </w:t>
      </w:r>
      <w:r w:rsidRPr="00C00C7D" w:rsidR="00464781">
        <w:rPr>
          <w:rFonts w:cstheme="minorHAnsi"/>
        </w:rPr>
        <w:t xml:space="preserve">and guidance from the Centers for Disease Control and Prevention (CDC) and the Occupational Safety and Health Administration (OSHA). </w:t>
      </w:r>
      <w:bookmarkStart w:name="_Hlk85033608" w:id="1"/>
      <w:r w:rsidRPr="00C00C7D" w:rsidR="007E1FD1">
        <w:rPr>
          <w:rFonts w:cstheme="minorHAnsi"/>
          <w:color w:val="FF0000"/>
        </w:rPr>
        <w:br/>
      </w:r>
      <w:bookmarkEnd w:id="1"/>
    </w:p>
    <w:p w:rsidRPr="002B1F01" w:rsidR="002B1F01" w:rsidP="003A5CB3" w:rsidRDefault="002B1F01" w14:paraId="74930CBB" w14:textId="1E92FCA9">
      <w:pPr>
        <w:spacing w:after="0" w:line="240" w:lineRule="auto"/>
        <w:rPr>
          <w:rFonts w:cstheme="minorHAnsi"/>
        </w:rPr>
      </w:pPr>
      <w:r w:rsidRPr="002B1F01">
        <w:rPr>
          <w:rFonts w:cstheme="minorHAnsi"/>
        </w:rPr>
        <w:t xml:space="preserve">Authority: </w:t>
      </w:r>
      <w:bookmarkStart w:name="_Hlk82615082" w:id="2"/>
      <w:r w:rsidR="00F82C60">
        <w:rPr>
          <w:rFonts w:cstheme="minorHAnsi"/>
        </w:rPr>
        <w:t>Executive Order 14042; Executive Order 14043</w:t>
      </w:r>
      <w:bookmarkEnd w:id="2"/>
      <w:r w:rsidR="00F82C60">
        <w:rPr>
          <w:rFonts w:cstheme="minorHAnsi"/>
        </w:rPr>
        <w:t>; and</w:t>
      </w:r>
      <w:r w:rsidRPr="002B1F01">
        <w:rPr>
          <w:rFonts w:cstheme="minorHAnsi"/>
        </w:rPr>
        <w:t xml:space="preserve"> </w:t>
      </w:r>
      <w:r w:rsidR="00F82C60">
        <w:rPr>
          <w:rFonts w:cstheme="minorHAnsi"/>
        </w:rPr>
        <w:t xml:space="preserve">pursuant to </w:t>
      </w:r>
      <w:r w:rsidRPr="002B1F01">
        <w:rPr>
          <w:rFonts w:cstheme="minorHAnsi"/>
        </w:rPr>
        <w:t xml:space="preserve">5 C.F.R. § 339.205, OPM authorizes agencies to establish immunization programs for employees who are exposed to significant health or safety risks by nature of their work. For contractors, trainees, and volunteers, HHS has adequate authority to impose these vaccination requirements.  NIH policy “Mandatory COVID-19 Immunization for NIH Staff who have Patient Contact.” </w:t>
      </w:r>
      <w:r w:rsidRPr="002B1F01">
        <w:rPr>
          <w:rFonts w:eastAsia="Times New Roman" w:cstheme="minorHAnsi"/>
        </w:rPr>
        <w:t xml:space="preserve"> The legal authority to operate and maintain </w:t>
      </w:r>
      <w:r w:rsidR="00496167">
        <w:rPr>
          <w:rFonts w:eastAsia="Times New Roman" w:cstheme="minorHAnsi"/>
        </w:rPr>
        <w:t>a</w:t>
      </w:r>
      <w:r w:rsidRPr="002B1F01">
        <w:rPr>
          <w:rFonts w:eastAsia="Times New Roman" w:cstheme="minorHAnsi"/>
        </w:rPr>
        <w:t xml:space="preserve"> Privacy Act System of </w:t>
      </w:r>
      <w:r w:rsidRPr="002B1F01">
        <w:rPr>
          <w:rFonts w:eastAsia="Times New Roman" w:cstheme="minorHAnsi"/>
        </w:rPr>
        <w:lastRenderedPageBreak/>
        <w:t>Records is 42 U.S.C. 241 and 5 U.S.C. 7902.</w:t>
      </w:r>
      <w:r w:rsidR="007E1FD1">
        <w:rPr>
          <w:rFonts w:cstheme="minorHAnsi"/>
        </w:rPr>
        <w:br/>
      </w:r>
    </w:p>
    <w:p w:rsidRPr="00714BFA" w:rsidR="000F3043" w:rsidP="003A5CB3" w:rsidRDefault="000F3043" w14:paraId="6713C5AA" w14:textId="77777777">
      <w:pPr>
        <w:pStyle w:val="Heading2"/>
        <w:spacing w:before="0"/>
        <w:rPr>
          <w:rFonts w:asciiTheme="minorHAnsi" w:hAnsiTheme="minorHAnsi" w:cstheme="minorHAnsi"/>
          <w:b/>
          <w:color w:val="auto"/>
          <w:sz w:val="22"/>
          <w:szCs w:val="22"/>
        </w:rPr>
      </w:pPr>
      <w:bookmarkStart w:name="_Toc443881743" w:id="3"/>
      <w:bookmarkStart w:name="_Toc451592232" w:id="4"/>
      <w:bookmarkStart w:name="_Toc5610273" w:id="5"/>
      <w:bookmarkStart w:name="_Toc99178779" w:id="6"/>
      <w:r w:rsidRPr="00714BFA">
        <w:rPr>
          <w:rFonts w:asciiTheme="minorHAnsi" w:hAnsiTheme="minorHAnsi" w:cstheme="minorHAnsi"/>
          <w:b/>
          <w:color w:val="auto"/>
          <w:sz w:val="22"/>
          <w:szCs w:val="22"/>
        </w:rPr>
        <w:t>A.2    Purpose and Use of the Information</w:t>
      </w:r>
      <w:bookmarkEnd w:id="3"/>
      <w:bookmarkEnd w:id="4"/>
      <w:bookmarkEnd w:id="5"/>
      <w:bookmarkEnd w:id="6"/>
      <w:r w:rsidRPr="00714BFA">
        <w:rPr>
          <w:rFonts w:asciiTheme="minorHAnsi" w:hAnsiTheme="minorHAnsi" w:cstheme="minorHAnsi"/>
          <w:b/>
          <w:color w:val="auto"/>
          <w:sz w:val="22"/>
          <w:szCs w:val="22"/>
        </w:rPr>
        <w:t xml:space="preserve"> Collection</w:t>
      </w:r>
    </w:p>
    <w:p w:rsidR="00847B61" w:rsidP="003A5CB3" w:rsidRDefault="00BF20EF" w14:paraId="70FE4D90" w14:textId="78F8945B">
      <w:pPr>
        <w:spacing w:after="0" w:line="240" w:lineRule="auto"/>
        <w:rPr>
          <w:rFonts w:cstheme="minorHAnsi"/>
        </w:rPr>
      </w:pPr>
      <w:r w:rsidRPr="00C00C7D">
        <w:rPr>
          <w:rFonts w:cstheme="minorHAnsi"/>
        </w:rPr>
        <w:t xml:space="preserve">The NIH is collecting COVID-19 vaccination </w:t>
      </w:r>
      <w:r w:rsidRPr="00C00C7D" w:rsidR="00F82C60">
        <w:rPr>
          <w:rFonts w:cstheme="minorHAnsi"/>
        </w:rPr>
        <w:t xml:space="preserve">status </w:t>
      </w:r>
      <w:r w:rsidRPr="00C00C7D" w:rsidR="00681C03">
        <w:rPr>
          <w:rFonts w:cstheme="minorHAnsi"/>
        </w:rPr>
        <w:t>from all per</w:t>
      </w:r>
      <w:r w:rsidRPr="00C00C7D" w:rsidR="00BB22F4">
        <w:rPr>
          <w:rFonts w:cstheme="minorHAnsi"/>
        </w:rPr>
        <w:t>sonnel to</w:t>
      </w:r>
      <w:r w:rsidRPr="00C00C7D" w:rsidR="007E1FD1">
        <w:rPr>
          <w:rFonts w:cstheme="minorHAnsi"/>
        </w:rPr>
        <w:t xml:space="preserve"> comply</w:t>
      </w:r>
      <w:r w:rsidRPr="00C00C7D" w:rsidR="00BB22F4">
        <w:rPr>
          <w:rFonts w:cstheme="minorHAnsi"/>
        </w:rPr>
        <w:t xml:space="preserve"> </w:t>
      </w:r>
      <w:r w:rsidRPr="00C00C7D" w:rsidR="007E1FD1">
        <w:t xml:space="preserve">with vaccination requirements in the authorities above, generate the list of persons required to be tested on a routine basis, and gather important information regarding safety frameworks, guidance, and procedures.  </w:t>
      </w:r>
      <w:r w:rsidRPr="00C00C7D" w:rsidR="003976BE">
        <w:rPr>
          <w:rFonts w:cstheme="minorHAnsi"/>
        </w:rPr>
        <w:t>Additionally, COVID-19 v</w:t>
      </w:r>
      <w:r w:rsidRPr="00C00C7D" w:rsidR="00BB22F4">
        <w:t>accination is mandated</w:t>
      </w:r>
      <w:r w:rsidRPr="00C00C7D" w:rsidR="003976BE">
        <w:t xml:space="preserve"> NIH-wide</w:t>
      </w:r>
      <w:r w:rsidRPr="00C00C7D" w:rsidR="00BB22F4">
        <w:t xml:space="preserve"> for patient</w:t>
      </w:r>
      <w:r w:rsidRPr="00C00C7D" w:rsidR="005E2A73">
        <w:t>-</w:t>
      </w:r>
      <w:r w:rsidRPr="00C00C7D" w:rsidR="00BB22F4">
        <w:t xml:space="preserve">facing staff and those that may come in to contact with patients, as well as anyone working in </w:t>
      </w:r>
      <w:r w:rsidRPr="00C00C7D" w:rsidR="002E7A78">
        <w:rPr>
          <w:rFonts w:cstheme="minorHAnsi"/>
        </w:rPr>
        <w:t xml:space="preserve">Building 10 on the NIH campus. </w:t>
      </w:r>
      <w:r w:rsidRPr="00C00C7D" w:rsidR="002E7A78">
        <w:rPr>
          <w:rFonts w:cstheme="minorHAnsi"/>
          <w:color w:val="000000" w:themeColor="text1"/>
        </w:rPr>
        <w:t xml:space="preserve">Responses to the </w:t>
      </w:r>
      <w:r w:rsidRPr="00C00C7D" w:rsidR="002E7A78">
        <w:rPr>
          <w:rFonts w:cstheme="minorHAnsi"/>
        </w:rPr>
        <w:t xml:space="preserve">NIH COVID-19 Vaccination </w:t>
      </w:r>
      <w:r w:rsidRPr="00C00C7D" w:rsidR="00F82C60">
        <w:rPr>
          <w:rFonts w:cstheme="minorHAnsi"/>
        </w:rPr>
        <w:t xml:space="preserve">Status </w:t>
      </w:r>
      <w:r w:rsidRPr="00C00C7D" w:rsidR="005E2A73">
        <w:rPr>
          <w:rFonts w:cstheme="minorHAnsi"/>
        </w:rPr>
        <w:t>F</w:t>
      </w:r>
      <w:r w:rsidRPr="00C00C7D" w:rsidR="002E7A78">
        <w:rPr>
          <w:rFonts w:cstheme="minorHAnsi"/>
        </w:rPr>
        <w:t xml:space="preserve">orm </w:t>
      </w:r>
      <w:r w:rsidR="00D95C25">
        <w:rPr>
          <w:rFonts w:cstheme="minorHAnsi"/>
        </w:rPr>
        <w:t>(Attachment 1) (</w:t>
      </w:r>
      <w:r w:rsidRPr="00C00C7D" w:rsidR="002E7A78">
        <w:rPr>
          <w:rFonts w:cstheme="minorHAnsi"/>
        </w:rPr>
        <w:t xml:space="preserve">will be submitted electronically through the </w:t>
      </w:r>
      <w:r w:rsidRPr="00C00C7D" w:rsidR="002E7A78">
        <w:rPr>
          <w:rFonts w:cstheme="minorHAnsi"/>
          <w:color w:val="000000" w:themeColor="text1"/>
        </w:rPr>
        <w:t xml:space="preserve">REDCap System </w:t>
      </w:r>
      <w:r w:rsidRPr="00C00C7D" w:rsidR="002E7A78">
        <w:rPr>
          <w:rFonts w:cstheme="minorHAnsi"/>
          <w:shd w:val="clear" w:color="auto" w:fill="FFFFFF"/>
        </w:rPr>
        <w:t xml:space="preserve">(Research Electronic Data Capture). </w:t>
      </w:r>
      <w:r w:rsidRPr="00C00C7D" w:rsidR="002E7A78">
        <w:rPr>
          <w:rFonts w:cstheme="minorHAnsi"/>
        </w:rPr>
        <w:t xml:space="preserve">The Personally Identifiable Information (PII) about the individual will be stored in the </w:t>
      </w:r>
      <w:r w:rsidRPr="00C00C7D" w:rsidR="00904A91">
        <w:rPr>
          <w:rFonts w:cstheme="minorHAnsi"/>
        </w:rPr>
        <w:t>Occupational Medical Service COVID Response Case Management System (OMS CMS)</w:t>
      </w:r>
      <w:r w:rsidRPr="00C00C7D" w:rsidR="002E7A78">
        <w:rPr>
          <w:rFonts w:cstheme="minorHAnsi"/>
        </w:rPr>
        <w:t xml:space="preserve">. </w:t>
      </w:r>
      <w:r w:rsidRPr="00C00C7D" w:rsidR="003976BE">
        <w:rPr>
          <w:rFonts w:cstheme="minorHAnsi"/>
        </w:rPr>
        <w:t xml:space="preserve">This </w:t>
      </w:r>
      <w:r w:rsidRPr="00C00C7D" w:rsidR="005E2A73">
        <w:rPr>
          <w:rFonts w:cstheme="minorHAnsi"/>
        </w:rPr>
        <w:t xml:space="preserve">form </w:t>
      </w:r>
      <w:r w:rsidRPr="00C00C7D" w:rsidR="003976BE">
        <w:rPr>
          <w:rFonts w:cstheme="minorHAnsi"/>
        </w:rPr>
        <w:t xml:space="preserve">will be used for existing staff, as well as newly onboarded staff </w:t>
      </w:r>
      <w:r w:rsidRPr="00C00C7D" w:rsidR="002F2420">
        <w:rPr>
          <w:rFonts w:cstheme="minorHAnsi"/>
        </w:rPr>
        <w:t>for the duration of the Executive Order</w:t>
      </w:r>
      <w:r w:rsidRPr="00C00C7D" w:rsidR="003976BE">
        <w:rPr>
          <w:rFonts w:cstheme="minorHAnsi"/>
        </w:rPr>
        <w:t xml:space="preserve">. </w:t>
      </w:r>
      <w:r w:rsidRPr="00C00C7D" w:rsidR="002E7A78">
        <w:rPr>
          <w:rFonts w:cstheme="minorHAnsi"/>
        </w:rPr>
        <w:t xml:space="preserve">This information will be maintained </w:t>
      </w:r>
      <w:r w:rsidRPr="00C00C7D" w:rsidR="00565EF4">
        <w:rPr>
          <w:rFonts w:cstheme="minorHAnsi"/>
        </w:rPr>
        <w:t xml:space="preserve">for the duration of employment plus 30 years to comply with </w:t>
      </w:r>
      <w:r w:rsidRPr="00C00C7D" w:rsidR="00904A91">
        <w:rPr>
          <w:rFonts w:cstheme="minorHAnsi"/>
        </w:rPr>
        <w:t>OSHA</w:t>
      </w:r>
      <w:r w:rsidRPr="00C00C7D" w:rsidR="00565EF4">
        <w:rPr>
          <w:rFonts w:cstheme="minorHAnsi"/>
        </w:rPr>
        <w:t xml:space="preserve"> requirements for medical records.</w:t>
      </w:r>
    </w:p>
    <w:p w:rsidR="00847B61" w:rsidP="003A5CB3" w:rsidRDefault="00847B61" w14:paraId="000C8B39" w14:textId="77777777">
      <w:pPr>
        <w:spacing w:after="0" w:line="240" w:lineRule="auto"/>
        <w:rPr>
          <w:rFonts w:cstheme="minorHAnsi"/>
        </w:rPr>
      </w:pPr>
    </w:p>
    <w:p w:rsidRPr="009F2345" w:rsidR="00847B61" w:rsidP="00847B61" w:rsidRDefault="00847B61" w14:paraId="37A3A0D7" w14:textId="77777777">
      <w:pPr>
        <w:spacing w:after="0" w:line="240" w:lineRule="auto"/>
        <w:rPr>
          <w:highlight w:val="yellow"/>
        </w:rPr>
      </w:pPr>
      <w:r w:rsidRPr="009F2345">
        <w:rPr>
          <w:highlight w:val="yellow"/>
        </w:rPr>
        <w:t>Beginning soon, all non-patient NIH visitors will be required to attest to their vaccination status. This will be occurring at all NIH-owned facilities and certain leased facilities. All visitors who are not fully vaccinated must provide proof of a negative COVID-19 test result within the last 72 hours.</w:t>
      </w:r>
    </w:p>
    <w:p w:rsidRPr="009F2345" w:rsidR="00847B61" w:rsidP="00847B61" w:rsidRDefault="00847B61" w14:paraId="1B5E39F7" w14:textId="77777777">
      <w:pPr>
        <w:spacing w:after="0" w:line="240" w:lineRule="auto"/>
        <w:rPr>
          <w:highlight w:val="yellow"/>
        </w:rPr>
      </w:pPr>
    </w:p>
    <w:p w:rsidR="00847B61" w:rsidP="00847B61" w:rsidRDefault="00847B61" w14:paraId="08E274C0" w14:textId="77777777">
      <w:pPr>
        <w:spacing w:after="0" w:line="240" w:lineRule="auto"/>
      </w:pPr>
      <w:r w:rsidRPr="009F2345">
        <w:rPr>
          <w:highlight w:val="yellow"/>
        </w:rPr>
        <w:t>Contractors will be encouraged to upload proof of vaccination to OMS (</w:t>
      </w:r>
      <w:hyperlink w:history="1" r:id="rId14">
        <w:r w:rsidRPr="009F2345">
          <w:rPr>
            <w:rStyle w:val="Hyperlink"/>
            <w:highlight w:val="yellow"/>
          </w:rPr>
          <w:t>https://go.usa.gov/xtBUg</w:t>
        </w:r>
      </w:hyperlink>
      <w:r w:rsidRPr="009F2345">
        <w:rPr>
          <w:highlight w:val="yellow"/>
        </w:rPr>
        <w:t>). Once OMB approval is granted, NIH will begin the process of deactivating PIV card physical access privileges for contractors who elect not to upload proof of vaccination. Those individuals will need to enter through an NIH visitor entrance where they will be required to verbally attest to their primary vaccination status. If a contractor reports they are unvaccinated or partially vaccinated or chooses not to report their vaccination status, they will be required to provide a physical or digital negative COVID-19 test result within the last 72 hours to gain access to the facility.</w:t>
      </w:r>
    </w:p>
    <w:p w:rsidRPr="00C00C7D" w:rsidR="007A7C37" w:rsidP="003A5CB3" w:rsidRDefault="00904A91" w14:paraId="68B4745F" w14:textId="72A5B02E">
      <w:pPr>
        <w:spacing w:after="0" w:line="240" w:lineRule="auto"/>
        <w:rPr>
          <w:color w:val="FF0000"/>
        </w:rPr>
      </w:pPr>
      <w:r w:rsidRPr="00C00C7D">
        <w:br/>
      </w:r>
    </w:p>
    <w:p w:rsidRPr="00E35DD1" w:rsidR="00A00CF8" w:rsidP="003A5CB3" w:rsidRDefault="00A00CF8" w14:paraId="771476A4" w14:textId="77777777">
      <w:pPr>
        <w:spacing w:after="0" w:line="240" w:lineRule="auto"/>
        <w:rPr>
          <w:b/>
          <w:color w:val="000000" w:themeColor="text1"/>
        </w:rPr>
      </w:pPr>
      <w:r w:rsidRPr="00E35DD1">
        <w:rPr>
          <w:b/>
          <w:color w:val="000000" w:themeColor="text1"/>
        </w:rPr>
        <w:t>A.3     Use of Information Technology and Burden Reduction</w:t>
      </w:r>
    </w:p>
    <w:p w:rsidR="003A5CB3" w:rsidP="003A5CB3" w:rsidRDefault="003A34E5" w14:paraId="79568DAF" w14:textId="46B2EA37">
      <w:pPr>
        <w:spacing w:after="0" w:line="240" w:lineRule="auto"/>
        <w:rPr>
          <w:rFonts w:cstheme="minorHAnsi"/>
          <w:shd w:val="clear" w:color="auto" w:fill="FFFFFF"/>
        </w:rPr>
      </w:pPr>
      <w:r w:rsidRPr="00825C55">
        <w:rPr>
          <w:rFonts w:cstheme="minorHAnsi"/>
          <w:color w:val="000000" w:themeColor="text1"/>
        </w:rPr>
        <w:t xml:space="preserve">Responses to the </w:t>
      </w:r>
      <w:r w:rsidR="00904A91">
        <w:rPr>
          <w:rFonts w:cstheme="minorHAnsi"/>
        </w:rPr>
        <w:t>NIH</w:t>
      </w:r>
      <w:r w:rsidRPr="00825C55">
        <w:rPr>
          <w:rFonts w:cstheme="minorHAnsi"/>
        </w:rPr>
        <w:t xml:space="preserve">-COVID-19 Vaccination Status </w:t>
      </w:r>
      <w:r w:rsidR="004A5A24">
        <w:rPr>
          <w:rFonts w:cstheme="minorHAnsi"/>
        </w:rPr>
        <w:t>F</w:t>
      </w:r>
      <w:r w:rsidRPr="00825C55">
        <w:rPr>
          <w:rFonts w:cstheme="minorHAnsi"/>
        </w:rPr>
        <w:t xml:space="preserve">orm are submitted electronically through the </w:t>
      </w:r>
      <w:r w:rsidRPr="00825C55" w:rsidR="00F505D5">
        <w:rPr>
          <w:rFonts w:cstheme="minorHAnsi"/>
          <w:color w:val="000000" w:themeColor="text1"/>
        </w:rPr>
        <w:t xml:space="preserve">REDCap System </w:t>
      </w:r>
      <w:r w:rsidRPr="00825C55" w:rsidR="00F505D5">
        <w:rPr>
          <w:rFonts w:cstheme="minorHAnsi"/>
          <w:shd w:val="clear" w:color="auto" w:fill="FFFFFF"/>
        </w:rPr>
        <w:t>(Research Electronic Data Capture)</w:t>
      </w:r>
      <w:r w:rsidR="00BA3B0B">
        <w:rPr>
          <w:rFonts w:cstheme="minorHAnsi"/>
          <w:shd w:val="clear" w:color="auto" w:fill="FFFFFF"/>
        </w:rPr>
        <w:t xml:space="preserve"> see attachment 2</w:t>
      </w:r>
      <w:r w:rsidRPr="00825C55">
        <w:rPr>
          <w:rFonts w:cstheme="minorHAnsi"/>
          <w:shd w:val="clear" w:color="auto" w:fill="FFFFFF"/>
        </w:rPr>
        <w:t>. REDCap</w:t>
      </w:r>
      <w:r w:rsidRPr="00825C55" w:rsidR="00F505D5">
        <w:rPr>
          <w:rFonts w:cstheme="minorHAnsi"/>
          <w:shd w:val="clear" w:color="auto" w:fill="FFFFFF"/>
        </w:rPr>
        <w:t xml:space="preserve"> is a secure web application for building and managing research databases and online surveys.</w:t>
      </w:r>
      <w:r w:rsidRPr="00825C55">
        <w:rPr>
          <w:rFonts w:cstheme="minorHAnsi"/>
          <w:shd w:val="clear" w:color="auto" w:fill="FFFFFF"/>
        </w:rPr>
        <w:t xml:space="preserve"> Using the online REDCap system reduces the time and burden for respondents in comparison to using a paper-based collection. </w:t>
      </w:r>
      <w:r w:rsidRPr="00825C55" w:rsidR="00825C55">
        <w:rPr>
          <w:rFonts w:cstheme="minorHAnsi"/>
          <w:shd w:val="clear" w:color="auto" w:fill="FFFFFF"/>
        </w:rPr>
        <w:t xml:space="preserve">NIH </w:t>
      </w:r>
      <w:r w:rsidRPr="00825C55" w:rsidR="00A00CF8">
        <w:rPr>
          <w:rFonts w:cstheme="minorHAnsi"/>
          <w:color w:val="000000" w:themeColor="text1"/>
        </w:rPr>
        <w:t xml:space="preserve">Privacy Impact Assessment (PIA) </w:t>
      </w:r>
      <w:bookmarkStart w:name="_Hlk80643223" w:id="7"/>
      <w:bookmarkStart w:name="OLE_LINK1" w:id="8"/>
      <w:r w:rsidRPr="00825C55" w:rsidR="00825C55">
        <w:rPr>
          <w:rFonts w:cstheme="minorHAnsi"/>
          <w:shd w:val="clear" w:color="auto" w:fill="FFFFFF"/>
        </w:rPr>
        <w:t>BTRIS: REDCap P-8609195-310411</w:t>
      </w:r>
      <w:bookmarkEnd w:id="7"/>
      <w:bookmarkEnd w:id="8"/>
      <w:r w:rsidR="001976E6">
        <w:rPr>
          <w:rFonts w:cstheme="minorHAnsi"/>
          <w:shd w:val="clear" w:color="auto" w:fill="FFFFFF"/>
        </w:rPr>
        <w:t xml:space="preserve"> see attachment 3</w:t>
      </w:r>
      <w:r w:rsidR="003A5CB3">
        <w:rPr>
          <w:rFonts w:cstheme="minorHAnsi"/>
          <w:shd w:val="clear" w:color="auto" w:fill="FFFFFF"/>
        </w:rPr>
        <w:t>.</w:t>
      </w:r>
    </w:p>
    <w:p w:rsidR="00825C55" w:rsidP="003A5CB3" w:rsidRDefault="003A5CB3" w14:paraId="1372116B" w14:textId="642EFAC0">
      <w:pPr>
        <w:spacing w:after="0" w:line="240" w:lineRule="auto"/>
        <w:rPr>
          <w:rFonts w:cstheme="minorHAnsi"/>
          <w:shd w:val="clear" w:color="auto" w:fill="FFFFFF"/>
        </w:rPr>
      </w:pPr>
      <w:r>
        <w:rPr>
          <w:rFonts w:cstheme="minorHAnsi"/>
          <w:shd w:val="clear" w:color="auto" w:fill="FFFFFF"/>
        </w:rPr>
        <w:t xml:space="preserve"> </w:t>
      </w:r>
    </w:p>
    <w:p w:rsidRPr="00AA14EA" w:rsidR="000D75E0" w:rsidP="003A5CB3" w:rsidRDefault="00AA14EA" w14:paraId="7CAE26FE" w14:textId="4197429C">
      <w:pPr>
        <w:spacing w:after="0" w:line="240" w:lineRule="auto"/>
        <w:rPr>
          <w:rFonts w:cstheme="minorHAnsi"/>
        </w:rPr>
      </w:pPr>
      <w:bookmarkStart w:name="_Hlk80192840" w:id="9"/>
      <w:r w:rsidRPr="00AA14EA">
        <w:rPr>
          <w:rFonts w:cstheme="minorHAnsi"/>
        </w:rPr>
        <w:t xml:space="preserve">The Personally Identifiable Information (PII) about the individual will be stored in the </w:t>
      </w:r>
      <w:r w:rsidR="00904A91">
        <w:rPr>
          <w:rFonts w:cstheme="minorHAnsi"/>
        </w:rPr>
        <w:t>OMS CMS</w:t>
      </w:r>
      <w:r w:rsidRPr="00AA14EA" w:rsidR="000D75E0">
        <w:rPr>
          <w:rFonts w:cstheme="minorHAnsi"/>
        </w:rPr>
        <w:t xml:space="preserve">. The OMS </w:t>
      </w:r>
      <w:r w:rsidR="00904A91">
        <w:rPr>
          <w:rFonts w:cstheme="minorHAnsi"/>
        </w:rPr>
        <w:t>CMS</w:t>
      </w:r>
      <w:r w:rsidRPr="00AA14EA" w:rsidR="00904A91">
        <w:rPr>
          <w:rFonts w:cstheme="minorHAnsi"/>
        </w:rPr>
        <w:t xml:space="preserve"> </w:t>
      </w:r>
      <w:r w:rsidRPr="00AA14EA" w:rsidR="000D75E0">
        <w:rPr>
          <w:rFonts w:cstheme="minorHAnsi"/>
        </w:rPr>
        <w:t>is a government application hosted on internal servers operated by the Office of Research Services</w:t>
      </w:r>
      <w:r w:rsidR="002F2420">
        <w:rPr>
          <w:rFonts w:cstheme="minorHAnsi"/>
        </w:rPr>
        <w:t>’</w:t>
      </w:r>
      <w:r w:rsidRPr="00AA14EA" w:rsidR="000D75E0">
        <w:rPr>
          <w:rFonts w:cstheme="minorHAnsi"/>
        </w:rPr>
        <w:t xml:space="preserve"> (ORS) Office of Innovation and Information Technology (OIIT).</w:t>
      </w:r>
      <w:r w:rsidR="009161A7">
        <w:rPr>
          <w:rFonts w:cstheme="minorHAnsi"/>
        </w:rPr>
        <w:t xml:space="preserve"> NIH PIA </w:t>
      </w:r>
      <w:r w:rsidR="00904A91">
        <w:rPr>
          <w:rFonts w:cstheme="minorHAnsi"/>
        </w:rPr>
        <w:t xml:space="preserve">OMS CMS: </w:t>
      </w:r>
      <w:r w:rsidRPr="00904A91" w:rsidR="00904A91">
        <w:rPr>
          <w:rFonts w:cstheme="minorHAnsi"/>
        </w:rPr>
        <w:t>P-3416938-277234</w:t>
      </w:r>
      <w:r w:rsidR="00F471B1">
        <w:rPr>
          <w:rFonts w:cstheme="minorHAnsi"/>
        </w:rPr>
        <w:t>.</w:t>
      </w:r>
    </w:p>
    <w:p w:rsidR="003A5CB3" w:rsidP="003A5CB3" w:rsidRDefault="003A5CB3" w14:paraId="285E5482" w14:textId="77777777">
      <w:pPr>
        <w:pStyle w:val="Heading2"/>
        <w:spacing w:before="0"/>
        <w:ind w:left="720" w:hanging="720"/>
        <w:rPr>
          <w:rFonts w:asciiTheme="minorHAnsi" w:hAnsiTheme="minorHAnsi"/>
          <w:b/>
          <w:color w:val="auto"/>
          <w:sz w:val="22"/>
          <w:szCs w:val="22"/>
        </w:rPr>
      </w:pPr>
      <w:bookmarkStart w:name="_Toc443881745" w:id="10"/>
      <w:bookmarkStart w:name="_Toc451592234" w:id="11"/>
      <w:bookmarkStart w:name="_Toc5610275" w:id="12"/>
      <w:bookmarkStart w:name="_Toc99178781" w:id="13"/>
      <w:bookmarkEnd w:id="9"/>
    </w:p>
    <w:p w:rsidRPr="00C4161B" w:rsidR="00685B30" w:rsidP="003A5CB3" w:rsidRDefault="00685B30" w14:paraId="2634512F" w14:textId="08866F09">
      <w:pPr>
        <w:pStyle w:val="Heading2"/>
        <w:spacing w:before="0"/>
        <w:ind w:left="720" w:hanging="720"/>
        <w:rPr>
          <w:rFonts w:asciiTheme="minorHAnsi" w:hAnsiTheme="minorHAnsi"/>
          <w:b/>
          <w:color w:val="auto"/>
          <w:sz w:val="22"/>
          <w:szCs w:val="22"/>
        </w:rPr>
      </w:pPr>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10"/>
      <w:bookmarkEnd w:id="11"/>
      <w:bookmarkEnd w:id="12"/>
      <w:bookmarkEnd w:id="13"/>
    </w:p>
    <w:p w:rsidRPr="00D457B0" w:rsidR="00685B30" w:rsidP="003A5CB3" w:rsidRDefault="00620D02" w14:paraId="401B39F0" w14:textId="299DBA83">
      <w:pPr>
        <w:spacing w:after="0" w:line="240" w:lineRule="auto"/>
      </w:pPr>
      <w:r w:rsidRPr="00D457B0">
        <w:t xml:space="preserve">The NIH is using previously captured </w:t>
      </w:r>
      <w:r w:rsidR="00BB22F4">
        <w:t>voluntar</w:t>
      </w:r>
      <w:r w:rsidR="004A5A24">
        <w:t xml:space="preserve">ily submitted vaccination information </w:t>
      </w:r>
      <w:r w:rsidRPr="00D457B0">
        <w:t xml:space="preserve">to populate </w:t>
      </w:r>
      <w:r w:rsidRPr="00D457B0" w:rsidR="00D457B0">
        <w:t xml:space="preserve">the records for </w:t>
      </w:r>
      <w:r w:rsidRPr="00D457B0">
        <w:t>this new requirement</w:t>
      </w:r>
      <w:r w:rsidRPr="00D457B0" w:rsidR="00D457B0">
        <w:t>. Former respondents will only be requested to verify the information previously submitted</w:t>
      </w:r>
      <w:r w:rsidR="00E45C03">
        <w:t>, add the location of vaccination, lot number (if known)</w:t>
      </w:r>
      <w:r w:rsidRPr="00D457B0" w:rsidR="00D457B0">
        <w:t xml:space="preserve"> </w:t>
      </w:r>
      <w:r w:rsidR="002F2420">
        <w:t xml:space="preserve">and upload proof of </w:t>
      </w:r>
      <w:r w:rsidR="00404764">
        <w:t>vaccination using</w:t>
      </w:r>
      <w:r w:rsidRPr="00D457B0" w:rsidR="00D457B0">
        <w:t xml:space="preserve"> a unique link emailed to them.</w:t>
      </w:r>
      <w:r w:rsidR="0057750A">
        <w:t xml:space="preserve"> We have taken the common OMB form and adapted it to an electronic database to decrease the administrative burden, and to streamline reporting into our case management system, for compliance.</w:t>
      </w:r>
    </w:p>
    <w:p w:rsidR="003A5CB3" w:rsidP="003A5CB3" w:rsidRDefault="003A5CB3" w14:paraId="448AA69C" w14:textId="77777777">
      <w:pPr>
        <w:pStyle w:val="Heading2"/>
        <w:spacing w:before="0"/>
        <w:ind w:left="720" w:hanging="720"/>
        <w:rPr>
          <w:rFonts w:asciiTheme="minorHAnsi" w:hAnsiTheme="minorHAnsi"/>
          <w:b/>
          <w:color w:val="auto"/>
          <w:sz w:val="22"/>
          <w:szCs w:val="22"/>
        </w:rPr>
      </w:pPr>
      <w:bookmarkStart w:name="_Toc443881746" w:id="14"/>
      <w:bookmarkStart w:name="_Toc451592235" w:id="15"/>
      <w:bookmarkStart w:name="_Toc5610276" w:id="16"/>
      <w:bookmarkStart w:name="_Toc99178782" w:id="17"/>
    </w:p>
    <w:p w:rsidRPr="00C4161B" w:rsidR="00685B30" w:rsidP="003A5CB3" w:rsidRDefault="00685B30" w14:paraId="2E534297" w14:textId="1EE7FABB">
      <w:pPr>
        <w:pStyle w:val="Heading2"/>
        <w:spacing w:before="0"/>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14"/>
      <w:bookmarkEnd w:id="15"/>
      <w:bookmarkEnd w:id="16"/>
      <w:bookmarkEnd w:id="17"/>
    </w:p>
    <w:p w:rsidRPr="00C4456F" w:rsidR="0006499C" w:rsidP="003A5CB3" w:rsidRDefault="0006499C" w14:paraId="332813DC" w14:textId="49962C95">
      <w:pPr>
        <w:spacing w:after="0" w:line="240" w:lineRule="auto"/>
      </w:pPr>
      <w:r w:rsidRPr="00C4456F">
        <w:t xml:space="preserve">All data collection efforts will be conducted with individuals; </w:t>
      </w:r>
      <w:r w:rsidRPr="00C4456F" w:rsidR="004A5A24">
        <w:t>thus,</w:t>
      </w:r>
      <w:r w:rsidRPr="00C4456F">
        <w:t xml:space="preserve"> this will not impact small businesses. </w:t>
      </w:r>
    </w:p>
    <w:p w:rsidRPr="00C76797" w:rsidR="004716CF" w:rsidP="003A5CB3" w:rsidRDefault="004716CF" w14:paraId="4B2E645C" w14:textId="2FE9C746">
      <w:pPr>
        <w:pStyle w:val="P1-StandPara"/>
        <w:spacing w:line="240" w:lineRule="auto"/>
        <w:ind w:firstLine="0"/>
        <w:rPr>
          <w:rFonts w:ascii="Calibri" w:hAnsi="Calibri" w:cs="Calibri"/>
        </w:rPr>
      </w:pPr>
    </w:p>
    <w:p w:rsidRPr="00C4161B" w:rsidR="00685B30" w:rsidP="003A5CB3" w:rsidRDefault="00685B30" w14:paraId="4DCCFE87" w14:textId="77777777">
      <w:pPr>
        <w:pStyle w:val="Heading2"/>
        <w:spacing w:before="0"/>
        <w:ind w:left="720" w:hanging="720"/>
        <w:rPr>
          <w:rFonts w:asciiTheme="minorHAnsi" w:hAnsiTheme="minorHAnsi"/>
          <w:b/>
          <w:color w:val="auto"/>
          <w:sz w:val="22"/>
          <w:szCs w:val="22"/>
        </w:rPr>
      </w:pPr>
      <w:bookmarkStart w:name="_Toc443881747" w:id="18"/>
      <w:bookmarkStart w:name="_Toc451592236" w:id="19"/>
      <w:bookmarkStart w:name="_Toc5610277" w:id="20"/>
      <w:bookmarkStart w:name="_Toc99178783" w:id="21"/>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8"/>
      <w:bookmarkEnd w:id="19"/>
      <w:bookmarkEnd w:id="20"/>
      <w:bookmarkEnd w:id="21"/>
    </w:p>
    <w:p w:rsidRPr="00E35DD1" w:rsidR="00685B30" w:rsidP="003A5CB3" w:rsidRDefault="00581400" w14:paraId="4C4D6A77" w14:textId="167D0EFC">
      <w:pPr>
        <w:spacing w:after="0" w:line="240" w:lineRule="auto"/>
      </w:pPr>
      <w:r>
        <w:t>If</w:t>
      </w:r>
      <w:r w:rsidRPr="00E35DD1" w:rsidR="00685B30">
        <w:t xml:space="preserve"> </w:t>
      </w:r>
      <w:r>
        <w:t xml:space="preserve">this information </w:t>
      </w:r>
      <w:r w:rsidR="004A5A24">
        <w:t xml:space="preserve">is not </w:t>
      </w:r>
      <w:r w:rsidRPr="00E35DD1" w:rsidR="00685B30">
        <w:t>collect</w:t>
      </w:r>
      <w:r w:rsidR="004A5A24">
        <w:t>ed</w:t>
      </w:r>
      <w:r>
        <w:t xml:space="preserve">, or </w:t>
      </w:r>
      <w:r w:rsidR="004A5A24">
        <w:t xml:space="preserve">collected </w:t>
      </w:r>
      <w:r>
        <w:t>less frequently,</w:t>
      </w:r>
      <w:r w:rsidRPr="00E35DD1" w:rsidR="00685B30">
        <w:t xml:space="preserve"> </w:t>
      </w:r>
      <w:r w:rsidR="004A5A24">
        <w:t>it may result in workplace</w:t>
      </w:r>
      <w:r>
        <w:t xml:space="preserve"> spread of the COVID-19 virus, serious illness and fatalities</w:t>
      </w:r>
      <w:r w:rsidR="00985C83">
        <w:t xml:space="preserve"> in </w:t>
      </w:r>
      <w:r>
        <w:t>the patient,</w:t>
      </w:r>
      <w:r w:rsidR="00985C83">
        <w:t xml:space="preserve"> health care worker</w:t>
      </w:r>
      <w:r>
        <w:t>,</w:t>
      </w:r>
      <w:r w:rsidR="00985C83">
        <w:t xml:space="preserve"> and </w:t>
      </w:r>
      <w:r>
        <w:t>employee population working in Building 10. In addition, the NIH will not be in compliance with</w:t>
      </w:r>
      <w:r w:rsidR="002F2420">
        <w:t xml:space="preserve"> </w:t>
      </w:r>
      <w:r w:rsidR="002F2420">
        <w:rPr>
          <w:rFonts w:cstheme="minorHAnsi"/>
        </w:rPr>
        <w:t>Executive Order 14042, Executive Order 14043, and</w:t>
      </w:r>
      <w:r>
        <w:t xml:space="preserve"> </w:t>
      </w:r>
      <w:r w:rsidRPr="00496167">
        <w:rPr>
          <w:rFonts w:cstheme="minorHAnsi"/>
        </w:rPr>
        <w:t xml:space="preserve">5 CFR 339.205 </w:t>
      </w:r>
      <w:r w:rsidR="004A5A24">
        <w:rPr>
          <w:rFonts w:cstheme="minorHAnsi"/>
        </w:rPr>
        <w:t>which mandate</w:t>
      </w:r>
      <w:r w:rsidRPr="00496167" w:rsidR="004A5A24">
        <w:rPr>
          <w:rFonts w:cstheme="minorHAnsi"/>
        </w:rPr>
        <w:t xml:space="preserve"> </w:t>
      </w:r>
      <w:r w:rsidRPr="00496167">
        <w:rPr>
          <w:rFonts w:cstheme="minorHAnsi"/>
        </w:rPr>
        <w:t>COVID-19 vaccinations</w:t>
      </w:r>
      <w:r>
        <w:rPr>
          <w:rFonts w:cstheme="minorHAnsi"/>
        </w:rPr>
        <w:t>,</w:t>
      </w:r>
      <w:r w:rsidRPr="00496167">
        <w:rPr>
          <w:rFonts w:cstheme="minorHAnsi"/>
        </w:rPr>
        <w:t xml:space="preserve"> authorized under Emergency Use Authorizations (EUA)</w:t>
      </w:r>
      <w:r>
        <w:rPr>
          <w:rFonts w:cstheme="minorHAnsi"/>
        </w:rPr>
        <w:t>,</w:t>
      </w:r>
      <w:r w:rsidRPr="00496167">
        <w:rPr>
          <w:rFonts w:cstheme="minorHAnsi"/>
        </w:rPr>
        <w:t xml:space="preserve"> for its patient-facing health care personnel, including its health care applicants and employees</w:t>
      </w:r>
      <w:r>
        <w:rPr>
          <w:rFonts w:cstheme="minorHAnsi"/>
        </w:rPr>
        <w:t>.</w:t>
      </w:r>
      <w:r w:rsidR="00E6221F">
        <w:rPr>
          <w:rFonts w:cstheme="minorHAnsi"/>
        </w:rPr>
        <w:t xml:space="preserve"> In addition, staff who do not comply may face disciplinary action.</w:t>
      </w:r>
    </w:p>
    <w:p w:rsidR="003A5CB3" w:rsidP="003A5CB3" w:rsidRDefault="003A5CB3" w14:paraId="5DB7ADA0" w14:textId="77777777">
      <w:pPr>
        <w:pStyle w:val="Heading2"/>
        <w:spacing w:before="0"/>
        <w:rPr>
          <w:rFonts w:asciiTheme="minorHAnsi" w:hAnsiTheme="minorHAnsi"/>
          <w:b/>
          <w:color w:val="auto"/>
          <w:sz w:val="22"/>
          <w:szCs w:val="22"/>
        </w:rPr>
      </w:pPr>
      <w:bookmarkStart w:name="_Toc443881748" w:id="22"/>
      <w:bookmarkStart w:name="_Toc451592237" w:id="23"/>
      <w:bookmarkStart w:name="_Toc5610278" w:id="24"/>
      <w:bookmarkStart w:name="_Toc99178784" w:id="25"/>
    </w:p>
    <w:p w:rsidRPr="00C4161B" w:rsidR="00685B30" w:rsidP="003A5CB3" w:rsidRDefault="00E67B10" w14:paraId="50FA46DF" w14:textId="16267DE0">
      <w:pPr>
        <w:pStyle w:val="Heading2"/>
        <w:spacing w:before="0"/>
        <w:rPr>
          <w:rFonts w:asciiTheme="minorHAnsi" w:hAnsiTheme="minorHAnsi"/>
          <w:b/>
          <w:color w:val="auto"/>
          <w:sz w:val="22"/>
          <w:szCs w:val="22"/>
        </w:rPr>
      </w:pPr>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22"/>
      <w:bookmarkEnd w:id="23"/>
      <w:bookmarkEnd w:id="24"/>
      <w:bookmarkEnd w:id="25"/>
    </w:p>
    <w:p w:rsidRPr="004E4872" w:rsidR="0006499C" w:rsidP="003A5CB3" w:rsidRDefault="005C4278" w14:paraId="4EB0504F" w14:textId="57D2A67D">
      <w:pPr>
        <w:pStyle w:val="Default"/>
        <w:rPr>
          <w:rFonts w:cstheme="minorHAnsi"/>
        </w:rPr>
      </w:pPr>
      <w:r w:rsidRPr="007D3059">
        <w:rPr>
          <w:rFonts w:asciiTheme="minorHAnsi" w:hAnsiTheme="minorHAnsi" w:cstheme="minorHAnsi"/>
          <w:sz w:val="22"/>
          <w:szCs w:val="22"/>
        </w:rPr>
        <w:t>No special circumstances.</w:t>
      </w:r>
      <w:r w:rsidRPr="005C4278">
        <w:rPr>
          <w:rFonts w:cstheme="minorHAnsi"/>
        </w:rPr>
        <w:t xml:space="preserve"> </w:t>
      </w:r>
      <w:r w:rsidRPr="007D3059" w:rsidR="0006499C">
        <w:rPr>
          <w:rFonts w:asciiTheme="minorHAnsi" w:hAnsiTheme="minorHAnsi" w:cstheme="minorHAnsi"/>
          <w:sz w:val="22"/>
          <w:szCs w:val="22"/>
        </w:rPr>
        <w:t>Th</w:t>
      </w:r>
      <w:r w:rsidRPr="007D3059" w:rsidR="00AD2D36">
        <w:rPr>
          <w:rFonts w:asciiTheme="minorHAnsi" w:hAnsiTheme="minorHAnsi" w:cstheme="minorHAnsi"/>
          <w:sz w:val="22"/>
          <w:szCs w:val="22"/>
        </w:rPr>
        <w:t xml:space="preserve">is information collection and </w:t>
      </w:r>
      <w:r w:rsidRPr="007D3059" w:rsidR="0006499C">
        <w:rPr>
          <w:rFonts w:asciiTheme="minorHAnsi" w:hAnsiTheme="minorHAnsi" w:cstheme="minorHAnsi"/>
          <w:sz w:val="22"/>
          <w:szCs w:val="22"/>
        </w:rPr>
        <w:t>clearance will comply with the guidelines as laid out in 5 CFR 1320.5.</w:t>
      </w:r>
    </w:p>
    <w:p w:rsidRPr="00E35DD1" w:rsidR="00685B30" w:rsidP="003A5CB3" w:rsidRDefault="00685B30" w14:paraId="635EB124" w14:textId="77777777">
      <w:pPr>
        <w:pStyle w:val="P1-StandPara"/>
        <w:spacing w:line="240" w:lineRule="auto"/>
        <w:ind w:firstLine="0"/>
        <w:rPr>
          <w:rFonts w:asciiTheme="minorHAnsi" w:hAnsiTheme="minorHAnsi"/>
          <w:szCs w:val="22"/>
        </w:rPr>
      </w:pPr>
    </w:p>
    <w:p w:rsidRPr="00C4161B" w:rsidR="0036208F" w:rsidP="003A5CB3" w:rsidRDefault="00685B30" w14:paraId="42BE9D3A" w14:textId="77777777">
      <w:pPr>
        <w:pStyle w:val="Heading2"/>
        <w:spacing w:before="0"/>
        <w:ind w:left="720" w:hanging="720"/>
        <w:rPr>
          <w:rFonts w:asciiTheme="minorHAnsi" w:hAnsiTheme="minorHAnsi"/>
          <w:b/>
          <w:color w:val="auto"/>
          <w:sz w:val="22"/>
          <w:szCs w:val="22"/>
        </w:rPr>
      </w:pPr>
      <w:bookmarkStart w:name="_Toc443881749" w:id="26"/>
      <w:bookmarkStart w:name="_Toc451592238" w:id="27"/>
      <w:bookmarkStart w:name="_Toc5610279" w:id="28"/>
      <w:bookmarkStart w:name="_Toc99178785" w:id="29"/>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6"/>
    <w:bookmarkEnd w:id="27"/>
    <w:bookmarkEnd w:id="28"/>
    <w:bookmarkEnd w:id="29"/>
    <w:p w:rsidR="00ED4FD7" w:rsidP="003A5CB3" w:rsidRDefault="00290945" w14:paraId="6253552C" w14:textId="484DC6B6">
      <w:pPr>
        <w:spacing w:after="0" w:line="240" w:lineRule="auto"/>
      </w:pPr>
      <w:r>
        <w:t>No comments were received.</w:t>
      </w:r>
    </w:p>
    <w:p w:rsidRPr="00C4456F" w:rsidR="00ED4FD7" w:rsidP="003A5CB3" w:rsidRDefault="00ED4FD7" w14:paraId="5CE71E5B" w14:textId="77777777">
      <w:pPr>
        <w:spacing w:after="0" w:line="240" w:lineRule="auto"/>
      </w:pPr>
    </w:p>
    <w:p w:rsidRPr="00787DE8" w:rsidR="006A47AC" w:rsidP="003A5CB3" w:rsidRDefault="0036208F" w14:paraId="2FF92845" w14:textId="40D57C3C">
      <w:pPr>
        <w:pStyle w:val="Heading2"/>
        <w:spacing w:before="0"/>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ED5B7D" w:rsidP="003A5CB3" w:rsidRDefault="00ED5B7D" w14:paraId="2D8B9E67" w14:textId="590BCE0E">
      <w:pPr>
        <w:spacing w:after="0" w:line="240" w:lineRule="auto"/>
        <w:rPr>
          <w:b/>
        </w:rPr>
      </w:pPr>
      <w:r w:rsidRPr="00ED5B7D">
        <w:t xml:space="preserve">The NIH COVID-19 </w:t>
      </w:r>
      <w:r w:rsidR="004A5A24">
        <w:t>Vaccination Status</w:t>
      </w:r>
      <w:r w:rsidRPr="00ED5B7D">
        <w:t xml:space="preserve"> Form is based on the template provided by the </w:t>
      </w:r>
      <w:r w:rsidRPr="00ED5B7D">
        <w:rPr>
          <w:rFonts w:cstheme="minorHAnsi"/>
        </w:rPr>
        <w:t>Safer Federal Workforce Task Force</w:t>
      </w:r>
      <w:r>
        <w:rPr>
          <w:rFonts w:cstheme="minorHAnsi"/>
        </w:rPr>
        <w:t>.</w:t>
      </w:r>
      <w:r w:rsidRPr="00ED5B7D">
        <w:rPr>
          <w:b/>
        </w:rPr>
        <w:t xml:space="preserve"> </w:t>
      </w:r>
    </w:p>
    <w:p w:rsidRPr="00ED5B7D" w:rsidR="003A5CB3" w:rsidP="003A5CB3" w:rsidRDefault="003A5CB3" w14:paraId="34ECDB22" w14:textId="77777777">
      <w:pPr>
        <w:spacing w:after="0" w:line="240" w:lineRule="auto"/>
        <w:rPr>
          <w:b/>
        </w:rPr>
      </w:pPr>
    </w:p>
    <w:p w:rsidRPr="00E35DD1" w:rsidR="00685B30" w:rsidP="003A5CB3" w:rsidRDefault="00685B30" w14:paraId="06EE05E1" w14:textId="729732FA">
      <w:pPr>
        <w:spacing w:after="0" w:line="240" w:lineRule="auto"/>
        <w:rPr>
          <w:b/>
        </w:rPr>
      </w:pPr>
      <w:r w:rsidRPr="00E35DD1">
        <w:rPr>
          <w:b/>
        </w:rPr>
        <w:t>A.9</w:t>
      </w:r>
      <w:r w:rsidRPr="00E35DD1">
        <w:rPr>
          <w:b/>
        </w:rPr>
        <w:tab/>
        <w:t>Explanation of Any Payment of Gift to Respondents</w:t>
      </w:r>
    </w:p>
    <w:p w:rsidRPr="00E35DD1" w:rsidR="00685B30" w:rsidP="003A5CB3" w:rsidRDefault="005E4492" w14:paraId="746435EB" w14:textId="29E0D85E">
      <w:pPr>
        <w:spacing w:after="0" w:line="240" w:lineRule="auto"/>
      </w:pPr>
      <w:r>
        <w:t>None</w:t>
      </w:r>
    </w:p>
    <w:p w:rsidR="003A5CB3" w:rsidP="003A5CB3" w:rsidRDefault="003A5CB3" w14:paraId="6ABECB62" w14:textId="77777777">
      <w:pPr>
        <w:pStyle w:val="P1-StandPara"/>
        <w:spacing w:line="240" w:lineRule="auto"/>
        <w:ind w:firstLine="0"/>
        <w:rPr>
          <w:rFonts w:asciiTheme="minorHAnsi" w:hAnsiTheme="minorHAnsi"/>
          <w:b/>
          <w:szCs w:val="22"/>
        </w:rPr>
      </w:pPr>
    </w:p>
    <w:p w:rsidRPr="00E35DD1" w:rsidR="00685B30" w:rsidP="003A5CB3" w:rsidRDefault="00685B30" w14:paraId="43756684" w14:textId="7D9F7E57">
      <w:pPr>
        <w:pStyle w:val="P1-StandPara"/>
        <w:spacing w:line="240" w:lineRule="auto"/>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Pr="00A97629" w:rsidR="00A97629" w:rsidP="003A5CB3" w:rsidRDefault="00A97629" w14:paraId="10392A63" w14:textId="5A94C90A">
      <w:pPr>
        <w:spacing w:after="0" w:line="240" w:lineRule="auto"/>
        <w:rPr>
          <w:rFonts w:cstheme="minorHAnsi"/>
        </w:rPr>
      </w:pPr>
      <w:r w:rsidRPr="00A97629">
        <w:rPr>
          <w:rFonts w:cstheme="minorHAnsi"/>
        </w:rPr>
        <w:t xml:space="preserve">The Personally Identifiable Information (PII) collected in this form will be stored in the </w:t>
      </w:r>
      <w:r w:rsidR="005C4278">
        <w:rPr>
          <w:rFonts w:cstheme="minorHAnsi"/>
        </w:rPr>
        <w:t>OMS CMS</w:t>
      </w:r>
      <w:r w:rsidRPr="00A97629">
        <w:rPr>
          <w:rFonts w:cstheme="minorHAnsi"/>
        </w:rPr>
        <w:t xml:space="preserve">. The OMS </w:t>
      </w:r>
      <w:r w:rsidR="005C4278">
        <w:rPr>
          <w:rFonts w:cstheme="minorHAnsi"/>
        </w:rPr>
        <w:t>CMS</w:t>
      </w:r>
      <w:r w:rsidR="009539D2">
        <w:rPr>
          <w:rFonts w:cstheme="minorHAnsi"/>
        </w:rPr>
        <w:t>, a government application,</w:t>
      </w:r>
      <w:r w:rsidRPr="00A97629">
        <w:rPr>
          <w:rFonts w:cstheme="minorHAnsi"/>
        </w:rPr>
        <w:t xml:space="preserve"> is hosted on internal servers operated by the Office of Research Services</w:t>
      </w:r>
      <w:r w:rsidR="002F2420">
        <w:rPr>
          <w:rFonts w:cstheme="minorHAnsi"/>
        </w:rPr>
        <w:t>’</w:t>
      </w:r>
      <w:r w:rsidRPr="00A97629">
        <w:rPr>
          <w:rFonts w:cstheme="minorHAnsi"/>
        </w:rPr>
        <w:t xml:space="preserve"> (ORS) Office of Innovation and Information Technology (OIIT)</w:t>
      </w:r>
      <w:r w:rsidR="005C4278">
        <w:rPr>
          <w:rFonts w:cstheme="minorHAnsi"/>
        </w:rPr>
        <w:t>.</w:t>
      </w:r>
      <w:r w:rsidRPr="00A97629">
        <w:rPr>
          <w:rFonts w:cstheme="minorHAnsi"/>
        </w:rPr>
        <w:t xml:space="preserve"> </w:t>
      </w:r>
      <w:r w:rsidR="009539D2">
        <w:rPr>
          <w:rFonts w:cstheme="minorHAnsi"/>
        </w:rPr>
        <w:t xml:space="preserve">Both the </w:t>
      </w:r>
      <w:r w:rsidRPr="002E7A78" w:rsidR="009539D2">
        <w:rPr>
          <w:rFonts w:cstheme="minorHAnsi"/>
          <w:color w:val="000000" w:themeColor="text1"/>
        </w:rPr>
        <w:t xml:space="preserve">REDCap </w:t>
      </w:r>
      <w:r w:rsidR="009539D2">
        <w:rPr>
          <w:rFonts w:cstheme="minorHAnsi"/>
          <w:color w:val="000000" w:themeColor="text1"/>
        </w:rPr>
        <w:t xml:space="preserve">and the </w:t>
      </w:r>
      <w:r w:rsidR="005C4278">
        <w:rPr>
          <w:rFonts w:cstheme="minorHAnsi"/>
          <w:color w:val="000000" w:themeColor="text1"/>
        </w:rPr>
        <w:t xml:space="preserve">OMS CMS </w:t>
      </w:r>
      <w:r w:rsidR="009539D2">
        <w:rPr>
          <w:rFonts w:cstheme="minorHAnsi"/>
          <w:color w:val="000000" w:themeColor="text1"/>
        </w:rPr>
        <w:t>system</w:t>
      </w:r>
      <w:r w:rsidR="00926B6D">
        <w:rPr>
          <w:rFonts w:cstheme="minorHAnsi"/>
          <w:color w:val="000000" w:themeColor="text1"/>
        </w:rPr>
        <w:t>s,</w:t>
      </w:r>
      <w:r w:rsidR="009539D2">
        <w:rPr>
          <w:rFonts w:cstheme="minorHAnsi"/>
          <w:color w:val="000000" w:themeColor="text1"/>
        </w:rPr>
        <w:t xml:space="preserve"> where information is taken in and stored</w:t>
      </w:r>
      <w:r w:rsidR="00926B6D">
        <w:rPr>
          <w:rFonts w:cstheme="minorHAnsi"/>
          <w:color w:val="000000" w:themeColor="text1"/>
        </w:rPr>
        <w:t>, undergo annual privacy impact assessments to ensure all privacy controls are up to date.</w:t>
      </w:r>
      <w:r w:rsidR="008A0F20">
        <w:rPr>
          <w:rFonts w:cstheme="minorHAnsi"/>
          <w:color w:val="000000" w:themeColor="text1"/>
        </w:rPr>
        <w:t xml:space="preserve"> The </w:t>
      </w:r>
      <w:r w:rsidR="00AA73FE">
        <w:rPr>
          <w:rFonts w:cstheme="minorHAnsi"/>
          <w:color w:val="000000" w:themeColor="text1"/>
        </w:rPr>
        <w:t>system of record notices (</w:t>
      </w:r>
      <w:r w:rsidR="008A0F20">
        <w:rPr>
          <w:rFonts w:cstheme="minorHAnsi"/>
          <w:color w:val="000000" w:themeColor="text1"/>
        </w:rPr>
        <w:t>SORN</w:t>
      </w:r>
      <w:r w:rsidR="00AA73FE">
        <w:rPr>
          <w:rFonts w:cstheme="minorHAnsi"/>
          <w:color w:val="000000" w:themeColor="text1"/>
        </w:rPr>
        <w:t>) referenced</w:t>
      </w:r>
      <w:r w:rsidR="008A0F20">
        <w:rPr>
          <w:rFonts w:cstheme="minorHAnsi"/>
          <w:color w:val="000000" w:themeColor="text1"/>
        </w:rPr>
        <w:t xml:space="preserve"> for </w:t>
      </w:r>
      <w:r w:rsidR="007D3059">
        <w:rPr>
          <w:rFonts w:cstheme="minorHAnsi"/>
          <w:color w:val="000000" w:themeColor="text1"/>
        </w:rPr>
        <w:t xml:space="preserve">these </w:t>
      </w:r>
      <w:r w:rsidR="008A0F20">
        <w:rPr>
          <w:rFonts w:cstheme="minorHAnsi"/>
          <w:color w:val="000000" w:themeColor="text1"/>
        </w:rPr>
        <w:t>system</w:t>
      </w:r>
      <w:r w:rsidR="007D3059">
        <w:rPr>
          <w:rFonts w:cstheme="minorHAnsi"/>
          <w:color w:val="000000" w:themeColor="text1"/>
        </w:rPr>
        <w:t>s</w:t>
      </w:r>
      <w:r w:rsidR="008A0F20">
        <w:rPr>
          <w:rFonts w:cstheme="minorHAnsi"/>
          <w:color w:val="000000" w:themeColor="text1"/>
        </w:rPr>
        <w:t xml:space="preserve"> </w:t>
      </w:r>
      <w:r w:rsidR="00AA73FE">
        <w:rPr>
          <w:rFonts w:cstheme="minorHAnsi"/>
          <w:color w:val="000000" w:themeColor="text1"/>
        </w:rPr>
        <w:t xml:space="preserve">are </w:t>
      </w:r>
      <w:hyperlink w:history="1" r:id="rId15">
        <w:r w:rsidRPr="008A0F20" w:rsidR="00AA73FE">
          <w:rPr>
            <w:rStyle w:val="Hyperlink"/>
            <w:rFonts w:cstheme="minorHAnsi"/>
            <w:bCs/>
          </w:rPr>
          <w:t xml:space="preserve">09-25-0166 </w:t>
        </w:r>
        <w:r w:rsidRPr="008A0F20" w:rsidR="00AA73FE">
          <w:rPr>
            <w:rStyle w:val="Hyperlink"/>
            <w:rFonts w:cstheme="minorHAnsi"/>
          </w:rPr>
          <w:t>Radiation and Occupational Safety and Health Management Information Systems, HHS/NIH/ORS</w:t>
        </w:r>
        <w:r w:rsidR="00AA73FE">
          <w:rPr>
            <w:rStyle w:val="Hyperlink"/>
            <w:rFonts w:cstheme="minorHAnsi"/>
          </w:rPr>
          <w:t>;</w:t>
        </w:r>
      </w:hyperlink>
      <w:r w:rsidR="00AA73FE">
        <w:rPr>
          <w:rStyle w:val="Hyperlink"/>
          <w:rFonts w:cstheme="minorHAnsi"/>
        </w:rPr>
        <w:t xml:space="preserve"> </w:t>
      </w:r>
      <w:hyperlink w:history="1" r:id="rId16">
        <w:r w:rsidRPr="00AA73FE" w:rsidR="00AA73FE">
          <w:rPr>
            <w:rStyle w:val="Hyperlink"/>
            <w:rFonts w:cstheme="minorHAnsi"/>
          </w:rPr>
          <w:t>09-40-0002, Public Health Service (PHS) Commissioned Corps General Personnel Records</w:t>
        </w:r>
      </w:hyperlink>
      <w:r w:rsidR="00AA73FE">
        <w:rPr>
          <w:rStyle w:val="Hyperlink"/>
          <w:rFonts w:cstheme="minorHAnsi"/>
        </w:rPr>
        <w:t xml:space="preserve"> and </w:t>
      </w:r>
      <w:hyperlink w:history="1" r:id="rId17">
        <w:r w:rsidRPr="00AA73FE" w:rsidR="00AA73FE">
          <w:rPr>
            <w:rStyle w:val="Hyperlink"/>
            <w:rFonts w:cstheme="minorHAnsi"/>
          </w:rPr>
          <w:t>OPM/GOVT-10, Employee Medical File System Records.</w:t>
        </w:r>
      </w:hyperlink>
    </w:p>
    <w:p w:rsidR="003A5CB3" w:rsidP="003A5CB3" w:rsidRDefault="003A5CB3" w14:paraId="314821DA" w14:textId="77777777">
      <w:pPr>
        <w:shd w:val="clear" w:color="auto" w:fill="FFFFFF" w:themeFill="background1"/>
        <w:spacing w:after="0" w:line="240" w:lineRule="auto"/>
        <w:rPr>
          <w:rFonts w:cstheme="minorHAnsi"/>
          <w:b/>
          <w:bCs/>
        </w:rPr>
      </w:pPr>
    </w:p>
    <w:p w:rsidRPr="00A97629" w:rsidR="00A97629" w:rsidP="003A5CB3" w:rsidRDefault="00A97629" w14:paraId="7C1BD015" w14:textId="348D7181">
      <w:pPr>
        <w:shd w:val="clear" w:color="auto" w:fill="FFFFFF" w:themeFill="background1"/>
        <w:spacing w:after="0" w:line="240" w:lineRule="auto"/>
        <w:rPr>
          <w:rFonts w:eastAsia="Times New Roman" w:cstheme="minorHAnsi"/>
        </w:rPr>
      </w:pPr>
      <w:r w:rsidRPr="00A97629">
        <w:rPr>
          <w:rFonts w:cstheme="minorHAnsi"/>
          <w:b/>
          <w:bCs/>
        </w:rPr>
        <w:t>Authority:</w:t>
      </w:r>
      <w:r w:rsidRPr="00A97629">
        <w:rPr>
          <w:rFonts w:cstheme="minorHAnsi"/>
        </w:rPr>
        <w:t xml:space="preserve"> </w:t>
      </w:r>
      <w:r w:rsidR="002F2420">
        <w:rPr>
          <w:rFonts w:cstheme="minorHAnsi"/>
        </w:rPr>
        <w:t>Executive Order 14042; Executive Order 14043; and p</w:t>
      </w:r>
      <w:r w:rsidRPr="00A97629">
        <w:rPr>
          <w:rFonts w:cstheme="minorHAnsi"/>
        </w:rPr>
        <w:t xml:space="preserve">ursuant to 5 C.F.R. § 339.205, OPM authorizes agencies to establish immunization programs for employees who are exposed to significant health or safety risks by nature of their work. For contractors, trainees, and volunteers, HHS has adequate authority to impose these vaccination requirements.  NIH policy “Mandatory COVID-19 Immunization for NIH Staff who have Patient Contact.” </w:t>
      </w:r>
      <w:r w:rsidRPr="00A97629">
        <w:rPr>
          <w:rFonts w:eastAsia="Times New Roman" w:cstheme="minorHAnsi"/>
        </w:rPr>
        <w:t xml:space="preserve"> The legal authority to operate and maintain this Privacy Act System of Records is 42 U.S.C. 241 and 5 U.S.C. 7902.</w:t>
      </w:r>
    </w:p>
    <w:p w:rsidRPr="00E35DD1" w:rsidR="00E35DD1" w:rsidP="003A5CB3" w:rsidRDefault="00E35DD1" w14:paraId="63CCC42F" w14:textId="77777777">
      <w:pPr>
        <w:pStyle w:val="P1-StandPara"/>
        <w:spacing w:line="240" w:lineRule="auto"/>
        <w:ind w:firstLine="0"/>
        <w:rPr>
          <w:rFonts w:asciiTheme="minorHAnsi" w:hAnsiTheme="minorHAnsi"/>
          <w:szCs w:val="22"/>
        </w:rPr>
      </w:pPr>
    </w:p>
    <w:p w:rsidRPr="00E35DD1" w:rsidR="00685B30" w:rsidP="003A5CB3" w:rsidRDefault="00685B30" w14:paraId="418F3B61" w14:textId="77777777">
      <w:pPr>
        <w:pStyle w:val="P1-StandPara"/>
        <w:spacing w:line="240" w:lineRule="auto"/>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685B30" w:rsidP="003A5CB3" w:rsidRDefault="00613994" w14:paraId="43B0244E" w14:textId="35E9F268">
      <w:pPr>
        <w:pStyle w:val="P1-StandPara"/>
        <w:spacing w:line="240" w:lineRule="auto"/>
        <w:ind w:firstLine="0"/>
        <w:rPr>
          <w:rFonts w:asciiTheme="minorHAnsi" w:hAnsiTheme="minorHAnsi"/>
          <w:szCs w:val="22"/>
        </w:rPr>
      </w:pPr>
      <w:r>
        <w:rPr>
          <w:rFonts w:asciiTheme="minorHAnsi" w:hAnsiTheme="minorHAnsi"/>
          <w:szCs w:val="22"/>
        </w:rPr>
        <w:t>The questions asked in this form, specific to the manufacturer and dates of vaccination against COVID-19 disease</w:t>
      </w:r>
      <w:r w:rsidR="002F2420">
        <w:rPr>
          <w:rFonts w:asciiTheme="minorHAnsi" w:hAnsiTheme="minorHAnsi"/>
          <w:szCs w:val="22"/>
        </w:rPr>
        <w:t xml:space="preserve"> and proof of vaccination</w:t>
      </w:r>
      <w:r>
        <w:rPr>
          <w:rFonts w:asciiTheme="minorHAnsi" w:hAnsiTheme="minorHAnsi"/>
          <w:szCs w:val="22"/>
        </w:rPr>
        <w:t xml:space="preserve"> may be sensitive but are important for multiple reasons. The first is that as part of our mandatory vaccine program, modeled after our mandatory influenza</w:t>
      </w:r>
      <w:r w:rsidR="00AD2419">
        <w:rPr>
          <w:rFonts w:asciiTheme="minorHAnsi" w:hAnsiTheme="minorHAnsi"/>
          <w:szCs w:val="22"/>
        </w:rPr>
        <w:t xml:space="preserve"> vaccination</w:t>
      </w:r>
      <w:r>
        <w:rPr>
          <w:rFonts w:asciiTheme="minorHAnsi" w:hAnsiTheme="minorHAnsi"/>
          <w:szCs w:val="22"/>
        </w:rPr>
        <w:t xml:space="preserve"> program, requires the dates and manufacturer</w:t>
      </w:r>
      <w:r w:rsidR="0019467A">
        <w:rPr>
          <w:rFonts w:asciiTheme="minorHAnsi" w:hAnsiTheme="minorHAnsi"/>
          <w:szCs w:val="22"/>
        </w:rPr>
        <w:t xml:space="preserve"> of the vaccine received to ensure it complies with the requirements in that program. Additionally, this data will allow us to equitably invite persons for booster shots, </w:t>
      </w:r>
      <w:r w:rsidR="00AD2419">
        <w:rPr>
          <w:rFonts w:asciiTheme="minorHAnsi" w:hAnsiTheme="minorHAnsi"/>
          <w:szCs w:val="22"/>
        </w:rPr>
        <w:t>based on requirements and</w:t>
      </w:r>
      <w:r w:rsidR="0019467A">
        <w:rPr>
          <w:rFonts w:asciiTheme="minorHAnsi" w:hAnsiTheme="minorHAnsi"/>
          <w:szCs w:val="22"/>
        </w:rPr>
        <w:t xml:space="preserve"> availab</w:t>
      </w:r>
      <w:r w:rsidR="00AD2419">
        <w:rPr>
          <w:rFonts w:asciiTheme="minorHAnsi" w:hAnsiTheme="minorHAnsi"/>
          <w:szCs w:val="22"/>
        </w:rPr>
        <w:t>ility</w:t>
      </w:r>
      <w:r w:rsidR="00404764">
        <w:rPr>
          <w:rFonts w:asciiTheme="minorHAnsi" w:hAnsiTheme="minorHAnsi"/>
          <w:szCs w:val="22"/>
        </w:rPr>
        <w:t xml:space="preserve"> and ensure that staff remain compliant with the requirement to be fully vaccinated</w:t>
      </w:r>
      <w:r w:rsidR="0019467A">
        <w:rPr>
          <w:rFonts w:asciiTheme="minorHAnsi" w:hAnsiTheme="minorHAnsi"/>
          <w:szCs w:val="22"/>
        </w:rPr>
        <w:t xml:space="preserve">. As the pandemic shifts, if booster shots are required to maintain full vaccination compliance, we need to know when they were vaccinated initially to ensure compliance with the timeliness of the </w:t>
      </w:r>
      <w:r w:rsidR="0019467A">
        <w:rPr>
          <w:rFonts w:asciiTheme="minorHAnsi" w:hAnsiTheme="minorHAnsi"/>
          <w:szCs w:val="22"/>
        </w:rPr>
        <w:lastRenderedPageBreak/>
        <w:t xml:space="preserve">booster administration. All data will be stored in our OMS </w:t>
      </w:r>
      <w:r w:rsidR="00943DD7">
        <w:rPr>
          <w:rFonts w:asciiTheme="minorHAnsi" w:hAnsiTheme="minorHAnsi"/>
          <w:szCs w:val="22"/>
        </w:rPr>
        <w:t>CMS</w:t>
      </w:r>
      <w:r w:rsidR="0019467A">
        <w:rPr>
          <w:rFonts w:asciiTheme="minorHAnsi" w:hAnsiTheme="minorHAnsi"/>
          <w:szCs w:val="22"/>
        </w:rPr>
        <w:t xml:space="preserve">. The data collection use and storage will be communicated in the landing page of this form, as well in the </w:t>
      </w:r>
      <w:r w:rsidR="00943DD7">
        <w:rPr>
          <w:rFonts w:asciiTheme="minorHAnsi" w:hAnsiTheme="minorHAnsi"/>
          <w:szCs w:val="22"/>
        </w:rPr>
        <w:t xml:space="preserve">Privacy Act </w:t>
      </w:r>
      <w:r w:rsidR="0019467A">
        <w:rPr>
          <w:rFonts w:asciiTheme="minorHAnsi" w:hAnsiTheme="minorHAnsi"/>
          <w:szCs w:val="22"/>
        </w:rPr>
        <w:t xml:space="preserve">notice that must be acknowledged prior to use of the form. Additionally, NIH wide communications will be sent to all staff to explain the intent of this form and the maintenance of this data.  </w:t>
      </w:r>
    </w:p>
    <w:p w:rsidRPr="00E35DD1" w:rsidR="00B95405" w:rsidP="003A5CB3" w:rsidRDefault="00B95405" w14:paraId="6B05465D" w14:textId="77777777">
      <w:pPr>
        <w:pStyle w:val="P1-StandPara"/>
        <w:spacing w:line="240" w:lineRule="auto"/>
        <w:ind w:firstLine="0"/>
        <w:rPr>
          <w:rFonts w:asciiTheme="minorHAnsi" w:hAnsiTheme="minorHAnsi"/>
          <w:szCs w:val="22"/>
        </w:rPr>
      </w:pPr>
    </w:p>
    <w:p w:rsidRPr="00E35DD1" w:rsidR="00685B30" w:rsidP="003A5CB3" w:rsidRDefault="00685B30" w14:paraId="576DA571" w14:textId="77777777">
      <w:pPr>
        <w:pStyle w:val="P1-StandPara"/>
        <w:spacing w:line="240" w:lineRule="auto"/>
        <w:ind w:firstLine="0"/>
        <w:rPr>
          <w:rFonts w:asciiTheme="minorHAnsi" w:hAnsiTheme="minorHAnsi"/>
          <w:szCs w:val="22"/>
        </w:rPr>
      </w:pPr>
    </w:p>
    <w:p w:rsidR="00685B30" w:rsidP="003A5CB3" w:rsidRDefault="00685B30" w14:paraId="2470C97A" w14:textId="69853D4C">
      <w:pPr>
        <w:keepNext/>
        <w:keepLines/>
        <w:spacing w:after="0" w:line="240" w:lineRule="auto"/>
        <w:rPr>
          <w:b/>
        </w:rPr>
      </w:pPr>
      <w:r w:rsidRPr="00E35DD1">
        <w:rPr>
          <w:b/>
        </w:rPr>
        <w:t>A.12</w:t>
      </w:r>
      <w:r w:rsidR="00BF491C">
        <w:rPr>
          <w:b/>
        </w:rPr>
        <w:t>.1</w:t>
      </w:r>
      <w:r w:rsidRPr="00E35DD1">
        <w:rPr>
          <w:b/>
        </w:rPr>
        <w:tab/>
        <w:t>Estimates of Hour Burden Including Annualized Hourly Costs</w:t>
      </w:r>
      <w:r w:rsidR="003A5CB3">
        <w:rPr>
          <w:b/>
        </w:rPr>
        <w:t xml:space="preserve"> </w:t>
      </w:r>
    </w:p>
    <w:p w:rsidR="008816A8" w:rsidP="008816A8" w:rsidRDefault="008816A8" w14:paraId="1749BEE6" w14:textId="77777777">
      <w:pPr>
        <w:rPr>
          <w:b/>
        </w:rPr>
      </w:pPr>
    </w:p>
    <w:p w:rsidRPr="008816A8" w:rsidR="008816A8" w:rsidP="008816A8" w:rsidRDefault="008816A8" w14:paraId="20BE27A4" w14:textId="27274F8A">
      <w:r w:rsidRPr="00702C1B">
        <w:rPr>
          <w:highlight w:val="yellow"/>
        </w:rPr>
        <w:t xml:space="preserve">The average estimate for </w:t>
      </w:r>
      <w:r w:rsidRPr="00702C1B" w:rsidR="00702C1B">
        <w:rPr>
          <w:highlight w:val="yellow"/>
        </w:rPr>
        <w:t>v</w:t>
      </w:r>
      <w:r w:rsidRPr="00702C1B">
        <w:rPr>
          <w:highlight w:val="yellow"/>
        </w:rPr>
        <w:t>isitors</w:t>
      </w:r>
      <w:r w:rsidRPr="00702C1B" w:rsidR="00702C1B">
        <w:rPr>
          <w:highlight w:val="yellow"/>
        </w:rPr>
        <w:t>,</w:t>
      </w:r>
      <w:r w:rsidRPr="00702C1B">
        <w:rPr>
          <w:highlight w:val="yellow"/>
        </w:rPr>
        <w:t xml:space="preserve"> </w:t>
      </w:r>
      <w:r w:rsidRPr="00702C1B" w:rsidR="00702C1B">
        <w:rPr>
          <w:highlight w:val="yellow"/>
        </w:rPr>
        <w:t>p</w:t>
      </w:r>
      <w:r w:rsidRPr="00702C1B">
        <w:rPr>
          <w:highlight w:val="yellow"/>
        </w:rPr>
        <w:t xml:space="preserve">atients, </w:t>
      </w:r>
      <w:r w:rsidRPr="00702C1B" w:rsidR="00702C1B">
        <w:rPr>
          <w:highlight w:val="yellow"/>
        </w:rPr>
        <w:t>c</w:t>
      </w:r>
      <w:r w:rsidRPr="00702C1B">
        <w:rPr>
          <w:highlight w:val="yellow"/>
        </w:rPr>
        <w:t xml:space="preserve">onstruction </w:t>
      </w:r>
      <w:r w:rsidRPr="00702C1B" w:rsidR="00702C1B">
        <w:rPr>
          <w:highlight w:val="yellow"/>
        </w:rPr>
        <w:t>w</w:t>
      </w:r>
      <w:r w:rsidRPr="00702C1B">
        <w:rPr>
          <w:highlight w:val="yellow"/>
        </w:rPr>
        <w:t xml:space="preserve">orkers and delivery people </w:t>
      </w:r>
      <w:r w:rsidRPr="00702C1B" w:rsidR="00702C1B">
        <w:rPr>
          <w:highlight w:val="yellow"/>
        </w:rPr>
        <w:t>are</w:t>
      </w:r>
      <w:r w:rsidRPr="00702C1B">
        <w:rPr>
          <w:highlight w:val="yellow"/>
        </w:rPr>
        <w:t xml:space="preserve"> 1,500 from September 2021 to December 2021 as measured by people screened at NIH Commercial Vehicle Inspection Facility. We anticipate these numbers to increase as return to the physical workplace will increase in the coming months</w:t>
      </w:r>
      <w:r w:rsidRPr="00702C1B" w:rsidR="00702C1B">
        <w:rPr>
          <w:highlight w:val="yellow"/>
        </w:rPr>
        <w:t xml:space="preserve"> as more persons including federal staff will return onsite.</w:t>
      </w:r>
    </w:p>
    <w:p w:rsidRPr="00E35DD1" w:rsidR="003A5CB3" w:rsidP="003A5CB3" w:rsidRDefault="003A5CB3" w14:paraId="6EBEF029" w14:textId="77777777">
      <w:pPr>
        <w:keepNext/>
        <w:keepLines/>
        <w:spacing w:after="0" w:line="240" w:lineRule="auto"/>
        <w:rPr>
          <w:b/>
        </w:rPr>
      </w:pPr>
    </w:p>
    <w:p w:rsidR="00F71F99" w:rsidP="003A5CB3" w:rsidRDefault="00F71F99" w14:paraId="096E1DE4" w14:textId="3F9B4013">
      <w:pPr>
        <w:keepNext/>
        <w:keepLines/>
        <w:spacing w:after="0" w:line="240" w:lineRule="auto"/>
        <w:jc w:val="center"/>
        <w:rPr>
          <w:b/>
          <w:bCs/>
        </w:rPr>
      </w:pPr>
      <w:r w:rsidRPr="00F71F99">
        <w:rPr>
          <w:b/>
          <w:bCs/>
        </w:rPr>
        <w:t>Estimated Annualized Burden Table</w:t>
      </w:r>
      <w:r w:rsidR="003A5CB3">
        <w:rPr>
          <w:b/>
          <w:bCs/>
        </w:rPr>
        <w:t xml:space="preserve"> </w:t>
      </w:r>
    </w:p>
    <w:p w:rsidRPr="00F71F99" w:rsidR="003A5CB3" w:rsidP="003A5CB3" w:rsidRDefault="003A5CB3" w14:paraId="41F5E747" w14:textId="77777777">
      <w:pPr>
        <w:keepNext/>
        <w:keepLines/>
        <w:spacing w:after="0" w:line="240" w:lineRule="auto"/>
        <w:jc w:val="center"/>
        <w:rPr>
          <w:b/>
          <w:bCs/>
        </w:rPr>
      </w:pPr>
    </w:p>
    <w:tbl>
      <w:tblPr>
        <w:tblW w:w="5084"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276"/>
        <w:gridCol w:w="1597"/>
        <w:gridCol w:w="1499"/>
        <w:gridCol w:w="1546"/>
        <w:gridCol w:w="1882"/>
      </w:tblGrid>
      <w:tr w:rsidRPr="00F5791E" w:rsidR="00F71F99" w:rsidTr="00C5554F" w14:paraId="7CB748EB" w14:textId="77777777">
        <w:trPr>
          <w:trHeight w:val="1507"/>
        </w:trPr>
        <w:tc>
          <w:tcPr>
            <w:tcW w:w="1671" w:type="pct"/>
            <w:tcBorders>
              <w:top w:val="single" w:color="auto" w:sz="4" w:space="0"/>
              <w:bottom w:val="single" w:color="auto" w:sz="6" w:space="0"/>
            </w:tcBorders>
            <w:shd w:val="clear" w:color="auto" w:fill="FFFFFF"/>
            <w:vAlign w:val="center"/>
          </w:tcPr>
          <w:p w:rsidRPr="00F5791E" w:rsidR="00F71F99" w:rsidP="003A5CB3" w:rsidRDefault="00F71F99" w14:paraId="607D6A00" w14:textId="77777777">
            <w:pPr>
              <w:keepNext/>
              <w:keepLines/>
              <w:spacing w:after="0" w:line="240" w:lineRule="auto"/>
              <w:jc w:val="center"/>
              <w:rPr>
                <w:b/>
                <w:szCs w:val="24"/>
              </w:rPr>
            </w:pPr>
            <w:r w:rsidRPr="00F5791E">
              <w:rPr>
                <w:b/>
                <w:szCs w:val="24"/>
              </w:rPr>
              <w:t xml:space="preserve">Type of </w:t>
            </w:r>
            <w:r>
              <w:rPr>
                <w:b/>
                <w:szCs w:val="24"/>
              </w:rPr>
              <w:t>Collection</w:t>
            </w:r>
          </w:p>
        </w:tc>
        <w:tc>
          <w:tcPr>
            <w:tcW w:w="815" w:type="pct"/>
            <w:tcBorders>
              <w:top w:val="single" w:color="auto" w:sz="4" w:space="0"/>
              <w:bottom w:val="single" w:color="auto" w:sz="6" w:space="0"/>
            </w:tcBorders>
            <w:shd w:val="clear" w:color="auto" w:fill="FFFFFF"/>
            <w:vAlign w:val="center"/>
          </w:tcPr>
          <w:p w:rsidRPr="00F5791E" w:rsidR="00F71F99" w:rsidP="003A5CB3" w:rsidRDefault="00F71F99" w14:paraId="4658685A" w14:textId="77777777">
            <w:pPr>
              <w:keepNext/>
              <w:keepLines/>
              <w:spacing w:after="0" w:line="240" w:lineRule="auto"/>
              <w:jc w:val="center"/>
              <w:rPr>
                <w:b/>
                <w:szCs w:val="24"/>
              </w:rPr>
            </w:pPr>
            <w:r w:rsidRPr="00F5791E">
              <w:rPr>
                <w:b/>
                <w:szCs w:val="24"/>
              </w:rPr>
              <w:t>No. of Respondents</w:t>
            </w:r>
          </w:p>
        </w:tc>
        <w:tc>
          <w:tcPr>
            <w:tcW w:w="765" w:type="pct"/>
            <w:tcBorders>
              <w:top w:val="single" w:color="auto" w:sz="4" w:space="0"/>
              <w:bottom w:val="single" w:color="auto" w:sz="6" w:space="0"/>
            </w:tcBorders>
            <w:shd w:val="clear" w:color="auto" w:fill="FFFFFF"/>
            <w:vAlign w:val="center"/>
          </w:tcPr>
          <w:p w:rsidRPr="00F5791E" w:rsidR="00F71F99" w:rsidP="003A5CB3" w:rsidRDefault="00F71F99" w14:paraId="48A8232E" w14:textId="77777777">
            <w:pPr>
              <w:keepNext/>
              <w:keepLines/>
              <w:spacing w:after="0" w:line="240" w:lineRule="auto"/>
              <w:jc w:val="center"/>
              <w:rPr>
                <w:b/>
                <w:szCs w:val="24"/>
              </w:rPr>
            </w:pPr>
            <w:r w:rsidRPr="00F5791E">
              <w:rPr>
                <w:b/>
                <w:szCs w:val="24"/>
              </w:rPr>
              <w:t>No. Responses per Respondent</w:t>
            </w:r>
          </w:p>
        </w:tc>
        <w:tc>
          <w:tcPr>
            <w:tcW w:w="789" w:type="pct"/>
            <w:tcBorders>
              <w:top w:val="single" w:color="auto" w:sz="4" w:space="0"/>
              <w:bottom w:val="single" w:color="auto" w:sz="6" w:space="0"/>
            </w:tcBorders>
            <w:shd w:val="clear" w:color="auto" w:fill="FFFFFF"/>
            <w:vAlign w:val="center"/>
          </w:tcPr>
          <w:p w:rsidRPr="00F5791E" w:rsidR="00F71F99" w:rsidP="003A5CB3" w:rsidRDefault="00F71F99" w14:paraId="755A776C" w14:textId="77777777">
            <w:pPr>
              <w:keepNext/>
              <w:keepLines/>
              <w:spacing w:after="0" w:line="240" w:lineRule="auto"/>
              <w:jc w:val="center"/>
              <w:rPr>
                <w:b/>
                <w:szCs w:val="24"/>
              </w:rPr>
            </w:pPr>
            <w:r w:rsidRPr="00F5791E">
              <w:rPr>
                <w:b/>
                <w:szCs w:val="24"/>
              </w:rPr>
              <w:t>Average Burden per Response (in hours)</w:t>
            </w:r>
          </w:p>
        </w:tc>
        <w:tc>
          <w:tcPr>
            <w:tcW w:w="961" w:type="pct"/>
            <w:tcBorders>
              <w:top w:val="single" w:color="auto" w:sz="4" w:space="0"/>
              <w:bottom w:val="single" w:color="auto" w:sz="6" w:space="0"/>
            </w:tcBorders>
            <w:shd w:val="clear" w:color="auto" w:fill="FFFFFF"/>
            <w:vAlign w:val="center"/>
          </w:tcPr>
          <w:p w:rsidRPr="00F5791E" w:rsidR="00F71F99" w:rsidP="003A5CB3" w:rsidRDefault="00F71F99" w14:paraId="2AA450AA" w14:textId="77777777">
            <w:pPr>
              <w:keepNext/>
              <w:keepLines/>
              <w:spacing w:after="0" w:line="240" w:lineRule="auto"/>
              <w:jc w:val="center"/>
              <w:rPr>
                <w:b/>
                <w:szCs w:val="24"/>
              </w:rPr>
            </w:pPr>
            <w:r w:rsidRPr="00F5791E">
              <w:rPr>
                <w:b/>
                <w:szCs w:val="24"/>
              </w:rPr>
              <w:t>Total Burden Hours</w:t>
            </w:r>
          </w:p>
        </w:tc>
      </w:tr>
      <w:tr w:rsidRPr="00F5791E" w:rsidR="00F71F99" w:rsidTr="00C5554F" w14:paraId="698B89F0" w14:textId="77777777">
        <w:trPr>
          <w:trHeight w:val="938"/>
        </w:trPr>
        <w:tc>
          <w:tcPr>
            <w:tcW w:w="1671" w:type="pct"/>
            <w:tcBorders>
              <w:top w:val="single" w:color="auto" w:sz="6" w:space="0"/>
            </w:tcBorders>
            <w:vAlign w:val="center"/>
          </w:tcPr>
          <w:p w:rsidRPr="00F5791E" w:rsidR="00F71F99" w:rsidP="003A5CB3" w:rsidRDefault="00F71F99" w14:paraId="1E75644C" w14:textId="3B5C5ECA">
            <w:pPr>
              <w:keepNext/>
              <w:keepLines/>
              <w:spacing w:after="0" w:line="240" w:lineRule="auto"/>
              <w:rPr>
                <w:szCs w:val="24"/>
              </w:rPr>
            </w:pPr>
            <w:r>
              <w:t xml:space="preserve">NIH COVID-19 Vaccine </w:t>
            </w:r>
            <w:r w:rsidR="004A5A24">
              <w:t>Status F</w:t>
            </w:r>
            <w:r>
              <w:t>orm</w:t>
            </w:r>
          </w:p>
        </w:tc>
        <w:tc>
          <w:tcPr>
            <w:tcW w:w="815" w:type="pct"/>
            <w:tcBorders>
              <w:top w:val="single" w:color="auto" w:sz="6" w:space="0"/>
            </w:tcBorders>
            <w:vAlign w:val="center"/>
          </w:tcPr>
          <w:p w:rsidRPr="00F5791E" w:rsidR="00F71F99" w:rsidP="003A5CB3" w:rsidRDefault="00FB14E7" w14:paraId="18957414" w14:textId="055A5425">
            <w:pPr>
              <w:keepNext/>
              <w:keepLines/>
              <w:spacing w:after="0" w:line="240" w:lineRule="auto"/>
              <w:jc w:val="center"/>
              <w:rPr>
                <w:szCs w:val="24"/>
              </w:rPr>
            </w:pPr>
            <w:r>
              <w:rPr>
                <w:rStyle w:val="normaltextrun"/>
              </w:rPr>
              <w:t>3</w:t>
            </w:r>
            <w:r w:rsidR="00F71F99">
              <w:rPr>
                <w:rStyle w:val="normaltextrun"/>
              </w:rPr>
              <w:t>1,000</w:t>
            </w:r>
          </w:p>
        </w:tc>
        <w:tc>
          <w:tcPr>
            <w:tcW w:w="765" w:type="pct"/>
            <w:tcBorders>
              <w:top w:val="single" w:color="auto" w:sz="6" w:space="0"/>
            </w:tcBorders>
            <w:vAlign w:val="center"/>
          </w:tcPr>
          <w:p w:rsidRPr="00F5791E" w:rsidR="00F71F99" w:rsidP="003A5CB3" w:rsidRDefault="00F71F99" w14:paraId="3892ED25" w14:textId="77777777">
            <w:pPr>
              <w:keepNext/>
              <w:keepLines/>
              <w:spacing w:after="0" w:line="240" w:lineRule="auto"/>
              <w:jc w:val="center"/>
              <w:rPr>
                <w:szCs w:val="24"/>
              </w:rPr>
            </w:pPr>
            <w:r>
              <w:rPr>
                <w:rStyle w:val="normaltextrun"/>
              </w:rPr>
              <w:t>1</w:t>
            </w:r>
          </w:p>
        </w:tc>
        <w:tc>
          <w:tcPr>
            <w:tcW w:w="789" w:type="pct"/>
            <w:tcBorders>
              <w:top w:val="single" w:color="auto" w:sz="6" w:space="0"/>
            </w:tcBorders>
            <w:vAlign w:val="center"/>
          </w:tcPr>
          <w:p w:rsidRPr="00F5791E" w:rsidR="00F71F99" w:rsidP="003A5CB3" w:rsidRDefault="00F71F99" w14:paraId="77A08206" w14:textId="77777777">
            <w:pPr>
              <w:keepNext/>
              <w:keepLines/>
              <w:spacing w:after="0" w:line="240" w:lineRule="auto"/>
              <w:jc w:val="center"/>
              <w:rPr>
                <w:szCs w:val="24"/>
              </w:rPr>
            </w:pPr>
            <w:r>
              <w:rPr>
                <w:rStyle w:val="normaltextrun"/>
              </w:rPr>
              <w:t>5/60</w:t>
            </w:r>
          </w:p>
        </w:tc>
        <w:tc>
          <w:tcPr>
            <w:tcW w:w="961" w:type="pct"/>
            <w:tcBorders>
              <w:top w:val="single" w:color="auto" w:sz="6" w:space="0"/>
            </w:tcBorders>
            <w:vAlign w:val="center"/>
          </w:tcPr>
          <w:p w:rsidRPr="00F5791E" w:rsidR="00F71F99" w:rsidP="003A5CB3" w:rsidRDefault="003073F8" w14:paraId="63A91B5C" w14:textId="2397CE9E">
            <w:pPr>
              <w:keepNext/>
              <w:keepLines/>
              <w:spacing w:after="0" w:line="240" w:lineRule="auto"/>
              <w:jc w:val="center"/>
              <w:rPr>
                <w:szCs w:val="24"/>
              </w:rPr>
            </w:pPr>
            <w:r>
              <w:rPr>
                <w:szCs w:val="24"/>
              </w:rPr>
              <w:t>2,583</w:t>
            </w:r>
          </w:p>
        </w:tc>
      </w:tr>
      <w:tr w:rsidRPr="00F5791E" w:rsidR="00C00C7D" w:rsidTr="00C5554F" w14:paraId="04C2266C" w14:textId="77777777">
        <w:trPr>
          <w:trHeight w:val="938"/>
        </w:trPr>
        <w:tc>
          <w:tcPr>
            <w:tcW w:w="1671" w:type="pct"/>
            <w:tcBorders>
              <w:top w:val="single" w:color="auto" w:sz="6" w:space="0"/>
            </w:tcBorders>
            <w:vAlign w:val="center"/>
          </w:tcPr>
          <w:p w:rsidR="00C00C7D" w:rsidP="003A5CB3" w:rsidRDefault="00C00C7D" w14:paraId="154A922A" w14:textId="43936F20">
            <w:pPr>
              <w:keepNext/>
              <w:keepLines/>
              <w:spacing w:after="0" w:line="240" w:lineRule="auto"/>
            </w:pPr>
            <w:bookmarkStart w:name="_Hlk95811837" w:id="30"/>
            <w:r>
              <w:t>Screening Questionnaire</w:t>
            </w:r>
          </w:p>
        </w:tc>
        <w:tc>
          <w:tcPr>
            <w:tcW w:w="815" w:type="pct"/>
            <w:tcBorders>
              <w:top w:val="single" w:color="auto" w:sz="6" w:space="0"/>
            </w:tcBorders>
            <w:vAlign w:val="center"/>
          </w:tcPr>
          <w:p w:rsidR="00C00C7D" w:rsidP="003A5CB3" w:rsidRDefault="00702C1B" w14:paraId="68D6202F" w14:textId="6A2D39AE">
            <w:pPr>
              <w:keepNext/>
              <w:keepLines/>
              <w:spacing w:after="0" w:line="240" w:lineRule="auto"/>
              <w:jc w:val="center"/>
              <w:rPr>
                <w:rStyle w:val="normaltextrun"/>
              </w:rPr>
            </w:pPr>
            <w:r>
              <w:rPr>
                <w:rStyle w:val="normaltextrun"/>
              </w:rPr>
              <w:t>35,500</w:t>
            </w:r>
          </w:p>
        </w:tc>
        <w:tc>
          <w:tcPr>
            <w:tcW w:w="765" w:type="pct"/>
            <w:tcBorders>
              <w:top w:val="single" w:color="auto" w:sz="6" w:space="0"/>
            </w:tcBorders>
            <w:vAlign w:val="center"/>
          </w:tcPr>
          <w:p w:rsidR="00C00C7D" w:rsidP="003A5CB3" w:rsidRDefault="009F2345" w14:paraId="799D9D7D" w14:textId="1BBEE9C3">
            <w:pPr>
              <w:keepNext/>
              <w:keepLines/>
              <w:spacing w:after="0" w:line="240" w:lineRule="auto"/>
              <w:jc w:val="center"/>
              <w:rPr>
                <w:rStyle w:val="normaltextrun"/>
              </w:rPr>
            </w:pPr>
            <w:r>
              <w:rPr>
                <w:rStyle w:val="normaltextrun"/>
              </w:rPr>
              <w:t>1</w:t>
            </w:r>
          </w:p>
        </w:tc>
        <w:tc>
          <w:tcPr>
            <w:tcW w:w="789" w:type="pct"/>
            <w:tcBorders>
              <w:top w:val="single" w:color="auto" w:sz="6" w:space="0"/>
            </w:tcBorders>
            <w:vAlign w:val="center"/>
          </w:tcPr>
          <w:p w:rsidR="00C00C7D" w:rsidP="003A5CB3" w:rsidRDefault="009F2345" w14:paraId="2EAFAC43" w14:textId="7F3BF582">
            <w:pPr>
              <w:keepNext/>
              <w:keepLines/>
              <w:spacing w:after="0" w:line="240" w:lineRule="auto"/>
              <w:jc w:val="center"/>
              <w:rPr>
                <w:rStyle w:val="normaltextrun"/>
              </w:rPr>
            </w:pPr>
            <w:r>
              <w:rPr>
                <w:rStyle w:val="normaltextrun"/>
              </w:rPr>
              <w:t>5/60</w:t>
            </w:r>
          </w:p>
        </w:tc>
        <w:tc>
          <w:tcPr>
            <w:tcW w:w="961" w:type="pct"/>
            <w:tcBorders>
              <w:top w:val="single" w:color="auto" w:sz="6" w:space="0"/>
            </w:tcBorders>
            <w:vAlign w:val="center"/>
          </w:tcPr>
          <w:p w:rsidR="00C00C7D" w:rsidP="003A5CB3" w:rsidRDefault="00702C1B" w14:paraId="247056E4" w14:textId="2382CB16">
            <w:pPr>
              <w:keepNext/>
              <w:keepLines/>
              <w:spacing w:after="0" w:line="240" w:lineRule="auto"/>
              <w:jc w:val="center"/>
              <w:rPr>
                <w:szCs w:val="24"/>
              </w:rPr>
            </w:pPr>
            <w:r>
              <w:rPr>
                <w:szCs w:val="24"/>
              </w:rPr>
              <w:t>2,9</w:t>
            </w:r>
            <w:r w:rsidR="00102D78">
              <w:rPr>
                <w:szCs w:val="24"/>
              </w:rPr>
              <w:t>58</w:t>
            </w:r>
          </w:p>
        </w:tc>
      </w:tr>
      <w:tr w:rsidRPr="00F5791E" w:rsidR="00C00C7D" w:rsidTr="00C5554F" w14:paraId="6B6F5A86" w14:textId="77777777">
        <w:trPr>
          <w:trHeight w:val="938"/>
        </w:trPr>
        <w:tc>
          <w:tcPr>
            <w:tcW w:w="1671" w:type="pct"/>
            <w:tcBorders>
              <w:top w:val="single" w:color="auto" w:sz="6" w:space="0"/>
            </w:tcBorders>
            <w:vAlign w:val="center"/>
          </w:tcPr>
          <w:p w:rsidR="00C00C7D" w:rsidP="003A5CB3" w:rsidRDefault="00C00C7D" w14:paraId="520C51FE" w14:textId="02FBD6B7">
            <w:pPr>
              <w:keepNext/>
              <w:keepLines/>
              <w:spacing w:after="0" w:line="240" w:lineRule="auto"/>
            </w:pPr>
            <w:bookmarkStart w:name="_Hlk95811858" w:id="31"/>
            <w:bookmarkEnd w:id="30"/>
            <w:r>
              <w:t>Building Access Form</w:t>
            </w:r>
            <w:bookmarkEnd w:id="31"/>
          </w:p>
        </w:tc>
        <w:tc>
          <w:tcPr>
            <w:tcW w:w="815" w:type="pct"/>
            <w:tcBorders>
              <w:top w:val="single" w:color="auto" w:sz="6" w:space="0"/>
            </w:tcBorders>
            <w:vAlign w:val="center"/>
          </w:tcPr>
          <w:p w:rsidR="00C00C7D" w:rsidP="003A5CB3" w:rsidRDefault="00702C1B" w14:paraId="3DB26427" w14:textId="4AD1E465">
            <w:pPr>
              <w:keepNext/>
              <w:keepLines/>
              <w:spacing w:after="0" w:line="240" w:lineRule="auto"/>
              <w:jc w:val="center"/>
              <w:rPr>
                <w:rStyle w:val="normaltextrun"/>
              </w:rPr>
            </w:pPr>
            <w:r>
              <w:rPr>
                <w:rStyle w:val="normaltextrun"/>
              </w:rPr>
              <w:t>35,500</w:t>
            </w:r>
          </w:p>
        </w:tc>
        <w:tc>
          <w:tcPr>
            <w:tcW w:w="765" w:type="pct"/>
            <w:tcBorders>
              <w:top w:val="single" w:color="auto" w:sz="6" w:space="0"/>
            </w:tcBorders>
            <w:vAlign w:val="center"/>
          </w:tcPr>
          <w:p w:rsidR="00C00C7D" w:rsidP="003A5CB3" w:rsidRDefault="009F2345" w14:paraId="7FB8EEB3" w14:textId="061AA015">
            <w:pPr>
              <w:keepNext/>
              <w:keepLines/>
              <w:spacing w:after="0" w:line="240" w:lineRule="auto"/>
              <w:jc w:val="center"/>
              <w:rPr>
                <w:rStyle w:val="normaltextrun"/>
              </w:rPr>
            </w:pPr>
            <w:r>
              <w:rPr>
                <w:rStyle w:val="normaltextrun"/>
              </w:rPr>
              <w:t>1</w:t>
            </w:r>
          </w:p>
        </w:tc>
        <w:tc>
          <w:tcPr>
            <w:tcW w:w="789" w:type="pct"/>
            <w:tcBorders>
              <w:top w:val="single" w:color="auto" w:sz="6" w:space="0"/>
            </w:tcBorders>
            <w:vAlign w:val="center"/>
          </w:tcPr>
          <w:p w:rsidR="00C00C7D" w:rsidP="003A5CB3" w:rsidRDefault="009F2345" w14:paraId="74AA549E" w14:textId="18D4188F">
            <w:pPr>
              <w:keepNext/>
              <w:keepLines/>
              <w:spacing w:after="0" w:line="240" w:lineRule="auto"/>
              <w:jc w:val="center"/>
              <w:rPr>
                <w:rStyle w:val="normaltextrun"/>
              </w:rPr>
            </w:pPr>
            <w:r>
              <w:rPr>
                <w:rStyle w:val="normaltextrun"/>
              </w:rPr>
              <w:t>5/60</w:t>
            </w:r>
          </w:p>
        </w:tc>
        <w:tc>
          <w:tcPr>
            <w:tcW w:w="961" w:type="pct"/>
            <w:tcBorders>
              <w:top w:val="single" w:color="auto" w:sz="6" w:space="0"/>
            </w:tcBorders>
            <w:vAlign w:val="center"/>
          </w:tcPr>
          <w:p w:rsidR="00C00C7D" w:rsidP="003A5CB3" w:rsidRDefault="00702C1B" w14:paraId="457D1A86" w14:textId="4B2AAFF1">
            <w:pPr>
              <w:keepNext/>
              <w:keepLines/>
              <w:spacing w:after="0" w:line="240" w:lineRule="auto"/>
              <w:jc w:val="center"/>
              <w:rPr>
                <w:szCs w:val="24"/>
              </w:rPr>
            </w:pPr>
            <w:r>
              <w:rPr>
                <w:szCs w:val="24"/>
              </w:rPr>
              <w:t>2,9</w:t>
            </w:r>
            <w:r w:rsidR="00102D78">
              <w:rPr>
                <w:szCs w:val="24"/>
              </w:rPr>
              <w:t>58</w:t>
            </w:r>
          </w:p>
        </w:tc>
      </w:tr>
      <w:tr w:rsidRPr="00F5791E" w:rsidR="00F71F99" w:rsidTr="00C5554F" w14:paraId="75B3D198" w14:textId="77777777">
        <w:trPr>
          <w:trHeight w:val="466"/>
        </w:trPr>
        <w:tc>
          <w:tcPr>
            <w:tcW w:w="1671" w:type="pct"/>
            <w:vAlign w:val="center"/>
          </w:tcPr>
          <w:p w:rsidRPr="00F5791E" w:rsidR="00F71F99" w:rsidP="003A5CB3" w:rsidRDefault="00F71F99" w14:paraId="29379D25" w14:textId="77777777">
            <w:pPr>
              <w:keepNext/>
              <w:keepLines/>
              <w:spacing w:after="0" w:line="240" w:lineRule="auto"/>
              <w:rPr>
                <w:b/>
                <w:szCs w:val="24"/>
              </w:rPr>
            </w:pPr>
            <w:r w:rsidRPr="00F5791E">
              <w:rPr>
                <w:b/>
                <w:szCs w:val="24"/>
              </w:rPr>
              <w:t>Total</w:t>
            </w:r>
          </w:p>
        </w:tc>
        <w:tc>
          <w:tcPr>
            <w:tcW w:w="815" w:type="pct"/>
            <w:vAlign w:val="center"/>
          </w:tcPr>
          <w:p w:rsidRPr="00F5791E" w:rsidR="00F71F99" w:rsidP="003A5CB3" w:rsidRDefault="00F71F99" w14:paraId="55946FEE" w14:textId="77777777">
            <w:pPr>
              <w:keepNext/>
              <w:keepLines/>
              <w:spacing w:after="0" w:line="240" w:lineRule="auto"/>
              <w:jc w:val="center"/>
              <w:rPr>
                <w:b/>
                <w:szCs w:val="24"/>
              </w:rPr>
            </w:pPr>
          </w:p>
        </w:tc>
        <w:tc>
          <w:tcPr>
            <w:tcW w:w="765" w:type="pct"/>
            <w:shd w:val="clear" w:color="auto" w:fill="auto"/>
            <w:vAlign w:val="center"/>
          </w:tcPr>
          <w:p w:rsidRPr="00F5791E" w:rsidR="00F71F99" w:rsidP="003A5CB3" w:rsidRDefault="00702C1B" w14:paraId="3A96CEFC" w14:textId="1FC9E550">
            <w:pPr>
              <w:keepNext/>
              <w:keepLines/>
              <w:spacing w:after="0" w:line="240" w:lineRule="auto"/>
              <w:jc w:val="center"/>
              <w:rPr>
                <w:b/>
                <w:szCs w:val="24"/>
              </w:rPr>
            </w:pPr>
            <w:r w:rsidRPr="008F05D0">
              <w:rPr>
                <w:b/>
                <w:szCs w:val="24"/>
                <w:highlight w:val="yellow"/>
              </w:rPr>
              <w:t>102</w:t>
            </w:r>
            <w:r w:rsidRPr="008F05D0" w:rsidR="00F71F99">
              <w:rPr>
                <w:b/>
                <w:szCs w:val="24"/>
                <w:highlight w:val="yellow"/>
              </w:rPr>
              <w:t>,000</w:t>
            </w:r>
          </w:p>
        </w:tc>
        <w:tc>
          <w:tcPr>
            <w:tcW w:w="789" w:type="pct"/>
            <w:shd w:val="clear" w:color="auto" w:fill="auto"/>
            <w:vAlign w:val="center"/>
          </w:tcPr>
          <w:p w:rsidRPr="00F5791E" w:rsidR="00F71F99" w:rsidP="003A5CB3" w:rsidRDefault="00F71F99" w14:paraId="468F6500" w14:textId="77777777">
            <w:pPr>
              <w:keepNext/>
              <w:keepLines/>
              <w:spacing w:after="0" w:line="240" w:lineRule="auto"/>
              <w:jc w:val="center"/>
              <w:rPr>
                <w:b/>
                <w:szCs w:val="24"/>
              </w:rPr>
            </w:pPr>
            <w:r>
              <w:rPr>
                <w:b/>
                <w:szCs w:val="24"/>
              </w:rPr>
              <w:t>…..</w:t>
            </w:r>
          </w:p>
        </w:tc>
        <w:tc>
          <w:tcPr>
            <w:tcW w:w="961" w:type="pct"/>
            <w:vAlign w:val="center"/>
          </w:tcPr>
          <w:p w:rsidRPr="00F5791E" w:rsidR="00F71F99" w:rsidP="003A5CB3" w:rsidRDefault="00702C1B" w14:paraId="06228779" w14:textId="68D0CE01">
            <w:pPr>
              <w:keepNext/>
              <w:keepLines/>
              <w:spacing w:after="0" w:line="240" w:lineRule="auto"/>
              <w:jc w:val="center"/>
              <w:rPr>
                <w:b/>
                <w:szCs w:val="24"/>
              </w:rPr>
            </w:pPr>
            <w:r w:rsidRPr="00102D78">
              <w:rPr>
                <w:b/>
                <w:szCs w:val="24"/>
                <w:highlight w:val="yellow"/>
              </w:rPr>
              <w:t>8</w:t>
            </w:r>
            <w:r w:rsidRPr="00102D78" w:rsidR="00FB14E7">
              <w:rPr>
                <w:b/>
                <w:szCs w:val="24"/>
                <w:highlight w:val="yellow"/>
              </w:rPr>
              <w:t>,</w:t>
            </w:r>
            <w:r w:rsidRPr="00102D78">
              <w:rPr>
                <w:b/>
                <w:szCs w:val="24"/>
                <w:highlight w:val="yellow"/>
              </w:rPr>
              <w:t>4</w:t>
            </w:r>
            <w:r w:rsidRPr="00102D78" w:rsidR="00102D78">
              <w:rPr>
                <w:b/>
                <w:szCs w:val="24"/>
                <w:highlight w:val="yellow"/>
              </w:rPr>
              <w:t>99</w:t>
            </w:r>
          </w:p>
        </w:tc>
      </w:tr>
    </w:tbl>
    <w:p w:rsidRPr="00F71F99" w:rsidR="00F71F99" w:rsidP="003A5CB3" w:rsidRDefault="00F71F99" w14:paraId="71CE10F9" w14:textId="5AF8D93C">
      <w:pPr>
        <w:spacing w:after="0" w:line="240" w:lineRule="auto"/>
        <w:rPr>
          <w:bCs/>
        </w:rPr>
      </w:pPr>
      <w:r w:rsidRPr="00F5791E">
        <w:tab/>
      </w:r>
    </w:p>
    <w:p w:rsidRPr="00EE245F" w:rsidR="00EE245F" w:rsidP="003A5CB3" w:rsidRDefault="005C4013"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3A5CB3" w:rsidRDefault="00EE245F" w14:paraId="12F83F36" w14:textId="77777777">
      <w:pPr>
        <w:spacing w:after="0" w:line="240" w:lineRule="auto"/>
        <w:rPr>
          <w:rFonts w:eastAsia="Times New Roman" w:cs="Times New Roman"/>
          <w:smallCaps/>
          <w:color w:val="000000" w:themeColor="text1"/>
        </w:rPr>
      </w:pPr>
    </w:p>
    <w:p w:rsidR="004037C8" w:rsidP="003A5CB3" w:rsidRDefault="00BF491C" w14:paraId="58C7E463" w14:textId="02780EF3">
      <w:pPr>
        <w:spacing w:after="0" w:line="240" w:lineRule="auto"/>
      </w:pPr>
      <w:r w:rsidRPr="00E35DD1">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2C5D4F" w:rsidP="003A5CB3" w:rsidRDefault="00CF36BD" w14:paraId="36D02200" w14:textId="55A46256">
      <w:pPr>
        <w:spacing w:after="0" w:line="240" w:lineRule="auto"/>
      </w:pPr>
      <w:r>
        <w:tab/>
        <w:t xml:space="preserve">     </w:t>
      </w:r>
      <w:r>
        <w:tab/>
      </w:r>
    </w:p>
    <w:p w:rsidR="005D24CF" w:rsidP="003A5CB3" w:rsidRDefault="005D24CF" w14:paraId="1E5D62D9" w14:textId="222486FF">
      <w:pPr>
        <w:spacing w:after="0" w:line="240" w:lineRule="auto"/>
      </w:pPr>
    </w:p>
    <w:p w:rsidR="005D24CF" w:rsidP="003A5CB3" w:rsidRDefault="005D24CF" w14:paraId="6E5BAE83" w14:textId="4E42DB8A">
      <w:pPr>
        <w:spacing w:after="0" w:line="240" w:lineRule="auto"/>
      </w:pPr>
    </w:p>
    <w:p w:rsidR="005D24CF" w:rsidP="003A5CB3" w:rsidRDefault="005D24CF" w14:paraId="75ED1206" w14:textId="22D968AB">
      <w:pPr>
        <w:spacing w:after="0" w:line="240" w:lineRule="auto"/>
      </w:pPr>
    </w:p>
    <w:p w:rsidR="005D24CF" w:rsidP="003A5CB3" w:rsidRDefault="005D24CF" w14:paraId="09911E99" w14:textId="1F4F8915">
      <w:pPr>
        <w:spacing w:after="0" w:line="240" w:lineRule="auto"/>
      </w:pPr>
    </w:p>
    <w:p w:rsidR="005D24CF" w:rsidP="003A5CB3" w:rsidRDefault="005D24CF" w14:paraId="494AB8A1" w14:textId="5299D5B3">
      <w:pPr>
        <w:spacing w:after="0" w:line="240" w:lineRule="auto"/>
      </w:pPr>
    </w:p>
    <w:p w:rsidR="005D24CF" w:rsidP="003A5CB3" w:rsidRDefault="005D24CF" w14:paraId="72A80C5D" w14:textId="33EF51E8">
      <w:pPr>
        <w:spacing w:after="0" w:line="240" w:lineRule="auto"/>
      </w:pPr>
    </w:p>
    <w:p w:rsidR="005D24CF" w:rsidP="003A5CB3" w:rsidRDefault="005D24CF" w14:paraId="7F261083" w14:textId="77777777">
      <w:pPr>
        <w:spacing w:after="0" w:line="240" w:lineRule="auto"/>
      </w:pPr>
    </w:p>
    <w:p w:rsidRPr="00431938" w:rsidR="00CF36BD" w:rsidP="003A5CB3" w:rsidRDefault="00B93C77" w14:paraId="69B52A05" w14:textId="77777777">
      <w:pPr>
        <w:spacing w:after="0" w:line="240" w:lineRule="auto"/>
        <w:ind w:left="1440" w:firstLine="720"/>
        <w:rPr>
          <w:b/>
          <w:bCs/>
        </w:rPr>
      </w:pPr>
      <w:r w:rsidRPr="00431938">
        <w:rPr>
          <w:b/>
          <w:bCs/>
        </w:rPr>
        <w:lastRenderedPageBreak/>
        <w:t>Table 12-2 Annualized Cost to Respondents</w:t>
      </w:r>
    </w:p>
    <w:p w:rsidRPr="002C5D4F" w:rsidR="002C5D4F" w:rsidP="003A5CB3" w:rsidRDefault="002C5D4F" w14:paraId="0EC0CC02" w14:textId="77777777">
      <w:pPr>
        <w:spacing w:after="0" w:line="240" w:lineRule="auto"/>
        <w:rPr>
          <w:rFonts w:ascii="Times New Roman" w:hAnsi="Times New Roman" w:eastAsia="Times New Roman" w:cs="Times New Roman"/>
          <w:sz w:val="24"/>
          <w:szCs w:val="24"/>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2C5D4F" w:rsidR="002C5D4F" w:rsidTr="002C5D4F" w14:paraId="624A29FC"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431938" w:rsidR="002C5D4F" w:rsidP="003A5CB3" w:rsidRDefault="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431938" w:rsidR="002C5D4F" w:rsidP="003A5CB3" w:rsidRDefault="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431938" w:rsidR="002C5D4F" w:rsidP="003A5CB3" w:rsidRDefault="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431938" w:rsidR="002C5D4F" w:rsidP="003A5CB3" w:rsidRDefault="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431938">
              <w:rPr>
                <w:rFonts w:eastAsia="Times New Roman" w:cstheme="minorHAnsi"/>
                <w:b/>
                <w:bCs/>
              </w:rPr>
              <w:t>Respondent Cost</w:t>
            </w:r>
          </w:p>
        </w:tc>
      </w:tr>
      <w:tr w:rsidRPr="002C5D4F" w:rsidR="002C5D4F" w:rsidTr="002C5D4F" w14:paraId="0701C53B"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431938" w:rsidR="002C5D4F" w:rsidP="003A5CB3" w:rsidRDefault="005165D9" w14:paraId="06B5BA53" w14:textId="7B2AB7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431938">
              <w:rPr>
                <w:rFonts w:cstheme="minorHAnsi"/>
              </w:rPr>
              <w:t>Individual (</w:t>
            </w:r>
            <w:r w:rsidR="000E1EE6">
              <w:rPr>
                <w:rFonts w:cstheme="minorHAnsi"/>
              </w:rPr>
              <w:t>tenants,</w:t>
            </w:r>
            <w:r w:rsidR="00FB14E7">
              <w:rPr>
                <w:rFonts w:cstheme="minorHAnsi"/>
              </w:rPr>
              <w:t xml:space="preserve"> fellows, </w:t>
            </w:r>
            <w:r w:rsidRPr="00431938">
              <w:rPr>
                <w:rFonts w:cstheme="minorHAnsi"/>
              </w:rPr>
              <w:t>Contractor)</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431938" w:rsidR="002C5D4F" w:rsidP="003A5CB3" w:rsidRDefault="00FB14E7" w14:paraId="04B9C25F" w14:textId="6B55B4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2</w:t>
            </w:r>
            <w:r w:rsidR="003073F8">
              <w:rPr>
                <w:rFonts w:eastAsia="Times New Roman" w:cstheme="minorHAnsi"/>
              </w:rPr>
              <w:t>,</w:t>
            </w:r>
            <w:r>
              <w:rPr>
                <w:rFonts w:eastAsia="Times New Roman" w:cstheme="minorHAnsi"/>
              </w:rPr>
              <w:t>583</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431938" w:rsidR="002C5D4F" w:rsidP="003A5CB3" w:rsidRDefault="00FB14E7" w14:paraId="65625D2C" w14:textId="0240D0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FB14E7">
              <w:rPr>
                <w:rFonts w:eastAsia="Times New Roman" w:cstheme="minorHAnsi"/>
              </w:rPr>
              <w:t>3</w:t>
            </w:r>
            <w:r w:rsidR="003073F8">
              <w:rPr>
                <w:rFonts w:eastAsia="Times New Roman" w:cstheme="minorHAnsi"/>
              </w:rPr>
              <w:t>8.15</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431938" w:rsidR="002C5D4F" w:rsidP="003A5CB3" w:rsidRDefault="003073F8" w14:paraId="7413D236" w14:textId="7A74FA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46"/>
              <w:rPr>
                <w:rFonts w:eastAsia="Times New Roman" w:cstheme="minorHAnsi"/>
              </w:rPr>
            </w:pPr>
            <w:r>
              <w:rPr>
                <w:rFonts w:eastAsia="Times New Roman" w:cstheme="minorHAnsi"/>
              </w:rPr>
              <w:t>98, 541</w:t>
            </w:r>
          </w:p>
          <w:p w:rsidRPr="00431938" w:rsidR="002C5D4F" w:rsidP="003A5CB3" w:rsidRDefault="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p>
        </w:tc>
      </w:tr>
      <w:tr w:rsidRPr="002C5D4F" w:rsidR="002C5D4F" w:rsidTr="00B96691" w14:paraId="2C91A97B"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431938" w:rsidR="002C5D4F" w:rsidP="003A5CB3" w:rsidRDefault="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431938">
              <w:rPr>
                <w:rFonts w:eastAsia="Times New Roman" w:cstheme="minorHAnsi"/>
                <w:b/>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431938" w:rsidR="002C5D4F" w:rsidP="003A5CB3" w:rsidRDefault="003073F8" w14:paraId="74804500" w14:textId="4EA35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eastAsia="Times New Roman" w:cstheme="minorHAnsi"/>
              </w:rPr>
              <w:t>2,583</w:t>
            </w: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431938" w:rsidR="002C5D4F" w:rsidP="003A5CB3" w:rsidRDefault="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431938" w:rsidR="002C5D4F" w:rsidP="003A5CB3" w:rsidRDefault="002C5D4F" w14:paraId="02F92F21" w14:textId="07F3A3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431938">
              <w:rPr>
                <w:rFonts w:eastAsia="Times New Roman" w:cstheme="minorHAnsi"/>
              </w:rPr>
              <w:t>$</w:t>
            </w:r>
            <w:r w:rsidR="003073F8">
              <w:rPr>
                <w:rFonts w:eastAsia="Times New Roman" w:cstheme="minorHAnsi"/>
              </w:rPr>
              <w:t>98,541</w:t>
            </w:r>
          </w:p>
        </w:tc>
      </w:tr>
    </w:tbl>
    <w:p w:rsidRPr="003073F8" w:rsidR="00B93C77" w:rsidP="003A5CB3" w:rsidRDefault="00B93C77" w14:paraId="36349A2E" w14:textId="77777777">
      <w:pPr>
        <w:spacing w:after="0" w:line="240" w:lineRule="auto"/>
        <w:jc w:val="center"/>
        <w:rPr>
          <w:rFonts w:eastAsia="Times New Roman" w:cstheme="minorHAnsi"/>
          <w:sz w:val="18"/>
          <w:szCs w:val="18"/>
        </w:rPr>
      </w:pPr>
    </w:p>
    <w:p w:rsidRPr="003073F8" w:rsidR="002C5D4F" w:rsidP="003A5CB3" w:rsidRDefault="00B31022" w14:paraId="27AC837D" w14:textId="52E2272A">
      <w:pPr>
        <w:spacing w:after="0" w:line="240" w:lineRule="auto"/>
        <w:rPr>
          <w:rFonts w:eastAsia="Times New Roman" w:cstheme="minorHAnsi"/>
          <w:sz w:val="18"/>
          <w:szCs w:val="18"/>
          <w:highlight w:val="yellow"/>
        </w:rPr>
      </w:pPr>
      <w:r w:rsidRPr="003073F8">
        <w:rPr>
          <w:rFonts w:eastAsia="Times New Roman" w:cstheme="minorHAnsi"/>
          <w:sz w:val="18"/>
          <w:szCs w:val="18"/>
        </w:rPr>
        <w:t>*</w:t>
      </w:r>
      <w:r w:rsidRPr="004037C8" w:rsidR="002C5D4F">
        <w:rPr>
          <w:rFonts w:eastAsia="Times New Roman" w:cstheme="minorHAnsi"/>
          <w:sz w:val="18"/>
          <w:szCs w:val="18"/>
        </w:rPr>
        <w:t xml:space="preserve">Bureau of Labor Statistics: The </w:t>
      </w:r>
      <w:r w:rsidRPr="004037C8" w:rsidR="003073F8">
        <w:rPr>
          <w:rFonts w:eastAsia="Times New Roman" w:cstheme="minorHAnsi"/>
          <w:sz w:val="18"/>
          <w:szCs w:val="18"/>
        </w:rPr>
        <w:t xml:space="preserve">hourly </w:t>
      </w:r>
      <w:r w:rsidRPr="003A5CB3" w:rsidR="003073F8">
        <w:rPr>
          <w:rFonts w:eastAsia="Times New Roman" w:cstheme="minorHAnsi"/>
        </w:rPr>
        <w:t>rate</w:t>
      </w:r>
      <w:r w:rsidRPr="004037C8" w:rsidR="003073F8">
        <w:rPr>
          <w:rFonts w:eastAsia="Times New Roman" w:cstheme="minorHAnsi"/>
          <w:sz w:val="18"/>
          <w:szCs w:val="18"/>
        </w:rPr>
        <w:t xml:space="preserve"> for Life, Physical and Social Sciences occupations was</w:t>
      </w:r>
      <w:r w:rsidRPr="004037C8" w:rsidR="002C5D4F">
        <w:rPr>
          <w:rFonts w:eastAsia="Times New Roman" w:cstheme="minorHAnsi"/>
          <w:sz w:val="18"/>
          <w:szCs w:val="18"/>
        </w:rPr>
        <w:t xml:space="preserve"> obtained from </w:t>
      </w:r>
      <w:hyperlink w:history="1" w:anchor="19-0000" r:id="rId18">
        <w:r w:rsidRPr="00F97EC1" w:rsidR="00AD2419">
          <w:rPr>
            <w:rStyle w:val="Hyperlink"/>
            <w:sz w:val="18"/>
            <w:szCs w:val="18"/>
          </w:rPr>
          <w:t>https://www.bls.gov/oes/2020/may/oes_nat.htm#19-0000</w:t>
        </w:r>
      </w:hyperlink>
      <w:r w:rsidR="00AD2419">
        <w:rPr>
          <w:sz w:val="18"/>
          <w:szCs w:val="18"/>
        </w:rPr>
        <w:t xml:space="preserve"> </w:t>
      </w:r>
      <w:r w:rsidRPr="003073F8" w:rsidR="003073F8">
        <w:rPr>
          <w:rStyle w:val="Hyperlink"/>
          <w:rFonts w:cstheme="minorHAnsi"/>
          <w:color w:val="auto"/>
          <w:sz w:val="18"/>
          <w:szCs w:val="18"/>
          <w:u w:val="none"/>
        </w:rPr>
        <w:t>and was used for this calculation.</w:t>
      </w:r>
      <w:r w:rsidRPr="003073F8" w:rsidR="003073F8">
        <w:rPr>
          <w:rStyle w:val="Hyperlink"/>
          <w:rFonts w:cstheme="minorHAnsi"/>
          <w:color w:val="auto"/>
          <w:sz w:val="18"/>
          <w:szCs w:val="18"/>
        </w:rPr>
        <w:t xml:space="preserve"> </w:t>
      </w:r>
    </w:p>
    <w:p w:rsidRPr="00B31022" w:rsidR="002C5D4F" w:rsidP="003A5CB3" w:rsidRDefault="002C5D4F" w14:paraId="72B42BD2" w14:textId="77777777">
      <w:pPr>
        <w:spacing w:after="0" w:line="240" w:lineRule="auto"/>
        <w:rPr>
          <w:rFonts w:ascii="Times New Roman" w:hAnsi="Times New Roman" w:eastAsia="Times New Roman" w:cs="Times New Roman"/>
          <w:sz w:val="16"/>
          <w:szCs w:val="16"/>
        </w:rPr>
      </w:pPr>
    </w:p>
    <w:p w:rsidRPr="00CF36BD" w:rsidR="00B93C77" w:rsidP="003A5CB3" w:rsidRDefault="00B93C77" w14:paraId="227B63D5" w14:textId="77777777">
      <w:pPr>
        <w:spacing w:after="0" w:line="240" w:lineRule="auto"/>
        <w:rPr>
          <w:rFonts w:eastAsia="Times New Roman" w:cs="Times New Roman"/>
        </w:rPr>
      </w:pPr>
    </w:p>
    <w:p w:rsidRPr="00E35DD1" w:rsidR="00FF72FC" w:rsidP="003A5CB3" w:rsidRDefault="00FF72FC" w14:paraId="72B19A1F" w14:textId="77777777">
      <w:pPr>
        <w:spacing w:after="0" w:line="240" w:lineRule="auto"/>
        <w:rPr>
          <w:b/>
        </w:rPr>
      </w:pPr>
      <w:r w:rsidRPr="00E35DD1">
        <w:rPr>
          <w:b/>
        </w:rPr>
        <w:t>A.13</w:t>
      </w:r>
      <w:r w:rsidRPr="00E35DD1">
        <w:rPr>
          <w:b/>
        </w:rPr>
        <w:tab/>
        <w:t>Estimate of Other Total Annual Cost Burden to Respondents or Record Keepers</w:t>
      </w:r>
    </w:p>
    <w:p w:rsidR="00FF72FC" w:rsidP="003A5CB3" w:rsidRDefault="00FB14E7" w14:paraId="21F878AB" w14:textId="4E623F36">
      <w:pPr>
        <w:spacing w:after="0" w:line="240" w:lineRule="auto"/>
      </w:pPr>
      <w:r w:rsidRPr="008A0F20">
        <w:t>Not applicable</w:t>
      </w:r>
      <w:r w:rsidR="003A5CB3">
        <w:t>.</w:t>
      </w:r>
    </w:p>
    <w:p w:rsidR="003A5CB3" w:rsidP="003A5CB3" w:rsidRDefault="003A5CB3" w14:paraId="6761453E" w14:textId="77777777">
      <w:pPr>
        <w:pStyle w:val="Heading2"/>
        <w:tabs>
          <w:tab w:val="left" w:pos="720"/>
        </w:tabs>
        <w:spacing w:before="0"/>
        <w:rPr>
          <w:rFonts w:asciiTheme="minorHAnsi" w:hAnsiTheme="minorHAnsi"/>
          <w:b/>
          <w:color w:val="auto"/>
          <w:sz w:val="22"/>
          <w:szCs w:val="22"/>
        </w:rPr>
      </w:pPr>
    </w:p>
    <w:p w:rsidRPr="005C4013" w:rsidR="00FF72FC" w:rsidP="003A5CB3" w:rsidRDefault="00FF72FC" w14:paraId="5439FC4E" w14:textId="02573A39">
      <w:pPr>
        <w:pStyle w:val="Heading2"/>
        <w:tabs>
          <w:tab w:val="left" w:pos="720"/>
        </w:tabs>
        <w:spacing w:before="0"/>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Pr="0037291F" w:rsidR="0037291F" w:rsidP="003A5CB3" w:rsidRDefault="0037291F" w14:paraId="0DBBBAA0" w14:textId="77777777">
      <w:pPr>
        <w:widowControl w:val="0"/>
        <w:adjustRightInd w:val="0"/>
        <w:snapToGrid w:val="0"/>
        <w:spacing w:after="0" w:line="240" w:lineRule="auto"/>
        <w:jc w:val="center"/>
        <w:rPr>
          <w:rFonts w:ascii="Times New Roman" w:hAnsi="Times New Roman" w:eastAsia="Times New Roman" w:cs="Times New Roman"/>
          <w:color w:val="0000FF"/>
          <w:sz w:val="24"/>
          <w:szCs w:val="24"/>
        </w:rPr>
      </w:pPr>
    </w:p>
    <w:tbl>
      <w:tblPr>
        <w:tblW w:w="10070" w:type="dxa"/>
        <w:tblLook w:val="04A0" w:firstRow="1" w:lastRow="0" w:firstColumn="1" w:lastColumn="0" w:noHBand="0" w:noVBand="1"/>
      </w:tblPr>
      <w:tblGrid>
        <w:gridCol w:w="2420"/>
        <w:gridCol w:w="1292"/>
        <w:gridCol w:w="1768"/>
        <w:gridCol w:w="1260"/>
        <w:gridCol w:w="1260"/>
        <w:gridCol w:w="2070"/>
      </w:tblGrid>
      <w:tr w:rsidRPr="00FB14E7" w:rsidR="008A0F20" w:rsidTr="008A0F20" w14:paraId="659CFD62" w14:textId="77777777">
        <w:trPr>
          <w:trHeight w:val="290"/>
        </w:trPr>
        <w:tc>
          <w:tcPr>
            <w:tcW w:w="242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FB14E7" w:rsidR="00FB14E7" w:rsidP="003A5CB3" w:rsidRDefault="00FB14E7" w14:paraId="17956D77" w14:textId="77777777">
            <w:pPr>
              <w:spacing w:after="0" w:line="240" w:lineRule="auto"/>
              <w:jc w:val="center"/>
              <w:rPr>
                <w:rFonts w:ascii="Times New Roman" w:hAnsi="Times New Roman" w:eastAsia="Times New Roman" w:cs="Times New Roman"/>
                <w:i/>
                <w:iCs/>
                <w:color w:val="000000"/>
                <w:sz w:val="24"/>
                <w:szCs w:val="24"/>
              </w:rPr>
            </w:pPr>
            <w:r w:rsidRPr="00FB14E7">
              <w:rPr>
                <w:rFonts w:ascii="Times New Roman" w:hAnsi="Times New Roman" w:eastAsia="Times New Roman" w:cs="Times New Roman"/>
                <w:b/>
                <w:bCs/>
                <w:color w:val="000000"/>
              </w:rPr>
              <w:t>Cost Descriptions</w:t>
            </w:r>
          </w:p>
        </w:tc>
        <w:tc>
          <w:tcPr>
            <w:tcW w:w="1292" w:type="dxa"/>
            <w:tcBorders>
              <w:top w:val="single" w:color="auto" w:sz="8" w:space="0"/>
              <w:left w:val="nil"/>
              <w:bottom w:val="nil"/>
              <w:right w:val="single" w:color="auto" w:sz="8" w:space="0"/>
            </w:tcBorders>
            <w:shd w:val="clear" w:color="auto" w:fill="auto"/>
            <w:vAlign w:val="center"/>
            <w:hideMark/>
          </w:tcPr>
          <w:p w:rsidRPr="00FB14E7" w:rsidR="00FB14E7" w:rsidP="003A5CB3" w:rsidRDefault="00FB14E7" w14:paraId="5A953B7B" w14:textId="77777777">
            <w:pPr>
              <w:spacing w:after="0" w:line="240" w:lineRule="auto"/>
              <w:jc w:val="center"/>
              <w:rPr>
                <w:rFonts w:ascii="Times New Roman" w:hAnsi="Times New Roman" w:eastAsia="Times New Roman" w:cs="Times New Roman"/>
                <w:b/>
                <w:bCs/>
                <w:color w:val="1F497D"/>
              </w:rPr>
            </w:pPr>
            <w:r w:rsidRPr="00FB14E7">
              <w:rPr>
                <w:rFonts w:ascii="Times New Roman" w:hAnsi="Times New Roman" w:eastAsia="Times New Roman" w:cs="Times New Roman"/>
                <w:b/>
                <w:bCs/>
                <w:color w:val="1F497D"/>
              </w:rPr>
              <w:t> </w:t>
            </w:r>
          </w:p>
        </w:tc>
        <w:tc>
          <w:tcPr>
            <w:tcW w:w="176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3A5CB3" w:rsidRDefault="00FB14E7" w14:paraId="2A17C1F0"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Salary*</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3A5CB3" w:rsidRDefault="00FB14E7" w14:paraId="6C77EF5F"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of Effort</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3A5CB3" w:rsidRDefault="00FB14E7" w14:paraId="502711E3"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Fringe (if applicable)</w:t>
            </w:r>
          </w:p>
        </w:tc>
        <w:tc>
          <w:tcPr>
            <w:tcW w:w="207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4E7" w:rsidR="00FB14E7" w:rsidP="003A5CB3" w:rsidRDefault="00FB14E7" w14:paraId="05E60D68"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Total Cost to Gov’t</w:t>
            </w:r>
          </w:p>
        </w:tc>
      </w:tr>
      <w:tr w:rsidRPr="00FB14E7" w:rsidR="00FB14E7" w:rsidTr="008A0F20" w14:paraId="05F9CF41" w14:textId="77777777">
        <w:trPr>
          <w:trHeight w:val="300"/>
        </w:trPr>
        <w:tc>
          <w:tcPr>
            <w:tcW w:w="242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3A5CB3" w:rsidRDefault="00FB14E7" w14:paraId="52B1980E" w14:textId="77777777">
            <w:pPr>
              <w:spacing w:after="0" w:line="240" w:lineRule="auto"/>
              <w:rPr>
                <w:rFonts w:ascii="Times New Roman" w:hAnsi="Times New Roman" w:eastAsia="Times New Roman" w:cs="Times New Roman"/>
                <w:i/>
                <w:iCs/>
                <w:color w:val="000000"/>
                <w:sz w:val="24"/>
                <w:szCs w:val="24"/>
              </w:rPr>
            </w:pP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022329CE" w14:textId="77777777">
            <w:pPr>
              <w:spacing w:after="0" w:line="240" w:lineRule="auto"/>
              <w:jc w:val="center"/>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Grade/Step</w:t>
            </w:r>
          </w:p>
        </w:tc>
        <w:tc>
          <w:tcPr>
            <w:tcW w:w="1768"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3A5CB3" w:rsidRDefault="00FB14E7" w14:paraId="1A0779B6" w14:textId="77777777">
            <w:pPr>
              <w:spacing w:after="0" w:line="240" w:lineRule="auto"/>
              <w:rPr>
                <w:rFonts w:ascii="Times New Roman" w:hAnsi="Times New Roman" w:eastAsia="Times New Roman" w:cs="Times New Roman"/>
                <w:b/>
                <w:bCs/>
                <w:color w:val="000000"/>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3A5CB3" w:rsidRDefault="00FB14E7" w14:paraId="2BD5059A" w14:textId="77777777">
            <w:pPr>
              <w:spacing w:after="0" w:line="240" w:lineRule="auto"/>
              <w:rPr>
                <w:rFonts w:ascii="Times New Roman" w:hAnsi="Times New Roman" w:eastAsia="Times New Roman" w:cs="Times New Roman"/>
                <w:b/>
                <w:bCs/>
                <w:color w:val="000000"/>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3A5CB3" w:rsidRDefault="00FB14E7" w14:paraId="26449E31" w14:textId="77777777">
            <w:pPr>
              <w:spacing w:after="0" w:line="240" w:lineRule="auto"/>
              <w:rPr>
                <w:rFonts w:ascii="Times New Roman" w:hAnsi="Times New Roman" w:eastAsia="Times New Roman" w:cs="Times New Roman"/>
                <w:b/>
                <w:bCs/>
                <w:color w:val="000000"/>
              </w:rPr>
            </w:pPr>
          </w:p>
        </w:tc>
        <w:tc>
          <w:tcPr>
            <w:tcW w:w="2070" w:type="dxa"/>
            <w:vMerge/>
            <w:tcBorders>
              <w:top w:val="single" w:color="auto" w:sz="8" w:space="0"/>
              <w:left w:val="single" w:color="auto" w:sz="8" w:space="0"/>
              <w:bottom w:val="single" w:color="000000" w:sz="8" w:space="0"/>
              <w:right w:val="single" w:color="auto" w:sz="8" w:space="0"/>
            </w:tcBorders>
            <w:vAlign w:val="center"/>
            <w:hideMark/>
          </w:tcPr>
          <w:p w:rsidRPr="00FB14E7" w:rsidR="00FB14E7" w:rsidP="003A5CB3" w:rsidRDefault="00FB14E7" w14:paraId="31758EF3" w14:textId="77777777">
            <w:pPr>
              <w:spacing w:after="0" w:line="240" w:lineRule="auto"/>
              <w:rPr>
                <w:rFonts w:ascii="Times New Roman" w:hAnsi="Times New Roman" w:eastAsia="Times New Roman" w:cs="Times New Roman"/>
                <w:b/>
                <w:bCs/>
                <w:color w:val="000000"/>
              </w:rPr>
            </w:pPr>
          </w:p>
        </w:tc>
      </w:tr>
      <w:tr w:rsidRPr="00FB14E7" w:rsidR="008A0F20" w:rsidTr="00F97EC1" w14:paraId="276A35CD"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5B90B552"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Federal Oversight</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5988FA48"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76F680C8"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69B776A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3E51057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454C9E8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F97EC1" w14:paraId="3E2334D8"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309EB90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RedCap Lead</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542C8320" w14:textId="223998CA">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GS-13</w:t>
            </w:r>
            <w:r w:rsidR="00212115">
              <w:rPr>
                <w:rFonts w:ascii="Times New Roman" w:hAnsi="Times New Roman" w:eastAsia="Times New Roman" w:cs="Times New Roman"/>
                <w:color w:val="000000"/>
              </w:rPr>
              <w:t>/6</w:t>
            </w:r>
            <w:r w:rsidR="003073F8">
              <w:rPr>
                <w:rFonts w:ascii="Times New Roman" w:hAnsi="Times New Roman" w:eastAsia="Times New Roman" w:cs="Times New Roman"/>
                <w:color w:val="000000"/>
              </w:rPr>
              <w:t xml:space="preserve">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4AAF5710" w14:textId="157E44F4">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w:t>
            </w:r>
            <w:r w:rsidR="00102D78">
              <w:rPr>
                <w:rFonts w:ascii="Times New Roman" w:hAnsi="Times New Roman" w:eastAsia="Times New Roman" w:cs="Times New Roman"/>
                <w:color w:val="000000"/>
              </w:rPr>
              <w:t>124,626</w:t>
            </w:r>
            <w:r w:rsidRPr="00FB14E7">
              <w:rPr>
                <w:rFonts w:ascii="Times New Roman" w:hAnsi="Times New Roman" w:eastAsia="Times New Roman" w:cs="Times New Roman"/>
                <w:color w:val="000000"/>
              </w:rPr>
              <w:t xml:space="preserve">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43ABE4FE" w14:textId="16A11DAF">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w:t>
            </w:r>
            <w:r w:rsidR="00DD0D55">
              <w:rPr>
                <w:rFonts w:ascii="Times New Roman" w:hAnsi="Times New Roman" w:eastAsia="Times New Roman" w:cs="Times New Roman"/>
                <w:color w:val="000000"/>
              </w:rPr>
              <w:t>0</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347CB87E"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212115" w14:paraId="2FBE99E8" w14:textId="3B055DD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1</w:t>
            </w:r>
            <w:r w:rsidR="00DD0D55">
              <w:rPr>
                <w:rFonts w:ascii="Times New Roman" w:hAnsi="Times New Roman" w:eastAsia="Times New Roman" w:cs="Times New Roman"/>
                <w:color w:val="000000"/>
              </w:rPr>
              <w:t>2,</w:t>
            </w:r>
            <w:r w:rsidR="00102D78">
              <w:rPr>
                <w:rFonts w:ascii="Times New Roman" w:hAnsi="Times New Roman" w:eastAsia="Times New Roman" w:cs="Times New Roman"/>
                <w:color w:val="000000"/>
              </w:rPr>
              <w:t>463</w:t>
            </w:r>
            <w:r w:rsidRPr="00FB14E7" w:rsidR="00FB14E7">
              <w:rPr>
                <w:rFonts w:ascii="Times New Roman" w:hAnsi="Times New Roman" w:eastAsia="Times New Roman" w:cs="Times New Roman"/>
                <w:color w:val="000000"/>
              </w:rPr>
              <w:t xml:space="preserve"> </w:t>
            </w:r>
          </w:p>
        </w:tc>
      </w:tr>
      <w:tr w:rsidRPr="00FB14E7" w:rsidR="008A0F20" w:rsidTr="00F97EC1" w14:paraId="71122CD4"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67AF1AF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Data Lead</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43AA16B3" w14:textId="23ED0AEB">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GS-13</w:t>
            </w:r>
            <w:r w:rsidR="00212115">
              <w:rPr>
                <w:rFonts w:ascii="Times New Roman" w:hAnsi="Times New Roman" w:eastAsia="Times New Roman" w:cs="Times New Roman"/>
                <w:color w:val="000000"/>
              </w:rPr>
              <w:t>/6</w:t>
            </w:r>
            <w:r w:rsidR="003073F8">
              <w:rPr>
                <w:rFonts w:ascii="Times New Roman" w:hAnsi="Times New Roman" w:eastAsia="Times New Roman" w:cs="Times New Roman"/>
                <w:color w:val="000000"/>
              </w:rPr>
              <w:t xml:space="preserve">,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6F35A7DE" w14:textId="6DD39141">
            <w:pPr>
              <w:spacing w:after="0" w:line="240" w:lineRule="auto"/>
              <w:jc w:val="both"/>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w:t>
            </w:r>
            <w:r w:rsidR="00102D78">
              <w:rPr>
                <w:rFonts w:ascii="Times New Roman" w:hAnsi="Times New Roman" w:eastAsia="Times New Roman" w:cs="Times New Roman"/>
                <w:color w:val="000000"/>
              </w:rPr>
              <w:t>124,626</w:t>
            </w:r>
            <w:r w:rsidRPr="00FB14E7">
              <w:rPr>
                <w:rFonts w:ascii="Times New Roman" w:hAnsi="Times New Roman" w:eastAsia="Times New Roman" w:cs="Times New Roman"/>
                <w:color w:val="000000"/>
              </w:rPr>
              <w:t xml:space="preserve">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7875DD7D" w14:textId="5752BFE5">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w:t>
            </w:r>
            <w:r w:rsidR="00DD0D55">
              <w:rPr>
                <w:rFonts w:ascii="Times New Roman" w:hAnsi="Times New Roman" w:eastAsia="Times New Roman" w:cs="Times New Roman"/>
                <w:color w:val="000000"/>
              </w:rPr>
              <w:t>0</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5CBF0FB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212115" w14:paraId="28CA39A5" w14:textId="0D03FEF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002477CA">
              <w:rPr>
                <w:rFonts w:ascii="Times New Roman" w:hAnsi="Times New Roman" w:eastAsia="Times New Roman" w:cs="Times New Roman"/>
                <w:color w:val="000000"/>
              </w:rPr>
              <w:t>1</w:t>
            </w:r>
            <w:r w:rsidR="00DD0D55">
              <w:rPr>
                <w:rFonts w:ascii="Times New Roman" w:hAnsi="Times New Roman" w:eastAsia="Times New Roman" w:cs="Times New Roman"/>
                <w:color w:val="000000"/>
              </w:rPr>
              <w:t>2,</w:t>
            </w:r>
            <w:r w:rsidR="00102D78">
              <w:rPr>
                <w:rFonts w:ascii="Times New Roman" w:hAnsi="Times New Roman" w:eastAsia="Times New Roman" w:cs="Times New Roman"/>
                <w:color w:val="000000"/>
              </w:rPr>
              <w:t>463</w:t>
            </w:r>
          </w:p>
        </w:tc>
      </w:tr>
      <w:tr w:rsidRPr="00FB14E7" w:rsidR="008A0F20" w:rsidTr="00F97EC1" w14:paraId="1B752C67"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614EC291"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Privacy Lead</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258B10C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T-42</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630EEBBE" w14:textId="3C275D4C">
            <w:pPr>
              <w:spacing w:after="0" w:line="240" w:lineRule="auto"/>
              <w:jc w:val="both"/>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178,500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4E76CF3C"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5</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3EF90A4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212115" w14:paraId="730B8188" w14:textId="49C7BFB0">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8,925 </w:t>
            </w:r>
          </w:p>
        </w:tc>
      </w:tr>
      <w:tr w:rsidRPr="00FB14E7" w:rsidR="008A0F20" w:rsidTr="00F97EC1" w14:paraId="6040FEA0"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793537C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Privacy Lead 2</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09A95DEE" w14:textId="007EE3A2">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GS-14</w:t>
            </w:r>
            <w:r w:rsidR="00212115">
              <w:rPr>
                <w:rFonts w:ascii="Times New Roman" w:hAnsi="Times New Roman" w:eastAsia="Times New Roman" w:cs="Times New Roman"/>
                <w:color w:val="000000"/>
              </w:rPr>
              <w:t>/6</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41853386" w14:textId="11B76FAC">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w:t>
            </w:r>
            <w:r w:rsidR="00102D78">
              <w:rPr>
                <w:rFonts w:ascii="Times New Roman" w:hAnsi="Times New Roman" w:eastAsia="Times New Roman" w:cs="Times New Roman"/>
                <w:color w:val="000000"/>
              </w:rPr>
              <w:t>147,272</w:t>
            </w:r>
            <w:r w:rsidRPr="00FB14E7">
              <w:rPr>
                <w:rFonts w:ascii="Times New Roman" w:hAnsi="Times New Roman" w:eastAsia="Times New Roman" w:cs="Times New Roman"/>
                <w:color w:val="000000"/>
              </w:rPr>
              <w:t xml:space="preserve">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2E168122"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5</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3064CCF2"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212115" w14:paraId="2617205B" w14:textId="07292632">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7,</w:t>
            </w:r>
            <w:r w:rsidR="00102D78">
              <w:rPr>
                <w:rFonts w:ascii="Times New Roman" w:hAnsi="Times New Roman" w:eastAsia="Times New Roman" w:cs="Times New Roman"/>
                <w:color w:val="000000"/>
              </w:rPr>
              <w:t>364</w:t>
            </w:r>
          </w:p>
        </w:tc>
      </w:tr>
      <w:tr w:rsidRPr="00FB14E7" w:rsidR="008A0F20" w:rsidTr="00F97EC1" w14:paraId="69E69DC5"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3875297A"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Contractor Cost</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01C4EFA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7B29EA2C"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12098F6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13CF1EBD"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0BDAF49B"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F97EC1" w14:paraId="3028FD55"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4F3F8900"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53779732"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2DF03CF8" w14:textId="2D04913F">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745FCDD5"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1A68591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212115" w14:paraId="302FADBD" w14:textId="274AF2F8">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18,980 </w:t>
            </w:r>
          </w:p>
        </w:tc>
      </w:tr>
      <w:tr w:rsidRPr="00FB14E7" w:rsidR="008A0F20" w:rsidTr="00F97EC1" w14:paraId="1CE05439"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2F8B7F4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159E484B"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744830FF" w14:textId="0157DD9A">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108C98FB"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7CD58FD9"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212115" w14:paraId="27FC80A7" w14:textId="54403CEB">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18,980 </w:t>
            </w:r>
          </w:p>
        </w:tc>
      </w:tr>
      <w:tr w:rsidRPr="00FB14E7" w:rsidR="008A0F20" w:rsidTr="00F97EC1" w14:paraId="73156EAE"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650BC21B"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0F2276E1"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38374CE3" w14:textId="0FC85892">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3C8D6E51"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18CDE8B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212115" w14:paraId="2E64FB9C" w14:textId="151F850D">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18,980</w:t>
            </w:r>
          </w:p>
        </w:tc>
      </w:tr>
      <w:tr w:rsidRPr="00FB14E7" w:rsidR="008A0F20" w:rsidTr="00F97EC1" w14:paraId="0E766A07"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1843EF5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Nurse document review</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0141A644"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4E942105" w14:textId="652B54EA">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 $      151,840 </w:t>
            </w:r>
          </w:p>
        </w:tc>
        <w:tc>
          <w:tcPr>
            <w:tcW w:w="1260" w:type="dxa"/>
            <w:tcBorders>
              <w:top w:val="nil"/>
              <w:left w:val="nil"/>
              <w:bottom w:val="single" w:color="auto" w:sz="8" w:space="0"/>
              <w:right w:val="single" w:color="auto" w:sz="8" w:space="0"/>
            </w:tcBorders>
            <w:shd w:val="clear" w:color="auto" w:fill="auto"/>
            <w:noWrap/>
            <w:vAlign w:val="center"/>
            <w:hideMark/>
          </w:tcPr>
          <w:p w:rsidRPr="00FB14E7" w:rsidR="00FB14E7" w:rsidP="003A5CB3" w:rsidRDefault="00FB14E7" w14:paraId="23C39E00" w14:textId="77777777">
            <w:pPr>
              <w:spacing w:after="0" w:line="240" w:lineRule="auto"/>
              <w:jc w:val="right"/>
              <w:rPr>
                <w:rFonts w:ascii="Times New Roman" w:hAnsi="Times New Roman" w:eastAsia="Times New Roman" w:cs="Times New Roman"/>
                <w:color w:val="000000"/>
              </w:rPr>
            </w:pPr>
            <w:r w:rsidRPr="00FB14E7">
              <w:rPr>
                <w:rFonts w:ascii="Times New Roman" w:hAnsi="Times New Roman" w:eastAsia="Times New Roman" w:cs="Times New Roman"/>
                <w:color w:val="000000"/>
              </w:rPr>
              <w:t>12.5</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22913B7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00212115" w:rsidP="003A5CB3" w:rsidRDefault="00212115" w14:paraId="4533424D" w14:textId="4A657DE8">
            <w:pPr>
              <w:spacing w:after="0" w:line="240" w:lineRule="auto"/>
              <w:rPr>
                <w:rFonts w:ascii="Times New Roman" w:hAnsi="Times New Roman" w:eastAsia="Times New Roman" w:cs="Times New Roman"/>
                <w:color w:val="000000"/>
              </w:rPr>
            </w:pPr>
          </w:p>
          <w:p w:rsidRPr="00FB14E7" w:rsidR="00FB14E7" w:rsidP="003A5CB3" w:rsidRDefault="00212115" w14:paraId="38A43447" w14:textId="329C1283">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Pr="00FB14E7" w:rsidR="00FB14E7">
              <w:rPr>
                <w:rFonts w:ascii="Times New Roman" w:hAnsi="Times New Roman" w:eastAsia="Times New Roman" w:cs="Times New Roman"/>
                <w:color w:val="000000"/>
              </w:rPr>
              <w:t xml:space="preserve">18,980 </w:t>
            </w:r>
          </w:p>
        </w:tc>
      </w:tr>
      <w:tr w:rsidRPr="00FB14E7" w:rsidR="008A0F20" w:rsidTr="00F97EC1" w14:paraId="515690B9"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61BA32D0"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xml:space="preserve">Travel </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3F3C302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000000" w:fill="BFBFBF"/>
            <w:noWrap/>
            <w:vAlign w:val="center"/>
            <w:hideMark/>
          </w:tcPr>
          <w:p w:rsidRPr="00FB14E7" w:rsidR="00FB14E7" w:rsidP="003A5CB3" w:rsidRDefault="00FB14E7" w14:paraId="031012CD"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FB14E7" w:rsidR="00FB14E7" w:rsidP="003A5CB3" w:rsidRDefault="00FB14E7" w14:paraId="1AADF2A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1E42C2A5"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0231F37C"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F97EC1" w14:paraId="7C103A9F"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00FAD74A"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Other Cost</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3221E057"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000000" w:fill="BFBFBF"/>
            <w:noWrap/>
            <w:vAlign w:val="center"/>
            <w:hideMark/>
          </w:tcPr>
          <w:p w:rsidRPr="00FB14E7" w:rsidR="00FB14E7" w:rsidP="003A5CB3" w:rsidRDefault="00FB14E7" w14:paraId="58A834C2"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FB14E7" w:rsidR="00FB14E7" w:rsidP="003A5CB3" w:rsidRDefault="00FB14E7" w14:paraId="47FCE2E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4B9AD4EC"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0DE7435F"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r>
      <w:tr w:rsidRPr="00FB14E7" w:rsidR="008A0F20" w:rsidTr="008A0F20" w14:paraId="77F9E1C1" w14:textId="77777777">
        <w:trPr>
          <w:trHeight w:val="300"/>
        </w:trPr>
        <w:tc>
          <w:tcPr>
            <w:tcW w:w="2420" w:type="dxa"/>
            <w:tcBorders>
              <w:top w:val="nil"/>
              <w:left w:val="single" w:color="auto" w:sz="8" w:space="0"/>
              <w:bottom w:val="single" w:color="auto" w:sz="8" w:space="0"/>
              <w:right w:val="single" w:color="auto" w:sz="8" w:space="0"/>
            </w:tcBorders>
            <w:shd w:val="clear" w:color="auto" w:fill="auto"/>
            <w:noWrap/>
            <w:vAlign w:val="bottom"/>
            <w:hideMark/>
          </w:tcPr>
          <w:p w:rsidRPr="00FB14E7" w:rsidR="00FB14E7" w:rsidP="003A5CB3" w:rsidRDefault="00FB14E7" w14:paraId="15A5DEEC"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t> </w:t>
            </w:r>
          </w:p>
        </w:tc>
        <w:tc>
          <w:tcPr>
            <w:tcW w:w="1292"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1765D2A3" w14:textId="77777777">
            <w:pPr>
              <w:spacing w:after="0" w:line="240" w:lineRule="auto"/>
              <w:rPr>
                <w:rFonts w:ascii="Times New Roman" w:hAnsi="Times New Roman" w:eastAsia="Times New Roman" w:cs="Times New Roman"/>
                <w:color w:val="000000"/>
              </w:rPr>
            </w:pPr>
            <w:r w:rsidRPr="00FB14E7">
              <w:rPr>
                <w:rFonts w:ascii="Times New Roman" w:hAnsi="Times New Roman" w:eastAsia="Times New Roman" w:cs="Times New Roman"/>
                <w:color w:val="000000"/>
              </w:rPr>
              <w:t> </w:t>
            </w:r>
          </w:p>
        </w:tc>
        <w:tc>
          <w:tcPr>
            <w:tcW w:w="1768" w:type="dxa"/>
            <w:tcBorders>
              <w:top w:val="nil"/>
              <w:left w:val="nil"/>
              <w:bottom w:val="single" w:color="auto" w:sz="8" w:space="0"/>
              <w:right w:val="single" w:color="auto" w:sz="8" w:space="0"/>
            </w:tcBorders>
            <w:shd w:val="clear" w:color="000000" w:fill="BFBFBF"/>
            <w:noWrap/>
            <w:vAlign w:val="bottom"/>
            <w:hideMark/>
          </w:tcPr>
          <w:p w:rsidRPr="00FB14E7" w:rsidR="00FB14E7" w:rsidP="003A5CB3" w:rsidRDefault="00FB14E7" w14:paraId="384E74F5"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FB14E7" w:rsidR="00FB14E7" w:rsidP="003A5CB3" w:rsidRDefault="00FB14E7" w14:paraId="34E9A842"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w:t>
            </w:r>
          </w:p>
        </w:tc>
        <w:tc>
          <w:tcPr>
            <w:tcW w:w="1260" w:type="dxa"/>
            <w:tcBorders>
              <w:top w:val="nil"/>
              <w:left w:val="nil"/>
              <w:bottom w:val="single" w:color="auto" w:sz="8" w:space="0"/>
              <w:right w:val="single" w:color="auto" w:sz="8" w:space="0"/>
            </w:tcBorders>
            <w:shd w:val="clear" w:color="000000" w:fill="BFBFBF"/>
            <w:vAlign w:val="center"/>
            <w:hideMark/>
          </w:tcPr>
          <w:p w:rsidRPr="00FB14E7" w:rsidR="00FB14E7" w:rsidP="003A5CB3" w:rsidRDefault="00FB14E7" w14:paraId="02E8A9DF"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32C984D6" w14:textId="77777777">
            <w:pPr>
              <w:spacing w:after="0" w:line="240" w:lineRule="auto"/>
              <w:rPr>
                <w:rFonts w:ascii="Times New Roman" w:hAnsi="Times New Roman" w:eastAsia="Times New Roman" w:cs="Times New Roman"/>
                <w:b/>
                <w:bCs/>
                <w:color w:val="000000"/>
              </w:rPr>
            </w:pPr>
            <w:r w:rsidRPr="00FB14E7">
              <w:rPr>
                <w:rFonts w:ascii="Times New Roman" w:hAnsi="Times New Roman" w:eastAsia="Times New Roman" w:cs="Times New Roman"/>
                <w:b/>
                <w:bCs/>
                <w:color w:val="000000"/>
              </w:rPr>
              <w:t> </w:t>
            </w:r>
          </w:p>
        </w:tc>
      </w:tr>
      <w:tr w:rsidRPr="00FB14E7" w:rsidR="008A0F20" w:rsidTr="008A0F20" w14:paraId="20640BA2" w14:textId="77777777">
        <w:trPr>
          <w:trHeight w:val="32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FB14E7" w:rsidR="00FB14E7" w:rsidP="003A5CB3" w:rsidRDefault="00FB14E7" w14:paraId="48569C0E" w14:textId="77777777">
            <w:pPr>
              <w:spacing w:after="0" w:line="240" w:lineRule="auto"/>
              <w:rPr>
                <w:rFonts w:ascii="Times New Roman" w:hAnsi="Times New Roman" w:eastAsia="Times New Roman" w:cs="Times New Roman"/>
                <w:b/>
                <w:bCs/>
                <w:color w:val="000000"/>
                <w:sz w:val="20"/>
                <w:szCs w:val="20"/>
              </w:rPr>
            </w:pPr>
            <w:r w:rsidRPr="00FB14E7">
              <w:rPr>
                <w:rFonts w:ascii="Times New Roman" w:hAnsi="Times New Roman" w:eastAsia="Times New Roman" w:cs="Times New Roman"/>
                <w:b/>
                <w:bCs/>
                <w:color w:val="000000"/>
                <w:sz w:val="20"/>
                <w:szCs w:val="20"/>
              </w:rPr>
              <w:t>Total</w:t>
            </w:r>
          </w:p>
        </w:tc>
        <w:tc>
          <w:tcPr>
            <w:tcW w:w="1292"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3DAD9123" w14:textId="77777777">
            <w:pPr>
              <w:spacing w:after="0" w:line="240" w:lineRule="auto"/>
              <w:rPr>
                <w:rFonts w:ascii="Times New Roman" w:hAnsi="Times New Roman" w:eastAsia="Times New Roman" w:cs="Times New Roman"/>
                <w:color w:val="000000"/>
                <w:sz w:val="24"/>
                <w:szCs w:val="24"/>
              </w:rPr>
            </w:pPr>
            <w:r w:rsidRPr="00FB14E7">
              <w:rPr>
                <w:rFonts w:ascii="Times New Roman" w:hAnsi="Times New Roman" w:eastAsia="Times New Roman" w:cs="Times New Roman"/>
                <w:color w:val="000000"/>
                <w:sz w:val="24"/>
                <w:szCs w:val="24"/>
              </w:rPr>
              <w:t> </w:t>
            </w:r>
          </w:p>
        </w:tc>
        <w:tc>
          <w:tcPr>
            <w:tcW w:w="1768" w:type="dxa"/>
            <w:tcBorders>
              <w:top w:val="nil"/>
              <w:left w:val="nil"/>
              <w:bottom w:val="single" w:color="auto" w:sz="8" w:space="0"/>
              <w:right w:val="single" w:color="auto" w:sz="8" w:space="0"/>
            </w:tcBorders>
            <w:shd w:val="clear" w:color="auto" w:fill="auto"/>
            <w:noWrap/>
            <w:vAlign w:val="bottom"/>
            <w:hideMark/>
          </w:tcPr>
          <w:p w:rsidRPr="00FB14E7" w:rsidR="00FB14E7" w:rsidP="003A5CB3" w:rsidRDefault="00FB14E7" w14:paraId="46A5D391"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t> </w:t>
            </w:r>
          </w:p>
        </w:tc>
        <w:tc>
          <w:tcPr>
            <w:tcW w:w="1260" w:type="dxa"/>
            <w:tcBorders>
              <w:top w:val="nil"/>
              <w:left w:val="nil"/>
              <w:bottom w:val="single" w:color="auto" w:sz="8" w:space="0"/>
              <w:right w:val="single" w:color="auto" w:sz="8" w:space="0"/>
            </w:tcBorders>
            <w:shd w:val="clear" w:color="auto" w:fill="auto"/>
            <w:noWrap/>
            <w:vAlign w:val="bottom"/>
            <w:hideMark/>
          </w:tcPr>
          <w:p w:rsidRPr="00FB14E7" w:rsidR="00FB14E7" w:rsidP="003A5CB3" w:rsidRDefault="00FB14E7" w14:paraId="62B23212" w14:textId="77777777">
            <w:pPr>
              <w:spacing w:after="0" w:line="240" w:lineRule="auto"/>
              <w:rPr>
                <w:rFonts w:ascii="Calibri" w:hAnsi="Calibri" w:eastAsia="Times New Roman" w:cs="Calibri"/>
                <w:color w:val="000000"/>
              </w:rPr>
            </w:pPr>
            <w:r w:rsidRPr="00FB14E7">
              <w:rPr>
                <w:rFonts w:ascii="Calibri" w:hAnsi="Calibri" w:eastAsia="Times New Roman" w:cs="Calibri"/>
                <w:color w:val="000000"/>
              </w:rPr>
              <w:t> </w:t>
            </w:r>
          </w:p>
        </w:tc>
        <w:tc>
          <w:tcPr>
            <w:tcW w:w="126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6937D8EB" w14:textId="77777777">
            <w:pPr>
              <w:spacing w:after="0" w:line="240" w:lineRule="auto"/>
              <w:rPr>
                <w:rFonts w:ascii="Times New Roman" w:hAnsi="Times New Roman" w:eastAsia="Times New Roman" w:cs="Times New Roman"/>
                <w:color w:val="000000"/>
                <w:sz w:val="20"/>
                <w:szCs w:val="20"/>
              </w:rPr>
            </w:pPr>
            <w:r w:rsidRPr="00FB14E7">
              <w:rPr>
                <w:rFonts w:ascii="Times New Roman" w:hAnsi="Times New Roman" w:eastAsia="Times New Roman" w:cs="Times New Roman"/>
                <w:color w:val="000000"/>
                <w:sz w:val="20"/>
                <w:szCs w:val="20"/>
              </w:rPr>
              <w:t> </w:t>
            </w:r>
          </w:p>
        </w:tc>
        <w:tc>
          <w:tcPr>
            <w:tcW w:w="2070" w:type="dxa"/>
            <w:tcBorders>
              <w:top w:val="nil"/>
              <w:left w:val="nil"/>
              <w:bottom w:val="single" w:color="auto" w:sz="8" w:space="0"/>
              <w:right w:val="single" w:color="auto" w:sz="8" w:space="0"/>
            </w:tcBorders>
            <w:shd w:val="clear" w:color="auto" w:fill="auto"/>
            <w:vAlign w:val="center"/>
            <w:hideMark/>
          </w:tcPr>
          <w:p w:rsidRPr="00FB14E7" w:rsidR="00FB14E7" w:rsidP="003A5CB3" w:rsidRDefault="00FB14E7" w14:paraId="1E899D4B" w14:textId="516DDB20">
            <w:pPr>
              <w:spacing w:after="0" w:line="240" w:lineRule="auto"/>
              <w:rPr>
                <w:rFonts w:ascii="Times New Roman" w:hAnsi="Times New Roman" w:eastAsia="Times New Roman" w:cs="Times New Roman"/>
                <w:color w:val="000000"/>
                <w:sz w:val="20"/>
                <w:szCs w:val="20"/>
              </w:rPr>
            </w:pPr>
            <w:r w:rsidRPr="00FB14E7">
              <w:rPr>
                <w:rFonts w:ascii="Times New Roman" w:hAnsi="Times New Roman" w:eastAsia="Times New Roman" w:cs="Times New Roman"/>
                <w:color w:val="000000"/>
                <w:sz w:val="20"/>
                <w:szCs w:val="20"/>
              </w:rPr>
              <w:t xml:space="preserve"> </w:t>
            </w:r>
            <w:r w:rsidR="00212115">
              <w:rPr>
                <w:rFonts w:ascii="Times New Roman" w:hAnsi="Times New Roman" w:eastAsia="Times New Roman" w:cs="Times New Roman"/>
                <w:color w:val="000000"/>
                <w:sz w:val="20"/>
                <w:szCs w:val="20"/>
              </w:rPr>
              <w:t>$</w:t>
            </w:r>
            <w:r w:rsidR="008C3F8B">
              <w:rPr>
                <w:rFonts w:ascii="Times New Roman" w:hAnsi="Times New Roman" w:eastAsia="Times New Roman" w:cs="Times New Roman"/>
                <w:color w:val="000000"/>
                <w:sz w:val="20"/>
                <w:szCs w:val="20"/>
              </w:rPr>
              <w:t>117,135</w:t>
            </w:r>
          </w:p>
        </w:tc>
      </w:tr>
    </w:tbl>
    <w:p w:rsidRPr="00F97EC1" w:rsidR="006B624F" w:rsidP="003A5CB3" w:rsidRDefault="009747F4" w14:paraId="27799FEF" w14:textId="3DB171E8">
      <w:pPr>
        <w:spacing w:after="0" w:line="240" w:lineRule="auto"/>
        <w:rPr>
          <w:color w:val="002060"/>
          <w:sz w:val="18"/>
          <w:szCs w:val="18"/>
        </w:rPr>
      </w:pPr>
      <w:r>
        <w:t>*</w:t>
      </w:r>
      <w:r w:rsidRPr="009747F4">
        <w:rPr>
          <w:sz w:val="18"/>
          <w:szCs w:val="18"/>
        </w:rPr>
        <w:t>the</w:t>
      </w:r>
      <w:r>
        <w:t xml:space="preserve"> </w:t>
      </w:r>
      <w:r w:rsidRPr="009747F4">
        <w:rPr>
          <w:sz w:val="18"/>
          <w:szCs w:val="18"/>
        </w:rPr>
        <w:t xml:space="preserve">Salary in table above is cited </w:t>
      </w:r>
      <w:r w:rsidRPr="00AD2419">
        <w:rPr>
          <w:sz w:val="18"/>
          <w:szCs w:val="18"/>
        </w:rPr>
        <w:t>from</w:t>
      </w:r>
      <w:r w:rsidRPr="00F97EC1">
        <w:rPr>
          <w:sz w:val="18"/>
          <w:szCs w:val="18"/>
        </w:rPr>
        <w:t xml:space="preserve"> </w:t>
      </w:r>
      <w:hyperlink w:history="1" r:id="rId19">
        <w:r w:rsidRPr="00916017" w:rsidR="008C3F8B">
          <w:rPr>
            <w:rStyle w:val="Hyperlink"/>
            <w:sz w:val="18"/>
            <w:szCs w:val="18"/>
          </w:rPr>
          <w:t>https://www.opm.gov/policy-data-oversight/pay-leave/salaries-wages/salary-tables/22Tables/html/DCB.aspx</w:t>
        </w:r>
      </w:hyperlink>
    </w:p>
    <w:p w:rsidR="0037291F" w:rsidP="003A5CB3" w:rsidRDefault="0037291F" w14:paraId="134E7E5A" w14:textId="77777777">
      <w:pPr>
        <w:spacing w:after="0" w:line="240" w:lineRule="auto"/>
      </w:pPr>
    </w:p>
    <w:p w:rsidR="00FF72FC" w:rsidP="003A5CB3" w:rsidRDefault="00FF72FC" w14:paraId="4551EBE8" w14:textId="7998767B">
      <w:pPr>
        <w:spacing w:after="0" w:line="240" w:lineRule="auto"/>
        <w:rPr>
          <w:b/>
        </w:rPr>
      </w:pPr>
      <w:r w:rsidRPr="00E35DD1">
        <w:rPr>
          <w:b/>
        </w:rPr>
        <w:t>A.15</w:t>
      </w:r>
      <w:r w:rsidRPr="00E35DD1">
        <w:rPr>
          <w:b/>
        </w:rPr>
        <w:tab/>
        <w:t>Explanation for Program Changes or Adjustments</w:t>
      </w:r>
    </w:p>
    <w:p w:rsidRPr="00E35DD1" w:rsidR="009F2345" w:rsidP="003A5CB3" w:rsidRDefault="009F2345" w14:paraId="69063415" w14:textId="77777777">
      <w:pPr>
        <w:spacing w:after="0" w:line="240" w:lineRule="auto"/>
        <w:rPr>
          <w:b/>
        </w:rPr>
      </w:pPr>
    </w:p>
    <w:p w:rsidR="00847B61" w:rsidP="00847B61" w:rsidRDefault="00847B61" w14:paraId="066B3626" w14:textId="78E245C0">
      <w:pPr>
        <w:pStyle w:val="ListParagraph"/>
        <w:spacing w:after="0" w:line="240" w:lineRule="auto"/>
        <w:ind w:left="0"/>
        <w:contextualSpacing w:val="0"/>
      </w:pPr>
      <w:r>
        <w:rPr>
          <w:highlight w:val="yellow"/>
        </w:rPr>
        <w:t>Adjustments</w:t>
      </w:r>
      <w:r w:rsidRPr="009F2345" w:rsidR="003E117A">
        <w:rPr>
          <w:highlight w:val="yellow"/>
        </w:rPr>
        <w:t xml:space="preserve"> have occurred since </w:t>
      </w:r>
      <w:r>
        <w:rPr>
          <w:highlight w:val="yellow"/>
        </w:rPr>
        <w:t>this submission</w:t>
      </w:r>
      <w:r w:rsidRPr="009F2345" w:rsidR="003E117A">
        <w:rPr>
          <w:highlight w:val="yellow"/>
        </w:rPr>
        <w:t xml:space="preserve"> was approved under an “</w:t>
      </w:r>
      <w:r w:rsidRPr="009F2345">
        <w:rPr>
          <w:highlight w:val="yellow"/>
        </w:rPr>
        <w:t xml:space="preserve">emergency </w:t>
      </w:r>
      <w:r>
        <w:rPr>
          <w:highlight w:val="yellow"/>
        </w:rPr>
        <w:t>“procedures</w:t>
      </w:r>
      <w:r w:rsidRPr="009F2345" w:rsidR="003E117A">
        <w:rPr>
          <w:highlight w:val="yellow"/>
        </w:rPr>
        <w:t>.</w:t>
      </w:r>
      <w:r w:rsidRPr="009F2345" w:rsidR="004D7C03">
        <w:rPr>
          <w:highlight w:val="yellow"/>
        </w:rPr>
        <w:t xml:space="preserve"> </w:t>
      </w:r>
      <w:bookmarkStart w:name="_Hlk95811914" w:id="32"/>
      <w:r w:rsidRPr="00C00C7D">
        <w:rPr>
          <w:rFonts w:eastAsia="Times New Roman"/>
          <w:highlight w:val="yellow"/>
        </w:rPr>
        <w:t>Th</w:t>
      </w:r>
      <w:r>
        <w:rPr>
          <w:rFonts w:eastAsia="Times New Roman"/>
          <w:highlight w:val="yellow"/>
        </w:rPr>
        <w:t xml:space="preserve">e increase in burden of </w:t>
      </w:r>
      <w:r w:rsidR="00702C1B">
        <w:rPr>
          <w:rFonts w:eastAsia="Times New Roman"/>
          <w:highlight w:val="yellow"/>
        </w:rPr>
        <w:t>5,</w:t>
      </w:r>
      <w:r w:rsidR="008C3F8B">
        <w:rPr>
          <w:rFonts w:eastAsia="Times New Roman"/>
          <w:highlight w:val="yellow"/>
        </w:rPr>
        <w:t>916</w:t>
      </w:r>
      <w:r>
        <w:rPr>
          <w:rFonts w:eastAsia="Times New Roman"/>
          <w:highlight w:val="yellow"/>
        </w:rPr>
        <w:t xml:space="preserve"> hours is due to the addition of </w:t>
      </w:r>
      <w:r w:rsidRPr="00C00C7D">
        <w:rPr>
          <w:rFonts w:eastAsia="Times New Roman"/>
          <w:highlight w:val="yellow"/>
        </w:rPr>
        <w:t xml:space="preserve">two new forms as NIH is </w:t>
      </w:r>
      <w:r w:rsidRPr="00C00C7D">
        <w:rPr>
          <w:highlight w:val="yellow"/>
        </w:rPr>
        <w:t xml:space="preserve">implementing a building entry protocol where ALL people, feds, contractors, patients, and visitors, will walk up to a door and scan a QR code with their phone and answer </w:t>
      </w:r>
      <w:r w:rsidR="00566171">
        <w:rPr>
          <w:highlight w:val="yellow"/>
        </w:rPr>
        <w:t xml:space="preserve">screening </w:t>
      </w:r>
      <w:r w:rsidRPr="00C00C7D">
        <w:rPr>
          <w:highlight w:val="yellow"/>
        </w:rPr>
        <w:t>questions about Covid exposure every day.</w:t>
      </w:r>
    </w:p>
    <w:p w:rsidRPr="009F2345" w:rsidR="00847B61" w:rsidP="00847B61" w:rsidRDefault="00847B61" w14:paraId="52942E8F" w14:textId="5A08FAF6">
      <w:pPr>
        <w:spacing w:after="0" w:line="240" w:lineRule="auto"/>
      </w:pPr>
    </w:p>
    <w:p w:rsidR="009F2345" w:rsidP="009F2345" w:rsidRDefault="009F2345" w14:paraId="19CAF94C" w14:textId="580F8D9B">
      <w:pPr>
        <w:spacing w:after="0" w:line="240" w:lineRule="auto"/>
      </w:pPr>
    </w:p>
    <w:p w:rsidR="005D24CF" w:rsidP="009F2345" w:rsidRDefault="005D24CF" w14:paraId="67B845A7" w14:textId="77777777">
      <w:pPr>
        <w:spacing w:after="0" w:line="240" w:lineRule="auto"/>
      </w:pPr>
    </w:p>
    <w:bookmarkEnd w:id="32"/>
    <w:p w:rsidR="003E117A" w:rsidP="003A5CB3" w:rsidRDefault="003E117A" w14:paraId="615F2855" w14:textId="1ACA87D1">
      <w:pPr>
        <w:pStyle w:val="CommentText"/>
        <w:spacing w:after="0"/>
        <w:rPr>
          <w:sz w:val="22"/>
          <w:szCs w:val="22"/>
        </w:rPr>
      </w:pPr>
    </w:p>
    <w:p w:rsidRPr="003E117A" w:rsidR="004D7C03" w:rsidP="003A5CB3" w:rsidRDefault="004D7C03" w14:paraId="48806B97" w14:textId="77777777">
      <w:pPr>
        <w:pStyle w:val="CommentText"/>
        <w:spacing w:after="0"/>
        <w:rPr>
          <w:sz w:val="22"/>
          <w:szCs w:val="22"/>
        </w:rPr>
      </w:pPr>
    </w:p>
    <w:p w:rsidR="00FF72FC" w:rsidP="003A5CB3" w:rsidRDefault="00FF72FC" w14:paraId="4912A666" w14:textId="5C894F13">
      <w:pPr>
        <w:pStyle w:val="Heading2"/>
        <w:tabs>
          <w:tab w:val="left" w:pos="720"/>
        </w:tabs>
        <w:spacing w:before="0"/>
        <w:rPr>
          <w:rFonts w:asciiTheme="minorHAnsi" w:hAnsiTheme="minorHAnsi"/>
          <w:b/>
          <w:color w:val="auto"/>
          <w:sz w:val="22"/>
          <w:szCs w:val="22"/>
        </w:rPr>
      </w:pPr>
      <w:bookmarkStart w:name="_Toc443881759" w:id="33"/>
      <w:bookmarkStart w:name="_Toc451592246" w:id="34"/>
      <w:bookmarkStart w:name="_Toc5610287" w:id="35"/>
      <w:bookmarkStart w:name="_Toc99178793" w:id="36"/>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33"/>
      <w:bookmarkEnd w:id="34"/>
      <w:bookmarkEnd w:id="35"/>
      <w:bookmarkEnd w:id="36"/>
    </w:p>
    <w:tbl>
      <w:tblPr>
        <w:tblW w:w="5000" w:type="pct"/>
        <w:jc w:val="center"/>
        <w:tblCellMar>
          <w:left w:w="120" w:type="dxa"/>
          <w:right w:w="120" w:type="dxa"/>
        </w:tblCellMar>
        <w:tblLook w:val="0000" w:firstRow="0" w:lastRow="0" w:firstColumn="0" w:lastColumn="0" w:noHBand="0" w:noVBand="0"/>
      </w:tblPr>
      <w:tblGrid>
        <w:gridCol w:w="4131"/>
        <w:gridCol w:w="5507"/>
      </w:tblGrid>
      <w:tr w:rsidRPr="00767C53" w:rsidR="00FB14E7" w:rsidTr="00C5554F" w14:paraId="56A4B94B"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767C53" w:rsidR="00FB14E7" w:rsidP="003A5CB3" w:rsidRDefault="00FB14E7" w14:paraId="36097AF7" w14:textId="77777777">
            <w:pPr>
              <w:spacing w:after="0" w:line="240" w:lineRule="auto"/>
              <w:jc w:val="center"/>
              <w:rPr>
                <w:rFonts w:eastAsia="Times New Roman" w:cs="Times New Roman"/>
                <w:color w:val="000000" w:themeColor="text1"/>
              </w:rPr>
            </w:pPr>
          </w:p>
          <w:p w:rsidRPr="00767C53" w:rsidR="00FB14E7" w:rsidP="003A5CB3" w:rsidRDefault="00FB14E7" w14:paraId="24BF36C4" w14:textId="77777777">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  Project Time Schedule</w:t>
            </w:r>
          </w:p>
        </w:tc>
      </w:tr>
      <w:tr w:rsidRPr="00767C53" w:rsidR="00FB14E7" w:rsidTr="00C5554F" w14:paraId="741EA650" w14:textId="77777777">
        <w:trPr>
          <w:cantSplit/>
          <w:trHeight w:val="403"/>
          <w:jc w:val="center"/>
        </w:trPr>
        <w:tc>
          <w:tcPr>
            <w:tcW w:w="2143" w:type="pct"/>
            <w:tcBorders>
              <w:top w:val="single" w:color="auto" w:sz="6" w:space="0"/>
              <w:left w:val="single" w:color="auto" w:sz="4" w:space="0"/>
            </w:tcBorders>
            <w:shd w:val="pct5" w:color="auto" w:fill="FFFFFF"/>
          </w:tcPr>
          <w:p w:rsidRPr="00767C53" w:rsidR="00FB14E7" w:rsidP="003A5CB3" w:rsidRDefault="00FB14E7" w14:paraId="08656604"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2857" w:type="pct"/>
            <w:tcBorders>
              <w:top w:val="single" w:color="auto" w:sz="6" w:space="0"/>
              <w:left w:val="single" w:color="auto" w:sz="6" w:space="0"/>
              <w:right w:val="single" w:color="auto" w:sz="4" w:space="0"/>
            </w:tcBorders>
            <w:shd w:val="pct5" w:color="auto" w:fill="FFFFFF"/>
          </w:tcPr>
          <w:p w:rsidRPr="00767C53" w:rsidR="00FB14E7" w:rsidP="003A5CB3" w:rsidRDefault="00FB14E7" w14:paraId="35074CEB"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rsidRPr="00767C53" w:rsidR="00FB14E7" w:rsidTr="00C5554F" w14:paraId="2E33BABE" w14:textId="77777777">
        <w:trPr>
          <w:cantSplit/>
          <w:trHeight w:val="403"/>
          <w:jc w:val="center"/>
        </w:trPr>
        <w:tc>
          <w:tcPr>
            <w:tcW w:w="2143" w:type="pct"/>
            <w:tcBorders>
              <w:top w:val="single" w:color="auto" w:sz="6" w:space="0"/>
              <w:left w:val="single" w:color="auto" w:sz="4" w:space="0"/>
            </w:tcBorders>
            <w:shd w:val="clear" w:color="auto" w:fill="FFFFFF"/>
          </w:tcPr>
          <w:p w:rsidRPr="00767C53" w:rsidR="00FB14E7" w:rsidP="003A5CB3" w:rsidRDefault="00FB14E7" w14:paraId="56DF4E30" w14:textId="4274FC8E">
            <w:pPr>
              <w:spacing w:after="0" w:line="240" w:lineRule="auto"/>
              <w:rPr>
                <w:rFonts w:eastAsia="Times New Roman" w:cs="Times New Roman"/>
                <w:color w:val="000000" w:themeColor="text1"/>
              </w:rPr>
            </w:pPr>
            <w:r>
              <w:rPr>
                <w:rFonts w:eastAsia="Times New Roman" w:cs="Times New Roman"/>
                <w:color w:val="000000" w:themeColor="text1"/>
              </w:rPr>
              <w:t>Surveys sent to Respondents</w:t>
            </w:r>
          </w:p>
        </w:tc>
        <w:tc>
          <w:tcPr>
            <w:tcW w:w="2857" w:type="pct"/>
            <w:tcBorders>
              <w:top w:val="single" w:color="auto" w:sz="6" w:space="0"/>
              <w:left w:val="single" w:color="auto" w:sz="6" w:space="0"/>
              <w:right w:val="single" w:color="auto" w:sz="4" w:space="0"/>
            </w:tcBorders>
            <w:shd w:val="clear" w:color="auto" w:fill="FFFFFF"/>
          </w:tcPr>
          <w:p w:rsidRPr="00767C53" w:rsidR="00FB14E7" w:rsidP="003A5CB3" w:rsidRDefault="00FB14E7" w14:paraId="4FC75C7B" w14:textId="5E4A027D">
            <w:pPr>
              <w:spacing w:after="0" w:line="240" w:lineRule="auto"/>
              <w:rPr>
                <w:rFonts w:eastAsia="Times New Roman" w:cs="Times New Roman"/>
                <w:color w:val="000000" w:themeColor="text1"/>
              </w:rPr>
            </w:pPr>
            <w:r w:rsidRPr="00767C53">
              <w:rPr>
                <w:rFonts w:eastAsia="Times New Roman" w:cs="Times New Roman"/>
                <w:color w:val="000000" w:themeColor="text1"/>
              </w:rPr>
              <w:t>1</w:t>
            </w:r>
            <w:r>
              <w:rPr>
                <w:rFonts w:eastAsia="Times New Roman" w:cs="Times New Roman"/>
                <w:color w:val="000000" w:themeColor="text1"/>
              </w:rPr>
              <w:t xml:space="preserve"> week</w:t>
            </w:r>
            <w:r w:rsidRPr="00767C53">
              <w:rPr>
                <w:rFonts w:eastAsia="Times New Roman" w:cs="Times New Roman"/>
                <w:color w:val="000000" w:themeColor="text1"/>
              </w:rPr>
              <w:t xml:space="preserve"> - </w:t>
            </w:r>
            <w:r>
              <w:rPr>
                <w:rFonts w:eastAsia="Times New Roman" w:cs="Times New Roman"/>
                <w:color w:val="000000" w:themeColor="text1"/>
              </w:rPr>
              <w:t>6</w:t>
            </w:r>
            <w:r w:rsidRPr="00767C53">
              <w:rPr>
                <w:rFonts w:eastAsia="Times New Roman" w:cs="Times New Roman"/>
                <w:color w:val="000000" w:themeColor="text1"/>
              </w:rPr>
              <w:t xml:space="preserve"> months after OMB approval</w:t>
            </w:r>
          </w:p>
        </w:tc>
      </w:tr>
      <w:tr w:rsidRPr="00767C53" w:rsidR="00FB14E7" w:rsidTr="00F04940" w14:paraId="4668730C" w14:textId="77777777">
        <w:trPr>
          <w:cantSplit/>
          <w:trHeight w:val="403"/>
          <w:jc w:val="center"/>
        </w:trPr>
        <w:tc>
          <w:tcPr>
            <w:tcW w:w="2143" w:type="pct"/>
            <w:tcBorders>
              <w:top w:val="single" w:color="auto" w:sz="6" w:space="0"/>
              <w:left w:val="single" w:color="auto" w:sz="4" w:space="0"/>
              <w:bottom w:val="single" w:color="auto" w:sz="6" w:space="0"/>
            </w:tcBorders>
            <w:shd w:val="clear" w:color="auto" w:fill="FFFFFF"/>
          </w:tcPr>
          <w:p w:rsidRPr="00767C53" w:rsidR="00FB14E7" w:rsidP="003A5CB3" w:rsidRDefault="00FB14E7" w14:paraId="118FDF9F" w14:textId="64DB304A">
            <w:pPr>
              <w:spacing w:after="0" w:line="240" w:lineRule="auto"/>
              <w:rPr>
                <w:rFonts w:eastAsia="Times New Roman" w:cs="Times New Roman"/>
                <w:color w:val="000000" w:themeColor="text1"/>
              </w:rPr>
            </w:pPr>
            <w:r>
              <w:rPr>
                <w:rFonts w:eastAsia="Times New Roman" w:cs="Times New Roman"/>
                <w:color w:val="000000" w:themeColor="text1"/>
              </w:rPr>
              <w:t>Analyze Responses</w:t>
            </w:r>
          </w:p>
        </w:tc>
        <w:tc>
          <w:tcPr>
            <w:tcW w:w="2857" w:type="pct"/>
            <w:tcBorders>
              <w:top w:val="single" w:color="auto" w:sz="6" w:space="0"/>
              <w:left w:val="single" w:color="auto" w:sz="6" w:space="0"/>
              <w:bottom w:val="single" w:color="auto" w:sz="6" w:space="0"/>
              <w:right w:val="single" w:color="auto" w:sz="4" w:space="0"/>
            </w:tcBorders>
            <w:shd w:val="clear" w:color="auto" w:fill="FFFFFF"/>
          </w:tcPr>
          <w:p w:rsidRPr="00767C53" w:rsidR="00FB14E7" w:rsidP="003A5CB3" w:rsidRDefault="00FB14E7" w14:paraId="57828D02" w14:textId="2BB03606">
            <w:pPr>
              <w:spacing w:after="0" w:line="240" w:lineRule="auto"/>
              <w:rPr>
                <w:rFonts w:eastAsia="Times New Roman" w:cs="Times New Roman"/>
                <w:color w:val="000000" w:themeColor="text1"/>
              </w:rPr>
            </w:pPr>
            <w:r>
              <w:rPr>
                <w:rFonts w:eastAsia="Times New Roman" w:cs="Times New Roman"/>
                <w:color w:val="000000" w:themeColor="text1"/>
              </w:rPr>
              <w:t>1 week – 6 months after OMB approval</w:t>
            </w:r>
          </w:p>
        </w:tc>
      </w:tr>
      <w:tr w:rsidRPr="00767C53" w:rsidR="00FB14E7" w:rsidTr="00F04940" w14:paraId="2AE4D627"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767C53" w:rsidR="00FB14E7" w:rsidP="003A5CB3" w:rsidRDefault="00F04940" w14:paraId="30126DB9" w14:textId="777D672F">
            <w:pPr>
              <w:spacing w:after="0" w:line="240" w:lineRule="auto"/>
              <w:rPr>
                <w:rFonts w:eastAsia="Times New Roman" w:cs="Times New Roman"/>
                <w:color w:val="000000" w:themeColor="text1"/>
              </w:rPr>
            </w:pPr>
            <w:r>
              <w:rPr>
                <w:rFonts w:eastAsia="Times New Roman" w:cs="Times New Roman"/>
                <w:color w:val="000000" w:themeColor="text1"/>
              </w:rPr>
              <w:t>Preparation of compliance reports</w:t>
            </w:r>
            <w:r w:rsidR="00FB14E7">
              <w:rPr>
                <w:rFonts w:eastAsia="Times New Roman" w:cs="Times New Roman"/>
                <w:color w:val="000000" w:themeColor="text1"/>
              </w:rPr>
              <w:t xml:space="preserve"> </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767C53" w:rsidR="00FB14E7" w:rsidP="003A5CB3" w:rsidRDefault="00F04940" w14:paraId="4E082E4B" w14:textId="7FEBBD97">
            <w:pPr>
              <w:spacing w:after="0" w:line="240" w:lineRule="auto"/>
              <w:rPr>
                <w:rFonts w:eastAsia="Times New Roman" w:cs="Times New Roman"/>
                <w:color w:val="000000" w:themeColor="text1"/>
              </w:rPr>
            </w:pPr>
            <w:r>
              <w:rPr>
                <w:rFonts w:eastAsia="Times New Roman" w:cs="Times New Roman"/>
                <w:color w:val="000000" w:themeColor="text1"/>
              </w:rPr>
              <w:t>1 month-6 months after OMB approval</w:t>
            </w:r>
          </w:p>
        </w:tc>
      </w:tr>
    </w:tbl>
    <w:p w:rsidRPr="00FB14E7" w:rsidR="00FB14E7" w:rsidP="003A5CB3" w:rsidRDefault="00FB14E7" w14:paraId="1AAB6CA3" w14:textId="77777777">
      <w:pPr>
        <w:spacing w:after="0" w:line="240" w:lineRule="auto"/>
      </w:pPr>
    </w:p>
    <w:p w:rsidRPr="005C4013" w:rsidR="00FF72FC" w:rsidP="003A5CB3" w:rsidRDefault="00FF72FC" w14:paraId="216672D1" w14:textId="77777777">
      <w:pPr>
        <w:spacing w:after="0" w:line="240" w:lineRule="auto"/>
        <w:rPr>
          <w:b/>
        </w:rPr>
      </w:pPr>
      <w:r w:rsidRPr="005C4013">
        <w:rPr>
          <w:b/>
        </w:rPr>
        <w:t>A.17</w:t>
      </w:r>
      <w:r w:rsidRPr="005C4013">
        <w:rPr>
          <w:b/>
        </w:rPr>
        <w:tab/>
        <w:t>Reason(s) Display of OMB Expiration Date is Inappropriate</w:t>
      </w:r>
    </w:p>
    <w:p w:rsidRPr="00E35DD1" w:rsidR="004716CF" w:rsidP="003A5CB3" w:rsidRDefault="00DB1217" w14:paraId="724F9191" w14:textId="11B96251">
      <w:pPr>
        <w:spacing w:after="0" w:line="240" w:lineRule="auto"/>
      </w:pPr>
      <w:r w:rsidRPr="00BF491C">
        <w:t>The OMB control number will</w:t>
      </w:r>
      <w:r w:rsidRPr="00BF491C" w:rsidR="00BF491C">
        <w:t xml:space="preserve"> be displayed (expiration date).</w:t>
      </w:r>
    </w:p>
    <w:p w:rsidR="004D7C03" w:rsidP="003A5CB3" w:rsidRDefault="004D7C03" w14:paraId="4F133E07" w14:textId="77777777">
      <w:pPr>
        <w:spacing w:after="0" w:line="240" w:lineRule="auto"/>
        <w:rPr>
          <w:b/>
        </w:rPr>
      </w:pPr>
    </w:p>
    <w:p w:rsidRPr="005C4013" w:rsidR="0057480E" w:rsidP="003A5CB3" w:rsidRDefault="00FF72FC" w14:paraId="7190591D" w14:textId="01AC6E61">
      <w:pPr>
        <w:spacing w:after="0" w:line="240" w:lineRule="auto"/>
        <w:rPr>
          <w:b/>
        </w:rPr>
      </w:pPr>
      <w:r w:rsidRPr="005C4013">
        <w:rPr>
          <w:b/>
        </w:rPr>
        <w:t>A.18</w:t>
      </w:r>
      <w:r w:rsidRPr="005C4013">
        <w:rPr>
          <w:b/>
        </w:rPr>
        <w:tab/>
        <w:t>Exceptions to Certification for Paperwork Reduction Act Submissions</w:t>
      </w:r>
    </w:p>
    <w:p w:rsidRPr="00E35DD1" w:rsidR="00FF72FC" w:rsidP="003A5CB3" w:rsidRDefault="005F4A54" w14:paraId="49B7AE09" w14:textId="77777777">
      <w:pPr>
        <w:spacing w:after="0" w:line="240" w:lineRule="auto"/>
      </w:pPr>
      <w:r w:rsidRPr="00024899">
        <w:t xml:space="preserve"> None</w:t>
      </w:r>
    </w:p>
    <w:sectPr w:rsidRPr="00E35DD1" w:rsidR="00FF72FC" w:rsidSect="00FE6EA5">
      <w:headerReference w:type="even" r:id="rId20"/>
      <w:headerReference w:type="default" r:id="rId21"/>
      <w:footerReference w:type="even" r:id="rId22"/>
      <w:footerReference w:type="default" r:id="rId23"/>
      <w:headerReference w:type="first" r:id="rId24"/>
      <w:footerReference w:type="first" r:id="rId25"/>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4A41" w14:textId="77777777" w:rsidR="00E718D8" w:rsidRDefault="00E718D8">
      <w:pPr>
        <w:spacing w:after="0" w:line="240" w:lineRule="auto"/>
      </w:pPr>
      <w:r>
        <w:separator/>
      </w:r>
    </w:p>
  </w:endnote>
  <w:endnote w:type="continuationSeparator" w:id="0">
    <w:p w14:paraId="3AE5511B" w14:textId="77777777" w:rsidR="00E718D8" w:rsidRDefault="00E7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343B" w14:textId="77777777" w:rsidR="00C5554F" w:rsidRDefault="00E35DD1" w:rsidP="00C55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C5554F" w:rsidRDefault="00C55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2C7C" w14:textId="5418AB8E" w:rsidR="00C5554F" w:rsidRDefault="00E35DD1" w:rsidP="00C55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C5554F" w:rsidRDefault="00C5554F" w:rsidP="00C555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A7DF" w14:textId="77777777" w:rsidR="00E718D8" w:rsidRDefault="00E718D8">
      <w:pPr>
        <w:spacing w:after="0" w:line="240" w:lineRule="auto"/>
      </w:pPr>
      <w:r>
        <w:separator/>
      </w:r>
    </w:p>
  </w:footnote>
  <w:footnote w:type="continuationSeparator" w:id="0">
    <w:p w14:paraId="5D23B041" w14:textId="77777777" w:rsidR="00E718D8" w:rsidRDefault="00E7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6FAA" w14:textId="62B60E62"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7A2"/>
    <w:multiLevelType w:val="hybridMultilevel"/>
    <w:tmpl w:val="B45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D6713"/>
    <w:multiLevelType w:val="hybridMultilevel"/>
    <w:tmpl w:val="71A0A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E36B9"/>
    <w:multiLevelType w:val="hybridMultilevel"/>
    <w:tmpl w:val="262AA076"/>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C0521"/>
    <w:multiLevelType w:val="hybridMultilevel"/>
    <w:tmpl w:val="D81E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CA7AEE"/>
    <w:multiLevelType w:val="hybridMultilevel"/>
    <w:tmpl w:val="B45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2"/>
  </w:num>
  <w:num w:numId="5">
    <w:abstractNumId w:val="7"/>
  </w:num>
  <w:num w:numId="6">
    <w:abstractNumId w:val="6"/>
  </w:num>
  <w:num w:numId="7">
    <w:abstractNumId w:val="10"/>
  </w:num>
  <w:num w:numId="8">
    <w:abstractNumId w:val="12"/>
  </w:num>
  <w:num w:numId="9">
    <w:abstractNumId w:val="11"/>
  </w:num>
  <w:num w:numId="10">
    <w:abstractNumId w:val="14"/>
  </w:num>
  <w:num w:numId="11">
    <w:abstractNumId w:val="3"/>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60A0"/>
    <w:rsid w:val="000072EF"/>
    <w:rsid w:val="00014D5B"/>
    <w:rsid w:val="00024899"/>
    <w:rsid w:val="00053A51"/>
    <w:rsid w:val="0006499C"/>
    <w:rsid w:val="00082240"/>
    <w:rsid w:val="00095C92"/>
    <w:rsid w:val="000961AE"/>
    <w:rsid w:val="000A139A"/>
    <w:rsid w:val="000D1FC4"/>
    <w:rsid w:val="000D75E0"/>
    <w:rsid w:val="000E1EE6"/>
    <w:rsid w:val="000F3043"/>
    <w:rsid w:val="00102D78"/>
    <w:rsid w:val="0010319E"/>
    <w:rsid w:val="00114539"/>
    <w:rsid w:val="00170EC9"/>
    <w:rsid w:val="00183E89"/>
    <w:rsid w:val="00190C83"/>
    <w:rsid w:val="0019467A"/>
    <w:rsid w:val="00195414"/>
    <w:rsid w:val="001976E6"/>
    <w:rsid w:val="001979B6"/>
    <w:rsid w:val="001C34C1"/>
    <w:rsid w:val="002052A5"/>
    <w:rsid w:val="00212115"/>
    <w:rsid w:val="00220A7D"/>
    <w:rsid w:val="00221E75"/>
    <w:rsid w:val="002477CA"/>
    <w:rsid w:val="0024781D"/>
    <w:rsid w:val="00255F7C"/>
    <w:rsid w:val="002670CD"/>
    <w:rsid w:val="00267174"/>
    <w:rsid w:val="002770FA"/>
    <w:rsid w:val="00290945"/>
    <w:rsid w:val="00291B8C"/>
    <w:rsid w:val="00296BEC"/>
    <w:rsid w:val="002B1F01"/>
    <w:rsid w:val="002C5D4F"/>
    <w:rsid w:val="002E5047"/>
    <w:rsid w:val="002E7A78"/>
    <w:rsid w:val="002F2420"/>
    <w:rsid w:val="002F4317"/>
    <w:rsid w:val="003073F8"/>
    <w:rsid w:val="00312856"/>
    <w:rsid w:val="00330833"/>
    <w:rsid w:val="0034545F"/>
    <w:rsid w:val="00350285"/>
    <w:rsid w:val="00351C6D"/>
    <w:rsid w:val="0036208F"/>
    <w:rsid w:val="00364334"/>
    <w:rsid w:val="0037051D"/>
    <w:rsid w:val="003716AF"/>
    <w:rsid w:val="0037291F"/>
    <w:rsid w:val="00376FBD"/>
    <w:rsid w:val="003976BE"/>
    <w:rsid w:val="003A34E5"/>
    <w:rsid w:val="003A5CB3"/>
    <w:rsid w:val="003C3554"/>
    <w:rsid w:val="003E117A"/>
    <w:rsid w:val="004029B4"/>
    <w:rsid w:val="004033F9"/>
    <w:rsid w:val="004037C8"/>
    <w:rsid w:val="00404764"/>
    <w:rsid w:val="00431938"/>
    <w:rsid w:val="004425C6"/>
    <w:rsid w:val="00442AB0"/>
    <w:rsid w:val="00442B5B"/>
    <w:rsid w:val="00464781"/>
    <w:rsid w:val="004716CF"/>
    <w:rsid w:val="0049546E"/>
    <w:rsid w:val="00496167"/>
    <w:rsid w:val="00497B81"/>
    <w:rsid w:val="004A5A24"/>
    <w:rsid w:val="004A6FC8"/>
    <w:rsid w:val="004B086A"/>
    <w:rsid w:val="004C30DC"/>
    <w:rsid w:val="004C4B9F"/>
    <w:rsid w:val="004D7C03"/>
    <w:rsid w:val="004E0DE0"/>
    <w:rsid w:val="004E4872"/>
    <w:rsid w:val="004F5346"/>
    <w:rsid w:val="004F5839"/>
    <w:rsid w:val="005150E7"/>
    <w:rsid w:val="005165D9"/>
    <w:rsid w:val="00536C12"/>
    <w:rsid w:val="005463AF"/>
    <w:rsid w:val="00547B43"/>
    <w:rsid w:val="00547CC2"/>
    <w:rsid w:val="00561F9B"/>
    <w:rsid w:val="00565EF4"/>
    <w:rsid w:val="00566171"/>
    <w:rsid w:val="0057005F"/>
    <w:rsid w:val="0057188C"/>
    <w:rsid w:val="0057480E"/>
    <w:rsid w:val="0057750A"/>
    <w:rsid w:val="00581400"/>
    <w:rsid w:val="005C4013"/>
    <w:rsid w:val="005C4278"/>
    <w:rsid w:val="005D24CF"/>
    <w:rsid w:val="005E2A73"/>
    <w:rsid w:val="005E4492"/>
    <w:rsid w:val="005F4A54"/>
    <w:rsid w:val="00613994"/>
    <w:rsid w:val="00620D02"/>
    <w:rsid w:val="00637001"/>
    <w:rsid w:val="00641209"/>
    <w:rsid w:val="00644341"/>
    <w:rsid w:val="00647793"/>
    <w:rsid w:val="00655CAA"/>
    <w:rsid w:val="00675712"/>
    <w:rsid w:val="00681C03"/>
    <w:rsid w:val="00681F63"/>
    <w:rsid w:val="00685B30"/>
    <w:rsid w:val="006A45F9"/>
    <w:rsid w:val="006A47AC"/>
    <w:rsid w:val="006B624F"/>
    <w:rsid w:val="006C3D77"/>
    <w:rsid w:val="006E05A8"/>
    <w:rsid w:val="006E330A"/>
    <w:rsid w:val="006F6111"/>
    <w:rsid w:val="007005F1"/>
    <w:rsid w:val="00702C1B"/>
    <w:rsid w:val="00703A8B"/>
    <w:rsid w:val="007063F8"/>
    <w:rsid w:val="00714BFA"/>
    <w:rsid w:val="00717158"/>
    <w:rsid w:val="00756DDA"/>
    <w:rsid w:val="00767C53"/>
    <w:rsid w:val="007734C9"/>
    <w:rsid w:val="00787DE8"/>
    <w:rsid w:val="00797B6A"/>
    <w:rsid w:val="007A0CA3"/>
    <w:rsid w:val="007A7C37"/>
    <w:rsid w:val="007B386F"/>
    <w:rsid w:val="007C447B"/>
    <w:rsid w:val="007D11BF"/>
    <w:rsid w:val="007D3059"/>
    <w:rsid w:val="007D402F"/>
    <w:rsid w:val="007E1FD1"/>
    <w:rsid w:val="00807BF6"/>
    <w:rsid w:val="00825C55"/>
    <w:rsid w:val="008359FA"/>
    <w:rsid w:val="00845DEE"/>
    <w:rsid w:val="00847B61"/>
    <w:rsid w:val="00861ECB"/>
    <w:rsid w:val="0086248B"/>
    <w:rsid w:val="008737CC"/>
    <w:rsid w:val="008816A8"/>
    <w:rsid w:val="00894FF4"/>
    <w:rsid w:val="008A0F20"/>
    <w:rsid w:val="008C3F8B"/>
    <w:rsid w:val="008F05D0"/>
    <w:rsid w:val="008F40B0"/>
    <w:rsid w:val="00904A91"/>
    <w:rsid w:val="009161A7"/>
    <w:rsid w:val="00926B6D"/>
    <w:rsid w:val="00927847"/>
    <w:rsid w:val="00941822"/>
    <w:rsid w:val="00943DD7"/>
    <w:rsid w:val="009539D2"/>
    <w:rsid w:val="009747F4"/>
    <w:rsid w:val="00976490"/>
    <w:rsid w:val="0097710B"/>
    <w:rsid w:val="009859E8"/>
    <w:rsid w:val="00985C83"/>
    <w:rsid w:val="00986FBC"/>
    <w:rsid w:val="009C3E9D"/>
    <w:rsid w:val="009F2345"/>
    <w:rsid w:val="00A00CF8"/>
    <w:rsid w:val="00A32DDC"/>
    <w:rsid w:val="00A6350F"/>
    <w:rsid w:val="00A90DE2"/>
    <w:rsid w:val="00A97629"/>
    <w:rsid w:val="00AA14EA"/>
    <w:rsid w:val="00AA2426"/>
    <w:rsid w:val="00AA73FE"/>
    <w:rsid w:val="00AB736C"/>
    <w:rsid w:val="00AC3B98"/>
    <w:rsid w:val="00AD2419"/>
    <w:rsid w:val="00AD2D36"/>
    <w:rsid w:val="00B00EB3"/>
    <w:rsid w:val="00B03736"/>
    <w:rsid w:val="00B06C1E"/>
    <w:rsid w:val="00B2767E"/>
    <w:rsid w:val="00B31022"/>
    <w:rsid w:val="00B41A53"/>
    <w:rsid w:val="00B45681"/>
    <w:rsid w:val="00B50D3C"/>
    <w:rsid w:val="00B70C76"/>
    <w:rsid w:val="00B85273"/>
    <w:rsid w:val="00B93C77"/>
    <w:rsid w:val="00B95405"/>
    <w:rsid w:val="00B96691"/>
    <w:rsid w:val="00BA3B0B"/>
    <w:rsid w:val="00BA4F75"/>
    <w:rsid w:val="00BB22F4"/>
    <w:rsid w:val="00BB4C6B"/>
    <w:rsid w:val="00BE08CB"/>
    <w:rsid w:val="00BE5EFA"/>
    <w:rsid w:val="00BE76A7"/>
    <w:rsid w:val="00BF20EF"/>
    <w:rsid w:val="00BF491C"/>
    <w:rsid w:val="00C00C7D"/>
    <w:rsid w:val="00C02C97"/>
    <w:rsid w:val="00C17E3F"/>
    <w:rsid w:val="00C24877"/>
    <w:rsid w:val="00C305E3"/>
    <w:rsid w:val="00C31EAD"/>
    <w:rsid w:val="00C40F61"/>
    <w:rsid w:val="00C4161B"/>
    <w:rsid w:val="00C5554F"/>
    <w:rsid w:val="00C75860"/>
    <w:rsid w:val="00C76797"/>
    <w:rsid w:val="00C76FE2"/>
    <w:rsid w:val="00C86266"/>
    <w:rsid w:val="00CB1379"/>
    <w:rsid w:val="00CD16DE"/>
    <w:rsid w:val="00CD3DF2"/>
    <w:rsid w:val="00CF36BD"/>
    <w:rsid w:val="00D151C5"/>
    <w:rsid w:val="00D21993"/>
    <w:rsid w:val="00D34BE5"/>
    <w:rsid w:val="00D457B0"/>
    <w:rsid w:val="00D4741C"/>
    <w:rsid w:val="00D7280E"/>
    <w:rsid w:val="00D95C25"/>
    <w:rsid w:val="00DB1217"/>
    <w:rsid w:val="00DB1998"/>
    <w:rsid w:val="00DD0D55"/>
    <w:rsid w:val="00DE5570"/>
    <w:rsid w:val="00E03967"/>
    <w:rsid w:val="00E35DD1"/>
    <w:rsid w:val="00E45C03"/>
    <w:rsid w:val="00E56374"/>
    <w:rsid w:val="00E6221F"/>
    <w:rsid w:val="00E67B10"/>
    <w:rsid w:val="00E718D8"/>
    <w:rsid w:val="00E72390"/>
    <w:rsid w:val="00E941FD"/>
    <w:rsid w:val="00EA37D2"/>
    <w:rsid w:val="00EB7E3E"/>
    <w:rsid w:val="00ED4FD7"/>
    <w:rsid w:val="00ED5B7D"/>
    <w:rsid w:val="00EE245F"/>
    <w:rsid w:val="00EE5A75"/>
    <w:rsid w:val="00EE7B3A"/>
    <w:rsid w:val="00EF248C"/>
    <w:rsid w:val="00F04940"/>
    <w:rsid w:val="00F33485"/>
    <w:rsid w:val="00F471B1"/>
    <w:rsid w:val="00F505D5"/>
    <w:rsid w:val="00F514E0"/>
    <w:rsid w:val="00F71F99"/>
    <w:rsid w:val="00F7696A"/>
    <w:rsid w:val="00F82C60"/>
    <w:rsid w:val="00F97EC1"/>
    <w:rsid w:val="00FB14E7"/>
    <w:rsid w:val="00FB346E"/>
    <w:rsid w:val="00FB4386"/>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14A3CE"/>
  <w15:docId w15:val="{386CE7B3-80EC-4460-A5A3-7E35877F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customStyle="1" w:styleId="Default">
    <w:name w:val="Default"/>
    <w:rsid w:val="004961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DefaultParagraphFont"/>
    <w:rsid w:val="00F7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341395">
      <w:bodyDiv w:val="1"/>
      <w:marLeft w:val="0"/>
      <w:marRight w:val="0"/>
      <w:marTop w:val="0"/>
      <w:marBottom w:val="0"/>
      <w:divBdr>
        <w:top w:val="none" w:sz="0" w:space="0" w:color="auto"/>
        <w:left w:val="none" w:sz="0" w:space="0" w:color="auto"/>
        <w:bottom w:val="none" w:sz="0" w:space="0" w:color="auto"/>
        <w:right w:val="none" w:sz="0" w:space="0" w:color="auto"/>
      </w:divBdr>
    </w:div>
    <w:div w:id="546573261">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042560641">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23484408">
      <w:bodyDiv w:val="1"/>
      <w:marLeft w:val="0"/>
      <w:marRight w:val="0"/>
      <w:marTop w:val="0"/>
      <w:marBottom w:val="0"/>
      <w:divBdr>
        <w:top w:val="none" w:sz="0" w:space="0" w:color="auto"/>
        <w:left w:val="none" w:sz="0" w:space="0" w:color="auto"/>
        <w:bottom w:val="none" w:sz="0" w:space="0" w:color="auto"/>
        <w:right w:val="none" w:sz="0" w:space="0" w:color="auto"/>
      </w:divBdr>
    </w:div>
    <w:div w:id="1959099927">
      <w:bodyDiv w:val="1"/>
      <w:marLeft w:val="0"/>
      <w:marRight w:val="0"/>
      <w:marTop w:val="0"/>
      <w:marBottom w:val="0"/>
      <w:divBdr>
        <w:top w:val="none" w:sz="0" w:space="0" w:color="auto"/>
        <w:left w:val="none" w:sz="0" w:space="0" w:color="auto"/>
        <w:bottom w:val="none" w:sz="0" w:space="0" w:color="auto"/>
        <w:right w:val="none" w:sz="0" w:space="0" w:color="auto"/>
      </w:divBdr>
    </w:div>
    <w:div w:id="21458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1/09/14/2021-19927/requiring-coronavirus-disease-2019-vaccination-for-federal-employees" TargetMode="External"/><Relationship Id="rId18" Type="http://schemas.openxmlformats.org/officeDocument/2006/relationships/hyperlink" Target="https://www.bls.gov/oes/2020/may/oes_nat.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whitehouse.gov/briefing-room/presidential-actions/2021/09/09/executive-order-on-ensuring-adequate-covid-safety-protocols-for-federal-contractors/" TargetMode="External"/><Relationship Id="rId17" Type="http://schemas.openxmlformats.org/officeDocument/2006/relationships/hyperlink" Target="https://www.opm.gov/information-management/privacy-policy/sorn/opm-sorn-govt-10-employee-medical-file-systems-records.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info.gov/content/pkg/FR-2002-09-26/pdf/02-2396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mccormick-ell@nih.go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info.gov/content/pkg/FR-2002-09-26/pdf/02-23965.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opm.gov/policy-data-oversight/pay-leave/salaries-wages/salary-tables/22Tables/html/DCB.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usa.gov/xtBU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2" ma:contentTypeDescription="Create a new document." ma:contentTypeScope="" ma:versionID="d27b0a1a194154917423e43d47b340ec">
  <xsd:schema xmlns:xsd="http://www.w3.org/2001/XMLSchema" xmlns:xs="http://www.w3.org/2001/XMLSchema" xmlns:p="http://schemas.microsoft.com/office/2006/metadata/properties" xmlns:ns3="0b516ab0-04e4-4c88-99cd-523706b96b1a" targetNamespace="http://schemas.microsoft.com/office/2006/metadata/properties" ma:root="true" ma:fieldsID="267dcfd05327c8ceb27eb7b29564e896" ns3:_="">
    <xsd:import namespace="0b516ab0-04e4-4c88-99cd-523706b96b1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DA82CA-4679-4320-A112-B6C4C0E9D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58C73-3C4E-4B72-A072-204DF13DB31C}">
  <ds:schemaRefs>
    <ds:schemaRef ds:uri="http://schemas.microsoft.com/sharepoint/v3/contenttype/forms"/>
  </ds:schemaRefs>
</ds:datastoreItem>
</file>

<file path=customXml/itemProps4.xml><?xml version="1.0" encoding="utf-8"?>
<ds:datastoreItem xmlns:ds="http://schemas.openxmlformats.org/officeDocument/2006/customXml" ds:itemID="{D58863E4-F159-4DA1-ABF7-0DFE64B03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keywords/>
  <dc:description/>
  <cp:lastModifiedBy>Abdelmouti, Tawanda (NIH/OD) [E]</cp:lastModifiedBy>
  <cp:revision>11</cp:revision>
  <dcterms:created xsi:type="dcterms:W3CDTF">2022-03-01T21:59:00Z</dcterms:created>
  <dcterms:modified xsi:type="dcterms:W3CDTF">2022-03-14T21:05:00Z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