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272" w:rsidP="00C35FBB" w:rsidRDefault="00073198" w14:paraId="580779B4" w14:textId="19565A93">
      <w:pPr>
        <w:tabs>
          <w:tab w:val="center" w:pos="4680"/>
        </w:tabs>
        <w:spacing w:line="242" w:lineRule="auto"/>
        <w:jc w:val="center"/>
        <w:rPr>
          <w:b/>
          <w:bCs/>
          <w:sz w:val="24"/>
        </w:rPr>
      </w:pPr>
      <w:r>
        <w:rPr>
          <w:b/>
          <w:bCs/>
          <w:sz w:val="24"/>
        </w:rPr>
        <w:t xml:space="preserve">SUPPORTING STATEMENT FOR </w:t>
      </w:r>
      <w:r w:rsidR="00846339">
        <w:rPr>
          <w:b/>
          <w:bCs/>
          <w:sz w:val="24"/>
        </w:rPr>
        <w:t xml:space="preserve">THE </w:t>
      </w:r>
      <w:r w:rsidR="00BD1272">
        <w:rPr>
          <w:b/>
          <w:bCs/>
          <w:sz w:val="24"/>
        </w:rPr>
        <w:t>FREESTANDING</w:t>
      </w:r>
    </w:p>
    <w:p w:rsidR="00C34EBF" w:rsidP="00C35FBB" w:rsidRDefault="00B90B49" w14:paraId="31D4CB3A" w14:textId="77777777">
      <w:pPr>
        <w:tabs>
          <w:tab w:val="center" w:pos="4680"/>
        </w:tabs>
        <w:spacing w:line="242" w:lineRule="auto"/>
        <w:jc w:val="center"/>
        <w:rPr>
          <w:b/>
          <w:bCs/>
          <w:sz w:val="24"/>
        </w:rPr>
      </w:pPr>
      <w:r>
        <w:rPr>
          <w:b/>
          <w:bCs/>
          <w:sz w:val="24"/>
        </w:rPr>
        <w:t xml:space="preserve">FEDERALLY QUALIFIED HEALTH CENTER </w:t>
      </w:r>
    </w:p>
    <w:p w:rsidR="00B12785" w:rsidP="00923E32" w:rsidRDefault="00B90B49" w14:paraId="4B854BEF" w14:textId="77777777">
      <w:pPr>
        <w:spacing w:line="242" w:lineRule="auto"/>
        <w:jc w:val="center"/>
        <w:rPr>
          <w:b/>
          <w:bCs/>
          <w:sz w:val="24"/>
        </w:rPr>
      </w:pPr>
      <w:r>
        <w:rPr>
          <w:b/>
          <w:bCs/>
          <w:sz w:val="24"/>
        </w:rPr>
        <w:t xml:space="preserve">COST REPORT </w:t>
      </w:r>
    </w:p>
    <w:p w:rsidRPr="002D3C91" w:rsidR="00BD1272" w:rsidP="00923E32" w:rsidRDefault="00BD1272" w14:paraId="53BEDDD3" w14:textId="77777777">
      <w:pPr>
        <w:spacing w:line="242" w:lineRule="auto"/>
        <w:jc w:val="center"/>
        <w:rPr>
          <w:i/>
          <w:sz w:val="24"/>
        </w:rPr>
      </w:pPr>
      <w:r>
        <w:rPr>
          <w:b/>
          <w:bCs/>
          <w:sz w:val="24"/>
        </w:rPr>
        <w:t>(</w:t>
      </w:r>
      <w:r w:rsidRPr="00EB5FCE">
        <w:rPr>
          <w:b/>
          <w:bCs/>
          <w:sz w:val="24"/>
        </w:rPr>
        <w:t>F</w:t>
      </w:r>
      <w:r>
        <w:rPr>
          <w:b/>
          <w:bCs/>
          <w:sz w:val="24"/>
        </w:rPr>
        <w:t>orm</w:t>
      </w:r>
      <w:r w:rsidRPr="00EB5FCE">
        <w:rPr>
          <w:b/>
          <w:bCs/>
          <w:sz w:val="24"/>
        </w:rPr>
        <w:t xml:space="preserve"> CMS-</w:t>
      </w:r>
      <w:r>
        <w:rPr>
          <w:b/>
          <w:bCs/>
          <w:sz w:val="24"/>
        </w:rPr>
        <w:t>224-14</w:t>
      </w:r>
      <w:r w:rsidRPr="008A264D">
        <w:rPr>
          <w:b/>
          <w:bCs/>
          <w:sz w:val="24"/>
        </w:rPr>
        <w:t>; OMB 0938-</w:t>
      </w:r>
      <w:r>
        <w:rPr>
          <w:b/>
          <w:bCs/>
          <w:sz w:val="24"/>
        </w:rPr>
        <w:t>1298</w:t>
      </w:r>
      <w:r w:rsidRPr="008A264D">
        <w:rPr>
          <w:b/>
          <w:bCs/>
          <w:sz w:val="24"/>
        </w:rPr>
        <w:t>)</w:t>
      </w:r>
    </w:p>
    <w:p w:rsidR="00E7136F" w:rsidP="00B12785" w:rsidRDefault="00E7136F" w14:paraId="5C50C4DD" w14:textId="77777777">
      <w:pPr>
        <w:spacing w:line="242" w:lineRule="auto"/>
        <w:rPr>
          <w:sz w:val="24"/>
        </w:rPr>
      </w:pPr>
    </w:p>
    <w:p w:rsidR="00CC3764" w:rsidP="00B12785" w:rsidRDefault="00CC3764" w14:paraId="219D2AA1" w14:textId="77777777">
      <w:pPr>
        <w:spacing w:line="242" w:lineRule="auto"/>
        <w:rPr>
          <w:sz w:val="24"/>
        </w:rPr>
      </w:pPr>
    </w:p>
    <w:p w:rsidR="00073198" w:rsidP="00B12785" w:rsidRDefault="00073198" w14:paraId="25791BE3" w14:textId="77777777">
      <w:pPr>
        <w:tabs>
          <w:tab w:val="left" w:pos="450"/>
        </w:tabs>
        <w:spacing w:line="242" w:lineRule="auto"/>
        <w:rPr>
          <w:sz w:val="24"/>
        </w:rPr>
      </w:pPr>
      <w:r>
        <w:rPr>
          <w:b/>
          <w:bCs/>
          <w:sz w:val="24"/>
        </w:rPr>
        <w:t>A.</w:t>
      </w:r>
      <w:r>
        <w:rPr>
          <w:b/>
          <w:bCs/>
          <w:sz w:val="24"/>
        </w:rPr>
        <w:tab/>
      </w:r>
      <w:r>
        <w:rPr>
          <w:b/>
          <w:bCs/>
          <w:sz w:val="24"/>
          <w:u w:val="single"/>
        </w:rPr>
        <w:t>BACKGROUND</w:t>
      </w:r>
    </w:p>
    <w:p w:rsidR="00073198" w:rsidP="00B12785" w:rsidRDefault="00073198" w14:paraId="322F8C30" w14:textId="77777777">
      <w:pPr>
        <w:tabs>
          <w:tab w:val="left" w:pos="540"/>
        </w:tabs>
        <w:spacing w:line="242" w:lineRule="auto"/>
        <w:rPr>
          <w:sz w:val="24"/>
        </w:rPr>
      </w:pPr>
    </w:p>
    <w:p w:rsidR="006040B6" w:rsidP="00BC6E8A" w:rsidRDefault="00073198" w14:paraId="6521D42B" w14:textId="6D9B3773">
      <w:pPr>
        <w:spacing w:line="242" w:lineRule="auto"/>
        <w:rPr>
          <w:sz w:val="24"/>
        </w:rPr>
      </w:pPr>
      <w:r>
        <w:rPr>
          <w:sz w:val="24"/>
        </w:rPr>
        <w:t xml:space="preserve">CMS </w:t>
      </w:r>
      <w:r w:rsidR="00846339">
        <w:rPr>
          <w:sz w:val="24"/>
        </w:rPr>
        <w:t xml:space="preserve">is </w:t>
      </w:r>
      <w:r w:rsidR="00B16D07">
        <w:rPr>
          <w:sz w:val="24"/>
        </w:rPr>
        <w:t>request</w:t>
      </w:r>
      <w:r w:rsidR="00846339">
        <w:rPr>
          <w:sz w:val="24"/>
        </w:rPr>
        <w:t>ing</w:t>
      </w:r>
      <w:r>
        <w:rPr>
          <w:sz w:val="24"/>
        </w:rPr>
        <w:t xml:space="preserve"> the Office of Management and Budget (OMB) </w:t>
      </w:r>
      <w:r w:rsidR="00923E32">
        <w:rPr>
          <w:sz w:val="24"/>
        </w:rPr>
        <w:t xml:space="preserve">review and approve </w:t>
      </w:r>
      <w:r w:rsidR="005E490D">
        <w:rPr>
          <w:sz w:val="24"/>
        </w:rPr>
        <w:t xml:space="preserve">an extension to OMB No. 0938-1298, </w:t>
      </w:r>
      <w:r w:rsidR="00BC6E8A">
        <w:rPr>
          <w:sz w:val="24"/>
        </w:rPr>
        <w:t xml:space="preserve">the Federally Qualified Health Center (FQHC) </w:t>
      </w:r>
      <w:r w:rsidR="001D523A">
        <w:rPr>
          <w:sz w:val="24"/>
        </w:rPr>
        <w:t>Cost Report</w:t>
      </w:r>
      <w:r w:rsidR="00BC6E8A">
        <w:rPr>
          <w:sz w:val="24"/>
        </w:rPr>
        <w:t>, Form CMS</w:t>
      </w:r>
      <w:r w:rsidR="00BC6E8A">
        <w:rPr>
          <w:sz w:val="24"/>
        </w:rPr>
        <w:noBreakHyphen/>
        <w:t>224</w:t>
      </w:r>
      <w:r w:rsidR="00BC6E8A">
        <w:rPr>
          <w:sz w:val="24"/>
        </w:rPr>
        <w:noBreakHyphen/>
        <w:t>14</w:t>
      </w:r>
      <w:r w:rsidR="005E490D">
        <w:rPr>
          <w:sz w:val="24"/>
        </w:rPr>
        <w:t>.</w:t>
      </w:r>
      <w:r w:rsidR="009662E1">
        <w:rPr>
          <w:sz w:val="24"/>
        </w:rPr>
        <w:t xml:space="preserve"> </w:t>
      </w:r>
      <w:r w:rsidR="00203942">
        <w:rPr>
          <w:sz w:val="24"/>
        </w:rPr>
        <w:t xml:space="preserve"> </w:t>
      </w:r>
      <w:r w:rsidRPr="00137A11" w:rsidR="00BC6E8A">
        <w:rPr>
          <w:sz w:val="24"/>
        </w:rPr>
        <w:t>Th</w:t>
      </w:r>
      <w:r w:rsidR="00BC6E8A">
        <w:rPr>
          <w:sz w:val="24"/>
        </w:rPr>
        <w:t>is</w:t>
      </w:r>
      <w:r w:rsidRPr="00137A11" w:rsidR="00BC6E8A">
        <w:rPr>
          <w:sz w:val="24"/>
        </w:rPr>
        <w:t xml:space="preserve"> cost report </w:t>
      </w:r>
      <w:r w:rsidR="00BC6E8A">
        <w:rPr>
          <w:sz w:val="24"/>
        </w:rPr>
        <w:t>is</w:t>
      </w:r>
      <w:r w:rsidRPr="00137A11" w:rsidR="00BC6E8A">
        <w:rPr>
          <w:sz w:val="24"/>
        </w:rPr>
        <w:t xml:space="preserve"> filed annually, by </w:t>
      </w:r>
      <w:r w:rsidR="00BC6E8A">
        <w:rPr>
          <w:sz w:val="24"/>
        </w:rPr>
        <w:t>FQ</w:t>
      </w:r>
      <w:r w:rsidRPr="00137A11" w:rsidR="00BC6E8A">
        <w:rPr>
          <w:sz w:val="24"/>
        </w:rPr>
        <w:t>HCs participating in the Medicare program to collect cost and statistical data used by CMS to determine reasonable costs</w:t>
      </w:r>
      <w:r w:rsidR="00BC6E8A">
        <w:rPr>
          <w:sz w:val="24"/>
        </w:rPr>
        <w:t>.</w:t>
      </w:r>
      <w:r w:rsidRPr="00203942" w:rsidR="00203942">
        <w:rPr>
          <w:sz w:val="24"/>
        </w:rPr>
        <w:t xml:space="preserve"> </w:t>
      </w:r>
    </w:p>
    <w:p w:rsidR="001C7402" w:rsidP="00BC6E8A" w:rsidRDefault="001C7402" w14:paraId="76AB2824" w14:textId="1F2FE68A">
      <w:pPr>
        <w:spacing w:line="242" w:lineRule="auto"/>
        <w:rPr>
          <w:sz w:val="24"/>
        </w:rPr>
      </w:pPr>
    </w:p>
    <w:p w:rsidRPr="00916083" w:rsidR="00073198" w:rsidP="00B12785" w:rsidRDefault="00C34EBF" w14:paraId="5E081480" w14:textId="77777777">
      <w:pPr>
        <w:tabs>
          <w:tab w:val="left" w:pos="450"/>
        </w:tabs>
        <w:spacing w:line="242" w:lineRule="auto"/>
        <w:rPr>
          <w:b/>
          <w:sz w:val="24"/>
        </w:rPr>
      </w:pPr>
      <w:r>
        <w:rPr>
          <w:sz w:val="24"/>
        </w:rPr>
        <w:t xml:space="preserve"> </w:t>
      </w:r>
      <w:r w:rsidRPr="00916083" w:rsidR="00073198">
        <w:rPr>
          <w:b/>
          <w:sz w:val="24"/>
        </w:rPr>
        <w:t>B.</w:t>
      </w:r>
      <w:r w:rsidRPr="00916083" w:rsidR="00073198">
        <w:rPr>
          <w:b/>
          <w:sz w:val="24"/>
        </w:rPr>
        <w:tab/>
      </w:r>
      <w:r w:rsidRPr="00916083" w:rsidR="00073198">
        <w:rPr>
          <w:b/>
          <w:bCs/>
          <w:sz w:val="24"/>
          <w:u w:val="single"/>
        </w:rPr>
        <w:t>J</w:t>
      </w:r>
      <w:r w:rsidR="00916083">
        <w:rPr>
          <w:b/>
          <w:bCs/>
          <w:sz w:val="24"/>
          <w:u w:val="single"/>
        </w:rPr>
        <w:t>USTIFICATION</w:t>
      </w:r>
    </w:p>
    <w:p w:rsidR="00073198" w:rsidP="00B12785" w:rsidRDefault="00073198" w14:paraId="77075447" w14:textId="77777777">
      <w:pPr>
        <w:spacing w:line="242" w:lineRule="auto"/>
        <w:rPr>
          <w:sz w:val="24"/>
          <w:u w:val="single"/>
        </w:rPr>
      </w:pPr>
    </w:p>
    <w:p w:rsidR="00073198" w:rsidP="00B12785" w:rsidRDefault="00073198" w14:paraId="6F392991" w14:textId="77777777">
      <w:pPr>
        <w:numPr>
          <w:ilvl w:val="0"/>
          <w:numId w:val="8"/>
        </w:numPr>
        <w:tabs>
          <w:tab w:val="clear" w:pos="1440"/>
          <w:tab w:val="left" w:pos="810"/>
        </w:tabs>
        <w:spacing w:line="242" w:lineRule="auto"/>
        <w:ind w:hanging="990"/>
        <w:rPr>
          <w:sz w:val="24"/>
        </w:rPr>
      </w:pPr>
      <w:r>
        <w:rPr>
          <w:sz w:val="24"/>
          <w:u w:val="single"/>
        </w:rPr>
        <w:t>Need and Legal Basis</w:t>
      </w:r>
    </w:p>
    <w:p w:rsidR="00073198" w:rsidP="00B12785" w:rsidRDefault="00073198" w14:paraId="7EFC9097" w14:textId="77777777">
      <w:pPr>
        <w:spacing w:line="242" w:lineRule="auto"/>
        <w:rPr>
          <w:sz w:val="24"/>
        </w:rPr>
      </w:pPr>
    </w:p>
    <w:p w:rsidR="002E509F" w:rsidP="002E509F" w:rsidRDefault="00B16D07" w14:paraId="3A43E6DE" w14:textId="1856F805">
      <w:pPr>
        <w:spacing w:line="242" w:lineRule="auto"/>
        <w:ind w:left="806"/>
        <w:rPr>
          <w:sz w:val="24"/>
        </w:rPr>
      </w:pPr>
      <w:r>
        <w:rPr>
          <w:sz w:val="24"/>
        </w:rPr>
        <w:t xml:space="preserve">Under the authority of sections 1815(a) and 1833(e) </w:t>
      </w:r>
      <w:r w:rsidRPr="00773F8B" w:rsidR="006A61B1">
        <w:rPr>
          <w:sz w:val="24"/>
        </w:rPr>
        <w:t>Social Security Act (42 USC 1395g)</w:t>
      </w:r>
      <w:r>
        <w:rPr>
          <w:sz w:val="24"/>
        </w:rPr>
        <w:t xml:space="preserve">, CMS requires </w:t>
      </w:r>
      <w:r w:rsidR="00496F99">
        <w:rPr>
          <w:sz w:val="24"/>
        </w:rPr>
        <w:t xml:space="preserve">that </w:t>
      </w:r>
      <w:r>
        <w:rPr>
          <w:sz w:val="24"/>
        </w:rPr>
        <w:t>p</w:t>
      </w:r>
      <w:r w:rsidR="002E509F">
        <w:rPr>
          <w:sz w:val="24"/>
        </w:rPr>
        <w:t>roviders of services participating in the Medicare program submit information to determine costs for health care services rendered to Medicare</w:t>
      </w:r>
      <w:r w:rsidR="00846339">
        <w:rPr>
          <w:sz w:val="24"/>
        </w:rPr>
        <w:t xml:space="preserve"> </w:t>
      </w:r>
      <w:r w:rsidR="002E509F">
        <w:rPr>
          <w:sz w:val="24"/>
        </w:rPr>
        <w:t xml:space="preserve">beneficiaries.  </w:t>
      </w:r>
      <w:r w:rsidR="008578E2">
        <w:rPr>
          <w:sz w:val="24"/>
        </w:rPr>
        <w:t>Furthermore, these s</w:t>
      </w:r>
      <w:r w:rsidRPr="00E12CEB" w:rsidR="008578E2">
        <w:rPr>
          <w:color w:val="000000"/>
          <w:sz w:val="24"/>
        </w:rPr>
        <w:t>ections of the Act provide that no Medicare payments will be made to a provider unless it furnishe</w:t>
      </w:r>
      <w:r w:rsidR="008578E2">
        <w:rPr>
          <w:color w:val="000000"/>
          <w:sz w:val="24"/>
        </w:rPr>
        <w:t>s</w:t>
      </w:r>
      <w:r w:rsidRPr="00E12CEB" w:rsidR="008578E2">
        <w:rPr>
          <w:color w:val="000000"/>
          <w:sz w:val="24"/>
        </w:rPr>
        <w:t xml:space="preserve"> the information. </w:t>
      </w:r>
      <w:r w:rsidR="00A75FA0">
        <w:rPr>
          <w:color w:val="000000"/>
          <w:sz w:val="24"/>
        </w:rPr>
        <w:t xml:space="preserve"> </w:t>
      </w:r>
      <w:r w:rsidR="008578E2">
        <w:rPr>
          <w:sz w:val="24"/>
        </w:rPr>
        <w:t>CMS requires</w:t>
      </w:r>
      <w:r w:rsidR="002E509F">
        <w:rPr>
          <w:sz w:val="24"/>
        </w:rPr>
        <w:t xml:space="preserve"> </w:t>
      </w:r>
      <w:r w:rsidR="00A75FA0">
        <w:rPr>
          <w:sz w:val="24"/>
        </w:rPr>
        <w:t xml:space="preserve">that </w:t>
      </w:r>
      <w:r w:rsidR="002E509F">
        <w:rPr>
          <w:sz w:val="24"/>
        </w:rPr>
        <w:t>providers follow reasonable cost principles under 1861(v)(1)(A) of the Act when completing the Medicare cost report</w:t>
      </w:r>
      <w:r w:rsidR="00A75FA0">
        <w:rPr>
          <w:sz w:val="24"/>
        </w:rPr>
        <w:t xml:space="preserve">.  </w:t>
      </w:r>
      <w:r w:rsidR="00846339">
        <w:rPr>
          <w:sz w:val="24"/>
        </w:rPr>
        <w:t>Regulations</w:t>
      </w:r>
      <w:r w:rsidR="002E509F">
        <w:rPr>
          <w:sz w:val="24"/>
        </w:rPr>
        <w:t xml:space="preserve"> at 42 CFR 413.20 and 413.24</w:t>
      </w:r>
      <w:r w:rsidR="00846339">
        <w:rPr>
          <w:sz w:val="24"/>
        </w:rPr>
        <w:t xml:space="preserve"> require providers submit acceptable cost reports on an annual basis and maintain sufficient financial records and statistical data, capable of verification by qualified auditors.</w:t>
      </w:r>
      <w:r w:rsidR="002E509F">
        <w:rPr>
          <w:sz w:val="24"/>
        </w:rPr>
        <w:t xml:space="preserve">  </w:t>
      </w:r>
    </w:p>
    <w:p w:rsidR="002E509F" w:rsidP="002E509F" w:rsidRDefault="002E509F" w14:paraId="59FCAFC8" w14:textId="77777777">
      <w:pPr>
        <w:spacing w:line="242" w:lineRule="auto"/>
        <w:ind w:left="720"/>
        <w:rPr>
          <w:sz w:val="24"/>
        </w:rPr>
      </w:pPr>
    </w:p>
    <w:p w:rsidR="002E509F" w:rsidP="002E509F" w:rsidRDefault="002E509F" w14:paraId="4DF08364" w14:textId="1CA2D48D">
      <w:pPr>
        <w:tabs>
          <w:tab w:val="left" w:pos="0"/>
          <w:tab w:val="left" w:pos="810"/>
        </w:tabs>
        <w:suppressAutoHyphens/>
        <w:spacing w:line="240" w:lineRule="atLeast"/>
        <w:ind w:left="810"/>
        <w:rPr>
          <w:sz w:val="24"/>
        </w:rPr>
      </w:pPr>
      <w:r>
        <w:rPr>
          <w:sz w:val="24"/>
        </w:rPr>
        <w:t xml:space="preserve">The Form CMS-224-14 cost report is needed to determine a provider’s reasonable cost incurred in furnishing medical services to Medicare beneficiaries and </w:t>
      </w:r>
      <w:r w:rsidR="0030757B">
        <w:rPr>
          <w:sz w:val="24"/>
        </w:rPr>
        <w:t xml:space="preserve">to calculate the </w:t>
      </w:r>
      <w:r w:rsidR="00F72207">
        <w:rPr>
          <w:sz w:val="24"/>
        </w:rPr>
        <w:t xml:space="preserve">FQHC </w:t>
      </w:r>
      <w:r w:rsidR="005E257B">
        <w:rPr>
          <w:sz w:val="24"/>
        </w:rPr>
        <w:t>settlement amount</w:t>
      </w:r>
      <w:r>
        <w:rPr>
          <w:sz w:val="24"/>
        </w:rPr>
        <w:t xml:space="preserve">.  </w:t>
      </w:r>
      <w:r w:rsidR="007D2C22">
        <w:rPr>
          <w:sz w:val="24"/>
        </w:rPr>
        <w:t>These provider</w:t>
      </w:r>
      <w:r w:rsidR="0030757B">
        <w:rPr>
          <w:sz w:val="24"/>
        </w:rPr>
        <w:t xml:space="preserve">s, paid under the FQHC </w:t>
      </w:r>
      <w:r w:rsidRPr="00B12899" w:rsidR="0030757B">
        <w:rPr>
          <w:sz w:val="24"/>
        </w:rPr>
        <w:t xml:space="preserve">prospective payment system </w:t>
      </w:r>
      <w:r w:rsidR="0030757B">
        <w:rPr>
          <w:sz w:val="24"/>
        </w:rPr>
        <w:t>(PPS), may receive r</w:t>
      </w:r>
      <w:r>
        <w:rPr>
          <w:sz w:val="24"/>
        </w:rPr>
        <w:t xml:space="preserve">eimbursement outside of the </w:t>
      </w:r>
      <w:r w:rsidR="0030757B">
        <w:rPr>
          <w:sz w:val="24"/>
        </w:rPr>
        <w:t>PPS</w:t>
      </w:r>
      <w:r>
        <w:rPr>
          <w:sz w:val="24"/>
        </w:rPr>
        <w:t xml:space="preserve"> for Medicare reimbursable bad debts</w:t>
      </w:r>
      <w:r w:rsidR="00092C82">
        <w:rPr>
          <w:sz w:val="24"/>
        </w:rPr>
        <w:t>,</w:t>
      </w:r>
      <w:r>
        <w:rPr>
          <w:sz w:val="24"/>
        </w:rPr>
        <w:t xml:space="preserve"> pneumococcal</w:t>
      </w:r>
      <w:r w:rsidR="00092C82">
        <w:rPr>
          <w:sz w:val="24"/>
        </w:rPr>
        <w:t>,</w:t>
      </w:r>
      <w:r>
        <w:rPr>
          <w:sz w:val="24"/>
        </w:rPr>
        <w:t xml:space="preserve"> influenza</w:t>
      </w:r>
      <w:r w:rsidR="00092C82">
        <w:rPr>
          <w:sz w:val="24"/>
        </w:rPr>
        <w:t>, and COVID-19</w:t>
      </w:r>
      <w:r>
        <w:rPr>
          <w:sz w:val="24"/>
        </w:rPr>
        <w:t xml:space="preserve"> vaccines</w:t>
      </w:r>
      <w:r w:rsidR="00092C82">
        <w:rPr>
          <w:sz w:val="24"/>
        </w:rPr>
        <w:t>, and monoclonal antibody products</w:t>
      </w:r>
      <w:r>
        <w:rPr>
          <w:sz w:val="24"/>
        </w:rPr>
        <w:t xml:space="preserve">.  </w:t>
      </w:r>
    </w:p>
    <w:p w:rsidR="002E509F" w:rsidP="002E509F" w:rsidRDefault="002E509F" w14:paraId="1EED7736" w14:textId="77777777">
      <w:pPr>
        <w:tabs>
          <w:tab w:val="left" w:pos="0"/>
          <w:tab w:val="left" w:pos="810"/>
        </w:tabs>
        <w:suppressAutoHyphens/>
        <w:spacing w:line="240" w:lineRule="atLeast"/>
        <w:ind w:left="810"/>
        <w:rPr>
          <w:sz w:val="24"/>
        </w:rPr>
      </w:pPr>
    </w:p>
    <w:p w:rsidRPr="00EC46D9" w:rsidR="002E509F" w:rsidP="002E509F" w:rsidRDefault="00846339" w14:paraId="17030AF7" w14:textId="1D527DDE">
      <w:pPr>
        <w:tabs>
          <w:tab w:val="left" w:pos="0"/>
          <w:tab w:val="left" w:pos="810"/>
        </w:tabs>
        <w:suppressAutoHyphens/>
        <w:spacing w:line="240" w:lineRule="atLeast"/>
        <w:ind w:left="810"/>
        <w:rPr>
          <w:sz w:val="24"/>
        </w:rPr>
      </w:pPr>
      <w:r>
        <w:rPr>
          <w:sz w:val="24"/>
        </w:rPr>
        <w:t>CMS uses t</w:t>
      </w:r>
      <w:r w:rsidRPr="00EC46D9" w:rsidR="002E509F">
        <w:rPr>
          <w:sz w:val="24"/>
        </w:rPr>
        <w:t xml:space="preserve">he </w:t>
      </w:r>
      <w:r w:rsidR="0030757B">
        <w:rPr>
          <w:sz w:val="24"/>
        </w:rPr>
        <w:t>F</w:t>
      </w:r>
      <w:r>
        <w:rPr>
          <w:sz w:val="24"/>
        </w:rPr>
        <w:t>orm CMS-224-14</w:t>
      </w:r>
      <w:r w:rsidRPr="00EC46D9" w:rsidR="002E509F">
        <w:rPr>
          <w:sz w:val="24"/>
        </w:rPr>
        <w:t xml:space="preserve"> </w:t>
      </w:r>
      <w:r w:rsidR="002E509F">
        <w:rPr>
          <w:sz w:val="24"/>
        </w:rPr>
        <w:t>for rate setting</w:t>
      </w:r>
      <w:r>
        <w:rPr>
          <w:sz w:val="24"/>
        </w:rPr>
        <w:t xml:space="preserve">; </w:t>
      </w:r>
      <w:r w:rsidR="002E509F">
        <w:rPr>
          <w:sz w:val="24"/>
        </w:rPr>
        <w:t>payment refinement activities, including</w:t>
      </w:r>
      <w:r w:rsidRPr="00EC46D9" w:rsidR="002E509F">
        <w:rPr>
          <w:sz w:val="24"/>
        </w:rPr>
        <w:t xml:space="preserve"> </w:t>
      </w:r>
      <w:r w:rsidR="0030757B">
        <w:rPr>
          <w:sz w:val="24"/>
        </w:rPr>
        <w:t>developing</w:t>
      </w:r>
      <w:r w:rsidRPr="00EC46D9" w:rsidR="002E509F">
        <w:rPr>
          <w:sz w:val="24"/>
        </w:rPr>
        <w:t xml:space="preserve"> </w:t>
      </w:r>
      <w:r w:rsidR="002E509F">
        <w:rPr>
          <w:sz w:val="24"/>
        </w:rPr>
        <w:t xml:space="preserve">a FQHC </w:t>
      </w:r>
      <w:r w:rsidRPr="00EC46D9" w:rsidR="002E509F">
        <w:rPr>
          <w:sz w:val="24"/>
        </w:rPr>
        <w:t>market basket</w:t>
      </w:r>
      <w:r>
        <w:rPr>
          <w:sz w:val="24"/>
        </w:rPr>
        <w:t>; Medicare Trust Fund projections; and to support program operations.</w:t>
      </w:r>
      <w:r w:rsidR="002E509F">
        <w:rPr>
          <w:sz w:val="24"/>
        </w:rPr>
        <w:t xml:space="preserve">  </w:t>
      </w:r>
      <w:r w:rsidR="0030757B">
        <w:rPr>
          <w:sz w:val="24"/>
        </w:rPr>
        <w:t>Additionally</w:t>
      </w:r>
      <w:r w:rsidRPr="00EC46D9" w:rsidR="002E509F">
        <w:rPr>
          <w:sz w:val="24"/>
        </w:rPr>
        <w:t xml:space="preserve">, </w:t>
      </w:r>
      <w:r w:rsidRPr="00EC46D9" w:rsidR="0030757B">
        <w:rPr>
          <w:sz w:val="24"/>
        </w:rPr>
        <w:t>the Medicare Payment Advisory Commission (</w:t>
      </w:r>
      <w:proofErr w:type="spellStart"/>
      <w:r w:rsidRPr="00EC46D9" w:rsidR="0030757B">
        <w:rPr>
          <w:sz w:val="24"/>
        </w:rPr>
        <w:t>M</w:t>
      </w:r>
      <w:r w:rsidR="0030757B">
        <w:rPr>
          <w:sz w:val="24"/>
        </w:rPr>
        <w:t>ed</w:t>
      </w:r>
      <w:r w:rsidRPr="00EC46D9" w:rsidR="0030757B">
        <w:rPr>
          <w:sz w:val="24"/>
        </w:rPr>
        <w:t>PAC</w:t>
      </w:r>
      <w:proofErr w:type="spellEnd"/>
      <w:r w:rsidRPr="00EC46D9" w:rsidR="0030757B">
        <w:rPr>
          <w:sz w:val="24"/>
        </w:rPr>
        <w:t xml:space="preserve">) </w:t>
      </w:r>
      <w:r w:rsidR="0030757B">
        <w:rPr>
          <w:sz w:val="24"/>
        </w:rPr>
        <w:t xml:space="preserve">uses </w:t>
      </w:r>
      <w:r w:rsidRPr="00EC46D9" w:rsidR="002E509F">
        <w:rPr>
          <w:sz w:val="24"/>
        </w:rPr>
        <w:t xml:space="preserve">the </w:t>
      </w:r>
      <w:r w:rsidR="002E509F">
        <w:rPr>
          <w:sz w:val="24"/>
        </w:rPr>
        <w:t>FQHC</w:t>
      </w:r>
      <w:r w:rsidRPr="00EC46D9" w:rsidR="002E509F">
        <w:rPr>
          <w:sz w:val="24"/>
        </w:rPr>
        <w:t xml:space="preserve"> Medicare cost report data to calculate Medicare margins</w:t>
      </w:r>
      <w:r>
        <w:rPr>
          <w:sz w:val="24"/>
        </w:rPr>
        <w:t>;</w:t>
      </w:r>
      <w:r w:rsidR="002E509F">
        <w:rPr>
          <w:sz w:val="24"/>
        </w:rPr>
        <w:t xml:space="preserve"> </w:t>
      </w:r>
      <w:r w:rsidRPr="00B12899" w:rsidR="002E509F">
        <w:rPr>
          <w:sz w:val="24"/>
        </w:rPr>
        <w:t xml:space="preserve">to </w:t>
      </w:r>
      <w:r w:rsidR="0030757B">
        <w:rPr>
          <w:sz w:val="24"/>
        </w:rPr>
        <w:t>formulate</w:t>
      </w:r>
      <w:r w:rsidRPr="00B12899" w:rsidR="0030757B">
        <w:rPr>
          <w:sz w:val="24"/>
        </w:rPr>
        <w:t xml:space="preserve"> </w:t>
      </w:r>
      <w:r w:rsidRPr="00B12899" w:rsidR="002E509F">
        <w:rPr>
          <w:sz w:val="24"/>
        </w:rPr>
        <w:t>recommendations to Congress regarding the FQHC PPS</w:t>
      </w:r>
      <w:r>
        <w:rPr>
          <w:sz w:val="24"/>
        </w:rPr>
        <w:t>;</w:t>
      </w:r>
      <w:r w:rsidR="002E509F">
        <w:rPr>
          <w:sz w:val="24"/>
        </w:rPr>
        <w:t xml:space="preserve"> and to</w:t>
      </w:r>
      <w:r w:rsidRPr="00EC46D9" w:rsidR="002E509F">
        <w:rPr>
          <w:sz w:val="24"/>
        </w:rPr>
        <w:t xml:space="preserve"> conduct additional analysis o</w:t>
      </w:r>
      <w:r w:rsidR="002E509F">
        <w:rPr>
          <w:sz w:val="24"/>
        </w:rPr>
        <w:t>f</w:t>
      </w:r>
      <w:r w:rsidRPr="00EC46D9" w:rsidR="002E509F">
        <w:rPr>
          <w:sz w:val="24"/>
        </w:rPr>
        <w:t xml:space="preserve"> the </w:t>
      </w:r>
      <w:r w:rsidR="002E509F">
        <w:rPr>
          <w:sz w:val="24"/>
        </w:rPr>
        <w:t>FQHC</w:t>
      </w:r>
      <w:r w:rsidRPr="00EC46D9" w:rsidR="002E509F">
        <w:rPr>
          <w:sz w:val="24"/>
        </w:rPr>
        <w:t xml:space="preserve"> PPS.</w:t>
      </w:r>
    </w:p>
    <w:p w:rsidR="005E490D" w:rsidP="00D77F8F" w:rsidRDefault="005E490D" w14:paraId="6AC86FFB" w14:textId="0AC46F87">
      <w:pPr>
        <w:spacing w:line="242" w:lineRule="auto"/>
        <w:ind w:left="810"/>
        <w:rPr>
          <w:sz w:val="24"/>
        </w:rPr>
      </w:pPr>
    </w:p>
    <w:p w:rsidRPr="00916083" w:rsidR="00073198" w:rsidP="00B12785" w:rsidRDefault="00073198" w14:paraId="267CF09D" w14:textId="77777777">
      <w:pPr>
        <w:numPr>
          <w:ilvl w:val="0"/>
          <w:numId w:val="8"/>
        </w:numPr>
        <w:tabs>
          <w:tab w:val="clear" w:pos="1440"/>
          <w:tab w:val="left" w:pos="810"/>
        </w:tabs>
        <w:spacing w:line="242" w:lineRule="auto"/>
        <w:ind w:hanging="990"/>
        <w:rPr>
          <w:sz w:val="24"/>
          <w:u w:val="single"/>
        </w:rPr>
      </w:pPr>
      <w:r>
        <w:rPr>
          <w:sz w:val="24"/>
          <w:u w:val="single"/>
        </w:rPr>
        <w:t>Information Users</w:t>
      </w:r>
    </w:p>
    <w:p w:rsidR="00916337" w:rsidP="00916337" w:rsidRDefault="00916337" w14:paraId="22277767" w14:textId="77777777">
      <w:pPr>
        <w:spacing w:line="242" w:lineRule="auto"/>
        <w:ind w:left="450"/>
        <w:rPr>
          <w:sz w:val="24"/>
        </w:rPr>
      </w:pPr>
    </w:p>
    <w:p w:rsidR="00916337" w:rsidP="00916337" w:rsidRDefault="00956C59" w14:paraId="5E7609EC" w14:textId="5D5F4888">
      <w:pPr>
        <w:spacing w:line="242" w:lineRule="auto"/>
        <w:ind w:left="810"/>
        <w:rPr>
          <w:sz w:val="24"/>
        </w:rPr>
      </w:pPr>
      <w:r>
        <w:rPr>
          <w:sz w:val="24"/>
        </w:rPr>
        <w:t xml:space="preserve">The primary function of the </w:t>
      </w:r>
      <w:r w:rsidR="006B6F69">
        <w:rPr>
          <w:sz w:val="24"/>
        </w:rPr>
        <w:t>Form CMS-224-14</w:t>
      </w:r>
      <w:r>
        <w:rPr>
          <w:sz w:val="24"/>
        </w:rPr>
        <w:t xml:space="preserve"> is to determine </w:t>
      </w:r>
      <w:r w:rsidR="0011134C">
        <w:rPr>
          <w:sz w:val="24"/>
        </w:rPr>
        <w:t xml:space="preserve">provider </w:t>
      </w:r>
      <w:r>
        <w:rPr>
          <w:sz w:val="24"/>
        </w:rPr>
        <w:t xml:space="preserve">reimbursement for services </w:t>
      </w:r>
      <w:r w:rsidR="0011134C">
        <w:rPr>
          <w:sz w:val="24"/>
        </w:rPr>
        <w:t>rendered</w:t>
      </w:r>
      <w:r>
        <w:rPr>
          <w:sz w:val="24"/>
        </w:rPr>
        <w:t xml:space="preserve"> to Medicare beneficiaries.  </w:t>
      </w:r>
      <w:r w:rsidR="002775AB">
        <w:rPr>
          <w:sz w:val="24"/>
        </w:rPr>
        <w:t>Each</w:t>
      </w:r>
      <w:r w:rsidR="00916337">
        <w:rPr>
          <w:sz w:val="24"/>
        </w:rPr>
        <w:t xml:space="preserve"> </w:t>
      </w:r>
      <w:r w:rsidR="001533C8">
        <w:rPr>
          <w:sz w:val="24"/>
        </w:rPr>
        <w:t>FQHC</w:t>
      </w:r>
      <w:r w:rsidR="002775AB">
        <w:rPr>
          <w:sz w:val="24"/>
        </w:rPr>
        <w:t xml:space="preserve"> submit</w:t>
      </w:r>
      <w:r w:rsidR="000C5D0A">
        <w:rPr>
          <w:sz w:val="24"/>
        </w:rPr>
        <w:t>s</w:t>
      </w:r>
      <w:r w:rsidR="002775AB">
        <w:rPr>
          <w:sz w:val="24"/>
        </w:rPr>
        <w:t xml:space="preserve"> the cost report</w:t>
      </w:r>
      <w:r w:rsidR="001533C8">
        <w:rPr>
          <w:sz w:val="24"/>
        </w:rPr>
        <w:t xml:space="preserve"> </w:t>
      </w:r>
      <w:r w:rsidR="001760B9">
        <w:rPr>
          <w:sz w:val="24"/>
        </w:rPr>
        <w:t xml:space="preserve">to </w:t>
      </w:r>
      <w:r w:rsidR="00846339">
        <w:rPr>
          <w:sz w:val="24"/>
        </w:rPr>
        <w:t>its c</w:t>
      </w:r>
      <w:r w:rsidR="00916337">
        <w:rPr>
          <w:sz w:val="24"/>
        </w:rPr>
        <w:t>ontractor</w:t>
      </w:r>
      <w:r w:rsidR="00846339">
        <w:rPr>
          <w:sz w:val="24"/>
        </w:rPr>
        <w:t xml:space="preserve"> </w:t>
      </w:r>
      <w:r w:rsidR="004C39FC">
        <w:rPr>
          <w:sz w:val="24"/>
        </w:rPr>
        <w:t>for reimbursement</w:t>
      </w:r>
      <w:r>
        <w:rPr>
          <w:sz w:val="24"/>
        </w:rPr>
        <w:t xml:space="preserve"> determination</w:t>
      </w:r>
      <w:r w:rsidR="00916337">
        <w:rPr>
          <w:sz w:val="24"/>
        </w:rPr>
        <w:t xml:space="preserve">.  </w:t>
      </w:r>
      <w:r w:rsidR="00846339">
        <w:rPr>
          <w:sz w:val="24"/>
        </w:rPr>
        <w:t>S</w:t>
      </w:r>
      <w:r w:rsidR="00916337">
        <w:rPr>
          <w:sz w:val="24"/>
        </w:rPr>
        <w:t>ection 18</w:t>
      </w:r>
      <w:r w:rsidR="002F20AC">
        <w:rPr>
          <w:sz w:val="24"/>
        </w:rPr>
        <w:t>74A</w:t>
      </w:r>
      <w:r w:rsidR="00846339">
        <w:rPr>
          <w:sz w:val="24"/>
        </w:rPr>
        <w:t xml:space="preserve"> of the Act describes the functions of the contractor.</w:t>
      </w:r>
    </w:p>
    <w:p w:rsidR="005E490D" w:rsidP="00F4625C" w:rsidRDefault="005351A7" w14:paraId="71678B08" w14:textId="42A21232">
      <w:pPr>
        <w:tabs>
          <w:tab w:val="left" w:pos="0"/>
          <w:tab w:val="left" w:pos="810"/>
        </w:tabs>
        <w:suppressAutoHyphens/>
        <w:spacing w:line="240" w:lineRule="atLeast"/>
        <w:ind w:left="810"/>
        <w:rPr>
          <w:sz w:val="24"/>
        </w:rPr>
      </w:pPr>
      <w:r>
        <w:rPr>
          <w:sz w:val="24"/>
        </w:rPr>
        <w:lastRenderedPageBreak/>
        <w:t>FQHCs must follow</w:t>
      </w:r>
      <w:r w:rsidR="002E1C2C">
        <w:rPr>
          <w:sz w:val="24"/>
        </w:rPr>
        <w:t xml:space="preserve"> the principles of cost </w:t>
      </w:r>
      <w:r w:rsidR="008D408C">
        <w:rPr>
          <w:sz w:val="24"/>
        </w:rPr>
        <w:t>r</w:t>
      </w:r>
      <w:r w:rsidR="002E1C2C">
        <w:rPr>
          <w:sz w:val="24"/>
        </w:rPr>
        <w:t>eimbursement</w:t>
      </w:r>
      <w:r w:rsidR="00846339">
        <w:rPr>
          <w:sz w:val="24"/>
        </w:rPr>
        <w:t>,</w:t>
      </w:r>
      <w:r w:rsidR="002E1C2C">
        <w:rPr>
          <w:sz w:val="24"/>
        </w:rPr>
        <w:t xml:space="preserve"> which require th</w:t>
      </w:r>
      <w:r w:rsidR="00846339">
        <w:rPr>
          <w:sz w:val="24"/>
        </w:rPr>
        <w:t>ey</w:t>
      </w:r>
      <w:r w:rsidR="002E1C2C">
        <w:rPr>
          <w:sz w:val="24"/>
        </w:rPr>
        <w:t xml:space="preserve"> maintain sufficient financial records and </w:t>
      </w:r>
      <w:r w:rsidR="001533C8">
        <w:rPr>
          <w:sz w:val="24"/>
        </w:rPr>
        <w:t>s</w:t>
      </w:r>
      <w:r w:rsidR="002E1C2C">
        <w:rPr>
          <w:sz w:val="24"/>
        </w:rPr>
        <w:t>tatistical data for proper determination of costs</w:t>
      </w:r>
      <w:r w:rsidR="005E490D">
        <w:rPr>
          <w:sz w:val="24"/>
        </w:rPr>
        <w:t>.</w:t>
      </w:r>
      <w:r w:rsidR="002E1C2C">
        <w:rPr>
          <w:sz w:val="24"/>
        </w:rPr>
        <w:t xml:space="preserve">  </w:t>
      </w:r>
      <w:r w:rsidR="005E490D">
        <w:rPr>
          <w:sz w:val="24"/>
        </w:rPr>
        <w:t xml:space="preserve">The S series of worksheets </w:t>
      </w:r>
      <w:r w:rsidR="002775AB">
        <w:rPr>
          <w:sz w:val="24"/>
        </w:rPr>
        <w:t xml:space="preserve">collects </w:t>
      </w:r>
      <w:r w:rsidR="005E490D">
        <w:rPr>
          <w:sz w:val="24"/>
        </w:rPr>
        <w:t xml:space="preserve">statistical data that identify the provider’s location, </w:t>
      </w:r>
      <w:r w:rsidR="00C575FF">
        <w:rPr>
          <w:sz w:val="24"/>
        </w:rPr>
        <w:t>core-based statistical area (</w:t>
      </w:r>
      <w:r w:rsidR="005E490D">
        <w:rPr>
          <w:sz w:val="24"/>
        </w:rPr>
        <w:t>CBSA</w:t>
      </w:r>
      <w:r w:rsidR="00C575FF">
        <w:rPr>
          <w:sz w:val="24"/>
        </w:rPr>
        <w:t>)</w:t>
      </w:r>
      <w:r w:rsidR="005E490D">
        <w:rPr>
          <w:sz w:val="24"/>
        </w:rPr>
        <w:t xml:space="preserve">, date of certification, </w:t>
      </w:r>
      <w:r w:rsidR="002775AB">
        <w:rPr>
          <w:sz w:val="24"/>
        </w:rPr>
        <w:t xml:space="preserve">information </w:t>
      </w:r>
      <w:r w:rsidR="005E490D">
        <w:rPr>
          <w:sz w:val="24"/>
        </w:rPr>
        <w:t xml:space="preserve">relative to their operations, number of visits and discharges.  The A series of worksheets </w:t>
      </w:r>
      <w:r w:rsidR="002775AB">
        <w:rPr>
          <w:sz w:val="24"/>
        </w:rPr>
        <w:t xml:space="preserve">collects </w:t>
      </w:r>
      <w:r w:rsidR="005E490D">
        <w:rPr>
          <w:sz w:val="24"/>
        </w:rPr>
        <w:t xml:space="preserve">the provider’s trial balance of expenses for overhead costs, </w:t>
      </w:r>
      <w:r w:rsidR="004419E8">
        <w:rPr>
          <w:sz w:val="24"/>
        </w:rPr>
        <w:t xml:space="preserve">direct patient care services, and </w:t>
      </w:r>
      <w:r w:rsidR="005E490D">
        <w:rPr>
          <w:sz w:val="24"/>
        </w:rPr>
        <w:t xml:space="preserve">non-revenue generating cost centers.  The B series of worksheets </w:t>
      </w:r>
      <w:r>
        <w:rPr>
          <w:sz w:val="24"/>
        </w:rPr>
        <w:t xml:space="preserve">calculates </w:t>
      </w:r>
      <w:r w:rsidR="00377797">
        <w:rPr>
          <w:sz w:val="24"/>
        </w:rPr>
        <w:t>an average</w:t>
      </w:r>
      <w:r w:rsidR="006B5359">
        <w:rPr>
          <w:sz w:val="24"/>
        </w:rPr>
        <w:t xml:space="preserve"> cost per visit by practitioner for both medical and mental health</w:t>
      </w:r>
      <w:r w:rsidR="002B2D13">
        <w:rPr>
          <w:sz w:val="24"/>
        </w:rPr>
        <w:t xml:space="preserve"> visits</w:t>
      </w:r>
      <w:r w:rsidR="00377797">
        <w:rPr>
          <w:sz w:val="24"/>
        </w:rPr>
        <w:t>.</w:t>
      </w:r>
      <w:r w:rsidR="006B5359">
        <w:rPr>
          <w:sz w:val="24"/>
        </w:rPr>
        <w:t xml:space="preserve">  The B series of worksheets also </w:t>
      </w:r>
      <w:r>
        <w:rPr>
          <w:sz w:val="24"/>
        </w:rPr>
        <w:t xml:space="preserve">includes </w:t>
      </w:r>
      <w:r w:rsidR="006B5359">
        <w:rPr>
          <w:sz w:val="24"/>
        </w:rPr>
        <w:t>calculations for graduate medical education</w:t>
      </w:r>
      <w:r w:rsidR="00092C82">
        <w:rPr>
          <w:sz w:val="24"/>
        </w:rPr>
        <w:t>,</w:t>
      </w:r>
      <w:r w:rsidR="006B5359">
        <w:rPr>
          <w:sz w:val="24"/>
        </w:rPr>
        <w:t xml:space="preserve"> </w:t>
      </w:r>
      <w:proofErr w:type="gramStart"/>
      <w:r w:rsidR="006B5359">
        <w:rPr>
          <w:sz w:val="24"/>
        </w:rPr>
        <w:t>pneumococcal</w:t>
      </w:r>
      <w:r w:rsidR="00092C82">
        <w:rPr>
          <w:sz w:val="24"/>
        </w:rPr>
        <w:t>,</w:t>
      </w:r>
      <w:r w:rsidR="006B5359">
        <w:rPr>
          <w:sz w:val="24"/>
        </w:rPr>
        <w:t xml:space="preserve">  influenza</w:t>
      </w:r>
      <w:proofErr w:type="gramEnd"/>
      <w:r w:rsidR="00092C82">
        <w:rPr>
          <w:sz w:val="24"/>
        </w:rPr>
        <w:t>, and COVID-19</w:t>
      </w:r>
      <w:r w:rsidR="006B5359">
        <w:rPr>
          <w:sz w:val="24"/>
        </w:rPr>
        <w:t xml:space="preserve"> vaccine costs, </w:t>
      </w:r>
      <w:r w:rsidR="00092C82">
        <w:rPr>
          <w:sz w:val="24"/>
        </w:rPr>
        <w:t>and monoclonal antibody products, all</w:t>
      </w:r>
      <w:r w:rsidR="006B5359">
        <w:rPr>
          <w:sz w:val="24"/>
        </w:rPr>
        <w:t xml:space="preserve"> paid outside the FQHC </w:t>
      </w:r>
      <w:r w:rsidR="00C575FF">
        <w:rPr>
          <w:sz w:val="24"/>
        </w:rPr>
        <w:t>PPS</w:t>
      </w:r>
      <w:r w:rsidR="006B5359">
        <w:rPr>
          <w:sz w:val="24"/>
        </w:rPr>
        <w:t>.</w:t>
      </w:r>
      <w:r w:rsidR="005E490D">
        <w:rPr>
          <w:sz w:val="24"/>
        </w:rPr>
        <w:t xml:space="preserve">  The E series of worksheets </w:t>
      </w:r>
      <w:r w:rsidR="002775AB">
        <w:rPr>
          <w:sz w:val="24"/>
        </w:rPr>
        <w:t xml:space="preserve">is </w:t>
      </w:r>
      <w:r w:rsidR="005E490D">
        <w:rPr>
          <w:sz w:val="24"/>
        </w:rPr>
        <w:t xml:space="preserve">used to determine the </w:t>
      </w:r>
      <w:r>
        <w:rPr>
          <w:sz w:val="24"/>
        </w:rPr>
        <w:t xml:space="preserve">settlement </w:t>
      </w:r>
      <w:r w:rsidR="005E490D">
        <w:rPr>
          <w:sz w:val="24"/>
        </w:rPr>
        <w:t xml:space="preserve">amount due to the </w:t>
      </w:r>
      <w:r w:rsidR="008D408C">
        <w:rPr>
          <w:sz w:val="24"/>
        </w:rPr>
        <w:t>FQHC</w:t>
      </w:r>
      <w:r w:rsidR="005E490D">
        <w:rPr>
          <w:sz w:val="24"/>
        </w:rPr>
        <w:t xml:space="preserve"> or program. The </w:t>
      </w:r>
      <w:r w:rsidR="006B5359">
        <w:rPr>
          <w:sz w:val="24"/>
        </w:rPr>
        <w:t>F</w:t>
      </w:r>
      <w:r w:rsidR="005E490D">
        <w:rPr>
          <w:sz w:val="24"/>
        </w:rPr>
        <w:t xml:space="preserve"> series of worksheets </w:t>
      </w:r>
      <w:r w:rsidR="00A00718">
        <w:rPr>
          <w:sz w:val="24"/>
        </w:rPr>
        <w:t xml:space="preserve">is </w:t>
      </w:r>
      <w:r w:rsidR="005E490D">
        <w:rPr>
          <w:sz w:val="24"/>
        </w:rPr>
        <w:t>used to collect a FQHCs financial statement information (</w:t>
      </w:r>
      <w:r w:rsidR="006B5359">
        <w:rPr>
          <w:sz w:val="24"/>
        </w:rPr>
        <w:t>statement of revenues and expenses</w:t>
      </w:r>
      <w:r w:rsidR="005E490D">
        <w:rPr>
          <w:sz w:val="24"/>
        </w:rPr>
        <w:t>).</w:t>
      </w:r>
    </w:p>
    <w:p w:rsidR="00073198" w:rsidP="00B12785" w:rsidRDefault="00073198" w14:paraId="7439D979" w14:textId="7A68C69D">
      <w:pPr>
        <w:pStyle w:val="BodyTextIndent"/>
        <w:tabs>
          <w:tab w:val="left" w:pos="1170"/>
        </w:tabs>
        <w:ind w:left="450" w:firstLine="0"/>
        <w:jc w:val="left"/>
      </w:pPr>
    </w:p>
    <w:p w:rsidRPr="00916083" w:rsidR="00073198" w:rsidP="00B12785" w:rsidRDefault="00916337" w14:paraId="6A58EFD0" w14:textId="77777777">
      <w:pPr>
        <w:numPr>
          <w:ilvl w:val="0"/>
          <w:numId w:val="8"/>
        </w:numPr>
        <w:tabs>
          <w:tab w:val="clear" w:pos="1440"/>
          <w:tab w:val="left" w:pos="810"/>
        </w:tabs>
        <w:spacing w:line="242" w:lineRule="auto"/>
        <w:ind w:hanging="990"/>
        <w:rPr>
          <w:sz w:val="24"/>
          <w:u w:val="single"/>
        </w:rPr>
      </w:pPr>
      <w:r>
        <w:rPr>
          <w:sz w:val="24"/>
          <w:u w:val="single"/>
        </w:rPr>
        <w:t>Use of I</w:t>
      </w:r>
      <w:r w:rsidR="00073198">
        <w:rPr>
          <w:sz w:val="24"/>
          <w:u w:val="single"/>
        </w:rPr>
        <w:t>nformation Technology</w:t>
      </w:r>
    </w:p>
    <w:p w:rsidR="00073198" w:rsidP="00B12785" w:rsidRDefault="00073198" w14:paraId="70F4FE50" w14:textId="77777777">
      <w:pPr>
        <w:spacing w:line="242" w:lineRule="auto"/>
        <w:rPr>
          <w:sz w:val="24"/>
        </w:rPr>
      </w:pPr>
    </w:p>
    <w:p w:rsidR="004419E8" w:rsidP="004419E8" w:rsidRDefault="004419E8" w14:paraId="2238AE44" w14:textId="5507FC8A">
      <w:pPr>
        <w:tabs>
          <w:tab w:val="left" w:pos="540"/>
        </w:tabs>
        <w:ind w:left="720"/>
        <w:rPr>
          <w:sz w:val="24"/>
          <w:szCs w:val="20"/>
        </w:rPr>
      </w:pPr>
      <w:r>
        <w:rPr>
          <w:sz w:val="24"/>
        </w:rPr>
        <w:t xml:space="preserve">CMS regulations at 42 CFR § 413.24(f)(4)(ii) requires that </w:t>
      </w:r>
      <w:r w:rsidR="006B6F69">
        <w:rPr>
          <w:sz w:val="24"/>
        </w:rPr>
        <w:t xml:space="preserve">each </w:t>
      </w:r>
      <w:r>
        <w:rPr>
          <w:sz w:val="24"/>
        </w:rPr>
        <w:t>FQHC submit an annual cost report to their contractor in American Standard Code for Information Interchange (ASCII) electronic cost report (ECR) format.  FQHCs submit the ECR file to contractors using a compact disk (CD), flash drive, or the CMS approved Medicare Cost Report E</w:t>
      </w:r>
      <w:r>
        <w:rPr>
          <w:sz w:val="24"/>
        </w:rPr>
        <w:noBreakHyphen/>
        <w:t>filing (MCREF) portal, [URL: </w:t>
      </w:r>
      <w:hyperlink w:history="1" r:id="rId8">
        <w:r>
          <w:rPr>
            <w:rStyle w:val="Hyperlink"/>
            <w:sz w:val="24"/>
          </w:rPr>
          <w:t>https://mcref.cms.gov</w:t>
        </w:r>
      </w:hyperlink>
      <w:r>
        <w:rPr>
          <w:sz w:val="24"/>
        </w:rPr>
        <w:t xml:space="preserve">].  The instructions for submission are included in the FQHC cost report instructions on page </w:t>
      </w:r>
      <w:r w:rsidRPr="004419E8">
        <w:rPr>
          <w:sz w:val="24"/>
        </w:rPr>
        <w:t>44-202</w:t>
      </w:r>
      <w:r>
        <w:rPr>
          <w:sz w:val="24"/>
        </w:rPr>
        <w:t>.</w:t>
      </w:r>
    </w:p>
    <w:p w:rsidR="001533C8" w:rsidP="00B12785" w:rsidRDefault="001533C8" w14:paraId="38DCCD6C" w14:textId="77777777">
      <w:pPr>
        <w:spacing w:line="242" w:lineRule="auto"/>
        <w:ind w:left="810"/>
        <w:rPr>
          <w:sz w:val="24"/>
        </w:rPr>
      </w:pPr>
    </w:p>
    <w:p w:rsidRPr="00916083" w:rsidR="00073198" w:rsidP="00B12785" w:rsidRDefault="00073198" w14:paraId="09C17438" w14:textId="4B4D4F12">
      <w:pPr>
        <w:numPr>
          <w:ilvl w:val="0"/>
          <w:numId w:val="8"/>
        </w:numPr>
        <w:tabs>
          <w:tab w:val="clear" w:pos="1440"/>
          <w:tab w:val="left" w:pos="810"/>
        </w:tabs>
        <w:spacing w:line="242" w:lineRule="auto"/>
        <w:ind w:hanging="990"/>
        <w:rPr>
          <w:sz w:val="24"/>
          <w:u w:val="single"/>
        </w:rPr>
      </w:pPr>
      <w:r>
        <w:rPr>
          <w:sz w:val="24"/>
          <w:u w:val="single"/>
        </w:rPr>
        <w:t xml:space="preserve">Duplication </w:t>
      </w:r>
      <w:r w:rsidR="008F7E06">
        <w:rPr>
          <w:sz w:val="24"/>
          <w:u w:val="single"/>
        </w:rPr>
        <w:t>of Efforts</w:t>
      </w:r>
    </w:p>
    <w:p w:rsidR="00073198" w:rsidP="00B12785" w:rsidRDefault="00073198" w14:paraId="5D943380" w14:textId="77777777">
      <w:pPr>
        <w:spacing w:line="242" w:lineRule="auto"/>
        <w:rPr>
          <w:sz w:val="24"/>
        </w:rPr>
      </w:pPr>
    </w:p>
    <w:p w:rsidR="00916337" w:rsidP="00916337" w:rsidRDefault="00916337" w14:paraId="1988A752" w14:textId="77777777">
      <w:pPr>
        <w:spacing w:line="242" w:lineRule="auto"/>
        <w:ind w:left="810"/>
        <w:rPr>
          <w:sz w:val="24"/>
        </w:rPr>
      </w:pPr>
      <w:r>
        <w:rPr>
          <w:sz w:val="24"/>
        </w:rPr>
        <w:t>This information collection does not duplicate any other effort and the information cannot be obtained from any other source.</w:t>
      </w:r>
      <w:r w:rsidR="00EF7E0D">
        <w:rPr>
          <w:sz w:val="24"/>
        </w:rPr>
        <w:t xml:space="preserve">  </w:t>
      </w:r>
    </w:p>
    <w:p w:rsidR="00073198" w:rsidP="00B12785" w:rsidRDefault="00073198" w14:paraId="2A87A4E5" w14:textId="77777777">
      <w:pPr>
        <w:spacing w:line="242" w:lineRule="auto"/>
        <w:rPr>
          <w:sz w:val="24"/>
        </w:rPr>
      </w:pPr>
    </w:p>
    <w:p w:rsidRPr="00916083" w:rsidR="00073198" w:rsidP="00B12785" w:rsidRDefault="00073198" w14:paraId="30CDB032" w14:textId="77777777">
      <w:pPr>
        <w:numPr>
          <w:ilvl w:val="0"/>
          <w:numId w:val="8"/>
        </w:numPr>
        <w:tabs>
          <w:tab w:val="clear" w:pos="1440"/>
          <w:tab w:val="left" w:pos="810"/>
        </w:tabs>
        <w:spacing w:line="242" w:lineRule="auto"/>
        <w:ind w:hanging="990"/>
        <w:rPr>
          <w:sz w:val="24"/>
          <w:u w:val="single"/>
        </w:rPr>
      </w:pPr>
      <w:r>
        <w:rPr>
          <w:sz w:val="24"/>
          <w:u w:val="single"/>
        </w:rPr>
        <w:t>Small Business</w:t>
      </w:r>
    </w:p>
    <w:p w:rsidR="00073198" w:rsidP="00B12785" w:rsidRDefault="00073198" w14:paraId="5DED412F" w14:textId="77777777">
      <w:pPr>
        <w:spacing w:line="242" w:lineRule="auto"/>
        <w:rPr>
          <w:sz w:val="24"/>
        </w:rPr>
      </w:pPr>
    </w:p>
    <w:p w:rsidR="00073198" w:rsidP="00B12785" w:rsidRDefault="001E1097" w14:paraId="71EA8BCD" w14:textId="5AD4258A">
      <w:pPr>
        <w:spacing w:line="242" w:lineRule="auto"/>
        <w:ind w:left="810"/>
        <w:rPr>
          <w:sz w:val="24"/>
        </w:rPr>
      </w:pPr>
      <w:r>
        <w:rPr>
          <w:sz w:val="24"/>
        </w:rPr>
        <w:t>CMS requires a</w:t>
      </w:r>
      <w:r w:rsidR="00950A55">
        <w:rPr>
          <w:sz w:val="24"/>
        </w:rPr>
        <w:t>ll FQHCs, regardless of size</w:t>
      </w:r>
      <w:r w:rsidR="00607D08">
        <w:rPr>
          <w:sz w:val="24"/>
        </w:rPr>
        <w:t>,</w:t>
      </w:r>
      <w:r w:rsidR="00950A55">
        <w:rPr>
          <w:sz w:val="24"/>
        </w:rPr>
        <w:t xml:space="preserve"> to complete the cost report. </w:t>
      </w:r>
      <w:r w:rsidR="001E1ADA">
        <w:rPr>
          <w:sz w:val="24"/>
        </w:rPr>
        <w:t xml:space="preserve"> CMS designed t</w:t>
      </w:r>
      <w:r w:rsidR="00073198">
        <w:rPr>
          <w:sz w:val="24"/>
        </w:rPr>
        <w:t>h</w:t>
      </w:r>
      <w:r w:rsidR="00950A55">
        <w:rPr>
          <w:sz w:val="24"/>
        </w:rPr>
        <w:t>i</w:t>
      </w:r>
      <w:r w:rsidR="00923E32">
        <w:rPr>
          <w:sz w:val="24"/>
        </w:rPr>
        <w:t>s cost report</w:t>
      </w:r>
      <w:r w:rsidR="00073198">
        <w:rPr>
          <w:sz w:val="24"/>
        </w:rPr>
        <w:t xml:space="preserve"> </w:t>
      </w:r>
      <w:r w:rsidR="00C70986">
        <w:rPr>
          <w:sz w:val="24"/>
        </w:rPr>
        <w:t xml:space="preserve">with a view toward minimizing the </w:t>
      </w:r>
      <w:r w:rsidRPr="00092C82" w:rsidR="00C70986">
        <w:rPr>
          <w:sz w:val="24"/>
        </w:rPr>
        <w:t>reporting burden for</w:t>
      </w:r>
      <w:r w:rsidRPr="00092C82" w:rsidR="00E43542">
        <w:rPr>
          <w:sz w:val="24"/>
        </w:rPr>
        <w:t xml:space="preserve"> the </w:t>
      </w:r>
      <w:r w:rsidRPr="00092C82" w:rsidR="008D408C">
        <w:rPr>
          <w:sz w:val="24"/>
        </w:rPr>
        <w:t>2</w:t>
      </w:r>
      <w:r w:rsidR="00092C82">
        <w:rPr>
          <w:sz w:val="24"/>
        </w:rPr>
        <w:t>,89</w:t>
      </w:r>
      <w:r w:rsidRPr="00092C82" w:rsidR="008D408C">
        <w:rPr>
          <w:sz w:val="24"/>
        </w:rPr>
        <w:t>0</w:t>
      </w:r>
      <w:r w:rsidRPr="00092C82" w:rsidR="00E43542">
        <w:rPr>
          <w:sz w:val="24"/>
        </w:rPr>
        <w:t xml:space="preserve"> FQHCs</w:t>
      </w:r>
      <w:r w:rsidRPr="00092C82" w:rsidR="00397896">
        <w:rPr>
          <w:sz w:val="24"/>
        </w:rPr>
        <w:t xml:space="preserve">, including consolidated </w:t>
      </w:r>
      <w:r w:rsidRPr="00092C82" w:rsidR="00F20149">
        <w:rPr>
          <w:sz w:val="24"/>
        </w:rPr>
        <w:t>FQHC</w:t>
      </w:r>
      <w:r w:rsidRPr="00092C82" w:rsidR="00397896">
        <w:rPr>
          <w:sz w:val="24"/>
        </w:rPr>
        <w:t>s</w:t>
      </w:r>
      <w:r w:rsidRPr="00092C82" w:rsidR="00E43542">
        <w:rPr>
          <w:sz w:val="24"/>
        </w:rPr>
        <w:t xml:space="preserve"> certified to participate in the Medicare program</w:t>
      </w:r>
      <w:r w:rsidR="00073198">
        <w:rPr>
          <w:sz w:val="24"/>
        </w:rPr>
        <w:t xml:space="preserve">. </w:t>
      </w:r>
      <w:r w:rsidR="000E5016">
        <w:rPr>
          <w:sz w:val="24"/>
        </w:rPr>
        <w:t xml:space="preserve"> </w:t>
      </w:r>
      <w:r w:rsidR="00C70986">
        <w:rPr>
          <w:sz w:val="24"/>
        </w:rPr>
        <w:t xml:space="preserve">The form </w:t>
      </w:r>
      <w:r w:rsidR="00073198">
        <w:rPr>
          <w:sz w:val="24"/>
        </w:rPr>
        <w:t>is collected as infrequently as possible (annually) and only those data items necessary to determine the appropriate reimbursement rates are</w:t>
      </w:r>
      <w:r w:rsidR="00B12785">
        <w:rPr>
          <w:sz w:val="24"/>
        </w:rPr>
        <w:t xml:space="preserve"> </w:t>
      </w:r>
      <w:r w:rsidR="00073198">
        <w:rPr>
          <w:sz w:val="24"/>
        </w:rPr>
        <w:t>required.</w:t>
      </w:r>
      <w:r w:rsidR="00EF7E0D">
        <w:rPr>
          <w:sz w:val="24"/>
        </w:rPr>
        <w:t xml:space="preserve"> </w:t>
      </w:r>
    </w:p>
    <w:p w:rsidR="00073198" w:rsidP="00B12785" w:rsidRDefault="00073198" w14:paraId="4E022E9C" w14:textId="77777777">
      <w:pPr>
        <w:spacing w:line="242" w:lineRule="auto"/>
        <w:rPr>
          <w:sz w:val="24"/>
        </w:rPr>
      </w:pPr>
    </w:p>
    <w:p w:rsidRPr="00916083" w:rsidR="00073198" w:rsidP="00B12785" w:rsidRDefault="00073198" w14:paraId="44C2E951" w14:textId="77777777">
      <w:pPr>
        <w:numPr>
          <w:ilvl w:val="0"/>
          <w:numId w:val="8"/>
        </w:numPr>
        <w:tabs>
          <w:tab w:val="clear" w:pos="1440"/>
          <w:tab w:val="left" w:pos="810"/>
        </w:tabs>
        <w:spacing w:line="242" w:lineRule="auto"/>
        <w:ind w:hanging="990"/>
        <w:rPr>
          <w:sz w:val="24"/>
          <w:u w:val="single"/>
        </w:rPr>
      </w:pPr>
      <w:r>
        <w:rPr>
          <w:sz w:val="24"/>
          <w:u w:val="single"/>
        </w:rPr>
        <w:t>Less Frequent Collection</w:t>
      </w:r>
    </w:p>
    <w:p w:rsidR="00073198" w:rsidP="00B12785" w:rsidRDefault="00073198" w14:paraId="047DAFAE" w14:textId="77777777">
      <w:pPr>
        <w:spacing w:line="242" w:lineRule="auto"/>
        <w:rPr>
          <w:sz w:val="24"/>
        </w:rPr>
      </w:pPr>
    </w:p>
    <w:p w:rsidR="00050767" w:rsidP="00050767" w:rsidRDefault="00050767" w14:paraId="3D5D0FAF" w14:textId="41B6CFF4">
      <w:pPr>
        <w:tabs>
          <w:tab w:val="left" w:pos="0"/>
          <w:tab w:val="left" w:pos="720"/>
        </w:tabs>
        <w:suppressAutoHyphens/>
        <w:spacing w:line="240" w:lineRule="atLeast"/>
        <w:ind w:left="720"/>
        <w:rPr>
          <w:sz w:val="24"/>
        </w:rPr>
      </w:pPr>
      <w:r>
        <w:rPr>
          <w:sz w:val="24"/>
        </w:rPr>
        <w:t>Under the authority of 1861(v)(1)(F) of the Act, as defined in regulations at 42 CFR 413.20 and 413.24, CMS requires that each FQHC submit the cost report on an annual basis with the reporting period based on the FQHC’s accounting period, which is generally 12 consecutive calendar months.  A less frequent collection would impede the annual rate setting process and adversely affect provider payments.</w:t>
      </w:r>
    </w:p>
    <w:p w:rsidR="00050767" w:rsidP="00050767" w:rsidRDefault="00050767" w14:paraId="1D5492B1" w14:textId="51D5AA56">
      <w:pPr>
        <w:tabs>
          <w:tab w:val="left" w:pos="0"/>
          <w:tab w:val="left" w:pos="720"/>
        </w:tabs>
        <w:suppressAutoHyphens/>
        <w:spacing w:line="240" w:lineRule="atLeast"/>
        <w:ind w:left="720"/>
        <w:rPr>
          <w:sz w:val="24"/>
        </w:rPr>
      </w:pPr>
    </w:p>
    <w:p w:rsidR="00471ED7" w:rsidP="00050767" w:rsidRDefault="00471ED7" w14:paraId="0CF47A24" w14:textId="19FE62D7">
      <w:pPr>
        <w:tabs>
          <w:tab w:val="left" w:pos="0"/>
          <w:tab w:val="left" w:pos="720"/>
        </w:tabs>
        <w:suppressAutoHyphens/>
        <w:spacing w:line="240" w:lineRule="atLeast"/>
        <w:ind w:left="720"/>
        <w:rPr>
          <w:sz w:val="24"/>
        </w:rPr>
      </w:pPr>
    </w:p>
    <w:p w:rsidR="00471ED7" w:rsidP="00050767" w:rsidRDefault="00471ED7" w14:paraId="4F228894" w14:textId="7ADE71A0">
      <w:pPr>
        <w:tabs>
          <w:tab w:val="left" w:pos="0"/>
          <w:tab w:val="left" w:pos="720"/>
        </w:tabs>
        <w:suppressAutoHyphens/>
        <w:spacing w:line="240" w:lineRule="atLeast"/>
        <w:ind w:left="720"/>
        <w:rPr>
          <w:sz w:val="24"/>
        </w:rPr>
      </w:pPr>
    </w:p>
    <w:p w:rsidR="00471ED7" w:rsidP="00050767" w:rsidRDefault="00471ED7" w14:paraId="42B9FB7D" w14:textId="73F1C7B1">
      <w:pPr>
        <w:tabs>
          <w:tab w:val="left" w:pos="0"/>
          <w:tab w:val="left" w:pos="720"/>
        </w:tabs>
        <w:suppressAutoHyphens/>
        <w:spacing w:line="240" w:lineRule="atLeast"/>
        <w:ind w:left="720"/>
        <w:rPr>
          <w:sz w:val="24"/>
        </w:rPr>
      </w:pPr>
    </w:p>
    <w:p w:rsidR="00471ED7" w:rsidP="00050767" w:rsidRDefault="00471ED7" w14:paraId="1D86D6FA" w14:textId="77777777">
      <w:pPr>
        <w:tabs>
          <w:tab w:val="left" w:pos="0"/>
          <w:tab w:val="left" w:pos="720"/>
        </w:tabs>
        <w:suppressAutoHyphens/>
        <w:spacing w:line="240" w:lineRule="atLeast"/>
        <w:ind w:left="720"/>
        <w:rPr>
          <w:sz w:val="24"/>
        </w:rPr>
      </w:pPr>
    </w:p>
    <w:p w:rsidR="00073198" w:rsidP="00B12785" w:rsidRDefault="00073198" w14:paraId="4FCE9B39" w14:textId="434E1112">
      <w:pPr>
        <w:numPr>
          <w:ilvl w:val="0"/>
          <w:numId w:val="8"/>
        </w:numPr>
        <w:tabs>
          <w:tab w:val="clear" w:pos="1440"/>
          <w:tab w:val="left" w:pos="810"/>
        </w:tabs>
        <w:spacing w:line="242" w:lineRule="auto"/>
        <w:ind w:hanging="990"/>
        <w:rPr>
          <w:sz w:val="24"/>
          <w:u w:val="single"/>
        </w:rPr>
      </w:pPr>
      <w:r>
        <w:rPr>
          <w:sz w:val="24"/>
          <w:u w:val="single"/>
        </w:rPr>
        <w:lastRenderedPageBreak/>
        <w:t>Special Circumstances</w:t>
      </w:r>
    </w:p>
    <w:p w:rsidR="00073198" w:rsidP="00B12785" w:rsidRDefault="00073198" w14:paraId="4425BB44" w14:textId="77777777">
      <w:pPr>
        <w:spacing w:line="242" w:lineRule="auto"/>
        <w:ind w:firstLine="720"/>
        <w:rPr>
          <w:sz w:val="24"/>
          <w:u w:val="single"/>
        </w:rPr>
      </w:pPr>
    </w:p>
    <w:p w:rsidR="00073198" w:rsidP="00B12785" w:rsidRDefault="00073198" w14:paraId="768DE635" w14:textId="670003DB">
      <w:pPr>
        <w:spacing w:line="242" w:lineRule="auto"/>
        <w:ind w:left="810"/>
        <w:rPr>
          <w:sz w:val="24"/>
        </w:rPr>
      </w:pPr>
      <w:r>
        <w:rPr>
          <w:sz w:val="24"/>
        </w:rPr>
        <w:t>This information collection complies with all general information collection guidelines as described in 5</w:t>
      </w:r>
      <w:r w:rsidR="00F358B6">
        <w:rPr>
          <w:sz w:val="24"/>
        </w:rPr>
        <w:t> </w:t>
      </w:r>
      <w:r>
        <w:rPr>
          <w:sz w:val="24"/>
        </w:rPr>
        <w:t>CFR</w:t>
      </w:r>
      <w:r w:rsidR="00F358B6">
        <w:rPr>
          <w:sz w:val="24"/>
        </w:rPr>
        <w:t> </w:t>
      </w:r>
      <w:r>
        <w:rPr>
          <w:sz w:val="24"/>
        </w:rPr>
        <w:t>1320.6</w:t>
      </w:r>
      <w:r w:rsidR="00722628">
        <w:rPr>
          <w:sz w:val="24"/>
        </w:rPr>
        <w:t xml:space="preserve"> </w:t>
      </w:r>
      <w:r w:rsidRPr="00E97B3B" w:rsidR="00722628">
        <w:rPr>
          <w:sz w:val="24"/>
        </w:rPr>
        <w:t>without the existence of special circumstances</w:t>
      </w:r>
      <w:r w:rsidR="00377797">
        <w:rPr>
          <w:sz w:val="24"/>
        </w:rPr>
        <w:t>.</w:t>
      </w:r>
    </w:p>
    <w:p w:rsidR="00722628" w:rsidP="00B12785" w:rsidRDefault="00722628" w14:paraId="06A0D68F" w14:textId="6353D1F0">
      <w:pPr>
        <w:spacing w:line="242" w:lineRule="auto"/>
        <w:ind w:left="810"/>
        <w:rPr>
          <w:sz w:val="24"/>
        </w:rPr>
      </w:pPr>
    </w:p>
    <w:p w:rsidR="00722628" w:rsidP="00722628" w:rsidRDefault="00722628" w14:paraId="290F15E4" w14:textId="77777777">
      <w:pPr>
        <w:ind w:left="720" w:right="-20"/>
        <w:rPr>
          <w:sz w:val="24"/>
        </w:rPr>
      </w:pPr>
      <w:r w:rsidRPr="004C4032">
        <w:rPr>
          <w:sz w:val="24"/>
        </w:rPr>
        <w:t>There are no special circumstances that would require an information collection to be conducted in a manner that requires respondents to:</w:t>
      </w:r>
    </w:p>
    <w:p w:rsidRPr="004C4032" w:rsidR="00722628" w:rsidP="00722628" w:rsidRDefault="00722628" w14:paraId="42C78F0A" w14:textId="77777777">
      <w:pPr>
        <w:ind w:left="720" w:right="-20"/>
        <w:rPr>
          <w:sz w:val="24"/>
        </w:rPr>
      </w:pPr>
    </w:p>
    <w:p w:rsidRPr="004C4032" w:rsidR="00722628" w:rsidP="00722628" w:rsidRDefault="00722628" w14:paraId="7CC749D9" w14:textId="77777777">
      <w:pPr>
        <w:ind w:left="720" w:right="-20"/>
        <w:rPr>
          <w:sz w:val="24"/>
        </w:rPr>
      </w:pPr>
      <w:r w:rsidRPr="004C4032">
        <w:rPr>
          <w:sz w:val="24"/>
        </w:rPr>
        <w:t>•</w:t>
      </w:r>
      <w:r w:rsidRPr="004C4032">
        <w:rPr>
          <w:sz w:val="24"/>
        </w:rPr>
        <w:tab/>
        <w:t>Report information to the agency more often than quarterly;</w:t>
      </w:r>
    </w:p>
    <w:p w:rsidRPr="004C4032" w:rsidR="00722628" w:rsidP="00722628" w:rsidRDefault="00722628" w14:paraId="0468F429" w14:textId="195883F1">
      <w:pPr>
        <w:ind w:left="720" w:right="-20"/>
        <w:rPr>
          <w:sz w:val="24"/>
        </w:rPr>
      </w:pPr>
      <w:r w:rsidRPr="004C4032">
        <w:rPr>
          <w:sz w:val="24"/>
        </w:rPr>
        <w:t>•</w:t>
      </w:r>
      <w:r w:rsidRPr="004C4032">
        <w:rPr>
          <w:sz w:val="24"/>
        </w:rPr>
        <w:tab/>
        <w:t xml:space="preserve">Prepare a written response to a collection of information in fewer than 30 days </w:t>
      </w:r>
      <w:r w:rsidR="00113CD8">
        <w:rPr>
          <w:sz w:val="24"/>
        </w:rPr>
        <w:tab/>
      </w:r>
      <w:r w:rsidRPr="004C4032">
        <w:rPr>
          <w:sz w:val="24"/>
        </w:rPr>
        <w:t xml:space="preserve">after receipt of it; </w:t>
      </w:r>
    </w:p>
    <w:p w:rsidRPr="004C4032" w:rsidR="00722628" w:rsidP="00722628" w:rsidRDefault="00722628" w14:paraId="496B72C7" w14:textId="77777777">
      <w:pPr>
        <w:ind w:left="720" w:right="-20"/>
        <w:rPr>
          <w:sz w:val="24"/>
        </w:rPr>
      </w:pPr>
      <w:r w:rsidRPr="004C4032">
        <w:rPr>
          <w:sz w:val="24"/>
        </w:rPr>
        <w:t>•</w:t>
      </w:r>
      <w:r w:rsidRPr="004C4032">
        <w:rPr>
          <w:sz w:val="24"/>
        </w:rPr>
        <w:tab/>
        <w:t>Submit more than an original and two copies of any document;</w:t>
      </w:r>
    </w:p>
    <w:p w:rsidRPr="004C4032" w:rsidR="00722628" w:rsidP="00722628" w:rsidRDefault="00722628" w14:paraId="3A1F2ABD" w14:textId="73CA84F2">
      <w:pPr>
        <w:ind w:left="720" w:right="-20"/>
        <w:rPr>
          <w:sz w:val="24"/>
        </w:rPr>
      </w:pPr>
      <w:r w:rsidRPr="004C4032">
        <w:rPr>
          <w:sz w:val="24"/>
        </w:rPr>
        <w:t>•</w:t>
      </w:r>
      <w:r w:rsidRPr="004C4032">
        <w:rPr>
          <w:sz w:val="24"/>
        </w:rPr>
        <w:tab/>
        <w:t xml:space="preserve">Retain records, other than health, medical, government contract, grant-in-aid, or </w:t>
      </w:r>
      <w:r w:rsidR="00113CD8">
        <w:rPr>
          <w:sz w:val="24"/>
        </w:rPr>
        <w:tab/>
      </w:r>
      <w:r w:rsidRPr="004C4032">
        <w:rPr>
          <w:sz w:val="24"/>
        </w:rPr>
        <w:t>tax records for more than three years;</w:t>
      </w:r>
    </w:p>
    <w:p w:rsidRPr="004C4032" w:rsidR="00722628" w:rsidP="00722628" w:rsidRDefault="00722628" w14:paraId="58B76475" w14:textId="3B5B344C">
      <w:pPr>
        <w:ind w:left="720" w:right="-20"/>
        <w:rPr>
          <w:sz w:val="24"/>
        </w:rPr>
      </w:pPr>
      <w:r w:rsidRPr="004C4032">
        <w:rPr>
          <w:sz w:val="24"/>
        </w:rPr>
        <w:t>•</w:t>
      </w:r>
      <w:r w:rsidRPr="004C4032">
        <w:rPr>
          <w:sz w:val="24"/>
        </w:rPr>
        <w:tab/>
        <w:t xml:space="preserve">Collect data in connection with a statistical survey that is not designed to produce </w:t>
      </w:r>
      <w:r w:rsidR="00113CD8">
        <w:rPr>
          <w:sz w:val="24"/>
        </w:rPr>
        <w:tab/>
      </w:r>
      <w:r w:rsidRPr="004C4032">
        <w:rPr>
          <w:sz w:val="24"/>
        </w:rPr>
        <w:t>valid and reliable results that can be generalized to the universe of study,</w:t>
      </w:r>
    </w:p>
    <w:p w:rsidRPr="004C4032" w:rsidR="00722628" w:rsidP="00722628" w:rsidRDefault="00722628" w14:paraId="0E95C781" w14:textId="34F20F2B">
      <w:pPr>
        <w:ind w:left="720" w:right="-20"/>
        <w:rPr>
          <w:sz w:val="24"/>
        </w:rPr>
      </w:pPr>
      <w:r w:rsidRPr="004C4032">
        <w:rPr>
          <w:sz w:val="24"/>
        </w:rPr>
        <w:t>•</w:t>
      </w:r>
      <w:r w:rsidRPr="004C4032">
        <w:rPr>
          <w:sz w:val="24"/>
        </w:rPr>
        <w:tab/>
        <w:t xml:space="preserve">Use a statistical data classification that has not been reviewed and approved by </w:t>
      </w:r>
      <w:r w:rsidR="00113CD8">
        <w:rPr>
          <w:sz w:val="24"/>
        </w:rPr>
        <w:tab/>
      </w:r>
      <w:r w:rsidRPr="004C4032">
        <w:rPr>
          <w:sz w:val="24"/>
        </w:rPr>
        <w:t>OMB;</w:t>
      </w:r>
    </w:p>
    <w:p w:rsidRPr="004C4032" w:rsidR="00722628" w:rsidP="00722628" w:rsidRDefault="00722628" w14:paraId="23136207" w14:textId="5A16495F">
      <w:pPr>
        <w:ind w:left="720" w:right="-20"/>
        <w:rPr>
          <w:sz w:val="24"/>
        </w:rPr>
      </w:pPr>
      <w:r w:rsidRPr="004C4032">
        <w:rPr>
          <w:sz w:val="24"/>
        </w:rPr>
        <w:t>•</w:t>
      </w:r>
      <w:r w:rsidRPr="004C4032">
        <w:rPr>
          <w:sz w:val="24"/>
        </w:rPr>
        <w:tab/>
        <w:t xml:space="preserve">Include a pledge of confidentiality that is not supported by authority established in </w:t>
      </w:r>
      <w:r w:rsidR="00113CD8">
        <w:rPr>
          <w:sz w:val="24"/>
        </w:rPr>
        <w:tab/>
      </w:r>
      <w:r w:rsidRPr="004C4032">
        <w:rPr>
          <w:sz w:val="24"/>
        </w:rPr>
        <w:t xml:space="preserve">statute or regulation that is not supported by disclosure and data security policies </w:t>
      </w:r>
      <w:r w:rsidR="00113CD8">
        <w:rPr>
          <w:sz w:val="24"/>
        </w:rPr>
        <w:tab/>
      </w:r>
      <w:r w:rsidRPr="004C4032">
        <w:rPr>
          <w:sz w:val="24"/>
        </w:rPr>
        <w:t xml:space="preserve">that are consistent with the pledge, or which unnecessarily impedes sharing of </w:t>
      </w:r>
      <w:r w:rsidR="00113CD8">
        <w:rPr>
          <w:sz w:val="24"/>
        </w:rPr>
        <w:tab/>
      </w:r>
      <w:r w:rsidRPr="004C4032">
        <w:rPr>
          <w:sz w:val="24"/>
        </w:rPr>
        <w:t>data with other agencies for compatible confidential use; or</w:t>
      </w:r>
    </w:p>
    <w:p w:rsidRPr="004C4032" w:rsidR="00722628" w:rsidP="00722628" w:rsidRDefault="00722628" w14:paraId="39A468EE" w14:textId="1FC79B4D">
      <w:pPr>
        <w:ind w:left="720" w:right="-20"/>
        <w:rPr>
          <w:sz w:val="24"/>
        </w:rPr>
      </w:pPr>
      <w:r w:rsidRPr="004C4032">
        <w:rPr>
          <w:sz w:val="24"/>
        </w:rPr>
        <w:t>•</w:t>
      </w:r>
      <w:r w:rsidRPr="004C4032">
        <w:rPr>
          <w:sz w:val="24"/>
        </w:rPr>
        <w:tab/>
        <w:t xml:space="preserve">Submit proprietary trade secret, or other confidential information unless the </w:t>
      </w:r>
      <w:r w:rsidR="00113CD8">
        <w:rPr>
          <w:sz w:val="24"/>
        </w:rPr>
        <w:tab/>
      </w:r>
      <w:r w:rsidRPr="004C4032">
        <w:rPr>
          <w:sz w:val="24"/>
        </w:rPr>
        <w:t xml:space="preserve">agency can demonstrate that it has instituted procedures to protect the </w:t>
      </w:r>
      <w:r w:rsidR="00113CD8">
        <w:rPr>
          <w:sz w:val="24"/>
        </w:rPr>
        <w:tab/>
      </w:r>
      <w:r w:rsidRPr="004C4032">
        <w:rPr>
          <w:sz w:val="24"/>
        </w:rPr>
        <w:t>information's confidentiality to the extent permitted by law.</w:t>
      </w:r>
    </w:p>
    <w:p w:rsidR="001533C8" w:rsidP="00B12785" w:rsidRDefault="001533C8" w14:paraId="3CC57C89" w14:textId="77777777">
      <w:pPr>
        <w:spacing w:line="242" w:lineRule="auto"/>
        <w:rPr>
          <w:sz w:val="24"/>
        </w:rPr>
      </w:pPr>
    </w:p>
    <w:p w:rsidRPr="00FF00AF" w:rsidR="00073198" w:rsidP="00B12785" w:rsidRDefault="00073198" w14:paraId="5A6AE920" w14:textId="77777777">
      <w:pPr>
        <w:numPr>
          <w:ilvl w:val="0"/>
          <w:numId w:val="8"/>
        </w:numPr>
        <w:tabs>
          <w:tab w:val="clear" w:pos="1440"/>
          <w:tab w:val="left" w:pos="810"/>
        </w:tabs>
        <w:spacing w:line="242" w:lineRule="auto"/>
        <w:ind w:hanging="990"/>
        <w:rPr>
          <w:sz w:val="24"/>
          <w:u w:val="single"/>
        </w:rPr>
      </w:pPr>
      <w:r w:rsidRPr="00FF00AF">
        <w:rPr>
          <w:sz w:val="24"/>
          <w:u w:val="single"/>
        </w:rPr>
        <w:t>Federal Register Notice</w:t>
      </w:r>
    </w:p>
    <w:p w:rsidR="00073198" w:rsidP="00B12785" w:rsidRDefault="00073198" w14:paraId="527E60A4" w14:textId="77777777">
      <w:pPr>
        <w:spacing w:line="242" w:lineRule="auto"/>
        <w:rPr>
          <w:sz w:val="24"/>
        </w:rPr>
      </w:pPr>
    </w:p>
    <w:p w:rsidR="00C704EF" w:rsidP="00F4625C" w:rsidRDefault="001E5DDB" w14:paraId="6B8572A4" w14:textId="77777777">
      <w:pPr>
        <w:spacing w:line="242" w:lineRule="auto"/>
        <w:ind w:left="810"/>
        <w:rPr>
          <w:sz w:val="24"/>
          <w:u w:val="single"/>
        </w:rPr>
      </w:pPr>
      <w:r>
        <w:rPr>
          <w:sz w:val="24"/>
        </w:rPr>
        <w:t>The 60</w:t>
      </w:r>
      <w:r w:rsidR="00050767">
        <w:rPr>
          <w:sz w:val="24"/>
        </w:rPr>
        <w:t>-</w:t>
      </w:r>
      <w:r>
        <w:rPr>
          <w:sz w:val="24"/>
        </w:rPr>
        <w:t xml:space="preserve">day Federal </w:t>
      </w:r>
      <w:r w:rsidR="00050767">
        <w:rPr>
          <w:sz w:val="24"/>
        </w:rPr>
        <w:t>Register n</w:t>
      </w:r>
      <w:r>
        <w:rPr>
          <w:sz w:val="24"/>
        </w:rPr>
        <w:t xml:space="preserve">otice </w:t>
      </w:r>
      <w:r w:rsidR="00050767">
        <w:rPr>
          <w:sz w:val="24"/>
        </w:rPr>
        <w:t xml:space="preserve">was </w:t>
      </w:r>
      <w:r>
        <w:rPr>
          <w:sz w:val="24"/>
        </w:rPr>
        <w:t xml:space="preserve">published </w:t>
      </w:r>
      <w:r w:rsidRPr="00722628" w:rsidR="00050767">
        <w:rPr>
          <w:sz w:val="24"/>
        </w:rPr>
        <w:t xml:space="preserve">on </w:t>
      </w:r>
      <w:r w:rsidRPr="00C704EF" w:rsidR="00C704EF">
        <w:rPr>
          <w:sz w:val="24"/>
        </w:rPr>
        <w:t>04/07/2022</w:t>
      </w:r>
      <w:r w:rsidRPr="00722628" w:rsidR="00050767">
        <w:rPr>
          <w:sz w:val="24"/>
        </w:rPr>
        <w:t xml:space="preserve"> (</w:t>
      </w:r>
      <w:r w:rsidRPr="00744249" w:rsidR="00744249">
        <w:rPr>
          <w:sz w:val="24"/>
        </w:rPr>
        <w:t>87 FR 20416</w:t>
      </w:r>
      <w:r w:rsidRPr="00722628" w:rsidR="00050767">
        <w:rPr>
          <w:sz w:val="24"/>
        </w:rPr>
        <w:t xml:space="preserve">). </w:t>
      </w:r>
      <w:r w:rsidR="00050767">
        <w:rPr>
          <w:sz w:val="24"/>
          <w:u w:val="single"/>
        </w:rPr>
        <w:t xml:space="preserve"> </w:t>
      </w:r>
    </w:p>
    <w:p w:rsidR="00C704EF" w:rsidP="00F4625C" w:rsidRDefault="00C704EF" w14:paraId="05F21F9F" w14:textId="77777777">
      <w:pPr>
        <w:spacing w:line="242" w:lineRule="auto"/>
        <w:ind w:left="810"/>
        <w:rPr>
          <w:sz w:val="24"/>
        </w:rPr>
      </w:pPr>
      <w:r>
        <w:rPr>
          <w:sz w:val="24"/>
        </w:rPr>
        <w:t xml:space="preserve">No comments were received. </w:t>
      </w:r>
    </w:p>
    <w:p w:rsidR="00C704EF" w:rsidP="00F4625C" w:rsidRDefault="00C704EF" w14:paraId="6ED8898C" w14:textId="77777777">
      <w:pPr>
        <w:spacing w:line="242" w:lineRule="auto"/>
        <w:ind w:left="810"/>
        <w:rPr>
          <w:sz w:val="24"/>
          <w:u w:val="single"/>
        </w:rPr>
      </w:pPr>
    </w:p>
    <w:p w:rsidR="00C704EF" w:rsidP="00C704EF" w:rsidRDefault="00C704EF" w14:paraId="0421B4C0" w14:textId="59DF33C0">
      <w:pPr>
        <w:spacing w:line="242" w:lineRule="auto"/>
        <w:ind w:left="810"/>
        <w:rPr>
          <w:sz w:val="24"/>
        </w:rPr>
      </w:pPr>
      <w:r>
        <w:rPr>
          <w:sz w:val="24"/>
        </w:rPr>
        <w:t xml:space="preserve">The 30-day Federal Register notice was published </w:t>
      </w:r>
      <w:r w:rsidRPr="00722628">
        <w:rPr>
          <w:sz w:val="24"/>
        </w:rPr>
        <w:t xml:space="preserve">on </w:t>
      </w:r>
      <w:r w:rsidRPr="00C704EF" w:rsidR="006B4E40">
        <w:rPr>
          <w:sz w:val="24"/>
        </w:rPr>
        <w:t>0</w:t>
      </w:r>
      <w:r w:rsidR="006B4E40">
        <w:rPr>
          <w:sz w:val="24"/>
        </w:rPr>
        <w:t>6</w:t>
      </w:r>
      <w:r w:rsidRPr="00C704EF" w:rsidR="006B4E40">
        <w:rPr>
          <w:sz w:val="24"/>
        </w:rPr>
        <w:t>/</w:t>
      </w:r>
      <w:r w:rsidR="006B4E40">
        <w:rPr>
          <w:sz w:val="24"/>
        </w:rPr>
        <w:t>24</w:t>
      </w:r>
      <w:r w:rsidRPr="00C704EF" w:rsidR="006B4E40">
        <w:rPr>
          <w:sz w:val="24"/>
        </w:rPr>
        <w:t>/2022</w:t>
      </w:r>
      <w:bookmarkStart w:name="_GoBack" w:id="0"/>
      <w:bookmarkEnd w:id="0"/>
      <w:r w:rsidRPr="00722628">
        <w:rPr>
          <w:sz w:val="24"/>
        </w:rPr>
        <w:t xml:space="preserve"> (</w:t>
      </w:r>
      <w:r w:rsidRPr="006B4E40" w:rsidR="006B4E40">
        <w:rPr>
          <w:sz w:val="24"/>
        </w:rPr>
        <w:t>87 FR 37858</w:t>
      </w:r>
      <w:r w:rsidRPr="00722628">
        <w:rPr>
          <w:sz w:val="24"/>
        </w:rPr>
        <w:t xml:space="preserve">). </w:t>
      </w:r>
      <w:r>
        <w:rPr>
          <w:sz w:val="24"/>
          <w:u w:val="single"/>
        </w:rPr>
        <w:t xml:space="preserve">   </w:t>
      </w:r>
    </w:p>
    <w:p w:rsidR="001E5DDB" w:rsidP="00F4625C" w:rsidRDefault="00050767" w14:paraId="554E629F" w14:textId="34B3BFF9">
      <w:pPr>
        <w:spacing w:line="242" w:lineRule="auto"/>
        <w:ind w:left="810"/>
        <w:rPr>
          <w:sz w:val="24"/>
        </w:rPr>
      </w:pPr>
      <w:r>
        <w:rPr>
          <w:sz w:val="24"/>
          <w:u w:val="single"/>
        </w:rPr>
        <w:t xml:space="preserve">     </w:t>
      </w:r>
    </w:p>
    <w:p w:rsidR="00F5714A" w:rsidP="0083021E" w:rsidRDefault="00F5714A" w14:paraId="3B2A4EF2" w14:textId="77777777">
      <w:pPr>
        <w:spacing w:line="242" w:lineRule="auto"/>
        <w:ind w:left="720"/>
        <w:rPr>
          <w:sz w:val="24"/>
        </w:rPr>
      </w:pPr>
    </w:p>
    <w:p w:rsidR="00073198" w:rsidP="00B12785" w:rsidRDefault="00073198" w14:paraId="612363F1" w14:textId="77777777">
      <w:pPr>
        <w:numPr>
          <w:ilvl w:val="0"/>
          <w:numId w:val="8"/>
        </w:numPr>
        <w:tabs>
          <w:tab w:val="clear" w:pos="1440"/>
          <w:tab w:val="left" w:pos="810"/>
        </w:tabs>
        <w:spacing w:line="242" w:lineRule="auto"/>
        <w:ind w:hanging="990"/>
        <w:rPr>
          <w:sz w:val="24"/>
          <w:u w:val="single"/>
        </w:rPr>
      </w:pPr>
      <w:r>
        <w:rPr>
          <w:sz w:val="24"/>
          <w:u w:val="single"/>
        </w:rPr>
        <w:t>Payment/Gift to Respondent</w:t>
      </w:r>
      <w:r w:rsidR="00C96049">
        <w:rPr>
          <w:sz w:val="24"/>
          <w:u w:val="single"/>
        </w:rPr>
        <w:t>s</w:t>
      </w:r>
    </w:p>
    <w:p w:rsidR="00073198" w:rsidP="00B12785" w:rsidRDefault="00073198" w14:paraId="25BE0013" w14:textId="77777777">
      <w:pPr>
        <w:spacing w:line="242" w:lineRule="auto"/>
        <w:rPr>
          <w:sz w:val="24"/>
        </w:rPr>
      </w:pPr>
    </w:p>
    <w:p w:rsidR="00073198" w:rsidP="00B12785" w:rsidRDefault="00BD78B4" w14:paraId="0515A57C" w14:textId="2760562B">
      <w:pPr>
        <w:spacing w:line="242" w:lineRule="auto"/>
        <w:ind w:left="810"/>
        <w:rPr>
          <w:sz w:val="24"/>
        </w:rPr>
      </w:pPr>
      <w:r>
        <w:rPr>
          <w:sz w:val="24"/>
        </w:rPr>
        <w:t>CMS makes</w:t>
      </w:r>
      <w:r w:rsidR="00073198">
        <w:rPr>
          <w:sz w:val="24"/>
        </w:rPr>
        <w:t xml:space="preserve"> no payment</w:t>
      </w:r>
      <w:r w:rsidR="001D47DB">
        <w:rPr>
          <w:sz w:val="24"/>
        </w:rPr>
        <w:t>s</w:t>
      </w:r>
      <w:r w:rsidR="00073198">
        <w:rPr>
          <w:sz w:val="24"/>
        </w:rPr>
        <w:t xml:space="preserve"> or gift</w:t>
      </w:r>
      <w:r w:rsidR="001D47DB">
        <w:rPr>
          <w:sz w:val="24"/>
        </w:rPr>
        <w:t>s</w:t>
      </w:r>
      <w:r w:rsidR="00073198">
        <w:rPr>
          <w:sz w:val="24"/>
        </w:rPr>
        <w:t xml:space="preserve"> to respondent</w:t>
      </w:r>
      <w:r w:rsidR="00C96049">
        <w:rPr>
          <w:sz w:val="24"/>
        </w:rPr>
        <w:t>s</w:t>
      </w:r>
      <w:r w:rsidR="001D47DB">
        <w:rPr>
          <w:sz w:val="24"/>
        </w:rPr>
        <w:t xml:space="preserve"> for completion of this data collection.  </w:t>
      </w:r>
      <w:r w:rsidR="00050767">
        <w:rPr>
          <w:sz w:val="24"/>
        </w:rPr>
        <w:t>CMS issues claims</w:t>
      </w:r>
      <w:r w:rsidRPr="003B3D80" w:rsidR="001D47DB">
        <w:rPr>
          <w:sz w:val="24"/>
        </w:rPr>
        <w:t xml:space="preserve"> payments for </w:t>
      </w:r>
      <w:r w:rsidR="00050767">
        <w:rPr>
          <w:sz w:val="24"/>
        </w:rPr>
        <w:t xml:space="preserve">covered </w:t>
      </w:r>
      <w:r w:rsidRPr="003B3D80" w:rsidR="001D47DB">
        <w:rPr>
          <w:sz w:val="24"/>
        </w:rPr>
        <w:t xml:space="preserve">services rendered to </w:t>
      </w:r>
      <w:r w:rsidR="00050767">
        <w:rPr>
          <w:sz w:val="24"/>
        </w:rPr>
        <w:t xml:space="preserve">Medicare </w:t>
      </w:r>
      <w:r w:rsidRPr="003B3D80" w:rsidR="001D47DB">
        <w:rPr>
          <w:sz w:val="24"/>
        </w:rPr>
        <w:t xml:space="preserve">beneficiaries.  These reports collect the data </w:t>
      </w:r>
      <w:r w:rsidR="00C96049">
        <w:rPr>
          <w:sz w:val="24"/>
        </w:rPr>
        <w:t>to determine</w:t>
      </w:r>
      <w:r w:rsidRPr="003B3D80" w:rsidR="00C96049">
        <w:rPr>
          <w:sz w:val="24"/>
        </w:rPr>
        <w:t xml:space="preserve"> </w:t>
      </w:r>
      <w:r w:rsidR="00C96049">
        <w:rPr>
          <w:sz w:val="24"/>
        </w:rPr>
        <w:t xml:space="preserve">accurate </w:t>
      </w:r>
      <w:r w:rsidRPr="003B3D80" w:rsidR="001D47DB">
        <w:rPr>
          <w:sz w:val="24"/>
        </w:rPr>
        <w:t>payments to a</w:t>
      </w:r>
      <w:r w:rsidR="006C2422">
        <w:rPr>
          <w:sz w:val="24"/>
        </w:rPr>
        <w:t>n</w:t>
      </w:r>
      <w:r w:rsidRPr="003B3D80" w:rsidR="001D47DB">
        <w:rPr>
          <w:sz w:val="24"/>
        </w:rPr>
        <w:t xml:space="preserve"> </w:t>
      </w:r>
      <w:r w:rsidR="008D408C">
        <w:rPr>
          <w:sz w:val="24"/>
        </w:rPr>
        <w:t>FQHC</w:t>
      </w:r>
      <w:r w:rsidRPr="003B3D80" w:rsidR="001D47DB">
        <w:rPr>
          <w:sz w:val="24"/>
        </w:rPr>
        <w:t>.  If the</w:t>
      </w:r>
      <w:r w:rsidR="00241A7C">
        <w:rPr>
          <w:sz w:val="24"/>
        </w:rPr>
        <w:t xml:space="preserve"> FQHC</w:t>
      </w:r>
      <w:r w:rsidRPr="003B3D80" w:rsidR="001D47DB">
        <w:rPr>
          <w:sz w:val="24"/>
        </w:rPr>
        <w:t xml:space="preserve"> fail</w:t>
      </w:r>
      <w:r w:rsidR="00241A7C">
        <w:rPr>
          <w:sz w:val="24"/>
        </w:rPr>
        <w:t>s</w:t>
      </w:r>
      <w:r w:rsidRPr="003B3D80" w:rsidR="001D47DB">
        <w:rPr>
          <w:sz w:val="24"/>
        </w:rPr>
        <w:t xml:space="preserve"> to submit the </w:t>
      </w:r>
      <w:r w:rsidR="00C96049">
        <w:rPr>
          <w:sz w:val="24"/>
        </w:rPr>
        <w:t xml:space="preserve">cost </w:t>
      </w:r>
      <w:r w:rsidRPr="003B3D80" w:rsidR="001D47DB">
        <w:rPr>
          <w:sz w:val="24"/>
        </w:rPr>
        <w:t>report</w:t>
      </w:r>
      <w:r w:rsidR="005351A7">
        <w:rPr>
          <w:sz w:val="24"/>
        </w:rPr>
        <w:t>,</w:t>
      </w:r>
      <w:r w:rsidRPr="003B3D80" w:rsidR="001D47DB">
        <w:rPr>
          <w:sz w:val="24"/>
        </w:rPr>
        <w:t xml:space="preserve"> </w:t>
      </w:r>
      <w:r w:rsidR="00241A7C">
        <w:rPr>
          <w:sz w:val="24"/>
        </w:rPr>
        <w:t xml:space="preserve">the </w:t>
      </w:r>
      <w:r w:rsidR="008B0824">
        <w:rPr>
          <w:sz w:val="24"/>
        </w:rPr>
        <w:t>contractor</w:t>
      </w:r>
      <w:r w:rsidR="00241A7C">
        <w:rPr>
          <w:sz w:val="24"/>
        </w:rPr>
        <w:t xml:space="preserve"> imposes a </w:t>
      </w:r>
      <w:r w:rsidRPr="003B3D80" w:rsidR="001D47DB">
        <w:rPr>
          <w:sz w:val="24"/>
        </w:rPr>
        <w:t xml:space="preserve">penalty </w:t>
      </w:r>
      <w:r w:rsidR="00241A7C">
        <w:rPr>
          <w:sz w:val="24"/>
        </w:rPr>
        <w:t xml:space="preserve">by suspending </w:t>
      </w:r>
      <w:r w:rsidRPr="003B3D80" w:rsidR="001D47DB">
        <w:rPr>
          <w:sz w:val="24"/>
        </w:rPr>
        <w:t xml:space="preserve">claims payments until </w:t>
      </w:r>
      <w:r w:rsidR="00241A7C">
        <w:rPr>
          <w:sz w:val="24"/>
        </w:rPr>
        <w:t>the</w:t>
      </w:r>
      <w:r w:rsidRPr="003B3D80" w:rsidR="00241A7C">
        <w:rPr>
          <w:sz w:val="24"/>
        </w:rPr>
        <w:t xml:space="preserve"> </w:t>
      </w:r>
      <w:r w:rsidR="001E2F19">
        <w:rPr>
          <w:sz w:val="24"/>
        </w:rPr>
        <w:t xml:space="preserve">FQHC </w:t>
      </w:r>
      <w:r w:rsidR="004A189D">
        <w:rPr>
          <w:sz w:val="24"/>
        </w:rPr>
        <w:t xml:space="preserve">cost </w:t>
      </w:r>
      <w:r w:rsidRPr="003B3D80" w:rsidR="001D47DB">
        <w:rPr>
          <w:sz w:val="24"/>
        </w:rPr>
        <w:t xml:space="preserve">report is submitted. </w:t>
      </w:r>
      <w:r w:rsidR="006C2422">
        <w:rPr>
          <w:sz w:val="24"/>
        </w:rPr>
        <w:t xml:space="preserve"> </w:t>
      </w:r>
      <w:r w:rsidRPr="003B3D80" w:rsidR="001D47DB">
        <w:rPr>
          <w:sz w:val="24"/>
        </w:rPr>
        <w:t xml:space="preserve">Once the </w:t>
      </w:r>
      <w:r w:rsidR="00407D68">
        <w:rPr>
          <w:sz w:val="24"/>
        </w:rPr>
        <w:t xml:space="preserve">FQHC cost </w:t>
      </w:r>
      <w:r w:rsidRPr="003B3D80" w:rsidR="001D47DB">
        <w:rPr>
          <w:sz w:val="24"/>
        </w:rPr>
        <w:t>report is submitted</w:t>
      </w:r>
      <w:r w:rsidR="00241A7C">
        <w:rPr>
          <w:sz w:val="24"/>
        </w:rPr>
        <w:t xml:space="preserve">, the </w:t>
      </w:r>
      <w:r w:rsidR="008B0824">
        <w:rPr>
          <w:sz w:val="24"/>
        </w:rPr>
        <w:t>contractor</w:t>
      </w:r>
      <w:r w:rsidR="00241A7C">
        <w:rPr>
          <w:sz w:val="24"/>
        </w:rPr>
        <w:t xml:space="preserve"> releases</w:t>
      </w:r>
      <w:r w:rsidRPr="003B3D80" w:rsidR="001D47DB">
        <w:rPr>
          <w:sz w:val="24"/>
        </w:rPr>
        <w:t xml:space="preserve"> the </w:t>
      </w:r>
      <w:r w:rsidR="005E257B">
        <w:rPr>
          <w:sz w:val="24"/>
        </w:rPr>
        <w:t xml:space="preserve">suspended </w:t>
      </w:r>
      <w:r w:rsidRPr="003B3D80" w:rsidR="001D47DB">
        <w:rPr>
          <w:sz w:val="24"/>
        </w:rPr>
        <w:t xml:space="preserve">payments.  </w:t>
      </w:r>
      <w:r w:rsidR="008B0824">
        <w:rPr>
          <w:sz w:val="24"/>
        </w:rPr>
        <w:t>An</w:t>
      </w:r>
      <w:r w:rsidR="00241A7C">
        <w:rPr>
          <w:sz w:val="24"/>
        </w:rPr>
        <w:t xml:space="preserve"> FQHC</w:t>
      </w:r>
      <w:r w:rsidRPr="003B3D80" w:rsidR="001D47DB">
        <w:rPr>
          <w:sz w:val="24"/>
        </w:rPr>
        <w:t xml:space="preserve"> </w:t>
      </w:r>
      <w:r w:rsidR="008B0824">
        <w:rPr>
          <w:sz w:val="24"/>
        </w:rPr>
        <w:t xml:space="preserve">that submits </w:t>
      </w:r>
      <w:r w:rsidRPr="003B3D80" w:rsidR="001D47DB">
        <w:rPr>
          <w:sz w:val="24"/>
        </w:rPr>
        <w:t xml:space="preserve">the </w:t>
      </w:r>
      <w:r w:rsidR="008B0824">
        <w:rPr>
          <w:sz w:val="24"/>
        </w:rPr>
        <w:t xml:space="preserve">cost </w:t>
      </w:r>
      <w:r w:rsidRPr="003B3D80" w:rsidR="001D47DB">
        <w:rPr>
          <w:sz w:val="24"/>
        </w:rPr>
        <w:t>report timely</w:t>
      </w:r>
      <w:r w:rsidR="008B0824">
        <w:rPr>
          <w:sz w:val="24"/>
        </w:rPr>
        <w:t xml:space="preserve"> experiences </w:t>
      </w:r>
      <w:r w:rsidRPr="003B3D80" w:rsidR="001D47DB">
        <w:rPr>
          <w:sz w:val="24"/>
        </w:rPr>
        <w:t>no interruption in claims payments.</w:t>
      </w:r>
    </w:p>
    <w:p w:rsidR="009853CA" w:rsidP="00B12785" w:rsidRDefault="009853CA" w14:paraId="2A7A2B96" w14:textId="77777777">
      <w:pPr>
        <w:spacing w:line="242" w:lineRule="auto"/>
        <w:rPr>
          <w:sz w:val="24"/>
        </w:rPr>
      </w:pPr>
    </w:p>
    <w:p w:rsidRPr="00916083" w:rsidR="00073198" w:rsidP="00B12785" w:rsidRDefault="00073198" w14:paraId="2BE6F368" w14:textId="77777777">
      <w:pPr>
        <w:numPr>
          <w:ilvl w:val="0"/>
          <w:numId w:val="8"/>
        </w:numPr>
        <w:tabs>
          <w:tab w:val="clear" w:pos="1440"/>
          <w:tab w:val="left" w:pos="810"/>
        </w:tabs>
        <w:spacing w:line="242" w:lineRule="auto"/>
        <w:ind w:hanging="1080"/>
        <w:rPr>
          <w:sz w:val="24"/>
          <w:u w:val="single"/>
        </w:rPr>
      </w:pPr>
      <w:r>
        <w:rPr>
          <w:sz w:val="24"/>
          <w:u w:val="single"/>
        </w:rPr>
        <w:t>Confidentiality</w:t>
      </w:r>
    </w:p>
    <w:p w:rsidR="00073198" w:rsidP="00B12785" w:rsidRDefault="00073198" w14:paraId="5614B56C" w14:textId="77777777">
      <w:pPr>
        <w:spacing w:line="242" w:lineRule="auto"/>
        <w:rPr>
          <w:sz w:val="24"/>
        </w:rPr>
      </w:pPr>
    </w:p>
    <w:p w:rsidR="00073198" w:rsidP="00B12785" w:rsidRDefault="00073198" w14:paraId="7380C580" w14:textId="77777777">
      <w:pPr>
        <w:spacing w:line="242" w:lineRule="auto"/>
        <w:ind w:left="810"/>
        <w:rPr>
          <w:sz w:val="24"/>
        </w:rPr>
      </w:pPr>
      <w:r>
        <w:rPr>
          <w:sz w:val="24"/>
        </w:rPr>
        <w:t xml:space="preserve">Confidentiality is not </w:t>
      </w:r>
      <w:r w:rsidR="00916337">
        <w:rPr>
          <w:sz w:val="24"/>
        </w:rPr>
        <w:t>assured</w:t>
      </w:r>
      <w:r>
        <w:rPr>
          <w:sz w:val="24"/>
        </w:rPr>
        <w:t>.  Medicare cost reports are subject to disclosure under the Freedom of Information Act.</w:t>
      </w:r>
    </w:p>
    <w:p w:rsidR="00073198" w:rsidP="00B12785" w:rsidRDefault="00073198" w14:paraId="2E25B477" w14:textId="77777777">
      <w:pPr>
        <w:spacing w:line="242" w:lineRule="auto"/>
        <w:rPr>
          <w:sz w:val="24"/>
        </w:rPr>
      </w:pPr>
    </w:p>
    <w:p w:rsidRPr="00916083" w:rsidR="00073198" w:rsidP="00B12785" w:rsidRDefault="00073198" w14:paraId="77890189" w14:textId="77777777">
      <w:pPr>
        <w:numPr>
          <w:ilvl w:val="0"/>
          <w:numId w:val="8"/>
        </w:numPr>
        <w:tabs>
          <w:tab w:val="clear" w:pos="1440"/>
          <w:tab w:val="left" w:pos="810"/>
        </w:tabs>
        <w:spacing w:line="242" w:lineRule="auto"/>
        <w:ind w:hanging="1080"/>
        <w:rPr>
          <w:sz w:val="24"/>
          <w:u w:val="single"/>
        </w:rPr>
      </w:pPr>
      <w:r>
        <w:rPr>
          <w:sz w:val="24"/>
          <w:u w:val="single"/>
        </w:rPr>
        <w:t>Sensitive Questions</w:t>
      </w:r>
    </w:p>
    <w:p w:rsidR="00073198" w:rsidP="00B12785" w:rsidRDefault="00073198" w14:paraId="5E0CC979" w14:textId="77777777">
      <w:pPr>
        <w:spacing w:line="242" w:lineRule="auto"/>
        <w:rPr>
          <w:sz w:val="24"/>
        </w:rPr>
      </w:pPr>
    </w:p>
    <w:p w:rsidR="00690ECA" w:rsidP="006D3A96" w:rsidRDefault="00690ECA" w14:paraId="2B9A0598" w14:textId="2406C396">
      <w:pPr>
        <w:spacing w:line="242" w:lineRule="auto"/>
        <w:ind w:left="810"/>
        <w:rPr>
          <w:sz w:val="24"/>
        </w:rPr>
      </w:pPr>
      <w:r>
        <w:rPr>
          <w:sz w:val="24"/>
        </w:rPr>
        <w:t>There are no questions of a sensitive nature.</w:t>
      </w:r>
    </w:p>
    <w:p w:rsidR="001F5099" w:rsidP="006D3A96" w:rsidRDefault="001F5099" w14:paraId="328A16E0" w14:textId="77777777">
      <w:pPr>
        <w:spacing w:line="242" w:lineRule="auto"/>
        <w:ind w:left="810"/>
        <w:rPr>
          <w:sz w:val="24"/>
        </w:rPr>
      </w:pPr>
    </w:p>
    <w:p w:rsidRPr="00CC3764" w:rsidR="005E1119" w:rsidP="00200B3F" w:rsidRDefault="00073198" w14:paraId="6A24420C" w14:textId="79644A91">
      <w:pPr>
        <w:numPr>
          <w:ilvl w:val="0"/>
          <w:numId w:val="8"/>
        </w:numPr>
        <w:tabs>
          <w:tab w:val="clear" w:pos="1440"/>
          <w:tab w:val="left" w:pos="810"/>
        </w:tabs>
        <w:spacing w:line="242" w:lineRule="auto"/>
        <w:ind w:left="806" w:hanging="446"/>
        <w:rPr>
          <w:sz w:val="24"/>
          <w:u w:val="single"/>
        </w:rPr>
      </w:pPr>
      <w:r>
        <w:rPr>
          <w:sz w:val="24"/>
          <w:u w:val="single"/>
        </w:rPr>
        <w:t xml:space="preserve">Estimate of Burden (Hours </w:t>
      </w:r>
      <w:r w:rsidR="008B0824">
        <w:rPr>
          <w:sz w:val="24"/>
          <w:u w:val="single"/>
        </w:rPr>
        <w:t>and</w:t>
      </w:r>
      <w:r>
        <w:rPr>
          <w:sz w:val="24"/>
          <w:u w:val="single"/>
        </w:rPr>
        <w:t xml:space="preserve"> </w:t>
      </w:r>
      <w:r w:rsidR="00955153">
        <w:rPr>
          <w:sz w:val="24"/>
          <w:u w:val="single"/>
        </w:rPr>
        <w:t>Cost</w:t>
      </w:r>
      <w:r>
        <w:rPr>
          <w:sz w:val="24"/>
          <w:u w:val="single"/>
        </w:rPr>
        <w:t>)</w:t>
      </w:r>
    </w:p>
    <w:p w:rsidR="008B0824" w:rsidP="00B12785" w:rsidRDefault="008B0824" w14:paraId="538227DD" w14:textId="77777777">
      <w:pPr>
        <w:spacing w:line="242" w:lineRule="auto"/>
        <w:rPr>
          <w:sz w:val="24"/>
        </w:rPr>
      </w:pPr>
    </w:p>
    <w:tbl>
      <w:tblPr>
        <w:tblpPr w:leftFromText="180" w:rightFromText="180" w:bottomFromText="200" w:vertAnchor="text" w:horzAnchor="margin" w:tblpXSpec="center" w:tblpY="171"/>
        <w:tblW w:w="5000" w:type="pct"/>
        <w:tblLook w:val="04A0" w:firstRow="1" w:lastRow="0" w:firstColumn="1" w:lastColumn="0" w:noHBand="0" w:noVBand="1"/>
      </w:tblPr>
      <w:tblGrid>
        <w:gridCol w:w="400"/>
        <w:gridCol w:w="6575"/>
        <w:gridCol w:w="1967"/>
        <w:gridCol w:w="398"/>
      </w:tblGrid>
      <w:tr w:rsidR="008B0824" w:rsidTr="008B0824" w14:paraId="70737DA2" w14:textId="77777777">
        <w:trPr>
          <w:trHeight w:val="315"/>
        </w:trPr>
        <w:tc>
          <w:tcPr>
            <w:tcW w:w="214" w:type="pct"/>
            <w:tcBorders>
              <w:top w:val="single" w:color="auto" w:sz="8" w:space="0"/>
              <w:left w:val="single" w:color="auto" w:sz="8" w:space="0"/>
              <w:bottom w:val="nil"/>
              <w:right w:val="nil"/>
            </w:tcBorders>
            <w:noWrap/>
            <w:vAlign w:val="bottom"/>
          </w:tcPr>
          <w:p w:rsidR="008B0824" w:rsidP="0072373B" w:rsidRDefault="008B0824" w14:paraId="06672B8C" w14:textId="77777777">
            <w:pPr>
              <w:widowControl/>
              <w:autoSpaceDE/>
              <w:adjustRightInd/>
              <w:spacing w:line="276" w:lineRule="auto"/>
              <w:rPr>
                <w:rFonts w:ascii="Arial" w:hAnsi="Arial" w:cs="Arial"/>
                <w:szCs w:val="20"/>
              </w:rPr>
            </w:pPr>
          </w:p>
        </w:tc>
        <w:tc>
          <w:tcPr>
            <w:tcW w:w="3520" w:type="pct"/>
            <w:tcBorders>
              <w:top w:val="single" w:color="auto" w:sz="8" w:space="0"/>
              <w:left w:val="nil"/>
              <w:bottom w:val="nil"/>
              <w:right w:val="nil"/>
            </w:tcBorders>
            <w:noWrap/>
            <w:vAlign w:val="bottom"/>
          </w:tcPr>
          <w:p w:rsidR="008B0824" w:rsidP="0072373B" w:rsidRDefault="008B0824" w14:paraId="3EFE4146" w14:textId="77777777">
            <w:pPr>
              <w:widowControl/>
              <w:autoSpaceDE/>
              <w:adjustRightInd/>
              <w:spacing w:line="276" w:lineRule="auto"/>
              <w:rPr>
                <w:sz w:val="14"/>
                <w:szCs w:val="14"/>
              </w:rPr>
            </w:pPr>
          </w:p>
        </w:tc>
        <w:tc>
          <w:tcPr>
            <w:tcW w:w="1053" w:type="pct"/>
            <w:tcBorders>
              <w:top w:val="single" w:color="auto" w:sz="8" w:space="0"/>
              <w:left w:val="nil"/>
              <w:bottom w:val="nil"/>
              <w:right w:val="nil"/>
            </w:tcBorders>
            <w:noWrap/>
            <w:vAlign w:val="bottom"/>
          </w:tcPr>
          <w:p w:rsidR="008B0824" w:rsidP="0072373B" w:rsidRDefault="008B0824" w14:paraId="3B1AE2BC" w14:textId="77777777">
            <w:pPr>
              <w:widowControl/>
              <w:autoSpaceDE/>
              <w:adjustRightInd/>
              <w:spacing w:line="276" w:lineRule="auto"/>
              <w:rPr>
                <w:sz w:val="24"/>
                <w:szCs w:val="20"/>
              </w:rPr>
            </w:pPr>
          </w:p>
        </w:tc>
        <w:tc>
          <w:tcPr>
            <w:tcW w:w="213" w:type="pct"/>
            <w:tcBorders>
              <w:top w:val="single" w:color="auto" w:sz="8" w:space="0"/>
              <w:left w:val="nil"/>
              <w:bottom w:val="nil"/>
              <w:right w:val="single" w:color="auto" w:sz="8" w:space="0"/>
            </w:tcBorders>
            <w:noWrap/>
            <w:vAlign w:val="bottom"/>
          </w:tcPr>
          <w:p w:rsidR="008B0824" w:rsidP="0072373B" w:rsidRDefault="008B0824" w14:paraId="11792B01" w14:textId="77777777">
            <w:pPr>
              <w:widowControl/>
              <w:autoSpaceDE/>
              <w:adjustRightInd/>
              <w:spacing w:line="276" w:lineRule="auto"/>
              <w:rPr>
                <w:rFonts w:ascii="Arial" w:hAnsi="Arial" w:cs="Arial"/>
                <w:highlight w:val="yellow"/>
              </w:rPr>
            </w:pPr>
          </w:p>
        </w:tc>
      </w:tr>
      <w:tr w:rsidR="008B0824" w:rsidTr="008B0824" w14:paraId="1E4C1278" w14:textId="77777777">
        <w:trPr>
          <w:trHeight w:val="162"/>
        </w:trPr>
        <w:tc>
          <w:tcPr>
            <w:tcW w:w="214" w:type="pct"/>
            <w:tcBorders>
              <w:top w:val="nil"/>
              <w:left w:val="single" w:color="auto" w:sz="8" w:space="0"/>
              <w:bottom w:val="nil"/>
              <w:right w:val="nil"/>
            </w:tcBorders>
            <w:noWrap/>
            <w:vAlign w:val="bottom"/>
          </w:tcPr>
          <w:p w:rsidR="008B0824" w:rsidP="0072373B" w:rsidRDefault="008B0824" w14:paraId="19A79981" w14:textId="77777777">
            <w:pPr>
              <w:widowControl/>
              <w:autoSpaceDE/>
              <w:adjustRightInd/>
              <w:spacing w:line="276" w:lineRule="auto"/>
              <w:rPr>
                <w:rFonts w:ascii="Arial" w:hAnsi="Arial" w:cs="Arial"/>
              </w:rPr>
            </w:pPr>
          </w:p>
        </w:tc>
        <w:tc>
          <w:tcPr>
            <w:tcW w:w="3520" w:type="pct"/>
            <w:noWrap/>
            <w:vAlign w:val="bottom"/>
            <w:hideMark/>
          </w:tcPr>
          <w:p w:rsidR="008B0824" w:rsidP="008B0824" w:rsidRDefault="008B0824" w14:paraId="4DB8A1D6" w14:textId="3E0D8989">
            <w:pPr>
              <w:widowControl/>
              <w:spacing w:line="276" w:lineRule="auto"/>
              <w:rPr>
                <w:sz w:val="24"/>
              </w:rPr>
            </w:pPr>
            <w:r>
              <w:rPr>
                <w:sz w:val="24"/>
              </w:rPr>
              <w:t xml:space="preserve">Number of FQHC facilities (Form CMS-224-14) </w:t>
            </w:r>
          </w:p>
        </w:tc>
        <w:tc>
          <w:tcPr>
            <w:tcW w:w="1053" w:type="pct"/>
            <w:noWrap/>
            <w:vAlign w:val="bottom"/>
            <w:hideMark/>
          </w:tcPr>
          <w:p w:rsidR="008B0824" w:rsidP="008B0824" w:rsidRDefault="008B0824" w14:paraId="3F255C85" w14:textId="7E7D7729">
            <w:pPr>
              <w:widowControl/>
              <w:spacing w:line="276" w:lineRule="auto"/>
              <w:jc w:val="right"/>
              <w:rPr>
                <w:sz w:val="24"/>
              </w:rPr>
            </w:pPr>
            <w:r>
              <w:rPr>
                <w:sz w:val="24"/>
              </w:rPr>
              <w:t xml:space="preserve">2,890   </w:t>
            </w:r>
          </w:p>
        </w:tc>
        <w:tc>
          <w:tcPr>
            <w:tcW w:w="213" w:type="pct"/>
            <w:tcBorders>
              <w:top w:val="nil"/>
              <w:left w:val="nil"/>
              <w:bottom w:val="nil"/>
              <w:right w:val="single" w:color="auto" w:sz="8" w:space="0"/>
            </w:tcBorders>
            <w:noWrap/>
            <w:vAlign w:val="bottom"/>
          </w:tcPr>
          <w:p w:rsidR="008B0824" w:rsidP="0072373B" w:rsidRDefault="008B0824" w14:paraId="175B22A0" w14:textId="77777777">
            <w:pPr>
              <w:widowControl/>
              <w:autoSpaceDE/>
              <w:adjustRightInd/>
              <w:spacing w:line="276" w:lineRule="auto"/>
              <w:rPr>
                <w:rFonts w:ascii="Arial" w:hAnsi="Arial" w:cs="Arial"/>
                <w:szCs w:val="20"/>
                <w:highlight w:val="yellow"/>
              </w:rPr>
            </w:pPr>
          </w:p>
        </w:tc>
      </w:tr>
      <w:tr w:rsidR="008B0824" w:rsidTr="008B0824" w14:paraId="05EBFC03" w14:textId="77777777">
        <w:trPr>
          <w:trHeight w:val="315"/>
        </w:trPr>
        <w:tc>
          <w:tcPr>
            <w:tcW w:w="214" w:type="pct"/>
            <w:tcBorders>
              <w:top w:val="nil"/>
              <w:left w:val="single" w:color="auto" w:sz="8" w:space="0"/>
              <w:bottom w:val="nil"/>
              <w:right w:val="nil"/>
            </w:tcBorders>
            <w:noWrap/>
            <w:vAlign w:val="bottom"/>
          </w:tcPr>
          <w:p w:rsidR="008B0824" w:rsidP="0072373B" w:rsidRDefault="008B0824" w14:paraId="676D3DDD" w14:textId="77777777">
            <w:pPr>
              <w:widowControl/>
              <w:autoSpaceDE/>
              <w:adjustRightInd/>
              <w:spacing w:line="276" w:lineRule="auto"/>
              <w:rPr>
                <w:rFonts w:ascii="Arial" w:hAnsi="Arial" w:cs="Arial"/>
              </w:rPr>
            </w:pPr>
          </w:p>
        </w:tc>
        <w:tc>
          <w:tcPr>
            <w:tcW w:w="3520" w:type="pct"/>
            <w:noWrap/>
            <w:vAlign w:val="bottom"/>
          </w:tcPr>
          <w:p w:rsidR="008B0824" w:rsidP="0072373B" w:rsidRDefault="008B0824" w14:paraId="64EB30EF" w14:textId="77777777">
            <w:pPr>
              <w:widowControl/>
              <w:spacing w:line="276" w:lineRule="auto"/>
              <w:ind w:firstLine="960" w:firstLineChars="400"/>
              <w:rPr>
                <w:sz w:val="24"/>
              </w:rPr>
            </w:pPr>
          </w:p>
        </w:tc>
        <w:tc>
          <w:tcPr>
            <w:tcW w:w="1053" w:type="pct"/>
            <w:noWrap/>
            <w:vAlign w:val="bottom"/>
          </w:tcPr>
          <w:p w:rsidR="008B0824" w:rsidP="0072373B" w:rsidRDefault="008B0824" w14:paraId="2DC11F03" w14:textId="77777777">
            <w:pPr>
              <w:widowControl/>
              <w:spacing w:line="276" w:lineRule="auto"/>
              <w:rPr>
                <w:rFonts w:ascii="Arial" w:hAnsi="Arial" w:cs="Arial"/>
                <w:sz w:val="24"/>
              </w:rPr>
            </w:pPr>
          </w:p>
        </w:tc>
        <w:tc>
          <w:tcPr>
            <w:tcW w:w="213" w:type="pct"/>
            <w:tcBorders>
              <w:top w:val="nil"/>
              <w:left w:val="nil"/>
              <w:bottom w:val="nil"/>
              <w:right w:val="single" w:color="auto" w:sz="8" w:space="0"/>
            </w:tcBorders>
            <w:noWrap/>
            <w:vAlign w:val="bottom"/>
          </w:tcPr>
          <w:p w:rsidR="008B0824" w:rsidP="0072373B" w:rsidRDefault="008B0824" w14:paraId="64CF75ED" w14:textId="77777777">
            <w:pPr>
              <w:widowControl/>
              <w:autoSpaceDE/>
              <w:adjustRightInd/>
              <w:spacing w:line="276" w:lineRule="auto"/>
              <w:rPr>
                <w:rFonts w:ascii="Arial" w:hAnsi="Arial" w:cs="Arial"/>
                <w:szCs w:val="20"/>
                <w:highlight w:val="yellow"/>
              </w:rPr>
            </w:pPr>
          </w:p>
        </w:tc>
      </w:tr>
      <w:tr w:rsidR="008B0824" w:rsidTr="008B0824" w14:paraId="428F00E4" w14:textId="77777777">
        <w:trPr>
          <w:trHeight w:val="162"/>
        </w:trPr>
        <w:tc>
          <w:tcPr>
            <w:tcW w:w="214" w:type="pct"/>
            <w:tcBorders>
              <w:top w:val="nil"/>
              <w:left w:val="single" w:color="auto" w:sz="8" w:space="0"/>
              <w:bottom w:val="nil"/>
              <w:right w:val="nil"/>
            </w:tcBorders>
            <w:noWrap/>
            <w:vAlign w:val="bottom"/>
          </w:tcPr>
          <w:p w:rsidR="008B0824" w:rsidP="0072373B" w:rsidRDefault="008B0824" w14:paraId="492FBCAE" w14:textId="77777777">
            <w:pPr>
              <w:widowControl/>
              <w:autoSpaceDE/>
              <w:adjustRightInd/>
              <w:spacing w:line="276" w:lineRule="auto"/>
              <w:rPr>
                <w:rFonts w:ascii="Arial" w:hAnsi="Arial" w:cs="Arial"/>
              </w:rPr>
            </w:pPr>
          </w:p>
        </w:tc>
        <w:tc>
          <w:tcPr>
            <w:tcW w:w="3520" w:type="pct"/>
            <w:noWrap/>
            <w:vAlign w:val="bottom"/>
            <w:hideMark/>
          </w:tcPr>
          <w:p w:rsidR="008B0824" w:rsidP="008B0824" w:rsidRDefault="008B0824" w14:paraId="476644E3" w14:textId="34E66C55">
            <w:pPr>
              <w:widowControl/>
              <w:spacing w:line="276" w:lineRule="auto"/>
              <w:rPr>
                <w:sz w:val="24"/>
              </w:rPr>
            </w:pPr>
            <w:r>
              <w:rPr>
                <w:sz w:val="24"/>
              </w:rPr>
              <w:t>Hours burden per FQHC</w:t>
            </w:r>
          </w:p>
        </w:tc>
        <w:tc>
          <w:tcPr>
            <w:tcW w:w="1053" w:type="pct"/>
            <w:noWrap/>
            <w:vAlign w:val="bottom"/>
          </w:tcPr>
          <w:p w:rsidR="008B0824" w:rsidP="0072373B" w:rsidRDefault="008B0824" w14:paraId="396DA4F6" w14:textId="77777777">
            <w:pPr>
              <w:widowControl/>
              <w:spacing w:line="276" w:lineRule="auto"/>
              <w:jc w:val="right"/>
              <w:rPr>
                <w:color w:val="000000" w:themeColor="text1"/>
                <w:sz w:val="24"/>
              </w:rPr>
            </w:pPr>
          </w:p>
        </w:tc>
        <w:tc>
          <w:tcPr>
            <w:tcW w:w="213" w:type="pct"/>
            <w:tcBorders>
              <w:top w:val="nil"/>
              <w:left w:val="nil"/>
              <w:bottom w:val="nil"/>
              <w:right w:val="single" w:color="auto" w:sz="8" w:space="0"/>
            </w:tcBorders>
            <w:noWrap/>
            <w:vAlign w:val="bottom"/>
          </w:tcPr>
          <w:p w:rsidR="008B0824" w:rsidP="0072373B" w:rsidRDefault="008B0824" w14:paraId="3E5E4BCE" w14:textId="77777777">
            <w:pPr>
              <w:widowControl/>
              <w:autoSpaceDE/>
              <w:adjustRightInd/>
              <w:spacing w:line="276" w:lineRule="auto"/>
              <w:rPr>
                <w:rFonts w:ascii="Arial" w:hAnsi="Arial" w:cs="Arial"/>
                <w:szCs w:val="20"/>
                <w:highlight w:val="yellow"/>
              </w:rPr>
            </w:pPr>
          </w:p>
        </w:tc>
      </w:tr>
      <w:tr w:rsidR="008B0824" w:rsidTr="008B0824" w14:paraId="0AC4E9F5" w14:textId="77777777">
        <w:trPr>
          <w:trHeight w:val="315"/>
        </w:trPr>
        <w:tc>
          <w:tcPr>
            <w:tcW w:w="214" w:type="pct"/>
            <w:tcBorders>
              <w:top w:val="nil"/>
              <w:left w:val="single" w:color="auto" w:sz="8" w:space="0"/>
              <w:bottom w:val="nil"/>
              <w:right w:val="nil"/>
            </w:tcBorders>
            <w:noWrap/>
            <w:vAlign w:val="bottom"/>
          </w:tcPr>
          <w:p w:rsidR="008B0824" w:rsidP="0072373B" w:rsidRDefault="008B0824" w14:paraId="0322099E" w14:textId="77777777">
            <w:pPr>
              <w:widowControl/>
              <w:autoSpaceDE/>
              <w:adjustRightInd/>
              <w:spacing w:line="276" w:lineRule="auto"/>
              <w:rPr>
                <w:rFonts w:ascii="Arial" w:hAnsi="Arial" w:cs="Arial"/>
              </w:rPr>
            </w:pPr>
          </w:p>
        </w:tc>
        <w:tc>
          <w:tcPr>
            <w:tcW w:w="3520" w:type="pct"/>
            <w:noWrap/>
            <w:vAlign w:val="bottom"/>
            <w:hideMark/>
          </w:tcPr>
          <w:p w:rsidR="008B0824" w:rsidP="0072373B" w:rsidRDefault="008B0824" w14:paraId="4BD79D42" w14:textId="77777777">
            <w:pPr>
              <w:widowControl/>
              <w:spacing w:line="276" w:lineRule="auto"/>
              <w:rPr>
                <w:sz w:val="24"/>
              </w:rPr>
            </w:pPr>
            <w:r>
              <w:rPr>
                <w:sz w:val="24"/>
              </w:rPr>
              <w:t>Reporting</w:t>
            </w:r>
          </w:p>
        </w:tc>
        <w:tc>
          <w:tcPr>
            <w:tcW w:w="1053" w:type="pct"/>
            <w:noWrap/>
            <w:vAlign w:val="bottom"/>
            <w:hideMark/>
          </w:tcPr>
          <w:p w:rsidR="008B0824" w:rsidP="0072373B" w:rsidRDefault="008B0824" w14:paraId="29B8C2EC" w14:textId="77777777">
            <w:pPr>
              <w:widowControl/>
              <w:spacing w:line="276" w:lineRule="auto"/>
              <w:rPr>
                <w:rFonts w:ascii="Arial" w:hAnsi="Arial" w:cs="Arial"/>
                <w:color w:val="000000" w:themeColor="text1"/>
                <w:sz w:val="24"/>
              </w:rPr>
            </w:pPr>
            <w:r>
              <w:rPr>
                <w:color w:val="000000" w:themeColor="text1"/>
                <w:sz w:val="24"/>
              </w:rPr>
              <w:t xml:space="preserve"> 10                        </w:t>
            </w:r>
          </w:p>
        </w:tc>
        <w:tc>
          <w:tcPr>
            <w:tcW w:w="213" w:type="pct"/>
            <w:tcBorders>
              <w:top w:val="nil"/>
              <w:left w:val="nil"/>
              <w:bottom w:val="nil"/>
              <w:right w:val="single" w:color="auto" w:sz="8" w:space="0"/>
            </w:tcBorders>
            <w:noWrap/>
            <w:vAlign w:val="bottom"/>
          </w:tcPr>
          <w:p w:rsidR="008B0824" w:rsidP="0072373B" w:rsidRDefault="008B0824" w14:paraId="301AAF54" w14:textId="77777777">
            <w:pPr>
              <w:widowControl/>
              <w:autoSpaceDE/>
              <w:adjustRightInd/>
              <w:spacing w:line="276" w:lineRule="auto"/>
              <w:rPr>
                <w:rFonts w:ascii="Arial" w:hAnsi="Arial" w:cs="Arial"/>
                <w:szCs w:val="20"/>
                <w:highlight w:val="yellow"/>
              </w:rPr>
            </w:pPr>
          </w:p>
        </w:tc>
      </w:tr>
      <w:tr w:rsidR="008B0824" w:rsidTr="00901DF0" w14:paraId="07A92AD7" w14:textId="77777777">
        <w:trPr>
          <w:trHeight w:val="315"/>
        </w:trPr>
        <w:tc>
          <w:tcPr>
            <w:tcW w:w="214" w:type="pct"/>
            <w:tcBorders>
              <w:top w:val="nil"/>
              <w:left w:val="single" w:color="auto" w:sz="8" w:space="0"/>
              <w:bottom w:val="nil"/>
              <w:right w:val="nil"/>
            </w:tcBorders>
            <w:noWrap/>
            <w:vAlign w:val="bottom"/>
          </w:tcPr>
          <w:p w:rsidR="008B0824" w:rsidP="0072373B" w:rsidRDefault="008B0824" w14:paraId="3F501793" w14:textId="77777777">
            <w:pPr>
              <w:widowControl/>
              <w:autoSpaceDE/>
              <w:adjustRightInd/>
              <w:spacing w:line="276" w:lineRule="auto"/>
              <w:rPr>
                <w:rFonts w:ascii="Arial" w:hAnsi="Arial" w:cs="Arial"/>
              </w:rPr>
            </w:pPr>
          </w:p>
        </w:tc>
        <w:tc>
          <w:tcPr>
            <w:tcW w:w="3520" w:type="pct"/>
            <w:noWrap/>
            <w:vAlign w:val="bottom"/>
            <w:hideMark/>
          </w:tcPr>
          <w:p w:rsidR="008B0824" w:rsidP="0072373B" w:rsidRDefault="008B0824" w14:paraId="7EA52562" w14:textId="77777777">
            <w:pPr>
              <w:widowControl/>
              <w:spacing w:line="276" w:lineRule="auto"/>
              <w:rPr>
                <w:sz w:val="24"/>
              </w:rPr>
            </w:pPr>
            <w:r>
              <w:rPr>
                <w:sz w:val="24"/>
              </w:rPr>
              <w:t>Recordkeeping</w:t>
            </w:r>
          </w:p>
        </w:tc>
        <w:tc>
          <w:tcPr>
            <w:tcW w:w="1053" w:type="pct"/>
            <w:noWrap/>
            <w:vAlign w:val="bottom"/>
            <w:hideMark/>
          </w:tcPr>
          <w:p w:rsidR="008B0824" w:rsidP="008B0824" w:rsidRDefault="008B0824" w14:paraId="20982FA4" w14:textId="018A6026">
            <w:pPr>
              <w:widowControl/>
              <w:spacing w:line="276" w:lineRule="auto"/>
              <w:rPr>
                <w:rFonts w:ascii="Arial" w:hAnsi="Arial" w:cs="Arial"/>
                <w:color w:val="000000" w:themeColor="text1"/>
                <w:sz w:val="24"/>
              </w:rPr>
            </w:pPr>
            <w:r>
              <w:rPr>
                <w:color w:val="000000" w:themeColor="text1"/>
                <w:sz w:val="24"/>
              </w:rPr>
              <w:t xml:space="preserve"> 48                       </w:t>
            </w:r>
          </w:p>
        </w:tc>
        <w:tc>
          <w:tcPr>
            <w:tcW w:w="213" w:type="pct"/>
            <w:tcBorders>
              <w:top w:val="nil"/>
              <w:left w:val="nil"/>
              <w:bottom w:val="nil"/>
              <w:right w:val="single" w:color="auto" w:sz="8" w:space="0"/>
            </w:tcBorders>
            <w:noWrap/>
            <w:vAlign w:val="bottom"/>
          </w:tcPr>
          <w:p w:rsidR="008B0824" w:rsidP="0072373B" w:rsidRDefault="008B0824" w14:paraId="096876FB" w14:textId="77777777">
            <w:pPr>
              <w:widowControl/>
              <w:autoSpaceDE/>
              <w:adjustRightInd/>
              <w:spacing w:line="276" w:lineRule="auto"/>
              <w:rPr>
                <w:rFonts w:ascii="Arial" w:hAnsi="Arial" w:cs="Arial"/>
                <w:szCs w:val="20"/>
                <w:highlight w:val="yellow"/>
              </w:rPr>
            </w:pPr>
          </w:p>
        </w:tc>
      </w:tr>
      <w:tr w:rsidR="008B0824" w:rsidTr="00901DF0" w14:paraId="434BC304" w14:textId="77777777">
        <w:trPr>
          <w:trHeight w:val="162"/>
        </w:trPr>
        <w:tc>
          <w:tcPr>
            <w:tcW w:w="214" w:type="pct"/>
            <w:tcBorders>
              <w:top w:val="nil"/>
              <w:left w:val="single" w:color="auto" w:sz="8" w:space="0"/>
              <w:bottom w:val="nil"/>
              <w:right w:val="nil"/>
            </w:tcBorders>
            <w:noWrap/>
            <w:vAlign w:val="bottom"/>
          </w:tcPr>
          <w:p w:rsidR="008B0824" w:rsidP="0072373B" w:rsidRDefault="008B0824" w14:paraId="7FDD41A9" w14:textId="77777777">
            <w:pPr>
              <w:widowControl/>
              <w:autoSpaceDE/>
              <w:adjustRightInd/>
              <w:spacing w:line="276" w:lineRule="auto"/>
              <w:rPr>
                <w:rFonts w:ascii="Arial" w:hAnsi="Arial" w:cs="Arial"/>
              </w:rPr>
            </w:pPr>
          </w:p>
        </w:tc>
        <w:tc>
          <w:tcPr>
            <w:tcW w:w="3520" w:type="pct"/>
            <w:noWrap/>
            <w:vAlign w:val="bottom"/>
            <w:hideMark/>
          </w:tcPr>
          <w:p w:rsidR="008B0824" w:rsidP="008B0824" w:rsidRDefault="008B0824" w14:paraId="662CDC24" w14:textId="3CC10138">
            <w:pPr>
              <w:widowControl/>
              <w:spacing w:line="276" w:lineRule="auto"/>
              <w:rPr>
                <w:sz w:val="24"/>
              </w:rPr>
            </w:pPr>
            <w:r>
              <w:rPr>
                <w:sz w:val="24"/>
              </w:rPr>
              <w:t>Total hours burden per FQHC</w:t>
            </w:r>
          </w:p>
        </w:tc>
        <w:tc>
          <w:tcPr>
            <w:tcW w:w="1053" w:type="pct"/>
            <w:tcBorders>
              <w:bottom w:val="single" w:color="auto" w:sz="4" w:space="0"/>
            </w:tcBorders>
            <w:noWrap/>
            <w:vAlign w:val="bottom"/>
            <w:hideMark/>
          </w:tcPr>
          <w:p w:rsidR="008B0824" w:rsidP="008B0824" w:rsidRDefault="008B0824" w14:paraId="620632B5" w14:textId="28F95BF6">
            <w:pPr>
              <w:widowControl/>
              <w:spacing w:line="276" w:lineRule="auto"/>
              <w:jc w:val="right"/>
              <w:rPr>
                <w:sz w:val="24"/>
              </w:rPr>
            </w:pPr>
            <w:r>
              <w:rPr>
                <w:sz w:val="24"/>
              </w:rPr>
              <w:t>58</w:t>
            </w:r>
          </w:p>
        </w:tc>
        <w:tc>
          <w:tcPr>
            <w:tcW w:w="213" w:type="pct"/>
            <w:tcBorders>
              <w:top w:val="nil"/>
              <w:left w:val="nil"/>
              <w:bottom w:val="nil"/>
              <w:right w:val="single" w:color="auto" w:sz="8" w:space="0"/>
            </w:tcBorders>
            <w:noWrap/>
            <w:vAlign w:val="bottom"/>
          </w:tcPr>
          <w:p w:rsidR="008B0824" w:rsidP="0072373B" w:rsidRDefault="008B0824" w14:paraId="22D43D98" w14:textId="77777777">
            <w:pPr>
              <w:widowControl/>
              <w:autoSpaceDE/>
              <w:adjustRightInd/>
              <w:spacing w:line="276" w:lineRule="auto"/>
              <w:rPr>
                <w:rFonts w:ascii="Arial" w:hAnsi="Arial" w:cs="Arial"/>
                <w:color w:val="FF0000"/>
                <w:szCs w:val="20"/>
                <w:highlight w:val="yellow"/>
              </w:rPr>
            </w:pPr>
          </w:p>
        </w:tc>
      </w:tr>
      <w:tr w:rsidR="008B0824" w:rsidTr="00901DF0" w14:paraId="628E77AF" w14:textId="77777777">
        <w:trPr>
          <w:trHeight w:val="162"/>
        </w:trPr>
        <w:tc>
          <w:tcPr>
            <w:tcW w:w="214" w:type="pct"/>
            <w:tcBorders>
              <w:top w:val="nil"/>
              <w:left w:val="single" w:color="auto" w:sz="8" w:space="0"/>
              <w:bottom w:val="nil"/>
              <w:right w:val="nil"/>
            </w:tcBorders>
            <w:noWrap/>
            <w:vAlign w:val="bottom"/>
          </w:tcPr>
          <w:p w:rsidR="008B0824" w:rsidP="0072373B" w:rsidRDefault="008B0824" w14:paraId="4C853F47" w14:textId="77777777">
            <w:pPr>
              <w:widowControl/>
              <w:autoSpaceDE/>
              <w:adjustRightInd/>
              <w:spacing w:line="276" w:lineRule="auto"/>
              <w:rPr>
                <w:rFonts w:ascii="Arial" w:hAnsi="Arial" w:cs="Arial"/>
              </w:rPr>
            </w:pPr>
          </w:p>
        </w:tc>
        <w:tc>
          <w:tcPr>
            <w:tcW w:w="3520" w:type="pct"/>
            <w:noWrap/>
            <w:vAlign w:val="bottom"/>
          </w:tcPr>
          <w:p w:rsidR="008B0824" w:rsidP="0072373B" w:rsidRDefault="008B0824" w14:paraId="2ED963EE" w14:textId="77777777">
            <w:pPr>
              <w:widowControl/>
              <w:spacing w:line="276" w:lineRule="auto"/>
              <w:rPr>
                <w:sz w:val="24"/>
              </w:rPr>
            </w:pPr>
          </w:p>
        </w:tc>
        <w:tc>
          <w:tcPr>
            <w:tcW w:w="1053" w:type="pct"/>
            <w:tcBorders>
              <w:top w:val="single" w:color="auto" w:sz="4" w:space="0"/>
            </w:tcBorders>
            <w:noWrap/>
            <w:vAlign w:val="bottom"/>
          </w:tcPr>
          <w:p w:rsidR="008B0824" w:rsidP="0072373B" w:rsidRDefault="008B0824" w14:paraId="64DB72D5" w14:textId="77777777">
            <w:pPr>
              <w:widowControl/>
              <w:spacing w:line="276" w:lineRule="auto"/>
              <w:jc w:val="right"/>
              <w:rPr>
                <w:sz w:val="24"/>
              </w:rPr>
            </w:pPr>
          </w:p>
        </w:tc>
        <w:tc>
          <w:tcPr>
            <w:tcW w:w="213" w:type="pct"/>
            <w:tcBorders>
              <w:top w:val="nil"/>
              <w:left w:val="nil"/>
              <w:bottom w:val="nil"/>
              <w:right w:val="single" w:color="auto" w:sz="8" w:space="0"/>
            </w:tcBorders>
            <w:noWrap/>
            <w:vAlign w:val="bottom"/>
          </w:tcPr>
          <w:p w:rsidR="008B0824" w:rsidP="0072373B" w:rsidRDefault="008B0824" w14:paraId="51D13942" w14:textId="77777777">
            <w:pPr>
              <w:widowControl/>
              <w:autoSpaceDE/>
              <w:adjustRightInd/>
              <w:spacing w:line="276" w:lineRule="auto"/>
              <w:rPr>
                <w:rFonts w:ascii="Arial" w:hAnsi="Arial" w:cs="Arial"/>
                <w:color w:val="FF0000"/>
                <w:szCs w:val="20"/>
                <w:highlight w:val="yellow"/>
              </w:rPr>
            </w:pPr>
          </w:p>
        </w:tc>
      </w:tr>
      <w:tr w:rsidR="008B0824" w:rsidTr="008B0824" w14:paraId="3492B96A" w14:textId="77777777">
        <w:trPr>
          <w:trHeight w:val="162"/>
        </w:trPr>
        <w:tc>
          <w:tcPr>
            <w:tcW w:w="214" w:type="pct"/>
            <w:tcBorders>
              <w:top w:val="nil"/>
              <w:left w:val="single" w:color="auto" w:sz="8" w:space="0"/>
              <w:bottom w:val="nil"/>
              <w:right w:val="nil"/>
            </w:tcBorders>
            <w:noWrap/>
            <w:vAlign w:val="bottom"/>
          </w:tcPr>
          <w:p w:rsidR="008B0824" w:rsidP="0072373B" w:rsidRDefault="008B0824" w14:paraId="0E926532" w14:textId="77777777">
            <w:pPr>
              <w:widowControl/>
              <w:autoSpaceDE/>
              <w:adjustRightInd/>
              <w:spacing w:line="276" w:lineRule="auto"/>
              <w:rPr>
                <w:rFonts w:ascii="Arial" w:hAnsi="Arial" w:cs="Arial"/>
              </w:rPr>
            </w:pPr>
          </w:p>
        </w:tc>
        <w:tc>
          <w:tcPr>
            <w:tcW w:w="3520" w:type="pct"/>
            <w:noWrap/>
            <w:vAlign w:val="bottom"/>
            <w:hideMark/>
          </w:tcPr>
          <w:p w:rsidR="008B0824" w:rsidP="008B0824" w:rsidRDefault="008B0824" w14:paraId="2140E2DE" w14:textId="42605986">
            <w:pPr>
              <w:widowControl/>
              <w:spacing w:line="276" w:lineRule="auto"/>
              <w:rPr>
                <w:sz w:val="24"/>
              </w:rPr>
            </w:pPr>
            <w:r>
              <w:rPr>
                <w:sz w:val="24"/>
              </w:rPr>
              <w:t>Total hours burden (2,890 facilities x 58 hours)</w:t>
            </w:r>
          </w:p>
        </w:tc>
        <w:tc>
          <w:tcPr>
            <w:tcW w:w="1053" w:type="pct"/>
            <w:noWrap/>
            <w:vAlign w:val="bottom"/>
            <w:hideMark/>
          </w:tcPr>
          <w:p w:rsidR="008B0824" w:rsidP="008B0824" w:rsidRDefault="008B0824" w14:paraId="514C1EDC" w14:textId="086B0282">
            <w:pPr>
              <w:widowControl/>
              <w:spacing w:line="276" w:lineRule="auto"/>
              <w:jc w:val="right"/>
              <w:rPr>
                <w:i/>
                <w:color w:val="000000" w:themeColor="text1"/>
                <w:sz w:val="24"/>
              </w:rPr>
            </w:pPr>
            <w:r>
              <w:rPr>
                <w:sz w:val="24"/>
              </w:rPr>
              <w:t xml:space="preserve">167,620  </w:t>
            </w:r>
          </w:p>
        </w:tc>
        <w:tc>
          <w:tcPr>
            <w:tcW w:w="213" w:type="pct"/>
            <w:tcBorders>
              <w:top w:val="nil"/>
              <w:left w:val="nil"/>
              <w:bottom w:val="nil"/>
              <w:right w:val="single" w:color="auto" w:sz="8" w:space="0"/>
            </w:tcBorders>
            <w:noWrap/>
            <w:vAlign w:val="bottom"/>
          </w:tcPr>
          <w:p w:rsidR="008B0824" w:rsidP="0072373B" w:rsidRDefault="008B0824" w14:paraId="7048D14F" w14:textId="77777777">
            <w:pPr>
              <w:widowControl/>
              <w:autoSpaceDE/>
              <w:adjustRightInd/>
              <w:spacing w:line="276" w:lineRule="auto"/>
              <w:rPr>
                <w:rFonts w:ascii="Arial" w:hAnsi="Arial" w:cs="Arial"/>
                <w:color w:val="FF0000"/>
                <w:szCs w:val="20"/>
                <w:highlight w:val="yellow"/>
              </w:rPr>
            </w:pPr>
          </w:p>
        </w:tc>
      </w:tr>
      <w:tr w:rsidR="008B0824" w:rsidTr="008B0824" w14:paraId="6A5C0A42" w14:textId="77777777">
        <w:trPr>
          <w:trHeight w:val="315"/>
        </w:trPr>
        <w:tc>
          <w:tcPr>
            <w:tcW w:w="214" w:type="pct"/>
            <w:tcBorders>
              <w:top w:val="nil"/>
              <w:left w:val="single" w:color="auto" w:sz="8" w:space="0"/>
              <w:bottom w:val="nil"/>
              <w:right w:val="nil"/>
            </w:tcBorders>
            <w:noWrap/>
            <w:vAlign w:val="bottom"/>
          </w:tcPr>
          <w:p w:rsidR="008B0824" w:rsidP="0072373B" w:rsidRDefault="008B0824" w14:paraId="7BDFD8C4" w14:textId="77777777">
            <w:pPr>
              <w:widowControl/>
              <w:autoSpaceDE/>
              <w:adjustRightInd/>
              <w:spacing w:line="276" w:lineRule="auto"/>
              <w:rPr>
                <w:rFonts w:ascii="Arial" w:hAnsi="Arial" w:cs="Arial"/>
              </w:rPr>
            </w:pPr>
          </w:p>
        </w:tc>
        <w:tc>
          <w:tcPr>
            <w:tcW w:w="3520" w:type="pct"/>
            <w:noWrap/>
            <w:vAlign w:val="bottom"/>
          </w:tcPr>
          <w:p w:rsidR="008B0824" w:rsidP="0072373B" w:rsidRDefault="008B0824" w14:paraId="558BDF6C" w14:textId="77777777">
            <w:pPr>
              <w:widowControl/>
              <w:spacing w:line="276" w:lineRule="auto"/>
              <w:ind w:firstLine="1920" w:firstLineChars="800"/>
              <w:rPr>
                <w:sz w:val="24"/>
              </w:rPr>
            </w:pPr>
          </w:p>
        </w:tc>
        <w:tc>
          <w:tcPr>
            <w:tcW w:w="1053" w:type="pct"/>
            <w:noWrap/>
            <w:vAlign w:val="bottom"/>
          </w:tcPr>
          <w:p w:rsidR="008B0824" w:rsidP="0072373B" w:rsidRDefault="008B0824" w14:paraId="720714C3" w14:textId="77777777">
            <w:pPr>
              <w:widowControl/>
              <w:spacing w:line="276" w:lineRule="auto"/>
              <w:rPr>
                <w:rFonts w:ascii="Arial" w:hAnsi="Arial" w:cs="Arial"/>
                <w:color w:val="000000" w:themeColor="text1"/>
                <w:sz w:val="24"/>
              </w:rPr>
            </w:pPr>
          </w:p>
        </w:tc>
        <w:tc>
          <w:tcPr>
            <w:tcW w:w="213" w:type="pct"/>
            <w:tcBorders>
              <w:top w:val="nil"/>
              <w:left w:val="nil"/>
              <w:bottom w:val="nil"/>
              <w:right w:val="single" w:color="auto" w:sz="8" w:space="0"/>
            </w:tcBorders>
            <w:noWrap/>
            <w:vAlign w:val="bottom"/>
          </w:tcPr>
          <w:p w:rsidR="008B0824" w:rsidP="0072373B" w:rsidRDefault="008B0824" w14:paraId="14B47793" w14:textId="77777777">
            <w:pPr>
              <w:widowControl/>
              <w:autoSpaceDE/>
              <w:adjustRightInd/>
              <w:spacing w:line="276" w:lineRule="auto"/>
              <w:rPr>
                <w:rFonts w:ascii="Arial" w:hAnsi="Arial" w:cs="Arial"/>
                <w:szCs w:val="20"/>
              </w:rPr>
            </w:pPr>
          </w:p>
        </w:tc>
      </w:tr>
      <w:tr w:rsidR="008B0824" w:rsidTr="008B0824" w14:paraId="09A4E8F0" w14:textId="77777777">
        <w:trPr>
          <w:trHeight w:val="162"/>
        </w:trPr>
        <w:tc>
          <w:tcPr>
            <w:tcW w:w="214" w:type="pct"/>
            <w:tcBorders>
              <w:top w:val="nil"/>
              <w:left w:val="single" w:color="auto" w:sz="8" w:space="0"/>
              <w:bottom w:val="nil"/>
              <w:right w:val="nil"/>
            </w:tcBorders>
            <w:noWrap/>
            <w:vAlign w:val="bottom"/>
          </w:tcPr>
          <w:p w:rsidR="008B0824" w:rsidP="0072373B" w:rsidRDefault="008B0824" w14:paraId="6802673B" w14:textId="77777777">
            <w:pPr>
              <w:widowControl/>
              <w:autoSpaceDE/>
              <w:adjustRightInd/>
              <w:spacing w:line="276" w:lineRule="auto"/>
              <w:rPr>
                <w:rFonts w:ascii="Arial" w:hAnsi="Arial" w:cs="Arial"/>
              </w:rPr>
            </w:pPr>
          </w:p>
        </w:tc>
        <w:tc>
          <w:tcPr>
            <w:tcW w:w="3520" w:type="pct"/>
            <w:noWrap/>
            <w:vAlign w:val="bottom"/>
            <w:hideMark/>
          </w:tcPr>
          <w:p w:rsidR="008B0824" w:rsidP="008B0824" w:rsidRDefault="008B0824" w14:paraId="3F3F39CB" w14:textId="6B767A03">
            <w:pPr>
              <w:widowControl/>
              <w:spacing w:line="276" w:lineRule="auto"/>
              <w:rPr>
                <w:sz w:val="24"/>
              </w:rPr>
            </w:pPr>
            <w:r>
              <w:rPr>
                <w:sz w:val="24"/>
              </w:rPr>
              <w:t xml:space="preserve">Cost per FQHC                                                             </w:t>
            </w:r>
          </w:p>
        </w:tc>
        <w:tc>
          <w:tcPr>
            <w:tcW w:w="1053" w:type="pct"/>
            <w:noWrap/>
            <w:vAlign w:val="bottom"/>
            <w:hideMark/>
          </w:tcPr>
          <w:p w:rsidR="008B0824" w:rsidP="008B0824" w:rsidRDefault="008B0824" w14:paraId="77990825" w14:textId="10064A52">
            <w:pPr>
              <w:widowControl/>
              <w:spacing w:line="276" w:lineRule="auto"/>
              <w:jc w:val="right"/>
              <w:rPr>
                <w:color w:val="000000" w:themeColor="text1"/>
                <w:sz w:val="24"/>
              </w:rPr>
            </w:pPr>
            <w:r>
              <w:rPr>
                <w:color w:val="000000" w:themeColor="text1"/>
                <w:sz w:val="24"/>
              </w:rPr>
              <w:t xml:space="preserve"> $2,820.40 </w:t>
            </w:r>
          </w:p>
        </w:tc>
        <w:tc>
          <w:tcPr>
            <w:tcW w:w="213" w:type="pct"/>
            <w:tcBorders>
              <w:top w:val="nil"/>
              <w:left w:val="nil"/>
              <w:bottom w:val="nil"/>
              <w:right w:val="single" w:color="auto" w:sz="8" w:space="0"/>
            </w:tcBorders>
            <w:noWrap/>
            <w:vAlign w:val="bottom"/>
          </w:tcPr>
          <w:p w:rsidR="008B0824" w:rsidP="0072373B" w:rsidRDefault="008B0824" w14:paraId="44DA66C2" w14:textId="77777777">
            <w:pPr>
              <w:widowControl/>
              <w:autoSpaceDE/>
              <w:adjustRightInd/>
              <w:spacing w:line="276" w:lineRule="auto"/>
              <w:rPr>
                <w:rFonts w:ascii="Arial" w:hAnsi="Arial" w:cs="Arial"/>
                <w:szCs w:val="20"/>
              </w:rPr>
            </w:pPr>
          </w:p>
        </w:tc>
      </w:tr>
      <w:tr w:rsidR="008B0824" w:rsidTr="008B0824" w14:paraId="35982653" w14:textId="77777777">
        <w:trPr>
          <w:trHeight w:val="330"/>
        </w:trPr>
        <w:tc>
          <w:tcPr>
            <w:tcW w:w="214" w:type="pct"/>
            <w:tcBorders>
              <w:top w:val="nil"/>
              <w:left w:val="single" w:color="auto" w:sz="8" w:space="0"/>
              <w:bottom w:val="nil"/>
              <w:right w:val="nil"/>
            </w:tcBorders>
            <w:noWrap/>
            <w:vAlign w:val="bottom"/>
          </w:tcPr>
          <w:p w:rsidR="008B0824" w:rsidP="0072373B" w:rsidRDefault="008B0824" w14:paraId="1688E51B" w14:textId="77777777">
            <w:pPr>
              <w:widowControl/>
              <w:autoSpaceDE/>
              <w:adjustRightInd/>
              <w:spacing w:line="276" w:lineRule="auto"/>
              <w:rPr>
                <w:rFonts w:ascii="Arial" w:hAnsi="Arial" w:cs="Arial"/>
              </w:rPr>
            </w:pPr>
          </w:p>
        </w:tc>
        <w:tc>
          <w:tcPr>
            <w:tcW w:w="3520" w:type="pct"/>
            <w:noWrap/>
            <w:vAlign w:val="bottom"/>
          </w:tcPr>
          <w:p w:rsidR="008B0824" w:rsidP="0072373B" w:rsidRDefault="008B0824" w14:paraId="1CC9ECD7" w14:textId="77777777">
            <w:pPr>
              <w:widowControl/>
              <w:spacing w:line="276" w:lineRule="auto"/>
              <w:rPr>
                <w:sz w:val="24"/>
              </w:rPr>
            </w:pPr>
          </w:p>
          <w:p w:rsidR="008B0824" w:rsidP="008B0824" w:rsidRDefault="008B0824" w14:paraId="098FB825" w14:textId="42B70BE6">
            <w:pPr>
              <w:widowControl/>
              <w:spacing w:line="276" w:lineRule="auto"/>
              <w:rPr>
                <w:sz w:val="24"/>
              </w:rPr>
            </w:pPr>
            <w:r>
              <w:rPr>
                <w:sz w:val="24"/>
              </w:rPr>
              <w:t>Total annual cost estimate ($2,820.40 x 2,890 FQHCs)</w:t>
            </w:r>
          </w:p>
        </w:tc>
        <w:tc>
          <w:tcPr>
            <w:tcW w:w="1053" w:type="pct"/>
            <w:tcBorders>
              <w:top w:val="single" w:color="auto" w:sz="4" w:space="0"/>
              <w:left w:val="nil"/>
              <w:bottom w:val="double" w:color="auto" w:sz="6" w:space="0"/>
              <w:right w:val="nil"/>
            </w:tcBorders>
            <w:noWrap/>
            <w:vAlign w:val="bottom"/>
            <w:hideMark/>
          </w:tcPr>
          <w:p w:rsidR="008B0824" w:rsidP="008B0824" w:rsidRDefault="008B0824" w14:paraId="69981438" w14:textId="11B03835">
            <w:pPr>
              <w:widowControl/>
              <w:spacing w:line="276" w:lineRule="auto"/>
              <w:jc w:val="right"/>
              <w:rPr>
                <w:i/>
                <w:color w:val="000000" w:themeColor="text1"/>
                <w:sz w:val="24"/>
              </w:rPr>
            </w:pPr>
            <w:r>
              <w:rPr>
                <w:sz w:val="24"/>
              </w:rPr>
              <w:t xml:space="preserve">$8,150,956  </w:t>
            </w:r>
          </w:p>
        </w:tc>
        <w:tc>
          <w:tcPr>
            <w:tcW w:w="213" w:type="pct"/>
            <w:tcBorders>
              <w:top w:val="nil"/>
              <w:left w:val="nil"/>
              <w:bottom w:val="nil"/>
              <w:right w:val="single" w:color="auto" w:sz="8" w:space="0"/>
            </w:tcBorders>
            <w:noWrap/>
            <w:vAlign w:val="bottom"/>
            <w:hideMark/>
          </w:tcPr>
          <w:p w:rsidR="008B0824" w:rsidP="0072373B" w:rsidRDefault="008B0824" w14:paraId="0A4C8BB4" w14:textId="77777777">
            <w:pPr>
              <w:widowControl/>
              <w:autoSpaceDE/>
              <w:adjustRightInd/>
              <w:spacing w:line="276" w:lineRule="auto"/>
              <w:rPr>
                <w:rFonts w:ascii="Arial" w:hAnsi="Arial" w:cs="Arial"/>
                <w:szCs w:val="20"/>
              </w:rPr>
            </w:pPr>
            <w:r>
              <w:rPr>
                <w:rFonts w:ascii="Arial" w:hAnsi="Arial" w:cs="Arial"/>
              </w:rPr>
              <w:t> </w:t>
            </w:r>
          </w:p>
        </w:tc>
      </w:tr>
      <w:tr w:rsidR="008B0824" w:rsidTr="008B0824" w14:paraId="7CCE0230" w14:textId="77777777">
        <w:trPr>
          <w:trHeight w:val="285"/>
        </w:trPr>
        <w:tc>
          <w:tcPr>
            <w:tcW w:w="214" w:type="pct"/>
            <w:tcBorders>
              <w:top w:val="nil"/>
              <w:left w:val="single" w:color="auto" w:sz="8" w:space="0"/>
              <w:bottom w:val="single" w:color="auto" w:sz="8" w:space="0"/>
              <w:right w:val="nil"/>
            </w:tcBorders>
            <w:noWrap/>
            <w:vAlign w:val="bottom"/>
            <w:hideMark/>
          </w:tcPr>
          <w:p w:rsidR="008B0824" w:rsidP="0072373B" w:rsidRDefault="008B0824" w14:paraId="2902FEE4" w14:textId="77777777">
            <w:pPr>
              <w:widowControl/>
              <w:autoSpaceDE/>
              <w:adjustRightInd/>
              <w:spacing w:line="276" w:lineRule="auto"/>
              <w:rPr>
                <w:rFonts w:ascii="Arial" w:hAnsi="Arial" w:cs="Arial"/>
              </w:rPr>
            </w:pPr>
            <w:r>
              <w:rPr>
                <w:rFonts w:ascii="Arial" w:hAnsi="Arial" w:cs="Arial"/>
              </w:rPr>
              <w:t> </w:t>
            </w:r>
          </w:p>
        </w:tc>
        <w:tc>
          <w:tcPr>
            <w:tcW w:w="3520" w:type="pct"/>
            <w:tcBorders>
              <w:top w:val="nil"/>
              <w:left w:val="nil"/>
              <w:bottom w:val="single" w:color="auto" w:sz="8" w:space="0"/>
              <w:right w:val="nil"/>
            </w:tcBorders>
            <w:noWrap/>
            <w:vAlign w:val="bottom"/>
            <w:hideMark/>
          </w:tcPr>
          <w:p w:rsidR="008B0824" w:rsidP="0072373B" w:rsidRDefault="008B0824" w14:paraId="72F94844" w14:textId="77777777">
            <w:pPr>
              <w:rPr>
                <w:rFonts w:ascii="Arial" w:hAnsi="Arial" w:cs="Arial"/>
              </w:rPr>
            </w:pPr>
          </w:p>
        </w:tc>
        <w:tc>
          <w:tcPr>
            <w:tcW w:w="1053" w:type="pct"/>
            <w:tcBorders>
              <w:top w:val="nil"/>
              <w:left w:val="nil"/>
              <w:bottom w:val="single" w:color="auto" w:sz="8" w:space="0"/>
              <w:right w:val="nil"/>
            </w:tcBorders>
            <w:noWrap/>
            <w:vAlign w:val="bottom"/>
          </w:tcPr>
          <w:p w:rsidR="008B0824" w:rsidP="0072373B" w:rsidRDefault="008B0824" w14:paraId="605657EE" w14:textId="77777777">
            <w:pPr>
              <w:widowControl/>
              <w:spacing w:line="276" w:lineRule="auto"/>
              <w:jc w:val="right"/>
              <w:rPr>
                <w:sz w:val="24"/>
              </w:rPr>
            </w:pPr>
          </w:p>
        </w:tc>
        <w:tc>
          <w:tcPr>
            <w:tcW w:w="213" w:type="pct"/>
            <w:tcBorders>
              <w:top w:val="nil"/>
              <w:left w:val="nil"/>
              <w:bottom w:val="single" w:color="auto" w:sz="8" w:space="0"/>
              <w:right w:val="single" w:color="auto" w:sz="8" w:space="0"/>
            </w:tcBorders>
            <w:noWrap/>
            <w:vAlign w:val="bottom"/>
          </w:tcPr>
          <w:p w:rsidR="008B0824" w:rsidP="0072373B" w:rsidRDefault="008B0824" w14:paraId="6B782FC8" w14:textId="77777777">
            <w:pPr>
              <w:widowControl/>
              <w:autoSpaceDE/>
              <w:adjustRightInd/>
              <w:spacing w:line="276" w:lineRule="auto"/>
              <w:rPr>
                <w:rFonts w:ascii="Arial" w:hAnsi="Arial" w:cs="Arial"/>
                <w:szCs w:val="20"/>
              </w:rPr>
            </w:pPr>
          </w:p>
        </w:tc>
      </w:tr>
    </w:tbl>
    <w:p w:rsidR="009639BB" w:rsidP="000C0EC9" w:rsidRDefault="009639BB" w14:paraId="16A1B262" w14:textId="77777777">
      <w:pPr>
        <w:pStyle w:val="BodyTextIndent"/>
        <w:tabs>
          <w:tab w:val="left" w:pos="1170"/>
        </w:tabs>
        <w:ind w:left="810" w:firstLine="0"/>
        <w:jc w:val="left"/>
        <w:rPr>
          <w:rFonts w:eastAsiaTheme="minorHAnsi"/>
        </w:rPr>
      </w:pPr>
    </w:p>
    <w:p w:rsidR="00D50D51" w:rsidP="000C0EC9" w:rsidRDefault="00D50D51" w14:paraId="18ED5770" w14:textId="49BA998E">
      <w:pPr>
        <w:pStyle w:val="BodyTextIndent"/>
        <w:tabs>
          <w:tab w:val="left" w:pos="1170"/>
        </w:tabs>
        <w:ind w:left="810" w:firstLine="0"/>
        <w:jc w:val="left"/>
        <w:rPr>
          <w:rFonts w:eastAsiaTheme="minorHAnsi"/>
        </w:rPr>
      </w:pPr>
      <w:r w:rsidRPr="00D50D51">
        <w:rPr>
          <w:rFonts w:eastAsiaTheme="minorHAnsi"/>
        </w:rPr>
        <w:t xml:space="preserve">Only when the standardized definitions, accounting, statistics and reporting practices defined in 42 CFR 413.20(a) are not already maintained by the provider on a fiscal basis does CMS estimate additional burden for the required recordkeeping and reporting. </w:t>
      </w:r>
    </w:p>
    <w:p w:rsidR="00D50D51" w:rsidP="000C0EC9" w:rsidRDefault="00D50D51" w14:paraId="0CB0D64F" w14:textId="77777777">
      <w:pPr>
        <w:pStyle w:val="BodyTextIndent"/>
        <w:tabs>
          <w:tab w:val="left" w:pos="1170"/>
        </w:tabs>
        <w:ind w:left="810" w:firstLine="0"/>
        <w:jc w:val="left"/>
        <w:rPr>
          <w:rFonts w:eastAsiaTheme="minorHAnsi"/>
        </w:rPr>
      </w:pPr>
    </w:p>
    <w:p w:rsidR="00D50D51" w:rsidP="000C0EC9" w:rsidRDefault="00876628" w14:paraId="514AB840" w14:textId="100E5CF4">
      <w:pPr>
        <w:pStyle w:val="BodyTextIndent"/>
        <w:tabs>
          <w:tab w:val="left" w:pos="1170"/>
        </w:tabs>
        <w:ind w:left="810" w:firstLine="0"/>
        <w:jc w:val="left"/>
      </w:pPr>
      <w:r>
        <w:rPr>
          <w:rFonts w:eastAsiaTheme="minorHAnsi"/>
        </w:rPr>
        <w:t>B</w:t>
      </w:r>
      <w:r w:rsidRPr="001948DD" w:rsidR="00C81330">
        <w:rPr>
          <w:rFonts w:eastAsiaTheme="minorHAnsi"/>
        </w:rPr>
        <w:t xml:space="preserve">urden </w:t>
      </w:r>
      <w:r w:rsidR="00B8555F">
        <w:rPr>
          <w:rFonts w:eastAsiaTheme="minorHAnsi"/>
        </w:rPr>
        <w:t>hours</w:t>
      </w:r>
      <w:r w:rsidRPr="001948DD" w:rsidR="00C81330">
        <w:rPr>
          <w:rFonts w:eastAsiaTheme="minorHAnsi"/>
        </w:rPr>
        <w:t xml:space="preserve"> </w:t>
      </w:r>
      <w:r w:rsidRPr="001948DD" w:rsidR="001140AE">
        <w:rPr>
          <w:rFonts w:eastAsiaTheme="minorHAnsi"/>
        </w:rPr>
        <w:t xml:space="preserve">for each FQHC </w:t>
      </w:r>
      <w:r w:rsidR="00B8555F">
        <w:rPr>
          <w:rFonts w:eastAsiaTheme="minorHAnsi"/>
        </w:rPr>
        <w:t xml:space="preserve">are an estimate of the time </w:t>
      </w:r>
      <w:r w:rsidR="00D50D51">
        <w:rPr>
          <w:rFonts w:eastAsiaTheme="minorHAnsi"/>
        </w:rPr>
        <w:t xml:space="preserve">required </w:t>
      </w:r>
      <w:r w:rsidR="00B8555F">
        <w:rPr>
          <w:rFonts w:eastAsiaTheme="minorHAnsi"/>
        </w:rPr>
        <w:t>(number of hours) to complete ongoing data gathering, and recordkeeping tasks, search existing data resources, review instructions, and complet</w:t>
      </w:r>
      <w:r w:rsidR="0079118D">
        <w:rPr>
          <w:rFonts w:eastAsiaTheme="minorHAnsi"/>
        </w:rPr>
        <w:t>e</w:t>
      </w:r>
      <w:r w:rsidR="00B8555F">
        <w:rPr>
          <w:rFonts w:eastAsiaTheme="minorHAnsi"/>
        </w:rPr>
        <w:t xml:space="preserve"> </w:t>
      </w:r>
      <w:r w:rsidR="005F548A">
        <w:rPr>
          <w:rFonts w:eastAsiaTheme="minorHAnsi"/>
        </w:rPr>
        <w:t>Form CMS-224-14</w:t>
      </w:r>
      <w:r w:rsidRPr="001948DD" w:rsidR="00C81330">
        <w:rPr>
          <w:rFonts w:eastAsiaTheme="minorHAnsi"/>
        </w:rPr>
        <w:t xml:space="preserve">.  </w:t>
      </w:r>
      <w:r w:rsidR="00241A7C">
        <w:rPr>
          <w:rFonts w:eastAsiaTheme="minorHAnsi"/>
        </w:rPr>
        <w:t xml:space="preserve">The most recent data from the </w:t>
      </w:r>
      <w:r w:rsidRPr="003A2175" w:rsidR="00241A7C">
        <w:t>System for Tracking Audit and Reimbursement</w:t>
      </w:r>
      <w:r w:rsidR="00105D23">
        <w:t xml:space="preserve"> (STAR)</w:t>
      </w:r>
      <w:r w:rsidR="00241A7C">
        <w:t xml:space="preserve">, </w:t>
      </w:r>
      <w:r w:rsidRPr="003A2175" w:rsidR="00241A7C">
        <w:t xml:space="preserve">an internal CMS data system maintained by </w:t>
      </w:r>
      <w:r w:rsidR="00EE3776">
        <w:t>Office of Financial Management (</w:t>
      </w:r>
      <w:r w:rsidRPr="003A2175" w:rsidR="00241A7C">
        <w:t>OFM</w:t>
      </w:r>
      <w:r w:rsidR="00EE3776">
        <w:t>)</w:t>
      </w:r>
      <w:r w:rsidR="00241A7C">
        <w:t xml:space="preserve">, </w:t>
      </w:r>
      <w:r w:rsidRPr="00092C82" w:rsidR="00241A7C">
        <w:t>reports that</w:t>
      </w:r>
      <w:r w:rsidRPr="00092C82" w:rsidR="00241A7C">
        <w:rPr>
          <w:rFonts w:eastAsiaTheme="minorHAnsi"/>
        </w:rPr>
        <w:t xml:space="preserve"> </w:t>
      </w:r>
      <w:r w:rsidRPr="00092C82" w:rsidR="00157035">
        <w:rPr>
          <w:rFonts w:eastAsiaTheme="minorHAnsi"/>
        </w:rPr>
        <w:t>2</w:t>
      </w:r>
      <w:r w:rsidRPr="00092C82" w:rsidR="00B8555F">
        <w:rPr>
          <w:rFonts w:eastAsiaTheme="minorHAnsi"/>
        </w:rPr>
        <w:t>,</w:t>
      </w:r>
      <w:r w:rsidRPr="00092C82" w:rsidR="00092C82">
        <w:rPr>
          <w:rFonts w:eastAsiaTheme="minorHAnsi"/>
        </w:rPr>
        <w:t>89</w:t>
      </w:r>
      <w:r w:rsidRPr="00092C82" w:rsidR="00157035">
        <w:rPr>
          <w:rFonts w:eastAsiaTheme="minorHAnsi"/>
        </w:rPr>
        <w:t>0</w:t>
      </w:r>
      <w:r w:rsidRPr="00092C82" w:rsidR="00B8555F">
        <w:rPr>
          <w:rFonts w:eastAsiaTheme="minorHAnsi"/>
        </w:rPr>
        <w:t xml:space="preserve"> </w:t>
      </w:r>
      <w:r w:rsidRPr="00D95597" w:rsidR="00EE3776">
        <w:t>Medicare certified</w:t>
      </w:r>
      <w:r w:rsidRPr="00092C82" w:rsidR="00EE3776">
        <w:rPr>
          <w:rFonts w:eastAsiaTheme="minorHAnsi"/>
        </w:rPr>
        <w:t xml:space="preserve"> </w:t>
      </w:r>
      <w:r w:rsidRPr="00092C82" w:rsidR="00B8555F">
        <w:rPr>
          <w:rFonts w:eastAsiaTheme="minorHAnsi"/>
        </w:rPr>
        <w:t xml:space="preserve">FQHCs </w:t>
      </w:r>
      <w:r w:rsidRPr="00092C82" w:rsidR="00241A7C">
        <w:rPr>
          <w:rFonts w:eastAsiaTheme="minorHAnsi"/>
        </w:rPr>
        <w:t xml:space="preserve">file </w:t>
      </w:r>
      <w:r w:rsidRPr="00092C82" w:rsidR="00B8555F">
        <w:rPr>
          <w:rFonts w:eastAsiaTheme="minorHAnsi"/>
        </w:rPr>
        <w:t>Form CMS</w:t>
      </w:r>
      <w:r w:rsidRPr="00092C82" w:rsidR="00537DFB">
        <w:rPr>
          <w:rFonts w:eastAsiaTheme="minorHAnsi"/>
        </w:rPr>
        <w:t>-</w:t>
      </w:r>
      <w:r w:rsidRPr="00092C82" w:rsidR="00B8555F">
        <w:rPr>
          <w:rFonts w:eastAsiaTheme="minorHAnsi"/>
        </w:rPr>
        <w:t>224-14 annual</w:t>
      </w:r>
      <w:r w:rsidRPr="00092C82" w:rsidR="00537DFB">
        <w:rPr>
          <w:rFonts w:eastAsiaTheme="minorHAnsi"/>
        </w:rPr>
        <w:t>ly</w:t>
      </w:r>
      <w:r w:rsidRPr="00092C82" w:rsidR="003E7C53">
        <w:rPr>
          <w:rFonts w:eastAsiaTheme="minorHAnsi"/>
        </w:rPr>
        <w:t xml:space="preserve">. </w:t>
      </w:r>
      <w:r w:rsidRPr="00092C82" w:rsidR="003E7C53">
        <w:t xml:space="preserve"> </w:t>
      </w:r>
      <w:r w:rsidRPr="00092C82" w:rsidR="003E7C53">
        <w:rPr>
          <w:rFonts w:eastAsiaTheme="minorHAnsi"/>
        </w:rPr>
        <w:t xml:space="preserve">We </w:t>
      </w:r>
      <w:r w:rsidRPr="00092C82" w:rsidR="00C320FF">
        <w:rPr>
          <w:rFonts w:eastAsiaTheme="minorHAnsi"/>
        </w:rPr>
        <w:t xml:space="preserve">estimate </w:t>
      </w:r>
      <w:r w:rsidRPr="00092C82" w:rsidR="00B8555F">
        <w:rPr>
          <w:rFonts w:eastAsiaTheme="minorHAnsi"/>
        </w:rPr>
        <w:t xml:space="preserve">an average burden per FQHC of 58 hours </w:t>
      </w:r>
      <w:r w:rsidRPr="00092C82" w:rsidR="00537DFB">
        <w:rPr>
          <w:rFonts w:eastAsiaTheme="minorHAnsi"/>
        </w:rPr>
        <w:t>(</w:t>
      </w:r>
      <w:r w:rsidRPr="00092C82" w:rsidR="00157035">
        <w:rPr>
          <w:rFonts w:eastAsiaTheme="minorHAnsi"/>
        </w:rPr>
        <w:t>48</w:t>
      </w:r>
      <w:r w:rsidRPr="00092C82" w:rsidR="00B8555F">
        <w:rPr>
          <w:rFonts w:eastAsiaTheme="minorHAnsi"/>
        </w:rPr>
        <w:t xml:space="preserve"> hours for recordkeeping and </w:t>
      </w:r>
      <w:r w:rsidRPr="00092C82" w:rsidR="00157035">
        <w:rPr>
          <w:rFonts w:eastAsiaTheme="minorHAnsi"/>
        </w:rPr>
        <w:t xml:space="preserve">10 </w:t>
      </w:r>
      <w:r w:rsidRPr="00092C82" w:rsidR="00B8555F">
        <w:rPr>
          <w:rFonts w:eastAsiaTheme="minorHAnsi"/>
        </w:rPr>
        <w:t xml:space="preserve">hours for reporting).  </w:t>
      </w:r>
      <w:r w:rsidR="00D50D51">
        <w:t xml:space="preserve">We recognize this average varies depending on the provider size and complexity.  </w:t>
      </w:r>
      <w:r w:rsidRPr="00D50D51" w:rsidR="00D50D51">
        <w:t>We invite public comment on the hours estimate as well as the staffing requirements utilized to compile and complete the Medicare cost report.</w:t>
      </w:r>
    </w:p>
    <w:p w:rsidR="00D50D51" w:rsidP="000C0EC9" w:rsidRDefault="00D50D51" w14:paraId="654315B1" w14:textId="77777777">
      <w:pPr>
        <w:pStyle w:val="BodyTextIndent"/>
        <w:tabs>
          <w:tab w:val="left" w:pos="1170"/>
        </w:tabs>
        <w:ind w:left="810" w:firstLine="0"/>
        <w:jc w:val="left"/>
      </w:pPr>
    </w:p>
    <w:p w:rsidR="00157035" w:rsidP="000C0EC9" w:rsidRDefault="00B8555F" w14:paraId="34801D27" w14:textId="6B5ABA05">
      <w:pPr>
        <w:pStyle w:val="BodyTextIndent"/>
        <w:tabs>
          <w:tab w:val="left" w:pos="1170"/>
        </w:tabs>
        <w:ind w:left="810" w:firstLine="0"/>
        <w:jc w:val="left"/>
      </w:pPr>
      <w:r w:rsidRPr="00092C82">
        <w:rPr>
          <w:rFonts w:eastAsiaTheme="minorHAnsi"/>
        </w:rPr>
        <w:t xml:space="preserve">We calculated the annual burden as follows:  </w:t>
      </w:r>
      <w:r w:rsidRPr="00092C82" w:rsidR="00157035">
        <w:rPr>
          <w:rFonts w:eastAsiaTheme="minorHAnsi"/>
        </w:rPr>
        <w:t>2</w:t>
      </w:r>
      <w:r w:rsidRPr="00092C82" w:rsidR="00537DFB">
        <w:rPr>
          <w:rFonts w:eastAsiaTheme="minorHAnsi"/>
        </w:rPr>
        <w:t>,</w:t>
      </w:r>
      <w:r w:rsidRPr="00092C82" w:rsidR="00092C82">
        <w:rPr>
          <w:rFonts w:eastAsiaTheme="minorHAnsi"/>
        </w:rPr>
        <w:t>89</w:t>
      </w:r>
      <w:r w:rsidRPr="00092C82" w:rsidR="00157035">
        <w:rPr>
          <w:rFonts w:eastAsiaTheme="minorHAnsi"/>
        </w:rPr>
        <w:t>0</w:t>
      </w:r>
      <w:r w:rsidRPr="00092C82">
        <w:rPr>
          <w:rFonts w:eastAsiaTheme="minorHAnsi"/>
        </w:rPr>
        <w:t xml:space="preserve"> FQHCs </w:t>
      </w:r>
      <w:r w:rsidR="00D50D51">
        <w:rPr>
          <w:rFonts w:eastAsiaTheme="minorHAnsi"/>
        </w:rPr>
        <w:t xml:space="preserve">multiplied by </w:t>
      </w:r>
      <w:r>
        <w:rPr>
          <w:rFonts w:eastAsiaTheme="minorHAnsi"/>
        </w:rPr>
        <w:t xml:space="preserve">58 hours per FQHC equals </w:t>
      </w:r>
      <w:r w:rsidR="00157035">
        <w:rPr>
          <w:rFonts w:eastAsiaTheme="minorHAnsi"/>
        </w:rPr>
        <w:t>1</w:t>
      </w:r>
      <w:r w:rsidR="00092C82">
        <w:rPr>
          <w:rFonts w:eastAsiaTheme="minorHAnsi"/>
        </w:rPr>
        <w:t>67</w:t>
      </w:r>
      <w:r w:rsidR="00157035">
        <w:rPr>
          <w:rFonts w:eastAsiaTheme="minorHAnsi"/>
        </w:rPr>
        <w:t>,</w:t>
      </w:r>
      <w:r w:rsidR="00092C82">
        <w:rPr>
          <w:rFonts w:eastAsiaTheme="minorHAnsi"/>
        </w:rPr>
        <w:t>6</w:t>
      </w:r>
      <w:r w:rsidR="00157035">
        <w:rPr>
          <w:rFonts w:eastAsiaTheme="minorHAnsi"/>
        </w:rPr>
        <w:t xml:space="preserve">20 </w:t>
      </w:r>
      <w:r>
        <w:rPr>
          <w:rFonts w:eastAsiaTheme="minorHAnsi"/>
        </w:rPr>
        <w:t xml:space="preserve">annual burden hours.  </w:t>
      </w:r>
      <w:r w:rsidR="00C320FF">
        <w:t>T</w:t>
      </w:r>
      <w:r>
        <w:t xml:space="preserve">he </w:t>
      </w:r>
      <w:r w:rsidR="00E73343">
        <w:t>48</w:t>
      </w:r>
      <w:r>
        <w:t xml:space="preserve"> hours</w:t>
      </w:r>
      <w:r w:rsidR="00C320FF">
        <w:t xml:space="preserve"> for</w:t>
      </w:r>
      <w:r>
        <w:t xml:space="preserve"> recordkeeping </w:t>
      </w:r>
      <w:r w:rsidR="00C320FF">
        <w:t>include</w:t>
      </w:r>
      <w:r>
        <w:t xml:space="preserve"> </w:t>
      </w:r>
      <w:r w:rsidR="00475A7D">
        <w:t xml:space="preserve">hours for </w:t>
      </w:r>
      <w:r>
        <w:t>bookkeeping, accounting, and auditing clerks</w:t>
      </w:r>
      <w:r w:rsidR="00475A7D">
        <w:t xml:space="preserve">; </w:t>
      </w:r>
      <w:r>
        <w:t xml:space="preserve">the </w:t>
      </w:r>
      <w:r w:rsidR="00E73343">
        <w:t>10</w:t>
      </w:r>
      <w:r>
        <w:t xml:space="preserve"> hours for reporting </w:t>
      </w:r>
      <w:r w:rsidR="00C320FF">
        <w:t>include</w:t>
      </w:r>
      <w:r>
        <w:t xml:space="preserve"> accounting and audit professionals</w:t>
      </w:r>
      <w:r w:rsidR="00475A7D">
        <w:t>’ activities</w:t>
      </w:r>
      <w:r>
        <w:t xml:space="preserve">.  </w:t>
      </w:r>
      <w:r w:rsidRPr="00D50D51" w:rsidR="00D50D51">
        <w:t>Based on the most recent Bureau of Labor Statistics (BLS) in its 2020 Occupational Employment and Wage Statistics, the mean hourly wage for Category 43-3031 (bookkeeping, accounting and auditing clerks) is $21.20</w:t>
      </w:r>
      <w:r w:rsidRPr="00D50D51" w:rsidR="00D50D51">
        <w:rPr>
          <w:vertAlign w:val="superscript"/>
        </w:rPr>
        <w:t>1</w:t>
      </w:r>
      <w:r w:rsidRPr="00D50D51" w:rsidR="00D50D51">
        <w:t xml:space="preserve">.  We added 100% of the mean hourly wage to account for fringe benefits and </w:t>
      </w:r>
      <w:r w:rsidRPr="00D50D51" w:rsidR="00D50D51">
        <w:lastRenderedPageBreak/>
        <w:t>overhead costs, which calculates to $42.40 ($21.20 plus $21.20) and multiplied it by 4</w:t>
      </w:r>
      <w:r w:rsidR="00D50D51">
        <w:t>8</w:t>
      </w:r>
      <w:r w:rsidRPr="00D50D51" w:rsidR="00D50D51">
        <w:t xml:space="preserve"> hours, to determine the annual recordkeeping costs per </w:t>
      </w:r>
      <w:r w:rsidR="00CE53DF">
        <w:t>FQ</w:t>
      </w:r>
      <w:r w:rsidRPr="00D50D51" w:rsidR="00D50D51">
        <w:t>HC to be $</w:t>
      </w:r>
      <w:r w:rsidR="00D50D51">
        <w:t>2</w:t>
      </w:r>
      <w:r w:rsidRPr="00D50D51" w:rsidR="00D50D51">
        <w:t>,</w:t>
      </w:r>
      <w:r w:rsidR="00D50D51">
        <w:t>035</w:t>
      </w:r>
      <w:r w:rsidRPr="00D50D51" w:rsidR="00D50D51">
        <w:t>.</w:t>
      </w:r>
      <w:r w:rsidR="00D50D51">
        <w:t>2</w:t>
      </w:r>
      <w:r w:rsidRPr="00D50D51" w:rsidR="00D50D51">
        <w:t>0 ($42.40 per hour multiplied by 45 hours).</w:t>
      </w:r>
      <w:r w:rsidRPr="00901E4D">
        <w:t xml:space="preserve"> </w:t>
      </w:r>
    </w:p>
    <w:p w:rsidR="00157035" w:rsidP="000C0EC9" w:rsidRDefault="00157035" w14:paraId="31EB33D1" w14:textId="479D96CA">
      <w:pPr>
        <w:pStyle w:val="BodyTextIndent"/>
        <w:tabs>
          <w:tab w:val="left" w:pos="1170"/>
        </w:tabs>
        <w:ind w:left="810" w:firstLine="0"/>
        <w:jc w:val="left"/>
      </w:pPr>
    </w:p>
    <w:p w:rsidR="00D50D51" w:rsidP="00D50D51" w:rsidRDefault="00D50D51" w14:paraId="6CEAA7C9" w14:textId="1318F379">
      <w:pPr>
        <w:pStyle w:val="BodyTextIndent"/>
        <w:tabs>
          <w:tab w:val="left" w:pos="1170"/>
        </w:tabs>
        <w:ind w:left="810" w:firstLine="0"/>
        <w:jc w:val="left"/>
      </w:pPr>
      <w:r w:rsidRPr="00D50D51">
        <w:t>The mean hourly wage for Category 13-2011 (accounting and audit professionals) is $39.26</w:t>
      </w:r>
      <w:r w:rsidRPr="00D50D51">
        <w:rPr>
          <w:vertAlign w:val="superscript"/>
        </w:rPr>
        <w:t>2</w:t>
      </w:r>
      <w:r w:rsidRPr="00D50D51">
        <w:t xml:space="preserve">.  We added 100% of the mean hourly wage to account for fringe benefits and overhead costs, which calculates to $78.52 ($39.26 plus $39.26) and multiplied it by 10 hours, to determine the annual reporting costs per </w:t>
      </w:r>
      <w:r w:rsidR="00CE53DF">
        <w:t>FQ</w:t>
      </w:r>
      <w:r w:rsidRPr="00D50D51">
        <w:t>HC to be $785.20 ($78.52 per hour multiplied by 10 hours).</w:t>
      </w:r>
      <w:r>
        <w:t xml:space="preserve"> </w:t>
      </w:r>
    </w:p>
    <w:p w:rsidR="00D50D51" w:rsidP="00D50D51" w:rsidRDefault="00D50D51" w14:paraId="382FDD7E" w14:textId="77777777">
      <w:pPr>
        <w:pStyle w:val="BodyTextIndent"/>
        <w:tabs>
          <w:tab w:val="left" w:pos="1170"/>
        </w:tabs>
        <w:ind w:left="810" w:firstLine="0"/>
        <w:jc w:val="left"/>
      </w:pPr>
    </w:p>
    <w:p w:rsidR="00D50D51" w:rsidP="00D50D51" w:rsidRDefault="00D50D51" w14:paraId="55EC352A" w14:textId="4A0C4F2A">
      <w:pPr>
        <w:pStyle w:val="BodyTextIndent"/>
        <w:tabs>
          <w:tab w:val="left" w:pos="1170"/>
        </w:tabs>
        <w:ind w:left="810" w:firstLine="0"/>
        <w:jc w:val="left"/>
      </w:pPr>
      <w:r>
        <w:t xml:space="preserve">We’ve calculated the total annual cost per </w:t>
      </w:r>
      <w:r w:rsidR="00CE53DF">
        <w:t>FQHC</w:t>
      </w:r>
      <w:r>
        <w:t xml:space="preserve"> of $2,</w:t>
      </w:r>
      <w:r w:rsidR="00CE53DF">
        <w:t>820</w:t>
      </w:r>
      <w:r>
        <w:t>.</w:t>
      </w:r>
      <w:r w:rsidR="00CE53DF">
        <w:t>4</w:t>
      </w:r>
      <w:r>
        <w:t>0, by adding the recordkeeping costs of $</w:t>
      </w:r>
      <w:r w:rsidR="00CE53DF">
        <w:t>2</w:t>
      </w:r>
      <w:r>
        <w:t>,</w:t>
      </w:r>
      <w:r w:rsidR="00CE53DF">
        <w:t>035</w:t>
      </w:r>
      <w:r>
        <w:t>.</w:t>
      </w:r>
      <w:r w:rsidR="00CE53DF">
        <w:t>2</w:t>
      </w:r>
      <w:r>
        <w:t>0 plus the reporting costs of $785.20.  We estimate the total annual cost to be $</w:t>
      </w:r>
      <w:r w:rsidR="00CE53DF">
        <w:t>8</w:t>
      </w:r>
      <w:r>
        <w:t>,</w:t>
      </w:r>
      <w:r w:rsidR="00CE53DF">
        <w:t>150</w:t>
      </w:r>
      <w:r>
        <w:t>,</w:t>
      </w:r>
      <w:r w:rsidR="00CE53DF">
        <w:t>956.00</w:t>
      </w:r>
      <w:r>
        <w:t xml:space="preserve"> ($2,</w:t>
      </w:r>
      <w:r w:rsidR="00CE53DF">
        <w:t>820</w:t>
      </w:r>
      <w:r>
        <w:t>.</w:t>
      </w:r>
      <w:r w:rsidR="00CE53DF">
        <w:t>4</w:t>
      </w:r>
      <w:r>
        <w:t xml:space="preserve">0 cost per </w:t>
      </w:r>
      <w:r w:rsidR="00CE53DF">
        <w:t>FQH</w:t>
      </w:r>
      <w:r>
        <w:t xml:space="preserve">C multiplied by </w:t>
      </w:r>
      <w:r w:rsidR="00CE53DF">
        <w:t>2</w:t>
      </w:r>
      <w:r>
        <w:t>,</w:t>
      </w:r>
      <w:r w:rsidR="00CE53DF">
        <w:t>890</w:t>
      </w:r>
      <w:r>
        <w:t xml:space="preserve"> </w:t>
      </w:r>
      <w:r w:rsidR="00CE53DF">
        <w:t>FQ</w:t>
      </w:r>
      <w:r>
        <w:t>HCs).</w:t>
      </w:r>
    </w:p>
    <w:p w:rsidR="00D50D51" w:rsidP="00D50D51" w:rsidRDefault="00D50D51" w14:paraId="5E954FB7" w14:textId="77777777">
      <w:pPr>
        <w:pStyle w:val="BodyTextIndent"/>
        <w:tabs>
          <w:tab w:val="left" w:pos="1170"/>
        </w:tabs>
        <w:ind w:left="810"/>
      </w:pPr>
    </w:p>
    <w:p w:rsidR="00D50D51" w:rsidP="00D50D51" w:rsidRDefault="00D50D51" w14:paraId="48494AC8" w14:textId="3C81AF20">
      <w:pPr>
        <w:pStyle w:val="BodyTextIndent"/>
        <w:tabs>
          <w:tab w:val="left" w:pos="1170"/>
        </w:tabs>
        <w:ind w:left="810" w:firstLine="0"/>
      </w:pPr>
      <w:r w:rsidRPr="00D50D51">
        <w:rPr>
          <w:vertAlign w:val="superscript"/>
        </w:rPr>
        <w:t>1</w:t>
      </w:r>
      <w:r>
        <w:t xml:space="preserve"> </w:t>
      </w:r>
      <w:hyperlink w:history="1" r:id="rId9">
        <w:r w:rsidRPr="00637C45">
          <w:rPr>
            <w:rStyle w:val="Hyperlink"/>
          </w:rPr>
          <w:t>www.bls.gov/oes/current/oes433031.htm</w:t>
        </w:r>
      </w:hyperlink>
      <w:r>
        <w:t xml:space="preserve">  </w:t>
      </w:r>
    </w:p>
    <w:p w:rsidR="00D50D51" w:rsidP="00D50D51" w:rsidRDefault="00D50D51" w14:paraId="049A09B4" w14:textId="08A7F07B">
      <w:pPr>
        <w:pStyle w:val="BodyTextIndent"/>
        <w:tabs>
          <w:tab w:val="left" w:pos="1170"/>
        </w:tabs>
        <w:ind w:left="810" w:firstLine="0"/>
        <w:jc w:val="left"/>
      </w:pPr>
      <w:r w:rsidRPr="00D50D51">
        <w:rPr>
          <w:vertAlign w:val="superscript"/>
        </w:rPr>
        <w:t xml:space="preserve">2 </w:t>
      </w:r>
      <w:hyperlink w:history="1" r:id="rId10">
        <w:r w:rsidRPr="00637C45">
          <w:rPr>
            <w:rStyle w:val="Hyperlink"/>
          </w:rPr>
          <w:t>www.bls.gov/oes/current/oes132011.htm</w:t>
        </w:r>
      </w:hyperlink>
    </w:p>
    <w:p w:rsidRPr="001948DD" w:rsidR="00470B71" w:rsidP="001948DD" w:rsidRDefault="00470B71" w14:paraId="682CA5F0" w14:textId="5545D3AD">
      <w:pPr>
        <w:pStyle w:val="BodyTextIndent"/>
        <w:tabs>
          <w:tab w:val="left" w:pos="1170"/>
        </w:tabs>
        <w:ind w:left="810" w:firstLine="0"/>
        <w:jc w:val="left"/>
        <w:rPr>
          <w:rFonts w:eastAsiaTheme="minorHAnsi"/>
        </w:rPr>
      </w:pPr>
    </w:p>
    <w:p w:rsidR="00073198" w:rsidP="00200B3F" w:rsidRDefault="00073198" w14:paraId="13E6DF2D" w14:textId="77777777">
      <w:pPr>
        <w:pStyle w:val="ListParagraph"/>
        <w:numPr>
          <w:ilvl w:val="0"/>
          <w:numId w:val="8"/>
        </w:numPr>
        <w:ind w:left="806" w:hanging="446"/>
        <w:rPr>
          <w:sz w:val="24"/>
          <w:u w:val="single"/>
        </w:rPr>
      </w:pPr>
      <w:r>
        <w:rPr>
          <w:sz w:val="24"/>
          <w:u w:val="single"/>
        </w:rPr>
        <w:t>Capital Costs</w:t>
      </w:r>
    </w:p>
    <w:p w:rsidR="00CE1231" w:rsidP="00CE1231" w:rsidRDefault="00CE1231" w14:paraId="1B0C85E9" w14:textId="77777777">
      <w:pPr>
        <w:tabs>
          <w:tab w:val="left" w:pos="810"/>
        </w:tabs>
        <w:spacing w:line="242" w:lineRule="auto"/>
        <w:ind w:left="720"/>
        <w:rPr>
          <w:sz w:val="24"/>
          <w:u w:val="single"/>
        </w:rPr>
      </w:pPr>
    </w:p>
    <w:p w:rsidR="001533C8" w:rsidP="00D77F8F" w:rsidRDefault="00CE1231" w14:paraId="4A79F6D6" w14:textId="72D67062">
      <w:pPr>
        <w:tabs>
          <w:tab w:val="left" w:pos="810"/>
        </w:tabs>
        <w:spacing w:line="242" w:lineRule="auto"/>
        <w:ind w:left="806"/>
        <w:rPr>
          <w:sz w:val="24"/>
        </w:rPr>
      </w:pPr>
      <w:r w:rsidRPr="00CE1231">
        <w:rPr>
          <w:sz w:val="24"/>
        </w:rPr>
        <w:t>There are no capital costs</w:t>
      </w:r>
      <w:r w:rsidR="00C729E8">
        <w:rPr>
          <w:sz w:val="24"/>
        </w:rPr>
        <w:t>.</w:t>
      </w:r>
      <w:r w:rsidR="006C2C4A">
        <w:rPr>
          <w:sz w:val="24"/>
        </w:rPr>
        <w:t xml:space="preserve">  </w:t>
      </w:r>
    </w:p>
    <w:p w:rsidR="00CE53DF" w:rsidP="00D77F8F" w:rsidRDefault="00CE53DF" w14:paraId="27A245F5" w14:textId="17628047">
      <w:pPr>
        <w:tabs>
          <w:tab w:val="left" w:pos="810"/>
        </w:tabs>
        <w:spacing w:line="242" w:lineRule="auto"/>
        <w:ind w:left="806"/>
        <w:rPr>
          <w:sz w:val="24"/>
        </w:rPr>
      </w:pPr>
    </w:p>
    <w:p w:rsidRPr="00F5714A" w:rsidR="00CE1231" w:rsidP="00CE1231" w:rsidRDefault="00CE1231" w14:paraId="3690C9F4" w14:textId="77777777">
      <w:pPr>
        <w:numPr>
          <w:ilvl w:val="0"/>
          <w:numId w:val="8"/>
        </w:numPr>
        <w:tabs>
          <w:tab w:val="clear" w:pos="1440"/>
          <w:tab w:val="left" w:pos="810"/>
        </w:tabs>
        <w:spacing w:line="242" w:lineRule="auto"/>
        <w:ind w:hanging="1080"/>
        <w:rPr>
          <w:sz w:val="24"/>
          <w:u w:val="single"/>
        </w:rPr>
      </w:pPr>
      <w:r w:rsidRPr="00F5714A">
        <w:rPr>
          <w:sz w:val="24"/>
          <w:u w:val="single"/>
        </w:rPr>
        <w:t>Cost to Federal Government</w:t>
      </w:r>
    </w:p>
    <w:p w:rsidR="00CE53DF" w:rsidP="00F26F31" w:rsidRDefault="00CE53DF" w14:paraId="7220DA17" w14:textId="715B87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tbl>
      <w:tblPr>
        <w:tblW w:w="5000" w:type="pct"/>
        <w:tblLook w:val="04A0" w:firstRow="1" w:lastRow="0" w:firstColumn="1" w:lastColumn="0" w:noHBand="0" w:noVBand="1"/>
      </w:tblPr>
      <w:tblGrid>
        <w:gridCol w:w="309"/>
        <w:gridCol w:w="5206"/>
        <w:gridCol w:w="1556"/>
        <w:gridCol w:w="310"/>
        <w:gridCol w:w="1651"/>
        <w:gridCol w:w="308"/>
      </w:tblGrid>
      <w:tr w:rsidRPr="00CE53DF" w:rsidR="00CE53DF" w:rsidTr="00AA03C6" w14:paraId="584E7FC0" w14:textId="77777777">
        <w:trPr>
          <w:trHeight w:val="300"/>
        </w:trPr>
        <w:tc>
          <w:tcPr>
            <w:tcW w:w="165" w:type="pct"/>
            <w:tcBorders>
              <w:top w:val="single" w:color="auto" w:sz="8" w:space="0"/>
              <w:left w:val="single" w:color="auto" w:sz="8" w:space="0"/>
              <w:bottom w:val="nil"/>
              <w:right w:val="nil"/>
            </w:tcBorders>
            <w:shd w:val="clear" w:color="auto" w:fill="auto"/>
            <w:noWrap/>
            <w:vAlign w:val="bottom"/>
            <w:hideMark/>
          </w:tcPr>
          <w:p w:rsidRPr="00CE53DF" w:rsidR="00CE53DF" w:rsidP="00CE53DF" w:rsidRDefault="00CE53DF" w14:paraId="08201188"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2786" w:type="pct"/>
            <w:tcBorders>
              <w:top w:val="single" w:color="auto" w:sz="8" w:space="0"/>
              <w:left w:val="nil"/>
              <w:bottom w:val="nil"/>
              <w:right w:val="nil"/>
            </w:tcBorders>
            <w:shd w:val="clear" w:color="auto" w:fill="auto"/>
            <w:noWrap/>
            <w:vAlign w:val="bottom"/>
            <w:hideMark/>
          </w:tcPr>
          <w:p w:rsidRPr="00CE53DF" w:rsidR="00CE53DF" w:rsidP="00CE53DF" w:rsidRDefault="00CE53DF" w14:paraId="514D3D76"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833" w:type="pct"/>
            <w:tcBorders>
              <w:top w:val="single" w:color="auto" w:sz="8" w:space="0"/>
              <w:left w:val="nil"/>
              <w:bottom w:val="nil"/>
              <w:right w:val="nil"/>
            </w:tcBorders>
            <w:shd w:val="clear" w:color="auto" w:fill="auto"/>
            <w:noWrap/>
            <w:vAlign w:val="bottom"/>
            <w:hideMark/>
          </w:tcPr>
          <w:p w:rsidRPr="00CE53DF" w:rsidR="00CE53DF" w:rsidP="00CE53DF" w:rsidRDefault="00CE53DF" w14:paraId="1B3BB468"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165" w:type="pct"/>
            <w:tcBorders>
              <w:top w:val="single" w:color="auto" w:sz="8" w:space="0"/>
              <w:left w:val="nil"/>
              <w:bottom w:val="nil"/>
              <w:right w:val="nil"/>
            </w:tcBorders>
            <w:shd w:val="clear" w:color="auto" w:fill="auto"/>
            <w:noWrap/>
            <w:vAlign w:val="bottom"/>
            <w:hideMark/>
          </w:tcPr>
          <w:p w:rsidRPr="00CE53DF" w:rsidR="00CE53DF" w:rsidP="00CE53DF" w:rsidRDefault="00CE53DF" w14:paraId="5C84B9C5"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884" w:type="pct"/>
            <w:tcBorders>
              <w:top w:val="single" w:color="auto" w:sz="8" w:space="0"/>
              <w:left w:val="nil"/>
              <w:bottom w:val="nil"/>
              <w:right w:val="nil"/>
            </w:tcBorders>
            <w:shd w:val="clear" w:color="auto" w:fill="auto"/>
            <w:noWrap/>
            <w:vAlign w:val="bottom"/>
            <w:hideMark/>
          </w:tcPr>
          <w:p w:rsidRPr="00CE53DF" w:rsidR="00CE53DF" w:rsidP="00CE53DF" w:rsidRDefault="00CE53DF" w14:paraId="6AD7990C"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165" w:type="pct"/>
            <w:tcBorders>
              <w:top w:val="single" w:color="auto" w:sz="8" w:space="0"/>
              <w:left w:val="nil"/>
              <w:bottom w:val="nil"/>
              <w:right w:val="single" w:color="auto" w:sz="8" w:space="0"/>
            </w:tcBorders>
            <w:shd w:val="clear" w:color="auto" w:fill="auto"/>
            <w:noWrap/>
            <w:vAlign w:val="bottom"/>
            <w:hideMark/>
          </w:tcPr>
          <w:p w:rsidRPr="00CE53DF" w:rsidR="00CE53DF" w:rsidP="00CE53DF" w:rsidRDefault="00CE53DF" w14:paraId="6C17636F"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r>
      <w:tr w:rsidRPr="00CE53DF" w:rsidR="00CE53DF" w:rsidTr="00AA03C6" w14:paraId="34D82A8A" w14:textId="77777777">
        <w:trPr>
          <w:trHeight w:val="315"/>
        </w:trPr>
        <w:tc>
          <w:tcPr>
            <w:tcW w:w="165" w:type="pct"/>
            <w:tcBorders>
              <w:top w:val="nil"/>
              <w:left w:val="single" w:color="auto" w:sz="8" w:space="0"/>
              <w:bottom w:val="nil"/>
              <w:right w:val="nil"/>
            </w:tcBorders>
            <w:shd w:val="clear" w:color="auto" w:fill="auto"/>
            <w:noWrap/>
            <w:vAlign w:val="bottom"/>
            <w:hideMark/>
          </w:tcPr>
          <w:p w:rsidRPr="00CE53DF" w:rsidR="00CE53DF" w:rsidP="00CE53DF" w:rsidRDefault="00CE53DF" w14:paraId="5687CE47"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Pr="00CE53DF" w:rsidR="00CE53DF" w:rsidP="00CE53DF" w:rsidRDefault="00CE53DF" w14:paraId="3301585B" w14:textId="77777777">
            <w:pPr>
              <w:widowControl/>
              <w:autoSpaceDE/>
              <w:autoSpaceDN/>
              <w:adjustRightInd/>
              <w:rPr>
                <w:color w:val="000000"/>
                <w:sz w:val="24"/>
                <w:szCs w:val="20"/>
                <w:u w:val="single"/>
              </w:rPr>
            </w:pPr>
            <w:r w:rsidRPr="00CE53DF">
              <w:rPr>
                <w:color w:val="000000"/>
                <w:sz w:val="24"/>
                <w:szCs w:val="20"/>
                <w:u w:val="single"/>
              </w:rPr>
              <w:t>Annual cost to Medicare Contractors</w:t>
            </w:r>
            <w:r w:rsidRPr="00CE53DF">
              <w:rPr>
                <w:color w:val="000000"/>
                <w:sz w:val="24"/>
                <w:szCs w:val="20"/>
              </w:rPr>
              <w:t>:</w:t>
            </w:r>
          </w:p>
        </w:tc>
        <w:tc>
          <w:tcPr>
            <w:tcW w:w="884" w:type="pct"/>
            <w:tcBorders>
              <w:top w:val="nil"/>
              <w:left w:val="nil"/>
              <w:bottom w:val="nil"/>
              <w:right w:val="nil"/>
            </w:tcBorders>
            <w:shd w:val="clear" w:color="auto" w:fill="auto"/>
            <w:noWrap/>
            <w:vAlign w:val="bottom"/>
            <w:hideMark/>
          </w:tcPr>
          <w:p w:rsidRPr="00CE53DF" w:rsidR="00CE53DF" w:rsidP="00CE53DF" w:rsidRDefault="00CE53DF" w14:paraId="55A75760" w14:textId="77777777">
            <w:pPr>
              <w:widowControl/>
              <w:autoSpaceDE/>
              <w:autoSpaceDN/>
              <w:adjustRightInd/>
              <w:rPr>
                <w:szCs w:val="20"/>
              </w:rPr>
            </w:pP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0FCFE02F"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r>
      <w:tr w:rsidRPr="00CE53DF" w:rsidR="00CE53DF" w:rsidTr="00AA03C6" w14:paraId="509F9A92" w14:textId="77777777">
        <w:trPr>
          <w:trHeight w:val="300"/>
        </w:trPr>
        <w:tc>
          <w:tcPr>
            <w:tcW w:w="165" w:type="pct"/>
            <w:tcBorders>
              <w:top w:val="nil"/>
              <w:left w:val="single" w:color="auto" w:sz="8" w:space="0"/>
              <w:right w:val="nil"/>
            </w:tcBorders>
            <w:shd w:val="clear" w:color="auto" w:fill="auto"/>
            <w:noWrap/>
            <w:vAlign w:val="bottom"/>
            <w:hideMark/>
          </w:tcPr>
          <w:p w:rsidRPr="00CE53DF" w:rsidR="00CE53DF" w:rsidP="00CE53DF" w:rsidRDefault="00CE53DF" w14:paraId="63E4C433"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3785" w:type="pct"/>
            <w:gridSpan w:val="3"/>
            <w:vMerge w:val="restart"/>
            <w:tcBorders>
              <w:top w:val="nil"/>
              <w:left w:val="nil"/>
              <w:bottom w:val="nil"/>
              <w:right w:val="nil"/>
            </w:tcBorders>
            <w:shd w:val="clear" w:color="auto" w:fill="auto"/>
            <w:vAlign w:val="bottom"/>
            <w:hideMark/>
          </w:tcPr>
          <w:p w:rsidRPr="00CE53DF" w:rsidR="00CE53DF" w:rsidP="00CE53DF" w:rsidRDefault="00CE53DF" w14:paraId="5A47D116" w14:textId="77777777">
            <w:pPr>
              <w:widowControl/>
              <w:autoSpaceDE/>
              <w:autoSpaceDN/>
              <w:adjustRightInd/>
              <w:rPr>
                <w:color w:val="000000"/>
                <w:sz w:val="24"/>
                <w:szCs w:val="20"/>
              </w:rPr>
            </w:pPr>
            <w:r w:rsidRPr="00CE53DF">
              <w:rPr>
                <w:color w:val="000000"/>
                <w:sz w:val="24"/>
                <w:szCs w:val="20"/>
              </w:rPr>
              <w:t>Annual costs incurred are related to processing information contained on the forms, particularly associated with achieving settlements.  Medicare contractors’ processing costs are based on estimates provided by the Office of Financial Management (OFM).</w:t>
            </w:r>
          </w:p>
        </w:tc>
        <w:tc>
          <w:tcPr>
            <w:tcW w:w="884" w:type="pct"/>
            <w:tcBorders>
              <w:top w:val="nil"/>
              <w:left w:val="nil"/>
              <w:bottom w:val="nil"/>
              <w:right w:val="nil"/>
            </w:tcBorders>
            <w:shd w:val="clear" w:color="auto" w:fill="auto"/>
            <w:noWrap/>
            <w:vAlign w:val="bottom"/>
            <w:hideMark/>
          </w:tcPr>
          <w:p w:rsidRPr="00CE53DF" w:rsidR="00CE53DF" w:rsidP="00CE53DF" w:rsidRDefault="00CE53DF" w14:paraId="102D1CCD" w14:textId="77777777">
            <w:pPr>
              <w:widowControl/>
              <w:autoSpaceDE/>
              <w:autoSpaceDN/>
              <w:adjustRightInd/>
              <w:rPr>
                <w:szCs w:val="20"/>
              </w:rPr>
            </w:pP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2DB695DA"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r>
      <w:tr w:rsidRPr="00CE53DF" w:rsidR="00CE53DF" w:rsidTr="00AA03C6" w14:paraId="1D174ACE" w14:textId="77777777">
        <w:trPr>
          <w:trHeight w:val="300"/>
        </w:trPr>
        <w:tc>
          <w:tcPr>
            <w:tcW w:w="165" w:type="pct"/>
            <w:tcBorders>
              <w:top w:val="nil"/>
              <w:left w:val="single" w:color="auto" w:sz="8" w:space="0"/>
              <w:bottom w:val="nil"/>
            </w:tcBorders>
            <w:shd w:val="clear" w:color="auto" w:fill="auto"/>
            <w:noWrap/>
            <w:vAlign w:val="bottom"/>
            <w:hideMark/>
          </w:tcPr>
          <w:p w:rsidRPr="00CE53DF" w:rsidR="00CE53DF" w:rsidP="00CE53DF" w:rsidRDefault="00CE53DF" w14:paraId="15F9ACBB"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Pr="00CE53DF" w:rsidR="00CE53DF" w:rsidP="00CE53DF" w:rsidRDefault="00CE53DF" w14:paraId="266445AC" w14:textId="77777777">
            <w:pPr>
              <w:widowControl/>
              <w:autoSpaceDE/>
              <w:autoSpaceDN/>
              <w:adjustRightInd/>
              <w:rPr>
                <w:color w:val="000000"/>
                <w:sz w:val="24"/>
                <w:szCs w:val="20"/>
              </w:rPr>
            </w:pPr>
          </w:p>
        </w:tc>
        <w:tc>
          <w:tcPr>
            <w:tcW w:w="884" w:type="pct"/>
            <w:tcBorders>
              <w:top w:val="nil"/>
              <w:left w:val="nil"/>
              <w:bottom w:val="nil"/>
              <w:right w:val="nil"/>
            </w:tcBorders>
            <w:shd w:val="clear" w:color="auto" w:fill="auto"/>
            <w:noWrap/>
            <w:vAlign w:val="bottom"/>
            <w:hideMark/>
          </w:tcPr>
          <w:p w:rsidRPr="00CE53DF" w:rsidR="00CE53DF" w:rsidP="00CE53DF" w:rsidRDefault="00CE53DF" w14:paraId="6FD192C0" w14:textId="77777777">
            <w:pPr>
              <w:widowControl/>
              <w:autoSpaceDE/>
              <w:autoSpaceDN/>
              <w:adjustRightInd/>
              <w:rPr>
                <w:szCs w:val="20"/>
              </w:rPr>
            </w:pP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55F7C397"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r>
      <w:tr w:rsidRPr="00CE53DF" w:rsidR="00CE53DF" w:rsidTr="00AA03C6" w14:paraId="202D4367" w14:textId="77777777">
        <w:trPr>
          <w:trHeight w:val="300"/>
        </w:trPr>
        <w:tc>
          <w:tcPr>
            <w:tcW w:w="165" w:type="pct"/>
            <w:tcBorders>
              <w:top w:val="nil"/>
              <w:left w:val="single" w:color="auto" w:sz="8" w:space="0"/>
              <w:bottom w:val="nil"/>
            </w:tcBorders>
            <w:shd w:val="clear" w:color="auto" w:fill="auto"/>
            <w:noWrap/>
            <w:vAlign w:val="bottom"/>
            <w:hideMark/>
          </w:tcPr>
          <w:p w:rsidRPr="00CE53DF" w:rsidR="00CE53DF" w:rsidP="00CE53DF" w:rsidRDefault="00CE53DF" w14:paraId="219D773C"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Pr="00CE53DF" w:rsidR="00CE53DF" w:rsidP="00CE53DF" w:rsidRDefault="00CE53DF" w14:paraId="30F40DB1" w14:textId="77777777">
            <w:pPr>
              <w:widowControl/>
              <w:autoSpaceDE/>
              <w:autoSpaceDN/>
              <w:adjustRightInd/>
              <w:rPr>
                <w:color w:val="000000"/>
                <w:sz w:val="24"/>
                <w:szCs w:val="20"/>
              </w:rPr>
            </w:pPr>
          </w:p>
        </w:tc>
        <w:tc>
          <w:tcPr>
            <w:tcW w:w="884" w:type="pct"/>
            <w:tcBorders>
              <w:top w:val="nil"/>
              <w:left w:val="nil"/>
              <w:bottom w:val="nil"/>
              <w:right w:val="nil"/>
            </w:tcBorders>
            <w:shd w:val="clear" w:color="auto" w:fill="auto"/>
            <w:noWrap/>
            <w:vAlign w:val="bottom"/>
            <w:hideMark/>
          </w:tcPr>
          <w:p w:rsidRPr="00CE53DF" w:rsidR="00CE53DF" w:rsidP="00CE53DF" w:rsidRDefault="00CE53DF" w14:paraId="1DBE116D" w14:textId="77777777">
            <w:pPr>
              <w:widowControl/>
              <w:autoSpaceDE/>
              <w:autoSpaceDN/>
              <w:adjustRightInd/>
              <w:rPr>
                <w:szCs w:val="20"/>
              </w:rPr>
            </w:pP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1FAF3913"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r>
      <w:tr w:rsidRPr="00CE53DF" w:rsidR="00CE53DF" w:rsidTr="00AA03C6" w14:paraId="16FBC648" w14:textId="77777777">
        <w:trPr>
          <w:trHeight w:val="315"/>
        </w:trPr>
        <w:tc>
          <w:tcPr>
            <w:tcW w:w="165" w:type="pct"/>
            <w:tcBorders>
              <w:top w:val="nil"/>
              <w:left w:val="single" w:color="auto" w:sz="8" w:space="0"/>
              <w:bottom w:val="nil"/>
            </w:tcBorders>
            <w:shd w:val="clear" w:color="auto" w:fill="auto"/>
            <w:noWrap/>
            <w:vAlign w:val="bottom"/>
            <w:hideMark/>
          </w:tcPr>
          <w:p w:rsidRPr="00CE53DF" w:rsidR="00CE53DF" w:rsidP="00CE53DF" w:rsidRDefault="00CE53DF" w14:paraId="037F946C"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3785" w:type="pct"/>
            <w:gridSpan w:val="3"/>
            <w:vMerge/>
            <w:tcBorders>
              <w:top w:val="nil"/>
              <w:left w:val="nil"/>
              <w:bottom w:val="nil"/>
              <w:right w:val="nil"/>
            </w:tcBorders>
            <w:vAlign w:val="center"/>
            <w:hideMark/>
          </w:tcPr>
          <w:p w:rsidRPr="00CE53DF" w:rsidR="00CE53DF" w:rsidP="00CE53DF" w:rsidRDefault="00CE53DF" w14:paraId="506DAA15" w14:textId="77777777">
            <w:pPr>
              <w:widowControl/>
              <w:autoSpaceDE/>
              <w:autoSpaceDN/>
              <w:adjustRightInd/>
              <w:rPr>
                <w:color w:val="000000"/>
                <w:sz w:val="24"/>
                <w:szCs w:val="20"/>
              </w:rPr>
            </w:pPr>
          </w:p>
        </w:tc>
        <w:tc>
          <w:tcPr>
            <w:tcW w:w="884" w:type="pct"/>
            <w:tcBorders>
              <w:top w:val="nil"/>
              <w:left w:val="nil"/>
              <w:bottom w:val="nil"/>
              <w:right w:val="nil"/>
            </w:tcBorders>
            <w:shd w:val="clear" w:color="auto" w:fill="auto"/>
            <w:noWrap/>
            <w:vAlign w:val="bottom"/>
            <w:hideMark/>
          </w:tcPr>
          <w:p w:rsidRPr="00CE53DF" w:rsidR="00CE53DF" w:rsidP="00CE53DF" w:rsidRDefault="00CE53DF" w14:paraId="1A22BFF9" w14:textId="5005B34E">
            <w:pPr>
              <w:widowControl/>
              <w:autoSpaceDE/>
              <w:autoSpaceDN/>
              <w:adjustRightInd/>
              <w:jc w:val="right"/>
              <w:rPr>
                <w:sz w:val="24"/>
              </w:rPr>
            </w:pPr>
            <w:r w:rsidRPr="00CE53DF">
              <w:rPr>
                <w:sz w:val="24"/>
              </w:rPr>
              <w:t xml:space="preserve">  $</w:t>
            </w:r>
            <w:r>
              <w:rPr>
                <w:sz w:val="24"/>
              </w:rPr>
              <w:t>5</w:t>
            </w:r>
            <w:r w:rsidRPr="00CE53DF">
              <w:rPr>
                <w:sz w:val="24"/>
              </w:rPr>
              <w:t>,</w:t>
            </w:r>
            <w:r>
              <w:rPr>
                <w:sz w:val="24"/>
              </w:rPr>
              <w:t>202</w:t>
            </w:r>
            <w:r w:rsidRPr="00CE53DF">
              <w:rPr>
                <w:sz w:val="24"/>
              </w:rPr>
              <w:t>,000</w:t>
            </w: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422B6CDA" w14:textId="77777777">
            <w:pPr>
              <w:widowControl/>
              <w:autoSpaceDE/>
              <w:autoSpaceDN/>
              <w:adjustRightInd/>
              <w:jc w:val="right"/>
              <w:rPr>
                <w:color w:val="000000"/>
                <w:sz w:val="24"/>
              </w:rPr>
            </w:pPr>
          </w:p>
        </w:tc>
      </w:tr>
      <w:tr w:rsidRPr="00CE53DF" w:rsidR="00CE53DF" w:rsidTr="00AA03C6" w14:paraId="68F212C2" w14:textId="77777777">
        <w:trPr>
          <w:trHeight w:val="300"/>
        </w:trPr>
        <w:tc>
          <w:tcPr>
            <w:tcW w:w="165" w:type="pct"/>
            <w:tcBorders>
              <w:top w:val="nil"/>
              <w:left w:val="single" w:color="auto" w:sz="8" w:space="0"/>
              <w:bottom w:val="nil"/>
              <w:right w:val="nil"/>
            </w:tcBorders>
            <w:shd w:val="clear" w:color="auto" w:fill="auto"/>
            <w:noWrap/>
            <w:vAlign w:val="bottom"/>
            <w:hideMark/>
          </w:tcPr>
          <w:p w:rsidRPr="00CE53DF" w:rsidR="00CE53DF" w:rsidP="00CE53DF" w:rsidRDefault="00CE53DF" w14:paraId="53F27EE3"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rsidRPr="00CE53DF" w:rsidR="00CE53DF" w:rsidP="00CE53DF" w:rsidRDefault="00CE53DF" w14:paraId="18FAB64A" w14:textId="77777777">
            <w:pPr>
              <w:widowControl/>
              <w:autoSpaceDE/>
              <w:autoSpaceDN/>
              <w:adjustRightInd/>
              <w:rPr>
                <w:szCs w:val="20"/>
              </w:rPr>
            </w:pPr>
          </w:p>
        </w:tc>
        <w:tc>
          <w:tcPr>
            <w:tcW w:w="833" w:type="pct"/>
            <w:tcBorders>
              <w:top w:val="nil"/>
              <w:left w:val="nil"/>
              <w:bottom w:val="nil"/>
              <w:right w:val="nil"/>
            </w:tcBorders>
            <w:shd w:val="clear" w:color="auto" w:fill="auto"/>
            <w:noWrap/>
            <w:vAlign w:val="bottom"/>
            <w:hideMark/>
          </w:tcPr>
          <w:p w:rsidRPr="00CE53DF" w:rsidR="00CE53DF" w:rsidP="00CE53DF" w:rsidRDefault="00CE53DF" w14:paraId="652FF6F8" w14:textId="77777777">
            <w:pPr>
              <w:widowControl/>
              <w:autoSpaceDE/>
              <w:autoSpaceDN/>
              <w:adjustRightInd/>
              <w:rPr>
                <w:szCs w:val="20"/>
              </w:rPr>
            </w:pPr>
          </w:p>
        </w:tc>
        <w:tc>
          <w:tcPr>
            <w:tcW w:w="165" w:type="pct"/>
            <w:tcBorders>
              <w:top w:val="nil"/>
              <w:left w:val="nil"/>
              <w:bottom w:val="nil"/>
              <w:right w:val="nil"/>
            </w:tcBorders>
            <w:shd w:val="clear" w:color="auto" w:fill="auto"/>
            <w:noWrap/>
            <w:vAlign w:val="bottom"/>
            <w:hideMark/>
          </w:tcPr>
          <w:p w:rsidRPr="00CE53DF" w:rsidR="00CE53DF" w:rsidP="00CE53DF" w:rsidRDefault="00CE53DF" w14:paraId="7C2269DF" w14:textId="77777777">
            <w:pPr>
              <w:widowControl/>
              <w:autoSpaceDE/>
              <w:autoSpaceDN/>
              <w:adjustRightInd/>
              <w:rPr>
                <w:szCs w:val="20"/>
              </w:rPr>
            </w:pPr>
          </w:p>
        </w:tc>
        <w:tc>
          <w:tcPr>
            <w:tcW w:w="884" w:type="pct"/>
            <w:tcBorders>
              <w:top w:val="nil"/>
              <w:left w:val="nil"/>
              <w:bottom w:val="nil"/>
              <w:right w:val="nil"/>
            </w:tcBorders>
            <w:shd w:val="clear" w:color="auto" w:fill="auto"/>
            <w:noWrap/>
            <w:vAlign w:val="bottom"/>
            <w:hideMark/>
          </w:tcPr>
          <w:p w:rsidRPr="00CE53DF" w:rsidR="00CE53DF" w:rsidP="00CE53DF" w:rsidRDefault="00CE53DF" w14:paraId="4F4491C9" w14:textId="77777777">
            <w:pPr>
              <w:widowControl/>
              <w:autoSpaceDE/>
              <w:autoSpaceDN/>
              <w:adjustRightInd/>
              <w:rPr>
                <w:sz w:val="24"/>
              </w:rPr>
            </w:pP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1499BCF0" w14:textId="77777777">
            <w:pPr>
              <w:widowControl/>
              <w:autoSpaceDE/>
              <w:autoSpaceDN/>
              <w:adjustRightInd/>
              <w:rPr>
                <w:color w:val="000000"/>
                <w:sz w:val="24"/>
              </w:rPr>
            </w:pPr>
            <w:r w:rsidRPr="00CE53DF">
              <w:rPr>
                <w:color w:val="000000"/>
                <w:sz w:val="24"/>
              </w:rPr>
              <w:t> </w:t>
            </w:r>
          </w:p>
        </w:tc>
      </w:tr>
      <w:tr w:rsidRPr="00CE53DF" w:rsidR="00CE53DF" w:rsidTr="00AA03C6" w14:paraId="15DA2A4E" w14:textId="77777777">
        <w:trPr>
          <w:trHeight w:val="315"/>
        </w:trPr>
        <w:tc>
          <w:tcPr>
            <w:tcW w:w="165" w:type="pct"/>
            <w:tcBorders>
              <w:top w:val="nil"/>
              <w:left w:val="single" w:color="auto" w:sz="8" w:space="0"/>
              <w:bottom w:val="nil"/>
              <w:right w:val="nil"/>
            </w:tcBorders>
            <w:shd w:val="clear" w:color="auto" w:fill="auto"/>
            <w:noWrap/>
            <w:vAlign w:val="bottom"/>
            <w:hideMark/>
          </w:tcPr>
          <w:p w:rsidRPr="00CE53DF" w:rsidR="00CE53DF" w:rsidP="00CE53DF" w:rsidRDefault="00CE53DF" w14:paraId="29C698EF"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Pr="00CE53DF" w:rsidR="00CE53DF" w:rsidP="00CE53DF" w:rsidRDefault="00CE53DF" w14:paraId="42E5D759" w14:textId="77777777">
            <w:pPr>
              <w:widowControl/>
              <w:autoSpaceDE/>
              <w:autoSpaceDN/>
              <w:adjustRightInd/>
              <w:rPr>
                <w:color w:val="000000"/>
                <w:sz w:val="24"/>
                <w:szCs w:val="20"/>
                <w:u w:val="single"/>
              </w:rPr>
            </w:pPr>
            <w:r w:rsidRPr="00CE53DF">
              <w:rPr>
                <w:color w:val="000000"/>
                <w:sz w:val="24"/>
                <w:szCs w:val="20"/>
                <w:u w:val="single"/>
              </w:rPr>
              <w:t>Annual cost to CMS</w:t>
            </w:r>
            <w:r w:rsidRPr="00CE53DF">
              <w:rPr>
                <w:color w:val="000000"/>
                <w:sz w:val="24"/>
                <w:szCs w:val="20"/>
              </w:rPr>
              <w:t>:</w:t>
            </w:r>
          </w:p>
        </w:tc>
        <w:tc>
          <w:tcPr>
            <w:tcW w:w="884" w:type="pct"/>
            <w:tcBorders>
              <w:top w:val="nil"/>
              <w:left w:val="nil"/>
              <w:bottom w:val="nil"/>
              <w:right w:val="nil"/>
            </w:tcBorders>
            <w:shd w:val="clear" w:color="auto" w:fill="auto"/>
            <w:noWrap/>
            <w:vAlign w:val="bottom"/>
            <w:hideMark/>
          </w:tcPr>
          <w:p w:rsidRPr="00CE53DF" w:rsidR="00CE53DF" w:rsidP="00CE53DF" w:rsidRDefault="00CE53DF" w14:paraId="068358F6" w14:textId="77777777">
            <w:pPr>
              <w:widowControl/>
              <w:autoSpaceDE/>
              <w:autoSpaceDN/>
              <w:adjustRightInd/>
              <w:rPr>
                <w:sz w:val="24"/>
              </w:rPr>
            </w:pP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77F890DB" w14:textId="77777777">
            <w:pPr>
              <w:widowControl/>
              <w:autoSpaceDE/>
              <w:autoSpaceDN/>
              <w:adjustRightInd/>
              <w:rPr>
                <w:color w:val="000000"/>
                <w:sz w:val="24"/>
              </w:rPr>
            </w:pPr>
            <w:r w:rsidRPr="00CE53DF">
              <w:rPr>
                <w:color w:val="000000"/>
                <w:sz w:val="24"/>
              </w:rPr>
              <w:t> </w:t>
            </w:r>
          </w:p>
        </w:tc>
      </w:tr>
      <w:tr w:rsidRPr="00CE53DF" w:rsidR="00CE53DF" w:rsidTr="00AA03C6" w14:paraId="02CD0D3D" w14:textId="77777777">
        <w:trPr>
          <w:trHeight w:val="315"/>
        </w:trPr>
        <w:tc>
          <w:tcPr>
            <w:tcW w:w="165" w:type="pct"/>
            <w:tcBorders>
              <w:top w:val="nil"/>
              <w:left w:val="single" w:color="auto" w:sz="8" w:space="0"/>
              <w:bottom w:val="nil"/>
              <w:right w:val="nil"/>
            </w:tcBorders>
            <w:shd w:val="clear" w:color="auto" w:fill="auto"/>
            <w:noWrap/>
            <w:vAlign w:val="bottom"/>
            <w:hideMark/>
          </w:tcPr>
          <w:p w:rsidRPr="00CE53DF" w:rsidR="00CE53DF" w:rsidP="00CE53DF" w:rsidRDefault="00CE53DF" w14:paraId="6D95B8D7"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Pr="00CE53DF" w:rsidR="00CE53DF" w:rsidP="00CE53DF" w:rsidRDefault="00CE53DF" w14:paraId="23E10D63" w14:textId="77777777">
            <w:pPr>
              <w:widowControl/>
              <w:autoSpaceDE/>
              <w:autoSpaceDN/>
              <w:adjustRightInd/>
              <w:rPr>
                <w:color w:val="000000"/>
                <w:sz w:val="24"/>
                <w:szCs w:val="20"/>
              </w:rPr>
            </w:pPr>
            <w:r w:rsidRPr="00CE53DF">
              <w:rPr>
                <w:color w:val="000000"/>
                <w:sz w:val="24"/>
                <w:szCs w:val="20"/>
              </w:rPr>
              <w:t>Total CMS processing cost is from the HCRIS Budget:</w:t>
            </w:r>
          </w:p>
        </w:tc>
        <w:tc>
          <w:tcPr>
            <w:tcW w:w="884" w:type="pct"/>
            <w:tcBorders>
              <w:top w:val="nil"/>
              <w:left w:val="nil"/>
              <w:bottom w:val="nil"/>
              <w:right w:val="nil"/>
            </w:tcBorders>
            <w:shd w:val="clear" w:color="auto" w:fill="auto"/>
            <w:noWrap/>
            <w:vAlign w:val="bottom"/>
            <w:hideMark/>
          </w:tcPr>
          <w:p w:rsidRPr="00CE53DF" w:rsidR="00CE53DF" w:rsidP="00CE53DF" w:rsidRDefault="00CE53DF" w14:paraId="0BCB5D6B" w14:textId="77777777">
            <w:pPr>
              <w:widowControl/>
              <w:autoSpaceDE/>
              <w:autoSpaceDN/>
              <w:adjustRightInd/>
              <w:jc w:val="right"/>
              <w:rPr>
                <w:color w:val="000000"/>
                <w:sz w:val="24"/>
              </w:rPr>
            </w:pPr>
            <w:r w:rsidRPr="00CE53DF">
              <w:rPr>
                <w:color w:val="000000"/>
                <w:sz w:val="24"/>
              </w:rPr>
              <w:t>$44,000</w:t>
            </w: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13CB8C2B" w14:textId="77777777">
            <w:pPr>
              <w:widowControl/>
              <w:autoSpaceDE/>
              <w:autoSpaceDN/>
              <w:adjustRightInd/>
              <w:rPr>
                <w:color w:val="000000"/>
                <w:sz w:val="24"/>
              </w:rPr>
            </w:pPr>
            <w:r w:rsidRPr="00CE53DF">
              <w:rPr>
                <w:color w:val="000000"/>
                <w:sz w:val="24"/>
              </w:rPr>
              <w:t> </w:t>
            </w:r>
          </w:p>
        </w:tc>
      </w:tr>
      <w:tr w:rsidRPr="00CE53DF" w:rsidR="00CE53DF" w:rsidTr="00AA03C6" w14:paraId="5BB1FF7C" w14:textId="77777777">
        <w:trPr>
          <w:trHeight w:val="315"/>
        </w:trPr>
        <w:tc>
          <w:tcPr>
            <w:tcW w:w="165" w:type="pct"/>
            <w:tcBorders>
              <w:top w:val="nil"/>
              <w:left w:val="single" w:color="auto" w:sz="8" w:space="0"/>
              <w:bottom w:val="nil"/>
              <w:right w:val="nil"/>
            </w:tcBorders>
            <w:shd w:val="clear" w:color="auto" w:fill="auto"/>
            <w:noWrap/>
            <w:vAlign w:val="bottom"/>
            <w:hideMark/>
          </w:tcPr>
          <w:p w:rsidRPr="00CE53DF" w:rsidR="00CE53DF" w:rsidP="00CE53DF" w:rsidRDefault="00CE53DF" w14:paraId="0F8198CE"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2786" w:type="pct"/>
            <w:tcBorders>
              <w:top w:val="nil"/>
              <w:left w:val="nil"/>
              <w:bottom w:val="nil"/>
              <w:right w:val="nil"/>
            </w:tcBorders>
            <w:shd w:val="clear" w:color="auto" w:fill="auto"/>
            <w:noWrap/>
            <w:vAlign w:val="bottom"/>
            <w:hideMark/>
          </w:tcPr>
          <w:p w:rsidRPr="00CE53DF" w:rsidR="00CE53DF" w:rsidP="00CE53DF" w:rsidRDefault="00CE53DF" w14:paraId="79CFE0CA" w14:textId="77777777">
            <w:pPr>
              <w:widowControl/>
              <w:autoSpaceDE/>
              <w:autoSpaceDN/>
              <w:adjustRightInd/>
              <w:rPr>
                <w:szCs w:val="20"/>
              </w:rPr>
            </w:pPr>
          </w:p>
        </w:tc>
        <w:tc>
          <w:tcPr>
            <w:tcW w:w="833" w:type="pct"/>
            <w:tcBorders>
              <w:top w:val="nil"/>
              <w:left w:val="nil"/>
              <w:bottom w:val="nil"/>
              <w:right w:val="nil"/>
            </w:tcBorders>
            <w:shd w:val="clear" w:color="auto" w:fill="auto"/>
            <w:noWrap/>
            <w:vAlign w:val="bottom"/>
            <w:hideMark/>
          </w:tcPr>
          <w:p w:rsidRPr="00CE53DF" w:rsidR="00CE53DF" w:rsidP="00CE53DF" w:rsidRDefault="00CE53DF" w14:paraId="36EFA0F1" w14:textId="77777777">
            <w:pPr>
              <w:widowControl/>
              <w:autoSpaceDE/>
              <w:autoSpaceDN/>
              <w:adjustRightInd/>
              <w:rPr>
                <w:szCs w:val="20"/>
              </w:rPr>
            </w:pPr>
          </w:p>
        </w:tc>
        <w:tc>
          <w:tcPr>
            <w:tcW w:w="165" w:type="pct"/>
            <w:tcBorders>
              <w:top w:val="nil"/>
              <w:left w:val="nil"/>
              <w:bottom w:val="nil"/>
              <w:right w:val="nil"/>
            </w:tcBorders>
            <w:shd w:val="clear" w:color="auto" w:fill="auto"/>
            <w:noWrap/>
            <w:vAlign w:val="bottom"/>
            <w:hideMark/>
          </w:tcPr>
          <w:p w:rsidRPr="00CE53DF" w:rsidR="00CE53DF" w:rsidP="00CE53DF" w:rsidRDefault="00CE53DF" w14:paraId="21FE0542" w14:textId="77777777">
            <w:pPr>
              <w:widowControl/>
              <w:autoSpaceDE/>
              <w:autoSpaceDN/>
              <w:adjustRightInd/>
              <w:rPr>
                <w:szCs w:val="20"/>
              </w:rPr>
            </w:pPr>
          </w:p>
        </w:tc>
        <w:tc>
          <w:tcPr>
            <w:tcW w:w="884" w:type="pct"/>
            <w:tcBorders>
              <w:top w:val="nil"/>
              <w:left w:val="nil"/>
              <w:bottom w:val="single" w:color="auto" w:sz="8" w:space="0"/>
              <w:right w:val="nil"/>
            </w:tcBorders>
            <w:shd w:val="clear" w:color="auto" w:fill="auto"/>
            <w:noWrap/>
            <w:vAlign w:val="bottom"/>
            <w:hideMark/>
          </w:tcPr>
          <w:p w:rsidRPr="00CE53DF" w:rsidR="00CE53DF" w:rsidP="00CE53DF" w:rsidRDefault="00CE53DF" w14:paraId="291C884C" w14:textId="77777777">
            <w:pPr>
              <w:widowControl/>
              <w:autoSpaceDE/>
              <w:autoSpaceDN/>
              <w:adjustRightInd/>
              <w:rPr>
                <w:sz w:val="24"/>
              </w:rPr>
            </w:pP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46A5A4D9" w14:textId="77777777">
            <w:pPr>
              <w:widowControl/>
              <w:autoSpaceDE/>
              <w:autoSpaceDN/>
              <w:adjustRightInd/>
              <w:rPr>
                <w:color w:val="000000"/>
                <w:sz w:val="24"/>
              </w:rPr>
            </w:pPr>
            <w:r w:rsidRPr="00CE53DF">
              <w:rPr>
                <w:color w:val="000000"/>
                <w:sz w:val="24"/>
              </w:rPr>
              <w:t> </w:t>
            </w:r>
          </w:p>
        </w:tc>
      </w:tr>
      <w:tr w:rsidRPr="00CE53DF" w:rsidR="00CE53DF" w:rsidTr="00AA03C6" w14:paraId="68869F63" w14:textId="77777777">
        <w:trPr>
          <w:trHeight w:val="330"/>
        </w:trPr>
        <w:tc>
          <w:tcPr>
            <w:tcW w:w="165" w:type="pct"/>
            <w:tcBorders>
              <w:top w:val="nil"/>
              <w:left w:val="single" w:color="auto" w:sz="8" w:space="0"/>
              <w:bottom w:val="nil"/>
              <w:right w:val="nil"/>
            </w:tcBorders>
            <w:shd w:val="clear" w:color="auto" w:fill="auto"/>
            <w:noWrap/>
            <w:vAlign w:val="bottom"/>
            <w:hideMark/>
          </w:tcPr>
          <w:p w:rsidRPr="00CE53DF" w:rsidR="00CE53DF" w:rsidP="00CE53DF" w:rsidRDefault="00CE53DF" w14:paraId="56A30C0A"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3785" w:type="pct"/>
            <w:gridSpan w:val="3"/>
            <w:tcBorders>
              <w:top w:val="nil"/>
              <w:left w:val="nil"/>
              <w:bottom w:val="nil"/>
              <w:right w:val="nil"/>
            </w:tcBorders>
            <w:shd w:val="clear" w:color="auto" w:fill="auto"/>
            <w:noWrap/>
            <w:vAlign w:val="bottom"/>
            <w:hideMark/>
          </w:tcPr>
          <w:p w:rsidRPr="00CE53DF" w:rsidR="00CE53DF" w:rsidP="00CE53DF" w:rsidRDefault="00CE53DF" w14:paraId="4811CD39" w14:textId="77777777">
            <w:pPr>
              <w:widowControl/>
              <w:autoSpaceDE/>
              <w:autoSpaceDN/>
              <w:adjustRightInd/>
              <w:rPr>
                <w:color w:val="000000"/>
                <w:sz w:val="24"/>
                <w:szCs w:val="20"/>
                <w:u w:val="single"/>
              </w:rPr>
            </w:pPr>
            <w:r w:rsidRPr="00CE53DF">
              <w:rPr>
                <w:color w:val="000000"/>
                <w:sz w:val="24"/>
                <w:szCs w:val="20"/>
                <w:u w:val="single"/>
              </w:rPr>
              <w:t>Total Federal Cost</w:t>
            </w:r>
          </w:p>
        </w:tc>
        <w:tc>
          <w:tcPr>
            <w:tcW w:w="884" w:type="pct"/>
            <w:tcBorders>
              <w:top w:val="nil"/>
              <w:left w:val="nil"/>
              <w:bottom w:val="double" w:color="auto" w:sz="6" w:space="0"/>
              <w:right w:val="nil"/>
            </w:tcBorders>
            <w:shd w:val="clear" w:color="auto" w:fill="auto"/>
            <w:noWrap/>
            <w:vAlign w:val="bottom"/>
            <w:hideMark/>
          </w:tcPr>
          <w:p w:rsidRPr="00CE53DF" w:rsidR="00CE53DF" w:rsidP="00CE53DF" w:rsidRDefault="00CE53DF" w14:paraId="6DFAEBA1" w14:textId="104C6FDE">
            <w:pPr>
              <w:widowControl/>
              <w:autoSpaceDE/>
              <w:autoSpaceDN/>
              <w:adjustRightInd/>
              <w:jc w:val="right"/>
              <w:rPr>
                <w:sz w:val="24"/>
              </w:rPr>
            </w:pPr>
            <w:r w:rsidRPr="00CE53DF">
              <w:rPr>
                <w:sz w:val="24"/>
              </w:rPr>
              <w:t xml:space="preserve">     $</w:t>
            </w:r>
            <w:r>
              <w:rPr>
                <w:sz w:val="24"/>
              </w:rPr>
              <w:t>5</w:t>
            </w:r>
            <w:r w:rsidRPr="00CE53DF">
              <w:rPr>
                <w:sz w:val="24"/>
              </w:rPr>
              <w:t>,</w:t>
            </w:r>
            <w:r>
              <w:rPr>
                <w:sz w:val="24"/>
              </w:rPr>
              <w:t>246</w:t>
            </w:r>
            <w:r w:rsidRPr="00CE53DF">
              <w:rPr>
                <w:sz w:val="24"/>
              </w:rPr>
              <w:t xml:space="preserve">,000   </w:t>
            </w:r>
          </w:p>
        </w:tc>
        <w:tc>
          <w:tcPr>
            <w:tcW w:w="165" w:type="pct"/>
            <w:tcBorders>
              <w:top w:val="nil"/>
              <w:left w:val="nil"/>
              <w:bottom w:val="nil"/>
              <w:right w:val="single" w:color="auto" w:sz="8" w:space="0"/>
            </w:tcBorders>
            <w:shd w:val="clear" w:color="auto" w:fill="auto"/>
            <w:noWrap/>
            <w:vAlign w:val="bottom"/>
            <w:hideMark/>
          </w:tcPr>
          <w:p w:rsidRPr="00CE53DF" w:rsidR="00CE53DF" w:rsidP="00CE53DF" w:rsidRDefault="00CE53DF" w14:paraId="4E2E7D38" w14:textId="77777777">
            <w:pPr>
              <w:widowControl/>
              <w:autoSpaceDE/>
              <w:autoSpaceDN/>
              <w:adjustRightInd/>
              <w:jc w:val="right"/>
              <w:rPr>
                <w:sz w:val="24"/>
              </w:rPr>
            </w:pPr>
          </w:p>
        </w:tc>
      </w:tr>
      <w:tr w:rsidRPr="00CE53DF" w:rsidR="00CE53DF" w:rsidTr="00AA03C6" w14:paraId="1AB52543" w14:textId="77777777">
        <w:trPr>
          <w:trHeight w:val="330"/>
        </w:trPr>
        <w:tc>
          <w:tcPr>
            <w:tcW w:w="165" w:type="pct"/>
            <w:tcBorders>
              <w:top w:val="nil"/>
              <w:left w:val="single" w:color="auto" w:sz="8" w:space="0"/>
              <w:bottom w:val="single" w:color="auto" w:sz="8" w:space="0"/>
              <w:right w:val="nil"/>
            </w:tcBorders>
            <w:shd w:val="clear" w:color="auto" w:fill="auto"/>
            <w:noWrap/>
            <w:vAlign w:val="bottom"/>
            <w:hideMark/>
          </w:tcPr>
          <w:p w:rsidRPr="00CE53DF" w:rsidR="00CE53DF" w:rsidP="00CE53DF" w:rsidRDefault="00CE53DF" w14:paraId="0F9D9533"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2786" w:type="pct"/>
            <w:tcBorders>
              <w:top w:val="nil"/>
              <w:left w:val="nil"/>
              <w:bottom w:val="single" w:color="auto" w:sz="8" w:space="0"/>
              <w:right w:val="nil"/>
            </w:tcBorders>
            <w:shd w:val="clear" w:color="auto" w:fill="auto"/>
            <w:noWrap/>
            <w:vAlign w:val="bottom"/>
            <w:hideMark/>
          </w:tcPr>
          <w:p w:rsidRPr="00CE53DF" w:rsidR="00CE53DF" w:rsidP="00CE53DF" w:rsidRDefault="00CE53DF" w14:paraId="2B717F26"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833" w:type="pct"/>
            <w:tcBorders>
              <w:top w:val="nil"/>
              <w:left w:val="nil"/>
              <w:bottom w:val="single" w:color="auto" w:sz="8" w:space="0"/>
              <w:right w:val="nil"/>
            </w:tcBorders>
            <w:shd w:val="clear" w:color="auto" w:fill="auto"/>
            <w:noWrap/>
            <w:vAlign w:val="bottom"/>
            <w:hideMark/>
          </w:tcPr>
          <w:p w:rsidRPr="00CE53DF" w:rsidR="00CE53DF" w:rsidP="00CE53DF" w:rsidRDefault="00CE53DF" w14:paraId="3C27A26E"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165" w:type="pct"/>
            <w:tcBorders>
              <w:top w:val="nil"/>
              <w:left w:val="nil"/>
              <w:bottom w:val="single" w:color="auto" w:sz="8" w:space="0"/>
              <w:right w:val="nil"/>
            </w:tcBorders>
            <w:shd w:val="clear" w:color="auto" w:fill="auto"/>
            <w:noWrap/>
            <w:vAlign w:val="bottom"/>
            <w:hideMark/>
          </w:tcPr>
          <w:p w:rsidRPr="00CE53DF" w:rsidR="00CE53DF" w:rsidP="00CE53DF" w:rsidRDefault="00CE53DF" w14:paraId="578F36B1"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884" w:type="pct"/>
            <w:tcBorders>
              <w:top w:val="nil"/>
              <w:left w:val="nil"/>
              <w:bottom w:val="single" w:color="auto" w:sz="8" w:space="0"/>
              <w:right w:val="nil"/>
            </w:tcBorders>
            <w:shd w:val="clear" w:color="auto" w:fill="auto"/>
            <w:noWrap/>
            <w:vAlign w:val="bottom"/>
            <w:hideMark/>
          </w:tcPr>
          <w:p w:rsidRPr="00CE53DF" w:rsidR="00CE53DF" w:rsidP="00CE53DF" w:rsidRDefault="00CE53DF" w14:paraId="2C321140"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c>
          <w:tcPr>
            <w:tcW w:w="165" w:type="pct"/>
            <w:tcBorders>
              <w:top w:val="nil"/>
              <w:left w:val="nil"/>
              <w:bottom w:val="single" w:color="auto" w:sz="8" w:space="0"/>
              <w:right w:val="single" w:color="auto" w:sz="8" w:space="0"/>
            </w:tcBorders>
            <w:shd w:val="clear" w:color="auto" w:fill="auto"/>
            <w:noWrap/>
            <w:vAlign w:val="bottom"/>
            <w:hideMark/>
          </w:tcPr>
          <w:p w:rsidRPr="00CE53DF" w:rsidR="00CE53DF" w:rsidP="00CE53DF" w:rsidRDefault="00CE53DF" w14:paraId="17CC7BC6" w14:textId="77777777">
            <w:pPr>
              <w:widowControl/>
              <w:autoSpaceDE/>
              <w:autoSpaceDN/>
              <w:adjustRightInd/>
              <w:rPr>
                <w:rFonts w:ascii="Calibri" w:hAnsi="Calibri" w:cs="Arial"/>
                <w:color w:val="000000"/>
                <w:sz w:val="22"/>
                <w:szCs w:val="22"/>
              </w:rPr>
            </w:pPr>
            <w:r w:rsidRPr="00CE53DF">
              <w:rPr>
                <w:rFonts w:ascii="Calibri" w:hAnsi="Calibri" w:cs="Arial"/>
                <w:color w:val="000000"/>
                <w:sz w:val="22"/>
                <w:szCs w:val="22"/>
              </w:rPr>
              <w:t> </w:t>
            </w:r>
          </w:p>
        </w:tc>
      </w:tr>
    </w:tbl>
    <w:p w:rsidR="00CE53DF" w:rsidP="00F26F31" w:rsidRDefault="00CE53DF" w14:paraId="5F7505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rPr>
      </w:pPr>
    </w:p>
    <w:p w:rsidR="00073198" w:rsidP="00C35FBB" w:rsidRDefault="00A50517" w14:paraId="3D991A13" w14:textId="6AA26775">
      <w:pPr>
        <w:numPr>
          <w:ilvl w:val="0"/>
          <w:numId w:val="8"/>
        </w:numPr>
        <w:tabs>
          <w:tab w:val="left" w:pos="810"/>
        </w:tabs>
        <w:spacing w:line="242" w:lineRule="auto"/>
        <w:ind w:hanging="1080"/>
        <w:rPr>
          <w:sz w:val="24"/>
          <w:u w:val="single"/>
        </w:rPr>
      </w:pPr>
      <w:r>
        <w:rPr>
          <w:sz w:val="24"/>
          <w:u w:val="single"/>
        </w:rPr>
        <w:t xml:space="preserve">Changes </w:t>
      </w:r>
      <w:r w:rsidR="001F5099">
        <w:rPr>
          <w:sz w:val="24"/>
          <w:u w:val="single"/>
        </w:rPr>
        <w:t>t</w:t>
      </w:r>
      <w:r>
        <w:rPr>
          <w:sz w:val="24"/>
          <w:u w:val="single"/>
        </w:rPr>
        <w:t>o Burden</w:t>
      </w:r>
    </w:p>
    <w:p w:rsidR="00117EFC" w:rsidP="00F4625C" w:rsidRDefault="00117EFC" w14:paraId="358A147C" w14:textId="77777777">
      <w:pPr>
        <w:tabs>
          <w:tab w:val="left" w:pos="810"/>
        </w:tabs>
        <w:spacing w:line="242" w:lineRule="auto"/>
        <w:ind w:left="1440"/>
        <w:rPr>
          <w:sz w:val="24"/>
          <w:u w:val="single"/>
        </w:rPr>
      </w:pPr>
    </w:p>
    <w:p w:rsidR="002C3644" w:rsidP="00F4625C" w:rsidRDefault="007378E0" w14:paraId="60B89B1E" w14:textId="77777777">
      <w:pPr>
        <w:widowControl/>
        <w:autoSpaceDE/>
        <w:autoSpaceDN/>
        <w:adjustRightInd/>
        <w:ind w:left="810"/>
        <w:rPr>
          <w:sz w:val="24"/>
        </w:rPr>
      </w:pPr>
      <w:r w:rsidRPr="000C0EC9">
        <w:rPr>
          <w:sz w:val="24"/>
        </w:rPr>
        <w:t>The changes in burden and cost for the Form CMS</w:t>
      </w:r>
      <w:r>
        <w:rPr>
          <w:sz w:val="24"/>
        </w:rPr>
        <w:t>-</w:t>
      </w:r>
      <w:r w:rsidRPr="000C0EC9">
        <w:rPr>
          <w:sz w:val="24"/>
        </w:rPr>
        <w:t>2</w:t>
      </w:r>
      <w:r>
        <w:rPr>
          <w:sz w:val="24"/>
        </w:rPr>
        <w:t>24-14</w:t>
      </w:r>
      <w:r w:rsidR="00117EFC">
        <w:rPr>
          <w:sz w:val="24"/>
        </w:rPr>
        <w:t xml:space="preserve"> </w:t>
      </w:r>
      <w:r w:rsidRPr="000C0EC9">
        <w:rPr>
          <w:sz w:val="24"/>
        </w:rPr>
        <w:t>are a result o</w:t>
      </w:r>
      <w:r w:rsidR="00492407">
        <w:rPr>
          <w:sz w:val="24"/>
        </w:rPr>
        <w:t>f</w:t>
      </w:r>
      <w:r w:rsidR="008E3D06">
        <w:rPr>
          <w:sz w:val="24"/>
        </w:rPr>
        <w:t>:</w:t>
      </w:r>
    </w:p>
    <w:p w:rsidR="002C3644" w:rsidP="00F4625C" w:rsidRDefault="002C3644" w14:paraId="68649B99" w14:textId="77777777">
      <w:pPr>
        <w:widowControl/>
        <w:autoSpaceDE/>
        <w:autoSpaceDN/>
        <w:adjustRightInd/>
        <w:ind w:left="810"/>
        <w:rPr>
          <w:sz w:val="24"/>
        </w:rPr>
      </w:pPr>
    </w:p>
    <w:p w:rsidR="00A21505" w:rsidP="002C3644" w:rsidRDefault="00492407" w14:paraId="3FB3A35C" w14:textId="3A2D5C8F">
      <w:pPr>
        <w:pStyle w:val="ListParagraph"/>
        <w:widowControl/>
        <w:numPr>
          <w:ilvl w:val="0"/>
          <w:numId w:val="17"/>
        </w:numPr>
        <w:autoSpaceDE/>
        <w:autoSpaceDN/>
        <w:adjustRightInd/>
        <w:rPr>
          <w:sz w:val="24"/>
        </w:rPr>
      </w:pPr>
      <w:r w:rsidRPr="00901DF0">
        <w:rPr>
          <w:sz w:val="24"/>
        </w:rPr>
        <w:t>a</w:t>
      </w:r>
      <w:r w:rsidRPr="00901DF0" w:rsidR="0079198A">
        <w:rPr>
          <w:sz w:val="24"/>
        </w:rPr>
        <w:t xml:space="preserve">n </w:t>
      </w:r>
      <w:r w:rsidRPr="00901DF0" w:rsidR="007378E0">
        <w:rPr>
          <w:sz w:val="24"/>
        </w:rPr>
        <w:t>increase in</w:t>
      </w:r>
      <w:r w:rsidRPr="00901DF0" w:rsidR="00117EFC">
        <w:rPr>
          <w:sz w:val="24"/>
        </w:rPr>
        <w:t xml:space="preserve"> the number of </w:t>
      </w:r>
      <w:r w:rsidRPr="00901DF0" w:rsidR="003D7F83">
        <w:rPr>
          <w:sz w:val="24"/>
        </w:rPr>
        <w:t>respondents</w:t>
      </w:r>
      <w:r w:rsidRPr="00901DF0" w:rsidR="00117EFC">
        <w:rPr>
          <w:sz w:val="24"/>
        </w:rPr>
        <w:t xml:space="preserve"> enrolled in the Medicare program</w:t>
      </w:r>
      <w:r w:rsidRPr="00901DF0" w:rsidR="00475A7D">
        <w:rPr>
          <w:sz w:val="24"/>
        </w:rPr>
        <w:t>,</w:t>
      </w:r>
      <w:r w:rsidRPr="00901DF0" w:rsidR="00117EFC">
        <w:rPr>
          <w:sz w:val="24"/>
        </w:rPr>
        <w:t xml:space="preserve"> from </w:t>
      </w:r>
      <w:r w:rsidRPr="00901DF0" w:rsidR="00CE537B">
        <w:rPr>
          <w:sz w:val="24"/>
        </w:rPr>
        <w:t>2,240</w:t>
      </w:r>
      <w:r w:rsidRPr="00901DF0" w:rsidR="00117EFC">
        <w:rPr>
          <w:sz w:val="24"/>
        </w:rPr>
        <w:t xml:space="preserve"> to 2,</w:t>
      </w:r>
      <w:r w:rsidRPr="00901DF0" w:rsidR="00CE537B">
        <w:rPr>
          <w:sz w:val="24"/>
        </w:rPr>
        <w:t>89</w:t>
      </w:r>
      <w:r w:rsidRPr="00901DF0" w:rsidR="00117EFC">
        <w:rPr>
          <w:sz w:val="24"/>
        </w:rPr>
        <w:t>0</w:t>
      </w:r>
      <w:r w:rsidR="002C3644">
        <w:rPr>
          <w:sz w:val="24"/>
        </w:rPr>
        <w:t>,</w:t>
      </w:r>
      <w:r w:rsidRPr="002C3644" w:rsidR="002C3644">
        <w:rPr>
          <w:sz w:val="24"/>
        </w:rPr>
        <w:t xml:space="preserve"> </w:t>
      </w:r>
      <w:r w:rsidR="002C3644">
        <w:rPr>
          <w:sz w:val="24"/>
        </w:rPr>
        <w:t xml:space="preserve">as a result of </w:t>
      </w:r>
      <w:r w:rsidRPr="00A911D0" w:rsidR="002C3644">
        <w:rPr>
          <w:sz w:val="24"/>
        </w:rPr>
        <w:t>voluntary and involuntary terminations</w:t>
      </w:r>
      <w:r w:rsidR="002C3644">
        <w:rPr>
          <w:sz w:val="24"/>
        </w:rPr>
        <w:t xml:space="preserve"> and the option for RHC providers to file consolidated cost reports</w:t>
      </w:r>
      <w:r w:rsidR="00A21505">
        <w:rPr>
          <w:sz w:val="24"/>
        </w:rPr>
        <w:t>;</w:t>
      </w:r>
    </w:p>
    <w:p w:rsidR="002C3644" w:rsidP="00901DF0" w:rsidRDefault="00117EFC" w14:paraId="69792C4E" w14:textId="7944B702">
      <w:pPr>
        <w:pStyle w:val="ListParagraph"/>
        <w:widowControl/>
        <w:autoSpaceDE/>
        <w:autoSpaceDN/>
        <w:adjustRightInd/>
        <w:ind w:left="1170"/>
        <w:rPr>
          <w:sz w:val="24"/>
        </w:rPr>
      </w:pPr>
      <w:r w:rsidRPr="00901DF0">
        <w:rPr>
          <w:sz w:val="24"/>
        </w:rPr>
        <w:t xml:space="preserve">  </w:t>
      </w:r>
    </w:p>
    <w:p w:rsidR="00A21505" w:rsidP="002C3644" w:rsidRDefault="00A21505" w14:paraId="6F0F2864" w14:textId="75FF2FF1">
      <w:pPr>
        <w:pStyle w:val="ListParagraph"/>
        <w:widowControl/>
        <w:numPr>
          <w:ilvl w:val="0"/>
          <w:numId w:val="17"/>
        </w:numPr>
        <w:autoSpaceDE/>
        <w:autoSpaceDN/>
        <w:adjustRightInd/>
        <w:rPr>
          <w:sz w:val="24"/>
        </w:rPr>
      </w:pPr>
      <w:r w:rsidRPr="00A21505">
        <w:rPr>
          <w:sz w:val="24"/>
        </w:rPr>
        <w:lastRenderedPageBreak/>
        <w:t>an hourly rate increase</w:t>
      </w:r>
      <w:r w:rsidR="006B4E40">
        <w:rPr>
          <w:sz w:val="24"/>
        </w:rPr>
        <w:t>d</w:t>
      </w:r>
      <w:r w:rsidRPr="00A21505">
        <w:rPr>
          <w:sz w:val="24"/>
        </w:rPr>
        <w:t xml:space="preserve"> between 2018 and 2021 </w:t>
      </w:r>
      <w:r w:rsidRPr="00666A0C">
        <w:rPr>
          <w:sz w:val="24"/>
        </w:rPr>
        <w:t>based on data from the most recent BLS Occupational Employment and Wage Statistics (May 2020) and to account for the associated increased overhead costs</w:t>
      </w:r>
      <w:r>
        <w:rPr>
          <w:sz w:val="24"/>
        </w:rPr>
        <w:t xml:space="preserve">. </w:t>
      </w:r>
      <w:r w:rsidR="004968A6">
        <w:rPr>
          <w:sz w:val="24"/>
        </w:rPr>
        <w:t xml:space="preserve"> T</w:t>
      </w:r>
      <w:r w:rsidRPr="00A21505">
        <w:rPr>
          <w:sz w:val="24"/>
        </w:rPr>
        <w:t>h</w:t>
      </w:r>
      <w:r w:rsidR="004968A6">
        <w:rPr>
          <w:sz w:val="24"/>
        </w:rPr>
        <w:t>e</w:t>
      </w:r>
      <w:r w:rsidRPr="00A21505">
        <w:rPr>
          <w:sz w:val="24"/>
        </w:rPr>
        <w:t xml:space="preserve"> co</w:t>
      </w:r>
      <w:r w:rsidRPr="00666A0C">
        <w:rPr>
          <w:sz w:val="24"/>
        </w:rPr>
        <w:t xml:space="preserve">st per FQHC </w:t>
      </w:r>
      <w:r w:rsidR="004968A6">
        <w:rPr>
          <w:sz w:val="24"/>
        </w:rPr>
        <w:t>increased by $174.24 (</w:t>
      </w:r>
      <w:r w:rsidRPr="00666A0C">
        <w:rPr>
          <w:sz w:val="24"/>
        </w:rPr>
        <w:t>from $2,646.16</w:t>
      </w:r>
      <w:r w:rsidR="004968A6">
        <w:rPr>
          <w:sz w:val="24"/>
        </w:rPr>
        <w:t xml:space="preserve"> per FQHC</w:t>
      </w:r>
      <w:r w:rsidRPr="00666A0C">
        <w:rPr>
          <w:sz w:val="24"/>
        </w:rPr>
        <w:t xml:space="preserve"> in 2018 to $2,820.40 </w:t>
      </w:r>
      <w:r w:rsidR="004968A6">
        <w:rPr>
          <w:sz w:val="24"/>
        </w:rPr>
        <w:t xml:space="preserve">per FQHC </w:t>
      </w:r>
      <w:r w:rsidRPr="00666A0C">
        <w:rPr>
          <w:sz w:val="24"/>
        </w:rPr>
        <w:t>in 2021</w:t>
      </w:r>
      <w:r w:rsidR="004968A6">
        <w:rPr>
          <w:sz w:val="24"/>
        </w:rPr>
        <w:t xml:space="preserve">) </w:t>
      </w:r>
      <w:r w:rsidRPr="004968A6" w:rsidR="004968A6">
        <w:rPr>
          <w:sz w:val="24"/>
        </w:rPr>
        <w:t>due to increases in the hourly wage and costs of overhead and fringe benefits</w:t>
      </w:r>
      <w:r w:rsidRPr="00666A0C">
        <w:rPr>
          <w:sz w:val="24"/>
        </w:rPr>
        <w:t>.</w:t>
      </w:r>
    </w:p>
    <w:p w:rsidR="00113CD8" w:rsidP="000C0EC9" w:rsidRDefault="002C3644" w14:paraId="299238A6" w14:textId="7367F4E7">
      <w:pPr>
        <w:widowControl/>
        <w:adjustRightInd/>
        <w:ind w:right="101"/>
      </w:pPr>
      <w:r w:rsidRPr="004968A6">
        <w:rPr>
          <w:sz w:val="24"/>
        </w:rPr>
        <w:t xml:space="preserve">  </w:t>
      </w:r>
      <w:r w:rsidRPr="00A21505" w:rsidDel="00A21505" w:rsidR="00A21505">
        <w:rPr>
          <w:sz w:val="24"/>
        </w:rPr>
        <w:t xml:space="preserve"> </w:t>
      </w:r>
    </w:p>
    <w:p w:rsidRPr="00916083" w:rsidR="00073198" w:rsidP="00C35FBB" w:rsidRDefault="00073198" w14:paraId="337E6750" w14:textId="77777777">
      <w:pPr>
        <w:numPr>
          <w:ilvl w:val="0"/>
          <w:numId w:val="8"/>
        </w:numPr>
        <w:tabs>
          <w:tab w:val="left" w:pos="810"/>
        </w:tabs>
        <w:spacing w:line="242" w:lineRule="auto"/>
        <w:ind w:hanging="1080"/>
        <w:rPr>
          <w:sz w:val="24"/>
          <w:u w:val="single"/>
        </w:rPr>
      </w:pPr>
      <w:r w:rsidRPr="006726F0">
        <w:rPr>
          <w:sz w:val="24"/>
          <w:u w:val="single"/>
        </w:rPr>
        <w:t>Publication and Tabulation</w:t>
      </w:r>
      <w:r>
        <w:rPr>
          <w:sz w:val="24"/>
          <w:u w:val="single"/>
        </w:rPr>
        <w:t xml:space="preserve"> Dates</w:t>
      </w:r>
    </w:p>
    <w:p w:rsidR="00113CD8" w:rsidP="00B12785" w:rsidRDefault="00113CD8" w14:paraId="0DA58090" w14:textId="77777777">
      <w:pPr>
        <w:spacing w:line="242" w:lineRule="auto"/>
        <w:ind w:firstLine="1440"/>
        <w:rPr>
          <w:sz w:val="24"/>
        </w:rPr>
      </w:pPr>
    </w:p>
    <w:p w:rsidR="00073198" w:rsidP="00B12785" w:rsidRDefault="0095380C" w14:paraId="39B0E136" w14:textId="678CA6FB">
      <w:pPr>
        <w:spacing w:line="242" w:lineRule="auto"/>
        <w:ind w:left="810"/>
        <w:rPr>
          <w:sz w:val="24"/>
        </w:rPr>
      </w:pPr>
      <w:r w:rsidRPr="006C7D21">
        <w:rPr>
          <w:sz w:val="24"/>
        </w:rPr>
        <w:t xml:space="preserve">CMS requires that each Medicare-certified provider submit an annual cost report to their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Provider Cost Reporting Information System (HCRIS).  The HCRIS data supports CMS’s reimbursement policymaking, congressional studies, legislative health care reimbursement initiatives, Medicare profit margin analysis, market basket weight updates, and public data requirements.  CMS publishes the HCRIS dataset for public access and use at </w:t>
      </w:r>
      <w:hyperlink w:history="1" r:id="rId11">
        <w:r w:rsidRPr="006C7D21">
          <w:rPr>
            <w:rStyle w:val="Hyperlink"/>
            <w:sz w:val="24"/>
          </w:rPr>
          <w:t>https://www.cms.gov/Research-Statistics-Data-and-Systems/Downloadable-Public-Use-Files/Cost-Reports/</w:t>
        </w:r>
      </w:hyperlink>
      <w:r w:rsidRPr="006C7D21">
        <w:rPr>
          <w:sz w:val="24"/>
        </w:rPr>
        <w:t>.</w:t>
      </w:r>
      <w:r w:rsidR="00166260">
        <w:rPr>
          <w:sz w:val="24"/>
        </w:rPr>
        <w:t xml:space="preserve">  </w:t>
      </w:r>
    </w:p>
    <w:p w:rsidR="00F4625C" w:rsidP="00B12785" w:rsidRDefault="00F4625C" w14:paraId="51BC9594" w14:textId="77777777">
      <w:pPr>
        <w:spacing w:line="242" w:lineRule="auto"/>
        <w:rPr>
          <w:sz w:val="24"/>
        </w:rPr>
      </w:pPr>
    </w:p>
    <w:p w:rsidRPr="00916083" w:rsidR="00073198" w:rsidP="00C35FBB" w:rsidRDefault="00073198" w14:paraId="4AC33B1D" w14:textId="77777777">
      <w:pPr>
        <w:numPr>
          <w:ilvl w:val="0"/>
          <w:numId w:val="8"/>
        </w:numPr>
        <w:tabs>
          <w:tab w:val="left" w:pos="810"/>
        </w:tabs>
        <w:spacing w:line="242" w:lineRule="auto"/>
        <w:ind w:hanging="1080"/>
        <w:rPr>
          <w:sz w:val="24"/>
          <w:u w:val="single"/>
        </w:rPr>
      </w:pPr>
      <w:r>
        <w:rPr>
          <w:sz w:val="24"/>
          <w:u w:val="single"/>
        </w:rPr>
        <w:t>Expiration Date</w:t>
      </w:r>
    </w:p>
    <w:p w:rsidR="00073198" w:rsidP="00B12785" w:rsidRDefault="00073198" w14:paraId="3EBF940A" w14:textId="77777777">
      <w:pPr>
        <w:spacing w:line="242" w:lineRule="auto"/>
        <w:ind w:left="1440"/>
        <w:rPr>
          <w:sz w:val="24"/>
        </w:rPr>
      </w:pPr>
    </w:p>
    <w:p w:rsidR="00C729E8" w:rsidP="00F4625C" w:rsidRDefault="00C729E8" w14:paraId="569F0891" w14:textId="5B89F59A">
      <w:pPr>
        <w:tabs>
          <w:tab w:val="left" w:pos="0"/>
          <w:tab w:val="left" w:pos="360"/>
          <w:tab w:val="left" w:pos="810"/>
        </w:tabs>
        <w:suppressAutoHyphens/>
        <w:spacing w:line="240" w:lineRule="atLeast"/>
        <w:ind w:left="810"/>
        <w:rPr>
          <w:sz w:val="24"/>
        </w:rPr>
      </w:pPr>
      <w:r w:rsidRPr="00F4263C">
        <w:rPr>
          <w:sz w:val="24"/>
        </w:rPr>
        <w:t>CMS display</w:t>
      </w:r>
      <w:r>
        <w:rPr>
          <w:sz w:val="24"/>
        </w:rPr>
        <w:t>s</w:t>
      </w:r>
      <w:r w:rsidRPr="00F4263C">
        <w:rPr>
          <w:sz w:val="24"/>
        </w:rPr>
        <w:t xml:space="preserve"> the expiration date on the first page of the data collection instrument forms, i</w:t>
      </w:r>
      <w:r>
        <w:rPr>
          <w:sz w:val="24"/>
        </w:rPr>
        <w:t>n the upper right</w:t>
      </w:r>
      <w:r w:rsidR="0095380C">
        <w:rPr>
          <w:sz w:val="24"/>
        </w:rPr>
        <w:t>-</w:t>
      </w:r>
      <w:r>
        <w:rPr>
          <w:sz w:val="24"/>
        </w:rPr>
        <w:t>hand corner.</w:t>
      </w:r>
      <w:r w:rsidR="00DB5754">
        <w:rPr>
          <w:sz w:val="24"/>
        </w:rPr>
        <w:t xml:space="preserve"> </w:t>
      </w:r>
      <w:r>
        <w:rPr>
          <w:sz w:val="24"/>
        </w:rPr>
        <w:t xml:space="preserve"> The PRA disclosure statement with expiration date is included in the instructions on page 44-3.  </w:t>
      </w:r>
    </w:p>
    <w:p w:rsidR="00F5714A" w:rsidP="00B12785" w:rsidRDefault="00F5714A" w14:paraId="2E1880B6" w14:textId="77777777">
      <w:pPr>
        <w:spacing w:line="242" w:lineRule="auto"/>
        <w:rPr>
          <w:sz w:val="24"/>
        </w:rPr>
      </w:pPr>
    </w:p>
    <w:p w:rsidRPr="003C3A26" w:rsidR="00073198" w:rsidP="00C35FBB" w:rsidRDefault="00073198" w14:paraId="7D0E9E61" w14:textId="77777777">
      <w:pPr>
        <w:numPr>
          <w:ilvl w:val="0"/>
          <w:numId w:val="8"/>
        </w:numPr>
        <w:tabs>
          <w:tab w:val="left" w:pos="810"/>
        </w:tabs>
        <w:spacing w:line="242" w:lineRule="auto"/>
        <w:ind w:hanging="1080"/>
        <w:rPr>
          <w:sz w:val="24"/>
          <w:u w:val="single"/>
        </w:rPr>
      </w:pPr>
      <w:r>
        <w:rPr>
          <w:sz w:val="24"/>
          <w:u w:val="single"/>
        </w:rPr>
        <w:t>Certification Statement</w:t>
      </w:r>
    </w:p>
    <w:p w:rsidR="00073198" w:rsidP="00B12785" w:rsidRDefault="00073198" w14:paraId="34DEEE65" w14:textId="77777777">
      <w:pPr>
        <w:spacing w:line="242" w:lineRule="auto"/>
        <w:rPr>
          <w:sz w:val="24"/>
        </w:rPr>
      </w:pPr>
    </w:p>
    <w:p w:rsidR="00184B3F" w:rsidP="00B12785" w:rsidRDefault="00073198" w14:paraId="676C559B" w14:textId="77777777">
      <w:pPr>
        <w:spacing w:line="242" w:lineRule="auto"/>
        <w:ind w:left="810"/>
        <w:rPr>
          <w:sz w:val="24"/>
        </w:rPr>
      </w:pPr>
      <w:r w:rsidRPr="003C3A26">
        <w:rPr>
          <w:sz w:val="24"/>
        </w:rPr>
        <w:t>There are no exceptions to the certification statement</w:t>
      </w:r>
      <w:r w:rsidR="00184B3F">
        <w:rPr>
          <w:sz w:val="24"/>
        </w:rPr>
        <w:t>.</w:t>
      </w:r>
    </w:p>
    <w:p w:rsidR="00CC3764" w:rsidP="00184B3F" w:rsidRDefault="00CC3764" w14:paraId="421D0F00" w14:textId="77777777">
      <w:pPr>
        <w:spacing w:line="242" w:lineRule="auto"/>
        <w:rPr>
          <w:b/>
          <w:sz w:val="24"/>
        </w:rPr>
      </w:pPr>
    </w:p>
    <w:p w:rsidR="00184B3F" w:rsidP="00184B3F" w:rsidRDefault="00184B3F" w14:paraId="6FD537DB" w14:textId="77777777">
      <w:pPr>
        <w:spacing w:line="242" w:lineRule="auto"/>
        <w:rPr>
          <w:sz w:val="24"/>
          <w:u w:val="single"/>
        </w:rPr>
      </w:pPr>
      <w:r>
        <w:rPr>
          <w:b/>
          <w:sz w:val="24"/>
        </w:rPr>
        <w:t xml:space="preserve">C. </w:t>
      </w:r>
      <w:r>
        <w:rPr>
          <w:b/>
          <w:sz w:val="24"/>
        </w:rPr>
        <w:tab/>
      </w:r>
      <w:r w:rsidRPr="00CC3764">
        <w:rPr>
          <w:b/>
          <w:sz w:val="24"/>
          <w:u w:val="single"/>
        </w:rPr>
        <w:t>S</w:t>
      </w:r>
      <w:r w:rsidRPr="00CC3764" w:rsidR="00242613">
        <w:rPr>
          <w:b/>
          <w:sz w:val="24"/>
          <w:u w:val="single"/>
        </w:rPr>
        <w:t>TATISTICAL METHODS</w:t>
      </w:r>
    </w:p>
    <w:p w:rsidR="00242613" w:rsidP="00184B3F" w:rsidRDefault="00242613" w14:paraId="61CCC9FD" w14:textId="77777777">
      <w:pPr>
        <w:spacing w:line="242" w:lineRule="auto"/>
        <w:rPr>
          <w:sz w:val="24"/>
          <w:u w:val="single"/>
        </w:rPr>
      </w:pPr>
    </w:p>
    <w:p w:rsidR="00073198" w:rsidP="00FF53B4" w:rsidRDefault="00242613" w14:paraId="086DCB73" w14:textId="77777777">
      <w:pPr>
        <w:spacing w:line="242" w:lineRule="auto"/>
      </w:pPr>
      <w:r>
        <w:rPr>
          <w:sz w:val="24"/>
        </w:rPr>
        <w:t>There are no statistical methods employed in this collection.</w:t>
      </w:r>
    </w:p>
    <w:sectPr w:rsidR="00073198" w:rsidSect="00122CC1">
      <w:footnotePr>
        <w:numFmt w:val="chicago"/>
      </w:footnotePr>
      <w:endnotePr>
        <w:numFmt w:val="decimal"/>
      </w:endnotePr>
      <w:type w:val="continuous"/>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12BB" w14:textId="77777777" w:rsidR="006E09A8" w:rsidRDefault="006E09A8">
      <w:r>
        <w:separator/>
      </w:r>
    </w:p>
  </w:endnote>
  <w:endnote w:type="continuationSeparator" w:id="0">
    <w:p w14:paraId="67261DF2" w14:textId="77777777" w:rsidR="006E09A8" w:rsidRDefault="006E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EF8C2" w14:textId="77777777" w:rsidR="006E09A8" w:rsidRDefault="006E09A8">
      <w:r>
        <w:separator/>
      </w:r>
    </w:p>
  </w:footnote>
  <w:footnote w:type="continuationSeparator" w:id="0">
    <w:p w14:paraId="1CAE98CE" w14:textId="77777777" w:rsidR="006E09A8" w:rsidRDefault="006E0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22B5"/>
    <w:multiLevelType w:val="hybridMultilevel"/>
    <w:tmpl w:val="A9B290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C31EE7"/>
    <w:multiLevelType w:val="hybridMultilevel"/>
    <w:tmpl w:val="7E724A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272287E"/>
    <w:multiLevelType w:val="hybridMultilevel"/>
    <w:tmpl w:val="6DFA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75935"/>
    <w:multiLevelType w:val="multilevel"/>
    <w:tmpl w:val="62281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5E2594B"/>
    <w:multiLevelType w:val="multilevel"/>
    <w:tmpl w:val="0409001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0E2A88"/>
    <w:multiLevelType w:val="hybridMultilevel"/>
    <w:tmpl w:val="5950AD6E"/>
    <w:lvl w:ilvl="0" w:tplc="CA8E307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5A03FED"/>
    <w:multiLevelType w:val="hybridMultilevel"/>
    <w:tmpl w:val="349A558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CF4916"/>
    <w:multiLevelType w:val="multilevel"/>
    <w:tmpl w:val="62281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9474E7"/>
    <w:multiLevelType w:val="multilevel"/>
    <w:tmpl w:val="9250B350"/>
    <w:lvl w:ilvl="0">
      <w:start w:val="1"/>
      <w:numFmt w:val="lowerLetter"/>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lowerRoman"/>
      <w:lvlText w:val="%3."/>
      <w:lvlJc w:val="right"/>
      <w:pPr>
        <w:tabs>
          <w:tab w:val="num" w:pos="2970"/>
        </w:tabs>
        <w:ind w:left="2970" w:hanging="180"/>
      </w:pPr>
    </w:lvl>
    <w:lvl w:ilvl="3">
      <w:start w:val="1"/>
      <w:numFmt w:val="decimal"/>
      <w:lvlText w:val="%4."/>
      <w:lvlJc w:val="left"/>
      <w:pPr>
        <w:tabs>
          <w:tab w:val="num" w:pos="3690"/>
        </w:tabs>
        <w:ind w:left="3690" w:hanging="360"/>
      </w:pPr>
    </w:lvl>
    <w:lvl w:ilvl="4">
      <w:start w:val="1"/>
      <w:numFmt w:val="lowerLetter"/>
      <w:lvlText w:val="%5."/>
      <w:lvlJc w:val="left"/>
      <w:pPr>
        <w:tabs>
          <w:tab w:val="num" w:pos="4410"/>
        </w:tabs>
        <w:ind w:left="4410" w:hanging="360"/>
      </w:pPr>
    </w:lvl>
    <w:lvl w:ilvl="5">
      <w:start w:val="1"/>
      <w:numFmt w:val="lowerRoman"/>
      <w:lvlText w:val="%6."/>
      <w:lvlJc w:val="right"/>
      <w:pPr>
        <w:tabs>
          <w:tab w:val="num" w:pos="5130"/>
        </w:tabs>
        <w:ind w:left="5130" w:hanging="180"/>
      </w:pPr>
    </w:lvl>
    <w:lvl w:ilvl="6">
      <w:start w:val="1"/>
      <w:numFmt w:val="decimal"/>
      <w:lvlText w:val="%7."/>
      <w:lvlJc w:val="left"/>
      <w:pPr>
        <w:tabs>
          <w:tab w:val="num" w:pos="5850"/>
        </w:tabs>
        <w:ind w:left="5850" w:hanging="360"/>
      </w:pPr>
    </w:lvl>
    <w:lvl w:ilvl="7">
      <w:start w:val="1"/>
      <w:numFmt w:val="lowerLetter"/>
      <w:lvlText w:val="%8."/>
      <w:lvlJc w:val="left"/>
      <w:pPr>
        <w:tabs>
          <w:tab w:val="num" w:pos="6570"/>
        </w:tabs>
        <w:ind w:left="6570" w:hanging="360"/>
      </w:pPr>
    </w:lvl>
    <w:lvl w:ilvl="8">
      <w:start w:val="1"/>
      <w:numFmt w:val="lowerRoman"/>
      <w:lvlText w:val="%9."/>
      <w:lvlJc w:val="right"/>
      <w:pPr>
        <w:tabs>
          <w:tab w:val="num" w:pos="7290"/>
        </w:tabs>
        <w:ind w:left="7290" w:hanging="180"/>
      </w:pPr>
    </w:lvl>
  </w:abstractNum>
  <w:abstractNum w:abstractNumId="9" w15:restartNumberingAfterBreak="0">
    <w:nsid w:val="57BF7D91"/>
    <w:multiLevelType w:val="hybridMultilevel"/>
    <w:tmpl w:val="F04C16C4"/>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0" w15:restartNumberingAfterBreak="0">
    <w:nsid w:val="59556B28"/>
    <w:multiLevelType w:val="hybridMultilevel"/>
    <w:tmpl w:val="49D85412"/>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A664030"/>
    <w:multiLevelType w:val="hybridMultilevel"/>
    <w:tmpl w:val="865CFA9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05528"/>
    <w:multiLevelType w:val="hybridMultilevel"/>
    <w:tmpl w:val="0374D938"/>
    <w:lvl w:ilvl="0" w:tplc="41A6F8B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661325F1"/>
    <w:multiLevelType w:val="hybridMultilevel"/>
    <w:tmpl w:val="8C6EE2E0"/>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6E672987"/>
    <w:multiLevelType w:val="hybridMultilevel"/>
    <w:tmpl w:val="CEA04E1A"/>
    <w:lvl w:ilvl="0" w:tplc="964A1808">
      <w:start w:val="1"/>
      <w:numFmt w:val="upperLetter"/>
      <w:lvlText w:val="%1."/>
      <w:lvlJc w:val="left"/>
      <w:pPr>
        <w:ind w:left="820" w:hanging="720"/>
        <w:jc w:val="right"/>
      </w:pPr>
      <w:rPr>
        <w:rFonts w:ascii="Times New Roman" w:eastAsia="Times New Roman" w:hAnsi="Times New Roman" w:cs="Times New Roman" w:hint="default"/>
        <w:b/>
        <w:bCs/>
        <w:spacing w:val="-1"/>
        <w:w w:val="99"/>
        <w:sz w:val="24"/>
        <w:szCs w:val="24"/>
      </w:rPr>
    </w:lvl>
    <w:lvl w:ilvl="1" w:tplc="6F8846FE">
      <w:start w:val="1"/>
      <w:numFmt w:val="decimal"/>
      <w:lvlText w:val="%2."/>
      <w:lvlJc w:val="left"/>
      <w:pPr>
        <w:ind w:left="820" w:hanging="360"/>
        <w:jc w:val="right"/>
      </w:pPr>
      <w:rPr>
        <w:rFonts w:ascii="Times New Roman" w:eastAsia="Times New Roman" w:hAnsi="Times New Roman" w:cs="Times New Roman" w:hint="default"/>
        <w:spacing w:val="-3"/>
        <w:w w:val="99"/>
        <w:sz w:val="24"/>
        <w:szCs w:val="24"/>
      </w:rPr>
    </w:lvl>
    <w:lvl w:ilvl="2" w:tplc="F200A7CE">
      <w:start w:val="1"/>
      <w:numFmt w:val="decimal"/>
      <w:lvlText w:val="%3)"/>
      <w:lvlJc w:val="left"/>
      <w:pPr>
        <w:ind w:left="820" w:hanging="260"/>
      </w:pPr>
      <w:rPr>
        <w:rFonts w:ascii="Times New Roman" w:eastAsia="Times New Roman" w:hAnsi="Times New Roman" w:cs="Times New Roman" w:hint="default"/>
        <w:w w:val="100"/>
        <w:sz w:val="24"/>
        <w:szCs w:val="24"/>
      </w:rPr>
    </w:lvl>
    <w:lvl w:ilvl="3" w:tplc="05AE245A">
      <w:numFmt w:val="bullet"/>
      <w:lvlText w:val="•"/>
      <w:lvlJc w:val="left"/>
      <w:pPr>
        <w:ind w:left="3436" w:hanging="260"/>
      </w:pPr>
      <w:rPr>
        <w:rFonts w:hint="default"/>
      </w:rPr>
    </w:lvl>
    <w:lvl w:ilvl="4" w:tplc="0DE678A2">
      <w:numFmt w:val="bullet"/>
      <w:lvlText w:val="•"/>
      <w:lvlJc w:val="left"/>
      <w:pPr>
        <w:ind w:left="4308" w:hanging="260"/>
      </w:pPr>
      <w:rPr>
        <w:rFonts w:hint="default"/>
      </w:rPr>
    </w:lvl>
    <w:lvl w:ilvl="5" w:tplc="75FCE72E">
      <w:numFmt w:val="bullet"/>
      <w:lvlText w:val="•"/>
      <w:lvlJc w:val="left"/>
      <w:pPr>
        <w:ind w:left="5180" w:hanging="260"/>
      </w:pPr>
      <w:rPr>
        <w:rFonts w:hint="default"/>
      </w:rPr>
    </w:lvl>
    <w:lvl w:ilvl="6" w:tplc="73DC3706">
      <w:numFmt w:val="bullet"/>
      <w:lvlText w:val="•"/>
      <w:lvlJc w:val="left"/>
      <w:pPr>
        <w:ind w:left="6052" w:hanging="260"/>
      </w:pPr>
      <w:rPr>
        <w:rFonts w:hint="default"/>
      </w:rPr>
    </w:lvl>
    <w:lvl w:ilvl="7" w:tplc="47DAC436">
      <w:numFmt w:val="bullet"/>
      <w:lvlText w:val="•"/>
      <w:lvlJc w:val="left"/>
      <w:pPr>
        <w:ind w:left="6924" w:hanging="260"/>
      </w:pPr>
      <w:rPr>
        <w:rFonts w:hint="default"/>
      </w:rPr>
    </w:lvl>
    <w:lvl w:ilvl="8" w:tplc="DCC61E08">
      <w:numFmt w:val="bullet"/>
      <w:lvlText w:val="•"/>
      <w:lvlJc w:val="left"/>
      <w:pPr>
        <w:ind w:left="7796" w:hanging="260"/>
      </w:pPr>
      <w:rPr>
        <w:rFonts w:hint="default"/>
      </w:rPr>
    </w:lvl>
  </w:abstractNum>
  <w:abstractNum w:abstractNumId="15" w15:restartNumberingAfterBreak="0">
    <w:nsid w:val="760F7BF2"/>
    <w:multiLevelType w:val="hybridMultilevel"/>
    <w:tmpl w:val="16DE81A6"/>
    <w:lvl w:ilvl="0" w:tplc="DB106D32">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E2704C8"/>
    <w:multiLevelType w:val="hybridMultilevel"/>
    <w:tmpl w:val="DFE85576"/>
    <w:lvl w:ilvl="0" w:tplc="04090019">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num w:numId="1">
    <w:abstractNumId w:val="0"/>
  </w:num>
  <w:num w:numId="2">
    <w:abstractNumId w:val="3"/>
  </w:num>
  <w:num w:numId="3">
    <w:abstractNumId w:val="7"/>
  </w:num>
  <w:num w:numId="4">
    <w:abstractNumId w:val="4"/>
  </w:num>
  <w:num w:numId="5">
    <w:abstractNumId w:val="10"/>
  </w:num>
  <w:num w:numId="6">
    <w:abstractNumId w:val="6"/>
  </w:num>
  <w:num w:numId="7">
    <w:abstractNumId w:val="1"/>
  </w:num>
  <w:num w:numId="8">
    <w:abstractNumId w:val="5"/>
  </w:num>
  <w:num w:numId="9">
    <w:abstractNumId w:val="16"/>
  </w:num>
  <w:num w:numId="10">
    <w:abstractNumId w:val="13"/>
  </w:num>
  <w:num w:numId="11">
    <w:abstractNumId w:val="9"/>
  </w:num>
  <w:num w:numId="12">
    <w:abstractNumId w:val="15"/>
  </w:num>
  <w:num w:numId="13">
    <w:abstractNumId w:val="8"/>
  </w:num>
  <w:num w:numId="14">
    <w:abstractNumId w:val="11"/>
  </w:num>
  <w:num w:numId="15">
    <w:abstractNumId w:val="2"/>
  </w:num>
  <w:num w:numId="16">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D1"/>
    <w:rsid w:val="00007AB2"/>
    <w:rsid w:val="00011BD8"/>
    <w:rsid w:val="0002417C"/>
    <w:rsid w:val="00026416"/>
    <w:rsid w:val="00035833"/>
    <w:rsid w:val="00040299"/>
    <w:rsid w:val="00050767"/>
    <w:rsid w:val="00056B51"/>
    <w:rsid w:val="00065A58"/>
    <w:rsid w:val="00070054"/>
    <w:rsid w:val="000725C5"/>
    <w:rsid w:val="00073198"/>
    <w:rsid w:val="00080C54"/>
    <w:rsid w:val="00081ABD"/>
    <w:rsid w:val="00084116"/>
    <w:rsid w:val="00092C82"/>
    <w:rsid w:val="000A4441"/>
    <w:rsid w:val="000A6254"/>
    <w:rsid w:val="000B45A5"/>
    <w:rsid w:val="000C0EC9"/>
    <w:rsid w:val="000C171A"/>
    <w:rsid w:val="000C4F35"/>
    <w:rsid w:val="000C5D0A"/>
    <w:rsid w:val="000D2BE2"/>
    <w:rsid w:val="000E2830"/>
    <w:rsid w:val="000E3671"/>
    <w:rsid w:val="000E5016"/>
    <w:rsid w:val="00105D23"/>
    <w:rsid w:val="0011134C"/>
    <w:rsid w:val="00113CD8"/>
    <w:rsid w:val="001140AE"/>
    <w:rsid w:val="00115260"/>
    <w:rsid w:val="00117EFC"/>
    <w:rsid w:val="00122CC1"/>
    <w:rsid w:val="00135E30"/>
    <w:rsid w:val="001533C8"/>
    <w:rsid w:val="001569E1"/>
    <w:rsid w:val="00157035"/>
    <w:rsid w:val="001650BA"/>
    <w:rsid w:val="00166260"/>
    <w:rsid w:val="001666B5"/>
    <w:rsid w:val="00167448"/>
    <w:rsid w:val="001760B9"/>
    <w:rsid w:val="0017768A"/>
    <w:rsid w:val="0017779D"/>
    <w:rsid w:val="00181BF7"/>
    <w:rsid w:val="00181EE0"/>
    <w:rsid w:val="00184B3F"/>
    <w:rsid w:val="00185B8A"/>
    <w:rsid w:val="0018604E"/>
    <w:rsid w:val="001902A3"/>
    <w:rsid w:val="001948DD"/>
    <w:rsid w:val="00197312"/>
    <w:rsid w:val="001A131E"/>
    <w:rsid w:val="001A7BA9"/>
    <w:rsid w:val="001B6C77"/>
    <w:rsid w:val="001C0C64"/>
    <w:rsid w:val="001C7402"/>
    <w:rsid w:val="001D4192"/>
    <w:rsid w:val="001D47DB"/>
    <w:rsid w:val="001D523A"/>
    <w:rsid w:val="001E1097"/>
    <w:rsid w:val="001E1ADA"/>
    <w:rsid w:val="001E2F19"/>
    <w:rsid w:val="001E3874"/>
    <w:rsid w:val="001E5DDB"/>
    <w:rsid w:val="001E6FDA"/>
    <w:rsid w:val="001F5099"/>
    <w:rsid w:val="001F7582"/>
    <w:rsid w:val="00200B3F"/>
    <w:rsid w:val="00201336"/>
    <w:rsid w:val="00201929"/>
    <w:rsid w:val="00203942"/>
    <w:rsid w:val="00210186"/>
    <w:rsid w:val="0023329E"/>
    <w:rsid w:val="00237684"/>
    <w:rsid w:val="00241A7C"/>
    <w:rsid w:val="00242613"/>
    <w:rsid w:val="00253C8A"/>
    <w:rsid w:val="00260A01"/>
    <w:rsid w:val="00275224"/>
    <w:rsid w:val="002755DE"/>
    <w:rsid w:val="002775AB"/>
    <w:rsid w:val="002824E9"/>
    <w:rsid w:val="002920C2"/>
    <w:rsid w:val="002928DD"/>
    <w:rsid w:val="00295FC7"/>
    <w:rsid w:val="002A2B9E"/>
    <w:rsid w:val="002A6EF8"/>
    <w:rsid w:val="002B2D13"/>
    <w:rsid w:val="002B3208"/>
    <w:rsid w:val="002C3644"/>
    <w:rsid w:val="002D3C91"/>
    <w:rsid w:val="002E19E3"/>
    <w:rsid w:val="002E1C2C"/>
    <w:rsid w:val="002E509F"/>
    <w:rsid w:val="002E51DA"/>
    <w:rsid w:val="002E7F34"/>
    <w:rsid w:val="002F20AC"/>
    <w:rsid w:val="002F28D7"/>
    <w:rsid w:val="002F64E8"/>
    <w:rsid w:val="00304152"/>
    <w:rsid w:val="003050FB"/>
    <w:rsid w:val="0030757B"/>
    <w:rsid w:val="00320485"/>
    <w:rsid w:val="00334E43"/>
    <w:rsid w:val="0033597A"/>
    <w:rsid w:val="003442D0"/>
    <w:rsid w:val="003558CB"/>
    <w:rsid w:val="00364490"/>
    <w:rsid w:val="00377797"/>
    <w:rsid w:val="0037792E"/>
    <w:rsid w:val="00384026"/>
    <w:rsid w:val="00390164"/>
    <w:rsid w:val="00391044"/>
    <w:rsid w:val="00397896"/>
    <w:rsid w:val="003A6ED6"/>
    <w:rsid w:val="003B601A"/>
    <w:rsid w:val="003C3A26"/>
    <w:rsid w:val="003D3B18"/>
    <w:rsid w:val="003D4774"/>
    <w:rsid w:val="003D7F83"/>
    <w:rsid w:val="003E7C53"/>
    <w:rsid w:val="003E7FAD"/>
    <w:rsid w:val="003F2E38"/>
    <w:rsid w:val="003F6431"/>
    <w:rsid w:val="00401845"/>
    <w:rsid w:val="004041AB"/>
    <w:rsid w:val="00405D02"/>
    <w:rsid w:val="00407D68"/>
    <w:rsid w:val="004112C1"/>
    <w:rsid w:val="004148B9"/>
    <w:rsid w:val="00415682"/>
    <w:rsid w:val="004166B7"/>
    <w:rsid w:val="00437521"/>
    <w:rsid w:val="004419E8"/>
    <w:rsid w:val="00444E56"/>
    <w:rsid w:val="00447C65"/>
    <w:rsid w:val="00452168"/>
    <w:rsid w:val="00454F4F"/>
    <w:rsid w:val="00470B71"/>
    <w:rsid w:val="00471ED7"/>
    <w:rsid w:val="00475A7D"/>
    <w:rsid w:val="0048227C"/>
    <w:rsid w:val="004842C6"/>
    <w:rsid w:val="004876DA"/>
    <w:rsid w:val="00491BB7"/>
    <w:rsid w:val="00492407"/>
    <w:rsid w:val="0049622B"/>
    <w:rsid w:val="004968A6"/>
    <w:rsid w:val="00496F99"/>
    <w:rsid w:val="00497D98"/>
    <w:rsid w:val="004A189D"/>
    <w:rsid w:val="004A36E2"/>
    <w:rsid w:val="004A3A8A"/>
    <w:rsid w:val="004B132F"/>
    <w:rsid w:val="004B3654"/>
    <w:rsid w:val="004B5F57"/>
    <w:rsid w:val="004C0643"/>
    <w:rsid w:val="004C39FC"/>
    <w:rsid w:val="004E6C0F"/>
    <w:rsid w:val="004F1193"/>
    <w:rsid w:val="004F5BF0"/>
    <w:rsid w:val="005006B0"/>
    <w:rsid w:val="00503973"/>
    <w:rsid w:val="00504D50"/>
    <w:rsid w:val="00504F7C"/>
    <w:rsid w:val="005059A6"/>
    <w:rsid w:val="0051434A"/>
    <w:rsid w:val="00521D7C"/>
    <w:rsid w:val="00525BB5"/>
    <w:rsid w:val="0053007E"/>
    <w:rsid w:val="00531710"/>
    <w:rsid w:val="00534AD1"/>
    <w:rsid w:val="005351A7"/>
    <w:rsid w:val="00535A8D"/>
    <w:rsid w:val="00536DAA"/>
    <w:rsid w:val="00537088"/>
    <w:rsid w:val="00537DFB"/>
    <w:rsid w:val="00543D22"/>
    <w:rsid w:val="00557B4D"/>
    <w:rsid w:val="00570EDB"/>
    <w:rsid w:val="00576419"/>
    <w:rsid w:val="00580ADC"/>
    <w:rsid w:val="00582706"/>
    <w:rsid w:val="005956F2"/>
    <w:rsid w:val="00596BF7"/>
    <w:rsid w:val="005A64C3"/>
    <w:rsid w:val="005A7780"/>
    <w:rsid w:val="005B1851"/>
    <w:rsid w:val="005C3164"/>
    <w:rsid w:val="005C5A47"/>
    <w:rsid w:val="005D02AB"/>
    <w:rsid w:val="005D53C5"/>
    <w:rsid w:val="005E1119"/>
    <w:rsid w:val="005E257B"/>
    <w:rsid w:val="005E490D"/>
    <w:rsid w:val="005E6FD9"/>
    <w:rsid w:val="005F4B3A"/>
    <w:rsid w:val="005F548A"/>
    <w:rsid w:val="005F56D3"/>
    <w:rsid w:val="005F75F9"/>
    <w:rsid w:val="00600EC7"/>
    <w:rsid w:val="006040B6"/>
    <w:rsid w:val="00605268"/>
    <w:rsid w:val="00607D08"/>
    <w:rsid w:val="0061645F"/>
    <w:rsid w:val="00621FB8"/>
    <w:rsid w:val="00641372"/>
    <w:rsid w:val="00657F52"/>
    <w:rsid w:val="00661989"/>
    <w:rsid w:val="00666E25"/>
    <w:rsid w:val="00670D35"/>
    <w:rsid w:val="006726F0"/>
    <w:rsid w:val="00672A24"/>
    <w:rsid w:val="006833EC"/>
    <w:rsid w:val="00690ECA"/>
    <w:rsid w:val="006926F8"/>
    <w:rsid w:val="006A61B1"/>
    <w:rsid w:val="006B3562"/>
    <w:rsid w:val="006B4240"/>
    <w:rsid w:val="006B4244"/>
    <w:rsid w:val="006B4E40"/>
    <w:rsid w:val="006B5359"/>
    <w:rsid w:val="006B6F69"/>
    <w:rsid w:val="006B6FF4"/>
    <w:rsid w:val="006C14A3"/>
    <w:rsid w:val="006C2422"/>
    <w:rsid w:val="006C2C4A"/>
    <w:rsid w:val="006C3E60"/>
    <w:rsid w:val="006C7A08"/>
    <w:rsid w:val="006D1173"/>
    <w:rsid w:val="006D298B"/>
    <w:rsid w:val="006D3A96"/>
    <w:rsid w:val="006D6E8B"/>
    <w:rsid w:val="006E06DA"/>
    <w:rsid w:val="006E0844"/>
    <w:rsid w:val="006E09A8"/>
    <w:rsid w:val="006E61C2"/>
    <w:rsid w:val="006F39B7"/>
    <w:rsid w:val="006F4C76"/>
    <w:rsid w:val="007014A8"/>
    <w:rsid w:val="0070658D"/>
    <w:rsid w:val="007076A7"/>
    <w:rsid w:val="0071317A"/>
    <w:rsid w:val="007201B2"/>
    <w:rsid w:val="007206B4"/>
    <w:rsid w:val="00722628"/>
    <w:rsid w:val="0072289B"/>
    <w:rsid w:val="00726663"/>
    <w:rsid w:val="00733471"/>
    <w:rsid w:val="007378E0"/>
    <w:rsid w:val="00741E47"/>
    <w:rsid w:val="00743FD1"/>
    <w:rsid w:val="00744249"/>
    <w:rsid w:val="00747C10"/>
    <w:rsid w:val="007624E3"/>
    <w:rsid w:val="00762BFF"/>
    <w:rsid w:val="00776D50"/>
    <w:rsid w:val="0079118D"/>
    <w:rsid w:val="0079198A"/>
    <w:rsid w:val="007A2CA3"/>
    <w:rsid w:val="007B5D12"/>
    <w:rsid w:val="007C029D"/>
    <w:rsid w:val="007C3E45"/>
    <w:rsid w:val="007D2B82"/>
    <w:rsid w:val="007D2C22"/>
    <w:rsid w:val="007D443A"/>
    <w:rsid w:val="008142EA"/>
    <w:rsid w:val="00814ECE"/>
    <w:rsid w:val="0081510C"/>
    <w:rsid w:val="00817069"/>
    <w:rsid w:val="00824A0F"/>
    <w:rsid w:val="008251EE"/>
    <w:rsid w:val="0082700E"/>
    <w:rsid w:val="0083021E"/>
    <w:rsid w:val="00831D81"/>
    <w:rsid w:val="008325AE"/>
    <w:rsid w:val="00846339"/>
    <w:rsid w:val="008578E2"/>
    <w:rsid w:val="00862F6D"/>
    <w:rsid w:val="00873EB9"/>
    <w:rsid w:val="00876628"/>
    <w:rsid w:val="008771A3"/>
    <w:rsid w:val="0088352E"/>
    <w:rsid w:val="00892049"/>
    <w:rsid w:val="0089327D"/>
    <w:rsid w:val="008940D1"/>
    <w:rsid w:val="00896B27"/>
    <w:rsid w:val="008B0824"/>
    <w:rsid w:val="008B7E52"/>
    <w:rsid w:val="008D408C"/>
    <w:rsid w:val="008E3D06"/>
    <w:rsid w:val="008F0D5B"/>
    <w:rsid w:val="008F3784"/>
    <w:rsid w:val="008F4239"/>
    <w:rsid w:val="008F7E06"/>
    <w:rsid w:val="00901DF0"/>
    <w:rsid w:val="00904906"/>
    <w:rsid w:val="0090610F"/>
    <w:rsid w:val="009144B4"/>
    <w:rsid w:val="00916083"/>
    <w:rsid w:val="00916337"/>
    <w:rsid w:val="00920A82"/>
    <w:rsid w:val="00921C69"/>
    <w:rsid w:val="00923E32"/>
    <w:rsid w:val="00945CAB"/>
    <w:rsid w:val="00946449"/>
    <w:rsid w:val="00950A55"/>
    <w:rsid w:val="0095236B"/>
    <w:rsid w:val="0095380C"/>
    <w:rsid w:val="00955153"/>
    <w:rsid w:val="00956C59"/>
    <w:rsid w:val="009639BB"/>
    <w:rsid w:val="009662E1"/>
    <w:rsid w:val="00974015"/>
    <w:rsid w:val="0097585B"/>
    <w:rsid w:val="00977947"/>
    <w:rsid w:val="009853CA"/>
    <w:rsid w:val="00990271"/>
    <w:rsid w:val="0099049F"/>
    <w:rsid w:val="009C4933"/>
    <w:rsid w:val="009D62B4"/>
    <w:rsid w:val="009E2B14"/>
    <w:rsid w:val="009E4650"/>
    <w:rsid w:val="009E55C1"/>
    <w:rsid w:val="009F194D"/>
    <w:rsid w:val="00A00718"/>
    <w:rsid w:val="00A00CA9"/>
    <w:rsid w:val="00A13B03"/>
    <w:rsid w:val="00A21505"/>
    <w:rsid w:val="00A2289C"/>
    <w:rsid w:val="00A229A5"/>
    <w:rsid w:val="00A22E44"/>
    <w:rsid w:val="00A40B30"/>
    <w:rsid w:val="00A50517"/>
    <w:rsid w:val="00A5541D"/>
    <w:rsid w:val="00A678A9"/>
    <w:rsid w:val="00A70F7D"/>
    <w:rsid w:val="00A75FA0"/>
    <w:rsid w:val="00A8137B"/>
    <w:rsid w:val="00A856E8"/>
    <w:rsid w:val="00A95345"/>
    <w:rsid w:val="00A96703"/>
    <w:rsid w:val="00AC6271"/>
    <w:rsid w:val="00AE3758"/>
    <w:rsid w:val="00AF26AD"/>
    <w:rsid w:val="00AF4C6F"/>
    <w:rsid w:val="00AF7BED"/>
    <w:rsid w:val="00B12785"/>
    <w:rsid w:val="00B12899"/>
    <w:rsid w:val="00B13C31"/>
    <w:rsid w:val="00B15957"/>
    <w:rsid w:val="00B16C5A"/>
    <w:rsid w:val="00B16D07"/>
    <w:rsid w:val="00B20021"/>
    <w:rsid w:val="00B25CD2"/>
    <w:rsid w:val="00B269E9"/>
    <w:rsid w:val="00B30514"/>
    <w:rsid w:val="00B309D2"/>
    <w:rsid w:val="00B32DB5"/>
    <w:rsid w:val="00B36145"/>
    <w:rsid w:val="00B42D0E"/>
    <w:rsid w:val="00B44663"/>
    <w:rsid w:val="00B46909"/>
    <w:rsid w:val="00B47EE6"/>
    <w:rsid w:val="00B47F67"/>
    <w:rsid w:val="00B54EA1"/>
    <w:rsid w:val="00B61FD1"/>
    <w:rsid w:val="00B65F53"/>
    <w:rsid w:val="00B81403"/>
    <w:rsid w:val="00B820AE"/>
    <w:rsid w:val="00B8555F"/>
    <w:rsid w:val="00B90B49"/>
    <w:rsid w:val="00B94199"/>
    <w:rsid w:val="00B96275"/>
    <w:rsid w:val="00BA14A0"/>
    <w:rsid w:val="00BA2A55"/>
    <w:rsid w:val="00BC6E8A"/>
    <w:rsid w:val="00BD1272"/>
    <w:rsid w:val="00BD72CB"/>
    <w:rsid w:val="00BD78B4"/>
    <w:rsid w:val="00BE3FDB"/>
    <w:rsid w:val="00C0348C"/>
    <w:rsid w:val="00C05850"/>
    <w:rsid w:val="00C07456"/>
    <w:rsid w:val="00C1123B"/>
    <w:rsid w:val="00C16C1B"/>
    <w:rsid w:val="00C218CB"/>
    <w:rsid w:val="00C23699"/>
    <w:rsid w:val="00C23EFD"/>
    <w:rsid w:val="00C2767E"/>
    <w:rsid w:val="00C320FF"/>
    <w:rsid w:val="00C34C92"/>
    <w:rsid w:val="00C34EBF"/>
    <w:rsid w:val="00C35FBB"/>
    <w:rsid w:val="00C46C31"/>
    <w:rsid w:val="00C51073"/>
    <w:rsid w:val="00C51BB3"/>
    <w:rsid w:val="00C575FF"/>
    <w:rsid w:val="00C655A0"/>
    <w:rsid w:val="00C66C97"/>
    <w:rsid w:val="00C704EF"/>
    <w:rsid w:val="00C70986"/>
    <w:rsid w:val="00C721A4"/>
    <w:rsid w:val="00C729E8"/>
    <w:rsid w:val="00C76102"/>
    <w:rsid w:val="00C81330"/>
    <w:rsid w:val="00C82DE3"/>
    <w:rsid w:val="00C83BD5"/>
    <w:rsid w:val="00C83C84"/>
    <w:rsid w:val="00C91AEC"/>
    <w:rsid w:val="00C96049"/>
    <w:rsid w:val="00CA2EC4"/>
    <w:rsid w:val="00CA3E20"/>
    <w:rsid w:val="00CA5DF0"/>
    <w:rsid w:val="00CB1D83"/>
    <w:rsid w:val="00CC3764"/>
    <w:rsid w:val="00CC45AE"/>
    <w:rsid w:val="00CC610F"/>
    <w:rsid w:val="00CE1231"/>
    <w:rsid w:val="00CE537B"/>
    <w:rsid w:val="00CE53DF"/>
    <w:rsid w:val="00CF1585"/>
    <w:rsid w:val="00CF2384"/>
    <w:rsid w:val="00CF7FAC"/>
    <w:rsid w:val="00D06495"/>
    <w:rsid w:val="00D1484E"/>
    <w:rsid w:val="00D14C6D"/>
    <w:rsid w:val="00D302A0"/>
    <w:rsid w:val="00D414F2"/>
    <w:rsid w:val="00D42E7E"/>
    <w:rsid w:val="00D449CF"/>
    <w:rsid w:val="00D50D51"/>
    <w:rsid w:val="00D51D08"/>
    <w:rsid w:val="00D570F3"/>
    <w:rsid w:val="00D61B45"/>
    <w:rsid w:val="00D64763"/>
    <w:rsid w:val="00D64FD0"/>
    <w:rsid w:val="00D704E3"/>
    <w:rsid w:val="00D751DC"/>
    <w:rsid w:val="00D767E5"/>
    <w:rsid w:val="00D77F8F"/>
    <w:rsid w:val="00D90DBE"/>
    <w:rsid w:val="00D9368B"/>
    <w:rsid w:val="00D97E0A"/>
    <w:rsid w:val="00DA5D4B"/>
    <w:rsid w:val="00DA6BFB"/>
    <w:rsid w:val="00DB28F8"/>
    <w:rsid w:val="00DB5754"/>
    <w:rsid w:val="00DB7476"/>
    <w:rsid w:val="00DC1F28"/>
    <w:rsid w:val="00DC6E25"/>
    <w:rsid w:val="00DC77EF"/>
    <w:rsid w:val="00DD441A"/>
    <w:rsid w:val="00DD5193"/>
    <w:rsid w:val="00DD7326"/>
    <w:rsid w:val="00DE0521"/>
    <w:rsid w:val="00DE540F"/>
    <w:rsid w:val="00DE5A51"/>
    <w:rsid w:val="00DE5CA1"/>
    <w:rsid w:val="00DF554D"/>
    <w:rsid w:val="00DF72AB"/>
    <w:rsid w:val="00E00B23"/>
    <w:rsid w:val="00E22978"/>
    <w:rsid w:val="00E25EEB"/>
    <w:rsid w:val="00E30B21"/>
    <w:rsid w:val="00E331D1"/>
    <w:rsid w:val="00E341FE"/>
    <w:rsid w:val="00E43542"/>
    <w:rsid w:val="00E43FBC"/>
    <w:rsid w:val="00E520A8"/>
    <w:rsid w:val="00E62AF9"/>
    <w:rsid w:val="00E70B3E"/>
    <w:rsid w:val="00E7136F"/>
    <w:rsid w:val="00E73343"/>
    <w:rsid w:val="00E85EA0"/>
    <w:rsid w:val="00E870FD"/>
    <w:rsid w:val="00E91D62"/>
    <w:rsid w:val="00E92430"/>
    <w:rsid w:val="00E94B0C"/>
    <w:rsid w:val="00EA1E15"/>
    <w:rsid w:val="00EC28D8"/>
    <w:rsid w:val="00ED39CC"/>
    <w:rsid w:val="00EE3776"/>
    <w:rsid w:val="00EF70CB"/>
    <w:rsid w:val="00EF7E0D"/>
    <w:rsid w:val="00F02952"/>
    <w:rsid w:val="00F03F85"/>
    <w:rsid w:val="00F11BF2"/>
    <w:rsid w:val="00F164C6"/>
    <w:rsid w:val="00F20149"/>
    <w:rsid w:val="00F21697"/>
    <w:rsid w:val="00F261CE"/>
    <w:rsid w:val="00F26F31"/>
    <w:rsid w:val="00F27257"/>
    <w:rsid w:val="00F27D35"/>
    <w:rsid w:val="00F358B6"/>
    <w:rsid w:val="00F43258"/>
    <w:rsid w:val="00F4625C"/>
    <w:rsid w:val="00F5714A"/>
    <w:rsid w:val="00F70B2A"/>
    <w:rsid w:val="00F70C1E"/>
    <w:rsid w:val="00F72207"/>
    <w:rsid w:val="00F81680"/>
    <w:rsid w:val="00F8538B"/>
    <w:rsid w:val="00F86A68"/>
    <w:rsid w:val="00F92CD4"/>
    <w:rsid w:val="00FB7D5D"/>
    <w:rsid w:val="00FC0EE9"/>
    <w:rsid w:val="00FC4483"/>
    <w:rsid w:val="00FC7912"/>
    <w:rsid w:val="00FD186A"/>
    <w:rsid w:val="00FE1FDA"/>
    <w:rsid w:val="00FE6A47"/>
    <w:rsid w:val="00FF00AF"/>
    <w:rsid w:val="00FF1114"/>
    <w:rsid w:val="00FF3D31"/>
    <w:rsid w:val="00FF3DCA"/>
    <w:rsid w:val="00FF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8B1F1"/>
  <w15:docId w15:val="{90CD6C3C-1880-475D-87CE-A37FF9B7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spacing w:line="242" w:lineRule="auto"/>
      <w:ind w:firstLine="1440"/>
      <w:jc w:val="both"/>
    </w:pPr>
    <w:rPr>
      <w:sz w:val="24"/>
    </w:rPr>
  </w:style>
  <w:style w:type="paragraph" w:styleId="BodyTextIndent2">
    <w:name w:val="Body Text Indent 2"/>
    <w:basedOn w:val="Normal"/>
    <w:pPr>
      <w:spacing w:line="242" w:lineRule="auto"/>
      <w:ind w:firstLine="2160"/>
      <w:jc w:val="both"/>
    </w:pPr>
    <w:rPr>
      <w:sz w:val="24"/>
    </w:rPr>
  </w:style>
  <w:style w:type="paragraph" w:styleId="BodyTextIndent3">
    <w:name w:val="Body Text Indent 3"/>
    <w:basedOn w:val="Normal"/>
    <w:pPr>
      <w:tabs>
        <w:tab w:val="left" w:pos="-1440"/>
      </w:tabs>
      <w:spacing w:line="242" w:lineRule="auto"/>
      <w:ind w:left="1440"/>
      <w:jc w:val="both"/>
    </w:pPr>
    <w:rPr>
      <w:sz w:val="24"/>
    </w:rPr>
  </w:style>
  <w:style w:type="character" w:customStyle="1" w:styleId="CMS">
    <w:name w:val="CMS"/>
    <w:semiHidden/>
    <w:rsid w:val="002F64E8"/>
    <w:rPr>
      <w:rFonts w:ascii="Arial Narrow" w:hAnsi="Arial Narrow"/>
      <w:b w:val="0"/>
      <w:bCs w:val="0"/>
      <w:i w:val="0"/>
      <w:iCs w:val="0"/>
      <w:strike w:val="0"/>
      <w:color w:val="auto"/>
      <w:sz w:val="24"/>
      <w:szCs w:val="24"/>
      <w:u w:val="none"/>
    </w:rPr>
  </w:style>
  <w:style w:type="paragraph" w:styleId="Header">
    <w:name w:val="header"/>
    <w:basedOn w:val="Normal"/>
    <w:rsid w:val="00F164C6"/>
    <w:pPr>
      <w:tabs>
        <w:tab w:val="center" w:pos="4320"/>
        <w:tab w:val="right" w:pos="8640"/>
      </w:tabs>
    </w:pPr>
  </w:style>
  <w:style w:type="paragraph" w:styleId="Footer">
    <w:name w:val="footer"/>
    <w:basedOn w:val="Normal"/>
    <w:rsid w:val="00F164C6"/>
    <w:pPr>
      <w:tabs>
        <w:tab w:val="center" w:pos="4320"/>
        <w:tab w:val="right" w:pos="8640"/>
      </w:tabs>
    </w:pPr>
  </w:style>
  <w:style w:type="paragraph" w:styleId="FootnoteText">
    <w:name w:val="footnote text"/>
    <w:basedOn w:val="Normal"/>
    <w:semiHidden/>
    <w:rsid w:val="00F164C6"/>
    <w:rPr>
      <w:szCs w:val="20"/>
    </w:rPr>
  </w:style>
  <w:style w:type="character" w:styleId="CommentReference">
    <w:name w:val="annotation reference"/>
    <w:rsid w:val="00A856E8"/>
    <w:rPr>
      <w:sz w:val="16"/>
      <w:szCs w:val="16"/>
    </w:rPr>
  </w:style>
  <w:style w:type="paragraph" w:styleId="CommentText">
    <w:name w:val="annotation text"/>
    <w:basedOn w:val="Normal"/>
    <w:link w:val="CommentTextChar"/>
    <w:rsid w:val="00A856E8"/>
    <w:rPr>
      <w:szCs w:val="20"/>
    </w:rPr>
  </w:style>
  <w:style w:type="character" w:customStyle="1" w:styleId="CommentTextChar">
    <w:name w:val="Comment Text Char"/>
    <w:basedOn w:val="DefaultParagraphFont"/>
    <w:link w:val="CommentText"/>
    <w:rsid w:val="00A856E8"/>
  </w:style>
  <w:style w:type="paragraph" w:styleId="CommentSubject">
    <w:name w:val="annotation subject"/>
    <w:basedOn w:val="CommentText"/>
    <w:next w:val="CommentText"/>
    <w:link w:val="CommentSubjectChar"/>
    <w:rsid w:val="00A856E8"/>
    <w:rPr>
      <w:b/>
      <w:bCs/>
    </w:rPr>
  </w:style>
  <w:style w:type="character" w:customStyle="1" w:styleId="CommentSubjectChar">
    <w:name w:val="Comment Subject Char"/>
    <w:link w:val="CommentSubject"/>
    <w:rsid w:val="00A856E8"/>
    <w:rPr>
      <w:b/>
      <w:bCs/>
    </w:rPr>
  </w:style>
  <w:style w:type="paragraph" w:styleId="BalloonText">
    <w:name w:val="Balloon Text"/>
    <w:basedOn w:val="Normal"/>
    <w:link w:val="BalloonTextChar"/>
    <w:rsid w:val="00A856E8"/>
    <w:rPr>
      <w:rFonts w:ascii="Tahoma" w:hAnsi="Tahoma" w:cs="Tahoma"/>
      <w:sz w:val="16"/>
      <w:szCs w:val="16"/>
    </w:rPr>
  </w:style>
  <w:style w:type="character" w:customStyle="1" w:styleId="BalloonTextChar">
    <w:name w:val="Balloon Text Char"/>
    <w:link w:val="BalloonText"/>
    <w:rsid w:val="00A856E8"/>
    <w:rPr>
      <w:rFonts w:ascii="Tahoma" w:hAnsi="Tahoma" w:cs="Tahoma"/>
      <w:sz w:val="16"/>
      <w:szCs w:val="16"/>
    </w:rPr>
  </w:style>
  <w:style w:type="paragraph" w:styleId="ListParagraph">
    <w:name w:val="List Paragraph"/>
    <w:basedOn w:val="Normal"/>
    <w:uiPriority w:val="1"/>
    <w:qFormat/>
    <w:rsid w:val="00200B3F"/>
    <w:pPr>
      <w:ind w:left="720"/>
      <w:contextualSpacing/>
    </w:pPr>
  </w:style>
  <w:style w:type="character" w:customStyle="1" w:styleId="apple-converted-space">
    <w:name w:val="apple-converted-space"/>
    <w:basedOn w:val="DefaultParagraphFont"/>
    <w:rsid w:val="00C51073"/>
  </w:style>
  <w:style w:type="character" w:styleId="Hyperlink">
    <w:name w:val="Hyperlink"/>
    <w:basedOn w:val="DefaultParagraphFont"/>
    <w:uiPriority w:val="99"/>
    <w:unhideWhenUsed/>
    <w:rsid w:val="00B8555F"/>
    <w:rPr>
      <w:color w:val="0000FF" w:themeColor="hyperlink"/>
      <w:u w:val="single"/>
    </w:rPr>
  </w:style>
  <w:style w:type="paragraph" w:styleId="BodyText">
    <w:name w:val="Body Text"/>
    <w:basedOn w:val="Normal"/>
    <w:link w:val="BodyTextChar"/>
    <w:unhideWhenUsed/>
    <w:rsid w:val="007378E0"/>
    <w:pPr>
      <w:spacing w:after="120"/>
    </w:pPr>
  </w:style>
  <w:style w:type="character" w:customStyle="1" w:styleId="BodyTextChar">
    <w:name w:val="Body Text Char"/>
    <w:basedOn w:val="DefaultParagraphFont"/>
    <w:link w:val="BodyText"/>
    <w:rsid w:val="007378E0"/>
    <w:rPr>
      <w:szCs w:val="24"/>
    </w:rPr>
  </w:style>
  <w:style w:type="paragraph" w:styleId="Revision">
    <w:name w:val="Revision"/>
    <w:hidden/>
    <w:uiPriority w:val="99"/>
    <w:semiHidden/>
    <w:rsid w:val="002B2D1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4083">
      <w:bodyDiv w:val="1"/>
      <w:marLeft w:val="0"/>
      <w:marRight w:val="0"/>
      <w:marTop w:val="0"/>
      <w:marBottom w:val="0"/>
      <w:divBdr>
        <w:top w:val="none" w:sz="0" w:space="0" w:color="auto"/>
        <w:left w:val="none" w:sz="0" w:space="0" w:color="auto"/>
        <w:bottom w:val="none" w:sz="0" w:space="0" w:color="auto"/>
        <w:right w:val="none" w:sz="0" w:space="0" w:color="auto"/>
      </w:divBdr>
    </w:div>
    <w:div w:id="619341287">
      <w:bodyDiv w:val="1"/>
      <w:marLeft w:val="0"/>
      <w:marRight w:val="0"/>
      <w:marTop w:val="0"/>
      <w:marBottom w:val="0"/>
      <w:divBdr>
        <w:top w:val="none" w:sz="0" w:space="0" w:color="auto"/>
        <w:left w:val="none" w:sz="0" w:space="0" w:color="auto"/>
        <w:bottom w:val="none" w:sz="0" w:space="0" w:color="auto"/>
        <w:right w:val="none" w:sz="0" w:space="0" w:color="auto"/>
      </w:divBdr>
    </w:div>
    <w:div w:id="1216695957">
      <w:bodyDiv w:val="1"/>
      <w:marLeft w:val="0"/>
      <w:marRight w:val="0"/>
      <w:marTop w:val="0"/>
      <w:marBottom w:val="0"/>
      <w:divBdr>
        <w:top w:val="none" w:sz="0" w:space="0" w:color="auto"/>
        <w:left w:val="none" w:sz="0" w:space="0" w:color="auto"/>
        <w:bottom w:val="none" w:sz="0" w:space="0" w:color="auto"/>
        <w:right w:val="none" w:sz="0" w:space="0" w:color="auto"/>
      </w:divBdr>
    </w:div>
    <w:div w:id="14592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cref.cm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search-Statistics-Data-and-Systems/Downloadable-Public-Use-Files/Cost-Reports/" TargetMode="External"/><Relationship Id="rId5" Type="http://schemas.openxmlformats.org/officeDocument/2006/relationships/webSettings" Target="webSettings.xml"/><Relationship Id="rId10" Type="http://schemas.openxmlformats.org/officeDocument/2006/relationships/hyperlink" Target="http://www.bls.gov/oes/current/oes132011.htm" TargetMode="External"/><Relationship Id="rId4" Type="http://schemas.openxmlformats.org/officeDocument/2006/relationships/settings" Target="settings.xml"/><Relationship Id="rId9" Type="http://schemas.openxmlformats.org/officeDocument/2006/relationships/hyperlink" Target="http://www.bls.gov/oes/current/oes433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E872-7CF2-44D1-97DE-28942BA7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1925</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FORM CMS-222</vt:lpstr>
    </vt:vector>
  </TitlesOfParts>
  <Company>CMS</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CMS-222</dc:title>
  <dc:creator>CMS</dc:creator>
  <cp:lastModifiedBy>Stephan McKenzie</cp:lastModifiedBy>
  <cp:revision>5</cp:revision>
  <cp:lastPrinted>2018-05-08T14:59:00Z</cp:lastPrinted>
  <dcterms:created xsi:type="dcterms:W3CDTF">2022-03-23T14:42:00Z</dcterms:created>
  <dcterms:modified xsi:type="dcterms:W3CDTF">2022-06-24T13:50:00Z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