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DBD" w:rsidP="001A58E8" w:rsidRDefault="00145B94" w14:paraId="03649C28" w14:textId="33FD9A19">
      <w:pPr>
        <w:pStyle w:val="Header"/>
        <w:jc w:val="center"/>
        <w:rPr>
          <w:b/>
        </w:rPr>
      </w:pPr>
      <w:r>
        <w:rPr>
          <w:b/>
        </w:rPr>
        <w:t xml:space="preserve">Appendix 1 - </w:t>
      </w:r>
      <w:bookmarkStart w:name="_GoBack" w:id="0"/>
      <w:bookmarkEnd w:id="0"/>
      <w:r w:rsidR="008D0DBD">
        <w:rPr>
          <w:b/>
        </w:rPr>
        <w:t xml:space="preserve">Responses to Comments Received </w:t>
      </w:r>
      <w:r w:rsidR="00B6102F">
        <w:rPr>
          <w:b/>
        </w:rPr>
        <w:t xml:space="preserve">on </w:t>
      </w:r>
      <w:r w:rsidR="008D0DBD">
        <w:rPr>
          <w:b/>
        </w:rPr>
        <w:t xml:space="preserve">the </w:t>
      </w:r>
      <w:r w:rsidR="00B6102F">
        <w:rPr>
          <w:b/>
        </w:rPr>
        <w:t>Emergency</w:t>
      </w:r>
      <w:r w:rsidR="008D0DBD">
        <w:rPr>
          <w:b/>
        </w:rPr>
        <w:t xml:space="preserve"> </w:t>
      </w:r>
      <w:r w:rsidRPr="005E10E9" w:rsidR="00B6102F">
        <w:rPr>
          <w:b/>
          <w:bCs/>
          <w:szCs w:val="24"/>
        </w:rPr>
        <w:t>CMS-</w:t>
      </w:r>
      <w:r w:rsidR="00B6102F">
        <w:rPr>
          <w:b/>
          <w:bCs/>
          <w:szCs w:val="24"/>
        </w:rPr>
        <w:t>10788</w:t>
      </w:r>
    </w:p>
    <w:p w:rsidR="001A58E8" w:rsidP="001A58E8" w:rsidRDefault="008D0DBD" w14:paraId="45C754CA" w14:textId="1A040007">
      <w:pPr>
        <w:pStyle w:val="Header"/>
        <w:jc w:val="center"/>
        <w:rPr>
          <w:b/>
        </w:rPr>
      </w:pPr>
      <w:r>
        <w:rPr>
          <w:b/>
        </w:rPr>
        <w:t xml:space="preserve">Federal Register </w:t>
      </w:r>
      <w:r w:rsidR="00B6102F">
        <w:rPr>
          <w:b/>
        </w:rPr>
        <w:t>60</w:t>
      </w:r>
      <w:r>
        <w:rPr>
          <w:b/>
        </w:rPr>
        <w:t>-Day Notice (</w:t>
      </w:r>
      <w:r w:rsidR="00B6102F">
        <w:rPr>
          <w:b/>
        </w:rPr>
        <w:t>86</w:t>
      </w:r>
      <w:r w:rsidR="00454FF0">
        <w:rPr>
          <w:b/>
        </w:rPr>
        <w:t xml:space="preserve"> </w:t>
      </w:r>
      <w:r>
        <w:rPr>
          <w:b/>
        </w:rPr>
        <w:t xml:space="preserve">FR </w:t>
      </w:r>
      <w:r w:rsidR="00B6102F">
        <w:rPr>
          <w:b/>
        </w:rPr>
        <w:t>66662</w:t>
      </w:r>
      <w:r>
        <w:rPr>
          <w:b/>
        </w:rPr>
        <w:t>)</w:t>
      </w:r>
    </w:p>
    <w:p w:rsidR="00285676" w:rsidP="00285676" w:rsidRDefault="00285676" w14:paraId="2681CCD5" w14:textId="5C9BDB5F">
      <w:pPr>
        <w:pStyle w:val="Header"/>
        <w:rPr>
          <w:b/>
        </w:rPr>
      </w:pPr>
    </w:p>
    <w:sdt>
      <w:sdtPr>
        <w:rPr>
          <w:rFonts w:ascii="Times New Roman" w:hAnsi="Times New Roman" w:eastAsia="Times New Roman" w:cs="Times New Roman"/>
          <w:b w:val="0"/>
          <w:bCs w:val="0"/>
          <w:snapToGrid w:val="0"/>
          <w:color w:val="auto"/>
          <w:sz w:val="24"/>
          <w:szCs w:val="20"/>
        </w:rPr>
        <w:id w:val="15453213"/>
        <w:docPartObj>
          <w:docPartGallery w:val="Table of Contents"/>
          <w:docPartUnique/>
        </w:docPartObj>
      </w:sdtPr>
      <w:sdtEndPr/>
      <w:sdtContent>
        <w:p w:rsidRPr="00613DC3" w:rsidR="00285676" w:rsidP="00285676" w:rsidRDefault="00285676" w14:paraId="713316A2" w14:textId="77777777">
          <w:pPr>
            <w:pStyle w:val="TOCHeading"/>
            <w:rPr>
              <w:color w:val="auto"/>
            </w:rPr>
          </w:pPr>
          <w:r w:rsidRPr="00613DC3">
            <w:rPr>
              <w:color w:val="auto"/>
            </w:rPr>
            <w:t>Table of Contents</w:t>
          </w:r>
        </w:p>
        <w:p w:rsidRPr="00C662D6" w:rsidR="00285676" w:rsidP="00285676" w:rsidRDefault="00285676" w14:paraId="4FF83325" w14:textId="77777777"/>
        <w:p w:rsidR="00227D27" w:rsidRDefault="00285676" w14:paraId="181025DA" w14:textId="254C7632">
          <w:pPr>
            <w:pStyle w:val="TOC2"/>
            <w:rPr>
              <w:rFonts w:asciiTheme="minorHAnsi" w:hAnsiTheme="minorHAnsi" w:eastAsiaTheme="minorEastAsia" w:cstheme="minorBidi"/>
              <w:noProof/>
              <w:snapToGrid/>
              <w:sz w:val="22"/>
              <w:szCs w:val="22"/>
            </w:rPr>
          </w:pPr>
          <w:r>
            <w:fldChar w:fldCharType="begin"/>
          </w:r>
          <w:r>
            <w:instrText xml:space="preserve"> TOC \o "1-3" \h \z \u </w:instrText>
          </w:r>
          <w:r>
            <w:fldChar w:fldCharType="separate"/>
          </w:r>
          <w:hyperlink w:history="1" w:anchor="_Toc104115141">
            <w:r w:rsidRPr="00015980" w:rsidR="00227D27">
              <w:rPr>
                <w:rStyle w:val="Hyperlink"/>
                <w:noProof/>
              </w:rPr>
              <w:t>A.</w:t>
            </w:r>
            <w:r w:rsidR="00227D27">
              <w:rPr>
                <w:rFonts w:asciiTheme="minorHAnsi" w:hAnsiTheme="minorHAnsi" w:eastAsiaTheme="minorEastAsia" w:cstheme="minorBidi"/>
                <w:noProof/>
                <w:snapToGrid/>
                <w:sz w:val="22"/>
                <w:szCs w:val="22"/>
              </w:rPr>
              <w:tab/>
            </w:r>
            <w:r w:rsidRPr="00015980" w:rsidR="00227D27">
              <w:rPr>
                <w:rStyle w:val="Hyperlink"/>
                <w:noProof/>
              </w:rPr>
              <w:t>Introduction</w:t>
            </w:r>
            <w:r w:rsidR="00227D27">
              <w:rPr>
                <w:noProof/>
                <w:webHidden/>
              </w:rPr>
              <w:tab/>
            </w:r>
            <w:r w:rsidR="00227D27">
              <w:rPr>
                <w:noProof/>
                <w:webHidden/>
              </w:rPr>
              <w:fldChar w:fldCharType="begin"/>
            </w:r>
            <w:r w:rsidR="00227D27">
              <w:rPr>
                <w:noProof/>
                <w:webHidden/>
              </w:rPr>
              <w:instrText xml:space="preserve"> PAGEREF _Toc104115141 \h </w:instrText>
            </w:r>
            <w:r w:rsidR="00227D27">
              <w:rPr>
                <w:noProof/>
                <w:webHidden/>
              </w:rPr>
            </w:r>
            <w:r w:rsidR="00227D27">
              <w:rPr>
                <w:noProof/>
                <w:webHidden/>
              </w:rPr>
              <w:fldChar w:fldCharType="separate"/>
            </w:r>
            <w:r w:rsidR="00227D27">
              <w:rPr>
                <w:noProof/>
                <w:webHidden/>
              </w:rPr>
              <w:t>1</w:t>
            </w:r>
            <w:r w:rsidR="00227D27">
              <w:rPr>
                <w:noProof/>
                <w:webHidden/>
              </w:rPr>
              <w:fldChar w:fldCharType="end"/>
            </w:r>
          </w:hyperlink>
        </w:p>
        <w:p w:rsidR="00227D27" w:rsidRDefault="0035114E" w14:paraId="3E88E22E" w14:textId="2CC6DCCA">
          <w:pPr>
            <w:pStyle w:val="TOC2"/>
            <w:rPr>
              <w:rFonts w:asciiTheme="minorHAnsi" w:hAnsiTheme="minorHAnsi" w:eastAsiaTheme="minorEastAsia" w:cstheme="minorBidi"/>
              <w:noProof/>
              <w:snapToGrid/>
              <w:sz w:val="22"/>
              <w:szCs w:val="22"/>
            </w:rPr>
          </w:pPr>
          <w:hyperlink w:history="1" w:anchor="_Toc104115142">
            <w:r w:rsidRPr="00015980" w:rsidR="00227D27">
              <w:rPr>
                <w:rStyle w:val="Hyperlink"/>
                <w:noProof/>
              </w:rPr>
              <w:t>B.</w:t>
            </w:r>
            <w:r w:rsidR="00227D27">
              <w:rPr>
                <w:rFonts w:asciiTheme="minorHAnsi" w:hAnsiTheme="minorHAnsi" w:eastAsiaTheme="minorEastAsia" w:cstheme="minorBidi"/>
                <w:noProof/>
                <w:snapToGrid/>
                <w:sz w:val="22"/>
                <w:szCs w:val="22"/>
              </w:rPr>
              <w:tab/>
            </w:r>
            <w:r w:rsidRPr="00015980" w:rsidR="00227D27">
              <w:rPr>
                <w:rStyle w:val="Hyperlink"/>
                <w:noProof/>
              </w:rPr>
              <w:t>Comments on the 2020 Prescription Drug Data Collection (RxDC) Reporting Instructions and Templates: Prescription Drug and Health Care Spending</w:t>
            </w:r>
            <w:r w:rsidR="00227D27">
              <w:rPr>
                <w:noProof/>
                <w:webHidden/>
              </w:rPr>
              <w:tab/>
            </w:r>
            <w:r w:rsidR="00227D27">
              <w:rPr>
                <w:noProof/>
                <w:webHidden/>
              </w:rPr>
              <w:fldChar w:fldCharType="begin"/>
            </w:r>
            <w:r w:rsidR="00227D27">
              <w:rPr>
                <w:noProof/>
                <w:webHidden/>
              </w:rPr>
              <w:instrText xml:space="preserve"> PAGEREF _Toc104115142 \h </w:instrText>
            </w:r>
            <w:r w:rsidR="00227D27">
              <w:rPr>
                <w:noProof/>
                <w:webHidden/>
              </w:rPr>
            </w:r>
            <w:r w:rsidR="00227D27">
              <w:rPr>
                <w:noProof/>
                <w:webHidden/>
              </w:rPr>
              <w:fldChar w:fldCharType="separate"/>
            </w:r>
            <w:r w:rsidR="00227D27">
              <w:rPr>
                <w:noProof/>
                <w:webHidden/>
              </w:rPr>
              <w:t>2</w:t>
            </w:r>
            <w:r w:rsidR="00227D27">
              <w:rPr>
                <w:noProof/>
                <w:webHidden/>
              </w:rPr>
              <w:fldChar w:fldCharType="end"/>
            </w:r>
          </w:hyperlink>
        </w:p>
        <w:p w:rsidR="00227D27" w:rsidRDefault="0035114E" w14:paraId="2459CB37" w14:textId="11A55710">
          <w:pPr>
            <w:pStyle w:val="TOC2"/>
            <w:rPr>
              <w:rFonts w:asciiTheme="minorHAnsi" w:hAnsiTheme="minorHAnsi" w:eastAsiaTheme="minorEastAsia" w:cstheme="minorBidi"/>
              <w:noProof/>
              <w:snapToGrid/>
              <w:sz w:val="22"/>
              <w:szCs w:val="22"/>
            </w:rPr>
          </w:pPr>
          <w:hyperlink w:history="1" w:anchor="_Toc104115143">
            <w:r w:rsidRPr="00015980" w:rsidR="00227D27">
              <w:rPr>
                <w:rStyle w:val="Hyperlink"/>
                <w:noProof/>
              </w:rPr>
              <w:t>C.</w:t>
            </w:r>
            <w:r w:rsidR="00227D27">
              <w:rPr>
                <w:rFonts w:asciiTheme="minorHAnsi" w:hAnsiTheme="minorHAnsi" w:eastAsiaTheme="minorEastAsia" w:cstheme="minorBidi"/>
                <w:noProof/>
                <w:snapToGrid/>
                <w:sz w:val="22"/>
                <w:szCs w:val="22"/>
              </w:rPr>
              <w:tab/>
            </w:r>
            <w:r w:rsidRPr="00015980" w:rsidR="00227D27">
              <w:rPr>
                <w:rStyle w:val="Hyperlink"/>
                <w:noProof/>
              </w:rPr>
              <w:t>Comments on the Prescription Drug Data Collection (RxDC) Data System</w:t>
            </w:r>
            <w:r w:rsidR="00227D27">
              <w:rPr>
                <w:noProof/>
                <w:webHidden/>
              </w:rPr>
              <w:tab/>
            </w:r>
            <w:r w:rsidR="00227D27">
              <w:rPr>
                <w:noProof/>
                <w:webHidden/>
              </w:rPr>
              <w:fldChar w:fldCharType="begin"/>
            </w:r>
            <w:r w:rsidR="00227D27">
              <w:rPr>
                <w:noProof/>
                <w:webHidden/>
              </w:rPr>
              <w:instrText xml:space="preserve"> PAGEREF _Toc104115143 \h </w:instrText>
            </w:r>
            <w:r w:rsidR="00227D27">
              <w:rPr>
                <w:noProof/>
                <w:webHidden/>
              </w:rPr>
            </w:r>
            <w:r w:rsidR="00227D27">
              <w:rPr>
                <w:noProof/>
                <w:webHidden/>
              </w:rPr>
              <w:fldChar w:fldCharType="separate"/>
            </w:r>
            <w:r w:rsidR="00227D27">
              <w:rPr>
                <w:noProof/>
                <w:webHidden/>
              </w:rPr>
              <w:t>3</w:t>
            </w:r>
            <w:r w:rsidR="00227D27">
              <w:rPr>
                <w:noProof/>
                <w:webHidden/>
              </w:rPr>
              <w:fldChar w:fldCharType="end"/>
            </w:r>
          </w:hyperlink>
        </w:p>
        <w:p w:rsidR="00285676" w:rsidP="00285676" w:rsidRDefault="00285676" w14:paraId="1669FFAF" w14:textId="56DA843E">
          <w:pPr>
            <w:pStyle w:val="Header"/>
            <w:jc w:val="center"/>
          </w:pPr>
          <w:r>
            <w:fldChar w:fldCharType="end"/>
          </w:r>
        </w:p>
      </w:sdtContent>
    </w:sdt>
    <w:p w:rsidR="00232937" w:rsidP="00BB0309" w:rsidRDefault="00232937" w14:paraId="32211F31" w14:textId="77777777">
      <w:pPr>
        <w:pStyle w:val="Heading2"/>
      </w:pPr>
      <w:bookmarkStart w:name="_Toc104115141" w:id="1"/>
      <w:r w:rsidRPr="00232937">
        <w:t>Introduction</w:t>
      </w:r>
      <w:bookmarkEnd w:id="1"/>
    </w:p>
    <w:p w:rsidR="008D0DBD" w:rsidP="004B1EB2" w:rsidRDefault="00C57AC5" w14:paraId="3BB669C7" w14:textId="6503CD92">
      <w:pPr>
        <w:rPr>
          <w:szCs w:val="24"/>
        </w:rPr>
      </w:pPr>
      <w:r>
        <w:rPr>
          <w:szCs w:val="24"/>
        </w:rPr>
        <w:t>O</w:t>
      </w:r>
      <w:r w:rsidRPr="007969C0">
        <w:rPr>
          <w:szCs w:val="24"/>
        </w:rPr>
        <w:t xml:space="preserve">n </w:t>
      </w:r>
      <w:r>
        <w:rPr>
          <w:szCs w:val="24"/>
        </w:rPr>
        <w:t xml:space="preserve">November 23, 2021, the </w:t>
      </w:r>
      <w:r w:rsidRPr="005E10E9" w:rsidR="004738F0">
        <w:rPr>
          <w:szCs w:val="24"/>
        </w:rPr>
        <w:t>Department of Health and Human Services (HHS), the Department of Labor (DOL)</w:t>
      </w:r>
      <w:r w:rsidR="004738F0">
        <w:rPr>
          <w:szCs w:val="24"/>
        </w:rPr>
        <w:t>,</w:t>
      </w:r>
      <w:r w:rsidRPr="005E10E9" w:rsidR="004738F0">
        <w:rPr>
          <w:szCs w:val="24"/>
        </w:rPr>
        <w:t xml:space="preserve"> and the Department of the Treasury (Treasury)</w:t>
      </w:r>
      <w:r w:rsidR="004738F0">
        <w:rPr>
          <w:szCs w:val="24"/>
        </w:rPr>
        <w:t xml:space="preserve"> (collectively, the Departments)</w:t>
      </w:r>
      <w:r>
        <w:rPr>
          <w:szCs w:val="24"/>
        </w:rPr>
        <w:t xml:space="preserve"> published the Health </w:t>
      </w:r>
      <w:r w:rsidRPr="0034698A">
        <w:rPr>
          <w:szCs w:val="24"/>
        </w:rPr>
        <w:t>Prescription Drug and Health Care Spending</w:t>
      </w:r>
      <w:r>
        <w:rPr>
          <w:szCs w:val="24"/>
        </w:rPr>
        <w:t xml:space="preserve"> Interim Final Rule (IFR)</w:t>
      </w:r>
      <w:r w:rsidRPr="007969C0">
        <w:rPr>
          <w:szCs w:val="24"/>
        </w:rPr>
        <w:t xml:space="preserve"> (</w:t>
      </w:r>
      <w:hyperlink w:history="1" r:id="rId15">
        <w:r w:rsidRPr="0096465F">
          <w:rPr>
            <w:rStyle w:val="Hyperlink"/>
            <w:szCs w:val="24"/>
          </w:rPr>
          <w:t>86 FR 66662</w:t>
        </w:r>
      </w:hyperlink>
      <w:r>
        <w:rPr>
          <w:szCs w:val="24"/>
        </w:rPr>
        <w:t>). Concurrently, the Centers for Medicare &amp; Medicaid Services (CMS) posted the Paperwork Reduction Act (PRA) package in the Federal Register</w:t>
      </w:r>
      <w:r w:rsidR="004738F0">
        <w:rPr>
          <w:szCs w:val="24"/>
        </w:rPr>
        <w:t xml:space="preserve"> </w:t>
      </w:r>
      <w:r>
        <w:rPr>
          <w:szCs w:val="24"/>
        </w:rPr>
        <w:t>(</w:t>
      </w:r>
      <w:hyperlink w:history="1" r:id="rId16">
        <w:r w:rsidRPr="0096465F">
          <w:rPr>
            <w:rStyle w:val="Hyperlink"/>
            <w:szCs w:val="24"/>
          </w:rPr>
          <w:t>CMS-10788</w:t>
        </w:r>
      </w:hyperlink>
      <w:r>
        <w:rPr>
          <w:szCs w:val="24"/>
        </w:rPr>
        <w:t xml:space="preserve">). </w:t>
      </w:r>
      <w:r w:rsidR="00E17892">
        <w:rPr>
          <w:szCs w:val="24"/>
        </w:rPr>
        <w:t xml:space="preserve">Thirty-five unique comments were received. </w:t>
      </w:r>
      <w:r w:rsidR="00810940">
        <w:rPr>
          <w:szCs w:val="24"/>
        </w:rPr>
        <w:t>In addition, CMS received ten requests for clarification after the public comment period closed.</w:t>
      </w:r>
    </w:p>
    <w:p w:rsidR="008D0DBD" w:rsidP="004B1EB2" w:rsidRDefault="008D0DBD" w14:paraId="6004BC00" w14:textId="77777777">
      <w:pPr>
        <w:rPr>
          <w:szCs w:val="24"/>
        </w:rPr>
      </w:pPr>
    </w:p>
    <w:p w:rsidRPr="00784E98" w:rsidR="007B41FA" w:rsidP="00370CC9" w:rsidRDefault="007969C0" w14:paraId="0D746020" w14:textId="37C885C3">
      <w:pPr>
        <w:rPr>
          <w:szCs w:val="24"/>
        </w:rPr>
      </w:pPr>
      <w:r w:rsidRPr="00784E98">
        <w:rPr>
          <w:szCs w:val="24"/>
        </w:rPr>
        <w:t>The PRA package contains</w:t>
      </w:r>
      <w:r w:rsidRPr="00784E98" w:rsidR="00496805">
        <w:rPr>
          <w:szCs w:val="24"/>
        </w:rPr>
        <w:t xml:space="preserve"> </w:t>
      </w:r>
      <w:r w:rsidRPr="00784E98" w:rsidR="00BF37B7">
        <w:rPr>
          <w:szCs w:val="24"/>
        </w:rPr>
        <w:t xml:space="preserve">reporting </w:t>
      </w:r>
      <w:r w:rsidRPr="00784E98" w:rsidR="00496805">
        <w:rPr>
          <w:szCs w:val="24"/>
        </w:rPr>
        <w:t>instructions and</w:t>
      </w:r>
      <w:r w:rsidR="00496805">
        <w:t xml:space="preserve"> </w:t>
      </w:r>
      <w:r w:rsidR="007B41FA">
        <w:t>the file layout</w:t>
      </w:r>
      <w:r w:rsidR="00132999">
        <w:t>s</w:t>
      </w:r>
      <w:r w:rsidR="00BF37B7">
        <w:t xml:space="preserve"> for the required plan list</w:t>
      </w:r>
      <w:r w:rsidR="007B41FA">
        <w:t>s</w:t>
      </w:r>
      <w:r w:rsidR="00BF37B7">
        <w:t xml:space="preserve"> and data files</w:t>
      </w:r>
      <w:r w:rsidR="007B41FA">
        <w:t xml:space="preserve"> (the “RxDC report”)</w:t>
      </w:r>
      <w:r w:rsidR="00BF37B7">
        <w:t xml:space="preserve">. </w:t>
      </w:r>
      <w:r w:rsidR="007F4353">
        <w:t>The</w:t>
      </w:r>
      <w:r w:rsidR="00BF37B7">
        <w:t>re</w:t>
      </w:r>
      <w:r w:rsidR="007F4353">
        <w:t xml:space="preserve"> </w:t>
      </w:r>
      <w:r w:rsidR="00BF37B7">
        <w:t>are</w:t>
      </w:r>
      <w:r w:rsidR="007F4353">
        <w:t xml:space="preserve"> three </w:t>
      </w:r>
      <w:r w:rsidR="00784E98">
        <w:t>plan list files</w:t>
      </w:r>
      <w:r w:rsidR="00BF37B7">
        <w:t xml:space="preserve"> to</w:t>
      </w:r>
      <w:r w:rsidR="00784E98">
        <w:t xml:space="preserve"> </w:t>
      </w:r>
      <w:r w:rsidR="007B41FA">
        <w:t>identify</w:t>
      </w:r>
      <w:r w:rsidR="007F4353">
        <w:t xml:space="preserve"> plan</w:t>
      </w:r>
      <w:r w:rsidR="007B41FA">
        <w:t xml:space="preserve">s in the </w:t>
      </w:r>
      <w:r w:rsidR="00784E98">
        <w:t>submission</w:t>
      </w:r>
      <w:r w:rsidR="007F4353">
        <w:t xml:space="preserve">, separated by individual and student markets, group health plans, and FEHB carriers. </w:t>
      </w:r>
    </w:p>
    <w:p w:rsidRPr="007B41FA" w:rsidR="00496805" w:rsidP="007B41FA" w:rsidRDefault="007F4353" w14:paraId="3772D81D" w14:textId="5DF23826">
      <w:pPr>
        <w:rPr>
          <w:szCs w:val="24"/>
        </w:rPr>
      </w:pPr>
      <w:r>
        <w:t>The</w:t>
      </w:r>
      <w:r w:rsidR="00F87823">
        <w:t>re are</w:t>
      </w:r>
      <w:r>
        <w:t xml:space="preserve"> </w:t>
      </w:r>
      <w:r w:rsidR="007B41FA">
        <w:t xml:space="preserve">eight data files </w:t>
      </w:r>
      <w:r w:rsidR="00784E98">
        <w:t>to collect</w:t>
      </w:r>
      <w:r w:rsidR="00D46522">
        <w:t xml:space="preserve"> prescription drug and health care spending data</w:t>
      </w:r>
      <w:r w:rsidR="00BA4C9D">
        <w:t>, aggregated</w:t>
      </w:r>
      <w:r w:rsidR="005F197D">
        <w:t xml:space="preserve"> by</w:t>
      </w:r>
      <w:r w:rsidR="00BA4C9D">
        <w:t xml:space="preserve"> market segment</w:t>
      </w:r>
      <w:r w:rsidR="00E47011">
        <w:t xml:space="preserve"> and state</w:t>
      </w:r>
      <w:r w:rsidR="00D46522">
        <w:t>.</w:t>
      </w:r>
      <w:r>
        <w:t xml:space="preserve"> </w:t>
      </w:r>
      <w:r w:rsidR="00F45D67">
        <w:t xml:space="preserve">Group health plans, issuers, and FEHB carriers (or their contracted reporting entities) </w:t>
      </w:r>
      <w:r w:rsidRPr="0096558C" w:rsidR="007969C0">
        <w:t xml:space="preserve">must </w:t>
      </w:r>
      <w:r w:rsidR="00F45D67">
        <w:t>submit the annual RxDC report to</w:t>
      </w:r>
      <w:r w:rsidRPr="0096558C" w:rsidR="007969C0">
        <w:t xml:space="preserve"> CMS </w:t>
      </w:r>
      <w:r w:rsidRPr="00E2430E" w:rsidR="00E2430E">
        <w:t xml:space="preserve">no later than </w:t>
      </w:r>
      <w:r w:rsidR="0098043D">
        <w:t>one</w:t>
      </w:r>
      <w:r w:rsidRPr="00E2430E" w:rsidR="0098043D">
        <w:t xml:space="preserve"> </w:t>
      </w:r>
      <w:r w:rsidRPr="00E2430E" w:rsidR="00E2430E">
        <w:t xml:space="preserve">year after the date the CAA was enacted, and not later than June 1 of each year thereafter. </w:t>
      </w:r>
      <w:r w:rsidR="00BB337F">
        <w:t xml:space="preserve">Due to the significant </w:t>
      </w:r>
      <w:r w:rsidRPr="007B41FA" w:rsidR="00BB337F">
        <w:rPr>
          <w:szCs w:val="24"/>
        </w:rPr>
        <w:t>operational challenges that regulated entities may face in meeting the initial deadlines for the section 204 data submissions,</w:t>
      </w:r>
      <w:r w:rsidRPr="00E2430E" w:rsidR="00BB337F">
        <w:t xml:space="preserve"> </w:t>
      </w:r>
      <w:r w:rsidR="00BB337F">
        <w:t xml:space="preserve">no </w:t>
      </w:r>
      <w:r w:rsidRPr="007B41FA" w:rsidR="00BB337F">
        <w:rPr>
          <w:szCs w:val="24"/>
        </w:rPr>
        <w:t>enforcement action will be taken against a plan</w:t>
      </w:r>
      <w:r w:rsidR="00132999">
        <w:rPr>
          <w:szCs w:val="24"/>
        </w:rPr>
        <w:t>,</w:t>
      </w:r>
      <w:r w:rsidRPr="007B41FA" w:rsidR="00BB337F">
        <w:rPr>
          <w:szCs w:val="24"/>
        </w:rPr>
        <w:t xml:space="preserve"> issuer</w:t>
      </w:r>
      <w:r w:rsidR="00132999">
        <w:rPr>
          <w:szCs w:val="24"/>
        </w:rPr>
        <w:t>, or carrier</w:t>
      </w:r>
      <w:r w:rsidRPr="007B41FA" w:rsidR="00BB337F">
        <w:rPr>
          <w:szCs w:val="24"/>
        </w:rPr>
        <w:t xml:space="preserve"> that does not report the required information by the first statutory deadline for reporting on December 27, 2021 or the second statutory deadline for reporting on June 1, 2022, and that instead submits the section 204 data submissions for the 2020 and 2021 reference years by December 27, 2022.</w:t>
      </w:r>
      <w:r w:rsidR="00F45D67">
        <w:rPr>
          <w:rStyle w:val="FootnoteReference"/>
          <w:szCs w:val="24"/>
        </w:rPr>
        <w:footnoteReference w:id="2"/>
      </w:r>
    </w:p>
    <w:p w:rsidR="00496805" w:rsidP="004B1EB2" w:rsidRDefault="00496805" w14:paraId="7481A38D" w14:textId="77777777">
      <w:pPr>
        <w:rPr>
          <w:szCs w:val="24"/>
        </w:rPr>
      </w:pPr>
    </w:p>
    <w:p w:rsidR="007969C0" w:rsidP="004B1EB2" w:rsidRDefault="007969C0" w14:paraId="30AD3B7F" w14:textId="39F21ACB">
      <w:pPr>
        <w:rPr>
          <w:szCs w:val="24"/>
        </w:rPr>
      </w:pPr>
      <w:r>
        <w:rPr>
          <w:szCs w:val="24"/>
        </w:rPr>
        <w:t>The PRA package</w:t>
      </w:r>
      <w:r w:rsidRPr="007969C0">
        <w:rPr>
          <w:szCs w:val="24"/>
        </w:rPr>
        <w:t xml:space="preserve"> modifies the </w:t>
      </w:r>
      <w:r w:rsidR="00E74935">
        <w:rPr>
          <w:szCs w:val="24"/>
        </w:rPr>
        <w:t>reporting instructions (</w:t>
      </w:r>
      <w:r w:rsidR="00753E1C">
        <w:rPr>
          <w:szCs w:val="24"/>
        </w:rPr>
        <w:t xml:space="preserve">2020 </w:t>
      </w:r>
      <w:r w:rsidRPr="00E74935" w:rsidR="00E74935">
        <w:rPr>
          <w:szCs w:val="24"/>
        </w:rPr>
        <w:t xml:space="preserve">Prescription Drug Data Collection </w:t>
      </w:r>
      <w:r w:rsidR="00B21C14">
        <w:rPr>
          <w:szCs w:val="24"/>
        </w:rPr>
        <w:t>(</w:t>
      </w:r>
      <w:r w:rsidRPr="00E74935" w:rsidR="00E74935">
        <w:rPr>
          <w:szCs w:val="24"/>
        </w:rPr>
        <w:t>RxDC</w:t>
      </w:r>
      <w:r w:rsidR="00B21C14">
        <w:rPr>
          <w:szCs w:val="24"/>
        </w:rPr>
        <w:t>)</w:t>
      </w:r>
      <w:r w:rsidRPr="00E74935" w:rsidR="00B21C14">
        <w:rPr>
          <w:szCs w:val="24"/>
        </w:rPr>
        <w:t xml:space="preserve"> </w:t>
      </w:r>
      <w:r w:rsidRPr="00E74935" w:rsidR="00E74935">
        <w:rPr>
          <w:szCs w:val="24"/>
        </w:rPr>
        <w:t>Reporting Instructions</w:t>
      </w:r>
      <w:r w:rsidR="007A0D6D">
        <w:rPr>
          <w:szCs w:val="24"/>
        </w:rPr>
        <w:t xml:space="preserve">) </w:t>
      </w:r>
      <w:r w:rsidR="00E74935">
        <w:rPr>
          <w:szCs w:val="24"/>
        </w:rPr>
        <w:t xml:space="preserve">and </w:t>
      </w:r>
      <w:r w:rsidR="005E23F8">
        <w:rPr>
          <w:szCs w:val="24"/>
        </w:rPr>
        <w:t>file layout</w:t>
      </w:r>
      <w:r w:rsidR="007A0D6D">
        <w:rPr>
          <w:szCs w:val="24"/>
        </w:rPr>
        <w:t xml:space="preserve"> previously approved under OMB control number 0938-1407.</w:t>
      </w:r>
    </w:p>
    <w:p w:rsidR="008D0DBD" w:rsidP="004B1EB2" w:rsidRDefault="008D0DBD" w14:paraId="00D03568" w14:textId="77777777">
      <w:pPr>
        <w:rPr>
          <w:szCs w:val="24"/>
        </w:rPr>
      </w:pPr>
    </w:p>
    <w:p w:rsidR="008D0DBD" w:rsidP="004B1EB2" w:rsidRDefault="00E769F9" w14:paraId="4E9D8815" w14:textId="534959A5">
      <w:pPr>
        <w:rPr>
          <w:szCs w:val="24"/>
        </w:rPr>
      </w:pPr>
      <w:r w:rsidRPr="00100C68">
        <w:t>Most comments addressed clarif</w:t>
      </w:r>
      <w:r w:rsidR="007B2FE7">
        <w:t>ication of</w:t>
      </w:r>
      <w:r w:rsidRPr="00100C68">
        <w:t xml:space="preserve"> the instructions</w:t>
      </w:r>
      <w:r w:rsidR="007B2FE7">
        <w:t xml:space="preserve">, </w:t>
      </w:r>
      <w:r w:rsidRPr="00100C68">
        <w:t xml:space="preserve">treatment of </w:t>
      </w:r>
      <w:r w:rsidR="0019063B">
        <w:t xml:space="preserve">aggregation, </w:t>
      </w:r>
      <w:r>
        <w:t xml:space="preserve">cost-sharing </w:t>
      </w:r>
      <w:r w:rsidR="007B2FE7">
        <w:lastRenderedPageBreak/>
        <w:t>payments</w:t>
      </w:r>
      <w:r w:rsidRPr="00100C68">
        <w:t xml:space="preserve">, </w:t>
      </w:r>
      <w:r w:rsidR="00240F2C">
        <w:t xml:space="preserve">and the </w:t>
      </w:r>
      <w:r w:rsidR="00F45D67">
        <w:t>definition of a prescription</w:t>
      </w:r>
      <w:r w:rsidR="0019063B">
        <w:t xml:space="preserve"> drug</w:t>
      </w:r>
      <w:r w:rsidR="00F6492E">
        <w:t>.</w:t>
      </w:r>
      <w:r>
        <w:t xml:space="preserve"> </w:t>
      </w:r>
      <w:r w:rsidRPr="003936A4" w:rsidR="008D0DBD">
        <w:rPr>
          <w:szCs w:val="24"/>
        </w:rPr>
        <w:t xml:space="preserve">The summary below sets forth each </w:t>
      </w:r>
      <w:r w:rsidR="007D7106">
        <w:rPr>
          <w:szCs w:val="24"/>
        </w:rPr>
        <w:t xml:space="preserve">category of comments </w:t>
      </w:r>
      <w:r w:rsidRPr="003936A4" w:rsidR="008D0DBD">
        <w:rPr>
          <w:szCs w:val="24"/>
        </w:rPr>
        <w:t>and our response.</w:t>
      </w:r>
    </w:p>
    <w:p w:rsidR="00503E7C" w:rsidP="004B1EB2" w:rsidRDefault="00503E7C" w14:paraId="0C7A7B67" w14:textId="77777777">
      <w:pPr>
        <w:rPr>
          <w:szCs w:val="24"/>
        </w:rPr>
      </w:pPr>
    </w:p>
    <w:p w:rsidRPr="000F4237" w:rsidR="00B36747" w:rsidP="00A46260" w:rsidRDefault="00B36747" w14:paraId="51DCE154" w14:textId="750FAEC8">
      <w:pPr>
        <w:pStyle w:val="Heading2"/>
        <w:spacing w:line="240" w:lineRule="auto"/>
        <w:ind w:right="130"/>
      </w:pPr>
      <w:bookmarkStart w:name="_Toc104115142" w:id="2"/>
      <w:r w:rsidRPr="000F4237">
        <w:t>C</w:t>
      </w:r>
      <w:r w:rsidR="00E769F9">
        <w:t>omment</w:t>
      </w:r>
      <w:r w:rsidRPr="000F4237">
        <w:t xml:space="preserve">s </w:t>
      </w:r>
      <w:r w:rsidR="00E769F9">
        <w:t xml:space="preserve">on the </w:t>
      </w:r>
      <w:r w:rsidR="00B6102F">
        <w:t>2020</w:t>
      </w:r>
      <w:r w:rsidRPr="000F4237" w:rsidR="00454FF0">
        <w:t xml:space="preserve"> </w:t>
      </w:r>
      <w:r w:rsidR="00B6102F">
        <w:t>Prescription Drug Data Collection (RxDC) Reporting Instructions</w:t>
      </w:r>
      <w:r w:rsidR="00C10E94">
        <w:t>: Prescription Drug and Health Care Spending</w:t>
      </w:r>
      <w:bookmarkEnd w:id="2"/>
    </w:p>
    <w:p w:rsidR="009E51FB" w:rsidP="00F6492E" w:rsidRDefault="00132999" w14:paraId="73E9C328" w14:textId="4E6EB086">
      <w:pPr>
        <w:pStyle w:val="ListParagraph"/>
        <w:widowControl/>
        <w:numPr>
          <w:ilvl w:val="0"/>
          <w:numId w:val="9"/>
        </w:numPr>
        <w:rPr>
          <w:szCs w:val="24"/>
        </w:rPr>
      </w:pPr>
      <w:r>
        <w:rPr>
          <w:szCs w:val="24"/>
        </w:rPr>
        <w:t>We</w:t>
      </w:r>
      <w:r w:rsidR="009E51FB">
        <w:rPr>
          <w:szCs w:val="24"/>
        </w:rPr>
        <w:t xml:space="preserve"> received a request to explain the difference between the plan lists and data files.</w:t>
      </w:r>
    </w:p>
    <w:p w:rsidR="009E51FB" w:rsidP="009E51FB" w:rsidRDefault="009E51FB" w14:paraId="5D5DF8C7" w14:textId="791DDC2E">
      <w:pPr>
        <w:pStyle w:val="ListParagraph"/>
        <w:widowControl/>
        <w:ind w:left="450"/>
        <w:rPr>
          <w:szCs w:val="24"/>
        </w:rPr>
      </w:pPr>
    </w:p>
    <w:p w:rsidR="009E51FB" w:rsidP="009E51FB" w:rsidRDefault="00132999" w14:paraId="0994D483" w14:textId="02AEE2E0">
      <w:pPr>
        <w:pStyle w:val="ListParagraph"/>
        <w:widowControl/>
        <w:ind w:left="450"/>
        <w:rPr>
          <w:szCs w:val="24"/>
        </w:rPr>
      </w:pPr>
      <w:r>
        <w:rPr>
          <w:szCs w:val="24"/>
          <w:u w:val="single"/>
        </w:rPr>
        <w:t>Response</w:t>
      </w:r>
    </w:p>
    <w:p w:rsidRPr="00206712" w:rsidR="009E51FB" w:rsidP="00206712" w:rsidRDefault="00132999" w14:paraId="6D2E881A" w14:textId="16CFD781">
      <w:pPr>
        <w:pStyle w:val="ListParagraph"/>
        <w:widowControl/>
        <w:ind w:left="450"/>
        <w:rPr>
          <w:szCs w:val="24"/>
        </w:rPr>
      </w:pPr>
      <w:r>
        <w:rPr>
          <w:szCs w:val="24"/>
        </w:rPr>
        <w:t xml:space="preserve">We provided additional details in the instructions to describe the difference between the plan list and data files. </w:t>
      </w:r>
    </w:p>
    <w:p w:rsidRPr="00206712" w:rsidR="00DE24AF" w:rsidP="00206712" w:rsidRDefault="00DE24AF" w14:paraId="6AB59A75" w14:textId="77777777">
      <w:pPr>
        <w:widowControl/>
        <w:rPr>
          <w:szCs w:val="24"/>
        </w:rPr>
      </w:pPr>
    </w:p>
    <w:p w:rsidRPr="00206712" w:rsidR="005F2BC9" w:rsidP="005F2BC9" w:rsidRDefault="00132999" w14:paraId="4E7B4B90" w14:textId="4E7C241D">
      <w:pPr>
        <w:pStyle w:val="ListParagraph"/>
        <w:widowControl/>
        <w:numPr>
          <w:ilvl w:val="0"/>
          <w:numId w:val="9"/>
        </w:numPr>
        <w:rPr>
          <w:szCs w:val="24"/>
        </w:rPr>
      </w:pPr>
      <w:r>
        <w:rPr>
          <w:szCs w:val="24"/>
        </w:rPr>
        <w:t xml:space="preserve">We </w:t>
      </w:r>
      <w:r w:rsidR="005F2BC9">
        <w:rPr>
          <w:szCs w:val="24"/>
        </w:rPr>
        <w:t xml:space="preserve">received </w:t>
      </w:r>
      <w:r w:rsidR="005320C6">
        <w:rPr>
          <w:szCs w:val="24"/>
        </w:rPr>
        <w:t>three</w:t>
      </w:r>
      <w:r w:rsidR="005F2BC9">
        <w:rPr>
          <w:szCs w:val="24"/>
        </w:rPr>
        <w:t xml:space="preserve"> inquiries</w:t>
      </w:r>
      <w:r>
        <w:rPr>
          <w:szCs w:val="24"/>
        </w:rPr>
        <w:t xml:space="preserve"> about</w:t>
      </w:r>
      <w:r w:rsidR="005F2BC9">
        <w:rPr>
          <w:szCs w:val="24"/>
        </w:rPr>
        <w:t xml:space="preserve"> </w:t>
      </w:r>
      <w:r w:rsidRPr="005F2BC9" w:rsidR="005F2BC9">
        <w:rPr>
          <w:szCs w:val="24"/>
        </w:rPr>
        <w:t>RxDC drug and therapeutic class</w:t>
      </w:r>
      <w:r>
        <w:rPr>
          <w:szCs w:val="24"/>
        </w:rPr>
        <w:t>es</w:t>
      </w:r>
      <w:r w:rsidRPr="005F2BC9" w:rsidR="005F2BC9">
        <w:rPr>
          <w:szCs w:val="24"/>
        </w:rPr>
        <w:t xml:space="preserve"> </w:t>
      </w:r>
      <w:r w:rsidR="005F2BC9">
        <w:rPr>
          <w:szCs w:val="24"/>
        </w:rPr>
        <w:t xml:space="preserve">and </w:t>
      </w:r>
      <w:r w:rsidR="005F2BC9">
        <w:t>the relationship between an NDC and a RxDC drug name.</w:t>
      </w:r>
    </w:p>
    <w:p w:rsidR="005F2BC9" w:rsidP="005F2BC9" w:rsidRDefault="005F2BC9" w14:paraId="4C1A7EBF" w14:textId="77777777">
      <w:pPr>
        <w:widowControl/>
        <w:rPr>
          <w:szCs w:val="24"/>
        </w:rPr>
      </w:pPr>
    </w:p>
    <w:p w:rsidR="005F2BC9" w:rsidP="005F2BC9" w:rsidRDefault="00132999" w14:paraId="077D848D" w14:textId="0A42563D">
      <w:pPr>
        <w:widowControl/>
        <w:ind w:left="450"/>
        <w:rPr>
          <w:szCs w:val="24"/>
        </w:rPr>
      </w:pPr>
      <w:r>
        <w:rPr>
          <w:szCs w:val="24"/>
          <w:u w:val="single"/>
        </w:rPr>
        <w:t>Response</w:t>
      </w:r>
    </w:p>
    <w:p w:rsidRPr="00206712" w:rsidR="005F2BC9" w:rsidP="00206712" w:rsidRDefault="00132999" w14:paraId="00C82A71" w14:textId="05EC437E">
      <w:pPr>
        <w:widowControl/>
        <w:ind w:left="450"/>
        <w:rPr>
          <w:szCs w:val="24"/>
        </w:rPr>
      </w:pPr>
      <w:r>
        <w:rPr>
          <w:szCs w:val="24"/>
        </w:rPr>
        <w:t>We</w:t>
      </w:r>
      <w:r w:rsidR="00E61577">
        <w:rPr>
          <w:szCs w:val="24"/>
        </w:rPr>
        <w:t xml:space="preserve"> updated the instructions to provide</w:t>
      </w:r>
      <w:r w:rsidR="00F926B3">
        <w:rPr>
          <w:szCs w:val="24"/>
        </w:rPr>
        <w:t xml:space="preserve"> additional detail about RxDC drugs and therapeutic classes. We updated the example to clarify the relationship between an NDC and an RxDC drug code. We clarified</w:t>
      </w:r>
      <w:r w:rsidR="0028268F">
        <w:t xml:space="preserve"> how to sort prescription drug data to determine the top 50 most frequently dispensed brand name drugs, the top 50 most costly drugs, the top 50 drugs with the greatest increase in spending, and the top 25 drugs with the </w:t>
      </w:r>
      <w:r w:rsidR="0004031D">
        <w:t xml:space="preserve">highest </w:t>
      </w:r>
      <w:proofErr w:type="gramStart"/>
      <w:r w:rsidR="0028268F">
        <w:t>amount</w:t>
      </w:r>
      <w:proofErr w:type="gramEnd"/>
      <w:r w:rsidR="0028268F">
        <w:t xml:space="preserve"> of rebates.</w:t>
      </w:r>
      <w:r w:rsidR="00E61577">
        <w:rPr>
          <w:szCs w:val="24"/>
        </w:rPr>
        <w:t xml:space="preserve"> </w:t>
      </w:r>
      <w:r w:rsidRPr="00206712" w:rsidR="005F2BC9">
        <w:rPr>
          <w:szCs w:val="24"/>
        </w:rPr>
        <w:t xml:space="preserve"> </w:t>
      </w:r>
    </w:p>
    <w:p w:rsidRPr="00206712" w:rsidR="005F2BC9" w:rsidP="00206712" w:rsidRDefault="005F2BC9" w14:paraId="15D0F892" w14:textId="77777777">
      <w:pPr>
        <w:widowControl/>
        <w:rPr>
          <w:szCs w:val="24"/>
        </w:rPr>
      </w:pPr>
    </w:p>
    <w:p w:rsidR="002125F0" w:rsidP="00F6492E" w:rsidRDefault="002125F0" w14:paraId="1C4EADDD" w14:textId="6A292C77">
      <w:pPr>
        <w:pStyle w:val="ListParagraph"/>
        <w:widowControl/>
        <w:numPr>
          <w:ilvl w:val="0"/>
          <w:numId w:val="9"/>
        </w:numPr>
        <w:rPr>
          <w:szCs w:val="24"/>
        </w:rPr>
      </w:pPr>
      <w:r>
        <w:rPr>
          <w:szCs w:val="24"/>
        </w:rPr>
        <w:t xml:space="preserve">Two commenters </w:t>
      </w:r>
      <w:r w:rsidR="0030252E">
        <w:rPr>
          <w:szCs w:val="24"/>
        </w:rPr>
        <w:t>raised concerns over the collection of beginning and ending plan dates being out of sync with the calendar year aggregation for spending data</w:t>
      </w:r>
      <w:r w:rsidR="00320234">
        <w:rPr>
          <w:szCs w:val="24"/>
        </w:rPr>
        <w:t xml:space="preserve">. </w:t>
      </w:r>
    </w:p>
    <w:p w:rsidR="0030252E" w:rsidP="0030252E" w:rsidRDefault="0030252E" w14:paraId="1886D03B" w14:textId="06EF1525">
      <w:pPr>
        <w:pStyle w:val="ListParagraph"/>
        <w:widowControl/>
        <w:ind w:left="450"/>
        <w:rPr>
          <w:szCs w:val="24"/>
        </w:rPr>
      </w:pPr>
    </w:p>
    <w:p w:rsidR="0030252E" w:rsidP="0030252E" w:rsidRDefault="00132999" w14:paraId="1D0AD847" w14:textId="2DF311BE">
      <w:pPr>
        <w:pStyle w:val="ListParagraph"/>
        <w:widowControl/>
        <w:ind w:left="450"/>
        <w:rPr>
          <w:szCs w:val="24"/>
          <w:u w:val="single"/>
        </w:rPr>
      </w:pPr>
      <w:r>
        <w:rPr>
          <w:szCs w:val="24"/>
          <w:u w:val="single"/>
        </w:rPr>
        <w:t>Response</w:t>
      </w:r>
    </w:p>
    <w:p w:rsidRPr="0030252E" w:rsidR="0030252E" w:rsidP="0030252E" w:rsidRDefault="00132999" w14:paraId="26E4B790" w14:textId="4A7C9D3F">
      <w:pPr>
        <w:pStyle w:val="ListParagraph"/>
        <w:widowControl/>
        <w:ind w:left="450"/>
        <w:rPr>
          <w:szCs w:val="24"/>
        </w:rPr>
      </w:pPr>
      <w:r>
        <w:rPr>
          <w:szCs w:val="24"/>
        </w:rPr>
        <w:t>We</w:t>
      </w:r>
      <w:r w:rsidR="00784E98">
        <w:rPr>
          <w:szCs w:val="24"/>
        </w:rPr>
        <w:t xml:space="preserve"> updated the </w:t>
      </w:r>
      <w:r w:rsidR="00F926B3">
        <w:rPr>
          <w:szCs w:val="24"/>
        </w:rPr>
        <w:t>instructions</w:t>
      </w:r>
      <w:r w:rsidR="00784E98">
        <w:rPr>
          <w:szCs w:val="24"/>
        </w:rPr>
        <w:t xml:space="preserve"> to clarify how to report information </w:t>
      </w:r>
      <w:r w:rsidR="00E61577">
        <w:rPr>
          <w:szCs w:val="24"/>
        </w:rPr>
        <w:t>for</w:t>
      </w:r>
      <w:r w:rsidR="00784E98">
        <w:rPr>
          <w:szCs w:val="24"/>
        </w:rPr>
        <w:t xml:space="preserve"> non-calendar year plans.</w:t>
      </w:r>
      <w:r w:rsidR="003566E3">
        <w:rPr>
          <w:szCs w:val="24"/>
        </w:rPr>
        <w:t xml:space="preserve"> Specifically, plans and issuers must report the non-calendar year plan beginning and end dates </w:t>
      </w:r>
      <w:r w:rsidR="00F926B3">
        <w:rPr>
          <w:szCs w:val="24"/>
        </w:rPr>
        <w:t xml:space="preserve">and use two rows </w:t>
      </w:r>
      <w:r w:rsidR="00E61577">
        <w:rPr>
          <w:szCs w:val="24"/>
        </w:rPr>
        <w:t xml:space="preserve">in the plan list </w:t>
      </w:r>
      <w:r w:rsidR="00F926B3">
        <w:rPr>
          <w:szCs w:val="24"/>
        </w:rPr>
        <w:t>for plans that renew mid-year</w:t>
      </w:r>
      <w:r w:rsidR="003566E3">
        <w:rPr>
          <w:szCs w:val="24"/>
        </w:rPr>
        <w:t>. In the data files, they must only include the portion of experience attributable to the reference year, rather than the</w:t>
      </w:r>
      <w:r w:rsidR="0004031D">
        <w:rPr>
          <w:szCs w:val="24"/>
        </w:rPr>
        <w:t xml:space="preserve"> entirety of each</w:t>
      </w:r>
      <w:r w:rsidR="003566E3">
        <w:rPr>
          <w:szCs w:val="24"/>
        </w:rPr>
        <w:t xml:space="preserve"> plan year.</w:t>
      </w:r>
    </w:p>
    <w:p w:rsidR="00E467DE" w:rsidP="00E467DE" w:rsidRDefault="00E467DE" w14:paraId="427BC322" w14:textId="77777777">
      <w:pPr>
        <w:pStyle w:val="ListParagraph"/>
        <w:widowControl/>
        <w:ind w:left="450"/>
        <w:rPr>
          <w:szCs w:val="24"/>
        </w:rPr>
      </w:pPr>
    </w:p>
    <w:p w:rsidRPr="005632F2" w:rsidR="005632F2" w:rsidP="005632F2" w:rsidRDefault="005632F2" w14:paraId="560CDFE4" w14:textId="414912ED">
      <w:pPr>
        <w:pStyle w:val="ListParagraph"/>
        <w:numPr>
          <w:ilvl w:val="0"/>
          <w:numId w:val="9"/>
        </w:numPr>
        <w:rPr>
          <w:szCs w:val="24"/>
        </w:rPr>
      </w:pPr>
      <w:r w:rsidRPr="005632F2">
        <w:rPr>
          <w:szCs w:val="24"/>
        </w:rPr>
        <w:t xml:space="preserve">We received one request to be more inclusive with the definition of bona fide service fees, such as detailed disclosure of service fees that are tied to a therapeutic class or a specific drug, if a contract </w:t>
      </w:r>
      <w:r w:rsidR="004E0444">
        <w:rPr>
          <w:szCs w:val="24"/>
        </w:rPr>
        <w:t xml:space="preserve">with </w:t>
      </w:r>
      <w:r w:rsidRPr="005632F2">
        <w:rPr>
          <w:szCs w:val="24"/>
        </w:rPr>
        <w:t>a regulated entity creates such a linkage.</w:t>
      </w:r>
      <w:r w:rsidR="00827961">
        <w:rPr>
          <w:szCs w:val="24"/>
        </w:rPr>
        <w:t xml:space="preserve"> Another commenter </w:t>
      </w:r>
      <w:r w:rsidRPr="00827961" w:rsidR="00827961">
        <w:rPr>
          <w:szCs w:val="24"/>
        </w:rPr>
        <w:t xml:space="preserve">suggested defining </w:t>
      </w:r>
      <w:r w:rsidR="00C8239C">
        <w:rPr>
          <w:szCs w:val="24"/>
        </w:rPr>
        <w:t xml:space="preserve">bona fide service fees </w:t>
      </w:r>
      <w:r w:rsidRPr="00827961" w:rsidR="00827961">
        <w:rPr>
          <w:szCs w:val="24"/>
        </w:rPr>
        <w:t xml:space="preserve">as fees </w:t>
      </w:r>
      <w:r w:rsidR="00C8239C">
        <w:rPr>
          <w:szCs w:val="24"/>
        </w:rPr>
        <w:t xml:space="preserve">that </w:t>
      </w:r>
      <w:r w:rsidRPr="00827961" w:rsidR="00827961">
        <w:rPr>
          <w:szCs w:val="24"/>
        </w:rPr>
        <w:t xml:space="preserve">meet the Bona Fide Service Fee (BFSF) Test used in the </w:t>
      </w:r>
      <w:r w:rsidR="00C8239C">
        <w:rPr>
          <w:szCs w:val="24"/>
        </w:rPr>
        <w:t xml:space="preserve">Medicare </w:t>
      </w:r>
      <w:r w:rsidRPr="00827961" w:rsidR="00827961">
        <w:rPr>
          <w:szCs w:val="24"/>
        </w:rPr>
        <w:t>program to determine if a fee should be treated as a fee versus a price concession or some other form of revenue.</w:t>
      </w:r>
      <w:r w:rsidR="00913CBB">
        <w:rPr>
          <w:szCs w:val="24"/>
        </w:rPr>
        <w:t xml:space="preserve"> </w:t>
      </w:r>
      <w:r w:rsidR="00E61577">
        <w:rPr>
          <w:szCs w:val="24"/>
        </w:rPr>
        <w:t>O</w:t>
      </w:r>
      <w:r w:rsidR="00913CBB">
        <w:rPr>
          <w:szCs w:val="24"/>
        </w:rPr>
        <w:t xml:space="preserve">ne commenter suggested </w:t>
      </w:r>
      <w:r w:rsidRPr="00913CBB" w:rsidR="00913CBB">
        <w:rPr>
          <w:szCs w:val="24"/>
        </w:rPr>
        <w:t xml:space="preserve">disaggregating </w:t>
      </w:r>
      <w:r w:rsidR="003D5D96">
        <w:rPr>
          <w:szCs w:val="24"/>
        </w:rPr>
        <w:t xml:space="preserve">bona fide service fees from the broader definition of </w:t>
      </w:r>
      <w:r w:rsidR="003D5D96">
        <w:rPr>
          <w:sz w:val="22"/>
        </w:rPr>
        <w:t>remuneration</w:t>
      </w:r>
      <w:r w:rsidRPr="00913CBB" w:rsidR="003D5D96">
        <w:rPr>
          <w:szCs w:val="24"/>
        </w:rPr>
        <w:t xml:space="preserve"> </w:t>
      </w:r>
      <w:r w:rsidRPr="00913CBB" w:rsidR="00913CBB">
        <w:rPr>
          <w:szCs w:val="24"/>
        </w:rPr>
        <w:t>in future years.</w:t>
      </w:r>
    </w:p>
    <w:p w:rsidR="005632F2" w:rsidP="00046F0D" w:rsidRDefault="005632F2" w14:paraId="261D8891" w14:textId="4CE6F274">
      <w:pPr>
        <w:pStyle w:val="ListParagraph"/>
        <w:widowControl/>
        <w:ind w:left="450"/>
        <w:rPr>
          <w:szCs w:val="24"/>
        </w:rPr>
      </w:pPr>
    </w:p>
    <w:p w:rsidR="00046F0D" w:rsidP="00046F0D" w:rsidRDefault="00132999" w14:paraId="52F0333E" w14:textId="688C7172">
      <w:pPr>
        <w:pStyle w:val="ListParagraph"/>
        <w:widowControl/>
        <w:ind w:left="450"/>
        <w:rPr>
          <w:szCs w:val="24"/>
        </w:rPr>
      </w:pPr>
      <w:r>
        <w:rPr>
          <w:szCs w:val="24"/>
          <w:u w:val="single"/>
        </w:rPr>
        <w:t>Response</w:t>
      </w:r>
    </w:p>
    <w:p w:rsidRPr="00046F0D" w:rsidR="00046F0D" w:rsidP="00046F0D" w:rsidRDefault="00132999" w14:paraId="20ACAAAF" w14:textId="7DB28BB8">
      <w:pPr>
        <w:pStyle w:val="ListParagraph"/>
        <w:widowControl/>
        <w:ind w:left="450"/>
        <w:rPr>
          <w:szCs w:val="24"/>
        </w:rPr>
      </w:pPr>
      <w:r>
        <w:rPr>
          <w:szCs w:val="24"/>
        </w:rPr>
        <w:t>We</w:t>
      </w:r>
      <w:r w:rsidR="00F87823">
        <w:rPr>
          <w:szCs w:val="24"/>
        </w:rPr>
        <w:t xml:space="preserve"> made no changes based on this comment. </w:t>
      </w:r>
      <w:r w:rsidR="003C4B2C">
        <w:rPr>
          <w:szCs w:val="24"/>
        </w:rPr>
        <w:t xml:space="preserve">As noted in the </w:t>
      </w:r>
      <w:r w:rsidR="00F926B3">
        <w:rPr>
          <w:szCs w:val="24"/>
        </w:rPr>
        <w:t>IFR</w:t>
      </w:r>
      <w:r w:rsidR="003C4B2C">
        <w:rPr>
          <w:szCs w:val="24"/>
        </w:rPr>
        <w:t>, BFSF</w:t>
      </w:r>
      <w:r w:rsidR="00784E98">
        <w:rPr>
          <w:szCs w:val="24"/>
        </w:rPr>
        <w:t>s</w:t>
      </w:r>
      <w:r w:rsidR="003C4B2C">
        <w:rPr>
          <w:szCs w:val="24"/>
        </w:rPr>
        <w:t xml:space="preserve"> are</w:t>
      </w:r>
      <w:r w:rsidRPr="003C4B2C" w:rsidR="003C4B2C">
        <w:rPr>
          <w:szCs w:val="24"/>
        </w:rPr>
        <w:t xml:space="preserve"> not always intended to directly affect the cost or utilization of specific prescription drugs. Therefore, </w:t>
      </w:r>
      <w:r>
        <w:rPr>
          <w:szCs w:val="24"/>
        </w:rPr>
        <w:t>the agencies</w:t>
      </w:r>
      <w:r w:rsidRPr="003C4B2C" w:rsidR="003C4B2C">
        <w:rPr>
          <w:szCs w:val="24"/>
        </w:rPr>
        <w:t xml:space="preserve"> </w:t>
      </w:r>
      <w:r w:rsidR="00F926B3">
        <w:rPr>
          <w:szCs w:val="24"/>
        </w:rPr>
        <w:t>do not require</w:t>
      </w:r>
      <w:r w:rsidRPr="003C4B2C" w:rsidR="003C4B2C">
        <w:rPr>
          <w:szCs w:val="24"/>
        </w:rPr>
        <w:t xml:space="preserve"> these fees to be reported separately </w:t>
      </w:r>
      <w:r w:rsidR="00675A69">
        <w:rPr>
          <w:szCs w:val="24"/>
        </w:rPr>
        <w:t>by</w:t>
      </w:r>
      <w:r w:rsidRPr="003C4B2C" w:rsidR="003C4B2C">
        <w:rPr>
          <w:szCs w:val="24"/>
        </w:rPr>
        <w:t xml:space="preserve"> therapeutic class or drug. </w:t>
      </w:r>
      <w:r>
        <w:rPr>
          <w:szCs w:val="24"/>
        </w:rPr>
        <w:t xml:space="preserve">We </w:t>
      </w:r>
      <w:r w:rsidR="00F87823">
        <w:rPr>
          <w:szCs w:val="24"/>
        </w:rPr>
        <w:t>note that the definition of BFSF</w:t>
      </w:r>
      <w:r w:rsidR="00CF53CD">
        <w:rPr>
          <w:szCs w:val="24"/>
        </w:rPr>
        <w:t>s</w:t>
      </w:r>
      <w:r w:rsidR="00F87823">
        <w:rPr>
          <w:szCs w:val="24"/>
        </w:rPr>
        <w:t xml:space="preserve"> in the RxDC instructions </w:t>
      </w:r>
      <w:r w:rsidR="003C4B2C">
        <w:rPr>
          <w:szCs w:val="24"/>
        </w:rPr>
        <w:t>is</w:t>
      </w:r>
      <w:r w:rsidR="00F87823">
        <w:rPr>
          <w:szCs w:val="24"/>
        </w:rPr>
        <w:t xml:space="preserve"> the same as the four-part</w:t>
      </w:r>
      <w:r w:rsidR="003C4B2C">
        <w:rPr>
          <w:szCs w:val="24"/>
        </w:rPr>
        <w:t xml:space="preserve"> </w:t>
      </w:r>
      <w:r w:rsidR="00CF53CD">
        <w:rPr>
          <w:szCs w:val="24"/>
        </w:rPr>
        <w:t xml:space="preserve">test </w:t>
      </w:r>
      <w:r w:rsidR="003C4B2C">
        <w:rPr>
          <w:szCs w:val="24"/>
        </w:rPr>
        <w:lastRenderedPageBreak/>
        <w:t>used by the Medicare Part D program</w:t>
      </w:r>
      <w:r w:rsidR="00F87823">
        <w:rPr>
          <w:szCs w:val="24"/>
        </w:rPr>
        <w:t>.</w:t>
      </w:r>
      <w:r w:rsidR="00CF53CD">
        <w:rPr>
          <w:szCs w:val="24"/>
        </w:rPr>
        <w:t xml:space="preserve"> </w:t>
      </w:r>
      <w:r>
        <w:rPr>
          <w:szCs w:val="24"/>
        </w:rPr>
        <w:t xml:space="preserve">We </w:t>
      </w:r>
      <w:r w:rsidR="00E61577">
        <w:rPr>
          <w:szCs w:val="24"/>
        </w:rPr>
        <w:t>used</w:t>
      </w:r>
      <w:r w:rsidR="00CF53CD">
        <w:rPr>
          <w:szCs w:val="24"/>
        </w:rPr>
        <w:t xml:space="preserve"> the four-part test to reduce </w:t>
      </w:r>
      <w:r w:rsidR="00C8239C">
        <w:rPr>
          <w:szCs w:val="24"/>
        </w:rPr>
        <w:t xml:space="preserve">the </w:t>
      </w:r>
      <w:r w:rsidR="00CF53CD">
        <w:rPr>
          <w:szCs w:val="24"/>
        </w:rPr>
        <w:t>compliance burden for issuers and PBMs that have already built reporting capabilities for the Medicare program.</w:t>
      </w:r>
    </w:p>
    <w:p w:rsidR="005632F2" w:rsidP="00C10E94" w:rsidRDefault="005632F2" w14:paraId="072CCBAA" w14:textId="77777777">
      <w:pPr>
        <w:widowControl/>
        <w:rPr>
          <w:szCs w:val="24"/>
        </w:rPr>
      </w:pPr>
    </w:p>
    <w:p w:rsidR="007A2942" w:rsidP="007A2942" w:rsidRDefault="007A2942" w14:paraId="553E5AF7" w14:textId="33D96520">
      <w:pPr>
        <w:pStyle w:val="ListParagraph"/>
        <w:widowControl/>
        <w:numPr>
          <w:ilvl w:val="0"/>
          <w:numId w:val="9"/>
        </w:numPr>
        <w:rPr>
          <w:szCs w:val="24"/>
        </w:rPr>
      </w:pPr>
      <w:r>
        <w:rPr>
          <w:szCs w:val="24"/>
        </w:rPr>
        <w:t>Three commenters suggest</w:t>
      </w:r>
      <w:r w:rsidR="00C8239C">
        <w:rPr>
          <w:szCs w:val="24"/>
        </w:rPr>
        <w:t>ed</w:t>
      </w:r>
      <w:r>
        <w:rPr>
          <w:szCs w:val="24"/>
        </w:rPr>
        <w:t xml:space="preserve"> revision</w:t>
      </w:r>
      <w:r w:rsidR="00C8239C">
        <w:rPr>
          <w:szCs w:val="24"/>
        </w:rPr>
        <w:t>s</w:t>
      </w:r>
      <w:r w:rsidR="00E61577">
        <w:rPr>
          <w:szCs w:val="24"/>
        </w:rPr>
        <w:t xml:space="preserve"> to the definition of total spending</w:t>
      </w:r>
      <w:r>
        <w:rPr>
          <w:szCs w:val="24"/>
        </w:rPr>
        <w:t xml:space="preserve">. One </w:t>
      </w:r>
      <w:r w:rsidRPr="000F6654">
        <w:rPr>
          <w:szCs w:val="24"/>
        </w:rPr>
        <w:t>suggested revisin</w:t>
      </w:r>
      <w:r w:rsidR="00C8239C">
        <w:rPr>
          <w:szCs w:val="24"/>
        </w:rPr>
        <w:t>g</w:t>
      </w:r>
      <w:r w:rsidRPr="000F6654">
        <w:rPr>
          <w:szCs w:val="24"/>
        </w:rPr>
        <w:t xml:space="preserve"> the total spending definition, as it appeared to be an error that manufacturer cost-sharing assistance </w:t>
      </w:r>
      <w:r w:rsidR="00E61577">
        <w:rPr>
          <w:szCs w:val="24"/>
        </w:rPr>
        <w:t>should</w:t>
      </w:r>
      <w:r w:rsidRPr="000F6654">
        <w:rPr>
          <w:szCs w:val="24"/>
        </w:rPr>
        <w:t xml:space="preserve"> be subtracted from total cost sharing.</w:t>
      </w:r>
      <w:r w:rsidRPr="000F6654">
        <w:t xml:space="preserve"> </w:t>
      </w:r>
      <w:r w:rsidR="00E8634C">
        <w:rPr>
          <w:szCs w:val="24"/>
        </w:rPr>
        <w:t>A</w:t>
      </w:r>
      <w:r>
        <w:rPr>
          <w:szCs w:val="24"/>
        </w:rPr>
        <w:t xml:space="preserve">nother commenter requested </w:t>
      </w:r>
      <w:r w:rsidRPr="000F6654">
        <w:rPr>
          <w:szCs w:val="24"/>
        </w:rPr>
        <w:t xml:space="preserve">clarifying the </w:t>
      </w:r>
      <w:r w:rsidR="00E61577">
        <w:rPr>
          <w:szCs w:val="24"/>
        </w:rPr>
        <w:t>t</w:t>
      </w:r>
      <w:r w:rsidRPr="000F6654">
        <w:rPr>
          <w:szCs w:val="24"/>
        </w:rPr>
        <w:t xml:space="preserve">otal </w:t>
      </w:r>
      <w:r w:rsidR="00E61577">
        <w:rPr>
          <w:szCs w:val="24"/>
        </w:rPr>
        <w:t>s</w:t>
      </w:r>
      <w:r w:rsidRPr="000F6654">
        <w:rPr>
          <w:szCs w:val="24"/>
        </w:rPr>
        <w:t xml:space="preserve">pending definition </w:t>
      </w:r>
      <w:r w:rsidR="008B1926">
        <w:rPr>
          <w:szCs w:val="24"/>
        </w:rPr>
        <w:t>regarding</w:t>
      </w:r>
      <w:r w:rsidRPr="000F6654">
        <w:rPr>
          <w:szCs w:val="24"/>
        </w:rPr>
        <w:t xml:space="preserve"> subtracting any federal or state reinsurance</w:t>
      </w:r>
      <w:r w:rsidR="0080079E">
        <w:rPr>
          <w:szCs w:val="24"/>
        </w:rPr>
        <w:t xml:space="preserve"> payments</w:t>
      </w:r>
      <w:r w:rsidRPr="000F6654">
        <w:rPr>
          <w:szCs w:val="24"/>
        </w:rPr>
        <w:t xml:space="preserve">, since reinsurance would not be attributable to </w:t>
      </w:r>
      <w:r w:rsidR="00E861EC">
        <w:rPr>
          <w:szCs w:val="24"/>
        </w:rPr>
        <w:t xml:space="preserve">specific </w:t>
      </w:r>
      <w:r w:rsidRPr="000F6654">
        <w:rPr>
          <w:szCs w:val="24"/>
        </w:rPr>
        <w:t>drugs</w:t>
      </w:r>
      <w:r>
        <w:rPr>
          <w:szCs w:val="24"/>
        </w:rPr>
        <w:t>.</w:t>
      </w:r>
    </w:p>
    <w:p w:rsidR="007A2942" w:rsidP="007A2942" w:rsidRDefault="007A2942" w14:paraId="5434908B" w14:textId="77777777">
      <w:pPr>
        <w:pStyle w:val="ListParagraph"/>
        <w:widowControl/>
        <w:ind w:left="450"/>
        <w:rPr>
          <w:szCs w:val="24"/>
        </w:rPr>
      </w:pPr>
    </w:p>
    <w:p w:rsidRPr="000F6654" w:rsidR="007A2942" w:rsidP="007A2942" w:rsidRDefault="00132999" w14:paraId="7F9A0407" w14:textId="64964FCD">
      <w:pPr>
        <w:pStyle w:val="ListParagraph"/>
        <w:widowControl/>
        <w:ind w:left="450"/>
        <w:rPr>
          <w:szCs w:val="24"/>
        </w:rPr>
      </w:pPr>
      <w:r>
        <w:rPr>
          <w:szCs w:val="24"/>
          <w:u w:val="single"/>
        </w:rPr>
        <w:t>Response</w:t>
      </w:r>
    </w:p>
    <w:p w:rsidR="002D3ADB" w:rsidP="007A2942" w:rsidRDefault="00132999" w14:paraId="769BC603" w14:textId="56AE6F4E">
      <w:pPr>
        <w:pStyle w:val="ListParagraph"/>
        <w:widowControl/>
        <w:ind w:left="450"/>
      </w:pPr>
      <w:r>
        <w:rPr>
          <w:szCs w:val="24"/>
        </w:rPr>
        <w:t xml:space="preserve">We </w:t>
      </w:r>
      <w:r w:rsidR="002D3ADB">
        <w:rPr>
          <w:szCs w:val="24"/>
        </w:rPr>
        <w:t xml:space="preserve">updated the instructions to specify that manufacturer cost-sharing assistance must be subtracted from total spending, to the extent the information </w:t>
      </w:r>
      <w:r w:rsidRPr="002D3ADB" w:rsidR="002D3ADB">
        <w:rPr>
          <w:szCs w:val="24"/>
        </w:rPr>
        <w:t xml:space="preserve">is </w:t>
      </w:r>
      <w:r w:rsidR="002D3ADB">
        <w:rPr>
          <w:szCs w:val="24"/>
        </w:rPr>
        <w:t xml:space="preserve">known and has an impact on total spending. </w:t>
      </w:r>
      <w:r>
        <w:rPr>
          <w:szCs w:val="24"/>
        </w:rPr>
        <w:t xml:space="preserve">We </w:t>
      </w:r>
      <w:r w:rsidR="002D3ADB">
        <w:rPr>
          <w:szCs w:val="24"/>
        </w:rPr>
        <w:t>made no changes to the definition of cost-</w:t>
      </w:r>
      <w:r w:rsidR="008445B8">
        <w:rPr>
          <w:szCs w:val="24"/>
        </w:rPr>
        <w:t>sharing</w:t>
      </w:r>
      <w:r w:rsidR="002D3ADB">
        <w:rPr>
          <w:szCs w:val="24"/>
        </w:rPr>
        <w:t xml:space="preserve">. As </w:t>
      </w:r>
      <w:r w:rsidR="00F926B3">
        <w:rPr>
          <w:szCs w:val="24"/>
        </w:rPr>
        <w:t xml:space="preserve">noted </w:t>
      </w:r>
      <w:r w:rsidR="002D3ADB">
        <w:rPr>
          <w:szCs w:val="24"/>
        </w:rPr>
        <w:t xml:space="preserve">in the IFR, </w:t>
      </w:r>
      <w:r w:rsidR="001F7BA4">
        <w:t>we</w:t>
      </w:r>
      <w:r w:rsidR="002D3ADB">
        <w:t xml:space="preserve"> </w:t>
      </w:r>
      <w:r w:rsidR="008445B8">
        <w:t>are collecting</w:t>
      </w:r>
      <w:r w:rsidR="002D3ADB">
        <w:t xml:space="preserve"> data on manufacturer cost-sharing assistance separately and will incorporate such reductions into the analysis conducted for the section 204 public report. </w:t>
      </w:r>
    </w:p>
    <w:p w:rsidR="00900897" w:rsidP="007A2942" w:rsidRDefault="00900897" w14:paraId="5A5E0324" w14:textId="57F15C68">
      <w:pPr>
        <w:pStyle w:val="ListParagraph"/>
        <w:widowControl/>
        <w:ind w:left="450"/>
        <w:rPr>
          <w:szCs w:val="24"/>
        </w:rPr>
      </w:pPr>
    </w:p>
    <w:p w:rsidR="00F926B3" w:rsidP="00F926B3" w:rsidRDefault="00132999" w14:paraId="0E5DAF2B" w14:textId="518DD671">
      <w:pPr>
        <w:pStyle w:val="ListParagraph"/>
        <w:widowControl/>
        <w:ind w:left="450"/>
        <w:rPr>
          <w:szCs w:val="24"/>
        </w:rPr>
      </w:pPr>
      <w:r>
        <w:rPr>
          <w:szCs w:val="24"/>
        </w:rPr>
        <w:t xml:space="preserve">We </w:t>
      </w:r>
      <w:r w:rsidR="001F7BA4">
        <w:rPr>
          <w:szCs w:val="24"/>
        </w:rPr>
        <w:t xml:space="preserve">also </w:t>
      </w:r>
      <w:r w:rsidR="003B128E">
        <w:rPr>
          <w:szCs w:val="24"/>
        </w:rPr>
        <w:t xml:space="preserve">updated the instructions to specify </w:t>
      </w:r>
      <w:r w:rsidR="00C35845">
        <w:rPr>
          <w:szCs w:val="24"/>
        </w:rPr>
        <w:t xml:space="preserve">that reporting entities should </w:t>
      </w:r>
      <w:r w:rsidR="0097066B">
        <w:rPr>
          <w:szCs w:val="24"/>
        </w:rPr>
        <w:t xml:space="preserve">use a reasonable method </w:t>
      </w:r>
      <w:r w:rsidR="00C35845">
        <w:rPr>
          <w:szCs w:val="24"/>
        </w:rPr>
        <w:t xml:space="preserve">to account for the subtraction of </w:t>
      </w:r>
      <w:r w:rsidRPr="00C35845" w:rsidR="00C35845">
        <w:rPr>
          <w:szCs w:val="24"/>
        </w:rPr>
        <w:t>federal or state reinsurance payments</w:t>
      </w:r>
      <w:r w:rsidR="0097066B">
        <w:rPr>
          <w:szCs w:val="24"/>
        </w:rPr>
        <w:t xml:space="preserve"> when reporting total spending at the </w:t>
      </w:r>
      <w:r w:rsidR="008445B8">
        <w:rPr>
          <w:szCs w:val="24"/>
        </w:rPr>
        <w:t>d</w:t>
      </w:r>
      <w:r w:rsidR="0097066B">
        <w:rPr>
          <w:szCs w:val="24"/>
        </w:rPr>
        <w:t>rug or therapeutic class level</w:t>
      </w:r>
      <w:r w:rsidR="00C35845">
        <w:rPr>
          <w:szCs w:val="24"/>
        </w:rPr>
        <w:t xml:space="preserve">. </w:t>
      </w:r>
    </w:p>
    <w:p w:rsidR="00F926B3" w:rsidP="00F926B3" w:rsidRDefault="00F926B3" w14:paraId="4A69F295" w14:textId="77777777">
      <w:pPr>
        <w:pStyle w:val="ListParagraph"/>
        <w:widowControl/>
        <w:ind w:left="450"/>
        <w:rPr>
          <w:szCs w:val="24"/>
        </w:rPr>
      </w:pPr>
    </w:p>
    <w:p w:rsidRPr="00F926B3" w:rsidR="00675A69" w:rsidP="00F926B3" w:rsidRDefault="00BE276D" w14:paraId="394E2163" w14:textId="36094C5A">
      <w:pPr>
        <w:pStyle w:val="ListParagraph"/>
        <w:widowControl/>
        <w:numPr>
          <w:ilvl w:val="0"/>
          <w:numId w:val="9"/>
        </w:numPr>
        <w:rPr>
          <w:szCs w:val="24"/>
        </w:rPr>
      </w:pPr>
      <w:r w:rsidRPr="00F926B3">
        <w:rPr>
          <w:szCs w:val="24"/>
        </w:rPr>
        <w:t>One comment</w:t>
      </w:r>
      <w:r w:rsidRPr="00F926B3" w:rsidR="0080079E">
        <w:rPr>
          <w:szCs w:val="24"/>
        </w:rPr>
        <w:t>er</w:t>
      </w:r>
      <w:r w:rsidRPr="00F926B3">
        <w:rPr>
          <w:szCs w:val="24"/>
        </w:rPr>
        <w:t xml:space="preserve"> suggested requiring more granularity to cost-sharing by therapeutic class. </w:t>
      </w:r>
      <w:r w:rsidR="001F7BA4">
        <w:rPr>
          <w:szCs w:val="24"/>
        </w:rPr>
        <w:t>Another</w:t>
      </w:r>
      <w:r w:rsidRPr="00F926B3">
        <w:rPr>
          <w:szCs w:val="24"/>
        </w:rPr>
        <w:t xml:space="preserve"> </w:t>
      </w:r>
      <w:r w:rsidRPr="00F926B3" w:rsidR="007A2942">
        <w:rPr>
          <w:szCs w:val="24"/>
        </w:rPr>
        <w:t xml:space="preserve">suggested </w:t>
      </w:r>
      <w:r w:rsidRPr="00F926B3" w:rsidR="00E8634C">
        <w:rPr>
          <w:szCs w:val="24"/>
        </w:rPr>
        <w:t xml:space="preserve">that </w:t>
      </w:r>
      <w:r w:rsidRPr="00F926B3" w:rsidR="007A2942">
        <w:rPr>
          <w:szCs w:val="24"/>
        </w:rPr>
        <w:t xml:space="preserve">reporting entities quantify </w:t>
      </w:r>
      <w:r w:rsidR="001F7BA4">
        <w:rPr>
          <w:szCs w:val="24"/>
        </w:rPr>
        <w:t xml:space="preserve">the impact of manufacturer rebates separately according to impact on cost-sharing versus the impact on premium. </w:t>
      </w:r>
      <w:r w:rsidR="007A2942">
        <w:t xml:space="preserve">Another commenter </w:t>
      </w:r>
      <w:r w:rsidR="001F7BA4">
        <w:rPr>
          <w:szCs w:val="24"/>
        </w:rPr>
        <w:t>indicated that we should not collect information on</w:t>
      </w:r>
      <w:r w:rsidRPr="00F926B3" w:rsidR="007A2942">
        <w:rPr>
          <w:szCs w:val="24"/>
        </w:rPr>
        <w:t xml:space="preserve"> manufacturer cost-sharing assistance, </w:t>
      </w:r>
      <w:r w:rsidRPr="00F926B3" w:rsidR="0080079E">
        <w:rPr>
          <w:szCs w:val="24"/>
        </w:rPr>
        <w:t>asserting</w:t>
      </w:r>
      <w:r w:rsidRPr="00F926B3" w:rsidR="007A2942">
        <w:rPr>
          <w:szCs w:val="24"/>
        </w:rPr>
        <w:t xml:space="preserve"> that issuers and PBMs do not have the capability to track </w:t>
      </w:r>
      <w:r w:rsidR="003E74BF">
        <w:rPr>
          <w:szCs w:val="24"/>
        </w:rPr>
        <w:t>most</w:t>
      </w:r>
      <w:r w:rsidRPr="00F926B3" w:rsidR="007A2942">
        <w:rPr>
          <w:szCs w:val="24"/>
        </w:rPr>
        <w:t xml:space="preserve"> manufacturer cost-sharing assistance or “coupons”.</w:t>
      </w:r>
    </w:p>
    <w:p w:rsidR="007A2942" w:rsidP="007A2942" w:rsidRDefault="007A2942" w14:paraId="4671F26E" w14:textId="77777777">
      <w:pPr>
        <w:pStyle w:val="ListParagraph"/>
        <w:widowControl/>
        <w:ind w:left="450"/>
        <w:rPr>
          <w:szCs w:val="24"/>
        </w:rPr>
      </w:pPr>
    </w:p>
    <w:p w:rsidR="007A2942" w:rsidP="007A2942" w:rsidRDefault="00132999" w14:paraId="1C6E50BC" w14:textId="088504E2">
      <w:pPr>
        <w:pStyle w:val="ListParagraph"/>
        <w:widowControl/>
        <w:ind w:left="450"/>
        <w:rPr>
          <w:szCs w:val="24"/>
          <w:u w:val="single"/>
        </w:rPr>
      </w:pPr>
      <w:r>
        <w:rPr>
          <w:szCs w:val="24"/>
          <w:u w:val="single"/>
        </w:rPr>
        <w:t>Response</w:t>
      </w:r>
    </w:p>
    <w:p w:rsidR="006F3F06" w:rsidP="006F3F06" w:rsidRDefault="00132999" w14:paraId="4C87F5AE" w14:textId="562FF35F">
      <w:pPr>
        <w:pStyle w:val="ListParagraph"/>
        <w:widowControl/>
        <w:ind w:left="450"/>
        <w:rPr>
          <w:szCs w:val="24"/>
        </w:rPr>
      </w:pPr>
      <w:r>
        <w:rPr>
          <w:szCs w:val="24"/>
        </w:rPr>
        <w:t xml:space="preserve">We </w:t>
      </w:r>
      <w:r w:rsidR="006F3F06">
        <w:rPr>
          <w:szCs w:val="24"/>
        </w:rPr>
        <w:t xml:space="preserve">made no changes based on these comments. </w:t>
      </w:r>
      <w:r>
        <w:rPr>
          <w:szCs w:val="24"/>
        </w:rPr>
        <w:t xml:space="preserve">We </w:t>
      </w:r>
      <w:r w:rsidR="006F3F06">
        <w:rPr>
          <w:szCs w:val="24"/>
        </w:rPr>
        <w:t xml:space="preserve">note that the </w:t>
      </w:r>
      <w:r w:rsidR="001F7BA4">
        <w:rPr>
          <w:szCs w:val="24"/>
        </w:rPr>
        <w:t>reporting</w:t>
      </w:r>
      <w:r w:rsidR="00416A8F">
        <w:rPr>
          <w:szCs w:val="24"/>
        </w:rPr>
        <w:t xml:space="preserve"> </w:t>
      </w:r>
      <w:r w:rsidR="006F3F06">
        <w:rPr>
          <w:szCs w:val="24"/>
        </w:rPr>
        <w:t>instructions</w:t>
      </w:r>
      <w:r w:rsidR="001F7BA4">
        <w:rPr>
          <w:szCs w:val="24"/>
        </w:rPr>
        <w:t xml:space="preserve"> require plans, issuers, and carriers to </w:t>
      </w:r>
      <w:r w:rsidR="006F3F06">
        <w:rPr>
          <w:szCs w:val="24"/>
        </w:rPr>
        <w:t xml:space="preserve">provide a </w:t>
      </w:r>
      <w:r w:rsidR="001F7BA4">
        <w:rPr>
          <w:szCs w:val="24"/>
        </w:rPr>
        <w:t xml:space="preserve">qualitative assessment and a </w:t>
      </w:r>
      <w:r w:rsidR="006F3F06">
        <w:rPr>
          <w:szCs w:val="24"/>
        </w:rPr>
        <w:t>quantitative estimate of the</w:t>
      </w:r>
      <w:r w:rsidRPr="006F3F06" w:rsidR="006F3F06">
        <w:t xml:space="preserve"> </w:t>
      </w:r>
      <w:r w:rsidRPr="006F3F06" w:rsidR="006F3F06">
        <w:rPr>
          <w:szCs w:val="24"/>
        </w:rPr>
        <w:t>impact of rebates, fees, and other remuneration on premium and</w:t>
      </w:r>
      <w:r w:rsidR="006F3F06">
        <w:rPr>
          <w:szCs w:val="24"/>
        </w:rPr>
        <w:t xml:space="preserve"> cost-sharing, to the best of their abilities. </w:t>
      </w:r>
      <w:r>
        <w:rPr>
          <w:szCs w:val="24"/>
        </w:rPr>
        <w:t xml:space="preserve">We </w:t>
      </w:r>
      <w:r w:rsidR="006F3F06">
        <w:rPr>
          <w:szCs w:val="24"/>
        </w:rPr>
        <w:t xml:space="preserve">may update the requirements related to quantitative reporting in the future. </w:t>
      </w:r>
    </w:p>
    <w:p w:rsidR="007A2942" w:rsidP="007A2942" w:rsidRDefault="007A2942" w14:paraId="0CF60584" w14:textId="77777777">
      <w:pPr>
        <w:pStyle w:val="ListParagraph"/>
        <w:widowControl/>
        <w:ind w:left="450"/>
        <w:rPr>
          <w:szCs w:val="24"/>
        </w:rPr>
      </w:pPr>
    </w:p>
    <w:p w:rsidRPr="00784E98" w:rsidR="006F3F06" w:rsidP="00784E98" w:rsidRDefault="007A2942" w14:paraId="1D3C7829" w14:textId="2D34EB1E">
      <w:pPr>
        <w:pStyle w:val="ListParagraph"/>
        <w:widowControl/>
        <w:numPr>
          <w:ilvl w:val="0"/>
          <w:numId w:val="9"/>
        </w:numPr>
        <w:rPr>
          <w:szCs w:val="24"/>
        </w:rPr>
      </w:pPr>
      <w:r>
        <w:rPr>
          <w:szCs w:val="24"/>
        </w:rPr>
        <w:t>One comment</w:t>
      </w:r>
      <w:r w:rsidR="0080079E">
        <w:rPr>
          <w:szCs w:val="24"/>
        </w:rPr>
        <w:t>er</w:t>
      </w:r>
      <w:r>
        <w:rPr>
          <w:szCs w:val="24"/>
        </w:rPr>
        <w:t xml:space="preserve"> suggested capturing</w:t>
      </w:r>
      <w:r w:rsidR="001F7BA4">
        <w:rPr>
          <w:szCs w:val="24"/>
        </w:rPr>
        <w:t xml:space="preserve"> more details </w:t>
      </w:r>
      <w:r w:rsidR="00FA2F16">
        <w:rPr>
          <w:szCs w:val="24"/>
        </w:rPr>
        <w:t xml:space="preserve">about </w:t>
      </w:r>
      <w:r w:rsidR="001F7BA4">
        <w:rPr>
          <w:szCs w:val="24"/>
        </w:rPr>
        <w:t xml:space="preserve">spending </w:t>
      </w:r>
      <w:r w:rsidR="00FA2F16">
        <w:rPr>
          <w:szCs w:val="24"/>
        </w:rPr>
        <w:t>on drugs covered under a hospital or</w:t>
      </w:r>
      <w:r w:rsidRPr="000F6654">
        <w:rPr>
          <w:szCs w:val="24"/>
        </w:rPr>
        <w:t xml:space="preserve"> medical benefit </w:t>
      </w:r>
      <w:r w:rsidR="00FA2F16">
        <w:rPr>
          <w:szCs w:val="24"/>
        </w:rPr>
        <w:t xml:space="preserve">because drugs </w:t>
      </w:r>
      <w:r>
        <w:rPr>
          <w:szCs w:val="24"/>
        </w:rPr>
        <w:t xml:space="preserve">administered under these benefits are significant cost drivers in the health care industry. Another commenter </w:t>
      </w:r>
      <w:r w:rsidRPr="00402588">
        <w:rPr>
          <w:szCs w:val="24"/>
        </w:rPr>
        <w:t xml:space="preserve">suggested capturing National Drug Codes (NDC) for medical specialty drugs, </w:t>
      </w:r>
      <w:r w:rsidR="0080079E">
        <w:rPr>
          <w:szCs w:val="24"/>
        </w:rPr>
        <w:t>since</w:t>
      </w:r>
      <w:r>
        <w:rPr>
          <w:szCs w:val="24"/>
        </w:rPr>
        <w:t xml:space="preserve"> </w:t>
      </w:r>
      <w:r w:rsidR="00FA2F16">
        <w:rPr>
          <w:szCs w:val="24"/>
        </w:rPr>
        <w:t>they are</w:t>
      </w:r>
      <w:r w:rsidRPr="00402588">
        <w:rPr>
          <w:szCs w:val="24"/>
        </w:rPr>
        <w:t xml:space="preserve"> billed through a doctor’s office or hospital and paid through the medical benefit</w:t>
      </w:r>
      <w:r>
        <w:rPr>
          <w:szCs w:val="24"/>
        </w:rPr>
        <w:t>.</w:t>
      </w:r>
    </w:p>
    <w:p w:rsidR="007A2942" w:rsidP="007A2942" w:rsidRDefault="007A2942" w14:paraId="7273516D" w14:textId="77777777">
      <w:pPr>
        <w:pStyle w:val="ListParagraph"/>
        <w:ind w:left="450"/>
        <w:rPr>
          <w:szCs w:val="24"/>
        </w:rPr>
      </w:pPr>
    </w:p>
    <w:p w:rsidR="007A2942" w:rsidP="007A2942" w:rsidRDefault="00132999" w14:paraId="4D07A8A6" w14:textId="316E1771">
      <w:pPr>
        <w:pStyle w:val="ListParagraph"/>
        <w:ind w:left="450"/>
        <w:rPr>
          <w:szCs w:val="24"/>
          <w:u w:val="single"/>
        </w:rPr>
      </w:pPr>
      <w:r>
        <w:rPr>
          <w:szCs w:val="24"/>
          <w:u w:val="single"/>
        </w:rPr>
        <w:t>Response</w:t>
      </w:r>
    </w:p>
    <w:p w:rsidR="006F3F06" w:rsidP="007A2942" w:rsidRDefault="00132999" w14:paraId="41FE50AA" w14:textId="64640963">
      <w:pPr>
        <w:pStyle w:val="ListParagraph"/>
        <w:ind w:left="450"/>
        <w:rPr>
          <w:szCs w:val="24"/>
        </w:rPr>
      </w:pPr>
      <w:r>
        <w:rPr>
          <w:szCs w:val="24"/>
        </w:rPr>
        <w:t xml:space="preserve">We </w:t>
      </w:r>
      <w:r w:rsidR="006F3F06">
        <w:rPr>
          <w:szCs w:val="24"/>
        </w:rPr>
        <w:t xml:space="preserve">made no changes based on these comments. As noted in the IFR, </w:t>
      </w:r>
      <w:r w:rsidR="00FA2F16">
        <w:rPr>
          <w:szCs w:val="24"/>
        </w:rPr>
        <w:t>we</w:t>
      </w:r>
      <w:r>
        <w:rPr>
          <w:szCs w:val="24"/>
        </w:rPr>
        <w:t xml:space="preserve"> </w:t>
      </w:r>
      <w:r w:rsidR="006F3F06">
        <w:rPr>
          <w:szCs w:val="24"/>
        </w:rPr>
        <w:t xml:space="preserve">recognize that prescription drugs covered under a medical benefit </w:t>
      </w:r>
      <w:r w:rsidR="00D30F3F">
        <w:rPr>
          <w:szCs w:val="24"/>
        </w:rPr>
        <w:t>constitute</w:t>
      </w:r>
      <w:r w:rsidR="006F3F06">
        <w:rPr>
          <w:szCs w:val="24"/>
        </w:rPr>
        <w:t xml:space="preserve"> a significant portion of prescription drug spending and include some of the </w:t>
      </w:r>
      <w:r w:rsidR="00FF0A82">
        <w:rPr>
          <w:szCs w:val="24"/>
        </w:rPr>
        <w:t>costlier</w:t>
      </w:r>
      <w:r w:rsidR="00083598">
        <w:rPr>
          <w:szCs w:val="24"/>
        </w:rPr>
        <w:t xml:space="preserve"> drugs. However, in recognition of the </w:t>
      </w:r>
      <w:r w:rsidR="00784E98">
        <w:rPr>
          <w:szCs w:val="24"/>
        </w:rPr>
        <w:t>difficulty</w:t>
      </w:r>
      <w:r w:rsidR="00083598">
        <w:rPr>
          <w:szCs w:val="24"/>
        </w:rPr>
        <w:t xml:space="preserve"> of isolating </w:t>
      </w:r>
      <w:r w:rsidR="00083598">
        <w:t>the cost of the prescription drugs included in bundled payment</w:t>
      </w:r>
      <w:r w:rsidR="00FA2F16">
        <w:t>s</w:t>
      </w:r>
      <w:r w:rsidR="00083598">
        <w:t xml:space="preserve"> </w:t>
      </w:r>
      <w:r w:rsidR="00FA2F16">
        <w:lastRenderedPageBreak/>
        <w:t>or</w:t>
      </w:r>
      <w:r w:rsidR="00083598">
        <w:t xml:space="preserve"> other alternative payment arrangements</w:t>
      </w:r>
      <w:r w:rsidR="00083598">
        <w:rPr>
          <w:szCs w:val="24"/>
        </w:rPr>
        <w:t xml:space="preserve">, </w:t>
      </w:r>
      <w:r w:rsidR="00FA2F16">
        <w:rPr>
          <w:szCs w:val="24"/>
        </w:rPr>
        <w:t>w</w:t>
      </w:r>
      <w:r>
        <w:rPr>
          <w:szCs w:val="24"/>
        </w:rPr>
        <w:t xml:space="preserve">e </w:t>
      </w:r>
      <w:r w:rsidR="00083598">
        <w:rPr>
          <w:szCs w:val="24"/>
        </w:rPr>
        <w:t xml:space="preserve">only require reporting on total spending and not detailed information by drug or therapeutic class. </w:t>
      </w:r>
      <w:r w:rsidR="00FA2F16">
        <w:rPr>
          <w:szCs w:val="24"/>
        </w:rPr>
        <w:t>The</w:t>
      </w:r>
      <w:r>
        <w:rPr>
          <w:szCs w:val="24"/>
        </w:rPr>
        <w:t xml:space="preserve"> agencies</w:t>
      </w:r>
      <w:r w:rsidR="00083598">
        <w:t xml:space="preserve"> may</w:t>
      </w:r>
      <w:r w:rsidR="0080079E">
        <w:t xml:space="preserve"> </w:t>
      </w:r>
      <w:r w:rsidR="00083598">
        <w:t>modify the reporting requirements regarding the drugs covered under the hospital or medical benefit</w:t>
      </w:r>
      <w:r w:rsidR="00FA2F16">
        <w:t xml:space="preserve"> in the future</w:t>
      </w:r>
      <w:r w:rsidR="00083598">
        <w:t>.</w:t>
      </w:r>
    </w:p>
    <w:p w:rsidRPr="007A2942" w:rsidR="007A2942" w:rsidP="007A2942" w:rsidRDefault="007A2942" w14:paraId="7AE4B9A5" w14:textId="77777777">
      <w:pPr>
        <w:widowControl/>
        <w:rPr>
          <w:szCs w:val="24"/>
        </w:rPr>
      </w:pPr>
    </w:p>
    <w:p w:rsidRPr="00370CC9" w:rsidR="00276449" w:rsidP="00370CC9" w:rsidRDefault="00276449" w14:paraId="05BC3910" w14:textId="07587B05">
      <w:pPr>
        <w:pStyle w:val="ListParagraph"/>
        <w:numPr>
          <w:ilvl w:val="0"/>
          <w:numId w:val="9"/>
        </w:numPr>
        <w:rPr>
          <w:szCs w:val="24"/>
        </w:rPr>
      </w:pPr>
      <w:r w:rsidRPr="00AB137E">
        <w:rPr>
          <w:szCs w:val="24"/>
        </w:rPr>
        <w:t xml:space="preserve">Three commenters opined on the difficulty </w:t>
      </w:r>
      <w:r w:rsidR="0080079E">
        <w:rPr>
          <w:szCs w:val="24"/>
        </w:rPr>
        <w:t>in</w:t>
      </w:r>
      <w:r w:rsidRPr="00AB137E">
        <w:rPr>
          <w:szCs w:val="24"/>
        </w:rPr>
        <w:t xml:space="preserve"> obtain</w:t>
      </w:r>
      <w:r w:rsidR="0080079E">
        <w:rPr>
          <w:szCs w:val="24"/>
        </w:rPr>
        <w:t>ing</w:t>
      </w:r>
      <w:r w:rsidRPr="00AB137E">
        <w:rPr>
          <w:szCs w:val="24"/>
        </w:rPr>
        <w:t xml:space="preserve"> the premium amounts paid by the employer</w:t>
      </w:r>
      <w:r w:rsidR="00FA2F16">
        <w:rPr>
          <w:szCs w:val="24"/>
        </w:rPr>
        <w:t xml:space="preserve"> versus the amount paid by the employee</w:t>
      </w:r>
      <w:r w:rsidR="00B27E5B">
        <w:rPr>
          <w:szCs w:val="24"/>
        </w:rPr>
        <w:t>.</w:t>
      </w:r>
      <w:r w:rsidR="001A70FE">
        <w:rPr>
          <w:szCs w:val="24"/>
        </w:rPr>
        <w:t xml:space="preserve"> </w:t>
      </w:r>
      <w:r w:rsidR="00B27E5B">
        <w:rPr>
          <w:szCs w:val="24"/>
        </w:rPr>
        <w:t>One commenter suggested</w:t>
      </w:r>
      <w:r w:rsidRPr="00AB137E">
        <w:rPr>
          <w:szCs w:val="24"/>
        </w:rPr>
        <w:t xml:space="preserve"> </w:t>
      </w:r>
      <w:r w:rsidR="00B27E5B">
        <w:rPr>
          <w:szCs w:val="24"/>
        </w:rPr>
        <w:t>excluding</w:t>
      </w:r>
      <w:r w:rsidRPr="00AB137E">
        <w:rPr>
          <w:szCs w:val="24"/>
        </w:rPr>
        <w:t xml:space="preserve"> premium and life-years </w:t>
      </w:r>
      <w:r w:rsidR="00B27E5B">
        <w:rPr>
          <w:szCs w:val="24"/>
        </w:rPr>
        <w:t>for</w:t>
      </w:r>
      <w:r w:rsidRPr="00AB137E">
        <w:rPr>
          <w:szCs w:val="24"/>
        </w:rPr>
        <w:t xml:space="preserve"> groups for which </w:t>
      </w:r>
      <w:r w:rsidR="00B27E5B">
        <w:rPr>
          <w:szCs w:val="24"/>
        </w:rPr>
        <w:t>the portion paid by the employer is</w:t>
      </w:r>
      <w:r w:rsidRPr="00AB137E">
        <w:rPr>
          <w:szCs w:val="24"/>
        </w:rPr>
        <w:t xml:space="preserve"> not available.</w:t>
      </w:r>
      <w:r w:rsidRPr="00AB137E" w:rsidR="00AB137E">
        <w:rPr>
          <w:szCs w:val="24"/>
        </w:rPr>
        <w:t xml:space="preserve"> Another commenter recommend</w:t>
      </w:r>
      <w:r w:rsidR="00AB137E">
        <w:rPr>
          <w:szCs w:val="24"/>
        </w:rPr>
        <w:t>ed</w:t>
      </w:r>
      <w:r w:rsidRPr="00AB137E" w:rsidR="00AB137E">
        <w:rPr>
          <w:szCs w:val="24"/>
        </w:rPr>
        <w:t xml:space="preserve"> only requir</w:t>
      </w:r>
      <w:r w:rsidR="00B27E5B">
        <w:rPr>
          <w:szCs w:val="24"/>
        </w:rPr>
        <w:t>ing</w:t>
      </w:r>
      <w:r w:rsidRPr="00AB137E" w:rsidR="00AB137E">
        <w:rPr>
          <w:szCs w:val="24"/>
        </w:rPr>
        <w:t xml:space="preserve"> reporting </w:t>
      </w:r>
      <w:r w:rsidR="00B27E5B">
        <w:rPr>
          <w:szCs w:val="24"/>
        </w:rPr>
        <w:t xml:space="preserve">of </w:t>
      </w:r>
      <w:r w:rsidR="001A70FE">
        <w:rPr>
          <w:szCs w:val="24"/>
        </w:rPr>
        <w:t>t</w:t>
      </w:r>
      <w:r w:rsidRPr="00AB137E" w:rsidR="00AB137E">
        <w:rPr>
          <w:szCs w:val="24"/>
        </w:rPr>
        <w:t>otal premiums, rather than premiums paid by employer v</w:t>
      </w:r>
      <w:r w:rsidR="0080079E">
        <w:rPr>
          <w:szCs w:val="24"/>
        </w:rPr>
        <w:t>ersu</w:t>
      </w:r>
      <w:r w:rsidRPr="00AB137E" w:rsidR="00AB137E">
        <w:rPr>
          <w:szCs w:val="24"/>
        </w:rPr>
        <w:t xml:space="preserve">s premiums paid by </w:t>
      </w:r>
      <w:r w:rsidR="00B27E5B">
        <w:rPr>
          <w:szCs w:val="24"/>
        </w:rPr>
        <w:t>employee</w:t>
      </w:r>
      <w:r w:rsidRPr="00AB137E" w:rsidR="00AB137E">
        <w:rPr>
          <w:szCs w:val="24"/>
        </w:rPr>
        <w:t>.</w:t>
      </w:r>
      <w:r w:rsidR="00A74666">
        <w:rPr>
          <w:szCs w:val="24"/>
        </w:rPr>
        <w:t xml:space="preserve"> </w:t>
      </w:r>
    </w:p>
    <w:p w:rsidR="00276449" w:rsidP="00276449" w:rsidRDefault="00276449" w14:paraId="1D225F5C" w14:textId="4AB11840">
      <w:pPr>
        <w:pStyle w:val="ListParagraph"/>
        <w:ind w:left="450"/>
        <w:rPr>
          <w:szCs w:val="24"/>
        </w:rPr>
      </w:pPr>
    </w:p>
    <w:p w:rsidR="00276449" w:rsidP="00276449" w:rsidRDefault="00132999" w14:paraId="495DF45A" w14:textId="1530799B">
      <w:pPr>
        <w:pStyle w:val="ListParagraph"/>
        <w:ind w:left="450"/>
        <w:rPr>
          <w:szCs w:val="24"/>
          <w:u w:val="single"/>
        </w:rPr>
      </w:pPr>
      <w:r>
        <w:rPr>
          <w:szCs w:val="24"/>
          <w:u w:val="single"/>
        </w:rPr>
        <w:t>Response</w:t>
      </w:r>
    </w:p>
    <w:p w:rsidR="00075234" w:rsidP="00075234" w:rsidRDefault="00132999" w14:paraId="6057817C" w14:textId="55D5C2C3">
      <w:pPr>
        <w:pStyle w:val="ListParagraph"/>
        <w:widowControl/>
        <w:ind w:left="450"/>
        <w:rPr>
          <w:szCs w:val="24"/>
        </w:rPr>
      </w:pPr>
      <w:r>
        <w:rPr>
          <w:szCs w:val="24"/>
        </w:rPr>
        <w:t xml:space="preserve">We </w:t>
      </w:r>
      <w:r w:rsidR="00C50F0A">
        <w:rPr>
          <w:szCs w:val="24"/>
        </w:rPr>
        <w:t xml:space="preserve">note that </w:t>
      </w:r>
      <w:r w:rsidR="00FF0A82">
        <w:rPr>
          <w:szCs w:val="24"/>
        </w:rPr>
        <w:t>it is a statutory requirement for plans and issuers to report average monthly premium paid by employers and average monthly premium paid by enrollees</w:t>
      </w:r>
      <w:r w:rsidR="00C50F0A">
        <w:rPr>
          <w:szCs w:val="24"/>
        </w:rPr>
        <w:t xml:space="preserve">. However, </w:t>
      </w:r>
      <w:r w:rsidR="002E51F6">
        <w:rPr>
          <w:szCs w:val="24"/>
        </w:rPr>
        <w:t>we</w:t>
      </w:r>
      <w:r w:rsidR="00E61577">
        <w:rPr>
          <w:szCs w:val="24"/>
        </w:rPr>
        <w:t xml:space="preserve"> recogni</w:t>
      </w:r>
      <w:r w:rsidR="002E51F6">
        <w:rPr>
          <w:szCs w:val="24"/>
        </w:rPr>
        <w:t xml:space="preserve">ze </w:t>
      </w:r>
      <w:r w:rsidR="00E61577">
        <w:rPr>
          <w:szCs w:val="24"/>
        </w:rPr>
        <w:t xml:space="preserve">that </w:t>
      </w:r>
      <w:r w:rsidR="00C50F0A">
        <w:rPr>
          <w:szCs w:val="24"/>
        </w:rPr>
        <w:t xml:space="preserve">issuers may not be able to obtain the required information from former clients or from </w:t>
      </w:r>
      <w:r w:rsidR="00FF0A82">
        <w:rPr>
          <w:szCs w:val="24"/>
        </w:rPr>
        <w:t>employers that</w:t>
      </w:r>
      <w:r w:rsidR="00C50F0A">
        <w:rPr>
          <w:szCs w:val="24"/>
        </w:rPr>
        <w:t xml:space="preserve"> have gone out of business. Therefore, for the 2020 and 2021</w:t>
      </w:r>
      <w:r w:rsidR="00675A69">
        <w:rPr>
          <w:szCs w:val="24"/>
        </w:rPr>
        <w:t xml:space="preserve"> reference years only, </w:t>
      </w:r>
      <w:r w:rsidR="00FA2F16">
        <w:rPr>
          <w:szCs w:val="24"/>
        </w:rPr>
        <w:t>w</w:t>
      </w:r>
      <w:r>
        <w:rPr>
          <w:szCs w:val="24"/>
        </w:rPr>
        <w:t xml:space="preserve">e </w:t>
      </w:r>
      <w:r w:rsidR="00675A69">
        <w:rPr>
          <w:szCs w:val="24"/>
        </w:rPr>
        <w:t>revised the instructions to accept estimated values when, despite a good faith effort, an issuer has been unable to obtain the information from a former client.</w:t>
      </w:r>
    </w:p>
    <w:p w:rsidR="00B27E5B" w:rsidP="00075234" w:rsidRDefault="00B27E5B" w14:paraId="111B3490" w14:textId="5BBC348E">
      <w:pPr>
        <w:pStyle w:val="ListParagraph"/>
        <w:widowControl/>
        <w:ind w:left="450"/>
        <w:rPr>
          <w:szCs w:val="24"/>
        </w:rPr>
      </w:pPr>
    </w:p>
    <w:p w:rsidR="00B27E5B" w:rsidP="00B27E5B" w:rsidRDefault="00B27E5B" w14:paraId="5E3906EC" w14:textId="469F1D0E">
      <w:pPr>
        <w:pStyle w:val="ListParagraph"/>
        <w:widowControl/>
        <w:numPr>
          <w:ilvl w:val="0"/>
          <w:numId w:val="9"/>
        </w:numPr>
        <w:rPr>
          <w:szCs w:val="24"/>
        </w:rPr>
      </w:pPr>
      <w:r w:rsidRPr="00AB137E">
        <w:rPr>
          <w:szCs w:val="24"/>
        </w:rPr>
        <w:t>One commenter suggested reconciling the definition of earned premium with existing fillings</w:t>
      </w:r>
      <w:r w:rsidR="0080079E">
        <w:rPr>
          <w:szCs w:val="24"/>
        </w:rPr>
        <w:t>,</w:t>
      </w:r>
      <w:r w:rsidRPr="00AB137E">
        <w:rPr>
          <w:szCs w:val="24"/>
        </w:rPr>
        <w:t xml:space="preserve"> such as Supplemental Health Care Exhibit or </w:t>
      </w:r>
      <w:r w:rsidR="00594375">
        <w:rPr>
          <w:szCs w:val="24"/>
        </w:rPr>
        <w:t xml:space="preserve">the 12/31 column of the </w:t>
      </w:r>
      <w:r w:rsidRPr="00AB137E">
        <w:rPr>
          <w:szCs w:val="24"/>
        </w:rPr>
        <w:t>MLR</w:t>
      </w:r>
      <w:r w:rsidR="00594375">
        <w:rPr>
          <w:szCs w:val="24"/>
        </w:rPr>
        <w:t xml:space="preserve"> </w:t>
      </w:r>
      <w:r w:rsidR="0080079E">
        <w:rPr>
          <w:szCs w:val="24"/>
        </w:rPr>
        <w:t>Annual R</w:t>
      </w:r>
      <w:r w:rsidR="00594375">
        <w:rPr>
          <w:szCs w:val="24"/>
        </w:rPr>
        <w:t>eport</w:t>
      </w:r>
      <w:r w:rsidR="0080079E">
        <w:rPr>
          <w:szCs w:val="24"/>
        </w:rPr>
        <w:t>ing Form</w:t>
      </w:r>
      <w:r w:rsidRPr="00AB137E">
        <w:rPr>
          <w:szCs w:val="24"/>
        </w:rPr>
        <w:t>.</w:t>
      </w:r>
    </w:p>
    <w:p w:rsidR="00594375" w:rsidP="00594375" w:rsidRDefault="00594375" w14:paraId="20EE40F8" w14:textId="6F3F3F96">
      <w:pPr>
        <w:pStyle w:val="ListParagraph"/>
        <w:widowControl/>
        <w:ind w:left="450"/>
        <w:rPr>
          <w:szCs w:val="24"/>
        </w:rPr>
      </w:pPr>
    </w:p>
    <w:p w:rsidRPr="00FA2F16" w:rsidR="00594375" w:rsidP="00594375" w:rsidRDefault="00132999" w14:paraId="687740FF" w14:textId="12387718">
      <w:pPr>
        <w:pStyle w:val="ListParagraph"/>
        <w:widowControl/>
        <w:ind w:left="450"/>
        <w:rPr>
          <w:szCs w:val="24"/>
          <w:u w:val="single"/>
        </w:rPr>
      </w:pPr>
      <w:r w:rsidRPr="00FA2F16">
        <w:rPr>
          <w:szCs w:val="24"/>
          <w:u w:val="single"/>
        </w:rPr>
        <w:t>Response</w:t>
      </w:r>
    </w:p>
    <w:p w:rsidRPr="007F036F" w:rsidR="00594375" w:rsidP="007F036F" w:rsidRDefault="00132999" w14:paraId="78CEBFD3" w14:textId="69DE2C24">
      <w:pPr>
        <w:widowControl/>
        <w:autoSpaceDE w:val="0"/>
        <w:autoSpaceDN w:val="0"/>
        <w:adjustRightInd w:val="0"/>
        <w:ind w:left="450"/>
        <w:rPr>
          <w:szCs w:val="24"/>
        </w:rPr>
      </w:pPr>
      <w:r>
        <w:rPr>
          <w:szCs w:val="24"/>
        </w:rPr>
        <w:t xml:space="preserve">We </w:t>
      </w:r>
      <w:r w:rsidRPr="007F036F" w:rsidR="00594375">
        <w:rPr>
          <w:szCs w:val="24"/>
        </w:rPr>
        <w:t xml:space="preserve">made no changes based on this comment. The </w:t>
      </w:r>
      <w:r w:rsidRPr="007F036F" w:rsidR="00F41242">
        <w:rPr>
          <w:szCs w:val="24"/>
        </w:rPr>
        <w:t xml:space="preserve">RxDC </w:t>
      </w:r>
      <w:r w:rsidRPr="007F036F" w:rsidR="00594375">
        <w:rPr>
          <w:szCs w:val="24"/>
        </w:rPr>
        <w:t xml:space="preserve">definition of </w:t>
      </w:r>
      <w:r w:rsidRPr="007F036F" w:rsidR="00F41242">
        <w:rPr>
          <w:szCs w:val="24"/>
        </w:rPr>
        <w:t xml:space="preserve">earned premium is the same </w:t>
      </w:r>
      <w:r w:rsidRPr="007F036F" w:rsidR="00594375">
        <w:rPr>
          <w:szCs w:val="24"/>
        </w:rPr>
        <w:t xml:space="preserve">is the same </w:t>
      </w:r>
      <w:r w:rsidRPr="007F036F" w:rsidR="00F41242">
        <w:rPr>
          <w:szCs w:val="24"/>
        </w:rPr>
        <w:t xml:space="preserve">as the </w:t>
      </w:r>
      <w:r w:rsidR="008445B8">
        <w:rPr>
          <w:szCs w:val="24"/>
        </w:rPr>
        <w:t xml:space="preserve">definition </w:t>
      </w:r>
      <w:r w:rsidR="00FA2F16">
        <w:rPr>
          <w:szCs w:val="24"/>
        </w:rPr>
        <w:t>for the</w:t>
      </w:r>
      <w:r w:rsidRPr="007F036F" w:rsidR="00594375">
        <w:rPr>
          <w:szCs w:val="24"/>
        </w:rPr>
        <w:t xml:space="preserve"> 3/31 column of the MLR </w:t>
      </w:r>
      <w:r w:rsidR="007F036F">
        <w:rPr>
          <w:szCs w:val="24"/>
        </w:rPr>
        <w:t>Annual R</w:t>
      </w:r>
      <w:r w:rsidRPr="007F036F" w:rsidR="00594375">
        <w:rPr>
          <w:szCs w:val="24"/>
        </w:rPr>
        <w:t>eport</w:t>
      </w:r>
      <w:r w:rsidR="007F036F">
        <w:rPr>
          <w:szCs w:val="24"/>
        </w:rPr>
        <w:t>ing Form</w:t>
      </w:r>
      <w:r w:rsidRPr="007F036F" w:rsidR="00594375">
        <w:rPr>
          <w:szCs w:val="24"/>
        </w:rPr>
        <w:t xml:space="preserve">. </w:t>
      </w:r>
      <w:r w:rsidRPr="007F036F" w:rsidR="00F41242">
        <w:rPr>
          <w:szCs w:val="24"/>
        </w:rPr>
        <w:t xml:space="preserve">The 3/31 </w:t>
      </w:r>
      <w:r w:rsidR="002E51F6">
        <w:rPr>
          <w:szCs w:val="24"/>
        </w:rPr>
        <w:t xml:space="preserve">column </w:t>
      </w:r>
      <w:r w:rsidR="008445B8">
        <w:rPr>
          <w:szCs w:val="24"/>
        </w:rPr>
        <w:t>accounts</w:t>
      </w:r>
      <w:r w:rsidR="00FA2F16">
        <w:rPr>
          <w:szCs w:val="24"/>
        </w:rPr>
        <w:t xml:space="preserve"> </w:t>
      </w:r>
      <w:r w:rsidRPr="007F036F" w:rsidR="003D6899">
        <w:rPr>
          <w:szCs w:val="24"/>
        </w:rPr>
        <w:t xml:space="preserve">for </w:t>
      </w:r>
      <w:r w:rsidRPr="007F036F" w:rsidR="0080079E">
        <w:rPr>
          <w:szCs w:val="24"/>
        </w:rPr>
        <w:t xml:space="preserve">earned premium </w:t>
      </w:r>
      <w:r w:rsidR="008445B8">
        <w:rPr>
          <w:szCs w:val="24"/>
        </w:rPr>
        <w:t>payments</w:t>
      </w:r>
      <w:r w:rsidR="00FA2F16">
        <w:rPr>
          <w:szCs w:val="24"/>
        </w:rPr>
        <w:t xml:space="preserve"> </w:t>
      </w:r>
      <w:r w:rsidRPr="007F036F" w:rsidR="007F036F">
        <w:rPr>
          <w:snapToGrid/>
          <w:szCs w:val="24"/>
        </w:rPr>
        <w:t xml:space="preserve">for policies in effect during the </w:t>
      </w:r>
      <w:r w:rsidR="008445B8">
        <w:rPr>
          <w:snapToGrid/>
          <w:szCs w:val="24"/>
        </w:rPr>
        <w:t>reference</w:t>
      </w:r>
      <w:r w:rsidRPr="007F036F" w:rsidR="007F036F">
        <w:rPr>
          <w:snapToGrid/>
          <w:szCs w:val="24"/>
        </w:rPr>
        <w:t xml:space="preserve"> year that are processed and paid in the three months following the end of the </w:t>
      </w:r>
      <w:r w:rsidR="008445B8">
        <w:rPr>
          <w:snapToGrid/>
          <w:szCs w:val="24"/>
        </w:rPr>
        <w:t xml:space="preserve">reference </w:t>
      </w:r>
      <w:r w:rsidRPr="007F036F" w:rsidR="007F036F">
        <w:rPr>
          <w:snapToGrid/>
          <w:szCs w:val="24"/>
        </w:rPr>
        <w:t xml:space="preserve">year. </w:t>
      </w:r>
    </w:p>
    <w:p w:rsidR="00075234" w:rsidP="00075234" w:rsidRDefault="00075234" w14:paraId="7C6290F0" w14:textId="77777777">
      <w:pPr>
        <w:pStyle w:val="ListParagraph"/>
        <w:widowControl/>
        <w:ind w:left="450"/>
        <w:rPr>
          <w:szCs w:val="24"/>
        </w:rPr>
      </w:pPr>
    </w:p>
    <w:p w:rsidRPr="001618D8" w:rsidR="00F6492E" w:rsidP="001618D8" w:rsidRDefault="000726A0" w14:paraId="21BD3539" w14:textId="33653857">
      <w:pPr>
        <w:pStyle w:val="ListParagraph"/>
        <w:widowControl/>
        <w:numPr>
          <w:ilvl w:val="0"/>
          <w:numId w:val="9"/>
        </w:numPr>
        <w:rPr>
          <w:szCs w:val="24"/>
        </w:rPr>
      </w:pPr>
      <w:r w:rsidRPr="005632F2">
        <w:rPr>
          <w:szCs w:val="24"/>
        </w:rPr>
        <w:t>Seven</w:t>
      </w:r>
      <w:r w:rsidRPr="005632F2" w:rsidR="004717F0">
        <w:rPr>
          <w:szCs w:val="24"/>
        </w:rPr>
        <w:t xml:space="preserve"> </w:t>
      </w:r>
      <w:r w:rsidRPr="005632F2" w:rsidR="00F6492E">
        <w:rPr>
          <w:szCs w:val="24"/>
        </w:rPr>
        <w:t>comment</w:t>
      </w:r>
      <w:r w:rsidR="0080079E">
        <w:rPr>
          <w:szCs w:val="24"/>
        </w:rPr>
        <w:t>er</w:t>
      </w:r>
      <w:r w:rsidRPr="005632F2" w:rsidR="00F6492E">
        <w:rPr>
          <w:szCs w:val="24"/>
        </w:rPr>
        <w:t xml:space="preserve">s </w:t>
      </w:r>
      <w:r w:rsidRPr="005632F2" w:rsidR="000141CD">
        <w:rPr>
          <w:szCs w:val="24"/>
        </w:rPr>
        <w:t xml:space="preserve">suggested </w:t>
      </w:r>
      <w:r w:rsidR="001618D8">
        <w:rPr>
          <w:szCs w:val="24"/>
        </w:rPr>
        <w:t>that we provide more details on the definitions of the</w:t>
      </w:r>
      <w:r w:rsidR="00FA2F16">
        <w:rPr>
          <w:szCs w:val="24"/>
        </w:rPr>
        <w:t xml:space="preserve"> </w:t>
      </w:r>
      <w:r w:rsidRPr="005632F2" w:rsidR="000141CD">
        <w:rPr>
          <w:szCs w:val="24"/>
        </w:rPr>
        <w:t>spending categorie</w:t>
      </w:r>
      <w:r w:rsidR="001618D8">
        <w:rPr>
          <w:szCs w:val="24"/>
        </w:rPr>
        <w:t>s</w:t>
      </w:r>
      <w:r w:rsidR="003D6899">
        <w:rPr>
          <w:szCs w:val="24"/>
        </w:rPr>
        <w:t xml:space="preserve">, such as by </w:t>
      </w:r>
      <w:r w:rsidRPr="005632F2" w:rsidR="000141CD">
        <w:rPr>
          <w:szCs w:val="24"/>
        </w:rPr>
        <w:t>using a breakdown of claims categories</w:t>
      </w:r>
      <w:r w:rsidR="002E51F6">
        <w:rPr>
          <w:szCs w:val="24"/>
        </w:rPr>
        <w:t xml:space="preserve">, </w:t>
      </w:r>
      <w:r w:rsidR="003D6899">
        <w:rPr>
          <w:szCs w:val="24"/>
        </w:rPr>
        <w:t>since</w:t>
      </w:r>
      <w:r w:rsidRPr="005632F2" w:rsidR="000141CD">
        <w:rPr>
          <w:szCs w:val="24"/>
        </w:rPr>
        <w:t xml:space="preserve"> the healthcare industry lacks uniformity in defining terms </w:t>
      </w:r>
      <w:r w:rsidR="003D6899">
        <w:rPr>
          <w:szCs w:val="24"/>
        </w:rPr>
        <w:t>such as</w:t>
      </w:r>
      <w:r w:rsidRPr="005632F2" w:rsidR="000141CD">
        <w:rPr>
          <w:szCs w:val="24"/>
        </w:rPr>
        <w:t xml:space="preserve"> “wellness” or “hospital” spending</w:t>
      </w:r>
      <w:r w:rsidRPr="005632F2" w:rsidR="00F6492E">
        <w:rPr>
          <w:szCs w:val="24"/>
        </w:rPr>
        <w:t>.</w:t>
      </w:r>
      <w:r w:rsidRPr="005632F2">
        <w:rPr>
          <w:szCs w:val="24"/>
        </w:rPr>
        <w:t xml:space="preserve"> </w:t>
      </w:r>
      <w:r w:rsidR="001618D8">
        <w:rPr>
          <w:szCs w:val="24"/>
        </w:rPr>
        <w:t xml:space="preserve">Several </w:t>
      </w:r>
      <w:r w:rsidR="00753CD6">
        <w:rPr>
          <w:szCs w:val="24"/>
        </w:rPr>
        <w:t>commenters</w:t>
      </w:r>
      <w:r w:rsidRPr="00210D08" w:rsidR="001618D8">
        <w:rPr>
          <w:szCs w:val="24"/>
        </w:rPr>
        <w:t xml:space="preserve"> suggested providing a uniform approach to </w:t>
      </w:r>
      <w:r w:rsidR="001618D8">
        <w:rPr>
          <w:szCs w:val="24"/>
        </w:rPr>
        <w:t xml:space="preserve">defining </w:t>
      </w:r>
      <w:r w:rsidRPr="00210D08" w:rsidR="001618D8">
        <w:rPr>
          <w:szCs w:val="24"/>
        </w:rPr>
        <w:t xml:space="preserve">provider types (primary care versus specialty care). Commenters suggested that a list of taxonomy codes and services by CPT/HCPCS could be one method of ensuring uniformity. </w:t>
      </w:r>
    </w:p>
    <w:p w:rsidRPr="009A514A" w:rsidR="00F6492E" w:rsidP="003C5444" w:rsidRDefault="00F6492E" w14:paraId="72AFA026" w14:textId="3231B191">
      <w:pPr>
        <w:ind w:left="360"/>
        <w:rPr>
          <w:szCs w:val="24"/>
        </w:rPr>
      </w:pPr>
    </w:p>
    <w:p w:rsidRPr="003936A4" w:rsidR="00F6492E" w:rsidP="00F6492E" w:rsidRDefault="00132999" w14:paraId="569FC6D7" w14:textId="1AC17FBD">
      <w:pPr>
        <w:ind w:left="450"/>
        <w:rPr>
          <w:szCs w:val="24"/>
          <w:u w:val="single"/>
        </w:rPr>
      </w:pPr>
      <w:r>
        <w:rPr>
          <w:szCs w:val="24"/>
          <w:u w:val="single"/>
        </w:rPr>
        <w:t>Response</w:t>
      </w:r>
    </w:p>
    <w:p w:rsidR="00210D08" w:rsidP="001618D8" w:rsidRDefault="00132999" w14:paraId="19A8BC98" w14:textId="2E604BB2">
      <w:pPr>
        <w:pStyle w:val="ListParagraph"/>
        <w:ind w:left="450"/>
        <w:rPr>
          <w:szCs w:val="24"/>
        </w:rPr>
      </w:pPr>
      <w:r>
        <w:rPr>
          <w:szCs w:val="24"/>
        </w:rPr>
        <w:t xml:space="preserve">We </w:t>
      </w:r>
      <w:r w:rsidR="00FA2F16">
        <w:rPr>
          <w:szCs w:val="24"/>
        </w:rPr>
        <w:t>added more details to the reporting instructions</w:t>
      </w:r>
      <w:r w:rsidR="001618D8">
        <w:rPr>
          <w:szCs w:val="24"/>
        </w:rPr>
        <w:t xml:space="preserve"> about</w:t>
      </w:r>
      <w:r w:rsidR="00FA2F16">
        <w:rPr>
          <w:szCs w:val="24"/>
        </w:rPr>
        <w:t xml:space="preserve"> how spending should be</w:t>
      </w:r>
      <w:r w:rsidR="00E107BF">
        <w:rPr>
          <w:szCs w:val="24"/>
        </w:rPr>
        <w:t xml:space="preserve"> broken down by claims types</w:t>
      </w:r>
      <w:r w:rsidR="000726A0">
        <w:rPr>
          <w:szCs w:val="24"/>
        </w:rPr>
        <w:t xml:space="preserve"> and </w:t>
      </w:r>
      <w:r w:rsidR="00E107BF">
        <w:rPr>
          <w:szCs w:val="24"/>
        </w:rPr>
        <w:t>place of care</w:t>
      </w:r>
      <w:r w:rsidR="000726A0">
        <w:rPr>
          <w:szCs w:val="24"/>
        </w:rPr>
        <w:t>.</w:t>
      </w:r>
      <w:r w:rsidR="001618D8">
        <w:rPr>
          <w:szCs w:val="24"/>
        </w:rPr>
        <w:t xml:space="preserve"> We also provided</w:t>
      </w:r>
      <w:r w:rsidR="00210D08">
        <w:rPr>
          <w:szCs w:val="24"/>
        </w:rPr>
        <w:t xml:space="preserve"> taxonomy code</w:t>
      </w:r>
      <w:r w:rsidR="001D5557">
        <w:rPr>
          <w:szCs w:val="24"/>
        </w:rPr>
        <w:t>s</w:t>
      </w:r>
      <w:r w:rsidR="00210D08">
        <w:rPr>
          <w:szCs w:val="24"/>
        </w:rPr>
        <w:t xml:space="preserve"> and procedural codes (CPT/HCPCS).</w:t>
      </w:r>
    </w:p>
    <w:p w:rsidRPr="00613DC3" w:rsidR="000F6654" w:rsidP="00613DC3" w:rsidRDefault="000F6654" w14:paraId="64044136" w14:textId="77777777">
      <w:pPr>
        <w:rPr>
          <w:szCs w:val="24"/>
        </w:rPr>
      </w:pPr>
    </w:p>
    <w:p w:rsidRPr="000F4237" w:rsidR="00210D08" w:rsidP="00210D08" w:rsidRDefault="00210D08" w14:paraId="16D9C63A" w14:textId="3E9B2677">
      <w:pPr>
        <w:pStyle w:val="Heading2"/>
      </w:pPr>
      <w:bookmarkStart w:name="_Toc104115143" w:id="3"/>
      <w:r w:rsidRPr="000F4237">
        <w:t>C</w:t>
      </w:r>
      <w:r>
        <w:t>omment</w:t>
      </w:r>
      <w:r w:rsidRPr="000F4237">
        <w:t xml:space="preserve">s </w:t>
      </w:r>
      <w:r>
        <w:t>on the RxDC Data</w:t>
      </w:r>
      <w:r w:rsidR="001618D8">
        <w:t xml:space="preserve"> Collection</w:t>
      </w:r>
      <w:r>
        <w:t xml:space="preserve"> System</w:t>
      </w:r>
      <w:bookmarkEnd w:id="3"/>
    </w:p>
    <w:p w:rsidR="005C4E40" w:rsidP="00210D08" w:rsidRDefault="001618D8" w14:paraId="06D470A3" w14:textId="7CA1BCC5">
      <w:pPr>
        <w:pStyle w:val="ListParagraph"/>
        <w:numPr>
          <w:ilvl w:val="0"/>
          <w:numId w:val="21"/>
        </w:numPr>
        <w:rPr>
          <w:szCs w:val="24"/>
        </w:rPr>
      </w:pPr>
      <w:r>
        <w:rPr>
          <w:szCs w:val="24"/>
        </w:rPr>
        <w:t>We received e</w:t>
      </w:r>
      <w:r w:rsidR="005C4E40">
        <w:rPr>
          <w:szCs w:val="24"/>
        </w:rPr>
        <w:t>ight comments on the data collection system.</w:t>
      </w:r>
      <w:r w:rsidR="00B20CF5">
        <w:rPr>
          <w:szCs w:val="24"/>
        </w:rPr>
        <w:t xml:space="preserve"> </w:t>
      </w:r>
      <w:r>
        <w:rPr>
          <w:szCs w:val="24"/>
        </w:rPr>
        <w:t>Many commenters expressed support for a d</w:t>
      </w:r>
      <w:r w:rsidRPr="00397F95" w:rsidR="00397F95">
        <w:rPr>
          <w:szCs w:val="24"/>
        </w:rPr>
        <w:t xml:space="preserve">ata collection system </w:t>
      </w:r>
      <w:r>
        <w:rPr>
          <w:szCs w:val="24"/>
        </w:rPr>
        <w:t>that allows</w:t>
      </w:r>
      <w:r w:rsidRPr="00397F95" w:rsidR="00397F95">
        <w:rPr>
          <w:szCs w:val="24"/>
        </w:rPr>
        <w:t xml:space="preserve"> multiple entities to </w:t>
      </w:r>
      <w:r w:rsidR="00B20CF5">
        <w:rPr>
          <w:szCs w:val="24"/>
        </w:rPr>
        <w:t xml:space="preserve">report </w:t>
      </w:r>
      <w:r w:rsidRPr="00397F95" w:rsidR="00397F95">
        <w:rPr>
          <w:szCs w:val="24"/>
        </w:rPr>
        <w:t xml:space="preserve">different subsets </w:t>
      </w:r>
      <w:r w:rsidRPr="00397F95" w:rsidR="00397F95">
        <w:rPr>
          <w:szCs w:val="24"/>
        </w:rPr>
        <w:lastRenderedPageBreak/>
        <w:t>of the required information for a</w:t>
      </w:r>
      <w:r w:rsidR="00B20CF5">
        <w:rPr>
          <w:szCs w:val="24"/>
        </w:rPr>
        <w:t xml:space="preserve"> </w:t>
      </w:r>
      <w:r>
        <w:rPr>
          <w:szCs w:val="24"/>
        </w:rPr>
        <w:t>plan, issuer, or carrier</w:t>
      </w:r>
      <w:r w:rsidR="00B20CF5">
        <w:rPr>
          <w:szCs w:val="24"/>
        </w:rPr>
        <w:t xml:space="preserve">. </w:t>
      </w:r>
    </w:p>
    <w:p w:rsidR="005C4E40" w:rsidP="005C4E40" w:rsidRDefault="005C4E40" w14:paraId="1A68344F" w14:textId="2AAB688F">
      <w:pPr>
        <w:pStyle w:val="ListParagraph"/>
        <w:ind w:left="450"/>
        <w:rPr>
          <w:szCs w:val="24"/>
        </w:rPr>
      </w:pPr>
    </w:p>
    <w:p w:rsidR="005C4E40" w:rsidP="005C4E40" w:rsidRDefault="00132999" w14:paraId="0CD706BA" w14:textId="327A48B3">
      <w:pPr>
        <w:pStyle w:val="ListParagraph"/>
        <w:ind w:left="450"/>
        <w:rPr>
          <w:szCs w:val="24"/>
          <w:u w:val="single"/>
        </w:rPr>
      </w:pPr>
      <w:r>
        <w:rPr>
          <w:szCs w:val="24"/>
          <w:u w:val="single"/>
        </w:rPr>
        <w:t>Response</w:t>
      </w:r>
    </w:p>
    <w:p w:rsidR="00E769F9" w:rsidP="00132999" w:rsidRDefault="00132999" w14:paraId="5FE4E056" w14:textId="697B9D84">
      <w:pPr>
        <w:pStyle w:val="ListParagraph"/>
        <w:ind w:left="450"/>
      </w:pPr>
      <w:r>
        <w:rPr>
          <w:szCs w:val="24"/>
        </w:rPr>
        <w:t xml:space="preserve">We </w:t>
      </w:r>
      <w:r w:rsidRPr="00B20CF5" w:rsidR="00C50F0A">
        <w:rPr>
          <w:szCs w:val="24"/>
        </w:rPr>
        <w:t xml:space="preserve">made no changes based on these comments. </w:t>
      </w:r>
      <w:r w:rsidR="001618D8">
        <w:rPr>
          <w:szCs w:val="24"/>
        </w:rPr>
        <w:t>We are collecting data using the</w:t>
      </w:r>
      <w:r w:rsidRPr="00B20CF5" w:rsidR="00C50F0A">
        <w:rPr>
          <w:szCs w:val="24"/>
        </w:rPr>
        <w:t xml:space="preserve"> Health Insurance Oversight System (HIOS)</w:t>
      </w:r>
      <w:r w:rsidR="001618D8">
        <w:rPr>
          <w:szCs w:val="24"/>
        </w:rPr>
        <w:t>.</w:t>
      </w:r>
      <w:r w:rsidR="00E61577">
        <w:rPr>
          <w:szCs w:val="24"/>
        </w:rPr>
        <w:t xml:space="preserve"> </w:t>
      </w:r>
      <w:r w:rsidR="001618D8">
        <w:rPr>
          <w:szCs w:val="24"/>
        </w:rPr>
        <w:t>HIOS will accommodate submissions by multiple reporting entities.</w:t>
      </w:r>
    </w:p>
    <w:sectPr w:rsidR="00E769F9" w:rsidSect="00797757">
      <w:headerReference w:type="default" r:id="rId17"/>
      <w:footerReference w:type="default" r:id="rId18"/>
      <w:pgSz w:w="12240" w:h="15840"/>
      <w:pgMar w:top="1440" w:right="1440" w:bottom="1440" w:left="1440" w:header="360" w:footer="34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95A8" w16cex:dateUtc="2022-06-10T14:04:00Z"/>
  <w16cex:commentExtensible w16cex:durableId="264D9579" w16cex:dateUtc="2022-06-10T14:03:00Z"/>
  <w16cex:commentExtensible w16cex:durableId="264D960C" w16cex:dateUtc="2022-06-10T14:06:00Z"/>
  <w16cex:commentExtensible w16cex:durableId="264D96AA" w16cex:dateUtc="2022-06-10T14: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A70A1" w14:textId="77777777" w:rsidR="0035114E" w:rsidRDefault="0035114E" w:rsidP="00B36747">
      <w:r>
        <w:separator/>
      </w:r>
    </w:p>
  </w:endnote>
  <w:endnote w:type="continuationSeparator" w:id="0">
    <w:p w14:paraId="396122E4" w14:textId="77777777" w:rsidR="0035114E" w:rsidRDefault="0035114E" w:rsidP="00B36747">
      <w:r>
        <w:continuationSeparator/>
      </w:r>
    </w:p>
  </w:endnote>
  <w:endnote w:type="continuationNotice" w:id="1">
    <w:p w14:paraId="145C3863" w14:textId="77777777" w:rsidR="0035114E" w:rsidRDefault="00351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690418"/>
      <w:docPartObj>
        <w:docPartGallery w:val="Page Numbers (Bottom of Page)"/>
        <w:docPartUnique/>
      </w:docPartObj>
    </w:sdtPr>
    <w:sdtEndPr/>
    <w:sdtContent>
      <w:sdt>
        <w:sdtPr>
          <w:id w:val="1723021802"/>
          <w:docPartObj>
            <w:docPartGallery w:val="Page Numbers (Top of Page)"/>
            <w:docPartUnique/>
          </w:docPartObj>
        </w:sdtPr>
        <w:sdtEndPr/>
        <w:sdtContent>
          <w:p w14:paraId="69C0A7B4" w14:textId="77777777" w:rsidR="001A58E8" w:rsidRDefault="001A58E8" w:rsidP="005173E0">
            <w:pPr>
              <w:pStyle w:val="Footer"/>
              <w:jc w:val="center"/>
            </w:pPr>
            <w:r>
              <w:t xml:space="preserve">Page </w:t>
            </w:r>
            <w:r>
              <w:rPr>
                <w:b/>
                <w:szCs w:val="24"/>
              </w:rPr>
              <w:fldChar w:fldCharType="begin"/>
            </w:r>
            <w:r>
              <w:rPr>
                <w:b/>
              </w:rPr>
              <w:instrText xml:space="preserve"> PAGE </w:instrText>
            </w:r>
            <w:r>
              <w:rPr>
                <w:b/>
                <w:szCs w:val="24"/>
              </w:rPr>
              <w:fldChar w:fldCharType="separate"/>
            </w:r>
            <w:r w:rsidR="00797757">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797757">
              <w:rPr>
                <w:b/>
                <w:noProof/>
              </w:rPr>
              <w:t>7</w:t>
            </w:r>
            <w:r>
              <w:rPr>
                <w:b/>
                <w:szCs w:val="24"/>
              </w:rPr>
              <w:fldChar w:fldCharType="end"/>
            </w:r>
          </w:p>
        </w:sdtContent>
      </w:sdt>
    </w:sdtContent>
  </w:sdt>
  <w:p w14:paraId="1EEE88A6" w14:textId="77777777" w:rsidR="001A58E8" w:rsidRDefault="001A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19B35" w14:textId="77777777" w:rsidR="0035114E" w:rsidRDefault="0035114E" w:rsidP="00B36747">
      <w:r>
        <w:separator/>
      </w:r>
    </w:p>
  </w:footnote>
  <w:footnote w:type="continuationSeparator" w:id="0">
    <w:p w14:paraId="7F0BE0BB" w14:textId="77777777" w:rsidR="0035114E" w:rsidRDefault="0035114E" w:rsidP="00B36747">
      <w:r>
        <w:continuationSeparator/>
      </w:r>
    </w:p>
  </w:footnote>
  <w:footnote w:type="continuationNotice" w:id="1">
    <w:p w14:paraId="3608AD99" w14:textId="77777777" w:rsidR="0035114E" w:rsidRDefault="0035114E"/>
  </w:footnote>
  <w:footnote w:id="2">
    <w:p w14:paraId="635F518D" w14:textId="5A85FDA4" w:rsidR="00F45D67" w:rsidRDefault="00F45D67">
      <w:pPr>
        <w:pStyle w:val="FootnoteText"/>
      </w:pPr>
      <w:r>
        <w:rPr>
          <w:rStyle w:val="FootnoteReference"/>
        </w:rPr>
        <w:footnoteRef/>
      </w:r>
      <w:r>
        <w:t xml:space="preserve"> See FAQs About Affordable Care Act and Consolidated Appropriations Act, 2021 Part 49, Q12, available at </w:t>
      </w:r>
      <w:hyperlink r:id="rId1" w:history="1">
        <w:r w:rsidRPr="000706FF">
          <w:rPr>
            <w:rStyle w:val="Hyperlink"/>
          </w:rPr>
          <w:t>https://www.cms.gov/CCIIO/Resources/Fact-Sheets-and-FAQs/Downloads/FAQs-Part-49.pdf</w:t>
        </w:r>
      </w:hyperlink>
      <w:r>
        <w:t xml:space="preserve"> and</w:t>
      </w:r>
      <w:r w:rsidRPr="00A7230B">
        <w:t xml:space="preserve"> </w:t>
      </w:r>
      <w:hyperlink r:id="rId2" w:history="1">
        <w:r w:rsidRPr="00251ECB">
          <w:rPr>
            <w:rStyle w:val="Hyperlink"/>
          </w:rPr>
          <w:t>https://www.dol.gov/sites/dolgov/files/EBSA/about-ebsa/our-activities/resource-center/faqs/aca-part-49.pdf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8EA9" w14:textId="77777777" w:rsidR="006D1A09" w:rsidRDefault="006D1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143"/>
    <w:multiLevelType w:val="hybridMultilevel"/>
    <w:tmpl w:val="17846A4C"/>
    <w:lvl w:ilvl="0" w:tplc="8F30B524">
      <w:start w:val="1"/>
      <w:numFmt w:val="decimal"/>
      <w:lvlText w:val="%1."/>
      <w:lvlJc w:val="left"/>
      <w:pPr>
        <w:ind w:left="450" w:hanging="360"/>
      </w:pPr>
      <w:rPr>
        <w:rFonts w:hint="default"/>
        <w:sz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7CF3D0A"/>
    <w:multiLevelType w:val="hybridMultilevel"/>
    <w:tmpl w:val="B3BA6DC6"/>
    <w:lvl w:ilvl="0" w:tplc="E198107E">
      <w:start w:val="1"/>
      <w:numFmt w:val="bullet"/>
      <w:lvlText w:val="o"/>
      <w:lvlJc w:val="left"/>
      <w:pPr>
        <w:ind w:left="800" w:hanging="360"/>
      </w:pPr>
      <w:rPr>
        <w:rFonts w:ascii="Courier New" w:eastAsia="Courier New" w:hAnsi="Courier New" w:hint="default"/>
        <w:w w:val="100"/>
        <w:sz w:val="24"/>
        <w:szCs w:val="24"/>
      </w:rPr>
    </w:lvl>
    <w:lvl w:ilvl="1" w:tplc="FF7CDF9A">
      <w:start w:val="1"/>
      <w:numFmt w:val="bullet"/>
      <w:lvlText w:val=""/>
      <w:lvlJc w:val="left"/>
      <w:pPr>
        <w:ind w:left="1520" w:hanging="360"/>
      </w:pPr>
      <w:rPr>
        <w:rFonts w:ascii="Wingdings" w:eastAsia="Wingdings" w:hAnsi="Wingdings" w:hint="default"/>
        <w:w w:val="100"/>
        <w:sz w:val="24"/>
        <w:szCs w:val="24"/>
      </w:rPr>
    </w:lvl>
    <w:lvl w:ilvl="2" w:tplc="A1A4B47C">
      <w:start w:val="1"/>
      <w:numFmt w:val="bullet"/>
      <w:lvlText w:val="•"/>
      <w:lvlJc w:val="left"/>
      <w:pPr>
        <w:ind w:left="2373" w:hanging="360"/>
      </w:pPr>
      <w:rPr>
        <w:rFonts w:hint="default"/>
      </w:rPr>
    </w:lvl>
    <w:lvl w:ilvl="3" w:tplc="A7421560">
      <w:start w:val="1"/>
      <w:numFmt w:val="bullet"/>
      <w:lvlText w:val="•"/>
      <w:lvlJc w:val="left"/>
      <w:pPr>
        <w:ind w:left="3226" w:hanging="360"/>
      </w:pPr>
      <w:rPr>
        <w:rFonts w:hint="default"/>
      </w:rPr>
    </w:lvl>
    <w:lvl w:ilvl="4" w:tplc="851E4A7A">
      <w:start w:val="1"/>
      <w:numFmt w:val="bullet"/>
      <w:lvlText w:val="•"/>
      <w:lvlJc w:val="left"/>
      <w:pPr>
        <w:ind w:left="4080" w:hanging="360"/>
      </w:pPr>
      <w:rPr>
        <w:rFonts w:hint="default"/>
      </w:rPr>
    </w:lvl>
    <w:lvl w:ilvl="5" w:tplc="9FAAD9BE">
      <w:start w:val="1"/>
      <w:numFmt w:val="bullet"/>
      <w:lvlText w:val="•"/>
      <w:lvlJc w:val="left"/>
      <w:pPr>
        <w:ind w:left="4933" w:hanging="360"/>
      </w:pPr>
      <w:rPr>
        <w:rFonts w:hint="default"/>
      </w:rPr>
    </w:lvl>
    <w:lvl w:ilvl="6" w:tplc="F68627E6">
      <w:start w:val="1"/>
      <w:numFmt w:val="bullet"/>
      <w:lvlText w:val="•"/>
      <w:lvlJc w:val="left"/>
      <w:pPr>
        <w:ind w:left="5786" w:hanging="360"/>
      </w:pPr>
      <w:rPr>
        <w:rFonts w:hint="default"/>
      </w:rPr>
    </w:lvl>
    <w:lvl w:ilvl="7" w:tplc="1C148218">
      <w:start w:val="1"/>
      <w:numFmt w:val="bullet"/>
      <w:lvlText w:val="•"/>
      <w:lvlJc w:val="left"/>
      <w:pPr>
        <w:ind w:left="6640" w:hanging="360"/>
      </w:pPr>
      <w:rPr>
        <w:rFonts w:hint="default"/>
      </w:rPr>
    </w:lvl>
    <w:lvl w:ilvl="8" w:tplc="5860CACC">
      <w:start w:val="1"/>
      <w:numFmt w:val="bullet"/>
      <w:lvlText w:val="•"/>
      <w:lvlJc w:val="left"/>
      <w:pPr>
        <w:ind w:left="7493" w:hanging="360"/>
      </w:pPr>
      <w:rPr>
        <w:rFonts w:hint="default"/>
      </w:rPr>
    </w:lvl>
  </w:abstractNum>
  <w:abstractNum w:abstractNumId="2" w15:restartNumberingAfterBreak="0">
    <w:nsid w:val="0B2C41EA"/>
    <w:multiLevelType w:val="hybridMultilevel"/>
    <w:tmpl w:val="D24653BA"/>
    <w:lvl w:ilvl="0" w:tplc="04BE55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A2C94"/>
    <w:multiLevelType w:val="hybridMultilevel"/>
    <w:tmpl w:val="476C7A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B780568"/>
    <w:multiLevelType w:val="hybridMultilevel"/>
    <w:tmpl w:val="7DD02F56"/>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DB1F0F"/>
    <w:multiLevelType w:val="hybridMultilevel"/>
    <w:tmpl w:val="C8DAEA2C"/>
    <w:lvl w:ilvl="0" w:tplc="E40645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6324F56"/>
    <w:multiLevelType w:val="hybridMultilevel"/>
    <w:tmpl w:val="B592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66237"/>
    <w:multiLevelType w:val="hybridMultilevel"/>
    <w:tmpl w:val="FCA6233E"/>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C5A7881"/>
    <w:multiLevelType w:val="hybridMultilevel"/>
    <w:tmpl w:val="180C0212"/>
    <w:lvl w:ilvl="0" w:tplc="A9BC33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E3E7EC9"/>
    <w:multiLevelType w:val="hybridMultilevel"/>
    <w:tmpl w:val="0DF00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20C6D"/>
    <w:multiLevelType w:val="hybridMultilevel"/>
    <w:tmpl w:val="A110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A70C3"/>
    <w:multiLevelType w:val="hybridMultilevel"/>
    <w:tmpl w:val="7A082894"/>
    <w:lvl w:ilvl="0" w:tplc="FAA66A82">
      <w:start w:val="1"/>
      <w:numFmt w:val="bullet"/>
      <w:lvlText w:val=""/>
      <w:lvlJc w:val="left"/>
      <w:pPr>
        <w:ind w:left="840" w:hanging="360"/>
      </w:pPr>
      <w:rPr>
        <w:rFonts w:ascii="Symbol" w:eastAsia="Symbol" w:hAnsi="Symbol" w:hint="default"/>
        <w:w w:val="100"/>
        <w:sz w:val="24"/>
        <w:szCs w:val="24"/>
      </w:rPr>
    </w:lvl>
    <w:lvl w:ilvl="1" w:tplc="91887D94">
      <w:start w:val="1"/>
      <w:numFmt w:val="bullet"/>
      <w:lvlText w:val="•"/>
      <w:lvlJc w:val="left"/>
      <w:pPr>
        <w:ind w:left="1848" w:hanging="360"/>
      </w:pPr>
      <w:rPr>
        <w:rFonts w:hint="default"/>
      </w:rPr>
    </w:lvl>
    <w:lvl w:ilvl="2" w:tplc="1BB0A3DC">
      <w:start w:val="1"/>
      <w:numFmt w:val="bullet"/>
      <w:lvlText w:val="•"/>
      <w:lvlJc w:val="left"/>
      <w:pPr>
        <w:ind w:left="2856" w:hanging="360"/>
      </w:pPr>
      <w:rPr>
        <w:rFonts w:hint="default"/>
      </w:rPr>
    </w:lvl>
    <w:lvl w:ilvl="3" w:tplc="BBEE2074">
      <w:start w:val="1"/>
      <w:numFmt w:val="bullet"/>
      <w:lvlText w:val="•"/>
      <w:lvlJc w:val="left"/>
      <w:pPr>
        <w:ind w:left="3864" w:hanging="360"/>
      </w:pPr>
      <w:rPr>
        <w:rFonts w:hint="default"/>
      </w:rPr>
    </w:lvl>
    <w:lvl w:ilvl="4" w:tplc="8A6CBBC6">
      <w:start w:val="1"/>
      <w:numFmt w:val="bullet"/>
      <w:lvlText w:val="•"/>
      <w:lvlJc w:val="left"/>
      <w:pPr>
        <w:ind w:left="4872" w:hanging="360"/>
      </w:pPr>
      <w:rPr>
        <w:rFonts w:hint="default"/>
      </w:rPr>
    </w:lvl>
    <w:lvl w:ilvl="5" w:tplc="5290B66C">
      <w:start w:val="1"/>
      <w:numFmt w:val="bullet"/>
      <w:lvlText w:val="•"/>
      <w:lvlJc w:val="left"/>
      <w:pPr>
        <w:ind w:left="5880" w:hanging="360"/>
      </w:pPr>
      <w:rPr>
        <w:rFonts w:hint="default"/>
      </w:rPr>
    </w:lvl>
    <w:lvl w:ilvl="6" w:tplc="FDB8499E">
      <w:start w:val="1"/>
      <w:numFmt w:val="bullet"/>
      <w:lvlText w:val="•"/>
      <w:lvlJc w:val="left"/>
      <w:pPr>
        <w:ind w:left="6888" w:hanging="360"/>
      </w:pPr>
      <w:rPr>
        <w:rFonts w:hint="default"/>
      </w:rPr>
    </w:lvl>
    <w:lvl w:ilvl="7" w:tplc="B400124E">
      <w:start w:val="1"/>
      <w:numFmt w:val="bullet"/>
      <w:lvlText w:val="•"/>
      <w:lvlJc w:val="left"/>
      <w:pPr>
        <w:ind w:left="7896" w:hanging="360"/>
      </w:pPr>
      <w:rPr>
        <w:rFonts w:hint="default"/>
      </w:rPr>
    </w:lvl>
    <w:lvl w:ilvl="8" w:tplc="B4B65634">
      <w:start w:val="1"/>
      <w:numFmt w:val="bullet"/>
      <w:lvlText w:val="•"/>
      <w:lvlJc w:val="left"/>
      <w:pPr>
        <w:ind w:left="8904" w:hanging="360"/>
      </w:pPr>
      <w:rPr>
        <w:rFonts w:hint="default"/>
      </w:rPr>
    </w:lvl>
  </w:abstractNum>
  <w:abstractNum w:abstractNumId="12" w15:restartNumberingAfterBreak="0">
    <w:nsid w:val="51B5462A"/>
    <w:multiLevelType w:val="hybridMultilevel"/>
    <w:tmpl w:val="D722B5FA"/>
    <w:lvl w:ilvl="0" w:tplc="AFE68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A1BF1"/>
    <w:multiLevelType w:val="hybridMultilevel"/>
    <w:tmpl w:val="5060DC62"/>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08148D"/>
    <w:multiLevelType w:val="hybridMultilevel"/>
    <w:tmpl w:val="180C0212"/>
    <w:lvl w:ilvl="0" w:tplc="A9BC33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3E4764F"/>
    <w:multiLevelType w:val="hybridMultilevel"/>
    <w:tmpl w:val="2354C3FE"/>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8D2544"/>
    <w:multiLevelType w:val="hybridMultilevel"/>
    <w:tmpl w:val="DD5A7658"/>
    <w:lvl w:ilvl="0" w:tplc="8F30B52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C226F"/>
    <w:multiLevelType w:val="hybridMultilevel"/>
    <w:tmpl w:val="6764E55E"/>
    <w:lvl w:ilvl="0" w:tplc="B6BA8B1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2"/>
  </w:num>
  <w:num w:numId="4">
    <w:abstractNumId w:val="12"/>
  </w:num>
  <w:num w:numId="5">
    <w:abstractNumId w:val="9"/>
  </w:num>
  <w:num w:numId="6">
    <w:abstractNumId w:val="17"/>
  </w:num>
  <w:num w:numId="7">
    <w:abstractNumId w:val="3"/>
  </w:num>
  <w:num w:numId="8">
    <w:abstractNumId w:val="17"/>
  </w:num>
  <w:num w:numId="9">
    <w:abstractNumId w:val="4"/>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3"/>
  </w:num>
  <w:num w:numId="15">
    <w:abstractNumId w:val="11"/>
  </w:num>
  <w:num w:numId="16">
    <w:abstractNumId w:val="5"/>
  </w:num>
  <w:num w:numId="17">
    <w:abstractNumId w:val="1"/>
  </w:num>
  <w:num w:numId="18">
    <w:abstractNumId w:val="17"/>
    <w:lvlOverride w:ilvl="0">
      <w:startOverride w:val="1"/>
    </w:lvlOverride>
  </w:num>
  <w:num w:numId="19">
    <w:abstractNumId w:val="14"/>
  </w:num>
  <w:num w:numId="20">
    <w:abstractNumId w:val="15"/>
  </w:num>
  <w:num w:numId="21">
    <w:abstractNumId w:val="8"/>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47"/>
    <w:rsid w:val="000010EA"/>
    <w:rsid w:val="0000124D"/>
    <w:rsid w:val="000036D0"/>
    <w:rsid w:val="00004CD3"/>
    <w:rsid w:val="000141CD"/>
    <w:rsid w:val="00033281"/>
    <w:rsid w:val="0004031D"/>
    <w:rsid w:val="00042F7D"/>
    <w:rsid w:val="00046F0D"/>
    <w:rsid w:val="00053FE6"/>
    <w:rsid w:val="0005519F"/>
    <w:rsid w:val="00066E1A"/>
    <w:rsid w:val="000725EF"/>
    <w:rsid w:val="000726A0"/>
    <w:rsid w:val="000747AA"/>
    <w:rsid w:val="00075234"/>
    <w:rsid w:val="00083598"/>
    <w:rsid w:val="0008369F"/>
    <w:rsid w:val="00083A01"/>
    <w:rsid w:val="00087E08"/>
    <w:rsid w:val="00090B41"/>
    <w:rsid w:val="000A1063"/>
    <w:rsid w:val="000A1577"/>
    <w:rsid w:val="000A4450"/>
    <w:rsid w:val="000A5FB2"/>
    <w:rsid w:val="000B0F17"/>
    <w:rsid w:val="000B2265"/>
    <w:rsid w:val="000C1882"/>
    <w:rsid w:val="000C4D2D"/>
    <w:rsid w:val="000C7434"/>
    <w:rsid w:val="000C74F5"/>
    <w:rsid w:val="000D1D72"/>
    <w:rsid w:val="000D7492"/>
    <w:rsid w:val="000E5677"/>
    <w:rsid w:val="000E587A"/>
    <w:rsid w:val="000E6204"/>
    <w:rsid w:val="000F4237"/>
    <w:rsid w:val="000F5840"/>
    <w:rsid w:val="000F6654"/>
    <w:rsid w:val="00100C68"/>
    <w:rsid w:val="00115338"/>
    <w:rsid w:val="00121E64"/>
    <w:rsid w:val="00132999"/>
    <w:rsid w:val="0013584E"/>
    <w:rsid w:val="00144EEA"/>
    <w:rsid w:val="00145B94"/>
    <w:rsid w:val="00145E32"/>
    <w:rsid w:val="00145F54"/>
    <w:rsid w:val="00150853"/>
    <w:rsid w:val="001618D8"/>
    <w:rsid w:val="001639BF"/>
    <w:rsid w:val="00170055"/>
    <w:rsid w:val="00176F11"/>
    <w:rsid w:val="0019063B"/>
    <w:rsid w:val="00193D59"/>
    <w:rsid w:val="0019596A"/>
    <w:rsid w:val="001A3EC0"/>
    <w:rsid w:val="001A47C2"/>
    <w:rsid w:val="001A58E8"/>
    <w:rsid w:val="001A70FE"/>
    <w:rsid w:val="001B4374"/>
    <w:rsid w:val="001B4B88"/>
    <w:rsid w:val="001B5AF6"/>
    <w:rsid w:val="001C4716"/>
    <w:rsid w:val="001C5728"/>
    <w:rsid w:val="001D2064"/>
    <w:rsid w:val="001D5557"/>
    <w:rsid w:val="001E4730"/>
    <w:rsid w:val="001E498C"/>
    <w:rsid w:val="001E7330"/>
    <w:rsid w:val="001F7BA4"/>
    <w:rsid w:val="00200059"/>
    <w:rsid w:val="00200455"/>
    <w:rsid w:val="00202E8B"/>
    <w:rsid w:val="00205831"/>
    <w:rsid w:val="00206712"/>
    <w:rsid w:val="002077CF"/>
    <w:rsid w:val="00210D08"/>
    <w:rsid w:val="00211822"/>
    <w:rsid w:val="002125F0"/>
    <w:rsid w:val="00214BF0"/>
    <w:rsid w:val="00216EFD"/>
    <w:rsid w:val="00223ADD"/>
    <w:rsid w:val="00223FE1"/>
    <w:rsid w:val="00227D27"/>
    <w:rsid w:val="00231E86"/>
    <w:rsid w:val="00232937"/>
    <w:rsid w:val="00232F10"/>
    <w:rsid w:val="002366FB"/>
    <w:rsid w:val="00236C90"/>
    <w:rsid w:val="00237190"/>
    <w:rsid w:val="002374BD"/>
    <w:rsid w:val="00240F2C"/>
    <w:rsid w:val="00241757"/>
    <w:rsid w:val="00244386"/>
    <w:rsid w:val="00244CB8"/>
    <w:rsid w:val="00244D07"/>
    <w:rsid w:val="00255290"/>
    <w:rsid w:val="00260E9C"/>
    <w:rsid w:val="00276449"/>
    <w:rsid w:val="0028268F"/>
    <w:rsid w:val="002852A1"/>
    <w:rsid w:val="00285676"/>
    <w:rsid w:val="00290B1A"/>
    <w:rsid w:val="002973ED"/>
    <w:rsid w:val="002A6C66"/>
    <w:rsid w:val="002C46AD"/>
    <w:rsid w:val="002C4C57"/>
    <w:rsid w:val="002C5F90"/>
    <w:rsid w:val="002D3ADB"/>
    <w:rsid w:val="002D725D"/>
    <w:rsid w:val="002E51F6"/>
    <w:rsid w:val="002E53FB"/>
    <w:rsid w:val="002E61AA"/>
    <w:rsid w:val="002E7ABE"/>
    <w:rsid w:val="002F0D07"/>
    <w:rsid w:val="002F0F37"/>
    <w:rsid w:val="002F3425"/>
    <w:rsid w:val="0030146A"/>
    <w:rsid w:val="003018F6"/>
    <w:rsid w:val="003024EA"/>
    <w:rsid w:val="0030252E"/>
    <w:rsid w:val="00304B87"/>
    <w:rsid w:val="0030622B"/>
    <w:rsid w:val="00310D9E"/>
    <w:rsid w:val="0031335A"/>
    <w:rsid w:val="00320234"/>
    <w:rsid w:val="00323AC8"/>
    <w:rsid w:val="00323DCE"/>
    <w:rsid w:val="00324D37"/>
    <w:rsid w:val="00325C8A"/>
    <w:rsid w:val="00331237"/>
    <w:rsid w:val="00340E22"/>
    <w:rsid w:val="0035114E"/>
    <w:rsid w:val="00353581"/>
    <w:rsid w:val="003566E3"/>
    <w:rsid w:val="003567EB"/>
    <w:rsid w:val="00360F56"/>
    <w:rsid w:val="00363ED5"/>
    <w:rsid w:val="00367B60"/>
    <w:rsid w:val="003703AC"/>
    <w:rsid w:val="00370CC9"/>
    <w:rsid w:val="00371482"/>
    <w:rsid w:val="00371FA8"/>
    <w:rsid w:val="003762F5"/>
    <w:rsid w:val="00395FCB"/>
    <w:rsid w:val="0039772D"/>
    <w:rsid w:val="00397F95"/>
    <w:rsid w:val="003A0936"/>
    <w:rsid w:val="003A19AE"/>
    <w:rsid w:val="003A4397"/>
    <w:rsid w:val="003A43C8"/>
    <w:rsid w:val="003A73FA"/>
    <w:rsid w:val="003B128E"/>
    <w:rsid w:val="003B2C7A"/>
    <w:rsid w:val="003B7ABC"/>
    <w:rsid w:val="003B7CB7"/>
    <w:rsid w:val="003C200C"/>
    <w:rsid w:val="003C297E"/>
    <w:rsid w:val="003C4B2C"/>
    <w:rsid w:val="003C5444"/>
    <w:rsid w:val="003D2EED"/>
    <w:rsid w:val="003D413E"/>
    <w:rsid w:val="003D4923"/>
    <w:rsid w:val="003D5D96"/>
    <w:rsid w:val="003D6899"/>
    <w:rsid w:val="003E0159"/>
    <w:rsid w:val="003E74BF"/>
    <w:rsid w:val="003F366A"/>
    <w:rsid w:val="003F5B3C"/>
    <w:rsid w:val="003F6A33"/>
    <w:rsid w:val="003F7D7E"/>
    <w:rsid w:val="00402588"/>
    <w:rsid w:val="00404FD6"/>
    <w:rsid w:val="00405CD4"/>
    <w:rsid w:val="0041043A"/>
    <w:rsid w:val="00416A8F"/>
    <w:rsid w:val="004200F2"/>
    <w:rsid w:val="004259A3"/>
    <w:rsid w:val="0043446F"/>
    <w:rsid w:val="00442E55"/>
    <w:rsid w:val="0044350C"/>
    <w:rsid w:val="004518DD"/>
    <w:rsid w:val="00454FF0"/>
    <w:rsid w:val="00463E9E"/>
    <w:rsid w:val="00470F7C"/>
    <w:rsid w:val="004717F0"/>
    <w:rsid w:val="004738F0"/>
    <w:rsid w:val="00477FD6"/>
    <w:rsid w:val="00480F43"/>
    <w:rsid w:val="00483655"/>
    <w:rsid w:val="004863F5"/>
    <w:rsid w:val="00487332"/>
    <w:rsid w:val="00496805"/>
    <w:rsid w:val="004A492C"/>
    <w:rsid w:val="004B1EB2"/>
    <w:rsid w:val="004B6557"/>
    <w:rsid w:val="004B7C98"/>
    <w:rsid w:val="004C37C0"/>
    <w:rsid w:val="004C3943"/>
    <w:rsid w:val="004C4FD7"/>
    <w:rsid w:val="004D0F77"/>
    <w:rsid w:val="004D123D"/>
    <w:rsid w:val="004D2BF7"/>
    <w:rsid w:val="004D3DFB"/>
    <w:rsid w:val="004D68AC"/>
    <w:rsid w:val="004E0444"/>
    <w:rsid w:val="004E0453"/>
    <w:rsid w:val="004F2280"/>
    <w:rsid w:val="00503E7C"/>
    <w:rsid w:val="00504007"/>
    <w:rsid w:val="0051603A"/>
    <w:rsid w:val="005173E0"/>
    <w:rsid w:val="00524B23"/>
    <w:rsid w:val="005263A4"/>
    <w:rsid w:val="005320C6"/>
    <w:rsid w:val="00535AF9"/>
    <w:rsid w:val="005403C4"/>
    <w:rsid w:val="005445D4"/>
    <w:rsid w:val="00551979"/>
    <w:rsid w:val="005608DB"/>
    <w:rsid w:val="00560DD6"/>
    <w:rsid w:val="005632F2"/>
    <w:rsid w:val="00566FA5"/>
    <w:rsid w:val="00567135"/>
    <w:rsid w:val="0057257A"/>
    <w:rsid w:val="00580467"/>
    <w:rsid w:val="00594375"/>
    <w:rsid w:val="00595508"/>
    <w:rsid w:val="005955DC"/>
    <w:rsid w:val="00595830"/>
    <w:rsid w:val="005B6228"/>
    <w:rsid w:val="005C1FB9"/>
    <w:rsid w:val="005C33AC"/>
    <w:rsid w:val="005C4E40"/>
    <w:rsid w:val="005D17A7"/>
    <w:rsid w:val="005D6366"/>
    <w:rsid w:val="005E0EBD"/>
    <w:rsid w:val="005E23F8"/>
    <w:rsid w:val="005E7F24"/>
    <w:rsid w:val="005F197D"/>
    <w:rsid w:val="005F214F"/>
    <w:rsid w:val="005F2BC9"/>
    <w:rsid w:val="005F5040"/>
    <w:rsid w:val="0061172E"/>
    <w:rsid w:val="00613DC3"/>
    <w:rsid w:val="00621427"/>
    <w:rsid w:val="00621F25"/>
    <w:rsid w:val="00630581"/>
    <w:rsid w:val="00636571"/>
    <w:rsid w:val="0063740B"/>
    <w:rsid w:val="00640338"/>
    <w:rsid w:val="00643284"/>
    <w:rsid w:val="006541F6"/>
    <w:rsid w:val="00654F80"/>
    <w:rsid w:val="0066333A"/>
    <w:rsid w:val="0066490D"/>
    <w:rsid w:val="00670591"/>
    <w:rsid w:val="00673FF0"/>
    <w:rsid w:val="00674CEB"/>
    <w:rsid w:val="00674F91"/>
    <w:rsid w:val="00675A69"/>
    <w:rsid w:val="006770FA"/>
    <w:rsid w:val="00693EAD"/>
    <w:rsid w:val="006A4E18"/>
    <w:rsid w:val="006A637F"/>
    <w:rsid w:val="006B0235"/>
    <w:rsid w:val="006B4D00"/>
    <w:rsid w:val="006C129E"/>
    <w:rsid w:val="006D0C32"/>
    <w:rsid w:val="006D1A09"/>
    <w:rsid w:val="006F21E0"/>
    <w:rsid w:val="006F3F06"/>
    <w:rsid w:val="006F59AB"/>
    <w:rsid w:val="006F797B"/>
    <w:rsid w:val="0070070C"/>
    <w:rsid w:val="00700FC8"/>
    <w:rsid w:val="00701DA3"/>
    <w:rsid w:val="007038B2"/>
    <w:rsid w:val="00704B6B"/>
    <w:rsid w:val="007058AD"/>
    <w:rsid w:val="007116B7"/>
    <w:rsid w:val="0071639C"/>
    <w:rsid w:val="007214E4"/>
    <w:rsid w:val="00736A33"/>
    <w:rsid w:val="00737541"/>
    <w:rsid w:val="00744724"/>
    <w:rsid w:val="00744FD4"/>
    <w:rsid w:val="00747DBD"/>
    <w:rsid w:val="0075138A"/>
    <w:rsid w:val="00753CD6"/>
    <w:rsid w:val="00753E1C"/>
    <w:rsid w:val="00755820"/>
    <w:rsid w:val="00755A07"/>
    <w:rsid w:val="00755C58"/>
    <w:rsid w:val="00761EBA"/>
    <w:rsid w:val="00771F1E"/>
    <w:rsid w:val="007813C6"/>
    <w:rsid w:val="00784E98"/>
    <w:rsid w:val="007969C0"/>
    <w:rsid w:val="00797757"/>
    <w:rsid w:val="007A0D6D"/>
    <w:rsid w:val="007A2942"/>
    <w:rsid w:val="007B2FE7"/>
    <w:rsid w:val="007B41FA"/>
    <w:rsid w:val="007D0453"/>
    <w:rsid w:val="007D7106"/>
    <w:rsid w:val="007E12F9"/>
    <w:rsid w:val="007E131F"/>
    <w:rsid w:val="007E1D93"/>
    <w:rsid w:val="007E299F"/>
    <w:rsid w:val="007F036F"/>
    <w:rsid w:val="007F4353"/>
    <w:rsid w:val="007F5683"/>
    <w:rsid w:val="0080079E"/>
    <w:rsid w:val="00801CDA"/>
    <w:rsid w:val="0080493D"/>
    <w:rsid w:val="008066C7"/>
    <w:rsid w:val="00806A5C"/>
    <w:rsid w:val="00810940"/>
    <w:rsid w:val="00817406"/>
    <w:rsid w:val="0082205C"/>
    <w:rsid w:val="008226F4"/>
    <w:rsid w:val="00824B79"/>
    <w:rsid w:val="00827961"/>
    <w:rsid w:val="008356A0"/>
    <w:rsid w:val="00840DC1"/>
    <w:rsid w:val="00840FF1"/>
    <w:rsid w:val="008445B8"/>
    <w:rsid w:val="00862817"/>
    <w:rsid w:val="00867A32"/>
    <w:rsid w:val="00875029"/>
    <w:rsid w:val="008762B2"/>
    <w:rsid w:val="008809E8"/>
    <w:rsid w:val="00887E31"/>
    <w:rsid w:val="008919B5"/>
    <w:rsid w:val="008A50A0"/>
    <w:rsid w:val="008A5A2E"/>
    <w:rsid w:val="008A65C6"/>
    <w:rsid w:val="008A7A33"/>
    <w:rsid w:val="008B0105"/>
    <w:rsid w:val="008B047E"/>
    <w:rsid w:val="008B1926"/>
    <w:rsid w:val="008B4121"/>
    <w:rsid w:val="008B47CC"/>
    <w:rsid w:val="008B4AA5"/>
    <w:rsid w:val="008B5D45"/>
    <w:rsid w:val="008C64F6"/>
    <w:rsid w:val="008D0DBD"/>
    <w:rsid w:val="008D3D38"/>
    <w:rsid w:val="008E0EAD"/>
    <w:rsid w:val="008E191E"/>
    <w:rsid w:val="008E3198"/>
    <w:rsid w:val="008E7401"/>
    <w:rsid w:val="00900897"/>
    <w:rsid w:val="00903F05"/>
    <w:rsid w:val="00913CBB"/>
    <w:rsid w:val="00913EB2"/>
    <w:rsid w:val="0091634C"/>
    <w:rsid w:val="0093625D"/>
    <w:rsid w:val="00941F49"/>
    <w:rsid w:val="0095090E"/>
    <w:rsid w:val="00951976"/>
    <w:rsid w:val="00963BBB"/>
    <w:rsid w:val="0097066B"/>
    <w:rsid w:val="00973256"/>
    <w:rsid w:val="009741B1"/>
    <w:rsid w:val="0098043D"/>
    <w:rsid w:val="00986D3B"/>
    <w:rsid w:val="009A4D9D"/>
    <w:rsid w:val="009A739B"/>
    <w:rsid w:val="009B57B8"/>
    <w:rsid w:val="009C202C"/>
    <w:rsid w:val="009C29D5"/>
    <w:rsid w:val="009C3572"/>
    <w:rsid w:val="009D24E0"/>
    <w:rsid w:val="009D2BFC"/>
    <w:rsid w:val="009D531A"/>
    <w:rsid w:val="009D751E"/>
    <w:rsid w:val="009D77AC"/>
    <w:rsid w:val="009E01B6"/>
    <w:rsid w:val="009E03FB"/>
    <w:rsid w:val="009E349B"/>
    <w:rsid w:val="009E3DD8"/>
    <w:rsid w:val="009E51FB"/>
    <w:rsid w:val="009E7543"/>
    <w:rsid w:val="009F1E39"/>
    <w:rsid w:val="009F2D3B"/>
    <w:rsid w:val="009F3B63"/>
    <w:rsid w:val="009F3E0A"/>
    <w:rsid w:val="009F76C8"/>
    <w:rsid w:val="009F7A4F"/>
    <w:rsid w:val="009F7DEF"/>
    <w:rsid w:val="00A02312"/>
    <w:rsid w:val="00A03805"/>
    <w:rsid w:val="00A11507"/>
    <w:rsid w:val="00A118EC"/>
    <w:rsid w:val="00A13567"/>
    <w:rsid w:val="00A15E40"/>
    <w:rsid w:val="00A16332"/>
    <w:rsid w:val="00A2009F"/>
    <w:rsid w:val="00A2733E"/>
    <w:rsid w:val="00A3257F"/>
    <w:rsid w:val="00A42C85"/>
    <w:rsid w:val="00A46260"/>
    <w:rsid w:val="00A46BFD"/>
    <w:rsid w:val="00A46E62"/>
    <w:rsid w:val="00A54D85"/>
    <w:rsid w:val="00A705DF"/>
    <w:rsid w:val="00A718D6"/>
    <w:rsid w:val="00A74666"/>
    <w:rsid w:val="00A757F3"/>
    <w:rsid w:val="00A83EB5"/>
    <w:rsid w:val="00A8412D"/>
    <w:rsid w:val="00A94315"/>
    <w:rsid w:val="00A95622"/>
    <w:rsid w:val="00A95880"/>
    <w:rsid w:val="00AA06A7"/>
    <w:rsid w:val="00AA076A"/>
    <w:rsid w:val="00AB137E"/>
    <w:rsid w:val="00AB43BC"/>
    <w:rsid w:val="00AB789A"/>
    <w:rsid w:val="00AB7B22"/>
    <w:rsid w:val="00AC32BB"/>
    <w:rsid w:val="00AC69A5"/>
    <w:rsid w:val="00AD511F"/>
    <w:rsid w:val="00AE44DD"/>
    <w:rsid w:val="00AE5BF6"/>
    <w:rsid w:val="00AE5E0D"/>
    <w:rsid w:val="00AF0D9D"/>
    <w:rsid w:val="00AF222B"/>
    <w:rsid w:val="00AF546D"/>
    <w:rsid w:val="00B03861"/>
    <w:rsid w:val="00B130F2"/>
    <w:rsid w:val="00B15D86"/>
    <w:rsid w:val="00B17E94"/>
    <w:rsid w:val="00B20CF5"/>
    <w:rsid w:val="00B21C14"/>
    <w:rsid w:val="00B2590D"/>
    <w:rsid w:val="00B27E5B"/>
    <w:rsid w:val="00B3425F"/>
    <w:rsid w:val="00B354C5"/>
    <w:rsid w:val="00B36588"/>
    <w:rsid w:val="00B36747"/>
    <w:rsid w:val="00B42545"/>
    <w:rsid w:val="00B5075C"/>
    <w:rsid w:val="00B556FA"/>
    <w:rsid w:val="00B6102F"/>
    <w:rsid w:val="00B646AC"/>
    <w:rsid w:val="00B64885"/>
    <w:rsid w:val="00B6684A"/>
    <w:rsid w:val="00B677D8"/>
    <w:rsid w:val="00B7289B"/>
    <w:rsid w:val="00B7393D"/>
    <w:rsid w:val="00B82B2A"/>
    <w:rsid w:val="00B874F2"/>
    <w:rsid w:val="00B87A9F"/>
    <w:rsid w:val="00BA21BC"/>
    <w:rsid w:val="00BA4C9D"/>
    <w:rsid w:val="00BA74FD"/>
    <w:rsid w:val="00BA7739"/>
    <w:rsid w:val="00BB0309"/>
    <w:rsid w:val="00BB149A"/>
    <w:rsid w:val="00BB337F"/>
    <w:rsid w:val="00BB422E"/>
    <w:rsid w:val="00BB5A08"/>
    <w:rsid w:val="00BC72EB"/>
    <w:rsid w:val="00BC75F3"/>
    <w:rsid w:val="00BD0CA8"/>
    <w:rsid w:val="00BD1E40"/>
    <w:rsid w:val="00BD542D"/>
    <w:rsid w:val="00BE17C4"/>
    <w:rsid w:val="00BE276D"/>
    <w:rsid w:val="00BF3795"/>
    <w:rsid w:val="00BF37B7"/>
    <w:rsid w:val="00BF79F7"/>
    <w:rsid w:val="00C0028F"/>
    <w:rsid w:val="00C0402A"/>
    <w:rsid w:val="00C060F2"/>
    <w:rsid w:val="00C10E94"/>
    <w:rsid w:val="00C154BD"/>
    <w:rsid w:val="00C1634A"/>
    <w:rsid w:val="00C2224E"/>
    <w:rsid w:val="00C23D2F"/>
    <w:rsid w:val="00C23DF6"/>
    <w:rsid w:val="00C24A2C"/>
    <w:rsid w:val="00C24EB7"/>
    <w:rsid w:val="00C33AEC"/>
    <w:rsid w:val="00C34A6E"/>
    <w:rsid w:val="00C35845"/>
    <w:rsid w:val="00C4043B"/>
    <w:rsid w:val="00C41D20"/>
    <w:rsid w:val="00C477A7"/>
    <w:rsid w:val="00C50F0A"/>
    <w:rsid w:val="00C52642"/>
    <w:rsid w:val="00C52CF3"/>
    <w:rsid w:val="00C55001"/>
    <w:rsid w:val="00C5513C"/>
    <w:rsid w:val="00C57088"/>
    <w:rsid w:val="00C5761D"/>
    <w:rsid w:val="00C57AC5"/>
    <w:rsid w:val="00C6573F"/>
    <w:rsid w:val="00C662D6"/>
    <w:rsid w:val="00C6766D"/>
    <w:rsid w:val="00C67F10"/>
    <w:rsid w:val="00C71738"/>
    <w:rsid w:val="00C724F6"/>
    <w:rsid w:val="00C733E8"/>
    <w:rsid w:val="00C756A6"/>
    <w:rsid w:val="00C766DA"/>
    <w:rsid w:val="00C76F4A"/>
    <w:rsid w:val="00C81C6F"/>
    <w:rsid w:val="00C82048"/>
    <w:rsid w:val="00C8239C"/>
    <w:rsid w:val="00C86366"/>
    <w:rsid w:val="00C8674B"/>
    <w:rsid w:val="00C9081D"/>
    <w:rsid w:val="00C973B8"/>
    <w:rsid w:val="00CA334E"/>
    <w:rsid w:val="00CA5619"/>
    <w:rsid w:val="00CA7B8E"/>
    <w:rsid w:val="00CB1D14"/>
    <w:rsid w:val="00CB4F3B"/>
    <w:rsid w:val="00CB750E"/>
    <w:rsid w:val="00CC4839"/>
    <w:rsid w:val="00CC4919"/>
    <w:rsid w:val="00CC690E"/>
    <w:rsid w:val="00CC7E26"/>
    <w:rsid w:val="00CD002F"/>
    <w:rsid w:val="00CD140C"/>
    <w:rsid w:val="00CE5AC7"/>
    <w:rsid w:val="00CF1890"/>
    <w:rsid w:val="00CF1BE3"/>
    <w:rsid w:val="00CF38C2"/>
    <w:rsid w:val="00CF4838"/>
    <w:rsid w:val="00CF53CD"/>
    <w:rsid w:val="00CF5512"/>
    <w:rsid w:val="00D019E6"/>
    <w:rsid w:val="00D022AD"/>
    <w:rsid w:val="00D02E0B"/>
    <w:rsid w:val="00D0357B"/>
    <w:rsid w:val="00D03C4C"/>
    <w:rsid w:val="00D12FCC"/>
    <w:rsid w:val="00D13156"/>
    <w:rsid w:val="00D15810"/>
    <w:rsid w:val="00D23304"/>
    <w:rsid w:val="00D2553A"/>
    <w:rsid w:val="00D259C3"/>
    <w:rsid w:val="00D30F3F"/>
    <w:rsid w:val="00D339CC"/>
    <w:rsid w:val="00D35FDD"/>
    <w:rsid w:val="00D369D9"/>
    <w:rsid w:val="00D4175F"/>
    <w:rsid w:val="00D43A1D"/>
    <w:rsid w:val="00D46522"/>
    <w:rsid w:val="00D46DA6"/>
    <w:rsid w:val="00D52EC5"/>
    <w:rsid w:val="00D7035A"/>
    <w:rsid w:val="00D7107C"/>
    <w:rsid w:val="00D768DC"/>
    <w:rsid w:val="00D86C9D"/>
    <w:rsid w:val="00D9010D"/>
    <w:rsid w:val="00D92990"/>
    <w:rsid w:val="00D93B54"/>
    <w:rsid w:val="00DA45AA"/>
    <w:rsid w:val="00DA54B3"/>
    <w:rsid w:val="00DA6909"/>
    <w:rsid w:val="00DB0F60"/>
    <w:rsid w:val="00DB67E5"/>
    <w:rsid w:val="00DC3AA3"/>
    <w:rsid w:val="00DC46F7"/>
    <w:rsid w:val="00DC7C42"/>
    <w:rsid w:val="00DD0018"/>
    <w:rsid w:val="00DD0E82"/>
    <w:rsid w:val="00DD1D82"/>
    <w:rsid w:val="00DE209E"/>
    <w:rsid w:val="00DE24AF"/>
    <w:rsid w:val="00DE6707"/>
    <w:rsid w:val="00DE7349"/>
    <w:rsid w:val="00DF4E49"/>
    <w:rsid w:val="00E03FCE"/>
    <w:rsid w:val="00E057C2"/>
    <w:rsid w:val="00E05C6C"/>
    <w:rsid w:val="00E107BF"/>
    <w:rsid w:val="00E17892"/>
    <w:rsid w:val="00E2044D"/>
    <w:rsid w:val="00E2430E"/>
    <w:rsid w:val="00E30114"/>
    <w:rsid w:val="00E40E57"/>
    <w:rsid w:val="00E43BA7"/>
    <w:rsid w:val="00E467DE"/>
    <w:rsid w:val="00E47011"/>
    <w:rsid w:val="00E51AE0"/>
    <w:rsid w:val="00E61577"/>
    <w:rsid w:val="00E61778"/>
    <w:rsid w:val="00E6404D"/>
    <w:rsid w:val="00E6505E"/>
    <w:rsid w:val="00E74935"/>
    <w:rsid w:val="00E75F3E"/>
    <w:rsid w:val="00E769F9"/>
    <w:rsid w:val="00E82E21"/>
    <w:rsid w:val="00E84BD2"/>
    <w:rsid w:val="00E861EC"/>
    <w:rsid w:val="00E8634C"/>
    <w:rsid w:val="00E875C6"/>
    <w:rsid w:val="00E95612"/>
    <w:rsid w:val="00E96F3D"/>
    <w:rsid w:val="00EB35A3"/>
    <w:rsid w:val="00EC082E"/>
    <w:rsid w:val="00EC1F5D"/>
    <w:rsid w:val="00ED186B"/>
    <w:rsid w:val="00EE4AAB"/>
    <w:rsid w:val="00EE4DBB"/>
    <w:rsid w:val="00EE4F3D"/>
    <w:rsid w:val="00EE5746"/>
    <w:rsid w:val="00EE7F3B"/>
    <w:rsid w:val="00EE7FFA"/>
    <w:rsid w:val="00EF2628"/>
    <w:rsid w:val="00F006CE"/>
    <w:rsid w:val="00F0533D"/>
    <w:rsid w:val="00F0570F"/>
    <w:rsid w:val="00F061C8"/>
    <w:rsid w:val="00F24503"/>
    <w:rsid w:val="00F33911"/>
    <w:rsid w:val="00F35BDF"/>
    <w:rsid w:val="00F41242"/>
    <w:rsid w:val="00F423FC"/>
    <w:rsid w:val="00F447B3"/>
    <w:rsid w:val="00F45D67"/>
    <w:rsid w:val="00F5477F"/>
    <w:rsid w:val="00F60832"/>
    <w:rsid w:val="00F6492E"/>
    <w:rsid w:val="00F71C20"/>
    <w:rsid w:val="00F749E0"/>
    <w:rsid w:val="00F80731"/>
    <w:rsid w:val="00F85469"/>
    <w:rsid w:val="00F869A8"/>
    <w:rsid w:val="00F87823"/>
    <w:rsid w:val="00F9128D"/>
    <w:rsid w:val="00F9212D"/>
    <w:rsid w:val="00F926B3"/>
    <w:rsid w:val="00FA100A"/>
    <w:rsid w:val="00FA2F16"/>
    <w:rsid w:val="00FA4C2D"/>
    <w:rsid w:val="00FA6E50"/>
    <w:rsid w:val="00FB2125"/>
    <w:rsid w:val="00FB24CE"/>
    <w:rsid w:val="00FB5547"/>
    <w:rsid w:val="00FB5D08"/>
    <w:rsid w:val="00FC2BF1"/>
    <w:rsid w:val="00FC32DC"/>
    <w:rsid w:val="00FD075B"/>
    <w:rsid w:val="00FD4F5D"/>
    <w:rsid w:val="00FE55B1"/>
    <w:rsid w:val="00FE59D3"/>
    <w:rsid w:val="00FE66B5"/>
    <w:rsid w:val="00FE6867"/>
    <w:rsid w:val="00FE7529"/>
    <w:rsid w:val="00FE7724"/>
    <w:rsid w:val="00FF0A82"/>
    <w:rsid w:val="00F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80A28"/>
  <w15:docId w15:val="{EF1181CF-286E-4404-8EB7-93181E8C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E86"/>
    <w:pPr>
      <w:widowControl w:val="0"/>
      <w:spacing w:after="0" w:line="240" w:lineRule="auto"/>
    </w:pPr>
    <w:rPr>
      <w:rFonts w:ascii="Times New Roman" w:hAnsi="Times New Roman" w:cs="Times New Roman"/>
      <w:snapToGrid w:val="0"/>
      <w:sz w:val="24"/>
      <w:szCs w:val="20"/>
    </w:rPr>
  </w:style>
  <w:style w:type="paragraph" w:styleId="Heading1">
    <w:name w:val="heading 1"/>
    <w:basedOn w:val="Normal"/>
    <w:next w:val="Normal"/>
    <w:link w:val="Heading1Char"/>
    <w:autoRedefine/>
    <w:uiPriority w:val="9"/>
    <w:qFormat/>
    <w:rsid w:val="00BB0309"/>
    <w:pPr>
      <w:keepNext/>
      <w:keepLines/>
      <w:spacing w:line="272" w:lineRule="exact"/>
      <w:ind w:left="450" w:right="125"/>
      <w:outlineLvl w:val="0"/>
    </w:pPr>
    <w:rPr>
      <w:rFonts w:eastAsiaTheme="majorEastAsia" w:cstheme="majorBidi"/>
      <w:b/>
      <w:bCs/>
      <w:szCs w:val="28"/>
      <w:u w:val="single"/>
    </w:rPr>
  </w:style>
  <w:style w:type="paragraph" w:styleId="Heading2">
    <w:name w:val="heading 2"/>
    <w:basedOn w:val="Heading1"/>
    <w:next w:val="Normal"/>
    <w:link w:val="Heading2Char"/>
    <w:uiPriority w:val="9"/>
    <w:unhideWhenUsed/>
    <w:qFormat/>
    <w:rsid w:val="00232937"/>
    <w:pPr>
      <w:numPr>
        <w:numId w:val="6"/>
      </w:numPr>
      <w:spacing w:before="240" w:after="240"/>
      <w:outlineLvl w:val="1"/>
    </w:pPr>
    <w:rPr>
      <w:bCs w:val="0"/>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09"/>
    <w:rPr>
      <w:rFonts w:ascii="Times New Roman" w:eastAsiaTheme="majorEastAsia" w:hAnsi="Times New Roman" w:cstheme="majorBidi"/>
      <w:b/>
      <w:bCs/>
      <w:snapToGrid w:val="0"/>
      <w:sz w:val="24"/>
      <w:szCs w:val="28"/>
      <w:u w:val="single"/>
    </w:rPr>
  </w:style>
  <w:style w:type="character" w:customStyle="1" w:styleId="Heading2Char">
    <w:name w:val="Heading 2 Char"/>
    <w:basedOn w:val="DefaultParagraphFont"/>
    <w:link w:val="Heading2"/>
    <w:uiPriority w:val="9"/>
    <w:rsid w:val="00232937"/>
    <w:rPr>
      <w:rFonts w:ascii="Times New Roman" w:eastAsiaTheme="majorEastAsia" w:hAnsi="Times New Roman" w:cstheme="majorBidi"/>
      <w:b/>
      <w:snapToGrid w:val="0"/>
      <w:color w:val="000000" w:themeColor="text1"/>
      <w:sz w:val="24"/>
      <w:szCs w:val="26"/>
      <w:u w:val="single"/>
    </w:rPr>
  </w:style>
  <w:style w:type="paragraph" w:styleId="Header">
    <w:name w:val="header"/>
    <w:basedOn w:val="Normal"/>
    <w:link w:val="HeaderChar"/>
    <w:uiPriority w:val="99"/>
    <w:unhideWhenUsed/>
    <w:rsid w:val="00B36747"/>
    <w:pPr>
      <w:tabs>
        <w:tab w:val="center" w:pos="4680"/>
        <w:tab w:val="right" w:pos="9360"/>
      </w:tabs>
    </w:pPr>
  </w:style>
  <w:style w:type="character" w:customStyle="1" w:styleId="HeaderChar">
    <w:name w:val="Header Char"/>
    <w:basedOn w:val="DefaultParagraphFont"/>
    <w:link w:val="Header"/>
    <w:uiPriority w:val="99"/>
    <w:rsid w:val="00B36747"/>
    <w:rPr>
      <w:rFonts w:ascii="Times New Roman" w:hAnsi="Times New Roman" w:cs="Times New Roman"/>
      <w:snapToGrid w:val="0"/>
      <w:sz w:val="24"/>
      <w:szCs w:val="20"/>
    </w:rPr>
  </w:style>
  <w:style w:type="paragraph" w:styleId="Footer">
    <w:name w:val="footer"/>
    <w:basedOn w:val="Normal"/>
    <w:link w:val="FooterChar"/>
    <w:uiPriority w:val="99"/>
    <w:unhideWhenUsed/>
    <w:rsid w:val="00B36747"/>
    <w:pPr>
      <w:tabs>
        <w:tab w:val="center" w:pos="4680"/>
        <w:tab w:val="right" w:pos="9360"/>
      </w:tabs>
    </w:pPr>
  </w:style>
  <w:style w:type="character" w:customStyle="1" w:styleId="FooterChar">
    <w:name w:val="Footer Char"/>
    <w:basedOn w:val="DefaultParagraphFont"/>
    <w:link w:val="Footer"/>
    <w:uiPriority w:val="99"/>
    <w:rsid w:val="00B36747"/>
    <w:rPr>
      <w:rFonts w:ascii="Times New Roman" w:hAnsi="Times New Roman" w:cs="Times New Roman"/>
      <w:snapToGrid w:val="0"/>
      <w:sz w:val="24"/>
      <w:szCs w:val="20"/>
    </w:rPr>
  </w:style>
  <w:style w:type="paragraph" w:styleId="ListParagraph">
    <w:name w:val="List Paragraph"/>
    <w:basedOn w:val="Normal"/>
    <w:uiPriority w:val="1"/>
    <w:qFormat/>
    <w:rsid w:val="00B36747"/>
    <w:pPr>
      <w:ind w:left="720"/>
      <w:contextualSpacing/>
    </w:pPr>
  </w:style>
  <w:style w:type="paragraph" w:styleId="TOCHeading">
    <w:name w:val="TOC Heading"/>
    <w:basedOn w:val="Heading1"/>
    <w:next w:val="Normal"/>
    <w:uiPriority w:val="39"/>
    <w:unhideWhenUsed/>
    <w:qFormat/>
    <w:rsid w:val="00232937"/>
    <w:pPr>
      <w:widowControl/>
      <w:spacing w:before="480" w:line="276" w:lineRule="auto"/>
      <w:ind w:left="0"/>
      <w:outlineLvl w:val="9"/>
    </w:pPr>
    <w:rPr>
      <w:rFonts w:asciiTheme="majorHAnsi" w:hAnsiTheme="majorHAnsi"/>
      <w:snapToGrid/>
      <w:color w:val="365F91" w:themeColor="accent1" w:themeShade="BF"/>
      <w:sz w:val="28"/>
      <w:u w:val="none"/>
    </w:rPr>
  </w:style>
  <w:style w:type="paragraph" w:styleId="BalloonText">
    <w:name w:val="Balloon Text"/>
    <w:basedOn w:val="Normal"/>
    <w:link w:val="BalloonTextChar"/>
    <w:uiPriority w:val="99"/>
    <w:semiHidden/>
    <w:unhideWhenUsed/>
    <w:rsid w:val="00232937"/>
    <w:rPr>
      <w:rFonts w:ascii="Tahoma" w:hAnsi="Tahoma" w:cs="Tahoma"/>
      <w:sz w:val="16"/>
      <w:szCs w:val="16"/>
    </w:rPr>
  </w:style>
  <w:style w:type="character" w:customStyle="1" w:styleId="BalloonTextChar">
    <w:name w:val="Balloon Text Char"/>
    <w:basedOn w:val="DefaultParagraphFont"/>
    <w:link w:val="BalloonText"/>
    <w:uiPriority w:val="99"/>
    <w:semiHidden/>
    <w:rsid w:val="00232937"/>
    <w:rPr>
      <w:rFonts w:ascii="Tahoma" w:hAnsi="Tahoma" w:cs="Tahoma"/>
      <w:snapToGrid w:val="0"/>
      <w:sz w:val="16"/>
      <w:szCs w:val="16"/>
    </w:rPr>
  </w:style>
  <w:style w:type="paragraph" w:styleId="TOC2">
    <w:name w:val="toc 2"/>
    <w:basedOn w:val="Normal"/>
    <w:next w:val="Normal"/>
    <w:autoRedefine/>
    <w:uiPriority w:val="39"/>
    <w:unhideWhenUsed/>
    <w:rsid w:val="00285676"/>
    <w:pPr>
      <w:tabs>
        <w:tab w:val="left" w:pos="880"/>
        <w:tab w:val="right" w:leader="dot" w:pos="9350"/>
      </w:tabs>
      <w:spacing w:after="100"/>
      <w:ind w:left="720" w:hanging="475"/>
    </w:pPr>
  </w:style>
  <w:style w:type="character" w:styleId="Hyperlink">
    <w:name w:val="Hyperlink"/>
    <w:basedOn w:val="DefaultParagraphFont"/>
    <w:uiPriority w:val="99"/>
    <w:unhideWhenUsed/>
    <w:rsid w:val="00232937"/>
    <w:rPr>
      <w:color w:val="0000FF" w:themeColor="hyperlink"/>
      <w:u w:val="single"/>
    </w:rPr>
  </w:style>
  <w:style w:type="character" w:styleId="CommentReference">
    <w:name w:val="annotation reference"/>
    <w:basedOn w:val="DefaultParagraphFont"/>
    <w:uiPriority w:val="99"/>
    <w:semiHidden/>
    <w:unhideWhenUsed/>
    <w:rsid w:val="00C5761D"/>
    <w:rPr>
      <w:sz w:val="16"/>
      <w:szCs w:val="16"/>
    </w:rPr>
  </w:style>
  <w:style w:type="paragraph" w:customStyle="1" w:styleId="Default">
    <w:name w:val="Default"/>
    <w:rsid w:val="00C576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rsid w:val="00DD0018"/>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basedOn w:val="DefaultParagraphFont"/>
    <w:link w:val="BodyTextIndent"/>
    <w:uiPriority w:val="99"/>
    <w:rsid w:val="00DD0018"/>
    <w:rPr>
      <w:rFonts w:ascii="Baskerville Old Face" w:hAnsi="Baskerville Old Face" w:cs="Times New Roman"/>
      <w:sz w:val="24"/>
      <w:szCs w:val="24"/>
    </w:rPr>
  </w:style>
  <w:style w:type="paragraph" w:styleId="CommentText">
    <w:name w:val="annotation text"/>
    <w:basedOn w:val="Normal"/>
    <w:link w:val="CommentTextChar"/>
    <w:uiPriority w:val="99"/>
    <w:semiHidden/>
    <w:unhideWhenUsed/>
    <w:rsid w:val="0043446F"/>
    <w:rPr>
      <w:sz w:val="20"/>
    </w:rPr>
  </w:style>
  <w:style w:type="character" w:customStyle="1" w:styleId="CommentTextChar">
    <w:name w:val="Comment Text Char"/>
    <w:basedOn w:val="DefaultParagraphFont"/>
    <w:link w:val="CommentText"/>
    <w:uiPriority w:val="99"/>
    <w:semiHidden/>
    <w:rsid w:val="0043446F"/>
    <w:rPr>
      <w:rFonts w:ascii="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3446F"/>
    <w:rPr>
      <w:b/>
      <w:bCs/>
    </w:rPr>
  </w:style>
  <w:style w:type="character" w:customStyle="1" w:styleId="CommentSubjectChar">
    <w:name w:val="Comment Subject Char"/>
    <w:basedOn w:val="CommentTextChar"/>
    <w:link w:val="CommentSubject"/>
    <w:uiPriority w:val="99"/>
    <w:semiHidden/>
    <w:rsid w:val="0043446F"/>
    <w:rPr>
      <w:rFonts w:ascii="Times New Roman" w:hAnsi="Times New Roman" w:cs="Times New Roman"/>
      <w:b/>
      <w:bCs/>
      <w:snapToGrid w:val="0"/>
      <w:sz w:val="20"/>
      <w:szCs w:val="20"/>
    </w:rPr>
  </w:style>
  <w:style w:type="paragraph" w:styleId="BodyText">
    <w:name w:val="Body Text"/>
    <w:basedOn w:val="Normal"/>
    <w:link w:val="BodyTextChar"/>
    <w:uiPriority w:val="99"/>
    <w:unhideWhenUsed/>
    <w:rsid w:val="00463E9E"/>
    <w:pPr>
      <w:spacing w:after="120"/>
    </w:pPr>
  </w:style>
  <w:style w:type="character" w:customStyle="1" w:styleId="BodyTextChar">
    <w:name w:val="Body Text Char"/>
    <w:basedOn w:val="DefaultParagraphFont"/>
    <w:link w:val="BodyText"/>
    <w:uiPriority w:val="99"/>
    <w:rsid w:val="00463E9E"/>
    <w:rPr>
      <w:rFonts w:ascii="Times New Roman" w:hAnsi="Times New Roman" w:cs="Times New Roman"/>
      <w:snapToGrid w:val="0"/>
      <w:sz w:val="24"/>
      <w:szCs w:val="20"/>
    </w:rPr>
  </w:style>
  <w:style w:type="paragraph" w:styleId="Revision">
    <w:name w:val="Revision"/>
    <w:hidden/>
    <w:uiPriority w:val="99"/>
    <w:semiHidden/>
    <w:rsid w:val="00BB0309"/>
    <w:pPr>
      <w:spacing w:after="0" w:line="240" w:lineRule="auto"/>
    </w:pPr>
    <w:rPr>
      <w:rFonts w:ascii="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8B47CC"/>
    <w:rPr>
      <w:color w:val="605E5C"/>
      <w:shd w:val="clear" w:color="auto" w:fill="E1DFDD"/>
    </w:rPr>
  </w:style>
  <w:style w:type="paragraph" w:styleId="FootnoteText">
    <w:name w:val="footnote text"/>
    <w:basedOn w:val="Normal"/>
    <w:link w:val="FootnoteTextChar"/>
    <w:uiPriority w:val="99"/>
    <w:semiHidden/>
    <w:unhideWhenUsed/>
    <w:rsid w:val="00F45D67"/>
    <w:rPr>
      <w:sz w:val="20"/>
    </w:rPr>
  </w:style>
  <w:style w:type="character" w:customStyle="1" w:styleId="FootnoteTextChar">
    <w:name w:val="Footnote Text Char"/>
    <w:basedOn w:val="DefaultParagraphFont"/>
    <w:link w:val="FootnoteText"/>
    <w:uiPriority w:val="99"/>
    <w:semiHidden/>
    <w:rsid w:val="00F45D67"/>
    <w:rPr>
      <w:rFonts w:ascii="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F45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736">
      <w:bodyDiv w:val="1"/>
      <w:marLeft w:val="0"/>
      <w:marRight w:val="0"/>
      <w:marTop w:val="0"/>
      <w:marBottom w:val="0"/>
      <w:divBdr>
        <w:top w:val="none" w:sz="0" w:space="0" w:color="auto"/>
        <w:left w:val="none" w:sz="0" w:space="0" w:color="auto"/>
        <w:bottom w:val="none" w:sz="0" w:space="0" w:color="auto"/>
        <w:right w:val="none" w:sz="0" w:space="0" w:color="auto"/>
      </w:divBdr>
    </w:div>
    <w:div w:id="27224740">
      <w:bodyDiv w:val="1"/>
      <w:marLeft w:val="0"/>
      <w:marRight w:val="0"/>
      <w:marTop w:val="0"/>
      <w:marBottom w:val="0"/>
      <w:divBdr>
        <w:top w:val="none" w:sz="0" w:space="0" w:color="auto"/>
        <w:left w:val="none" w:sz="0" w:space="0" w:color="auto"/>
        <w:bottom w:val="none" w:sz="0" w:space="0" w:color="auto"/>
        <w:right w:val="none" w:sz="0" w:space="0" w:color="auto"/>
      </w:divBdr>
    </w:div>
    <w:div w:id="102069141">
      <w:bodyDiv w:val="1"/>
      <w:marLeft w:val="0"/>
      <w:marRight w:val="0"/>
      <w:marTop w:val="0"/>
      <w:marBottom w:val="0"/>
      <w:divBdr>
        <w:top w:val="none" w:sz="0" w:space="0" w:color="auto"/>
        <w:left w:val="none" w:sz="0" w:space="0" w:color="auto"/>
        <w:bottom w:val="none" w:sz="0" w:space="0" w:color="auto"/>
        <w:right w:val="none" w:sz="0" w:space="0" w:color="auto"/>
      </w:divBdr>
    </w:div>
    <w:div w:id="118031982">
      <w:bodyDiv w:val="1"/>
      <w:marLeft w:val="0"/>
      <w:marRight w:val="0"/>
      <w:marTop w:val="0"/>
      <w:marBottom w:val="0"/>
      <w:divBdr>
        <w:top w:val="none" w:sz="0" w:space="0" w:color="auto"/>
        <w:left w:val="none" w:sz="0" w:space="0" w:color="auto"/>
        <w:bottom w:val="none" w:sz="0" w:space="0" w:color="auto"/>
        <w:right w:val="none" w:sz="0" w:space="0" w:color="auto"/>
      </w:divBdr>
    </w:div>
    <w:div w:id="445346708">
      <w:bodyDiv w:val="1"/>
      <w:marLeft w:val="0"/>
      <w:marRight w:val="0"/>
      <w:marTop w:val="0"/>
      <w:marBottom w:val="0"/>
      <w:divBdr>
        <w:top w:val="none" w:sz="0" w:space="0" w:color="auto"/>
        <w:left w:val="none" w:sz="0" w:space="0" w:color="auto"/>
        <w:bottom w:val="none" w:sz="0" w:space="0" w:color="auto"/>
        <w:right w:val="none" w:sz="0" w:space="0" w:color="auto"/>
      </w:divBdr>
    </w:div>
    <w:div w:id="476411814">
      <w:bodyDiv w:val="1"/>
      <w:marLeft w:val="0"/>
      <w:marRight w:val="0"/>
      <w:marTop w:val="0"/>
      <w:marBottom w:val="0"/>
      <w:divBdr>
        <w:top w:val="none" w:sz="0" w:space="0" w:color="auto"/>
        <w:left w:val="none" w:sz="0" w:space="0" w:color="auto"/>
        <w:bottom w:val="none" w:sz="0" w:space="0" w:color="auto"/>
        <w:right w:val="none" w:sz="0" w:space="0" w:color="auto"/>
      </w:divBdr>
    </w:div>
    <w:div w:id="1118598679">
      <w:bodyDiv w:val="1"/>
      <w:marLeft w:val="0"/>
      <w:marRight w:val="0"/>
      <w:marTop w:val="0"/>
      <w:marBottom w:val="0"/>
      <w:divBdr>
        <w:top w:val="none" w:sz="0" w:space="0" w:color="auto"/>
        <w:left w:val="none" w:sz="0" w:space="0" w:color="auto"/>
        <w:bottom w:val="none" w:sz="0" w:space="0" w:color="auto"/>
        <w:right w:val="none" w:sz="0" w:space="0" w:color="auto"/>
      </w:divBdr>
    </w:div>
    <w:div w:id="1189686511">
      <w:bodyDiv w:val="1"/>
      <w:marLeft w:val="0"/>
      <w:marRight w:val="0"/>
      <w:marTop w:val="0"/>
      <w:marBottom w:val="0"/>
      <w:divBdr>
        <w:top w:val="none" w:sz="0" w:space="0" w:color="auto"/>
        <w:left w:val="none" w:sz="0" w:space="0" w:color="auto"/>
        <w:bottom w:val="none" w:sz="0" w:space="0" w:color="auto"/>
        <w:right w:val="none" w:sz="0" w:space="0" w:color="auto"/>
      </w:divBdr>
    </w:div>
    <w:div w:id="1475676878">
      <w:bodyDiv w:val="1"/>
      <w:marLeft w:val="0"/>
      <w:marRight w:val="0"/>
      <w:marTop w:val="0"/>
      <w:marBottom w:val="0"/>
      <w:divBdr>
        <w:top w:val="none" w:sz="0" w:space="0" w:color="auto"/>
        <w:left w:val="none" w:sz="0" w:space="0" w:color="auto"/>
        <w:bottom w:val="none" w:sz="0" w:space="0" w:color="auto"/>
        <w:right w:val="none" w:sz="0" w:space="0" w:color="auto"/>
      </w:divBdr>
    </w:div>
    <w:div w:id="1563173669">
      <w:bodyDiv w:val="1"/>
      <w:marLeft w:val="0"/>
      <w:marRight w:val="0"/>
      <w:marTop w:val="0"/>
      <w:marBottom w:val="0"/>
      <w:divBdr>
        <w:top w:val="none" w:sz="0" w:space="0" w:color="auto"/>
        <w:left w:val="none" w:sz="0" w:space="0" w:color="auto"/>
        <w:bottom w:val="none" w:sz="0" w:space="0" w:color="auto"/>
        <w:right w:val="none" w:sz="0" w:space="0" w:color="auto"/>
      </w:divBdr>
    </w:div>
    <w:div w:id="1670979492">
      <w:bodyDiv w:val="1"/>
      <w:marLeft w:val="0"/>
      <w:marRight w:val="0"/>
      <w:marTop w:val="0"/>
      <w:marBottom w:val="0"/>
      <w:divBdr>
        <w:top w:val="none" w:sz="0" w:space="0" w:color="auto"/>
        <w:left w:val="none" w:sz="0" w:space="0" w:color="auto"/>
        <w:bottom w:val="none" w:sz="0" w:space="0" w:color="auto"/>
        <w:right w:val="none" w:sz="0" w:space="0" w:color="auto"/>
      </w:divBdr>
    </w:div>
    <w:div w:id="18605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cms.gov/httpswwwcmsgovregulations-and-guidancelegislationpaperworkreductionactof1995pra-listing/cms-107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ederalregister.gov/documents/2021/11/23/2021-25183/prescription-drug-and-health-care-spending"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sites/dolgov/files/EBSA/about-ebsa/our-activities/resource-center/faqs/aca-part-49.pdf" TargetMode="External"/><Relationship Id="rId1" Type="http://schemas.openxmlformats.org/officeDocument/2006/relationships/hyperlink" Target="https://www.cms.gov/CCIIO/Resources/Fact-Sheets-and-FAQs/Downloads/FAQs-Part-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x5qz xmlns="720edc2f-bbb2-4544-b28c-dd2e5feb1048" xsi:nil="true"/>
    <kulx xmlns="720edc2f-bbb2-4544-b28c-dd2e5feb1048" xsi:nil="true"/>
    <Area xmlns="720edc2f-bbb2-4544-b28c-dd2e5feb1048" xsi:nil="true"/>
    <c67x xmlns="720edc2f-bbb2-4544-b28c-dd2e5feb1048" xsi:nil="true"/>
    <pcyz xmlns="720edc2f-bbb2-4544-b28c-dd2e5feb1048" xsi:nil="true"/>
    <IconOverlay xmlns="http://schemas.microsoft.com/sharepoint/v4" xsi:nil="true"/>
    <_x0078_hm6 xmlns="720edc2f-bbb2-4544-b28c-dd2e5feb1048" xsi:nil="true"/>
    <_x0074_pi5 xmlns="720edc2f-bbb2-4544-b28c-dd2e5feb1048" xsi:nil="true"/>
    <TaxKeywordTaxHTField xmlns="f7f571d0-7c6a-4b47-a409-0f74acd1ea19">
      <Terms xmlns="http://schemas.microsoft.com/office/infopath/2007/PartnerControls"/>
    </TaxKeywordTaxHTField>
    <_x007a_yx0 xmlns="720edc2f-bbb2-4544-b28c-dd2e5feb1048" xsi:nil="true"/>
    <od0y xmlns="720edc2f-bbb2-4544-b28c-dd2e5feb1048">
      <UserInfo>
        <DisplayName/>
        <AccountId xsi:nil="true"/>
        <AccountType/>
      </UserInfo>
    </od0y>
    <z8rl xmlns="720edc2f-bbb2-4544-b28c-dd2e5feb1048" xsi:nil="true"/>
    <o7f4 xmlns="720edc2f-bbb2-4544-b28c-dd2e5feb1048" xsi:nil="true"/>
    <_x0076_om3 xmlns="720edc2f-bbb2-4544-b28c-dd2e5feb1048" xsi:nil="true"/>
    <pwni xmlns="720edc2f-bbb2-4544-b28c-dd2e5feb1048" xsi:nil="true"/>
    <pgcl xmlns="720edc2f-bbb2-4544-b28c-dd2e5feb1048" xsi:nil="true"/>
    <p4dt xmlns="720edc2f-bbb2-4544-b28c-dd2e5feb1048" xsi:nil="true"/>
    <_x0073_ln4 xmlns="720edc2f-bbb2-4544-b28c-dd2e5feb1048" xsi:nil="true"/>
    <TaxCatchAll xmlns="5edbe80d-e595-46b9-be3c-e61540003b6e"/>
    <_x0037__x002d_point_x0020_Memo xmlns="720edc2f-bbb2-4544-b28c-dd2e5feb1048" xsi:nil="true"/>
    <l4rm xmlns="720edc2f-bbb2-4544-b28c-dd2e5feb1048" xsi:nil="true"/>
    <vhtm xmlns="720edc2f-bbb2-4544-b28c-dd2e5feb1048" xsi:nil="true"/>
    <n7ar xmlns="720edc2f-bbb2-4544-b28c-dd2e5feb1048">
      <UserInfo>
        <DisplayName/>
        <AccountId xsi:nil="true"/>
        <AccountType/>
      </UserInfo>
    </n7ar>
    <xhtz xmlns="720edc2f-bbb2-4544-b28c-dd2e5feb1048" xsi:nil="true"/>
    <Source xmlns="720edc2f-bbb2-4544-b28c-dd2e5feb1048" xsi:nil="true"/>
    <l31q xmlns="720edc2f-bbb2-4544-b28c-dd2e5feb1048" xsi:nil="true"/>
    <_x0078_c55 xmlns="720edc2f-bbb2-4544-b28c-dd2e5feb1048" xsi:nil="true"/>
    <cmao xmlns="720edc2f-bbb2-4544-b28c-dd2e5feb1048" xsi:nil="true"/>
    <px3v xmlns="720edc2f-bbb2-4544-b28c-dd2e5feb1048" xsi:nil="true"/>
    <_x0061_e55 xmlns="720edc2f-bbb2-4544-b28c-dd2e5feb1048" xsi:nil="true"/>
    <_dlc_DocId xmlns="52222ef0-b167-44f5-92f7-438fda0857cd">DOTAXPOLICY-56-15811</_dlc_DocId>
    <_dlc_DocIdUrl xmlns="52222ef0-b167-44f5-92f7-438fda0857cd">
      <Url>https://my.treas.gov/Collab/taxpolicy/_layouts/15/DocIdRedir.aspx?ID=DOTAXPOLICY-56-15811</Url>
      <Description>DOTAXPOLICY-56-15811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50420a61fd4cabec5a883d7ab235d8d8">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0a2f7a5ff62939f353056cb4da31f1e4"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Status" ma:internalName="_x007a_yx0">
      <xsd:simpleType>
        <xsd:restriction base="dms:Text"/>
      </xsd:simpleType>
    </xsd:element>
    <xsd:element name="pcyz" ma:index="22" nillable="true" ma:displayName="Status"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Subject"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ource"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 order"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DC5A617BCDF444FA2FFCE3778904532" ma:contentTypeVersion="4" ma:contentTypeDescription="Create a new document." ma:contentTypeScope="" ma:versionID="0f671eec72874c51a4d1d708f5eda348">
  <xsd:schema xmlns:xsd="http://www.w3.org/2001/XMLSchema" xmlns:xs="http://www.w3.org/2001/XMLSchema" xmlns:p="http://schemas.microsoft.com/office/2006/metadata/properties" xmlns:ns2="94baf2fd-8853-4e75-9d19-224277a1e605" xmlns:ns3="f859f103-7acf-4d92-9ae5-13b315a00ed9" targetNamespace="http://schemas.microsoft.com/office/2006/metadata/properties" ma:root="true" ma:fieldsID="4e838f4656e1708adcca5a44217f2804" ns2:_="" ns3:_="">
    <xsd:import namespace="94baf2fd-8853-4e75-9d19-224277a1e605"/>
    <xsd:import namespace="f859f103-7acf-4d92-9ae5-13b315a00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f2fd-8853-4e75-9d19-224277a1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9f103-7acf-4d92-9ae5-13b315a00e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79FA-14BD-4DBF-B974-25AE8AD1991B}">
  <ds:schemaRefs>
    <ds:schemaRef ds:uri="http://schemas.microsoft.com/sharepoint/v3/contenttype/forms"/>
  </ds:schemaRefs>
</ds:datastoreItem>
</file>

<file path=customXml/itemProps2.xml><?xml version="1.0" encoding="utf-8"?>
<ds:datastoreItem xmlns:ds="http://schemas.openxmlformats.org/officeDocument/2006/customXml" ds:itemID="{6DBD07EC-1780-4072-9571-7426795A6A28}">
  <ds:schemaRefs>
    <ds:schemaRef ds:uri="http://schemas.microsoft.com/sharepoint/v3/contenttype/forms"/>
  </ds:schemaRefs>
</ds:datastoreItem>
</file>

<file path=customXml/itemProps3.xml><?xml version="1.0" encoding="utf-8"?>
<ds:datastoreItem xmlns:ds="http://schemas.openxmlformats.org/officeDocument/2006/customXml" ds:itemID="{807872FF-FFBD-4186-82FD-76D42AE32CDA}">
  <ds:schemaRefs>
    <ds:schemaRef ds:uri="http://schemas.microsoft.com/sharepoint/events"/>
  </ds:schemaRefs>
</ds:datastoreItem>
</file>

<file path=customXml/itemProps4.xml><?xml version="1.0" encoding="utf-8"?>
<ds:datastoreItem xmlns:ds="http://schemas.openxmlformats.org/officeDocument/2006/customXml" ds:itemID="{7FEC3E13-EA1E-4DA1-AE1D-77AD7B700D31}">
  <ds:schemaRefs>
    <ds:schemaRef ds:uri="http://schemas.microsoft.com/office/2006/metadata/properties"/>
    <ds:schemaRef ds:uri="http://schemas.microsoft.com/office/infopath/2007/PartnerControls"/>
    <ds:schemaRef ds:uri="720edc2f-bbb2-4544-b28c-dd2e5feb1048"/>
    <ds:schemaRef ds:uri="http://schemas.microsoft.com/sharepoint/v4"/>
    <ds:schemaRef ds:uri="f7f571d0-7c6a-4b47-a409-0f74acd1ea19"/>
    <ds:schemaRef ds:uri="5edbe80d-e595-46b9-be3c-e61540003b6e"/>
    <ds:schemaRef ds:uri="52222ef0-b167-44f5-92f7-438fda0857cd"/>
  </ds:schemaRefs>
</ds:datastoreItem>
</file>

<file path=customXml/itemProps5.xml><?xml version="1.0" encoding="utf-8"?>
<ds:datastoreItem xmlns:ds="http://schemas.openxmlformats.org/officeDocument/2006/customXml" ds:itemID="{1EEDF249-2333-43EF-B65F-514A7434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9A804F-1D7C-4C96-B3DC-31C1C696B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f2fd-8853-4e75-9d19-224277a1e605"/>
    <ds:schemaRef ds:uri="f859f103-7acf-4d92-9ae5-13b315a0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E867A39-CC7C-4DB7-AEF4-015BCB0F19F5}">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4B914A25-DE43-4416-92C9-677E3BF8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Alix Pereira</dc:creator>
  <cp:lastModifiedBy>JAMAA HILL</cp:lastModifiedBy>
  <cp:revision>2</cp:revision>
  <dcterms:created xsi:type="dcterms:W3CDTF">2022-06-24T12:00:00Z</dcterms:created>
  <dcterms:modified xsi:type="dcterms:W3CDTF">2022-06-24T12:00:00Z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0x0101002DC5A617BCDF444FA2FFCE3778904532</vt:lpwstr>
  </property>
  <property fmtid="{D5CDD505-2E9C-101B-9397-08002B2CF9AE}" pid="4" name="_dlc_DocIdItemGuid">
    <vt:lpwstr>78861909-258b-4b8f-98cd-0c35ebb13758</vt:lpwstr>
  </property>
  <property fmtid="{D5CDD505-2E9C-101B-9397-08002B2CF9AE}" pid="5" name="TaxKeyword">
    <vt:lpwstr/>
  </property>
</Properties>
</file>