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F42" w:rsidR="00CB4D17" w:rsidP="00CB4D17" w:rsidRDefault="00F107B7" w14:paraId="123C41F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Pr="00BC7F42" w:rsidR="003F00B3">
        <w:rPr>
          <w:rFonts w:ascii="Times New Roman" w:hAnsi="Times New Roman" w:cs="Times New Roman"/>
        </w:rPr>
        <w:t>Form</w:t>
      </w:r>
      <w:r w:rsidR="00CB4D17">
        <w:rPr>
          <w:rFonts w:ascii="Times New Roman" w:hAnsi="Times New Roman" w:cs="Times New Roman"/>
        </w:rPr>
        <w:t xml:space="preserve"> SSA-L4112</w:t>
      </w:r>
      <w:r w:rsidRPr="00BC7F42" w:rsidR="003F00B3">
        <w:rPr>
          <w:rFonts w:ascii="Times New Roman" w:hAnsi="Times New Roman" w:cs="Times New Roman"/>
        </w:rPr>
        <w:t xml:space="preserve"> </w:t>
      </w:r>
    </w:p>
    <w:p w:rsidRPr="00CB4D17" w:rsidR="00CB4D17" w:rsidP="00CB4D17" w:rsidRDefault="007E17BD" w14:paraId="2CBC1513" w14:textId="77777777">
      <w:pPr>
        <w:pStyle w:val="Heading1"/>
        <w:jc w:val="center"/>
        <w:rPr>
          <w:rFonts w:ascii="Times New Roman" w:hAnsi="Times New Roman" w:cs="Times New Roman"/>
        </w:rPr>
      </w:pPr>
      <w:r w:rsidRPr="00BC7F42">
        <w:rPr>
          <w:rFonts w:ascii="Times New Roman" w:hAnsi="Times New Roman" w:cs="Times New Roman"/>
        </w:rPr>
        <w:t xml:space="preserve"> </w:t>
      </w:r>
      <w:bookmarkStart w:name="_Hlk98486611" w:id="0"/>
      <w:r w:rsidRPr="00CB4D17" w:rsidR="00CB4D17">
        <w:rPr>
          <w:rFonts w:ascii="Times New Roman" w:hAnsi="Times New Roman" w:cs="Times New Roman"/>
        </w:rPr>
        <w:t>Employer Verification of Earnings After Death</w:t>
      </w:r>
      <w:bookmarkEnd w:id="0"/>
    </w:p>
    <w:p w:rsidRPr="00CB4D17" w:rsidR="00CB4D17" w:rsidP="00CB4D17" w:rsidRDefault="00CB4D17" w14:paraId="46813A0A" w14:textId="77777777">
      <w:pPr>
        <w:pStyle w:val="Heading1"/>
        <w:jc w:val="center"/>
        <w:rPr>
          <w:rFonts w:ascii="Times New Roman" w:hAnsi="Times New Roman" w:cs="Times New Roman"/>
        </w:rPr>
      </w:pPr>
      <w:r w:rsidRPr="00CB4D17">
        <w:rPr>
          <w:rFonts w:ascii="Times New Roman" w:hAnsi="Times New Roman" w:cs="Times New Roman"/>
        </w:rPr>
        <w:t>20 CFR 404.821 and 404.822</w:t>
      </w:r>
    </w:p>
    <w:p w:rsidR="00146275" w:rsidP="00CB4D17" w:rsidRDefault="00CB4D17" w14:paraId="669C7E0D"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CB4D17">
        <w:rPr>
          <w:rFonts w:ascii="Times New Roman" w:hAnsi="Times New Roman" w:cs="Times New Roman"/>
        </w:rPr>
        <w:t>OMB No. 0960-0472</w:t>
      </w:r>
    </w:p>
    <w:p w:rsidRPr="000E7AE3" w:rsidR="000E7AE3" w:rsidP="000E7AE3" w:rsidRDefault="000E7AE3" w14:paraId="1C9CB28F" w14:textId="77777777"/>
    <w:p w:rsidRPr="002321B0" w:rsidR="00A45D82" w:rsidP="00A45D82" w:rsidRDefault="00A45D82" w14:paraId="427AD8C3"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7DDA8F3F" w14:textId="77777777">
      <w:pPr>
        <w:pStyle w:val="Header"/>
        <w:tabs>
          <w:tab w:val="clear" w:pos="4320"/>
          <w:tab w:val="clear" w:pos="8640"/>
        </w:tabs>
        <w:rPr>
          <w:rFonts w:ascii="Times New Roman" w:hAnsi="Times New Roman"/>
        </w:rPr>
      </w:pPr>
    </w:p>
    <w:p w:rsidR="002321B0" w:rsidP="00FE5ECE" w:rsidRDefault="002E18CF" w14:paraId="44B65EFE" w14:textId="77777777">
      <w:pPr>
        <w:numPr>
          <w:ilvl w:val="0"/>
          <w:numId w:val="5"/>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Pr="00CB4D17" w:rsidR="00CB4D17" w:rsidP="0021179F" w:rsidRDefault="00CB4D17" w14:paraId="236720E6" w14:textId="1350C338">
      <w:pPr>
        <w:ind w:left="1440"/>
        <w:rPr>
          <w:rFonts w:ascii="Times New Roman" w:hAnsi="Times New Roman"/>
          <w:bCs/>
        </w:rPr>
      </w:pPr>
      <w:r w:rsidRPr="00CB4D17">
        <w:rPr>
          <w:rFonts w:ascii="Times New Roman" w:hAnsi="Times New Roman"/>
          <w:bCs/>
        </w:rPr>
        <w:t xml:space="preserve">Section </w:t>
      </w:r>
      <w:r w:rsidRPr="00346BD0">
        <w:rPr>
          <w:rFonts w:ascii="Times New Roman" w:hAnsi="Times New Roman"/>
          <w:bCs/>
          <w:i/>
          <w:iCs/>
        </w:rPr>
        <w:t>205(c)</w:t>
      </w:r>
      <w:r w:rsidRPr="00CB4D17">
        <w:rPr>
          <w:rFonts w:ascii="Times New Roman" w:hAnsi="Times New Roman"/>
          <w:bCs/>
        </w:rPr>
        <w:t xml:space="preserve"> of the </w:t>
      </w:r>
      <w:r w:rsidRPr="00346BD0">
        <w:rPr>
          <w:rFonts w:ascii="Times New Roman" w:hAnsi="Times New Roman"/>
          <w:bCs/>
          <w:i/>
          <w:iCs/>
        </w:rPr>
        <w:t>Social Security Act (Act)</w:t>
      </w:r>
      <w:r w:rsidRPr="00CB4D17">
        <w:rPr>
          <w:rFonts w:ascii="Times New Roman" w:hAnsi="Times New Roman"/>
          <w:bCs/>
        </w:rPr>
        <w:t xml:space="preserve"> charges the Commissioner of the Social Security Administration (SSA) with establishing and maintaining records of the amounts of wages and the amounts of self-employment income individuals derive.  Section </w:t>
      </w:r>
      <w:r w:rsidRPr="00346BD0">
        <w:rPr>
          <w:rFonts w:ascii="Times New Roman" w:hAnsi="Times New Roman"/>
          <w:bCs/>
          <w:i/>
          <w:iCs/>
        </w:rPr>
        <w:t xml:space="preserve">232 </w:t>
      </w:r>
      <w:r w:rsidRPr="00CB4D17">
        <w:rPr>
          <w:rFonts w:ascii="Times New Roman" w:hAnsi="Times New Roman"/>
          <w:bCs/>
        </w:rPr>
        <w:t xml:space="preserve">of the </w:t>
      </w:r>
      <w:r w:rsidRPr="00346BD0">
        <w:rPr>
          <w:rFonts w:ascii="Times New Roman" w:hAnsi="Times New Roman"/>
          <w:bCs/>
          <w:i/>
          <w:iCs/>
        </w:rPr>
        <w:t xml:space="preserve">Act </w:t>
      </w:r>
      <w:r w:rsidRPr="00CB4D17">
        <w:rPr>
          <w:rFonts w:ascii="Times New Roman" w:hAnsi="Times New Roman"/>
          <w:bCs/>
        </w:rPr>
        <w:t xml:space="preserve">requires employers to file tax reports (IRS Forms W-3 and W-2) with SSA.  SSA bases entitlement to Social Security benefits, and the amount of benefits, on SSA’s records of earnings or wages for individuals contained in these tax forms.  </w:t>
      </w:r>
      <w:r w:rsidRPr="00664672">
        <w:rPr>
          <w:rFonts w:ascii="Times New Roman" w:hAnsi="Times New Roman"/>
          <w:bCs/>
        </w:rPr>
        <w:t>Section</w:t>
      </w:r>
      <w:r w:rsidRPr="00D851C0">
        <w:rPr>
          <w:rFonts w:ascii="Times New Roman" w:hAnsi="Times New Roman"/>
          <w:bCs/>
          <w:i/>
          <w:iCs/>
        </w:rPr>
        <w:t xml:space="preserve"> 209(a)(12)</w:t>
      </w:r>
      <w:r w:rsidRPr="00CB4D17">
        <w:rPr>
          <w:rFonts w:ascii="Times New Roman" w:hAnsi="Times New Roman"/>
          <w:bCs/>
        </w:rPr>
        <w:t xml:space="preserve"> of the </w:t>
      </w:r>
      <w:r w:rsidRPr="00346BD0">
        <w:rPr>
          <w:rFonts w:ascii="Times New Roman" w:hAnsi="Times New Roman"/>
          <w:bCs/>
          <w:i/>
          <w:iCs/>
        </w:rPr>
        <w:t xml:space="preserve">Act </w:t>
      </w:r>
      <w:r w:rsidRPr="00CB4D17">
        <w:rPr>
          <w:rFonts w:ascii="Times New Roman" w:hAnsi="Times New Roman"/>
          <w:bCs/>
        </w:rPr>
        <w:t xml:space="preserve">excludes from the definition of wages any remuneration an employer pays after the employee’s year of death.  </w:t>
      </w:r>
      <w:r w:rsidRPr="00664672">
        <w:rPr>
          <w:rFonts w:ascii="Times New Roman" w:hAnsi="Times New Roman"/>
          <w:bCs/>
        </w:rPr>
        <w:t>Section</w:t>
      </w:r>
      <w:r w:rsidR="002079EF">
        <w:rPr>
          <w:rFonts w:ascii="Times New Roman" w:hAnsi="Times New Roman"/>
          <w:bCs/>
        </w:rPr>
        <w:t>s</w:t>
      </w:r>
      <w:r w:rsidRPr="00664672">
        <w:rPr>
          <w:rFonts w:ascii="Times New Roman" w:hAnsi="Times New Roman"/>
          <w:bCs/>
        </w:rPr>
        <w:t xml:space="preserve"> </w:t>
      </w:r>
      <w:r w:rsidRPr="00D851C0">
        <w:rPr>
          <w:rFonts w:ascii="Times New Roman" w:hAnsi="Times New Roman"/>
          <w:bCs/>
          <w:i/>
          <w:iCs/>
        </w:rPr>
        <w:t>20 CFR 404.821</w:t>
      </w:r>
      <w:r w:rsidRPr="00CB4D17">
        <w:rPr>
          <w:rFonts w:ascii="Times New Roman" w:hAnsi="Times New Roman"/>
          <w:bCs/>
        </w:rPr>
        <w:t xml:space="preserve"> and </w:t>
      </w:r>
      <w:r w:rsidRPr="00D851C0">
        <w:rPr>
          <w:rFonts w:ascii="Times New Roman" w:hAnsi="Times New Roman"/>
          <w:bCs/>
          <w:i/>
          <w:iCs/>
        </w:rPr>
        <w:t>404.822</w:t>
      </w:r>
      <w:r w:rsidRPr="00CB4D17">
        <w:rPr>
          <w:rFonts w:ascii="Times New Roman" w:hAnsi="Times New Roman"/>
          <w:bCs/>
        </w:rPr>
        <w:t xml:space="preserve"> of the </w:t>
      </w:r>
      <w:r w:rsidRPr="00346BD0">
        <w:rPr>
          <w:rFonts w:ascii="Times New Roman" w:hAnsi="Times New Roman"/>
          <w:bCs/>
          <w:i/>
          <w:iCs/>
        </w:rPr>
        <w:t>Code of Federal Regulations</w:t>
      </w:r>
      <w:r w:rsidRPr="00CB4D17">
        <w:rPr>
          <w:rFonts w:ascii="Times New Roman" w:hAnsi="Times New Roman"/>
          <w:bCs/>
        </w:rPr>
        <w:t xml:space="preserve"> provide for the correction of Social Security earnings records when satisfactory evidence shows that SSA records are incorrect.</w:t>
      </w:r>
    </w:p>
    <w:p w:rsidRPr="00F57AD9" w:rsidR="00F57AD9" w:rsidP="00F57AD9" w:rsidRDefault="00F57AD9" w14:paraId="4665DD3D" w14:textId="77777777">
      <w:pPr>
        <w:rPr>
          <w:rFonts w:ascii="Times New Roman" w:hAnsi="Times New Roman"/>
        </w:rPr>
      </w:pPr>
    </w:p>
    <w:p w:rsidRPr="00081603" w:rsidR="002E18CF" w:rsidP="00FE5ECE" w:rsidRDefault="00F56A74" w14:paraId="4CE54427" w14:textId="77777777">
      <w:pPr>
        <w:numPr>
          <w:ilvl w:val="0"/>
          <w:numId w:val="2"/>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B015A5" w:rsidP="009A53ED" w:rsidRDefault="00296BFA" w14:paraId="43BCA7B1" w14:textId="3B04D28A">
      <w:pPr>
        <w:pStyle w:val="poms-para"/>
        <w:shd w:val="clear" w:color="auto" w:fill="FFFFFF"/>
        <w:spacing w:before="0" w:beforeAutospacing="0" w:after="240" w:afterAutospacing="0"/>
        <w:ind w:left="1440"/>
      </w:pPr>
      <w:r w:rsidRPr="00907872">
        <w:rPr>
          <w:color w:val="444444"/>
          <w:shd w:val="clear" w:color="auto" w:fill="FFFFFF"/>
        </w:rPr>
        <w:t>During</w:t>
      </w:r>
      <w:r w:rsidR="00E646A3">
        <w:rPr>
          <w:color w:val="444444"/>
          <w:shd w:val="clear" w:color="auto" w:fill="FFFFFF"/>
        </w:rPr>
        <w:t xml:space="preserve"> </w:t>
      </w:r>
      <w:r w:rsidRPr="007759EE" w:rsidR="00E646A3">
        <w:rPr>
          <w:shd w:val="clear" w:color="auto" w:fill="FFFFFF"/>
        </w:rPr>
        <w:t>the</w:t>
      </w:r>
      <w:r w:rsidRPr="007759EE">
        <w:rPr>
          <w:shd w:val="clear" w:color="auto" w:fill="FFFFFF"/>
        </w:rPr>
        <w:t xml:space="preserve"> validation of the Annual</w:t>
      </w:r>
      <w:r w:rsidRPr="00907872">
        <w:rPr>
          <w:color w:val="444444"/>
          <w:shd w:val="clear" w:color="auto" w:fill="FFFFFF"/>
        </w:rPr>
        <w:t xml:space="preserve"> </w:t>
      </w:r>
      <w:r w:rsidRPr="007759EE">
        <w:rPr>
          <w:shd w:val="clear" w:color="auto" w:fill="FFFFFF"/>
        </w:rPr>
        <w:t>Wage Reporting process</w:t>
      </w:r>
      <w:r w:rsidR="002079EF">
        <w:rPr>
          <w:shd w:val="clear" w:color="auto" w:fill="FFFFFF"/>
        </w:rPr>
        <w:t>,</w:t>
      </w:r>
      <w:r w:rsidRPr="007759EE" w:rsidR="00907872">
        <w:rPr>
          <w:shd w:val="clear" w:color="auto" w:fill="FFFFFF"/>
        </w:rPr>
        <w:t xml:space="preserve"> </w:t>
      </w:r>
      <w:r w:rsidRPr="007759EE">
        <w:rPr>
          <w:shd w:val="clear" w:color="auto" w:fill="FFFFFF"/>
        </w:rPr>
        <w:t xml:space="preserve">employers submit wage reports showing the wages paid to each employee during the previous year. SSA validates the names and SSNs on the </w:t>
      </w:r>
      <w:r w:rsidRPr="007759EE" w:rsidR="00485549">
        <w:rPr>
          <w:shd w:val="clear" w:color="auto" w:fill="FFFFFF"/>
        </w:rPr>
        <w:t>employer’s</w:t>
      </w:r>
      <w:r w:rsidRPr="007759EE">
        <w:rPr>
          <w:shd w:val="clear" w:color="auto" w:fill="FFFFFF"/>
        </w:rPr>
        <w:t xml:space="preserve"> report and checks to see that other data is valid.  When</w:t>
      </w:r>
      <w:r w:rsidR="00E417FC">
        <w:rPr>
          <w:shd w:val="clear" w:color="auto" w:fill="FFFFFF"/>
        </w:rPr>
        <w:t xml:space="preserve"> SSA finds</w:t>
      </w:r>
      <w:r w:rsidRPr="007759EE">
        <w:rPr>
          <w:shd w:val="clear" w:color="auto" w:fill="FFFFFF"/>
        </w:rPr>
        <w:t xml:space="preserve"> a date of death and the year of death is prior to the year of the reported earnings, SSA’s Office of Systems (OS)</w:t>
      </w:r>
      <w:r w:rsidRPr="007759EE" w:rsidR="005603C2">
        <w:rPr>
          <w:shd w:val="clear" w:color="auto" w:fill="FFFFFF"/>
        </w:rPr>
        <w:t xml:space="preserve"> Wilkes Barre Direct Operations Center (WBDOC)</w:t>
      </w:r>
      <w:r w:rsidRPr="007759EE">
        <w:rPr>
          <w:shd w:val="clear" w:color="auto" w:fill="FFFFFF"/>
        </w:rPr>
        <w:t xml:space="preserve"> posts the earning </w:t>
      </w:r>
      <w:r w:rsidRPr="007759EE" w:rsidR="00CE471F">
        <w:rPr>
          <w:shd w:val="clear" w:color="auto" w:fill="FFFFFF"/>
        </w:rPr>
        <w:t>in SSA’s Master Earning File</w:t>
      </w:r>
      <w:r w:rsidRPr="007759EE" w:rsidR="00344998">
        <w:rPr>
          <w:shd w:val="clear" w:color="auto" w:fill="FFFFFF"/>
        </w:rPr>
        <w:t>, and p</w:t>
      </w:r>
      <w:r w:rsidRPr="007759EE" w:rsidR="00907872">
        <w:t xml:space="preserve">aces all earnings, </w:t>
      </w:r>
      <w:r w:rsidRPr="007759EE" w:rsidR="007759EE">
        <w:t>wages,</w:t>
      </w:r>
      <w:r w:rsidRPr="007759EE" w:rsidR="00907872">
        <w:t xml:space="preserve"> and S</w:t>
      </w:r>
      <w:r w:rsidRPr="007759EE" w:rsidR="00344998">
        <w:t>elf-employment earnings into</w:t>
      </w:r>
      <w:r w:rsidRPr="007759EE" w:rsidR="00907872">
        <w:t xml:space="preserve"> </w:t>
      </w:r>
      <w:r w:rsidRPr="007759EE" w:rsidR="009A53ED">
        <w:t>s</w:t>
      </w:r>
      <w:r w:rsidRPr="007759EE" w:rsidR="00907872">
        <w:t xml:space="preserve">uspense </w:t>
      </w:r>
      <w:r w:rsidRPr="007759EE" w:rsidR="009A53ED">
        <w:t xml:space="preserve">status.  </w:t>
      </w:r>
      <w:bookmarkStart w:name="a3" w:id="1"/>
      <w:bookmarkEnd w:id="1"/>
      <w:r w:rsidRPr="007759EE" w:rsidR="00CB4D17">
        <w:t xml:space="preserve">When SSA records show a wage earner is deceased, and we receive wage reports from an employer for the wage earner for a year subsequent to the year of death, SSA mails the employer Form SSA-L4112 </w:t>
      </w:r>
      <w:r w:rsidRPr="007759EE" w:rsidR="005603C2">
        <w:t xml:space="preserve">to complete and mail back to SSA.  SSA’s </w:t>
      </w:r>
      <w:r w:rsidRPr="007759EE" w:rsidR="00344998">
        <w:t xml:space="preserve">WBDOC </w:t>
      </w:r>
      <w:r w:rsidRPr="007759EE" w:rsidR="005603C2">
        <w:t xml:space="preserve">takes no action if the employer states the </w:t>
      </w:r>
      <w:r w:rsidRPr="007759EE" w:rsidR="00344998">
        <w:t>number holder (NH) is deceased</w:t>
      </w:r>
      <w:r w:rsidRPr="007759EE" w:rsidR="005603C2">
        <w:t xml:space="preserve">.  If the employer does not </w:t>
      </w:r>
      <w:proofErr w:type="gramStart"/>
      <w:r w:rsidRPr="007759EE" w:rsidR="00344998">
        <w:t xml:space="preserve">respond, </w:t>
      </w:r>
      <w:r w:rsidRPr="007759EE" w:rsidR="005603C2">
        <w:t>or</w:t>
      </w:r>
      <w:proofErr w:type="gramEnd"/>
      <w:r w:rsidRPr="007759EE" w:rsidR="005603C2">
        <w:t xml:space="preserve"> does not provide SSA with new information on the Form SSA-L</w:t>
      </w:r>
      <w:r w:rsidR="002079EF">
        <w:t>4</w:t>
      </w:r>
      <w:r w:rsidRPr="007759EE" w:rsidR="005603C2">
        <w:t xml:space="preserve">112, SSA </w:t>
      </w:r>
      <w:r w:rsidRPr="007759EE" w:rsidR="009A53ED">
        <w:t xml:space="preserve">mails </w:t>
      </w:r>
      <w:r w:rsidR="00E417FC">
        <w:t>a Social Security Notice to Employee</w:t>
      </w:r>
      <w:r w:rsidR="002967A5">
        <w:t xml:space="preserve"> notice</w:t>
      </w:r>
      <w:r w:rsidRPr="007759EE" w:rsidR="005603C2">
        <w:t xml:space="preserve"> to the NH shown on the W-2 advising the NH that the wages do not appear to belong to him or her.</w:t>
      </w:r>
      <w:r w:rsidRPr="007759EE" w:rsidR="00485549">
        <w:t xml:space="preserve"> </w:t>
      </w:r>
      <w:r w:rsidR="007759EE">
        <w:t xml:space="preserve"> </w:t>
      </w:r>
      <w:r w:rsidRPr="007759EE" w:rsidR="00485549">
        <w:t xml:space="preserve">The WBDOC scans the </w:t>
      </w:r>
      <w:r w:rsidRPr="007759EE" w:rsidR="00EA3F64">
        <w:t>information we receive as a result of these letters into</w:t>
      </w:r>
      <w:r w:rsidRPr="007759EE" w:rsidR="007B7CEE">
        <w:t xml:space="preserve"> SSA’s</w:t>
      </w:r>
      <w:r w:rsidRPr="009A53ED" w:rsidR="007B7CEE">
        <w:t xml:space="preserve"> system t</w:t>
      </w:r>
      <w:r w:rsidRPr="009A53ED" w:rsidR="00EA3F64">
        <w:t>o be applied to the individual records.</w:t>
      </w:r>
      <w:r w:rsidR="002079EF">
        <w:t xml:space="preserve">  </w:t>
      </w:r>
      <w:r w:rsidRPr="005912BF" w:rsidR="00B015A5">
        <w:t>The respondents are employers who rep</w:t>
      </w:r>
      <w:r w:rsidR="00B015A5">
        <w:t xml:space="preserve">ort wages for employees who </w:t>
      </w:r>
      <w:r w:rsidRPr="005912BF" w:rsidR="00B015A5">
        <w:t>died</w:t>
      </w:r>
    </w:p>
    <w:p w:rsidRPr="00703C7F" w:rsidR="0036696D" w:rsidP="00FE5ECE" w:rsidRDefault="00A45D82" w14:paraId="15D09408" w14:textId="77777777">
      <w:pPr>
        <w:numPr>
          <w:ilvl w:val="0"/>
          <w:numId w:val="2"/>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0E7AE3" w:rsidP="000E7AE3" w:rsidRDefault="00837C8B" w14:paraId="7DCBB6E4" w14:textId="41CA382F">
      <w:pPr>
        <w:ind w:left="1440"/>
        <w:rPr>
          <w:rFonts w:ascii="Times New Roman" w:hAnsi="Times New Roman"/>
        </w:rPr>
      </w:pPr>
      <w:bookmarkStart w:name="_Hlk112398295" w:id="2"/>
      <w:r w:rsidRPr="00F07DA2">
        <w:rPr>
          <w:rFonts w:ascii="Times New Roman" w:hAnsi="Times New Roman"/>
        </w:rPr>
        <w:t>This collection does not currently have a fully public-facing Internet version</w:t>
      </w:r>
      <w:r>
        <w:rPr>
          <w:rFonts w:ascii="Times New Roman" w:hAnsi="Times New Roman"/>
        </w:rPr>
        <w:t xml:space="preserve">, nor do we have a fully submittable PDF.  </w:t>
      </w:r>
      <w:r w:rsidRPr="00871981">
        <w:rPr>
          <w:rFonts w:ascii="Times New Roman" w:hAnsi="Times New Roman"/>
        </w:rPr>
        <w:t xml:space="preserve">SSA is unable to create an electronic version of this information collection at this time, </w:t>
      </w:r>
      <w:r w:rsidR="002967A5">
        <w:rPr>
          <w:rFonts w:ascii="Times New Roman" w:hAnsi="Times New Roman"/>
        </w:rPr>
        <w:t>as we first need to conduct a risk assessment for this form and determine the best way to collect the information electronically, because</w:t>
      </w:r>
      <w:r w:rsidRPr="00871981" w:rsidR="002967A5">
        <w:rPr>
          <w:rFonts w:ascii="Times New Roman" w:hAnsi="Times New Roman"/>
        </w:rPr>
        <w:t xml:space="preserve"> we send this agency-initiated </w:t>
      </w:r>
      <w:r w:rsidR="002967A5">
        <w:rPr>
          <w:rFonts w:ascii="Times New Roman" w:hAnsi="Times New Roman"/>
        </w:rPr>
        <w:t>form</w:t>
      </w:r>
      <w:r w:rsidRPr="00871981" w:rsidR="002967A5">
        <w:rPr>
          <w:rFonts w:ascii="Times New Roman" w:hAnsi="Times New Roman"/>
        </w:rPr>
        <w:t xml:space="preserve"> to respondents with pre-filled </w:t>
      </w:r>
      <w:r w:rsidR="002967A5">
        <w:rPr>
          <w:rFonts w:ascii="Times New Roman" w:hAnsi="Times New Roman"/>
        </w:rPr>
        <w:t xml:space="preserve">property </w:t>
      </w:r>
      <w:r w:rsidRPr="00871981" w:rsidR="002967A5">
        <w:rPr>
          <w:rFonts w:ascii="Times New Roman" w:hAnsi="Times New Roman"/>
        </w:rPr>
        <w:t>information</w:t>
      </w:r>
      <w:r w:rsidR="002967A5">
        <w:rPr>
          <w:rFonts w:ascii="Times New Roman" w:hAnsi="Times New Roman"/>
        </w:rPr>
        <w:t xml:space="preserve"> and may </w:t>
      </w:r>
      <w:r w:rsidRPr="00871981" w:rsidR="002967A5">
        <w:rPr>
          <w:rFonts w:ascii="Times New Roman" w:hAnsi="Times New Roman"/>
        </w:rPr>
        <w:t xml:space="preserve">also include a bar code </w:t>
      </w:r>
      <w:r w:rsidRPr="00871981" w:rsidR="002967A5">
        <w:rPr>
          <w:rFonts w:ascii="Times New Roman" w:hAnsi="Times New Roman"/>
        </w:rPr>
        <w:lastRenderedPageBreak/>
        <w:t>which allows us to scan the completed form into the electronic folder once we receive it from the respondent</w:t>
      </w:r>
      <w:r w:rsidR="002967A5">
        <w:rPr>
          <w:rFonts w:ascii="Times New Roman" w:hAnsi="Times New Roman"/>
        </w:rPr>
        <w:t xml:space="preserve">.  Currently we are working on risk assessments for higher volume forms but hope to schedule this form for a risk assessment in the future.  </w:t>
      </w:r>
      <w:r w:rsidRPr="00871981">
        <w:rPr>
          <w:rFonts w:ascii="Times New Roman" w:hAnsi="Times New Roman"/>
        </w:rPr>
        <w:t xml:space="preserve">In addition, we cannot send these </w:t>
      </w:r>
      <w:r w:rsidR="002967A5">
        <w:rPr>
          <w:rFonts w:ascii="Times New Roman" w:hAnsi="Times New Roman"/>
        </w:rPr>
        <w:t xml:space="preserve">forms to respondents </w:t>
      </w:r>
      <w:r w:rsidRPr="00871981">
        <w:rPr>
          <w:rFonts w:ascii="Times New Roman" w:hAnsi="Times New Roman"/>
        </w:rPr>
        <w:t>via email, as the pre-filled information contains personal identifying information (PII) of the respondents, and email is a non</w:t>
      </w:r>
      <w:r w:rsidR="002967A5">
        <w:rPr>
          <w:rFonts w:ascii="Times New Roman" w:hAnsi="Times New Roman"/>
        </w:rPr>
        <w:noBreakHyphen/>
      </w:r>
      <w:r w:rsidRPr="00871981">
        <w:rPr>
          <w:rFonts w:ascii="Times New Roman" w:hAnsi="Times New Roman"/>
        </w:rPr>
        <w:t xml:space="preserve">secured means of transferring PII. </w:t>
      </w:r>
      <w:r>
        <w:rPr>
          <w:rFonts w:ascii="Times New Roman" w:hAnsi="Times New Roman"/>
        </w:rPr>
        <w:t xml:space="preserve"> </w:t>
      </w:r>
      <w:r w:rsidRPr="00871981">
        <w:rPr>
          <w:rFonts w:ascii="Times New Roman" w:hAnsi="Times New Roman"/>
        </w:rPr>
        <w:t>We will reassess our ability to create an electronic version of this collection</w:t>
      </w:r>
      <w:r w:rsidR="002967A5">
        <w:rPr>
          <w:rFonts w:ascii="Times New Roman" w:hAnsi="Times New Roman"/>
        </w:rPr>
        <w:t xml:space="preserve"> once we can conduct a risk assessment.  Until then, </w:t>
      </w:r>
      <w:r>
        <w:rPr>
          <w:rFonts w:ascii="Times New Roman" w:hAnsi="Times New Roman"/>
        </w:rPr>
        <w:t xml:space="preserve">we are not able to schedule it </w:t>
      </w:r>
      <w:bookmarkEnd w:id="2"/>
      <w:r w:rsidR="002967A5">
        <w:rPr>
          <w:rFonts w:ascii="Times New Roman" w:hAnsi="Times New Roman"/>
        </w:rPr>
        <w:t>for electronic implementation</w:t>
      </w:r>
      <w:r w:rsidR="001820B5">
        <w:rPr>
          <w:rFonts w:ascii="Times New Roman" w:hAnsi="Times New Roman"/>
        </w:rPr>
        <w:t>.</w:t>
      </w:r>
    </w:p>
    <w:p w:rsidRPr="0036696D" w:rsidR="00703C7F" w:rsidP="00703C7F" w:rsidRDefault="00703C7F" w14:paraId="0B344DAE" w14:textId="77777777">
      <w:pPr>
        <w:ind w:left="720"/>
        <w:rPr>
          <w:rFonts w:ascii="Times New Roman" w:hAnsi="Times New Roman"/>
        </w:rPr>
      </w:pPr>
    </w:p>
    <w:p w:rsidR="000C1D18" w:rsidP="00FE5ECE" w:rsidRDefault="00A45D82" w14:paraId="7094C1A2"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703C7F" w:rsidR="00A45D82" w:rsidP="0021179F" w:rsidRDefault="00A45D82" w14:paraId="15D55140" w14:textId="77777777">
      <w:pPr>
        <w:ind w:left="1440"/>
        <w:rPr>
          <w:rFonts w:ascii="Times New Roman" w:hAnsi="Times New Roman"/>
          <w:iCs/>
        </w:rPr>
      </w:pPr>
      <w:r w:rsidRPr="00703C7F">
        <w:rPr>
          <w:rFonts w:ascii="Times New Roman" w:hAnsi="Times New Roman"/>
          <w:iCs/>
        </w:rPr>
        <w:t>The nature of the information</w:t>
      </w:r>
      <w:r w:rsidRPr="00703C7F" w:rsidR="0071437B">
        <w:rPr>
          <w:rFonts w:ascii="Times New Roman" w:hAnsi="Times New Roman"/>
          <w:iCs/>
        </w:rPr>
        <w:t xml:space="preserve"> we collect and the manner in which we collect</w:t>
      </w:r>
      <w:r w:rsidRPr="00703C7F" w:rsidR="00077E0E">
        <w:rPr>
          <w:rFonts w:ascii="Times New Roman" w:hAnsi="Times New Roman"/>
          <w:iCs/>
        </w:rPr>
        <w:t xml:space="preserve"> it preclude</w:t>
      </w:r>
      <w:r w:rsidRPr="00703C7F" w:rsidR="003176E1">
        <w:rPr>
          <w:rFonts w:ascii="Times New Roman" w:hAnsi="Times New Roman"/>
          <w:iCs/>
        </w:rPr>
        <w:t>s</w:t>
      </w:r>
      <w:r w:rsidRPr="00703C7F" w:rsidR="00077E0E">
        <w:rPr>
          <w:rFonts w:ascii="Times New Roman" w:hAnsi="Times New Roman"/>
          <w:iCs/>
        </w:rPr>
        <w:t xml:space="preserve"> duplication.  SSA does not use another collection instrument to obtain similar data.  </w:t>
      </w:r>
    </w:p>
    <w:p w:rsidRPr="00BC7F42" w:rsidR="00A45D82" w:rsidP="00A45D82" w:rsidRDefault="00A45D82" w14:paraId="339ABF38" w14:textId="77777777">
      <w:pPr>
        <w:pStyle w:val="Header"/>
        <w:tabs>
          <w:tab w:val="clear" w:pos="4320"/>
          <w:tab w:val="clear" w:pos="8640"/>
        </w:tabs>
        <w:ind w:left="720"/>
        <w:rPr>
          <w:rFonts w:ascii="Times New Roman" w:hAnsi="Times New Roman"/>
        </w:rPr>
      </w:pPr>
    </w:p>
    <w:p w:rsidRPr="00077E0E" w:rsidR="00077E0E" w:rsidP="00FE5ECE" w:rsidRDefault="00077E0E" w14:paraId="52A69F4F" w14:textId="77777777">
      <w:pPr>
        <w:numPr>
          <w:ilvl w:val="0"/>
          <w:numId w:val="4"/>
        </w:numPr>
        <w:tabs>
          <w:tab w:val="clear" w:pos="360"/>
        </w:tabs>
        <w:ind w:left="1440" w:hanging="720"/>
        <w:rPr>
          <w:rFonts w:ascii="Times New Roman" w:hAnsi="Times New Roman"/>
        </w:rPr>
      </w:pPr>
      <w:r>
        <w:rPr>
          <w:rFonts w:ascii="Times New Roman" w:hAnsi="Times New Roman"/>
          <w:b/>
        </w:rPr>
        <w:t>Minimizing Burden on Small Respondents</w:t>
      </w:r>
    </w:p>
    <w:p w:rsidRPr="00703C7F" w:rsidR="00077E0E" w:rsidP="0021179F" w:rsidRDefault="00077E0E" w14:paraId="5D3A7CFA" w14:textId="77777777">
      <w:pPr>
        <w:ind w:left="720" w:firstLine="720"/>
        <w:rPr>
          <w:rFonts w:ascii="Times New Roman" w:hAnsi="Times New Roman"/>
          <w:iCs/>
        </w:rPr>
      </w:pPr>
      <w:r w:rsidRPr="00703C7F">
        <w:rPr>
          <w:rFonts w:ascii="Times New Roman" w:hAnsi="Times New Roman"/>
          <w:iCs/>
        </w:rPr>
        <w:t xml:space="preserve">This collection does not affect small businesses or other small entities. </w:t>
      </w:r>
    </w:p>
    <w:p w:rsidRPr="00077E0E" w:rsidR="00E75DB0" w:rsidP="00077E0E" w:rsidRDefault="00E75DB0" w14:paraId="27D97683" w14:textId="77777777">
      <w:pPr>
        <w:ind w:left="720"/>
        <w:rPr>
          <w:rFonts w:ascii="Times New Roman" w:hAnsi="Times New Roman"/>
          <w:b/>
          <w:u w:val="single"/>
        </w:rPr>
      </w:pPr>
    </w:p>
    <w:p w:rsidR="0026052B" w:rsidP="0021179F" w:rsidRDefault="00A45D82" w14:paraId="5CA44473" w14:textId="77777777">
      <w:pPr>
        <w:tabs>
          <w:tab w:val="left" w:pos="1440"/>
        </w:tabs>
        <w:ind w:left="720"/>
        <w:rPr>
          <w:rFonts w:ascii="Times New Roman" w:hAnsi="Times New Roman"/>
        </w:rPr>
      </w:pPr>
      <w:r w:rsidRPr="005C2C39">
        <w:rPr>
          <w:rFonts w:ascii="Times New Roman" w:hAnsi="Times New Roman"/>
          <w:b/>
        </w:rPr>
        <w:t>6.</w:t>
      </w:r>
      <w:r w:rsidR="0021179F">
        <w:rPr>
          <w:rFonts w:ascii="Times New Roman" w:hAnsi="Times New Roman"/>
          <w:b/>
        </w:rPr>
        <w:t xml:space="preserve"> </w:t>
      </w:r>
      <w:r w:rsidR="0021179F">
        <w:rPr>
          <w:rFonts w:ascii="Times New Roman" w:hAnsi="Times New Roman"/>
          <w:b/>
        </w:rPr>
        <w:tab/>
      </w:r>
      <w:r w:rsidRPr="00BC7F42">
        <w:rPr>
          <w:rFonts w:ascii="Times New Roman" w:hAnsi="Times New Roman"/>
          <w:b/>
        </w:rPr>
        <w:t xml:space="preserve">Consequence of Not Collecting Information or Collecting it Less Frequently </w:t>
      </w:r>
    </w:p>
    <w:p w:rsidR="0026052B" w:rsidP="0021179F" w:rsidRDefault="00F50471" w14:paraId="24E2C6D9" w14:textId="77777777">
      <w:pPr>
        <w:ind w:left="1440"/>
        <w:rPr>
          <w:rFonts w:ascii="Times New Roman" w:hAnsi="Times New Roman"/>
        </w:rPr>
      </w:pPr>
      <w:r w:rsidRPr="00F50471">
        <w:rPr>
          <w:rFonts w:ascii="Times New Roman" w:hAnsi="Times New Roman"/>
        </w:rPr>
        <w:t>If we did not use Form SSA-L4112, we would not be able to verify earnings information for deceased wage earners in our records, which could result in SSA maintaining incorrect earnings records for individuals.  Because we collect the information on an as needed basis, we cannot collect it less frequently.</w:t>
      </w:r>
    </w:p>
    <w:p w:rsidRPr="00BC7F42" w:rsidR="00A45D82" w:rsidP="00A45D82" w:rsidRDefault="00A45D82" w14:paraId="2AF328DB" w14:textId="77777777">
      <w:pPr>
        <w:rPr>
          <w:rFonts w:ascii="Times New Roman" w:hAnsi="Times New Roman"/>
        </w:rPr>
      </w:pPr>
    </w:p>
    <w:p w:rsidR="00127980" w:rsidP="0021179F" w:rsidRDefault="00A45D82" w14:paraId="4D7331F9" w14:textId="77777777">
      <w:pPr>
        <w:ind w:left="720"/>
        <w:rPr>
          <w:rFonts w:ascii="Times New Roman" w:hAnsi="Times New Roman"/>
          <w:b/>
        </w:rPr>
      </w:pPr>
      <w:r w:rsidRPr="00127980">
        <w:rPr>
          <w:rFonts w:ascii="Times New Roman" w:hAnsi="Times New Roman"/>
          <w:b/>
        </w:rPr>
        <w:t>7.</w:t>
      </w:r>
      <w:r w:rsidR="0021179F">
        <w:rPr>
          <w:rFonts w:ascii="Times New Roman" w:hAnsi="Times New Roman"/>
          <w:b/>
        </w:rPr>
        <w:tab/>
      </w:r>
      <w:r w:rsidRPr="00BC7F42">
        <w:rPr>
          <w:rFonts w:ascii="Times New Roman" w:hAnsi="Times New Roman"/>
          <w:b/>
        </w:rPr>
        <w:t xml:space="preserve">Special Circumstances </w:t>
      </w:r>
    </w:p>
    <w:p w:rsidR="00F50471" w:rsidP="0021179F" w:rsidRDefault="00F50471" w14:paraId="5751042F" w14:textId="77777777">
      <w:pPr>
        <w:ind w:left="1440"/>
        <w:rPr>
          <w:rFonts w:ascii="Times New Roman" w:hAnsi="Times New Roman"/>
        </w:rPr>
      </w:pPr>
      <w:r w:rsidRPr="00F50471">
        <w:rPr>
          <w:rFonts w:ascii="Times New Roman" w:hAnsi="Times New Roman"/>
        </w:rPr>
        <w:t xml:space="preserve">There are no special circumstances that would cause SSA to conduct this information collection in a manner inconsistent with </w:t>
      </w:r>
      <w:r w:rsidRPr="00B015A5">
        <w:rPr>
          <w:rFonts w:ascii="Times New Roman" w:hAnsi="Times New Roman"/>
          <w:i/>
          <w:iCs/>
        </w:rPr>
        <w:t>5 CFR 1320.5</w:t>
      </w:r>
      <w:r w:rsidRPr="00F50471">
        <w:rPr>
          <w:rFonts w:ascii="Times New Roman" w:hAnsi="Times New Roman"/>
        </w:rPr>
        <w:t>.</w:t>
      </w:r>
    </w:p>
    <w:p w:rsidR="00F50471" w:rsidP="00127980" w:rsidRDefault="00F50471" w14:paraId="5A1A5A09" w14:textId="77777777">
      <w:pPr>
        <w:ind w:left="720"/>
        <w:rPr>
          <w:rFonts w:ascii="Times New Roman" w:hAnsi="Times New Roman"/>
        </w:rPr>
      </w:pPr>
    </w:p>
    <w:p w:rsidRPr="00F50471" w:rsidR="00F50471" w:rsidP="00FE5ECE" w:rsidRDefault="00A45D82" w14:paraId="3FFCF8BD" w14:textId="77777777">
      <w:pPr>
        <w:numPr>
          <w:ilvl w:val="0"/>
          <w:numId w:val="1"/>
        </w:numPr>
        <w:tabs>
          <w:tab w:val="clear" w:pos="72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Pr="00C23A21" w:rsidR="003352DD" w:rsidP="003352DD" w:rsidRDefault="003352DD" w14:paraId="66DF52F5" w14:textId="77777777">
      <w:pPr>
        <w:pStyle w:val="ListParagraph"/>
        <w:tabs>
          <w:tab w:val="left" w:pos="-720"/>
          <w:tab w:val="left" w:pos="360"/>
        </w:tabs>
        <w:suppressAutoHyphens/>
        <w:rPr>
          <w:rFonts w:ascii="Times New Roman" w:hAnsi="Times New Roman"/>
        </w:rPr>
      </w:pPr>
      <w:r>
        <w:rPr>
          <w:rFonts w:ascii="Times New Roman" w:hAnsi="Times New Roman"/>
        </w:rPr>
        <w:tab/>
      </w:r>
      <w:r w:rsidRPr="00C23A21">
        <w:rPr>
          <w:rFonts w:ascii="Times New Roman" w:hAnsi="Times New Roman"/>
        </w:rPr>
        <w:t xml:space="preserve">The 60-day advance Federal Register Notice published on </w:t>
      </w:r>
      <w:r>
        <w:rPr>
          <w:rFonts w:ascii="Times New Roman" w:hAnsi="Times New Roman"/>
        </w:rPr>
        <w:t>June 24, 2022,</w:t>
      </w:r>
      <w:r w:rsidRPr="00C23A21">
        <w:rPr>
          <w:rFonts w:ascii="Times New Roman" w:hAnsi="Times New Roman"/>
        </w:rPr>
        <w:t xml:space="preserve"> at</w:t>
      </w:r>
    </w:p>
    <w:p w:rsidRPr="007A29E3" w:rsidR="003352DD" w:rsidP="003352DD" w:rsidRDefault="003352DD" w14:paraId="207E7B37" w14:textId="78736F15">
      <w:pPr>
        <w:pStyle w:val="ListParagraph"/>
        <w:tabs>
          <w:tab w:val="left" w:pos="-720"/>
          <w:tab w:val="left" w:pos="360"/>
        </w:tabs>
        <w:suppressAutoHyphens/>
        <w:ind w:left="1440"/>
        <w:rPr>
          <w:rFonts w:ascii="Times New Roman" w:hAnsi="Times New Roman"/>
          <w:iCs/>
        </w:rPr>
      </w:pPr>
      <w:r w:rsidRPr="00C23A21">
        <w:rPr>
          <w:rFonts w:ascii="Times New Roman" w:hAnsi="Times New Roman"/>
        </w:rPr>
        <w:t>8</w:t>
      </w:r>
      <w:r>
        <w:rPr>
          <w:rFonts w:ascii="Times New Roman" w:hAnsi="Times New Roman"/>
        </w:rPr>
        <w:t>7</w:t>
      </w:r>
      <w:r w:rsidRPr="00C23A21">
        <w:rPr>
          <w:rFonts w:ascii="Times New Roman" w:hAnsi="Times New Roman"/>
        </w:rPr>
        <w:t xml:space="preserve"> FR </w:t>
      </w:r>
      <w:r>
        <w:rPr>
          <w:rFonts w:ascii="Times New Roman" w:hAnsi="Times New Roman"/>
        </w:rPr>
        <w:t>37899</w:t>
      </w:r>
      <w:r w:rsidRPr="00C23A21">
        <w:rPr>
          <w:rFonts w:ascii="Times New Roman" w:hAnsi="Times New Roman"/>
        </w:rPr>
        <w:t xml:space="preserve">, and we received no public comments.  The 30-day FRN published on </w:t>
      </w:r>
      <w:r w:rsidR="00E44FCE">
        <w:rPr>
          <w:rFonts w:ascii="Times New Roman" w:hAnsi="Times New Roman"/>
        </w:rPr>
        <w:t>August 26, 2022,</w:t>
      </w:r>
      <w:r w:rsidRPr="00C23A21">
        <w:rPr>
          <w:rFonts w:ascii="Times New Roman" w:hAnsi="Times New Roman"/>
        </w:rPr>
        <w:t xml:space="preserve"> at 8</w:t>
      </w:r>
      <w:r>
        <w:rPr>
          <w:rFonts w:ascii="Times New Roman" w:hAnsi="Times New Roman"/>
        </w:rPr>
        <w:t>7 F</w:t>
      </w:r>
      <w:r w:rsidRPr="00C23A21">
        <w:rPr>
          <w:rFonts w:ascii="Times New Roman" w:hAnsi="Times New Roman"/>
        </w:rPr>
        <w:t xml:space="preserve">R </w:t>
      </w:r>
      <w:r w:rsidR="00E44FCE">
        <w:rPr>
          <w:rFonts w:ascii="Times New Roman" w:hAnsi="Times New Roman"/>
        </w:rPr>
        <w:t>52605</w:t>
      </w:r>
      <w:r w:rsidRPr="00C23A21">
        <w:rPr>
          <w:rFonts w:ascii="Times New Roman" w:hAnsi="Times New Roman"/>
        </w:rPr>
        <w:t>.  If we receive any comments in response to this Notice, we will forward them to OMB</w:t>
      </w:r>
      <w:r>
        <w:rPr>
          <w:rFonts w:ascii="Times New Roman" w:hAnsi="Times New Roman"/>
        </w:rPr>
        <w:t xml:space="preserve">.  </w:t>
      </w:r>
      <w:r w:rsidRPr="007A29E3">
        <w:rPr>
          <w:rFonts w:ascii="Times New Roman" w:hAnsi="Times New Roman"/>
          <w:iCs/>
        </w:rPr>
        <w:t>We did not consult with the public in the development</w:t>
      </w:r>
    </w:p>
    <w:p w:rsidRPr="00F50471" w:rsidR="00F50471" w:rsidP="00F50471" w:rsidRDefault="00F50471" w14:paraId="2F49AA46" w14:textId="77777777">
      <w:pPr>
        <w:ind w:left="720"/>
        <w:rPr>
          <w:rFonts w:ascii="Times New Roman" w:hAnsi="Times New Roman"/>
        </w:rPr>
      </w:pPr>
    </w:p>
    <w:p w:rsidR="00640A26" w:rsidP="00FE5ECE" w:rsidRDefault="00A45D82" w14:paraId="3816093C"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F50471" w:rsidP="0021179F" w:rsidRDefault="00F50471" w14:paraId="406D196A" w14:textId="77777777">
      <w:pPr>
        <w:ind w:left="720" w:firstLine="720"/>
        <w:rPr>
          <w:rFonts w:ascii="Times New Roman" w:hAnsi="Times New Roman"/>
          <w:bCs/>
        </w:rPr>
      </w:pPr>
      <w:r w:rsidRPr="00F50471">
        <w:rPr>
          <w:rFonts w:ascii="Times New Roman" w:hAnsi="Times New Roman"/>
          <w:bCs/>
        </w:rPr>
        <w:t>SSA does not provide payments or gifts to the respondents.</w:t>
      </w:r>
    </w:p>
    <w:p w:rsidRPr="00BC7F42" w:rsidR="00A45D82" w:rsidP="00A45D82" w:rsidRDefault="00A45D82" w14:paraId="3474D073" w14:textId="77777777">
      <w:pPr>
        <w:rPr>
          <w:rFonts w:ascii="Times New Roman" w:hAnsi="Times New Roman"/>
        </w:rPr>
      </w:pPr>
    </w:p>
    <w:p w:rsidR="00795BAB" w:rsidP="00FE5ECE" w:rsidRDefault="00A45D82" w14:paraId="006D968F"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F50471" w:rsidR="00A45D82" w:rsidP="0021179F" w:rsidRDefault="00631F1B" w14:paraId="0735AA12" w14:textId="77777777">
      <w:pPr>
        <w:ind w:left="1440"/>
        <w:rPr>
          <w:rFonts w:ascii="Times New Roman" w:hAnsi="Times New Roman"/>
          <w:iCs/>
        </w:rPr>
      </w:pPr>
      <w:r w:rsidRPr="00F50471">
        <w:rPr>
          <w:rFonts w:ascii="Times New Roman" w:hAnsi="Times New Roman"/>
          <w:iCs/>
        </w:rPr>
        <w:t>SSA pro</w:t>
      </w:r>
      <w:r w:rsidRPr="00F50471" w:rsidR="00D0011E">
        <w:rPr>
          <w:rFonts w:ascii="Times New Roman" w:hAnsi="Times New Roman"/>
          <w:iCs/>
        </w:rPr>
        <w:t xml:space="preserve">tects and holds confidential the information it </w:t>
      </w:r>
      <w:r w:rsidRPr="00F50471" w:rsidR="00E0137B">
        <w:rPr>
          <w:rFonts w:ascii="Times New Roman" w:hAnsi="Times New Roman"/>
          <w:iCs/>
        </w:rPr>
        <w:t>collects</w:t>
      </w:r>
      <w:r w:rsidRPr="00F50471" w:rsidR="00D0011E">
        <w:rPr>
          <w:rFonts w:ascii="Times New Roman" w:hAnsi="Times New Roman"/>
          <w:iCs/>
        </w:rPr>
        <w:t xml:space="preserve"> i</w:t>
      </w:r>
      <w:r w:rsidRPr="00F50471" w:rsidR="00A45D82">
        <w:rPr>
          <w:rFonts w:ascii="Times New Roman" w:hAnsi="Times New Roman"/>
          <w:iCs/>
        </w:rPr>
        <w:t xml:space="preserve">n accordance with </w:t>
      </w:r>
      <w:r w:rsidRPr="00B015A5" w:rsidR="00A45D82">
        <w:rPr>
          <w:rFonts w:ascii="Times New Roman" w:hAnsi="Times New Roman"/>
          <w:i/>
        </w:rPr>
        <w:t>42 U.S.C. 1306, 20 CFR 401</w:t>
      </w:r>
      <w:r w:rsidRPr="00F50471" w:rsidR="00A45D82">
        <w:rPr>
          <w:rFonts w:ascii="Times New Roman" w:hAnsi="Times New Roman"/>
          <w:iCs/>
        </w:rPr>
        <w:t xml:space="preserve"> and </w:t>
      </w:r>
      <w:r w:rsidRPr="00B015A5" w:rsidR="00A45D82">
        <w:rPr>
          <w:rFonts w:ascii="Times New Roman" w:hAnsi="Times New Roman"/>
          <w:i/>
        </w:rPr>
        <w:t>402, 5 U.S.C. 552</w:t>
      </w:r>
      <w:r w:rsidRPr="00F50471" w:rsidR="00A45D82">
        <w:rPr>
          <w:rFonts w:ascii="Times New Roman" w:hAnsi="Times New Roman"/>
          <w:iCs/>
        </w:rPr>
        <w:t xml:space="preserve"> (Freedom of Information Act), </w:t>
      </w:r>
      <w:r w:rsidRPr="00B015A5" w:rsidR="00A45D82">
        <w:rPr>
          <w:rFonts w:ascii="Times New Roman" w:hAnsi="Times New Roman"/>
          <w:i/>
        </w:rPr>
        <w:t>5 U.S.C. 552a</w:t>
      </w:r>
      <w:r w:rsidRPr="00F50471" w:rsidR="00A45D82">
        <w:rPr>
          <w:rFonts w:ascii="Times New Roman" w:hAnsi="Times New Roman"/>
          <w:iCs/>
        </w:rPr>
        <w:t xml:space="preserve"> (Privacy Act of 1974)</w:t>
      </w:r>
      <w:r w:rsidRPr="00F50471" w:rsidR="00D0011E">
        <w:rPr>
          <w:rFonts w:ascii="Times New Roman" w:hAnsi="Times New Roman"/>
          <w:iCs/>
        </w:rPr>
        <w:t>,</w:t>
      </w:r>
      <w:r w:rsidRPr="00F50471" w:rsidR="00A45D82">
        <w:rPr>
          <w:rFonts w:ascii="Times New Roman" w:hAnsi="Times New Roman"/>
          <w:iCs/>
        </w:rPr>
        <w:t xml:space="preserve"> and OMB Circular No. A-130</w:t>
      </w:r>
      <w:r w:rsidRPr="00F50471" w:rsidR="00A45D82">
        <w:rPr>
          <w:rFonts w:ascii="Times New Roman" w:hAnsi="Times New Roman"/>
          <w:iCs/>
          <w:color w:val="0000FF"/>
        </w:rPr>
        <w:t>.</w:t>
      </w:r>
    </w:p>
    <w:p w:rsidRPr="00BC7F42" w:rsidR="00A45D82" w:rsidP="00A45D82" w:rsidRDefault="00A45D82" w14:paraId="30CA17E8" w14:textId="77777777">
      <w:pPr>
        <w:pStyle w:val="Header"/>
        <w:tabs>
          <w:tab w:val="clear" w:pos="4320"/>
          <w:tab w:val="clear" w:pos="8640"/>
        </w:tabs>
        <w:rPr>
          <w:rFonts w:ascii="Times New Roman" w:hAnsi="Times New Roman"/>
        </w:rPr>
      </w:pPr>
    </w:p>
    <w:p w:rsidR="00D0011E" w:rsidP="00FE5ECE" w:rsidRDefault="00A45D82" w14:paraId="5403FA6E"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A45D82" w:rsidP="0021179F" w:rsidRDefault="00A45D82" w14:paraId="37AB39A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iCs w:val="0"/>
        </w:rPr>
      </w:pPr>
      <w:r w:rsidRPr="00F50471">
        <w:rPr>
          <w:rFonts w:ascii="Times New Roman" w:hAnsi="Times New Roman"/>
          <w:b w:val="0"/>
          <w:i w:val="0"/>
          <w:iCs w:val="0"/>
        </w:rPr>
        <w:t>The information collection does not contain any questions of a sensitive nature.</w:t>
      </w:r>
    </w:p>
    <w:p w:rsidRPr="00BC7F42" w:rsidR="00E44FCE" w:rsidP="00A45D82" w:rsidRDefault="00E44FCE" w14:paraId="5CA7D0C4" w14:textId="77777777">
      <w:pPr>
        <w:rPr>
          <w:rFonts w:ascii="Times New Roman" w:hAnsi="Times New Roman"/>
        </w:rPr>
      </w:pPr>
    </w:p>
    <w:p w:rsidR="003E145C" w:rsidP="00FE5ECE" w:rsidRDefault="00A45D82" w14:paraId="2255434B"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lastRenderedPageBreak/>
        <w:t>Estimates of Public Reporting Burden</w:t>
      </w:r>
    </w:p>
    <w:p w:rsidRPr="00E532EA" w:rsidR="008A3D75" w:rsidP="008A3D75" w:rsidRDefault="008A3D75" w14:paraId="3C035ECD" w14:textId="77777777">
      <w:pPr>
        <w:ind w:left="720"/>
        <w:rPr>
          <w:rFonts w:ascii="Times New Roman" w:hAnsi="Times New Roman"/>
          <w:b/>
        </w:rPr>
      </w:pPr>
    </w:p>
    <w:tbl>
      <w:tblPr>
        <w:tblpPr w:leftFromText="180" w:rightFromText="180" w:vertAnchor="text" w:horzAnchor="margin" w:tblpX="-72" w:tblpY="26"/>
        <w:tblW w:w="10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5"/>
        <w:gridCol w:w="1620"/>
        <w:gridCol w:w="1440"/>
        <w:gridCol w:w="1260"/>
        <w:gridCol w:w="1260"/>
        <w:gridCol w:w="1440"/>
        <w:gridCol w:w="1980"/>
      </w:tblGrid>
      <w:tr w:rsidRPr="00664672" w:rsidR="00664672" w:rsidTr="002967A5" w14:paraId="16B47182" w14:textId="77777777">
        <w:trPr>
          <w:trHeight w:val="433"/>
        </w:trPr>
        <w:tc>
          <w:tcPr>
            <w:tcW w:w="1525" w:type="dxa"/>
            <w:shd w:val="clear" w:color="auto" w:fill="auto"/>
          </w:tcPr>
          <w:p w:rsidRPr="00664672" w:rsidR="00664672" w:rsidP="00664672" w:rsidRDefault="00664672" w14:paraId="6858AE0B" w14:textId="77777777">
            <w:pPr>
              <w:widowControl/>
              <w:rPr>
                <w:rFonts w:ascii="Times New Roman" w:hAnsi="Times New Roman" w:eastAsia="SimSun"/>
                <w:b/>
                <w:snapToGrid/>
                <w:lang w:eastAsia="zh-CN"/>
              </w:rPr>
            </w:pPr>
            <w:r w:rsidRPr="00664672">
              <w:rPr>
                <w:rFonts w:ascii="Times New Roman" w:hAnsi="Times New Roman" w:eastAsia="SimSun"/>
                <w:b/>
                <w:snapToGrid/>
                <w:lang w:eastAsia="zh-CN"/>
              </w:rPr>
              <w:t>Modality of Completion</w:t>
            </w:r>
          </w:p>
        </w:tc>
        <w:tc>
          <w:tcPr>
            <w:tcW w:w="1620" w:type="dxa"/>
            <w:shd w:val="clear" w:color="auto" w:fill="auto"/>
          </w:tcPr>
          <w:p w:rsidRPr="00664672" w:rsidR="00664672" w:rsidP="00664672" w:rsidRDefault="00664672" w14:paraId="2D19D874" w14:textId="77777777">
            <w:pPr>
              <w:widowControl/>
              <w:rPr>
                <w:rFonts w:ascii="Times New Roman" w:hAnsi="Times New Roman" w:eastAsia="SimSun"/>
                <w:b/>
                <w:snapToGrid/>
                <w:lang w:eastAsia="zh-CN"/>
              </w:rPr>
            </w:pPr>
            <w:r w:rsidRPr="00664672">
              <w:rPr>
                <w:rFonts w:ascii="Times New Roman" w:hAnsi="Times New Roman" w:eastAsia="SimSun"/>
                <w:b/>
                <w:snapToGrid/>
                <w:lang w:eastAsia="zh-CN"/>
              </w:rPr>
              <w:t>Number of Respondents</w:t>
            </w:r>
          </w:p>
        </w:tc>
        <w:tc>
          <w:tcPr>
            <w:tcW w:w="1440" w:type="dxa"/>
          </w:tcPr>
          <w:p w:rsidRPr="00664672" w:rsidR="00664672" w:rsidP="00664672" w:rsidRDefault="00664672" w14:paraId="5391A8AA" w14:textId="77777777">
            <w:pPr>
              <w:widowControl/>
              <w:rPr>
                <w:rFonts w:ascii="Times New Roman" w:hAnsi="Times New Roman" w:eastAsia="SimSun"/>
                <w:b/>
                <w:snapToGrid/>
                <w:lang w:eastAsia="zh-CN"/>
              </w:rPr>
            </w:pPr>
            <w:r w:rsidRPr="00664672">
              <w:rPr>
                <w:rFonts w:ascii="Times New Roman" w:hAnsi="Times New Roman" w:eastAsia="SimSun"/>
                <w:b/>
                <w:snapToGrid/>
                <w:lang w:eastAsia="zh-CN"/>
              </w:rPr>
              <w:t>Frequency of Response</w:t>
            </w:r>
          </w:p>
        </w:tc>
        <w:tc>
          <w:tcPr>
            <w:tcW w:w="1260" w:type="dxa"/>
            <w:shd w:val="clear" w:color="auto" w:fill="auto"/>
          </w:tcPr>
          <w:p w:rsidRPr="00664672" w:rsidR="00664672" w:rsidP="00664672" w:rsidRDefault="00664672" w14:paraId="16006963" w14:textId="77777777">
            <w:pPr>
              <w:widowControl/>
              <w:rPr>
                <w:rFonts w:ascii="Times New Roman" w:hAnsi="Times New Roman" w:eastAsia="SimSun"/>
                <w:b/>
                <w:snapToGrid/>
                <w:lang w:eastAsia="zh-CN"/>
              </w:rPr>
            </w:pPr>
            <w:r w:rsidRPr="00664672">
              <w:rPr>
                <w:rFonts w:ascii="Times New Roman" w:hAnsi="Times New Roman" w:eastAsia="SimSun"/>
                <w:b/>
                <w:snapToGrid/>
                <w:lang w:eastAsia="zh-CN"/>
              </w:rPr>
              <w:t>Average Burden Per Response (minutes)</w:t>
            </w:r>
          </w:p>
        </w:tc>
        <w:tc>
          <w:tcPr>
            <w:tcW w:w="1260" w:type="dxa"/>
          </w:tcPr>
          <w:p w:rsidRPr="00664672" w:rsidR="00664672" w:rsidP="00664672" w:rsidRDefault="00664672" w14:paraId="28D7B676" w14:textId="77777777">
            <w:pPr>
              <w:widowControl/>
              <w:rPr>
                <w:rFonts w:ascii="Times New Roman" w:hAnsi="Times New Roman" w:eastAsia="SimSun"/>
                <w:b/>
                <w:snapToGrid/>
                <w:lang w:eastAsia="zh-CN"/>
              </w:rPr>
            </w:pPr>
            <w:r w:rsidRPr="00664672">
              <w:rPr>
                <w:rFonts w:ascii="Times New Roman" w:hAnsi="Times New Roman" w:eastAsia="SimSun"/>
                <w:b/>
                <w:snapToGrid/>
                <w:lang w:eastAsia="zh-CN"/>
              </w:rPr>
              <w:t>Estimated Total Annual Burden (hours)</w:t>
            </w:r>
          </w:p>
        </w:tc>
        <w:tc>
          <w:tcPr>
            <w:tcW w:w="1440" w:type="dxa"/>
          </w:tcPr>
          <w:p w:rsidRPr="00664672" w:rsidR="00664672" w:rsidP="00664672" w:rsidRDefault="00664672" w14:paraId="767F88E2" w14:textId="4E6826B2">
            <w:pPr>
              <w:widowControl/>
              <w:rPr>
                <w:rFonts w:ascii="Times New Roman" w:hAnsi="Times New Roman" w:eastAsia="SimSun"/>
                <w:b/>
                <w:snapToGrid/>
                <w:lang w:eastAsia="zh-CN"/>
              </w:rPr>
            </w:pPr>
            <w:r w:rsidRPr="00664672">
              <w:rPr>
                <w:rFonts w:ascii="Times New Roman" w:hAnsi="Times New Roman" w:eastAsia="SimSun"/>
                <w:b/>
                <w:snapToGrid/>
                <w:lang w:eastAsia="zh-CN"/>
              </w:rPr>
              <w:t xml:space="preserve">Average </w:t>
            </w:r>
            <w:r w:rsidR="002967A5">
              <w:rPr>
                <w:rFonts w:ascii="Times New Roman" w:hAnsi="Times New Roman" w:eastAsia="SimSun"/>
                <w:b/>
                <w:snapToGrid/>
                <w:lang w:eastAsia="zh-CN"/>
              </w:rPr>
              <w:t>T</w:t>
            </w:r>
            <w:r w:rsidRPr="00664672">
              <w:rPr>
                <w:rFonts w:ascii="Times New Roman" w:hAnsi="Times New Roman" w:eastAsia="SimSun"/>
                <w:b/>
                <w:snapToGrid/>
                <w:lang w:eastAsia="zh-CN"/>
              </w:rPr>
              <w:t>heoretical Hourly Cost Amount (dollars)*</w:t>
            </w:r>
          </w:p>
        </w:tc>
        <w:tc>
          <w:tcPr>
            <w:tcW w:w="1980" w:type="dxa"/>
            <w:shd w:val="clear" w:color="auto" w:fill="auto"/>
          </w:tcPr>
          <w:p w:rsidRPr="00664672" w:rsidR="00664672" w:rsidP="00664672" w:rsidRDefault="00664672" w14:paraId="15B332E6" w14:textId="77777777">
            <w:pPr>
              <w:widowControl/>
              <w:rPr>
                <w:rFonts w:ascii="Times New Roman" w:hAnsi="Times New Roman" w:eastAsia="SimSun"/>
                <w:b/>
                <w:snapToGrid/>
                <w:lang w:eastAsia="zh-CN"/>
              </w:rPr>
            </w:pPr>
            <w:r w:rsidRPr="00664672">
              <w:rPr>
                <w:rFonts w:ascii="Times New Roman" w:hAnsi="Times New Roman" w:eastAsia="SimSun"/>
                <w:b/>
                <w:snapToGrid/>
                <w:lang w:eastAsia="zh-CN"/>
              </w:rPr>
              <w:t>Total Annual Opportunity Cost (dollars) **</w:t>
            </w:r>
          </w:p>
        </w:tc>
      </w:tr>
      <w:tr w:rsidRPr="00664672" w:rsidR="00B67F73" w:rsidTr="002967A5" w14:paraId="6B6CED69" w14:textId="77777777">
        <w:trPr>
          <w:trHeight w:val="215"/>
        </w:trPr>
        <w:tc>
          <w:tcPr>
            <w:tcW w:w="1525" w:type="dxa"/>
            <w:shd w:val="clear" w:color="auto" w:fill="auto"/>
          </w:tcPr>
          <w:p w:rsidRPr="00B67F73" w:rsidR="00B67F73" w:rsidP="00664672" w:rsidRDefault="00B67F73" w14:paraId="23733470" w14:textId="5330910C">
            <w:pPr>
              <w:widowControl/>
              <w:rPr>
                <w:rFonts w:ascii="Times New Roman" w:hAnsi="Times New Roman" w:eastAsia="SimSun"/>
                <w:snapToGrid/>
                <w:lang w:eastAsia="zh-CN"/>
              </w:rPr>
            </w:pPr>
            <w:r>
              <w:rPr>
                <w:rFonts w:ascii="Times New Roman" w:hAnsi="Times New Roman" w:eastAsia="SimSun"/>
                <w:snapToGrid/>
                <w:lang w:eastAsia="zh-CN"/>
              </w:rPr>
              <w:t>SSA-</w:t>
            </w:r>
            <w:r w:rsidR="00834E5A">
              <w:rPr>
                <w:rFonts w:ascii="Times New Roman" w:hAnsi="Times New Roman" w:eastAsia="SimSun"/>
                <w:snapToGrid/>
                <w:lang w:eastAsia="zh-CN"/>
              </w:rPr>
              <w:t>L</w:t>
            </w:r>
            <w:r>
              <w:rPr>
                <w:rFonts w:ascii="Times New Roman" w:hAnsi="Times New Roman" w:eastAsia="SimSun"/>
                <w:snapToGrid/>
                <w:lang w:eastAsia="zh-CN"/>
              </w:rPr>
              <w:t>4112</w:t>
            </w:r>
          </w:p>
        </w:tc>
        <w:tc>
          <w:tcPr>
            <w:tcW w:w="1620" w:type="dxa"/>
            <w:shd w:val="clear" w:color="auto" w:fill="auto"/>
          </w:tcPr>
          <w:p w:rsidRPr="00B67F73" w:rsidR="00B67F73" w:rsidP="00B67F73" w:rsidRDefault="00B67F73" w14:paraId="15AF669C" w14:textId="77777777">
            <w:pPr>
              <w:widowControl/>
              <w:jc w:val="right"/>
              <w:rPr>
                <w:rFonts w:ascii="Times New Roman" w:hAnsi="Times New Roman" w:eastAsia="SimSun"/>
                <w:bCs/>
                <w:snapToGrid/>
                <w:lang w:eastAsia="zh-CN"/>
              </w:rPr>
            </w:pPr>
            <w:r w:rsidRPr="00B67F73">
              <w:rPr>
                <w:rFonts w:ascii="Times New Roman" w:hAnsi="Times New Roman" w:eastAsia="SimSun"/>
                <w:bCs/>
                <w:snapToGrid/>
                <w:lang w:eastAsia="zh-CN"/>
              </w:rPr>
              <w:t>13,114</w:t>
            </w:r>
          </w:p>
        </w:tc>
        <w:tc>
          <w:tcPr>
            <w:tcW w:w="1440" w:type="dxa"/>
          </w:tcPr>
          <w:p w:rsidRPr="00B67F73" w:rsidR="00B67F73" w:rsidP="00B67F73" w:rsidRDefault="00B67F73" w14:paraId="050031D0" w14:textId="77777777">
            <w:pPr>
              <w:widowControl/>
              <w:jc w:val="right"/>
              <w:rPr>
                <w:rFonts w:ascii="Times New Roman" w:hAnsi="Times New Roman" w:eastAsia="SimSun"/>
                <w:bCs/>
                <w:snapToGrid/>
                <w:lang w:eastAsia="zh-CN"/>
              </w:rPr>
            </w:pPr>
            <w:r w:rsidRPr="00B67F73">
              <w:rPr>
                <w:rFonts w:ascii="Times New Roman" w:hAnsi="Times New Roman" w:eastAsia="SimSun"/>
                <w:bCs/>
                <w:snapToGrid/>
                <w:lang w:eastAsia="zh-CN"/>
              </w:rPr>
              <w:t>1</w:t>
            </w:r>
          </w:p>
        </w:tc>
        <w:tc>
          <w:tcPr>
            <w:tcW w:w="1260" w:type="dxa"/>
            <w:shd w:val="clear" w:color="auto" w:fill="auto"/>
          </w:tcPr>
          <w:p w:rsidRPr="00B67F73" w:rsidR="00B67F73" w:rsidP="00B67F73" w:rsidRDefault="00B015A5" w14:paraId="7383A272" w14:textId="1C63A804">
            <w:pPr>
              <w:widowControl/>
              <w:jc w:val="right"/>
              <w:rPr>
                <w:rFonts w:ascii="Times New Roman" w:hAnsi="Times New Roman" w:eastAsia="SimSun"/>
                <w:bCs/>
                <w:snapToGrid/>
                <w:lang w:eastAsia="zh-CN"/>
              </w:rPr>
            </w:pPr>
            <w:r>
              <w:rPr>
                <w:rFonts w:ascii="Times New Roman" w:hAnsi="Times New Roman" w:eastAsia="SimSun"/>
                <w:bCs/>
                <w:snapToGrid/>
                <w:lang w:eastAsia="zh-CN"/>
              </w:rPr>
              <w:t>20</w:t>
            </w:r>
          </w:p>
        </w:tc>
        <w:tc>
          <w:tcPr>
            <w:tcW w:w="1260" w:type="dxa"/>
          </w:tcPr>
          <w:p w:rsidRPr="00B67F73" w:rsidR="00B67F73" w:rsidP="00B67F73" w:rsidRDefault="00B015A5" w14:paraId="1BFBDDDC" w14:textId="3EB4DA25">
            <w:pPr>
              <w:widowControl/>
              <w:jc w:val="right"/>
              <w:rPr>
                <w:rFonts w:ascii="Times New Roman" w:hAnsi="Times New Roman" w:eastAsia="SimSun"/>
                <w:bCs/>
                <w:snapToGrid/>
                <w:lang w:eastAsia="zh-CN"/>
              </w:rPr>
            </w:pPr>
            <w:r>
              <w:rPr>
                <w:rFonts w:ascii="Times New Roman" w:hAnsi="Times New Roman" w:eastAsia="SimSun"/>
                <w:bCs/>
                <w:snapToGrid/>
                <w:lang w:eastAsia="zh-CN"/>
              </w:rPr>
              <w:t>4,371</w:t>
            </w:r>
          </w:p>
        </w:tc>
        <w:tc>
          <w:tcPr>
            <w:tcW w:w="1440" w:type="dxa"/>
          </w:tcPr>
          <w:p w:rsidRPr="00B67F73" w:rsidR="00B67F73" w:rsidP="00B67F73" w:rsidRDefault="00B67F73" w14:paraId="287B10DF" w14:textId="40825ABE">
            <w:pPr>
              <w:widowControl/>
              <w:jc w:val="right"/>
              <w:rPr>
                <w:rFonts w:ascii="Times New Roman" w:hAnsi="Times New Roman" w:eastAsia="SimSun"/>
                <w:bCs/>
                <w:snapToGrid/>
                <w:lang w:eastAsia="zh-CN"/>
              </w:rPr>
            </w:pPr>
            <w:r w:rsidRPr="00B67F73">
              <w:rPr>
                <w:rFonts w:ascii="Times New Roman" w:hAnsi="Times New Roman" w:eastAsia="SimSun"/>
                <w:bCs/>
                <w:snapToGrid/>
                <w:lang w:eastAsia="zh-CN"/>
              </w:rPr>
              <w:t>28.0</w:t>
            </w:r>
            <w:r w:rsidR="00B015A5">
              <w:rPr>
                <w:rFonts w:ascii="Times New Roman" w:hAnsi="Times New Roman" w:eastAsia="SimSun"/>
                <w:bCs/>
                <w:snapToGrid/>
                <w:lang w:eastAsia="zh-CN"/>
              </w:rPr>
              <w:t>1</w:t>
            </w:r>
            <w:r w:rsidRPr="00B67F73">
              <w:rPr>
                <w:rFonts w:ascii="Times New Roman" w:hAnsi="Times New Roman" w:eastAsia="SimSun"/>
                <w:bCs/>
                <w:snapToGrid/>
                <w:lang w:eastAsia="zh-CN"/>
              </w:rPr>
              <w:t>*</w:t>
            </w:r>
          </w:p>
        </w:tc>
        <w:tc>
          <w:tcPr>
            <w:tcW w:w="1980" w:type="dxa"/>
            <w:shd w:val="clear" w:color="auto" w:fill="auto"/>
          </w:tcPr>
          <w:p w:rsidRPr="00B67F73" w:rsidR="00B67F73" w:rsidP="00B67F73" w:rsidRDefault="00B67F73" w14:paraId="14430D96" w14:textId="59F295B0">
            <w:pPr>
              <w:widowControl/>
              <w:jc w:val="right"/>
              <w:rPr>
                <w:rFonts w:ascii="Times New Roman" w:hAnsi="Times New Roman" w:eastAsia="SimSun"/>
                <w:bCs/>
                <w:snapToGrid/>
                <w:lang w:eastAsia="zh-CN"/>
              </w:rPr>
            </w:pPr>
            <w:r w:rsidRPr="00B67F73">
              <w:rPr>
                <w:rFonts w:ascii="Times New Roman" w:hAnsi="Times New Roman" w:eastAsia="SimSun"/>
                <w:bCs/>
                <w:snapToGrid/>
                <w:lang w:eastAsia="zh-CN"/>
              </w:rPr>
              <w:t>$</w:t>
            </w:r>
            <w:r w:rsidR="00B015A5">
              <w:rPr>
                <w:rFonts w:ascii="Times New Roman" w:hAnsi="Times New Roman" w:eastAsia="SimSun"/>
                <w:bCs/>
                <w:snapToGrid/>
                <w:lang w:eastAsia="zh-CN"/>
              </w:rPr>
              <w:t>122,432</w:t>
            </w:r>
            <w:r w:rsidRPr="00B67F73">
              <w:rPr>
                <w:rFonts w:ascii="Times New Roman" w:hAnsi="Times New Roman" w:eastAsia="SimSun"/>
                <w:bCs/>
                <w:snapToGrid/>
                <w:lang w:eastAsia="zh-CN"/>
              </w:rPr>
              <w:t>**</w:t>
            </w:r>
          </w:p>
        </w:tc>
      </w:tr>
    </w:tbl>
    <w:p w:rsidRPr="00B67F73" w:rsidR="00B67F73" w:rsidP="00B67F73" w:rsidRDefault="00B67F73" w14:paraId="4CDCBEA5" w14:textId="77777777">
      <w:pPr>
        <w:ind w:left="1440"/>
        <w:rPr>
          <w:rFonts w:ascii="Times New Roman" w:hAnsi="Times New Roman"/>
        </w:rPr>
      </w:pPr>
      <w:r w:rsidRPr="00B67F73">
        <w:rPr>
          <w:rFonts w:ascii="Times New Roman" w:hAnsi="Times New Roman"/>
          <w:bCs/>
        </w:rPr>
        <w:t>*</w:t>
      </w:r>
      <w:r w:rsidRPr="00B67F73">
        <w:rPr>
          <w:rFonts w:ascii="Times New Roman" w:hAnsi="Times New Roman"/>
          <w:b/>
        </w:rPr>
        <w:t xml:space="preserve"> </w:t>
      </w:r>
      <w:r w:rsidRPr="00B67F73">
        <w:rPr>
          <w:rFonts w:ascii="Times New Roman" w:hAnsi="Times New Roman"/>
        </w:rPr>
        <w:t>We based this figure on the average U.S. worker’s hourly wages, as reported by Bureau of Labor Statistics data (</w:t>
      </w:r>
      <w:bookmarkStart w:name="_Hlk100217898" w:id="3"/>
      <w:r w:rsidRPr="00B67F73">
        <w:fldChar w:fldCharType="begin"/>
      </w:r>
      <w:r w:rsidRPr="00B67F73">
        <w:rPr>
          <w:rFonts w:ascii="Times New Roman" w:hAnsi="Times New Roman"/>
        </w:rPr>
        <w:instrText xml:space="preserve"> HYPERLINK "https://www.bls.gov/oes/current/oes_nat.htm" </w:instrText>
      </w:r>
      <w:r w:rsidRPr="00B67F73">
        <w:fldChar w:fldCharType="separate"/>
      </w:r>
      <w:r w:rsidRPr="00B67F73">
        <w:rPr>
          <w:rStyle w:val="Hyperlink"/>
          <w:rFonts w:ascii="Times New Roman" w:hAnsi="Times New Roman"/>
        </w:rPr>
        <w:t>https://www.bls.gov/oes/current/oes_nat.htm</w:t>
      </w:r>
      <w:r w:rsidRPr="00B67F73">
        <w:rPr>
          <w:rStyle w:val="Hyperlink"/>
          <w:rFonts w:ascii="Times New Roman" w:hAnsi="Times New Roman"/>
        </w:rPr>
        <w:fldChar w:fldCharType="end"/>
      </w:r>
      <w:bookmarkEnd w:id="3"/>
      <w:r w:rsidRPr="00B67F73">
        <w:rPr>
          <w:rFonts w:ascii="Times New Roman" w:hAnsi="Times New Roman"/>
        </w:rPr>
        <w:t>).</w:t>
      </w:r>
    </w:p>
    <w:p w:rsidRPr="00B67F73" w:rsidR="00B67F73" w:rsidP="00B67F73" w:rsidRDefault="00B67F73" w14:paraId="4B8A9030" w14:textId="77777777">
      <w:pPr>
        <w:tabs>
          <w:tab w:val="left" w:pos="1476"/>
        </w:tabs>
        <w:ind w:hanging="720"/>
        <w:rPr>
          <w:rFonts w:ascii="Times New Roman" w:hAnsi="Times New Roman"/>
        </w:rPr>
      </w:pPr>
      <w:r w:rsidRPr="00B67F73">
        <w:rPr>
          <w:rFonts w:ascii="Times New Roman" w:hAnsi="Times New Roman"/>
        </w:rPr>
        <w:tab/>
      </w:r>
      <w:r>
        <w:rPr>
          <w:rFonts w:ascii="Times New Roman" w:hAnsi="Times New Roman"/>
        </w:rPr>
        <w:t xml:space="preserve"> </w:t>
      </w:r>
    </w:p>
    <w:p w:rsidRPr="007A0B93" w:rsidR="00B67F73" w:rsidP="00B67F73" w:rsidRDefault="00B67F73" w14:paraId="1DCA6FE2" w14:textId="77777777">
      <w:pPr>
        <w:pStyle w:val="HTMLPreformatted"/>
        <w:tabs>
          <w:tab w:val="clear" w:pos="916"/>
          <w:tab w:val="clear" w:pos="1832"/>
          <w:tab w:val="left" w:pos="90"/>
        </w:tabs>
        <w:ind w:left="1440"/>
        <w:rPr>
          <w:rFonts w:ascii="Times New Roman" w:hAnsi="Times New Roman" w:cs="Times New Roman"/>
          <w:sz w:val="24"/>
          <w:szCs w:val="24"/>
        </w:rPr>
      </w:pPr>
      <w:r w:rsidRPr="00B67F73">
        <w:rPr>
          <w:rFonts w:ascii="Times New Roman" w:hAnsi="Times New Roman" w:eastAsia="Times New Roman" w:cs="Times New Roman"/>
          <w:snapToGrid w:val="0"/>
          <w:sz w:val="24"/>
          <w:szCs w:val="24"/>
        </w:rPr>
        <w:t>** This figure does not represent actual costs that SSA is imposing on recipients of Social Security payments to complete this application; rather, these are theoretical opportunity costs for</w:t>
      </w:r>
      <w:r w:rsidRPr="007A0B93">
        <w:rPr>
          <w:rFonts w:ascii="Times New Roman" w:hAnsi="Times New Roman" w:eastAsia="Times New Roman" w:cs="Times New Roman"/>
          <w:snapToGrid w:val="0"/>
          <w:sz w:val="24"/>
          <w:szCs w:val="24"/>
        </w:rPr>
        <w:t xml:space="preserve"> the additional time respondents will spend to complete the application. </w:t>
      </w:r>
      <w:r w:rsidRPr="007A0B93">
        <w:rPr>
          <w:rFonts w:ascii="Times New Roman" w:hAnsi="Times New Roman" w:eastAsia="Times New Roman" w:cs="Times New Roman"/>
          <w:b/>
          <w:bCs/>
          <w:snapToGrid w:val="0"/>
          <w:sz w:val="24"/>
          <w:szCs w:val="24"/>
          <w:u w:val="single"/>
        </w:rPr>
        <w:t>There is no actual charge to respondents to complete the application</w:t>
      </w:r>
      <w:r w:rsidRPr="007A0B93">
        <w:rPr>
          <w:rFonts w:ascii="Times New Roman" w:hAnsi="Times New Roman" w:eastAsia="Times New Roman" w:cs="Times New Roman"/>
          <w:b/>
          <w:bCs/>
          <w:snapToGrid w:val="0"/>
          <w:sz w:val="24"/>
          <w:szCs w:val="24"/>
          <w:lang w:eastAsia="en-US"/>
        </w:rPr>
        <w:t>.</w:t>
      </w:r>
    </w:p>
    <w:p w:rsidRPr="007A0B93" w:rsidR="00B67F73" w:rsidP="00B67F73" w:rsidRDefault="00B67F73" w14:paraId="7A3300E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ight="-720" w:hanging="720"/>
        <w:rPr>
          <w:rFonts w:ascii="Times New Roman" w:hAnsi="Times New Roman" w:cs="Times New Roman"/>
          <w:sz w:val="24"/>
          <w:szCs w:val="24"/>
        </w:rPr>
      </w:pPr>
    </w:p>
    <w:p w:rsidRPr="00E6420B" w:rsidR="00B67F73" w:rsidP="00B67F73" w:rsidRDefault="00B67F73" w14:paraId="11B6628E" w14:textId="77777777">
      <w:pPr>
        <w:pStyle w:val="ListParagraph"/>
        <w:ind w:left="1440"/>
        <w:rPr>
          <w:rFonts w:ascii="Times New Roman" w:hAnsi="Times New Roman"/>
          <w:i/>
          <w:iCs/>
        </w:rPr>
      </w:pPr>
      <w:r w:rsidRPr="00B67F73">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noProof/>
        </w:rPr>
        <w:t>10</w:t>
      </w:r>
      <w:r w:rsidRPr="00B67F73">
        <w:rPr>
          <w:rFonts w:ascii="Times New Roman" w:hAnsi="Times New Roman"/>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B67F73">
        <w:rPr>
          <w:rFonts w:ascii="Times New Roman" w:hAnsi="Times New Roman"/>
        </w:rPr>
        <w:t xml:space="preserve">.  The total burden for this ICR is </w:t>
      </w:r>
      <w:r w:rsidR="001B1836">
        <w:rPr>
          <w:rFonts w:ascii="Times New Roman" w:hAnsi="Times New Roman"/>
          <w:b/>
        </w:rPr>
        <w:t>2,186</w:t>
      </w:r>
      <w:r w:rsidRPr="00B67F73">
        <w:rPr>
          <w:rFonts w:ascii="Times New Roman" w:hAnsi="Times New Roman"/>
        </w:rPr>
        <w:t xml:space="preserve"> burden hours (reflecting SSA management information data), which results in an associated theoretical (not actual) opportunity cost financial burden of </w:t>
      </w:r>
      <w:r w:rsidRPr="00B67F73">
        <w:rPr>
          <w:rFonts w:ascii="Times New Roman" w:hAnsi="Times New Roman"/>
          <w:b/>
        </w:rPr>
        <w:t>$</w:t>
      </w:r>
      <w:r w:rsidR="001B1836">
        <w:rPr>
          <w:rFonts w:ascii="Times New Roman" w:hAnsi="Times New Roman"/>
          <w:b/>
        </w:rPr>
        <w:t>61,383</w:t>
      </w:r>
      <w:r w:rsidRPr="00B67F73">
        <w:rPr>
          <w:rFonts w:ascii="Times New Roman" w:hAnsi="Times New Roman"/>
        </w:rPr>
        <w:t>.  SSA does not charge respondents to complete our applications</w:t>
      </w:r>
      <w:r w:rsidRPr="00E6420B">
        <w:rPr>
          <w:rFonts w:ascii="Times New Roman" w:hAnsi="Times New Roman"/>
          <w:i/>
          <w:iCs/>
          <w:noProof/>
        </w:rPr>
        <w:t>.</w:t>
      </w:r>
    </w:p>
    <w:p w:rsidR="00664672" w:rsidP="004238CA" w:rsidRDefault="00664672" w14:paraId="1CEFA3C0" w14:textId="77777777">
      <w:pPr>
        <w:ind w:left="720"/>
        <w:rPr>
          <w:rFonts w:ascii="Times New Roman" w:hAnsi="Times New Roman"/>
        </w:rPr>
      </w:pPr>
    </w:p>
    <w:p w:rsidRPr="00BC7F42" w:rsidR="00A45D82" w:rsidP="009733DE" w:rsidRDefault="00A45D82" w14:paraId="3069BF23" w14:textId="77777777">
      <w:pPr>
        <w:ind w:left="81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4C6806" w:rsidR="00A45D82" w:rsidP="0021179F" w:rsidRDefault="00121032" w14:paraId="63D67901" w14:textId="77777777">
      <w:pPr>
        <w:ind w:left="720" w:firstLine="720"/>
        <w:rPr>
          <w:rFonts w:ascii="Times New Roman" w:hAnsi="Times New Roman"/>
          <w:iCs/>
        </w:rPr>
      </w:pPr>
      <w:r w:rsidRPr="004C6806">
        <w:rPr>
          <w:rFonts w:ascii="Times New Roman" w:hAnsi="Times New Roman"/>
          <w:iCs/>
        </w:rPr>
        <w:t xml:space="preserve">This collection does not impose a known cost burden </w:t>
      </w:r>
      <w:r w:rsidRPr="004C6806" w:rsidR="00AC39FD">
        <w:rPr>
          <w:rFonts w:ascii="Times New Roman" w:hAnsi="Times New Roman"/>
          <w:iCs/>
        </w:rPr>
        <w:t>on</w:t>
      </w:r>
      <w:r w:rsidRPr="004C6806">
        <w:rPr>
          <w:rFonts w:ascii="Times New Roman" w:hAnsi="Times New Roman"/>
          <w:iCs/>
        </w:rPr>
        <w:t xml:space="preserve"> the respondents. </w:t>
      </w:r>
      <w:r w:rsidRPr="004C6806" w:rsidR="00A45D82">
        <w:rPr>
          <w:rFonts w:ascii="Times New Roman" w:hAnsi="Times New Roman"/>
          <w:iCs/>
        </w:rPr>
        <w:t xml:space="preserve">  </w:t>
      </w:r>
    </w:p>
    <w:p w:rsidRPr="004C6806" w:rsidR="00A45D82" w:rsidP="00A45D82" w:rsidRDefault="00A45D82" w14:paraId="35ED0CA8" w14:textId="77777777">
      <w:pPr>
        <w:rPr>
          <w:rFonts w:ascii="Times New Roman" w:hAnsi="Times New Roman"/>
          <w:iCs/>
        </w:rPr>
      </w:pPr>
    </w:p>
    <w:p w:rsidRPr="00121032" w:rsidR="00121032" w:rsidP="00FE5ECE" w:rsidRDefault="009733DE" w14:paraId="620B5515" w14:textId="77777777">
      <w:pPr>
        <w:numPr>
          <w:ilvl w:val="0"/>
          <w:numId w:val="3"/>
        </w:numPr>
        <w:tabs>
          <w:tab w:val="left" w:pos="720"/>
        </w:tabs>
        <w:ind w:left="1440" w:hanging="630"/>
        <w:rPr>
          <w:rFonts w:ascii="Times New Roman" w:hAnsi="Times New Roman"/>
        </w:rPr>
      </w:pPr>
      <w:r>
        <w:rPr>
          <w:rFonts w:ascii="Times New Roman" w:hAnsi="Times New Roman"/>
          <w:b/>
        </w:rPr>
        <w:t xml:space="preserve">   </w:t>
      </w:r>
      <w:r w:rsidRPr="00BC7F42" w:rsidR="00A45D82">
        <w:rPr>
          <w:rFonts w:ascii="Times New Roman" w:hAnsi="Times New Roman"/>
          <w:b/>
        </w:rPr>
        <w:t>Annual Cost To Federal Government</w:t>
      </w:r>
    </w:p>
    <w:p w:rsidR="005623CF" w:rsidP="009733DE" w:rsidRDefault="005623CF" w14:paraId="67CBEE7A" w14:textId="45AB2A98">
      <w:pPr>
        <w:ind w:left="1440"/>
        <w:rPr>
          <w:rFonts w:ascii="Times New Roman" w:hAnsi="Times New Roman"/>
          <w:color w:val="000000"/>
        </w:rPr>
      </w:pPr>
      <w:r w:rsidRPr="0047588F">
        <w:rPr>
          <w:rFonts w:ascii="Times New Roman" w:hAnsi="Times New Roman"/>
          <w:color w:val="000000"/>
        </w:rPr>
        <w:t>The annual cost to the Federal Government is approximately $</w:t>
      </w:r>
      <w:r w:rsidR="004F2FF8">
        <w:rPr>
          <w:rFonts w:ascii="Times New Roman" w:hAnsi="Times New Roman"/>
          <w:color w:val="000000"/>
        </w:rPr>
        <w:t>64,</w:t>
      </w:r>
      <w:r w:rsidR="006F1610">
        <w:rPr>
          <w:rFonts w:ascii="Times New Roman" w:hAnsi="Times New Roman"/>
          <w:color w:val="000000"/>
        </w:rPr>
        <w:t>6</w:t>
      </w:r>
      <w:r w:rsidR="004F2FF8">
        <w:rPr>
          <w:rFonts w:ascii="Times New Roman" w:hAnsi="Times New Roman"/>
          <w:color w:val="000000"/>
        </w:rPr>
        <w:t>90</w:t>
      </w:r>
      <w:r w:rsidRPr="0047588F">
        <w:rPr>
          <w:rFonts w:ascii="Times New Roman" w:hAnsi="Times New Roman"/>
          <w:color w:val="000000"/>
        </w:rPr>
        <w:t>.  This estimate accounts for costs from the following areas:</w:t>
      </w:r>
    </w:p>
    <w:p w:rsidR="009733DE" w:rsidP="009733DE" w:rsidRDefault="009733DE" w14:paraId="1588B516" w14:textId="77777777">
      <w:pPr>
        <w:ind w:left="1440"/>
        <w:rPr>
          <w:rFonts w:ascii="Times New Roman" w:hAnsi="Times New Roman"/>
          <w:color w:val="000000"/>
        </w:rPr>
      </w:pPr>
    </w:p>
    <w:tbl>
      <w:tblPr>
        <w:tblW w:w="8714" w:type="dxa"/>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0"/>
        <w:gridCol w:w="3117"/>
        <w:gridCol w:w="3117"/>
      </w:tblGrid>
      <w:tr w:rsidR="009733DE" w:rsidTr="009733DE" w14:paraId="1A35C39B" w14:textId="77777777">
        <w:tc>
          <w:tcPr>
            <w:tcW w:w="2480" w:type="dxa"/>
            <w:shd w:val="clear" w:color="auto" w:fill="auto"/>
          </w:tcPr>
          <w:p w:rsidRPr="00003983" w:rsidR="009733DE" w:rsidP="004D2E83" w:rsidRDefault="009733DE" w14:paraId="3897BCA6"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117" w:type="dxa"/>
            <w:shd w:val="clear" w:color="auto" w:fill="auto"/>
          </w:tcPr>
          <w:p w:rsidRPr="00003983" w:rsidR="009733DE" w:rsidP="004D2E83" w:rsidRDefault="009733DE" w14:paraId="302CF3DD"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3117" w:type="dxa"/>
            <w:shd w:val="clear" w:color="auto" w:fill="auto"/>
          </w:tcPr>
          <w:p w:rsidRPr="00003983" w:rsidR="009733DE" w:rsidP="004D2E83" w:rsidRDefault="009733DE" w14:paraId="47942AAB"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rsidR="009733DE" w:rsidTr="009733DE" w14:paraId="52A88C2C" w14:textId="77777777">
        <w:tc>
          <w:tcPr>
            <w:tcW w:w="2480" w:type="dxa"/>
            <w:shd w:val="clear" w:color="auto" w:fill="auto"/>
          </w:tcPr>
          <w:p w:rsidRPr="002C389A" w:rsidR="009733DE" w:rsidP="004D2E83" w:rsidRDefault="009733DE" w14:paraId="1B9DD0DA" w14:textId="77777777">
            <w:pPr>
              <w:pStyle w:val="ListParagraph"/>
              <w:ind w:left="0"/>
              <w:rPr>
                <w:rFonts w:ascii="Times New Roman" w:hAnsi="Times New Roman"/>
              </w:rPr>
            </w:pPr>
            <w:bookmarkStart w:name="_Hlk106781392" w:id="4"/>
            <w:r w:rsidRPr="002C389A">
              <w:rPr>
                <w:rFonts w:ascii="Times New Roman" w:hAnsi="Times New Roman"/>
              </w:rPr>
              <w:t>Designing and Printing the Form</w:t>
            </w:r>
          </w:p>
        </w:tc>
        <w:tc>
          <w:tcPr>
            <w:tcW w:w="3117" w:type="dxa"/>
            <w:shd w:val="clear" w:color="auto" w:fill="auto"/>
          </w:tcPr>
          <w:p w:rsidRPr="002C389A" w:rsidR="009733DE" w:rsidP="004D2E83" w:rsidRDefault="009733DE" w14:paraId="1061EFE0" w14:textId="77777777">
            <w:pPr>
              <w:pStyle w:val="ListParagraph"/>
              <w:ind w:left="0"/>
              <w:rPr>
                <w:rFonts w:ascii="Times New Roman" w:hAnsi="Times New Roman"/>
              </w:rPr>
            </w:pPr>
            <w:r w:rsidRPr="002C389A">
              <w:rPr>
                <w:rFonts w:ascii="Times New Roman" w:hAnsi="Times New Roman"/>
              </w:rPr>
              <w:t>Design Cost + Printing Cost</w:t>
            </w:r>
          </w:p>
        </w:tc>
        <w:tc>
          <w:tcPr>
            <w:tcW w:w="3117" w:type="dxa"/>
            <w:shd w:val="clear" w:color="auto" w:fill="auto"/>
          </w:tcPr>
          <w:p w:rsidRPr="004F2FF8" w:rsidR="009733DE" w:rsidP="009733DE" w:rsidRDefault="009733DE" w14:paraId="183C0C17" w14:textId="5892706C">
            <w:pPr>
              <w:pStyle w:val="ListParagraph"/>
              <w:ind w:left="0"/>
              <w:jc w:val="right"/>
              <w:rPr>
                <w:rFonts w:ascii="Times New Roman" w:hAnsi="Times New Roman"/>
              </w:rPr>
            </w:pPr>
            <w:r w:rsidRPr="004F2FF8">
              <w:rPr>
                <w:rFonts w:ascii="Times New Roman" w:hAnsi="Times New Roman"/>
              </w:rPr>
              <w:t>$</w:t>
            </w:r>
            <w:r w:rsidR="006F1610">
              <w:rPr>
                <w:rFonts w:ascii="Times New Roman" w:hAnsi="Times New Roman"/>
              </w:rPr>
              <w:t>420</w:t>
            </w:r>
          </w:p>
        </w:tc>
      </w:tr>
      <w:tr w:rsidR="009733DE" w:rsidTr="009733DE" w14:paraId="17F71984" w14:textId="77777777">
        <w:tc>
          <w:tcPr>
            <w:tcW w:w="2480" w:type="dxa"/>
            <w:shd w:val="clear" w:color="auto" w:fill="auto"/>
          </w:tcPr>
          <w:p w:rsidRPr="002C389A" w:rsidR="009733DE" w:rsidP="004D2E83" w:rsidRDefault="009733DE" w14:paraId="27164835" w14:textId="77777777">
            <w:pPr>
              <w:pStyle w:val="ListParagraph"/>
              <w:ind w:left="0"/>
              <w:rPr>
                <w:rFonts w:ascii="Times New Roman" w:hAnsi="Times New Roman"/>
              </w:rPr>
            </w:pPr>
            <w:r w:rsidRPr="002C389A">
              <w:rPr>
                <w:rFonts w:ascii="Times New Roman" w:hAnsi="Times New Roman"/>
              </w:rPr>
              <w:t>Distributing, Shipping, and Material Costs for the Form</w:t>
            </w:r>
          </w:p>
        </w:tc>
        <w:tc>
          <w:tcPr>
            <w:tcW w:w="3117" w:type="dxa"/>
            <w:shd w:val="clear" w:color="auto" w:fill="auto"/>
          </w:tcPr>
          <w:p w:rsidRPr="002C389A" w:rsidR="009733DE" w:rsidP="004D2E83" w:rsidRDefault="009733DE" w14:paraId="1CDCD307" w14:textId="77777777">
            <w:pPr>
              <w:pStyle w:val="ListParagraph"/>
              <w:ind w:left="0"/>
              <w:rPr>
                <w:rFonts w:ascii="Times New Roman" w:hAnsi="Times New Roman"/>
              </w:rPr>
            </w:pPr>
            <w:r w:rsidRPr="002C389A">
              <w:rPr>
                <w:rFonts w:ascii="Times New Roman" w:hAnsi="Times New Roman"/>
              </w:rPr>
              <w:t>Distribution + Shipping + Material Cost</w:t>
            </w:r>
          </w:p>
        </w:tc>
        <w:tc>
          <w:tcPr>
            <w:tcW w:w="3117" w:type="dxa"/>
            <w:shd w:val="clear" w:color="auto" w:fill="auto"/>
          </w:tcPr>
          <w:p w:rsidRPr="004F2FF8" w:rsidR="009733DE" w:rsidP="009733DE" w:rsidRDefault="00EC7AF8" w14:paraId="5E9868BE" w14:textId="77777777">
            <w:pPr>
              <w:pStyle w:val="ListParagraph"/>
              <w:ind w:left="0"/>
              <w:jc w:val="right"/>
              <w:rPr>
                <w:rFonts w:ascii="Times New Roman" w:hAnsi="Times New Roman"/>
              </w:rPr>
            </w:pPr>
            <w:r w:rsidRPr="004F2FF8">
              <w:rPr>
                <w:rFonts w:ascii="Times New Roman" w:hAnsi="Times New Roman"/>
              </w:rPr>
              <w:t>$14,776</w:t>
            </w:r>
          </w:p>
        </w:tc>
      </w:tr>
      <w:bookmarkEnd w:id="4"/>
      <w:tr w:rsidR="009733DE" w:rsidTr="009733DE" w14:paraId="27B3E35B" w14:textId="77777777">
        <w:tc>
          <w:tcPr>
            <w:tcW w:w="2480" w:type="dxa"/>
            <w:shd w:val="clear" w:color="auto" w:fill="auto"/>
          </w:tcPr>
          <w:p w:rsidRPr="00003983" w:rsidR="009733DE" w:rsidP="004D2E83" w:rsidRDefault="009733DE" w14:paraId="7D9AA448" w14:textId="77777777">
            <w:pPr>
              <w:pStyle w:val="ListParagraph"/>
              <w:ind w:left="0"/>
              <w:rPr>
                <w:rFonts w:ascii="Times New Roman" w:hAnsi="Times New Roman"/>
                <w:color w:val="000000"/>
              </w:rPr>
            </w:pPr>
            <w:r w:rsidRPr="00003983">
              <w:rPr>
                <w:rFonts w:ascii="Times New Roman" w:hAnsi="Times New Roman"/>
                <w:color w:val="000000"/>
              </w:rPr>
              <w:t xml:space="preserve">SSA Employee (e.g., field office, 800 number, DDS staff) </w:t>
            </w:r>
            <w:r w:rsidRPr="00003983">
              <w:rPr>
                <w:rFonts w:ascii="Times New Roman" w:hAnsi="Times New Roman"/>
                <w:color w:val="000000"/>
              </w:rPr>
              <w:lastRenderedPageBreak/>
              <w:t>Information Collection and Processing Time</w:t>
            </w:r>
          </w:p>
        </w:tc>
        <w:tc>
          <w:tcPr>
            <w:tcW w:w="3117" w:type="dxa"/>
            <w:shd w:val="clear" w:color="auto" w:fill="auto"/>
          </w:tcPr>
          <w:p w:rsidRPr="00003983" w:rsidR="009733DE" w:rsidP="004D2E83" w:rsidRDefault="009733DE" w14:paraId="309D5B5D" w14:textId="77777777">
            <w:pPr>
              <w:pStyle w:val="ListParagraph"/>
              <w:ind w:left="0"/>
              <w:rPr>
                <w:rFonts w:ascii="Times New Roman" w:hAnsi="Times New Roman"/>
                <w:color w:val="000000"/>
              </w:rPr>
            </w:pPr>
            <w:r w:rsidRPr="00003983">
              <w:rPr>
                <w:rFonts w:ascii="Times New Roman" w:hAnsi="Times New Roman"/>
                <w:color w:val="000000"/>
              </w:rPr>
              <w:lastRenderedPageBreak/>
              <w:t>GS-9 employee x # of responses x processing time</w:t>
            </w:r>
          </w:p>
        </w:tc>
        <w:tc>
          <w:tcPr>
            <w:tcW w:w="3117" w:type="dxa"/>
            <w:shd w:val="clear" w:color="auto" w:fill="auto"/>
          </w:tcPr>
          <w:p w:rsidRPr="00003983" w:rsidR="009733DE" w:rsidP="009733DE" w:rsidRDefault="004F2FF8" w14:paraId="1FC6C658" w14:textId="77777777">
            <w:pPr>
              <w:pStyle w:val="ListParagraph"/>
              <w:ind w:left="0"/>
              <w:jc w:val="right"/>
              <w:rPr>
                <w:rFonts w:ascii="Times New Roman" w:hAnsi="Times New Roman"/>
                <w:color w:val="000000"/>
              </w:rPr>
            </w:pPr>
            <w:r>
              <w:rPr>
                <w:rFonts w:ascii="Times New Roman" w:hAnsi="Times New Roman"/>
                <w:color w:val="000000"/>
              </w:rPr>
              <w:t>$</w:t>
            </w:r>
            <w:r w:rsidR="009733DE">
              <w:rPr>
                <w:rFonts w:ascii="Times New Roman" w:hAnsi="Times New Roman"/>
                <w:color w:val="000000"/>
              </w:rPr>
              <w:t>46,074</w:t>
            </w:r>
          </w:p>
        </w:tc>
      </w:tr>
      <w:tr w:rsidR="009733DE" w:rsidTr="009733DE" w14:paraId="2AD03BF6" w14:textId="77777777">
        <w:tc>
          <w:tcPr>
            <w:tcW w:w="2480" w:type="dxa"/>
            <w:shd w:val="clear" w:color="auto" w:fill="auto"/>
          </w:tcPr>
          <w:p w:rsidRPr="00003983" w:rsidR="009733DE" w:rsidP="004D2E83" w:rsidRDefault="009733DE" w14:paraId="3B25D52D"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117" w:type="dxa"/>
            <w:shd w:val="clear" w:color="auto" w:fill="auto"/>
          </w:tcPr>
          <w:p w:rsidRPr="00003983" w:rsidR="009733DE" w:rsidP="004D2E83" w:rsidRDefault="009733DE" w14:paraId="35700540"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3117" w:type="dxa"/>
            <w:shd w:val="clear" w:color="auto" w:fill="auto"/>
          </w:tcPr>
          <w:p w:rsidRPr="00003983" w:rsidR="009733DE" w:rsidP="009733DE" w:rsidRDefault="009733DE" w14:paraId="2586434A" w14:textId="77777777">
            <w:pPr>
              <w:pStyle w:val="ListParagraph"/>
              <w:ind w:left="0"/>
              <w:jc w:val="right"/>
              <w:rPr>
                <w:rFonts w:ascii="Times New Roman" w:hAnsi="Times New Roman"/>
                <w:color w:val="000000"/>
              </w:rPr>
            </w:pPr>
            <w:r>
              <w:rPr>
                <w:rFonts w:ascii="Times New Roman" w:hAnsi="Times New Roman"/>
                <w:color w:val="000000"/>
              </w:rPr>
              <w:t>$0*</w:t>
            </w:r>
          </w:p>
        </w:tc>
      </w:tr>
      <w:tr w:rsidRPr="004F2FF8" w:rsidR="009733DE" w:rsidTr="009733DE" w14:paraId="7C3636CC" w14:textId="77777777">
        <w:tc>
          <w:tcPr>
            <w:tcW w:w="2480" w:type="dxa"/>
            <w:shd w:val="clear" w:color="auto" w:fill="auto"/>
          </w:tcPr>
          <w:p w:rsidRPr="00003983" w:rsidR="009733DE" w:rsidP="004D2E83" w:rsidRDefault="009733DE" w14:paraId="11990A30"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117" w:type="dxa"/>
            <w:shd w:val="clear" w:color="auto" w:fill="auto"/>
          </w:tcPr>
          <w:p w:rsidRPr="00003983" w:rsidR="009733DE" w:rsidP="004D2E83" w:rsidRDefault="009733DE" w14:paraId="3728814B"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3117" w:type="dxa"/>
            <w:shd w:val="clear" w:color="auto" w:fill="auto"/>
          </w:tcPr>
          <w:p w:rsidRPr="004F2FF8" w:rsidR="009733DE" w:rsidP="009733DE" w:rsidRDefault="004F2FF8" w14:paraId="27F4FA62" w14:textId="77777777">
            <w:pPr>
              <w:pStyle w:val="ListParagraph"/>
              <w:ind w:left="0"/>
              <w:jc w:val="right"/>
              <w:rPr>
                <w:rFonts w:ascii="Times New Roman" w:hAnsi="Times New Roman"/>
                <w:bCs/>
                <w:iCs/>
                <w:color w:val="000000"/>
              </w:rPr>
            </w:pPr>
            <w:r w:rsidRPr="004F2FF8">
              <w:rPr>
                <w:rFonts w:ascii="Times New Roman" w:hAnsi="Times New Roman"/>
                <w:bCs/>
                <w:iCs/>
                <w:color w:val="000000"/>
              </w:rPr>
              <w:t>$3,420</w:t>
            </w:r>
          </w:p>
        </w:tc>
      </w:tr>
      <w:tr w:rsidR="009733DE" w:rsidTr="009733DE" w14:paraId="6B2A7367" w14:textId="77777777">
        <w:tc>
          <w:tcPr>
            <w:tcW w:w="2480" w:type="dxa"/>
            <w:shd w:val="clear" w:color="auto" w:fill="auto"/>
          </w:tcPr>
          <w:p w:rsidRPr="00003983" w:rsidR="009733DE" w:rsidP="004D2E83" w:rsidRDefault="009733DE" w14:paraId="46E12EF6"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117" w:type="dxa"/>
            <w:shd w:val="clear" w:color="auto" w:fill="auto"/>
          </w:tcPr>
          <w:p w:rsidRPr="00003983" w:rsidR="009733DE" w:rsidP="004D2E83" w:rsidRDefault="009733DE" w14:paraId="47D38123"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3117" w:type="dxa"/>
            <w:shd w:val="clear" w:color="auto" w:fill="auto"/>
          </w:tcPr>
          <w:p w:rsidRPr="004F2FF8" w:rsidR="009733DE" w:rsidP="009733DE" w:rsidRDefault="009733DE" w14:paraId="180DF987" w14:textId="77777777">
            <w:pPr>
              <w:pStyle w:val="ListParagraph"/>
              <w:ind w:left="0"/>
              <w:jc w:val="right"/>
              <w:rPr>
                <w:rFonts w:ascii="Times New Roman" w:hAnsi="Times New Roman"/>
                <w:color w:val="000000"/>
              </w:rPr>
            </w:pPr>
            <w:r w:rsidRPr="004F2FF8">
              <w:rPr>
                <w:rFonts w:ascii="Times New Roman" w:hAnsi="Times New Roman"/>
                <w:color w:val="000000"/>
              </w:rPr>
              <w:t>$0</w:t>
            </w:r>
            <w:r w:rsidR="004F2FF8">
              <w:rPr>
                <w:rFonts w:ascii="Times New Roman" w:hAnsi="Times New Roman"/>
                <w:color w:val="000000"/>
              </w:rPr>
              <w:t>*</w:t>
            </w:r>
          </w:p>
        </w:tc>
      </w:tr>
      <w:tr w:rsidR="009733DE" w:rsidTr="009733DE" w14:paraId="30D93F70" w14:textId="77777777">
        <w:tc>
          <w:tcPr>
            <w:tcW w:w="2480" w:type="dxa"/>
            <w:shd w:val="clear" w:color="auto" w:fill="auto"/>
          </w:tcPr>
          <w:p w:rsidRPr="00003983" w:rsidR="009733DE" w:rsidP="004D2E83" w:rsidRDefault="009733DE" w14:paraId="569A1B92"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117" w:type="dxa"/>
            <w:shd w:val="clear" w:color="auto" w:fill="auto"/>
          </w:tcPr>
          <w:p w:rsidRPr="00003983" w:rsidR="009733DE" w:rsidP="004D2E83" w:rsidRDefault="009733DE" w14:paraId="71209244" w14:textId="77777777">
            <w:pPr>
              <w:pStyle w:val="ListParagraph"/>
              <w:ind w:left="0"/>
              <w:rPr>
                <w:rFonts w:ascii="Times New Roman" w:hAnsi="Times New Roman"/>
                <w:b/>
                <w:bCs/>
                <w:color w:val="000000"/>
              </w:rPr>
            </w:pPr>
          </w:p>
        </w:tc>
        <w:tc>
          <w:tcPr>
            <w:tcW w:w="3117" w:type="dxa"/>
            <w:shd w:val="clear" w:color="auto" w:fill="auto"/>
          </w:tcPr>
          <w:p w:rsidRPr="00003983" w:rsidR="009733DE" w:rsidP="004F2FF8" w:rsidRDefault="004F2FF8" w14:paraId="09983FEE" w14:textId="7D060F47">
            <w:pPr>
              <w:pStyle w:val="ListParagraph"/>
              <w:ind w:left="0"/>
              <w:jc w:val="right"/>
              <w:rPr>
                <w:rFonts w:ascii="Times New Roman" w:hAnsi="Times New Roman"/>
                <w:b/>
                <w:bCs/>
                <w:color w:val="000000"/>
              </w:rPr>
            </w:pPr>
            <w:r>
              <w:rPr>
                <w:rFonts w:ascii="Times New Roman" w:hAnsi="Times New Roman"/>
                <w:b/>
                <w:bCs/>
                <w:color w:val="000000"/>
              </w:rPr>
              <w:t>$64,</w:t>
            </w:r>
            <w:r w:rsidR="006F1610">
              <w:rPr>
                <w:rFonts w:ascii="Times New Roman" w:hAnsi="Times New Roman"/>
                <w:b/>
                <w:bCs/>
                <w:color w:val="000000"/>
              </w:rPr>
              <w:t>6</w:t>
            </w:r>
            <w:r>
              <w:rPr>
                <w:rFonts w:ascii="Times New Roman" w:hAnsi="Times New Roman"/>
                <w:b/>
                <w:bCs/>
                <w:color w:val="000000"/>
              </w:rPr>
              <w:t>90</w:t>
            </w:r>
          </w:p>
        </w:tc>
      </w:tr>
    </w:tbl>
    <w:p w:rsidR="005623CF" w:rsidP="000D1116" w:rsidRDefault="005623CF" w14:paraId="19638B73"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7D30F5" w:rsidP="005623CF" w:rsidRDefault="007D30F5" w14:paraId="1AE97380" w14:textId="77777777">
      <w:pPr>
        <w:rPr>
          <w:rFonts w:ascii="Times New Roman" w:hAnsi="Times New Roman"/>
          <w:color w:val="000000"/>
        </w:rPr>
      </w:pPr>
    </w:p>
    <w:p w:rsidR="005623CF" w:rsidP="000D1116" w:rsidRDefault="005623CF" w14:paraId="0900BC3C" w14:textId="77777777">
      <w:pPr>
        <w:ind w:left="1440"/>
        <w:rPr>
          <w:rFonts w:ascii="Times New Roman" w:hAnsi="Times New Roman"/>
          <w:color w:val="000000"/>
        </w:rPr>
      </w:pPr>
      <w:r>
        <w:rPr>
          <w:rFonts w:ascii="Times New Roman" w:hAnsi="Times New Roman"/>
          <w:color w:val="000000"/>
        </w:rPr>
        <w:t xml:space="preserve">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t>
      </w:r>
      <w:r w:rsidRPr="004C6806">
        <w:rPr>
          <w:rFonts w:ascii="Times New Roman" w:hAnsi="Times New Roman"/>
          <w:color w:val="000000"/>
        </w:rPr>
        <w:t>wage of our average field office employee (GS-9) for these calculations.  However, we</w:t>
      </w:r>
      <w:r>
        <w:rPr>
          <w:rFonts w:ascii="Times New Roman" w:hAnsi="Times New Roman"/>
          <w:color w:val="000000"/>
        </w:rPr>
        <w:t xml:space="preserve"> have calculated these costs as accurately as possible based on the information we collect for creating, updating, and maintaining these information collections.</w:t>
      </w:r>
    </w:p>
    <w:p w:rsidRPr="0047588F" w:rsidR="005623CF" w:rsidP="005623CF" w:rsidRDefault="005623CF" w14:paraId="7C420F41" w14:textId="77777777">
      <w:pPr>
        <w:rPr>
          <w:rFonts w:ascii="Times New Roman" w:hAnsi="Times New Roman"/>
        </w:rPr>
      </w:pPr>
    </w:p>
    <w:p w:rsidR="00063A05" w:rsidP="000D1116" w:rsidRDefault="00A45D82" w14:paraId="0D501911" w14:textId="77777777">
      <w:pPr>
        <w:ind w:left="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4C6806" w:rsidR="00B1614B" w:rsidP="000D1116" w:rsidRDefault="00B1614B" w14:paraId="54DE5CBE" w14:textId="65DFEE6B">
      <w:pPr>
        <w:ind w:left="1440"/>
        <w:rPr>
          <w:rFonts w:ascii="Times New Roman" w:hAnsi="Times New Roman"/>
          <w:b/>
          <w:iCs/>
        </w:rPr>
      </w:pPr>
      <w:r w:rsidRPr="004C6806">
        <w:rPr>
          <w:rFonts w:ascii="Times New Roman" w:hAnsi="Times New Roman"/>
          <w:iCs/>
        </w:rPr>
        <w:t>When we last cleared this IC in 201</w:t>
      </w:r>
      <w:r w:rsidRPr="004C6806" w:rsidR="00060C9E">
        <w:rPr>
          <w:rFonts w:ascii="Times New Roman" w:hAnsi="Times New Roman"/>
          <w:iCs/>
        </w:rPr>
        <w:t>9</w:t>
      </w:r>
      <w:r w:rsidRPr="004C6806">
        <w:rPr>
          <w:rFonts w:ascii="Times New Roman" w:hAnsi="Times New Roman"/>
          <w:iCs/>
        </w:rPr>
        <w:t xml:space="preserve">, the burden was </w:t>
      </w:r>
      <w:r w:rsidRPr="004C6806" w:rsidR="00060C9E">
        <w:rPr>
          <w:rFonts w:ascii="Times New Roman" w:hAnsi="Times New Roman"/>
          <w:iCs/>
        </w:rPr>
        <w:t>9</w:t>
      </w:r>
      <w:r w:rsidR="004E5341">
        <w:rPr>
          <w:rFonts w:ascii="Times New Roman" w:hAnsi="Times New Roman"/>
          <w:iCs/>
        </w:rPr>
        <w:t>,</w:t>
      </w:r>
      <w:r w:rsidRPr="004C6806" w:rsidR="00060C9E">
        <w:rPr>
          <w:rFonts w:ascii="Times New Roman" w:hAnsi="Times New Roman"/>
          <w:iCs/>
        </w:rPr>
        <w:t>166</w:t>
      </w:r>
      <w:r w:rsidRPr="004C6806">
        <w:rPr>
          <w:rFonts w:ascii="Times New Roman" w:hAnsi="Times New Roman"/>
          <w:iCs/>
        </w:rPr>
        <w:t xml:space="preserve"> hours.  However, we are currently reporting a burden of </w:t>
      </w:r>
      <w:r w:rsidR="004E5104">
        <w:rPr>
          <w:rFonts w:ascii="Times New Roman" w:hAnsi="Times New Roman"/>
          <w:iCs/>
        </w:rPr>
        <w:t>2</w:t>
      </w:r>
      <w:r w:rsidR="004E5341">
        <w:rPr>
          <w:rFonts w:ascii="Times New Roman" w:hAnsi="Times New Roman"/>
          <w:iCs/>
        </w:rPr>
        <w:t>,</w:t>
      </w:r>
      <w:r w:rsidR="004E5104">
        <w:rPr>
          <w:rFonts w:ascii="Times New Roman" w:hAnsi="Times New Roman"/>
          <w:iCs/>
        </w:rPr>
        <w:t>186</w:t>
      </w:r>
      <w:r w:rsidRPr="004C6806">
        <w:rPr>
          <w:rFonts w:ascii="Times New Roman" w:hAnsi="Times New Roman"/>
          <w:iCs/>
        </w:rPr>
        <w:t xml:space="preserve"> hours.  This change stems a decrease in the number of respon</w:t>
      </w:r>
      <w:r w:rsidRPr="004C6806" w:rsidR="00064229">
        <w:rPr>
          <w:rFonts w:ascii="Times New Roman" w:hAnsi="Times New Roman"/>
          <w:iCs/>
        </w:rPr>
        <w:t>ses</w:t>
      </w:r>
      <w:r w:rsidRPr="004C6806">
        <w:rPr>
          <w:rFonts w:ascii="Times New Roman" w:hAnsi="Times New Roman"/>
          <w:iCs/>
        </w:rPr>
        <w:t xml:space="preserve"> from </w:t>
      </w:r>
      <w:r w:rsidRPr="004C6806" w:rsidR="00060C9E">
        <w:rPr>
          <w:rFonts w:ascii="Times New Roman" w:hAnsi="Times New Roman"/>
          <w:iCs/>
        </w:rPr>
        <w:t>54,9</w:t>
      </w:r>
      <w:r w:rsidR="004E5104">
        <w:rPr>
          <w:rFonts w:ascii="Times New Roman" w:hAnsi="Times New Roman"/>
          <w:iCs/>
        </w:rPr>
        <w:t>9</w:t>
      </w:r>
      <w:r w:rsidRPr="004C6806" w:rsidR="00060C9E">
        <w:rPr>
          <w:rFonts w:ascii="Times New Roman" w:hAnsi="Times New Roman"/>
          <w:iCs/>
        </w:rPr>
        <w:t>8</w:t>
      </w:r>
      <w:r w:rsidRPr="004C6806">
        <w:rPr>
          <w:rFonts w:ascii="Times New Roman" w:hAnsi="Times New Roman"/>
          <w:iCs/>
        </w:rPr>
        <w:t xml:space="preserve"> to </w:t>
      </w:r>
      <w:r w:rsidR="004E5104">
        <w:rPr>
          <w:rFonts w:ascii="Times New Roman" w:hAnsi="Times New Roman"/>
          <w:iCs/>
        </w:rPr>
        <w:t>13,114</w:t>
      </w:r>
      <w:r w:rsidRPr="004C6806">
        <w:rPr>
          <w:rFonts w:ascii="Times New Roman" w:hAnsi="Times New Roman"/>
          <w:iCs/>
        </w:rPr>
        <w:t xml:space="preserve">.  </w:t>
      </w:r>
      <w:r w:rsidR="00A0193F">
        <w:rPr>
          <w:rFonts w:ascii="Times New Roman" w:hAnsi="Times New Roman"/>
          <w:iCs/>
        </w:rPr>
        <w:t>In addition, we updated our burden per response from 10 minutes to 20 minutes based on current Management Information data, and our reassessment of the burden to ensure we allow time for reading the instructions, gathering the data, answering the questions, and mailing the response back to SSA</w:t>
      </w:r>
      <w:r w:rsidRPr="004C6806">
        <w:rPr>
          <w:rFonts w:ascii="Times New Roman" w:hAnsi="Times New Roman"/>
          <w:iCs/>
        </w:rPr>
        <w:t>.</w:t>
      </w:r>
      <w:r w:rsidRPr="004C6806" w:rsidR="00401DE1">
        <w:rPr>
          <w:rFonts w:ascii="Times New Roman" w:hAnsi="Times New Roman"/>
          <w:iCs/>
        </w:rPr>
        <w:t xml:space="preserve">  These figures represent current Management Information data.</w:t>
      </w:r>
    </w:p>
    <w:p w:rsidR="006E59B6" w:rsidP="00063A05" w:rsidRDefault="006E59B6" w14:paraId="7198CE5F" w14:textId="77777777">
      <w:pPr>
        <w:ind w:firstLine="720"/>
        <w:rPr>
          <w:rFonts w:ascii="Times New Roman" w:hAnsi="Times New Roman"/>
          <w:b/>
        </w:rPr>
      </w:pPr>
    </w:p>
    <w:p w:rsidR="00063A05" w:rsidP="000D1116" w:rsidRDefault="00A45D82" w14:paraId="0E31FB31" w14:textId="77777777">
      <w:pPr>
        <w:ind w:left="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4C6806" w:rsidR="003B30B4" w:rsidP="000D1116" w:rsidRDefault="003B30B4" w14:paraId="2E7E30D6" w14:textId="77777777">
      <w:pPr>
        <w:pStyle w:val="NoSpacing"/>
        <w:ind w:left="720" w:firstLine="720"/>
        <w:rPr>
          <w:bCs/>
        </w:rPr>
      </w:pPr>
      <w:r w:rsidRPr="004C6806">
        <w:rPr>
          <w:bCs/>
        </w:rPr>
        <w:t>SSA will not publish the results of the information collection.</w:t>
      </w:r>
    </w:p>
    <w:p w:rsidRPr="00BC7F42" w:rsidR="00A45D82" w:rsidP="00A45D82" w:rsidRDefault="00A45D82" w14:paraId="3A2457C3" w14:textId="77777777">
      <w:pPr>
        <w:pStyle w:val="Header"/>
        <w:tabs>
          <w:tab w:val="clear" w:pos="4320"/>
          <w:tab w:val="clear" w:pos="8640"/>
        </w:tabs>
        <w:rPr>
          <w:rFonts w:ascii="Times New Roman" w:hAnsi="Times New Roman"/>
        </w:rPr>
      </w:pPr>
    </w:p>
    <w:p w:rsidR="003B30B4" w:rsidP="000D1116" w:rsidRDefault="00A45D82" w14:paraId="1F479B66" w14:textId="77777777">
      <w:pPr>
        <w:ind w:left="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P="000D1116" w:rsidRDefault="003B30B4" w14:paraId="19215D71" w14:textId="77777777">
      <w:pPr>
        <w:pStyle w:val="NoSpacing"/>
        <w:ind w:left="1440"/>
        <w:rPr>
          <w:bCs/>
        </w:rPr>
      </w:pPr>
      <w:r w:rsidRPr="00BE56F4">
        <w:rPr>
          <w:bCs/>
        </w:rPr>
        <w:t>OMB granted SSA an exemption from the requirement to print the OMB expiration date on its program forms</w:t>
      </w:r>
      <w:r w:rsidRPr="00BE56F4" w:rsidR="00FA0FE2">
        <w:rPr>
          <w:bCs/>
        </w:rPr>
        <w:t xml:space="preserve">.  </w:t>
      </w:r>
      <w:r w:rsidRPr="00BE56F4">
        <w:rPr>
          <w:b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3352DD" w:rsidP="000D1116" w:rsidRDefault="003352DD" w14:paraId="300A732C" w14:textId="2CA11891">
      <w:pPr>
        <w:pStyle w:val="NoSpacing"/>
        <w:ind w:left="1440"/>
        <w:rPr>
          <w:bCs/>
        </w:rPr>
      </w:pPr>
    </w:p>
    <w:p w:rsidRPr="00BE56F4" w:rsidR="00E44FCE" w:rsidP="000D1116" w:rsidRDefault="00E44FCE" w14:paraId="3B384852" w14:textId="77777777">
      <w:pPr>
        <w:pStyle w:val="NoSpacing"/>
        <w:ind w:left="1440"/>
        <w:rPr>
          <w:bCs/>
        </w:rPr>
      </w:pPr>
    </w:p>
    <w:p w:rsidR="003B30B4" w:rsidP="00FE5ECE" w:rsidRDefault="00A45D82" w14:paraId="0C2CD5B9" w14:textId="77777777">
      <w:pPr>
        <w:numPr>
          <w:ilvl w:val="0"/>
          <w:numId w:val="6"/>
        </w:numPr>
        <w:rPr>
          <w:rFonts w:ascii="Times New Roman" w:hAnsi="Times New Roman"/>
          <w:b/>
        </w:rPr>
      </w:pPr>
      <w:r w:rsidRPr="00BC7F42">
        <w:rPr>
          <w:rFonts w:ascii="Times New Roman" w:hAnsi="Times New Roman"/>
          <w:b/>
        </w:rPr>
        <w:t>Exceptions to Certification Statement</w:t>
      </w:r>
    </w:p>
    <w:p w:rsidR="000D1116" w:rsidP="000D1116" w:rsidRDefault="0041131C" w14:paraId="2F0FC1E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F84C14">
        <w:rPr>
          <w:rFonts w:ascii="Times New Roman" w:hAnsi="Times New Roman"/>
          <w:b w:val="0"/>
          <w:i w:val="0"/>
          <w:iCs w:val="0"/>
        </w:rPr>
        <w:t>SSA is not requesting an exception to the certification requirements at</w:t>
      </w:r>
    </w:p>
    <w:p w:rsidRPr="00F84C14" w:rsidR="0041131C" w:rsidP="000D1116" w:rsidRDefault="0041131C" w14:paraId="0A8F388E"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0D1116">
        <w:rPr>
          <w:rFonts w:ascii="Times New Roman" w:hAnsi="Times New Roman"/>
          <w:b w:val="0"/>
        </w:rPr>
        <w:t>5 CFR 1320.9</w:t>
      </w:r>
      <w:r w:rsidRPr="00F84C14">
        <w:rPr>
          <w:rFonts w:ascii="Times New Roman" w:hAnsi="Times New Roman"/>
          <w:b w:val="0"/>
          <w:i w:val="0"/>
          <w:iCs w:val="0"/>
        </w:rPr>
        <w:t xml:space="preserve"> and related provisions at </w:t>
      </w:r>
      <w:r w:rsidRPr="000D1116">
        <w:rPr>
          <w:rFonts w:ascii="Times New Roman" w:hAnsi="Times New Roman"/>
          <w:b w:val="0"/>
        </w:rPr>
        <w:t>5 CFR 1320.8(b)(3).</w:t>
      </w:r>
      <w:r w:rsidRPr="00F84C14">
        <w:rPr>
          <w:rFonts w:ascii="Times New Roman" w:hAnsi="Times New Roman"/>
          <w:b w:val="0"/>
          <w:i w:val="0"/>
          <w:iCs w:val="0"/>
        </w:rPr>
        <w:t xml:space="preserve"> </w:t>
      </w:r>
    </w:p>
    <w:p w:rsidRPr="00BC7F42" w:rsidR="00A45D82" w:rsidP="00A45D82" w:rsidRDefault="00A45D82" w14:paraId="33794D71" w14:textId="77777777">
      <w:pPr>
        <w:rPr>
          <w:rFonts w:ascii="Times New Roman" w:hAnsi="Times New Roman"/>
        </w:rPr>
      </w:pPr>
    </w:p>
    <w:p w:rsidR="00A45D82" w:rsidP="00A45D82" w:rsidRDefault="00A45D82" w14:paraId="4F9CC82F" w14:textId="77777777">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Pr="000D1116" w:rsidR="0041131C" w:rsidP="000D1116" w:rsidRDefault="0041131C" w14:paraId="4CB88EA3" w14:textId="77777777">
      <w:pPr>
        <w:rPr>
          <w:rFonts w:ascii="Times New Roman" w:hAnsi="Times New Roman"/>
          <w:bCs/>
        </w:rPr>
      </w:pPr>
      <w:r>
        <w:rPr>
          <w:rFonts w:ascii="Times New Roman" w:hAnsi="Times New Roman"/>
        </w:rPr>
        <w:tab/>
      </w:r>
      <w:r w:rsidR="000D1116">
        <w:rPr>
          <w:rFonts w:ascii="Times New Roman" w:hAnsi="Times New Roman"/>
        </w:rPr>
        <w:tab/>
      </w:r>
      <w:r w:rsidRPr="000D1116">
        <w:rPr>
          <w:rFonts w:ascii="Times New Roman" w:hAnsi="Times New Roman"/>
          <w:bCs/>
        </w:rPr>
        <w:t xml:space="preserve">SSA does not use statistical methods for this information collection. </w:t>
      </w:r>
    </w:p>
    <w:p w:rsidRPr="000D1116" w:rsidR="0041131C" w:rsidP="0041131C" w:rsidRDefault="0041131C" w14:paraId="5F44DBB4" w14:textId="77777777">
      <w:pPr>
        <w:rPr>
          <w:rFonts w:ascii="Times New Roman" w:hAnsi="Times New Roman"/>
          <w:bCs/>
        </w:rPr>
      </w:pPr>
    </w:p>
    <w:sectPr w:rsidRPr="000D1116" w:rsidR="0041131C" w:rsidSect="0021179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7869" w14:textId="77777777" w:rsidR="00FE5ECE" w:rsidRDefault="00FE5ECE">
      <w:r>
        <w:separator/>
      </w:r>
    </w:p>
  </w:endnote>
  <w:endnote w:type="continuationSeparator" w:id="0">
    <w:p w14:paraId="72A0A082" w14:textId="77777777" w:rsidR="00FE5ECE" w:rsidRDefault="00FE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3717" w14:textId="77777777" w:rsidR="00F535D1" w:rsidRDefault="00F535D1">
    <w:pPr>
      <w:pStyle w:val="Footer"/>
      <w:jc w:val="center"/>
    </w:pPr>
    <w:r>
      <w:fldChar w:fldCharType="begin"/>
    </w:r>
    <w:r>
      <w:instrText xml:space="preserve"> PAGE   \* MERGEFORMAT </w:instrText>
    </w:r>
    <w:r>
      <w:fldChar w:fldCharType="separate"/>
    </w:r>
    <w:r>
      <w:rPr>
        <w:noProof/>
      </w:rPr>
      <w:t>2</w:t>
    </w:r>
    <w:r>
      <w:rPr>
        <w:noProof/>
      </w:rPr>
      <w:fldChar w:fldCharType="end"/>
    </w:r>
  </w:p>
  <w:p w14:paraId="14914A6B" w14:textId="77777777" w:rsidR="00F535D1" w:rsidRDefault="00F53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7615" w14:textId="77777777" w:rsidR="00FE5ECE" w:rsidRDefault="00FE5ECE">
      <w:r>
        <w:separator/>
      </w:r>
    </w:p>
  </w:footnote>
  <w:footnote w:type="continuationSeparator" w:id="0">
    <w:p w14:paraId="1E64D94D" w14:textId="77777777" w:rsidR="00FE5ECE" w:rsidRDefault="00FE5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1A7"/>
    <w:multiLevelType w:val="hybridMultilevel"/>
    <w:tmpl w:val="517ECA56"/>
    <w:lvl w:ilvl="0" w:tplc="F80EF5B8">
      <w:start w:val="18"/>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 w15:restartNumberingAfterBreak="0">
    <w:nsid w:val="616F329C"/>
    <w:multiLevelType w:val="hybridMultilevel"/>
    <w:tmpl w:val="C8028774"/>
    <w:lvl w:ilvl="0" w:tplc="1DB618CC">
      <w:start w:val="1"/>
      <w:numFmt w:val="decimal"/>
      <w:lvlText w:val="%1."/>
      <w:lvlJc w:val="left"/>
      <w:pPr>
        <w:tabs>
          <w:tab w:val="num" w:pos="1440"/>
        </w:tabs>
        <w:ind w:left="1440" w:hanging="720"/>
      </w:pPr>
      <w:rPr>
        <w:rFonts w:hint="default"/>
      </w:rPr>
    </w:lvl>
    <w:lvl w:ilvl="1" w:tplc="D3BC8F6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4CC03B5"/>
    <w:multiLevelType w:val="singleLevel"/>
    <w:tmpl w:val="5382F96A"/>
    <w:lvl w:ilvl="0">
      <w:start w:val="14"/>
      <w:numFmt w:val="decimal"/>
      <w:lvlText w:val="%1."/>
      <w:lvlJc w:val="left"/>
      <w:pPr>
        <w:tabs>
          <w:tab w:val="num" w:pos="1260"/>
        </w:tabs>
        <w:ind w:left="1260" w:hanging="360"/>
      </w:pPr>
      <w:rPr>
        <w:rFonts w:hint="default"/>
        <w:b/>
        <w:bCs/>
      </w:rPr>
    </w:lvl>
  </w:abstractNum>
  <w:abstractNum w:abstractNumId="4"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5"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5"/>
  </w:num>
  <w:num w:numId="2">
    <w:abstractNumId w:val="4"/>
  </w:num>
  <w:num w:numId="3">
    <w:abstractNumId w:val="3"/>
  </w:num>
  <w:num w:numId="4">
    <w:abstractNumId w:val="1"/>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1D20"/>
    <w:rsid w:val="00003983"/>
    <w:rsid w:val="000222A7"/>
    <w:rsid w:val="00025216"/>
    <w:rsid w:val="00025D75"/>
    <w:rsid w:val="0002677F"/>
    <w:rsid w:val="00030D1E"/>
    <w:rsid w:val="00050D1D"/>
    <w:rsid w:val="00060C9E"/>
    <w:rsid w:val="00061926"/>
    <w:rsid w:val="00063A05"/>
    <w:rsid w:val="00064229"/>
    <w:rsid w:val="0006715D"/>
    <w:rsid w:val="0007189E"/>
    <w:rsid w:val="00077720"/>
    <w:rsid w:val="00077E0E"/>
    <w:rsid w:val="00081603"/>
    <w:rsid w:val="00086E84"/>
    <w:rsid w:val="000958AA"/>
    <w:rsid w:val="000971C3"/>
    <w:rsid w:val="000A6AE3"/>
    <w:rsid w:val="000B2B68"/>
    <w:rsid w:val="000B3B12"/>
    <w:rsid w:val="000C0B75"/>
    <w:rsid w:val="000C151C"/>
    <w:rsid w:val="000C1D18"/>
    <w:rsid w:val="000D110B"/>
    <w:rsid w:val="000D1116"/>
    <w:rsid w:val="000D5F5C"/>
    <w:rsid w:val="000E7AE3"/>
    <w:rsid w:val="00121032"/>
    <w:rsid w:val="00122EE2"/>
    <w:rsid w:val="00127980"/>
    <w:rsid w:val="00145796"/>
    <w:rsid w:val="00146275"/>
    <w:rsid w:val="0015576E"/>
    <w:rsid w:val="00157AD6"/>
    <w:rsid w:val="00161A18"/>
    <w:rsid w:val="0016591F"/>
    <w:rsid w:val="00170127"/>
    <w:rsid w:val="001779F3"/>
    <w:rsid w:val="001813EB"/>
    <w:rsid w:val="001820B5"/>
    <w:rsid w:val="00186C90"/>
    <w:rsid w:val="00192897"/>
    <w:rsid w:val="001A3317"/>
    <w:rsid w:val="001A65F9"/>
    <w:rsid w:val="001B1836"/>
    <w:rsid w:val="001B2B88"/>
    <w:rsid w:val="001B7CF4"/>
    <w:rsid w:val="001C1450"/>
    <w:rsid w:val="001C6D3A"/>
    <w:rsid w:val="001D0B21"/>
    <w:rsid w:val="001E1076"/>
    <w:rsid w:val="00202C06"/>
    <w:rsid w:val="00202FEC"/>
    <w:rsid w:val="002079EF"/>
    <w:rsid w:val="0021038E"/>
    <w:rsid w:val="0021179F"/>
    <w:rsid w:val="0021318A"/>
    <w:rsid w:val="002321B0"/>
    <w:rsid w:val="00243C15"/>
    <w:rsid w:val="00246836"/>
    <w:rsid w:val="0025440F"/>
    <w:rsid w:val="0026052B"/>
    <w:rsid w:val="00264355"/>
    <w:rsid w:val="00276AAF"/>
    <w:rsid w:val="002801F8"/>
    <w:rsid w:val="00282123"/>
    <w:rsid w:val="002967A5"/>
    <w:rsid w:val="00296BFA"/>
    <w:rsid w:val="002A4C30"/>
    <w:rsid w:val="002A6490"/>
    <w:rsid w:val="002B0820"/>
    <w:rsid w:val="002B5578"/>
    <w:rsid w:val="002C389A"/>
    <w:rsid w:val="002D5780"/>
    <w:rsid w:val="002E09D1"/>
    <w:rsid w:val="002E18CF"/>
    <w:rsid w:val="002E287B"/>
    <w:rsid w:val="002E335E"/>
    <w:rsid w:val="002F1C11"/>
    <w:rsid w:val="00302545"/>
    <w:rsid w:val="003176E1"/>
    <w:rsid w:val="00331821"/>
    <w:rsid w:val="00333D3D"/>
    <w:rsid w:val="003352DD"/>
    <w:rsid w:val="00336F0C"/>
    <w:rsid w:val="00340D7D"/>
    <w:rsid w:val="003444C2"/>
    <w:rsid w:val="00344998"/>
    <w:rsid w:val="003465DC"/>
    <w:rsid w:val="003469CA"/>
    <w:rsid w:val="00346BD0"/>
    <w:rsid w:val="0035187E"/>
    <w:rsid w:val="00352BC3"/>
    <w:rsid w:val="0036696D"/>
    <w:rsid w:val="0038050B"/>
    <w:rsid w:val="0038313E"/>
    <w:rsid w:val="00386F58"/>
    <w:rsid w:val="003A6E57"/>
    <w:rsid w:val="003A71A9"/>
    <w:rsid w:val="003B15EC"/>
    <w:rsid w:val="003B1D23"/>
    <w:rsid w:val="003B30B4"/>
    <w:rsid w:val="003B4E00"/>
    <w:rsid w:val="003C10BD"/>
    <w:rsid w:val="003C4A14"/>
    <w:rsid w:val="003C69D0"/>
    <w:rsid w:val="003C6AE7"/>
    <w:rsid w:val="003E145C"/>
    <w:rsid w:val="003E657B"/>
    <w:rsid w:val="003F00B3"/>
    <w:rsid w:val="00401DE1"/>
    <w:rsid w:val="00405548"/>
    <w:rsid w:val="0041131C"/>
    <w:rsid w:val="004145D2"/>
    <w:rsid w:val="004238CA"/>
    <w:rsid w:val="004317CB"/>
    <w:rsid w:val="00432B54"/>
    <w:rsid w:val="00436D0B"/>
    <w:rsid w:val="00447EE9"/>
    <w:rsid w:val="0045065A"/>
    <w:rsid w:val="004509AD"/>
    <w:rsid w:val="00453B50"/>
    <w:rsid w:val="00455DA6"/>
    <w:rsid w:val="00467508"/>
    <w:rsid w:val="00475350"/>
    <w:rsid w:val="00481B44"/>
    <w:rsid w:val="00484662"/>
    <w:rsid w:val="00485549"/>
    <w:rsid w:val="004915B5"/>
    <w:rsid w:val="004A42A0"/>
    <w:rsid w:val="004B199A"/>
    <w:rsid w:val="004C5327"/>
    <w:rsid w:val="004C6806"/>
    <w:rsid w:val="004D2E83"/>
    <w:rsid w:val="004E146D"/>
    <w:rsid w:val="004E5104"/>
    <w:rsid w:val="004E5341"/>
    <w:rsid w:val="004F2FF8"/>
    <w:rsid w:val="0050197F"/>
    <w:rsid w:val="005040EC"/>
    <w:rsid w:val="00506486"/>
    <w:rsid w:val="005431CE"/>
    <w:rsid w:val="00545ED0"/>
    <w:rsid w:val="005603C2"/>
    <w:rsid w:val="0056163C"/>
    <w:rsid w:val="005623CF"/>
    <w:rsid w:val="005721D4"/>
    <w:rsid w:val="0057258F"/>
    <w:rsid w:val="00574BA4"/>
    <w:rsid w:val="00593A36"/>
    <w:rsid w:val="00594CB3"/>
    <w:rsid w:val="005A1198"/>
    <w:rsid w:val="005B15E5"/>
    <w:rsid w:val="005B39D3"/>
    <w:rsid w:val="005C2C39"/>
    <w:rsid w:val="005D4107"/>
    <w:rsid w:val="005D5B33"/>
    <w:rsid w:val="005E6961"/>
    <w:rsid w:val="005F208A"/>
    <w:rsid w:val="005F4577"/>
    <w:rsid w:val="006002DD"/>
    <w:rsid w:val="006013A3"/>
    <w:rsid w:val="00605D67"/>
    <w:rsid w:val="006160ED"/>
    <w:rsid w:val="00623B1D"/>
    <w:rsid w:val="00626C22"/>
    <w:rsid w:val="00631F1B"/>
    <w:rsid w:val="00632CB9"/>
    <w:rsid w:val="0063304D"/>
    <w:rsid w:val="00636566"/>
    <w:rsid w:val="00637AF5"/>
    <w:rsid w:val="00640A26"/>
    <w:rsid w:val="00663881"/>
    <w:rsid w:val="00664553"/>
    <w:rsid w:val="00664672"/>
    <w:rsid w:val="006703E4"/>
    <w:rsid w:val="00672B52"/>
    <w:rsid w:val="00676B99"/>
    <w:rsid w:val="006806E1"/>
    <w:rsid w:val="0069667B"/>
    <w:rsid w:val="006A19D0"/>
    <w:rsid w:val="006B173F"/>
    <w:rsid w:val="006B17EF"/>
    <w:rsid w:val="006B297F"/>
    <w:rsid w:val="006D130E"/>
    <w:rsid w:val="006E2FB4"/>
    <w:rsid w:val="006E59B6"/>
    <w:rsid w:val="006F1610"/>
    <w:rsid w:val="006F2B8B"/>
    <w:rsid w:val="006F4D0F"/>
    <w:rsid w:val="00703C7F"/>
    <w:rsid w:val="0070479A"/>
    <w:rsid w:val="00712F1B"/>
    <w:rsid w:val="0071437B"/>
    <w:rsid w:val="007245C9"/>
    <w:rsid w:val="00724789"/>
    <w:rsid w:val="007256B3"/>
    <w:rsid w:val="00725851"/>
    <w:rsid w:val="00740141"/>
    <w:rsid w:val="00740FE2"/>
    <w:rsid w:val="00742B56"/>
    <w:rsid w:val="00745462"/>
    <w:rsid w:val="00764F65"/>
    <w:rsid w:val="00766199"/>
    <w:rsid w:val="007752C0"/>
    <w:rsid w:val="007759EE"/>
    <w:rsid w:val="00791E76"/>
    <w:rsid w:val="0079253B"/>
    <w:rsid w:val="00795BAB"/>
    <w:rsid w:val="007A08D1"/>
    <w:rsid w:val="007A2DEE"/>
    <w:rsid w:val="007B007C"/>
    <w:rsid w:val="007B2976"/>
    <w:rsid w:val="007B7CEE"/>
    <w:rsid w:val="007C0384"/>
    <w:rsid w:val="007D061D"/>
    <w:rsid w:val="007D22EB"/>
    <w:rsid w:val="007D30F5"/>
    <w:rsid w:val="007D4016"/>
    <w:rsid w:val="007D4712"/>
    <w:rsid w:val="007E17BD"/>
    <w:rsid w:val="007F3E8E"/>
    <w:rsid w:val="008041B4"/>
    <w:rsid w:val="00805CA9"/>
    <w:rsid w:val="00806984"/>
    <w:rsid w:val="00810485"/>
    <w:rsid w:val="00813DAF"/>
    <w:rsid w:val="00814772"/>
    <w:rsid w:val="00824D72"/>
    <w:rsid w:val="00825B97"/>
    <w:rsid w:val="00831CCD"/>
    <w:rsid w:val="00834E5A"/>
    <w:rsid w:val="00837C8B"/>
    <w:rsid w:val="00846BDF"/>
    <w:rsid w:val="0084775D"/>
    <w:rsid w:val="0086463A"/>
    <w:rsid w:val="008754ED"/>
    <w:rsid w:val="00876482"/>
    <w:rsid w:val="00885789"/>
    <w:rsid w:val="00891CA8"/>
    <w:rsid w:val="00892089"/>
    <w:rsid w:val="008924F2"/>
    <w:rsid w:val="00892E12"/>
    <w:rsid w:val="008A3D75"/>
    <w:rsid w:val="008B6774"/>
    <w:rsid w:val="008D158E"/>
    <w:rsid w:val="008E3A3A"/>
    <w:rsid w:val="008F612D"/>
    <w:rsid w:val="00906892"/>
    <w:rsid w:val="00907872"/>
    <w:rsid w:val="00921E96"/>
    <w:rsid w:val="009252AB"/>
    <w:rsid w:val="00934D27"/>
    <w:rsid w:val="00951258"/>
    <w:rsid w:val="00952C5B"/>
    <w:rsid w:val="00955EC4"/>
    <w:rsid w:val="009733DE"/>
    <w:rsid w:val="00973D74"/>
    <w:rsid w:val="009748B6"/>
    <w:rsid w:val="00975DD8"/>
    <w:rsid w:val="00983CD5"/>
    <w:rsid w:val="00992124"/>
    <w:rsid w:val="009A06C2"/>
    <w:rsid w:val="009A0B16"/>
    <w:rsid w:val="009A53ED"/>
    <w:rsid w:val="009A7AF6"/>
    <w:rsid w:val="009B3440"/>
    <w:rsid w:val="009D2478"/>
    <w:rsid w:val="009E3C50"/>
    <w:rsid w:val="009F23D6"/>
    <w:rsid w:val="009F7BB3"/>
    <w:rsid w:val="00A0193F"/>
    <w:rsid w:val="00A06BE2"/>
    <w:rsid w:val="00A06ECC"/>
    <w:rsid w:val="00A222FF"/>
    <w:rsid w:val="00A32C8F"/>
    <w:rsid w:val="00A33667"/>
    <w:rsid w:val="00A337E4"/>
    <w:rsid w:val="00A33C65"/>
    <w:rsid w:val="00A34222"/>
    <w:rsid w:val="00A45D82"/>
    <w:rsid w:val="00A651A7"/>
    <w:rsid w:val="00A67D76"/>
    <w:rsid w:val="00A706B8"/>
    <w:rsid w:val="00A72056"/>
    <w:rsid w:val="00A75E40"/>
    <w:rsid w:val="00A805BA"/>
    <w:rsid w:val="00A814B4"/>
    <w:rsid w:val="00A838E4"/>
    <w:rsid w:val="00AA06A4"/>
    <w:rsid w:val="00AA0858"/>
    <w:rsid w:val="00AA0C27"/>
    <w:rsid w:val="00AA6250"/>
    <w:rsid w:val="00AB0CA7"/>
    <w:rsid w:val="00AB124A"/>
    <w:rsid w:val="00AB659D"/>
    <w:rsid w:val="00AC2E93"/>
    <w:rsid w:val="00AC39FD"/>
    <w:rsid w:val="00AD0977"/>
    <w:rsid w:val="00AE0527"/>
    <w:rsid w:val="00AF3BEA"/>
    <w:rsid w:val="00AF7234"/>
    <w:rsid w:val="00B007C5"/>
    <w:rsid w:val="00B015A5"/>
    <w:rsid w:val="00B01D57"/>
    <w:rsid w:val="00B1614B"/>
    <w:rsid w:val="00B25361"/>
    <w:rsid w:val="00B258CB"/>
    <w:rsid w:val="00B35478"/>
    <w:rsid w:val="00B51EF0"/>
    <w:rsid w:val="00B525CA"/>
    <w:rsid w:val="00B67F73"/>
    <w:rsid w:val="00B741F6"/>
    <w:rsid w:val="00B92550"/>
    <w:rsid w:val="00B94A3F"/>
    <w:rsid w:val="00BA1653"/>
    <w:rsid w:val="00BA401A"/>
    <w:rsid w:val="00BC5531"/>
    <w:rsid w:val="00BC7F42"/>
    <w:rsid w:val="00BD04F0"/>
    <w:rsid w:val="00BD2394"/>
    <w:rsid w:val="00BD74FC"/>
    <w:rsid w:val="00BE07F6"/>
    <w:rsid w:val="00BE15FE"/>
    <w:rsid w:val="00BE56F4"/>
    <w:rsid w:val="00BF026F"/>
    <w:rsid w:val="00BF4955"/>
    <w:rsid w:val="00C0290B"/>
    <w:rsid w:val="00C03633"/>
    <w:rsid w:val="00C22097"/>
    <w:rsid w:val="00C25FDC"/>
    <w:rsid w:val="00C34553"/>
    <w:rsid w:val="00C34A91"/>
    <w:rsid w:val="00C377BC"/>
    <w:rsid w:val="00C41A48"/>
    <w:rsid w:val="00C4366D"/>
    <w:rsid w:val="00C5104E"/>
    <w:rsid w:val="00C60E61"/>
    <w:rsid w:val="00C653EF"/>
    <w:rsid w:val="00C6607B"/>
    <w:rsid w:val="00C67C8A"/>
    <w:rsid w:val="00C67F83"/>
    <w:rsid w:val="00C74924"/>
    <w:rsid w:val="00C74A43"/>
    <w:rsid w:val="00C93220"/>
    <w:rsid w:val="00C941E2"/>
    <w:rsid w:val="00CA0B15"/>
    <w:rsid w:val="00CA5F75"/>
    <w:rsid w:val="00CA6CAE"/>
    <w:rsid w:val="00CB4D17"/>
    <w:rsid w:val="00CB6CD2"/>
    <w:rsid w:val="00CB7253"/>
    <w:rsid w:val="00CB7557"/>
    <w:rsid w:val="00CC36D5"/>
    <w:rsid w:val="00CD07B4"/>
    <w:rsid w:val="00CD667A"/>
    <w:rsid w:val="00CE23C1"/>
    <w:rsid w:val="00CE471F"/>
    <w:rsid w:val="00CF0595"/>
    <w:rsid w:val="00CF2AC5"/>
    <w:rsid w:val="00D0011E"/>
    <w:rsid w:val="00D03E8A"/>
    <w:rsid w:val="00D24718"/>
    <w:rsid w:val="00D42EFE"/>
    <w:rsid w:val="00D44900"/>
    <w:rsid w:val="00D539D8"/>
    <w:rsid w:val="00D5531A"/>
    <w:rsid w:val="00D678F8"/>
    <w:rsid w:val="00D851C0"/>
    <w:rsid w:val="00DB1DB4"/>
    <w:rsid w:val="00DD494D"/>
    <w:rsid w:val="00DE156B"/>
    <w:rsid w:val="00DE6186"/>
    <w:rsid w:val="00E0137B"/>
    <w:rsid w:val="00E065DA"/>
    <w:rsid w:val="00E2391E"/>
    <w:rsid w:val="00E305B9"/>
    <w:rsid w:val="00E3164F"/>
    <w:rsid w:val="00E31D7D"/>
    <w:rsid w:val="00E32628"/>
    <w:rsid w:val="00E417FC"/>
    <w:rsid w:val="00E437C5"/>
    <w:rsid w:val="00E44FCE"/>
    <w:rsid w:val="00E532EA"/>
    <w:rsid w:val="00E6420B"/>
    <w:rsid w:val="00E646A3"/>
    <w:rsid w:val="00E67D94"/>
    <w:rsid w:val="00E75DB0"/>
    <w:rsid w:val="00E80456"/>
    <w:rsid w:val="00E956F3"/>
    <w:rsid w:val="00EA3F64"/>
    <w:rsid w:val="00EA6845"/>
    <w:rsid w:val="00EC7AF8"/>
    <w:rsid w:val="00EC7EFD"/>
    <w:rsid w:val="00ED36D8"/>
    <w:rsid w:val="00ED57B1"/>
    <w:rsid w:val="00EE6086"/>
    <w:rsid w:val="00EF4071"/>
    <w:rsid w:val="00EF73B9"/>
    <w:rsid w:val="00EF765F"/>
    <w:rsid w:val="00F028DE"/>
    <w:rsid w:val="00F0585C"/>
    <w:rsid w:val="00F107B7"/>
    <w:rsid w:val="00F11F57"/>
    <w:rsid w:val="00F14BA8"/>
    <w:rsid w:val="00F15EF8"/>
    <w:rsid w:val="00F2154D"/>
    <w:rsid w:val="00F216F4"/>
    <w:rsid w:val="00F36E53"/>
    <w:rsid w:val="00F4316C"/>
    <w:rsid w:val="00F46176"/>
    <w:rsid w:val="00F50471"/>
    <w:rsid w:val="00F5149E"/>
    <w:rsid w:val="00F535D1"/>
    <w:rsid w:val="00F56A74"/>
    <w:rsid w:val="00F57AD9"/>
    <w:rsid w:val="00F832E5"/>
    <w:rsid w:val="00F84C14"/>
    <w:rsid w:val="00F870A3"/>
    <w:rsid w:val="00F91762"/>
    <w:rsid w:val="00F9405B"/>
    <w:rsid w:val="00FA0FE2"/>
    <w:rsid w:val="00FA34E8"/>
    <w:rsid w:val="00FA640B"/>
    <w:rsid w:val="00FA7D4E"/>
    <w:rsid w:val="00FD387D"/>
    <w:rsid w:val="00FD549D"/>
    <w:rsid w:val="00FD6374"/>
    <w:rsid w:val="00FE5ECE"/>
    <w:rsid w:val="00FF088A"/>
    <w:rsid w:val="00FF5088"/>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8B963"/>
  <w15:chartTrackingRefBased/>
  <w15:docId w15:val="{5B8DE000-0E4E-4969-8153-AFADCC8F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3">
    <w:name w:val="heading 3"/>
    <w:basedOn w:val="Normal"/>
    <w:next w:val="Normal"/>
    <w:link w:val="Heading3Char"/>
    <w:semiHidden/>
    <w:unhideWhenUsed/>
    <w:qFormat/>
    <w:rsid w:val="00081603"/>
    <w:pPr>
      <w:keepNext/>
      <w:spacing w:before="240" w:after="60"/>
      <w:outlineLvl w:val="2"/>
    </w:pPr>
    <w:rPr>
      <w:rFonts w:ascii="Calibri Light" w:hAnsi="Calibri Light"/>
      <w:b/>
      <w:bCs/>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F535D1"/>
    <w:rPr>
      <w:rFonts w:ascii="Courier" w:eastAsia="Times New Roman" w:hAnsi="Courier"/>
      <w:snapToGrid w:val="0"/>
      <w:sz w:val="24"/>
      <w:szCs w:val="24"/>
    </w:rPr>
  </w:style>
  <w:style w:type="paragraph" w:styleId="HTMLPreformatted">
    <w:name w:val="HTML Preformatted"/>
    <w:basedOn w:val="Normal"/>
    <w:link w:val="HTMLPreformattedChar"/>
    <w:rsid w:val="00B67F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character" w:customStyle="1" w:styleId="HTMLPreformattedChar">
    <w:name w:val="HTML Preformatted Char"/>
    <w:link w:val="HTMLPreformatted"/>
    <w:rsid w:val="00B67F73"/>
    <w:rPr>
      <w:rFonts w:ascii="Courier New" w:hAnsi="Courier New" w:cs="Courier New"/>
      <w:lang w:eastAsia="zh-CN"/>
    </w:rPr>
  </w:style>
  <w:style w:type="character" w:customStyle="1" w:styleId="Heading3Char">
    <w:name w:val="Heading 3 Char"/>
    <w:link w:val="Heading3"/>
    <w:semiHidden/>
    <w:rsid w:val="00081603"/>
    <w:rPr>
      <w:rFonts w:ascii="Calibri Light" w:eastAsia="Times New Roman" w:hAnsi="Calibri Light" w:cs="Times New Roman"/>
      <w:b/>
      <w:bCs/>
      <w:snapToGrid w:val="0"/>
      <w:sz w:val="26"/>
      <w:szCs w:val="26"/>
    </w:rPr>
  </w:style>
  <w:style w:type="paragraph" w:customStyle="1" w:styleId="poms-para">
    <w:name w:val="poms-para"/>
    <w:basedOn w:val="Normal"/>
    <w:rsid w:val="00081603"/>
    <w:pPr>
      <w:widowControl/>
      <w:spacing w:before="100" w:beforeAutospacing="1" w:after="100" w:afterAutospacing="1"/>
    </w:pPr>
    <w:rPr>
      <w:rFonts w:ascii="Times New Roman" w:hAnsi="Times New Roman"/>
      <w:snapToGrid/>
    </w:rPr>
  </w:style>
  <w:style w:type="character" w:customStyle="1" w:styleId="poms-subsection2-label">
    <w:name w:val="poms-subsection2-label"/>
    <w:basedOn w:val="DefaultParagraphFont"/>
    <w:rsid w:val="00081603"/>
  </w:style>
  <w:style w:type="paragraph" w:customStyle="1" w:styleId="poms-li">
    <w:name w:val="poms-li"/>
    <w:basedOn w:val="Normal"/>
    <w:rsid w:val="00081603"/>
    <w:pPr>
      <w:widowControl/>
      <w:spacing w:before="100" w:beforeAutospacing="1" w:after="100" w:afterAutospacing="1"/>
    </w:pPr>
    <w:rPr>
      <w:rFonts w:ascii="Times New Roman" w:hAnsi="Times New Roman"/>
      <w:snapToGrid/>
    </w:rPr>
  </w:style>
  <w:style w:type="paragraph" w:customStyle="1" w:styleId="listing">
    <w:name w:val="listing"/>
    <w:basedOn w:val="Normal"/>
    <w:rsid w:val="00081603"/>
    <w:pPr>
      <w:widowControl/>
      <w:spacing w:before="100" w:beforeAutospacing="1" w:after="100" w:afterAutospacing="1"/>
    </w:pPr>
    <w:rPr>
      <w:rFonts w:ascii="Times New Roman" w:hAnsi="Times New Roman"/>
      <w:snapToGrid/>
    </w:rPr>
  </w:style>
  <w:style w:type="character" w:customStyle="1" w:styleId="nobr">
    <w:name w:val="nobr"/>
    <w:basedOn w:val="DefaultParagraphFont"/>
    <w:rsid w:val="00296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84804">
      <w:bodyDiv w:val="1"/>
      <w:marLeft w:val="0"/>
      <w:marRight w:val="0"/>
      <w:marTop w:val="0"/>
      <w:marBottom w:val="0"/>
      <w:divBdr>
        <w:top w:val="none" w:sz="0" w:space="0" w:color="auto"/>
        <w:left w:val="none" w:sz="0" w:space="0" w:color="auto"/>
        <w:bottom w:val="none" w:sz="0" w:space="0" w:color="auto"/>
        <w:right w:val="none" w:sz="0" w:space="0" w:color="auto"/>
      </w:divBdr>
    </w:div>
    <w:div w:id="176384329">
      <w:bodyDiv w:val="1"/>
      <w:marLeft w:val="0"/>
      <w:marRight w:val="0"/>
      <w:marTop w:val="0"/>
      <w:marBottom w:val="0"/>
      <w:divBdr>
        <w:top w:val="none" w:sz="0" w:space="0" w:color="auto"/>
        <w:left w:val="none" w:sz="0" w:space="0" w:color="auto"/>
        <w:bottom w:val="none" w:sz="0" w:space="0" w:color="auto"/>
        <w:right w:val="none" w:sz="0" w:space="0" w:color="auto"/>
      </w:divBdr>
    </w:div>
    <w:div w:id="241643903">
      <w:bodyDiv w:val="1"/>
      <w:marLeft w:val="0"/>
      <w:marRight w:val="0"/>
      <w:marTop w:val="0"/>
      <w:marBottom w:val="0"/>
      <w:divBdr>
        <w:top w:val="none" w:sz="0" w:space="0" w:color="auto"/>
        <w:left w:val="none" w:sz="0" w:space="0" w:color="auto"/>
        <w:bottom w:val="none" w:sz="0" w:space="0" w:color="auto"/>
        <w:right w:val="none" w:sz="0" w:space="0" w:color="auto"/>
      </w:divBdr>
    </w:div>
    <w:div w:id="255482058">
      <w:bodyDiv w:val="1"/>
      <w:marLeft w:val="0"/>
      <w:marRight w:val="0"/>
      <w:marTop w:val="0"/>
      <w:marBottom w:val="0"/>
      <w:divBdr>
        <w:top w:val="none" w:sz="0" w:space="0" w:color="auto"/>
        <w:left w:val="none" w:sz="0" w:space="0" w:color="auto"/>
        <w:bottom w:val="none" w:sz="0" w:space="0" w:color="auto"/>
        <w:right w:val="none" w:sz="0" w:space="0" w:color="auto"/>
      </w:divBdr>
      <w:divsChild>
        <w:div w:id="1079015359">
          <w:marLeft w:val="0"/>
          <w:marRight w:val="0"/>
          <w:marTop w:val="0"/>
          <w:marBottom w:val="0"/>
          <w:divBdr>
            <w:top w:val="none" w:sz="0" w:space="0" w:color="auto"/>
            <w:left w:val="none" w:sz="0" w:space="0" w:color="auto"/>
            <w:bottom w:val="none" w:sz="0" w:space="0" w:color="auto"/>
            <w:right w:val="none" w:sz="0" w:space="0" w:color="auto"/>
          </w:divBdr>
          <w:divsChild>
            <w:div w:id="1633636716">
              <w:marLeft w:val="421"/>
              <w:marRight w:val="0"/>
              <w:marTop w:val="0"/>
              <w:marBottom w:val="0"/>
              <w:divBdr>
                <w:top w:val="none" w:sz="0" w:space="0" w:color="auto"/>
                <w:left w:val="none" w:sz="0" w:space="0" w:color="auto"/>
                <w:bottom w:val="none" w:sz="0" w:space="0" w:color="auto"/>
                <w:right w:val="none" w:sz="0" w:space="0" w:color="auto"/>
              </w:divBdr>
            </w:div>
          </w:divsChild>
        </w:div>
        <w:div w:id="1763724200">
          <w:marLeft w:val="0"/>
          <w:marRight w:val="0"/>
          <w:marTop w:val="0"/>
          <w:marBottom w:val="0"/>
          <w:divBdr>
            <w:top w:val="none" w:sz="0" w:space="0" w:color="auto"/>
            <w:left w:val="none" w:sz="0" w:space="0" w:color="auto"/>
            <w:bottom w:val="none" w:sz="0" w:space="0" w:color="auto"/>
            <w:right w:val="none" w:sz="0" w:space="0" w:color="auto"/>
          </w:divBdr>
          <w:divsChild>
            <w:div w:id="684752490">
              <w:marLeft w:val="421"/>
              <w:marRight w:val="0"/>
              <w:marTop w:val="0"/>
              <w:marBottom w:val="0"/>
              <w:divBdr>
                <w:top w:val="none" w:sz="0" w:space="0" w:color="auto"/>
                <w:left w:val="none" w:sz="0" w:space="0" w:color="auto"/>
                <w:bottom w:val="none" w:sz="0" w:space="0" w:color="auto"/>
                <w:right w:val="none" w:sz="0" w:space="0" w:color="auto"/>
              </w:divBdr>
              <w:divsChild>
                <w:div w:id="413473880">
                  <w:marLeft w:val="0"/>
                  <w:marRight w:val="0"/>
                  <w:marTop w:val="240"/>
                  <w:marBottom w:val="0"/>
                  <w:divBdr>
                    <w:top w:val="none" w:sz="0" w:space="0" w:color="auto"/>
                    <w:left w:val="none" w:sz="0" w:space="0" w:color="auto"/>
                    <w:bottom w:val="none" w:sz="0" w:space="0" w:color="auto"/>
                    <w:right w:val="none" w:sz="0" w:space="0" w:color="auto"/>
                  </w:divBdr>
                  <w:divsChild>
                    <w:div w:id="476804137">
                      <w:marLeft w:val="0"/>
                      <w:marRight w:val="0"/>
                      <w:marTop w:val="0"/>
                      <w:marBottom w:val="0"/>
                      <w:divBdr>
                        <w:top w:val="none" w:sz="0" w:space="0" w:color="auto"/>
                        <w:left w:val="none" w:sz="0" w:space="0" w:color="auto"/>
                        <w:bottom w:val="none" w:sz="0" w:space="0" w:color="auto"/>
                        <w:right w:val="none" w:sz="0" w:space="0" w:color="auto"/>
                      </w:divBdr>
                    </w:div>
                    <w:div w:id="1719932163">
                      <w:marLeft w:val="360"/>
                      <w:marRight w:val="0"/>
                      <w:marTop w:val="0"/>
                      <w:marBottom w:val="0"/>
                      <w:divBdr>
                        <w:top w:val="none" w:sz="0" w:space="0" w:color="auto"/>
                        <w:left w:val="none" w:sz="0" w:space="0" w:color="auto"/>
                        <w:bottom w:val="none" w:sz="0" w:space="0" w:color="auto"/>
                        <w:right w:val="none" w:sz="0" w:space="0" w:color="auto"/>
                      </w:divBdr>
                    </w:div>
                  </w:divsChild>
                </w:div>
                <w:div w:id="442653313">
                  <w:marLeft w:val="0"/>
                  <w:marRight w:val="0"/>
                  <w:marTop w:val="240"/>
                  <w:marBottom w:val="0"/>
                  <w:divBdr>
                    <w:top w:val="none" w:sz="0" w:space="0" w:color="auto"/>
                    <w:left w:val="none" w:sz="0" w:space="0" w:color="auto"/>
                    <w:bottom w:val="none" w:sz="0" w:space="0" w:color="auto"/>
                    <w:right w:val="none" w:sz="0" w:space="0" w:color="auto"/>
                  </w:divBdr>
                  <w:divsChild>
                    <w:div w:id="1163399693">
                      <w:marLeft w:val="360"/>
                      <w:marRight w:val="0"/>
                      <w:marTop w:val="0"/>
                      <w:marBottom w:val="0"/>
                      <w:divBdr>
                        <w:top w:val="none" w:sz="0" w:space="0" w:color="auto"/>
                        <w:left w:val="none" w:sz="0" w:space="0" w:color="auto"/>
                        <w:bottom w:val="none" w:sz="0" w:space="0" w:color="auto"/>
                        <w:right w:val="none" w:sz="0" w:space="0" w:color="auto"/>
                      </w:divBdr>
                    </w:div>
                    <w:div w:id="1709910184">
                      <w:marLeft w:val="0"/>
                      <w:marRight w:val="0"/>
                      <w:marTop w:val="0"/>
                      <w:marBottom w:val="0"/>
                      <w:divBdr>
                        <w:top w:val="none" w:sz="0" w:space="0" w:color="auto"/>
                        <w:left w:val="none" w:sz="0" w:space="0" w:color="auto"/>
                        <w:bottom w:val="none" w:sz="0" w:space="0" w:color="auto"/>
                        <w:right w:val="none" w:sz="0" w:space="0" w:color="auto"/>
                      </w:divBdr>
                    </w:div>
                  </w:divsChild>
                </w:div>
                <w:div w:id="893195933">
                  <w:marLeft w:val="0"/>
                  <w:marRight w:val="0"/>
                  <w:marTop w:val="240"/>
                  <w:marBottom w:val="0"/>
                  <w:divBdr>
                    <w:top w:val="none" w:sz="0" w:space="0" w:color="auto"/>
                    <w:left w:val="none" w:sz="0" w:space="0" w:color="auto"/>
                    <w:bottom w:val="none" w:sz="0" w:space="0" w:color="auto"/>
                    <w:right w:val="none" w:sz="0" w:space="0" w:color="auto"/>
                  </w:divBdr>
                  <w:divsChild>
                    <w:div w:id="147746345">
                      <w:marLeft w:val="0"/>
                      <w:marRight w:val="0"/>
                      <w:marTop w:val="0"/>
                      <w:marBottom w:val="0"/>
                      <w:divBdr>
                        <w:top w:val="none" w:sz="0" w:space="0" w:color="auto"/>
                        <w:left w:val="none" w:sz="0" w:space="0" w:color="auto"/>
                        <w:bottom w:val="none" w:sz="0" w:space="0" w:color="auto"/>
                        <w:right w:val="none" w:sz="0" w:space="0" w:color="auto"/>
                      </w:divBdr>
                    </w:div>
                    <w:div w:id="12697754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760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14158505">
      <w:bodyDiv w:val="1"/>
      <w:marLeft w:val="0"/>
      <w:marRight w:val="0"/>
      <w:marTop w:val="0"/>
      <w:marBottom w:val="0"/>
      <w:divBdr>
        <w:top w:val="none" w:sz="0" w:space="0" w:color="auto"/>
        <w:left w:val="none" w:sz="0" w:space="0" w:color="auto"/>
        <w:bottom w:val="none" w:sz="0" w:space="0" w:color="auto"/>
        <w:right w:val="none" w:sz="0" w:space="0" w:color="auto"/>
      </w:divBdr>
      <w:divsChild>
        <w:div w:id="1494251036">
          <w:marLeft w:val="0"/>
          <w:marRight w:val="0"/>
          <w:marTop w:val="240"/>
          <w:marBottom w:val="0"/>
          <w:divBdr>
            <w:top w:val="none" w:sz="0" w:space="0" w:color="auto"/>
            <w:left w:val="none" w:sz="0" w:space="0" w:color="auto"/>
            <w:bottom w:val="none" w:sz="0" w:space="0" w:color="auto"/>
            <w:right w:val="none" w:sz="0" w:space="0" w:color="auto"/>
          </w:divBdr>
          <w:divsChild>
            <w:div w:id="1492717842">
              <w:marLeft w:val="0"/>
              <w:marRight w:val="0"/>
              <w:marTop w:val="0"/>
              <w:marBottom w:val="0"/>
              <w:divBdr>
                <w:top w:val="none" w:sz="0" w:space="0" w:color="auto"/>
                <w:left w:val="none" w:sz="0" w:space="0" w:color="auto"/>
                <w:bottom w:val="none" w:sz="0" w:space="0" w:color="auto"/>
                <w:right w:val="none" w:sz="0" w:space="0" w:color="auto"/>
              </w:divBdr>
            </w:div>
            <w:div w:id="1730224740">
              <w:marLeft w:val="360"/>
              <w:marRight w:val="0"/>
              <w:marTop w:val="0"/>
              <w:marBottom w:val="0"/>
              <w:divBdr>
                <w:top w:val="none" w:sz="0" w:space="0" w:color="auto"/>
                <w:left w:val="none" w:sz="0" w:space="0" w:color="auto"/>
                <w:bottom w:val="none" w:sz="0" w:space="0" w:color="auto"/>
                <w:right w:val="none" w:sz="0" w:space="0" w:color="auto"/>
              </w:divBdr>
            </w:div>
          </w:divsChild>
        </w:div>
        <w:div w:id="1827430549">
          <w:marLeft w:val="0"/>
          <w:marRight w:val="0"/>
          <w:marTop w:val="240"/>
          <w:marBottom w:val="0"/>
          <w:divBdr>
            <w:top w:val="none" w:sz="0" w:space="0" w:color="auto"/>
            <w:left w:val="none" w:sz="0" w:space="0" w:color="auto"/>
            <w:bottom w:val="none" w:sz="0" w:space="0" w:color="auto"/>
            <w:right w:val="none" w:sz="0" w:space="0" w:color="auto"/>
          </w:divBdr>
          <w:divsChild>
            <w:div w:id="349112676">
              <w:marLeft w:val="0"/>
              <w:marRight w:val="0"/>
              <w:marTop w:val="0"/>
              <w:marBottom w:val="0"/>
              <w:divBdr>
                <w:top w:val="none" w:sz="0" w:space="0" w:color="auto"/>
                <w:left w:val="none" w:sz="0" w:space="0" w:color="auto"/>
                <w:bottom w:val="none" w:sz="0" w:space="0" w:color="auto"/>
                <w:right w:val="none" w:sz="0" w:space="0" w:color="auto"/>
              </w:divBdr>
            </w:div>
            <w:div w:id="11314843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82180563">
      <w:bodyDiv w:val="1"/>
      <w:marLeft w:val="0"/>
      <w:marRight w:val="0"/>
      <w:marTop w:val="0"/>
      <w:marBottom w:val="0"/>
      <w:divBdr>
        <w:top w:val="none" w:sz="0" w:space="0" w:color="auto"/>
        <w:left w:val="none" w:sz="0" w:space="0" w:color="auto"/>
        <w:bottom w:val="none" w:sz="0" w:space="0" w:color="auto"/>
        <w:right w:val="none" w:sz="0" w:space="0" w:color="auto"/>
      </w:divBdr>
    </w:div>
    <w:div w:id="890926238">
      <w:bodyDiv w:val="1"/>
      <w:marLeft w:val="0"/>
      <w:marRight w:val="0"/>
      <w:marTop w:val="0"/>
      <w:marBottom w:val="0"/>
      <w:divBdr>
        <w:top w:val="none" w:sz="0" w:space="0" w:color="auto"/>
        <w:left w:val="none" w:sz="0" w:space="0" w:color="auto"/>
        <w:bottom w:val="none" w:sz="0" w:space="0" w:color="auto"/>
        <w:right w:val="none" w:sz="0" w:space="0" w:color="auto"/>
      </w:divBdr>
    </w:div>
    <w:div w:id="1022441939">
      <w:bodyDiv w:val="1"/>
      <w:marLeft w:val="0"/>
      <w:marRight w:val="0"/>
      <w:marTop w:val="0"/>
      <w:marBottom w:val="0"/>
      <w:divBdr>
        <w:top w:val="none" w:sz="0" w:space="0" w:color="auto"/>
        <w:left w:val="none" w:sz="0" w:space="0" w:color="auto"/>
        <w:bottom w:val="none" w:sz="0" w:space="0" w:color="auto"/>
        <w:right w:val="none" w:sz="0" w:space="0" w:color="auto"/>
      </w:divBdr>
      <w:divsChild>
        <w:div w:id="451244498">
          <w:marLeft w:val="0"/>
          <w:marRight w:val="0"/>
          <w:marTop w:val="0"/>
          <w:marBottom w:val="0"/>
          <w:divBdr>
            <w:top w:val="none" w:sz="0" w:space="0" w:color="auto"/>
            <w:left w:val="none" w:sz="0" w:space="0" w:color="auto"/>
            <w:bottom w:val="none" w:sz="0" w:space="0" w:color="auto"/>
            <w:right w:val="none" w:sz="0" w:space="0" w:color="auto"/>
          </w:divBdr>
          <w:divsChild>
            <w:div w:id="753430224">
              <w:marLeft w:val="0"/>
              <w:marRight w:val="0"/>
              <w:marTop w:val="0"/>
              <w:marBottom w:val="0"/>
              <w:divBdr>
                <w:top w:val="none" w:sz="0" w:space="0" w:color="auto"/>
                <w:left w:val="none" w:sz="0" w:space="0" w:color="auto"/>
                <w:bottom w:val="none" w:sz="0" w:space="0" w:color="auto"/>
                <w:right w:val="none" w:sz="0" w:space="0" w:color="auto"/>
              </w:divBdr>
            </w:div>
            <w:div w:id="944113972">
              <w:marLeft w:val="421"/>
              <w:marRight w:val="0"/>
              <w:marTop w:val="0"/>
              <w:marBottom w:val="0"/>
              <w:divBdr>
                <w:top w:val="none" w:sz="0" w:space="0" w:color="auto"/>
                <w:left w:val="none" w:sz="0" w:space="0" w:color="auto"/>
                <w:bottom w:val="none" w:sz="0" w:space="0" w:color="auto"/>
                <w:right w:val="none" w:sz="0" w:space="0" w:color="auto"/>
              </w:divBdr>
            </w:div>
          </w:divsChild>
        </w:div>
        <w:div w:id="1872452512">
          <w:marLeft w:val="0"/>
          <w:marRight w:val="0"/>
          <w:marTop w:val="0"/>
          <w:marBottom w:val="0"/>
          <w:divBdr>
            <w:top w:val="none" w:sz="0" w:space="0" w:color="auto"/>
            <w:left w:val="none" w:sz="0" w:space="0" w:color="auto"/>
            <w:bottom w:val="none" w:sz="0" w:space="0" w:color="auto"/>
            <w:right w:val="none" w:sz="0" w:space="0" w:color="auto"/>
          </w:divBdr>
          <w:divsChild>
            <w:div w:id="866452403">
              <w:marLeft w:val="421"/>
              <w:marRight w:val="0"/>
              <w:marTop w:val="0"/>
              <w:marBottom w:val="0"/>
              <w:divBdr>
                <w:top w:val="none" w:sz="0" w:space="0" w:color="auto"/>
                <w:left w:val="none" w:sz="0" w:space="0" w:color="auto"/>
                <w:bottom w:val="none" w:sz="0" w:space="0" w:color="auto"/>
                <w:right w:val="none" w:sz="0" w:space="0" w:color="auto"/>
              </w:divBdr>
            </w:div>
          </w:divsChild>
        </w:div>
      </w:divsChild>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8333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1645</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10473</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SSA Response</cp:lastModifiedBy>
  <cp:revision>4</cp:revision>
  <dcterms:created xsi:type="dcterms:W3CDTF">2022-09-01T17:17:00Z</dcterms:created>
  <dcterms:modified xsi:type="dcterms:W3CDTF">2022-09-01T17:25:00Z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-1044832760</vt:i4>
  </property>
  <property fmtid="{D5CDD505-2E9C-101B-9397-08002B2CF9AE}" pid="3" name="_NewReviewCycle">
    <vt:lpwstr/>
  </property>
  <property fmtid="{D5CDD505-2E9C-101B-9397-08002B2CF9AE}" pid="4" name="_EmailSubject">
    <vt:lpwstr>0960-0472</vt:lpwstr>
  </property>
  <property fmtid="{D5CDD505-2E9C-101B-9397-08002B2CF9AE}" pid="5" name="_AuthorEmail">
    <vt:lpwstr>Tasha.Harley@ssa.gov</vt:lpwstr>
  </property>
  <property fmtid="{D5CDD505-2E9C-101B-9397-08002B2CF9AE}" pid="6" name="_AuthorEmailDisplayName">
    <vt:lpwstr>Harley, Tasha</vt:lpwstr>
  </property>
  <property fmtid="{D5CDD505-2E9C-101B-9397-08002B2CF9AE}" pid="7" name="_PreviousAdHocReviewCycleID">
    <vt:i4>1995902872</vt:i4>
  </property>
  <property fmtid="{D5CDD505-2E9C-101B-9397-08002B2CF9AE}" pid="8" name="_ReviewingToolsShownOnce">
    <vt:lpwstr/>
  </property>
</Properties>
</file>