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675C8" w:rsidP="00B2423D" w:rsidRDefault="000F10DD" w14:paraId="462F984F" w14:textId="77777777">
      <w:pPr>
        <w:jc w:val="center"/>
        <w:rPr>
          <w:rFonts w:ascii="Times New Roman" w:hAnsi="Times New Roman"/>
          <w:b/>
          <w:sz w:val="24"/>
          <w:szCs w:val="24"/>
        </w:rPr>
      </w:pPr>
      <w:r w:rsidRPr="00227D0B">
        <w:rPr>
          <w:rFonts w:ascii="Times New Roman" w:hAnsi="Times New Roman"/>
          <w:b/>
          <w:sz w:val="24"/>
          <w:szCs w:val="24"/>
        </w:rPr>
        <w:t>Supporting Statement for</w:t>
      </w:r>
      <w:r w:rsidRPr="00227D0B" w:rsidR="00B263D5">
        <w:rPr>
          <w:rFonts w:ascii="Times New Roman" w:hAnsi="Times New Roman"/>
          <w:b/>
          <w:sz w:val="24"/>
          <w:szCs w:val="24"/>
        </w:rPr>
        <w:t xml:space="preserve"> </w:t>
      </w:r>
      <w:r w:rsidR="001B477A">
        <w:rPr>
          <w:rFonts w:ascii="Times New Roman" w:hAnsi="Times New Roman"/>
          <w:b/>
          <w:sz w:val="24"/>
          <w:szCs w:val="24"/>
        </w:rPr>
        <w:t>Social Security Administration (</w:t>
      </w:r>
      <w:r w:rsidRPr="00227D0B" w:rsidR="00027EDB">
        <w:rPr>
          <w:rFonts w:ascii="Times New Roman" w:hAnsi="Times New Roman"/>
          <w:b/>
          <w:sz w:val="24"/>
          <w:szCs w:val="24"/>
        </w:rPr>
        <w:t>SSA</w:t>
      </w:r>
      <w:r w:rsidR="001B477A">
        <w:rPr>
          <w:rFonts w:ascii="Times New Roman" w:hAnsi="Times New Roman"/>
          <w:b/>
          <w:sz w:val="24"/>
          <w:szCs w:val="24"/>
        </w:rPr>
        <w:t>)</w:t>
      </w:r>
      <w:r w:rsidRPr="00227D0B" w:rsidR="00027EDB">
        <w:rPr>
          <w:rFonts w:ascii="Times New Roman" w:hAnsi="Times New Roman"/>
          <w:b/>
          <w:sz w:val="24"/>
          <w:szCs w:val="24"/>
        </w:rPr>
        <w:t xml:space="preserve"> </w:t>
      </w:r>
    </w:p>
    <w:p w:rsidR="004675C8" w:rsidP="00B2423D" w:rsidRDefault="004675C8" w14:paraId="34C14EAA" w14:textId="37F4D22B">
      <w:pPr>
        <w:jc w:val="center"/>
        <w:rPr>
          <w:rFonts w:ascii="Times New Roman" w:hAnsi="Times New Roman" w:eastAsia="SimSun"/>
          <w:b/>
          <w:sz w:val="24"/>
          <w:szCs w:val="24"/>
          <w:lang w:eastAsia="ar-SA"/>
        </w:rPr>
      </w:pPr>
      <w:r w:rsidRPr="004675C8">
        <w:rPr>
          <w:rFonts w:ascii="Times New Roman" w:hAnsi="Times New Roman" w:eastAsia="SimSun"/>
          <w:b/>
          <w:sz w:val="24"/>
          <w:szCs w:val="24"/>
          <w:lang w:eastAsia="ar-SA"/>
        </w:rPr>
        <w:t xml:space="preserve">COVID-19 Symptoms Screener for In-Person Hearings, and </w:t>
      </w:r>
    </w:p>
    <w:p w:rsidR="004675C8" w:rsidP="00B2423D" w:rsidRDefault="004675C8" w14:paraId="06835633" w14:textId="1A4A859F">
      <w:pPr>
        <w:jc w:val="center"/>
        <w:rPr>
          <w:rFonts w:ascii="Times New Roman" w:hAnsi="Times New Roman" w:eastAsia="SimSun"/>
          <w:b/>
          <w:bCs/>
          <w:sz w:val="24"/>
          <w:szCs w:val="24"/>
          <w:lang w:eastAsia="ar-SA"/>
        </w:rPr>
      </w:pPr>
      <w:r w:rsidRPr="004675C8">
        <w:rPr>
          <w:rFonts w:ascii="Times New Roman" w:hAnsi="Times New Roman" w:eastAsia="SimSun"/>
          <w:b/>
          <w:sz w:val="24"/>
          <w:szCs w:val="24"/>
          <w:lang w:eastAsia="ar-SA"/>
        </w:rPr>
        <w:t>VIPr Mobile Application and Telephone Screener</w:t>
      </w:r>
      <w:r w:rsidRPr="004675C8">
        <w:rPr>
          <w:rFonts w:ascii="Times New Roman" w:hAnsi="Times New Roman" w:eastAsia="SimSun"/>
          <w:b/>
          <w:bCs/>
          <w:sz w:val="24"/>
          <w:szCs w:val="24"/>
          <w:lang w:eastAsia="ar-SA"/>
        </w:rPr>
        <w:t xml:space="preserve"> for Office visits</w:t>
      </w:r>
    </w:p>
    <w:p w:rsidRPr="00B2423D" w:rsidR="008815C8" w:rsidP="004675C8" w:rsidRDefault="004675C8" w14:paraId="1D5A7ECD" w14:textId="148DE9B2">
      <w:pPr>
        <w:jc w:val="center"/>
        <w:rPr>
          <w:rFonts w:ascii="Times New Roman" w:hAnsi="Times New Roman"/>
          <w:b/>
          <w:bCs/>
          <w:iCs/>
          <w:sz w:val="24"/>
          <w:szCs w:val="24"/>
        </w:rPr>
      </w:pPr>
      <w:r w:rsidRPr="004675C8">
        <w:rPr>
          <w:rFonts w:ascii="Times New Roman" w:hAnsi="Times New Roman" w:eastAsia="SimSun"/>
          <w:b/>
          <w:bCs/>
          <w:sz w:val="24"/>
          <w:szCs w:val="24"/>
          <w:lang w:eastAsia="ar-SA"/>
        </w:rPr>
        <w:t>20 CFR 404.929, 404.933, 416.1429, 416.1433, 418.1350, 422.103-422.110, and 422.203</w:t>
      </w:r>
    </w:p>
    <w:p w:rsidRPr="00227D0B" w:rsidR="000F10DD" w:rsidP="00B2423D" w:rsidRDefault="000F10DD" w14:paraId="4138A4D4" w14:textId="5864D5A6">
      <w:pPr>
        <w:jc w:val="center"/>
        <w:rPr>
          <w:rFonts w:ascii="Times New Roman" w:hAnsi="Times New Roman"/>
          <w:b/>
          <w:sz w:val="24"/>
          <w:szCs w:val="24"/>
        </w:rPr>
      </w:pPr>
      <w:r w:rsidRPr="00227D0B">
        <w:rPr>
          <w:rFonts w:ascii="Times New Roman" w:hAnsi="Times New Roman"/>
          <w:b/>
          <w:sz w:val="24"/>
          <w:szCs w:val="24"/>
        </w:rPr>
        <w:t>OMB No.</w:t>
      </w:r>
      <w:r w:rsidRPr="00227D0B" w:rsidR="00184265">
        <w:rPr>
          <w:rFonts w:ascii="Times New Roman" w:hAnsi="Times New Roman"/>
          <w:b/>
          <w:sz w:val="24"/>
          <w:szCs w:val="24"/>
        </w:rPr>
        <w:t xml:space="preserve"> 0960-</w:t>
      </w:r>
      <w:r w:rsidR="0081561D">
        <w:rPr>
          <w:rFonts w:ascii="Times New Roman" w:hAnsi="Times New Roman"/>
          <w:b/>
          <w:sz w:val="24"/>
          <w:szCs w:val="24"/>
        </w:rPr>
        <w:t>0824</w:t>
      </w:r>
      <w:r w:rsidRPr="00227D0B">
        <w:rPr>
          <w:rFonts w:ascii="Times New Roman" w:hAnsi="Times New Roman"/>
          <w:b/>
          <w:sz w:val="24"/>
          <w:szCs w:val="24"/>
        </w:rPr>
        <w:t xml:space="preserve"> </w:t>
      </w:r>
    </w:p>
    <w:p w:rsidRPr="00227D0B" w:rsidR="000F10DD" w:rsidP="000F10DD" w:rsidRDefault="000F10DD" w14:paraId="7ABA605E" w14:textId="77777777">
      <w:pPr>
        <w:jc w:val="center"/>
        <w:rPr>
          <w:rFonts w:ascii="Times New Roman" w:hAnsi="Times New Roman"/>
          <w:b/>
          <w:sz w:val="24"/>
          <w:szCs w:val="24"/>
        </w:rPr>
      </w:pPr>
    </w:p>
    <w:p w:rsidRPr="00227D0B" w:rsidR="000F10DD" w:rsidP="004947A9" w:rsidRDefault="000F10DD" w14:paraId="5B0FF201" w14:textId="77777777">
      <w:pPr>
        <w:ind w:left="720" w:hanging="540"/>
        <w:rPr>
          <w:rFonts w:ascii="Times New Roman" w:hAnsi="Times New Roman"/>
          <w:b/>
          <w:sz w:val="24"/>
          <w:szCs w:val="24"/>
          <w:u w:val="single"/>
        </w:rPr>
      </w:pPr>
      <w:r w:rsidRPr="00227D0B">
        <w:rPr>
          <w:rFonts w:ascii="Times New Roman" w:hAnsi="Times New Roman"/>
          <w:b/>
          <w:sz w:val="24"/>
          <w:szCs w:val="24"/>
        </w:rPr>
        <w:t>A.</w:t>
      </w:r>
      <w:r w:rsidRPr="00227D0B">
        <w:rPr>
          <w:rFonts w:ascii="Times New Roman" w:hAnsi="Times New Roman"/>
          <w:b/>
          <w:sz w:val="24"/>
          <w:szCs w:val="24"/>
        </w:rPr>
        <w:tab/>
      </w:r>
      <w:r w:rsidRPr="00227D0B">
        <w:rPr>
          <w:rFonts w:ascii="Times New Roman" w:hAnsi="Times New Roman"/>
          <w:b/>
          <w:sz w:val="24"/>
          <w:szCs w:val="24"/>
          <w:u w:val="single"/>
        </w:rPr>
        <w:t>Justification</w:t>
      </w:r>
    </w:p>
    <w:p w:rsidRPr="00227D0B" w:rsidR="000F10DD" w:rsidP="000F10DD" w:rsidRDefault="000F10DD" w14:paraId="0DC3F3F2" w14:textId="77777777">
      <w:pPr>
        <w:rPr>
          <w:rFonts w:ascii="Times New Roman" w:hAnsi="Times New Roman"/>
          <w:sz w:val="24"/>
          <w:szCs w:val="24"/>
        </w:rPr>
      </w:pPr>
    </w:p>
    <w:p w:rsidRPr="00227D0B" w:rsidR="00B119E8" w:rsidP="004947A9" w:rsidRDefault="000F10DD" w14:paraId="31724DC0" w14:textId="4C6D49A8">
      <w:pPr>
        <w:ind w:left="1440" w:hanging="720"/>
        <w:rPr>
          <w:rFonts w:ascii="Times New Roman" w:hAnsi="Times New Roman"/>
          <w:b/>
          <w:sz w:val="24"/>
          <w:szCs w:val="24"/>
        </w:rPr>
      </w:pPr>
      <w:r w:rsidRPr="00227D0B">
        <w:rPr>
          <w:rFonts w:ascii="Times New Roman" w:hAnsi="Times New Roman"/>
          <w:b/>
          <w:sz w:val="24"/>
          <w:szCs w:val="24"/>
        </w:rPr>
        <w:t>1.</w:t>
      </w:r>
      <w:r w:rsidRPr="00227D0B">
        <w:rPr>
          <w:rFonts w:ascii="Times New Roman" w:hAnsi="Times New Roman"/>
          <w:b/>
          <w:sz w:val="24"/>
          <w:szCs w:val="24"/>
        </w:rPr>
        <w:tab/>
        <w:t>Introduction</w:t>
      </w:r>
      <w:r w:rsidRPr="00227D0B" w:rsidR="00572CEF">
        <w:rPr>
          <w:rFonts w:ascii="Times New Roman" w:hAnsi="Times New Roman"/>
          <w:b/>
          <w:sz w:val="24"/>
          <w:szCs w:val="24"/>
        </w:rPr>
        <w:t xml:space="preserve">/Overview and </w:t>
      </w:r>
      <w:r w:rsidRPr="00227D0B" w:rsidR="00B263D5">
        <w:rPr>
          <w:rFonts w:ascii="Times New Roman" w:hAnsi="Times New Roman"/>
          <w:b/>
          <w:sz w:val="24"/>
          <w:szCs w:val="24"/>
        </w:rPr>
        <w:t>Relevant</w:t>
      </w:r>
      <w:r w:rsidRPr="00227D0B">
        <w:rPr>
          <w:rFonts w:ascii="Times New Roman" w:hAnsi="Times New Roman"/>
          <w:b/>
          <w:sz w:val="24"/>
          <w:szCs w:val="24"/>
        </w:rPr>
        <w:t xml:space="preserve"> Laws and Regulations</w:t>
      </w:r>
    </w:p>
    <w:p w:rsidRPr="00227D0B" w:rsidR="00B263D5" w:rsidP="004947A9" w:rsidRDefault="00B263D5" w14:paraId="773020AA" w14:textId="07D245DC">
      <w:pPr>
        <w:autoSpaceDE w:val="0"/>
        <w:autoSpaceDN w:val="0"/>
        <w:adjustRightInd w:val="0"/>
        <w:ind w:left="1440"/>
      </w:pPr>
      <w:r w:rsidRPr="00227D0B">
        <w:rPr>
          <w:rFonts w:ascii="Times New Roman" w:hAnsi="Times New Roman"/>
          <w:sz w:val="24"/>
          <w:szCs w:val="24"/>
        </w:rPr>
        <w:t xml:space="preserve">The Occupational Safety and Health Administration’s (OSHA) </w:t>
      </w:r>
      <w:r w:rsidRPr="00227D0B">
        <w:rPr>
          <w:rFonts w:ascii="Times New Roman" w:hAnsi="Times New Roman"/>
          <w:i/>
          <w:iCs/>
          <w:sz w:val="24"/>
          <w:szCs w:val="24"/>
        </w:rPr>
        <w:t xml:space="preserve">OSHA </w:t>
      </w:r>
      <w:r w:rsidR="00316835">
        <w:rPr>
          <w:rFonts w:ascii="Times New Roman" w:hAnsi="Times New Roman"/>
          <w:i/>
          <w:iCs/>
          <w:sz w:val="24"/>
          <w:szCs w:val="24"/>
        </w:rPr>
        <w:t>Act</w:t>
      </w:r>
      <w:r w:rsidRPr="00227D0B">
        <w:rPr>
          <w:rFonts w:ascii="Times New Roman" w:hAnsi="Times New Roman"/>
          <w:sz w:val="24"/>
          <w:szCs w:val="24"/>
        </w:rPr>
        <w:t xml:space="preserve"> is guiding this temporary, emergency measure</w:t>
      </w:r>
      <w:r w:rsidR="00440B5B">
        <w:rPr>
          <w:rFonts w:ascii="Times New Roman" w:hAnsi="Times New Roman"/>
          <w:sz w:val="24"/>
          <w:szCs w:val="24"/>
        </w:rPr>
        <w:t xml:space="preserve"> to conduct symptom screeners for visitors to hearings and field offices</w:t>
      </w:r>
      <w:r w:rsidRPr="00227D0B">
        <w:rPr>
          <w:rFonts w:ascii="Times New Roman" w:hAnsi="Times New Roman"/>
          <w:sz w:val="24"/>
          <w:szCs w:val="24"/>
        </w:rPr>
        <w:t xml:space="preserve">.  This OSHA </w:t>
      </w:r>
      <w:r w:rsidR="00C85D2E">
        <w:rPr>
          <w:rFonts w:ascii="Times New Roman" w:hAnsi="Times New Roman"/>
          <w:sz w:val="24"/>
          <w:szCs w:val="24"/>
        </w:rPr>
        <w:t>statute</w:t>
      </w:r>
      <w:r w:rsidRPr="00227D0B">
        <w:rPr>
          <w:rFonts w:ascii="Times New Roman" w:hAnsi="Times New Roman"/>
          <w:sz w:val="24"/>
          <w:szCs w:val="24"/>
        </w:rPr>
        <w:t xml:space="preserve"> requires employers to </w:t>
      </w:r>
      <w:r w:rsidR="00BC6619">
        <w:rPr>
          <w:rFonts w:ascii="Times New Roman" w:hAnsi="Times New Roman"/>
          <w:sz w:val="24"/>
          <w:szCs w:val="24"/>
        </w:rPr>
        <w:t xml:space="preserve">establish and maintain an effective and </w:t>
      </w:r>
      <w:r w:rsidRPr="00BF200D" w:rsidR="00BC6619">
        <w:rPr>
          <w:rFonts w:ascii="Times New Roman" w:hAnsi="Times New Roman"/>
          <w:sz w:val="24"/>
          <w:szCs w:val="24"/>
        </w:rPr>
        <w:t>comprehensive occupational and safety health program, “</w:t>
      </w:r>
      <w:r w:rsidRPr="00BF200D">
        <w:rPr>
          <w:rFonts w:ascii="Times New Roman" w:hAnsi="Times New Roman"/>
          <w:sz w:val="24"/>
          <w:szCs w:val="24"/>
        </w:rPr>
        <w:t>including (1) acquir[ing], maintain[ing], and requir[ing] the use of […]devices reasonably necessary to protect employees.”</w:t>
      </w:r>
      <w:r w:rsidRPr="00BF200D" w:rsidR="00BF200D">
        <w:rPr>
          <w:rFonts w:ascii="Times New Roman" w:hAnsi="Times New Roman"/>
          <w:sz w:val="24"/>
          <w:szCs w:val="24"/>
        </w:rPr>
        <w:t xml:space="preserve">  </w:t>
      </w:r>
      <w:r w:rsidRPr="00BF200D" w:rsidR="008815C8">
        <w:rPr>
          <w:rFonts w:ascii="Times New Roman" w:hAnsi="Times New Roman"/>
          <w:sz w:val="24"/>
          <w:szCs w:val="24"/>
        </w:rPr>
        <w:t xml:space="preserve">The </w:t>
      </w:r>
      <w:r w:rsidRPr="00BF200D" w:rsidR="008815C8">
        <w:rPr>
          <w:rFonts w:ascii="Times New Roman" w:hAnsi="Times New Roman"/>
          <w:i/>
          <w:sz w:val="24"/>
          <w:szCs w:val="24"/>
        </w:rPr>
        <w:t xml:space="preserve">Social Security Act (Act) </w:t>
      </w:r>
      <w:r w:rsidRPr="00BF200D" w:rsidR="008815C8">
        <w:rPr>
          <w:rFonts w:ascii="Times New Roman" w:hAnsi="Times New Roman"/>
          <w:sz w:val="24"/>
          <w:szCs w:val="24"/>
        </w:rPr>
        <w:t>at Sections</w:t>
      </w:r>
      <w:r w:rsidRPr="00BF200D" w:rsidR="008815C8">
        <w:rPr>
          <w:rFonts w:ascii="Times New Roman" w:hAnsi="Times New Roman"/>
          <w:i/>
          <w:sz w:val="24"/>
          <w:szCs w:val="24"/>
        </w:rPr>
        <w:t xml:space="preserve"> 205(b), 1155, 1631(c), </w:t>
      </w:r>
      <w:r w:rsidRPr="00BF200D" w:rsidR="008815C8">
        <w:rPr>
          <w:rFonts w:ascii="Times New Roman" w:hAnsi="Times New Roman"/>
          <w:sz w:val="24"/>
          <w:szCs w:val="24"/>
        </w:rPr>
        <w:t>and</w:t>
      </w:r>
      <w:r w:rsidRPr="00BF200D" w:rsidR="008815C8">
        <w:rPr>
          <w:rFonts w:ascii="Times New Roman" w:hAnsi="Times New Roman"/>
          <w:i/>
          <w:sz w:val="24"/>
          <w:szCs w:val="24"/>
        </w:rPr>
        <w:t xml:space="preserve"> 1869, </w:t>
      </w:r>
      <w:r w:rsidRPr="00BF200D" w:rsidR="008815C8">
        <w:rPr>
          <w:rFonts w:ascii="Times New Roman" w:hAnsi="Times New Roman"/>
          <w:iCs/>
          <w:sz w:val="24"/>
          <w:szCs w:val="24"/>
        </w:rPr>
        <w:t xml:space="preserve">with implementing regulations at </w:t>
      </w:r>
      <w:r w:rsidRPr="00BF200D" w:rsidR="008815C8">
        <w:rPr>
          <w:rFonts w:ascii="Times New Roman" w:hAnsi="Times New Roman"/>
          <w:i/>
          <w:sz w:val="24"/>
          <w:szCs w:val="24"/>
        </w:rPr>
        <w:t>20 CFR 404.929, 404.933</w:t>
      </w:r>
      <w:r w:rsidRPr="00BF200D" w:rsidR="008815C8">
        <w:rPr>
          <w:rFonts w:ascii="Times New Roman" w:hAnsi="Times New Roman"/>
          <w:sz w:val="24"/>
          <w:szCs w:val="24"/>
        </w:rPr>
        <w:t xml:space="preserve">, </w:t>
      </w:r>
      <w:r w:rsidRPr="00BF200D" w:rsidR="008815C8">
        <w:rPr>
          <w:rFonts w:ascii="Times New Roman" w:hAnsi="Times New Roman"/>
          <w:i/>
          <w:sz w:val="24"/>
          <w:szCs w:val="24"/>
        </w:rPr>
        <w:t>416.1429</w:t>
      </w:r>
      <w:r w:rsidRPr="00BF200D" w:rsidR="008815C8">
        <w:rPr>
          <w:rFonts w:ascii="Times New Roman" w:hAnsi="Times New Roman"/>
          <w:sz w:val="24"/>
          <w:szCs w:val="24"/>
        </w:rPr>
        <w:t xml:space="preserve">, </w:t>
      </w:r>
      <w:r w:rsidRPr="00BF200D" w:rsidR="008815C8">
        <w:rPr>
          <w:rFonts w:ascii="Times New Roman" w:hAnsi="Times New Roman"/>
          <w:i/>
          <w:sz w:val="24"/>
          <w:szCs w:val="24"/>
        </w:rPr>
        <w:t>416.1433</w:t>
      </w:r>
      <w:r w:rsidRPr="00BF200D" w:rsidR="008815C8">
        <w:rPr>
          <w:rFonts w:ascii="Times New Roman" w:hAnsi="Times New Roman"/>
          <w:sz w:val="24"/>
          <w:szCs w:val="24"/>
        </w:rPr>
        <w:t xml:space="preserve">, </w:t>
      </w:r>
      <w:r w:rsidRPr="00BF200D" w:rsidR="008815C8">
        <w:rPr>
          <w:rFonts w:ascii="Times New Roman" w:hAnsi="Times New Roman"/>
          <w:i/>
          <w:sz w:val="24"/>
          <w:szCs w:val="24"/>
        </w:rPr>
        <w:t xml:space="preserve">418.1350, </w:t>
      </w:r>
      <w:r w:rsidRPr="00BF200D" w:rsidR="008815C8">
        <w:rPr>
          <w:rFonts w:ascii="Times New Roman" w:hAnsi="Times New Roman"/>
          <w:sz w:val="24"/>
          <w:szCs w:val="24"/>
        </w:rPr>
        <w:t>and</w:t>
      </w:r>
      <w:r w:rsidRPr="00BF200D" w:rsidR="008815C8">
        <w:rPr>
          <w:rFonts w:ascii="Times New Roman" w:hAnsi="Times New Roman"/>
          <w:i/>
          <w:sz w:val="24"/>
          <w:szCs w:val="24"/>
        </w:rPr>
        <w:t xml:space="preserve"> 422.203</w:t>
      </w:r>
      <w:r w:rsidRPr="00BF200D" w:rsidR="008815C8">
        <w:rPr>
          <w:rFonts w:ascii="Times New Roman" w:hAnsi="Times New Roman"/>
          <w:sz w:val="24"/>
          <w:szCs w:val="24"/>
        </w:rPr>
        <w:t xml:space="preserve"> of the </w:t>
      </w:r>
      <w:r w:rsidRPr="00BF200D" w:rsidR="008815C8">
        <w:rPr>
          <w:rFonts w:ascii="Times New Roman" w:hAnsi="Times New Roman"/>
          <w:i/>
          <w:sz w:val="24"/>
          <w:szCs w:val="24"/>
        </w:rPr>
        <w:t xml:space="preserve">Code of Federal Regulations (Code), </w:t>
      </w:r>
      <w:r w:rsidRPr="00BF200D" w:rsidR="008815C8">
        <w:rPr>
          <w:rFonts w:ascii="Times New Roman" w:hAnsi="Times New Roman"/>
          <w:iCs/>
          <w:sz w:val="24"/>
          <w:szCs w:val="24"/>
        </w:rPr>
        <w:t>entitles and prescribes procedures for claimant</w:t>
      </w:r>
      <w:r w:rsidRPr="00BF200D" w:rsidR="00316835">
        <w:rPr>
          <w:rFonts w:ascii="Times New Roman" w:hAnsi="Times New Roman"/>
          <w:iCs/>
          <w:sz w:val="24"/>
          <w:szCs w:val="24"/>
        </w:rPr>
        <w:t>s</w:t>
      </w:r>
      <w:r w:rsidRPr="00BF200D" w:rsidR="008815C8">
        <w:rPr>
          <w:rFonts w:ascii="Times New Roman" w:hAnsi="Times New Roman"/>
          <w:iCs/>
          <w:sz w:val="24"/>
          <w:szCs w:val="24"/>
        </w:rPr>
        <w:t xml:space="preserve"> (or their </w:t>
      </w:r>
      <w:r w:rsidRPr="00BF200D" w:rsidR="00647079">
        <w:rPr>
          <w:rFonts w:ascii="Times New Roman" w:hAnsi="Times New Roman"/>
          <w:iCs/>
          <w:sz w:val="24"/>
          <w:szCs w:val="24"/>
        </w:rPr>
        <w:t xml:space="preserve">appointed </w:t>
      </w:r>
      <w:r w:rsidRPr="00BF200D" w:rsidR="008815C8">
        <w:rPr>
          <w:rFonts w:ascii="Times New Roman" w:hAnsi="Times New Roman"/>
          <w:iCs/>
          <w:sz w:val="24"/>
          <w:szCs w:val="24"/>
        </w:rPr>
        <w:t>representative) to re</w:t>
      </w:r>
      <w:r w:rsidRPr="00BF200D">
        <w:rPr>
          <w:rFonts w:ascii="Times New Roman" w:hAnsi="Times New Roman"/>
          <w:sz w:val="24"/>
          <w:szCs w:val="24"/>
        </w:rPr>
        <w:t xml:space="preserve">quest a hearing before an Administrative Law Judge to appeal a </w:t>
      </w:r>
      <w:r w:rsidRPr="00BF200D" w:rsidR="00756BDF">
        <w:rPr>
          <w:rFonts w:ascii="Times New Roman" w:hAnsi="Times New Roman"/>
          <w:sz w:val="24"/>
          <w:szCs w:val="24"/>
        </w:rPr>
        <w:t>decision</w:t>
      </w:r>
      <w:r w:rsidRPr="00BF200D">
        <w:rPr>
          <w:rFonts w:ascii="Times New Roman" w:hAnsi="Times New Roman"/>
          <w:sz w:val="24"/>
          <w:szCs w:val="24"/>
        </w:rPr>
        <w:t>.</w:t>
      </w:r>
    </w:p>
    <w:p w:rsidRPr="00227D0B" w:rsidR="00BC6619" w:rsidP="004947A9" w:rsidRDefault="00BC6619" w14:paraId="7C07DFD2" w14:textId="77777777">
      <w:pPr>
        <w:autoSpaceDE w:val="0"/>
        <w:autoSpaceDN w:val="0"/>
        <w:adjustRightInd w:val="0"/>
        <w:ind w:left="1440"/>
        <w:rPr>
          <w:rFonts w:ascii="Times New Roman" w:hAnsi="Times New Roman"/>
          <w:sz w:val="24"/>
          <w:szCs w:val="24"/>
        </w:rPr>
      </w:pPr>
    </w:p>
    <w:p w:rsidRPr="00227D0B" w:rsidR="00915D4B" w:rsidP="004947A9" w:rsidRDefault="00B119E8" w14:paraId="7B1DA0D8" w14:textId="77777777">
      <w:pPr>
        <w:autoSpaceDE w:val="0"/>
        <w:autoSpaceDN w:val="0"/>
        <w:adjustRightInd w:val="0"/>
        <w:ind w:left="1440" w:hanging="720"/>
        <w:rPr>
          <w:rFonts w:ascii="Times New Roman" w:hAnsi="Times New Roman"/>
          <w:b/>
          <w:sz w:val="24"/>
          <w:szCs w:val="24"/>
        </w:rPr>
      </w:pPr>
      <w:r w:rsidRPr="00227D0B">
        <w:rPr>
          <w:rFonts w:ascii="Times New Roman" w:hAnsi="Times New Roman"/>
          <w:b/>
          <w:sz w:val="24"/>
          <w:szCs w:val="24"/>
        </w:rPr>
        <w:t>2.</w:t>
      </w:r>
      <w:r w:rsidRPr="00227D0B">
        <w:rPr>
          <w:rFonts w:ascii="Times New Roman" w:hAnsi="Times New Roman"/>
          <w:b/>
          <w:sz w:val="24"/>
          <w:szCs w:val="24"/>
        </w:rPr>
        <w:tab/>
      </w:r>
      <w:r w:rsidRPr="00227D0B" w:rsidR="002845D8">
        <w:rPr>
          <w:rFonts w:ascii="Times New Roman" w:hAnsi="Times New Roman"/>
          <w:b/>
          <w:sz w:val="24"/>
          <w:szCs w:val="24"/>
        </w:rPr>
        <w:t>Description of Collection</w:t>
      </w:r>
    </w:p>
    <w:p w:rsidRPr="00E64BB2" w:rsidR="008815C8" w:rsidP="004947A9" w:rsidRDefault="008815C8" w14:paraId="495D25B8" w14:textId="77777777">
      <w:pPr>
        <w:pStyle w:val="Heading1"/>
        <w:spacing w:before="0" w:after="0"/>
        <w:ind w:left="1440"/>
        <w:rPr>
          <w:rFonts w:ascii="Times New Roman" w:hAnsi="Times New Roman"/>
          <w:b w:val="0"/>
          <w:sz w:val="24"/>
          <w:szCs w:val="24"/>
        </w:rPr>
      </w:pPr>
      <w:r w:rsidRPr="00E64BB2">
        <w:rPr>
          <w:rFonts w:ascii="Times New Roman" w:hAnsi="Times New Roman"/>
          <w:sz w:val="24"/>
          <w:szCs w:val="24"/>
        </w:rPr>
        <w:t>Background</w:t>
      </w:r>
    </w:p>
    <w:p w:rsidR="00E64BB2" w:rsidP="004947A9" w:rsidRDefault="00E64BB2" w14:paraId="0BF4969C" w14:textId="77777777">
      <w:pPr>
        <w:suppressAutoHyphens/>
        <w:autoSpaceDE w:val="0"/>
        <w:autoSpaceDN w:val="0"/>
        <w:adjustRightInd w:val="0"/>
        <w:ind w:left="1440"/>
        <w:rPr>
          <w:rFonts w:ascii="Times New Roman" w:hAnsi="Times New Roman" w:eastAsia="SimSun"/>
          <w:sz w:val="24"/>
          <w:szCs w:val="24"/>
          <w:lang w:eastAsia="ar-SA"/>
        </w:rPr>
      </w:pPr>
      <w:r w:rsidRPr="00E64BB2">
        <w:rPr>
          <w:rFonts w:ascii="Times New Roman" w:hAnsi="Times New Roman" w:eastAsia="SimSun"/>
          <w:sz w:val="24"/>
          <w:szCs w:val="24"/>
          <w:lang w:eastAsia="ar-SA"/>
        </w:rPr>
        <w:t xml:space="preserve">During the recent COVID-19 pandemic, SSA conducted its services almost exclusively online or by telephone, to protect the health of both the public and our employees.  We took these measures in accordance with relevant Centers for Disease Control COVID-19 pandemic guidance, and to comply with existing Occupational Safety and Health Act provisions regarding workplace safety. </w:t>
      </w:r>
    </w:p>
    <w:p w:rsidRPr="00E64BB2" w:rsidR="00E64BB2" w:rsidP="004947A9" w:rsidRDefault="00E64BB2" w14:paraId="59E1DBB9" w14:textId="3D0535FA">
      <w:pPr>
        <w:suppressAutoHyphens/>
        <w:autoSpaceDE w:val="0"/>
        <w:autoSpaceDN w:val="0"/>
        <w:adjustRightInd w:val="0"/>
        <w:ind w:left="1440"/>
        <w:rPr>
          <w:rFonts w:ascii="Times New Roman" w:hAnsi="Times New Roman" w:eastAsia="SimSun"/>
          <w:sz w:val="24"/>
          <w:szCs w:val="24"/>
          <w:lang w:eastAsia="ar-SA"/>
        </w:rPr>
      </w:pPr>
      <w:r w:rsidRPr="00E64BB2">
        <w:rPr>
          <w:rFonts w:ascii="Times New Roman" w:hAnsi="Times New Roman" w:eastAsia="SimSun"/>
          <w:sz w:val="24"/>
          <w:szCs w:val="24"/>
          <w:lang w:eastAsia="ar-SA"/>
        </w:rPr>
        <w:t xml:space="preserve"> </w:t>
      </w:r>
    </w:p>
    <w:p w:rsidRPr="00227D0B" w:rsidR="00993BAA" w:rsidP="004947A9" w:rsidRDefault="00E64BB2" w14:paraId="61CD3A35" w14:textId="20D2A1C0">
      <w:pPr>
        <w:ind w:left="1440"/>
        <w:rPr>
          <w:rFonts w:ascii="Times New Roman" w:hAnsi="Times New Roman"/>
          <w:sz w:val="24"/>
          <w:szCs w:val="24"/>
        </w:rPr>
      </w:pPr>
      <w:r w:rsidRPr="00E64BB2">
        <w:rPr>
          <w:rFonts w:ascii="Times New Roman" w:hAnsi="Times New Roman" w:eastAsia="SimSun"/>
          <w:sz w:val="24"/>
          <w:szCs w:val="24"/>
          <w:lang w:eastAsia="ar-SA"/>
        </w:rPr>
        <w:t xml:space="preserve">We have resumed in-person hearings, as well as </w:t>
      </w:r>
      <w:r w:rsidRPr="00E64BB2">
        <w:rPr>
          <w:rFonts w:ascii="Times New Roman" w:hAnsi="Times New Roman" w:eastAsia="Times New Roman"/>
          <w:snapToGrid w:val="0"/>
          <w:sz w:val="24"/>
          <w:szCs w:val="24"/>
          <w:lang w:eastAsia="ar-SA"/>
        </w:rPr>
        <w:t>in-person field office visits.  We use the current CDC</w:t>
      </w:r>
      <w:r w:rsidRPr="00E64BB2">
        <w:rPr>
          <w:rFonts w:ascii="Times New Roman" w:hAnsi="Times New Roman" w:eastAsia="Times New Roman"/>
          <w:snapToGrid w:val="0"/>
          <w:sz w:val="24"/>
          <w:szCs w:val="24"/>
          <w:lang w:eastAsia="ar-SA"/>
        </w:rPr>
        <w:noBreakHyphen/>
        <w:t xml:space="preserve">suggested COVID-19 screening symptoms questionnaire for people coming in for in-person visits.  The questionnaire for in-office visits is available via telephone, SSA mobile application (VIPr App), or kiosk.  We require satisfactory answers to the screening questions, i.e., demonstrating that field office visitors </w:t>
      </w:r>
      <w:r w:rsidR="00440B5B">
        <w:rPr>
          <w:rFonts w:ascii="Times New Roman" w:hAnsi="Times New Roman" w:eastAsia="Times New Roman"/>
          <w:snapToGrid w:val="0"/>
          <w:sz w:val="24"/>
          <w:szCs w:val="24"/>
          <w:lang w:eastAsia="ar-SA"/>
        </w:rPr>
        <w:t>do</w:t>
      </w:r>
      <w:r w:rsidRPr="00E64BB2" w:rsidR="00440B5B">
        <w:rPr>
          <w:rFonts w:ascii="Times New Roman" w:hAnsi="Times New Roman" w:eastAsia="Times New Roman"/>
          <w:snapToGrid w:val="0"/>
          <w:sz w:val="24"/>
          <w:szCs w:val="24"/>
          <w:lang w:eastAsia="ar-SA"/>
        </w:rPr>
        <w:t xml:space="preserve"> </w:t>
      </w:r>
      <w:r w:rsidRPr="00E64BB2">
        <w:rPr>
          <w:rFonts w:ascii="Times New Roman" w:hAnsi="Times New Roman" w:eastAsia="Times New Roman"/>
          <w:snapToGrid w:val="0"/>
          <w:sz w:val="24"/>
          <w:szCs w:val="24"/>
          <w:lang w:eastAsia="ar-SA"/>
        </w:rPr>
        <w:t>not demonstrate symptoms of COVID</w:t>
      </w:r>
      <w:r w:rsidRPr="00E64BB2">
        <w:rPr>
          <w:rFonts w:ascii="Times New Roman" w:hAnsi="Times New Roman" w:eastAsia="Times New Roman"/>
          <w:snapToGrid w:val="0"/>
          <w:sz w:val="24"/>
          <w:szCs w:val="24"/>
          <w:lang w:eastAsia="ar-SA"/>
        </w:rPr>
        <w:noBreakHyphen/>
        <w:t xml:space="preserve">19 and </w:t>
      </w:r>
      <w:r w:rsidR="00440B5B">
        <w:rPr>
          <w:rFonts w:ascii="Times New Roman" w:hAnsi="Times New Roman" w:eastAsia="Times New Roman"/>
          <w:snapToGrid w:val="0"/>
          <w:sz w:val="24"/>
          <w:szCs w:val="24"/>
          <w:lang w:eastAsia="ar-SA"/>
        </w:rPr>
        <w:t>have</w:t>
      </w:r>
      <w:r w:rsidRPr="00E64BB2" w:rsidR="00440B5B">
        <w:rPr>
          <w:rFonts w:ascii="Times New Roman" w:hAnsi="Times New Roman" w:eastAsia="Times New Roman"/>
          <w:snapToGrid w:val="0"/>
          <w:sz w:val="24"/>
          <w:szCs w:val="24"/>
          <w:lang w:eastAsia="ar-SA"/>
        </w:rPr>
        <w:t xml:space="preserve"> </w:t>
      </w:r>
      <w:r w:rsidRPr="00E64BB2">
        <w:rPr>
          <w:rFonts w:ascii="Times New Roman" w:hAnsi="Times New Roman" w:eastAsia="Times New Roman"/>
          <w:snapToGrid w:val="0"/>
          <w:sz w:val="24"/>
          <w:szCs w:val="24"/>
          <w:lang w:eastAsia="ar-SA"/>
        </w:rPr>
        <w:t>not been exposed to someone with COVID-19, for the appointment to proceed.  If the individuals answer yes to any of the COVID</w:t>
      </w:r>
      <w:r w:rsidR="008D3BB6">
        <w:rPr>
          <w:rFonts w:ascii="Times New Roman" w:hAnsi="Times New Roman" w:eastAsia="Times New Roman"/>
          <w:snapToGrid w:val="0"/>
          <w:sz w:val="24"/>
          <w:szCs w:val="24"/>
          <w:lang w:eastAsia="ar-SA"/>
        </w:rPr>
        <w:t>-19</w:t>
      </w:r>
      <w:r w:rsidRPr="00E64BB2">
        <w:rPr>
          <w:rFonts w:ascii="Times New Roman" w:hAnsi="Times New Roman" w:eastAsia="Times New Roman"/>
          <w:snapToGrid w:val="0"/>
          <w:sz w:val="24"/>
          <w:szCs w:val="24"/>
          <w:lang w:eastAsia="ar-SA"/>
        </w:rPr>
        <w:t xml:space="preserve"> screening questions, we offer them the option of completing their interview via video teleconferencing or using our online options, or we offer to reschedule their in-person interview for a later date</w:t>
      </w:r>
      <w:r w:rsidRPr="00227D0B" w:rsidR="00993BAA">
        <w:rPr>
          <w:rFonts w:ascii="Times New Roman" w:hAnsi="Times New Roman"/>
          <w:sz w:val="24"/>
          <w:szCs w:val="24"/>
        </w:rPr>
        <w:t xml:space="preserve">.  </w:t>
      </w:r>
    </w:p>
    <w:p w:rsidRPr="00227D0B" w:rsidR="00B263D5" w:rsidP="004947A9" w:rsidRDefault="00B263D5" w14:paraId="39A6FDA3" w14:textId="77777777">
      <w:pPr>
        <w:autoSpaceDE w:val="0"/>
        <w:autoSpaceDN w:val="0"/>
        <w:adjustRightInd w:val="0"/>
        <w:ind w:left="1440"/>
        <w:rPr>
          <w:rFonts w:ascii="Times New Roman" w:hAnsi="Times New Roman"/>
          <w:sz w:val="24"/>
          <w:szCs w:val="24"/>
        </w:rPr>
      </w:pPr>
    </w:p>
    <w:p w:rsidRPr="00E64BB2" w:rsidR="00993BAA" w:rsidP="004947A9" w:rsidRDefault="00993BAA" w14:paraId="3D3821CB" w14:textId="18AB7420">
      <w:pPr>
        <w:ind w:left="1440"/>
        <w:rPr>
          <w:rFonts w:ascii="Times New Roman" w:hAnsi="Times New Roman"/>
          <w:b/>
          <w:bCs/>
          <w:sz w:val="24"/>
          <w:szCs w:val="24"/>
        </w:rPr>
      </w:pPr>
      <w:r w:rsidRPr="00E64BB2">
        <w:rPr>
          <w:rFonts w:ascii="Times New Roman" w:hAnsi="Times New Roman"/>
          <w:b/>
          <w:bCs/>
          <w:sz w:val="24"/>
          <w:szCs w:val="24"/>
        </w:rPr>
        <w:t>Information Collection Tool</w:t>
      </w:r>
    </w:p>
    <w:p w:rsidR="00E64BB2" w:rsidP="004947A9" w:rsidRDefault="00E64BB2" w14:paraId="01195596" w14:textId="4AF9415B">
      <w:pPr>
        <w:suppressAutoHyphens/>
        <w:ind w:left="1440"/>
        <w:rPr>
          <w:rFonts w:ascii="Times New Roman" w:hAnsi="Times New Roman" w:eastAsia="SimSun"/>
          <w:sz w:val="24"/>
          <w:szCs w:val="24"/>
          <w:lang w:eastAsia="ar-SA"/>
        </w:rPr>
      </w:pPr>
      <w:r w:rsidRPr="00E64BB2">
        <w:rPr>
          <w:rFonts w:ascii="Times New Roman" w:hAnsi="Times New Roman" w:eastAsia="SimSun"/>
          <w:sz w:val="24"/>
          <w:szCs w:val="24"/>
          <w:lang w:eastAsia="ar-SA"/>
        </w:rPr>
        <w:t>Because of COVID-19 health and safety considerations, we plan to continue requiring all members of the public entering an SSA field office for a visit, or a hearing office to participate in an in</w:t>
      </w:r>
      <w:r w:rsidRPr="00E64BB2">
        <w:rPr>
          <w:rFonts w:ascii="Times New Roman" w:hAnsi="Times New Roman" w:eastAsia="SimSun"/>
          <w:sz w:val="24"/>
          <w:szCs w:val="24"/>
          <w:lang w:eastAsia="ar-SA"/>
        </w:rPr>
        <w:noBreakHyphen/>
        <w:t>person hearing, to complete a brief screener questionnaire designed to identify COVID-19 symptoms.</w:t>
      </w:r>
    </w:p>
    <w:p w:rsidRPr="00E64BB2" w:rsidR="00E64BB2" w:rsidP="004947A9" w:rsidRDefault="00E64BB2" w14:paraId="574D2058" w14:textId="77777777">
      <w:pPr>
        <w:suppressAutoHyphens/>
        <w:ind w:left="1440"/>
        <w:rPr>
          <w:rFonts w:ascii="Times New Roman" w:hAnsi="Times New Roman" w:eastAsia="SimSun"/>
          <w:sz w:val="24"/>
          <w:szCs w:val="24"/>
          <w:lang w:eastAsia="ar-SA"/>
        </w:rPr>
      </w:pPr>
    </w:p>
    <w:p w:rsidR="00E64BB2" w:rsidP="004947A9" w:rsidRDefault="00E64BB2" w14:paraId="43F5120A" w14:textId="5D7E42E5">
      <w:pPr>
        <w:suppressAutoHyphens/>
        <w:ind w:left="1440"/>
        <w:rPr>
          <w:rFonts w:ascii="Times New Roman" w:hAnsi="Times New Roman" w:eastAsia="SimSun"/>
          <w:sz w:val="24"/>
          <w:szCs w:val="24"/>
          <w:lang w:eastAsia="ar-SA"/>
        </w:rPr>
      </w:pPr>
      <w:r w:rsidRPr="00E64BB2">
        <w:rPr>
          <w:rFonts w:ascii="Times New Roman" w:hAnsi="Times New Roman" w:eastAsia="SimSun"/>
          <w:sz w:val="24"/>
          <w:szCs w:val="24"/>
          <w:lang w:eastAsia="ar-SA"/>
        </w:rPr>
        <w:t>For individuals visiting a hearings office, we provide a link to the screener questionnaire in the mailed notice of scheduled hearings.  People participating in a hearing can complete and submit the questionnaire online within 24 hours before the start of the hearing.  If hearings participants do not wish to use the Internet, they can call the hearings office where the hearing is scheduled and complete the questionnaire over the phone.</w:t>
      </w:r>
    </w:p>
    <w:p w:rsidRPr="00E64BB2" w:rsidR="00D935C1" w:rsidP="004947A9" w:rsidRDefault="00D935C1" w14:paraId="4FD93A3C" w14:textId="77777777">
      <w:pPr>
        <w:suppressAutoHyphens/>
        <w:ind w:left="1440"/>
        <w:rPr>
          <w:rFonts w:ascii="Times New Roman" w:hAnsi="Times New Roman" w:eastAsia="SimSun"/>
          <w:sz w:val="24"/>
          <w:szCs w:val="24"/>
          <w:lang w:eastAsia="ar-SA"/>
        </w:rPr>
      </w:pPr>
    </w:p>
    <w:p w:rsidR="00E64BB2" w:rsidP="004947A9" w:rsidRDefault="00E64BB2" w14:paraId="41905AF7" w14:textId="275D34BB">
      <w:pPr>
        <w:suppressAutoHyphens/>
        <w:ind w:left="1440"/>
        <w:rPr>
          <w:rFonts w:ascii="Times New Roman" w:hAnsi="Times New Roman" w:eastAsia="SimSun"/>
          <w:sz w:val="24"/>
          <w:szCs w:val="24"/>
          <w:lang w:eastAsia="ar-SA"/>
        </w:rPr>
      </w:pPr>
      <w:r w:rsidRPr="00E64BB2">
        <w:rPr>
          <w:rFonts w:ascii="Times New Roman" w:hAnsi="Times New Roman" w:eastAsia="SimSun"/>
          <w:sz w:val="24"/>
          <w:szCs w:val="24"/>
          <w:lang w:eastAsia="ar-SA"/>
        </w:rPr>
        <w:t>Similarly, we will give field office visitors the option of completing the screener questionnaire either via telephone or through SSA’s mobile application, VIPr, prior to entering the building.  As part of our pre</w:t>
      </w:r>
      <w:r w:rsidRPr="00E64BB2">
        <w:rPr>
          <w:rFonts w:ascii="Times New Roman" w:hAnsi="Times New Roman" w:eastAsia="SimSun"/>
          <w:sz w:val="24"/>
          <w:szCs w:val="24"/>
          <w:lang w:eastAsia="ar-SA"/>
        </w:rPr>
        <w:noBreakHyphen/>
        <w:t>screening questions prior to scheduling an appointment, we remind potential visitors of our telephone and Internet options, explain our mask requirement policy, and administer a brief screener questionnaire designed to identify COVID-19 symptoms.  For those members of the public who do not schedule an appointment, we have a poster in our field office windows visible from the outside instructing visitors about the need to complete the screening questionnaire and about our masking policies.  Regardless of whether an individual schedules an appointment or visits a field office without prior scheduling, we will continue to request satisfactory completion of the screener in advance of entering the building as a prerequisite for entering the field office.</w:t>
      </w:r>
    </w:p>
    <w:p w:rsidR="00E64BB2" w:rsidP="004947A9" w:rsidRDefault="00E64BB2" w14:paraId="1452972C" w14:textId="77777777">
      <w:pPr>
        <w:suppressAutoHyphens/>
        <w:ind w:left="1440"/>
        <w:rPr>
          <w:rFonts w:ascii="Times New Roman" w:hAnsi="Times New Roman" w:eastAsia="SimSun"/>
          <w:sz w:val="24"/>
          <w:szCs w:val="24"/>
          <w:lang w:eastAsia="ar-SA"/>
        </w:rPr>
      </w:pPr>
    </w:p>
    <w:p w:rsidRPr="00227D0B" w:rsidR="00993BAA" w:rsidP="00D935C1" w:rsidRDefault="00E64BB2" w14:paraId="11664953" w14:textId="017868D8">
      <w:pPr>
        <w:suppressAutoHyphens/>
        <w:ind w:left="1440"/>
        <w:rPr>
          <w:rFonts w:ascii="Times New Roman" w:hAnsi="Times New Roman"/>
          <w:sz w:val="24"/>
          <w:szCs w:val="24"/>
        </w:rPr>
      </w:pPr>
      <w:r w:rsidRPr="00E64BB2">
        <w:rPr>
          <w:rFonts w:ascii="Times New Roman" w:hAnsi="Times New Roman" w:eastAsia="SimSun"/>
          <w:sz w:val="24"/>
          <w:szCs w:val="24"/>
          <w:lang w:eastAsia="ar-SA"/>
        </w:rPr>
        <w:t>SSA’s screener questionnaire asks questions relating to personal experience of any COVID</w:t>
      </w:r>
      <w:r w:rsidR="008D3BB6">
        <w:rPr>
          <w:rFonts w:ascii="Times New Roman" w:hAnsi="Times New Roman" w:eastAsia="SimSun"/>
          <w:sz w:val="24"/>
          <w:szCs w:val="24"/>
          <w:lang w:eastAsia="ar-SA"/>
        </w:rPr>
        <w:t>-19</w:t>
      </w:r>
      <w:r w:rsidRPr="00E64BB2">
        <w:rPr>
          <w:rFonts w:ascii="Times New Roman" w:hAnsi="Times New Roman" w:eastAsia="SimSun"/>
          <w:sz w:val="24"/>
          <w:szCs w:val="24"/>
          <w:lang w:eastAsia="ar-SA"/>
        </w:rPr>
        <w:t xml:space="preserve"> symptoms; exposure to someone diagnosed with COVID</w:t>
      </w:r>
      <w:r w:rsidR="008D3BB6">
        <w:rPr>
          <w:rFonts w:ascii="Times New Roman" w:hAnsi="Times New Roman" w:eastAsia="SimSun"/>
          <w:sz w:val="24"/>
          <w:szCs w:val="24"/>
          <w:lang w:eastAsia="ar-SA"/>
        </w:rPr>
        <w:t>-19</w:t>
      </w:r>
      <w:r w:rsidRPr="00E64BB2">
        <w:rPr>
          <w:rFonts w:ascii="Times New Roman" w:hAnsi="Times New Roman" w:eastAsia="SimSun"/>
          <w:sz w:val="24"/>
          <w:szCs w:val="24"/>
          <w:lang w:eastAsia="ar-SA"/>
        </w:rPr>
        <w:t xml:space="preserve">; or travel by means other than land travel, such as car, bus, ferry, or train.  </w:t>
      </w:r>
      <w:r w:rsidRPr="00E64BB2">
        <w:rPr>
          <w:rFonts w:ascii="Times New Roman" w:hAnsi="Times New Roman" w:eastAsia="SimSun"/>
          <w:bCs/>
          <w:sz w:val="24"/>
          <w:szCs w:val="24"/>
          <w:lang w:eastAsia="ar-SA"/>
        </w:rPr>
        <w:t xml:space="preserve">SSA uses the screener responses to determine if the participant is “cleared” or “not cleared” to enter an SSA field or hearing office.  If participants answer “no” to all questions, they are “cleared” to participate.  If they answer “yes” to any part of the screener, </w:t>
      </w:r>
      <w:r w:rsidR="008D0233">
        <w:rPr>
          <w:rFonts w:ascii="Times New Roman" w:hAnsi="Times New Roman"/>
          <w:sz w:val="24"/>
          <w:szCs w:val="24"/>
        </w:rPr>
        <w:t xml:space="preserve">we consider them </w:t>
      </w:r>
      <w:r w:rsidRPr="00E64BB2">
        <w:rPr>
          <w:rFonts w:ascii="Times New Roman" w:hAnsi="Times New Roman" w:eastAsia="SimSun"/>
          <w:bCs/>
          <w:sz w:val="24"/>
          <w:szCs w:val="24"/>
          <w:lang w:eastAsia="ar-SA"/>
        </w:rPr>
        <w:t xml:space="preserve">“not cleared.”  Individuals who are not cleared may request SSA to reschedule their visit at least 14 days after the COVID-19 symptoms first presented, </w:t>
      </w:r>
      <w:r w:rsidRPr="00E64BB2">
        <w:rPr>
          <w:rFonts w:ascii="Times New Roman" w:hAnsi="Times New Roman" w:eastAsia="SimSun"/>
          <w:sz w:val="24"/>
          <w:szCs w:val="24"/>
          <w:lang w:eastAsia="ar-SA"/>
        </w:rPr>
        <w:t>or 14 days after they tested positive for COVID</w:t>
      </w:r>
      <w:r w:rsidRPr="00E64BB2">
        <w:rPr>
          <w:rFonts w:ascii="Times New Roman" w:hAnsi="Times New Roman" w:eastAsia="SimSun"/>
          <w:sz w:val="24"/>
          <w:szCs w:val="24"/>
          <w:lang w:eastAsia="ar-SA"/>
        </w:rPr>
        <w:noBreakHyphen/>
        <w:t>19</w:t>
      </w:r>
      <w:r w:rsidRPr="00227D0B" w:rsidR="00993BAA">
        <w:rPr>
          <w:rFonts w:ascii="Times New Roman" w:hAnsi="Times New Roman"/>
          <w:sz w:val="24"/>
          <w:szCs w:val="24"/>
        </w:rPr>
        <w:t>.</w:t>
      </w:r>
    </w:p>
    <w:p w:rsidRPr="00227D0B" w:rsidR="00993BAA" w:rsidP="00D935C1" w:rsidRDefault="00993BAA" w14:paraId="16823AC2" w14:textId="1D14D7CE">
      <w:pPr>
        <w:ind w:left="1440"/>
        <w:rPr>
          <w:rFonts w:ascii="Times New Roman" w:hAnsi="Times New Roman"/>
          <w:sz w:val="24"/>
          <w:szCs w:val="24"/>
        </w:rPr>
      </w:pPr>
    </w:p>
    <w:p w:rsidRPr="00D935C1" w:rsidR="00D935C1" w:rsidP="00D935C1" w:rsidRDefault="00D935C1" w14:paraId="7F8F9C5D" w14:textId="77777777">
      <w:pPr>
        <w:suppressAutoHyphens/>
        <w:ind w:left="1440"/>
        <w:rPr>
          <w:rFonts w:ascii="Times New Roman" w:hAnsi="Times New Roman" w:eastAsia="SimSun"/>
          <w:b/>
          <w:sz w:val="24"/>
          <w:szCs w:val="24"/>
          <w:lang w:eastAsia="ar-SA"/>
        </w:rPr>
      </w:pPr>
      <w:r w:rsidRPr="00D935C1">
        <w:rPr>
          <w:rFonts w:ascii="Times New Roman" w:hAnsi="Times New Roman" w:eastAsia="SimSun"/>
          <w:b/>
          <w:sz w:val="24"/>
          <w:szCs w:val="24"/>
          <w:lang w:eastAsia="ar-SA"/>
        </w:rPr>
        <w:t xml:space="preserve">Alternatives to Completing the Information Collection </w:t>
      </w:r>
    </w:p>
    <w:p w:rsidR="00811DAF" w:rsidP="00D935C1" w:rsidRDefault="00D935C1" w14:paraId="67425054" w14:textId="19F1F463">
      <w:pPr>
        <w:suppressAutoHyphens/>
        <w:ind w:left="1440"/>
        <w:rPr>
          <w:rFonts w:ascii="Times New Roman" w:hAnsi="Times New Roman" w:eastAsia="SimSun"/>
          <w:bCs/>
          <w:sz w:val="24"/>
          <w:szCs w:val="24"/>
          <w:lang w:eastAsia="ar-SA"/>
        </w:rPr>
      </w:pPr>
      <w:r w:rsidRPr="00D935C1">
        <w:rPr>
          <w:rFonts w:ascii="Times New Roman" w:hAnsi="Times New Roman" w:eastAsia="SimSun"/>
          <w:bCs/>
          <w:sz w:val="24"/>
          <w:szCs w:val="24"/>
          <w:lang w:eastAsia="ar-SA"/>
        </w:rPr>
        <w:t xml:space="preserve">Although we will continue to require completion of the screener questionnaire </w:t>
      </w:r>
      <w:r>
        <w:rPr>
          <w:rFonts w:ascii="Times New Roman" w:hAnsi="Times New Roman" w:eastAsia="SimSun"/>
          <w:bCs/>
          <w:sz w:val="24"/>
          <w:szCs w:val="24"/>
          <w:lang w:eastAsia="ar-SA"/>
        </w:rPr>
        <w:t xml:space="preserve">for </w:t>
      </w:r>
      <w:r w:rsidRPr="00D935C1">
        <w:rPr>
          <w:rFonts w:ascii="Times New Roman" w:hAnsi="Times New Roman" w:eastAsia="SimSun"/>
          <w:bCs/>
          <w:sz w:val="24"/>
          <w:szCs w:val="24"/>
          <w:lang w:eastAsia="ar-SA"/>
        </w:rPr>
        <w:t>any in</w:t>
      </w:r>
      <w:r w:rsidRPr="00D935C1">
        <w:rPr>
          <w:rFonts w:ascii="Times New Roman" w:hAnsi="Times New Roman" w:eastAsia="SimSun"/>
          <w:bCs/>
          <w:sz w:val="24"/>
          <w:szCs w:val="24"/>
          <w:lang w:eastAsia="ar-SA"/>
        </w:rPr>
        <w:noBreakHyphen/>
        <w:t>person hearing or field office visit, we do not require this screener questionnaire for other modalities of appeals hearings, or field office services.  One may choose an online video hearing or telephone hearing as an alternative to an in</w:t>
      </w:r>
      <w:r w:rsidRPr="00D935C1">
        <w:rPr>
          <w:rFonts w:ascii="Times New Roman" w:hAnsi="Times New Roman" w:eastAsia="SimSun"/>
          <w:bCs/>
          <w:sz w:val="24"/>
          <w:szCs w:val="24"/>
          <w:lang w:eastAsia="ar-SA"/>
        </w:rPr>
        <w:noBreakHyphen/>
        <w:t>person hearing, just as we also have online and telephone services for field office transactions.  Claimants may obtain Social Security payments regardless of the hearing method they choose, and field office visitors may submit their documentation using our Internet services, telephone requests, or by mailing their documentation to SSA.</w:t>
      </w:r>
    </w:p>
    <w:p w:rsidR="00D935C1" w:rsidP="00D935C1" w:rsidRDefault="00D935C1" w14:paraId="7239324F" w14:textId="174BF152">
      <w:pPr>
        <w:tabs>
          <w:tab w:val="left" w:pos="1440"/>
        </w:tabs>
        <w:suppressAutoHyphens/>
        <w:ind w:left="1440"/>
        <w:rPr>
          <w:rFonts w:ascii="Times New Roman" w:hAnsi="Times New Roman" w:eastAsia="SimSun"/>
          <w:bCs/>
          <w:sz w:val="24"/>
          <w:szCs w:val="24"/>
          <w:lang w:eastAsia="ar-SA"/>
        </w:rPr>
      </w:pPr>
    </w:p>
    <w:p w:rsidRPr="00D935C1" w:rsidR="00D935C1" w:rsidP="00D935C1" w:rsidRDefault="00D935C1" w14:paraId="12BB4FBE" w14:textId="77777777">
      <w:pPr>
        <w:tabs>
          <w:tab w:val="left" w:pos="1440"/>
        </w:tabs>
        <w:ind w:left="1440"/>
        <w:contextualSpacing/>
        <w:rPr>
          <w:rFonts w:ascii="Times New Roman" w:hAnsi="Times New Roman" w:eastAsia="SimSun"/>
          <w:sz w:val="24"/>
          <w:szCs w:val="24"/>
          <w:lang w:eastAsia="ar-SA"/>
        </w:rPr>
      </w:pPr>
      <w:r w:rsidRPr="00D935C1">
        <w:rPr>
          <w:rFonts w:ascii="Times New Roman" w:hAnsi="Times New Roman" w:eastAsia="SimSun"/>
          <w:sz w:val="24"/>
          <w:szCs w:val="24"/>
          <w:lang w:eastAsia="ar-SA"/>
        </w:rPr>
        <w:t>The respondents are beneficiaries or applicants requesting an in-person hearing, or members of the public entering a field office.</w:t>
      </w:r>
    </w:p>
    <w:p w:rsidRPr="00227D0B" w:rsidR="004947A9" w:rsidP="00D935C1" w:rsidRDefault="004947A9" w14:paraId="68F9880E" w14:textId="77777777">
      <w:pPr>
        <w:tabs>
          <w:tab w:val="left" w:pos="1440"/>
        </w:tabs>
        <w:ind w:left="1080"/>
        <w:rPr>
          <w:rFonts w:ascii="Times New Roman" w:hAnsi="Times New Roman"/>
          <w:sz w:val="24"/>
          <w:szCs w:val="24"/>
        </w:rPr>
      </w:pPr>
    </w:p>
    <w:p w:rsidRPr="00227D0B" w:rsidR="00941976" w:rsidP="004947A9" w:rsidRDefault="00941976" w14:paraId="09A7D99C" w14:textId="77777777">
      <w:pPr>
        <w:tabs>
          <w:tab w:val="left" w:pos="720"/>
        </w:tabs>
        <w:autoSpaceDE w:val="0"/>
        <w:autoSpaceDN w:val="0"/>
        <w:adjustRightInd w:val="0"/>
        <w:ind w:left="1440" w:hanging="720"/>
        <w:rPr>
          <w:rFonts w:ascii="Times New Roman" w:hAnsi="Times New Roman"/>
          <w:b/>
          <w:sz w:val="24"/>
          <w:szCs w:val="24"/>
        </w:rPr>
      </w:pPr>
      <w:r w:rsidRPr="00227D0B">
        <w:rPr>
          <w:rFonts w:ascii="Times New Roman" w:hAnsi="Times New Roman"/>
          <w:b/>
          <w:sz w:val="24"/>
          <w:szCs w:val="24"/>
        </w:rPr>
        <w:lastRenderedPageBreak/>
        <w:t>3.</w:t>
      </w:r>
      <w:r w:rsidRPr="00227D0B">
        <w:rPr>
          <w:rFonts w:ascii="Times New Roman" w:hAnsi="Times New Roman"/>
          <w:b/>
          <w:sz w:val="24"/>
          <w:szCs w:val="24"/>
        </w:rPr>
        <w:tab/>
        <w:t>Use of Information Technology to Collect the Information</w:t>
      </w:r>
    </w:p>
    <w:p w:rsidR="00EA5113" w:rsidP="004947A9" w:rsidRDefault="00966393" w14:paraId="00069C2B" w14:textId="0282F4F8">
      <w:pPr>
        <w:autoSpaceDE w:val="0"/>
        <w:autoSpaceDN w:val="0"/>
        <w:adjustRightInd w:val="0"/>
        <w:ind w:left="1440"/>
        <w:rPr>
          <w:rFonts w:ascii="Times New Roman" w:hAnsi="Times New Roman"/>
          <w:sz w:val="24"/>
          <w:szCs w:val="24"/>
        </w:rPr>
      </w:pPr>
      <w:r w:rsidRPr="00966393">
        <w:rPr>
          <w:rFonts w:ascii="Times New Roman" w:hAnsi="Times New Roman"/>
          <w:sz w:val="24"/>
          <w:szCs w:val="24"/>
        </w:rPr>
        <w:t>In accordance with the agency’s Government Paperwork Elimination Act plan, SSA created fully online version</w:t>
      </w:r>
      <w:r w:rsidR="00EA5113">
        <w:rPr>
          <w:rFonts w:ascii="Times New Roman" w:hAnsi="Times New Roman"/>
          <w:sz w:val="24"/>
          <w:szCs w:val="24"/>
        </w:rPr>
        <w:t>s</w:t>
      </w:r>
      <w:r w:rsidRPr="00966393">
        <w:rPr>
          <w:rFonts w:ascii="Times New Roman" w:hAnsi="Times New Roman"/>
          <w:sz w:val="24"/>
          <w:szCs w:val="24"/>
        </w:rPr>
        <w:t xml:space="preserve"> of this IC.  </w:t>
      </w:r>
      <w:r w:rsidR="0079016D">
        <w:rPr>
          <w:rFonts w:ascii="Times New Roman" w:hAnsi="Times New Roman"/>
          <w:sz w:val="24"/>
          <w:szCs w:val="24"/>
        </w:rPr>
        <w:t>T</w:t>
      </w:r>
      <w:r w:rsidRPr="00966393">
        <w:rPr>
          <w:rFonts w:ascii="Times New Roman" w:hAnsi="Times New Roman"/>
          <w:sz w:val="24"/>
          <w:szCs w:val="24"/>
        </w:rPr>
        <w:t>he COVID</w:t>
      </w:r>
      <w:r w:rsidR="008D3BB6">
        <w:rPr>
          <w:rFonts w:ascii="Times New Roman" w:hAnsi="Times New Roman"/>
          <w:sz w:val="24"/>
          <w:szCs w:val="24"/>
        </w:rPr>
        <w:t>-19</w:t>
      </w:r>
      <w:r w:rsidRPr="00966393">
        <w:rPr>
          <w:rFonts w:ascii="Times New Roman" w:hAnsi="Times New Roman"/>
          <w:sz w:val="24"/>
          <w:szCs w:val="24"/>
        </w:rPr>
        <w:t xml:space="preserve"> screener notice that accompanies the hearings scheduling confirmation notice provide</w:t>
      </w:r>
      <w:r w:rsidR="008D0233">
        <w:rPr>
          <w:rFonts w:ascii="Times New Roman" w:hAnsi="Times New Roman"/>
          <w:sz w:val="24"/>
          <w:szCs w:val="24"/>
        </w:rPr>
        <w:t>s</w:t>
      </w:r>
      <w:r w:rsidRPr="00966393">
        <w:rPr>
          <w:rFonts w:ascii="Times New Roman" w:hAnsi="Times New Roman"/>
          <w:sz w:val="24"/>
          <w:szCs w:val="24"/>
        </w:rPr>
        <w:t xml:space="preserve"> a link for respondents to enter in any Internet-equipped device.  Once they reach that link, respondents can complete and submit the questionnaire online.  SSA’s systems direct the information to the hearings office where the hearing is scheduled.</w:t>
      </w:r>
      <w:r w:rsidR="00EA5113">
        <w:rPr>
          <w:rFonts w:ascii="Times New Roman" w:hAnsi="Times New Roman"/>
          <w:sz w:val="24"/>
          <w:szCs w:val="24"/>
        </w:rPr>
        <w:t xml:space="preserve">  </w:t>
      </w:r>
    </w:p>
    <w:p w:rsidRPr="00966393" w:rsidR="00966393" w:rsidP="004947A9" w:rsidRDefault="00EA5113" w14:paraId="0BEF02F3" w14:textId="74FC78CD">
      <w:pPr>
        <w:autoSpaceDE w:val="0"/>
        <w:autoSpaceDN w:val="0"/>
        <w:adjustRightInd w:val="0"/>
        <w:ind w:left="1440"/>
        <w:rPr>
          <w:rFonts w:ascii="Times New Roman" w:hAnsi="Times New Roman"/>
          <w:sz w:val="24"/>
          <w:szCs w:val="24"/>
        </w:rPr>
      </w:pPr>
      <w:r>
        <w:rPr>
          <w:rFonts w:ascii="Times New Roman" w:hAnsi="Times New Roman"/>
          <w:sz w:val="24"/>
          <w:szCs w:val="24"/>
        </w:rPr>
        <w:t xml:space="preserve">In addition, </w:t>
      </w:r>
      <w:r w:rsidRPr="00EA5113">
        <w:rPr>
          <w:rFonts w:ascii="Times New Roman" w:hAnsi="Times New Roman" w:eastAsia="SimSun"/>
          <w:sz w:val="24"/>
          <w:szCs w:val="24"/>
          <w:lang w:eastAsia="ar-SA"/>
        </w:rPr>
        <w:t xml:space="preserve">field office visitors </w:t>
      </w:r>
      <w:r>
        <w:rPr>
          <w:rFonts w:ascii="Times New Roman" w:hAnsi="Times New Roman" w:eastAsia="SimSun"/>
          <w:sz w:val="24"/>
          <w:szCs w:val="24"/>
          <w:lang w:eastAsia="ar-SA"/>
        </w:rPr>
        <w:t xml:space="preserve">have </w:t>
      </w:r>
      <w:r w:rsidRPr="00EA5113">
        <w:rPr>
          <w:rFonts w:ascii="Times New Roman" w:hAnsi="Times New Roman" w:eastAsia="SimSun"/>
          <w:sz w:val="24"/>
          <w:szCs w:val="24"/>
          <w:lang w:eastAsia="ar-SA"/>
        </w:rPr>
        <w:t xml:space="preserve">the option of completing the screener questionnaire </w:t>
      </w:r>
      <w:r>
        <w:rPr>
          <w:rFonts w:ascii="Times New Roman" w:hAnsi="Times New Roman" w:eastAsia="SimSun"/>
          <w:sz w:val="24"/>
          <w:szCs w:val="24"/>
          <w:lang w:eastAsia="ar-SA"/>
        </w:rPr>
        <w:t xml:space="preserve">electronically </w:t>
      </w:r>
      <w:r w:rsidRPr="00EA5113">
        <w:rPr>
          <w:rFonts w:ascii="Times New Roman" w:hAnsi="Times New Roman" w:eastAsia="SimSun"/>
          <w:sz w:val="24"/>
          <w:szCs w:val="24"/>
          <w:lang w:eastAsia="ar-SA"/>
        </w:rPr>
        <w:t>either via telephone or through SSA’s mobile application, VIPr, prior to entering the building.</w:t>
      </w:r>
    </w:p>
    <w:p w:rsidRPr="00966393" w:rsidR="00966393" w:rsidP="004947A9" w:rsidRDefault="00966393" w14:paraId="6B50CD30" w14:textId="77777777">
      <w:pPr>
        <w:autoSpaceDE w:val="0"/>
        <w:autoSpaceDN w:val="0"/>
        <w:adjustRightInd w:val="0"/>
        <w:ind w:left="1440"/>
        <w:rPr>
          <w:rFonts w:ascii="Times New Roman" w:hAnsi="Times New Roman"/>
          <w:sz w:val="24"/>
          <w:szCs w:val="24"/>
        </w:rPr>
      </w:pPr>
    </w:p>
    <w:p w:rsidR="00777A40" w:rsidP="004947A9" w:rsidRDefault="00966393" w14:paraId="382453FD" w14:textId="14B33ED9">
      <w:pPr>
        <w:autoSpaceDE w:val="0"/>
        <w:autoSpaceDN w:val="0"/>
        <w:adjustRightInd w:val="0"/>
        <w:ind w:left="1440"/>
        <w:rPr>
          <w:rFonts w:ascii="Times New Roman" w:hAnsi="Times New Roman"/>
          <w:sz w:val="24"/>
          <w:szCs w:val="24"/>
        </w:rPr>
      </w:pPr>
      <w:r w:rsidRPr="00966393">
        <w:rPr>
          <w:rFonts w:ascii="Times New Roman" w:hAnsi="Times New Roman"/>
          <w:sz w:val="24"/>
          <w:szCs w:val="24"/>
        </w:rPr>
        <w:t>Although SSA anticipates that nearly 100% of respondents are likely to use th</w:t>
      </w:r>
      <w:r w:rsidR="00EA5113">
        <w:rPr>
          <w:rFonts w:ascii="Times New Roman" w:hAnsi="Times New Roman"/>
          <w:sz w:val="24"/>
          <w:szCs w:val="24"/>
        </w:rPr>
        <w:t>e</w:t>
      </w:r>
      <w:r w:rsidRPr="00966393">
        <w:rPr>
          <w:rFonts w:ascii="Times New Roman" w:hAnsi="Times New Roman"/>
          <w:sz w:val="24"/>
          <w:szCs w:val="24"/>
        </w:rPr>
        <w:t xml:space="preserve"> electronic method</w:t>
      </w:r>
      <w:r w:rsidR="00EA5113">
        <w:rPr>
          <w:rFonts w:ascii="Times New Roman" w:hAnsi="Times New Roman"/>
          <w:sz w:val="24"/>
          <w:szCs w:val="24"/>
        </w:rPr>
        <w:t>s</w:t>
      </w:r>
      <w:r w:rsidRPr="00966393">
        <w:rPr>
          <w:rFonts w:ascii="Times New Roman" w:hAnsi="Times New Roman"/>
          <w:sz w:val="24"/>
          <w:szCs w:val="24"/>
        </w:rPr>
        <w:t xml:space="preserve">, those </w:t>
      </w:r>
      <w:r w:rsidR="003C1C22">
        <w:rPr>
          <w:rFonts w:ascii="Times New Roman" w:hAnsi="Times New Roman"/>
          <w:sz w:val="24"/>
          <w:szCs w:val="24"/>
        </w:rPr>
        <w:t xml:space="preserve">few respondents </w:t>
      </w:r>
      <w:r w:rsidRPr="00966393">
        <w:rPr>
          <w:rFonts w:ascii="Times New Roman" w:hAnsi="Times New Roman"/>
          <w:sz w:val="24"/>
          <w:szCs w:val="24"/>
        </w:rPr>
        <w:t xml:space="preserve">who prefer not to use the online version, or who do not have access to the Internet </w:t>
      </w:r>
      <w:r w:rsidR="00C83914">
        <w:rPr>
          <w:rFonts w:ascii="Times New Roman" w:hAnsi="Times New Roman"/>
          <w:sz w:val="24"/>
          <w:szCs w:val="24"/>
        </w:rPr>
        <w:t>during the relevant 24-hour timeframe</w:t>
      </w:r>
      <w:r w:rsidRPr="00966393">
        <w:rPr>
          <w:rFonts w:ascii="Times New Roman" w:hAnsi="Times New Roman"/>
          <w:sz w:val="24"/>
          <w:szCs w:val="24"/>
        </w:rPr>
        <w:t>, may call the hearings office instead</w:t>
      </w:r>
      <w:r w:rsidR="0079016D">
        <w:rPr>
          <w:rFonts w:ascii="Times New Roman" w:hAnsi="Times New Roman"/>
          <w:sz w:val="24"/>
          <w:szCs w:val="24"/>
        </w:rPr>
        <w:t xml:space="preserve"> or answer the screening questions</w:t>
      </w:r>
      <w:r w:rsidR="00F55CA7">
        <w:rPr>
          <w:rFonts w:ascii="Times New Roman" w:hAnsi="Times New Roman"/>
          <w:sz w:val="24"/>
          <w:szCs w:val="24"/>
        </w:rPr>
        <w:t xml:space="preserve"> in person</w:t>
      </w:r>
      <w:r w:rsidR="0079016D">
        <w:rPr>
          <w:rFonts w:ascii="Times New Roman" w:hAnsi="Times New Roman"/>
          <w:sz w:val="24"/>
          <w:szCs w:val="24"/>
        </w:rPr>
        <w:t xml:space="preserve"> outside the hearing </w:t>
      </w:r>
      <w:r w:rsidR="003C1C22">
        <w:rPr>
          <w:rFonts w:ascii="Times New Roman" w:hAnsi="Times New Roman"/>
          <w:sz w:val="24"/>
          <w:szCs w:val="24"/>
        </w:rPr>
        <w:t>office on the day of the hearing</w:t>
      </w:r>
      <w:r w:rsidR="00EA5113">
        <w:rPr>
          <w:rFonts w:ascii="Times New Roman" w:hAnsi="Times New Roman"/>
          <w:sz w:val="24"/>
          <w:szCs w:val="24"/>
        </w:rPr>
        <w:t>.  As for field office visitors, they have the option to fill out the screener questionnaire at a field office kiosk prior to entry.</w:t>
      </w:r>
    </w:p>
    <w:p w:rsidRPr="00227D0B" w:rsidR="00966393" w:rsidP="004947A9" w:rsidRDefault="00966393" w14:paraId="5ECCE513" w14:textId="77777777">
      <w:pPr>
        <w:autoSpaceDE w:val="0"/>
        <w:autoSpaceDN w:val="0"/>
        <w:adjustRightInd w:val="0"/>
        <w:ind w:left="1440"/>
        <w:rPr>
          <w:rFonts w:ascii="Times New Roman" w:hAnsi="Times New Roman"/>
          <w:sz w:val="24"/>
          <w:szCs w:val="24"/>
        </w:rPr>
      </w:pPr>
    </w:p>
    <w:p w:rsidRPr="00227D0B" w:rsidR="00777A40" w:rsidP="004947A9" w:rsidRDefault="00777A40" w14:paraId="64B6D970" w14:textId="77777777">
      <w:pPr>
        <w:tabs>
          <w:tab w:val="left" w:pos="720"/>
        </w:tabs>
        <w:autoSpaceDE w:val="0"/>
        <w:autoSpaceDN w:val="0"/>
        <w:adjustRightInd w:val="0"/>
        <w:ind w:left="1440" w:hanging="720"/>
        <w:rPr>
          <w:rFonts w:ascii="Times New Roman" w:hAnsi="Times New Roman"/>
          <w:b/>
          <w:sz w:val="24"/>
          <w:szCs w:val="24"/>
        </w:rPr>
      </w:pPr>
      <w:r w:rsidRPr="00227D0B">
        <w:rPr>
          <w:rFonts w:ascii="Times New Roman" w:hAnsi="Times New Roman"/>
          <w:b/>
          <w:sz w:val="24"/>
          <w:szCs w:val="24"/>
        </w:rPr>
        <w:t>4.</w:t>
      </w:r>
      <w:r w:rsidRPr="00227D0B">
        <w:rPr>
          <w:rFonts w:ascii="Times New Roman" w:hAnsi="Times New Roman"/>
          <w:b/>
          <w:sz w:val="24"/>
          <w:szCs w:val="24"/>
        </w:rPr>
        <w:tab/>
        <w:t>Why we Cannot Use Duplicate Information</w:t>
      </w:r>
    </w:p>
    <w:p w:rsidRPr="00227D0B" w:rsidR="00777A40" w:rsidP="004947A9" w:rsidRDefault="00F11A9D" w14:paraId="55C0974C" w14:textId="517F50D6">
      <w:pPr>
        <w:autoSpaceDE w:val="0"/>
        <w:autoSpaceDN w:val="0"/>
        <w:adjustRightInd w:val="0"/>
        <w:ind w:left="1440"/>
        <w:rPr>
          <w:rFonts w:ascii="Times New Roman" w:hAnsi="Times New Roman"/>
          <w:sz w:val="24"/>
          <w:szCs w:val="24"/>
        </w:rPr>
      </w:pPr>
      <w:r w:rsidRPr="00F11A9D">
        <w:rPr>
          <w:rFonts w:ascii="Times New Roman" w:hAnsi="Times New Roman" w:eastAsia="Times New Roman"/>
          <w:snapToGrid w:val="0"/>
          <w:sz w:val="24"/>
          <w:szCs w:val="24"/>
        </w:rPr>
        <w:t>The nature of the information we collect and the manner in which we collect it precludes duplication.  SSA does not use another collection instrument to obtain similar data</w:t>
      </w:r>
      <w:r w:rsidRPr="00227D0B" w:rsidR="00777A40">
        <w:rPr>
          <w:rFonts w:ascii="Times New Roman" w:hAnsi="Times New Roman"/>
          <w:sz w:val="24"/>
          <w:szCs w:val="24"/>
        </w:rPr>
        <w:t xml:space="preserve">. </w:t>
      </w:r>
      <w:r w:rsidRPr="00227D0B" w:rsidR="00941976">
        <w:rPr>
          <w:rFonts w:ascii="Times New Roman" w:hAnsi="Times New Roman"/>
          <w:sz w:val="24"/>
          <w:szCs w:val="24"/>
        </w:rPr>
        <w:t xml:space="preserve"> </w:t>
      </w:r>
    </w:p>
    <w:p w:rsidRPr="00227D0B" w:rsidR="00777A40" w:rsidP="004947A9" w:rsidRDefault="00777A40" w14:paraId="587910E1" w14:textId="77777777">
      <w:pPr>
        <w:autoSpaceDE w:val="0"/>
        <w:autoSpaceDN w:val="0"/>
        <w:adjustRightInd w:val="0"/>
        <w:ind w:left="1440"/>
        <w:rPr>
          <w:rFonts w:ascii="Times New Roman" w:hAnsi="Times New Roman"/>
          <w:sz w:val="24"/>
          <w:szCs w:val="24"/>
        </w:rPr>
      </w:pPr>
    </w:p>
    <w:p w:rsidRPr="00227D0B" w:rsidR="00777A40" w:rsidP="004947A9" w:rsidRDefault="00777A40" w14:paraId="37897283" w14:textId="77777777">
      <w:pPr>
        <w:tabs>
          <w:tab w:val="left" w:pos="720"/>
        </w:tabs>
        <w:autoSpaceDE w:val="0"/>
        <w:autoSpaceDN w:val="0"/>
        <w:adjustRightInd w:val="0"/>
        <w:ind w:left="1440" w:hanging="720"/>
        <w:rPr>
          <w:rFonts w:ascii="Times New Roman" w:hAnsi="Times New Roman"/>
          <w:b/>
          <w:sz w:val="24"/>
          <w:szCs w:val="24"/>
        </w:rPr>
      </w:pPr>
      <w:r w:rsidRPr="00227D0B">
        <w:rPr>
          <w:rFonts w:ascii="Times New Roman" w:hAnsi="Times New Roman"/>
          <w:b/>
          <w:sz w:val="24"/>
          <w:szCs w:val="24"/>
        </w:rPr>
        <w:t>5.</w:t>
      </w:r>
      <w:r w:rsidRPr="00227D0B">
        <w:rPr>
          <w:rFonts w:ascii="Times New Roman" w:hAnsi="Times New Roman"/>
          <w:b/>
          <w:sz w:val="24"/>
          <w:szCs w:val="24"/>
        </w:rPr>
        <w:tab/>
        <w:t>Minimizing Burden on Small Respondents</w:t>
      </w:r>
    </w:p>
    <w:p w:rsidRPr="00227D0B" w:rsidR="00777A40" w:rsidP="004947A9" w:rsidRDefault="00777A40" w14:paraId="2EFADF36" w14:textId="77777777">
      <w:pPr>
        <w:autoSpaceDE w:val="0"/>
        <w:autoSpaceDN w:val="0"/>
        <w:adjustRightInd w:val="0"/>
        <w:ind w:left="1440"/>
        <w:rPr>
          <w:rFonts w:ascii="Times New Roman" w:hAnsi="Times New Roman"/>
          <w:sz w:val="24"/>
          <w:szCs w:val="24"/>
        </w:rPr>
      </w:pPr>
      <w:r w:rsidRPr="00227D0B">
        <w:rPr>
          <w:rFonts w:ascii="Times New Roman" w:hAnsi="Times New Roman"/>
          <w:sz w:val="24"/>
          <w:szCs w:val="24"/>
        </w:rPr>
        <w:t>This collection does not affect small businesses or other small entities.</w:t>
      </w:r>
    </w:p>
    <w:p w:rsidRPr="00227D0B" w:rsidR="00777A40" w:rsidP="004947A9" w:rsidRDefault="00777A40" w14:paraId="6951E95D" w14:textId="77777777">
      <w:pPr>
        <w:autoSpaceDE w:val="0"/>
        <w:autoSpaceDN w:val="0"/>
        <w:adjustRightInd w:val="0"/>
        <w:ind w:left="1440"/>
        <w:rPr>
          <w:rFonts w:ascii="Times New Roman" w:hAnsi="Times New Roman"/>
          <w:sz w:val="24"/>
          <w:szCs w:val="24"/>
        </w:rPr>
      </w:pPr>
    </w:p>
    <w:p w:rsidRPr="00227D0B" w:rsidR="00777A40" w:rsidP="004947A9" w:rsidRDefault="00777A40" w14:paraId="06729152" w14:textId="77777777">
      <w:pPr>
        <w:tabs>
          <w:tab w:val="left" w:pos="720"/>
        </w:tabs>
        <w:autoSpaceDE w:val="0"/>
        <w:autoSpaceDN w:val="0"/>
        <w:adjustRightInd w:val="0"/>
        <w:ind w:left="1440" w:hanging="720"/>
        <w:rPr>
          <w:rFonts w:ascii="Times New Roman" w:hAnsi="Times New Roman"/>
          <w:b/>
          <w:sz w:val="24"/>
          <w:szCs w:val="24"/>
        </w:rPr>
      </w:pPr>
      <w:r w:rsidRPr="00227D0B">
        <w:rPr>
          <w:rFonts w:ascii="Times New Roman" w:hAnsi="Times New Roman"/>
          <w:b/>
          <w:sz w:val="24"/>
          <w:szCs w:val="24"/>
        </w:rPr>
        <w:t>6.</w:t>
      </w:r>
      <w:r w:rsidRPr="00227D0B">
        <w:rPr>
          <w:rFonts w:ascii="Times New Roman" w:hAnsi="Times New Roman"/>
          <w:b/>
          <w:sz w:val="24"/>
          <w:szCs w:val="24"/>
        </w:rPr>
        <w:tab/>
        <w:t>Consequence of Not Collecting Information or Collecting it Less Frequently</w:t>
      </w:r>
    </w:p>
    <w:p w:rsidR="00C83914" w:rsidP="004947A9" w:rsidRDefault="00C83914" w14:paraId="5E99F2C6" w14:textId="3B7EC44D">
      <w:pPr>
        <w:pStyle w:val="ListParagraph"/>
        <w:tabs>
          <w:tab w:val="left" w:pos="-720"/>
        </w:tabs>
        <w:ind w:left="1440"/>
        <w:rPr>
          <w:bCs/>
        </w:rPr>
      </w:pPr>
      <w:r>
        <w:rPr>
          <w:bCs/>
        </w:rPr>
        <w:t xml:space="preserve">If SSA did not collect </w:t>
      </w:r>
      <w:r w:rsidR="008D3BB6">
        <w:rPr>
          <w:bCs/>
        </w:rPr>
        <w:t>this</w:t>
      </w:r>
      <w:r>
        <w:rPr>
          <w:bCs/>
        </w:rPr>
        <w:t xml:space="preserve"> information, we would have no way of confirming if hearings participants</w:t>
      </w:r>
      <w:r w:rsidR="008D3BB6">
        <w:rPr>
          <w:bCs/>
        </w:rPr>
        <w:t xml:space="preserve"> or field office visitors have </w:t>
      </w:r>
      <w:r>
        <w:rPr>
          <w:bCs/>
        </w:rPr>
        <w:t xml:space="preserve">symptoms of </w:t>
      </w:r>
      <w:r w:rsidR="008D3BB6">
        <w:rPr>
          <w:bCs/>
        </w:rPr>
        <w:t>COVID-19 or</w:t>
      </w:r>
      <w:r>
        <w:rPr>
          <w:bCs/>
        </w:rPr>
        <w:t xml:space="preserve"> </w:t>
      </w:r>
      <w:r w:rsidR="00F55CA7">
        <w:rPr>
          <w:bCs/>
        </w:rPr>
        <w:t xml:space="preserve">have </w:t>
      </w:r>
      <w:r>
        <w:rPr>
          <w:bCs/>
        </w:rPr>
        <w:t>been exposed to someone diagnosed with COVID</w:t>
      </w:r>
      <w:r w:rsidR="008D3BB6">
        <w:rPr>
          <w:bCs/>
        </w:rPr>
        <w:t>-19</w:t>
      </w:r>
      <w:r w:rsidR="00F55CA7">
        <w:rPr>
          <w:bCs/>
        </w:rPr>
        <w:t xml:space="preserve"> prior to entering the SSA facility</w:t>
      </w:r>
      <w:r>
        <w:rPr>
          <w:bCs/>
        </w:rPr>
        <w:t xml:space="preserve">.  This would potentially endanger other members of the public, as well as SSA employees.  </w:t>
      </w:r>
    </w:p>
    <w:p w:rsidR="00C83914" w:rsidP="004947A9" w:rsidRDefault="00C83914" w14:paraId="48889BD2" w14:textId="77777777">
      <w:pPr>
        <w:pStyle w:val="ListParagraph"/>
        <w:tabs>
          <w:tab w:val="left" w:pos="-720"/>
        </w:tabs>
        <w:ind w:left="1440"/>
        <w:rPr>
          <w:bCs/>
        </w:rPr>
      </w:pPr>
    </w:p>
    <w:p w:rsidR="00994199" w:rsidP="004947A9" w:rsidRDefault="00994199" w14:paraId="27D90B72" w14:textId="2E6528BC">
      <w:pPr>
        <w:pStyle w:val="ListParagraph"/>
        <w:tabs>
          <w:tab w:val="left" w:pos="-720"/>
        </w:tabs>
        <w:ind w:left="1440"/>
        <w:rPr>
          <w:bCs/>
        </w:rPr>
      </w:pPr>
      <w:r>
        <w:rPr>
          <w:bCs/>
        </w:rPr>
        <w:t>We note that a</w:t>
      </w:r>
      <w:r w:rsidRPr="00FB64C0">
        <w:rPr>
          <w:bCs/>
        </w:rPr>
        <w:t xml:space="preserve">lthough completion of the COVID-19 screening </w:t>
      </w:r>
      <w:r>
        <w:rPr>
          <w:bCs/>
        </w:rPr>
        <w:t>s</w:t>
      </w:r>
      <w:r w:rsidRPr="00FB64C0">
        <w:rPr>
          <w:bCs/>
        </w:rPr>
        <w:t>urvey</w:t>
      </w:r>
      <w:r w:rsidR="008D3BB6">
        <w:rPr>
          <w:bCs/>
        </w:rPr>
        <w:t xml:space="preserve">s are </w:t>
      </w:r>
      <w:r w:rsidRPr="00FB64C0">
        <w:rPr>
          <w:bCs/>
        </w:rPr>
        <w:t xml:space="preserve">mandatory for any person </w:t>
      </w:r>
      <w:r>
        <w:rPr>
          <w:bCs/>
        </w:rPr>
        <w:t>to participate in an in-person hearing</w:t>
      </w:r>
      <w:r w:rsidR="008D3BB6">
        <w:rPr>
          <w:bCs/>
        </w:rPr>
        <w:t xml:space="preserve"> or field office visit</w:t>
      </w:r>
      <w:r>
        <w:rPr>
          <w:bCs/>
        </w:rPr>
        <w:t xml:space="preserve">, it is </w:t>
      </w:r>
      <w:r w:rsidRPr="00707B6E">
        <w:rPr>
          <w:b/>
          <w:u w:val="single"/>
        </w:rPr>
        <w:t>not</w:t>
      </w:r>
      <w:r>
        <w:rPr>
          <w:b/>
          <w:u w:val="single"/>
        </w:rPr>
        <w:t xml:space="preserve"> </w:t>
      </w:r>
      <w:r>
        <w:rPr>
          <w:bCs/>
        </w:rPr>
        <w:t xml:space="preserve">required to obtain or maintain eligibility for Social Security payments.  SSA will continue to offer telephone </w:t>
      </w:r>
      <w:r w:rsidRPr="0002648F">
        <w:rPr>
          <w:bCs/>
        </w:rPr>
        <w:t xml:space="preserve">and </w:t>
      </w:r>
      <w:r w:rsidR="002446D8">
        <w:rPr>
          <w:bCs/>
        </w:rPr>
        <w:t>online</w:t>
      </w:r>
      <w:r w:rsidR="008D3BB6">
        <w:rPr>
          <w:bCs/>
        </w:rPr>
        <w:t xml:space="preserve"> </w:t>
      </w:r>
      <w:r>
        <w:rPr>
          <w:bCs/>
        </w:rPr>
        <w:t>hearings.  People who do not wish to complete the COVID-19 questionnaire screener</w:t>
      </w:r>
      <w:r w:rsidR="008D3BB6">
        <w:rPr>
          <w:bCs/>
        </w:rPr>
        <w:t>s</w:t>
      </w:r>
      <w:r>
        <w:rPr>
          <w:bCs/>
        </w:rPr>
        <w:t xml:space="preserve"> may simply request an</w:t>
      </w:r>
      <w:r w:rsidR="002446D8">
        <w:rPr>
          <w:bCs/>
        </w:rPr>
        <w:t xml:space="preserve"> online</w:t>
      </w:r>
      <w:r>
        <w:rPr>
          <w:bCs/>
        </w:rPr>
        <w:t xml:space="preserve"> </w:t>
      </w:r>
      <w:r w:rsidRPr="0002648F">
        <w:rPr>
          <w:bCs/>
        </w:rPr>
        <w:t>o</w:t>
      </w:r>
      <w:r>
        <w:rPr>
          <w:bCs/>
        </w:rPr>
        <w:t>r telephone hearing</w:t>
      </w:r>
      <w:r w:rsidR="008D3BB6">
        <w:rPr>
          <w:bCs/>
        </w:rPr>
        <w:t xml:space="preserve"> or field office inquiry</w:t>
      </w:r>
      <w:r>
        <w:rPr>
          <w:bCs/>
        </w:rPr>
        <w:t xml:space="preserve"> instead.</w:t>
      </w:r>
    </w:p>
    <w:p w:rsidR="003C1C22" w:rsidP="004947A9" w:rsidRDefault="003C1C22" w14:paraId="73719984" w14:textId="77777777">
      <w:pPr>
        <w:pStyle w:val="ListParagraph"/>
        <w:tabs>
          <w:tab w:val="left" w:pos="-720"/>
        </w:tabs>
        <w:ind w:left="1440"/>
        <w:rPr>
          <w:bCs/>
        </w:rPr>
      </w:pPr>
    </w:p>
    <w:p w:rsidRPr="00227D0B" w:rsidR="00B04CEA" w:rsidP="004947A9" w:rsidRDefault="00777A40" w14:paraId="01BB729C" w14:textId="77777777">
      <w:pPr>
        <w:tabs>
          <w:tab w:val="left" w:pos="720"/>
        </w:tabs>
        <w:autoSpaceDE w:val="0"/>
        <w:autoSpaceDN w:val="0"/>
        <w:adjustRightInd w:val="0"/>
        <w:ind w:left="1440" w:hanging="720"/>
        <w:rPr>
          <w:rFonts w:ascii="Times New Roman" w:hAnsi="Times New Roman"/>
          <w:b/>
          <w:sz w:val="24"/>
          <w:szCs w:val="24"/>
        </w:rPr>
      </w:pPr>
      <w:r w:rsidRPr="00227D0B">
        <w:rPr>
          <w:rFonts w:ascii="Times New Roman" w:hAnsi="Times New Roman"/>
          <w:b/>
          <w:sz w:val="24"/>
          <w:szCs w:val="24"/>
        </w:rPr>
        <w:t>7.</w:t>
      </w:r>
      <w:r w:rsidRPr="00227D0B">
        <w:rPr>
          <w:rFonts w:ascii="Times New Roman" w:hAnsi="Times New Roman"/>
          <w:b/>
          <w:sz w:val="24"/>
          <w:szCs w:val="24"/>
        </w:rPr>
        <w:tab/>
        <w:t xml:space="preserve">Special </w:t>
      </w:r>
      <w:r w:rsidRPr="00227D0B" w:rsidR="00002AD4">
        <w:rPr>
          <w:rFonts w:ascii="Times New Roman" w:hAnsi="Times New Roman"/>
          <w:b/>
          <w:sz w:val="24"/>
          <w:szCs w:val="24"/>
        </w:rPr>
        <w:t>Circumstances</w:t>
      </w:r>
    </w:p>
    <w:p w:rsidR="00B04CEA" w:rsidP="004947A9" w:rsidRDefault="00B04CEA" w14:paraId="0F28833F" w14:textId="0338F153">
      <w:pPr>
        <w:autoSpaceDE w:val="0"/>
        <w:autoSpaceDN w:val="0"/>
        <w:adjustRightInd w:val="0"/>
        <w:ind w:left="1440"/>
        <w:rPr>
          <w:rFonts w:ascii="Times New Roman" w:hAnsi="Times New Roman"/>
          <w:sz w:val="24"/>
          <w:szCs w:val="24"/>
        </w:rPr>
      </w:pPr>
      <w:r w:rsidRPr="00227D0B">
        <w:rPr>
          <w:rFonts w:ascii="Times New Roman" w:hAnsi="Times New Roman"/>
          <w:sz w:val="24"/>
          <w:szCs w:val="24"/>
        </w:rPr>
        <w:t xml:space="preserve">There are no special circumstances that would cause this information collection to be conducted in a manner inconsistent with </w:t>
      </w:r>
      <w:r w:rsidRPr="00227D0B">
        <w:rPr>
          <w:rFonts w:ascii="Times New Roman" w:hAnsi="Times New Roman"/>
          <w:i/>
          <w:sz w:val="24"/>
          <w:szCs w:val="24"/>
        </w:rPr>
        <w:t>5 CFR 1320.5</w:t>
      </w:r>
      <w:r w:rsidRPr="00227D0B">
        <w:rPr>
          <w:rFonts w:ascii="Times New Roman" w:hAnsi="Times New Roman"/>
          <w:sz w:val="24"/>
          <w:szCs w:val="24"/>
        </w:rPr>
        <w:t>.</w:t>
      </w:r>
    </w:p>
    <w:p w:rsidR="008D0233" w:rsidP="004947A9" w:rsidRDefault="008D0233" w14:paraId="1B4ABB5E" w14:textId="0E1B10A9">
      <w:pPr>
        <w:autoSpaceDE w:val="0"/>
        <w:autoSpaceDN w:val="0"/>
        <w:adjustRightInd w:val="0"/>
        <w:ind w:left="1440"/>
        <w:rPr>
          <w:rFonts w:ascii="Times New Roman" w:hAnsi="Times New Roman"/>
          <w:sz w:val="24"/>
          <w:szCs w:val="24"/>
        </w:rPr>
      </w:pPr>
    </w:p>
    <w:p w:rsidRPr="00227D0B" w:rsidR="008D0233" w:rsidP="004947A9" w:rsidRDefault="008D0233" w14:paraId="3F5ADA51" w14:textId="77777777">
      <w:pPr>
        <w:autoSpaceDE w:val="0"/>
        <w:autoSpaceDN w:val="0"/>
        <w:adjustRightInd w:val="0"/>
        <w:ind w:left="1440"/>
        <w:rPr>
          <w:rFonts w:ascii="Times New Roman" w:hAnsi="Times New Roman"/>
          <w:sz w:val="24"/>
          <w:szCs w:val="24"/>
        </w:rPr>
      </w:pPr>
    </w:p>
    <w:p w:rsidRPr="00227D0B" w:rsidR="00B04CEA" w:rsidP="004947A9" w:rsidRDefault="00B04CEA" w14:paraId="48CFDE47" w14:textId="77777777">
      <w:pPr>
        <w:tabs>
          <w:tab w:val="left" w:pos="720"/>
        </w:tabs>
        <w:autoSpaceDE w:val="0"/>
        <w:autoSpaceDN w:val="0"/>
        <w:adjustRightInd w:val="0"/>
        <w:ind w:left="1440" w:hanging="720"/>
        <w:rPr>
          <w:rFonts w:ascii="Times New Roman" w:hAnsi="Times New Roman"/>
          <w:b/>
          <w:sz w:val="24"/>
          <w:szCs w:val="24"/>
        </w:rPr>
      </w:pPr>
      <w:r w:rsidRPr="00227D0B">
        <w:rPr>
          <w:rFonts w:ascii="Times New Roman" w:hAnsi="Times New Roman"/>
          <w:b/>
          <w:sz w:val="24"/>
          <w:szCs w:val="24"/>
        </w:rPr>
        <w:lastRenderedPageBreak/>
        <w:t>8.</w:t>
      </w:r>
      <w:r w:rsidRPr="00227D0B">
        <w:rPr>
          <w:rFonts w:ascii="Times New Roman" w:hAnsi="Times New Roman"/>
          <w:b/>
          <w:sz w:val="24"/>
          <w:szCs w:val="24"/>
        </w:rPr>
        <w:tab/>
        <w:t>Solicitation of Public Comment and Other Consultations with the Public</w:t>
      </w:r>
    </w:p>
    <w:p w:rsidR="00211CF7" w:rsidP="00FD48B1" w:rsidRDefault="00211CF7" w14:paraId="7516DB78" w14:textId="25BA6CD3">
      <w:pPr>
        <w:autoSpaceDE w:val="0"/>
        <w:autoSpaceDN w:val="0"/>
        <w:adjustRightInd w:val="0"/>
        <w:ind w:left="1440"/>
        <w:rPr>
          <w:rFonts w:ascii="Times New Roman" w:hAnsi="Times New Roman" w:eastAsia="Times New Roman"/>
          <w:bCs/>
          <w:snapToGrid w:val="0"/>
          <w:sz w:val="24"/>
          <w:szCs w:val="24"/>
          <w:lang w:bidi="en-US"/>
        </w:rPr>
      </w:pPr>
      <w:r w:rsidRPr="00211CF7">
        <w:rPr>
          <w:rFonts w:ascii="Times New Roman" w:hAnsi="Times New Roman" w:eastAsia="Times New Roman"/>
          <w:bCs/>
          <w:snapToGrid w:val="0"/>
          <w:sz w:val="24"/>
          <w:szCs w:val="24"/>
          <w:lang w:bidi="en-US"/>
        </w:rPr>
        <w:t xml:space="preserve">SSA published the Emergency PRA Approval Request in the </w:t>
      </w:r>
      <w:r w:rsidRPr="00211CF7">
        <w:rPr>
          <w:rFonts w:ascii="Times New Roman" w:hAnsi="Times New Roman" w:eastAsia="Times New Roman"/>
          <w:bCs/>
          <w:i/>
          <w:snapToGrid w:val="0"/>
          <w:sz w:val="24"/>
          <w:szCs w:val="24"/>
          <w:lang w:bidi="en-US"/>
        </w:rPr>
        <w:t xml:space="preserve">Federal Register </w:t>
      </w:r>
      <w:r w:rsidRPr="00211CF7">
        <w:rPr>
          <w:rFonts w:ascii="Times New Roman" w:hAnsi="Times New Roman" w:eastAsia="Times New Roman"/>
          <w:bCs/>
          <w:snapToGrid w:val="0"/>
          <w:sz w:val="24"/>
          <w:szCs w:val="24"/>
          <w:lang w:bidi="en-US"/>
        </w:rPr>
        <w:t xml:space="preserve">on </w:t>
      </w:r>
      <w:r w:rsidRPr="00B2423D">
        <w:rPr>
          <w:rFonts w:ascii="Times New Roman" w:hAnsi="Times New Roman"/>
          <w:sz w:val="24"/>
          <w:szCs w:val="24"/>
        </w:rPr>
        <w:t xml:space="preserve">December 3, </w:t>
      </w:r>
      <w:r w:rsidRPr="00B2423D">
        <w:rPr>
          <w:rFonts w:ascii="Times New Roman" w:hAnsi="Times New Roman"/>
          <w:sz w:val="24"/>
          <w:szCs w:val="24"/>
        </w:rPr>
        <w:t>2021,</w:t>
      </w:r>
      <w:r w:rsidRPr="001C67EE">
        <w:rPr>
          <w:rFonts w:ascii="Times New Roman" w:hAnsi="Times New Roman"/>
          <w:b/>
          <w:bCs/>
          <w:color w:val="FF0000"/>
          <w:sz w:val="24"/>
          <w:szCs w:val="24"/>
        </w:rPr>
        <w:t xml:space="preserve"> </w:t>
      </w:r>
      <w:r>
        <w:rPr>
          <w:rFonts w:ascii="Times New Roman" w:hAnsi="Times New Roman"/>
          <w:sz w:val="24"/>
          <w:szCs w:val="24"/>
        </w:rPr>
        <w:t>at 86 FR 68717</w:t>
      </w:r>
      <w:r w:rsidRPr="00211CF7">
        <w:rPr>
          <w:rFonts w:ascii="Times New Roman" w:hAnsi="Times New Roman" w:eastAsia="Times New Roman"/>
          <w:bCs/>
          <w:snapToGrid w:val="0"/>
          <w:sz w:val="24"/>
          <w:szCs w:val="24"/>
          <w:lang w:bidi="en-US"/>
        </w:rPr>
        <w:t>.  Due to the critical time sensitivity of this ICR</w:t>
      </w:r>
      <w:r>
        <w:rPr>
          <w:rFonts w:ascii="Times New Roman" w:hAnsi="Times New Roman" w:eastAsia="Times New Roman"/>
          <w:bCs/>
          <w:snapToGrid w:val="0"/>
          <w:sz w:val="24"/>
          <w:szCs w:val="24"/>
          <w:lang w:bidi="en-US"/>
        </w:rPr>
        <w:t>,</w:t>
      </w:r>
      <w:r w:rsidRPr="00211CF7">
        <w:rPr>
          <w:rFonts w:ascii="Times New Roman" w:hAnsi="Times New Roman" w:eastAsia="Times New Roman"/>
          <w:bCs/>
          <w:snapToGrid w:val="0"/>
          <w:sz w:val="24"/>
          <w:szCs w:val="24"/>
          <w:lang w:bidi="en-US"/>
        </w:rPr>
        <w:t xml:space="preserve"> </w:t>
      </w:r>
      <w:r>
        <w:rPr>
          <w:rFonts w:ascii="Times New Roman" w:hAnsi="Times New Roman"/>
          <w:sz w:val="24"/>
          <w:szCs w:val="24"/>
        </w:rPr>
        <w:t>OMB agreed to waive a formal public comment period.  Nonetheless, we</w:t>
      </w:r>
      <w:r>
        <w:rPr>
          <w:rFonts w:ascii="Times New Roman" w:hAnsi="Times New Roman"/>
          <w:sz w:val="24"/>
          <w:szCs w:val="24"/>
        </w:rPr>
        <w:t xml:space="preserve"> </w:t>
      </w:r>
      <w:r>
        <w:rPr>
          <w:rFonts w:ascii="Times New Roman" w:hAnsi="Times New Roman"/>
          <w:sz w:val="24"/>
          <w:szCs w:val="24"/>
        </w:rPr>
        <w:t>invited the public to share comments with us if they wish to do so</w:t>
      </w:r>
      <w:r w:rsidRPr="00211CF7">
        <w:rPr>
          <w:rFonts w:ascii="Times New Roman" w:hAnsi="Times New Roman" w:eastAsia="Times New Roman"/>
          <w:bCs/>
          <w:snapToGrid w:val="0"/>
          <w:sz w:val="24"/>
          <w:szCs w:val="24"/>
          <w:lang w:bidi="en-US"/>
        </w:rPr>
        <w:t>.</w:t>
      </w:r>
      <w:r>
        <w:rPr>
          <w:rFonts w:ascii="Times New Roman" w:hAnsi="Times New Roman" w:eastAsia="Times New Roman"/>
          <w:bCs/>
          <w:snapToGrid w:val="0"/>
          <w:sz w:val="24"/>
          <w:szCs w:val="24"/>
          <w:lang w:bidi="en-US"/>
        </w:rPr>
        <w:t xml:space="preserve">  W</w:t>
      </w:r>
      <w:r w:rsidRPr="00211CF7">
        <w:rPr>
          <w:rFonts w:ascii="Times New Roman" w:hAnsi="Times New Roman" w:eastAsia="Times New Roman"/>
          <w:bCs/>
          <w:snapToGrid w:val="0"/>
          <w:sz w:val="24"/>
          <w:szCs w:val="24"/>
          <w:lang w:bidi="en-US"/>
        </w:rPr>
        <w:t xml:space="preserve">e allowed for a full 30-day Comment Period which ended on </w:t>
      </w:r>
      <w:r>
        <w:rPr>
          <w:rFonts w:ascii="Times New Roman" w:hAnsi="Times New Roman" w:eastAsia="Times New Roman"/>
          <w:bCs/>
          <w:snapToGrid w:val="0"/>
          <w:sz w:val="24"/>
          <w:szCs w:val="24"/>
          <w:lang w:bidi="en-US"/>
        </w:rPr>
        <w:t>January 3</w:t>
      </w:r>
      <w:r w:rsidRPr="00211CF7">
        <w:rPr>
          <w:rFonts w:ascii="Times New Roman" w:hAnsi="Times New Roman" w:eastAsia="Times New Roman"/>
          <w:bCs/>
          <w:snapToGrid w:val="0"/>
          <w:sz w:val="24"/>
          <w:szCs w:val="24"/>
          <w:lang w:bidi="en-US"/>
        </w:rPr>
        <w:t xml:space="preserve">, 2022.  During that time, we received </w:t>
      </w:r>
      <w:r>
        <w:rPr>
          <w:rFonts w:ascii="Times New Roman" w:hAnsi="Times New Roman" w:eastAsia="Times New Roman"/>
          <w:bCs/>
          <w:snapToGrid w:val="0"/>
          <w:sz w:val="24"/>
          <w:szCs w:val="24"/>
          <w:lang w:bidi="en-US"/>
        </w:rPr>
        <w:t>seven</w:t>
      </w:r>
      <w:r w:rsidRPr="00211CF7">
        <w:rPr>
          <w:rFonts w:ascii="Times New Roman" w:hAnsi="Times New Roman" w:eastAsia="Times New Roman"/>
          <w:bCs/>
          <w:snapToGrid w:val="0"/>
          <w:sz w:val="24"/>
          <w:szCs w:val="24"/>
          <w:lang w:bidi="en-US"/>
        </w:rPr>
        <w:t xml:space="preserve"> public comments, which we addressed in the Addendum to this Supporting Statement document.</w:t>
      </w:r>
    </w:p>
    <w:p w:rsidR="00211CF7" w:rsidP="00FD48B1" w:rsidRDefault="00211CF7" w14:paraId="424F85DB" w14:textId="77777777">
      <w:pPr>
        <w:autoSpaceDE w:val="0"/>
        <w:autoSpaceDN w:val="0"/>
        <w:adjustRightInd w:val="0"/>
        <w:ind w:left="1440"/>
        <w:rPr>
          <w:rFonts w:ascii="Times New Roman" w:hAnsi="Times New Roman" w:eastAsia="Times New Roman"/>
          <w:bCs/>
          <w:snapToGrid w:val="0"/>
          <w:sz w:val="24"/>
          <w:szCs w:val="24"/>
          <w:lang w:bidi="en-US"/>
        </w:rPr>
      </w:pPr>
    </w:p>
    <w:p w:rsidRPr="00FD48B1" w:rsidR="00FD48B1" w:rsidP="00FD48B1" w:rsidRDefault="00DB6DB7" w14:paraId="4BE8E46F" w14:textId="08EE8ACD">
      <w:pPr>
        <w:autoSpaceDE w:val="0"/>
        <w:autoSpaceDN w:val="0"/>
        <w:adjustRightInd w:val="0"/>
        <w:ind w:left="1440"/>
        <w:rPr>
          <w:rFonts w:ascii="Times New Roman" w:hAnsi="Times New Roman" w:eastAsia="Times New Roman"/>
          <w:bCs/>
          <w:snapToGrid w:val="0"/>
          <w:sz w:val="24"/>
          <w:szCs w:val="24"/>
          <w:lang w:bidi="en-US"/>
        </w:rPr>
      </w:pPr>
      <w:r w:rsidRPr="00DB6DB7">
        <w:rPr>
          <w:rFonts w:ascii="Times New Roman" w:hAnsi="Times New Roman" w:eastAsia="Times New Roman"/>
          <w:bCs/>
          <w:snapToGrid w:val="0"/>
          <w:sz w:val="24"/>
          <w:szCs w:val="24"/>
          <w:lang w:bidi="en-US"/>
        </w:rPr>
        <w:t xml:space="preserve">The 60-day advance Federal Register Notice published on March </w:t>
      </w:r>
      <w:r>
        <w:rPr>
          <w:rFonts w:ascii="Times New Roman" w:hAnsi="Times New Roman" w:eastAsia="Times New Roman"/>
          <w:bCs/>
          <w:snapToGrid w:val="0"/>
          <w:sz w:val="24"/>
          <w:szCs w:val="24"/>
          <w:lang w:bidi="en-US"/>
        </w:rPr>
        <w:t>3</w:t>
      </w:r>
      <w:r w:rsidRPr="00DB6DB7">
        <w:rPr>
          <w:rFonts w:ascii="Times New Roman" w:hAnsi="Times New Roman" w:eastAsia="Times New Roman"/>
          <w:bCs/>
          <w:snapToGrid w:val="0"/>
          <w:sz w:val="24"/>
          <w:szCs w:val="24"/>
          <w:lang w:bidi="en-US"/>
        </w:rPr>
        <w:t>0, 2022, at 87</w:t>
      </w:r>
      <w:r w:rsidR="00FD48B1">
        <w:rPr>
          <w:rFonts w:ascii="Times New Roman" w:hAnsi="Times New Roman" w:eastAsia="Times New Roman"/>
          <w:bCs/>
          <w:snapToGrid w:val="0"/>
          <w:sz w:val="24"/>
          <w:szCs w:val="24"/>
          <w:lang w:bidi="en-US"/>
        </w:rPr>
        <w:t> </w:t>
      </w:r>
      <w:r w:rsidRPr="00DB6DB7">
        <w:rPr>
          <w:rFonts w:ascii="Times New Roman" w:hAnsi="Times New Roman" w:eastAsia="Times New Roman"/>
          <w:bCs/>
          <w:snapToGrid w:val="0"/>
          <w:sz w:val="24"/>
          <w:szCs w:val="24"/>
          <w:lang w:bidi="en-US"/>
        </w:rPr>
        <w:t xml:space="preserve">FR </w:t>
      </w:r>
      <w:r>
        <w:rPr>
          <w:rFonts w:ascii="Times New Roman" w:hAnsi="Times New Roman" w:eastAsia="Times New Roman"/>
          <w:bCs/>
          <w:snapToGrid w:val="0"/>
          <w:sz w:val="24"/>
          <w:szCs w:val="24"/>
          <w:lang w:bidi="en-US"/>
        </w:rPr>
        <w:t>18453</w:t>
      </w:r>
      <w:r w:rsidRPr="00DB6DB7">
        <w:rPr>
          <w:rFonts w:ascii="Times New Roman" w:hAnsi="Times New Roman" w:eastAsia="Times New Roman"/>
          <w:bCs/>
          <w:snapToGrid w:val="0"/>
          <w:sz w:val="24"/>
          <w:szCs w:val="24"/>
          <w:lang w:bidi="en-US"/>
        </w:rPr>
        <w:t xml:space="preserve">, and we received no public comments.  The 30-day FRN published on </w:t>
      </w:r>
      <w:r>
        <w:rPr>
          <w:rFonts w:ascii="Times New Roman" w:hAnsi="Times New Roman" w:eastAsia="Times New Roman"/>
          <w:bCs/>
          <w:snapToGrid w:val="0"/>
          <w:sz w:val="24"/>
          <w:szCs w:val="24"/>
          <w:lang w:bidi="en-US"/>
        </w:rPr>
        <w:t>June 1</w:t>
      </w:r>
      <w:r w:rsidRPr="00DB6DB7">
        <w:rPr>
          <w:rFonts w:ascii="Times New Roman" w:hAnsi="Times New Roman" w:eastAsia="Times New Roman"/>
          <w:bCs/>
          <w:snapToGrid w:val="0"/>
          <w:sz w:val="24"/>
          <w:szCs w:val="24"/>
          <w:lang w:bidi="en-US"/>
        </w:rPr>
        <w:t xml:space="preserve">, 2022, at 87 FR </w:t>
      </w:r>
      <w:r>
        <w:rPr>
          <w:rFonts w:ascii="Times New Roman" w:hAnsi="Times New Roman" w:eastAsia="Times New Roman"/>
          <w:bCs/>
          <w:snapToGrid w:val="0"/>
          <w:sz w:val="24"/>
          <w:szCs w:val="24"/>
          <w:lang w:bidi="en-US"/>
        </w:rPr>
        <w:t>33282</w:t>
      </w:r>
      <w:r w:rsidRPr="00DB6DB7">
        <w:rPr>
          <w:rFonts w:ascii="Times New Roman" w:hAnsi="Times New Roman" w:eastAsia="Times New Roman"/>
          <w:bCs/>
          <w:snapToGrid w:val="0"/>
          <w:sz w:val="24"/>
          <w:szCs w:val="24"/>
          <w:lang w:bidi="en-US"/>
        </w:rPr>
        <w:t>.  If we receive any comments in response to this Notice, we will forward them to OMB</w:t>
      </w:r>
      <w:r>
        <w:rPr>
          <w:rFonts w:ascii="Times New Roman" w:hAnsi="Times New Roman" w:eastAsia="Times New Roman"/>
          <w:bCs/>
          <w:snapToGrid w:val="0"/>
          <w:sz w:val="24"/>
          <w:szCs w:val="24"/>
          <w:lang w:bidi="en-US"/>
        </w:rPr>
        <w:t>.</w:t>
      </w:r>
    </w:p>
    <w:p w:rsidRPr="00227D0B" w:rsidR="00B04CEA" w:rsidP="004947A9" w:rsidRDefault="00B04CEA" w14:paraId="03698ABF" w14:textId="77777777">
      <w:pPr>
        <w:autoSpaceDE w:val="0"/>
        <w:autoSpaceDN w:val="0"/>
        <w:adjustRightInd w:val="0"/>
        <w:ind w:left="1440"/>
        <w:rPr>
          <w:rFonts w:ascii="Times New Roman" w:hAnsi="Times New Roman"/>
          <w:sz w:val="24"/>
          <w:szCs w:val="24"/>
        </w:rPr>
      </w:pPr>
    </w:p>
    <w:p w:rsidRPr="00227D0B" w:rsidR="00B04CEA" w:rsidP="004947A9" w:rsidRDefault="00B04CEA" w14:paraId="02FC6B93" w14:textId="77777777">
      <w:pPr>
        <w:tabs>
          <w:tab w:val="left" w:pos="720"/>
        </w:tabs>
        <w:autoSpaceDE w:val="0"/>
        <w:autoSpaceDN w:val="0"/>
        <w:adjustRightInd w:val="0"/>
        <w:ind w:left="1440" w:hanging="720"/>
        <w:rPr>
          <w:rFonts w:ascii="Times New Roman" w:hAnsi="Times New Roman"/>
          <w:b/>
          <w:sz w:val="24"/>
          <w:szCs w:val="24"/>
        </w:rPr>
      </w:pPr>
      <w:r w:rsidRPr="00227D0B">
        <w:rPr>
          <w:rFonts w:ascii="Times New Roman" w:hAnsi="Times New Roman"/>
          <w:b/>
          <w:sz w:val="24"/>
          <w:szCs w:val="24"/>
        </w:rPr>
        <w:t>9.</w:t>
      </w:r>
      <w:r w:rsidRPr="00227D0B">
        <w:rPr>
          <w:rFonts w:ascii="Times New Roman" w:hAnsi="Times New Roman"/>
          <w:b/>
          <w:sz w:val="24"/>
          <w:szCs w:val="24"/>
        </w:rPr>
        <w:tab/>
        <w:t>Payment or Gifts to Responders</w:t>
      </w:r>
    </w:p>
    <w:p w:rsidRPr="00227D0B" w:rsidR="00B04CEA" w:rsidP="004947A9" w:rsidRDefault="00B655BA" w14:paraId="28B7A3FF" w14:textId="5EFD3A02">
      <w:pPr>
        <w:autoSpaceDE w:val="0"/>
        <w:autoSpaceDN w:val="0"/>
        <w:adjustRightInd w:val="0"/>
        <w:ind w:left="1440"/>
        <w:rPr>
          <w:rFonts w:ascii="Times New Roman" w:hAnsi="Times New Roman"/>
          <w:sz w:val="24"/>
          <w:szCs w:val="24"/>
        </w:rPr>
      </w:pPr>
      <w:r w:rsidRPr="00B655BA">
        <w:rPr>
          <w:rFonts w:ascii="Times New Roman" w:hAnsi="Times New Roman"/>
          <w:sz w:val="24"/>
          <w:szCs w:val="24"/>
        </w:rPr>
        <w:t>SSA does not provide payments or gifts to the respondents</w:t>
      </w:r>
      <w:r w:rsidRPr="00227D0B" w:rsidR="00B04CEA">
        <w:rPr>
          <w:rFonts w:ascii="Times New Roman" w:hAnsi="Times New Roman"/>
          <w:sz w:val="24"/>
          <w:szCs w:val="24"/>
        </w:rPr>
        <w:t>.</w:t>
      </w:r>
    </w:p>
    <w:p w:rsidRPr="00227D0B" w:rsidR="00F64706" w:rsidP="004947A9" w:rsidRDefault="00F64706" w14:paraId="331EC8AB" w14:textId="77777777">
      <w:pPr>
        <w:autoSpaceDE w:val="0"/>
        <w:autoSpaceDN w:val="0"/>
        <w:adjustRightInd w:val="0"/>
        <w:ind w:left="1440"/>
        <w:rPr>
          <w:rFonts w:ascii="Times New Roman" w:hAnsi="Times New Roman"/>
          <w:sz w:val="24"/>
          <w:szCs w:val="24"/>
        </w:rPr>
      </w:pPr>
    </w:p>
    <w:p w:rsidRPr="00227D0B" w:rsidR="00941976" w:rsidP="004947A9" w:rsidRDefault="00B04CEA" w14:paraId="3F0505A3" w14:textId="77777777">
      <w:pPr>
        <w:tabs>
          <w:tab w:val="left" w:pos="720"/>
        </w:tabs>
        <w:autoSpaceDE w:val="0"/>
        <w:autoSpaceDN w:val="0"/>
        <w:adjustRightInd w:val="0"/>
        <w:ind w:left="1440" w:hanging="720"/>
        <w:rPr>
          <w:rFonts w:ascii="Times New Roman" w:hAnsi="Times New Roman"/>
          <w:sz w:val="24"/>
          <w:szCs w:val="24"/>
        </w:rPr>
      </w:pPr>
      <w:r w:rsidRPr="00227D0B">
        <w:rPr>
          <w:rFonts w:ascii="Times New Roman" w:hAnsi="Times New Roman"/>
          <w:b/>
          <w:sz w:val="24"/>
          <w:szCs w:val="24"/>
        </w:rPr>
        <w:t>10.</w:t>
      </w:r>
      <w:r w:rsidRPr="00227D0B">
        <w:rPr>
          <w:rFonts w:ascii="Times New Roman" w:hAnsi="Times New Roman"/>
          <w:b/>
          <w:sz w:val="24"/>
          <w:szCs w:val="24"/>
        </w:rPr>
        <w:tab/>
        <w:t>Assurances of Confidentiality</w:t>
      </w:r>
      <w:r w:rsidRPr="00227D0B" w:rsidR="00941976">
        <w:rPr>
          <w:rFonts w:ascii="Times New Roman" w:hAnsi="Times New Roman"/>
          <w:sz w:val="24"/>
          <w:szCs w:val="24"/>
        </w:rPr>
        <w:t xml:space="preserve">  </w:t>
      </w:r>
    </w:p>
    <w:p w:rsidR="00AD6D32" w:rsidP="004947A9" w:rsidRDefault="00AD6D32" w14:paraId="3EB61CED" w14:textId="0726EE1F">
      <w:pPr>
        <w:autoSpaceDE w:val="0"/>
        <w:autoSpaceDN w:val="0"/>
        <w:adjustRightInd w:val="0"/>
        <w:ind w:left="1440"/>
        <w:rPr>
          <w:rFonts w:ascii="Times New Roman" w:hAnsi="Times New Roman"/>
          <w:sz w:val="24"/>
          <w:szCs w:val="24"/>
        </w:rPr>
      </w:pPr>
      <w:r w:rsidRPr="00227D0B">
        <w:rPr>
          <w:rFonts w:ascii="Times New Roman" w:hAnsi="Times New Roman"/>
          <w:sz w:val="24"/>
          <w:szCs w:val="24"/>
        </w:rPr>
        <w:t>SSA protects and holds confidential the information it collects in accordance with</w:t>
      </w:r>
      <w:r w:rsidRPr="00227D0B">
        <w:rPr>
          <w:rFonts w:ascii="Times New Roman" w:hAnsi="Times New Roman"/>
          <w:i/>
          <w:sz w:val="24"/>
          <w:szCs w:val="24"/>
        </w:rPr>
        <w:t xml:space="preserve"> 42 U.S.C. 1306, 20 CFR 401 </w:t>
      </w:r>
      <w:r w:rsidRPr="00227D0B">
        <w:rPr>
          <w:rFonts w:ascii="Times New Roman" w:hAnsi="Times New Roman"/>
          <w:sz w:val="24"/>
          <w:szCs w:val="24"/>
        </w:rPr>
        <w:t xml:space="preserve">and </w:t>
      </w:r>
      <w:r w:rsidRPr="00227D0B">
        <w:rPr>
          <w:rFonts w:ascii="Times New Roman" w:hAnsi="Times New Roman"/>
          <w:i/>
          <w:sz w:val="24"/>
          <w:szCs w:val="24"/>
        </w:rPr>
        <w:t xml:space="preserve">402, 5 U.S.C. 552 </w:t>
      </w:r>
      <w:r w:rsidRPr="00227D0B">
        <w:rPr>
          <w:rFonts w:ascii="Times New Roman" w:hAnsi="Times New Roman"/>
          <w:sz w:val="24"/>
          <w:szCs w:val="24"/>
        </w:rPr>
        <w:t>(Freedom of Information Act),</w:t>
      </w:r>
      <w:r w:rsidRPr="00227D0B">
        <w:rPr>
          <w:rFonts w:ascii="Times New Roman" w:hAnsi="Times New Roman"/>
          <w:i/>
          <w:sz w:val="24"/>
          <w:szCs w:val="24"/>
        </w:rPr>
        <w:t xml:space="preserve"> 5 U.S. C. 552a </w:t>
      </w:r>
      <w:r w:rsidRPr="00227D0B">
        <w:rPr>
          <w:rFonts w:ascii="Times New Roman" w:hAnsi="Times New Roman"/>
          <w:sz w:val="24"/>
          <w:szCs w:val="24"/>
        </w:rPr>
        <w:t>(Privacy Act of 1974), and OMB Circular No. A-130.</w:t>
      </w:r>
    </w:p>
    <w:p w:rsidR="00FA24B2" w:rsidP="004947A9" w:rsidRDefault="00FA24B2" w14:paraId="7B89DA63" w14:textId="728BF638">
      <w:pPr>
        <w:autoSpaceDE w:val="0"/>
        <w:autoSpaceDN w:val="0"/>
        <w:adjustRightInd w:val="0"/>
        <w:ind w:left="1440"/>
        <w:rPr>
          <w:rFonts w:ascii="Times New Roman" w:hAnsi="Times New Roman"/>
          <w:sz w:val="24"/>
          <w:szCs w:val="24"/>
        </w:rPr>
      </w:pPr>
    </w:p>
    <w:p w:rsidRPr="00B771D7" w:rsidR="00F60525" w:rsidP="004947A9" w:rsidRDefault="00F60525" w14:paraId="0FB0C3A7" w14:textId="77777777">
      <w:pPr>
        <w:ind w:left="1440"/>
        <w:rPr>
          <w:rFonts w:ascii="Times New Roman" w:hAnsi="Times New Roman"/>
          <w:bCs/>
          <w:sz w:val="24"/>
          <w:szCs w:val="24"/>
        </w:rPr>
      </w:pPr>
      <w:r w:rsidRPr="00B771D7">
        <w:rPr>
          <w:rFonts w:ascii="Times New Roman" w:hAnsi="Times New Roman"/>
          <w:b/>
          <w:sz w:val="24"/>
          <w:szCs w:val="24"/>
        </w:rPr>
        <w:t>Data Usage and Storage</w:t>
      </w:r>
    </w:p>
    <w:p w:rsidRPr="00F60525" w:rsidR="00F60525" w:rsidP="004947A9" w:rsidRDefault="00F60525" w14:paraId="0B4E9A97" w14:textId="6E1AAD7C">
      <w:pPr>
        <w:ind w:left="1440"/>
        <w:rPr>
          <w:rFonts w:ascii="Times New Roman" w:hAnsi="Times New Roman"/>
          <w:bCs/>
          <w:sz w:val="24"/>
          <w:szCs w:val="24"/>
        </w:rPr>
      </w:pPr>
      <w:r w:rsidRPr="00F60525">
        <w:rPr>
          <w:rFonts w:ascii="Times New Roman" w:hAnsi="Times New Roman"/>
          <w:bCs/>
          <w:sz w:val="24"/>
          <w:szCs w:val="24"/>
        </w:rPr>
        <w:t xml:space="preserve">SSA </w:t>
      </w:r>
      <w:r w:rsidR="008D0233">
        <w:rPr>
          <w:rFonts w:ascii="Times New Roman" w:hAnsi="Times New Roman"/>
          <w:bCs/>
          <w:sz w:val="24"/>
          <w:szCs w:val="24"/>
        </w:rPr>
        <w:t>uses</w:t>
      </w:r>
      <w:r w:rsidRPr="00F60525">
        <w:rPr>
          <w:rFonts w:ascii="Times New Roman" w:hAnsi="Times New Roman"/>
          <w:bCs/>
          <w:sz w:val="24"/>
          <w:szCs w:val="24"/>
        </w:rPr>
        <w:t xml:space="preserve"> th</w:t>
      </w:r>
      <w:r w:rsidR="00B771D7">
        <w:rPr>
          <w:rFonts w:ascii="Times New Roman" w:hAnsi="Times New Roman"/>
          <w:bCs/>
          <w:sz w:val="24"/>
          <w:szCs w:val="24"/>
        </w:rPr>
        <w:t>ese</w:t>
      </w:r>
      <w:r w:rsidRPr="00F60525">
        <w:rPr>
          <w:rFonts w:ascii="Times New Roman" w:hAnsi="Times New Roman"/>
          <w:bCs/>
          <w:sz w:val="24"/>
          <w:szCs w:val="24"/>
        </w:rPr>
        <w:t xml:space="preserve"> information collection</w:t>
      </w:r>
      <w:r w:rsidR="00B771D7">
        <w:rPr>
          <w:rFonts w:ascii="Times New Roman" w:hAnsi="Times New Roman"/>
          <w:bCs/>
          <w:sz w:val="24"/>
          <w:szCs w:val="24"/>
        </w:rPr>
        <w:t>s</w:t>
      </w:r>
      <w:r w:rsidRPr="00F60525">
        <w:rPr>
          <w:rFonts w:ascii="Times New Roman" w:hAnsi="Times New Roman"/>
          <w:bCs/>
          <w:sz w:val="24"/>
          <w:szCs w:val="24"/>
        </w:rPr>
        <w:t xml:space="preserve"> primarily as an on-site, </w:t>
      </w:r>
      <w:r w:rsidR="00541A17">
        <w:rPr>
          <w:rFonts w:ascii="Times New Roman" w:hAnsi="Times New Roman"/>
          <w:bCs/>
          <w:sz w:val="24"/>
          <w:szCs w:val="24"/>
        </w:rPr>
        <w:t>point</w:t>
      </w:r>
      <w:r w:rsidR="00B771D7">
        <w:rPr>
          <w:rFonts w:ascii="Times New Roman" w:hAnsi="Times New Roman"/>
          <w:bCs/>
          <w:sz w:val="24"/>
          <w:szCs w:val="24"/>
        </w:rPr>
        <w:noBreakHyphen/>
      </w:r>
      <w:r w:rsidR="00541A17">
        <w:rPr>
          <w:rFonts w:ascii="Times New Roman" w:hAnsi="Times New Roman"/>
          <w:bCs/>
          <w:sz w:val="24"/>
          <w:szCs w:val="24"/>
        </w:rPr>
        <w:t>of</w:t>
      </w:r>
      <w:r w:rsidR="00B771D7">
        <w:rPr>
          <w:rFonts w:ascii="Times New Roman" w:hAnsi="Times New Roman"/>
          <w:bCs/>
          <w:sz w:val="24"/>
          <w:szCs w:val="24"/>
        </w:rPr>
        <w:noBreakHyphen/>
      </w:r>
      <w:r w:rsidR="00541A17">
        <w:rPr>
          <w:rFonts w:ascii="Times New Roman" w:hAnsi="Times New Roman"/>
          <w:bCs/>
          <w:sz w:val="24"/>
          <w:szCs w:val="24"/>
        </w:rPr>
        <w:t>service</w:t>
      </w:r>
      <w:r w:rsidRPr="00F60525">
        <w:rPr>
          <w:rFonts w:ascii="Times New Roman" w:hAnsi="Times New Roman"/>
          <w:bCs/>
          <w:sz w:val="24"/>
          <w:szCs w:val="24"/>
        </w:rPr>
        <w:t xml:space="preserve"> screening tool</w:t>
      </w:r>
      <w:r w:rsidR="00B771D7">
        <w:rPr>
          <w:rFonts w:ascii="Times New Roman" w:hAnsi="Times New Roman"/>
          <w:bCs/>
          <w:sz w:val="24"/>
          <w:szCs w:val="24"/>
        </w:rPr>
        <w:t>s</w:t>
      </w:r>
      <w:r w:rsidRPr="00F60525">
        <w:rPr>
          <w:rFonts w:ascii="Times New Roman" w:hAnsi="Times New Roman"/>
          <w:bCs/>
          <w:sz w:val="24"/>
          <w:szCs w:val="24"/>
        </w:rPr>
        <w:t xml:space="preserve">.  However, we also retain </w:t>
      </w:r>
      <w:r>
        <w:rPr>
          <w:rFonts w:ascii="Times New Roman" w:hAnsi="Times New Roman"/>
          <w:bCs/>
          <w:sz w:val="24"/>
          <w:szCs w:val="24"/>
        </w:rPr>
        <w:t xml:space="preserve">the information </w:t>
      </w:r>
      <w:r w:rsidR="008D0233">
        <w:rPr>
          <w:rFonts w:ascii="Times New Roman" w:hAnsi="Times New Roman"/>
          <w:bCs/>
          <w:sz w:val="24"/>
          <w:szCs w:val="24"/>
        </w:rPr>
        <w:t>they</w:t>
      </w:r>
      <w:r w:rsidR="008D0233">
        <w:rPr>
          <w:rFonts w:ascii="Times New Roman" w:hAnsi="Times New Roman"/>
          <w:bCs/>
          <w:sz w:val="24"/>
          <w:szCs w:val="24"/>
        </w:rPr>
        <w:t xml:space="preserve"> </w:t>
      </w:r>
      <w:r>
        <w:rPr>
          <w:rFonts w:ascii="Times New Roman" w:hAnsi="Times New Roman"/>
          <w:bCs/>
          <w:sz w:val="24"/>
          <w:szCs w:val="24"/>
        </w:rPr>
        <w:t>collect</w:t>
      </w:r>
      <w:r w:rsidRPr="00F60525">
        <w:rPr>
          <w:rFonts w:ascii="Times New Roman" w:hAnsi="Times New Roman"/>
          <w:bCs/>
          <w:sz w:val="24"/>
          <w:szCs w:val="24"/>
        </w:rPr>
        <w:t xml:space="preserve"> for 24 hours, after which time we delete all Personally Identifiable Information</w:t>
      </w:r>
      <w:r>
        <w:rPr>
          <w:rFonts w:ascii="Times New Roman" w:hAnsi="Times New Roman"/>
          <w:bCs/>
          <w:sz w:val="24"/>
          <w:szCs w:val="24"/>
        </w:rPr>
        <w:t xml:space="preserve"> (PII)</w:t>
      </w:r>
      <w:r w:rsidRPr="00F60525">
        <w:rPr>
          <w:rFonts w:ascii="Times New Roman" w:hAnsi="Times New Roman"/>
          <w:bCs/>
          <w:sz w:val="24"/>
          <w:szCs w:val="24"/>
        </w:rPr>
        <w:t xml:space="preserve"> and store the data in anonymized form for management information purposes.  The data we retain provide</w:t>
      </w:r>
      <w:r w:rsidR="00F55CA7">
        <w:rPr>
          <w:rFonts w:ascii="Times New Roman" w:hAnsi="Times New Roman"/>
          <w:bCs/>
          <w:sz w:val="24"/>
          <w:szCs w:val="24"/>
        </w:rPr>
        <w:t>s</w:t>
      </w:r>
      <w:r w:rsidRPr="00F60525">
        <w:rPr>
          <w:rFonts w:ascii="Times New Roman" w:hAnsi="Times New Roman"/>
          <w:bCs/>
          <w:sz w:val="24"/>
          <w:szCs w:val="24"/>
        </w:rPr>
        <w:t xml:space="preserve"> a summary report by count, such as how many successful check</w:t>
      </w:r>
      <w:r w:rsidR="008D0233">
        <w:rPr>
          <w:rFonts w:ascii="Times New Roman" w:hAnsi="Times New Roman"/>
          <w:bCs/>
          <w:sz w:val="24"/>
          <w:szCs w:val="24"/>
        </w:rPr>
        <w:noBreakHyphen/>
      </w:r>
      <w:r w:rsidRPr="00F60525">
        <w:rPr>
          <w:rFonts w:ascii="Times New Roman" w:hAnsi="Times New Roman"/>
          <w:bCs/>
          <w:sz w:val="24"/>
          <w:szCs w:val="24"/>
        </w:rPr>
        <w:t xml:space="preserve">ins there </w:t>
      </w:r>
      <w:r w:rsidR="008D0233">
        <w:rPr>
          <w:rFonts w:ascii="Times New Roman" w:hAnsi="Times New Roman"/>
          <w:bCs/>
          <w:sz w:val="24"/>
          <w:szCs w:val="24"/>
        </w:rPr>
        <w:t>a</w:t>
      </w:r>
      <w:r w:rsidRPr="00F60525" w:rsidR="008D0233">
        <w:rPr>
          <w:rFonts w:ascii="Times New Roman" w:hAnsi="Times New Roman"/>
          <w:bCs/>
          <w:sz w:val="24"/>
          <w:szCs w:val="24"/>
        </w:rPr>
        <w:t>re</w:t>
      </w:r>
      <w:r w:rsidRPr="00F60525">
        <w:rPr>
          <w:rFonts w:ascii="Times New Roman" w:hAnsi="Times New Roman"/>
          <w:bCs/>
          <w:sz w:val="24"/>
          <w:szCs w:val="24"/>
        </w:rPr>
        <w:t>, how many people were cleared or not cleared to enter the hearing offices</w:t>
      </w:r>
      <w:r w:rsidR="00B771D7">
        <w:rPr>
          <w:rFonts w:ascii="Times New Roman" w:hAnsi="Times New Roman"/>
          <w:bCs/>
          <w:sz w:val="24"/>
          <w:szCs w:val="24"/>
        </w:rPr>
        <w:t xml:space="preserve"> and field offices</w:t>
      </w:r>
      <w:r w:rsidRPr="00F60525">
        <w:rPr>
          <w:rFonts w:ascii="Times New Roman" w:hAnsi="Times New Roman"/>
          <w:bCs/>
          <w:sz w:val="24"/>
          <w:szCs w:val="24"/>
        </w:rPr>
        <w:t xml:space="preserve">, and how many were rescheduled.  We use this information for purposes of planning future staffing.  We </w:t>
      </w:r>
      <w:r w:rsidR="008D0233">
        <w:rPr>
          <w:rFonts w:ascii="Times New Roman" w:hAnsi="Times New Roman"/>
          <w:bCs/>
          <w:sz w:val="24"/>
          <w:szCs w:val="24"/>
        </w:rPr>
        <w:t>do</w:t>
      </w:r>
      <w:r w:rsidRPr="00F60525" w:rsidR="008D0233">
        <w:rPr>
          <w:rFonts w:ascii="Times New Roman" w:hAnsi="Times New Roman"/>
          <w:bCs/>
          <w:sz w:val="24"/>
          <w:szCs w:val="24"/>
        </w:rPr>
        <w:t xml:space="preserve"> </w:t>
      </w:r>
      <w:r w:rsidRPr="00F60525">
        <w:rPr>
          <w:rFonts w:ascii="Times New Roman" w:hAnsi="Times New Roman"/>
          <w:bCs/>
          <w:sz w:val="24"/>
          <w:szCs w:val="24"/>
        </w:rPr>
        <w:t>not share the information, whether in PII or anonymized form, with any parties external to SSA.</w:t>
      </w:r>
    </w:p>
    <w:p w:rsidR="00AD6D32" w:rsidP="004947A9" w:rsidRDefault="00AD6D32" w14:paraId="6B807A59" w14:textId="714ADA6D">
      <w:pPr>
        <w:autoSpaceDE w:val="0"/>
        <w:autoSpaceDN w:val="0"/>
        <w:adjustRightInd w:val="0"/>
        <w:ind w:left="1440"/>
        <w:rPr>
          <w:rFonts w:ascii="Times New Roman" w:hAnsi="Times New Roman"/>
          <w:sz w:val="24"/>
          <w:szCs w:val="24"/>
        </w:rPr>
      </w:pPr>
    </w:p>
    <w:p w:rsidRPr="00227D0B" w:rsidR="00AD6D32" w:rsidP="004947A9" w:rsidRDefault="00AD6D32" w14:paraId="3AE2A8C3" w14:textId="77777777">
      <w:pPr>
        <w:tabs>
          <w:tab w:val="left" w:pos="720"/>
        </w:tabs>
        <w:autoSpaceDE w:val="0"/>
        <w:autoSpaceDN w:val="0"/>
        <w:adjustRightInd w:val="0"/>
        <w:ind w:left="1440" w:hanging="720"/>
        <w:rPr>
          <w:rFonts w:ascii="Times New Roman" w:hAnsi="Times New Roman"/>
          <w:b/>
          <w:sz w:val="24"/>
          <w:szCs w:val="24"/>
        </w:rPr>
      </w:pPr>
      <w:r w:rsidRPr="00227D0B">
        <w:rPr>
          <w:rFonts w:ascii="Times New Roman" w:hAnsi="Times New Roman"/>
          <w:b/>
          <w:sz w:val="24"/>
          <w:szCs w:val="24"/>
        </w:rPr>
        <w:t>11.</w:t>
      </w:r>
      <w:r w:rsidRPr="00227D0B">
        <w:rPr>
          <w:rFonts w:ascii="Times New Roman" w:hAnsi="Times New Roman"/>
          <w:b/>
          <w:sz w:val="24"/>
          <w:szCs w:val="24"/>
        </w:rPr>
        <w:tab/>
        <w:t>Justification for Sensitive Questions</w:t>
      </w:r>
    </w:p>
    <w:p w:rsidRPr="00227D0B" w:rsidR="00AD6D32" w:rsidP="004947A9" w:rsidRDefault="00002AD4" w14:paraId="24710135" w14:textId="107E657C">
      <w:pPr>
        <w:autoSpaceDE w:val="0"/>
        <w:autoSpaceDN w:val="0"/>
        <w:adjustRightInd w:val="0"/>
        <w:ind w:left="1440"/>
        <w:rPr>
          <w:rFonts w:ascii="Times New Roman" w:hAnsi="Times New Roman"/>
          <w:sz w:val="24"/>
          <w:szCs w:val="24"/>
        </w:rPr>
      </w:pPr>
      <w:r w:rsidRPr="00227D0B">
        <w:rPr>
          <w:rFonts w:ascii="Times New Roman" w:hAnsi="Times New Roman"/>
          <w:sz w:val="24"/>
          <w:szCs w:val="24"/>
        </w:rPr>
        <w:t xml:space="preserve">Although we collect information some may consider sensitive (e.g., medical </w:t>
      </w:r>
      <w:r w:rsidR="008E49E1">
        <w:rPr>
          <w:rFonts w:ascii="Times New Roman" w:hAnsi="Times New Roman"/>
          <w:sz w:val="24"/>
          <w:szCs w:val="24"/>
        </w:rPr>
        <w:t>symptoms</w:t>
      </w:r>
      <w:r w:rsidR="00DE3ED3">
        <w:rPr>
          <w:rFonts w:ascii="Times New Roman" w:hAnsi="Times New Roman"/>
          <w:sz w:val="24"/>
          <w:szCs w:val="24"/>
        </w:rPr>
        <w:t>, exposure to those with COVID-19</w:t>
      </w:r>
      <w:r w:rsidRPr="00227D0B">
        <w:rPr>
          <w:rFonts w:ascii="Times New Roman" w:hAnsi="Times New Roman"/>
          <w:sz w:val="24"/>
          <w:szCs w:val="24"/>
        </w:rPr>
        <w:t>),</w:t>
      </w:r>
      <w:r w:rsidR="00DE3ED3">
        <w:rPr>
          <w:rFonts w:ascii="Times New Roman" w:hAnsi="Times New Roman"/>
          <w:sz w:val="24"/>
          <w:szCs w:val="24"/>
        </w:rPr>
        <w:t xml:space="preserve"> we need this to ensure that our in</w:t>
      </w:r>
      <w:r w:rsidR="00372E55">
        <w:rPr>
          <w:rFonts w:ascii="Times New Roman" w:hAnsi="Times New Roman"/>
          <w:sz w:val="24"/>
          <w:szCs w:val="24"/>
        </w:rPr>
        <w:noBreakHyphen/>
      </w:r>
      <w:r w:rsidR="00DE3ED3">
        <w:rPr>
          <w:rFonts w:ascii="Times New Roman" w:hAnsi="Times New Roman"/>
          <w:sz w:val="24"/>
          <w:szCs w:val="24"/>
        </w:rPr>
        <w:t xml:space="preserve">person hearings </w:t>
      </w:r>
      <w:r w:rsidR="00372E55">
        <w:rPr>
          <w:rFonts w:ascii="Times New Roman" w:hAnsi="Times New Roman"/>
          <w:sz w:val="24"/>
          <w:szCs w:val="24"/>
        </w:rPr>
        <w:t xml:space="preserve">and field office visits </w:t>
      </w:r>
      <w:r w:rsidR="00DE3ED3">
        <w:rPr>
          <w:rFonts w:ascii="Times New Roman" w:hAnsi="Times New Roman"/>
          <w:sz w:val="24"/>
          <w:szCs w:val="24"/>
        </w:rPr>
        <w:t>are conducted in an environment that is safe for</w:t>
      </w:r>
      <w:r w:rsidR="00541A17">
        <w:rPr>
          <w:rFonts w:ascii="Times New Roman" w:hAnsi="Times New Roman"/>
          <w:sz w:val="24"/>
          <w:szCs w:val="24"/>
        </w:rPr>
        <w:t xml:space="preserve"> both</w:t>
      </w:r>
      <w:r w:rsidR="00DE3ED3">
        <w:rPr>
          <w:rFonts w:ascii="Times New Roman" w:hAnsi="Times New Roman"/>
          <w:sz w:val="24"/>
          <w:szCs w:val="24"/>
        </w:rPr>
        <w:t xml:space="preserve"> the public and for our employees.  As explained above in #10, we will keep this information confidential.</w:t>
      </w:r>
    </w:p>
    <w:p w:rsidRPr="00227D0B" w:rsidR="00002AD4" w:rsidP="004947A9" w:rsidRDefault="00002AD4" w14:paraId="1E4802DB" w14:textId="77777777">
      <w:pPr>
        <w:autoSpaceDE w:val="0"/>
        <w:autoSpaceDN w:val="0"/>
        <w:adjustRightInd w:val="0"/>
        <w:ind w:left="1440"/>
        <w:rPr>
          <w:rFonts w:ascii="Times New Roman" w:hAnsi="Times New Roman"/>
          <w:sz w:val="24"/>
          <w:szCs w:val="24"/>
        </w:rPr>
      </w:pPr>
    </w:p>
    <w:p w:rsidRPr="00227D0B" w:rsidR="00AD6D32" w:rsidP="00F62072" w:rsidRDefault="00AD6D32" w14:paraId="4BA252AA" w14:textId="77777777">
      <w:pPr>
        <w:tabs>
          <w:tab w:val="left" w:pos="1440"/>
        </w:tabs>
        <w:autoSpaceDE w:val="0"/>
        <w:autoSpaceDN w:val="0"/>
        <w:adjustRightInd w:val="0"/>
        <w:ind w:left="1440" w:hanging="720"/>
        <w:rPr>
          <w:rFonts w:ascii="Times New Roman" w:hAnsi="Times New Roman"/>
          <w:b/>
          <w:sz w:val="24"/>
          <w:szCs w:val="24"/>
        </w:rPr>
      </w:pPr>
      <w:r w:rsidRPr="00227D0B">
        <w:rPr>
          <w:rFonts w:ascii="Times New Roman" w:hAnsi="Times New Roman"/>
          <w:b/>
          <w:sz w:val="24"/>
          <w:szCs w:val="24"/>
        </w:rPr>
        <w:t>12.</w:t>
      </w:r>
      <w:r w:rsidRPr="00227D0B">
        <w:rPr>
          <w:rFonts w:ascii="Times New Roman" w:hAnsi="Times New Roman"/>
          <w:b/>
          <w:sz w:val="24"/>
          <w:szCs w:val="24"/>
        </w:rPr>
        <w:tab/>
        <w:t>Estimates of Public Reporting Burden</w:t>
      </w:r>
    </w:p>
    <w:p w:rsidRPr="00F62072" w:rsidR="00F62072" w:rsidP="00F62072" w:rsidRDefault="00F62072" w14:paraId="649F6E5D" w14:textId="77777777">
      <w:pPr>
        <w:keepNext/>
        <w:ind w:left="1440"/>
        <w:rPr>
          <w:rFonts w:ascii="Times New Roman" w:hAnsi="Times New Roman" w:eastAsia="Times New Roman"/>
          <w:bCs/>
          <w:snapToGrid w:val="0"/>
          <w:sz w:val="24"/>
          <w:szCs w:val="24"/>
        </w:rPr>
      </w:pPr>
      <w:r w:rsidRPr="00F62072">
        <w:rPr>
          <w:rFonts w:ascii="Times New Roman" w:hAnsi="Times New Roman" w:eastAsia="Times New Roman"/>
          <w:bCs/>
          <w:snapToGrid w:val="0"/>
          <w:sz w:val="24"/>
          <w:szCs w:val="24"/>
        </w:rPr>
        <w:t>Please see the burden chart below:</w:t>
      </w:r>
    </w:p>
    <w:p w:rsidR="00B2423D" w:rsidP="00B2423D" w:rsidRDefault="00B2423D" w14:paraId="2C355492" w14:textId="77777777">
      <w:pPr>
        <w:autoSpaceDE w:val="0"/>
        <w:autoSpaceDN w:val="0"/>
        <w:adjustRightInd w:val="0"/>
        <w:rPr>
          <w:rFonts w:ascii="Times New Roman" w:hAnsi="Times New Roman"/>
          <w:sz w:val="24"/>
          <w:szCs w:val="24"/>
        </w:rPr>
      </w:pPr>
    </w:p>
    <w:tbl>
      <w:tblPr>
        <w:tblW w:w="11880" w:type="dxa"/>
        <w:tblInd w:w="-1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20"/>
        <w:gridCol w:w="1530"/>
        <w:gridCol w:w="1350"/>
        <w:gridCol w:w="1260"/>
        <w:gridCol w:w="1440"/>
        <w:gridCol w:w="1440"/>
        <w:gridCol w:w="1440"/>
        <w:gridCol w:w="1800"/>
      </w:tblGrid>
      <w:tr w:rsidRPr="004F6BDF" w:rsidR="004F6BDF" w:rsidTr="004F6BDF" w14:paraId="2D28582B" w14:textId="77777777">
        <w:trPr>
          <w:trHeight w:val="1843"/>
        </w:trPr>
        <w:tc>
          <w:tcPr>
            <w:tcW w:w="1620" w:type="dxa"/>
            <w:tcBorders>
              <w:top w:val="single" w:color="auto" w:sz="4" w:space="0"/>
              <w:left w:val="single" w:color="auto" w:sz="4" w:space="0"/>
              <w:bottom w:val="single" w:color="auto" w:sz="4" w:space="0"/>
              <w:right w:val="single" w:color="auto" w:sz="4" w:space="0"/>
            </w:tcBorders>
            <w:hideMark/>
          </w:tcPr>
          <w:p w:rsidRPr="004F6BDF" w:rsidR="004F6BDF" w:rsidP="004F6BDF" w:rsidRDefault="004F6BDF" w14:paraId="17E70F46" w14:textId="77777777">
            <w:pPr>
              <w:widowControl w:val="0"/>
              <w:suppressAutoHyphens/>
              <w:rPr>
                <w:rFonts w:ascii="Times New Roman" w:hAnsi="Times New Roman" w:eastAsia="SimSun"/>
                <w:b/>
                <w:snapToGrid w:val="0"/>
                <w:sz w:val="24"/>
                <w:szCs w:val="24"/>
              </w:rPr>
            </w:pPr>
            <w:r w:rsidRPr="004F6BDF">
              <w:rPr>
                <w:rFonts w:ascii="Times New Roman" w:hAnsi="Times New Roman" w:eastAsia="SimSun"/>
                <w:b/>
                <w:snapToGrid w:val="0"/>
                <w:sz w:val="24"/>
                <w:szCs w:val="24"/>
              </w:rPr>
              <w:t>Modality of Completion</w:t>
            </w:r>
          </w:p>
        </w:tc>
        <w:tc>
          <w:tcPr>
            <w:tcW w:w="1530" w:type="dxa"/>
            <w:tcBorders>
              <w:top w:val="single" w:color="auto" w:sz="4" w:space="0"/>
              <w:left w:val="single" w:color="auto" w:sz="4" w:space="0"/>
              <w:bottom w:val="single" w:color="auto" w:sz="4" w:space="0"/>
              <w:right w:val="single" w:color="auto" w:sz="4" w:space="0"/>
            </w:tcBorders>
            <w:hideMark/>
          </w:tcPr>
          <w:p w:rsidRPr="004F6BDF" w:rsidR="004F6BDF" w:rsidP="004F6BDF" w:rsidRDefault="004F6BDF" w14:paraId="1641B12C" w14:textId="77777777">
            <w:pPr>
              <w:widowControl w:val="0"/>
              <w:suppressAutoHyphens/>
              <w:rPr>
                <w:rFonts w:ascii="Times New Roman" w:hAnsi="Times New Roman" w:eastAsia="SimSun"/>
                <w:b/>
                <w:snapToGrid w:val="0"/>
                <w:sz w:val="24"/>
                <w:szCs w:val="24"/>
              </w:rPr>
            </w:pPr>
            <w:r w:rsidRPr="004F6BDF">
              <w:rPr>
                <w:rFonts w:ascii="Times New Roman" w:hAnsi="Times New Roman" w:eastAsia="SimSun"/>
                <w:b/>
                <w:snapToGrid w:val="0"/>
                <w:sz w:val="24"/>
                <w:szCs w:val="24"/>
              </w:rPr>
              <w:t>Number of Respondents</w:t>
            </w:r>
          </w:p>
        </w:tc>
        <w:tc>
          <w:tcPr>
            <w:tcW w:w="1350" w:type="dxa"/>
            <w:tcBorders>
              <w:top w:val="single" w:color="auto" w:sz="4" w:space="0"/>
              <w:left w:val="single" w:color="auto" w:sz="4" w:space="0"/>
              <w:bottom w:val="single" w:color="auto" w:sz="4" w:space="0"/>
              <w:right w:val="single" w:color="auto" w:sz="4" w:space="0"/>
            </w:tcBorders>
            <w:hideMark/>
          </w:tcPr>
          <w:p w:rsidRPr="004F6BDF" w:rsidR="004F6BDF" w:rsidP="004F6BDF" w:rsidRDefault="004F6BDF" w14:paraId="7136960F" w14:textId="77777777">
            <w:pPr>
              <w:widowControl w:val="0"/>
              <w:suppressAutoHyphens/>
              <w:rPr>
                <w:rFonts w:ascii="Times New Roman" w:hAnsi="Times New Roman" w:eastAsia="SimSun"/>
                <w:b/>
                <w:snapToGrid w:val="0"/>
                <w:sz w:val="24"/>
                <w:szCs w:val="24"/>
              </w:rPr>
            </w:pPr>
            <w:r w:rsidRPr="004F6BDF">
              <w:rPr>
                <w:rFonts w:ascii="Times New Roman" w:hAnsi="Times New Roman" w:eastAsia="SimSun"/>
                <w:b/>
                <w:snapToGrid w:val="0"/>
                <w:sz w:val="24"/>
                <w:szCs w:val="24"/>
              </w:rPr>
              <w:t>Frequency of Response</w:t>
            </w:r>
          </w:p>
        </w:tc>
        <w:tc>
          <w:tcPr>
            <w:tcW w:w="1260" w:type="dxa"/>
            <w:tcBorders>
              <w:top w:val="single" w:color="auto" w:sz="4" w:space="0"/>
              <w:left w:val="single" w:color="auto" w:sz="4" w:space="0"/>
              <w:bottom w:val="single" w:color="auto" w:sz="4" w:space="0"/>
              <w:right w:val="single" w:color="auto" w:sz="4" w:space="0"/>
            </w:tcBorders>
            <w:hideMark/>
          </w:tcPr>
          <w:p w:rsidRPr="004F6BDF" w:rsidR="004F6BDF" w:rsidP="004F6BDF" w:rsidRDefault="004F6BDF" w14:paraId="5627BCAD" w14:textId="77777777">
            <w:pPr>
              <w:widowControl w:val="0"/>
              <w:suppressAutoHyphens/>
              <w:rPr>
                <w:rFonts w:ascii="Times New Roman" w:hAnsi="Times New Roman" w:eastAsia="SimSun"/>
                <w:b/>
                <w:snapToGrid w:val="0"/>
                <w:sz w:val="24"/>
                <w:szCs w:val="24"/>
              </w:rPr>
            </w:pPr>
            <w:r w:rsidRPr="004F6BDF">
              <w:rPr>
                <w:rFonts w:ascii="Times New Roman" w:hAnsi="Times New Roman" w:eastAsia="SimSun"/>
                <w:b/>
                <w:snapToGrid w:val="0"/>
                <w:sz w:val="24"/>
                <w:szCs w:val="24"/>
              </w:rPr>
              <w:t>Average Burden per Response (minutes)</w:t>
            </w:r>
          </w:p>
        </w:tc>
        <w:tc>
          <w:tcPr>
            <w:tcW w:w="1440" w:type="dxa"/>
            <w:tcBorders>
              <w:top w:val="single" w:color="auto" w:sz="4" w:space="0"/>
              <w:left w:val="single" w:color="auto" w:sz="4" w:space="0"/>
              <w:bottom w:val="single" w:color="auto" w:sz="4" w:space="0"/>
              <w:right w:val="single" w:color="auto" w:sz="4" w:space="0"/>
            </w:tcBorders>
            <w:hideMark/>
          </w:tcPr>
          <w:p w:rsidRPr="004F6BDF" w:rsidR="004F6BDF" w:rsidP="004F6BDF" w:rsidRDefault="004F6BDF" w14:paraId="4D7E232C" w14:textId="77777777">
            <w:pPr>
              <w:widowControl w:val="0"/>
              <w:suppressAutoHyphens/>
              <w:rPr>
                <w:rFonts w:ascii="Times New Roman" w:hAnsi="Times New Roman" w:eastAsia="SimSun"/>
                <w:b/>
                <w:snapToGrid w:val="0"/>
                <w:sz w:val="24"/>
                <w:szCs w:val="24"/>
              </w:rPr>
            </w:pPr>
            <w:r w:rsidRPr="004F6BDF">
              <w:rPr>
                <w:rFonts w:ascii="Times New Roman" w:hAnsi="Times New Roman" w:eastAsia="SimSun"/>
                <w:b/>
                <w:snapToGrid w:val="0"/>
                <w:sz w:val="24"/>
                <w:szCs w:val="24"/>
              </w:rPr>
              <w:t>Estimated Total Annual Burden (hours)</w:t>
            </w:r>
          </w:p>
        </w:tc>
        <w:tc>
          <w:tcPr>
            <w:tcW w:w="1440" w:type="dxa"/>
            <w:tcBorders>
              <w:top w:val="single" w:color="auto" w:sz="4" w:space="0"/>
              <w:left w:val="single" w:color="auto" w:sz="4" w:space="0"/>
              <w:bottom w:val="single" w:color="auto" w:sz="4" w:space="0"/>
              <w:right w:val="single" w:color="auto" w:sz="4" w:space="0"/>
            </w:tcBorders>
            <w:hideMark/>
          </w:tcPr>
          <w:p w:rsidRPr="004F6BDF" w:rsidR="004F6BDF" w:rsidP="004F6BDF" w:rsidRDefault="004F6BDF" w14:paraId="7B181F28" w14:textId="77777777">
            <w:pPr>
              <w:widowControl w:val="0"/>
              <w:suppressAutoHyphens/>
              <w:rPr>
                <w:rFonts w:ascii="Times New Roman" w:hAnsi="Times New Roman" w:eastAsia="SimSun"/>
                <w:b/>
                <w:snapToGrid w:val="0"/>
                <w:sz w:val="24"/>
                <w:szCs w:val="24"/>
              </w:rPr>
            </w:pPr>
            <w:r w:rsidRPr="004F6BDF">
              <w:rPr>
                <w:rFonts w:ascii="Times New Roman" w:hAnsi="Times New Roman" w:eastAsia="SimSun"/>
                <w:b/>
                <w:snapToGrid w:val="0"/>
                <w:sz w:val="24"/>
                <w:szCs w:val="24"/>
              </w:rPr>
              <w:t xml:space="preserve">Average </w:t>
            </w:r>
          </w:p>
          <w:p w:rsidRPr="004F6BDF" w:rsidR="004F6BDF" w:rsidP="004F6BDF" w:rsidRDefault="004F6BDF" w14:paraId="67702901" w14:textId="77777777">
            <w:pPr>
              <w:widowControl w:val="0"/>
              <w:suppressAutoHyphens/>
              <w:rPr>
                <w:rFonts w:ascii="Times New Roman" w:hAnsi="Times New Roman" w:eastAsia="SimSun"/>
                <w:b/>
                <w:snapToGrid w:val="0"/>
                <w:sz w:val="24"/>
                <w:szCs w:val="24"/>
              </w:rPr>
            </w:pPr>
            <w:r w:rsidRPr="004F6BDF">
              <w:rPr>
                <w:rFonts w:ascii="Times New Roman" w:hAnsi="Times New Roman" w:eastAsia="SimSun"/>
                <w:b/>
                <w:snapToGrid w:val="0"/>
                <w:sz w:val="24"/>
                <w:szCs w:val="24"/>
              </w:rPr>
              <w:t>Theoretical</w:t>
            </w:r>
          </w:p>
          <w:p w:rsidRPr="004F6BDF" w:rsidR="004F6BDF" w:rsidP="004F6BDF" w:rsidRDefault="004F6BDF" w14:paraId="54E205B8" w14:textId="77777777">
            <w:pPr>
              <w:widowControl w:val="0"/>
              <w:suppressAutoHyphens/>
              <w:rPr>
                <w:rFonts w:ascii="Times New Roman" w:hAnsi="Times New Roman" w:eastAsia="SimSun"/>
                <w:b/>
                <w:snapToGrid w:val="0"/>
                <w:sz w:val="24"/>
                <w:szCs w:val="24"/>
              </w:rPr>
            </w:pPr>
            <w:r w:rsidRPr="004F6BDF">
              <w:rPr>
                <w:rFonts w:ascii="Times New Roman" w:hAnsi="Times New Roman" w:eastAsia="SimSun"/>
                <w:b/>
                <w:sz w:val="24"/>
                <w:szCs w:val="24"/>
                <w:lang w:eastAsia="ar-SA"/>
              </w:rPr>
              <w:t>Hourly Cost Amount (dollars)*</w:t>
            </w:r>
          </w:p>
        </w:tc>
        <w:tc>
          <w:tcPr>
            <w:tcW w:w="1440" w:type="dxa"/>
            <w:tcBorders>
              <w:top w:val="single" w:color="auto" w:sz="4" w:space="0"/>
              <w:left w:val="single" w:color="auto" w:sz="4" w:space="0"/>
              <w:bottom w:val="single" w:color="auto" w:sz="4" w:space="0"/>
              <w:right w:val="single" w:color="auto" w:sz="4" w:space="0"/>
            </w:tcBorders>
            <w:hideMark/>
          </w:tcPr>
          <w:p w:rsidRPr="004F6BDF" w:rsidR="004F6BDF" w:rsidP="004F6BDF" w:rsidRDefault="004F6BDF" w14:paraId="7E02556E" w14:textId="77777777">
            <w:pPr>
              <w:widowControl w:val="0"/>
              <w:autoSpaceDE w:val="0"/>
              <w:autoSpaceDN w:val="0"/>
              <w:adjustRightInd w:val="0"/>
              <w:rPr>
                <w:rFonts w:ascii="Times New Roman" w:hAnsi="Times New Roman" w:eastAsia="Times New Roman"/>
                <w:b/>
                <w:snapToGrid w:val="0"/>
                <w:sz w:val="24"/>
                <w:szCs w:val="24"/>
              </w:rPr>
            </w:pPr>
            <w:r w:rsidRPr="004F6BDF">
              <w:rPr>
                <w:rFonts w:ascii="Times New Roman" w:hAnsi="Times New Roman" w:eastAsia="Times New Roman"/>
                <w:b/>
                <w:snapToGrid w:val="0"/>
                <w:sz w:val="24"/>
                <w:szCs w:val="24"/>
              </w:rPr>
              <w:t xml:space="preserve">Average Wait Time in Office or for Teleservice Centers </w:t>
            </w:r>
          </w:p>
          <w:p w:rsidRPr="004F6BDF" w:rsidR="004F6BDF" w:rsidP="004F6BDF" w:rsidRDefault="004F6BDF" w14:paraId="3A946B40" w14:textId="77777777">
            <w:pPr>
              <w:widowControl w:val="0"/>
              <w:suppressAutoHyphens/>
              <w:rPr>
                <w:rFonts w:ascii="Times New Roman" w:hAnsi="Times New Roman" w:eastAsia="SimSun"/>
                <w:b/>
                <w:sz w:val="24"/>
                <w:szCs w:val="24"/>
                <w:lang w:eastAsia="ar-SA"/>
              </w:rPr>
            </w:pPr>
            <w:r w:rsidRPr="004F6BDF">
              <w:rPr>
                <w:rFonts w:ascii="Times New Roman" w:hAnsi="Times New Roman" w:eastAsia="Times New Roman"/>
                <w:b/>
                <w:snapToGrid w:val="0"/>
                <w:sz w:val="24"/>
                <w:szCs w:val="24"/>
              </w:rPr>
              <w:t>(minutes) **</w:t>
            </w:r>
          </w:p>
        </w:tc>
        <w:tc>
          <w:tcPr>
            <w:tcW w:w="1800" w:type="dxa"/>
            <w:tcBorders>
              <w:top w:val="single" w:color="auto" w:sz="4" w:space="0"/>
              <w:left w:val="single" w:color="auto" w:sz="4" w:space="0"/>
              <w:bottom w:val="single" w:color="auto" w:sz="4" w:space="0"/>
              <w:right w:val="single" w:color="auto" w:sz="4" w:space="0"/>
            </w:tcBorders>
            <w:hideMark/>
          </w:tcPr>
          <w:p w:rsidRPr="004F6BDF" w:rsidR="004F6BDF" w:rsidP="004F6BDF" w:rsidRDefault="004F6BDF" w14:paraId="6AE34DB0" w14:textId="77777777">
            <w:pPr>
              <w:widowControl w:val="0"/>
              <w:suppressAutoHyphens/>
              <w:rPr>
                <w:rFonts w:ascii="Times New Roman" w:hAnsi="Times New Roman" w:eastAsia="SimSun"/>
                <w:b/>
                <w:snapToGrid w:val="0"/>
                <w:sz w:val="24"/>
                <w:szCs w:val="24"/>
              </w:rPr>
            </w:pPr>
            <w:r w:rsidRPr="004F6BDF">
              <w:rPr>
                <w:rFonts w:ascii="Times New Roman" w:hAnsi="Times New Roman" w:eastAsia="SimSun"/>
                <w:b/>
                <w:sz w:val="24"/>
                <w:szCs w:val="24"/>
                <w:lang w:eastAsia="ar-SA"/>
              </w:rPr>
              <w:t>Total Annual Opportunity Cost (dollars)****</w:t>
            </w:r>
          </w:p>
        </w:tc>
      </w:tr>
      <w:tr w:rsidRPr="004F6BDF" w:rsidR="004F6BDF" w:rsidTr="004F6BDF" w14:paraId="201A6E40" w14:textId="77777777">
        <w:trPr>
          <w:trHeight w:val="790"/>
        </w:trPr>
        <w:tc>
          <w:tcPr>
            <w:tcW w:w="1620" w:type="dxa"/>
            <w:tcBorders>
              <w:top w:val="single" w:color="auto" w:sz="4" w:space="0"/>
              <w:left w:val="single" w:color="auto" w:sz="4" w:space="0"/>
              <w:bottom w:val="single" w:color="auto" w:sz="4" w:space="0"/>
              <w:right w:val="single" w:color="auto" w:sz="4" w:space="0"/>
            </w:tcBorders>
            <w:hideMark/>
          </w:tcPr>
          <w:p w:rsidRPr="004F6BDF" w:rsidR="004F6BDF" w:rsidP="004F6BDF" w:rsidRDefault="004F6BDF" w14:paraId="7FCB2D94" w14:textId="77777777">
            <w:pPr>
              <w:widowControl w:val="0"/>
              <w:suppressAutoHyphens/>
              <w:rPr>
                <w:rFonts w:ascii="Times New Roman" w:hAnsi="Times New Roman" w:eastAsia="SimSun"/>
                <w:snapToGrid w:val="0"/>
                <w:sz w:val="24"/>
                <w:szCs w:val="24"/>
              </w:rPr>
            </w:pPr>
            <w:bookmarkStart w:name="_Hlk105652417" w:id="0"/>
            <w:r w:rsidRPr="004F6BDF">
              <w:rPr>
                <w:rFonts w:ascii="Times New Roman" w:hAnsi="Times New Roman" w:eastAsia="SimSun"/>
                <w:bCs/>
                <w:snapToGrid w:val="0"/>
                <w:sz w:val="24"/>
                <w:szCs w:val="24"/>
                <w:lang w:eastAsia="ar-SA"/>
              </w:rPr>
              <w:lastRenderedPageBreak/>
              <w:t>COVID Screener Questionnaire</w:t>
            </w:r>
            <w:bookmarkEnd w:id="0"/>
          </w:p>
        </w:tc>
        <w:tc>
          <w:tcPr>
            <w:tcW w:w="1530" w:type="dxa"/>
            <w:tcBorders>
              <w:top w:val="single" w:color="auto" w:sz="4" w:space="0"/>
              <w:left w:val="single" w:color="auto" w:sz="4" w:space="0"/>
              <w:bottom w:val="single" w:color="auto" w:sz="4" w:space="0"/>
              <w:right w:val="single" w:color="auto" w:sz="4" w:space="0"/>
            </w:tcBorders>
          </w:tcPr>
          <w:p w:rsidRPr="004F6BDF" w:rsidR="004F6BDF" w:rsidP="004F6BDF" w:rsidRDefault="004F6BDF" w14:paraId="30A07D4E" w14:textId="77777777">
            <w:pPr>
              <w:widowControl w:val="0"/>
              <w:suppressAutoHyphens/>
              <w:jc w:val="right"/>
              <w:rPr>
                <w:rFonts w:ascii="Times New Roman" w:hAnsi="Times New Roman" w:eastAsia="SimSun"/>
                <w:bCs/>
                <w:snapToGrid w:val="0"/>
              </w:rPr>
            </w:pPr>
            <w:r w:rsidRPr="004F6BDF">
              <w:rPr>
                <w:rFonts w:ascii="Times New Roman" w:hAnsi="Times New Roman" w:eastAsia="SimSun"/>
                <w:bCs/>
                <w:snapToGrid w:val="0"/>
              </w:rPr>
              <w:t>359,160</w:t>
            </w:r>
          </w:p>
        </w:tc>
        <w:tc>
          <w:tcPr>
            <w:tcW w:w="1350" w:type="dxa"/>
            <w:tcBorders>
              <w:top w:val="single" w:color="auto" w:sz="4" w:space="0"/>
              <w:left w:val="single" w:color="auto" w:sz="4" w:space="0"/>
              <w:bottom w:val="single" w:color="auto" w:sz="4" w:space="0"/>
              <w:right w:val="single" w:color="auto" w:sz="4" w:space="0"/>
            </w:tcBorders>
            <w:hideMark/>
          </w:tcPr>
          <w:p w:rsidRPr="004F6BDF" w:rsidR="004F6BDF" w:rsidP="004F6BDF" w:rsidRDefault="004F6BDF" w14:paraId="17F3DA9A" w14:textId="77777777">
            <w:pPr>
              <w:widowControl w:val="0"/>
              <w:suppressAutoHyphens/>
              <w:jc w:val="right"/>
              <w:rPr>
                <w:rFonts w:ascii="Times New Roman" w:hAnsi="Times New Roman" w:eastAsia="SimSun"/>
                <w:bCs/>
                <w:snapToGrid w:val="0"/>
              </w:rPr>
            </w:pPr>
            <w:r w:rsidRPr="004F6BDF">
              <w:rPr>
                <w:rFonts w:ascii="Times New Roman" w:hAnsi="Times New Roman" w:eastAsia="SimSun"/>
                <w:bCs/>
                <w:snapToGrid w:val="0"/>
              </w:rPr>
              <w:t>1</w:t>
            </w:r>
          </w:p>
        </w:tc>
        <w:tc>
          <w:tcPr>
            <w:tcW w:w="1260" w:type="dxa"/>
            <w:tcBorders>
              <w:top w:val="single" w:color="auto" w:sz="4" w:space="0"/>
              <w:left w:val="single" w:color="auto" w:sz="4" w:space="0"/>
              <w:bottom w:val="single" w:color="auto" w:sz="4" w:space="0"/>
              <w:right w:val="single" w:color="auto" w:sz="4" w:space="0"/>
            </w:tcBorders>
            <w:hideMark/>
          </w:tcPr>
          <w:p w:rsidRPr="004F6BDF" w:rsidR="004F6BDF" w:rsidP="004F6BDF" w:rsidRDefault="004F6BDF" w14:paraId="01160171" w14:textId="77777777">
            <w:pPr>
              <w:widowControl w:val="0"/>
              <w:suppressAutoHyphens/>
              <w:jc w:val="right"/>
              <w:rPr>
                <w:rFonts w:ascii="Times New Roman" w:hAnsi="Times New Roman" w:eastAsia="SimSun"/>
                <w:bCs/>
                <w:snapToGrid w:val="0"/>
              </w:rPr>
            </w:pPr>
            <w:r w:rsidRPr="004F6BDF">
              <w:rPr>
                <w:rFonts w:ascii="Times New Roman" w:hAnsi="Times New Roman" w:eastAsia="SimSun"/>
                <w:bCs/>
                <w:snapToGrid w:val="0"/>
              </w:rPr>
              <w:t>10</w:t>
            </w:r>
          </w:p>
        </w:tc>
        <w:tc>
          <w:tcPr>
            <w:tcW w:w="1440" w:type="dxa"/>
            <w:tcBorders>
              <w:top w:val="single" w:color="auto" w:sz="4" w:space="0"/>
              <w:left w:val="single" w:color="auto" w:sz="4" w:space="0"/>
              <w:bottom w:val="single" w:color="auto" w:sz="4" w:space="0"/>
              <w:right w:val="single" w:color="auto" w:sz="4" w:space="0"/>
            </w:tcBorders>
          </w:tcPr>
          <w:p w:rsidRPr="004F6BDF" w:rsidR="004F6BDF" w:rsidP="004F6BDF" w:rsidRDefault="004F6BDF" w14:paraId="44420812" w14:textId="77777777">
            <w:pPr>
              <w:widowControl w:val="0"/>
              <w:suppressAutoHyphens/>
              <w:jc w:val="right"/>
              <w:rPr>
                <w:rFonts w:ascii="Times New Roman" w:hAnsi="Times New Roman" w:eastAsia="SimSun"/>
                <w:bCs/>
                <w:snapToGrid w:val="0"/>
              </w:rPr>
            </w:pPr>
            <w:r w:rsidRPr="004F6BDF">
              <w:rPr>
                <w:rFonts w:ascii="Times New Roman" w:hAnsi="Times New Roman" w:eastAsia="SimSun"/>
                <w:bCs/>
                <w:snapToGrid w:val="0"/>
              </w:rPr>
              <w:t>59,860</w:t>
            </w:r>
          </w:p>
        </w:tc>
        <w:tc>
          <w:tcPr>
            <w:tcW w:w="1440" w:type="dxa"/>
            <w:tcBorders>
              <w:top w:val="single" w:color="auto" w:sz="4" w:space="0"/>
              <w:left w:val="single" w:color="auto" w:sz="4" w:space="0"/>
              <w:bottom w:val="single" w:color="auto" w:sz="4" w:space="0"/>
              <w:right w:val="single" w:color="auto" w:sz="4" w:space="0"/>
            </w:tcBorders>
            <w:hideMark/>
          </w:tcPr>
          <w:p w:rsidRPr="004F6BDF" w:rsidR="004F6BDF" w:rsidP="004F6BDF" w:rsidRDefault="004F6BDF" w14:paraId="343C60F9" w14:textId="77777777">
            <w:pPr>
              <w:widowControl w:val="0"/>
              <w:suppressAutoHyphens/>
              <w:jc w:val="right"/>
              <w:rPr>
                <w:rFonts w:ascii="Times New Roman" w:hAnsi="Times New Roman" w:eastAsia="SimSun"/>
                <w:bCs/>
                <w:snapToGrid w:val="0"/>
              </w:rPr>
            </w:pPr>
            <w:r w:rsidRPr="004F6BDF">
              <w:rPr>
                <w:rFonts w:ascii="Times New Roman" w:hAnsi="Times New Roman" w:eastAsia="SimSun"/>
                <w:bCs/>
                <w:snapToGrid w:val="0"/>
              </w:rPr>
              <w:t>$19.86*</w:t>
            </w:r>
          </w:p>
        </w:tc>
        <w:tc>
          <w:tcPr>
            <w:tcW w:w="1440" w:type="dxa"/>
            <w:tcBorders>
              <w:top w:val="single" w:color="auto" w:sz="4" w:space="0"/>
              <w:left w:val="single" w:color="auto" w:sz="4" w:space="0"/>
              <w:bottom w:val="single" w:color="auto" w:sz="4" w:space="0"/>
              <w:right w:val="single" w:color="auto" w:sz="4" w:space="0"/>
            </w:tcBorders>
            <w:hideMark/>
          </w:tcPr>
          <w:p w:rsidRPr="004F6BDF" w:rsidR="004F6BDF" w:rsidP="004F6BDF" w:rsidRDefault="004F6BDF" w14:paraId="0B610BE0" w14:textId="77777777">
            <w:pPr>
              <w:widowControl w:val="0"/>
              <w:suppressAutoHyphens/>
              <w:jc w:val="right"/>
              <w:rPr>
                <w:rFonts w:ascii="Times New Roman" w:hAnsi="Times New Roman" w:eastAsia="SimSun"/>
                <w:bCs/>
                <w:snapToGrid w:val="0"/>
              </w:rPr>
            </w:pPr>
            <w:r w:rsidRPr="004F6BDF">
              <w:rPr>
                <w:rFonts w:ascii="Times New Roman" w:hAnsi="Times New Roman" w:eastAsia="SimSun"/>
                <w:bCs/>
                <w:snapToGrid w:val="0"/>
              </w:rPr>
              <w:t>10**</w:t>
            </w:r>
          </w:p>
        </w:tc>
        <w:tc>
          <w:tcPr>
            <w:tcW w:w="1800" w:type="dxa"/>
            <w:tcBorders>
              <w:top w:val="single" w:color="auto" w:sz="4" w:space="0"/>
              <w:left w:val="single" w:color="auto" w:sz="4" w:space="0"/>
              <w:bottom w:val="single" w:color="auto" w:sz="4" w:space="0"/>
              <w:right w:val="single" w:color="auto" w:sz="4" w:space="0"/>
            </w:tcBorders>
          </w:tcPr>
          <w:p w:rsidRPr="004F6BDF" w:rsidR="004F6BDF" w:rsidP="004F6BDF" w:rsidRDefault="004F6BDF" w14:paraId="25113491" w14:textId="77777777">
            <w:pPr>
              <w:widowControl w:val="0"/>
              <w:suppressAutoHyphens/>
              <w:jc w:val="right"/>
              <w:rPr>
                <w:rFonts w:ascii="Times New Roman" w:hAnsi="Times New Roman" w:eastAsia="SimSun"/>
                <w:bCs/>
                <w:snapToGrid w:val="0"/>
              </w:rPr>
            </w:pPr>
            <w:r w:rsidRPr="004F6BDF">
              <w:rPr>
                <w:rFonts w:ascii="Times New Roman" w:hAnsi="Times New Roman" w:eastAsia="SimSun"/>
                <w:bCs/>
                <w:snapToGrid w:val="0"/>
              </w:rPr>
              <w:t>$2,377,639****</w:t>
            </w:r>
          </w:p>
        </w:tc>
      </w:tr>
      <w:tr w:rsidRPr="004F6BDF" w:rsidR="004F6BDF" w:rsidTr="004F6BDF" w14:paraId="56A51FFF" w14:textId="77777777">
        <w:trPr>
          <w:trHeight w:val="638"/>
        </w:trPr>
        <w:tc>
          <w:tcPr>
            <w:tcW w:w="1620" w:type="dxa"/>
          </w:tcPr>
          <w:p w:rsidRPr="004F6BDF" w:rsidR="004F6BDF" w:rsidP="004F6BDF" w:rsidRDefault="004F6BDF" w14:paraId="31046358" w14:textId="77777777">
            <w:pPr>
              <w:widowControl w:val="0"/>
              <w:suppressAutoHyphens/>
              <w:rPr>
                <w:rFonts w:ascii="Times New Roman" w:hAnsi="Times New Roman" w:eastAsia="SimSun"/>
                <w:bCs/>
                <w:snapToGrid w:val="0"/>
                <w:sz w:val="24"/>
                <w:szCs w:val="24"/>
                <w:lang w:eastAsia="ar-SA"/>
              </w:rPr>
            </w:pPr>
            <w:r w:rsidRPr="004F6BDF">
              <w:rPr>
                <w:rFonts w:ascii="Times New Roman" w:hAnsi="Times New Roman"/>
                <w:sz w:val="24"/>
                <w:szCs w:val="24"/>
              </w:rPr>
              <w:t>VIPr Mobile App</w:t>
            </w:r>
          </w:p>
        </w:tc>
        <w:tc>
          <w:tcPr>
            <w:tcW w:w="1530" w:type="dxa"/>
          </w:tcPr>
          <w:p w:rsidRPr="004F6BDF" w:rsidR="004F6BDF" w:rsidP="004F6BDF" w:rsidRDefault="004F6BDF" w14:paraId="1063F57F" w14:textId="77777777">
            <w:pPr>
              <w:widowControl w:val="0"/>
              <w:suppressAutoHyphens/>
              <w:jc w:val="right"/>
              <w:rPr>
                <w:rFonts w:ascii="Times New Roman" w:hAnsi="Times New Roman" w:eastAsia="SimSun"/>
                <w:bCs/>
                <w:snapToGrid w:val="0"/>
              </w:rPr>
            </w:pPr>
            <w:r w:rsidRPr="004F6BDF">
              <w:rPr>
                <w:rFonts w:ascii="Times New Roman" w:hAnsi="Times New Roman"/>
              </w:rPr>
              <w:t>16,554</w:t>
            </w:r>
          </w:p>
        </w:tc>
        <w:tc>
          <w:tcPr>
            <w:tcW w:w="1350" w:type="dxa"/>
          </w:tcPr>
          <w:p w:rsidRPr="004F6BDF" w:rsidR="004F6BDF" w:rsidP="004F6BDF" w:rsidRDefault="004F6BDF" w14:paraId="65CDCA66" w14:textId="77777777">
            <w:pPr>
              <w:widowControl w:val="0"/>
              <w:suppressAutoHyphens/>
              <w:jc w:val="right"/>
              <w:rPr>
                <w:rFonts w:ascii="Times New Roman" w:hAnsi="Times New Roman" w:eastAsia="SimSun"/>
                <w:bCs/>
                <w:snapToGrid w:val="0"/>
              </w:rPr>
            </w:pPr>
            <w:r w:rsidRPr="004F6BDF">
              <w:rPr>
                <w:rFonts w:ascii="Times New Roman" w:hAnsi="Times New Roman"/>
              </w:rPr>
              <w:t>1</w:t>
            </w:r>
          </w:p>
        </w:tc>
        <w:tc>
          <w:tcPr>
            <w:tcW w:w="1260" w:type="dxa"/>
          </w:tcPr>
          <w:p w:rsidRPr="004F6BDF" w:rsidR="004F6BDF" w:rsidP="004F6BDF" w:rsidRDefault="004F6BDF" w14:paraId="22DA8CEA" w14:textId="77777777">
            <w:pPr>
              <w:widowControl w:val="0"/>
              <w:suppressAutoHyphens/>
              <w:jc w:val="right"/>
              <w:rPr>
                <w:rFonts w:ascii="Times New Roman" w:hAnsi="Times New Roman" w:eastAsia="SimSun"/>
                <w:bCs/>
                <w:snapToGrid w:val="0"/>
              </w:rPr>
            </w:pPr>
            <w:r w:rsidRPr="004F6BDF">
              <w:rPr>
                <w:rFonts w:ascii="Times New Roman" w:hAnsi="Times New Roman"/>
              </w:rPr>
              <w:t>5</w:t>
            </w:r>
          </w:p>
        </w:tc>
        <w:tc>
          <w:tcPr>
            <w:tcW w:w="1440" w:type="dxa"/>
          </w:tcPr>
          <w:p w:rsidRPr="004F6BDF" w:rsidR="004F6BDF" w:rsidP="004F6BDF" w:rsidRDefault="004F6BDF" w14:paraId="355CA907" w14:textId="77777777">
            <w:pPr>
              <w:widowControl w:val="0"/>
              <w:suppressAutoHyphens/>
              <w:jc w:val="right"/>
              <w:rPr>
                <w:rFonts w:ascii="Times New Roman" w:hAnsi="Times New Roman" w:eastAsia="SimSun"/>
                <w:bCs/>
                <w:snapToGrid w:val="0"/>
              </w:rPr>
            </w:pPr>
            <w:r w:rsidRPr="004F6BDF">
              <w:rPr>
                <w:rFonts w:ascii="Times New Roman" w:hAnsi="Times New Roman"/>
              </w:rPr>
              <w:t>1,380</w:t>
            </w:r>
          </w:p>
        </w:tc>
        <w:tc>
          <w:tcPr>
            <w:tcW w:w="1440" w:type="dxa"/>
          </w:tcPr>
          <w:p w:rsidRPr="004F6BDF" w:rsidR="004F6BDF" w:rsidP="004F6BDF" w:rsidRDefault="004F6BDF" w14:paraId="3ECD37FA" w14:textId="77777777">
            <w:pPr>
              <w:widowControl w:val="0"/>
              <w:suppressAutoHyphens/>
              <w:jc w:val="right"/>
              <w:rPr>
                <w:rFonts w:ascii="Times New Roman" w:hAnsi="Times New Roman" w:eastAsia="SimSun"/>
                <w:bCs/>
                <w:snapToGrid w:val="0"/>
              </w:rPr>
            </w:pPr>
            <w:r w:rsidRPr="004F6BDF">
              <w:rPr>
                <w:rFonts w:ascii="Times New Roman" w:hAnsi="Times New Roman"/>
              </w:rPr>
              <w:t>$28.01*</w:t>
            </w:r>
          </w:p>
        </w:tc>
        <w:tc>
          <w:tcPr>
            <w:tcW w:w="1440" w:type="dxa"/>
          </w:tcPr>
          <w:p w:rsidRPr="004F6BDF" w:rsidR="004F6BDF" w:rsidP="004F6BDF" w:rsidRDefault="004F6BDF" w14:paraId="61E941C4" w14:textId="77777777">
            <w:pPr>
              <w:widowControl w:val="0"/>
              <w:suppressAutoHyphens/>
              <w:jc w:val="right"/>
              <w:rPr>
                <w:rFonts w:ascii="Times New Roman" w:hAnsi="Times New Roman" w:eastAsia="SimSun"/>
                <w:bCs/>
                <w:snapToGrid w:val="0"/>
              </w:rPr>
            </w:pPr>
            <w:r w:rsidRPr="004F6BDF">
              <w:rPr>
                <w:rFonts w:ascii="Times New Roman" w:hAnsi="Times New Roman"/>
              </w:rPr>
              <w:t>21***</w:t>
            </w:r>
          </w:p>
        </w:tc>
        <w:tc>
          <w:tcPr>
            <w:tcW w:w="1800" w:type="dxa"/>
          </w:tcPr>
          <w:p w:rsidRPr="004F6BDF" w:rsidR="004F6BDF" w:rsidP="004F6BDF" w:rsidRDefault="004F6BDF" w14:paraId="4C8CF523" w14:textId="77777777">
            <w:pPr>
              <w:widowControl w:val="0"/>
              <w:suppressAutoHyphens/>
              <w:jc w:val="right"/>
              <w:rPr>
                <w:rFonts w:ascii="Times New Roman" w:hAnsi="Times New Roman" w:eastAsia="SimSun"/>
                <w:bCs/>
                <w:snapToGrid w:val="0"/>
              </w:rPr>
            </w:pPr>
            <w:r w:rsidRPr="004F6BDF">
              <w:rPr>
                <w:rFonts w:ascii="Times New Roman" w:hAnsi="Times New Roman"/>
              </w:rPr>
              <w:t>$200,944****</w:t>
            </w:r>
          </w:p>
        </w:tc>
      </w:tr>
      <w:tr w:rsidRPr="004F6BDF" w:rsidR="004F6BDF" w:rsidTr="004F6BDF" w14:paraId="7158CFE5" w14:textId="77777777">
        <w:trPr>
          <w:trHeight w:val="557"/>
        </w:trPr>
        <w:tc>
          <w:tcPr>
            <w:tcW w:w="1620" w:type="dxa"/>
          </w:tcPr>
          <w:p w:rsidRPr="004F6BDF" w:rsidR="004F6BDF" w:rsidP="004F6BDF" w:rsidRDefault="004F6BDF" w14:paraId="17C96323" w14:textId="77777777">
            <w:pPr>
              <w:widowControl w:val="0"/>
              <w:suppressAutoHyphens/>
              <w:rPr>
                <w:rFonts w:ascii="Times New Roman" w:hAnsi="Times New Roman" w:eastAsia="SimSun"/>
                <w:bCs/>
                <w:snapToGrid w:val="0"/>
                <w:sz w:val="24"/>
                <w:szCs w:val="24"/>
                <w:lang w:eastAsia="ar-SA"/>
              </w:rPr>
            </w:pPr>
            <w:r w:rsidRPr="004F6BDF">
              <w:rPr>
                <w:rFonts w:ascii="Times New Roman" w:hAnsi="Times New Roman"/>
                <w:sz w:val="24"/>
                <w:szCs w:val="24"/>
              </w:rPr>
              <w:t>Telephone Screener</w:t>
            </w:r>
          </w:p>
        </w:tc>
        <w:tc>
          <w:tcPr>
            <w:tcW w:w="1530" w:type="dxa"/>
          </w:tcPr>
          <w:p w:rsidRPr="004F6BDF" w:rsidR="004F6BDF" w:rsidP="004F6BDF" w:rsidRDefault="004F6BDF" w14:paraId="23ED05F7" w14:textId="77777777">
            <w:pPr>
              <w:widowControl w:val="0"/>
              <w:suppressAutoHyphens/>
              <w:jc w:val="right"/>
              <w:rPr>
                <w:rFonts w:ascii="Times New Roman" w:hAnsi="Times New Roman" w:eastAsia="SimSun"/>
                <w:bCs/>
                <w:snapToGrid w:val="0"/>
              </w:rPr>
            </w:pPr>
            <w:r w:rsidRPr="004F6BDF">
              <w:rPr>
                <w:rFonts w:ascii="Times New Roman" w:hAnsi="Times New Roman"/>
              </w:rPr>
              <w:t>661,554</w:t>
            </w:r>
          </w:p>
        </w:tc>
        <w:tc>
          <w:tcPr>
            <w:tcW w:w="1350" w:type="dxa"/>
          </w:tcPr>
          <w:p w:rsidRPr="004F6BDF" w:rsidR="004F6BDF" w:rsidP="004F6BDF" w:rsidRDefault="004F6BDF" w14:paraId="570A9CCF" w14:textId="77777777">
            <w:pPr>
              <w:widowControl w:val="0"/>
              <w:suppressAutoHyphens/>
              <w:jc w:val="right"/>
              <w:rPr>
                <w:rFonts w:ascii="Times New Roman" w:hAnsi="Times New Roman" w:eastAsia="SimSun"/>
                <w:bCs/>
                <w:snapToGrid w:val="0"/>
              </w:rPr>
            </w:pPr>
            <w:r w:rsidRPr="004F6BDF">
              <w:rPr>
                <w:rFonts w:ascii="Times New Roman" w:hAnsi="Times New Roman"/>
              </w:rPr>
              <w:t>1</w:t>
            </w:r>
          </w:p>
        </w:tc>
        <w:tc>
          <w:tcPr>
            <w:tcW w:w="1260" w:type="dxa"/>
          </w:tcPr>
          <w:p w:rsidRPr="004F6BDF" w:rsidR="004F6BDF" w:rsidP="004F6BDF" w:rsidRDefault="004F6BDF" w14:paraId="4D2EA75C" w14:textId="77777777">
            <w:pPr>
              <w:widowControl w:val="0"/>
              <w:suppressAutoHyphens/>
              <w:jc w:val="right"/>
              <w:rPr>
                <w:rFonts w:ascii="Times New Roman" w:hAnsi="Times New Roman" w:eastAsia="SimSun"/>
                <w:bCs/>
                <w:snapToGrid w:val="0"/>
              </w:rPr>
            </w:pPr>
            <w:r w:rsidRPr="004F6BDF">
              <w:rPr>
                <w:rFonts w:ascii="Times New Roman" w:hAnsi="Times New Roman"/>
              </w:rPr>
              <w:t>10</w:t>
            </w:r>
          </w:p>
        </w:tc>
        <w:tc>
          <w:tcPr>
            <w:tcW w:w="1440" w:type="dxa"/>
          </w:tcPr>
          <w:p w:rsidRPr="004F6BDF" w:rsidR="004F6BDF" w:rsidP="004F6BDF" w:rsidRDefault="004F6BDF" w14:paraId="11D75F6C" w14:textId="77777777">
            <w:pPr>
              <w:widowControl w:val="0"/>
              <w:suppressAutoHyphens/>
              <w:jc w:val="right"/>
              <w:rPr>
                <w:rFonts w:ascii="Times New Roman" w:hAnsi="Times New Roman" w:eastAsia="SimSun"/>
                <w:bCs/>
                <w:snapToGrid w:val="0"/>
              </w:rPr>
            </w:pPr>
            <w:r w:rsidRPr="004F6BDF">
              <w:rPr>
                <w:rFonts w:ascii="Times New Roman" w:hAnsi="Times New Roman"/>
              </w:rPr>
              <w:t>110,259</w:t>
            </w:r>
          </w:p>
        </w:tc>
        <w:tc>
          <w:tcPr>
            <w:tcW w:w="1440" w:type="dxa"/>
          </w:tcPr>
          <w:p w:rsidRPr="004F6BDF" w:rsidR="004F6BDF" w:rsidP="004F6BDF" w:rsidRDefault="004F6BDF" w14:paraId="0E747466" w14:textId="77777777">
            <w:pPr>
              <w:widowControl w:val="0"/>
              <w:suppressAutoHyphens/>
              <w:jc w:val="right"/>
              <w:rPr>
                <w:rFonts w:ascii="Times New Roman" w:hAnsi="Times New Roman" w:eastAsia="SimSun"/>
                <w:bCs/>
                <w:snapToGrid w:val="0"/>
              </w:rPr>
            </w:pPr>
            <w:r w:rsidRPr="004F6BDF">
              <w:rPr>
                <w:rFonts w:ascii="Times New Roman" w:hAnsi="Times New Roman"/>
              </w:rPr>
              <w:t>$28.01*</w:t>
            </w:r>
          </w:p>
        </w:tc>
        <w:tc>
          <w:tcPr>
            <w:tcW w:w="1440" w:type="dxa"/>
          </w:tcPr>
          <w:p w:rsidRPr="004F6BDF" w:rsidR="004F6BDF" w:rsidP="004F6BDF" w:rsidRDefault="004F6BDF" w14:paraId="24A22F71" w14:textId="77777777">
            <w:pPr>
              <w:widowControl w:val="0"/>
              <w:suppressAutoHyphens/>
              <w:jc w:val="right"/>
              <w:rPr>
                <w:rFonts w:ascii="Times New Roman" w:hAnsi="Times New Roman" w:eastAsia="SimSun"/>
                <w:bCs/>
                <w:snapToGrid w:val="0"/>
              </w:rPr>
            </w:pPr>
            <w:r w:rsidRPr="004F6BDF">
              <w:rPr>
                <w:rFonts w:ascii="Times New Roman" w:hAnsi="Times New Roman"/>
              </w:rPr>
              <w:t>21***</w:t>
            </w:r>
          </w:p>
        </w:tc>
        <w:tc>
          <w:tcPr>
            <w:tcW w:w="1800" w:type="dxa"/>
          </w:tcPr>
          <w:p w:rsidRPr="004F6BDF" w:rsidR="004F6BDF" w:rsidP="004F6BDF" w:rsidRDefault="004F6BDF" w14:paraId="7D02D957" w14:textId="77777777">
            <w:pPr>
              <w:widowControl w:val="0"/>
              <w:suppressAutoHyphens/>
              <w:jc w:val="right"/>
              <w:rPr>
                <w:rFonts w:ascii="Times New Roman" w:hAnsi="Times New Roman" w:eastAsia="SimSun"/>
                <w:bCs/>
                <w:snapToGrid w:val="0"/>
              </w:rPr>
            </w:pPr>
            <w:r w:rsidRPr="004F6BDF">
              <w:rPr>
                <w:rFonts w:ascii="Times New Roman" w:hAnsi="Times New Roman"/>
              </w:rPr>
              <w:t>$9,573,902****</w:t>
            </w:r>
          </w:p>
        </w:tc>
      </w:tr>
      <w:tr w:rsidRPr="004F6BDF" w:rsidR="004F6BDF" w:rsidTr="004F6BDF" w14:paraId="3EA1C521" w14:textId="77777777">
        <w:trPr>
          <w:trHeight w:val="197"/>
        </w:trPr>
        <w:tc>
          <w:tcPr>
            <w:tcW w:w="1620" w:type="dxa"/>
          </w:tcPr>
          <w:p w:rsidRPr="004F6BDF" w:rsidR="004F6BDF" w:rsidP="004F6BDF" w:rsidRDefault="004F6BDF" w14:paraId="772C769B" w14:textId="77777777">
            <w:pPr>
              <w:widowControl w:val="0"/>
              <w:suppressAutoHyphens/>
              <w:rPr>
                <w:rFonts w:ascii="Times New Roman" w:hAnsi="Times New Roman"/>
                <w:b/>
                <w:bCs/>
                <w:sz w:val="24"/>
                <w:szCs w:val="24"/>
              </w:rPr>
            </w:pPr>
            <w:r w:rsidRPr="004F6BDF">
              <w:rPr>
                <w:rFonts w:ascii="Times New Roman" w:hAnsi="Times New Roman"/>
                <w:b/>
                <w:bCs/>
                <w:sz w:val="24"/>
                <w:szCs w:val="24"/>
              </w:rPr>
              <w:t>Totals</w:t>
            </w:r>
          </w:p>
        </w:tc>
        <w:tc>
          <w:tcPr>
            <w:tcW w:w="1530" w:type="dxa"/>
          </w:tcPr>
          <w:p w:rsidRPr="004F6BDF" w:rsidR="004F6BDF" w:rsidP="004F6BDF" w:rsidRDefault="004F6BDF" w14:paraId="7FCF003B" w14:textId="77777777">
            <w:pPr>
              <w:widowControl w:val="0"/>
              <w:suppressAutoHyphens/>
              <w:jc w:val="right"/>
              <w:rPr>
                <w:rFonts w:ascii="Times New Roman" w:hAnsi="Times New Roman"/>
                <w:b/>
                <w:bCs/>
              </w:rPr>
            </w:pPr>
            <w:r w:rsidRPr="004F6BDF">
              <w:rPr>
                <w:rFonts w:ascii="Times New Roman" w:hAnsi="Times New Roman"/>
                <w:b/>
                <w:bCs/>
              </w:rPr>
              <w:t>1,037,268</w:t>
            </w:r>
          </w:p>
        </w:tc>
        <w:tc>
          <w:tcPr>
            <w:tcW w:w="1350" w:type="dxa"/>
          </w:tcPr>
          <w:p w:rsidRPr="004F6BDF" w:rsidR="004F6BDF" w:rsidP="004F6BDF" w:rsidRDefault="004F6BDF" w14:paraId="4348D53D" w14:textId="77777777">
            <w:pPr>
              <w:widowControl w:val="0"/>
              <w:suppressAutoHyphens/>
              <w:jc w:val="right"/>
              <w:rPr>
                <w:rFonts w:ascii="Times New Roman" w:hAnsi="Times New Roman"/>
                <w:b/>
                <w:bCs/>
              </w:rPr>
            </w:pPr>
          </w:p>
        </w:tc>
        <w:tc>
          <w:tcPr>
            <w:tcW w:w="1260" w:type="dxa"/>
          </w:tcPr>
          <w:p w:rsidRPr="004F6BDF" w:rsidR="004F6BDF" w:rsidP="004F6BDF" w:rsidRDefault="004F6BDF" w14:paraId="5C295E19" w14:textId="77777777">
            <w:pPr>
              <w:widowControl w:val="0"/>
              <w:suppressAutoHyphens/>
              <w:jc w:val="right"/>
              <w:rPr>
                <w:rFonts w:ascii="Times New Roman" w:hAnsi="Times New Roman"/>
                <w:b/>
                <w:bCs/>
              </w:rPr>
            </w:pPr>
          </w:p>
        </w:tc>
        <w:tc>
          <w:tcPr>
            <w:tcW w:w="1440" w:type="dxa"/>
          </w:tcPr>
          <w:p w:rsidRPr="004F6BDF" w:rsidR="004F6BDF" w:rsidP="004F6BDF" w:rsidRDefault="004F6BDF" w14:paraId="3A0BD639" w14:textId="77777777">
            <w:pPr>
              <w:widowControl w:val="0"/>
              <w:suppressAutoHyphens/>
              <w:jc w:val="right"/>
              <w:rPr>
                <w:rFonts w:ascii="Times New Roman" w:hAnsi="Times New Roman"/>
                <w:b/>
                <w:bCs/>
              </w:rPr>
            </w:pPr>
            <w:r w:rsidRPr="004F6BDF">
              <w:rPr>
                <w:rFonts w:ascii="Times New Roman" w:hAnsi="Times New Roman"/>
                <w:b/>
                <w:bCs/>
              </w:rPr>
              <w:t>171,499</w:t>
            </w:r>
          </w:p>
        </w:tc>
        <w:tc>
          <w:tcPr>
            <w:tcW w:w="1440" w:type="dxa"/>
          </w:tcPr>
          <w:p w:rsidRPr="004F6BDF" w:rsidR="004F6BDF" w:rsidP="004F6BDF" w:rsidRDefault="004F6BDF" w14:paraId="73262D2F" w14:textId="77777777">
            <w:pPr>
              <w:widowControl w:val="0"/>
              <w:suppressAutoHyphens/>
              <w:jc w:val="right"/>
              <w:rPr>
                <w:rFonts w:ascii="Times New Roman" w:hAnsi="Times New Roman"/>
                <w:b/>
                <w:bCs/>
              </w:rPr>
            </w:pPr>
          </w:p>
        </w:tc>
        <w:tc>
          <w:tcPr>
            <w:tcW w:w="1440" w:type="dxa"/>
          </w:tcPr>
          <w:p w:rsidRPr="004F6BDF" w:rsidR="004F6BDF" w:rsidP="004F6BDF" w:rsidRDefault="004F6BDF" w14:paraId="1AA0542B" w14:textId="77777777">
            <w:pPr>
              <w:widowControl w:val="0"/>
              <w:suppressAutoHyphens/>
              <w:jc w:val="right"/>
              <w:rPr>
                <w:rFonts w:ascii="Times New Roman" w:hAnsi="Times New Roman"/>
                <w:b/>
                <w:bCs/>
              </w:rPr>
            </w:pPr>
          </w:p>
        </w:tc>
        <w:tc>
          <w:tcPr>
            <w:tcW w:w="1800" w:type="dxa"/>
          </w:tcPr>
          <w:p w:rsidRPr="004F6BDF" w:rsidR="004F6BDF" w:rsidP="004F6BDF" w:rsidRDefault="004F6BDF" w14:paraId="13C9C546" w14:textId="77777777">
            <w:pPr>
              <w:widowControl w:val="0"/>
              <w:suppressAutoHyphens/>
              <w:jc w:val="right"/>
              <w:rPr>
                <w:rFonts w:ascii="Times New Roman" w:hAnsi="Times New Roman"/>
                <w:b/>
                <w:bCs/>
              </w:rPr>
            </w:pPr>
            <w:r w:rsidRPr="004F6BDF">
              <w:rPr>
                <w:rFonts w:ascii="Times New Roman" w:hAnsi="Times New Roman"/>
                <w:b/>
                <w:bCs/>
              </w:rPr>
              <w:t>$12,152,485****</w:t>
            </w:r>
          </w:p>
        </w:tc>
      </w:tr>
    </w:tbl>
    <w:p w:rsidRPr="004F6BDF" w:rsidR="004F6BDF" w:rsidP="004F6BDF" w:rsidRDefault="004F6BDF" w14:paraId="60E90D89" w14:textId="77777777">
      <w:pPr>
        <w:suppressAutoHyphens/>
        <w:ind w:left="1440"/>
        <w:rPr>
          <w:rFonts w:ascii="Times New Roman" w:hAnsi="Times New Roman" w:eastAsia="SimSun"/>
          <w:sz w:val="24"/>
          <w:szCs w:val="24"/>
          <w:lang w:val="x-none" w:eastAsia="ar-SA"/>
        </w:rPr>
      </w:pPr>
      <w:r w:rsidRPr="004F6BDF">
        <w:rPr>
          <w:rFonts w:ascii="Times New Roman" w:hAnsi="Times New Roman" w:eastAsia="SimSun"/>
          <w:sz w:val="24"/>
          <w:szCs w:val="24"/>
          <w:lang w:eastAsia="zh-CN"/>
        </w:rPr>
        <w:t>* We based the Covid Screener Questionnaire figure on averaging both the average DI payments based on SSA's current FY 2022 data (</w:t>
      </w:r>
      <w:hyperlink w:history="1" r:id="rId8">
        <w:r w:rsidRPr="004F6BDF">
          <w:rPr>
            <w:rFonts w:ascii="Times New Roman" w:hAnsi="Times New Roman" w:eastAsia="SimSun"/>
            <w:snapToGrid w:val="0"/>
            <w:color w:val="0000FF"/>
            <w:sz w:val="24"/>
            <w:szCs w:val="24"/>
            <w:u w:val="single"/>
            <w:lang w:eastAsia="zh-CN"/>
          </w:rPr>
          <w:t>https://www.ssa.gov/legislation/2022factsheet.pdf</w:t>
        </w:r>
      </w:hyperlink>
      <w:r w:rsidRPr="004F6BDF">
        <w:rPr>
          <w:rFonts w:ascii="Times New Roman" w:hAnsi="Times New Roman" w:eastAsia="SimSun"/>
          <w:sz w:val="24"/>
          <w:szCs w:val="24"/>
          <w:lang w:eastAsia="zh-CN"/>
        </w:rPr>
        <w:t>), and the average U.S. worker’s hourly wages, as reported by Bureau of Labor Statistics data (</w:t>
      </w:r>
      <w:hyperlink w:history="1" r:id="rId9">
        <w:r w:rsidRPr="004F6BDF">
          <w:rPr>
            <w:rFonts w:ascii="Times New Roman" w:hAnsi="Times New Roman" w:eastAsia="SimSun"/>
            <w:color w:val="0000FF"/>
            <w:sz w:val="24"/>
            <w:szCs w:val="24"/>
            <w:u w:val="single"/>
            <w:lang w:eastAsia="zh-CN"/>
          </w:rPr>
          <w:t>https://www.bls.gov/oes/current/oes_nat.htm</w:t>
        </w:r>
      </w:hyperlink>
      <w:r w:rsidRPr="004F6BDF">
        <w:rPr>
          <w:rFonts w:ascii="Times New Roman" w:hAnsi="Times New Roman" w:eastAsia="SimSun"/>
          <w:sz w:val="24"/>
          <w:szCs w:val="24"/>
          <w:lang w:eastAsia="zh-CN"/>
        </w:rPr>
        <w:t>)</w:t>
      </w:r>
      <w:r w:rsidRPr="004F6BDF">
        <w:rPr>
          <w:rFonts w:ascii="Times New Roman" w:hAnsi="Times New Roman" w:eastAsia="SimSun"/>
          <w:sz w:val="24"/>
          <w:szCs w:val="24"/>
          <w:lang w:eastAsia="ar-SA"/>
        </w:rPr>
        <w:t xml:space="preserve">.  We based the VIPr Mobile App and Telephone Screener </w:t>
      </w:r>
      <w:r w:rsidRPr="004F6BDF">
        <w:rPr>
          <w:rFonts w:ascii="Times New Roman" w:hAnsi="Times New Roman" w:eastAsia="SimSun"/>
          <w:sz w:val="24"/>
          <w:szCs w:val="24"/>
          <w:lang w:val="x-none" w:eastAsia="ar-SA"/>
        </w:rPr>
        <w:t>on</w:t>
      </w:r>
      <w:r w:rsidRPr="004F6BDF">
        <w:rPr>
          <w:rFonts w:ascii="Times New Roman" w:hAnsi="Times New Roman" w:eastAsia="SimSun"/>
          <w:sz w:val="24"/>
          <w:szCs w:val="24"/>
          <w:lang w:eastAsia="ar-SA"/>
        </w:rPr>
        <w:t xml:space="preserve"> the</w:t>
      </w:r>
      <w:r w:rsidRPr="004F6BDF">
        <w:rPr>
          <w:rFonts w:ascii="Times New Roman" w:hAnsi="Times New Roman" w:eastAsia="SimSun"/>
          <w:sz w:val="24"/>
          <w:szCs w:val="24"/>
          <w:lang w:val="x-none" w:eastAsia="ar-SA"/>
        </w:rPr>
        <w:t xml:space="preserve"> average U.S. worker’s hourly wages, as reported by Bureau of Labor Statistics data (</w:t>
      </w:r>
      <w:hyperlink w:history="1" r:id="rId10">
        <w:r w:rsidRPr="004F6BDF">
          <w:rPr>
            <w:rFonts w:ascii="Times New Roman" w:hAnsi="Times New Roman" w:eastAsia="SimSun"/>
            <w:snapToGrid w:val="0"/>
            <w:color w:val="0000FF"/>
            <w:sz w:val="24"/>
            <w:szCs w:val="24"/>
            <w:u w:val="single"/>
            <w:lang w:eastAsia="zh-CN"/>
          </w:rPr>
          <w:t>https://www.bls.gov/oes/current/oes_nat.htm</w:t>
        </w:r>
      </w:hyperlink>
      <w:r w:rsidRPr="004F6BDF">
        <w:rPr>
          <w:rFonts w:ascii="Times New Roman" w:hAnsi="Times New Roman" w:eastAsia="SimSun"/>
          <w:sz w:val="24"/>
          <w:szCs w:val="24"/>
          <w:lang w:val="x-none" w:eastAsia="ar-SA"/>
        </w:rPr>
        <w:t>).</w:t>
      </w:r>
    </w:p>
    <w:p w:rsidR="004F6BDF" w:rsidP="004F6BDF" w:rsidRDefault="004F6BDF" w14:paraId="30C794EC" w14:textId="77777777">
      <w:pPr>
        <w:suppressAutoHyphens/>
        <w:ind w:left="1440"/>
        <w:rPr>
          <w:rFonts w:ascii="Times New Roman" w:hAnsi="Times New Roman" w:eastAsia="SimSun"/>
          <w:sz w:val="24"/>
          <w:szCs w:val="24"/>
          <w:lang w:eastAsia="ar-SA"/>
        </w:rPr>
      </w:pPr>
    </w:p>
    <w:p w:rsidRPr="004F6BDF" w:rsidR="004F6BDF" w:rsidP="004F6BDF" w:rsidRDefault="004F6BDF" w14:paraId="67B92B8A" w14:textId="07DFD3A8">
      <w:pPr>
        <w:suppressAutoHyphens/>
        <w:ind w:left="1440"/>
        <w:rPr>
          <w:rFonts w:ascii="Times New Roman" w:hAnsi="Times New Roman" w:eastAsia="SimSun"/>
          <w:sz w:val="24"/>
          <w:szCs w:val="24"/>
          <w:lang w:eastAsia="ar-SA"/>
        </w:rPr>
      </w:pPr>
      <w:r w:rsidRPr="004F6BDF">
        <w:rPr>
          <w:rFonts w:ascii="Times New Roman" w:hAnsi="Times New Roman" w:eastAsia="SimSun"/>
          <w:sz w:val="24"/>
          <w:szCs w:val="24"/>
          <w:lang w:eastAsia="ar-SA"/>
        </w:rPr>
        <w:t>** We based this figure on the average FY 2022 wait times for hearing offices, based on SSA’s current management information data.</w:t>
      </w:r>
    </w:p>
    <w:p w:rsidR="004F6BDF" w:rsidP="004F6BDF" w:rsidRDefault="004F6BDF" w14:paraId="30C2F660" w14:textId="77777777">
      <w:pPr>
        <w:suppressAutoHyphens/>
        <w:ind w:left="1440"/>
        <w:rPr>
          <w:rFonts w:ascii="Times New Roman" w:hAnsi="Times New Roman" w:eastAsia="SimSun"/>
          <w:sz w:val="24"/>
          <w:szCs w:val="24"/>
          <w:lang w:eastAsia="ar-SA"/>
        </w:rPr>
      </w:pPr>
    </w:p>
    <w:p w:rsidRPr="004F6BDF" w:rsidR="004F6BDF" w:rsidP="004F6BDF" w:rsidRDefault="004F6BDF" w14:paraId="45C8471E" w14:textId="73A8E0BF">
      <w:pPr>
        <w:suppressAutoHyphens/>
        <w:ind w:left="1440"/>
        <w:rPr>
          <w:rFonts w:ascii="Times New Roman" w:hAnsi="Times New Roman" w:eastAsia="SimSun"/>
          <w:sz w:val="24"/>
          <w:szCs w:val="24"/>
          <w:lang w:eastAsia="ar-SA"/>
        </w:rPr>
      </w:pPr>
      <w:r w:rsidRPr="004F6BDF">
        <w:rPr>
          <w:rFonts w:ascii="Times New Roman" w:hAnsi="Times New Roman" w:eastAsia="SimSun"/>
          <w:sz w:val="24"/>
          <w:szCs w:val="24"/>
          <w:lang w:eastAsia="ar-SA"/>
        </w:rPr>
        <w:t xml:space="preserve">*** </w:t>
      </w:r>
      <w:r w:rsidRPr="004F6BDF">
        <w:rPr>
          <w:rFonts w:ascii="Times New Roman" w:hAnsi="Times New Roman" w:eastAsia="Times New Roman" w:cs="Courier New"/>
          <w:snapToGrid w:val="0"/>
          <w:sz w:val="24"/>
          <w:szCs w:val="24"/>
        </w:rPr>
        <w:t>We based this figure on the average FY 2022 wait times for field offices and teleservice centers, based on SSA’s current management information data.</w:t>
      </w:r>
    </w:p>
    <w:p w:rsidR="004F6BDF" w:rsidP="004F6BDF" w:rsidRDefault="004F6BDF" w14:paraId="3E75D4E2" w14:textId="77777777">
      <w:pPr>
        <w:autoSpaceDE w:val="0"/>
        <w:autoSpaceDN w:val="0"/>
        <w:adjustRightInd w:val="0"/>
        <w:ind w:left="1440"/>
        <w:rPr>
          <w:rFonts w:ascii="Times New Roman" w:hAnsi="Times New Roman" w:eastAsia="SimSun"/>
          <w:sz w:val="24"/>
          <w:szCs w:val="24"/>
          <w:lang w:eastAsia="ar-SA"/>
        </w:rPr>
      </w:pPr>
    </w:p>
    <w:p w:rsidR="00AD6D32" w:rsidP="004F6BDF" w:rsidRDefault="004F6BDF" w14:paraId="11890F4C" w14:textId="4272856F">
      <w:pPr>
        <w:autoSpaceDE w:val="0"/>
        <w:autoSpaceDN w:val="0"/>
        <w:adjustRightInd w:val="0"/>
        <w:ind w:left="1440"/>
        <w:rPr>
          <w:rFonts w:ascii="Times New Roman" w:hAnsi="Times New Roman"/>
          <w:sz w:val="24"/>
          <w:szCs w:val="24"/>
        </w:rPr>
      </w:pPr>
      <w:r w:rsidRPr="004F6BDF">
        <w:rPr>
          <w:rFonts w:ascii="Times New Roman" w:hAnsi="Times New Roman" w:eastAsia="SimSun"/>
          <w:sz w:val="24"/>
          <w:szCs w:val="24"/>
          <w:lang w:eastAsia="ar-SA"/>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4F6BDF">
        <w:rPr>
          <w:rFonts w:ascii="Times New Roman" w:hAnsi="Times New Roman" w:eastAsia="SimSun"/>
          <w:b/>
          <w:sz w:val="24"/>
          <w:szCs w:val="24"/>
          <w:u w:val="single"/>
          <w:lang w:eastAsia="ar-SA"/>
        </w:rPr>
        <w:t>There is no actual charge to respondents to complete the application</w:t>
      </w:r>
      <w:r w:rsidRPr="004F6BDF">
        <w:rPr>
          <w:rFonts w:ascii="Times New Roman" w:hAnsi="Times New Roman" w:eastAsia="SimSun"/>
          <w:sz w:val="24"/>
          <w:szCs w:val="24"/>
          <w:lang w:eastAsia="ar-SA"/>
        </w:rPr>
        <w:t>.</w:t>
      </w:r>
    </w:p>
    <w:p w:rsidR="001D67E3" w:rsidP="004F6BDF" w:rsidRDefault="001D67E3" w14:paraId="48D1864E" w14:textId="291A4B35">
      <w:pPr>
        <w:ind w:left="1440"/>
        <w:rPr>
          <w:rFonts w:ascii="Times New Roman" w:hAnsi="Times New Roman"/>
        </w:rPr>
      </w:pPr>
    </w:p>
    <w:p w:rsidR="00F74914" w:rsidP="00F74914" w:rsidRDefault="00F74914" w14:paraId="7EE3A249" w14:textId="723E908A">
      <w:pPr>
        <w:widowControl w:val="0"/>
        <w:ind w:left="1440"/>
        <w:rPr>
          <w:rFonts w:ascii="Times New Roman" w:hAnsi="Times New Roman" w:eastAsia="Times New Roman"/>
          <w:snapToGrid w:val="0"/>
          <w:sz w:val="24"/>
          <w:szCs w:val="24"/>
        </w:rPr>
      </w:pPr>
      <w:r w:rsidRPr="00F74914">
        <w:rPr>
          <w:rFonts w:ascii="Times New Roman" w:hAnsi="Times New Roman" w:eastAsia="Times New Roman"/>
          <w:snapToGrid w:val="0"/>
          <w:sz w:val="24"/>
          <w:szCs w:val="24"/>
        </w:rPr>
        <w:t>In addition, OMB’s Office of Information and Regulatory Affairs (OIRA) is requiring SSA to use a rough estimate of a 30-minute, one-way, drive time in our calculations of the time burden for this collection.  OIRA based their estimation on a spatial analysis of SSA’s current</w:t>
      </w:r>
      <w:r>
        <w:rPr>
          <w:rFonts w:ascii="Times New Roman" w:hAnsi="Times New Roman" w:eastAsia="Times New Roman"/>
          <w:snapToGrid w:val="0"/>
          <w:sz w:val="24"/>
          <w:szCs w:val="24"/>
        </w:rPr>
        <w:t xml:space="preserve"> hearing and </w:t>
      </w:r>
      <w:r w:rsidRPr="00F74914">
        <w:rPr>
          <w:rFonts w:ascii="Times New Roman" w:hAnsi="Times New Roman" w:eastAsia="Times New Roman"/>
          <w:snapToGrid w:val="0"/>
          <w:sz w:val="24"/>
          <w:szCs w:val="24"/>
        </w:rPr>
        <w:t>field office locations and the location of the average population centers based on census tract information, which likely represents a 13.97-mile driving distance for one-way travel.  We depict this on the chart below:</w:t>
      </w:r>
    </w:p>
    <w:p w:rsidRPr="00F74914" w:rsidR="00F74914" w:rsidP="00F74914" w:rsidRDefault="00F74914" w14:paraId="7DD5CD0B" w14:textId="77777777">
      <w:pPr>
        <w:widowControl w:val="0"/>
        <w:ind w:left="1440"/>
        <w:rPr>
          <w:rFonts w:ascii="Times New Roman" w:hAnsi="Times New Roman" w:eastAsia="Times New Roman"/>
          <w:sz w:val="24"/>
          <w:szCs w:val="24"/>
        </w:rPr>
      </w:pPr>
    </w:p>
    <w:tbl>
      <w:tblPr>
        <w:tblStyle w:val="TableGrid1"/>
        <w:tblW w:w="0" w:type="auto"/>
        <w:tblInd w:w="1327" w:type="dxa"/>
        <w:tblLook w:val="04A0" w:firstRow="1" w:lastRow="0" w:firstColumn="1" w:lastColumn="0" w:noHBand="0" w:noVBand="1"/>
      </w:tblPr>
      <w:tblGrid>
        <w:gridCol w:w="1671"/>
        <w:gridCol w:w="1572"/>
        <w:gridCol w:w="1529"/>
        <w:gridCol w:w="1548"/>
        <w:gridCol w:w="1703"/>
      </w:tblGrid>
      <w:tr w:rsidRPr="00F74914" w:rsidR="00F74914" w:rsidTr="00B975E9" w14:paraId="6777C648" w14:textId="77777777">
        <w:tc>
          <w:tcPr>
            <w:tcW w:w="1671" w:type="dxa"/>
            <w:tcBorders>
              <w:top w:val="single" w:color="auto" w:sz="4" w:space="0"/>
              <w:left w:val="single" w:color="auto" w:sz="4" w:space="0"/>
              <w:bottom w:val="single" w:color="auto" w:sz="4" w:space="0"/>
              <w:right w:val="single" w:color="auto" w:sz="4" w:space="0"/>
            </w:tcBorders>
            <w:hideMark/>
          </w:tcPr>
          <w:p w:rsidRPr="00F74914" w:rsidR="00F74914" w:rsidP="00F74914" w:rsidRDefault="00F74914" w14:paraId="0E280906" w14:textId="4333DB23">
            <w:pPr>
              <w:rPr>
                <w:snapToGrid w:val="0"/>
                <w:sz w:val="24"/>
                <w:szCs w:val="24"/>
              </w:rPr>
            </w:pPr>
            <w:r w:rsidRPr="00F74914">
              <w:rPr>
                <w:snapToGrid w:val="0"/>
                <w:sz w:val="24"/>
                <w:szCs w:val="24"/>
              </w:rPr>
              <w:t xml:space="preserve">Total Number of Respondents Who Visit a </w:t>
            </w:r>
            <w:r>
              <w:rPr>
                <w:snapToGrid w:val="0"/>
                <w:sz w:val="24"/>
                <w:szCs w:val="24"/>
              </w:rPr>
              <w:t xml:space="preserve">Hearing or </w:t>
            </w:r>
            <w:r w:rsidRPr="00F74914">
              <w:rPr>
                <w:snapToGrid w:val="0"/>
                <w:sz w:val="24"/>
                <w:szCs w:val="24"/>
              </w:rPr>
              <w:t>Field Office</w:t>
            </w:r>
          </w:p>
        </w:tc>
        <w:tc>
          <w:tcPr>
            <w:tcW w:w="1572" w:type="dxa"/>
            <w:tcBorders>
              <w:top w:val="single" w:color="auto" w:sz="4" w:space="0"/>
              <w:left w:val="single" w:color="auto" w:sz="4" w:space="0"/>
              <w:bottom w:val="single" w:color="auto" w:sz="4" w:space="0"/>
              <w:right w:val="single" w:color="auto" w:sz="4" w:space="0"/>
            </w:tcBorders>
            <w:hideMark/>
          </w:tcPr>
          <w:p w:rsidRPr="00F74914" w:rsidR="00F74914" w:rsidP="00F74914" w:rsidRDefault="00F74914" w14:paraId="30EEDF8E" w14:textId="77777777">
            <w:pPr>
              <w:rPr>
                <w:snapToGrid w:val="0"/>
                <w:sz w:val="24"/>
                <w:szCs w:val="24"/>
              </w:rPr>
            </w:pPr>
            <w:r w:rsidRPr="00F74914">
              <w:rPr>
                <w:snapToGrid w:val="0"/>
                <w:sz w:val="24"/>
                <w:szCs w:val="24"/>
              </w:rPr>
              <w:t>Frequency of Response</w:t>
            </w:r>
          </w:p>
        </w:tc>
        <w:tc>
          <w:tcPr>
            <w:tcW w:w="1529" w:type="dxa"/>
            <w:tcBorders>
              <w:top w:val="single" w:color="auto" w:sz="4" w:space="0"/>
              <w:left w:val="single" w:color="auto" w:sz="4" w:space="0"/>
              <w:bottom w:val="single" w:color="auto" w:sz="4" w:space="0"/>
              <w:right w:val="single" w:color="auto" w:sz="4" w:space="0"/>
            </w:tcBorders>
            <w:hideMark/>
          </w:tcPr>
          <w:p w:rsidRPr="00F74914" w:rsidR="00F74914" w:rsidP="00F74914" w:rsidRDefault="00F74914" w14:paraId="57032326" w14:textId="77777777">
            <w:pPr>
              <w:rPr>
                <w:snapToGrid w:val="0"/>
                <w:sz w:val="24"/>
                <w:szCs w:val="24"/>
              </w:rPr>
            </w:pPr>
            <w:r w:rsidRPr="00F74914">
              <w:rPr>
                <w:snapToGrid w:val="0"/>
                <w:sz w:val="24"/>
                <w:szCs w:val="24"/>
              </w:rPr>
              <w:t>Average One-Way Travel Time to a Field Office (minutes)</w:t>
            </w:r>
          </w:p>
        </w:tc>
        <w:tc>
          <w:tcPr>
            <w:tcW w:w="1548" w:type="dxa"/>
            <w:tcBorders>
              <w:top w:val="single" w:color="auto" w:sz="4" w:space="0"/>
              <w:left w:val="single" w:color="auto" w:sz="4" w:space="0"/>
              <w:bottom w:val="single" w:color="auto" w:sz="4" w:space="0"/>
              <w:right w:val="single" w:color="auto" w:sz="4" w:space="0"/>
            </w:tcBorders>
            <w:hideMark/>
          </w:tcPr>
          <w:p w:rsidRPr="00F74914" w:rsidR="00F74914" w:rsidP="00F74914" w:rsidRDefault="00F74914" w14:paraId="2E685D78" w14:textId="77777777">
            <w:pPr>
              <w:rPr>
                <w:snapToGrid w:val="0"/>
                <w:sz w:val="24"/>
                <w:szCs w:val="24"/>
              </w:rPr>
            </w:pPr>
            <w:r w:rsidRPr="00F74914">
              <w:rPr>
                <w:snapToGrid w:val="0"/>
                <w:sz w:val="24"/>
                <w:szCs w:val="24"/>
              </w:rPr>
              <w:t>Estimated Total Travel Time to a Field Office (hours)</w:t>
            </w:r>
          </w:p>
        </w:tc>
        <w:tc>
          <w:tcPr>
            <w:tcW w:w="1703" w:type="dxa"/>
            <w:tcBorders>
              <w:top w:val="single" w:color="auto" w:sz="4" w:space="0"/>
              <w:left w:val="single" w:color="auto" w:sz="4" w:space="0"/>
              <w:bottom w:val="single" w:color="auto" w:sz="4" w:space="0"/>
              <w:right w:val="single" w:color="auto" w:sz="4" w:space="0"/>
            </w:tcBorders>
            <w:hideMark/>
          </w:tcPr>
          <w:p w:rsidRPr="00F74914" w:rsidR="00F74914" w:rsidP="00F74914" w:rsidRDefault="00F74914" w14:paraId="74D69750" w14:textId="06ED2439">
            <w:pPr>
              <w:rPr>
                <w:snapToGrid w:val="0"/>
                <w:sz w:val="24"/>
                <w:szCs w:val="24"/>
              </w:rPr>
            </w:pPr>
            <w:r w:rsidRPr="00F74914">
              <w:rPr>
                <w:snapToGrid w:val="0"/>
                <w:sz w:val="24"/>
                <w:szCs w:val="24"/>
              </w:rPr>
              <w:t>Total Annual Opportunity Cost for Travel Time (dollars)*****</w:t>
            </w:r>
          </w:p>
        </w:tc>
      </w:tr>
      <w:tr w:rsidRPr="00F74914" w:rsidR="00F74914" w:rsidTr="00B975E9" w14:paraId="1D1D2522" w14:textId="77777777">
        <w:tc>
          <w:tcPr>
            <w:tcW w:w="1671" w:type="dxa"/>
            <w:tcBorders>
              <w:top w:val="single" w:color="auto" w:sz="4" w:space="0"/>
              <w:left w:val="single" w:color="auto" w:sz="4" w:space="0"/>
              <w:bottom w:val="single" w:color="auto" w:sz="4" w:space="0"/>
              <w:right w:val="single" w:color="auto" w:sz="4" w:space="0"/>
            </w:tcBorders>
            <w:hideMark/>
          </w:tcPr>
          <w:p w:rsidRPr="00F74914" w:rsidR="00F74914" w:rsidP="00F74914" w:rsidRDefault="00F74914" w14:paraId="78FE997C" w14:textId="13C49E44">
            <w:pPr>
              <w:jc w:val="right"/>
              <w:rPr>
                <w:snapToGrid w:val="0"/>
                <w:sz w:val="24"/>
                <w:szCs w:val="24"/>
              </w:rPr>
            </w:pPr>
            <w:r w:rsidRPr="00F74914">
              <w:rPr>
                <w:bCs/>
                <w:sz w:val="24"/>
                <w:szCs w:val="24"/>
                <w:lang w:eastAsia="zh-CN"/>
              </w:rPr>
              <w:t>1,037,268</w:t>
            </w:r>
          </w:p>
        </w:tc>
        <w:tc>
          <w:tcPr>
            <w:tcW w:w="1572" w:type="dxa"/>
            <w:tcBorders>
              <w:top w:val="single" w:color="auto" w:sz="4" w:space="0"/>
              <w:left w:val="single" w:color="auto" w:sz="4" w:space="0"/>
              <w:bottom w:val="single" w:color="auto" w:sz="4" w:space="0"/>
              <w:right w:val="single" w:color="auto" w:sz="4" w:space="0"/>
            </w:tcBorders>
            <w:hideMark/>
          </w:tcPr>
          <w:p w:rsidRPr="00F74914" w:rsidR="00F74914" w:rsidP="00F74914" w:rsidRDefault="00F74914" w14:paraId="5A532860" w14:textId="77777777">
            <w:pPr>
              <w:jc w:val="right"/>
              <w:rPr>
                <w:snapToGrid w:val="0"/>
                <w:sz w:val="24"/>
                <w:szCs w:val="24"/>
              </w:rPr>
            </w:pPr>
            <w:r w:rsidRPr="00F74914">
              <w:rPr>
                <w:snapToGrid w:val="0"/>
                <w:sz w:val="24"/>
                <w:szCs w:val="24"/>
              </w:rPr>
              <w:t>1</w:t>
            </w:r>
          </w:p>
        </w:tc>
        <w:tc>
          <w:tcPr>
            <w:tcW w:w="1529" w:type="dxa"/>
            <w:tcBorders>
              <w:top w:val="single" w:color="auto" w:sz="4" w:space="0"/>
              <w:left w:val="single" w:color="auto" w:sz="4" w:space="0"/>
              <w:bottom w:val="single" w:color="auto" w:sz="4" w:space="0"/>
              <w:right w:val="single" w:color="auto" w:sz="4" w:space="0"/>
            </w:tcBorders>
            <w:hideMark/>
          </w:tcPr>
          <w:p w:rsidRPr="00F74914" w:rsidR="00F74914" w:rsidP="00F74914" w:rsidRDefault="00F74914" w14:paraId="4340CE4E" w14:textId="77777777">
            <w:pPr>
              <w:jc w:val="right"/>
              <w:rPr>
                <w:snapToGrid w:val="0"/>
                <w:sz w:val="24"/>
                <w:szCs w:val="24"/>
              </w:rPr>
            </w:pPr>
            <w:r w:rsidRPr="00F74914">
              <w:rPr>
                <w:snapToGrid w:val="0"/>
                <w:sz w:val="24"/>
                <w:szCs w:val="24"/>
              </w:rPr>
              <w:t>30</w:t>
            </w:r>
          </w:p>
        </w:tc>
        <w:tc>
          <w:tcPr>
            <w:tcW w:w="1548" w:type="dxa"/>
            <w:tcBorders>
              <w:top w:val="single" w:color="auto" w:sz="4" w:space="0"/>
              <w:left w:val="single" w:color="auto" w:sz="4" w:space="0"/>
              <w:bottom w:val="single" w:color="auto" w:sz="4" w:space="0"/>
              <w:right w:val="single" w:color="auto" w:sz="4" w:space="0"/>
            </w:tcBorders>
            <w:hideMark/>
          </w:tcPr>
          <w:p w:rsidRPr="00F74914" w:rsidR="00F74914" w:rsidP="00F74914" w:rsidRDefault="00F74914" w14:paraId="2837619A" w14:textId="0A0B22E8">
            <w:pPr>
              <w:jc w:val="right"/>
              <w:rPr>
                <w:snapToGrid w:val="0"/>
                <w:sz w:val="24"/>
                <w:szCs w:val="24"/>
              </w:rPr>
            </w:pPr>
            <w:r>
              <w:rPr>
                <w:snapToGrid w:val="0"/>
                <w:sz w:val="24"/>
                <w:szCs w:val="24"/>
              </w:rPr>
              <w:t>518,634</w:t>
            </w:r>
          </w:p>
        </w:tc>
        <w:tc>
          <w:tcPr>
            <w:tcW w:w="1703" w:type="dxa"/>
            <w:tcBorders>
              <w:top w:val="single" w:color="auto" w:sz="4" w:space="0"/>
              <w:left w:val="single" w:color="auto" w:sz="4" w:space="0"/>
              <w:bottom w:val="single" w:color="auto" w:sz="4" w:space="0"/>
              <w:right w:val="single" w:color="auto" w:sz="4" w:space="0"/>
            </w:tcBorders>
            <w:hideMark/>
          </w:tcPr>
          <w:p w:rsidRPr="00F74914" w:rsidR="00F74914" w:rsidP="00F74914" w:rsidRDefault="00F74914" w14:paraId="6FA80D8F" w14:textId="5BF9A749">
            <w:pPr>
              <w:jc w:val="right"/>
              <w:rPr>
                <w:snapToGrid w:val="0"/>
                <w:sz w:val="24"/>
                <w:szCs w:val="24"/>
              </w:rPr>
            </w:pPr>
            <w:r w:rsidRPr="00F74914">
              <w:rPr>
                <w:snapToGrid w:val="0"/>
                <w:sz w:val="24"/>
                <w:szCs w:val="24"/>
              </w:rPr>
              <w:t>$</w:t>
            </w:r>
            <w:r>
              <w:rPr>
                <w:snapToGrid w:val="0"/>
                <w:sz w:val="24"/>
                <w:szCs w:val="24"/>
              </w:rPr>
              <w:t>14,526,938</w:t>
            </w:r>
          </w:p>
        </w:tc>
      </w:tr>
    </w:tbl>
    <w:p w:rsidRPr="00F74914" w:rsidR="00F74914" w:rsidP="00F74914" w:rsidRDefault="00F74914" w14:paraId="02263856" w14:textId="221B287E">
      <w:pPr>
        <w:widowControl w:val="0"/>
        <w:ind w:left="1440"/>
        <w:rPr>
          <w:rFonts w:ascii="Times New Roman" w:hAnsi="Times New Roman" w:eastAsia="Times New Roman"/>
          <w:snapToGrid w:val="0"/>
          <w:sz w:val="24"/>
          <w:szCs w:val="24"/>
        </w:rPr>
      </w:pPr>
      <w:r w:rsidRPr="00F74914">
        <w:rPr>
          <w:rFonts w:ascii="Times New Roman" w:hAnsi="Times New Roman" w:eastAsia="Times New Roman"/>
          <w:snapToGrid w:val="0"/>
          <w:sz w:val="24"/>
          <w:szCs w:val="24"/>
        </w:rPr>
        <w:t xml:space="preserve">***** We based this dollar amount on the Average Theoretical Hourly Cost Amount in dollars shown on the burden chart above.  </w:t>
      </w:r>
    </w:p>
    <w:p w:rsidRPr="00F74914" w:rsidR="00F74914" w:rsidP="00F74914" w:rsidRDefault="00F74914" w14:paraId="0F4BEA73" w14:textId="77777777">
      <w:pPr>
        <w:widowControl w:val="0"/>
        <w:ind w:left="1440"/>
        <w:rPr>
          <w:rFonts w:ascii="Times New Roman" w:hAnsi="Times New Roman" w:eastAsia="Times New Roman"/>
          <w:snapToGrid w:val="0"/>
          <w:sz w:val="24"/>
          <w:szCs w:val="24"/>
        </w:rPr>
      </w:pPr>
    </w:p>
    <w:p w:rsidRPr="00F74914" w:rsidR="00F74914" w:rsidP="00F74914" w:rsidRDefault="00F74914" w14:paraId="6E6E01E3" w14:textId="77777777">
      <w:pPr>
        <w:widowControl w:val="0"/>
        <w:ind w:left="1440"/>
        <w:rPr>
          <w:rFonts w:ascii="Times New Roman" w:hAnsi="Times New Roman" w:eastAsia="Times New Roman"/>
          <w:snapToGrid w:val="0"/>
          <w:sz w:val="24"/>
          <w:szCs w:val="24"/>
        </w:rPr>
      </w:pPr>
      <w:r w:rsidRPr="00F74914">
        <w:rPr>
          <w:rFonts w:ascii="Times New Roman" w:hAnsi="Times New Roman" w:eastAsia="Times New Roman"/>
          <w:snapToGrid w:val="0"/>
          <w:sz w:val="24"/>
          <w:szCs w:val="24"/>
        </w:rPr>
        <w:lastRenderedPageBreak/>
        <w:t xml:space="preserve">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 </w:t>
      </w:r>
    </w:p>
    <w:p w:rsidRPr="00F74914" w:rsidR="00F74914" w:rsidP="00F74914" w:rsidRDefault="00F74914" w14:paraId="0D4B5695" w14:textId="77777777">
      <w:pPr>
        <w:widowControl w:val="0"/>
        <w:ind w:left="1440"/>
        <w:contextualSpacing/>
        <w:rPr>
          <w:rFonts w:ascii="Times New Roman" w:hAnsi="Times New Roman" w:eastAsia="Times New Roman"/>
          <w:snapToGrid w:val="0"/>
          <w:sz w:val="24"/>
          <w:szCs w:val="24"/>
        </w:rPr>
      </w:pPr>
    </w:p>
    <w:p w:rsidR="00F74914" w:rsidP="00F74914" w:rsidRDefault="00F74914" w14:paraId="1E454203" w14:textId="62022330">
      <w:pPr>
        <w:widowControl w:val="0"/>
        <w:ind w:left="1440"/>
        <w:contextualSpacing/>
        <w:rPr>
          <w:rFonts w:ascii="Times New Roman" w:hAnsi="Times New Roman" w:eastAsia="Times New Roman"/>
          <w:snapToGrid w:val="0"/>
          <w:sz w:val="24"/>
          <w:szCs w:val="24"/>
        </w:rPr>
      </w:pPr>
      <w:r w:rsidRPr="00F74914">
        <w:rPr>
          <w:rFonts w:ascii="Times New Roman" w:hAnsi="Times New Roman" w:eastAsia="Times New Roman"/>
          <w:snapToGrid w:val="0"/>
          <w:sz w:val="24"/>
          <w:szCs w:val="24"/>
        </w:rPr>
        <w:t>NOTE:  We included the total opportunity cost estimate from this chart in our calculations when showing the total time and opportunity cost estimates in the paragraph below.</w:t>
      </w:r>
    </w:p>
    <w:p w:rsidR="00F74914" w:rsidP="00F74914" w:rsidRDefault="00F74914" w14:paraId="070CC7D3" w14:textId="105AA5E6">
      <w:pPr>
        <w:widowControl w:val="0"/>
        <w:ind w:left="1440"/>
        <w:contextualSpacing/>
        <w:rPr>
          <w:rFonts w:ascii="Times New Roman" w:hAnsi="Times New Roman" w:eastAsia="Times New Roman"/>
          <w:snapToGrid w:val="0"/>
          <w:sz w:val="24"/>
          <w:szCs w:val="24"/>
        </w:rPr>
      </w:pPr>
    </w:p>
    <w:p w:rsidRPr="00F74914" w:rsidR="00F74914" w:rsidP="00F74914" w:rsidRDefault="000D5C03" w14:paraId="528608D3" w14:textId="697DB959">
      <w:pPr>
        <w:widowControl w:val="0"/>
        <w:ind w:left="1440"/>
        <w:contextualSpacing/>
        <w:rPr>
          <w:rFonts w:ascii="Times New Roman" w:hAnsi="Times New Roman" w:eastAsia="Times New Roman"/>
          <w:snapToGrid w:val="0"/>
          <w:sz w:val="24"/>
          <w:szCs w:val="24"/>
        </w:rPr>
      </w:pPr>
      <w:r w:rsidRPr="000D5C03">
        <w:rPr>
          <w:rFonts w:ascii="Times New Roman" w:hAnsi="Times New Roman" w:eastAsia="Times New Roman"/>
          <w:snapToGrid w:val="0"/>
          <w:sz w:val="24"/>
          <w:szCs w:val="24"/>
        </w:rPr>
        <w:t xml:space="preserve">We base our burden estimates on current management information data, which includes data from actual interviews, as well as from years of conducting this information collection.  Per our management information data, we believe that the </w:t>
      </w:r>
      <w:r>
        <w:rPr>
          <w:rFonts w:ascii="Times New Roman" w:hAnsi="Times New Roman" w:eastAsia="Times New Roman"/>
          <w:b/>
          <w:bCs/>
          <w:noProof/>
          <w:snapToGrid w:val="0"/>
          <w:sz w:val="24"/>
          <w:szCs w:val="24"/>
          <w:lang w:eastAsia="zh-CN"/>
        </w:rPr>
        <w:t>5</w:t>
      </w:r>
      <w:r w:rsidRPr="000D5C03">
        <w:rPr>
          <w:rFonts w:ascii="Times New Roman" w:hAnsi="Times New Roman" w:eastAsia="Times New Roman"/>
          <w:b/>
          <w:bCs/>
          <w:noProof/>
          <w:snapToGrid w:val="0"/>
          <w:sz w:val="24"/>
          <w:szCs w:val="24"/>
          <w:lang w:eastAsia="zh-CN"/>
        </w:rPr>
        <w:t xml:space="preserve"> </w:t>
      </w:r>
      <w:r w:rsidRPr="000D5C03">
        <w:rPr>
          <w:rFonts w:ascii="Times New Roman" w:hAnsi="Times New Roman" w:eastAsia="Times New Roman"/>
          <w:noProof/>
          <w:snapToGrid w:val="0"/>
          <w:sz w:val="24"/>
          <w:szCs w:val="24"/>
          <w:lang w:eastAsia="zh-CN"/>
        </w:rPr>
        <w:t>and</w:t>
      </w:r>
      <w:r w:rsidRPr="000D5C03">
        <w:rPr>
          <w:rFonts w:ascii="Times New Roman" w:hAnsi="Times New Roman" w:eastAsia="Times New Roman"/>
          <w:b/>
          <w:bCs/>
          <w:noProof/>
          <w:snapToGrid w:val="0"/>
          <w:sz w:val="24"/>
          <w:szCs w:val="24"/>
          <w:lang w:eastAsia="zh-CN"/>
        </w:rPr>
        <w:t xml:space="preserve"> </w:t>
      </w:r>
      <w:r>
        <w:rPr>
          <w:rFonts w:ascii="Times New Roman" w:hAnsi="Times New Roman" w:eastAsia="Times New Roman"/>
          <w:b/>
          <w:bCs/>
          <w:noProof/>
          <w:snapToGrid w:val="0"/>
          <w:sz w:val="24"/>
          <w:szCs w:val="24"/>
          <w:lang w:eastAsia="zh-CN"/>
        </w:rPr>
        <w:t>10</w:t>
      </w:r>
      <w:r w:rsidRPr="000D5C03">
        <w:rPr>
          <w:rFonts w:ascii="Times New Roman" w:hAnsi="Times New Roman" w:eastAsia="Times New Roman"/>
          <w:noProof/>
          <w:snapToGrid w:val="0"/>
          <w:sz w:val="24"/>
          <w:szCs w:val="24"/>
          <w:lang w:eastAsia="zh-CN"/>
        </w:rPr>
        <w:t xml:space="preserve"> minutes</w:t>
      </w:r>
      <w:r w:rsidRPr="000D5C03">
        <w:rPr>
          <w:rFonts w:ascii="Times New Roman" w:hAnsi="Times New Roman" w:eastAsia="Times New Roman"/>
          <w:snapToGrid w:val="0"/>
          <w:sz w:val="24"/>
          <w:szCs w:val="24"/>
        </w:rPr>
        <w:t xml:space="preserve"> accurately shows the average burden per response for reading the instructions, gathering the facts, and answering the questions.  Based on our current management information data, the current burden information we provided is accurate.  The total burden for this ICR is </w:t>
      </w:r>
      <w:r w:rsidR="0091348B">
        <w:rPr>
          <w:rFonts w:ascii="Times New Roman" w:hAnsi="Times New Roman" w:eastAsia="Times New Roman"/>
          <w:b/>
          <w:bCs/>
          <w:snapToGrid w:val="0"/>
          <w:sz w:val="24"/>
          <w:szCs w:val="24"/>
        </w:rPr>
        <w:t>171,499</w:t>
      </w:r>
      <w:r w:rsidRPr="000D5C03">
        <w:rPr>
          <w:rFonts w:ascii="Times New Roman" w:hAnsi="Times New Roman" w:eastAsia="Times New Roman"/>
          <w:snapToGrid w:val="0"/>
          <w:sz w:val="24"/>
          <w:szCs w:val="24"/>
        </w:rPr>
        <w:t xml:space="preserve"> burden hours (reflecting SSA management information data), which results in an associated theoretical (not actual) opportunity cost financial burden of </w:t>
      </w:r>
      <w:r w:rsidRPr="000D5C03">
        <w:rPr>
          <w:rFonts w:ascii="Times New Roman" w:hAnsi="Times New Roman" w:eastAsia="Times New Roman"/>
          <w:b/>
          <w:bCs/>
          <w:snapToGrid w:val="0"/>
          <w:sz w:val="24"/>
          <w:szCs w:val="24"/>
        </w:rPr>
        <w:t>$</w:t>
      </w:r>
      <w:r w:rsidR="0091348B">
        <w:rPr>
          <w:rFonts w:ascii="Times New Roman" w:hAnsi="Times New Roman" w:eastAsia="Times New Roman"/>
          <w:b/>
          <w:bCs/>
          <w:snapToGrid w:val="0"/>
          <w:sz w:val="24"/>
          <w:szCs w:val="24"/>
        </w:rPr>
        <w:t>2</w:t>
      </w:r>
      <w:r w:rsidR="00143368">
        <w:rPr>
          <w:rFonts w:ascii="Times New Roman" w:hAnsi="Times New Roman" w:eastAsia="Times New Roman"/>
          <w:b/>
          <w:bCs/>
          <w:snapToGrid w:val="0"/>
          <w:sz w:val="24"/>
          <w:szCs w:val="24"/>
        </w:rPr>
        <w:t>6</w:t>
      </w:r>
      <w:r w:rsidR="0091348B">
        <w:rPr>
          <w:rFonts w:ascii="Times New Roman" w:hAnsi="Times New Roman" w:eastAsia="Times New Roman"/>
          <w:b/>
          <w:bCs/>
          <w:snapToGrid w:val="0"/>
          <w:sz w:val="24"/>
          <w:szCs w:val="24"/>
        </w:rPr>
        <w:t>,679,423</w:t>
      </w:r>
      <w:r w:rsidRPr="000D5C03">
        <w:rPr>
          <w:rFonts w:ascii="Times New Roman" w:hAnsi="Times New Roman" w:eastAsia="Times New Roman"/>
          <w:snapToGrid w:val="0"/>
          <w:sz w:val="24"/>
          <w:szCs w:val="24"/>
        </w:rPr>
        <w:t>.  SSA does not charge respondents to complete our applications</w:t>
      </w:r>
      <w:r>
        <w:rPr>
          <w:rFonts w:ascii="Times New Roman" w:hAnsi="Times New Roman" w:eastAsia="Times New Roman"/>
          <w:snapToGrid w:val="0"/>
          <w:sz w:val="24"/>
          <w:szCs w:val="24"/>
        </w:rPr>
        <w:t>.</w:t>
      </w:r>
    </w:p>
    <w:p w:rsidRPr="001D67E3" w:rsidR="001D67E3" w:rsidP="001D67E3" w:rsidRDefault="001D67E3" w14:paraId="4CB36150" w14:textId="757794E4">
      <w:pPr>
        <w:ind w:left="720"/>
        <w:rPr>
          <w:rFonts w:ascii="Times New Roman" w:hAnsi="Times New Roman"/>
        </w:rPr>
      </w:pPr>
    </w:p>
    <w:p w:rsidRPr="00227D0B" w:rsidR="00C45253" w:rsidP="00571E6B" w:rsidRDefault="00F21EAC" w14:paraId="3E0AC9E4" w14:textId="42864035">
      <w:pPr>
        <w:autoSpaceDE w:val="0"/>
        <w:autoSpaceDN w:val="0"/>
        <w:adjustRightInd w:val="0"/>
        <w:ind w:left="1440" w:hanging="720"/>
        <w:rPr>
          <w:rFonts w:ascii="Times New Roman" w:hAnsi="Times New Roman"/>
          <w:b/>
          <w:sz w:val="24"/>
          <w:szCs w:val="24"/>
        </w:rPr>
      </w:pPr>
      <w:r w:rsidRPr="00227D0B">
        <w:rPr>
          <w:rFonts w:ascii="Times New Roman" w:hAnsi="Times New Roman"/>
          <w:b/>
          <w:sz w:val="24"/>
          <w:szCs w:val="24"/>
        </w:rPr>
        <w:t>13.</w:t>
      </w:r>
      <w:r w:rsidRPr="00227D0B">
        <w:rPr>
          <w:rFonts w:ascii="Times New Roman" w:hAnsi="Times New Roman"/>
          <w:b/>
          <w:sz w:val="24"/>
          <w:szCs w:val="24"/>
        </w:rPr>
        <w:tab/>
        <w:t>Annual Cost to Respondents</w:t>
      </w:r>
    </w:p>
    <w:p w:rsidRPr="00227D0B" w:rsidR="00C45253" w:rsidP="00571E6B" w:rsidRDefault="00C45253" w14:paraId="3EEFFB22" w14:textId="15826B1C">
      <w:pPr>
        <w:autoSpaceDE w:val="0"/>
        <w:autoSpaceDN w:val="0"/>
        <w:adjustRightInd w:val="0"/>
        <w:ind w:left="1440"/>
        <w:rPr>
          <w:rFonts w:ascii="Times New Roman" w:hAnsi="Times New Roman"/>
          <w:sz w:val="24"/>
          <w:szCs w:val="24"/>
        </w:rPr>
      </w:pPr>
      <w:r w:rsidRPr="00227D0B">
        <w:rPr>
          <w:rFonts w:ascii="Times New Roman" w:hAnsi="Times New Roman"/>
          <w:sz w:val="24"/>
          <w:szCs w:val="24"/>
        </w:rPr>
        <w:t xml:space="preserve">This collection does not impose a known cost burden </w:t>
      </w:r>
      <w:r w:rsidR="00D24B53">
        <w:rPr>
          <w:rFonts w:ascii="Times New Roman" w:hAnsi="Times New Roman"/>
          <w:sz w:val="24"/>
          <w:szCs w:val="24"/>
        </w:rPr>
        <w:t>on</w:t>
      </w:r>
      <w:r w:rsidRPr="00227D0B">
        <w:rPr>
          <w:rFonts w:ascii="Times New Roman" w:hAnsi="Times New Roman"/>
          <w:sz w:val="24"/>
          <w:szCs w:val="24"/>
        </w:rPr>
        <w:t xml:space="preserve"> the </w:t>
      </w:r>
      <w:r w:rsidRPr="00227D0B" w:rsidR="000A7018">
        <w:rPr>
          <w:rFonts w:ascii="Times New Roman" w:hAnsi="Times New Roman"/>
          <w:sz w:val="24"/>
          <w:szCs w:val="24"/>
        </w:rPr>
        <w:t>appellants</w:t>
      </w:r>
      <w:r w:rsidRPr="00227D0B">
        <w:rPr>
          <w:rFonts w:ascii="Times New Roman" w:hAnsi="Times New Roman"/>
          <w:sz w:val="24"/>
          <w:szCs w:val="24"/>
        </w:rPr>
        <w:t>.</w:t>
      </w:r>
    </w:p>
    <w:p w:rsidRPr="00227D0B" w:rsidR="00B2423D" w:rsidP="00571E6B" w:rsidRDefault="00B2423D" w14:paraId="40DD21EB" w14:textId="77777777">
      <w:pPr>
        <w:autoSpaceDE w:val="0"/>
        <w:autoSpaceDN w:val="0"/>
        <w:adjustRightInd w:val="0"/>
        <w:ind w:left="1440"/>
        <w:rPr>
          <w:rFonts w:ascii="Times New Roman" w:hAnsi="Times New Roman"/>
          <w:sz w:val="24"/>
          <w:szCs w:val="24"/>
        </w:rPr>
      </w:pPr>
    </w:p>
    <w:p w:rsidRPr="00227D0B" w:rsidR="00C45253" w:rsidP="00571E6B" w:rsidRDefault="00C45253" w14:paraId="73A82458" w14:textId="77777777">
      <w:pPr>
        <w:autoSpaceDE w:val="0"/>
        <w:autoSpaceDN w:val="0"/>
        <w:adjustRightInd w:val="0"/>
        <w:ind w:left="1440" w:hanging="720"/>
        <w:rPr>
          <w:rFonts w:ascii="Times New Roman" w:hAnsi="Times New Roman"/>
          <w:b/>
          <w:sz w:val="24"/>
          <w:szCs w:val="24"/>
        </w:rPr>
      </w:pPr>
      <w:r w:rsidRPr="00227D0B">
        <w:rPr>
          <w:rFonts w:ascii="Times New Roman" w:hAnsi="Times New Roman"/>
          <w:b/>
          <w:sz w:val="24"/>
          <w:szCs w:val="24"/>
        </w:rPr>
        <w:t>14.</w:t>
      </w:r>
      <w:r w:rsidRPr="00227D0B">
        <w:rPr>
          <w:rFonts w:ascii="Times New Roman" w:hAnsi="Times New Roman"/>
          <w:b/>
          <w:sz w:val="24"/>
          <w:szCs w:val="24"/>
        </w:rPr>
        <w:tab/>
        <w:t>Annual Cost to Federal Government</w:t>
      </w:r>
    </w:p>
    <w:p w:rsidR="00945032" w:rsidP="00571E6B" w:rsidRDefault="00945032" w14:paraId="52D59C6D" w14:textId="2252DA0F">
      <w:pPr>
        <w:pStyle w:val="ListParagraph"/>
        <w:ind w:left="1440"/>
      </w:pPr>
      <w:r>
        <w:t xml:space="preserve">The annual cost to the Federal Government is approximately </w:t>
      </w:r>
      <w:r w:rsidRPr="00D6703B" w:rsidR="00D6703B">
        <w:rPr>
          <w:b/>
          <w:bCs/>
        </w:rPr>
        <w:t>$110,316</w:t>
      </w:r>
      <w:r>
        <w:t xml:space="preserve">.  </w:t>
      </w:r>
      <w:r w:rsidRPr="00FC4182">
        <w:t>This estimate accounts for costs from the following areas:</w:t>
      </w:r>
    </w:p>
    <w:p w:rsidR="00C46501" w:rsidP="00D86861" w:rsidRDefault="00C46501" w14:paraId="32BB702D" w14:textId="77777777">
      <w:pPr>
        <w:pStyle w:val="ListParagraph"/>
        <w:ind w:left="1440"/>
        <w:rPr>
          <w:color w:val="000000"/>
        </w:rPr>
      </w:pPr>
    </w:p>
    <w:tbl>
      <w:tblPr>
        <w:tblStyle w:val="TableGrid2"/>
        <w:tblW w:w="8910" w:type="dxa"/>
        <w:tblInd w:w="985" w:type="dxa"/>
        <w:tblLook w:val="04A0" w:firstRow="1" w:lastRow="0" w:firstColumn="1" w:lastColumn="0" w:noHBand="0" w:noVBand="1"/>
      </w:tblPr>
      <w:tblGrid>
        <w:gridCol w:w="2526"/>
        <w:gridCol w:w="3314"/>
        <w:gridCol w:w="3070"/>
      </w:tblGrid>
      <w:tr w:rsidRPr="00C46501" w:rsidR="00C46501" w:rsidTr="00C46501" w14:paraId="5D5CCAF9" w14:textId="77777777">
        <w:tc>
          <w:tcPr>
            <w:tcW w:w="2526" w:type="dxa"/>
          </w:tcPr>
          <w:p w:rsidRPr="00C46501" w:rsidR="00C46501" w:rsidP="00C46501" w:rsidRDefault="00C46501" w14:paraId="58EEFAF9" w14:textId="77777777">
            <w:pPr>
              <w:contextualSpacing/>
              <w:rPr>
                <w:rFonts w:eastAsia="Times New Roman"/>
                <w:b/>
                <w:bCs/>
                <w:snapToGrid w:val="0"/>
                <w:color w:val="000000"/>
                <w:sz w:val="24"/>
                <w:szCs w:val="24"/>
              </w:rPr>
            </w:pPr>
            <w:r w:rsidRPr="00C46501">
              <w:rPr>
                <w:rFonts w:eastAsia="Times New Roman"/>
                <w:b/>
                <w:bCs/>
                <w:snapToGrid w:val="0"/>
                <w:color w:val="000000"/>
                <w:sz w:val="24"/>
                <w:szCs w:val="24"/>
              </w:rPr>
              <w:t>Description of Cost Factor</w:t>
            </w:r>
          </w:p>
        </w:tc>
        <w:tc>
          <w:tcPr>
            <w:tcW w:w="3314" w:type="dxa"/>
          </w:tcPr>
          <w:p w:rsidRPr="00C46501" w:rsidR="00C46501" w:rsidP="00C46501" w:rsidRDefault="00C46501" w14:paraId="631F09B5" w14:textId="77777777">
            <w:pPr>
              <w:contextualSpacing/>
              <w:rPr>
                <w:rFonts w:eastAsia="Times New Roman"/>
                <w:b/>
                <w:bCs/>
                <w:snapToGrid w:val="0"/>
                <w:color w:val="000000"/>
                <w:sz w:val="24"/>
                <w:szCs w:val="24"/>
              </w:rPr>
            </w:pPr>
            <w:r w:rsidRPr="00C46501">
              <w:rPr>
                <w:rFonts w:eastAsia="Times New Roman"/>
                <w:b/>
                <w:bCs/>
                <w:snapToGrid w:val="0"/>
                <w:color w:val="000000"/>
                <w:sz w:val="24"/>
                <w:szCs w:val="24"/>
              </w:rPr>
              <w:t>Methodology for Estimating Cost</w:t>
            </w:r>
          </w:p>
        </w:tc>
        <w:tc>
          <w:tcPr>
            <w:tcW w:w="3070" w:type="dxa"/>
          </w:tcPr>
          <w:p w:rsidRPr="00C46501" w:rsidR="00C46501" w:rsidP="00C46501" w:rsidRDefault="00C46501" w14:paraId="38C44A22" w14:textId="77777777">
            <w:pPr>
              <w:contextualSpacing/>
              <w:rPr>
                <w:rFonts w:eastAsia="Times New Roman"/>
                <w:b/>
                <w:bCs/>
                <w:snapToGrid w:val="0"/>
                <w:color w:val="000000"/>
                <w:sz w:val="24"/>
                <w:szCs w:val="24"/>
              </w:rPr>
            </w:pPr>
            <w:r w:rsidRPr="00C46501">
              <w:rPr>
                <w:rFonts w:eastAsia="Times New Roman"/>
                <w:b/>
                <w:bCs/>
                <w:snapToGrid w:val="0"/>
                <w:color w:val="000000"/>
                <w:sz w:val="24"/>
                <w:szCs w:val="24"/>
              </w:rPr>
              <w:t>Cost in Dollars*</w:t>
            </w:r>
          </w:p>
        </w:tc>
      </w:tr>
      <w:tr w:rsidRPr="00C46501" w:rsidR="00C46501" w:rsidTr="00C46501" w14:paraId="39D5C764" w14:textId="77777777">
        <w:tc>
          <w:tcPr>
            <w:tcW w:w="2526" w:type="dxa"/>
          </w:tcPr>
          <w:p w:rsidRPr="00C46501" w:rsidR="00C46501" w:rsidP="00C46501" w:rsidRDefault="00C46501" w14:paraId="4BE39D61" w14:textId="77777777">
            <w:pPr>
              <w:contextualSpacing/>
              <w:rPr>
                <w:rFonts w:eastAsia="Times New Roman"/>
                <w:snapToGrid w:val="0"/>
                <w:color w:val="000000"/>
                <w:sz w:val="24"/>
                <w:szCs w:val="24"/>
              </w:rPr>
            </w:pPr>
            <w:r w:rsidRPr="00C46501">
              <w:rPr>
                <w:rFonts w:eastAsia="Times New Roman"/>
                <w:snapToGrid w:val="0"/>
                <w:color w:val="000000"/>
                <w:sz w:val="24"/>
                <w:szCs w:val="24"/>
              </w:rPr>
              <w:t>Designing and Printing the Form</w:t>
            </w:r>
          </w:p>
        </w:tc>
        <w:tc>
          <w:tcPr>
            <w:tcW w:w="3314" w:type="dxa"/>
          </w:tcPr>
          <w:p w:rsidRPr="00C46501" w:rsidR="00C46501" w:rsidP="00C46501" w:rsidRDefault="00C46501" w14:paraId="761973CB" w14:textId="77777777">
            <w:pPr>
              <w:contextualSpacing/>
              <w:rPr>
                <w:rFonts w:eastAsia="Times New Roman"/>
                <w:snapToGrid w:val="0"/>
                <w:color w:val="000000"/>
                <w:sz w:val="24"/>
                <w:szCs w:val="24"/>
              </w:rPr>
            </w:pPr>
            <w:r w:rsidRPr="00C46501">
              <w:rPr>
                <w:rFonts w:eastAsia="Times New Roman"/>
                <w:snapToGrid w:val="0"/>
                <w:color w:val="000000"/>
                <w:sz w:val="24"/>
                <w:szCs w:val="24"/>
              </w:rPr>
              <w:t>Design Cost + Printing Cost</w:t>
            </w:r>
          </w:p>
        </w:tc>
        <w:tc>
          <w:tcPr>
            <w:tcW w:w="3070" w:type="dxa"/>
          </w:tcPr>
          <w:p w:rsidRPr="00C46501" w:rsidR="00C46501" w:rsidP="00C46501" w:rsidRDefault="00C46501" w14:paraId="497C1F9E" w14:textId="4DA04671">
            <w:pPr>
              <w:contextualSpacing/>
              <w:jc w:val="right"/>
              <w:rPr>
                <w:rFonts w:eastAsia="Times New Roman"/>
                <w:snapToGrid w:val="0"/>
                <w:color w:val="000000"/>
                <w:sz w:val="24"/>
                <w:szCs w:val="24"/>
              </w:rPr>
            </w:pPr>
            <w:r w:rsidRPr="00D86861">
              <w:rPr>
                <w:sz w:val="24"/>
                <w:szCs w:val="24"/>
              </w:rPr>
              <w:t>$</w:t>
            </w:r>
            <w:r w:rsidR="006F1769">
              <w:rPr>
                <w:sz w:val="24"/>
                <w:szCs w:val="24"/>
              </w:rPr>
              <w:t>14,359</w:t>
            </w:r>
          </w:p>
        </w:tc>
      </w:tr>
      <w:tr w:rsidRPr="00C46501" w:rsidR="00C46501" w:rsidTr="00C46501" w14:paraId="7E7CFD79" w14:textId="77777777">
        <w:tc>
          <w:tcPr>
            <w:tcW w:w="2526" w:type="dxa"/>
          </w:tcPr>
          <w:p w:rsidRPr="00C46501" w:rsidR="00C46501" w:rsidP="00C46501" w:rsidRDefault="00C46501" w14:paraId="594F1CBF" w14:textId="77777777">
            <w:pPr>
              <w:contextualSpacing/>
              <w:rPr>
                <w:rFonts w:eastAsia="Times New Roman"/>
                <w:snapToGrid w:val="0"/>
                <w:color w:val="000000"/>
                <w:sz w:val="24"/>
                <w:szCs w:val="24"/>
              </w:rPr>
            </w:pPr>
            <w:r w:rsidRPr="00C46501">
              <w:rPr>
                <w:rFonts w:eastAsia="Times New Roman"/>
                <w:snapToGrid w:val="0"/>
                <w:color w:val="000000"/>
                <w:sz w:val="24"/>
                <w:szCs w:val="24"/>
              </w:rPr>
              <w:t>Distributing, Shipping, and Material Costs for the Form</w:t>
            </w:r>
          </w:p>
        </w:tc>
        <w:tc>
          <w:tcPr>
            <w:tcW w:w="3314" w:type="dxa"/>
          </w:tcPr>
          <w:p w:rsidRPr="00C46501" w:rsidR="00C46501" w:rsidP="00C46501" w:rsidRDefault="00C46501" w14:paraId="4B0EA7EC" w14:textId="77777777">
            <w:pPr>
              <w:contextualSpacing/>
              <w:rPr>
                <w:rFonts w:eastAsia="Times New Roman"/>
                <w:snapToGrid w:val="0"/>
                <w:color w:val="000000"/>
                <w:sz w:val="24"/>
                <w:szCs w:val="24"/>
              </w:rPr>
            </w:pPr>
            <w:r w:rsidRPr="00C46501">
              <w:rPr>
                <w:rFonts w:eastAsia="Times New Roman"/>
                <w:snapToGrid w:val="0"/>
                <w:color w:val="000000"/>
                <w:sz w:val="24"/>
                <w:szCs w:val="24"/>
              </w:rPr>
              <w:t>Distribution + Shipping + Material Cost</w:t>
            </w:r>
          </w:p>
        </w:tc>
        <w:tc>
          <w:tcPr>
            <w:tcW w:w="3070" w:type="dxa"/>
          </w:tcPr>
          <w:p w:rsidRPr="00D86861" w:rsidR="00C46501" w:rsidP="00C46501" w:rsidRDefault="00C46501" w14:paraId="53E49341" w14:textId="77777777">
            <w:pPr>
              <w:pStyle w:val="ListParagraph"/>
              <w:ind w:left="0"/>
              <w:jc w:val="right"/>
            </w:pPr>
            <w:r w:rsidRPr="00D86861">
              <w:t>$0*</w:t>
            </w:r>
          </w:p>
          <w:p w:rsidRPr="00C46501" w:rsidR="00C46501" w:rsidP="00C46501" w:rsidRDefault="00C46501" w14:paraId="0C4CEF17" w14:textId="02F20D11">
            <w:pPr>
              <w:contextualSpacing/>
              <w:jc w:val="right"/>
              <w:rPr>
                <w:rFonts w:eastAsia="Times New Roman"/>
                <w:snapToGrid w:val="0"/>
                <w:color w:val="000000"/>
                <w:sz w:val="24"/>
                <w:szCs w:val="24"/>
              </w:rPr>
            </w:pPr>
            <w:r w:rsidRPr="00D86861">
              <w:rPr>
                <w:sz w:val="24"/>
                <w:szCs w:val="24"/>
              </w:rPr>
              <w:t>(</w:t>
            </w:r>
            <w:r w:rsidRPr="00D86861">
              <w:rPr>
                <w:sz w:val="24"/>
                <w:szCs w:val="24"/>
                <w:u w:val="single"/>
              </w:rPr>
              <w:t>Note</w:t>
            </w:r>
            <w:r w:rsidRPr="00D86861">
              <w:rPr>
                <w:sz w:val="24"/>
                <w:szCs w:val="24"/>
              </w:rPr>
              <w:t>: since we are mailing hearings appointment notices anyway, and this one-page screener notice will not increase postage, there are no distribution/shipping/material costs associated with the notice.)</w:t>
            </w:r>
          </w:p>
        </w:tc>
      </w:tr>
      <w:tr w:rsidRPr="00C46501" w:rsidR="00C46501" w:rsidTr="00C46501" w14:paraId="7C5AB222" w14:textId="77777777">
        <w:tc>
          <w:tcPr>
            <w:tcW w:w="2526" w:type="dxa"/>
          </w:tcPr>
          <w:p w:rsidRPr="00C46501" w:rsidR="00C46501" w:rsidP="00C46501" w:rsidRDefault="00C46501" w14:paraId="1C150D09" w14:textId="77777777">
            <w:pPr>
              <w:contextualSpacing/>
              <w:rPr>
                <w:rFonts w:eastAsia="Times New Roman"/>
                <w:snapToGrid w:val="0"/>
                <w:color w:val="000000"/>
                <w:sz w:val="24"/>
                <w:szCs w:val="24"/>
              </w:rPr>
            </w:pPr>
            <w:bookmarkStart w:name="_Hlk92716316" w:id="1"/>
            <w:r w:rsidRPr="00C46501">
              <w:rPr>
                <w:rFonts w:eastAsia="Times New Roman"/>
                <w:snapToGrid w:val="0"/>
                <w:color w:val="000000"/>
                <w:sz w:val="24"/>
                <w:szCs w:val="24"/>
              </w:rPr>
              <w:lastRenderedPageBreak/>
              <w:t>SSA Employee (e.g., field office, 800 number, DDS staff) Information Collection and Processing Time</w:t>
            </w:r>
            <w:bookmarkEnd w:id="1"/>
          </w:p>
        </w:tc>
        <w:tc>
          <w:tcPr>
            <w:tcW w:w="3314" w:type="dxa"/>
          </w:tcPr>
          <w:p w:rsidRPr="00C46501" w:rsidR="00C46501" w:rsidP="00C46501" w:rsidRDefault="00C46501" w14:paraId="6EA1D255" w14:textId="77777777">
            <w:pPr>
              <w:contextualSpacing/>
              <w:rPr>
                <w:rFonts w:eastAsia="Times New Roman"/>
                <w:snapToGrid w:val="0"/>
                <w:color w:val="000000"/>
                <w:sz w:val="24"/>
                <w:szCs w:val="24"/>
              </w:rPr>
            </w:pPr>
            <w:r w:rsidRPr="00C46501">
              <w:rPr>
                <w:rFonts w:eastAsia="Times New Roman"/>
                <w:snapToGrid w:val="0"/>
                <w:color w:val="000000"/>
                <w:sz w:val="24"/>
                <w:szCs w:val="24"/>
              </w:rPr>
              <w:t>GS-9 employee x # of responses x processing time</w:t>
            </w:r>
          </w:p>
        </w:tc>
        <w:tc>
          <w:tcPr>
            <w:tcW w:w="3070" w:type="dxa"/>
          </w:tcPr>
          <w:p w:rsidRPr="00C46501" w:rsidR="00C46501" w:rsidP="00C46501" w:rsidRDefault="00C46501" w14:paraId="510EEC55" w14:textId="767A7F9B">
            <w:pPr>
              <w:contextualSpacing/>
              <w:jc w:val="right"/>
              <w:rPr>
                <w:rFonts w:eastAsia="Times New Roman"/>
                <w:snapToGrid w:val="0"/>
                <w:color w:val="000000"/>
                <w:sz w:val="24"/>
                <w:szCs w:val="24"/>
              </w:rPr>
            </w:pPr>
            <w:r w:rsidRPr="00C46501">
              <w:rPr>
                <w:rFonts w:eastAsia="Times New Roman"/>
                <w:snapToGrid w:val="0"/>
                <w:color w:val="000000"/>
                <w:sz w:val="24"/>
                <w:szCs w:val="24"/>
              </w:rPr>
              <w:t>$</w:t>
            </w:r>
            <w:r w:rsidRPr="00D86861" w:rsidR="006F1769">
              <w:rPr>
                <w:sz w:val="24"/>
                <w:szCs w:val="24"/>
              </w:rPr>
              <w:t>20,171</w:t>
            </w:r>
          </w:p>
          <w:p w:rsidRPr="00C46501" w:rsidR="00C46501" w:rsidP="00C46501" w:rsidRDefault="00C46501" w14:paraId="448D509F" w14:textId="77777777">
            <w:pPr>
              <w:contextualSpacing/>
              <w:jc w:val="right"/>
              <w:rPr>
                <w:rFonts w:eastAsia="Times New Roman"/>
                <w:snapToGrid w:val="0"/>
                <w:color w:val="000000"/>
                <w:sz w:val="24"/>
                <w:szCs w:val="24"/>
              </w:rPr>
            </w:pPr>
          </w:p>
        </w:tc>
      </w:tr>
      <w:tr w:rsidRPr="00C46501" w:rsidR="00C46501" w:rsidTr="00C46501" w14:paraId="1117C1DD" w14:textId="77777777">
        <w:tc>
          <w:tcPr>
            <w:tcW w:w="2526" w:type="dxa"/>
          </w:tcPr>
          <w:p w:rsidRPr="00C46501" w:rsidR="00C46501" w:rsidP="00C46501" w:rsidRDefault="00C46501" w14:paraId="3E70C268" w14:textId="77777777">
            <w:pPr>
              <w:contextualSpacing/>
              <w:rPr>
                <w:rFonts w:eastAsia="Times New Roman"/>
                <w:snapToGrid w:val="0"/>
                <w:color w:val="000000"/>
                <w:sz w:val="24"/>
                <w:szCs w:val="24"/>
              </w:rPr>
            </w:pPr>
            <w:r w:rsidRPr="00C46501">
              <w:rPr>
                <w:rFonts w:eastAsia="Times New Roman"/>
                <w:snapToGrid w:val="0"/>
                <w:color w:val="000000"/>
                <w:sz w:val="24"/>
                <w:szCs w:val="24"/>
              </w:rPr>
              <w:t>Full-Time Equivalent Costs</w:t>
            </w:r>
          </w:p>
        </w:tc>
        <w:tc>
          <w:tcPr>
            <w:tcW w:w="3314" w:type="dxa"/>
          </w:tcPr>
          <w:p w:rsidRPr="00C46501" w:rsidR="00C46501" w:rsidP="00C46501" w:rsidRDefault="00C46501" w14:paraId="06DED398" w14:textId="77777777">
            <w:pPr>
              <w:contextualSpacing/>
              <w:rPr>
                <w:rFonts w:eastAsia="Times New Roman"/>
                <w:snapToGrid w:val="0"/>
                <w:color w:val="000000"/>
                <w:sz w:val="24"/>
                <w:szCs w:val="24"/>
              </w:rPr>
            </w:pPr>
            <w:r w:rsidRPr="00C46501">
              <w:rPr>
                <w:rFonts w:eastAsia="Times New Roman"/>
                <w:snapToGrid w:val="0"/>
                <w:color w:val="000000"/>
                <w:sz w:val="24"/>
                <w:szCs w:val="24"/>
              </w:rPr>
              <w:t>Out of pocket costs + Other expenses for providing this service</w:t>
            </w:r>
          </w:p>
        </w:tc>
        <w:tc>
          <w:tcPr>
            <w:tcW w:w="3070" w:type="dxa"/>
          </w:tcPr>
          <w:p w:rsidRPr="00C46501" w:rsidR="00C46501" w:rsidP="00C46501" w:rsidRDefault="00C46501" w14:paraId="2D683075" w14:textId="77777777">
            <w:pPr>
              <w:contextualSpacing/>
              <w:jc w:val="right"/>
              <w:rPr>
                <w:rFonts w:eastAsia="Times New Roman"/>
                <w:snapToGrid w:val="0"/>
                <w:color w:val="000000"/>
                <w:sz w:val="24"/>
                <w:szCs w:val="24"/>
              </w:rPr>
            </w:pPr>
            <w:r w:rsidRPr="00C46501">
              <w:rPr>
                <w:rFonts w:eastAsia="Times New Roman"/>
                <w:snapToGrid w:val="0"/>
                <w:color w:val="000000"/>
                <w:sz w:val="24"/>
                <w:szCs w:val="24"/>
              </w:rPr>
              <w:t>$0*</w:t>
            </w:r>
          </w:p>
        </w:tc>
      </w:tr>
      <w:tr w:rsidRPr="00C46501" w:rsidR="00C46501" w:rsidTr="00C46501" w14:paraId="2F2F5B5D" w14:textId="77777777">
        <w:tc>
          <w:tcPr>
            <w:tcW w:w="2526" w:type="dxa"/>
          </w:tcPr>
          <w:p w:rsidRPr="00C46501" w:rsidR="00C46501" w:rsidP="00C46501" w:rsidRDefault="00C46501" w14:paraId="5774E817" w14:textId="77777777">
            <w:pPr>
              <w:contextualSpacing/>
              <w:rPr>
                <w:rFonts w:eastAsia="Times New Roman"/>
                <w:snapToGrid w:val="0"/>
                <w:color w:val="000000"/>
                <w:sz w:val="24"/>
                <w:szCs w:val="24"/>
              </w:rPr>
            </w:pPr>
            <w:r w:rsidRPr="00C46501">
              <w:rPr>
                <w:rFonts w:eastAsia="Times New Roman"/>
                <w:snapToGrid w:val="0"/>
                <w:color w:val="000000"/>
                <w:sz w:val="24"/>
                <w:szCs w:val="24"/>
              </w:rPr>
              <w:t>Systems Development, Updating, and Maintenance</w:t>
            </w:r>
          </w:p>
        </w:tc>
        <w:tc>
          <w:tcPr>
            <w:tcW w:w="3314" w:type="dxa"/>
          </w:tcPr>
          <w:p w:rsidRPr="00C46501" w:rsidR="00C46501" w:rsidP="00C46501" w:rsidRDefault="00C46501" w14:paraId="3AF8AC06" w14:textId="77777777">
            <w:pPr>
              <w:contextualSpacing/>
              <w:rPr>
                <w:rFonts w:eastAsia="Times New Roman"/>
                <w:snapToGrid w:val="0"/>
                <w:color w:val="000000"/>
                <w:sz w:val="24"/>
                <w:szCs w:val="24"/>
              </w:rPr>
            </w:pPr>
            <w:r w:rsidRPr="00C46501">
              <w:rPr>
                <w:rFonts w:eastAsia="Times New Roman"/>
                <w:snapToGrid w:val="0"/>
                <w:color w:val="000000"/>
                <w:sz w:val="24"/>
                <w:szCs w:val="24"/>
              </w:rPr>
              <w:t>GS-9 employee x man hours for development, updating, maintenance</w:t>
            </w:r>
          </w:p>
        </w:tc>
        <w:tc>
          <w:tcPr>
            <w:tcW w:w="3070" w:type="dxa"/>
          </w:tcPr>
          <w:p w:rsidRPr="00C46501" w:rsidR="00C46501" w:rsidP="00C46501" w:rsidRDefault="00C46501" w14:paraId="70EC2AB5" w14:textId="06044427">
            <w:pPr>
              <w:contextualSpacing/>
              <w:jc w:val="right"/>
              <w:rPr>
                <w:rFonts w:eastAsia="Times New Roman"/>
                <w:snapToGrid w:val="0"/>
                <w:color w:val="000000"/>
                <w:sz w:val="24"/>
                <w:szCs w:val="24"/>
              </w:rPr>
            </w:pPr>
            <w:r w:rsidRPr="00C46501">
              <w:rPr>
                <w:rFonts w:eastAsia="Times New Roman"/>
                <w:snapToGrid w:val="0"/>
                <w:color w:val="000000"/>
                <w:sz w:val="24"/>
                <w:szCs w:val="24"/>
              </w:rPr>
              <w:t>$</w:t>
            </w:r>
            <w:r>
              <w:rPr>
                <w:rFonts w:eastAsia="Times New Roman"/>
                <w:snapToGrid w:val="0"/>
                <w:color w:val="000000"/>
                <w:sz w:val="24"/>
                <w:szCs w:val="24"/>
              </w:rPr>
              <w:t>71,786</w:t>
            </w:r>
          </w:p>
        </w:tc>
      </w:tr>
      <w:tr w:rsidRPr="00C46501" w:rsidR="00C46501" w:rsidTr="00C46501" w14:paraId="238F2273" w14:textId="77777777">
        <w:tc>
          <w:tcPr>
            <w:tcW w:w="2526" w:type="dxa"/>
          </w:tcPr>
          <w:p w:rsidRPr="00C46501" w:rsidR="00C46501" w:rsidP="00C46501" w:rsidRDefault="00C46501" w14:paraId="46D0D122" w14:textId="77777777">
            <w:pPr>
              <w:contextualSpacing/>
              <w:rPr>
                <w:rFonts w:eastAsia="Times New Roman"/>
                <w:snapToGrid w:val="0"/>
                <w:color w:val="000000"/>
                <w:sz w:val="24"/>
                <w:szCs w:val="24"/>
              </w:rPr>
            </w:pPr>
            <w:r w:rsidRPr="00C46501">
              <w:rPr>
                <w:rFonts w:eastAsia="Times New Roman"/>
                <w:snapToGrid w:val="0"/>
                <w:color w:val="000000"/>
                <w:sz w:val="24"/>
                <w:szCs w:val="24"/>
              </w:rPr>
              <w:t>Quantifiable IT Costs</w:t>
            </w:r>
          </w:p>
        </w:tc>
        <w:tc>
          <w:tcPr>
            <w:tcW w:w="3314" w:type="dxa"/>
          </w:tcPr>
          <w:p w:rsidRPr="00C46501" w:rsidR="00C46501" w:rsidP="00C46501" w:rsidRDefault="00C46501" w14:paraId="53F3D0BB" w14:textId="51A59E4D">
            <w:pPr>
              <w:contextualSpacing/>
              <w:rPr>
                <w:rFonts w:eastAsia="Times New Roman"/>
                <w:snapToGrid w:val="0"/>
                <w:color w:val="000000"/>
                <w:sz w:val="24"/>
                <w:szCs w:val="24"/>
              </w:rPr>
            </w:pPr>
            <w:r w:rsidRPr="00D86861">
              <w:rPr>
                <w:sz w:val="24"/>
                <w:szCs w:val="24"/>
              </w:rPr>
              <w:t>Miscellaneous additional IT costs</w:t>
            </w:r>
          </w:p>
        </w:tc>
        <w:tc>
          <w:tcPr>
            <w:tcW w:w="3070" w:type="dxa"/>
          </w:tcPr>
          <w:p w:rsidRPr="00C46501" w:rsidR="00C46501" w:rsidP="00C46501" w:rsidRDefault="00C46501" w14:paraId="4B9B656F" w14:textId="54B69EBE">
            <w:pPr>
              <w:contextualSpacing/>
              <w:jc w:val="right"/>
              <w:rPr>
                <w:rFonts w:eastAsia="Times New Roman"/>
                <w:snapToGrid w:val="0"/>
                <w:color w:val="000000"/>
                <w:sz w:val="24"/>
                <w:szCs w:val="24"/>
              </w:rPr>
            </w:pPr>
            <w:r w:rsidRPr="00D86861">
              <w:rPr>
                <w:sz w:val="24"/>
                <w:szCs w:val="24"/>
              </w:rPr>
              <w:t>$4,000</w:t>
            </w:r>
          </w:p>
        </w:tc>
      </w:tr>
      <w:tr w:rsidRPr="00C46501" w:rsidR="00C46501" w:rsidTr="00C46501" w14:paraId="39CBC639" w14:textId="77777777">
        <w:trPr>
          <w:trHeight w:val="332"/>
        </w:trPr>
        <w:tc>
          <w:tcPr>
            <w:tcW w:w="2526" w:type="dxa"/>
          </w:tcPr>
          <w:p w:rsidRPr="00C46501" w:rsidR="00C46501" w:rsidP="00C46501" w:rsidRDefault="00C46501" w14:paraId="4529686C" w14:textId="77777777">
            <w:pPr>
              <w:contextualSpacing/>
              <w:rPr>
                <w:rFonts w:eastAsia="Times New Roman"/>
                <w:b/>
                <w:bCs/>
                <w:snapToGrid w:val="0"/>
                <w:color w:val="000000"/>
                <w:sz w:val="24"/>
                <w:szCs w:val="24"/>
              </w:rPr>
            </w:pPr>
            <w:r w:rsidRPr="00C46501">
              <w:rPr>
                <w:rFonts w:eastAsia="Times New Roman"/>
                <w:b/>
                <w:bCs/>
                <w:snapToGrid w:val="0"/>
                <w:color w:val="000000"/>
                <w:sz w:val="24"/>
                <w:szCs w:val="24"/>
              </w:rPr>
              <w:t>Total</w:t>
            </w:r>
          </w:p>
        </w:tc>
        <w:tc>
          <w:tcPr>
            <w:tcW w:w="3314" w:type="dxa"/>
          </w:tcPr>
          <w:p w:rsidRPr="00C46501" w:rsidR="00C46501" w:rsidP="00C46501" w:rsidRDefault="00C46501" w14:paraId="6097DE7C" w14:textId="77777777">
            <w:pPr>
              <w:contextualSpacing/>
              <w:rPr>
                <w:rFonts w:eastAsia="Times New Roman"/>
                <w:b/>
                <w:bCs/>
                <w:snapToGrid w:val="0"/>
                <w:color w:val="000000"/>
                <w:sz w:val="24"/>
                <w:szCs w:val="24"/>
              </w:rPr>
            </w:pPr>
          </w:p>
        </w:tc>
        <w:tc>
          <w:tcPr>
            <w:tcW w:w="3070" w:type="dxa"/>
          </w:tcPr>
          <w:p w:rsidRPr="00C46501" w:rsidR="00C46501" w:rsidP="00C46501" w:rsidRDefault="00C46501" w14:paraId="3D3F206D" w14:textId="73C650F4">
            <w:pPr>
              <w:contextualSpacing/>
              <w:jc w:val="right"/>
              <w:rPr>
                <w:rFonts w:eastAsia="Times New Roman"/>
                <w:b/>
                <w:bCs/>
                <w:snapToGrid w:val="0"/>
                <w:color w:val="000000"/>
                <w:sz w:val="24"/>
                <w:szCs w:val="24"/>
              </w:rPr>
            </w:pPr>
            <w:r w:rsidRPr="00C46501">
              <w:rPr>
                <w:rFonts w:eastAsia="Times New Roman"/>
                <w:b/>
                <w:bCs/>
                <w:snapToGrid w:val="0"/>
                <w:color w:val="000000"/>
                <w:sz w:val="24"/>
                <w:szCs w:val="24"/>
              </w:rPr>
              <w:t>$</w:t>
            </w:r>
            <w:r w:rsidRPr="006F1769" w:rsidR="006F1769">
              <w:rPr>
                <w:rFonts w:eastAsia="Times New Roman"/>
                <w:b/>
                <w:bCs/>
                <w:snapToGrid w:val="0"/>
                <w:color w:val="000000"/>
                <w:sz w:val="24"/>
                <w:szCs w:val="24"/>
              </w:rPr>
              <w:t>110,316</w:t>
            </w:r>
          </w:p>
        </w:tc>
      </w:tr>
    </w:tbl>
    <w:p w:rsidR="00F802D7" w:rsidP="00D86861" w:rsidRDefault="00F802D7" w14:paraId="362F0CA1" w14:textId="5BCB3959">
      <w:pPr>
        <w:pStyle w:val="ListParagraph"/>
        <w:ind w:left="1440"/>
        <w:rPr>
          <w:color w:val="000000"/>
        </w:rPr>
      </w:pPr>
      <w:r>
        <w:rPr>
          <w:color w:val="000000"/>
        </w:rPr>
        <w:t>* We have inserted a $0 amount for cost factors that do not apply to this collection.</w:t>
      </w:r>
    </w:p>
    <w:p w:rsidR="00F802D7" w:rsidP="00D86861" w:rsidRDefault="00F802D7" w14:paraId="3FBA5CB6" w14:textId="6B83965E">
      <w:pPr>
        <w:pStyle w:val="ListParagraph"/>
        <w:ind w:left="1440"/>
        <w:rPr>
          <w:color w:val="000000"/>
        </w:rPr>
      </w:pPr>
    </w:p>
    <w:p w:rsidR="00D6703B" w:rsidP="00D86861" w:rsidRDefault="00F802D7" w14:paraId="10019589" w14:textId="1B9C7B35">
      <w:pPr>
        <w:pStyle w:val="ListParagraph"/>
        <w:ind w:left="1440"/>
        <w:rPr>
          <w:color w:val="000000"/>
        </w:rPr>
      </w:pPr>
      <w:r>
        <w:rPr>
          <w:color w:val="000000"/>
        </w:rPr>
        <w:t>SSA is unable to break down the costs to the Federal government further than we already have.  First, since we mail hearings appointment notices to large numbers of claimants and recipients and their representatives, we often do bulk mailings, and cannot track the cost for a single mailing.  In addition, it is difficult for us to break down the cost for processing a single questionnaire, as we anticipate nearly all will be completed online and automatically routed to the appropriate hearing</w:t>
      </w:r>
      <w:r w:rsidR="00D86861">
        <w:rPr>
          <w:color w:val="000000"/>
        </w:rPr>
        <w:t xml:space="preserve"> and field </w:t>
      </w:r>
      <w:r>
        <w:rPr>
          <w:color w:val="000000"/>
        </w:rPr>
        <w:t>office</w:t>
      </w:r>
      <w:r w:rsidR="00D86861">
        <w:rPr>
          <w:color w:val="000000"/>
        </w:rPr>
        <w:t>s</w:t>
      </w:r>
      <w:r>
        <w:rPr>
          <w:color w:val="000000"/>
        </w:rPr>
        <w:t>.  As well, because various types of employees were and will be involved in this process (</w:t>
      </w:r>
      <w:r w:rsidR="002446D8">
        <w:rPr>
          <w:color w:val="000000"/>
        </w:rPr>
        <w:t>such as</w:t>
      </w:r>
      <w:r w:rsidR="003C1C22">
        <w:rPr>
          <w:color w:val="000000"/>
        </w:rPr>
        <w:t xml:space="preserve"> </w:t>
      </w:r>
      <w:r>
        <w:rPr>
          <w:color w:val="000000"/>
        </w:rPr>
        <w:t>Systems developers</w:t>
      </w:r>
      <w:r w:rsidR="002446D8">
        <w:rPr>
          <w:color w:val="000000"/>
        </w:rPr>
        <w:t xml:space="preserve"> and</w:t>
      </w:r>
      <w:r w:rsidR="003C1C22">
        <w:rPr>
          <w:color w:val="000000"/>
        </w:rPr>
        <w:t xml:space="preserve"> </w:t>
      </w:r>
      <w:r>
        <w:rPr>
          <w:color w:val="000000"/>
        </w:rPr>
        <w:t>hearings</w:t>
      </w:r>
      <w:r w:rsidR="00D86861">
        <w:rPr>
          <w:color w:val="000000"/>
        </w:rPr>
        <w:t xml:space="preserve"> and field</w:t>
      </w:r>
      <w:r>
        <w:rPr>
          <w:color w:val="000000"/>
        </w:rPr>
        <w:t xml:space="preserve"> office staff), we use an estimated average hourly wage for these calculations.  However, we have calculated these costs as accurately as possible based on the information we collect for creating, updating, and maintaining these information collections.</w:t>
      </w:r>
      <w:r w:rsidR="00D6703B">
        <w:rPr>
          <w:color w:val="000000"/>
        </w:rPr>
        <w:t xml:space="preserve">  </w:t>
      </w:r>
    </w:p>
    <w:p w:rsidR="00D6703B" w:rsidP="00D6703B" w:rsidRDefault="00D6703B" w14:paraId="4B29DA11" w14:textId="77777777">
      <w:pPr>
        <w:pStyle w:val="ListParagraph"/>
        <w:ind w:left="0"/>
        <w:rPr>
          <w:color w:val="000000"/>
        </w:rPr>
      </w:pPr>
    </w:p>
    <w:p w:rsidRPr="00227D0B" w:rsidR="00C41FC8" w:rsidP="006F1769" w:rsidRDefault="00C45253" w14:paraId="086F8835" w14:textId="27D25594">
      <w:pPr>
        <w:pStyle w:val="ListParagraph"/>
        <w:ind w:left="1440" w:hanging="720"/>
        <w:rPr>
          <w:b/>
        </w:rPr>
      </w:pPr>
      <w:r w:rsidRPr="00227D0B">
        <w:rPr>
          <w:b/>
        </w:rPr>
        <w:t>15.</w:t>
      </w:r>
      <w:r w:rsidRPr="00227D0B">
        <w:rPr>
          <w:b/>
        </w:rPr>
        <w:tab/>
        <w:t>Program Changes or Adjustments to the Information Collection Request</w:t>
      </w:r>
    </w:p>
    <w:p w:rsidR="00C41FC8" w:rsidP="006F1769" w:rsidRDefault="002601AF" w14:paraId="39C91FC3" w14:textId="5C080E34">
      <w:pPr>
        <w:autoSpaceDE w:val="0"/>
        <w:autoSpaceDN w:val="0"/>
        <w:adjustRightInd w:val="0"/>
        <w:ind w:left="1440"/>
        <w:rPr>
          <w:rFonts w:ascii="Times New Roman" w:hAnsi="Times New Roman"/>
          <w:sz w:val="24"/>
          <w:szCs w:val="24"/>
        </w:rPr>
      </w:pPr>
      <w:r w:rsidRPr="002601AF">
        <w:rPr>
          <w:rFonts w:ascii="Times New Roman" w:hAnsi="Times New Roman"/>
          <w:sz w:val="24"/>
          <w:szCs w:val="24"/>
        </w:rPr>
        <w:t xml:space="preserve">The burden increase from the Emergency Clearance </w:t>
      </w:r>
      <w:r w:rsidR="004A0367">
        <w:rPr>
          <w:rFonts w:ascii="Times New Roman" w:hAnsi="Times New Roman"/>
          <w:sz w:val="24"/>
          <w:szCs w:val="24"/>
        </w:rPr>
        <w:t>P</w:t>
      </w:r>
      <w:r w:rsidRPr="002601AF">
        <w:rPr>
          <w:rFonts w:ascii="Times New Roman" w:hAnsi="Times New Roman"/>
          <w:sz w:val="24"/>
          <w:szCs w:val="24"/>
        </w:rPr>
        <w:t xml:space="preserve">ackage </w:t>
      </w:r>
      <w:r w:rsidR="004A0367">
        <w:rPr>
          <w:rFonts w:ascii="Times New Roman" w:hAnsi="Times New Roman"/>
          <w:sz w:val="24"/>
          <w:szCs w:val="24"/>
        </w:rPr>
        <w:t xml:space="preserve">stemmed from two changes.  First, we doubled the burden for the </w:t>
      </w:r>
      <w:r w:rsidRPr="004F6BDF" w:rsidR="004A0367">
        <w:rPr>
          <w:rFonts w:ascii="Times New Roman" w:hAnsi="Times New Roman" w:eastAsia="SimSun"/>
          <w:bCs/>
          <w:snapToGrid w:val="0"/>
          <w:sz w:val="24"/>
          <w:szCs w:val="24"/>
          <w:lang w:eastAsia="ar-SA"/>
        </w:rPr>
        <w:t>COVID Screener Questionnaire</w:t>
      </w:r>
      <w:r w:rsidR="004A0367">
        <w:rPr>
          <w:rFonts w:ascii="Times New Roman" w:hAnsi="Times New Roman"/>
          <w:sz w:val="24"/>
          <w:szCs w:val="24"/>
        </w:rPr>
        <w:t xml:space="preserve"> from 179,580 to 359,160 as we only reflected 6-month figures during the Emergency clearance.  Second, we added </w:t>
      </w:r>
      <w:r w:rsidRPr="002601AF">
        <w:rPr>
          <w:rFonts w:ascii="Times New Roman" w:hAnsi="Times New Roman"/>
          <w:sz w:val="24"/>
          <w:szCs w:val="24"/>
        </w:rPr>
        <w:t xml:space="preserve">the </w:t>
      </w:r>
      <w:r w:rsidRPr="002601AF">
        <w:rPr>
          <w:rFonts w:ascii="Times New Roman" w:hAnsi="Times New Roman" w:cs="Calibri"/>
          <w:sz w:val="24"/>
          <w:szCs w:val="24"/>
          <w:lang w:eastAsia="ar-SA"/>
        </w:rPr>
        <w:t>VIPr Mobile Application and Express Interview Pre</w:t>
      </w:r>
      <w:r w:rsidRPr="002601AF">
        <w:rPr>
          <w:rFonts w:ascii="Times New Roman" w:hAnsi="Times New Roman" w:cs="Calibri"/>
          <w:sz w:val="24"/>
          <w:szCs w:val="24"/>
          <w:lang w:eastAsia="ar-SA"/>
        </w:rPr>
        <w:noBreakHyphen/>
        <w:t xml:space="preserve">Screening </w:t>
      </w:r>
      <w:r w:rsidR="004A0367">
        <w:rPr>
          <w:rFonts w:ascii="Times New Roman" w:hAnsi="Times New Roman" w:cs="Calibri"/>
          <w:sz w:val="24"/>
          <w:szCs w:val="24"/>
          <w:lang w:eastAsia="ar-SA"/>
        </w:rPr>
        <w:t xml:space="preserve">modalities to this clearance package.  </w:t>
      </w:r>
      <w:r>
        <w:rPr>
          <w:rFonts w:ascii="Times New Roman" w:hAnsi="Times New Roman"/>
          <w:sz w:val="24"/>
          <w:szCs w:val="24"/>
        </w:rPr>
        <w:t xml:space="preserve">SSA decided to move all </w:t>
      </w:r>
      <w:r w:rsidR="00FF2864">
        <w:rPr>
          <w:rFonts w:ascii="Times New Roman" w:hAnsi="Times New Roman"/>
          <w:sz w:val="24"/>
          <w:szCs w:val="24"/>
        </w:rPr>
        <w:t>COVID</w:t>
      </w:r>
      <w:r>
        <w:rPr>
          <w:rFonts w:ascii="Times New Roman" w:hAnsi="Times New Roman"/>
          <w:sz w:val="24"/>
          <w:szCs w:val="24"/>
        </w:rPr>
        <w:t>-19 Screeners under the same OMB Clearance Package.  Due to this, the burden increased from 29,930 to 171,499.</w:t>
      </w:r>
    </w:p>
    <w:p w:rsidR="00762E9E" w:rsidP="006F1769" w:rsidRDefault="00762E9E" w14:paraId="7B12C389" w14:textId="19E457B5">
      <w:pPr>
        <w:autoSpaceDE w:val="0"/>
        <w:autoSpaceDN w:val="0"/>
        <w:adjustRightInd w:val="0"/>
        <w:ind w:left="1440"/>
        <w:rPr>
          <w:rFonts w:ascii="Times New Roman" w:hAnsi="Times New Roman"/>
          <w:sz w:val="24"/>
          <w:szCs w:val="24"/>
        </w:rPr>
      </w:pPr>
    </w:p>
    <w:p w:rsidRPr="00762E9E" w:rsidR="00762E9E" w:rsidP="00762E9E" w:rsidRDefault="00762E9E" w14:paraId="782D4469" w14:textId="20D9943C">
      <w:pPr>
        <w:autoSpaceDE w:val="0"/>
        <w:autoSpaceDN w:val="0"/>
        <w:adjustRightInd w:val="0"/>
        <w:ind w:left="1440"/>
        <w:rPr>
          <w:rFonts w:ascii="Times New Roman" w:hAnsi="Times New Roman"/>
          <w:b/>
          <w:bCs/>
          <w:iCs/>
          <w:sz w:val="24"/>
          <w:szCs w:val="24"/>
          <w:lang w:bidi="en-US"/>
        </w:rPr>
      </w:pPr>
      <w:r w:rsidRPr="00762E9E">
        <w:rPr>
          <w:rFonts w:ascii="Times New Roman" w:hAnsi="Times New Roman"/>
          <w:sz w:val="24"/>
          <w:szCs w:val="24"/>
          <w:lang w:bidi="en-US"/>
        </w:rPr>
        <w:t xml:space="preserve">Note: The total burden reflected in ROCIS is </w:t>
      </w:r>
      <w:r>
        <w:rPr>
          <w:rFonts w:ascii="Times New Roman" w:hAnsi="Times New Roman"/>
          <w:b/>
          <w:bCs/>
          <w:sz w:val="24"/>
          <w:szCs w:val="24"/>
          <w:lang w:bidi="en-US"/>
        </w:rPr>
        <w:t>690,133</w:t>
      </w:r>
      <w:r w:rsidRPr="00762E9E">
        <w:rPr>
          <w:rFonts w:ascii="Times New Roman" w:hAnsi="Times New Roman"/>
          <w:sz w:val="24"/>
          <w:szCs w:val="24"/>
          <w:lang w:bidi="en-US"/>
        </w:rPr>
        <w:t xml:space="preserve">, while the burden cited in #12 of the Supporting Statement is </w:t>
      </w:r>
      <w:r>
        <w:rPr>
          <w:rFonts w:ascii="Times New Roman" w:hAnsi="Times New Roman"/>
          <w:b/>
          <w:bCs/>
          <w:sz w:val="24"/>
          <w:szCs w:val="24"/>
          <w:lang w:bidi="en-US"/>
        </w:rPr>
        <w:t>171,499</w:t>
      </w:r>
      <w:r w:rsidRPr="00762E9E">
        <w:rPr>
          <w:rFonts w:ascii="Times New Roman" w:hAnsi="Times New Roman"/>
          <w:sz w:val="24"/>
          <w:szCs w:val="24"/>
          <w:lang w:bidi="en-US"/>
        </w:rPr>
        <w:t>.  This discrepancy is because the ROCIS burden reflects the following components:  field office waiting time + a rough estimate of a 30-minute, one-way, drive burden.  In contrast, the chart in #12 of the Supporting Statement reflects actual burden.</w:t>
      </w:r>
    </w:p>
    <w:p w:rsidRPr="00227D0B" w:rsidR="00C41FC8" w:rsidP="006F1769" w:rsidRDefault="00C41FC8" w14:paraId="73D452C1" w14:textId="77777777">
      <w:pPr>
        <w:autoSpaceDE w:val="0"/>
        <w:autoSpaceDN w:val="0"/>
        <w:adjustRightInd w:val="0"/>
        <w:ind w:left="1440"/>
        <w:rPr>
          <w:rFonts w:ascii="Times New Roman" w:hAnsi="Times New Roman"/>
          <w:sz w:val="24"/>
          <w:szCs w:val="24"/>
        </w:rPr>
      </w:pPr>
    </w:p>
    <w:p w:rsidRPr="00227D0B" w:rsidR="00C41FC8" w:rsidP="006F1769" w:rsidRDefault="00C41FC8" w14:paraId="3377AAED" w14:textId="77777777">
      <w:pPr>
        <w:autoSpaceDE w:val="0"/>
        <w:autoSpaceDN w:val="0"/>
        <w:adjustRightInd w:val="0"/>
        <w:ind w:left="1440" w:hanging="720"/>
        <w:rPr>
          <w:rFonts w:ascii="Times New Roman" w:hAnsi="Times New Roman"/>
          <w:b/>
          <w:sz w:val="24"/>
          <w:szCs w:val="24"/>
        </w:rPr>
      </w:pPr>
      <w:r w:rsidRPr="00227D0B">
        <w:rPr>
          <w:rFonts w:ascii="Times New Roman" w:hAnsi="Times New Roman"/>
          <w:b/>
          <w:sz w:val="24"/>
          <w:szCs w:val="24"/>
        </w:rPr>
        <w:t>16.</w:t>
      </w:r>
      <w:r w:rsidRPr="00227D0B">
        <w:rPr>
          <w:rFonts w:ascii="Times New Roman" w:hAnsi="Times New Roman"/>
          <w:b/>
          <w:sz w:val="24"/>
          <w:szCs w:val="24"/>
        </w:rPr>
        <w:tab/>
        <w:t>Plans for Publication Information Collection Results</w:t>
      </w:r>
    </w:p>
    <w:p w:rsidRPr="00227D0B" w:rsidR="00C41FC8" w:rsidP="006F1769" w:rsidRDefault="00C41FC8" w14:paraId="10E526D5" w14:textId="77777777">
      <w:pPr>
        <w:autoSpaceDE w:val="0"/>
        <w:autoSpaceDN w:val="0"/>
        <w:adjustRightInd w:val="0"/>
        <w:ind w:left="1440"/>
        <w:rPr>
          <w:rFonts w:ascii="Times New Roman" w:hAnsi="Times New Roman"/>
          <w:sz w:val="24"/>
          <w:szCs w:val="24"/>
        </w:rPr>
      </w:pPr>
      <w:r w:rsidRPr="00227D0B">
        <w:rPr>
          <w:rFonts w:ascii="Times New Roman" w:hAnsi="Times New Roman"/>
          <w:sz w:val="24"/>
          <w:szCs w:val="24"/>
        </w:rPr>
        <w:t>SSA will not publish the results of the information collection.</w:t>
      </w:r>
    </w:p>
    <w:p w:rsidRPr="00227D0B" w:rsidR="00762E9E" w:rsidP="006F1769" w:rsidRDefault="00762E9E" w14:paraId="5A69F7E8" w14:textId="77777777">
      <w:pPr>
        <w:autoSpaceDE w:val="0"/>
        <w:autoSpaceDN w:val="0"/>
        <w:adjustRightInd w:val="0"/>
        <w:ind w:left="1440"/>
        <w:rPr>
          <w:rFonts w:ascii="Times New Roman" w:hAnsi="Times New Roman"/>
          <w:sz w:val="24"/>
          <w:szCs w:val="24"/>
        </w:rPr>
      </w:pPr>
    </w:p>
    <w:p w:rsidRPr="00227D0B" w:rsidR="00C41FC8" w:rsidP="006F1769" w:rsidRDefault="00C41FC8" w14:paraId="67ACDE40" w14:textId="77777777">
      <w:pPr>
        <w:autoSpaceDE w:val="0"/>
        <w:autoSpaceDN w:val="0"/>
        <w:adjustRightInd w:val="0"/>
        <w:ind w:left="1440" w:hanging="720"/>
        <w:rPr>
          <w:rFonts w:ascii="Times New Roman" w:hAnsi="Times New Roman"/>
          <w:b/>
          <w:sz w:val="24"/>
          <w:szCs w:val="24"/>
        </w:rPr>
      </w:pPr>
      <w:r w:rsidRPr="00227D0B">
        <w:rPr>
          <w:rFonts w:ascii="Times New Roman" w:hAnsi="Times New Roman"/>
          <w:b/>
          <w:sz w:val="24"/>
          <w:szCs w:val="24"/>
        </w:rPr>
        <w:t>17.</w:t>
      </w:r>
      <w:r w:rsidRPr="00227D0B">
        <w:rPr>
          <w:rFonts w:ascii="Times New Roman" w:hAnsi="Times New Roman"/>
          <w:b/>
          <w:sz w:val="24"/>
          <w:szCs w:val="24"/>
        </w:rPr>
        <w:tab/>
        <w:t>Request not to Display OMB Expiration Date</w:t>
      </w:r>
    </w:p>
    <w:p w:rsidRPr="00227D0B" w:rsidR="00C41FC8" w:rsidP="006F1769" w:rsidRDefault="00C41FC8" w14:paraId="6DD72DF1" w14:textId="4F14BDE8">
      <w:pPr>
        <w:autoSpaceDE w:val="0"/>
        <w:autoSpaceDN w:val="0"/>
        <w:adjustRightInd w:val="0"/>
        <w:ind w:left="1440"/>
        <w:rPr>
          <w:rFonts w:ascii="Times New Roman" w:hAnsi="Times New Roman"/>
          <w:sz w:val="24"/>
          <w:szCs w:val="24"/>
        </w:rPr>
      </w:pPr>
      <w:r w:rsidRPr="00227D0B">
        <w:rPr>
          <w:rFonts w:ascii="Times New Roman" w:hAnsi="Times New Roman"/>
          <w:sz w:val="24"/>
          <w:szCs w:val="24"/>
        </w:rPr>
        <w:t>SSA is not requesting an exception to publishing the OMB expiration date</w:t>
      </w:r>
      <w:r w:rsidR="0063538C">
        <w:rPr>
          <w:rFonts w:ascii="Times New Roman" w:hAnsi="Times New Roman"/>
          <w:sz w:val="24"/>
          <w:szCs w:val="24"/>
        </w:rPr>
        <w:t xml:space="preserve"> on the online</w:t>
      </w:r>
      <w:r w:rsidR="007A09D4">
        <w:rPr>
          <w:rFonts w:ascii="Times New Roman" w:hAnsi="Times New Roman"/>
          <w:sz w:val="24"/>
          <w:szCs w:val="24"/>
        </w:rPr>
        <w:t xml:space="preserve"> questionnaire.  For the few respondents who may choose to call a hearings office and complete the questionnaire on the phone, hearings</w:t>
      </w:r>
      <w:r w:rsidR="006F1769">
        <w:rPr>
          <w:rFonts w:ascii="Times New Roman" w:hAnsi="Times New Roman"/>
          <w:sz w:val="24"/>
          <w:szCs w:val="24"/>
        </w:rPr>
        <w:t xml:space="preserve"> and field </w:t>
      </w:r>
      <w:r w:rsidR="007A09D4">
        <w:rPr>
          <w:rFonts w:ascii="Times New Roman" w:hAnsi="Times New Roman"/>
          <w:sz w:val="24"/>
          <w:szCs w:val="24"/>
        </w:rPr>
        <w:t xml:space="preserve">office employees can </w:t>
      </w:r>
      <w:r w:rsidR="00D426B5">
        <w:rPr>
          <w:rFonts w:ascii="Times New Roman" w:hAnsi="Times New Roman"/>
          <w:sz w:val="24"/>
          <w:szCs w:val="24"/>
        </w:rPr>
        <w:t xml:space="preserve">verbally </w:t>
      </w:r>
      <w:r w:rsidR="007A09D4">
        <w:rPr>
          <w:rFonts w:ascii="Times New Roman" w:hAnsi="Times New Roman"/>
          <w:sz w:val="24"/>
          <w:szCs w:val="24"/>
        </w:rPr>
        <w:t>disclose the OMB expiration date to them</w:t>
      </w:r>
      <w:r w:rsidRPr="00227D0B">
        <w:rPr>
          <w:rFonts w:ascii="Times New Roman" w:hAnsi="Times New Roman"/>
          <w:sz w:val="24"/>
          <w:szCs w:val="24"/>
        </w:rPr>
        <w:t xml:space="preserve">. </w:t>
      </w:r>
    </w:p>
    <w:p w:rsidRPr="00227D0B" w:rsidR="00C41FC8" w:rsidP="006F1769" w:rsidRDefault="00C41FC8" w14:paraId="730A5795" w14:textId="77777777">
      <w:pPr>
        <w:autoSpaceDE w:val="0"/>
        <w:autoSpaceDN w:val="0"/>
        <w:adjustRightInd w:val="0"/>
        <w:ind w:left="1440"/>
        <w:rPr>
          <w:rFonts w:ascii="Times New Roman" w:hAnsi="Times New Roman"/>
          <w:sz w:val="24"/>
          <w:szCs w:val="24"/>
        </w:rPr>
      </w:pPr>
    </w:p>
    <w:p w:rsidRPr="00227D0B" w:rsidR="00C41FC8" w:rsidP="006F1769" w:rsidRDefault="00C41FC8" w14:paraId="6ECED1A8" w14:textId="77777777">
      <w:pPr>
        <w:autoSpaceDE w:val="0"/>
        <w:autoSpaceDN w:val="0"/>
        <w:adjustRightInd w:val="0"/>
        <w:ind w:left="1440" w:hanging="720"/>
        <w:rPr>
          <w:rFonts w:ascii="Times New Roman" w:hAnsi="Times New Roman"/>
          <w:b/>
          <w:sz w:val="24"/>
          <w:szCs w:val="24"/>
        </w:rPr>
      </w:pPr>
      <w:r w:rsidRPr="00227D0B">
        <w:rPr>
          <w:rFonts w:ascii="Times New Roman" w:hAnsi="Times New Roman"/>
          <w:b/>
          <w:sz w:val="24"/>
          <w:szCs w:val="24"/>
        </w:rPr>
        <w:t>18.</w:t>
      </w:r>
      <w:r w:rsidRPr="00227D0B">
        <w:rPr>
          <w:rFonts w:ascii="Times New Roman" w:hAnsi="Times New Roman"/>
          <w:b/>
          <w:sz w:val="24"/>
          <w:szCs w:val="24"/>
        </w:rPr>
        <w:tab/>
        <w:t>Exception to Certification Statement</w:t>
      </w:r>
    </w:p>
    <w:p w:rsidRPr="00C16003" w:rsidR="0063538C" w:rsidP="006F1769" w:rsidRDefault="0063538C" w14:paraId="525BD4F2" w14:textId="77777777">
      <w:pPr>
        <w:pStyle w:val="ListParagraph"/>
        <w:ind w:left="1440"/>
        <w:rPr>
          <w:b/>
          <w:u w:val="single"/>
        </w:rPr>
      </w:pPr>
      <w:r w:rsidRPr="006058DD">
        <w:t xml:space="preserve">SSA is not requesting an exception to the certification requirements at </w:t>
      </w:r>
      <w:r w:rsidRPr="00453CA4">
        <w:rPr>
          <w:i/>
          <w:iCs/>
        </w:rPr>
        <w:t>5 CFR 1320.9</w:t>
      </w:r>
      <w:r>
        <w:t xml:space="preserve"> </w:t>
      </w:r>
      <w:r w:rsidRPr="006058DD">
        <w:t>and related provisions at</w:t>
      </w:r>
      <w:r w:rsidRPr="008B4A17">
        <w:t xml:space="preserve"> </w:t>
      </w:r>
      <w:r w:rsidRPr="00453CA4">
        <w:rPr>
          <w:i/>
          <w:iCs/>
        </w:rPr>
        <w:t>5 CFR 1320.8(b)(3)</w:t>
      </w:r>
      <w:r>
        <w:t>.</w:t>
      </w:r>
    </w:p>
    <w:p w:rsidRPr="00227D0B" w:rsidR="00C41FC8" w:rsidP="006F1769" w:rsidRDefault="00C41FC8" w14:paraId="41824ADB" w14:textId="77777777">
      <w:pPr>
        <w:autoSpaceDE w:val="0"/>
        <w:autoSpaceDN w:val="0"/>
        <w:adjustRightInd w:val="0"/>
        <w:ind w:left="1440"/>
        <w:rPr>
          <w:rFonts w:ascii="Times New Roman" w:hAnsi="Times New Roman"/>
          <w:sz w:val="24"/>
          <w:szCs w:val="24"/>
        </w:rPr>
      </w:pPr>
    </w:p>
    <w:p w:rsidR="00C41FC8" w:rsidP="006F1769" w:rsidRDefault="00C41FC8" w14:paraId="3E7E89BA" w14:textId="2058BDB4">
      <w:pPr>
        <w:autoSpaceDE w:val="0"/>
        <w:autoSpaceDN w:val="0"/>
        <w:adjustRightInd w:val="0"/>
        <w:ind w:left="720" w:hanging="540"/>
        <w:rPr>
          <w:rFonts w:ascii="Times New Roman" w:hAnsi="Times New Roman"/>
          <w:b/>
          <w:sz w:val="24"/>
          <w:szCs w:val="24"/>
          <w:u w:val="single"/>
        </w:rPr>
      </w:pPr>
      <w:r w:rsidRPr="00227D0B">
        <w:rPr>
          <w:rFonts w:ascii="Times New Roman" w:hAnsi="Times New Roman"/>
          <w:b/>
          <w:sz w:val="24"/>
          <w:szCs w:val="24"/>
        </w:rPr>
        <w:t>B.</w:t>
      </w:r>
      <w:r w:rsidRPr="00227D0B">
        <w:rPr>
          <w:rFonts w:ascii="Times New Roman" w:hAnsi="Times New Roman"/>
          <w:b/>
          <w:sz w:val="24"/>
          <w:szCs w:val="24"/>
        </w:rPr>
        <w:tab/>
      </w:r>
      <w:r w:rsidRPr="00227D0B">
        <w:rPr>
          <w:rFonts w:ascii="Times New Roman" w:hAnsi="Times New Roman"/>
          <w:b/>
          <w:sz w:val="24"/>
          <w:szCs w:val="24"/>
          <w:u w:val="single"/>
        </w:rPr>
        <w:t>Collections of Information Employing Statistical Methods</w:t>
      </w:r>
    </w:p>
    <w:p w:rsidRPr="00227D0B" w:rsidR="006F1769" w:rsidP="006F1769" w:rsidRDefault="006F1769" w14:paraId="077254F9" w14:textId="77777777">
      <w:pPr>
        <w:autoSpaceDE w:val="0"/>
        <w:autoSpaceDN w:val="0"/>
        <w:adjustRightInd w:val="0"/>
        <w:ind w:left="720" w:hanging="540"/>
        <w:rPr>
          <w:rFonts w:ascii="Times New Roman" w:hAnsi="Times New Roman"/>
          <w:b/>
          <w:sz w:val="24"/>
          <w:szCs w:val="24"/>
          <w:u w:val="single"/>
        </w:rPr>
      </w:pPr>
    </w:p>
    <w:p w:rsidRPr="00227D0B" w:rsidR="00F21EAC" w:rsidP="006F1769" w:rsidRDefault="00C41FC8" w14:paraId="1E9454A9" w14:textId="67A3EC4C">
      <w:pPr>
        <w:autoSpaceDE w:val="0"/>
        <w:autoSpaceDN w:val="0"/>
        <w:adjustRightInd w:val="0"/>
        <w:ind w:left="1440"/>
        <w:rPr>
          <w:rFonts w:ascii="Times New Roman" w:hAnsi="Times New Roman"/>
          <w:sz w:val="24"/>
          <w:szCs w:val="24"/>
        </w:rPr>
      </w:pPr>
      <w:r w:rsidRPr="00227D0B">
        <w:rPr>
          <w:rFonts w:ascii="Times New Roman" w:hAnsi="Times New Roman"/>
          <w:sz w:val="24"/>
          <w:szCs w:val="24"/>
        </w:rPr>
        <w:t>S</w:t>
      </w:r>
      <w:r w:rsidRPr="00227D0B" w:rsidR="00002AD4">
        <w:rPr>
          <w:rFonts w:ascii="Times New Roman" w:hAnsi="Times New Roman"/>
          <w:sz w:val="24"/>
          <w:szCs w:val="24"/>
        </w:rPr>
        <w:t>SA does not use s</w:t>
      </w:r>
      <w:r w:rsidRPr="00227D0B">
        <w:rPr>
          <w:rFonts w:ascii="Times New Roman" w:hAnsi="Times New Roman"/>
          <w:sz w:val="24"/>
          <w:szCs w:val="24"/>
        </w:rPr>
        <w:t>tatistical methods for this information collection.</w:t>
      </w:r>
    </w:p>
    <w:sectPr w:rsidRPr="00227D0B" w:rsidR="00F21EAC" w:rsidSect="00F275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B2AB2" w14:textId="77777777" w:rsidR="003F4CD1" w:rsidRDefault="003F4CD1" w:rsidP="00BD0C03">
      <w:r>
        <w:separator/>
      </w:r>
    </w:p>
  </w:endnote>
  <w:endnote w:type="continuationSeparator" w:id="0">
    <w:p w14:paraId="51F43E71" w14:textId="77777777" w:rsidR="003F4CD1" w:rsidRDefault="003F4CD1" w:rsidP="00BD0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831A4" w14:textId="77777777" w:rsidR="003F4CD1" w:rsidRDefault="003F4CD1" w:rsidP="00BD0C03">
      <w:r>
        <w:separator/>
      </w:r>
    </w:p>
  </w:footnote>
  <w:footnote w:type="continuationSeparator" w:id="0">
    <w:p w14:paraId="3843DF0A" w14:textId="77777777" w:rsidR="003F4CD1" w:rsidRDefault="003F4CD1" w:rsidP="00BD0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37704"/>
    <w:multiLevelType w:val="hybridMultilevel"/>
    <w:tmpl w:val="B0E25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9C63C3"/>
    <w:multiLevelType w:val="hybridMultilevel"/>
    <w:tmpl w:val="97C85356"/>
    <w:lvl w:ilvl="0" w:tplc="0409000F">
      <w:start w:val="1"/>
      <w:numFmt w:val="decimal"/>
      <w:lvlText w:val="%1."/>
      <w:lvlJc w:val="left"/>
      <w:pPr>
        <w:ind w:left="1080" w:hanging="360"/>
      </w:pPr>
    </w:lvl>
    <w:lvl w:ilvl="1" w:tplc="6E6E0074">
      <w:numFmt w:val="bullet"/>
      <w:lvlText w:val="•"/>
      <w:lvlJc w:val="left"/>
      <w:pPr>
        <w:ind w:left="1800" w:hanging="360"/>
      </w:pPr>
      <w:rPr>
        <w:rFonts w:ascii="Times New Roman" w:eastAsia="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A7250E"/>
    <w:multiLevelType w:val="hybridMultilevel"/>
    <w:tmpl w:val="2876B6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C119FE"/>
    <w:multiLevelType w:val="hybridMultilevel"/>
    <w:tmpl w:val="D4C666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C777911"/>
    <w:multiLevelType w:val="hybridMultilevel"/>
    <w:tmpl w:val="578C15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FC359C3"/>
    <w:multiLevelType w:val="hybridMultilevel"/>
    <w:tmpl w:val="95BC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A51A0C"/>
    <w:multiLevelType w:val="hybridMultilevel"/>
    <w:tmpl w:val="4FC22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1"/>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0DD"/>
    <w:rsid w:val="00002AD4"/>
    <w:rsid w:val="00027EDB"/>
    <w:rsid w:val="000353E4"/>
    <w:rsid w:val="000948AA"/>
    <w:rsid w:val="000A7018"/>
    <w:rsid w:val="000C6A9E"/>
    <w:rsid w:val="000D5C03"/>
    <w:rsid w:val="000F10DD"/>
    <w:rsid w:val="00112283"/>
    <w:rsid w:val="00143368"/>
    <w:rsid w:val="0018141C"/>
    <w:rsid w:val="00184265"/>
    <w:rsid w:val="001B191B"/>
    <w:rsid w:val="001B477A"/>
    <w:rsid w:val="001C67EE"/>
    <w:rsid w:val="001D67E3"/>
    <w:rsid w:val="00211CF7"/>
    <w:rsid w:val="00227D0B"/>
    <w:rsid w:val="002446D8"/>
    <w:rsid w:val="00245AEB"/>
    <w:rsid w:val="002601AF"/>
    <w:rsid w:val="00264A87"/>
    <w:rsid w:val="00264E3B"/>
    <w:rsid w:val="00274625"/>
    <w:rsid w:val="002845D8"/>
    <w:rsid w:val="002A2DD5"/>
    <w:rsid w:val="002A4AA2"/>
    <w:rsid w:val="002D70BB"/>
    <w:rsid w:val="00316835"/>
    <w:rsid w:val="0035232A"/>
    <w:rsid w:val="00372E55"/>
    <w:rsid w:val="00386E7B"/>
    <w:rsid w:val="00397CAF"/>
    <w:rsid w:val="003A13CF"/>
    <w:rsid w:val="003C1C22"/>
    <w:rsid w:val="003F4CD1"/>
    <w:rsid w:val="00406034"/>
    <w:rsid w:val="00416E97"/>
    <w:rsid w:val="00417B4C"/>
    <w:rsid w:val="00440B5B"/>
    <w:rsid w:val="004675C8"/>
    <w:rsid w:val="004947A9"/>
    <w:rsid w:val="004A0367"/>
    <w:rsid w:val="004A3108"/>
    <w:rsid w:val="004D1390"/>
    <w:rsid w:val="004D6CA4"/>
    <w:rsid w:val="004F6BDF"/>
    <w:rsid w:val="00513E58"/>
    <w:rsid w:val="00514E6F"/>
    <w:rsid w:val="00541A17"/>
    <w:rsid w:val="005520AE"/>
    <w:rsid w:val="00557919"/>
    <w:rsid w:val="00565C47"/>
    <w:rsid w:val="00571E6B"/>
    <w:rsid w:val="00572CEF"/>
    <w:rsid w:val="005A0CD2"/>
    <w:rsid w:val="005E66B0"/>
    <w:rsid w:val="00601023"/>
    <w:rsid w:val="0063538C"/>
    <w:rsid w:val="00647079"/>
    <w:rsid w:val="00650154"/>
    <w:rsid w:val="00671066"/>
    <w:rsid w:val="006748F6"/>
    <w:rsid w:val="006B4C4D"/>
    <w:rsid w:val="006B68AC"/>
    <w:rsid w:val="006C1251"/>
    <w:rsid w:val="006F1769"/>
    <w:rsid w:val="00756BDF"/>
    <w:rsid w:val="00762E9E"/>
    <w:rsid w:val="00770992"/>
    <w:rsid w:val="00777A40"/>
    <w:rsid w:val="0079016D"/>
    <w:rsid w:val="007A09D4"/>
    <w:rsid w:val="007A434A"/>
    <w:rsid w:val="007C415B"/>
    <w:rsid w:val="007E3412"/>
    <w:rsid w:val="0080151A"/>
    <w:rsid w:val="00811DAF"/>
    <w:rsid w:val="0081561D"/>
    <w:rsid w:val="008815C8"/>
    <w:rsid w:val="00892BE3"/>
    <w:rsid w:val="008D0233"/>
    <w:rsid w:val="008D3596"/>
    <w:rsid w:val="008D3BB6"/>
    <w:rsid w:val="008E49E1"/>
    <w:rsid w:val="0090783A"/>
    <w:rsid w:val="0091348B"/>
    <w:rsid w:val="00915D4B"/>
    <w:rsid w:val="00941976"/>
    <w:rsid w:val="00945032"/>
    <w:rsid w:val="00957316"/>
    <w:rsid w:val="00966393"/>
    <w:rsid w:val="0096745A"/>
    <w:rsid w:val="00990A6F"/>
    <w:rsid w:val="00993BAA"/>
    <w:rsid w:val="00994199"/>
    <w:rsid w:val="009B44BC"/>
    <w:rsid w:val="00A05CED"/>
    <w:rsid w:val="00A152B4"/>
    <w:rsid w:val="00A17951"/>
    <w:rsid w:val="00A17BF7"/>
    <w:rsid w:val="00A35FFC"/>
    <w:rsid w:val="00A437EC"/>
    <w:rsid w:val="00A43D1D"/>
    <w:rsid w:val="00A8090D"/>
    <w:rsid w:val="00A82399"/>
    <w:rsid w:val="00AD6D32"/>
    <w:rsid w:val="00B01529"/>
    <w:rsid w:val="00B04CEA"/>
    <w:rsid w:val="00B119E8"/>
    <w:rsid w:val="00B2423D"/>
    <w:rsid w:val="00B263D5"/>
    <w:rsid w:val="00B341B7"/>
    <w:rsid w:val="00B655BA"/>
    <w:rsid w:val="00B771D7"/>
    <w:rsid w:val="00BC422A"/>
    <w:rsid w:val="00BC6619"/>
    <w:rsid w:val="00BD0C03"/>
    <w:rsid w:val="00BE7160"/>
    <w:rsid w:val="00BF200D"/>
    <w:rsid w:val="00C077DA"/>
    <w:rsid w:val="00C41FC8"/>
    <w:rsid w:val="00C45253"/>
    <w:rsid w:val="00C46501"/>
    <w:rsid w:val="00C76C42"/>
    <w:rsid w:val="00C83914"/>
    <w:rsid w:val="00C85B7A"/>
    <w:rsid w:val="00C85D2E"/>
    <w:rsid w:val="00CF402D"/>
    <w:rsid w:val="00CF4806"/>
    <w:rsid w:val="00D24B53"/>
    <w:rsid w:val="00D32CB9"/>
    <w:rsid w:val="00D426B5"/>
    <w:rsid w:val="00D6703B"/>
    <w:rsid w:val="00D75C19"/>
    <w:rsid w:val="00D86861"/>
    <w:rsid w:val="00D935C1"/>
    <w:rsid w:val="00DA78AA"/>
    <w:rsid w:val="00DB6DB7"/>
    <w:rsid w:val="00DE3ED3"/>
    <w:rsid w:val="00E30451"/>
    <w:rsid w:val="00E36140"/>
    <w:rsid w:val="00E64BB2"/>
    <w:rsid w:val="00EA3A33"/>
    <w:rsid w:val="00EA5113"/>
    <w:rsid w:val="00EB0D58"/>
    <w:rsid w:val="00EC22D5"/>
    <w:rsid w:val="00EE683D"/>
    <w:rsid w:val="00F11A9D"/>
    <w:rsid w:val="00F11AB1"/>
    <w:rsid w:val="00F21EAC"/>
    <w:rsid w:val="00F2752D"/>
    <w:rsid w:val="00F55CA7"/>
    <w:rsid w:val="00F60525"/>
    <w:rsid w:val="00F62072"/>
    <w:rsid w:val="00F64706"/>
    <w:rsid w:val="00F74914"/>
    <w:rsid w:val="00F802D7"/>
    <w:rsid w:val="00FA24B2"/>
    <w:rsid w:val="00FB464D"/>
    <w:rsid w:val="00FB5BF3"/>
    <w:rsid w:val="00FD48B1"/>
    <w:rsid w:val="00FF2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CF605"/>
  <w15:docId w15:val="{5F4E05F1-9309-43E8-BE4C-90E5DA62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52D"/>
    <w:rPr>
      <w:sz w:val="22"/>
      <w:szCs w:val="22"/>
    </w:rPr>
  </w:style>
  <w:style w:type="paragraph" w:styleId="Heading1">
    <w:name w:val="heading 1"/>
    <w:basedOn w:val="Normal"/>
    <w:next w:val="Normal"/>
    <w:link w:val="Heading1Char"/>
    <w:qFormat/>
    <w:rsid w:val="008815C8"/>
    <w:pPr>
      <w:keepNext/>
      <w:widowControl w:val="0"/>
      <w:snapToGrid w:val="0"/>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6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7018"/>
    <w:rPr>
      <w:sz w:val="16"/>
      <w:szCs w:val="16"/>
    </w:rPr>
  </w:style>
  <w:style w:type="paragraph" w:styleId="CommentText">
    <w:name w:val="annotation text"/>
    <w:basedOn w:val="Normal"/>
    <w:link w:val="CommentTextChar"/>
    <w:uiPriority w:val="99"/>
    <w:semiHidden/>
    <w:unhideWhenUsed/>
    <w:rsid w:val="000A7018"/>
    <w:rPr>
      <w:sz w:val="20"/>
      <w:szCs w:val="20"/>
    </w:rPr>
  </w:style>
  <w:style w:type="character" w:customStyle="1" w:styleId="CommentTextChar">
    <w:name w:val="Comment Text Char"/>
    <w:basedOn w:val="DefaultParagraphFont"/>
    <w:link w:val="CommentText"/>
    <w:uiPriority w:val="99"/>
    <w:semiHidden/>
    <w:rsid w:val="000A7018"/>
  </w:style>
  <w:style w:type="paragraph" w:styleId="CommentSubject">
    <w:name w:val="annotation subject"/>
    <w:basedOn w:val="CommentText"/>
    <w:next w:val="CommentText"/>
    <w:link w:val="CommentSubjectChar"/>
    <w:uiPriority w:val="99"/>
    <w:semiHidden/>
    <w:unhideWhenUsed/>
    <w:rsid w:val="000A7018"/>
    <w:rPr>
      <w:b/>
      <w:bCs/>
    </w:rPr>
  </w:style>
  <w:style w:type="character" w:customStyle="1" w:styleId="CommentSubjectChar">
    <w:name w:val="Comment Subject Char"/>
    <w:basedOn w:val="CommentTextChar"/>
    <w:link w:val="CommentSubject"/>
    <w:uiPriority w:val="99"/>
    <w:semiHidden/>
    <w:rsid w:val="000A7018"/>
    <w:rPr>
      <w:b/>
      <w:bCs/>
    </w:rPr>
  </w:style>
  <w:style w:type="paragraph" w:styleId="BalloonText">
    <w:name w:val="Balloon Text"/>
    <w:basedOn w:val="Normal"/>
    <w:link w:val="BalloonTextChar"/>
    <w:uiPriority w:val="99"/>
    <w:semiHidden/>
    <w:unhideWhenUsed/>
    <w:rsid w:val="000A7018"/>
    <w:rPr>
      <w:rFonts w:ascii="Tahoma" w:hAnsi="Tahoma" w:cs="Tahoma"/>
      <w:sz w:val="16"/>
      <w:szCs w:val="16"/>
    </w:rPr>
  </w:style>
  <w:style w:type="character" w:customStyle="1" w:styleId="BalloonTextChar">
    <w:name w:val="Balloon Text Char"/>
    <w:basedOn w:val="DefaultParagraphFont"/>
    <w:link w:val="BalloonText"/>
    <w:uiPriority w:val="99"/>
    <w:semiHidden/>
    <w:rsid w:val="000A7018"/>
    <w:rPr>
      <w:rFonts w:ascii="Tahoma" w:hAnsi="Tahoma" w:cs="Tahoma"/>
      <w:sz w:val="16"/>
      <w:szCs w:val="16"/>
    </w:rPr>
  </w:style>
  <w:style w:type="paragraph" w:styleId="ListParagraph">
    <w:name w:val="List Paragraph"/>
    <w:basedOn w:val="Normal"/>
    <w:qFormat/>
    <w:rsid w:val="00915D4B"/>
    <w:pPr>
      <w:suppressAutoHyphens/>
      <w:ind w:left="720"/>
      <w:contextualSpacing/>
    </w:pPr>
    <w:rPr>
      <w:rFonts w:ascii="Times New Roman" w:eastAsia="SimSun" w:hAnsi="Times New Roman"/>
      <w:sz w:val="24"/>
      <w:szCs w:val="24"/>
      <w:lang w:eastAsia="ar-SA"/>
    </w:rPr>
  </w:style>
  <w:style w:type="character" w:customStyle="1" w:styleId="Heading1Char">
    <w:name w:val="Heading 1 Char"/>
    <w:basedOn w:val="DefaultParagraphFont"/>
    <w:link w:val="Heading1"/>
    <w:rsid w:val="008815C8"/>
    <w:rPr>
      <w:rFonts w:ascii="Cambria" w:eastAsia="Times New Roman" w:hAnsi="Cambria"/>
      <w:b/>
      <w:bCs/>
      <w:kern w:val="32"/>
      <w:sz w:val="32"/>
      <w:szCs w:val="32"/>
    </w:rPr>
  </w:style>
  <w:style w:type="paragraph" w:customStyle="1" w:styleId="Default">
    <w:name w:val="Default"/>
    <w:rsid w:val="007A434A"/>
    <w:pPr>
      <w:autoSpaceDE w:val="0"/>
      <w:autoSpaceDN w:val="0"/>
      <w:adjustRightInd w:val="0"/>
    </w:pPr>
    <w:rPr>
      <w:rFonts w:ascii="Symbol" w:eastAsia="Times New Roman" w:hAnsi="Symbol" w:cs="Symbol"/>
      <w:color w:val="000000"/>
      <w:sz w:val="24"/>
      <w:szCs w:val="24"/>
    </w:rPr>
  </w:style>
  <w:style w:type="character" w:styleId="Hyperlink">
    <w:name w:val="Hyperlink"/>
    <w:rsid w:val="001D67E3"/>
    <w:rPr>
      <w:rFonts w:cs="Times New Roman"/>
      <w:color w:val="0000FF"/>
      <w:u w:val="single"/>
    </w:rPr>
  </w:style>
  <w:style w:type="paragraph" w:styleId="Header">
    <w:name w:val="header"/>
    <w:basedOn w:val="Normal"/>
    <w:link w:val="HeaderChar"/>
    <w:uiPriority w:val="99"/>
    <w:unhideWhenUsed/>
    <w:rsid w:val="00BD0C03"/>
    <w:pPr>
      <w:tabs>
        <w:tab w:val="center" w:pos="4680"/>
        <w:tab w:val="right" w:pos="9360"/>
      </w:tabs>
    </w:pPr>
  </w:style>
  <w:style w:type="character" w:customStyle="1" w:styleId="HeaderChar">
    <w:name w:val="Header Char"/>
    <w:basedOn w:val="DefaultParagraphFont"/>
    <w:link w:val="Header"/>
    <w:uiPriority w:val="99"/>
    <w:rsid w:val="00BD0C03"/>
    <w:rPr>
      <w:sz w:val="22"/>
      <w:szCs w:val="22"/>
    </w:rPr>
  </w:style>
  <w:style w:type="paragraph" w:styleId="Footer">
    <w:name w:val="footer"/>
    <w:basedOn w:val="Normal"/>
    <w:link w:val="FooterChar"/>
    <w:uiPriority w:val="99"/>
    <w:unhideWhenUsed/>
    <w:rsid w:val="00BD0C03"/>
    <w:pPr>
      <w:tabs>
        <w:tab w:val="center" w:pos="4680"/>
        <w:tab w:val="right" w:pos="9360"/>
      </w:tabs>
    </w:pPr>
  </w:style>
  <w:style w:type="character" w:customStyle="1" w:styleId="FooterChar">
    <w:name w:val="Footer Char"/>
    <w:basedOn w:val="DefaultParagraphFont"/>
    <w:link w:val="Footer"/>
    <w:uiPriority w:val="99"/>
    <w:rsid w:val="00BD0C03"/>
    <w:rPr>
      <w:sz w:val="22"/>
      <w:szCs w:val="22"/>
    </w:rPr>
  </w:style>
  <w:style w:type="table" w:customStyle="1" w:styleId="TableGrid1">
    <w:name w:val="Table Grid1"/>
    <w:basedOn w:val="TableNormal"/>
    <w:next w:val="TableGrid"/>
    <w:rsid w:val="00F74914"/>
    <w:pPr>
      <w:widowControl w:val="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46501"/>
    <w:pPr>
      <w:widowControl w:val="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41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a.gov/legislation/2022factshee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ls.gov/oes/current/oes_nat.htm" TargetMode="External"/><Relationship Id="rId4" Type="http://schemas.openxmlformats.org/officeDocument/2006/relationships/settings" Target="setting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561A8-F0D9-4A82-B7D5-4FF2A3669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2862</Words>
  <Characters>16316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SSA Response</cp:lastModifiedBy>
  <cp:revision>4</cp:revision>
  <dcterms:created xsi:type="dcterms:W3CDTF">2022-06-14T10:58:00Z</dcterms:created>
  <dcterms:modified xsi:type="dcterms:W3CDTF">2022-06-14T11:13:00Z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-2121256712</vt:i4>
  </property>
  <property fmtid="{D5CDD505-2E9C-101B-9397-08002B2CF9AE}" pid="3" name="_NewReviewCycle">
    <vt:lpwstr/>
  </property>
  <property fmtid="{D5CDD505-2E9C-101B-9397-08002B2CF9AE}" pid="4" name="_EmailSubject">
    <vt:lpwstr>FINAL DOCS: OHO In-Person Hearings Screener - Confirmation of Documents</vt:lpwstr>
  </property>
  <property fmtid="{D5CDD505-2E9C-101B-9397-08002B2CF9AE}" pid="5" name="_AuthorEmail">
    <vt:lpwstr>Allison.Page@ssa.gov</vt:lpwstr>
  </property>
  <property fmtid="{D5CDD505-2E9C-101B-9397-08002B2CF9AE}" pid="6" name="_AuthorEmailDisplayName">
    <vt:lpwstr>Page, Allison</vt:lpwstr>
  </property>
  <property fmtid="{D5CDD505-2E9C-101B-9397-08002B2CF9AE}" pid="7" name="_PreviousAdHocReviewCycleID">
    <vt:i4>1184252209</vt:i4>
  </property>
  <property fmtid="{D5CDD505-2E9C-101B-9397-08002B2CF9AE}" pid="8" name="_ReviewingToolsShownOnce">
    <vt:lpwstr/>
  </property>
</Properties>
</file>