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66720" w:rsidR="00766720" w:rsidP="00182D88" w:rsidRDefault="00766720" w14:paraId="2989C726" w14:textId="662F0F1D">
      <w:pPr>
        <w:pStyle w:val="Title"/>
        <w:spacing w:after="0"/>
      </w:pPr>
      <w:r w:rsidRPr="00227D0B">
        <w:t>Supporting Statement for</w:t>
      </w:r>
    </w:p>
    <w:p w:rsidRPr="00827478" w:rsidR="00146275" w:rsidP="00182D88" w:rsidRDefault="00827478" w14:paraId="2F3757CE" w14:textId="77777777">
      <w:pPr>
        <w:pStyle w:val="Title"/>
        <w:spacing w:after="0"/>
      </w:pPr>
      <w:r w:rsidRPr="00827478">
        <w:t>Electronic Protective Filing Tool</w:t>
      </w:r>
    </w:p>
    <w:p w:rsidRPr="00766720" w:rsidR="00CF115A" w:rsidP="00182D88" w:rsidRDefault="00502BF6" w14:paraId="49A01837" w14:textId="0AE21AF2">
      <w:pPr>
        <w:pStyle w:val="Title"/>
        <w:spacing w:after="0"/>
        <w:rPr>
          <w:snapToGrid/>
          <w:szCs w:val="20"/>
        </w:rPr>
      </w:pPr>
      <w:r w:rsidRPr="00033E31">
        <w:rPr>
          <w:snapToGrid/>
          <w:szCs w:val="20"/>
        </w:rPr>
        <w:t>20 CFR 404.6</w:t>
      </w:r>
      <w:r>
        <w:rPr>
          <w:snapToGrid/>
          <w:szCs w:val="20"/>
        </w:rPr>
        <w:t xml:space="preserve">30, and </w:t>
      </w:r>
      <w:r w:rsidRPr="00033E31" w:rsidR="00033E31">
        <w:rPr>
          <w:snapToGrid/>
          <w:szCs w:val="20"/>
        </w:rPr>
        <w:t>20 CFR 4</w:t>
      </w:r>
      <w:r w:rsidR="00033E31">
        <w:rPr>
          <w:snapToGrid/>
          <w:szCs w:val="20"/>
        </w:rPr>
        <w:t>16</w:t>
      </w:r>
      <w:r w:rsidRPr="00033E31" w:rsidR="00033E31">
        <w:rPr>
          <w:snapToGrid/>
          <w:szCs w:val="20"/>
        </w:rPr>
        <w:t>.3</w:t>
      </w:r>
      <w:r w:rsidR="00033E31">
        <w:rPr>
          <w:snapToGrid/>
          <w:szCs w:val="20"/>
        </w:rPr>
        <w:t>40</w:t>
      </w:r>
      <w:r>
        <w:rPr>
          <w:snapToGrid/>
          <w:szCs w:val="20"/>
        </w:rPr>
        <w:t xml:space="preserve"> - </w:t>
      </w:r>
      <w:r w:rsidR="00033E31">
        <w:rPr>
          <w:snapToGrid/>
          <w:szCs w:val="20"/>
        </w:rPr>
        <w:t>416.3</w:t>
      </w:r>
      <w:r w:rsidR="00D92EC0">
        <w:rPr>
          <w:snapToGrid/>
          <w:szCs w:val="20"/>
        </w:rPr>
        <w:t>4</w:t>
      </w:r>
      <w:r w:rsidR="00033E31">
        <w:rPr>
          <w:snapToGrid/>
          <w:szCs w:val="20"/>
        </w:rPr>
        <w:t>5</w:t>
      </w:r>
    </w:p>
    <w:p w:rsidR="00A45D82" w:rsidP="00182D88" w:rsidRDefault="008B6774" w14:paraId="1DCDD3B8" w14:textId="01A78278">
      <w:pPr>
        <w:pStyle w:val="Title"/>
        <w:spacing w:after="0"/>
      </w:pPr>
      <w:r w:rsidRPr="00BC7F42">
        <w:t xml:space="preserve">OMB </w:t>
      </w:r>
      <w:r w:rsidR="002321B0">
        <w:t>No.</w:t>
      </w:r>
      <w:r w:rsidRPr="00BC7F42">
        <w:t xml:space="preserve"> 0960-</w:t>
      </w:r>
      <w:r w:rsidR="007A5AAB">
        <w:t>082</w:t>
      </w:r>
      <w:r w:rsidR="00BF5DE7">
        <w:t>6</w:t>
      </w:r>
      <w:r w:rsidRPr="00BC7F42" w:rsidR="00146275">
        <w:t xml:space="preserve"> </w:t>
      </w:r>
    </w:p>
    <w:p w:rsidR="00182D88" w:rsidP="00182D88" w:rsidRDefault="00182D88" w14:paraId="5EC3DE03" w14:textId="77777777">
      <w:pPr>
        <w:pStyle w:val="Title"/>
        <w:spacing w:after="0"/>
      </w:pPr>
    </w:p>
    <w:p w:rsidR="00A45D82" w:rsidP="00182D88" w:rsidRDefault="00A45D82" w14:paraId="0324A553" w14:textId="1B28FA0D">
      <w:pPr>
        <w:pStyle w:val="Heading1"/>
      </w:pPr>
      <w:r w:rsidRPr="00F16B81">
        <w:t>Justification</w:t>
      </w:r>
    </w:p>
    <w:p w:rsidRPr="00182D88" w:rsidR="00182D88" w:rsidP="00182D88" w:rsidRDefault="00182D88" w14:paraId="0E0D79DA" w14:textId="77777777"/>
    <w:p w:rsidRPr="00F16B81" w:rsidR="00A55078" w:rsidP="00182D88" w:rsidRDefault="00A55078" w14:paraId="6A6B292D" w14:textId="1AD4232E">
      <w:pPr>
        <w:pStyle w:val="Heading2"/>
        <w:spacing w:before="0" w:after="0"/>
      </w:pPr>
      <w:r w:rsidRPr="00F16B81">
        <w:t>Introduction/Authorizing Laws and Regulations</w:t>
      </w:r>
    </w:p>
    <w:p w:rsidRPr="00F16B81" w:rsidR="00A55078" w:rsidP="00182D88" w:rsidRDefault="00A55078" w14:paraId="2D74C040" w14:textId="07B0E582">
      <w:pPr>
        <w:pStyle w:val="Heading3"/>
      </w:pPr>
      <w:r w:rsidRPr="00F16B81">
        <w:t>Introduction/Overview</w:t>
      </w:r>
    </w:p>
    <w:p w:rsidRPr="002E3E65" w:rsidR="00A55078" w:rsidP="00182D88" w:rsidRDefault="001F0DC0" w14:paraId="6BFBAC3E" w14:textId="568B2FE4">
      <w:pPr>
        <w:pStyle w:val="BodyText"/>
        <w:spacing w:before="0" w:after="0"/>
      </w:pPr>
      <w:r>
        <w:t>The Social Security Administration (</w:t>
      </w:r>
      <w:r w:rsidR="00A55078">
        <w:t>SSA</w:t>
      </w:r>
      <w:r>
        <w:t>)</w:t>
      </w:r>
      <w:r w:rsidR="00A55078">
        <w:t xml:space="preserve"> developed an online tool</w:t>
      </w:r>
      <w:r w:rsidR="0083040E">
        <w:t>, the electronic protective filing tool (ePFT),</w:t>
      </w:r>
      <w:r w:rsidR="00A55078">
        <w:t xml:space="preserve"> to allow Internet users to request an appointment to file an application for benefits and to establish a protective filing date with SSA.  A protective filing date is the date by which SSA receives an individual’s intent to file for </w:t>
      </w:r>
      <w:r w:rsidR="00C60780">
        <w:t>benefits</w:t>
      </w:r>
      <w:r w:rsidR="00402332">
        <w:t>.</w:t>
      </w:r>
      <w:r>
        <w:t xml:space="preserve"> </w:t>
      </w:r>
      <w:r w:rsidR="00402332">
        <w:t xml:space="preserve"> </w:t>
      </w:r>
      <w:r w:rsidR="00A55078">
        <w:t>SSA uses</w:t>
      </w:r>
      <w:r w:rsidR="009B5380">
        <w:t xml:space="preserve"> </w:t>
      </w:r>
      <w:r>
        <w:t>the protective filing date</w:t>
      </w:r>
      <w:r w:rsidR="00A55078">
        <w:t xml:space="preserve"> as the</w:t>
      </w:r>
      <w:r>
        <w:t xml:space="preserve"> claimant’s</w:t>
      </w:r>
      <w:r w:rsidR="00A55078">
        <w:t xml:space="preserve"> application date provided the individual files an application within a specific amount of time after that date.  </w:t>
      </w:r>
      <w:r w:rsidR="00AA0303">
        <w:t>By using th</w:t>
      </w:r>
      <w:r>
        <w:t>e protective filing</w:t>
      </w:r>
      <w:r w:rsidR="00AA0303">
        <w:t xml:space="preserve"> date as </w:t>
      </w:r>
      <w:r>
        <w:t>a claimant’s</w:t>
      </w:r>
      <w:r w:rsidR="00AA0303">
        <w:t xml:space="preserve"> application date</w:t>
      </w:r>
      <w:r w:rsidR="00644ADF">
        <w:t xml:space="preserve">, </w:t>
      </w:r>
      <w:r w:rsidR="00EB4F08">
        <w:t xml:space="preserve">SSA protects the claimant from potentially losing benefits for the </w:t>
      </w:r>
      <w:r w:rsidR="00B33D8C">
        <w:t>period</w:t>
      </w:r>
      <w:r w:rsidR="00EB4F08">
        <w:t xml:space="preserve"> between the expression of intent and the date the application is filed. </w:t>
      </w:r>
      <w:r>
        <w:t xml:space="preserve"> </w:t>
      </w:r>
      <w:r w:rsidR="0083040E">
        <w:t>T</w:t>
      </w:r>
      <w:r w:rsidRPr="002E3E65" w:rsidR="00A55078">
        <w:rPr>
          <w:snapToGrid/>
        </w:rPr>
        <w:t xml:space="preserve">he </w:t>
      </w:r>
      <w:r w:rsidR="0083040E">
        <w:rPr>
          <w:snapToGrid/>
        </w:rPr>
        <w:t>ePFT</w:t>
      </w:r>
      <w:r w:rsidR="00F809EB">
        <w:rPr>
          <w:snapToGrid/>
        </w:rPr>
        <w:t xml:space="preserve"> </w:t>
      </w:r>
      <w:r w:rsidRPr="002E3E65" w:rsidR="00A55078">
        <w:rPr>
          <w:snapToGrid/>
        </w:rPr>
        <w:t>allow</w:t>
      </w:r>
      <w:r w:rsidR="00CC7E6D">
        <w:rPr>
          <w:snapToGrid/>
        </w:rPr>
        <w:t>s</w:t>
      </w:r>
      <w:r w:rsidRPr="002E3E65" w:rsidR="00A55078">
        <w:rPr>
          <w:snapToGrid/>
        </w:rPr>
        <w:t xml:space="preserve"> individuals to submit information </w:t>
      </w:r>
      <w:r w:rsidR="00972DA5">
        <w:rPr>
          <w:snapToGrid/>
        </w:rPr>
        <w:t xml:space="preserve">necessary to request an </w:t>
      </w:r>
      <w:r w:rsidRPr="002E3E65" w:rsidR="00A55078">
        <w:rPr>
          <w:snapToGrid/>
        </w:rPr>
        <w:t xml:space="preserve">appointment </w:t>
      </w:r>
      <w:r w:rsidRPr="002E3E65" w:rsidR="009E539F">
        <w:rPr>
          <w:snapToGrid/>
        </w:rPr>
        <w:t xml:space="preserve">over the </w:t>
      </w:r>
      <w:r w:rsidR="0083040E">
        <w:rPr>
          <w:snapToGrid/>
        </w:rPr>
        <w:t>I</w:t>
      </w:r>
      <w:r w:rsidRPr="002E3E65" w:rsidR="009E539F">
        <w:rPr>
          <w:snapToGrid/>
        </w:rPr>
        <w:t xml:space="preserve">nternet </w:t>
      </w:r>
      <w:r w:rsidRPr="002E3E65" w:rsidR="00A55078">
        <w:rPr>
          <w:snapToGrid/>
        </w:rPr>
        <w:t>using a computing device, such as a personal computer or handheld (mobile) device</w:t>
      </w:r>
      <w:r>
        <w:rPr>
          <w:snapToGrid/>
        </w:rPr>
        <w:t>,</w:t>
      </w:r>
      <w:r w:rsidRPr="002E3E65" w:rsidR="00A55078">
        <w:rPr>
          <w:snapToGrid/>
        </w:rPr>
        <w:t xml:space="preserve"> instead of calling SSA by phone or visiting a</w:t>
      </w:r>
      <w:r>
        <w:rPr>
          <w:snapToGrid/>
        </w:rPr>
        <w:t xml:space="preserve"> field office</w:t>
      </w:r>
      <w:r w:rsidRPr="002E3E65" w:rsidR="00A55078">
        <w:rPr>
          <w:snapToGrid/>
        </w:rPr>
        <w:t xml:space="preserve">.  </w:t>
      </w:r>
      <w:r w:rsidRPr="002E3E65" w:rsidR="00A55078">
        <w:t xml:space="preserve">The tool </w:t>
      </w:r>
      <w:r w:rsidR="00CC7E6D">
        <w:t>is</w:t>
      </w:r>
      <w:r w:rsidRPr="002E3E65" w:rsidR="00A55078">
        <w:t xml:space="preserve"> available to potential claimants, as well as individuals assisting them.</w:t>
      </w:r>
    </w:p>
    <w:p w:rsidR="0007478C" w:rsidP="00182D88" w:rsidRDefault="0066705D" w14:paraId="4AEDD10B" w14:textId="74125BED">
      <w:pPr>
        <w:pStyle w:val="BodyText"/>
        <w:spacing w:before="0" w:after="0"/>
      </w:pPr>
      <w:r w:rsidRPr="0066705D">
        <w:t xml:space="preserve">Our goal in developing </w:t>
      </w:r>
      <w:r w:rsidR="000865D7">
        <w:t xml:space="preserve">the </w:t>
      </w:r>
      <w:r w:rsidR="00B906D8">
        <w:t>ePFT</w:t>
      </w:r>
      <w:r w:rsidRPr="0066705D">
        <w:t xml:space="preserve"> </w:t>
      </w:r>
      <w:r w:rsidR="00EB2ED1">
        <w:t>wa</w:t>
      </w:r>
      <w:r w:rsidRPr="0066705D">
        <w:t>s to offer flexibility</w:t>
      </w:r>
      <w:r w:rsidR="00EB2ED1">
        <w:t xml:space="preserve"> </w:t>
      </w:r>
      <w:r w:rsidRPr="0066705D">
        <w:t>and to make it as easy as possible to complete the process</w:t>
      </w:r>
      <w:r w:rsidR="0083040E">
        <w:t xml:space="preserve"> of requesting an appointment and establishing a protective filing date</w:t>
      </w:r>
      <w:r w:rsidRPr="0066705D">
        <w:t xml:space="preserve">.  </w:t>
      </w:r>
      <w:r w:rsidR="002530B6">
        <w:t xml:space="preserve">After </w:t>
      </w:r>
      <w:r w:rsidR="00467B79">
        <w:t>an individual</w:t>
      </w:r>
      <w:r w:rsidR="002530B6">
        <w:t xml:space="preserve"> answers</w:t>
      </w:r>
      <w:r w:rsidR="00AA0303">
        <w:t xml:space="preserve"> a limited set of questions and </w:t>
      </w:r>
      <w:r w:rsidR="002530B6">
        <w:t>provides</w:t>
      </w:r>
      <w:r w:rsidR="00AA0303">
        <w:t xml:space="preserve"> current contact information, </w:t>
      </w:r>
      <w:r w:rsidR="00644ADF">
        <w:t>SSA contact</w:t>
      </w:r>
      <w:r w:rsidR="008D22C8">
        <w:t>s</w:t>
      </w:r>
      <w:r w:rsidR="00644ADF">
        <w:t xml:space="preserve"> the </w:t>
      </w:r>
      <w:r w:rsidR="00972DA5">
        <w:t xml:space="preserve">potential </w:t>
      </w:r>
      <w:r w:rsidR="00644ADF">
        <w:t xml:space="preserve">claimant to provide support in completing the </w:t>
      </w:r>
      <w:r w:rsidR="0083040E">
        <w:t>benefit</w:t>
      </w:r>
      <w:r w:rsidR="00644ADF">
        <w:t xml:space="preserve"> application</w:t>
      </w:r>
      <w:r w:rsidR="00AA0303">
        <w:t xml:space="preserve">. </w:t>
      </w:r>
    </w:p>
    <w:p w:rsidR="0007478C" w:rsidP="00182D88" w:rsidRDefault="00402332" w14:paraId="4943BB99" w14:textId="36084B5B">
      <w:pPr>
        <w:pStyle w:val="BodyText"/>
        <w:spacing w:before="0" w:after="0"/>
      </w:pPr>
      <w:r>
        <w:t>T</w:t>
      </w:r>
      <w:r w:rsidR="0007478C">
        <w:t>hird part</w:t>
      </w:r>
      <w:r w:rsidR="0083040E">
        <w:t>ies, including</w:t>
      </w:r>
      <w:r>
        <w:t xml:space="preserve"> individuals,</w:t>
      </w:r>
      <w:r w:rsidR="00930430">
        <w:t xml:space="preserve"> </w:t>
      </w:r>
      <w:r w:rsidR="0007478C">
        <w:t>advocacy organizations</w:t>
      </w:r>
      <w:r w:rsidR="0083040E">
        <w:t>,</w:t>
      </w:r>
      <w:r w:rsidR="0007478C">
        <w:t xml:space="preserve"> or social service organizations who may already have a relationship with the prospective applicant</w:t>
      </w:r>
      <w:r w:rsidR="00930430">
        <w:t>,</w:t>
      </w:r>
      <w:r>
        <w:t xml:space="preserve"> may also utilize this tool</w:t>
      </w:r>
      <w:r w:rsidR="0007478C">
        <w:t xml:space="preserve">. </w:t>
      </w:r>
      <w:r w:rsidR="00930430">
        <w:t xml:space="preserve"> B</w:t>
      </w:r>
      <w:r w:rsidR="0007478C">
        <w:t xml:space="preserve">y providing a simplified intake mechanism that is usable by third parties, </w:t>
      </w:r>
      <w:r w:rsidR="000865D7">
        <w:t xml:space="preserve">the </w:t>
      </w:r>
      <w:r w:rsidR="00930430">
        <w:t>ePFT</w:t>
      </w:r>
      <w:r w:rsidR="0007478C">
        <w:t xml:space="preserve"> further reduce</w:t>
      </w:r>
      <w:r w:rsidR="005E442D">
        <w:t>s</w:t>
      </w:r>
      <w:r w:rsidR="0007478C">
        <w:t xml:space="preserve"> the burden associated with </w:t>
      </w:r>
      <w:r w:rsidR="00FE4DBA">
        <w:t xml:space="preserve">completing </w:t>
      </w:r>
      <w:r w:rsidR="0007478C">
        <w:t>the initial steps of applying for benefits.</w:t>
      </w:r>
    </w:p>
    <w:p w:rsidR="00182D88" w:rsidP="00182D88" w:rsidRDefault="00182D88" w14:paraId="773FAD82" w14:textId="77777777">
      <w:pPr>
        <w:pStyle w:val="BodyText"/>
        <w:spacing w:before="0" w:after="0"/>
      </w:pPr>
    </w:p>
    <w:p w:rsidRPr="007C7C9C" w:rsidR="00A55078" w:rsidP="00182D88" w:rsidRDefault="00A55078" w14:paraId="0DBBDC1F" w14:textId="5FF35DE4">
      <w:pPr>
        <w:pStyle w:val="Heading3"/>
      </w:pPr>
      <w:r w:rsidRPr="007C7C9C">
        <w:t>Relevant Laws and/or Regulations</w:t>
      </w:r>
    </w:p>
    <w:p w:rsidR="00A55078" w:rsidP="00182D88" w:rsidRDefault="00A55078" w14:paraId="0E407BC8" w14:textId="60F0510E">
      <w:pPr>
        <w:pStyle w:val="BodyText"/>
        <w:spacing w:before="0" w:after="0"/>
      </w:pPr>
      <w:r>
        <w:t xml:space="preserve">As stated above, </w:t>
      </w:r>
      <w:r w:rsidRPr="006663C5">
        <w:t xml:space="preserve">SSA uses the date we receive an individual’s intent to file for </w:t>
      </w:r>
      <w:r w:rsidR="0019066F">
        <w:t>benefits (</w:t>
      </w:r>
      <w:r w:rsidR="00A72499">
        <w:t>the protective filing date</w:t>
      </w:r>
      <w:r w:rsidR="00930430">
        <w:t>)</w:t>
      </w:r>
      <w:r w:rsidR="00A72499">
        <w:t xml:space="preserve"> </w:t>
      </w:r>
      <w:r w:rsidRPr="006663C5">
        <w:t>as the application filing date</w:t>
      </w:r>
      <w:r w:rsidR="00930430">
        <w:t>,</w:t>
      </w:r>
      <w:r w:rsidRPr="006663C5">
        <w:t xml:space="preserve"> provided the individual files an application within a prescribed period as defined in </w:t>
      </w:r>
      <w:r w:rsidR="005E442D">
        <w:t xml:space="preserve">Sections </w:t>
      </w:r>
      <w:r w:rsidRPr="00CB5F50">
        <w:rPr>
          <w:i/>
        </w:rPr>
        <w:t>20 CFR 404.630 and 20 CFR 416.340-416.345</w:t>
      </w:r>
      <w:r w:rsidR="005E442D">
        <w:rPr>
          <w:iCs w:val="0"/>
        </w:rPr>
        <w:t xml:space="preserve"> of the </w:t>
      </w:r>
      <w:r w:rsidRPr="005E442D" w:rsidR="005E442D">
        <w:rPr>
          <w:i/>
        </w:rPr>
        <w:t>Code of Federal Regulations</w:t>
      </w:r>
      <w:r w:rsidRPr="006663C5">
        <w:t>.</w:t>
      </w:r>
    </w:p>
    <w:p w:rsidR="00182D88" w:rsidP="00182D88" w:rsidRDefault="00182D88" w14:paraId="7E627799" w14:textId="77777777">
      <w:pPr>
        <w:pStyle w:val="BodyText"/>
        <w:spacing w:before="0" w:after="0"/>
      </w:pPr>
    </w:p>
    <w:p w:rsidR="00A55078" w:rsidP="00182D88" w:rsidRDefault="00A55078" w14:paraId="0B5C4A61" w14:textId="3EC522AA">
      <w:pPr>
        <w:pStyle w:val="Heading2"/>
        <w:spacing w:before="0" w:after="0"/>
      </w:pPr>
      <w:r w:rsidRPr="007D4BD5">
        <w:t>Description of Collection</w:t>
      </w:r>
    </w:p>
    <w:p w:rsidR="00A55078" w:rsidP="00182D88" w:rsidRDefault="00A55078" w14:paraId="6CEF8C57" w14:textId="082BADE9">
      <w:pPr>
        <w:pStyle w:val="BodyText"/>
        <w:spacing w:before="0" w:after="0"/>
      </w:pPr>
      <w:r>
        <w:t>Historically</w:t>
      </w:r>
      <w:r w:rsidRPr="00E312CA">
        <w:t xml:space="preserve">, individuals contact SSA by phone, in person, or by mail to express interest in filing for benefits. </w:t>
      </w:r>
      <w:r>
        <w:t xml:space="preserve"> </w:t>
      </w:r>
      <w:r w:rsidRPr="00E312CA">
        <w:t xml:space="preserve">Because same-day </w:t>
      </w:r>
      <w:r>
        <w:t>service to file an application is not always possible</w:t>
      </w:r>
      <w:r w:rsidR="005E442D">
        <w:t>,</w:t>
      </w:r>
      <w:r>
        <w:t xml:space="preserve"> or </w:t>
      </w:r>
      <w:r w:rsidR="00930430">
        <w:t xml:space="preserve">because </w:t>
      </w:r>
      <w:r>
        <w:t>individuals prefer to have an appointment</w:t>
      </w:r>
      <w:r w:rsidRPr="00E312CA">
        <w:t xml:space="preserve">, SSA technicians </w:t>
      </w:r>
      <w:r>
        <w:t xml:space="preserve">use </w:t>
      </w:r>
      <w:r w:rsidR="005E442D">
        <w:t xml:space="preserve">SSA’s </w:t>
      </w:r>
      <w:r w:rsidR="0073204E">
        <w:t>enhanced Leads and Appointments System (eLAS),</w:t>
      </w:r>
      <w:r w:rsidR="005E442D">
        <w:t xml:space="preserve"> OMB Control No. 0960-0822</w:t>
      </w:r>
      <w:r w:rsidR="0073204E">
        <w:t>,</w:t>
      </w:r>
      <w:r w:rsidR="005E442D">
        <w:t xml:space="preserve"> </w:t>
      </w:r>
      <w:r>
        <w:t xml:space="preserve">to </w:t>
      </w:r>
      <w:r w:rsidRPr="00E312CA">
        <w:t>set up appointment</w:t>
      </w:r>
      <w:r>
        <w:t>s</w:t>
      </w:r>
      <w:r w:rsidRPr="00E312CA">
        <w:t xml:space="preserve"> </w:t>
      </w:r>
      <w:r>
        <w:t xml:space="preserve">and record the protective filing date </w:t>
      </w:r>
      <w:r w:rsidRPr="00E312CA">
        <w:t xml:space="preserve">for potential </w:t>
      </w:r>
      <w:r>
        <w:t>claimants</w:t>
      </w:r>
      <w:r w:rsidRPr="00E312CA">
        <w:t xml:space="preserve">. </w:t>
      </w:r>
      <w:r>
        <w:t xml:space="preserve"> This process </w:t>
      </w:r>
      <w:r w:rsidRPr="00E312CA">
        <w:t>ensure</w:t>
      </w:r>
      <w:r>
        <w:t>s</w:t>
      </w:r>
      <w:r w:rsidRPr="00E312CA">
        <w:t xml:space="preserve"> that potential </w:t>
      </w:r>
      <w:r>
        <w:t>claimant</w:t>
      </w:r>
      <w:r w:rsidRPr="00E312CA">
        <w:t>s d</w:t>
      </w:r>
      <w:r>
        <w:t>o</w:t>
      </w:r>
      <w:r w:rsidRPr="00E312CA">
        <w:t xml:space="preserve"> not miss out on possible benefits</w:t>
      </w:r>
      <w:r w:rsidR="00930430">
        <w:t>.</w:t>
      </w:r>
    </w:p>
    <w:p w:rsidR="00A55078" w:rsidP="00182D88" w:rsidRDefault="00A55078" w14:paraId="712B8045" w14:textId="3A0614A2">
      <w:pPr>
        <w:pStyle w:val="BodyText"/>
        <w:spacing w:before="0" w:after="0"/>
      </w:pPr>
      <w:r w:rsidRPr="00E312CA">
        <w:t>Protective filing is the precursor to filing an application for benefits</w:t>
      </w:r>
      <w:r w:rsidR="00467B79">
        <w:t>.  The p</w:t>
      </w:r>
      <w:r w:rsidR="00930430">
        <w:t xml:space="preserve">rotective filing </w:t>
      </w:r>
      <w:r w:rsidR="0073204E">
        <w:t xml:space="preserve">allows SSA to treat the initial date an individual contacted SSA to express interest in filing </w:t>
      </w:r>
      <w:r w:rsidRPr="00E312CA">
        <w:t>as if the application w</w:t>
      </w:r>
      <w:r>
        <w:t>as</w:t>
      </w:r>
      <w:r w:rsidRPr="00E312CA">
        <w:t xml:space="preserve"> filed on </w:t>
      </w:r>
      <w:r w:rsidRPr="00E312CA" w:rsidR="0073204E">
        <w:t>th</w:t>
      </w:r>
      <w:r w:rsidR="0073204E">
        <w:t>at</w:t>
      </w:r>
      <w:r w:rsidRPr="00E312CA" w:rsidR="0073204E">
        <w:t xml:space="preserve"> </w:t>
      </w:r>
      <w:r w:rsidRPr="00E312CA">
        <w:t>day</w:t>
      </w:r>
      <w:r>
        <w:t xml:space="preserve">, which </w:t>
      </w:r>
      <w:r w:rsidR="009F6231">
        <w:t xml:space="preserve">protects the claimant from </w:t>
      </w:r>
      <w:r w:rsidR="009F6231">
        <w:lastRenderedPageBreak/>
        <w:t>potentially losing benefits for the period between the expression of intent and the date the</w:t>
      </w:r>
      <w:r w:rsidR="0073204E">
        <w:t xml:space="preserve">y file the </w:t>
      </w:r>
      <w:r w:rsidR="009F6231">
        <w:t xml:space="preserve"> application</w:t>
      </w:r>
      <w:r w:rsidRPr="002E3E65">
        <w:t>.</w:t>
      </w:r>
    </w:p>
    <w:p w:rsidRPr="00F16B81" w:rsidR="0044193D" w:rsidP="00182D88" w:rsidRDefault="0073204E" w14:paraId="6E0AD813" w14:textId="3E4154CB">
      <w:pPr>
        <w:pStyle w:val="BodyText"/>
        <w:spacing w:before="0" w:after="0"/>
        <w:rPr>
          <w:b/>
        </w:rPr>
      </w:pPr>
      <w:r>
        <w:t>As mentioned above, i</w:t>
      </w:r>
      <w:r w:rsidR="0044193D">
        <w:t>ndividuals can call SSA to request an appointment, and SSA technicians use eLAS</w:t>
      </w:r>
      <w:r w:rsidR="00CD1DA6">
        <w:t xml:space="preserve"> </w:t>
      </w:r>
      <w:r w:rsidR="0044193D">
        <w:t xml:space="preserve">to document the protective filing date.  Alternatively, the </w:t>
      </w:r>
      <w:r w:rsidR="0044193D">
        <w:rPr>
          <w:snapToGrid/>
        </w:rPr>
        <w:t>ePFT</w:t>
      </w:r>
      <w:r w:rsidR="0044193D">
        <w:t xml:space="preserve"> collects the information from the individual online, replacing the SSA technician’s input of the information, and transmits it directly into eLAS to document the protective filing date.</w:t>
      </w:r>
    </w:p>
    <w:p w:rsidR="00770360" w:rsidP="00182D88" w:rsidRDefault="00770360" w14:paraId="19326E8B" w14:textId="22932FE8">
      <w:pPr>
        <w:pStyle w:val="BodyText"/>
        <w:spacing w:before="0" w:after="0"/>
      </w:pPr>
      <w:r w:rsidRPr="003A2CBF">
        <w:t>SSA created</w:t>
      </w:r>
      <w:r w:rsidR="00B65238">
        <w:t xml:space="preserve"> the</w:t>
      </w:r>
      <w:r w:rsidRPr="003A2CBF">
        <w:t xml:space="preserve"> </w:t>
      </w:r>
      <w:r w:rsidR="00675C63">
        <w:rPr>
          <w:snapToGrid/>
        </w:rPr>
        <w:t>ePFT</w:t>
      </w:r>
      <w:r w:rsidRPr="003A2CBF">
        <w:t xml:space="preserve"> </w:t>
      </w:r>
      <w:r>
        <w:t>to</w:t>
      </w:r>
      <w:r w:rsidRPr="003A2CBF">
        <w:t xml:space="preserve"> allow </w:t>
      </w:r>
      <w:r>
        <w:t>individuals</w:t>
      </w:r>
      <w:r w:rsidRPr="003A2CBF">
        <w:t xml:space="preserve"> </w:t>
      </w:r>
      <w:r w:rsidR="00625708">
        <w:t xml:space="preserve">another option, aside from contacting SSA by phone, in person, or by mail, </w:t>
      </w:r>
      <w:r w:rsidRPr="003A2CBF">
        <w:t xml:space="preserve">to </w:t>
      </w:r>
      <w:r>
        <w:t>request an appointment to file their application</w:t>
      </w:r>
      <w:r w:rsidR="00625708">
        <w:t xml:space="preserve"> and</w:t>
      </w:r>
      <w:r>
        <w:t xml:space="preserve"> </w:t>
      </w:r>
      <w:r w:rsidRPr="003A2CBF">
        <w:t xml:space="preserve">establish </w:t>
      </w:r>
      <w:r>
        <w:t xml:space="preserve">a </w:t>
      </w:r>
      <w:r w:rsidRPr="003A2CBF">
        <w:t>protective filing</w:t>
      </w:r>
      <w:r>
        <w:t xml:space="preserve"> date.</w:t>
      </w:r>
    </w:p>
    <w:p w:rsidR="00182D88" w:rsidP="00182D88" w:rsidRDefault="00182D88" w14:paraId="03A18C8F" w14:textId="77777777">
      <w:pPr>
        <w:pStyle w:val="BodyText"/>
        <w:spacing w:before="0" w:after="0"/>
      </w:pPr>
    </w:p>
    <w:p w:rsidR="00A55078" w:rsidP="00182D88" w:rsidRDefault="008D22C8" w14:paraId="62D57BCB" w14:textId="0F81CA5F">
      <w:pPr>
        <w:pStyle w:val="Heading3"/>
      </w:pPr>
      <w:r>
        <w:t>Electronic Protective Filing</w:t>
      </w:r>
      <w:r w:rsidRPr="00D20AB0" w:rsidR="00A55078">
        <w:t xml:space="preserve"> Tool</w:t>
      </w:r>
      <w:r w:rsidR="00625708">
        <w:t xml:space="preserve"> (ePFT)</w:t>
      </w:r>
    </w:p>
    <w:p w:rsidR="00A55078" w:rsidP="00182D88" w:rsidRDefault="00A55078" w14:paraId="4764FF46" w14:textId="6EAC2D04">
      <w:pPr>
        <w:pStyle w:val="BodyText"/>
        <w:spacing w:before="0" w:after="0"/>
      </w:pPr>
      <w:r>
        <w:t>Individuals</w:t>
      </w:r>
      <w:r w:rsidRPr="00B2127E">
        <w:t xml:space="preserve"> access </w:t>
      </w:r>
      <w:r w:rsidR="000865D7">
        <w:t xml:space="preserve">the </w:t>
      </w:r>
      <w:r w:rsidR="00625708">
        <w:t>ePFT</w:t>
      </w:r>
      <w:r w:rsidRPr="00B2127E">
        <w:t xml:space="preserve"> through SSA’s website, SSA.gov.  </w:t>
      </w:r>
      <w:r w:rsidR="000865D7">
        <w:t xml:space="preserve">The </w:t>
      </w:r>
      <w:r w:rsidR="00625708">
        <w:t>ePFT</w:t>
      </w:r>
      <w:r w:rsidRPr="00E21ED0">
        <w:rPr>
          <w:snapToGrid/>
        </w:rPr>
        <w:t xml:space="preserve"> allow</w:t>
      </w:r>
      <w:r w:rsidR="008D22C8">
        <w:rPr>
          <w:snapToGrid/>
        </w:rPr>
        <w:t>s</w:t>
      </w:r>
      <w:r w:rsidRPr="00E21ED0">
        <w:rPr>
          <w:snapToGrid/>
        </w:rPr>
        <w:t xml:space="preserve"> </w:t>
      </w:r>
      <w:r>
        <w:rPr>
          <w:snapToGrid/>
        </w:rPr>
        <w:t>individuals</w:t>
      </w:r>
      <w:r w:rsidRPr="00E21ED0">
        <w:rPr>
          <w:snapToGrid/>
        </w:rPr>
        <w:t xml:space="preserve"> to submit </w:t>
      </w:r>
      <w:r>
        <w:rPr>
          <w:snapToGrid/>
        </w:rPr>
        <w:t xml:space="preserve">basic </w:t>
      </w:r>
      <w:r w:rsidRPr="00E21ED0">
        <w:rPr>
          <w:snapToGrid/>
        </w:rPr>
        <w:t xml:space="preserve">information for the appointment </w:t>
      </w:r>
      <w:r>
        <w:rPr>
          <w:snapToGrid/>
        </w:rPr>
        <w:t xml:space="preserve">request </w:t>
      </w:r>
      <w:r w:rsidRPr="00E21ED0">
        <w:rPr>
          <w:snapToGrid/>
        </w:rPr>
        <w:t>using a computing device, such as a personal computer or handheld (mobile) device instead of calling SSA by phone or visiting a</w:t>
      </w:r>
      <w:r>
        <w:rPr>
          <w:snapToGrid/>
        </w:rPr>
        <w:t>n</w:t>
      </w:r>
      <w:r w:rsidRPr="00E21ED0">
        <w:rPr>
          <w:snapToGrid/>
        </w:rPr>
        <w:t xml:space="preserve"> </w:t>
      </w:r>
      <w:r>
        <w:rPr>
          <w:snapToGrid/>
        </w:rPr>
        <w:t>FO</w:t>
      </w:r>
      <w:r w:rsidRPr="00E21ED0">
        <w:rPr>
          <w:snapToGrid/>
        </w:rPr>
        <w:t xml:space="preserve">. </w:t>
      </w:r>
      <w:r>
        <w:rPr>
          <w:snapToGrid/>
        </w:rPr>
        <w:t xml:space="preserve"> </w:t>
      </w:r>
      <w:r>
        <w:t xml:space="preserve">The </w:t>
      </w:r>
      <w:r w:rsidR="00675C63">
        <w:rPr>
          <w:snapToGrid/>
        </w:rPr>
        <w:t>ePFT</w:t>
      </w:r>
      <w:r>
        <w:t xml:space="preserve"> </w:t>
      </w:r>
      <w:r w:rsidR="008D22C8">
        <w:t>is</w:t>
      </w:r>
      <w:r>
        <w:t xml:space="preserve"> available to potential </w:t>
      </w:r>
      <w:r w:rsidR="009D3800">
        <w:t>applicants</w:t>
      </w:r>
      <w:r>
        <w:t>, as well as individuals assisting them.</w:t>
      </w:r>
    </w:p>
    <w:p w:rsidR="00A55078" w:rsidP="00182D88" w:rsidRDefault="00A55078" w14:paraId="1724363E" w14:textId="79D554C9">
      <w:pPr>
        <w:pStyle w:val="BodyText"/>
        <w:spacing w:before="0" w:after="0"/>
      </w:pPr>
      <w:r>
        <w:t xml:space="preserve">After entering </w:t>
      </w:r>
      <w:r w:rsidR="000865D7">
        <w:t xml:space="preserve">the </w:t>
      </w:r>
      <w:r w:rsidR="004B6CE2">
        <w:t>ePFT</w:t>
      </w:r>
      <w:r>
        <w:t xml:space="preserve"> from </w:t>
      </w:r>
      <w:r w:rsidR="00DF0AB0">
        <w:t>SSA’s website</w:t>
      </w:r>
      <w:r>
        <w:t>, individuals</w:t>
      </w:r>
      <w:r w:rsidRPr="00B2127E">
        <w:t xml:space="preserve"> begin </w:t>
      </w:r>
      <w:r>
        <w:t>on a welcome screen</w:t>
      </w:r>
      <w:r w:rsidR="00280AC4">
        <w:t xml:space="preserve"> </w:t>
      </w:r>
      <w:r w:rsidR="0044193D">
        <w:t>that</w:t>
      </w:r>
      <w:r w:rsidR="00211547">
        <w:t xml:space="preserve"> displays </w:t>
      </w:r>
      <w:r w:rsidR="000865D7">
        <w:t xml:space="preserve">a </w:t>
      </w:r>
      <w:r w:rsidR="004B6CE2">
        <w:t xml:space="preserve">link to </w:t>
      </w:r>
      <w:r w:rsidRPr="00B2127E">
        <w:t>the Terms of Service</w:t>
      </w:r>
      <w:r w:rsidR="004B6CE2">
        <w:t>.  Next, a user sees</w:t>
      </w:r>
      <w:r w:rsidR="000865D7">
        <w:t xml:space="preserve"> </w:t>
      </w:r>
      <w:r>
        <w:t>the Privacy Act statement</w:t>
      </w:r>
      <w:r w:rsidR="00A97282">
        <w:t xml:space="preserve"> page</w:t>
      </w:r>
      <w:r w:rsidRPr="00B2127E">
        <w:t xml:space="preserve">. </w:t>
      </w:r>
      <w:r w:rsidR="00EE6299">
        <w:t xml:space="preserve"> T</w:t>
      </w:r>
      <w:r>
        <w:t xml:space="preserve">he </w:t>
      </w:r>
      <w:r w:rsidR="00DA5159">
        <w:t xml:space="preserve">user then provides a response about </w:t>
      </w:r>
      <w:r>
        <w:t>whether they are answering these questions about themselves or about another person.</w:t>
      </w:r>
      <w:r w:rsidR="00D669BB">
        <w:t xml:space="preserve">  </w:t>
      </w:r>
      <w:r w:rsidR="000865D7">
        <w:t xml:space="preserve">The </w:t>
      </w:r>
      <w:r w:rsidR="00DA5159">
        <w:t>ePFT</w:t>
      </w:r>
      <w:r>
        <w:t xml:space="preserve"> </w:t>
      </w:r>
      <w:r w:rsidR="00EB2ED1">
        <w:t>p</w:t>
      </w:r>
      <w:r>
        <w:t>resent</w:t>
      </w:r>
      <w:r w:rsidR="00EB2ED1">
        <w:t>s</w:t>
      </w:r>
      <w:r>
        <w:t xml:space="preserve"> the following options for</w:t>
      </w:r>
      <w:r w:rsidR="0060708E">
        <w:t xml:space="preserve"> the</w:t>
      </w:r>
      <w:r>
        <w:t xml:space="preserve"> individual to select:</w:t>
      </w:r>
    </w:p>
    <w:p w:rsidRPr="00F16B81" w:rsidR="009D3800" w:rsidP="00182D88" w:rsidRDefault="009D3800" w14:paraId="55AC9554" w14:textId="77777777">
      <w:pPr>
        <w:pStyle w:val="ListBullet"/>
        <w:numPr>
          <w:ilvl w:val="0"/>
          <w:numId w:val="5"/>
        </w:numPr>
        <w:spacing w:before="0" w:after="0"/>
        <w:ind w:left="1440"/>
      </w:pPr>
      <w:r w:rsidRPr="00F16B81">
        <w:t xml:space="preserve">Yourself </w:t>
      </w:r>
    </w:p>
    <w:p w:rsidR="00851151" w:rsidP="00182D88" w:rsidRDefault="009D3800" w14:paraId="73BAD73A" w14:textId="2194E9CA">
      <w:pPr>
        <w:pStyle w:val="ListBullet"/>
        <w:numPr>
          <w:ilvl w:val="0"/>
          <w:numId w:val="5"/>
        </w:numPr>
        <w:spacing w:before="0" w:after="0"/>
        <w:ind w:left="1440"/>
      </w:pPr>
      <w:r w:rsidRPr="00AC14C6">
        <w:t>A minor child (including your own) whose care you are responsible for or for whom a court has appointed you the legal representative</w:t>
      </w:r>
    </w:p>
    <w:p w:rsidR="00851151" w:rsidP="00182D88" w:rsidRDefault="00851151" w14:paraId="5C1B8452" w14:textId="286E6162">
      <w:pPr>
        <w:pStyle w:val="ListBullet"/>
        <w:numPr>
          <w:ilvl w:val="0"/>
          <w:numId w:val="5"/>
        </w:numPr>
        <w:spacing w:before="0" w:after="0"/>
        <w:ind w:left="1440"/>
      </w:pPr>
      <w:r>
        <w:t>An incompetent adult whose care you are responsible for or for whom a court has appointed you the legal representative</w:t>
      </w:r>
    </w:p>
    <w:p w:rsidRPr="00F16B81" w:rsidR="009D3800" w:rsidP="00182D88" w:rsidRDefault="009D3800" w14:paraId="7341DF13" w14:textId="77777777">
      <w:pPr>
        <w:pStyle w:val="ListBullet"/>
        <w:numPr>
          <w:ilvl w:val="0"/>
          <w:numId w:val="5"/>
        </w:numPr>
        <w:spacing w:before="0" w:after="0"/>
        <w:ind w:left="1440"/>
      </w:pPr>
      <w:r w:rsidRPr="00F16B81">
        <w:t>Your spouse</w:t>
      </w:r>
    </w:p>
    <w:p w:rsidRPr="00F16B81" w:rsidR="009D3800" w:rsidP="00182D88" w:rsidRDefault="009D3800" w14:paraId="4117DCC7" w14:textId="77777777">
      <w:pPr>
        <w:pStyle w:val="ListBullet"/>
        <w:numPr>
          <w:ilvl w:val="0"/>
          <w:numId w:val="5"/>
        </w:numPr>
        <w:spacing w:before="0" w:after="0"/>
        <w:ind w:left="1440"/>
      </w:pPr>
      <w:r w:rsidRPr="00F16B81">
        <w:t xml:space="preserve">Someone else who is with you as you answer these questions </w:t>
      </w:r>
    </w:p>
    <w:p w:rsidRPr="00F16B81" w:rsidR="009D3800" w:rsidP="00182D88" w:rsidRDefault="009D3800" w14:paraId="4B7DA851" w14:textId="13476DF6">
      <w:pPr>
        <w:pStyle w:val="ListBullet"/>
        <w:numPr>
          <w:ilvl w:val="0"/>
          <w:numId w:val="5"/>
        </w:numPr>
        <w:spacing w:before="0" w:after="0"/>
        <w:ind w:left="1440"/>
      </w:pPr>
      <w:r w:rsidRPr="00F16B81">
        <w:t>Someone else who is not with you but has a good reason why they cannot sign their own SSI application at this time</w:t>
      </w:r>
    </w:p>
    <w:p w:rsidR="00A55078" w:rsidP="00182D88" w:rsidRDefault="00DA5159" w14:paraId="5F6A35E5" w14:textId="19368DD8">
      <w:pPr>
        <w:pStyle w:val="BodyText"/>
        <w:spacing w:before="0" w:after="0"/>
      </w:pPr>
      <w:r>
        <w:t>U</w:t>
      </w:r>
      <w:r w:rsidR="003E46EE">
        <w:t>nder our current regulations, t</w:t>
      </w:r>
      <w:r w:rsidRPr="00F47651" w:rsidR="00A55078">
        <w:t>he individuals</w:t>
      </w:r>
      <w:r>
        <w:t xml:space="preserve"> listed above are those</w:t>
      </w:r>
      <w:r w:rsidRPr="00F47651" w:rsidR="00A55078">
        <w:t xml:space="preserve"> who can establish a protective filing date</w:t>
      </w:r>
      <w:r>
        <w:t xml:space="preserve"> for a claimant</w:t>
      </w:r>
      <w:r w:rsidR="00A55078">
        <w:t>.</w:t>
      </w:r>
      <w:r w:rsidR="003E46EE">
        <w:t xml:space="preserve"> </w:t>
      </w:r>
      <w:r>
        <w:t xml:space="preserve"> </w:t>
      </w:r>
      <w:r w:rsidR="00C850DE">
        <w:t xml:space="preserve">The </w:t>
      </w:r>
      <w:r w:rsidR="00851151">
        <w:t>fifth</w:t>
      </w:r>
      <w:r w:rsidR="00564D5E">
        <w:t xml:space="preserve"> and </w:t>
      </w:r>
      <w:r w:rsidR="00851151">
        <w:t>sixth</w:t>
      </w:r>
      <w:r w:rsidR="00307EC8">
        <w:t xml:space="preserve"> </w:t>
      </w:r>
      <w:r w:rsidR="00564D5E">
        <w:t xml:space="preserve">categories (those related to “someone else”) </w:t>
      </w:r>
      <w:r w:rsidR="00C850DE">
        <w:t>c</w:t>
      </w:r>
      <w:r w:rsidR="00675C63">
        <w:t>an</w:t>
      </w:r>
      <w:r w:rsidR="00564D5E">
        <w:t xml:space="preserve"> be used by advocacy organizations or other social service institutions who </w:t>
      </w:r>
      <w:r w:rsidR="007A2526">
        <w:t>may</w:t>
      </w:r>
      <w:r w:rsidR="009D3800">
        <w:t xml:space="preserve"> help</w:t>
      </w:r>
      <w:r w:rsidR="00564D5E">
        <w:t xml:space="preserve"> an individual apply for benefits. </w:t>
      </w:r>
      <w:r>
        <w:t xml:space="preserve"> </w:t>
      </w:r>
      <w:r w:rsidR="00C850DE">
        <w:t>These</w:t>
      </w:r>
      <w:r w:rsidR="00564D5E">
        <w:t xml:space="preserve"> latter two categories </w:t>
      </w:r>
      <w:r w:rsidR="00675C63">
        <w:t>also can be used</w:t>
      </w:r>
      <w:r w:rsidR="00564D5E">
        <w:t xml:space="preserve"> in circumstances where, for example, a neighbor or friend </w:t>
      </w:r>
      <w:r w:rsidR="007A2526">
        <w:t>may</w:t>
      </w:r>
      <w:r w:rsidR="009D3800">
        <w:t xml:space="preserve"> help</w:t>
      </w:r>
      <w:r w:rsidR="00564D5E">
        <w:t xml:space="preserve"> an individual apply for benefits. </w:t>
      </w:r>
      <w:r>
        <w:t xml:space="preserve"> N</w:t>
      </w:r>
      <w:r w:rsidRPr="00564D5E" w:rsidR="003E46EE">
        <w:t xml:space="preserve">early all </w:t>
      </w:r>
      <w:r w:rsidR="00564D5E">
        <w:t xml:space="preserve">prospective </w:t>
      </w:r>
      <w:r w:rsidRPr="00564D5E" w:rsidR="003E46EE">
        <w:t xml:space="preserve">applicants </w:t>
      </w:r>
      <w:r>
        <w:t>will</w:t>
      </w:r>
      <w:r w:rsidRPr="00564D5E" w:rsidR="003E46EE">
        <w:t xml:space="preserve"> fit into one of these </w:t>
      </w:r>
      <w:r w:rsidR="00851151">
        <w:t>six</w:t>
      </w:r>
      <w:r w:rsidR="00564D5E">
        <w:t xml:space="preserve"> </w:t>
      </w:r>
      <w:r w:rsidRPr="00564D5E" w:rsidR="003E46EE">
        <w:t>categories</w:t>
      </w:r>
      <w:r w:rsidR="00564D5E">
        <w:t>.</w:t>
      </w:r>
      <w:r w:rsidR="00B707B2">
        <w:rPr>
          <w:rStyle w:val="FootnoteReference"/>
        </w:rPr>
        <w:footnoteReference w:id="2"/>
      </w:r>
      <w:r w:rsidR="00B707B2">
        <w:t xml:space="preserve"> </w:t>
      </w:r>
    </w:p>
    <w:p w:rsidR="00DF3A09" w:rsidP="00182D88" w:rsidRDefault="00DA5159" w14:paraId="1B463889" w14:textId="4CF3C181">
      <w:pPr>
        <w:pStyle w:val="BodyText"/>
        <w:spacing w:before="0" w:after="0"/>
      </w:pPr>
      <w:r>
        <w:t>T</w:t>
      </w:r>
      <w:r w:rsidR="0016743A">
        <w:t>he selected response slightly modif</w:t>
      </w:r>
      <w:r w:rsidR="00675C63">
        <w:t>ies</w:t>
      </w:r>
      <w:r w:rsidR="0016743A">
        <w:t xml:space="preserve"> the </w:t>
      </w:r>
      <w:r>
        <w:t xml:space="preserve">questions </w:t>
      </w:r>
      <w:r w:rsidR="0073204E">
        <w:t>the</w:t>
      </w:r>
      <w:r w:rsidR="00BB4FB8">
        <w:t xml:space="preserve"> </w:t>
      </w:r>
      <w:r w:rsidR="0073204E">
        <w:t xml:space="preserve">system </w:t>
      </w:r>
      <w:r>
        <w:t>ask</w:t>
      </w:r>
      <w:r w:rsidR="0073204E">
        <w:t>s</w:t>
      </w:r>
      <w:r>
        <w:t xml:space="preserve"> and responses </w:t>
      </w:r>
      <w:r w:rsidR="0073204E">
        <w:t xml:space="preserve">it </w:t>
      </w:r>
      <w:r>
        <w:t>require</w:t>
      </w:r>
      <w:r w:rsidR="0073204E">
        <w:t>s</w:t>
      </w:r>
      <w:r>
        <w:t xml:space="preserve"> in </w:t>
      </w:r>
      <w:r w:rsidR="000865D7">
        <w:t xml:space="preserve">the </w:t>
      </w:r>
      <w:r>
        <w:t>ePFT</w:t>
      </w:r>
      <w:r w:rsidR="0016743A">
        <w:t>.</w:t>
      </w:r>
      <w:r>
        <w:t xml:space="preserve"> </w:t>
      </w:r>
      <w:r w:rsidR="00B65238">
        <w:t xml:space="preserve"> </w:t>
      </w:r>
      <w:r w:rsidR="0016743A">
        <w:t xml:space="preserve">Most notably, in circumstances when a third party indicates they are completing the tool on behalf of </w:t>
      </w:r>
      <w:r w:rsidR="00874A6C">
        <w:t xml:space="preserve">a minor, an incompetent adult, a spouse, or </w:t>
      </w:r>
      <w:r w:rsidR="0016743A">
        <w:t>an individual</w:t>
      </w:r>
      <w:r w:rsidR="00874A6C">
        <w:t xml:space="preserve"> who is not with them</w:t>
      </w:r>
      <w:r w:rsidR="0016743A">
        <w:t xml:space="preserve">, the tool </w:t>
      </w:r>
      <w:r w:rsidR="007A2526">
        <w:t>requires</w:t>
      </w:r>
      <w:r w:rsidR="0016743A">
        <w:t xml:space="preserve"> the third party to </w:t>
      </w:r>
      <w:r w:rsidR="005F3017">
        <w:t>provide</w:t>
      </w:r>
      <w:r w:rsidR="0016743A">
        <w:t xml:space="preserve"> their own contact information in addition to the contact information of the individual</w:t>
      </w:r>
      <w:r w:rsidR="00BB4FB8">
        <w:t xml:space="preserve"> (see the </w:t>
      </w:r>
      <w:r w:rsidR="00BB4FB8">
        <w:lastRenderedPageBreak/>
        <w:t>additional information mentioned below in these cases)</w:t>
      </w:r>
      <w:r w:rsidR="0016743A">
        <w:t xml:space="preserve">. </w:t>
      </w:r>
    </w:p>
    <w:p w:rsidR="00A55078" w:rsidP="00182D88" w:rsidRDefault="000865D7" w14:paraId="07A20BFA" w14:textId="6F017277">
      <w:pPr>
        <w:pStyle w:val="BodyText"/>
        <w:spacing w:before="0" w:after="0"/>
      </w:pPr>
      <w:bookmarkStart w:name="_Hlk95395820" w:id="0"/>
      <w:r>
        <w:t xml:space="preserve">The </w:t>
      </w:r>
      <w:r w:rsidR="003262B8">
        <w:t>ePFT</w:t>
      </w:r>
      <w:r w:rsidRPr="00B2127E" w:rsidR="00A55078">
        <w:t xml:space="preserve"> </w:t>
      </w:r>
      <w:r w:rsidR="00A55078">
        <w:t>next ask</w:t>
      </w:r>
      <w:r w:rsidR="003262B8">
        <w:t>s</w:t>
      </w:r>
      <w:r w:rsidR="00A55078">
        <w:t xml:space="preserve"> for the following information about the individual who will be </w:t>
      </w:r>
      <w:r w:rsidR="00F22657">
        <w:t>filing for</w:t>
      </w:r>
      <w:r w:rsidR="00A55078">
        <w:t xml:space="preserve"> benefits:</w:t>
      </w:r>
      <w:bookmarkEnd w:id="0"/>
    </w:p>
    <w:p w:rsidRPr="00A55078" w:rsidR="00A55078" w:rsidP="00182D88" w:rsidRDefault="00A55078" w14:paraId="7057B243" w14:textId="42481EE2">
      <w:pPr>
        <w:pStyle w:val="ListBullet"/>
        <w:tabs>
          <w:tab w:val="clear" w:pos="720"/>
          <w:tab w:val="num" w:pos="2160"/>
        </w:tabs>
        <w:spacing w:before="0" w:after="0"/>
        <w:ind w:left="1440"/>
      </w:pPr>
      <w:bookmarkStart w:name="_Hlk95395840" w:id="1"/>
      <w:r w:rsidRPr="00A55078">
        <w:t>Name</w:t>
      </w:r>
    </w:p>
    <w:p w:rsidRPr="009F02BC" w:rsidR="00A55078" w:rsidP="00182D88" w:rsidRDefault="00A55078" w14:paraId="6F5E96F1" w14:textId="77777777">
      <w:pPr>
        <w:pStyle w:val="ListBullet"/>
        <w:tabs>
          <w:tab w:val="clear" w:pos="720"/>
          <w:tab w:val="num" w:pos="2160"/>
        </w:tabs>
        <w:spacing w:before="0" w:after="0"/>
        <w:ind w:left="1440"/>
      </w:pPr>
      <w:r w:rsidRPr="009F02BC">
        <w:t>Phone number</w:t>
      </w:r>
    </w:p>
    <w:p w:rsidRPr="009F02BC" w:rsidR="00A55078" w:rsidP="00182D88" w:rsidRDefault="00A55078" w14:paraId="1AD19D41" w14:textId="77777777">
      <w:pPr>
        <w:pStyle w:val="ListBullet"/>
        <w:tabs>
          <w:tab w:val="clear" w:pos="720"/>
          <w:tab w:val="num" w:pos="2160"/>
        </w:tabs>
        <w:spacing w:before="0" w:after="0"/>
        <w:ind w:left="1440"/>
      </w:pPr>
      <w:r w:rsidRPr="009F02BC">
        <w:t>Mailing address</w:t>
      </w:r>
    </w:p>
    <w:p w:rsidRPr="009F02BC" w:rsidR="00A55078" w:rsidP="00182D88" w:rsidRDefault="00A55078" w14:paraId="768A8A45" w14:textId="77777777">
      <w:pPr>
        <w:pStyle w:val="ListBullet"/>
        <w:tabs>
          <w:tab w:val="clear" w:pos="720"/>
          <w:tab w:val="num" w:pos="2160"/>
        </w:tabs>
        <w:spacing w:before="0" w:after="0"/>
        <w:ind w:left="1440"/>
      </w:pPr>
      <w:r w:rsidRPr="009F02BC">
        <w:t>Email</w:t>
      </w:r>
      <w:r>
        <w:t xml:space="preserve"> address (optional)</w:t>
      </w:r>
    </w:p>
    <w:p w:rsidRPr="009F02BC" w:rsidR="00A55078" w:rsidP="00182D88" w:rsidRDefault="00A55078" w14:paraId="3BE77A18" w14:textId="77777777">
      <w:pPr>
        <w:pStyle w:val="ListBullet"/>
        <w:tabs>
          <w:tab w:val="clear" w:pos="720"/>
          <w:tab w:val="num" w:pos="2160"/>
        </w:tabs>
        <w:spacing w:before="0" w:after="0"/>
        <w:ind w:left="1440"/>
      </w:pPr>
      <w:r w:rsidRPr="009F02BC">
        <w:t xml:space="preserve">Date of birth </w:t>
      </w:r>
    </w:p>
    <w:p w:rsidRPr="009F02BC" w:rsidR="00A55078" w:rsidP="00182D88" w:rsidRDefault="00A55078" w14:paraId="3A43BC77" w14:textId="77777777">
      <w:pPr>
        <w:pStyle w:val="ListBullet"/>
        <w:tabs>
          <w:tab w:val="clear" w:pos="720"/>
          <w:tab w:val="num" w:pos="2160"/>
        </w:tabs>
        <w:spacing w:before="0" w:after="0"/>
        <w:ind w:left="1440"/>
      </w:pPr>
      <w:r w:rsidRPr="009F02BC">
        <w:t xml:space="preserve">Social Security </w:t>
      </w:r>
      <w:r>
        <w:t>n</w:t>
      </w:r>
      <w:r w:rsidRPr="009F02BC">
        <w:t>umber (SSN)</w:t>
      </w:r>
    </w:p>
    <w:p w:rsidR="00A55078" w:rsidP="00182D88" w:rsidRDefault="00A55078" w14:paraId="53A20196" w14:textId="77777777">
      <w:pPr>
        <w:pStyle w:val="ListBullet"/>
        <w:tabs>
          <w:tab w:val="clear" w:pos="720"/>
          <w:tab w:val="num" w:pos="2160"/>
        </w:tabs>
        <w:spacing w:before="0" w:after="0"/>
        <w:ind w:left="1440"/>
      </w:pPr>
      <w:r>
        <w:t>Whether the individual is disabled or blind (if applicable)</w:t>
      </w:r>
    </w:p>
    <w:p w:rsidR="00A55078" w:rsidP="00182D88" w:rsidRDefault="00A55078" w14:paraId="0923C7F7" w14:textId="77777777">
      <w:pPr>
        <w:pStyle w:val="ListBullet"/>
        <w:tabs>
          <w:tab w:val="clear" w:pos="720"/>
          <w:tab w:val="num" w:pos="2160"/>
        </w:tabs>
        <w:spacing w:before="0" w:after="0"/>
        <w:ind w:left="1440"/>
      </w:pPr>
      <w:r>
        <w:t>An estimate of when the disability began (if applicable)</w:t>
      </w:r>
    </w:p>
    <w:p w:rsidR="00A55078" w:rsidP="00182D88" w:rsidRDefault="00A55078" w14:paraId="3CBAF47F" w14:textId="77777777">
      <w:pPr>
        <w:pStyle w:val="ListBullet"/>
        <w:tabs>
          <w:tab w:val="clear" w:pos="720"/>
          <w:tab w:val="num" w:pos="2160"/>
        </w:tabs>
        <w:spacing w:before="0" w:after="0"/>
        <w:ind w:left="1440"/>
      </w:pPr>
      <w:r>
        <w:t>Language preference</w:t>
      </w:r>
    </w:p>
    <w:p w:rsidR="00A55078" w:rsidP="00182D88" w:rsidRDefault="00A55078" w14:paraId="33822D32" w14:textId="16AB50F1">
      <w:pPr>
        <w:pStyle w:val="ListBullet"/>
        <w:tabs>
          <w:tab w:val="clear" w:pos="720"/>
          <w:tab w:val="num" w:pos="2160"/>
        </w:tabs>
        <w:spacing w:before="0" w:after="0"/>
        <w:ind w:left="1440"/>
      </w:pPr>
      <w:r>
        <w:t xml:space="preserve">Special </w:t>
      </w:r>
      <w:r w:rsidR="00851151">
        <w:t xml:space="preserve">life </w:t>
      </w:r>
      <w:r>
        <w:t>circumstances (if applicable)</w:t>
      </w:r>
      <w:bookmarkEnd w:id="1"/>
    </w:p>
    <w:p w:rsidR="00A55078" w:rsidP="00182D88" w:rsidRDefault="00A55078" w14:paraId="2B1B4AD2" w14:textId="084980FE">
      <w:pPr>
        <w:pStyle w:val="BodyText"/>
        <w:spacing w:before="0" w:after="0"/>
      </w:pPr>
      <w:bookmarkStart w:name="_Hlk95395830" w:id="2"/>
      <w:r>
        <w:t xml:space="preserve">Additionally, </w:t>
      </w:r>
      <w:r w:rsidR="000865D7">
        <w:t xml:space="preserve">the </w:t>
      </w:r>
      <w:r w:rsidR="003262B8">
        <w:t>ePFT</w:t>
      </w:r>
      <w:r>
        <w:t xml:space="preserve"> collect</w:t>
      </w:r>
      <w:r w:rsidR="008D22C8">
        <w:t>s</w:t>
      </w:r>
      <w:r>
        <w:t xml:space="preserve"> the name, phone number, and email address (optional) of the person submitting the information, if that person is different than the person who will be claiming benefits</w:t>
      </w:r>
      <w:bookmarkEnd w:id="2"/>
      <w:r>
        <w:t>.</w:t>
      </w:r>
    </w:p>
    <w:p w:rsidR="00A55078" w:rsidP="00182D88" w:rsidRDefault="00A55078" w14:paraId="0CFAFBC7" w14:textId="11AF847A">
      <w:pPr>
        <w:pStyle w:val="BodyText"/>
        <w:spacing w:before="0" w:after="0"/>
      </w:pPr>
      <w:bookmarkStart w:name="_Hlk95395924" w:id="3"/>
      <w:r>
        <w:t xml:space="preserve">Once </w:t>
      </w:r>
      <w:r w:rsidR="000865D7">
        <w:t xml:space="preserve">the </w:t>
      </w:r>
      <w:r w:rsidR="003262B8">
        <w:t>ePFT</w:t>
      </w:r>
      <w:r>
        <w:t xml:space="preserve"> collects the data, it gives t</w:t>
      </w:r>
      <w:r w:rsidRPr="00B2127E">
        <w:t xml:space="preserve">he </w:t>
      </w:r>
      <w:r>
        <w:t>individual</w:t>
      </w:r>
      <w:r w:rsidRPr="00B2127E">
        <w:t xml:space="preserve"> the opportunity to review the information provided and electronically sign and submit the form. </w:t>
      </w:r>
      <w:r>
        <w:t xml:space="preserve"> </w:t>
      </w:r>
      <w:r w:rsidR="000865D7">
        <w:t xml:space="preserve">The </w:t>
      </w:r>
      <w:r w:rsidR="003262B8">
        <w:t>ePFT</w:t>
      </w:r>
      <w:r>
        <w:t xml:space="preserve"> then transmits the information into eLAS</w:t>
      </w:r>
      <w:r w:rsidR="00874A6C">
        <w:t xml:space="preserve">, </w:t>
      </w:r>
      <w:r w:rsidR="00E477DA">
        <w:t>documenting</w:t>
      </w:r>
      <w:r w:rsidR="00874A6C">
        <w:t xml:space="preserve"> it as an ePFT submission</w:t>
      </w:r>
      <w:r w:rsidR="007A2526">
        <w:t>,</w:t>
      </w:r>
      <w:r>
        <w:t xml:space="preserve"> and establishes a </w:t>
      </w:r>
      <w:r w:rsidRPr="00B2127E">
        <w:t>protective filing</w:t>
      </w:r>
      <w:r>
        <w:t xml:space="preserve"> date</w:t>
      </w:r>
      <w:r w:rsidRPr="00B2127E">
        <w:t>.</w:t>
      </w:r>
      <w:r>
        <w:t xml:space="preserve"> </w:t>
      </w:r>
      <w:r w:rsidRPr="00B2127E">
        <w:t xml:space="preserve"> </w:t>
      </w:r>
      <w:r>
        <w:t xml:space="preserve">If the individual provided an email address(es), the </w:t>
      </w:r>
      <w:r w:rsidR="008F5B14">
        <w:t>tool</w:t>
      </w:r>
      <w:r>
        <w:t xml:space="preserve"> generates an email confirmation and sends it to the individual who will be </w:t>
      </w:r>
      <w:r w:rsidR="00D73B1C">
        <w:t>filing</w:t>
      </w:r>
      <w:r>
        <w:t xml:space="preserve"> </w:t>
      </w:r>
      <w:r w:rsidR="007A2526">
        <w:t xml:space="preserve">for </w:t>
      </w:r>
      <w:r>
        <w:t>benefits, and, if applicable, to the individual submitting the appointment request on the claimant’s behalf.</w:t>
      </w:r>
      <w:bookmarkEnd w:id="3"/>
    </w:p>
    <w:p w:rsidR="00A55078" w:rsidP="00182D88" w:rsidRDefault="003262B8" w14:paraId="06E287E7" w14:textId="24A6E842">
      <w:pPr>
        <w:pStyle w:val="BodyText"/>
        <w:spacing w:before="0" w:after="0"/>
      </w:pPr>
      <w:bookmarkStart w:name="_Hlk95395934" w:id="4"/>
      <w:r>
        <w:t xml:space="preserve">Next, </w:t>
      </w:r>
      <w:r w:rsidR="00A55078">
        <w:t>an</w:t>
      </w:r>
      <w:r w:rsidRPr="00B2127E" w:rsidR="00A55078">
        <w:t xml:space="preserve"> SSA technician </w:t>
      </w:r>
      <w:r w:rsidR="00A55078">
        <w:t>use</w:t>
      </w:r>
      <w:r w:rsidR="00770360">
        <w:t>s</w:t>
      </w:r>
      <w:r w:rsidR="00A55078">
        <w:t xml:space="preserve"> the information submitted to schedule an appointment</w:t>
      </w:r>
      <w:r>
        <w:t>,</w:t>
      </w:r>
      <w:r w:rsidR="00A55078">
        <w:t xml:space="preserve"> and </w:t>
      </w:r>
      <w:r w:rsidR="004B6CE2">
        <w:t xml:space="preserve">SSA </w:t>
      </w:r>
      <w:r w:rsidR="00A55078">
        <w:t>send</w:t>
      </w:r>
      <w:r w:rsidR="004B6CE2">
        <w:t>s</w:t>
      </w:r>
      <w:r w:rsidR="00A55078">
        <w:t xml:space="preserve"> </w:t>
      </w:r>
      <w:r w:rsidR="004B6CE2">
        <w:t xml:space="preserve">the claimant </w:t>
      </w:r>
      <w:r w:rsidR="00A55078">
        <w:t>notification of the date, time, and type of appointment.</w:t>
      </w:r>
      <w:bookmarkEnd w:id="4"/>
    </w:p>
    <w:p w:rsidR="00027FF0" w:rsidP="00182D88" w:rsidRDefault="003262B8" w14:paraId="1C7FFCCE" w14:textId="1B279A1A">
      <w:pPr>
        <w:pStyle w:val="BodyText"/>
        <w:spacing w:before="0" w:after="0"/>
      </w:pPr>
      <w:r>
        <w:t xml:space="preserve">SSA </w:t>
      </w:r>
      <w:r w:rsidR="00CB64F0">
        <w:t>mails</w:t>
      </w:r>
      <w:r>
        <w:t xml:space="preserve"> t</w:t>
      </w:r>
      <w:r w:rsidR="00027FF0">
        <w:t xml:space="preserve">he </w:t>
      </w:r>
      <w:r>
        <w:t xml:space="preserve">appointment date </w:t>
      </w:r>
      <w:r w:rsidR="00027FF0">
        <w:t xml:space="preserve">notification no later than </w:t>
      </w:r>
      <w:r w:rsidR="00E477DA">
        <w:t>two</w:t>
      </w:r>
      <w:r w:rsidR="00027FF0">
        <w:t xml:space="preserve"> weeks after </w:t>
      </w:r>
      <w:r w:rsidR="00BB4FB8">
        <w:t xml:space="preserve">the individual submitted </w:t>
      </w:r>
      <w:r>
        <w:t xml:space="preserve">the request using </w:t>
      </w:r>
      <w:r w:rsidR="000865D7">
        <w:t xml:space="preserve">the </w:t>
      </w:r>
      <w:r>
        <w:t>ePFT</w:t>
      </w:r>
      <w:r w:rsidR="00027FF0">
        <w:t xml:space="preserve">. </w:t>
      </w:r>
      <w:r w:rsidR="007A1D84">
        <w:t xml:space="preserve"> </w:t>
      </w:r>
      <w:r w:rsidR="00027FF0">
        <w:t>SSA</w:t>
      </w:r>
      <w:r w:rsidR="00972DA5">
        <w:t xml:space="preserve"> currently</w:t>
      </w:r>
      <w:r w:rsidR="00027FF0">
        <w:t xml:space="preserve"> default</w:t>
      </w:r>
      <w:r w:rsidR="00770360">
        <w:t>s</w:t>
      </w:r>
      <w:r w:rsidR="00027FF0">
        <w:t xml:space="preserve"> to providing phone-based appointments unless the </w:t>
      </w:r>
      <w:r w:rsidR="00874A6C">
        <w:t xml:space="preserve">individual </w:t>
      </w:r>
      <w:r w:rsidR="00027FF0">
        <w:t>request</w:t>
      </w:r>
      <w:r w:rsidR="00972DA5">
        <w:t>s</w:t>
      </w:r>
      <w:r w:rsidR="00027FF0">
        <w:t xml:space="preserve"> </w:t>
      </w:r>
      <w:r w:rsidR="00036EFD">
        <w:t xml:space="preserve">to </w:t>
      </w:r>
      <w:r w:rsidR="00027FF0">
        <w:t xml:space="preserve">meet in-person. </w:t>
      </w:r>
      <w:r w:rsidR="007A1D84">
        <w:t xml:space="preserve"> </w:t>
      </w:r>
      <w:r w:rsidR="00027FF0">
        <w:t>At this time</w:t>
      </w:r>
      <w:r w:rsidR="00770360">
        <w:t>,</w:t>
      </w:r>
      <w:r w:rsidR="00027FF0">
        <w:t xml:space="preserve"> the appointment date notification </w:t>
      </w:r>
      <w:r w:rsidR="00770360">
        <w:t>is</w:t>
      </w:r>
      <w:r w:rsidR="00027FF0">
        <w:t xml:space="preserve"> not </w:t>
      </w:r>
      <w:r w:rsidR="00CC64C6">
        <w:t>provided</w:t>
      </w:r>
      <w:r w:rsidR="00027FF0">
        <w:t xml:space="preserve"> to any third parties who provided assistance with </w:t>
      </w:r>
      <w:r w:rsidR="00972DA5">
        <w:t>using</w:t>
      </w:r>
      <w:r w:rsidR="00027FF0">
        <w:t xml:space="preserve"> the tool</w:t>
      </w:r>
      <w:r w:rsidR="00F809EB">
        <w:t xml:space="preserve">.  </w:t>
      </w:r>
      <w:r w:rsidR="000D763A">
        <w:t xml:space="preserve">However, if an individual fails to attend their </w:t>
      </w:r>
      <w:r w:rsidR="00972DA5">
        <w:t>scheduled</w:t>
      </w:r>
      <w:r w:rsidR="000D763A">
        <w:t xml:space="preserve"> appointment, SSA </w:t>
      </w:r>
      <w:r w:rsidR="00D73B1C">
        <w:t xml:space="preserve">may </w:t>
      </w:r>
      <w:r w:rsidR="000D763A">
        <w:t>follow-up with the third party.</w:t>
      </w:r>
    </w:p>
    <w:p w:rsidR="00A55078" w:rsidP="00182D88" w:rsidRDefault="00A55078" w14:paraId="70EB01A0" w14:textId="4167A3AF">
      <w:pPr>
        <w:pStyle w:val="BodyText"/>
        <w:spacing w:before="0" w:after="0"/>
      </w:pPr>
      <w:bookmarkStart w:name="_Hlk95395983" w:id="5"/>
      <w:r>
        <w:t>The respondents are individuals</w:t>
      </w:r>
      <w:r w:rsidR="00683F62">
        <w:t xml:space="preserve"> </w:t>
      </w:r>
      <w:r w:rsidR="00036EFD">
        <w:t xml:space="preserve">with an intent to file for SSI </w:t>
      </w:r>
      <w:r w:rsidR="00683F62">
        <w:t>(or third</w:t>
      </w:r>
      <w:r w:rsidR="000865D7">
        <w:t xml:space="preserve"> </w:t>
      </w:r>
      <w:r w:rsidR="00683F62">
        <w:t>part</w:t>
      </w:r>
      <w:r w:rsidR="000865D7">
        <w:t>ies</w:t>
      </w:r>
      <w:r w:rsidR="00683F62">
        <w:t xml:space="preserve"> helping </w:t>
      </w:r>
      <w:r w:rsidR="008D22AD">
        <w:t>these individuals</w:t>
      </w:r>
      <w:r w:rsidR="00683F62">
        <w:t>)</w:t>
      </w:r>
      <w:r>
        <w:t xml:space="preserve"> </w:t>
      </w:r>
      <w:r w:rsidR="00C66335">
        <w:t>and who want to</w:t>
      </w:r>
      <w:r>
        <w:t xml:space="preserve"> request an appointment</w:t>
      </w:r>
      <w:r w:rsidR="00C66335">
        <w:t xml:space="preserve"> to do so</w:t>
      </w:r>
      <w:r w:rsidR="00683F62">
        <w:t>.</w:t>
      </w:r>
      <w:r w:rsidR="000865D7">
        <w:rPr>
          <w:rStyle w:val="FootnoteReference"/>
        </w:rPr>
        <w:footnoteReference w:id="3"/>
      </w:r>
      <w:r w:rsidR="00683F62">
        <w:t xml:space="preserve"> </w:t>
      </w:r>
      <w:r w:rsidR="007A1D84">
        <w:t xml:space="preserve"> </w:t>
      </w:r>
      <w:r w:rsidR="00683F62">
        <w:t xml:space="preserve">During this appointment, </w:t>
      </w:r>
      <w:r w:rsidR="008D22AD">
        <w:t>the individual</w:t>
      </w:r>
      <w:r w:rsidR="00683F62">
        <w:t xml:space="preserve"> may also be able to apply for additional benefits, including Title II </w:t>
      </w:r>
      <w:r>
        <w:t>Social Security benefits</w:t>
      </w:r>
      <w:r w:rsidR="00683F62">
        <w:t xml:space="preserve"> and</w:t>
      </w:r>
      <w:r>
        <w:t xml:space="preserve"> Medicare Part A (Health Insurance)</w:t>
      </w:r>
      <w:r w:rsidR="00683F62">
        <w:t>.</w:t>
      </w:r>
      <w:r>
        <w:t xml:space="preserve"> </w:t>
      </w:r>
      <w:bookmarkEnd w:id="5"/>
      <w:r w:rsidR="005D24E8">
        <w:t xml:space="preserve"> </w:t>
      </w:r>
    </w:p>
    <w:p w:rsidRPr="00A55078" w:rsidR="00182D88" w:rsidP="00182D88" w:rsidRDefault="00182D88" w14:paraId="3FFF410C" w14:textId="77777777">
      <w:pPr>
        <w:pStyle w:val="BodyText"/>
        <w:spacing w:before="0" w:after="0"/>
      </w:pPr>
    </w:p>
    <w:p w:rsidRPr="00A55078" w:rsidR="00A55078" w:rsidP="00182D88" w:rsidRDefault="00A55078" w14:paraId="07ABFF5D" w14:textId="09E3E1E7">
      <w:pPr>
        <w:pStyle w:val="Heading2"/>
        <w:spacing w:before="0" w:after="0"/>
      </w:pPr>
      <w:r w:rsidRPr="00A2739E">
        <w:t>Use of Information Technology to Collect the Information</w:t>
      </w:r>
    </w:p>
    <w:p w:rsidRPr="007C7C9C" w:rsidR="00A55078" w:rsidP="00182D88" w:rsidRDefault="00A55078" w14:paraId="065E081B" w14:textId="392F8875">
      <w:pPr>
        <w:pStyle w:val="BodyText"/>
        <w:spacing w:before="0" w:after="0"/>
      </w:pPr>
      <w:r w:rsidRPr="001E5B75">
        <w:t xml:space="preserve">In accordance with the Government Paperwork Elimination Act, SSA created </w:t>
      </w:r>
      <w:r w:rsidR="00410EA7">
        <w:t xml:space="preserve">the </w:t>
      </w:r>
      <w:r w:rsidR="00204AB3">
        <w:t>ePFT</w:t>
      </w:r>
      <w:r w:rsidRPr="007C7C9C">
        <w:t xml:space="preserve"> as an alternative method to calling or visiting a field office to establish a protective filing date; therefore, we expect 100 percent of the respondents to use the electronic version either through the Internet screens or handheld (mobile) device.  </w:t>
      </w:r>
      <w:bookmarkStart w:name="_Hlk95396000" w:id="6"/>
      <w:r w:rsidRPr="007C7C9C">
        <w:t xml:space="preserve">Members of the public who prefer not to use the online version of this IC, or who do not have access to the Internet, may continue to </w:t>
      </w:r>
      <w:r w:rsidR="00770360">
        <w:t xml:space="preserve">call or </w:t>
      </w:r>
      <w:r w:rsidRPr="007C7C9C">
        <w:t>visit an FO, call SSA’s 800 Number, or write to SSA to establish a protective filing date for an application for benefits.</w:t>
      </w:r>
      <w:bookmarkEnd w:id="6"/>
    </w:p>
    <w:p w:rsidR="00A55078" w:rsidP="00182D88" w:rsidRDefault="00A55078" w14:paraId="30B55263" w14:textId="33C727A4">
      <w:pPr>
        <w:pStyle w:val="Heading2"/>
        <w:keepNext/>
        <w:spacing w:before="0" w:after="0"/>
      </w:pPr>
      <w:r w:rsidRPr="00500EB1">
        <w:lastRenderedPageBreak/>
        <w:t>Why We Cannot Use Duplicate Information</w:t>
      </w:r>
    </w:p>
    <w:p w:rsidR="00DE3C1D" w:rsidP="00182D88" w:rsidRDefault="009166D8" w14:paraId="0D2A400E" w14:textId="581DCBFC">
      <w:pPr>
        <w:pStyle w:val="BodyText"/>
        <w:keepNext/>
        <w:spacing w:before="0" w:after="0"/>
      </w:pPr>
      <w:r>
        <w:t xml:space="preserve">There are other tools currently available to SSA </w:t>
      </w:r>
      <w:r w:rsidR="00EF0841">
        <w:t xml:space="preserve">to </w:t>
      </w:r>
      <w:r>
        <w:t xml:space="preserve">assist in scheduling an appointment for the claimant, but these tools </w:t>
      </w:r>
      <w:r w:rsidR="00EF0841">
        <w:t>are not directly available to respond</w:t>
      </w:r>
      <w:r w:rsidR="00410EA7">
        <w:t>ents</w:t>
      </w:r>
      <w:r w:rsidR="00EF0841">
        <w:t xml:space="preserve"> or</w:t>
      </w:r>
      <w:r w:rsidR="00DE3C1D">
        <w:t xml:space="preserve"> include other constraints that limit their usefulness for the goals stated in this Supporting Statement. </w:t>
      </w:r>
      <w:r w:rsidR="0068794A">
        <w:t xml:space="preserve"> </w:t>
      </w:r>
      <w:r w:rsidR="00DE3C1D">
        <w:t xml:space="preserve">These include </w:t>
      </w:r>
      <w:r w:rsidR="00A55078">
        <w:t>iAppointment</w:t>
      </w:r>
      <w:r w:rsidR="008F5B14">
        <w:t xml:space="preserve"> (OMB No. 0960</w:t>
      </w:r>
      <w:r w:rsidR="008F5B14">
        <w:noBreakHyphen/>
        <w:t>0822)</w:t>
      </w:r>
      <w:r w:rsidR="00A55078">
        <w:t>, which respondents can currently only access through iClaim</w:t>
      </w:r>
      <w:r w:rsidR="008F5B14">
        <w:t xml:space="preserve"> (OMB No. 0960-0618)</w:t>
      </w:r>
      <w:r w:rsidR="00A55078">
        <w:t xml:space="preserve">, and eLAS (OMB No. 0960-0822) </w:t>
      </w:r>
      <w:r w:rsidR="00EF0841">
        <w:t xml:space="preserve">which SSA technicians utilize </w:t>
      </w:r>
      <w:r w:rsidRPr="00604D20" w:rsidR="00A55078">
        <w:t>to obtain similar data</w:t>
      </w:r>
      <w:r w:rsidR="00A55078">
        <w:t xml:space="preserve"> from some potential claimants and to </w:t>
      </w:r>
      <w:r w:rsidR="00972DA5">
        <w:t>establish</w:t>
      </w:r>
      <w:r w:rsidR="00A55078">
        <w:t xml:space="preserve"> a protective filing date</w:t>
      </w:r>
      <w:r w:rsidRPr="00604D20" w:rsidR="00A55078">
        <w:t>.</w:t>
      </w:r>
    </w:p>
    <w:p w:rsidR="000905C3" w:rsidP="00182D88" w:rsidRDefault="00DE3C1D" w14:paraId="02BF76FE" w14:textId="5D577CF9">
      <w:pPr>
        <w:pStyle w:val="BodyText"/>
        <w:spacing w:before="0" w:after="0"/>
      </w:pPr>
      <w:r>
        <w:t>iClaim is SSA’s web-based application for Title II benefits such as retirement</w:t>
      </w:r>
      <w:r w:rsidR="00EF0841">
        <w:t>, spouse,</w:t>
      </w:r>
      <w:r>
        <w:t xml:space="preserve"> or disability insurance</w:t>
      </w:r>
      <w:r w:rsidR="00EF0841">
        <w:t xml:space="preserve"> benefits</w:t>
      </w:r>
      <w:r>
        <w:t>.</w:t>
      </w:r>
      <w:r w:rsidR="00A55078">
        <w:t xml:space="preserve">  </w:t>
      </w:r>
      <w:r w:rsidR="0046232D">
        <w:t>In iClaim, a claimant can</w:t>
      </w:r>
      <w:r w:rsidR="000905C3">
        <w:t xml:space="preserve"> </w:t>
      </w:r>
      <w:r w:rsidR="00A55078">
        <w:t>indicate an interest in filing for SSI</w:t>
      </w:r>
      <w:r w:rsidR="0046232D">
        <w:t>,</w:t>
      </w:r>
      <w:r w:rsidR="004453AC">
        <w:t xml:space="preserve"> </w:t>
      </w:r>
      <w:r w:rsidR="0046232D">
        <w:t>which</w:t>
      </w:r>
      <w:r w:rsidR="00A55078">
        <w:t xml:space="preserve"> establish</w:t>
      </w:r>
      <w:r w:rsidR="0046232D">
        <w:t>es</w:t>
      </w:r>
      <w:r w:rsidR="00A55078">
        <w:t xml:space="preserve"> a protective filing date</w:t>
      </w:r>
      <w:r w:rsidR="000905C3">
        <w:t xml:space="preserve"> for SSI</w:t>
      </w:r>
      <w:r w:rsidR="00A55078">
        <w:t xml:space="preserve">. </w:t>
      </w:r>
      <w:r w:rsidR="0046232D">
        <w:t xml:space="preserve"> </w:t>
      </w:r>
      <w:r w:rsidR="00945F85">
        <w:t xml:space="preserve">In some cases, individuals can also apply for SSI while using iClaim. </w:t>
      </w:r>
      <w:r w:rsidR="00A55078">
        <w:t xml:space="preserve"> However, that process is more complex because iClaim collects </w:t>
      </w:r>
      <w:r w:rsidR="00EF0841">
        <w:t xml:space="preserve">specific </w:t>
      </w:r>
      <w:r w:rsidR="00A55078">
        <w:t xml:space="preserve">information applicable </w:t>
      </w:r>
      <w:r w:rsidR="00EF0841">
        <w:t xml:space="preserve">to the </w:t>
      </w:r>
      <w:r w:rsidR="00A55078">
        <w:t>benefit applications</w:t>
      </w:r>
      <w:r w:rsidR="000905C3">
        <w:t>, making it significantly lengthier than ePFT</w:t>
      </w:r>
      <w:r w:rsidR="00A55078">
        <w:t xml:space="preserve">.  In addition, </w:t>
      </w:r>
      <w:r w:rsidR="00036EFD">
        <w:t>first</w:t>
      </w:r>
      <w:r w:rsidR="00410EA7">
        <w:t>-</w:t>
      </w:r>
      <w:r w:rsidR="00036EFD">
        <w:t xml:space="preserve">party applicants </w:t>
      </w:r>
      <w:r w:rsidR="000905C3">
        <w:t xml:space="preserve">using iClaim </w:t>
      </w:r>
      <w:r w:rsidR="00036EFD">
        <w:t>must</w:t>
      </w:r>
      <w:r w:rsidR="000905C3">
        <w:t xml:space="preserve"> </w:t>
      </w:r>
      <w:r w:rsidR="00036EFD">
        <w:t xml:space="preserve">attempt to </w:t>
      </w:r>
      <w:r w:rsidR="00972DA5">
        <w:t>create</w:t>
      </w:r>
      <w:r w:rsidR="00036EFD">
        <w:t xml:space="preserve"> or log onto</w:t>
      </w:r>
      <w:r w:rsidR="000905C3">
        <w:t xml:space="preserve"> a </w:t>
      </w:r>
      <w:r w:rsidR="000905C3">
        <w:rPr>
          <w:i/>
        </w:rPr>
        <w:t xml:space="preserve">mySocialSecurity </w:t>
      </w:r>
      <w:r w:rsidR="000905C3">
        <w:t xml:space="preserve">account, which </w:t>
      </w:r>
      <w:r w:rsidR="00A55078">
        <w:t xml:space="preserve">some individuals </w:t>
      </w:r>
      <w:r w:rsidR="000905C3">
        <w:t xml:space="preserve">may not be able to successfully do on their own. </w:t>
      </w:r>
    </w:p>
    <w:p w:rsidR="00A55078" w:rsidP="00182D88" w:rsidRDefault="00B3225E" w14:paraId="7A487CFD" w14:textId="37548FCC">
      <w:pPr>
        <w:pStyle w:val="BodyText"/>
        <w:spacing w:before="0" w:after="0"/>
      </w:pPr>
      <w:r>
        <w:t xml:space="preserve">Second, </w:t>
      </w:r>
      <w:r w:rsidR="00602E82">
        <w:t>iAppointment is a module that was added as a</w:t>
      </w:r>
      <w:r w:rsidR="00036EFD">
        <w:t>n alternate</w:t>
      </w:r>
      <w:r w:rsidR="00602E82">
        <w:t xml:space="preserve"> pathway to iClaim in circumstances where</w:t>
      </w:r>
      <w:r w:rsidR="000905C3">
        <w:t xml:space="preserve"> </w:t>
      </w:r>
      <w:r w:rsidR="00A55078">
        <w:t xml:space="preserve">iClaim </w:t>
      </w:r>
      <w:r w:rsidR="000905C3">
        <w:t xml:space="preserve">users </w:t>
      </w:r>
      <w:r w:rsidR="00A55078">
        <w:t xml:space="preserve">may not be eligible to file online either due to incorrect information or because they wish to file their </w:t>
      </w:r>
      <w:r w:rsidR="00614BD8">
        <w:t xml:space="preserve">benefit </w:t>
      </w:r>
      <w:r w:rsidR="00A55078">
        <w:t>application in a language other than English.  These individuals are redirected to iAppointment, which collects basic contact information and creates an appointment for them.</w:t>
      </w:r>
    </w:p>
    <w:p w:rsidR="00A55078" w:rsidP="00182D88" w:rsidRDefault="00A55078" w14:paraId="5C504E60" w14:textId="006236E6">
      <w:pPr>
        <w:pStyle w:val="BodyText"/>
        <w:spacing w:before="0" w:after="0"/>
      </w:pPr>
      <w:r>
        <w:t>Individuals who cannot, or choose not</w:t>
      </w:r>
      <w:r w:rsidR="00410EA7">
        <w:t xml:space="preserve"> to</w:t>
      </w:r>
      <w:r>
        <w:t xml:space="preserve">, use iClaim or iAppointment, generally contact SSA via phone to request an appointment.  </w:t>
      </w:r>
      <w:r w:rsidR="0046232D">
        <w:t>An i</w:t>
      </w:r>
      <w:r>
        <w:t>ndividual who contact</w:t>
      </w:r>
      <w:r w:rsidR="0046232D">
        <w:t>s</w:t>
      </w:r>
      <w:r>
        <w:t xml:space="preserve"> SSA by phone provide</w:t>
      </w:r>
      <w:r w:rsidR="0046232D">
        <w:t>s</w:t>
      </w:r>
      <w:r>
        <w:t xml:space="preserve"> </w:t>
      </w:r>
      <w:r w:rsidR="0046232D">
        <w:t>the</w:t>
      </w:r>
      <w:r>
        <w:t xml:space="preserve"> SSA representative with their basic contact information and express their intent to file</w:t>
      </w:r>
      <w:r w:rsidR="0046232D">
        <w:t xml:space="preserve">.  The SSA </w:t>
      </w:r>
      <w:r>
        <w:t>representative record</w:t>
      </w:r>
      <w:r w:rsidR="0046232D">
        <w:t>s the basic contact information and protective filing date</w:t>
      </w:r>
      <w:r>
        <w:t xml:space="preserve"> in</w:t>
      </w:r>
      <w:r w:rsidR="00B3225E">
        <w:t xml:space="preserve"> </w:t>
      </w:r>
      <w:r w:rsidR="0046232D">
        <w:t>eLAS.</w:t>
      </w:r>
      <w:r>
        <w:t xml:space="preserve">  Although contacting SSA by phone provides the same service</w:t>
      </w:r>
      <w:r w:rsidR="0046232D">
        <w:t xml:space="preserve"> as ePFT</w:t>
      </w:r>
      <w:r>
        <w:t>, th</w:t>
      </w:r>
      <w:r w:rsidR="00770360">
        <w:t>is</w:t>
      </w:r>
      <w:r>
        <w:t xml:space="preserve"> process may take longer as wait times vary depending on how many other callers are using the phone process.</w:t>
      </w:r>
    </w:p>
    <w:p w:rsidR="00A55078" w:rsidP="00182D88" w:rsidRDefault="00F8431E" w14:paraId="7C7CE000" w14:textId="679A030B">
      <w:pPr>
        <w:pStyle w:val="BodyText"/>
        <w:spacing w:before="0" w:after="0"/>
      </w:pPr>
      <w:r>
        <w:t xml:space="preserve">The </w:t>
      </w:r>
      <w:r w:rsidR="0046232D">
        <w:t>ePFT</w:t>
      </w:r>
      <w:r>
        <w:t xml:space="preserve"> provides individuals with a simpler and quicker way to submit this information.</w:t>
      </w:r>
    </w:p>
    <w:p w:rsidR="00182D88" w:rsidP="00182D88" w:rsidRDefault="00182D88" w14:paraId="1A73A693" w14:textId="77777777">
      <w:pPr>
        <w:pStyle w:val="BodyText"/>
        <w:spacing w:before="0" w:after="0"/>
        <w:rPr>
          <w:b/>
        </w:rPr>
      </w:pPr>
    </w:p>
    <w:p w:rsidR="00A55078" w:rsidP="00182D88" w:rsidRDefault="00F8431E" w14:paraId="11EAE176" w14:textId="19CC8FF7">
      <w:pPr>
        <w:pStyle w:val="Heading2"/>
        <w:spacing w:before="0" w:after="0"/>
      </w:pPr>
      <w:r w:rsidRPr="00500EB1">
        <w:t>Minimizing Burden on Small Respondents</w:t>
      </w:r>
    </w:p>
    <w:p w:rsidR="00F8431E" w:rsidP="00182D88" w:rsidRDefault="00F8431E" w14:paraId="57BBAC14" w14:textId="61CA0641">
      <w:pPr>
        <w:pStyle w:val="BodyText"/>
        <w:spacing w:before="0" w:after="0"/>
      </w:pPr>
      <w:r w:rsidRPr="00227D0B">
        <w:t>This collection does not affect small businesses or other small entities</w:t>
      </w:r>
      <w:r>
        <w:t>.</w:t>
      </w:r>
    </w:p>
    <w:p w:rsidR="00182D88" w:rsidP="00182D88" w:rsidRDefault="00182D88" w14:paraId="1E5ED5F0" w14:textId="77777777">
      <w:pPr>
        <w:pStyle w:val="BodyText"/>
        <w:spacing w:before="0" w:after="0"/>
        <w:rPr>
          <w:b/>
        </w:rPr>
      </w:pPr>
    </w:p>
    <w:p w:rsidR="00A55078" w:rsidP="00182D88" w:rsidRDefault="00F8431E" w14:paraId="5D06CF91" w14:textId="66203053">
      <w:pPr>
        <w:pStyle w:val="Heading2"/>
        <w:spacing w:before="0" w:after="0"/>
      </w:pPr>
      <w:r w:rsidRPr="00500EB1">
        <w:t>Consequence of Not Collecting Information or Collecting it Less Frequently</w:t>
      </w:r>
    </w:p>
    <w:p w:rsidR="00F8431E" w:rsidP="00182D88" w:rsidRDefault="00B22829" w14:paraId="7BEAD3EA" w14:textId="74D37E85">
      <w:pPr>
        <w:pStyle w:val="BodyText"/>
        <w:spacing w:before="0" w:after="0"/>
      </w:pPr>
      <w:r>
        <w:t>In</w:t>
      </w:r>
      <w:r w:rsidRPr="00620BAF">
        <w:t xml:space="preserve"> </w:t>
      </w:r>
      <w:r w:rsidRPr="00620BAF" w:rsidR="00F8431E">
        <w:t xml:space="preserve">creating </w:t>
      </w:r>
      <w:r w:rsidR="00F8431E">
        <w:t>this new</w:t>
      </w:r>
      <w:r w:rsidRPr="00620BAF" w:rsidR="00F8431E">
        <w:t xml:space="preserve"> tool</w:t>
      </w:r>
      <w:r w:rsidR="00F8431E">
        <w:t xml:space="preserve"> to request an appointment and establish a protective filing date</w:t>
      </w:r>
      <w:r w:rsidRPr="00620BAF" w:rsidR="00F8431E">
        <w:t xml:space="preserve">, we </w:t>
      </w:r>
      <w:r>
        <w:t>provide</w:t>
      </w:r>
      <w:r w:rsidR="002059A9">
        <w:t xml:space="preserve"> a service option for people who are unable to come into one of our </w:t>
      </w:r>
      <w:r w:rsidR="00182D88">
        <w:t>offices or</w:t>
      </w:r>
      <w:r>
        <w:t xml:space="preserve"> choose not to call an SSA office to establish a protective filing date</w:t>
      </w:r>
      <w:r w:rsidRPr="00620BAF" w:rsidR="00F8431E">
        <w:t>.</w:t>
      </w:r>
      <w:r w:rsidR="00F8431E">
        <w:t xml:space="preserve">  </w:t>
      </w:r>
      <w:r w:rsidRPr="006D66F3" w:rsidR="00F8431E">
        <w:t xml:space="preserve">If we did not implement </w:t>
      </w:r>
      <w:r w:rsidR="00F8431E">
        <w:t>th</w:t>
      </w:r>
      <w:r w:rsidR="00410EA7">
        <w:t>e</w:t>
      </w:r>
      <w:r w:rsidR="00F8431E">
        <w:t xml:space="preserve"> </w:t>
      </w:r>
      <w:r w:rsidR="00410EA7">
        <w:t>ePFT</w:t>
      </w:r>
      <w:r w:rsidRPr="007C7C9C" w:rsidR="00F8431E">
        <w:t xml:space="preserve">, individuals in underserved populations </w:t>
      </w:r>
      <w:r w:rsidRPr="007C7C9C" w:rsidR="002059A9">
        <w:t>may</w:t>
      </w:r>
      <w:r w:rsidRPr="007C7C9C" w:rsidR="00F8431E">
        <w:t xml:space="preserve"> not have an alternative means to requesting an intent to file an application, thereby lengthening the process for them.</w:t>
      </w:r>
      <w:r w:rsidRPr="006D66F3" w:rsidR="00F8431E">
        <w:rPr>
          <w:b/>
        </w:rPr>
        <w:t xml:space="preserve">  </w:t>
      </w:r>
      <w:r w:rsidRPr="00F16B81" w:rsidR="00F8431E">
        <w:t>Since w</w:t>
      </w:r>
      <w:r w:rsidR="00770360">
        <w:t>e</w:t>
      </w:r>
      <w:r w:rsidRPr="00F16B81" w:rsidR="00F8431E">
        <w:t xml:space="preserve"> only collect the information when individuals use the </w:t>
      </w:r>
      <w:r w:rsidR="00410EA7">
        <w:t>ePFT</w:t>
      </w:r>
      <w:r w:rsidRPr="007C7C9C" w:rsidR="00F8431E">
        <w:t>, we cannot collect it less frequently.  There are no technical or legal obstacles to burden reduction.</w:t>
      </w:r>
    </w:p>
    <w:p w:rsidR="00182D88" w:rsidP="00182D88" w:rsidRDefault="00182D88" w14:paraId="001338E7" w14:textId="77777777">
      <w:pPr>
        <w:pStyle w:val="BodyText"/>
        <w:spacing w:before="0" w:after="0"/>
        <w:rPr>
          <w:b/>
        </w:rPr>
      </w:pPr>
    </w:p>
    <w:p w:rsidR="00A55078" w:rsidP="00182D88" w:rsidRDefault="00F8431E" w14:paraId="2D5308E9" w14:textId="5E2FA77E">
      <w:pPr>
        <w:pStyle w:val="Heading2"/>
        <w:spacing w:before="0" w:after="0"/>
      </w:pPr>
      <w:r w:rsidRPr="00500EB1">
        <w:t>Special Circumstances</w:t>
      </w:r>
    </w:p>
    <w:p w:rsidR="00F8431E" w:rsidP="00182D88" w:rsidRDefault="00F8431E" w14:paraId="65397D8A" w14:textId="70A9BAE3">
      <w:pPr>
        <w:pStyle w:val="BodyText"/>
        <w:spacing w:before="0" w:after="0"/>
      </w:pPr>
      <w:r w:rsidRPr="00500EB1">
        <w:t xml:space="preserve">There are no special circumstances that would cause SSA to collect this information in a manner inconsistent with </w:t>
      </w:r>
      <w:r w:rsidRPr="00500EB1">
        <w:rPr>
          <w:i/>
        </w:rPr>
        <w:t>5 CFR 1320.5</w:t>
      </w:r>
      <w:r w:rsidRPr="00F16B81">
        <w:t>.</w:t>
      </w:r>
    </w:p>
    <w:p w:rsidR="00182D88" w:rsidP="00182D88" w:rsidRDefault="00182D88" w14:paraId="3A7378FF" w14:textId="7AF5A314">
      <w:pPr>
        <w:pStyle w:val="BodyText"/>
        <w:spacing w:before="0" w:after="0"/>
      </w:pPr>
    </w:p>
    <w:p w:rsidR="00182D88" w:rsidP="00182D88" w:rsidRDefault="00182D88" w14:paraId="3C7E2B4E" w14:textId="77777777">
      <w:pPr>
        <w:pStyle w:val="BodyText"/>
        <w:spacing w:before="0" w:after="0"/>
        <w:rPr>
          <w:b/>
        </w:rPr>
      </w:pPr>
    </w:p>
    <w:p w:rsidR="00A55078" w:rsidP="00182D88" w:rsidRDefault="00F8431E" w14:paraId="77862C27" w14:textId="14BC9346">
      <w:pPr>
        <w:pStyle w:val="Heading2"/>
        <w:spacing w:before="0" w:after="0"/>
      </w:pPr>
      <w:r w:rsidRPr="00500EB1">
        <w:lastRenderedPageBreak/>
        <w:t>Solicitation of Public Comment and Other Consultations with the Public</w:t>
      </w:r>
    </w:p>
    <w:p w:rsidR="00B22829" w:rsidP="00182D88" w:rsidRDefault="00B22829" w14:paraId="337900FF" w14:textId="39113BBF">
      <w:pPr>
        <w:pStyle w:val="BodyText"/>
        <w:spacing w:before="0" w:after="0"/>
      </w:pPr>
      <w:r>
        <w:t xml:space="preserve">SSA published the Emergency PRA Approval Request in the </w:t>
      </w:r>
      <w:r>
        <w:rPr>
          <w:i/>
        </w:rPr>
        <w:t xml:space="preserve">Federal Register </w:t>
      </w:r>
      <w:r>
        <w:t xml:space="preserve">on February 28, </w:t>
      </w:r>
      <w:r w:rsidR="00BF5DE7">
        <w:t>2022,</w:t>
      </w:r>
      <w:r w:rsidRPr="001C67EE">
        <w:rPr>
          <w:b/>
          <w:color w:val="FF0000"/>
        </w:rPr>
        <w:t xml:space="preserve"> </w:t>
      </w:r>
      <w:r>
        <w:t xml:space="preserve">at 87 FR 11111.  Due to the critical time sensitivity of this ICR OMB agreed to allow for a shorter formal public comment period of fourteen days. We received three public comments during the fourteen-day period which we addressed under the Emergency Approval documentation.  In addition, we allowed for a full 30-day Comment Period which ended on March 30, 2022.  During that </w:t>
      </w:r>
      <w:r w:rsidR="00ED7A53">
        <w:t>time,</w:t>
      </w:r>
      <w:r>
        <w:t xml:space="preserve"> we received </w:t>
      </w:r>
      <w:r w:rsidR="008A5BEF">
        <w:t>eight more public comments, which we addressed in the Addendum to this Supporting Statement document</w:t>
      </w:r>
      <w:r>
        <w:t>.</w:t>
      </w:r>
    </w:p>
    <w:p w:rsidR="00182D88" w:rsidP="00182D88" w:rsidRDefault="00182D88" w14:paraId="4FB60720" w14:textId="77777777">
      <w:pPr>
        <w:pStyle w:val="BodyText"/>
        <w:spacing w:before="0" w:after="0"/>
      </w:pPr>
    </w:p>
    <w:p w:rsidR="00770360" w:rsidP="00BF5DE7" w:rsidRDefault="00770360" w14:paraId="6EB6444E" w14:textId="6C92CFA8">
      <w:pPr>
        <w:pStyle w:val="BodyText"/>
        <w:spacing w:before="0" w:after="0"/>
      </w:pPr>
      <w:r w:rsidRPr="00770360">
        <w:t xml:space="preserve">The 60-day advance Federal Register Notice </w:t>
      </w:r>
      <w:r w:rsidR="008A5BEF">
        <w:t>for the regular OMB approval process</w:t>
      </w:r>
      <w:r w:rsidDel="008A5BEF" w:rsidR="008A5BEF">
        <w:t xml:space="preserve"> </w:t>
      </w:r>
      <w:r w:rsidRPr="00770360">
        <w:t xml:space="preserve"> published on </w:t>
      </w:r>
      <w:r w:rsidR="00BF5DE7">
        <w:t>June 8, 2022</w:t>
      </w:r>
      <w:r w:rsidRPr="00770360">
        <w:t xml:space="preserve">, at </w:t>
      </w:r>
      <w:r w:rsidR="00BF5DE7">
        <w:t>87</w:t>
      </w:r>
      <w:r w:rsidR="00081E53">
        <w:t xml:space="preserve"> </w:t>
      </w:r>
      <w:r w:rsidRPr="00081E53">
        <w:t>FR</w:t>
      </w:r>
      <w:r w:rsidR="00BF5DE7">
        <w:t xml:space="preserve"> 34922</w:t>
      </w:r>
      <w:r w:rsidRPr="00770360">
        <w:t xml:space="preserve">, and we received </w:t>
      </w:r>
      <w:r w:rsidR="00BF5DE7">
        <w:t>no</w:t>
      </w:r>
      <w:r w:rsidRPr="00770360">
        <w:t xml:space="preserve"> public comments.</w:t>
      </w:r>
      <w:r w:rsidR="00BF5DE7">
        <w:t xml:space="preserve">  </w:t>
      </w:r>
      <w:r w:rsidRPr="00770360">
        <w:t xml:space="preserve">The 30-day </w:t>
      </w:r>
      <w:r w:rsidR="008A5BEF">
        <w:t>Notice</w:t>
      </w:r>
      <w:r w:rsidRPr="00770360" w:rsidR="008A5BEF">
        <w:t xml:space="preserve"> </w:t>
      </w:r>
      <w:r w:rsidRPr="00770360">
        <w:t xml:space="preserve">published on </w:t>
      </w:r>
      <w:r w:rsidR="00505DDD">
        <w:t>August 9, 2022</w:t>
      </w:r>
      <w:r w:rsidRPr="00770360">
        <w:t xml:space="preserve">, at </w:t>
      </w:r>
      <w:r w:rsidRPr="00BF5DE7" w:rsidR="00BF5DE7">
        <w:t xml:space="preserve">87 </w:t>
      </w:r>
      <w:r w:rsidRPr="00BF5DE7">
        <w:t xml:space="preserve">FR </w:t>
      </w:r>
      <w:r w:rsidR="00CF0349">
        <w:t>48547</w:t>
      </w:r>
      <w:r w:rsidRPr="00770360">
        <w:t xml:space="preserve">.  </w:t>
      </w:r>
      <w:r w:rsidRPr="00E3794E" w:rsidR="008A5BEF">
        <w:rPr>
          <w:noProof/>
          <w:lang w:eastAsia="zh-CN" w:bidi="en-US"/>
        </w:rPr>
        <w:t>If we receive any comments in response to this Notice, we will forward them to OMB</w:t>
      </w:r>
      <w:r w:rsidRPr="005C03F4" w:rsidR="008A5BEF">
        <w:t xml:space="preserve">.  We did not consult with the public </w:t>
      </w:r>
      <w:r w:rsidR="008A5BEF">
        <w:t>on</w:t>
      </w:r>
      <w:r w:rsidRPr="005C03F4" w:rsidR="008A5BEF">
        <w:t xml:space="preserve"> the revision</w:t>
      </w:r>
      <w:r w:rsidR="008A5BEF">
        <w:t>s</w:t>
      </w:r>
      <w:r w:rsidRPr="005C03F4" w:rsidR="008A5BEF">
        <w:t xml:space="preserve"> </w:t>
      </w:r>
      <w:r w:rsidR="008A5BEF">
        <w:t>to</w:t>
      </w:r>
      <w:r w:rsidRPr="005C03F4" w:rsidR="008A5BEF">
        <w:t xml:space="preserve"> this </w:t>
      </w:r>
      <w:r w:rsidR="00182D88">
        <w:t>application.</w:t>
      </w:r>
    </w:p>
    <w:p w:rsidR="00182D88" w:rsidP="00182D88" w:rsidRDefault="00182D88" w14:paraId="41445518" w14:textId="77777777">
      <w:pPr>
        <w:pStyle w:val="BodyText"/>
        <w:spacing w:before="0" w:after="0"/>
      </w:pPr>
    </w:p>
    <w:p w:rsidR="00A55078" w:rsidP="00182D88" w:rsidRDefault="00F8431E" w14:paraId="0E0EAB95" w14:textId="77C0EB9C">
      <w:pPr>
        <w:pStyle w:val="Heading2"/>
        <w:spacing w:before="0" w:after="0"/>
      </w:pPr>
      <w:r w:rsidRPr="00500EB1">
        <w:t>Payment or Gifts to Respondents</w:t>
      </w:r>
    </w:p>
    <w:p w:rsidR="00F8431E" w:rsidP="00182D88" w:rsidRDefault="00F8431E" w14:paraId="3F1BB0AA" w14:textId="75813FC6">
      <w:pPr>
        <w:pStyle w:val="BodyText"/>
        <w:spacing w:before="0" w:after="0"/>
      </w:pPr>
      <w:r w:rsidRPr="00520E12">
        <w:t>SSA does not provide payments or gifts to the respondents</w:t>
      </w:r>
      <w:r>
        <w:t>.</w:t>
      </w:r>
    </w:p>
    <w:p w:rsidR="00182D88" w:rsidP="00182D88" w:rsidRDefault="00182D88" w14:paraId="7A7888C3" w14:textId="77777777">
      <w:pPr>
        <w:pStyle w:val="BodyText"/>
        <w:spacing w:before="0" w:after="0"/>
        <w:rPr>
          <w:b/>
        </w:rPr>
      </w:pPr>
    </w:p>
    <w:p w:rsidR="00A55078" w:rsidP="00182D88" w:rsidRDefault="00F8431E" w14:paraId="188CF1F8" w14:textId="1EE42BBE">
      <w:pPr>
        <w:pStyle w:val="Heading2"/>
        <w:spacing w:before="0" w:after="0"/>
      </w:pPr>
      <w:r w:rsidRPr="00500EB1">
        <w:t>Assurances of Confidentiality</w:t>
      </w:r>
    </w:p>
    <w:p w:rsidR="00F8431E" w:rsidP="00182D88" w:rsidRDefault="00F8431E" w14:paraId="4FCCC7C6" w14:textId="7D23882A">
      <w:pPr>
        <w:pStyle w:val="BodyText"/>
        <w:spacing w:before="0" w:after="0"/>
      </w:pPr>
      <w:r w:rsidRPr="00520E12">
        <w:t>SSA protects and holds confidential the information it collects in accordance with</w:t>
      </w:r>
      <w:r w:rsidRPr="00BC7F42">
        <w:rPr>
          <w:i/>
        </w:rPr>
        <w:t xml:space="preserve"> 42 U.S.C. 1306, 20 CFR 401 </w:t>
      </w:r>
      <w:r w:rsidRPr="00F16B81">
        <w:t>and</w:t>
      </w:r>
      <w:r w:rsidRPr="00BC7F42">
        <w:rPr>
          <w:i/>
        </w:rPr>
        <w:t xml:space="preserve"> 402, 5 U.S.C. 552 </w:t>
      </w:r>
      <w:r w:rsidRPr="00F16B81">
        <w:t xml:space="preserve">(Freedom of Information Act), </w:t>
      </w:r>
      <w:r w:rsidRPr="0028292F">
        <w:rPr>
          <w:i/>
        </w:rPr>
        <w:t>5 U.S.C. 552a</w:t>
      </w:r>
      <w:r w:rsidRPr="00F16B81">
        <w:t xml:space="preserve"> (Privacy Act of 1974), and OMB Circular No. A-130.</w:t>
      </w:r>
    </w:p>
    <w:p w:rsidR="00182D88" w:rsidP="00182D88" w:rsidRDefault="00182D88" w14:paraId="572B9FAE" w14:textId="77777777">
      <w:pPr>
        <w:pStyle w:val="BodyText"/>
        <w:spacing w:before="0" w:after="0"/>
        <w:rPr>
          <w:b/>
        </w:rPr>
      </w:pPr>
    </w:p>
    <w:p w:rsidR="00A55078" w:rsidP="00182D88" w:rsidRDefault="00F8431E" w14:paraId="5B2F7795" w14:textId="39846789">
      <w:pPr>
        <w:pStyle w:val="Heading2"/>
        <w:spacing w:before="0" w:after="0"/>
      </w:pPr>
      <w:r w:rsidRPr="00500EB1">
        <w:t>Justification for Sensitive Questions</w:t>
      </w:r>
    </w:p>
    <w:p w:rsidR="00F8431E" w:rsidP="00182D88" w:rsidRDefault="00F8431E" w14:paraId="2784BBD4" w14:textId="3F99A9C2">
      <w:pPr>
        <w:pStyle w:val="BodyText"/>
        <w:spacing w:before="0" w:after="0"/>
      </w:pPr>
      <w:r w:rsidRPr="00500EB1">
        <w:t>The information collection does not contain any questions of a sensitive nature</w:t>
      </w:r>
      <w:r>
        <w:t>.</w:t>
      </w:r>
    </w:p>
    <w:p w:rsidR="00182D88" w:rsidP="00182D88" w:rsidRDefault="00182D88" w14:paraId="05123F43" w14:textId="77777777">
      <w:pPr>
        <w:pStyle w:val="BodyText"/>
        <w:spacing w:before="0" w:after="0"/>
        <w:rPr>
          <w:b/>
        </w:rPr>
      </w:pPr>
    </w:p>
    <w:p w:rsidR="00A55078" w:rsidP="00182D88" w:rsidRDefault="00F8431E" w14:paraId="1EF40AB9" w14:textId="1D4035E0">
      <w:pPr>
        <w:pStyle w:val="Heading2"/>
        <w:spacing w:before="0" w:after="0"/>
      </w:pPr>
      <w:r w:rsidRPr="00500EB1">
        <w:t>Estimates of Public Reporting Burden</w:t>
      </w:r>
    </w:p>
    <w:p w:rsidR="00F8431E" w:rsidP="00182D88" w:rsidRDefault="00F8431E" w14:paraId="435F9D87" w14:textId="2811A144">
      <w:pPr>
        <w:pStyle w:val="BodyText"/>
        <w:spacing w:before="0" w:after="0"/>
        <w:rPr>
          <w:snapToGrid/>
        </w:rPr>
      </w:pPr>
      <w:r w:rsidRPr="009112AD">
        <w:t xml:space="preserve">The </w:t>
      </w:r>
      <w:r w:rsidR="00081E53">
        <w:t>table</w:t>
      </w:r>
      <w:r>
        <w:t xml:space="preserve"> below shows our estimated burden figures for this </w:t>
      </w:r>
      <w:r w:rsidRPr="003A2CBF">
        <w:t xml:space="preserve">online </w:t>
      </w:r>
      <w:r>
        <w:rPr>
          <w:snapToGrid/>
        </w:rPr>
        <w:t xml:space="preserve">electronic protective filing </w:t>
      </w:r>
      <w:r w:rsidRPr="00E21ED0">
        <w:rPr>
          <w:snapToGrid/>
        </w:rPr>
        <w:t>tool</w:t>
      </w:r>
      <w:r>
        <w:rPr>
          <w:snapToGrid/>
        </w:rPr>
        <w:t>:</w:t>
      </w:r>
    </w:p>
    <w:p w:rsidR="00182D88" w:rsidP="00182D88" w:rsidRDefault="00182D88" w14:paraId="476482D2" w14:textId="77777777">
      <w:pPr>
        <w:pStyle w:val="BodyText"/>
        <w:spacing w:before="0" w:after="0"/>
        <w:rPr>
          <w:snapToGrid/>
        </w:rPr>
      </w:pPr>
    </w:p>
    <w:tbl>
      <w:tblPr>
        <w:tblStyle w:val="TableGrid"/>
        <w:tblW w:w="10440" w:type="dxa"/>
        <w:jc w:val="center"/>
        <w:tblLook w:val="04A0" w:firstRow="1" w:lastRow="0" w:firstColumn="1" w:lastColumn="0" w:noHBand="0" w:noVBand="1"/>
      </w:tblPr>
      <w:tblGrid>
        <w:gridCol w:w="1817"/>
        <w:gridCol w:w="1523"/>
        <w:gridCol w:w="1310"/>
        <w:gridCol w:w="1190"/>
        <w:gridCol w:w="1256"/>
        <w:gridCol w:w="1634"/>
        <w:gridCol w:w="1710"/>
      </w:tblGrid>
      <w:tr w:rsidR="00D34919" w:rsidTr="00593ACF" w14:paraId="7CCA798A" w14:textId="77777777">
        <w:trPr>
          <w:cantSplit/>
          <w:jc w:val="center"/>
        </w:trPr>
        <w:tc>
          <w:tcPr>
            <w:tcW w:w="1817" w:type="dxa"/>
          </w:tcPr>
          <w:p w:rsidR="00D34919" w:rsidP="00182D88" w:rsidRDefault="00F8431E" w14:paraId="70907BD7" w14:textId="77777777">
            <w:pPr>
              <w:pStyle w:val="TableHeader"/>
            </w:pPr>
            <w:r w:rsidRPr="00AC28BB">
              <w:t xml:space="preserve">Modality </w:t>
            </w:r>
          </w:p>
          <w:p w:rsidR="00F8431E" w:rsidP="00182D88" w:rsidRDefault="00F8431E" w14:paraId="3FD65773" w14:textId="29EC7D52">
            <w:pPr>
              <w:pStyle w:val="TableHeader"/>
              <w:rPr>
                <w:snapToGrid/>
              </w:rPr>
            </w:pPr>
            <w:r w:rsidRPr="00AC28BB">
              <w:t>of Completion</w:t>
            </w:r>
          </w:p>
        </w:tc>
        <w:tc>
          <w:tcPr>
            <w:tcW w:w="1523" w:type="dxa"/>
          </w:tcPr>
          <w:p w:rsidR="00D34919" w:rsidP="00182D88" w:rsidRDefault="00F8431E" w14:paraId="106C685D" w14:textId="77777777">
            <w:pPr>
              <w:pStyle w:val="TableHeader"/>
            </w:pPr>
            <w:r w:rsidRPr="00AC28BB">
              <w:t xml:space="preserve">Number </w:t>
            </w:r>
          </w:p>
          <w:p w:rsidR="00F8431E" w:rsidP="00182D88" w:rsidRDefault="00F8431E" w14:paraId="1CE59A5D" w14:textId="47B89D03">
            <w:pPr>
              <w:pStyle w:val="TableHeader"/>
              <w:rPr>
                <w:snapToGrid/>
              </w:rPr>
            </w:pPr>
            <w:r w:rsidRPr="00AC28BB">
              <w:t>of Respondents</w:t>
            </w:r>
          </w:p>
        </w:tc>
        <w:tc>
          <w:tcPr>
            <w:tcW w:w="1310" w:type="dxa"/>
          </w:tcPr>
          <w:p w:rsidR="00F8431E" w:rsidP="00182D88" w:rsidRDefault="00F8431E" w14:paraId="2F5FB57B" w14:textId="2660ECC3">
            <w:pPr>
              <w:pStyle w:val="TableHeader"/>
              <w:rPr>
                <w:snapToGrid/>
              </w:rPr>
            </w:pPr>
            <w:r w:rsidRPr="00AC28BB">
              <w:t>Frequency of Response</w:t>
            </w:r>
          </w:p>
        </w:tc>
        <w:tc>
          <w:tcPr>
            <w:tcW w:w="1190" w:type="dxa"/>
          </w:tcPr>
          <w:p w:rsidR="00F8431E" w:rsidP="00182D88" w:rsidRDefault="00F8431E" w14:paraId="05C20568" w14:textId="6F67AC95">
            <w:pPr>
              <w:pStyle w:val="TableHeader"/>
              <w:rPr>
                <w:snapToGrid/>
              </w:rPr>
            </w:pPr>
            <w:r w:rsidRPr="00AC28BB">
              <w:t>Average Burden per Response (minutes)</w:t>
            </w:r>
          </w:p>
        </w:tc>
        <w:tc>
          <w:tcPr>
            <w:tcW w:w="1256" w:type="dxa"/>
          </w:tcPr>
          <w:p w:rsidR="00F8431E" w:rsidP="00182D88" w:rsidRDefault="00F8431E" w14:paraId="7F561276" w14:textId="7754D5B9">
            <w:pPr>
              <w:pStyle w:val="TableHeader"/>
              <w:rPr>
                <w:snapToGrid/>
              </w:rPr>
            </w:pPr>
            <w:r w:rsidRPr="00AC28BB">
              <w:t>Estimated Total Annual Burden (hours)</w:t>
            </w:r>
          </w:p>
        </w:tc>
        <w:tc>
          <w:tcPr>
            <w:tcW w:w="1634" w:type="dxa"/>
          </w:tcPr>
          <w:p w:rsidR="00D34919" w:rsidP="00182D88" w:rsidRDefault="00F8431E" w14:paraId="055A762D" w14:textId="77777777">
            <w:pPr>
              <w:pStyle w:val="TableHeader"/>
            </w:pPr>
            <w:r w:rsidRPr="00AC28BB">
              <w:t>Average</w:t>
            </w:r>
          </w:p>
          <w:p w:rsidR="00D34919" w:rsidP="00182D88" w:rsidRDefault="00F8431E" w14:paraId="0F7BE832" w14:textId="77777777">
            <w:pPr>
              <w:pStyle w:val="TableHeader"/>
            </w:pPr>
            <w:r w:rsidRPr="00AC28BB">
              <w:t>Theoretical</w:t>
            </w:r>
          </w:p>
          <w:p w:rsidR="00D34919" w:rsidP="00182D88" w:rsidRDefault="00F8431E" w14:paraId="10FFCB52" w14:textId="77777777">
            <w:pPr>
              <w:pStyle w:val="TableHeader"/>
            </w:pPr>
            <w:r w:rsidRPr="00AC28BB">
              <w:t>Hourly</w:t>
            </w:r>
          </w:p>
          <w:p w:rsidR="00F8431E" w:rsidP="00182D88" w:rsidRDefault="00F8431E" w14:paraId="240F351A" w14:textId="4027D358">
            <w:pPr>
              <w:pStyle w:val="TableHeader"/>
              <w:rPr>
                <w:snapToGrid/>
              </w:rPr>
            </w:pPr>
            <w:r w:rsidRPr="00AC28BB">
              <w:t>Cost Amount (dollars)*</w:t>
            </w:r>
          </w:p>
        </w:tc>
        <w:tc>
          <w:tcPr>
            <w:tcW w:w="1710" w:type="dxa"/>
          </w:tcPr>
          <w:p w:rsidR="00F8431E" w:rsidP="00182D88" w:rsidRDefault="00F8431E" w14:paraId="7674E036" w14:textId="417688B0">
            <w:pPr>
              <w:pStyle w:val="TableHeader"/>
              <w:rPr>
                <w:snapToGrid/>
              </w:rPr>
            </w:pPr>
            <w:r w:rsidRPr="00AC28BB">
              <w:t>Total Annual Opportunity Cost (dollars)**</w:t>
            </w:r>
          </w:p>
        </w:tc>
      </w:tr>
      <w:tr w:rsidR="00D34919" w:rsidTr="00593ACF" w14:paraId="5E6E51C0" w14:textId="77777777">
        <w:trPr>
          <w:cantSplit/>
          <w:jc w:val="center"/>
        </w:trPr>
        <w:tc>
          <w:tcPr>
            <w:tcW w:w="1817" w:type="dxa"/>
          </w:tcPr>
          <w:p w:rsidR="00F8431E" w:rsidP="00182D88" w:rsidRDefault="00F8431E" w14:paraId="7C3980D1" w14:textId="77777777">
            <w:pPr>
              <w:pStyle w:val="TableText"/>
            </w:pPr>
            <w:r w:rsidRPr="00AC28BB">
              <w:t xml:space="preserve">Respondent Type 1 </w:t>
            </w:r>
          </w:p>
          <w:p w:rsidR="00F8431E" w:rsidP="00182D88" w:rsidRDefault="00F8431E" w14:paraId="7EA5A222" w14:textId="450FD14E">
            <w:pPr>
              <w:pStyle w:val="TableText"/>
              <w:rPr>
                <w:bCs/>
                <w:snapToGrid/>
              </w:rPr>
            </w:pPr>
            <w:r w:rsidRPr="00AC28BB">
              <w:t xml:space="preserve">(ex: </w:t>
            </w:r>
            <w:r>
              <w:t>Potential Applicants</w:t>
            </w:r>
            <w:r w:rsidRPr="00AC28BB">
              <w:t>)</w:t>
            </w:r>
          </w:p>
        </w:tc>
        <w:tc>
          <w:tcPr>
            <w:tcW w:w="1523" w:type="dxa"/>
          </w:tcPr>
          <w:p w:rsidR="00F8431E" w:rsidP="00182D88" w:rsidRDefault="00F03664" w14:paraId="3349EE0F" w14:textId="0152918A">
            <w:pPr>
              <w:pStyle w:val="TableFigures"/>
              <w:rPr>
                <w:bCs/>
                <w:snapToGrid/>
              </w:rPr>
            </w:pPr>
            <w:r>
              <w:rPr>
                <w:bCs/>
                <w:snapToGrid/>
              </w:rPr>
              <w:t>17,000</w:t>
            </w:r>
          </w:p>
        </w:tc>
        <w:tc>
          <w:tcPr>
            <w:tcW w:w="1310" w:type="dxa"/>
          </w:tcPr>
          <w:p w:rsidR="00F8431E" w:rsidP="00182D88" w:rsidRDefault="00F03664" w14:paraId="363E8B18" w14:textId="57A61DE5">
            <w:pPr>
              <w:pStyle w:val="TableFigures"/>
              <w:rPr>
                <w:bCs/>
                <w:snapToGrid/>
              </w:rPr>
            </w:pPr>
            <w:r>
              <w:rPr>
                <w:bCs/>
                <w:snapToGrid/>
              </w:rPr>
              <w:t>1</w:t>
            </w:r>
          </w:p>
        </w:tc>
        <w:tc>
          <w:tcPr>
            <w:tcW w:w="1190" w:type="dxa"/>
          </w:tcPr>
          <w:p w:rsidR="00F8431E" w:rsidP="00182D88" w:rsidRDefault="00F03664" w14:paraId="186AE2CD" w14:textId="1AD5ADF7">
            <w:pPr>
              <w:pStyle w:val="TableFigures"/>
              <w:rPr>
                <w:bCs/>
                <w:snapToGrid/>
              </w:rPr>
            </w:pPr>
            <w:r>
              <w:rPr>
                <w:bCs/>
                <w:snapToGrid/>
              </w:rPr>
              <w:t>6</w:t>
            </w:r>
          </w:p>
        </w:tc>
        <w:tc>
          <w:tcPr>
            <w:tcW w:w="1256" w:type="dxa"/>
          </w:tcPr>
          <w:p w:rsidR="00F8431E" w:rsidP="00182D88" w:rsidRDefault="00F03664" w14:paraId="578B8619" w14:textId="189F0C86">
            <w:pPr>
              <w:pStyle w:val="TableFigures"/>
              <w:rPr>
                <w:bCs/>
                <w:snapToGrid/>
              </w:rPr>
            </w:pPr>
            <w:r>
              <w:rPr>
                <w:bCs/>
                <w:snapToGrid/>
              </w:rPr>
              <w:t>1,700</w:t>
            </w:r>
          </w:p>
        </w:tc>
        <w:tc>
          <w:tcPr>
            <w:tcW w:w="1634" w:type="dxa"/>
          </w:tcPr>
          <w:p w:rsidR="00F8431E" w:rsidP="00182D88" w:rsidRDefault="00F03664" w14:paraId="1EA44CB1" w14:textId="6C079E26">
            <w:pPr>
              <w:pStyle w:val="TableFigures"/>
              <w:rPr>
                <w:bCs/>
                <w:snapToGrid/>
              </w:rPr>
            </w:pPr>
            <w:r>
              <w:t>$</w:t>
            </w:r>
            <w:r w:rsidR="0008270C">
              <w:t>28.01</w:t>
            </w:r>
            <w:r w:rsidRPr="00D825F5">
              <w:rPr>
                <w:b/>
                <w:bCs/>
              </w:rPr>
              <w:t>*</w:t>
            </w:r>
          </w:p>
        </w:tc>
        <w:tc>
          <w:tcPr>
            <w:tcW w:w="1710" w:type="dxa"/>
          </w:tcPr>
          <w:p w:rsidR="00F8431E" w:rsidP="00182D88" w:rsidRDefault="00F03664" w14:paraId="201EF373" w14:textId="7B4B0340">
            <w:pPr>
              <w:pStyle w:val="TableFigures"/>
              <w:rPr>
                <w:bCs/>
                <w:snapToGrid/>
              </w:rPr>
            </w:pPr>
            <w:r>
              <w:t>$</w:t>
            </w:r>
            <w:r w:rsidR="0008270C">
              <w:t>47,617</w:t>
            </w:r>
            <w:r w:rsidRPr="00D825F5" w:rsidR="00F8431E">
              <w:rPr>
                <w:b/>
                <w:bCs/>
              </w:rPr>
              <w:t>**</w:t>
            </w:r>
          </w:p>
        </w:tc>
      </w:tr>
      <w:tr w:rsidR="00D34919" w:rsidTr="00593ACF" w14:paraId="77E82B1A" w14:textId="77777777">
        <w:trPr>
          <w:cantSplit/>
          <w:jc w:val="center"/>
        </w:trPr>
        <w:tc>
          <w:tcPr>
            <w:tcW w:w="1817" w:type="dxa"/>
          </w:tcPr>
          <w:p w:rsidR="00F8431E" w:rsidP="00182D88" w:rsidRDefault="00F8431E" w14:paraId="09347B2B" w14:textId="77777777">
            <w:pPr>
              <w:pStyle w:val="TableText"/>
            </w:pPr>
            <w:r w:rsidRPr="00AC28BB">
              <w:t xml:space="preserve">Respondent Type 2 </w:t>
            </w:r>
          </w:p>
          <w:p w:rsidR="00F8431E" w:rsidP="00182D88" w:rsidRDefault="00F8431E" w14:paraId="49431DD3" w14:textId="3D65D1C6">
            <w:pPr>
              <w:pStyle w:val="TableText"/>
              <w:rPr>
                <w:bCs/>
                <w:snapToGrid/>
              </w:rPr>
            </w:pPr>
            <w:r w:rsidRPr="00AC28BB">
              <w:t xml:space="preserve">(ex: </w:t>
            </w:r>
            <w:r>
              <w:t>Professional Assistors</w:t>
            </w:r>
            <w:r w:rsidRPr="00AC28BB">
              <w:t>)</w:t>
            </w:r>
          </w:p>
        </w:tc>
        <w:tc>
          <w:tcPr>
            <w:tcW w:w="1523" w:type="dxa"/>
          </w:tcPr>
          <w:p w:rsidR="00F8431E" w:rsidP="00182D88" w:rsidRDefault="00F03664" w14:paraId="2EDBF0C9" w14:textId="77B7EC44">
            <w:pPr>
              <w:pStyle w:val="TableFigures"/>
              <w:rPr>
                <w:bCs/>
                <w:snapToGrid/>
              </w:rPr>
            </w:pPr>
            <w:r>
              <w:rPr>
                <w:bCs/>
                <w:snapToGrid/>
              </w:rPr>
              <w:t>2,125</w:t>
            </w:r>
          </w:p>
        </w:tc>
        <w:tc>
          <w:tcPr>
            <w:tcW w:w="1310" w:type="dxa"/>
          </w:tcPr>
          <w:p w:rsidR="00F8431E" w:rsidP="00182D88" w:rsidRDefault="00F03664" w14:paraId="46B10D49" w14:textId="40D06D0F">
            <w:pPr>
              <w:pStyle w:val="TableFigures"/>
              <w:rPr>
                <w:bCs/>
                <w:snapToGrid/>
              </w:rPr>
            </w:pPr>
            <w:r>
              <w:rPr>
                <w:bCs/>
                <w:snapToGrid/>
              </w:rPr>
              <w:t>10</w:t>
            </w:r>
          </w:p>
        </w:tc>
        <w:tc>
          <w:tcPr>
            <w:tcW w:w="1190" w:type="dxa"/>
          </w:tcPr>
          <w:p w:rsidR="00F8431E" w:rsidP="00182D88" w:rsidRDefault="00F03664" w14:paraId="11578130" w14:textId="16F4B883">
            <w:pPr>
              <w:pStyle w:val="TableFigures"/>
              <w:rPr>
                <w:bCs/>
                <w:snapToGrid/>
              </w:rPr>
            </w:pPr>
            <w:r>
              <w:rPr>
                <w:bCs/>
                <w:snapToGrid/>
              </w:rPr>
              <w:t>7</w:t>
            </w:r>
          </w:p>
        </w:tc>
        <w:tc>
          <w:tcPr>
            <w:tcW w:w="1256" w:type="dxa"/>
          </w:tcPr>
          <w:p w:rsidR="00F8431E" w:rsidP="00182D88" w:rsidRDefault="00F03664" w14:paraId="6503D5D8" w14:textId="42470CE6">
            <w:pPr>
              <w:pStyle w:val="TableFigures"/>
              <w:rPr>
                <w:bCs/>
                <w:snapToGrid/>
              </w:rPr>
            </w:pPr>
            <w:r>
              <w:rPr>
                <w:bCs/>
                <w:snapToGrid/>
              </w:rPr>
              <w:t>2,479</w:t>
            </w:r>
          </w:p>
        </w:tc>
        <w:tc>
          <w:tcPr>
            <w:tcW w:w="1634" w:type="dxa"/>
          </w:tcPr>
          <w:p w:rsidR="00F8431E" w:rsidP="00182D88" w:rsidRDefault="00F03664" w14:paraId="5F2F9D47" w14:textId="07C89A60">
            <w:pPr>
              <w:pStyle w:val="TableFigures"/>
              <w:rPr>
                <w:bCs/>
                <w:snapToGrid/>
              </w:rPr>
            </w:pPr>
            <w:r>
              <w:rPr>
                <w:bCs/>
              </w:rPr>
              <w:t>$</w:t>
            </w:r>
            <w:r w:rsidR="0008270C">
              <w:rPr>
                <w:bCs/>
              </w:rPr>
              <w:t>25.94</w:t>
            </w:r>
            <w:r w:rsidRPr="00D825F5">
              <w:rPr>
                <w:b/>
              </w:rPr>
              <w:t>*</w:t>
            </w:r>
          </w:p>
        </w:tc>
        <w:tc>
          <w:tcPr>
            <w:tcW w:w="1710" w:type="dxa"/>
          </w:tcPr>
          <w:p w:rsidR="00F8431E" w:rsidP="00182D88" w:rsidRDefault="00F03664" w14:paraId="40B19684" w14:textId="35D70C8C">
            <w:pPr>
              <w:pStyle w:val="TableFigures"/>
              <w:rPr>
                <w:bCs/>
                <w:snapToGrid/>
              </w:rPr>
            </w:pPr>
            <w:r>
              <w:t>$</w:t>
            </w:r>
            <w:r w:rsidR="0008270C">
              <w:t>64,305</w:t>
            </w:r>
            <w:r w:rsidRPr="00D825F5" w:rsidR="00F8431E">
              <w:rPr>
                <w:b/>
                <w:bCs/>
              </w:rPr>
              <w:t>**</w:t>
            </w:r>
          </w:p>
        </w:tc>
      </w:tr>
      <w:tr w:rsidR="00D34919" w:rsidTr="00593ACF" w14:paraId="780B8EEC" w14:textId="77777777">
        <w:trPr>
          <w:cantSplit/>
          <w:jc w:val="center"/>
        </w:trPr>
        <w:tc>
          <w:tcPr>
            <w:tcW w:w="1817" w:type="dxa"/>
          </w:tcPr>
          <w:p w:rsidR="00F8431E" w:rsidP="00182D88" w:rsidRDefault="00F8431E" w14:paraId="6F3948FE" w14:textId="77777777">
            <w:pPr>
              <w:pStyle w:val="TableText"/>
            </w:pPr>
            <w:r w:rsidRPr="00AC28BB">
              <w:lastRenderedPageBreak/>
              <w:t xml:space="preserve">Respondent Type </w:t>
            </w:r>
            <w:r>
              <w:t>3</w:t>
            </w:r>
            <w:r w:rsidRPr="00AC28BB">
              <w:t xml:space="preserve"> </w:t>
            </w:r>
          </w:p>
          <w:p w:rsidR="00F8431E" w:rsidP="00182D88" w:rsidRDefault="00F8431E" w14:paraId="2E4D56B8" w14:textId="03B23A81">
            <w:pPr>
              <w:pStyle w:val="TableText"/>
              <w:rPr>
                <w:bCs/>
                <w:snapToGrid/>
              </w:rPr>
            </w:pPr>
            <w:r w:rsidRPr="00AC28BB">
              <w:t xml:space="preserve">(ex: </w:t>
            </w:r>
            <w:r>
              <w:t>Attorney Representatives</w:t>
            </w:r>
            <w:r w:rsidRPr="00AC28BB">
              <w:t>)</w:t>
            </w:r>
          </w:p>
        </w:tc>
        <w:tc>
          <w:tcPr>
            <w:tcW w:w="1523" w:type="dxa"/>
          </w:tcPr>
          <w:p w:rsidR="00F8431E" w:rsidP="00182D88" w:rsidRDefault="00F03664" w14:paraId="6804AB81" w14:textId="5481E876">
            <w:pPr>
              <w:pStyle w:val="TableFigures"/>
              <w:rPr>
                <w:bCs/>
                <w:snapToGrid/>
              </w:rPr>
            </w:pPr>
            <w:r>
              <w:rPr>
                <w:bCs/>
                <w:snapToGrid/>
              </w:rPr>
              <w:t>2,125</w:t>
            </w:r>
          </w:p>
        </w:tc>
        <w:tc>
          <w:tcPr>
            <w:tcW w:w="1310" w:type="dxa"/>
          </w:tcPr>
          <w:p w:rsidR="00F8431E" w:rsidP="00182D88" w:rsidRDefault="00F03664" w14:paraId="16346BD4" w14:textId="16BFE038">
            <w:pPr>
              <w:pStyle w:val="TableFigures"/>
              <w:rPr>
                <w:bCs/>
                <w:snapToGrid/>
              </w:rPr>
            </w:pPr>
            <w:r>
              <w:rPr>
                <w:bCs/>
                <w:snapToGrid/>
              </w:rPr>
              <w:t>2</w:t>
            </w:r>
          </w:p>
        </w:tc>
        <w:tc>
          <w:tcPr>
            <w:tcW w:w="1190" w:type="dxa"/>
          </w:tcPr>
          <w:p w:rsidR="00F8431E" w:rsidP="00182D88" w:rsidRDefault="00F03664" w14:paraId="74195012" w14:textId="5A0986A7">
            <w:pPr>
              <w:pStyle w:val="TableFigures"/>
              <w:rPr>
                <w:bCs/>
                <w:snapToGrid/>
              </w:rPr>
            </w:pPr>
            <w:r>
              <w:rPr>
                <w:bCs/>
                <w:snapToGrid/>
              </w:rPr>
              <w:t>7</w:t>
            </w:r>
          </w:p>
        </w:tc>
        <w:tc>
          <w:tcPr>
            <w:tcW w:w="1256" w:type="dxa"/>
          </w:tcPr>
          <w:p w:rsidR="00F8431E" w:rsidP="00182D88" w:rsidRDefault="00F03664" w14:paraId="0A21BB41" w14:textId="2514AADA">
            <w:pPr>
              <w:pStyle w:val="TableFigures"/>
              <w:rPr>
                <w:snapToGrid/>
              </w:rPr>
            </w:pPr>
            <w:r>
              <w:rPr>
                <w:snapToGrid/>
              </w:rPr>
              <w:t>496</w:t>
            </w:r>
          </w:p>
        </w:tc>
        <w:tc>
          <w:tcPr>
            <w:tcW w:w="1634" w:type="dxa"/>
          </w:tcPr>
          <w:p w:rsidR="00F8431E" w:rsidP="00182D88" w:rsidRDefault="00F03664" w14:paraId="4B1951B4" w14:textId="16092F21">
            <w:pPr>
              <w:pStyle w:val="TableFigures"/>
              <w:rPr>
                <w:bCs/>
                <w:snapToGrid/>
              </w:rPr>
            </w:pPr>
            <w:r>
              <w:t>$</w:t>
            </w:r>
            <w:r w:rsidR="0008270C">
              <w:t>72.18</w:t>
            </w:r>
            <w:r w:rsidRPr="00D825F5" w:rsidR="00F8431E">
              <w:rPr>
                <w:b/>
                <w:bCs/>
              </w:rPr>
              <w:t>*</w:t>
            </w:r>
          </w:p>
        </w:tc>
        <w:tc>
          <w:tcPr>
            <w:tcW w:w="1710" w:type="dxa"/>
          </w:tcPr>
          <w:p w:rsidR="00F8431E" w:rsidP="00182D88" w:rsidRDefault="00F03664" w14:paraId="25603CDC" w14:textId="7961B769">
            <w:pPr>
              <w:pStyle w:val="TableFigures"/>
              <w:rPr>
                <w:bCs/>
                <w:snapToGrid/>
              </w:rPr>
            </w:pPr>
            <w:r>
              <w:t>$</w:t>
            </w:r>
            <w:r w:rsidR="0008270C">
              <w:t>35,801</w:t>
            </w:r>
            <w:r w:rsidRPr="00D825F5" w:rsidR="00F8431E">
              <w:rPr>
                <w:b/>
                <w:bCs/>
              </w:rPr>
              <w:t>**</w:t>
            </w:r>
          </w:p>
        </w:tc>
      </w:tr>
      <w:tr w:rsidR="00D34919" w:rsidTr="00593ACF" w14:paraId="41E6CC5C" w14:textId="77777777">
        <w:trPr>
          <w:cantSplit/>
          <w:jc w:val="center"/>
        </w:trPr>
        <w:tc>
          <w:tcPr>
            <w:tcW w:w="1817" w:type="dxa"/>
          </w:tcPr>
          <w:p w:rsidR="00F8431E" w:rsidP="00182D88" w:rsidRDefault="00F8431E" w14:paraId="11554CB5" w14:textId="295ABE62">
            <w:pPr>
              <w:pStyle w:val="TableTotals"/>
              <w:rPr>
                <w:snapToGrid/>
              </w:rPr>
            </w:pPr>
            <w:r w:rsidRPr="00AC28BB">
              <w:t>Totals</w:t>
            </w:r>
          </w:p>
        </w:tc>
        <w:tc>
          <w:tcPr>
            <w:tcW w:w="1523" w:type="dxa"/>
          </w:tcPr>
          <w:p w:rsidR="00F8431E" w:rsidP="00182D88" w:rsidRDefault="00F03664" w14:paraId="106C6B09" w14:textId="30425542">
            <w:pPr>
              <w:pStyle w:val="TableHeader"/>
              <w:jc w:val="right"/>
              <w:rPr>
                <w:snapToGrid/>
              </w:rPr>
            </w:pPr>
            <w:r>
              <w:rPr>
                <w:snapToGrid/>
              </w:rPr>
              <w:t>21,250</w:t>
            </w:r>
          </w:p>
        </w:tc>
        <w:tc>
          <w:tcPr>
            <w:tcW w:w="1310" w:type="dxa"/>
          </w:tcPr>
          <w:p w:rsidR="00F8431E" w:rsidP="00182D88" w:rsidRDefault="00F8431E" w14:paraId="2A530359" w14:textId="6AA16A66">
            <w:pPr>
              <w:jc w:val="right"/>
              <w:rPr>
                <w:rFonts w:ascii="Times New Roman" w:hAnsi="Times New Roman"/>
                <w:bCs/>
                <w:snapToGrid/>
              </w:rPr>
            </w:pPr>
          </w:p>
        </w:tc>
        <w:tc>
          <w:tcPr>
            <w:tcW w:w="1190" w:type="dxa"/>
          </w:tcPr>
          <w:p w:rsidR="00F8431E" w:rsidP="00182D88" w:rsidRDefault="00F8431E" w14:paraId="4DB44752" w14:textId="77777777">
            <w:pPr>
              <w:jc w:val="right"/>
              <w:rPr>
                <w:rFonts w:ascii="Times New Roman" w:hAnsi="Times New Roman"/>
                <w:bCs/>
                <w:snapToGrid/>
              </w:rPr>
            </w:pPr>
          </w:p>
        </w:tc>
        <w:tc>
          <w:tcPr>
            <w:tcW w:w="1256" w:type="dxa"/>
          </w:tcPr>
          <w:p w:rsidR="00F8431E" w:rsidP="00182D88" w:rsidRDefault="00F03664" w14:paraId="1820F466" w14:textId="68A99FF9">
            <w:pPr>
              <w:pStyle w:val="TableHeader"/>
              <w:jc w:val="right"/>
              <w:rPr>
                <w:snapToGrid/>
              </w:rPr>
            </w:pPr>
            <w:r>
              <w:rPr>
                <w:snapToGrid/>
              </w:rPr>
              <w:t>4,675</w:t>
            </w:r>
          </w:p>
        </w:tc>
        <w:tc>
          <w:tcPr>
            <w:tcW w:w="1634" w:type="dxa"/>
          </w:tcPr>
          <w:p w:rsidR="00F8431E" w:rsidP="00182D88" w:rsidRDefault="00F8431E" w14:paraId="434CBE34" w14:textId="4E6AF6D0">
            <w:pPr>
              <w:jc w:val="right"/>
              <w:rPr>
                <w:rFonts w:ascii="Times New Roman" w:hAnsi="Times New Roman"/>
                <w:bCs/>
                <w:snapToGrid/>
              </w:rPr>
            </w:pPr>
          </w:p>
        </w:tc>
        <w:tc>
          <w:tcPr>
            <w:tcW w:w="1710" w:type="dxa"/>
          </w:tcPr>
          <w:p w:rsidR="00F8431E" w:rsidP="00182D88" w:rsidRDefault="00F03664" w14:paraId="72299FDD" w14:textId="34C640B7">
            <w:pPr>
              <w:pStyle w:val="TableHeader"/>
              <w:jc w:val="right"/>
              <w:rPr>
                <w:snapToGrid/>
              </w:rPr>
            </w:pPr>
            <w:r>
              <w:t>$</w:t>
            </w:r>
            <w:r w:rsidR="0008270C">
              <w:t>147,723</w:t>
            </w:r>
            <w:r w:rsidRPr="00D825F5" w:rsidR="00F8431E">
              <w:t>**</w:t>
            </w:r>
          </w:p>
        </w:tc>
      </w:tr>
    </w:tbl>
    <w:p w:rsidR="00F8431E" w:rsidP="00182D88" w:rsidRDefault="00F8431E" w14:paraId="789DF89C" w14:textId="75FB9950">
      <w:pPr>
        <w:pStyle w:val="TableCaptions"/>
        <w:spacing w:before="0" w:after="0"/>
        <w:rPr>
          <w:sz w:val="24"/>
        </w:rPr>
      </w:pPr>
      <w:bookmarkStart w:name="_Hlk95396118" w:id="7"/>
      <w:r w:rsidRPr="0008270C">
        <w:rPr>
          <w:sz w:val="24"/>
        </w:rPr>
        <w:t xml:space="preserve">* </w:t>
      </w:r>
      <w:r w:rsidRPr="0008270C">
        <w:rPr>
          <w:sz w:val="24"/>
          <w:lang w:eastAsia="zh-CN"/>
        </w:rPr>
        <w:t>We based this figure on the average U.S. worker’s hourly wages, as reported by Bureau of Labor Statistics data (</w:t>
      </w:r>
      <w:hyperlink w:history="1" w:anchor="00-0000" r:id="rId8">
        <w:r w:rsidRPr="0008270C">
          <w:rPr>
            <w:color w:val="0563C1"/>
            <w:sz w:val="24"/>
            <w:u w:val="single"/>
            <w:lang w:eastAsia="zh-CN"/>
          </w:rPr>
          <w:t>https://www.bls.gov/oes/current/oes_nat.htm#00-0000</w:t>
        </w:r>
      </w:hyperlink>
      <w:r w:rsidRPr="0008270C">
        <w:rPr>
          <w:sz w:val="24"/>
        </w:rPr>
        <w:t>), on average wages for Community and Social Service Organizations as reported by Bureau of Labor Statistics data (</w:t>
      </w:r>
      <w:hyperlink w:history="1" r:id="rId9">
        <w:r w:rsidRPr="0008270C">
          <w:rPr>
            <w:rStyle w:val="Hyperlink"/>
            <w:sz w:val="24"/>
          </w:rPr>
          <w:t>https://www.bls.gov/oes/current/oes210000.htm</w:t>
        </w:r>
      </w:hyperlink>
      <w:r w:rsidRPr="0008270C">
        <w:rPr>
          <w:sz w:val="24"/>
        </w:rPr>
        <w:t>), and on average lawyer’s hourly salary as reported by Bureau of Labor Statistics data (</w:t>
      </w:r>
      <w:hyperlink w:history="1" r:id="rId10">
        <w:r w:rsidRPr="0008270C">
          <w:rPr>
            <w:rStyle w:val="Hyperlink"/>
            <w:sz w:val="24"/>
          </w:rPr>
          <w:t>https://www.bls.gov/oes/current/oes231011.htm</w:t>
        </w:r>
      </w:hyperlink>
      <w:r w:rsidRPr="0008270C">
        <w:rPr>
          <w:sz w:val="24"/>
        </w:rPr>
        <w:t>)</w:t>
      </w:r>
      <w:bookmarkEnd w:id="7"/>
      <w:r w:rsidRPr="0008270C">
        <w:rPr>
          <w:sz w:val="24"/>
        </w:rPr>
        <w:t>.</w:t>
      </w:r>
    </w:p>
    <w:p w:rsidRPr="0008270C" w:rsidR="00182D88" w:rsidP="00182D88" w:rsidRDefault="00182D88" w14:paraId="503588E6" w14:textId="77777777">
      <w:pPr>
        <w:pStyle w:val="TableCaptions"/>
        <w:spacing w:before="0" w:after="0"/>
        <w:rPr>
          <w:sz w:val="24"/>
        </w:rPr>
      </w:pPr>
    </w:p>
    <w:p w:rsidR="00F8431E" w:rsidP="00182D88" w:rsidRDefault="00F8431E" w14:paraId="04F46013" w14:textId="30D1BCB1">
      <w:pPr>
        <w:pStyle w:val="TableCaptions"/>
        <w:spacing w:before="0" w:after="0"/>
        <w:rPr>
          <w:sz w:val="24"/>
        </w:rPr>
      </w:pPr>
      <w:r w:rsidRPr="0008270C">
        <w:rPr>
          <w:sz w:val="24"/>
        </w:rPr>
        <w:t xml:space="preserve">** </w:t>
      </w:r>
      <w:bookmarkStart w:name="_Hlk95396147" w:id="8"/>
      <w:r w:rsidRPr="0008270C">
        <w:rPr>
          <w:sz w:val="24"/>
        </w:rPr>
        <w:t>This figure does not represent actual costs that SSA is imposing on recipients of Social Security payments to complete this online tool; rather, these are theoretical opportunity costs for the additional time respondents will spend to complete the tool</w:t>
      </w:r>
      <w:r w:rsidRPr="0008270C" w:rsidR="00F809EB">
        <w:rPr>
          <w:sz w:val="24"/>
        </w:rPr>
        <w:t xml:space="preserve">.  </w:t>
      </w:r>
      <w:r w:rsidRPr="0008270C">
        <w:rPr>
          <w:b/>
          <w:sz w:val="24"/>
          <w:u w:val="single"/>
        </w:rPr>
        <w:t xml:space="preserve">There is no actual charge to respondents to complete the </w:t>
      </w:r>
      <w:r w:rsidRPr="0008270C" w:rsidR="003E008E">
        <w:rPr>
          <w:b/>
          <w:sz w:val="24"/>
          <w:u w:val="single"/>
        </w:rPr>
        <w:t xml:space="preserve">online </w:t>
      </w:r>
      <w:r w:rsidRPr="0008270C">
        <w:rPr>
          <w:b/>
          <w:sz w:val="24"/>
          <w:u w:val="single"/>
        </w:rPr>
        <w:t>tool</w:t>
      </w:r>
      <w:bookmarkEnd w:id="8"/>
      <w:r w:rsidRPr="0008270C">
        <w:rPr>
          <w:sz w:val="24"/>
        </w:rPr>
        <w:t>.</w:t>
      </w:r>
    </w:p>
    <w:p w:rsidRPr="0008270C" w:rsidR="00182D88" w:rsidP="00182D88" w:rsidRDefault="00182D88" w14:paraId="7940A3AB" w14:textId="77777777">
      <w:pPr>
        <w:pStyle w:val="TableCaptions"/>
        <w:spacing w:before="0" w:after="0"/>
        <w:rPr>
          <w:sz w:val="24"/>
        </w:rPr>
      </w:pPr>
    </w:p>
    <w:p w:rsidR="00F8431E" w:rsidP="00182D88" w:rsidRDefault="00F8431E" w14:paraId="21A5F47F" w14:textId="3FD3E15D">
      <w:pPr>
        <w:pStyle w:val="BodyText"/>
        <w:spacing w:before="0" w:after="0"/>
      </w:pPr>
      <w:r w:rsidRPr="00EF2EBC">
        <w:rPr>
          <w:noProof/>
        </w:rPr>
        <w:t>We base our burden estimates on current management information data for total appointments for SSI applications and an estimate that 25% will be generated onl</w:t>
      </w:r>
      <w:r>
        <w:rPr>
          <w:noProof/>
        </w:rPr>
        <w:t>i</w:t>
      </w:r>
      <w:r w:rsidRPr="00EF2EBC">
        <w:rPr>
          <w:noProof/>
        </w:rPr>
        <w:t xml:space="preserve">ne using the </w:t>
      </w:r>
      <w:r w:rsidR="0008270C">
        <w:rPr>
          <w:noProof/>
        </w:rPr>
        <w:t>ePFT</w:t>
      </w:r>
      <w:r w:rsidRPr="00EF2EBC">
        <w:rPr>
          <w:noProof/>
        </w:rPr>
        <w:t>.</w:t>
      </w:r>
      <w:r>
        <w:rPr>
          <w:noProof/>
        </w:rPr>
        <w:t xml:space="preserve"> </w:t>
      </w:r>
      <w:r w:rsidRPr="00EF2EBC">
        <w:rPr>
          <w:i/>
          <w:noProof/>
        </w:rPr>
        <w:t xml:space="preserve"> </w:t>
      </w:r>
      <w:r w:rsidRPr="007C7C9C">
        <w:t xml:space="preserve">Based on our usability testing, we believe that </w:t>
      </w:r>
      <w:r w:rsidRPr="00EF2EBC">
        <w:rPr>
          <w:b/>
          <w:noProof/>
        </w:rPr>
        <w:t>6</w:t>
      </w:r>
      <w:r w:rsidRPr="007C7C9C">
        <w:t xml:space="preserve"> minutes per response for a first party and </w:t>
      </w:r>
      <w:r w:rsidRPr="00EF2EBC">
        <w:rPr>
          <w:b/>
          <w:noProof/>
        </w:rPr>
        <w:t>7</w:t>
      </w:r>
      <w:r w:rsidRPr="007C7C9C">
        <w:t xml:space="preserve"> minutes for a third party accurately shows the average burden for reading the instructions, gathering the facts, and answering the questions.  The total burden for this IC is </w:t>
      </w:r>
      <w:r w:rsidRPr="0096133C">
        <w:rPr>
          <w:b/>
        </w:rPr>
        <w:t>4</w:t>
      </w:r>
      <w:r>
        <w:rPr>
          <w:b/>
        </w:rPr>
        <w:t>,</w:t>
      </w:r>
      <w:r w:rsidRPr="0096133C">
        <w:rPr>
          <w:b/>
        </w:rPr>
        <w:t>675</w:t>
      </w:r>
      <w:r w:rsidRPr="00F16B81">
        <w:t xml:space="preserve"> burden hours</w:t>
      </w:r>
      <w:r w:rsidRPr="00F16B81" w:rsidR="00774F75">
        <w:t xml:space="preserve"> (reflecting current SSA management information data and usability testing)</w:t>
      </w:r>
      <w:r w:rsidRPr="00F16B81">
        <w:t xml:space="preserve">, which results in an associated theoretical (not actual) opportunity cost financial burden of </w:t>
      </w:r>
      <w:r w:rsidRPr="0096133C">
        <w:rPr>
          <w:b/>
        </w:rPr>
        <w:t>$</w:t>
      </w:r>
      <w:r w:rsidR="0008270C">
        <w:rPr>
          <w:b/>
        </w:rPr>
        <w:t>147,723</w:t>
      </w:r>
      <w:r>
        <w:rPr>
          <w:b/>
        </w:rPr>
        <w:t xml:space="preserve">.  </w:t>
      </w:r>
      <w:r w:rsidRPr="00F16B81">
        <w:t>SSA does not charge respondents to complete our online tools.</w:t>
      </w:r>
    </w:p>
    <w:p w:rsidRPr="00F16B81" w:rsidR="00182D88" w:rsidP="00182D88" w:rsidRDefault="00182D88" w14:paraId="3E798B92" w14:textId="77777777">
      <w:pPr>
        <w:pStyle w:val="BodyText"/>
        <w:spacing w:before="0" w:after="0"/>
      </w:pPr>
    </w:p>
    <w:p w:rsidRPr="007C7C9C" w:rsidR="00A55078" w:rsidP="00182D88" w:rsidRDefault="00774F75" w14:paraId="4A4C42E7" w14:textId="6DE8BB78">
      <w:pPr>
        <w:pStyle w:val="BodyText"/>
        <w:numPr>
          <w:ilvl w:val="0"/>
          <w:numId w:val="8"/>
        </w:numPr>
        <w:spacing w:before="0" w:after="0"/>
        <w:rPr>
          <w:b/>
          <w:iCs w:val="0"/>
        </w:rPr>
      </w:pPr>
      <w:r w:rsidRPr="007C7C9C">
        <w:rPr>
          <w:b/>
          <w:iCs w:val="0"/>
        </w:rPr>
        <w:t>Annual Cost to the Respondents (Other)</w:t>
      </w:r>
    </w:p>
    <w:p w:rsidR="00593ACF" w:rsidP="00182D88" w:rsidRDefault="00774F75" w14:paraId="2139745A" w14:textId="67C0C277">
      <w:pPr>
        <w:pStyle w:val="BodyText"/>
        <w:spacing w:before="0" w:after="0"/>
        <w:rPr>
          <w:b/>
        </w:rPr>
      </w:pPr>
      <w:r w:rsidRPr="00E64F79">
        <w:t>This collection does not impose a known cost burden on the respondents</w:t>
      </w:r>
      <w:r>
        <w:t>.</w:t>
      </w:r>
      <w:r w:rsidR="00593ACF">
        <w:br w:type="page"/>
      </w:r>
    </w:p>
    <w:p w:rsidR="00A55078" w:rsidP="00182D88" w:rsidRDefault="00774F75" w14:paraId="4AC8C583" w14:textId="6065173D">
      <w:pPr>
        <w:pStyle w:val="Heading2"/>
        <w:numPr>
          <w:ilvl w:val="0"/>
          <w:numId w:val="9"/>
        </w:numPr>
        <w:spacing w:before="0" w:after="0"/>
      </w:pPr>
      <w:r w:rsidRPr="00500EB1">
        <w:lastRenderedPageBreak/>
        <w:t>Annual Cost to Federal Government</w:t>
      </w:r>
    </w:p>
    <w:p w:rsidR="00774F75" w:rsidP="00182D88" w:rsidRDefault="00774F75" w14:paraId="75223641" w14:textId="57EC3143">
      <w:pPr>
        <w:pStyle w:val="BodyText"/>
        <w:spacing w:before="0" w:after="0"/>
      </w:pPr>
      <w:r w:rsidRPr="0096133C">
        <w:t xml:space="preserve">The annual cost to the Federal </w:t>
      </w:r>
      <w:r>
        <w:t>g</w:t>
      </w:r>
      <w:r w:rsidRPr="0096133C">
        <w:t xml:space="preserve">overnment is approximately </w:t>
      </w:r>
      <w:r w:rsidRPr="00774F75">
        <w:t>$</w:t>
      </w:r>
      <w:r w:rsidR="00D825F5">
        <w:t>2</w:t>
      </w:r>
      <w:r w:rsidRPr="00774F75">
        <w:t>,</w:t>
      </w:r>
      <w:r w:rsidR="00D825F5">
        <w:t>895</w:t>
      </w:r>
      <w:r w:rsidRPr="00774F75">
        <w:t>,</w:t>
      </w:r>
      <w:r w:rsidR="00D825F5">
        <w:t>35</w:t>
      </w:r>
      <w:r w:rsidR="007E39B3">
        <w:t>0</w:t>
      </w:r>
      <w:r w:rsidRPr="0096133C">
        <w:t>.  This estimate accounts for costs from the following areas:</w:t>
      </w:r>
    </w:p>
    <w:p w:rsidR="00182D88" w:rsidP="00182D88" w:rsidRDefault="00182D88" w14:paraId="1B2AAD49" w14:textId="77777777">
      <w:pPr>
        <w:pStyle w:val="BodyText"/>
        <w:spacing w:before="0" w:after="0"/>
      </w:pPr>
    </w:p>
    <w:tbl>
      <w:tblPr>
        <w:tblStyle w:val="TableGrid"/>
        <w:tblW w:w="0" w:type="auto"/>
        <w:jc w:val="center"/>
        <w:tblLook w:val="04A0" w:firstRow="1" w:lastRow="0" w:firstColumn="1" w:lastColumn="0" w:noHBand="0" w:noVBand="1"/>
      </w:tblPr>
      <w:tblGrid>
        <w:gridCol w:w="3325"/>
        <w:gridCol w:w="3690"/>
        <w:gridCol w:w="1980"/>
      </w:tblGrid>
      <w:tr w:rsidR="00774F75" w:rsidTr="0008270C" w14:paraId="2C9FC0C1" w14:textId="77777777">
        <w:trPr>
          <w:cantSplit/>
          <w:jc w:val="center"/>
        </w:trPr>
        <w:tc>
          <w:tcPr>
            <w:tcW w:w="3325" w:type="dxa"/>
            <w:vAlign w:val="center"/>
          </w:tcPr>
          <w:p w:rsidRPr="00D34919" w:rsidR="00774F75" w:rsidP="00182D88" w:rsidRDefault="00774F75" w14:paraId="7396BEAD" w14:textId="4A7BBF6A">
            <w:pPr>
              <w:pStyle w:val="TableHeader"/>
            </w:pPr>
            <w:r w:rsidRPr="00D34919">
              <w:t>Description of Cost Factor</w:t>
            </w:r>
          </w:p>
        </w:tc>
        <w:tc>
          <w:tcPr>
            <w:tcW w:w="3690" w:type="dxa"/>
            <w:vAlign w:val="center"/>
          </w:tcPr>
          <w:p w:rsidRPr="00D34919" w:rsidR="00774F75" w:rsidP="00182D88" w:rsidRDefault="00774F75" w14:paraId="791DE82F" w14:textId="086B1CCE">
            <w:pPr>
              <w:pStyle w:val="TableHeader"/>
            </w:pPr>
            <w:r w:rsidRPr="00D34919">
              <w:t>Methodology for Estimating Cost</w:t>
            </w:r>
          </w:p>
        </w:tc>
        <w:tc>
          <w:tcPr>
            <w:tcW w:w="1980" w:type="dxa"/>
            <w:vAlign w:val="center"/>
          </w:tcPr>
          <w:p w:rsidRPr="00D34919" w:rsidR="00774F75" w:rsidP="00182D88" w:rsidRDefault="00774F75" w14:paraId="0B613E4D" w14:textId="66C97AC5">
            <w:pPr>
              <w:pStyle w:val="TableHeader"/>
            </w:pPr>
            <w:r w:rsidRPr="00D34919">
              <w:t>Cost in Dollars</w:t>
            </w:r>
            <w:r w:rsidR="00D825F5">
              <w:t>*</w:t>
            </w:r>
          </w:p>
        </w:tc>
      </w:tr>
      <w:tr w:rsidR="00774F75" w:rsidTr="0008270C" w14:paraId="57A7DB4D" w14:textId="77777777">
        <w:trPr>
          <w:cantSplit/>
          <w:jc w:val="center"/>
        </w:trPr>
        <w:tc>
          <w:tcPr>
            <w:tcW w:w="3325" w:type="dxa"/>
          </w:tcPr>
          <w:p w:rsidRPr="00C1452F" w:rsidR="00774F75" w:rsidP="00182D88" w:rsidRDefault="00774F75" w14:paraId="07B2691C" w14:textId="12BF8CE1">
            <w:pPr>
              <w:pStyle w:val="TableText"/>
            </w:pPr>
            <w:r w:rsidRPr="00C1452F">
              <w:t>Designing the Collection</w:t>
            </w:r>
          </w:p>
        </w:tc>
        <w:tc>
          <w:tcPr>
            <w:tcW w:w="3690" w:type="dxa"/>
          </w:tcPr>
          <w:p w:rsidRPr="00C1452F" w:rsidR="00774F75" w:rsidP="00182D88" w:rsidRDefault="00774F75" w14:paraId="6277051A" w14:textId="598C5E71">
            <w:pPr>
              <w:pStyle w:val="TableText"/>
            </w:pPr>
            <w:r w:rsidRPr="00C1452F">
              <w:t>Design Cost + Printing Cost</w:t>
            </w:r>
          </w:p>
        </w:tc>
        <w:tc>
          <w:tcPr>
            <w:tcW w:w="1980" w:type="dxa"/>
          </w:tcPr>
          <w:p w:rsidR="00774F75" w:rsidP="00182D88" w:rsidRDefault="00774F75" w14:paraId="0B0B9D8D" w14:textId="6E77ED08">
            <w:pPr>
              <w:pStyle w:val="TableFigures"/>
            </w:pPr>
            <w:r>
              <w:t>$</w:t>
            </w:r>
            <w:r w:rsidR="00F03664">
              <w:t>154</w:t>
            </w:r>
            <w:r>
              <w:t>,000</w:t>
            </w:r>
          </w:p>
        </w:tc>
      </w:tr>
      <w:tr w:rsidR="00774F75" w:rsidTr="0008270C" w14:paraId="3E586707" w14:textId="77777777">
        <w:trPr>
          <w:cantSplit/>
          <w:jc w:val="center"/>
        </w:trPr>
        <w:tc>
          <w:tcPr>
            <w:tcW w:w="3325" w:type="dxa"/>
          </w:tcPr>
          <w:p w:rsidRPr="00C1452F" w:rsidR="00774F75" w:rsidP="00182D88" w:rsidRDefault="00774F75" w14:paraId="5D94F1D6" w14:textId="56A40E87">
            <w:pPr>
              <w:pStyle w:val="TableText"/>
            </w:pPr>
            <w:r w:rsidRPr="00C1452F">
              <w:t>Distributing, Shipping, and Material Costs for the Collection</w:t>
            </w:r>
          </w:p>
        </w:tc>
        <w:tc>
          <w:tcPr>
            <w:tcW w:w="3690" w:type="dxa"/>
          </w:tcPr>
          <w:p w:rsidRPr="00C1452F" w:rsidR="00774F75" w:rsidP="00182D88" w:rsidRDefault="00774F75" w14:paraId="360E88EB" w14:textId="6ECE360B">
            <w:pPr>
              <w:pStyle w:val="TableText"/>
            </w:pPr>
            <w:r w:rsidRPr="00C1452F">
              <w:t>Distribution + Shipping + Material Cost</w:t>
            </w:r>
          </w:p>
        </w:tc>
        <w:tc>
          <w:tcPr>
            <w:tcW w:w="1980" w:type="dxa"/>
          </w:tcPr>
          <w:p w:rsidR="00774F75" w:rsidP="00182D88" w:rsidRDefault="00774F75" w14:paraId="66A7619B" w14:textId="309AF90A">
            <w:pPr>
              <w:pStyle w:val="TableFigures"/>
            </w:pPr>
            <w:r>
              <w:t>$</w:t>
            </w:r>
            <w:r w:rsidRPr="0096133C">
              <w:t>0</w:t>
            </w:r>
            <w:r w:rsidRPr="00D825F5" w:rsidR="00D825F5">
              <w:rPr>
                <w:b/>
                <w:bCs/>
              </w:rPr>
              <w:t>*</w:t>
            </w:r>
          </w:p>
        </w:tc>
      </w:tr>
      <w:tr w:rsidR="00774F75" w:rsidTr="0008270C" w14:paraId="664A8077" w14:textId="77777777">
        <w:trPr>
          <w:cantSplit/>
          <w:jc w:val="center"/>
        </w:trPr>
        <w:tc>
          <w:tcPr>
            <w:tcW w:w="3325" w:type="dxa"/>
          </w:tcPr>
          <w:p w:rsidRPr="00C1452F" w:rsidR="00774F75" w:rsidP="00182D88" w:rsidRDefault="00774F75" w14:paraId="60754AB6" w14:textId="1785219C">
            <w:pPr>
              <w:pStyle w:val="TableText"/>
            </w:pPr>
            <w:r w:rsidRPr="00C1452F">
              <w:t>SSA Employee (e.g., field office, 800 number, DDS staff) Information Collection and Processing Time</w:t>
            </w:r>
          </w:p>
        </w:tc>
        <w:tc>
          <w:tcPr>
            <w:tcW w:w="3690" w:type="dxa"/>
          </w:tcPr>
          <w:p w:rsidRPr="00C1452F" w:rsidR="00774F75" w:rsidP="00182D88" w:rsidRDefault="00774F75" w14:paraId="0EC019C9" w14:textId="696728BF">
            <w:pPr>
              <w:pStyle w:val="TableText"/>
            </w:pPr>
            <w:r w:rsidRPr="00C1452F">
              <w:t>GS-9 employee 42,500 of responses x 6 minutes of processing time</w:t>
            </w:r>
          </w:p>
        </w:tc>
        <w:tc>
          <w:tcPr>
            <w:tcW w:w="1980" w:type="dxa"/>
          </w:tcPr>
          <w:p w:rsidR="00774F75" w:rsidP="00182D88" w:rsidRDefault="00774F75" w14:paraId="7AA9FC8C" w14:textId="13053964">
            <w:pPr>
              <w:pStyle w:val="TableFigures"/>
            </w:pPr>
            <w:r>
              <w:t>$</w:t>
            </w:r>
            <w:r w:rsidR="00F03664">
              <w:t>36</w:t>
            </w:r>
            <w:r w:rsidRPr="00EC535B">
              <w:t>,</w:t>
            </w:r>
            <w:r w:rsidR="00F03664">
              <w:t>465</w:t>
            </w:r>
          </w:p>
        </w:tc>
      </w:tr>
      <w:tr w:rsidR="00774F75" w:rsidTr="0008270C" w14:paraId="45864A7E" w14:textId="77777777">
        <w:trPr>
          <w:cantSplit/>
          <w:jc w:val="center"/>
        </w:trPr>
        <w:tc>
          <w:tcPr>
            <w:tcW w:w="3325" w:type="dxa"/>
          </w:tcPr>
          <w:p w:rsidRPr="00C1452F" w:rsidR="00774F75" w:rsidP="00182D88" w:rsidRDefault="00774F75" w14:paraId="532F4DF0" w14:textId="45A18EC8">
            <w:pPr>
              <w:pStyle w:val="TableText"/>
            </w:pPr>
            <w:r w:rsidRPr="00C1452F">
              <w:t>Full-Time Equivalent Costs</w:t>
            </w:r>
          </w:p>
        </w:tc>
        <w:tc>
          <w:tcPr>
            <w:tcW w:w="3690" w:type="dxa"/>
          </w:tcPr>
          <w:p w:rsidRPr="00C1452F" w:rsidR="00774F75" w:rsidP="00182D88" w:rsidRDefault="00774F75" w14:paraId="58CDE1ED" w14:textId="61EF73CF">
            <w:pPr>
              <w:pStyle w:val="TableText"/>
            </w:pPr>
            <w:r w:rsidRPr="00C1452F">
              <w:t>Out of pocket costs + Other expenses for providing this service</w:t>
            </w:r>
          </w:p>
        </w:tc>
        <w:tc>
          <w:tcPr>
            <w:tcW w:w="1980" w:type="dxa"/>
          </w:tcPr>
          <w:p w:rsidR="00774F75" w:rsidP="00182D88" w:rsidRDefault="00774F75" w14:paraId="6D6136F5" w14:textId="4183BEEA">
            <w:pPr>
              <w:pStyle w:val="TableFigures"/>
            </w:pPr>
            <w:r>
              <w:t>$0</w:t>
            </w:r>
            <w:r w:rsidRPr="00D825F5" w:rsidR="00D825F5">
              <w:rPr>
                <w:b/>
                <w:bCs/>
              </w:rPr>
              <w:t>*</w:t>
            </w:r>
          </w:p>
        </w:tc>
      </w:tr>
      <w:tr w:rsidR="00774F75" w:rsidTr="0008270C" w14:paraId="748FE433" w14:textId="77777777">
        <w:trPr>
          <w:cantSplit/>
          <w:jc w:val="center"/>
        </w:trPr>
        <w:tc>
          <w:tcPr>
            <w:tcW w:w="3325" w:type="dxa"/>
          </w:tcPr>
          <w:p w:rsidRPr="00C1452F" w:rsidR="00774F75" w:rsidP="00182D88" w:rsidRDefault="00774F75" w14:paraId="4BE4966B" w14:textId="27CCBE29">
            <w:pPr>
              <w:pStyle w:val="TableText"/>
            </w:pPr>
            <w:r w:rsidRPr="00C1452F">
              <w:t>Systems Development, Updating, and Maintenance</w:t>
            </w:r>
          </w:p>
        </w:tc>
        <w:tc>
          <w:tcPr>
            <w:tcW w:w="3690" w:type="dxa"/>
          </w:tcPr>
          <w:p w:rsidRPr="00C1452F" w:rsidR="00774F75" w:rsidP="00182D88" w:rsidRDefault="00774F75" w14:paraId="1B6B6E20" w14:textId="74A7F200">
            <w:pPr>
              <w:pStyle w:val="TableText"/>
            </w:pPr>
            <w:r w:rsidRPr="00C1452F">
              <w:t>GS-9 employee x man hours for development, updating, maintenance</w:t>
            </w:r>
          </w:p>
        </w:tc>
        <w:tc>
          <w:tcPr>
            <w:tcW w:w="1980" w:type="dxa"/>
          </w:tcPr>
          <w:p w:rsidR="00774F75" w:rsidP="00182D88" w:rsidRDefault="00774F75" w14:paraId="036C80A5" w14:textId="6CBBF572">
            <w:pPr>
              <w:pStyle w:val="TableFigures"/>
            </w:pPr>
            <w:r>
              <w:t>$</w:t>
            </w:r>
            <w:r w:rsidR="00F03664">
              <w:t>2</w:t>
            </w:r>
            <w:r>
              <w:t>,</w:t>
            </w:r>
            <w:r w:rsidR="00F03664">
              <w:t>7</w:t>
            </w:r>
            <w:r>
              <w:t>00,000</w:t>
            </w:r>
          </w:p>
        </w:tc>
      </w:tr>
      <w:tr w:rsidR="00774F75" w:rsidTr="0008270C" w14:paraId="3B99B250" w14:textId="77777777">
        <w:trPr>
          <w:cantSplit/>
          <w:jc w:val="center"/>
        </w:trPr>
        <w:tc>
          <w:tcPr>
            <w:tcW w:w="3325" w:type="dxa"/>
          </w:tcPr>
          <w:p w:rsidRPr="00C1452F" w:rsidR="00774F75" w:rsidP="00182D88" w:rsidRDefault="00774F75" w14:paraId="0052D030" w14:textId="0CD9FB38">
            <w:pPr>
              <w:pStyle w:val="TableText"/>
            </w:pPr>
            <w:r w:rsidRPr="00C1452F">
              <w:t>Quantifiable IT Costs (UXG support)</w:t>
            </w:r>
          </w:p>
        </w:tc>
        <w:tc>
          <w:tcPr>
            <w:tcW w:w="3690" w:type="dxa"/>
          </w:tcPr>
          <w:p w:rsidRPr="00C1452F" w:rsidR="00774F75" w:rsidP="00182D88" w:rsidRDefault="00774F75" w14:paraId="04096BC7" w14:textId="21873FDA">
            <w:pPr>
              <w:pStyle w:val="TableText"/>
            </w:pPr>
            <w:r w:rsidRPr="00C1452F">
              <w:t>Any additional IT costs</w:t>
            </w:r>
          </w:p>
        </w:tc>
        <w:tc>
          <w:tcPr>
            <w:tcW w:w="1980" w:type="dxa"/>
          </w:tcPr>
          <w:p w:rsidR="00774F75" w:rsidP="00182D88" w:rsidRDefault="00774F75" w14:paraId="78785675" w14:textId="5CA963FD">
            <w:pPr>
              <w:pStyle w:val="TableFigures"/>
            </w:pPr>
            <w:r>
              <w:t>$4,885</w:t>
            </w:r>
          </w:p>
        </w:tc>
      </w:tr>
      <w:tr w:rsidR="00774F75" w:rsidTr="0008270C" w14:paraId="49686D30" w14:textId="77777777">
        <w:trPr>
          <w:cantSplit/>
          <w:jc w:val="center"/>
        </w:trPr>
        <w:tc>
          <w:tcPr>
            <w:tcW w:w="3325" w:type="dxa"/>
          </w:tcPr>
          <w:p w:rsidRPr="00C1452F" w:rsidR="00774F75" w:rsidP="00182D88" w:rsidRDefault="00774F75" w14:paraId="67306F1E" w14:textId="42FEF3DA">
            <w:pPr>
              <w:pStyle w:val="TableTotals"/>
            </w:pPr>
            <w:r w:rsidRPr="00C1452F">
              <w:t>Total</w:t>
            </w:r>
          </w:p>
        </w:tc>
        <w:tc>
          <w:tcPr>
            <w:tcW w:w="3690" w:type="dxa"/>
          </w:tcPr>
          <w:p w:rsidRPr="00C1452F" w:rsidR="00774F75" w:rsidP="00182D88" w:rsidRDefault="00774F75" w14:paraId="4823C477" w14:textId="77777777">
            <w:pPr>
              <w:pStyle w:val="TableTotals"/>
            </w:pPr>
          </w:p>
        </w:tc>
        <w:tc>
          <w:tcPr>
            <w:tcW w:w="1980" w:type="dxa"/>
          </w:tcPr>
          <w:p w:rsidRPr="00C1452F" w:rsidR="00774F75" w:rsidP="00182D88" w:rsidRDefault="00774F75" w14:paraId="1F34D8A8" w14:textId="49DDCFB5">
            <w:pPr>
              <w:pStyle w:val="TableTotals"/>
              <w:jc w:val="right"/>
            </w:pPr>
            <w:r w:rsidRPr="00C1452F">
              <w:t>$2,895,350</w:t>
            </w:r>
          </w:p>
        </w:tc>
      </w:tr>
    </w:tbl>
    <w:p w:rsidR="00774F75" w:rsidP="00182D88" w:rsidRDefault="00774F75" w14:paraId="2E994FD8" w14:textId="4F468A1B">
      <w:pPr>
        <w:pStyle w:val="TableCaptions"/>
        <w:spacing w:before="0" w:after="0"/>
        <w:rPr>
          <w:sz w:val="24"/>
        </w:rPr>
      </w:pPr>
      <w:r w:rsidRPr="0008270C">
        <w:rPr>
          <w:sz w:val="24"/>
        </w:rPr>
        <w:t>* We have inserted a $0 amount for cost factors that do not apply to this collection.</w:t>
      </w:r>
    </w:p>
    <w:p w:rsidRPr="0008270C" w:rsidR="00182D88" w:rsidP="00182D88" w:rsidRDefault="00182D88" w14:paraId="602D1DAD" w14:textId="77777777">
      <w:pPr>
        <w:pStyle w:val="TableCaptions"/>
        <w:spacing w:before="0" w:after="0"/>
        <w:rPr>
          <w:sz w:val="24"/>
        </w:rPr>
      </w:pPr>
    </w:p>
    <w:p w:rsidR="00774F75" w:rsidP="00182D88" w:rsidRDefault="000B1B82" w14:paraId="58072CE3" w14:textId="3DD856F5">
      <w:pPr>
        <w:pStyle w:val="BodyText"/>
        <w:spacing w:before="0" w:after="0"/>
      </w:pPr>
      <w:r w:rsidRPr="0008270C">
        <w:t>SSA is unable to break down the costs to the Federal government</w:t>
      </w:r>
      <w:r>
        <w:t xml:space="preserve"> further than we already have, as it is difficult for us to break down the cost for processing a single application, as field office and State Disability Determination Services staff often process several applications at once, and the time it takes to do so can vary greatly per respondent.  As well, because so many employees have a hand in each aspect of our forms and applications,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182D88" w:rsidP="00182D88" w:rsidRDefault="00182D88" w14:paraId="2F8CB811" w14:textId="77777777">
      <w:pPr>
        <w:pStyle w:val="BodyText"/>
        <w:spacing w:before="0" w:after="0"/>
      </w:pPr>
    </w:p>
    <w:p w:rsidR="00A55078" w:rsidP="00182D88" w:rsidRDefault="00774F75" w14:paraId="698D95D9" w14:textId="77777777">
      <w:pPr>
        <w:pStyle w:val="Heading2"/>
        <w:spacing w:before="0" w:after="0"/>
      </w:pPr>
      <w:r w:rsidRPr="00500EB1">
        <w:t>Program Changes or Adjustments to the Information Collection Request</w:t>
      </w:r>
    </w:p>
    <w:p w:rsidR="00774F75" w:rsidP="00182D88" w:rsidRDefault="00890167" w14:paraId="4D0D2F3C" w14:textId="3FFE9F7E">
      <w:pPr>
        <w:pStyle w:val="BodyText"/>
        <w:spacing w:before="0" w:after="0"/>
      </w:pPr>
      <w:r w:rsidRPr="00890167">
        <w:rPr>
          <w:iCs w:val="0"/>
        </w:rPr>
        <w:t>There are no changes to the public reporting burden</w:t>
      </w:r>
      <w:r>
        <w:rPr>
          <w:iCs w:val="0"/>
        </w:rPr>
        <w:t xml:space="preserve"> since the implementation of ePFT under the Emergency approval</w:t>
      </w:r>
      <w:r w:rsidR="00774F75">
        <w:t>.</w:t>
      </w:r>
    </w:p>
    <w:p w:rsidR="00182D88" w:rsidP="00182D88" w:rsidRDefault="00182D88" w14:paraId="26396C42" w14:textId="77777777">
      <w:pPr>
        <w:pStyle w:val="BodyText"/>
        <w:spacing w:before="0" w:after="0"/>
      </w:pPr>
    </w:p>
    <w:p w:rsidR="00A55078" w:rsidP="00182D88" w:rsidRDefault="00774F75" w14:paraId="1D1128CD" w14:textId="11E93079">
      <w:pPr>
        <w:pStyle w:val="Heading2"/>
        <w:spacing w:before="0" w:after="0"/>
      </w:pPr>
      <w:r w:rsidRPr="00500EB1">
        <w:t>Plans for Publication Information Collection Results</w:t>
      </w:r>
    </w:p>
    <w:p w:rsidR="00774F75" w:rsidP="00182D88" w:rsidRDefault="00890167" w14:paraId="39F53DA4" w14:textId="03FADE65">
      <w:pPr>
        <w:pStyle w:val="BodyText"/>
        <w:spacing w:before="0" w:after="0"/>
      </w:pPr>
      <w:r w:rsidRPr="00890167">
        <w:rPr>
          <w:iCs w:val="0"/>
        </w:rPr>
        <w:t>SSA will not publish the results of the information collection</w:t>
      </w:r>
      <w:r w:rsidR="00774F75">
        <w:t>.</w:t>
      </w:r>
    </w:p>
    <w:p w:rsidR="00182D88" w:rsidP="00182D88" w:rsidRDefault="00182D88" w14:paraId="4A3287EE" w14:textId="77777777">
      <w:pPr>
        <w:pStyle w:val="BodyText"/>
        <w:spacing w:before="0" w:after="0"/>
        <w:rPr>
          <w:b/>
        </w:rPr>
      </w:pPr>
    </w:p>
    <w:p w:rsidR="00A55078" w:rsidP="00182D88" w:rsidRDefault="00774F75" w14:paraId="4CE8684E" w14:textId="20664BC6">
      <w:pPr>
        <w:pStyle w:val="Heading2"/>
        <w:spacing w:before="0" w:after="0"/>
      </w:pPr>
      <w:r w:rsidRPr="00500EB1">
        <w:t>Displaying the OMB Approval Expiration Date</w:t>
      </w:r>
    </w:p>
    <w:p w:rsidR="00774F75" w:rsidP="00182D88" w:rsidRDefault="00774F75" w14:paraId="0F759CD6" w14:textId="0F959AFE">
      <w:pPr>
        <w:pStyle w:val="BodyText"/>
        <w:spacing w:before="0" w:after="0"/>
      </w:pPr>
      <w:r w:rsidRPr="00774F75">
        <w:t>SSA is not requesting an exception to the requirement to display the OMB approval expiration dat</w:t>
      </w:r>
      <w:r>
        <w:t>e.</w:t>
      </w:r>
    </w:p>
    <w:p w:rsidRPr="00774F75" w:rsidR="00182D88" w:rsidP="00182D88" w:rsidRDefault="00182D88" w14:paraId="7967BA77" w14:textId="77777777">
      <w:pPr>
        <w:pStyle w:val="BodyText"/>
        <w:spacing w:before="0" w:after="0"/>
        <w:rPr>
          <w:b/>
        </w:rPr>
      </w:pPr>
    </w:p>
    <w:p w:rsidR="00A55078" w:rsidP="00182D88" w:rsidRDefault="00774F75" w14:paraId="6D36D285" w14:textId="65A33289">
      <w:pPr>
        <w:pStyle w:val="Heading2"/>
        <w:keepNext/>
        <w:spacing w:before="0" w:after="0"/>
      </w:pPr>
      <w:r w:rsidRPr="00500EB1">
        <w:t>Exceptions to Certification Statement</w:t>
      </w:r>
    </w:p>
    <w:p w:rsidR="00774F75" w:rsidP="00182D88" w:rsidRDefault="00774F75" w14:paraId="40D69486" w14:textId="1B697047">
      <w:pPr>
        <w:pStyle w:val="BodyText"/>
        <w:keepNext/>
        <w:spacing w:before="0" w:after="0"/>
      </w:pPr>
      <w:r w:rsidRPr="00500EB1">
        <w:t xml:space="preserve">SSA is not requesting an exception to the certification requirements at </w:t>
      </w:r>
      <w:r w:rsidRPr="00500EB1">
        <w:rPr>
          <w:i/>
        </w:rPr>
        <w:t>5 CFR 1320.9</w:t>
      </w:r>
      <w:r w:rsidRPr="00F16B81">
        <w:t xml:space="preserve"> and </w:t>
      </w:r>
      <w:r w:rsidRPr="00F16B81">
        <w:lastRenderedPageBreak/>
        <w:t xml:space="preserve">related provisions at </w:t>
      </w:r>
      <w:r w:rsidRPr="00500EB1">
        <w:rPr>
          <w:i/>
        </w:rPr>
        <w:t>5 CFR 1320.8(b)(3)</w:t>
      </w:r>
      <w:r w:rsidRPr="00F16B81">
        <w:t>.</w:t>
      </w:r>
    </w:p>
    <w:p w:rsidRPr="00774F75" w:rsidR="00182D88" w:rsidP="00182D88" w:rsidRDefault="00182D88" w14:paraId="37050FD0" w14:textId="77777777">
      <w:pPr>
        <w:pStyle w:val="BodyText"/>
        <w:keepNext/>
        <w:spacing w:before="0" w:after="0"/>
        <w:rPr>
          <w:b/>
        </w:rPr>
      </w:pPr>
    </w:p>
    <w:p w:rsidRPr="00774F75" w:rsidR="00A45D82" w:rsidP="00182D88" w:rsidRDefault="00A45D82" w14:paraId="49556F98" w14:textId="3B489401">
      <w:pPr>
        <w:pStyle w:val="Heading1"/>
      </w:pPr>
      <w:r w:rsidRPr="00774F75">
        <w:t>Collections of Information Employing Statistical Methods</w:t>
      </w:r>
    </w:p>
    <w:p w:rsidRPr="00BC7F42" w:rsidR="00A45D82" w:rsidP="00182D88" w:rsidRDefault="00774F75" w14:paraId="6DA7001E" w14:textId="36575249">
      <w:pPr>
        <w:pStyle w:val="BodyText"/>
        <w:spacing w:before="0" w:after="0"/>
      </w:pPr>
      <w:r w:rsidRPr="00500EB1">
        <w:t>SSA does not use statistical methods for this information collection</w:t>
      </w:r>
      <w:r>
        <w:t>.</w:t>
      </w:r>
    </w:p>
    <w:sectPr w:rsidRPr="00BC7F42" w:rsidR="00A45D82" w:rsidSect="004453AC">
      <w:footerReference w:type="default" r:id="rId11"/>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2BA85" w14:textId="77777777" w:rsidR="0059503D" w:rsidRDefault="0059503D">
      <w:r>
        <w:separator/>
      </w:r>
    </w:p>
  </w:endnote>
  <w:endnote w:type="continuationSeparator" w:id="0">
    <w:p w14:paraId="32174646" w14:textId="77777777" w:rsidR="0059503D" w:rsidRDefault="0059503D">
      <w:r>
        <w:continuationSeparator/>
      </w:r>
    </w:p>
  </w:endnote>
  <w:endnote w:type="continuationNotice" w:id="1">
    <w:p w14:paraId="2292E63A" w14:textId="77777777" w:rsidR="0059503D" w:rsidRDefault="00595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0216" w14:textId="77777777" w:rsidR="0007478C" w:rsidRPr="005B539E" w:rsidRDefault="0007478C" w:rsidP="005B539E">
    <w:pPr>
      <w:pStyle w:val="Footer"/>
      <w:jc w:val="right"/>
      <w:rPr>
        <w:sz w:val="22"/>
        <w:szCs w:val="22"/>
      </w:rPr>
    </w:pPr>
    <w:r w:rsidRPr="005B539E">
      <w:rPr>
        <w:sz w:val="22"/>
        <w:szCs w:val="22"/>
      </w:rPr>
      <w:t xml:space="preserve">Page </w:t>
    </w:r>
    <w:r w:rsidRPr="005B539E">
      <w:rPr>
        <w:sz w:val="22"/>
        <w:szCs w:val="22"/>
      </w:rPr>
      <w:fldChar w:fldCharType="begin"/>
    </w:r>
    <w:r w:rsidRPr="005B539E">
      <w:rPr>
        <w:sz w:val="22"/>
        <w:szCs w:val="22"/>
      </w:rPr>
      <w:instrText xml:space="preserve"> PAGE   \* MERGEFORMAT </w:instrText>
    </w:r>
    <w:r w:rsidRPr="005B539E">
      <w:rPr>
        <w:sz w:val="22"/>
        <w:szCs w:val="22"/>
      </w:rPr>
      <w:fldChar w:fldCharType="separate"/>
    </w:r>
    <w:r w:rsidRPr="005B539E">
      <w:rPr>
        <w:noProof/>
        <w:sz w:val="22"/>
        <w:szCs w:val="22"/>
      </w:rPr>
      <w:t>1</w:t>
    </w:r>
    <w:r w:rsidRPr="005B539E">
      <w:rPr>
        <w:noProof/>
        <w:sz w:val="22"/>
        <w:szCs w:val="22"/>
      </w:rPr>
      <w:fldChar w:fldCharType="end"/>
    </w:r>
  </w:p>
  <w:p w14:paraId="1B39D0EC" w14:textId="77777777" w:rsidR="0007478C" w:rsidRDefault="000747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D835" w14:textId="77777777" w:rsidR="0059503D" w:rsidRDefault="0059503D">
      <w:r>
        <w:separator/>
      </w:r>
    </w:p>
  </w:footnote>
  <w:footnote w:type="continuationSeparator" w:id="0">
    <w:p w14:paraId="5B7EC99C" w14:textId="77777777" w:rsidR="0059503D" w:rsidRDefault="0059503D">
      <w:r>
        <w:continuationSeparator/>
      </w:r>
    </w:p>
  </w:footnote>
  <w:footnote w:type="continuationNotice" w:id="1">
    <w:p w14:paraId="4220BBE1" w14:textId="77777777" w:rsidR="0059503D" w:rsidRDefault="0059503D"/>
  </w:footnote>
  <w:footnote w:id="2">
    <w:p w14:paraId="6E6B0870" w14:textId="515B94C8" w:rsidR="0007478C" w:rsidRPr="00DF3A09" w:rsidRDefault="0007478C" w:rsidP="00D34919">
      <w:pPr>
        <w:pStyle w:val="Footer"/>
      </w:pPr>
      <w:r w:rsidRPr="00DF3A09">
        <w:rPr>
          <w:rStyle w:val="FootnoteReference"/>
        </w:rPr>
        <w:footnoteRef/>
      </w:r>
      <w:r w:rsidRPr="00DF3A09">
        <w:t xml:space="preserve"> The only category of individuals who </w:t>
      </w:r>
      <w:r w:rsidR="0073204E">
        <w:t>we</w:t>
      </w:r>
      <w:r w:rsidRPr="00DF3A09">
        <w:t xml:space="preserve"> excluded from using </w:t>
      </w:r>
      <w:r w:rsidR="000865D7">
        <w:t xml:space="preserve">the </w:t>
      </w:r>
      <w:r w:rsidRPr="00DF3A09">
        <w:t xml:space="preserve">ePFT </w:t>
      </w:r>
      <w:r w:rsidR="0073204E">
        <w:t>are</w:t>
      </w:r>
      <w:r w:rsidRPr="00DF3A09">
        <w:t xml:space="preserve"> in circumstances </w:t>
      </w:r>
      <w:r w:rsidRPr="000905C3">
        <w:t>where a third party was completing the form on behalf o</w:t>
      </w:r>
      <w:r w:rsidRPr="00B3225E">
        <w:t>f another individual who was not</w:t>
      </w:r>
      <w:r w:rsidRPr="003B519D">
        <w:t xml:space="preserve"> present with the third party </w:t>
      </w:r>
      <w:r w:rsidRPr="00DF3A09">
        <w:rPr>
          <w:i/>
        </w:rPr>
        <w:t>and</w:t>
      </w:r>
      <w:r w:rsidRPr="00DF3A09">
        <w:t xml:space="preserve"> there was no</w:t>
      </w:r>
      <w:r w:rsidR="00874A6C">
        <w:t>t a good</w:t>
      </w:r>
      <w:r w:rsidRPr="00DF3A09">
        <w:t xml:space="preserve"> reason the individual could not </w:t>
      </w:r>
      <w:r w:rsidR="00874A6C">
        <w:t>sign</w:t>
      </w:r>
      <w:r w:rsidRPr="00DF3A09">
        <w:t xml:space="preserve"> their own</w:t>
      </w:r>
      <w:r w:rsidR="00874A6C">
        <w:t xml:space="preserve"> application for SSI</w:t>
      </w:r>
      <w:r w:rsidRPr="00DF3A09">
        <w:t xml:space="preserve">. </w:t>
      </w:r>
      <w:r w:rsidR="003262B8">
        <w:t xml:space="preserve"> </w:t>
      </w:r>
      <w:r w:rsidRPr="00DF3A09">
        <w:t>SSA do</w:t>
      </w:r>
      <w:r w:rsidRPr="000905C3">
        <w:t xml:space="preserve">es not believe this would pragmatically hinder the use of ePFT by any </w:t>
      </w:r>
      <w:r w:rsidRPr="00B3225E">
        <w:t xml:space="preserve">individual, </w:t>
      </w:r>
      <w:r w:rsidRPr="003B519D">
        <w:t xml:space="preserve">as in this circumstance </w:t>
      </w:r>
      <w:r w:rsidRPr="00027FF0">
        <w:t>the individual necessarily could</w:t>
      </w:r>
      <w:r>
        <w:t xml:space="preserve"> still</w:t>
      </w:r>
      <w:r w:rsidRPr="00DF3A09">
        <w:t xml:space="preserve"> </w:t>
      </w:r>
      <w:r w:rsidR="00874A6C">
        <w:t>act</w:t>
      </w:r>
      <w:r w:rsidRPr="00DF3A09">
        <w:t xml:space="preserve"> on their own. </w:t>
      </w:r>
    </w:p>
  </w:footnote>
  <w:footnote w:id="3">
    <w:p w14:paraId="1803A8BE" w14:textId="1D34F9AD" w:rsidR="000865D7" w:rsidRPr="0046232D" w:rsidRDefault="000865D7" w:rsidP="000865D7">
      <w:pPr>
        <w:pStyle w:val="FootnoteText"/>
        <w:rPr>
          <w:rFonts w:ascii="Times New Roman" w:hAnsi="Times New Roman"/>
        </w:rPr>
      </w:pPr>
      <w:r w:rsidRPr="0046232D">
        <w:rPr>
          <w:rStyle w:val="FootnoteReference"/>
          <w:rFonts w:ascii="Times New Roman" w:hAnsi="Times New Roman"/>
        </w:rPr>
        <w:footnoteRef/>
      </w:r>
      <w:r w:rsidRPr="0046232D">
        <w:rPr>
          <w:rFonts w:ascii="Times New Roman" w:hAnsi="Times New Roman"/>
        </w:rPr>
        <w:t xml:space="preserve"> </w:t>
      </w:r>
      <w:r>
        <w:rPr>
          <w:rFonts w:ascii="Times New Roman" w:hAnsi="Times New Roman"/>
        </w:rPr>
        <w:t>T</w:t>
      </w:r>
      <w:r w:rsidRPr="0046232D">
        <w:rPr>
          <w:rFonts w:ascii="Times New Roman" w:hAnsi="Times New Roman"/>
        </w:rPr>
        <w:t>hird</w:t>
      </w:r>
      <w:r>
        <w:rPr>
          <w:rFonts w:ascii="Times New Roman" w:hAnsi="Times New Roman"/>
        </w:rPr>
        <w:t xml:space="preserve"> </w:t>
      </w:r>
      <w:r w:rsidRPr="0046232D">
        <w:rPr>
          <w:rFonts w:ascii="Times New Roman" w:hAnsi="Times New Roman"/>
        </w:rPr>
        <w:t>part</w:t>
      </w:r>
      <w:r>
        <w:rPr>
          <w:rFonts w:ascii="Times New Roman" w:hAnsi="Times New Roman"/>
        </w:rPr>
        <w:t>ie</w:t>
      </w:r>
      <w:r w:rsidRPr="0046232D">
        <w:rPr>
          <w:rFonts w:ascii="Times New Roman" w:hAnsi="Times New Roman"/>
        </w:rPr>
        <w:t>s may include representatives, legal aid or other advocacy or social service organizations operating on behalf of the potential claimant, or friends or family operating on behalf of the potential claimant.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88271D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21CB9F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8585A5C"/>
    <w:multiLevelType w:val="hybridMultilevel"/>
    <w:tmpl w:val="7B8C4734"/>
    <w:lvl w:ilvl="0" w:tplc="CE60CE9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67193"/>
    <w:multiLevelType w:val="hybridMultilevel"/>
    <w:tmpl w:val="FA38DD84"/>
    <w:lvl w:ilvl="0" w:tplc="5E925FF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61A9E"/>
    <w:multiLevelType w:val="hybridMultilevel"/>
    <w:tmpl w:val="A66A9B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4E12BF"/>
    <w:multiLevelType w:val="hybridMultilevel"/>
    <w:tmpl w:val="C3B6A986"/>
    <w:lvl w:ilvl="0" w:tplc="EA4E6CD8">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F571332"/>
    <w:multiLevelType w:val="hybridMultilevel"/>
    <w:tmpl w:val="4E80E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6"/>
  </w:num>
  <w:num w:numId="6">
    <w:abstractNumId w:val="1"/>
  </w:num>
  <w:num w:numId="7">
    <w:abstractNumId w:val="4"/>
  </w:num>
  <w:num w:numId="8">
    <w:abstractNumId w:val="2"/>
  </w:num>
  <w:num w:numId="9">
    <w:abstractNumId w:val="3"/>
    <w:lvlOverride w:ilvl="0">
      <w:startOverride w:val="14"/>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3983"/>
    <w:rsid w:val="0001032D"/>
    <w:rsid w:val="000222A7"/>
    <w:rsid w:val="00025216"/>
    <w:rsid w:val="00025D75"/>
    <w:rsid w:val="0002677F"/>
    <w:rsid w:val="00027FF0"/>
    <w:rsid w:val="00030D1E"/>
    <w:rsid w:val="0003116E"/>
    <w:rsid w:val="00033E31"/>
    <w:rsid w:val="00036EFD"/>
    <w:rsid w:val="00037301"/>
    <w:rsid w:val="000419B6"/>
    <w:rsid w:val="00045BEC"/>
    <w:rsid w:val="00054786"/>
    <w:rsid w:val="000612C7"/>
    <w:rsid w:val="00061926"/>
    <w:rsid w:val="00063A05"/>
    <w:rsid w:val="00064229"/>
    <w:rsid w:val="0006456D"/>
    <w:rsid w:val="0006715D"/>
    <w:rsid w:val="0007189E"/>
    <w:rsid w:val="0007478C"/>
    <w:rsid w:val="00077720"/>
    <w:rsid w:val="00077E0E"/>
    <w:rsid w:val="00081E53"/>
    <w:rsid w:val="0008270C"/>
    <w:rsid w:val="00082833"/>
    <w:rsid w:val="000865D7"/>
    <w:rsid w:val="00086E84"/>
    <w:rsid w:val="000905C3"/>
    <w:rsid w:val="000958AA"/>
    <w:rsid w:val="000A6AE3"/>
    <w:rsid w:val="000B1B82"/>
    <w:rsid w:val="000B2B68"/>
    <w:rsid w:val="000B3B12"/>
    <w:rsid w:val="000B4CFA"/>
    <w:rsid w:val="000C151C"/>
    <w:rsid w:val="000C1D18"/>
    <w:rsid w:val="000C1DDD"/>
    <w:rsid w:val="000D5F5C"/>
    <w:rsid w:val="000D763A"/>
    <w:rsid w:val="000E5DD6"/>
    <w:rsid w:val="000F7C9B"/>
    <w:rsid w:val="00111316"/>
    <w:rsid w:val="00116037"/>
    <w:rsid w:val="00121032"/>
    <w:rsid w:val="00122EE2"/>
    <w:rsid w:val="00127980"/>
    <w:rsid w:val="00127C7D"/>
    <w:rsid w:val="001421C9"/>
    <w:rsid w:val="00145796"/>
    <w:rsid w:val="00146275"/>
    <w:rsid w:val="0015576E"/>
    <w:rsid w:val="00157AD6"/>
    <w:rsid w:val="00161A18"/>
    <w:rsid w:val="0016591F"/>
    <w:rsid w:val="00166AC3"/>
    <w:rsid w:val="0016743A"/>
    <w:rsid w:val="00172148"/>
    <w:rsid w:val="00172149"/>
    <w:rsid w:val="001779F3"/>
    <w:rsid w:val="00182D88"/>
    <w:rsid w:val="00186C90"/>
    <w:rsid w:val="0019066F"/>
    <w:rsid w:val="00192897"/>
    <w:rsid w:val="001A159C"/>
    <w:rsid w:val="001A32A8"/>
    <w:rsid w:val="001A3317"/>
    <w:rsid w:val="001A65F9"/>
    <w:rsid w:val="001B2B88"/>
    <w:rsid w:val="001B44F3"/>
    <w:rsid w:val="001B7CF4"/>
    <w:rsid w:val="001C6282"/>
    <w:rsid w:val="001C6D3A"/>
    <w:rsid w:val="001D0B21"/>
    <w:rsid w:val="001E1076"/>
    <w:rsid w:val="001E1E25"/>
    <w:rsid w:val="001E5B75"/>
    <w:rsid w:val="001E7305"/>
    <w:rsid w:val="001F0DC0"/>
    <w:rsid w:val="00202C06"/>
    <w:rsid w:val="00202FEC"/>
    <w:rsid w:val="00204AB3"/>
    <w:rsid w:val="002059A9"/>
    <w:rsid w:val="00211547"/>
    <w:rsid w:val="00231A87"/>
    <w:rsid w:val="002321B0"/>
    <w:rsid w:val="00235663"/>
    <w:rsid w:val="00246836"/>
    <w:rsid w:val="002506D4"/>
    <w:rsid w:val="002530B6"/>
    <w:rsid w:val="0026052B"/>
    <w:rsid w:val="00273FEB"/>
    <w:rsid w:val="00274D82"/>
    <w:rsid w:val="00276AAF"/>
    <w:rsid w:val="002801F8"/>
    <w:rsid w:val="00280AC4"/>
    <w:rsid w:val="00281AF0"/>
    <w:rsid w:val="0028292F"/>
    <w:rsid w:val="002833EF"/>
    <w:rsid w:val="00287487"/>
    <w:rsid w:val="002948B5"/>
    <w:rsid w:val="0029773F"/>
    <w:rsid w:val="002A4C30"/>
    <w:rsid w:val="002B0820"/>
    <w:rsid w:val="002B5578"/>
    <w:rsid w:val="002B6BF4"/>
    <w:rsid w:val="002D7F07"/>
    <w:rsid w:val="002E18CF"/>
    <w:rsid w:val="002E335E"/>
    <w:rsid w:val="002E3E65"/>
    <w:rsid w:val="002F1C11"/>
    <w:rsid w:val="002F5E7D"/>
    <w:rsid w:val="00300857"/>
    <w:rsid w:val="00302545"/>
    <w:rsid w:val="00306DC4"/>
    <w:rsid w:val="00307B4C"/>
    <w:rsid w:val="00307EC8"/>
    <w:rsid w:val="00312368"/>
    <w:rsid w:val="003176E1"/>
    <w:rsid w:val="003205D5"/>
    <w:rsid w:val="003262B8"/>
    <w:rsid w:val="003265BB"/>
    <w:rsid w:val="00331821"/>
    <w:rsid w:val="00333D3D"/>
    <w:rsid w:val="00340D7D"/>
    <w:rsid w:val="003444C2"/>
    <w:rsid w:val="003465DC"/>
    <w:rsid w:val="003469CA"/>
    <w:rsid w:val="00350710"/>
    <w:rsid w:val="0035187E"/>
    <w:rsid w:val="00355B5D"/>
    <w:rsid w:val="0036696D"/>
    <w:rsid w:val="003746BD"/>
    <w:rsid w:val="0038050B"/>
    <w:rsid w:val="0038313E"/>
    <w:rsid w:val="00393370"/>
    <w:rsid w:val="003940D6"/>
    <w:rsid w:val="003962A1"/>
    <w:rsid w:val="00397B2A"/>
    <w:rsid w:val="003A2CBF"/>
    <w:rsid w:val="003A6E57"/>
    <w:rsid w:val="003A71A9"/>
    <w:rsid w:val="003B128B"/>
    <w:rsid w:val="003B15EC"/>
    <w:rsid w:val="003B30B4"/>
    <w:rsid w:val="003B519D"/>
    <w:rsid w:val="003B6D3F"/>
    <w:rsid w:val="003C10BD"/>
    <w:rsid w:val="003C13FC"/>
    <w:rsid w:val="003D62CA"/>
    <w:rsid w:val="003D7FF5"/>
    <w:rsid w:val="003E008E"/>
    <w:rsid w:val="003E145C"/>
    <w:rsid w:val="003E4371"/>
    <w:rsid w:val="003E46EE"/>
    <w:rsid w:val="003E6C5E"/>
    <w:rsid w:val="003E7B08"/>
    <w:rsid w:val="003F00B3"/>
    <w:rsid w:val="003F128A"/>
    <w:rsid w:val="003F186E"/>
    <w:rsid w:val="003F334D"/>
    <w:rsid w:val="00401DE1"/>
    <w:rsid w:val="00402332"/>
    <w:rsid w:val="00405548"/>
    <w:rsid w:val="00410989"/>
    <w:rsid w:val="00410EA7"/>
    <w:rsid w:val="0041131C"/>
    <w:rsid w:val="004132C2"/>
    <w:rsid w:val="00413501"/>
    <w:rsid w:val="004145D2"/>
    <w:rsid w:val="004145DE"/>
    <w:rsid w:val="00416480"/>
    <w:rsid w:val="004179E8"/>
    <w:rsid w:val="004238CA"/>
    <w:rsid w:val="004317CB"/>
    <w:rsid w:val="00432B54"/>
    <w:rsid w:val="00441711"/>
    <w:rsid w:val="0044193D"/>
    <w:rsid w:val="004453AC"/>
    <w:rsid w:val="00447EE9"/>
    <w:rsid w:val="0045065A"/>
    <w:rsid w:val="004509AD"/>
    <w:rsid w:val="00455CC9"/>
    <w:rsid w:val="0046232D"/>
    <w:rsid w:val="00467B79"/>
    <w:rsid w:val="00475350"/>
    <w:rsid w:val="00481B44"/>
    <w:rsid w:val="0048451B"/>
    <w:rsid w:val="00484662"/>
    <w:rsid w:val="004915B5"/>
    <w:rsid w:val="004921CE"/>
    <w:rsid w:val="004B6CE2"/>
    <w:rsid w:val="004C5327"/>
    <w:rsid w:val="004D5E56"/>
    <w:rsid w:val="004D7265"/>
    <w:rsid w:val="004E146D"/>
    <w:rsid w:val="004E2095"/>
    <w:rsid w:val="004E2BEC"/>
    <w:rsid w:val="0050197F"/>
    <w:rsid w:val="00502BF6"/>
    <w:rsid w:val="005040EC"/>
    <w:rsid w:val="00505DDD"/>
    <w:rsid w:val="00506486"/>
    <w:rsid w:val="0051146A"/>
    <w:rsid w:val="00515B10"/>
    <w:rsid w:val="00520A3A"/>
    <w:rsid w:val="00520E12"/>
    <w:rsid w:val="005266C5"/>
    <w:rsid w:val="00530872"/>
    <w:rsid w:val="00531920"/>
    <w:rsid w:val="00532FF1"/>
    <w:rsid w:val="00546269"/>
    <w:rsid w:val="00546BF4"/>
    <w:rsid w:val="0056163C"/>
    <w:rsid w:val="005623CF"/>
    <w:rsid w:val="00564D5E"/>
    <w:rsid w:val="005721D4"/>
    <w:rsid w:val="00574BA4"/>
    <w:rsid w:val="00576ABB"/>
    <w:rsid w:val="00580021"/>
    <w:rsid w:val="00584D85"/>
    <w:rsid w:val="00593A36"/>
    <w:rsid w:val="00593ACF"/>
    <w:rsid w:val="00594CB3"/>
    <w:rsid w:val="0059503D"/>
    <w:rsid w:val="005952C2"/>
    <w:rsid w:val="005A1198"/>
    <w:rsid w:val="005B15E5"/>
    <w:rsid w:val="005B539E"/>
    <w:rsid w:val="005C2C39"/>
    <w:rsid w:val="005D0D27"/>
    <w:rsid w:val="005D24E8"/>
    <w:rsid w:val="005D4107"/>
    <w:rsid w:val="005D5B33"/>
    <w:rsid w:val="005D79FB"/>
    <w:rsid w:val="005E442D"/>
    <w:rsid w:val="005F208A"/>
    <w:rsid w:val="005F3017"/>
    <w:rsid w:val="006002DD"/>
    <w:rsid w:val="006013A3"/>
    <w:rsid w:val="00602DAE"/>
    <w:rsid w:val="00602E82"/>
    <w:rsid w:val="00604D20"/>
    <w:rsid w:val="00605D67"/>
    <w:rsid w:val="0060708E"/>
    <w:rsid w:val="00607A3D"/>
    <w:rsid w:val="00614BD8"/>
    <w:rsid w:val="006160ED"/>
    <w:rsid w:val="00617F29"/>
    <w:rsid w:val="00620BAF"/>
    <w:rsid w:val="0062106C"/>
    <w:rsid w:val="00625708"/>
    <w:rsid w:val="00626C22"/>
    <w:rsid w:val="00631F1B"/>
    <w:rsid w:val="0063304D"/>
    <w:rsid w:val="00636A5E"/>
    <w:rsid w:val="00637AF5"/>
    <w:rsid w:val="00640A26"/>
    <w:rsid w:val="00644ADF"/>
    <w:rsid w:val="00655C0F"/>
    <w:rsid w:val="00656A75"/>
    <w:rsid w:val="00663881"/>
    <w:rsid w:val="00664553"/>
    <w:rsid w:val="006663C5"/>
    <w:rsid w:val="0066705D"/>
    <w:rsid w:val="006731DF"/>
    <w:rsid w:val="00675C63"/>
    <w:rsid w:val="0068054E"/>
    <w:rsid w:val="006806E1"/>
    <w:rsid w:val="00681DC0"/>
    <w:rsid w:val="00683F62"/>
    <w:rsid w:val="00686F72"/>
    <w:rsid w:val="0068794A"/>
    <w:rsid w:val="0069667B"/>
    <w:rsid w:val="006A19D0"/>
    <w:rsid w:val="006A2992"/>
    <w:rsid w:val="006B01B7"/>
    <w:rsid w:val="006B173F"/>
    <w:rsid w:val="006B17EF"/>
    <w:rsid w:val="006B297F"/>
    <w:rsid w:val="006B2B4E"/>
    <w:rsid w:val="006C614B"/>
    <w:rsid w:val="006D18D9"/>
    <w:rsid w:val="006D73B1"/>
    <w:rsid w:val="006E2FB4"/>
    <w:rsid w:val="006E59B6"/>
    <w:rsid w:val="006F2B8B"/>
    <w:rsid w:val="006F4D0F"/>
    <w:rsid w:val="0070479A"/>
    <w:rsid w:val="00712F1B"/>
    <w:rsid w:val="0071437B"/>
    <w:rsid w:val="0071569B"/>
    <w:rsid w:val="007205F4"/>
    <w:rsid w:val="007245C9"/>
    <w:rsid w:val="007256B3"/>
    <w:rsid w:val="0073204E"/>
    <w:rsid w:val="00740FE2"/>
    <w:rsid w:val="007412E2"/>
    <w:rsid w:val="00742B56"/>
    <w:rsid w:val="00745462"/>
    <w:rsid w:val="007463A4"/>
    <w:rsid w:val="007606C2"/>
    <w:rsid w:val="00766720"/>
    <w:rsid w:val="007700F7"/>
    <w:rsid w:val="00770360"/>
    <w:rsid w:val="007708FC"/>
    <w:rsid w:val="00774F75"/>
    <w:rsid w:val="007752C0"/>
    <w:rsid w:val="007765D6"/>
    <w:rsid w:val="007848DE"/>
    <w:rsid w:val="00795B01"/>
    <w:rsid w:val="00795BAB"/>
    <w:rsid w:val="007A05D9"/>
    <w:rsid w:val="007A08D1"/>
    <w:rsid w:val="007A1D84"/>
    <w:rsid w:val="007A2526"/>
    <w:rsid w:val="007A2DEE"/>
    <w:rsid w:val="007A5AAB"/>
    <w:rsid w:val="007A7451"/>
    <w:rsid w:val="007B007C"/>
    <w:rsid w:val="007C0384"/>
    <w:rsid w:val="007C39B8"/>
    <w:rsid w:val="007C7C9C"/>
    <w:rsid w:val="007D061D"/>
    <w:rsid w:val="007D22EB"/>
    <w:rsid w:val="007D30F5"/>
    <w:rsid w:val="007D4712"/>
    <w:rsid w:val="007D4BD5"/>
    <w:rsid w:val="007E17BD"/>
    <w:rsid w:val="007E2D04"/>
    <w:rsid w:val="007E39B3"/>
    <w:rsid w:val="007E3F1A"/>
    <w:rsid w:val="007F037B"/>
    <w:rsid w:val="007F08DF"/>
    <w:rsid w:val="007F13F9"/>
    <w:rsid w:val="007F2BCC"/>
    <w:rsid w:val="008041B4"/>
    <w:rsid w:val="00805CA9"/>
    <w:rsid w:val="00806984"/>
    <w:rsid w:val="00810485"/>
    <w:rsid w:val="00814772"/>
    <w:rsid w:val="00822F4B"/>
    <w:rsid w:val="0082339A"/>
    <w:rsid w:val="00824D72"/>
    <w:rsid w:val="00825B97"/>
    <w:rsid w:val="00827478"/>
    <w:rsid w:val="0083040E"/>
    <w:rsid w:val="00831CCD"/>
    <w:rsid w:val="0083660F"/>
    <w:rsid w:val="00842164"/>
    <w:rsid w:val="00843127"/>
    <w:rsid w:val="0084775D"/>
    <w:rsid w:val="00851151"/>
    <w:rsid w:val="008607A5"/>
    <w:rsid w:val="00861696"/>
    <w:rsid w:val="0086463A"/>
    <w:rsid w:val="00872397"/>
    <w:rsid w:val="00874A6C"/>
    <w:rsid w:val="008754ED"/>
    <w:rsid w:val="00876482"/>
    <w:rsid w:val="00890167"/>
    <w:rsid w:val="00891CA8"/>
    <w:rsid w:val="00892089"/>
    <w:rsid w:val="00892E12"/>
    <w:rsid w:val="008937AE"/>
    <w:rsid w:val="008A14A1"/>
    <w:rsid w:val="008A3EBB"/>
    <w:rsid w:val="008A5BEF"/>
    <w:rsid w:val="008B6774"/>
    <w:rsid w:val="008B7E94"/>
    <w:rsid w:val="008C427E"/>
    <w:rsid w:val="008C42BD"/>
    <w:rsid w:val="008C7CD6"/>
    <w:rsid w:val="008D158E"/>
    <w:rsid w:val="008D22AD"/>
    <w:rsid w:val="008D22C8"/>
    <w:rsid w:val="008D3F1F"/>
    <w:rsid w:val="008E2C5D"/>
    <w:rsid w:val="008E3A3A"/>
    <w:rsid w:val="008E3EB4"/>
    <w:rsid w:val="008E5410"/>
    <w:rsid w:val="008F5B14"/>
    <w:rsid w:val="0090398A"/>
    <w:rsid w:val="00906892"/>
    <w:rsid w:val="009112AD"/>
    <w:rsid w:val="00913BB9"/>
    <w:rsid w:val="009166D8"/>
    <w:rsid w:val="009177EE"/>
    <w:rsid w:val="009252AB"/>
    <w:rsid w:val="00930430"/>
    <w:rsid w:val="00930494"/>
    <w:rsid w:val="00934D27"/>
    <w:rsid w:val="009359BA"/>
    <w:rsid w:val="00945F85"/>
    <w:rsid w:val="00951258"/>
    <w:rsid w:val="00952C5B"/>
    <w:rsid w:val="00955C70"/>
    <w:rsid w:val="00955EC4"/>
    <w:rsid w:val="0096133C"/>
    <w:rsid w:val="00963938"/>
    <w:rsid w:val="00972DA5"/>
    <w:rsid w:val="0097485B"/>
    <w:rsid w:val="009748B6"/>
    <w:rsid w:val="00975DD8"/>
    <w:rsid w:val="00981D2B"/>
    <w:rsid w:val="00983CD5"/>
    <w:rsid w:val="00996A03"/>
    <w:rsid w:val="009A0B16"/>
    <w:rsid w:val="009A34C5"/>
    <w:rsid w:val="009A6373"/>
    <w:rsid w:val="009B1CC5"/>
    <w:rsid w:val="009B22ED"/>
    <w:rsid w:val="009B5380"/>
    <w:rsid w:val="009D3800"/>
    <w:rsid w:val="009D7532"/>
    <w:rsid w:val="009E3C50"/>
    <w:rsid w:val="009E4ABA"/>
    <w:rsid w:val="009E539F"/>
    <w:rsid w:val="009F02BC"/>
    <w:rsid w:val="009F23D6"/>
    <w:rsid w:val="009F4DA2"/>
    <w:rsid w:val="009F6231"/>
    <w:rsid w:val="009F7BB3"/>
    <w:rsid w:val="00A06BE2"/>
    <w:rsid w:val="00A06ECC"/>
    <w:rsid w:val="00A21496"/>
    <w:rsid w:val="00A21768"/>
    <w:rsid w:val="00A247F9"/>
    <w:rsid w:val="00A32C8F"/>
    <w:rsid w:val="00A337E4"/>
    <w:rsid w:val="00A33C65"/>
    <w:rsid w:val="00A34222"/>
    <w:rsid w:val="00A453C3"/>
    <w:rsid w:val="00A45D82"/>
    <w:rsid w:val="00A55078"/>
    <w:rsid w:val="00A60AFA"/>
    <w:rsid w:val="00A651A7"/>
    <w:rsid w:val="00A67D76"/>
    <w:rsid w:val="00A706B8"/>
    <w:rsid w:val="00A72056"/>
    <w:rsid w:val="00A72499"/>
    <w:rsid w:val="00A72DF9"/>
    <w:rsid w:val="00A75E40"/>
    <w:rsid w:val="00A805BA"/>
    <w:rsid w:val="00A814B4"/>
    <w:rsid w:val="00A97282"/>
    <w:rsid w:val="00AA0303"/>
    <w:rsid w:val="00AA06A4"/>
    <w:rsid w:val="00AA0858"/>
    <w:rsid w:val="00AA0C27"/>
    <w:rsid w:val="00AA58A0"/>
    <w:rsid w:val="00AA6250"/>
    <w:rsid w:val="00AA71E8"/>
    <w:rsid w:val="00AB0CA7"/>
    <w:rsid w:val="00AB124A"/>
    <w:rsid w:val="00AB56B8"/>
    <w:rsid w:val="00AB5B08"/>
    <w:rsid w:val="00AB7A47"/>
    <w:rsid w:val="00AC14C6"/>
    <w:rsid w:val="00AC28BB"/>
    <w:rsid w:val="00AC2E93"/>
    <w:rsid w:val="00AC39FD"/>
    <w:rsid w:val="00AD0977"/>
    <w:rsid w:val="00AD4219"/>
    <w:rsid w:val="00AE0527"/>
    <w:rsid w:val="00AE5258"/>
    <w:rsid w:val="00AE7D46"/>
    <w:rsid w:val="00AF3BEA"/>
    <w:rsid w:val="00AF7234"/>
    <w:rsid w:val="00B007C5"/>
    <w:rsid w:val="00B01D57"/>
    <w:rsid w:val="00B11DC0"/>
    <w:rsid w:val="00B1614B"/>
    <w:rsid w:val="00B2127E"/>
    <w:rsid w:val="00B2154D"/>
    <w:rsid w:val="00B22829"/>
    <w:rsid w:val="00B3225E"/>
    <w:rsid w:val="00B33D8C"/>
    <w:rsid w:val="00B3445F"/>
    <w:rsid w:val="00B35478"/>
    <w:rsid w:val="00B36DCC"/>
    <w:rsid w:val="00B47D15"/>
    <w:rsid w:val="00B51EF0"/>
    <w:rsid w:val="00B525CA"/>
    <w:rsid w:val="00B65238"/>
    <w:rsid w:val="00B65AA2"/>
    <w:rsid w:val="00B707B2"/>
    <w:rsid w:val="00B72D0D"/>
    <w:rsid w:val="00B73C78"/>
    <w:rsid w:val="00B741F6"/>
    <w:rsid w:val="00B906D8"/>
    <w:rsid w:val="00B92550"/>
    <w:rsid w:val="00B92879"/>
    <w:rsid w:val="00B94373"/>
    <w:rsid w:val="00B95381"/>
    <w:rsid w:val="00BA1653"/>
    <w:rsid w:val="00BA401A"/>
    <w:rsid w:val="00BA7254"/>
    <w:rsid w:val="00BB3DC0"/>
    <w:rsid w:val="00BB4FB8"/>
    <w:rsid w:val="00BC48BB"/>
    <w:rsid w:val="00BC5531"/>
    <w:rsid w:val="00BC60B0"/>
    <w:rsid w:val="00BC7F42"/>
    <w:rsid w:val="00BD04F0"/>
    <w:rsid w:val="00BD74FC"/>
    <w:rsid w:val="00BE0E3B"/>
    <w:rsid w:val="00BE443F"/>
    <w:rsid w:val="00BE575A"/>
    <w:rsid w:val="00BF026F"/>
    <w:rsid w:val="00BF0405"/>
    <w:rsid w:val="00BF4955"/>
    <w:rsid w:val="00BF5DE7"/>
    <w:rsid w:val="00C0290B"/>
    <w:rsid w:val="00C1452F"/>
    <w:rsid w:val="00C152A0"/>
    <w:rsid w:val="00C17CE2"/>
    <w:rsid w:val="00C22097"/>
    <w:rsid w:val="00C25FDC"/>
    <w:rsid w:val="00C34553"/>
    <w:rsid w:val="00C34A91"/>
    <w:rsid w:val="00C377BC"/>
    <w:rsid w:val="00C43964"/>
    <w:rsid w:val="00C5104E"/>
    <w:rsid w:val="00C555E5"/>
    <w:rsid w:val="00C60780"/>
    <w:rsid w:val="00C60E61"/>
    <w:rsid w:val="00C653EF"/>
    <w:rsid w:val="00C66335"/>
    <w:rsid w:val="00C67C8A"/>
    <w:rsid w:val="00C67F83"/>
    <w:rsid w:val="00C70FB8"/>
    <w:rsid w:val="00C74924"/>
    <w:rsid w:val="00C74A43"/>
    <w:rsid w:val="00C82EDE"/>
    <w:rsid w:val="00C850DE"/>
    <w:rsid w:val="00C93220"/>
    <w:rsid w:val="00C941E2"/>
    <w:rsid w:val="00CA0B15"/>
    <w:rsid w:val="00CA53A4"/>
    <w:rsid w:val="00CA5F75"/>
    <w:rsid w:val="00CA6CAE"/>
    <w:rsid w:val="00CB5F50"/>
    <w:rsid w:val="00CB64F0"/>
    <w:rsid w:val="00CB6CD2"/>
    <w:rsid w:val="00CB7253"/>
    <w:rsid w:val="00CB7557"/>
    <w:rsid w:val="00CC64C6"/>
    <w:rsid w:val="00CC7E6D"/>
    <w:rsid w:val="00CD07B4"/>
    <w:rsid w:val="00CD1DA6"/>
    <w:rsid w:val="00CD1E2F"/>
    <w:rsid w:val="00CD43F7"/>
    <w:rsid w:val="00CD667A"/>
    <w:rsid w:val="00CE23C1"/>
    <w:rsid w:val="00CE4BDD"/>
    <w:rsid w:val="00CF0349"/>
    <w:rsid w:val="00CF0595"/>
    <w:rsid w:val="00CF115A"/>
    <w:rsid w:val="00CF41F7"/>
    <w:rsid w:val="00CF44DD"/>
    <w:rsid w:val="00D0011E"/>
    <w:rsid w:val="00D03E8A"/>
    <w:rsid w:val="00D05FBA"/>
    <w:rsid w:val="00D12A11"/>
    <w:rsid w:val="00D13F50"/>
    <w:rsid w:val="00D20AB0"/>
    <w:rsid w:val="00D22DB7"/>
    <w:rsid w:val="00D24718"/>
    <w:rsid w:val="00D319D6"/>
    <w:rsid w:val="00D34919"/>
    <w:rsid w:val="00D42EFE"/>
    <w:rsid w:val="00D44900"/>
    <w:rsid w:val="00D5034A"/>
    <w:rsid w:val="00D5531A"/>
    <w:rsid w:val="00D57498"/>
    <w:rsid w:val="00D669BB"/>
    <w:rsid w:val="00D678F8"/>
    <w:rsid w:val="00D73B1C"/>
    <w:rsid w:val="00D825F5"/>
    <w:rsid w:val="00D870B2"/>
    <w:rsid w:val="00D92EC0"/>
    <w:rsid w:val="00D95308"/>
    <w:rsid w:val="00DA5159"/>
    <w:rsid w:val="00DB1DB4"/>
    <w:rsid w:val="00DC45EB"/>
    <w:rsid w:val="00DD066C"/>
    <w:rsid w:val="00DD0A07"/>
    <w:rsid w:val="00DD494D"/>
    <w:rsid w:val="00DD5D65"/>
    <w:rsid w:val="00DD65BB"/>
    <w:rsid w:val="00DE156B"/>
    <w:rsid w:val="00DE3C1D"/>
    <w:rsid w:val="00DE4E61"/>
    <w:rsid w:val="00DE6186"/>
    <w:rsid w:val="00DF0AB0"/>
    <w:rsid w:val="00DF3A09"/>
    <w:rsid w:val="00E0137B"/>
    <w:rsid w:val="00E065DA"/>
    <w:rsid w:val="00E21ED0"/>
    <w:rsid w:val="00E30334"/>
    <w:rsid w:val="00E312CA"/>
    <w:rsid w:val="00E3164F"/>
    <w:rsid w:val="00E31D7D"/>
    <w:rsid w:val="00E3495F"/>
    <w:rsid w:val="00E4255B"/>
    <w:rsid w:val="00E437C5"/>
    <w:rsid w:val="00E43D84"/>
    <w:rsid w:val="00E46AFE"/>
    <w:rsid w:val="00E477DA"/>
    <w:rsid w:val="00E6420B"/>
    <w:rsid w:val="00E64F79"/>
    <w:rsid w:val="00E75DB0"/>
    <w:rsid w:val="00E764C9"/>
    <w:rsid w:val="00E80456"/>
    <w:rsid w:val="00E817AE"/>
    <w:rsid w:val="00E81F46"/>
    <w:rsid w:val="00E956F3"/>
    <w:rsid w:val="00E963E5"/>
    <w:rsid w:val="00E978C4"/>
    <w:rsid w:val="00EA6845"/>
    <w:rsid w:val="00EB2ED1"/>
    <w:rsid w:val="00EB4A58"/>
    <w:rsid w:val="00EB4F08"/>
    <w:rsid w:val="00EC0BEA"/>
    <w:rsid w:val="00EC1ADF"/>
    <w:rsid w:val="00EC535B"/>
    <w:rsid w:val="00EC7EFD"/>
    <w:rsid w:val="00ED36D8"/>
    <w:rsid w:val="00ED57B1"/>
    <w:rsid w:val="00ED6349"/>
    <w:rsid w:val="00ED7A53"/>
    <w:rsid w:val="00EE6086"/>
    <w:rsid w:val="00EE6299"/>
    <w:rsid w:val="00EF0841"/>
    <w:rsid w:val="00EF2EBC"/>
    <w:rsid w:val="00EF4071"/>
    <w:rsid w:val="00EF765F"/>
    <w:rsid w:val="00F0267D"/>
    <w:rsid w:val="00F028DE"/>
    <w:rsid w:val="00F03664"/>
    <w:rsid w:val="00F0585C"/>
    <w:rsid w:val="00F107B7"/>
    <w:rsid w:val="00F11F57"/>
    <w:rsid w:val="00F13906"/>
    <w:rsid w:val="00F14BA8"/>
    <w:rsid w:val="00F15EF8"/>
    <w:rsid w:val="00F16B81"/>
    <w:rsid w:val="00F2154D"/>
    <w:rsid w:val="00F22657"/>
    <w:rsid w:val="00F24551"/>
    <w:rsid w:val="00F26656"/>
    <w:rsid w:val="00F314B3"/>
    <w:rsid w:val="00F339E4"/>
    <w:rsid w:val="00F36E53"/>
    <w:rsid w:val="00F428EE"/>
    <w:rsid w:val="00F4316C"/>
    <w:rsid w:val="00F46176"/>
    <w:rsid w:val="00F47651"/>
    <w:rsid w:val="00F5149E"/>
    <w:rsid w:val="00F56A74"/>
    <w:rsid w:val="00F57AD9"/>
    <w:rsid w:val="00F60169"/>
    <w:rsid w:val="00F74AA4"/>
    <w:rsid w:val="00F7706F"/>
    <w:rsid w:val="00F809EB"/>
    <w:rsid w:val="00F8268B"/>
    <w:rsid w:val="00F832E5"/>
    <w:rsid w:val="00F8431E"/>
    <w:rsid w:val="00F84A8F"/>
    <w:rsid w:val="00F870A3"/>
    <w:rsid w:val="00F9040A"/>
    <w:rsid w:val="00F91762"/>
    <w:rsid w:val="00F9405B"/>
    <w:rsid w:val="00FA0A2F"/>
    <w:rsid w:val="00FA0FE2"/>
    <w:rsid w:val="00FA34E8"/>
    <w:rsid w:val="00FA640B"/>
    <w:rsid w:val="00FA7D4E"/>
    <w:rsid w:val="00FC0802"/>
    <w:rsid w:val="00FC35B6"/>
    <w:rsid w:val="00FD549D"/>
    <w:rsid w:val="00FD6374"/>
    <w:rsid w:val="00FD7CED"/>
    <w:rsid w:val="00FE4DBA"/>
    <w:rsid w:val="00FE501A"/>
    <w:rsid w:val="00FF362E"/>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5429"/>
  <w15:chartTrackingRefBased/>
  <w15:docId w15:val="{ED88B19A-C6D7-40C8-AC77-373F083F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07B4C"/>
    <w:pPr>
      <w:widowControl w:val="0"/>
    </w:pPr>
    <w:rPr>
      <w:rFonts w:ascii="Courier" w:eastAsia="Times New Roman" w:hAnsi="Courier"/>
      <w:snapToGrid w:val="0"/>
      <w:sz w:val="24"/>
      <w:szCs w:val="24"/>
    </w:rPr>
  </w:style>
  <w:style w:type="paragraph" w:styleId="Heading1">
    <w:name w:val="heading 1"/>
    <w:basedOn w:val="Normal"/>
    <w:next w:val="Normal"/>
    <w:qFormat/>
    <w:rsid w:val="00D34919"/>
    <w:pPr>
      <w:numPr>
        <w:numId w:val="1"/>
      </w:numPr>
      <w:contextualSpacing/>
      <w:outlineLvl w:val="0"/>
    </w:pPr>
    <w:rPr>
      <w:rFonts w:ascii="Times New Roman" w:hAnsi="Times New Roman"/>
      <w:b/>
      <w:u w:val="single"/>
    </w:rPr>
  </w:style>
  <w:style w:type="paragraph" w:styleId="Heading2">
    <w:name w:val="heading 2"/>
    <w:basedOn w:val="Normal"/>
    <w:next w:val="Normal"/>
    <w:link w:val="Heading2Char"/>
    <w:unhideWhenUsed/>
    <w:qFormat/>
    <w:rsid w:val="00D34919"/>
    <w:pPr>
      <w:numPr>
        <w:numId w:val="2"/>
      </w:numPr>
      <w:spacing w:before="240" w:after="120"/>
      <w:outlineLvl w:val="1"/>
    </w:pPr>
    <w:rPr>
      <w:rFonts w:ascii="Times New Roman" w:hAnsi="Times New Roman"/>
      <w:b/>
    </w:rPr>
  </w:style>
  <w:style w:type="paragraph" w:styleId="Heading3">
    <w:name w:val="heading 3"/>
    <w:basedOn w:val="Normal"/>
    <w:next w:val="Normal"/>
    <w:link w:val="Heading3Char"/>
    <w:unhideWhenUsed/>
    <w:qFormat/>
    <w:rsid w:val="00D34919"/>
    <w:pPr>
      <w:ind w:left="720"/>
      <w:contextualSpacing/>
      <w:outlineLvl w:val="2"/>
    </w:pPr>
    <w:rPr>
      <w:rFonts w:ascii="Times New Roman" w:hAnsi="Times New Roman"/>
      <w:b/>
      <w:i/>
      <w:i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1A159C"/>
    <w:pPr>
      <w:suppressAutoHyphens/>
      <w:spacing w:after="480"/>
      <w:contextualSpacing/>
      <w:jc w:val="center"/>
    </w:pPr>
    <w:rPr>
      <w:rFonts w:ascii="Times New Roman" w:hAnsi="Times New Roman"/>
      <w:b/>
      <w:bCs/>
    </w:rPr>
  </w:style>
  <w:style w:type="paragraph" w:styleId="BodyText">
    <w:name w:val="Body Text"/>
    <w:basedOn w:val="Normal"/>
    <w:link w:val="BodyTextChar"/>
    <w:rsid w:val="00D34919"/>
    <w:pPr>
      <w:spacing w:before="120" w:after="120"/>
      <w:ind w:left="720"/>
    </w:pPr>
    <w:rPr>
      <w:rFonts w:ascii="Times New Roman" w:hAnsi="Times New Roman"/>
      <w:bCs/>
      <w:iCs/>
      <w:color w:val="000000"/>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D34919"/>
    <w:pPr>
      <w:tabs>
        <w:tab w:val="center" w:pos="4320"/>
        <w:tab w:val="right" w:pos="8640"/>
      </w:tabs>
    </w:pPr>
    <w:rPr>
      <w:rFonts w:ascii="Times New Roman" w:hAnsi="Times New Roman"/>
      <w:sz w:val="20"/>
    </w:r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link w:val="CommentTextChar"/>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D34919"/>
    <w:rPr>
      <w:rFonts w:eastAsia="Times New Roman"/>
      <w:snapToGrid w:val="0"/>
      <w:szCs w:val="24"/>
    </w:rPr>
  </w:style>
  <w:style w:type="character" w:customStyle="1" w:styleId="Heading3Char">
    <w:name w:val="Heading 3 Char"/>
    <w:link w:val="Heading3"/>
    <w:rsid w:val="00F16B81"/>
    <w:rPr>
      <w:rFonts w:eastAsia="Times New Roman"/>
      <w:b/>
      <w:i/>
      <w:iCs/>
      <w:snapToGrid w:val="0"/>
      <w:sz w:val="24"/>
      <w:szCs w:val="24"/>
    </w:rPr>
  </w:style>
  <w:style w:type="character" w:styleId="UnresolvedMention">
    <w:name w:val="Unresolved Mention"/>
    <w:uiPriority w:val="99"/>
    <w:semiHidden/>
    <w:unhideWhenUsed/>
    <w:rsid w:val="00F13906"/>
    <w:rPr>
      <w:color w:val="605E5C"/>
      <w:shd w:val="clear" w:color="auto" w:fill="E1DFDD"/>
    </w:rPr>
  </w:style>
  <w:style w:type="paragraph" w:styleId="FootnoteText">
    <w:name w:val="footnote text"/>
    <w:basedOn w:val="Normal"/>
    <w:link w:val="FootnoteTextChar"/>
    <w:rsid w:val="00B707B2"/>
    <w:rPr>
      <w:sz w:val="20"/>
      <w:szCs w:val="20"/>
    </w:rPr>
  </w:style>
  <w:style w:type="character" w:customStyle="1" w:styleId="FootnoteTextChar">
    <w:name w:val="Footnote Text Char"/>
    <w:basedOn w:val="DefaultParagraphFont"/>
    <w:link w:val="FootnoteText"/>
    <w:rsid w:val="00B707B2"/>
    <w:rPr>
      <w:rFonts w:ascii="Courier" w:eastAsia="Times New Roman" w:hAnsi="Courier"/>
      <w:snapToGrid w:val="0"/>
    </w:rPr>
  </w:style>
  <w:style w:type="character" w:styleId="FootnoteReference">
    <w:name w:val="footnote reference"/>
    <w:basedOn w:val="DefaultParagraphFont"/>
    <w:rsid w:val="00B707B2"/>
    <w:rPr>
      <w:vertAlign w:val="superscript"/>
    </w:rPr>
  </w:style>
  <w:style w:type="paragraph" w:styleId="Revision">
    <w:name w:val="Revision"/>
    <w:hidden/>
    <w:uiPriority w:val="99"/>
    <w:semiHidden/>
    <w:rsid w:val="00B33D8C"/>
    <w:rPr>
      <w:rFonts w:ascii="Courier" w:eastAsia="Times New Roman" w:hAnsi="Courier"/>
      <w:snapToGrid w:val="0"/>
      <w:sz w:val="24"/>
      <w:szCs w:val="24"/>
    </w:rPr>
  </w:style>
  <w:style w:type="paragraph" w:customStyle="1" w:styleId="StyleListParagraphTimesNewRoman">
    <w:name w:val="Style List Paragraph + Times New Roman"/>
    <w:basedOn w:val="Normal"/>
    <w:rsid w:val="00D34919"/>
    <w:pPr>
      <w:spacing w:before="120" w:after="120"/>
      <w:ind w:left="720"/>
    </w:pPr>
    <w:rPr>
      <w:rFonts w:ascii="Times New Roman" w:hAnsi="Times New Roman"/>
    </w:rPr>
  </w:style>
  <w:style w:type="character" w:customStyle="1" w:styleId="Heading2Char">
    <w:name w:val="Heading 2 Char"/>
    <w:basedOn w:val="DefaultParagraphFont"/>
    <w:link w:val="Heading2"/>
    <w:rsid w:val="00F16B81"/>
    <w:rPr>
      <w:rFonts w:eastAsia="Times New Roman"/>
      <w:b/>
      <w:snapToGrid w:val="0"/>
      <w:sz w:val="24"/>
      <w:szCs w:val="24"/>
    </w:rPr>
  </w:style>
  <w:style w:type="character" w:customStyle="1" w:styleId="BodyTextChar">
    <w:name w:val="Body Text Char"/>
    <w:basedOn w:val="DefaultParagraphFont"/>
    <w:link w:val="BodyText"/>
    <w:rsid w:val="00F16B81"/>
    <w:rPr>
      <w:rFonts w:eastAsia="Times New Roman"/>
      <w:bCs/>
      <w:iCs/>
      <w:snapToGrid w:val="0"/>
      <w:color w:val="000000"/>
      <w:sz w:val="24"/>
      <w:szCs w:val="24"/>
    </w:rPr>
  </w:style>
  <w:style w:type="paragraph" w:styleId="ListBullet2">
    <w:name w:val="List Bullet 2"/>
    <w:basedOn w:val="Normal"/>
    <w:rsid w:val="00F16B81"/>
    <w:pPr>
      <w:numPr>
        <w:numId w:val="3"/>
      </w:numPr>
      <w:contextualSpacing/>
    </w:pPr>
    <w:rPr>
      <w:rFonts w:ascii="Times New Roman" w:hAnsi="Times New Roman"/>
    </w:rPr>
  </w:style>
  <w:style w:type="paragraph" w:styleId="ListBullet3">
    <w:name w:val="List Bullet 3"/>
    <w:basedOn w:val="Normal"/>
    <w:rsid w:val="00F16B81"/>
    <w:pPr>
      <w:numPr>
        <w:numId w:val="4"/>
      </w:numPr>
      <w:contextualSpacing/>
    </w:pPr>
    <w:rPr>
      <w:rFonts w:ascii="Times New Roman" w:hAnsi="Times New Roman"/>
    </w:rPr>
  </w:style>
  <w:style w:type="paragraph" w:styleId="ListBullet">
    <w:name w:val="List Bullet"/>
    <w:basedOn w:val="ListBullet2"/>
    <w:rsid w:val="00F16B81"/>
    <w:pPr>
      <w:spacing w:before="120" w:after="120"/>
    </w:pPr>
  </w:style>
  <w:style w:type="paragraph" w:customStyle="1" w:styleId="TableText">
    <w:name w:val="Table Text"/>
    <w:basedOn w:val="Normal"/>
    <w:rsid w:val="00D34919"/>
    <w:pPr>
      <w:contextualSpacing/>
    </w:pPr>
    <w:rPr>
      <w:rFonts w:ascii="Times New Roman" w:hAnsi="Times New Roman"/>
      <w:color w:val="000000"/>
      <w:szCs w:val="20"/>
    </w:rPr>
  </w:style>
  <w:style w:type="paragraph" w:customStyle="1" w:styleId="TableHeader">
    <w:name w:val="Table Header"/>
    <w:basedOn w:val="Normal"/>
    <w:rsid w:val="00D34919"/>
    <w:pPr>
      <w:contextualSpacing/>
      <w:jc w:val="center"/>
    </w:pPr>
    <w:rPr>
      <w:rFonts w:ascii="Times New Roman" w:hAnsi="Times New Roman"/>
      <w:b/>
      <w:bCs/>
    </w:rPr>
  </w:style>
  <w:style w:type="paragraph" w:customStyle="1" w:styleId="TableFigures">
    <w:name w:val="Table Figures"/>
    <w:basedOn w:val="Normal"/>
    <w:rsid w:val="00D34919"/>
    <w:pPr>
      <w:contextualSpacing/>
      <w:jc w:val="right"/>
    </w:pPr>
    <w:rPr>
      <w:rFonts w:ascii="Times New Roman" w:hAnsi="Times New Roman"/>
      <w:szCs w:val="20"/>
    </w:rPr>
  </w:style>
  <w:style w:type="paragraph" w:customStyle="1" w:styleId="TableTotals">
    <w:name w:val="Table Totals"/>
    <w:basedOn w:val="TableHeader"/>
    <w:rsid w:val="00C1452F"/>
    <w:pPr>
      <w:jc w:val="left"/>
    </w:pPr>
    <w:rPr>
      <w:szCs w:val="20"/>
    </w:rPr>
  </w:style>
  <w:style w:type="paragraph" w:customStyle="1" w:styleId="TableCaptions">
    <w:name w:val="Table Captions"/>
    <w:basedOn w:val="Normal"/>
    <w:rsid w:val="00D825F5"/>
    <w:pPr>
      <w:spacing w:before="120" w:after="120"/>
      <w:ind w:left="720"/>
    </w:pPr>
    <w:rPr>
      <w:rFonts w:ascii="Times New Roman" w:hAnsi="Times New Roman"/>
      <w:color w:val="000000"/>
      <w:sz w:val="22"/>
    </w:rPr>
  </w:style>
  <w:style w:type="character" w:customStyle="1" w:styleId="CommentTextChar">
    <w:name w:val="Comment Text Char"/>
    <w:basedOn w:val="DefaultParagraphFont"/>
    <w:link w:val="CommentText"/>
    <w:semiHidden/>
    <w:rsid w:val="0044193D"/>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806">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69719669">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28360896">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704986618">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025446584">
      <w:bodyDiv w:val="1"/>
      <w:marLeft w:val="0"/>
      <w:marRight w:val="0"/>
      <w:marTop w:val="0"/>
      <w:marBottom w:val="0"/>
      <w:divBdr>
        <w:top w:val="none" w:sz="0" w:space="0" w:color="auto"/>
        <w:left w:val="none" w:sz="0" w:space="0" w:color="auto"/>
        <w:bottom w:val="none" w:sz="0" w:space="0" w:color="auto"/>
        <w:right w:val="none" w:sz="0" w:space="0" w:color="auto"/>
      </w:divBdr>
    </w:div>
    <w:div w:id="1230265332">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06684274">
      <w:bodyDiv w:val="1"/>
      <w:marLeft w:val="0"/>
      <w:marRight w:val="0"/>
      <w:marTop w:val="0"/>
      <w:marBottom w:val="0"/>
      <w:divBdr>
        <w:top w:val="none" w:sz="0" w:space="0" w:color="auto"/>
        <w:left w:val="none" w:sz="0" w:space="0" w:color="auto"/>
        <w:bottom w:val="none" w:sz="0" w:space="0" w:color="auto"/>
        <w:right w:val="none" w:sz="0" w:space="0" w:color="auto"/>
      </w:divBdr>
    </w:div>
    <w:div w:id="1408069909">
      <w:bodyDiv w:val="1"/>
      <w:marLeft w:val="0"/>
      <w:marRight w:val="0"/>
      <w:marTop w:val="0"/>
      <w:marBottom w:val="0"/>
      <w:divBdr>
        <w:top w:val="none" w:sz="0" w:space="0" w:color="auto"/>
        <w:left w:val="none" w:sz="0" w:space="0" w:color="auto"/>
        <w:bottom w:val="none" w:sz="0" w:space="0" w:color="auto"/>
        <w:right w:val="none" w:sz="0" w:space="0" w:color="auto"/>
      </w:divBdr>
    </w:div>
    <w:div w:id="1471635353">
      <w:bodyDiv w:val="1"/>
      <w:marLeft w:val="0"/>
      <w:marRight w:val="0"/>
      <w:marTop w:val="0"/>
      <w:marBottom w:val="0"/>
      <w:divBdr>
        <w:top w:val="none" w:sz="0" w:space="0" w:color="auto"/>
        <w:left w:val="none" w:sz="0" w:space="0" w:color="auto"/>
        <w:bottom w:val="none" w:sz="0" w:space="0" w:color="auto"/>
        <w:right w:val="none" w:sz="0" w:space="0" w:color="auto"/>
      </w:divBdr>
    </w:div>
    <w:div w:id="1653945256">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515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ls.gov/oes/current/oes231011.htm" TargetMode="External"/><Relationship Id="rId4" Type="http://schemas.openxmlformats.org/officeDocument/2006/relationships/settings" Target="settings.xml"/><Relationship Id="rId9" Type="http://schemas.openxmlformats.org/officeDocument/2006/relationships/hyperlink" Target="https://www.bls.gov/oes/current/oes210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4942-13CE-4439-9C68-A2328016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2862</Words>
  <Characters>15797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18622</CharactersWithSpaces>
  <SharedDoc>false</SharedDoc>
  <HLinks>
    <vt:vector size="18" baseType="variant">
      <vt:variant>
        <vt:i4>4915226</vt:i4>
      </vt:variant>
      <vt:variant>
        <vt:i4>6</vt:i4>
      </vt:variant>
      <vt:variant>
        <vt:i4>0</vt:i4>
      </vt:variant>
      <vt:variant>
        <vt:i4>5</vt:i4>
      </vt:variant>
      <vt:variant>
        <vt:lpwstr>https://www.bls.gov/oes/current/oes231011.htm</vt:lpwstr>
      </vt:variant>
      <vt:variant>
        <vt:lpwstr/>
      </vt:variant>
      <vt:variant>
        <vt:i4>4915225</vt:i4>
      </vt:variant>
      <vt:variant>
        <vt:i4>3</vt:i4>
      </vt:variant>
      <vt:variant>
        <vt:i4>0</vt:i4>
      </vt:variant>
      <vt:variant>
        <vt:i4>5</vt:i4>
      </vt:variant>
      <vt:variant>
        <vt:lpwstr>https://www.bls.gov/oes/current/oes210000.htm</vt:lpwstr>
      </vt:variant>
      <vt:variant>
        <vt:lpwstr/>
      </vt:variant>
      <vt:variant>
        <vt:i4>8323172</vt:i4>
      </vt:variant>
      <vt:variant>
        <vt:i4>0</vt:i4>
      </vt:variant>
      <vt:variant>
        <vt:i4>0</vt:i4>
      </vt:variant>
      <vt:variant>
        <vt:i4>5</vt:i4>
      </vt:variant>
      <vt:variant>
        <vt:lpwstr>https://www.bls.gov/news.release/empsit.t19.htm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5</cp:revision>
  <dcterms:created xsi:type="dcterms:W3CDTF">2022-08-01T14:48:00Z</dcterms:created>
  <dcterms:modified xsi:type="dcterms:W3CDTF">2022-08-09T18:31:00Z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1812326395</vt:i4>
  </property>
  <property fmtid="{D5CDD505-2E9C-101B-9397-08002B2CF9AE}" pid="4" name="_EmailSubject">
    <vt:lpwstr>FYA:  Reply Requested by COB 5/19: AC Signoff Request for the Electronic Protective filing tool - OMB Full Clearance package</vt:lpwstr>
  </property>
  <property fmtid="{D5CDD505-2E9C-101B-9397-08002B2CF9AE}" pid="5" name="_AuthorEmail">
    <vt:lpwstr>Stephanie.Kiley@ssa.gov</vt:lpwstr>
  </property>
  <property fmtid="{D5CDD505-2E9C-101B-9397-08002B2CF9AE}" pid="6" name="_AuthorEmailDisplayName">
    <vt:lpwstr>Kiley, Stephanie   OGC</vt:lpwstr>
  </property>
  <property fmtid="{D5CDD505-2E9C-101B-9397-08002B2CF9AE}" pid="7" name="_PreviousAdHocReviewCycleID">
    <vt:i4>245665033</vt:i4>
  </property>
  <property fmtid="{D5CDD505-2E9C-101B-9397-08002B2CF9AE}" pid="8" name="_ReviewingToolsShownOnce">
    <vt:lpwstr/>
  </property>
</Properties>
</file>