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083C" w:rsidP="00AB4D64" w14:paraId="7FBB8118" w14:textId="77777777">
      <w:pPr>
        <w:pStyle w:val="TxBrc1"/>
        <w:spacing w:line="240" w:lineRule="auto"/>
        <w:rPr>
          <w:b/>
        </w:rPr>
      </w:pPr>
      <w:r>
        <w:rPr>
          <w:b/>
        </w:rPr>
        <w:t>S</w:t>
      </w:r>
      <w:r w:rsidRPr="00AB4D64" w:rsidR="002B2975">
        <w:rPr>
          <w:b/>
        </w:rPr>
        <w:t xml:space="preserve">upporting Statement </w:t>
      </w:r>
      <w:r w:rsidRPr="00AB4D64">
        <w:rPr>
          <w:b/>
        </w:rPr>
        <w:t xml:space="preserve">for </w:t>
      </w:r>
      <w:r w:rsidR="00A41648">
        <w:rPr>
          <w:b/>
        </w:rPr>
        <w:t>th</w:t>
      </w:r>
      <w:r w:rsidR="0030224E">
        <w:rPr>
          <w:b/>
        </w:rPr>
        <w:t>e HA-85, HA-86, and Regulations</w:t>
      </w:r>
    </w:p>
    <w:p w:rsidR="00DB3B15" w:rsidP="00A41648" w14:paraId="57548129" w14:textId="77777777">
      <w:pPr>
        <w:pStyle w:val="TxBrc1"/>
        <w:spacing w:line="240" w:lineRule="auto"/>
        <w:rPr>
          <w:b/>
        </w:rPr>
      </w:pPr>
      <w:r>
        <w:rPr>
          <w:b/>
        </w:rPr>
        <w:t xml:space="preserve">Request to Withdraw a Hearing Request; Request to Withdraw an Appeals Council Request for Review; and </w:t>
      </w:r>
      <w:r w:rsidRPr="00AB4D64">
        <w:rPr>
          <w:b/>
        </w:rPr>
        <w:t xml:space="preserve">Administrative Review Process for </w:t>
      </w:r>
    </w:p>
    <w:p w:rsidR="00A41648" w:rsidP="00A41648" w14:paraId="5FEBDD15" w14:textId="77777777">
      <w:pPr>
        <w:pStyle w:val="TxBrc1"/>
        <w:spacing w:line="240" w:lineRule="auto"/>
        <w:rPr>
          <w:b/>
        </w:rPr>
      </w:pPr>
      <w:r w:rsidRPr="00AB4D64">
        <w:rPr>
          <w:b/>
        </w:rPr>
        <w:t>Adjudicating Initial Disability Claims</w:t>
      </w:r>
    </w:p>
    <w:p w:rsidR="00C553D1" w:rsidRPr="00AB4D64" w:rsidP="00AB4D64" w14:paraId="768D4AA3" w14:textId="77777777">
      <w:pPr>
        <w:pStyle w:val="TxBrc1"/>
        <w:spacing w:line="240" w:lineRule="auto"/>
        <w:rPr>
          <w:b/>
          <w:bCs/>
        </w:rPr>
      </w:pPr>
      <w:r>
        <w:rPr>
          <w:b/>
        </w:rPr>
        <w:t xml:space="preserve"> </w:t>
      </w:r>
      <w:r w:rsidR="00A41648">
        <w:rPr>
          <w:b/>
        </w:rPr>
        <w:t>20 CFR Parts</w:t>
      </w:r>
      <w:r w:rsidR="00941032">
        <w:rPr>
          <w:b/>
        </w:rPr>
        <w:t xml:space="preserve"> </w:t>
      </w:r>
      <w:r w:rsidR="00F30A61">
        <w:rPr>
          <w:b/>
        </w:rPr>
        <w:t xml:space="preserve">404, </w:t>
      </w:r>
      <w:r w:rsidRPr="00AB4D64">
        <w:rPr>
          <w:b/>
        </w:rPr>
        <w:t>405</w:t>
      </w:r>
      <w:r w:rsidR="00C65202">
        <w:rPr>
          <w:b/>
        </w:rPr>
        <w:t xml:space="preserve">, and </w:t>
      </w:r>
      <w:r w:rsidRPr="00AB4D64" w:rsidR="005B50FC">
        <w:rPr>
          <w:b/>
        </w:rPr>
        <w:t>4</w:t>
      </w:r>
      <w:r w:rsidR="005B50FC">
        <w:rPr>
          <w:b/>
        </w:rPr>
        <w:t>16</w:t>
      </w:r>
    </w:p>
    <w:p w:rsidR="00AB4D64" w:rsidRPr="005A05A5" w:rsidP="00F902A5" w14:paraId="25755184" w14:textId="77777777">
      <w:pPr>
        <w:pStyle w:val="Heading1"/>
        <w:spacing w:before="0" w:beforeAutospacing="0" w:after="0" w:afterAutospacing="0"/>
        <w:ind w:left="-360" w:firstLine="360"/>
        <w:jc w:val="center"/>
        <w:rPr>
          <w:bCs w:val="0"/>
          <w:sz w:val="24"/>
          <w:szCs w:val="24"/>
        </w:rPr>
      </w:pPr>
      <w:r w:rsidRPr="005A05A5">
        <w:rPr>
          <w:bCs w:val="0"/>
          <w:sz w:val="24"/>
          <w:szCs w:val="24"/>
        </w:rPr>
        <w:t>OMB No. 0960-071</w:t>
      </w:r>
      <w:r w:rsidR="00DD5702">
        <w:rPr>
          <w:bCs w:val="0"/>
          <w:sz w:val="24"/>
          <w:szCs w:val="24"/>
        </w:rPr>
        <w:t>0</w:t>
      </w:r>
    </w:p>
    <w:p w:rsidR="00C553D1" w:rsidRPr="005A05A5" w:rsidP="002B2975" w14:paraId="20C50A00" w14:textId="77777777">
      <w:pPr>
        <w:pStyle w:val="TxBrc1"/>
        <w:spacing w:line="240" w:lineRule="auto"/>
        <w:rPr>
          <w:b/>
        </w:rPr>
      </w:pPr>
    </w:p>
    <w:p w:rsidR="002B2975" w:rsidRPr="005A05A5" w:rsidP="00DB3B15" w14:paraId="421D5BB2" w14:textId="77777777">
      <w:pPr>
        <w:numPr>
          <w:ilvl w:val="0"/>
          <w:numId w:val="1"/>
        </w:numPr>
        <w:tabs>
          <w:tab w:val="num" w:pos="720"/>
          <w:tab w:val="clear" w:pos="1440"/>
        </w:tabs>
        <w:ind w:hanging="540"/>
        <w:rPr>
          <w:b/>
          <w:u w:val="single"/>
        </w:rPr>
      </w:pPr>
      <w:r w:rsidRPr="005A05A5">
        <w:rPr>
          <w:b/>
          <w:u w:val="single"/>
        </w:rPr>
        <w:t>Justification</w:t>
      </w:r>
    </w:p>
    <w:p w:rsidR="00F902A5" w:rsidRPr="00F902A5" w:rsidP="00F902A5" w14:paraId="7B539041" w14:textId="77777777"/>
    <w:p w:rsidR="00F902A5" w:rsidP="007B41C2" w14:paraId="4FD21096" w14:textId="77777777">
      <w:pPr>
        <w:numPr>
          <w:ilvl w:val="0"/>
          <w:numId w:val="7"/>
        </w:numPr>
        <w:autoSpaceDE/>
        <w:autoSpaceDN/>
        <w:adjustRightInd/>
        <w:rPr>
          <w:b/>
        </w:rPr>
      </w:pPr>
      <w:r>
        <w:rPr>
          <w:b/>
        </w:rPr>
        <w:t>Introduction/</w:t>
      </w:r>
      <w:r w:rsidRPr="00BC7F42">
        <w:rPr>
          <w:b/>
        </w:rPr>
        <w:t>Authoring Laws and Regulations</w:t>
      </w:r>
    </w:p>
    <w:p w:rsidR="00945DC2" w:rsidP="00A41648" w14:paraId="48D337D0" w14:textId="4ED7EE3D">
      <w:pPr>
        <w:autoSpaceDE/>
        <w:autoSpaceDN/>
        <w:adjustRightInd/>
        <w:ind w:left="1440"/>
      </w:pPr>
      <w:r w:rsidRPr="00EC0C95">
        <w:t xml:space="preserve">The </w:t>
      </w:r>
      <w:r w:rsidRPr="004F6B52">
        <w:rPr>
          <w:i/>
        </w:rPr>
        <w:t>Social Security Act (Act)</w:t>
      </w:r>
      <w:r>
        <w:t xml:space="preserve"> provides direction for individuals applying for </w:t>
      </w:r>
      <w:r w:rsidRPr="007E1D4C" w:rsidR="007E1D4C">
        <w:rPr>
          <w:rFonts w:eastAsia="Calibri"/>
        </w:rPr>
        <w:t>Social Security Disability Insurance (SSDI)</w:t>
      </w:r>
      <w:r w:rsidRPr="007E1D4C" w:rsidR="007E1D4C">
        <w:t xml:space="preserve"> </w:t>
      </w:r>
      <w:r w:rsidRPr="007E1D4C" w:rsidR="007E1D4C">
        <w:rPr>
          <w:rFonts w:eastAsia="Calibri"/>
        </w:rPr>
        <w:t>benefits or Supplemental Security Income (SSI) payments</w:t>
      </w:r>
      <w:r>
        <w:t xml:space="preserve"> based on disability or blindness.  </w:t>
      </w:r>
      <w:r w:rsidRPr="00ED6DF8">
        <w:t>Section</w:t>
      </w:r>
      <w:r w:rsidRPr="004F6B52">
        <w:rPr>
          <w:i/>
        </w:rPr>
        <w:t xml:space="preserve"> </w:t>
      </w:r>
      <w:r w:rsidR="00F952EB">
        <w:rPr>
          <w:i/>
        </w:rPr>
        <w:t>205(a)</w:t>
      </w:r>
      <w:r w:rsidRPr="005A05A5">
        <w:rPr>
          <w:i/>
        </w:rPr>
        <w:t xml:space="preserve"> </w:t>
      </w:r>
      <w:r>
        <w:t xml:space="preserve">of </w:t>
      </w:r>
      <w:r w:rsidRPr="00EC0C95">
        <w:t xml:space="preserve">the </w:t>
      </w:r>
      <w:r w:rsidRPr="004F6B52">
        <w:rPr>
          <w:i/>
        </w:rPr>
        <w:t>Act</w:t>
      </w:r>
      <w:r>
        <w:t xml:space="preserve"> permits us to make rules and regulations necessary or appropriate to carry out the functions of the Social Security Administration (SSA).  The</w:t>
      </w:r>
      <w:r w:rsidR="0007446B">
        <w:t>se</w:t>
      </w:r>
      <w:r>
        <w:t xml:space="preserve"> rules allow</w:t>
      </w:r>
      <w:r w:rsidR="0007446B">
        <w:t xml:space="preserve"> </w:t>
      </w:r>
      <w:r>
        <w:t>SSA to collect information to establish</w:t>
      </w:r>
      <w:r w:rsidR="00B44472">
        <w:t xml:space="preserve">: </w:t>
      </w:r>
      <w:r w:rsidR="00AE0F3C">
        <w:t xml:space="preserve"> </w:t>
      </w:r>
      <w:r>
        <w:t>(1) the claimant’s right to administrative review</w:t>
      </w:r>
      <w:r w:rsidR="0007446B">
        <w:t>;</w:t>
      </w:r>
      <w:r>
        <w:t xml:space="preserve"> and (2)</w:t>
      </w:r>
      <w:r w:rsidR="00C51CBD">
        <w:t> </w:t>
      </w:r>
      <w:r w:rsidR="006E1EDD">
        <w:t xml:space="preserve">the severity of the claimant’s alleged impairments as per our regulations in Sections </w:t>
      </w:r>
      <w:r w:rsidRPr="007A5D4C" w:rsidR="006E1EDD">
        <w:rPr>
          <w:i/>
          <w:iCs/>
        </w:rPr>
        <w:t>20 CFR 404, 405</w:t>
      </w:r>
      <w:r w:rsidR="006E1EDD">
        <w:t xml:space="preserve">, and </w:t>
      </w:r>
      <w:r w:rsidRPr="007A5D4C" w:rsidR="006E1EDD">
        <w:rPr>
          <w:i/>
          <w:iCs/>
        </w:rPr>
        <w:t>416</w:t>
      </w:r>
      <w:r w:rsidR="006E1EDD">
        <w:t xml:space="preserve"> of the </w:t>
      </w:r>
      <w:r w:rsidRPr="007A5D4C" w:rsidR="006E1EDD">
        <w:rPr>
          <w:i/>
          <w:iCs/>
        </w:rPr>
        <w:t>Code of Federal Regulations</w:t>
      </w:r>
      <w:r>
        <w:t>.  The rules do not significantly alter these activities, but they do affect the manner in which SSA collects some of the information.</w:t>
      </w:r>
      <w:r w:rsidR="00A41648">
        <w:t xml:space="preserve">  </w:t>
      </w:r>
      <w:r>
        <w:t>The rules allowing SSA to collect information to establish the claimant’s right to administrative review also include requests to withdraw a hearing request, and requests to withdraw an Appeals Council request for review.</w:t>
      </w:r>
    </w:p>
    <w:p w:rsidR="007D44EC" w:rsidP="007D44EC" w14:paraId="6A1100EC" w14:textId="77777777">
      <w:pPr>
        <w:autoSpaceDE/>
        <w:autoSpaceDN/>
        <w:adjustRightInd/>
        <w:ind w:left="1440"/>
        <w:rPr>
          <w:b/>
        </w:rPr>
      </w:pPr>
    </w:p>
    <w:p w:rsidR="00F902A5" w:rsidP="007D44EC" w14:paraId="295D6030" w14:textId="77777777">
      <w:pPr>
        <w:numPr>
          <w:ilvl w:val="0"/>
          <w:numId w:val="7"/>
        </w:numPr>
        <w:autoSpaceDE/>
        <w:autoSpaceDN/>
        <w:adjustRightInd/>
        <w:rPr>
          <w:b/>
        </w:rPr>
      </w:pPr>
      <w:r>
        <w:rPr>
          <w:b/>
        </w:rPr>
        <w:t>Description of Collection</w:t>
      </w:r>
    </w:p>
    <w:p w:rsidR="00DF5714" w:rsidP="00DF5714" w14:paraId="7E3FCDFA" w14:textId="540951D2">
      <w:pPr>
        <w:ind w:left="1440"/>
      </w:pPr>
      <w:r>
        <w:rPr>
          <w:rFonts w:eastAsia="Calibri"/>
        </w:rPr>
        <w:t>C</w:t>
      </w:r>
      <w:r>
        <w:t xml:space="preserve">laimants have a statutory right under the </w:t>
      </w:r>
      <w:r w:rsidRPr="00534001">
        <w:rPr>
          <w:i/>
        </w:rPr>
        <w:t>Act</w:t>
      </w:r>
      <w:r>
        <w:t xml:space="preserve"> and current regulations to apply for Social Security SSDI o</w:t>
      </w:r>
      <w:r w:rsidR="00662278">
        <w:t>r SSI</w:t>
      </w:r>
      <w:r>
        <w:t xml:space="preserve"> payments.  When a respondent applies for either Title II </w:t>
      </w:r>
      <w:r w:rsidRPr="00D941D0">
        <w:rPr>
          <w:rFonts w:eastAsia="Calibri"/>
        </w:rPr>
        <w:t>SSDI</w:t>
      </w:r>
      <w:r w:rsidRPr="00D941D0">
        <w:t xml:space="preserve"> </w:t>
      </w:r>
      <w:r w:rsidRPr="00D941D0">
        <w:rPr>
          <w:rFonts w:eastAsia="Calibri"/>
        </w:rPr>
        <w:t xml:space="preserve">benefits or </w:t>
      </w:r>
      <w:r>
        <w:rPr>
          <w:rFonts w:eastAsia="Calibri"/>
        </w:rPr>
        <w:t xml:space="preserve">Title XVI </w:t>
      </w:r>
      <w:r w:rsidRPr="00D941D0">
        <w:rPr>
          <w:rFonts w:eastAsia="Calibri"/>
        </w:rPr>
        <w:t>SSI</w:t>
      </w:r>
      <w:r>
        <w:rPr>
          <w:rFonts w:eastAsia="Calibri"/>
        </w:rPr>
        <w:t xml:space="preserve"> </w:t>
      </w:r>
      <w:r w:rsidRPr="00D941D0">
        <w:rPr>
          <w:rFonts w:eastAsia="Calibri"/>
        </w:rPr>
        <w:t>payments</w:t>
      </w:r>
      <w:r>
        <w:rPr>
          <w:rFonts w:eastAsia="Calibri"/>
        </w:rPr>
        <w:t xml:space="preserve">, they receive directions </w:t>
      </w:r>
      <w:r w:rsidR="007A5D4C">
        <w:rPr>
          <w:rFonts w:eastAsia="Calibri"/>
        </w:rPr>
        <w:t xml:space="preserve">from SSA </w:t>
      </w:r>
      <w:r>
        <w:rPr>
          <w:rFonts w:eastAsia="Calibri"/>
        </w:rPr>
        <w:t>during each step of the process, including the administrative review process.  For this collection in particular, S</w:t>
      </w:r>
      <w:r>
        <w:t>SA must collect information from each step of the administrative review process to adjudicate claims fairly and efficiently.  SSA collects this information to establish a claimant’s right to administrative review</w:t>
      </w:r>
      <w:r w:rsidR="00BE465B">
        <w:t>,</w:t>
      </w:r>
      <w:r>
        <w:t xml:space="preserve"> and the severity of the claimant’s alleged impairments.  SSA uses the information to determine entitlement or continuing eligibility to </w:t>
      </w:r>
      <w:r w:rsidR="00662278">
        <w:t>DIB</w:t>
      </w:r>
      <w:r>
        <w:t xml:space="preserve"> or SSI payments</w:t>
      </w:r>
      <w:r w:rsidR="00633D8B">
        <w:t>,</w:t>
      </w:r>
      <w:r>
        <w:t xml:space="preserve"> and to enable ap</w:t>
      </w:r>
      <w:r w:rsidR="0007446B">
        <w:t>peals of these determinations.</w:t>
      </w:r>
      <w:r w:rsidR="00761E1F">
        <w:t xml:space="preserve">  The respondents </w:t>
      </w:r>
      <w:r w:rsidR="007A5D4C">
        <w:t>learn about these regulatory requirements through SSA’s website, SSA field office and hearings office staff, and through some of our notices.  For most of these regulatory requirements, we request the respondent submit the information in writing</w:t>
      </w:r>
      <w:r w:rsidR="00EB4035">
        <w:t xml:space="preserve"> via mail; however, we also allow advocates and representative payees to submit the required evidence for the regulations under </w:t>
      </w:r>
      <w:r w:rsidR="00EB4035">
        <w:rPr>
          <w:i/>
        </w:rPr>
        <w:t xml:space="preserve">20 CFR </w:t>
      </w:r>
      <w:r w:rsidRPr="00B44472" w:rsidR="00EB4035">
        <w:rPr>
          <w:i/>
        </w:rPr>
        <w:t>404.950</w:t>
      </w:r>
      <w:r w:rsidR="00EB4035">
        <w:t xml:space="preserve">, </w:t>
      </w:r>
      <w:r w:rsidRPr="00B44472" w:rsidR="00EB4035">
        <w:rPr>
          <w:i/>
        </w:rPr>
        <w:t>416.1450</w:t>
      </w:r>
      <w:r w:rsidR="00EB4035">
        <w:t xml:space="preserve">, </w:t>
      </w:r>
      <w:r w:rsidRPr="00B44472" w:rsidR="00EB4035">
        <w:rPr>
          <w:i/>
        </w:rPr>
        <w:t>405.322</w:t>
      </w:r>
      <w:r w:rsidR="00EB4035">
        <w:t xml:space="preserve">, and </w:t>
      </w:r>
      <w:r w:rsidRPr="00B44472" w:rsidR="00EB4035">
        <w:rPr>
          <w:i/>
        </w:rPr>
        <w:t>405.1(c)(2)</w:t>
      </w:r>
      <w:r w:rsidR="00EB4035">
        <w:rPr>
          <w:i/>
        </w:rPr>
        <w:t xml:space="preserve">, </w:t>
      </w:r>
      <w:r w:rsidRPr="00EB4035" w:rsidR="00EB4035">
        <w:rPr>
          <w:iCs/>
        </w:rPr>
        <w:t>and</w:t>
      </w:r>
      <w:r w:rsidR="00EB4035">
        <w:rPr>
          <w:i/>
        </w:rPr>
        <w:t xml:space="preserve"> 20 CFR </w:t>
      </w:r>
      <w:r w:rsidRPr="00B44472" w:rsidR="00EB4035">
        <w:rPr>
          <w:i/>
        </w:rPr>
        <w:t>404.949</w:t>
      </w:r>
      <w:r w:rsidR="00EB4035">
        <w:t xml:space="preserve">, </w:t>
      </w:r>
      <w:r w:rsidRPr="00B44472" w:rsidR="00EB4035">
        <w:rPr>
          <w:i/>
        </w:rPr>
        <w:t>4</w:t>
      </w:r>
      <w:r w:rsidR="00EB4035">
        <w:rPr>
          <w:i/>
        </w:rPr>
        <w:t>16</w:t>
      </w:r>
      <w:r w:rsidRPr="00B44472" w:rsidR="00EB4035">
        <w:rPr>
          <w:i/>
        </w:rPr>
        <w:t>.1449</w:t>
      </w:r>
      <w:r w:rsidR="00EB4035">
        <w:t xml:space="preserve">, </w:t>
      </w:r>
      <w:r w:rsidRPr="00B44472" w:rsidR="00EB4035">
        <w:rPr>
          <w:i/>
        </w:rPr>
        <w:t>405.344</w:t>
      </w:r>
      <w:r w:rsidR="00EB4035">
        <w:t xml:space="preserve">, and </w:t>
      </w:r>
      <w:r w:rsidRPr="00B44472" w:rsidR="00EB4035">
        <w:rPr>
          <w:i/>
        </w:rPr>
        <w:t>405.372(c)</w:t>
      </w:r>
      <w:r w:rsidR="00EB4035">
        <w:rPr>
          <w:i/>
        </w:rPr>
        <w:t xml:space="preserve"> </w:t>
      </w:r>
      <w:r w:rsidRPr="00EB4035" w:rsidR="00EB4035">
        <w:rPr>
          <w:iCs/>
        </w:rPr>
        <w:t>throug</w:t>
      </w:r>
      <w:r w:rsidR="00EB4035">
        <w:rPr>
          <w:iCs/>
        </w:rPr>
        <w:t>h our Electronic Records Express submissions application (OMB No. 0960-075</w:t>
      </w:r>
      <w:r>
        <w:rPr>
          <w:iCs/>
        </w:rPr>
        <w:t>3</w:t>
      </w:r>
      <w:r w:rsidR="00EB4035">
        <w:rPr>
          <w:iCs/>
        </w:rPr>
        <w:t xml:space="preserve">).  In addition, </w:t>
      </w:r>
      <w:r w:rsidR="007A5D4C">
        <w:t>for</w:t>
      </w:r>
      <w:r w:rsidR="00EB4035">
        <w:t xml:space="preserve"> the requirements under</w:t>
      </w:r>
      <w:r w:rsidR="007A5D4C">
        <w:t xml:space="preserve"> </w:t>
      </w:r>
      <w:r w:rsidRPr="007A5D4C" w:rsidR="007A5D4C">
        <w:rPr>
          <w:i/>
          <w:iCs/>
        </w:rPr>
        <w:t>20 CFR 404.971</w:t>
      </w:r>
      <w:r w:rsidR="007A5D4C">
        <w:t xml:space="preserve"> </w:t>
      </w:r>
      <w:r w:rsidRPr="00581ABC" w:rsidR="007A5D4C">
        <w:t xml:space="preserve">and </w:t>
      </w:r>
      <w:r w:rsidRPr="007A5D4C" w:rsidR="007A5D4C">
        <w:rPr>
          <w:i/>
          <w:iCs/>
        </w:rPr>
        <w:t>416.1471</w:t>
      </w:r>
      <w:r w:rsidR="007A5D4C">
        <w:t xml:space="preserve"> respondents </w:t>
      </w:r>
      <w:r w:rsidR="00761E1F">
        <w:t xml:space="preserve">can submit their requests using the electronic form options (e85 &amp; </w:t>
      </w:r>
      <w:r w:rsidR="007F7D24">
        <w:t xml:space="preserve">e86), or they can complete and mail </w:t>
      </w:r>
      <w:r w:rsidR="0067245B">
        <w:t>their</w:t>
      </w:r>
      <w:r w:rsidR="007F7D24">
        <w:t xml:space="preserve"> paper form</w:t>
      </w:r>
      <w:r w:rsidR="007A5D4C">
        <w:t>s</w:t>
      </w:r>
      <w:r w:rsidR="007F7D24">
        <w:t xml:space="preserve"> to SSA for processing.</w:t>
      </w:r>
    </w:p>
    <w:p w:rsidR="00DF5714" w:rsidP="00DF5714" w14:paraId="70CDE707" w14:textId="77777777"/>
    <w:p w:rsidR="00DF5714" w:rsidP="00DF5714" w14:paraId="2624F773" w14:textId="77777777">
      <w:pPr>
        <w:ind w:left="1440"/>
      </w:pPr>
      <w:r w:rsidRPr="00373206">
        <w:t xml:space="preserve">The following regulations pertain to pre-hearing and post-hearing conferences:  </w:t>
      </w:r>
    </w:p>
    <w:p w:rsidR="00DF5714" w:rsidRPr="00373206" w:rsidP="00DF5714" w14:paraId="7335ACA6" w14:textId="77777777">
      <w:pPr>
        <w:ind w:left="1440"/>
      </w:pPr>
    </w:p>
    <w:p w:rsidR="00DF5714" w:rsidP="00DF5714" w14:paraId="6D2D4D25" w14:textId="77777777">
      <w:pPr>
        <w:pStyle w:val="Heading1"/>
        <w:numPr>
          <w:ilvl w:val="0"/>
          <w:numId w:val="2"/>
        </w:numPr>
        <w:spacing w:before="0" w:beforeAutospacing="0" w:after="0" w:afterAutospacing="0"/>
        <w:rPr>
          <w:b w:val="0"/>
          <w:sz w:val="24"/>
          <w:szCs w:val="24"/>
        </w:rPr>
      </w:pPr>
      <w:r w:rsidRPr="00A64509">
        <w:rPr>
          <w:sz w:val="24"/>
          <w:szCs w:val="24"/>
        </w:rPr>
        <w:t>20 CFR 404.961</w:t>
      </w:r>
      <w:r>
        <w:rPr>
          <w:sz w:val="24"/>
          <w:szCs w:val="24"/>
        </w:rPr>
        <w:t xml:space="preserve">, 416.1461, 405.330, </w:t>
      </w:r>
      <w:r>
        <w:rPr>
          <w:b w:val="0"/>
          <w:sz w:val="24"/>
          <w:szCs w:val="24"/>
        </w:rPr>
        <w:t xml:space="preserve">and </w:t>
      </w:r>
      <w:r>
        <w:rPr>
          <w:sz w:val="24"/>
          <w:szCs w:val="24"/>
        </w:rPr>
        <w:t xml:space="preserve">405.366 </w:t>
      </w:r>
      <w:r w:rsidRPr="00373206">
        <w:rPr>
          <w:b w:val="0"/>
          <w:sz w:val="24"/>
          <w:szCs w:val="24"/>
        </w:rPr>
        <w:t xml:space="preserve">stipulate </w:t>
      </w:r>
      <w:r>
        <w:rPr>
          <w:b w:val="0"/>
          <w:sz w:val="24"/>
          <w:szCs w:val="24"/>
        </w:rPr>
        <w:t>how</w:t>
      </w:r>
      <w:r w:rsidRPr="00373206">
        <w:rPr>
          <w:b w:val="0"/>
          <w:sz w:val="24"/>
          <w:szCs w:val="24"/>
        </w:rPr>
        <w:t xml:space="preserve"> an </w:t>
      </w:r>
      <w:r>
        <w:rPr>
          <w:b w:val="0"/>
          <w:sz w:val="24"/>
          <w:szCs w:val="24"/>
        </w:rPr>
        <w:t>individual may</w:t>
      </w:r>
      <w:r w:rsidRPr="00373206">
        <w:rPr>
          <w:b w:val="0"/>
          <w:sz w:val="24"/>
          <w:szCs w:val="24"/>
        </w:rPr>
        <w:t xml:space="preserve"> request a pre-hea</w:t>
      </w:r>
      <w:r>
        <w:rPr>
          <w:b w:val="0"/>
          <w:sz w:val="24"/>
          <w:szCs w:val="24"/>
        </w:rPr>
        <w:t>ring or post-hearing conference.</w:t>
      </w:r>
      <w:r w:rsidRPr="00373206">
        <w:rPr>
          <w:b w:val="0"/>
          <w:sz w:val="24"/>
          <w:szCs w:val="24"/>
        </w:rPr>
        <w:t xml:space="preserve"> </w:t>
      </w:r>
    </w:p>
    <w:p w:rsidR="00DF5714" w:rsidP="00DF5714" w14:paraId="7DF5738E" w14:textId="77777777">
      <w:pPr>
        <w:pStyle w:val="Heading1"/>
        <w:spacing w:before="0" w:beforeAutospacing="0" w:after="0" w:afterAutospacing="0"/>
        <w:ind w:left="1800"/>
        <w:rPr>
          <w:b w:val="0"/>
          <w:sz w:val="24"/>
          <w:szCs w:val="24"/>
        </w:rPr>
      </w:pPr>
    </w:p>
    <w:p w:rsidR="00DF5714" w:rsidP="00DF5714" w14:paraId="4C5F1D2D" w14:textId="77777777">
      <w:pPr>
        <w:pStyle w:val="Heading1"/>
        <w:spacing w:before="0" w:beforeAutospacing="0" w:after="0" w:afterAutospacing="0"/>
        <w:ind w:left="1440"/>
        <w:rPr>
          <w:b w:val="0"/>
          <w:sz w:val="24"/>
          <w:szCs w:val="24"/>
        </w:rPr>
      </w:pPr>
      <w:r w:rsidRPr="00036D4E">
        <w:rPr>
          <w:b w:val="0"/>
          <w:sz w:val="24"/>
          <w:szCs w:val="24"/>
        </w:rPr>
        <w:t>The fo</w:t>
      </w:r>
      <w:r w:rsidRPr="00373206">
        <w:rPr>
          <w:b w:val="0"/>
          <w:sz w:val="24"/>
          <w:szCs w:val="24"/>
        </w:rPr>
        <w:t xml:space="preserve">llowing regulations pertain to presenting evidence at a hearing, and the </w:t>
      </w:r>
      <w:r>
        <w:rPr>
          <w:b w:val="0"/>
          <w:sz w:val="24"/>
          <w:szCs w:val="24"/>
        </w:rPr>
        <w:t xml:space="preserve">issuing </w:t>
      </w:r>
      <w:r w:rsidRPr="00373206">
        <w:rPr>
          <w:b w:val="0"/>
          <w:sz w:val="24"/>
          <w:szCs w:val="24"/>
        </w:rPr>
        <w:t xml:space="preserve">of subpoenas:  </w:t>
      </w:r>
    </w:p>
    <w:p w:rsidR="00DF5714" w:rsidRPr="00373206" w:rsidP="00DF5714" w14:paraId="77EF144C" w14:textId="77777777">
      <w:pPr>
        <w:pStyle w:val="Heading1"/>
        <w:spacing w:before="0" w:beforeAutospacing="0" w:after="0" w:afterAutospacing="0"/>
        <w:ind w:left="1440"/>
        <w:rPr>
          <w:b w:val="0"/>
          <w:sz w:val="24"/>
          <w:szCs w:val="24"/>
        </w:rPr>
      </w:pPr>
    </w:p>
    <w:p w:rsidR="00DF5714" w:rsidP="00DF5714" w14:paraId="29EA965B" w14:textId="77777777">
      <w:pPr>
        <w:pStyle w:val="Heading1"/>
        <w:numPr>
          <w:ilvl w:val="0"/>
          <w:numId w:val="2"/>
        </w:numPr>
        <w:spacing w:before="0" w:beforeAutospacing="0" w:after="0" w:afterAutospacing="0"/>
        <w:rPr>
          <w:b w:val="0"/>
          <w:sz w:val="24"/>
          <w:szCs w:val="24"/>
        </w:rPr>
      </w:pPr>
      <w:r w:rsidRPr="00A64509">
        <w:rPr>
          <w:sz w:val="24"/>
          <w:szCs w:val="24"/>
        </w:rPr>
        <w:t>20 CFR 404.950</w:t>
      </w:r>
      <w:r>
        <w:rPr>
          <w:sz w:val="24"/>
          <w:szCs w:val="24"/>
        </w:rPr>
        <w:t>,</w:t>
      </w:r>
      <w:r w:rsidRPr="00A64509">
        <w:rPr>
          <w:sz w:val="24"/>
          <w:szCs w:val="24"/>
        </w:rPr>
        <w:t xml:space="preserve"> </w:t>
      </w:r>
      <w:r w:rsidRPr="00D914E5">
        <w:rPr>
          <w:sz w:val="24"/>
          <w:szCs w:val="24"/>
        </w:rPr>
        <w:t>416.1450</w:t>
      </w:r>
      <w:r>
        <w:rPr>
          <w:sz w:val="24"/>
          <w:szCs w:val="24"/>
        </w:rPr>
        <w:t xml:space="preserve">, </w:t>
      </w:r>
      <w:r>
        <w:rPr>
          <w:b w:val="0"/>
          <w:sz w:val="24"/>
          <w:szCs w:val="24"/>
        </w:rPr>
        <w:t xml:space="preserve">and </w:t>
      </w:r>
      <w:r>
        <w:rPr>
          <w:sz w:val="24"/>
          <w:szCs w:val="24"/>
        </w:rPr>
        <w:t>405.332</w:t>
      </w:r>
      <w:r>
        <w:rPr>
          <w:b w:val="0"/>
          <w:i/>
          <w:sz w:val="24"/>
          <w:szCs w:val="24"/>
        </w:rPr>
        <w:t xml:space="preserve"> </w:t>
      </w:r>
      <w:r>
        <w:rPr>
          <w:b w:val="0"/>
          <w:sz w:val="24"/>
          <w:szCs w:val="24"/>
        </w:rPr>
        <w:t>explain an individual’s right to present evidence at a hearing, including the subpoena process.</w:t>
      </w:r>
    </w:p>
    <w:p w:rsidR="00DF5714" w:rsidP="00DF5714" w14:paraId="2796E685" w14:textId="77777777">
      <w:pPr>
        <w:pStyle w:val="Heading1"/>
        <w:spacing w:before="0" w:beforeAutospacing="0" w:after="0" w:afterAutospacing="0"/>
        <w:ind w:left="1800"/>
        <w:rPr>
          <w:b w:val="0"/>
          <w:sz w:val="24"/>
          <w:szCs w:val="24"/>
        </w:rPr>
      </w:pPr>
    </w:p>
    <w:p w:rsidR="00DF5714" w:rsidP="00DF5714" w14:paraId="63163E67" w14:textId="77777777">
      <w:pPr>
        <w:pStyle w:val="Heading1"/>
        <w:numPr>
          <w:ilvl w:val="0"/>
          <w:numId w:val="2"/>
        </w:numPr>
        <w:spacing w:before="0" w:beforeAutospacing="0" w:after="0" w:afterAutospacing="0"/>
        <w:rPr>
          <w:b w:val="0"/>
          <w:sz w:val="24"/>
          <w:szCs w:val="24"/>
        </w:rPr>
      </w:pPr>
      <w:r w:rsidRPr="00486E9D">
        <w:rPr>
          <w:sz w:val="24"/>
          <w:szCs w:val="24"/>
        </w:rPr>
        <w:t>20 CFR 405.372(c)</w:t>
      </w:r>
      <w:r>
        <w:rPr>
          <w:b w:val="0"/>
          <w:sz w:val="24"/>
          <w:szCs w:val="24"/>
        </w:rPr>
        <w:t xml:space="preserve"> explains an applicant’s right to submit additional evidence to the Appeals Council; the Council will only consider the additional evidence if it meets certain criteria.</w:t>
      </w:r>
    </w:p>
    <w:p w:rsidR="00DF5714" w:rsidP="00DF5714" w14:paraId="6764D733" w14:textId="77777777">
      <w:pPr>
        <w:pStyle w:val="ListParagraph"/>
        <w:rPr>
          <w:b/>
        </w:rPr>
      </w:pPr>
    </w:p>
    <w:p w:rsidR="00DF5714" w:rsidP="00DF5714" w14:paraId="22A09AF1" w14:textId="77777777">
      <w:pPr>
        <w:pStyle w:val="Heading1"/>
        <w:numPr>
          <w:ilvl w:val="0"/>
          <w:numId w:val="2"/>
        </w:numPr>
        <w:spacing w:before="0" w:beforeAutospacing="0" w:after="0" w:afterAutospacing="0"/>
        <w:rPr>
          <w:b w:val="0"/>
          <w:sz w:val="24"/>
          <w:szCs w:val="24"/>
        </w:rPr>
      </w:pPr>
      <w:r w:rsidRPr="00D5235E">
        <w:rPr>
          <w:sz w:val="24"/>
          <w:szCs w:val="24"/>
        </w:rPr>
        <w:t>20 CFR 405.1(c)(2)</w:t>
      </w:r>
      <w:r>
        <w:rPr>
          <w:b w:val="0"/>
          <w:sz w:val="24"/>
          <w:szCs w:val="24"/>
        </w:rPr>
        <w:t xml:space="preserve"> explains the requirement for applicants to provide evidence to support their claim when they appeal SSA’s decisions.</w:t>
      </w:r>
    </w:p>
    <w:p w:rsidR="00DF5714" w:rsidP="00DF5714" w14:paraId="0664DA1C" w14:textId="77777777">
      <w:pPr>
        <w:pStyle w:val="Heading1"/>
        <w:spacing w:before="0" w:beforeAutospacing="0" w:after="0" w:afterAutospacing="0"/>
        <w:ind w:left="1440"/>
        <w:rPr>
          <w:b w:val="0"/>
          <w:sz w:val="24"/>
          <w:szCs w:val="24"/>
        </w:rPr>
      </w:pPr>
    </w:p>
    <w:p w:rsidR="00DF5714" w:rsidP="00DF5714" w14:paraId="66100D61" w14:textId="77777777">
      <w:pPr>
        <w:pStyle w:val="Heading1"/>
        <w:spacing w:before="0" w:beforeAutospacing="0" w:after="0" w:afterAutospacing="0"/>
        <w:ind w:left="1440"/>
        <w:rPr>
          <w:b w:val="0"/>
          <w:sz w:val="24"/>
          <w:szCs w:val="24"/>
        </w:rPr>
      </w:pPr>
      <w:r w:rsidRPr="00373206">
        <w:rPr>
          <w:b w:val="0"/>
          <w:sz w:val="24"/>
          <w:szCs w:val="24"/>
        </w:rPr>
        <w:t>The following regulations pertain to written and oral arguments in addition to pre</w:t>
      </w:r>
      <w:r w:rsidR="00633D8B">
        <w:rPr>
          <w:b w:val="0"/>
          <w:sz w:val="24"/>
          <w:szCs w:val="24"/>
        </w:rPr>
        <w:noBreakHyphen/>
      </w:r>
      <w:r w:rsidRPr="00373206">
        <w:rPr>
          <w:b w:val="0"/>
          <w:sz w:val="24"/>
          <w:szCs w:val="24"/>
        </w:rPr>
        <w:t xml:space="preserve">hearing statements: </w:t>
      </w:r>
    </w:p>
    <w:p w:rsidR="00DF5714" w:rsidP="00DF5714" w14:paraId="10DE3EB3" w14:textId="77777777">
      <w:pPr>
        <w:pStyle w:val="Heading1"/>
        <w:spacing w:before="0" w:beforeAutospacing="0" w:after="0" w:afterAutospacing="0"/>
        <w:ind w:left="1440"/>
        <w:rPr>
          <w:b w:val="0"/>
          <w:sz w:val="24"/>
          <w:szCs w:val="24"/>
        </w:rPr>
      </w:pPr>
    </w:p>
    <w:p w:rsidR="00DF5714" w:rsidP="00DF5714" w14:paraId="39180131" w14:textId="286343BC">
      <w:pPr>
        <w:pStyle w:val="Heading1"/>
        <w:numPr>
          <w:ilvl w:val="0"/>
          <w:numId w:val="2"/>
        </w:numPr>
        <w:spacing w:before="0" w:beforeAutospacing="0" w:after="0" w:afterAutospacing="0"/>
        <w:rPr>
          <w:b w:val="0"/>
          <w:sz w:val="24"/>
          <w:szCs w:val="24"/>
        </w:rPr>
      </w:pPr>
      <w:r w:rsidRPr="00A64509">
        <w:rPr>
          <w:sz w:val="24"/>
          <w:szCs w:val="24"/>
        </w:rPr>
        <w:t>20 CFR 404.949</w:t>
      </w:r>
      <w:r>
        <w:rPr>
          <w:sz w:val="24"/>
          <w:szCs w:val="24"/>
        </w:rPr>
        <w:t xml:space="preserve"> and </w:t>
      </w:r>
      <w:r w:rsidR="003F52A8">
        <w:rPr>
          <w:sz w:val="24"/>
          <w:szCs w:val="24"/>
        </w:rPr>
        <w:t>416</w:t>
      </w:r>
      <w:r>
        <w:rPr>
          <w:sz w:val="24"/>
          <w:szCs w:val="24"/>
        </w:rPr>
        <w:t>.1449</w:t>
      </w:r>
      <w:r w:rsidRPr="00373206">
        <w:rPr>
          <w:b w:val="0"/>
          <w:i/>
          <w:sz w:val="24"/>
          <w:szCs w:val="24"/>
        </w:rPr>
        <w:t xml:space="preserve"> </w:t>
      </w:r>
      <w:r w:rsidRPr="00373206">
        <w:rPr>
          <w:b w:val="0"/>
          <w:sz w:val="24"/>
          <w:szCs w:val="24"/>
        </w:rPr>
        <w:t>stipulate</w:t>
      </w:r>
      <w:r>
        <w:rPr>
          <w:b w:val="0"/>
          <w:sz w:val="24"/>
          <w:szCs w:val="24"/>
        </w:rPr>
        <w:t xml:space="preserve"> </w:t>
      </w:r>
      <w:r w:rsidRPr="00373206">
        <w:rPr>
          <w:b w:val="0"/>
          <w:sz w:val="24"/>
          <w:szCs w:val="24"/>
        </w:rPr>
        <w:t>an individual</w:t>
      </w:r>
      <w:r>
        <w:rPr>
          <w:b w:val="0"/>
          <w:sz w:val="24"/>
          <w:szCs w:val="24"/>
        </w:rPr>
        <w:t>’s</w:t>
      </w:r>
      <w:r w:rsidRPr="00373206">
        <w:rPr>
          <w:b w:val="0"/>
          <w:sz w:val="24"/>
          <w:szCs w:val="24"/>
        </w:rPr>
        <w:t xml:space="preserve"> (or designated representative</w:t>
      </w:r>
      <w:r>
        <w:rPr>
          <w:b w:val="0"/>
          <w:sz w:val="24"/>
          <w:szCs w:val="24"/>
        </w:rPr>
        <w:t>s’</w:t>
      </w:r>
      <w:r w:rsidRPr="00373206">
        <w:rPr>
          <w:b w:val="0"/>
          <w:sz w:val="24"/>
          <w:szCs w:val="24"/>
        </w:rPr>
        <w:t xml:space="preserve">) </w:t>
      </w:r>
      <w:r>
        <w:rPr>
          <w:b w:val="0"/>
          <w:sz w:val="24"/>
          <w:szCs w:val="24"/>
        </w:rPr>
        <w:t>rights to</w:t>
      </w:r>
      <w:r w:rsidRPr="00373206">
        <w:rPr>
          <w:b w:val="0"/>
          <w:sz w:val="24"/>
          <w:szCs w:val="24"/>
        </w:rPr>
        <w:t xml:space="preserve"> appear before an administrative law judge to present an oral</w:t>
      </w:r>
      <w:r>
        <w:rPr>
          <w:b w:val="0"/>
          <w:sz w:val="24"/>
          <w:szCs w:val="24"/>
        </w:rPr>
        <w:t xml:space="preserve"> or written statement of a case.</w:t>
      </w:r>
    </w:p>
    <w:p w:rsidR="00DF5714" w:rsidP="00DF5714" w14:paraId="68F27610" w14:textId="77777777">
      <w:pPr>
        <w:pStyle w:val="Heading1"/>
        <w:spacing w:before="0" w:beforeAutospacing="0" w:after="0" w:afterAutospacing="0"/>
        <w:ind w:left="1800"/>
        <w:rPr>
          <w:b w:val="0"/>
          <w:sz w:val="24"/>
          <w:szCs w:val="24"/>
        </w:rPr>
      </w:pPr>
    </w:p>
    <w:p w:rsidR="00DF5714" w:rsidP="00DF5714" w14:paraId="38A825AB" w14:textId="77777777">
      <w:pPr>
        <w:pStyle w:val="Heading1"/>
        <w:numPr>
          <w:ilvl w:val="0"/>
          <w:numId w:val="2"/>
        </w:numPr>
        <w:spacing w:before="0" w:beforeAutospacing="0" w:after="0" w:afterAutospacing="0"/>
        <w:rPr>
          <w:b w:val="0"/>
          <w:sz w:val="24"/>
          <w:szCs w:val="24"/>
        </w:rPr>
      </w:pPr>
      <w:r>
        <w:rPr>
          <w:sz w:val="24"/>
          <w:szCs w:val="24"/>
        </w:rPr>
        <w:t xml:space="preserve">20 CFR 405.334 </w:t>
      </w:r>
      <w:r>
        <w:rPr>
          <w:b w:val="0"/>
          <w:sz w:val="24"/>
          <w:szCs w:val="24"/>
        </w:rPr>
        <w:t>stipulates how an individual (or designated representative) may, at any time before the hearing begins, submit a pre-hearing statement with an explanation of the alleged disability.</w:t>
      </w:r>
    </w:p>
    <w:p w:rsidR="00DF5714" w:rsidP="00DF5714" w14:paraId="25B9F381" w14:textId="77777777">
      <w:pPr>
        <w:pStyle w:val="Heading1"/>
        <w:spacing w:before="0" w:beforeAutospacing="0" w:after="0" w:afterAutospacing="0"/>
        <w:ind w:left="1800"/>
        <w:rPr>
          <w:b w:val="0"/>
          <w:sz w:val="24"/>
          <w:szCs w:val="24"/>
        </w:rPr>
      </w:pPr>
    </w:p>
    <w:p w:rsidR="00DF5714" w:rsidP="00DF5714" w14:paraId="69BF624B" w14:textId="77777777">
      <w:pPr>
        <w:pStyle w:val="Heading1"/>
        <w:spacing w:before="0" w:beforeAutospacing="0" w:after="0" w:afterAutospacing="0"/>
        <w:ind w:left="1440"/>
        <w:rPr>
          <w:b w:val="0"/>
          <w:sz w:val="24"/>
          <w:szCs w:val="24"/>
        </w:rPr>
      </w:pPr>
      <w:r w:rsidRPr="00036D4E">
        <w:rPr>
          <w:b w:val="0"/>
          <w:sz w:val="24"/>
          <w:szCs w:val="24"/>
        </w:rPr>
        <w:t>The following</w:t>
      </w:r>
      <w:r w:rsidRPr="00EA6E42">
        <w:rPr>
          <w:b w:val="0"/>
          <w:i/>
          <w:sz w:val="24"/>
          <w:szCs w:val="24"/>
        </w:rPr>
        <w:t xml:space="preserve"> </w:t>
      </w:r>
      <w:r w:rsidRPr="00264EA3">
        <w:rPr>
          <w:b w:val="0"/>
          <w:sz w:val="24"/>
          <w:szCs w:val="24"/>
        </w:rPr>
        <w:t>r</w:t>
      </w:r>
      <w:r w:rsidRPr="00373206">
        <w:rPr>
          <w:b w:val="0"/>
          <w:sz w:val="24"/>
          <w:szCs w:val="24"/>
        </w:rPr>
        <w:t>egulations pertain to dismissals of request</w:t>
      </w:r>
      <w:r>
        <w:rPr>
          <w:b w:val="0"/>
          <w:sz w:val="24"/>
          <w:szCs w:val="24"/>
        </w:rPr>
        <w:t>s</w:t>
      </w:r>
      <w:r w:rsidRPr="00373206">
        <w:rPr>
          <w:b w:val="0"/>
          <w:sz w:val="24"/>
          <w:szCs w:val="24"/>
        </w:rPr>
        <w:t xml:space="preserve"> for hearing</w:t>
      </w:r>
      <w:r w:rsidR="007B55F5">
        <w:rPr>
          <w:b w:val="0"/>
          <w:sz w:val="24"/>
          <w:szCs w:val="24"/>
        </w:rPr>
        <w:t>s</w:t>
      </w:r>
      <w:r w:rsidRPr="00373206">
        <w:rPr>
          <w:b w:val="0"/>
          <w:sz w:val="24"/>
          <w:szCs w:val="24"/>
        </w:rPr>
        <w:t xml:space="preserve"> </w:t>
      </w:r>
      <w:r>
        <w:rPr>
          <w:b w:val="0"/>
          <w:sz w:val="24"/>
          <w:szCs w:val="24"/>
        </w:rPr>
        <w:t>be</w:t>
      </w:r>
      <w:r w:rsidRPr="00373206">
        <w:rPr>
          <w:b w:val="0"/>
          <w:sz w:val="24"/>
          <w:szCs w:val="24"/>
        </w:rPr>
        <w:t>for</w:t>
      </w:r>
      <w:r>
        <w:rPr>
          <w:b w:val="0"/>
          <w:sz w:val="24"/>
          <w:szCs w:val="24"/>
        </w:rPr>
        <w:t>e</w:t>
      </w:r>
      <w:r w:rsidRPr="00373206">
        <w:rPr>
          <w:b w:val="0"/>
          <w:sz w:val="24"/>
          <w:szCs w:val="24"/>
        </w:rPr>
        <w:t xml:space="preserve"> an administrative law judge,</w:t>
      </w:r>
      <w:r w:rsidR="00714BB7">
        <w:rPr>
          <w:b w:val="0"/>
          <w:sz w:val="24"/>
          <w:szCs w:val="24"/>
        </w:rPr>
        <w:t xml:space="preserve"> including requests to withdraw a request for hearing,</w:t>
      </w:r>
      <w:r w:rsidRPr="00373206">
        <w:rPr>
          <w:b w:val="0"/>
          <w:sz w:val="24"/>
          <w:szCs w:val="24"/>
        </w:rPr>
        <w:t xml:space="preserve"> and the notice of dismissal:  </w:t>
      </w:r>
    </w:p>
    <w:p w:rsidR="00DF5714" w:rsidRPr="00373206" w:rsidP="00DF5714" w14:paraId="6E2ACD8E" w14:textId="77777777">
      <w:pPr>
        <w:pStyle w:val="Heading1"/>
        <w:spacing w:before="0" w:beforeAutospacing="0" w:after="0" w:afterAutospacing="0"/>
        <w:ind w:left="1440"/>
        <w:rPr>
          <w:b w:val="0"/>
          <w:sz w:val="24"/>
          <w:szCs w:val="24"/>
        </w:rPr>
      </w:pPr>
    </w:p>
    <w:p w:rsidR="00DF5714" w:rsidP="00DF5714" w14:paraId="7B1CB984" w14:textId="77777777">
      <w:pPr>
        <w:pStyle w:val="Heading1"/>
        <w:numPr>
          <w:ilvl w:val="0"/>
          <w:numId w:val="3"/>
        </w:numPr>
        <w:spacing w:before="0" w:beforeAutospacing="0" w:after="0" w:afterAutospacing="0"/>
        <w:rPr>
          <w:b w:val="0"/>
          <w:sz w:val="24"/>
          <w:szCs w:val="24"/>
        </w:rPr>
      </w:pPr>
      <w:r w:rsidRPr="00A64509">
        <w:rPr>
          <w:sz w:val="24"/>
          <w:szCs w:val="24"/>
        </w:rPr>
        <w:t>20 CFR 404.957</w:t>
      </w:r>
      <w:r>
        <w:rPr>
          <w:sz w:val="24"/>
          <w:szCs w:val="24"/>
        </w:rPr>
        <w:t>,</w:t>
      </w:r>
      <w:r w:rsidRPr="00A64509">
        <w:rPr>
          <w:b w:val="0"/>
          <w:sz w:val="24"/>
          <w:szCs w:val="24"/>
        </w:rPr>
        <w:t xml:space="preserve"> </w:t>
      </w:r>
      <w:r w:rsidRPr="00D914E5">
        <w:rPr>
          <w:sz w:val="24"/>
          <w:szCs w:val="24"/>
        </w:rPr>
        <w:t>416.1457</w:t>
      </w:r>
      <w:r>
        <w:rPr>
          <w:sz w:val="24"/>
          <w:szCs w:val="24"/>
        </w:rPr>
        <w:t xml:space="preserve">, </w:t>
      </w:r>
      <w:r>
        <w:rPr>
          <w:b w:val="0"/>
          <w:sz w:val="24"/>
          <w:szCs w:val="24"/>
        </w:rPr>
        <w:t xml:space="preserve">and </w:t>
      </w:r>
      <w:r>
        <w:rPr>
          <w:sz w:val="24"/>
          <w:szCs w:val="24"/>
        </w:rPr>
        <w:t>405.380</w:t>
      </w:r>
      <w:r>
        <w:rPr>
          <w:b w:val="0"/>
          <w:sz w:val="24"/>
          <w:szCs w:val="24"/>
        </w:rPr>
        <w:t xml:space="preserve"> </w:t>
      </w:r>
      <w:r w:rsidRPr="00373206">
        <w:rPr>
          <w:b w:val="0"/>
          <w:sz w:val="24"/>
          <w:szCs w:val="24"/>
        </w:rPr>
        <w:t>explain</w:t>
      </w:r>
      <w:r>
        <w:rPr>
          <w:b w:val="0"/>
          <w:sz w:val="24"/>
          <w:szCs w:val="24"/>
        </w:rPr>
        <w:t xml:space="preserve"> </w:t>
      </w:r>
      <w:r w:rsidRPr="00373206">
        <w:rPr>
          <w:b w:val="0"/>
          <w:sz w:val="24"/>
          <w:szCs w:val="24"/>
        </w:rPr>
        <w:t>the conditions under which an administrative law judge ma</w:t>
      </w:r>
      <w:r>
        <w:rPr>
          <w:b w:val="0"/>
          <w:sz w:val="24"/>
          <w:szCs w:val="24"/>
        </w:rPr>
        <w:t>y dismiss a request for hearing.</w:t>
      </w:r>
      <w:r w:rsidRPr="00373206">
        <w:rPr>
          <w:b w:val="0"/>
          <w:sz w:val="24"/>
          <w:szCs w:val="24"/>
        </w:rPr>
        <w:t xml:space="preserve"> </w:t>
      </w:r>
    </w:p>
    <w:p w:rsidR="00DF5714" w:rsidP="00DF5714" w14:paraId="180603C0" w14:textId="77777777">
      <w:pPr>
        <w:pStyle w:val="Heading1"/>
        <w:spacing w:before="0" w:beforeAutospacing="0" w:after="0" w:afterAutospacing="0"/>
        <w:ind w:left="1800"/>
        <w:rPr>
          <w:b w:val="0"/>
          <w:sz w:val="24"/>
          <w:szCs w:val="24"/>
        </w:rPr>
      </w:pPr>
    </w:p>
    <w:p w:rsidR="00DF5714" w:rsidRPr="00036D4E" w:rsidP="00DF5714" w14:paraId="39CAADE6" w14:textId="77777777">
      <w:pPr>
        <w:pStyle w:val="Heading1"/>
        <w:numPr>
          <w:ilvl w:val="0"/>
          <w:numId w:val="3"/>
        </w:numPr>
        <w:spacing w:before="0" w:beforeAutospacing="0" w:after="0" w:afterAutospacing="0"/>
        <w:rPr>
          <w:b w:val="0"/>
          <w:sz w:val="24"/>
          <w:szCs w:val="24"/>
        </w:rPr>
      </w:pPr>
      <w:r>
        <w:rPr>
          <w:sz w:val="24"/>
          <w:szCs w:val="24"/>
        </w:rPr>
        <w:t xml:space="preserve">20 CFR 405.381 </w:t>
      </w:r>
      <w:r>
        <w:rPr>
          <w:b w:val="0"/>
          <w:sz w:val="24"/>
          <w:szCs w:val="24"/>
        </w:rPr>
        <w:t>outlines the contents of the notice of dismissal and the procedures for requesting Appeals Council review of the dismissal decision.</w:t>
      </w:r>
    </w:p>
    <w:p w:rsidR="00DF5714" w:rsidP="00DF5714" w14:paraId="2F7E1F88" w14:textId="77777777">
      <w:pPr>
        <w:pStyle w:val="Heading1"/>
        <w:spacing w:before="0" w:beforeAutospacing="0" w:after="0" w:afterAutospacing="0"/>
        <w:ind w:left="1800"/>
        <w:rPr>
          <w:b w:val="0"/>
          <w:sz w:val="24"/>
          <w:szCs w:val="24"/>
        </w:rPr>
      </w:pPr>
    </w:p>
    <w:p w:rsidR="00DF5714" w:rsidP="00DF5714" w14:paraId="148C691E" w14:textId="77777777">
      <w:pPr>
        <w:pStyle w:val="Heading1"/>
        <w:spacing w:before="0" w:beforeAutospacing="0" w:after="0" w:afterAutospacing="0"/>
        <w:ind w:left="1440"/>
        <w:rPr>
          <w:b w:val="0"/>
          <w:sz w:val="24"/>
          <w:szCs w:val="24"/>
        </w:rPr>
      </w:pPr>
      <w:r w:rsidRPr="00EA6E42">
        <w:rPr>
          <w:b w:val="0"/>
          <w:sz w:val="24"/>
          <w:szCs w:val="24"/>
        </w:rPr>
        <w:t xml:space="preserve">The following </w:t>
      </w:r>
      <w:r w:rsidRPr="00373206">
        <w:rPr>
          <w:b w:val="0"/>
          <w:sz w:val="24"/>
          <w:szCs w:val="24"/>
        </w:rPr>
        <w:t xml:space="preserve">regulations pertain to administrative procedures before the </w:t>
      </w:r>
      <w:r>
        <w:rPr>
          <w:b w:val="0"/>
          <w:sz w:val="24"/>
          <w:szCs w:val="24"/>
        </w:rPr>
        <w:t>Appeals Council</w:t>
      </w:r>
      <w:r w:rsidRPr="00373206">
        <w:rPr>
          <w:b w:val="0"/>
          <w:sz w:val="24"/>
          <w:szCs w:val="24"/>
        </w:rPr>
        <w:t>, including claims an administrative law judge</w:t>
      </w:r>
      <w:r w:rsidR="007B55F5">
        <w:rPr>
          <w:b w:val="0"/>
          <w:sz w:val="24"/>
          <w:szCs w:val="24"/>
        </w:rPr>
        <w:t xml:space="preserve"> dismissed</w:t>
      </w:r>
      <w:r w:rsidRPr="00373206">
        <w:rPr>
          <w:b w:val="0"/>
          <w:sz w:val="24"/>
          <w:szCs w:val="24"/>
        </w:rPr>
        <w:t>:</w:t>
      </w:r>
    </w:p>
    <w:p w:rsidR="00DF5714" w:rsidP="00DF5714" w14:paraId="69A96D07" w14:textId="77777777">
      <w:pPr>
        <w:pStyle w:val="Heading1"/>
        <w:spacing w:before="0" w:beforeAutospacing="0" w:after="0" w:afterAutospacing="0"/>
        <w:ind w:left="1440"/>
        <w:rPr>
          <w:b w:val="0"/>
          <w:sz w:val="24"/>
          <w:szCs w:val="24"/>
        </w:rPr>
      </w:pPr>
    </w:p>
    <w:p w:rsidR="00DF5714" w:rsidP="00DF5714" w14:paraId="23C88A2C" w14:textId="77777777">
      <w:pPr>
        <w:pStyle w:val="Heading1"/>
        <w:numPr>
          <w:ilvl w:val="0"/>
          <w:numId w:val="11"/>
        </w:numPr>
        <w:spacing w:before="0" w:beforeAutospacing="0" w:after="0" w:afterAutospacing="0"/>
        <w:ind w:left="1800"/>
        <w:rPr>
          <w:b w:val="0"/>
          <w:sz w:val="24"/>
          <w:szCs w:val="24"/>
        </w:rPr>
      </w:pPr>
      <w:r>
        <w:rPr>
          <w:sz w:val="24"/>
          <w:szCs w:val="24"/>
        </w:rPr>
        <w:t>20 CFR 405.401</w:t>
      </w:r>
      <w:r>
        <w:rPr>
          <w:b w:val="0"/>
          <w:sz w:val="24"/>
          <w:szCs w:val="24"/>
        </w:rPr>
        <w:t xml:space="preserve"> explains procedures for requesting review of a hearing decision</w:t>
      </w:r>
      <w:r w:rsidR="007B55F5">
        <w:rPr>
          <w:b w:val="0"/>
          <w:sz w:val="24"/>
          <w:szCs w:val="24"/>
        </w:rPr>
        <w:t>,</w:t>
      </w:r>
      <w:r>
        <w:rPr>
          <w:b w:val="0"/>
          <w:sz w:val="24"/>
          <w:szCs w:val="24"/>
        </w:rPr>
        <w:t xml:space="preserve"> or a dismissal of a hearing request</w:t>
      </w:r>
      <w:r w:rsidR="007B55F5">
        <w:rPr>
          <w:b w:val="0"/>
          <w:sz w:val="24"/>
          <w:szCs w:val="24"/>
        </w:rPr>
        <w:t>,</w:t>
      </w:r>
      <w:r>
        <w:rPr>
          <w:b w:val="0"/>
          <w:sz w:val="24"/>
          <w:szCs w:val="24"/>
        </w:rPr>
        <w:t xml:space="preserve"> and the conditions under which the Appeals Council will consider new evidence.</w:t>
      </w:r>
    </w:p>
    <w:p w:rsidR="00F92CF8" w14:paraId="5F6991A6" w14:textId="77777777">
      <w:pPr>
        <w:pStyle w:val="Heading1"/>
        <w:spacing w:before="0" w:beforeAutospacing="0" w:after="0" w:afterAutospacing="0"/>
        <w:ind w:left="1440"/>
        <w:rPr>
          <w:b w:val="0"/>
          <w:sz w:val="24"/>
          <w:szCs w:val="24"/>
        </w:rPr>
      </w:pPr>
    </w:p>
    <w:p w:rsidR="00F92CF8" w14:paraId="70057B12" w14:textId="77777777">
      <w:pPr>
        <w:pStyle w:val="Heading1"/>
        <w:spacing w:before="0" w:beforeAutospacing="0" w:after="0" w:afterAutospacing="0"/>
        <w:ind w:left="1440"/>
        <w:rPr>
          <w:b w:val="0"/>
          <w:sz w:val="24"/>
          <w:szCs w:val="24"/>
        </w:rPr>
      </w:pPr>
      <w:r>
        <w:rPr>
          <w:b w:val="0"/>
          <w:sz w:val="24"/>
          <w:szCs w:val="24"/>
        </w:rPr>
        <w:t>The following regulations pertain to dismissals of requests for Appeals Council</w:t>
      </w:r>
      <w:r w:rsidR="007B55F5">
        <w:rPr>
          <w:b w:val="0"/>
          <w:sz w:val="24"/>
          <w:szCs w:val="24"/>
        </w:rPr>
        <w:t xml:space="preserve"> review</w:t>
      </w:r>
      <w:r>
        <w:rPr>
          <w:b w:val="0"/>
          <w:sz w:val="24"/>
          <w:szCs w:val="24"/>
        </w:rPr>
        <w:t>, including requests to withdraw a request for review:</w:t>
      </w:r>
    </w:p>
    <w:p w:rsidR="00F92CF8" w14:paraId="1D4F65B7" w14:textId="77777777">
      <w:pPr>
        <w:pStyle w:val="Heading1"/>
        <w:spacing w:before="0" w:beforeAutospacing="0" w:after="0" w:afterAutospacing="0"/>
        <w:ind w:left="1440"/>
        <w:rPr>
          <w:b w:val="0"/>
          <w:sz w:val="24"/>
          <w:szCs w:val="24"/>
        </w:rPr>
      </w:pPr>
    </w:p>
    <w:p w:rsidR="0095629B" w:rsidP="0095629B" w14:paraId="09FDE0D8" w14:textId="77777777">
      <w:pPr>
        <w:pStyle w:val="Heading1"/>
        <w:numPr>
          <w:ilvl w:val="0"/>
          <w:numId w:val="11"/>
        </w:numPr>
        <w:spacing w:before="0" w:beforeAutospacing="0" w:after="0" w:afterAutospacing="0"/>
        <w:ind w:left="1800"/>
        <w:rPr>
          <w:b w:val="0"/>
          <w:sz w:val="24"/>
          <w:szCs w:val="24"/>
        </w:rPr>
      </w:pPr>
      <w:r>
        <w:rPr>
          <w:sz w:val="24"/>
          <w:szCs w:val="24"/>
        </w:rPr>
        <w:t xml:space="preserve">20 CFR 404.971 </w:t>
      </w:r>
      <w:r w:rsidRPr="00581ABC" w:rsidR="00581ABC">
        <w:rPr>
          <w:b w:val="0"/>
          <w:sz w:val="24"/>
          <w:szCs w:val="24"/>
        </w:rPr>
        <w:t xml:space="preserve">and </w:t>
      </w:r>
      <w:r>
        <w:rPr>
          <w:sz w:val="24"/>
          <w:szCs w:val="24"/>
        </w:rPr>
        <w:t xml:space="preserve">416.1471 </w:t>
      </w:r>
      <w:r>
        <w:rPr>
          <w:b w:val="0"/>
          <w:sz w:val="24"/>
          <w:szCs w:val="24"/>
        </w:rPr>
        <w:t>explain the conditions under which the Appeals Council may dismiss a request for review.</w:t>
      </w:r>
      <w:r w:rsidR="00BA1B1E">
        <w:rPr>
          <w:b w:val="0"/>
          <w:sz w:val="24"/>
          <w:szCs w:val="24"/>
        </w:rPr>
        <w:t xml:space="preserve">  These regulations also allow the claimants to use Form HA-85</w:t>
      </w:r>
      <w:r w:rsidR="006533FA">
        <w:rPr>
          <w:b w:val="0"/>
          <w:sz w:val="24"/>
          <w:szCs w:val="24"/>
        </w:rPr>
        <w:t xml:space="preserve">, Request to Withdraw a Hearing Request, </w:t>
      </w:r>
      <w:r w:rsidR="00BA1B1E">
        <w:rPr>
          <w:b w:val="0"/>
          <w:sz w:val="24"/>
          <w:szCs w:val="24"/>
        </w:rPr>
        <w:t>and HA-86</w:t>
      </w:r>
      <w:r w:rsidR="006533FA">
        <w:rPr>
          <w:b w:val="0"/>
          <w:sz w:val="24"/>
          <w:szCs w:val="24"/>
        </w:rPr>
        <w:t>, Request to Withdraw an Appeals Council Request for Review</w:t>
      </w:r>
      <w:r w:rsidR="00BA1B1E">
        <w:rPr>
          <w:b w:val="0"/>
          <w:sz w:val="24"/>
          <w:szCs w:val="24"/>
        </w:rPr>
        <w:t xml:space="preserve">.  </w:t>
      </w:r>
      <w:r w:rsidRPr="00BA1B1E" w:rsidR="00BA1B1E">
        <w:rPr>
          <w:b w:val="0"/>
          <w:sz w:val="24"/>
          <w:szCs w:val="24"/>
        </w:rPr>
        <w:t>The information obtained on the completed HA-85 and HA-86 establishes a legally sufficient written record of the request of the party to withdraw their request for a heari</w:t>
      </w:r>
      <w:r w:rsidR="001B1C57">
        <w:rPr>
          <w:b w:val="0"/>
          <w:sz w:val="24"/>
          <w:szCs w:val="24"/>
        </w:rPr>
        <w:t>ng or their request for review</w:t>
      </w:r>
      <w:r w:rsidRPr="00BA1B1E" w:rsidR="00BA1B1E">
        <w:rPr>
          <w:b w:val="0"/>
          <w:sz w:val="24"/>
          <w:szCs w:val="24"/>
        </w:rPr>
        <w:t>.</w:t>
      </w:r>
    </w:p>
    <w:p w:rsidR="00DF5714" w:rsidRPr="00373206" w:rsidP="00DF5714" w14:paraId="6BA77D42" w14:textId="77777777">
      <w:pPr>
        <w:pStyle w:val="Heading1"/>
        <w:spacing w:before="0" w:beforeAutospacing="0" w:after="0" w:afterAutospacing="0"/>
        <w:ind w:left="1440"/>
        <w:rPr>
          <w:b w:val="0"/>
          <w:sz w:val="24"/>
          <w:szCs w:val="24"/>
        </w:rPr>
      </w:pPr>
      <w:r w:rsidRPr="00373206">
        <w:rPr>
          <w:b w:val="0"/>
          <w:sz w:val="24"/>
          <w:szCs w:val="24"/>
        </w:rPr>
        <w:t xml:space="preserve"> </w:t>
      </w:r>
    </w:p>
    <w:p w:rsidR="00DF5714" w:rsidP="00DF5714" w14:paraId="137D2F10" w14:textId="77777777">
      <w:pPr>
        <w:pStyle w:val="Heading1"/>
        <w:spacing w:before="0" w:beforeAutospacing="0" w:after="0" w:afterAutospacing="0"/>
        <w:ind w:left="1440"/>
        <w:rPr>
          <w:b w:val="0"/>
          <w:sz w:val="24"/>
          <w:szCs w:val="24"/>
        </w:rPr>
      </w:pPr>
      <w:r>
        <w:rPr>
          <w:b w:val="0"/>
          <w:sz w:val="24"/>
          <w:szCs w:val="24"/>
        </w:rPr>
        <w:t xml:space="preserve">The following regulations pertain to the extension of time for filing an action in a Federal district court:  </w:t>
      </w:r>
    </w:p>
    <w:p w:rsidR="00DF5714" w:rsidP="00DF5714" w14:paraId="44832372" w14:textId="77777777">
      <w:pPr>
        <w:ind w:left="1440"/>
      </w:pPr>
    </w:p>
    <w:p w:rsidR="00DF5714" w:rsidP="00DF5714" w14:paraId="75F3B3D0" w14:textId="77777777">
      <w:pPr>
        <w:numPr>
          <w:ilvl w:val="0"/>
          <w:numId w:val="5"/>
        </w:numPr>
      </w:pPr>
      <w:r w:rsidRPr="0047741B">
        <w:rPr>
          <w:b/>
        </w:rPr>
        <w:t>20 CFR 404.982</w:t>
      </w:r>
      <w:r>
        <w:rPr>
          <w:b/>
        </w:rPr>
        <w:t>,</w:t>
      </w:r>
      <w:r w:rsidRPr="00941032">
        <w:t xml:space="preserve"> </w:t>
      </w:r>
      <w:r w:rsidRPr="0047741B">
        <w:rPr>
          <w:b/>
        </w:rPr>
        <w:t>416.1482</w:t>
      </w:r>
      <w:r>
        <w:rPr>
          <w:b/>
        </w:rPr>
        <w:t xml:space="preserve">, </w:t>
      </w:r>
      <w:r>
        <w:t xml:space="preserve">and </w:t>
      </w:r>
      <w:r>
        <w:rPr>
          <w:b/>
        </w:rPr>
        <w:t xml:space="preserve">405.505 </w:t>
      </w:r>
      <w:r>
        <w:t>inform individuals who file for an extension of time to file a civil action must do so with the Appeals Council.</w:t>
      </w:r>
    </w:p>
    <w:p w:rsidR="00DF5714" w:rsidP="00DF5714" w14:paraId="214625E1" w14:textId="77777777">
      <w:pPr>
        <w:ind w:left="1800"/>
      </w:pPr>
    </w:p>
    <w:p w:rsidR="00DF5714" w:rsidRPr="00E96BB5" w:rsidP="00DF5714" w14:paraId="1B27F132" w14:textId="77777777">
      <w:pPr>
        <w:numPr>
          <w:ilvl w:val="0"/>
          <w:numId w:val="5"/>
        </w:numPr>
      </w:pPr>
      <w:r w:rsidRPr="00D5235E">
        <w:rPr>
          <w:b/>
        </w:rPr>
        <w:t>20 CFR 405.20</w:t>
      </w:r>
      <w:r>
        <w:t xml:space="preserve"> informs individuals who want extensions past the deadline to request administrative or judicial review to establish good cause for missing the deadline.</w:t>
      </w:r>
    </w:p>
    <w:p w:rsidR="00DF5714" w:rsidRPr="0047741B" w:rsidP="00DF5714" w14:paraId="665CD770" w14:textId="77777777">
      <w:pPr>
        <w:ind w:left="1800"/>
      </w:pPr>
    </w:p>
    <w:p w:rsidR="00DF5714" w:rsidRPr="00E96BB5" w:rsidP="00DF5714" w14:paraId="12C1E072" w14:textId="77777777">
      <w:pPr>
        <w:ind w:left="1440"/>
      </w:pPr>
      <w:r>
        <w:t xml:space="preserve">The </w:t>
      </w:r>
      <w:r w:rsidRPr="00E96BB5">
        <w:t xml:space="preserve">following regulations outline the conditions under which </w:t>
      </w:r>
      <w:r>
        <w:t xml:space="preserve">we may reopen </w:t>
      </w:r>
      <w:r w:rsidRPr="00E96BB5">
        <w:t xml:space="preserve">a final decision </w:t>
      </w:r>
      <w:r>
        <w:t>or determination</w:t>
      </w:r>
      <w:r w:rsidRPr="00E96BB5">
        <w:t>:</w:t>
      </w:r>
    </w:p>
    <w:p w:rsidR="00DF5714" w:rsidRPr="0047741B" w:rsidP="00DF5714" w14:paraId="32CC3973" w14:textId="77777777">
      <w:pPr>
        <w:ind w:left="1440"/>
      </w:pPr>
    </w:p>
    <w:p w:rsidR="00DF5714" w:rsidRPr="00486E9D" w:rsidP="00DF5714" w14:paraId="5FC4C7EB" w14:textId="77777777">
      <w:pPr>
        <w:numPr>
          <w:ilvl w:val="0"/>
          <w:numId w:val="5"/>
        </w:numPr>
      </w:pPr>
      <w:r w:rsidRPr="0047741B">
        <w:rPr>
          <w:b/>
        </w:rPr>
        <w:t>20 CFR 404.987</w:t>
      </w:r>
      <w:r>
        <w:rPr>
          <w:b/>
        </w:rPr>
        <w:t>,</w:t>
      </w:r>
      <w:r w:rsidRPr="00941032">
        <w:t xml:space="preserve"> </w:t>
      </w:r>
      <w:r w:rsidRPr="0047741B">
        <w:rPr>
          <w:b/>
        </w:rPr>
        <w:t>416.1487</w:t>
      </w:r>
      <w:r>
        <w:rPr>
          <w:b/>
        </w:rPr>
        <w:t>,</w:t>
      </w:r>
      <w:r>
        <w:t xml:space="preserve"> </w:t>
      </w:r>
      <w:r w:rsidRPr="0047741B">
        <w:rPr>
          <w:b/>
        </w:rPr>
        <w:t>20</w:t>
      </w:r>
      <w:r>
        <w:t xml:space="preserve"> </w:t>
      </w:r>
      <w:r w:rsidRPr="0047741B">
        <w:rPr>
          <w:b/>
        </w:rPr>
        <w:t>CFR 404.988</w:t>
      </w:r>
      <w:r>
        <w:rPr>
          <w:b/>
        </w:rPr>
        <w:t>,</w:t>
      </w:r>
      <w:r w:rsidRPr="00941032">
        <w:t xml:space="preserve"> </w:t>
      </w:r>
      <w:r w:rsidRPr="0047741B">
        <w:rPr>
          <w:b/>
        </w:rPr>
        <w:t>416.1488</w:t>
      </w:r>
      <w:r>
        <w:rPr>
          <w:b/>
        </w:rPr>
        <w:t xml:space="preserve">, </w:t>
      </w:r>
      <w:r>
        <w:t xml:space="preserve">and </w:t>
      </w:r>
      <w:r>
        <w:rPr>
          <w:b/>
        </w:rPr>
        <w:t xml:space="preserve">405.601 </w:t>
      </w:r>
      <w:r>
        <w:t>explain the procedure for reopening a final determination or decision, and the reasons an individual may use to reopen a final determination or decision.</w:t>
      </w:r>
    </w:p>
    <w:p w:rsidR="00DF5714" w:rsidP="00DF5714" w14:paraId="1B3665BB" w14:textId="77777777">
      <w:pPr>
        <w:ind w:left="1440"/>
        <w:rPr>
          <w:b/>
        </w:rPr>
      </w:pPr>
    </w:p>
    <w:p w:rsidR="004D296C" w:rsidP="004D296C" w14:paraId="10E964DE" w14:textId="77777777">
      <w:pPr>
        <w:ind w:left="1440"/>
      </w:pPr>
      <w:r>
        <w:t>The following regulations pertain to applicants who are dissatisfied with SSA’s final decision:</w:t>
      </w:r>
    </w:p>
    <w:p w:rsidR="004D296C" w:rsidP="004D296C" w14:paraId="64CF5962" w14:textId="77777777">
      <w:pPr>
        <w:ind w:left="1440"/>
      </w:pPr>
    </w:p>
    <w:p w:rsidR="004D296C" w:rsidRPr="00BA1B1E" w:rsidP="004D296C" w14:paraId="01A50269" w14:textId="77777777">
      <w:pPr>
        <w:pStyle w:val="ListParagraph"/>
        <w:numPr>
          <w:ilvl w:val="0"/>
          <w:numId w:val="5"/>
        </w:numPr>
        <w:autoSpaceDE/>
        <w:autoSpaceDN/>
        <w:adjustRightInd/>
      </w:pPr>
      <w:r w:rsidRPr="00843A15">
        <w:rPr>
          <w:b/>
        </w:rPr>
        <w:t xml:space="preserve">20 CFR 405.1(b)(5) </w:t>
      </w:r>
      <w:r w:rsidRPr="00486E9D">
        <w:t>and</w:t>
      </w:r>
      <w:r w:rsidRPr="00843A15">
        <w:rPr>
          <w:b/>
        </w:rPr>
        <w:t xml:space="preserve"> 405.372(b)</w:t>
      </w:r>
      <w:r>
        <w:t xml:space="preserve"> explain procedures for applicants who pursued their claims through all levels of administrative process and are dissatisfied with SSA’s final decision may request judicial review by filing an action in Federal district court within the stated time period.</w:t>
      </w:r>
    </w:p>
    <w:p w:rsidR="004D296C" w:rsidP="00DF5714" w14:paraId="325A28A6" w14:textId="77777777">
      <w:pPr>
        <w:ind w:left="1440"/>
      </w:pPr>
    </w:p>
    <w:p w:rsidR="00DF5714" w:rsidP="00DF5714" w14:paraId="47D62C1E" w14:textId="063093D9">
      <w:pPr>
        <w:ind w:left="1440"/>
      </w:pPr>
      <w:r>
        <w:t xml:space="preserve">The following regulations pertain to </w:t>
      </w:r>
      <w:r w:rsidR="004D296C">
        <w:t xml:space="preserve">representatives who require a reminder that </w:t>
      </w:r>
      <w:r w:rsidR="00D82288">
        <w:t xml:space="preserve">it is </w:t>
      </w:r>
      <w:r w:rsidR="004D296C">
        <w:t>their responsibility to make good faith efforts to obtain information or evidence that the claimant must submit for consideration under our regulations</w:t>
      </w:r>
      <w:r>
        <w:t>:</w:t>
      </w:r>
    </w:p>
    <w:p w:rsidR="00DF5714" w:rsidP="00DF5714" w14:paraId="7E6748A2" w14:textId="77777777">
      <w:pPr>
        <w:ind w:left="1440"/>
      </w:pPr>
    </w:p>
    <w:p w:rsidR="00945DC2" w:rsidP="00843A15" w14:paraId="5B5A6D2E" w14:textId="77777777">
      <w:pPr>
        <w:pStyle w:val="ListParagraph"/>
        <w:numPr>
          <w:ilvl w:val="0"/>
          <w:numId w:val="5"/>
        </w:numPr>
        <w:autoSpaceDE/>
        <w:autoSpaceDN/>
        <w:adjustRightInd/>
      </w:pPr>
      <w:r w:rsidRPr="00843A15">
        <w:rPr>
          <w:b/>
        </w:rPr>
        <w:t>20 CFR 40</w:t>
      </w:r>
      <w:r w:rsidR="004D296C">
        <w:rPr>
          <w:b/>
        </w:rPr>
        <w:t>4.1740(b)(1)</w:t>
      </w:r>
      <w:r w:rsidRPr="00843A15">
        <w:rPr>
          <w:b/>
        </w:rPr>
        <w:t xml:space="preserve"> </w:t>
      </w:r>
      <w:r w:rsidRPr="00486E9D">
        <w:t>and</w:t>
      </w:r>
      <w:r w:rsidRPr="00843A15">
        <w:rPr>
          <w:b/>
        </w:rPr>
        <w:t xml:space="preserve"> 4</w:t>
      </w:r>
      <w:r w:rsidR="004D296C">
        <w:rPr>
          <w:b/>
        </w:rPr>
        <w:t>16.1540(b)(1)</w:t>
      </w:r>
      <w:r w:rsidR="004D296C">
        <w:t xml:space="preserve"> explains that representatives must act with reasonable promptness to help obtain the information or evidence that the claimant must submit under our regulations and forward the information or evidence to us for consideration as soon as practical</w:t>
      </w:r>
      <w:r>
        <w:t>.</w:t>
      </w:r>
    </w:p>
    <w:p w:rsidR="004D296C" w:rsidP="004D296C" w14:paraId="371B6124" w14:textId="77777777">
      <w:pPr>
        <w:autoSpaceDE/>
        <w:autoSpaceDN/>
        <w:adjustRightInd/>
      </w:pPr>
    </w:p>
    <w:p w:rsidR="004D296C" w:rsidP="004D296C" w14:paraId="306A7D58" w14:textId="77777777">
      <w:pPr>
        <w:ind w:left="1440"/>
      </w:pPr>
      <w:r>
        <w:t xml:space="preserve">The following regulations pertain to representatives who </w:t>
      </w:r>
      <w:r w:rsidR="008D2186">
        <w:t xml:space="preserve">are consistently late in </w:t>
      </w:r>
      <w:r w:rsidR="008D2186">
        <w:t>providing evidence 5 days before the hearing</w:t>
      </w:r>
      <w:r>
        <w:t>:</w:t>
      </w:r>
    </w:p>
    <w:p w:rsidR="004D296C" w:rsidP="004D296C" w14:paraId="00575597" w14:textId="77777777">
      <w:pPr>
        <w:ind w:left="1440"/>
      </w:pPr>
    </w:p>
    <w:p w:rsidR="004D296C" w:rsidP="004D296C" w14:paraId="317B334F" w14:textId="77777777">
      <w:pPr>
        <w:pStyle w:val="ListParagraph"/>
        <w:numPr>
          <w:ilvl w:val="0"/>
          <w:numId w:val="5"/>
        </w:numPr>
        <w:autoSpaceDE/>
        <w:autoSpaceDN/>
        <w:adjustRightInd/>
      </w:pPr>
      <w:r w:rsidRPr="00843A15">
        <w:rPr>
          <w:b/>
        </w:rPr>
        <w:t xml:space="preserve">20 CFR </w:t>
      </w:r>
      <w:r w:rsidRPr="008D2186" w:rsidR="008D2186">
        <w:rPr>
          <w:b/>
        </w:rPr>
        <w:t xml:space="preserve">404.1512, 404.1740(c)(4), 416.912, </w:t>
      </w:r>
      <w:r w:rsidRPr="008D2186" w:rsidR="008D2186">
        <w:t>and</w:t>
      </w:r>
      <w:r w:rsidRPr="008D2186" w:rsidR="008D2186">
        <w:rPr>
          <w:b/>
        </w:rPr>
        <w:t xml:space="preserve"> 416.1540(c)(4)</w:t>
      </w:r>
      <w:r w:rsidR="008D2186">
        <w:t xml:space="preserve"> </w:t>
      </w:r>
      <w:r>
        <w:t xml:space="preserve">explains that representatives must </w:t>
      </w:r>
      <w:r w:rsidR="008D2186">
        <w:t>inform us about</w:t>
      </w:r>
      <w:r w:rsidR="0001625E">
        <w:t>,</w:t>
      </w:r>
      <w:r w:rsidR="008D2186">
        <w:t xml:space="preserve"> or submit</w:t>
      </w:r>
      <w:r w:rsidR="0001625E">
        <w:t>,</w:t>
      </w:r>
      <w:r w:rsidR="008D2186">
        <w:t xml:space="preserve"> written evidence at least 5 days before the date of a scheduled hearing</w:t>
      </w:r>
      <w:r w:rsidR="0001625E">
        <w:t>,</w:t>
      </w:r>
      <w:r w:rsidR="008D2186">
        <w:t xml:space="preserve"> and the representative</w:t>
      </w:r>
      <w:r w:rsidRPr="008D2186" w:rsidR="008D2186">
        <w:t xml:space="preserve"> </w:t>
      </w:r>
      <w:r w:rsidR="008D2186">
        <w:t>must also make good faith efforts to obtain information or evidence that the claimant must submit for consideration under our regulations</w:t>
      </w:r>
      <w:r>
        <w:t>.</w:t>
      </w:r>
    </w:p>
    <w:p w:rsidR="0007446B" w:rsidP="0007446B" w14:paraId="5E6C330B" w14:textId="77777777">
      <w:pPr>
        <w:autoSpaceDE/>
        <w:autoSpaceDN/>
        <w:adjustRightInd/>
        <w:ind w:left="1440"/>
      </w:pPr>
    </w:p>
    <w:p w:rsidR="0007446B" w:rsidP="0007446B" w14:paraId="77EF10F3" w14:textId="42F79A59">
      <w:pPr>
        <w:autoSpaceDE/>
        <w:autoSpaceDN/>
        <w:adjustRightInd/>
        <w:ind w:left="1440"/>
      </w:pPr>
      <w:r>
        <w:t xml:space="preserve">The respondents are applicants for Title II DIB or Title XVI SSI </w:t>
      </w:r>
      <w:r w:rsidR="00ED3C4E">
        <w:t>benefits</w:t>
      </w:r>
      <w:r>
        <w:t>; their appointed representatives; legal advocates; medical sources; and schools.</w:t>
      </w:r>
    </w:p>
    <w:p w:rsidR="00DF5714" w:rsidP="00DF5714" w14:paraId="296A1FF5" w14:textId="77777777">
      <w:pPr>
        <w:autoSpaceDE/>
        <w:autoSpaceDN/>
        <w:adjustRightInd/>
        <w:ind w:left="1440"/>
        <w:rPr>
          <w:b/>
        </w:rPr>
      </w:pPr>
    </w:p>
    <w:p w:rsidR="007D44EC" w:rsidP="007D44EC" w14:paraId="6758C036" w14:textId="77777777">
      <w:pPr>
        <w:numPr>
          <w:ilvl w:val="0"/>
          <w:numId w:val="7"/>
        </w:numPr>
        <w:autoSpaceDE/>
        <w:autoSpaceDN/>
        <w:adjustRightInd/>
        <w:rPr>
          <w:b/>
        </w:rPr>
      </w:pPr>
      <w:r w:rsidRPr="00BC7F42">
        <w:rPr>
          <w:b/>
        </w:rPr>
        <w:t>Use of Information Technology to Collect the Information</w:t>
      </w:r>
    </w:p>
    <w:p w:rsidR="00710B92" w:rsidP="00710B92" w14:paraId="47355995" w14:textId="10DCC165">
      <w:pPr>
        <w:pStyle w:val="ListParagraph"/>
        <w:ind w:left="1440"/>
        <w:rPr>
          <w:rFonts w:eastAsia="Arial"/>
          <w:color w:val="000000"/>
        </w:rPr>
      </w:pPr>
      <w:r>
        <w:rPr>
          <w:iCs/>
        </w:rPr>
        <w:t xml:space="preserve">For the regulatory requirements under </w:t>
      </w:r>
      <w:r w:rsidRPr="007A5D4C">
        <w:rPr>
          <w:i/>
          <w:iCs/>
        </w:rPr>
        <w:t>20 CFR 404.971</w:t>
      </w:r>
      <w:r>
        <w:t xml:space="preserve"> </w:t>
      </w:r>
      <w:r w:rsidRPr="00581ABC">
        <w:t xml:space="preserve">and </w:t>
      </w:r>
      <w:r w:rsidRPr="007A5D4C">
        <w:rPr>
          <w:i/>
          <w:iCs/>
        </w:rPr>
        <w:t>416.1471</w:t>
      </w:r>
      <w:r>
        <w:rPr>
          <w:i/>
          <w:iCs/>
        </w:rPr>
        <w:t xml:space="preserve">, </w:t>
      </w:r>
      <w:r>
        <w:rPr>
          <w:iCs/>
        </w:rPr>
        <w:t>th</w:t>
      </w:r>
      <w:r w:rsidRPr="007C36BA" w:rsidR="00885F4C">
        <w:rPr>
          <w:iCs/>
        </w:rPr>
        <w:t>is collection has public-facing fillable and submittable PDF version</w:t>
      </w:r>
      <w:r w:rsidR="000575B1">
        <w:rPr>
          <w:iCs/>
        </w:rPr>
        <w:t>s (e85 &amp; e86)</w:t>
      </w:r>
      <w:r w:rsidRPr="007C36BA" w:rsidR="00885F4C">
        <w:rPr>
          <w:iCs/>
        </w:rPr>
        <w:t xml:space="preserve"> which </w:t>
      </w:r>
      <w:r w:rsidRPr="007C36BA" w:rsidR="00885F4C">
        <w:t xml:space="preserve">utilize </w:t>
      </w:r>
      <w:r w:rsidRPr="007C36BA" w:rsidR="00885F4C">
        <w:rPr>
          <w:i/>
          <w:color w:val="000000"/>
        </w:rPr>
        <w:t>Adobe Sign</w:t>
      </w:r>
      <w:r w:rsidRPr="007C36BA" w:rsidR="00885F4C">
        <w:rPr>
          <w:color w:val="000000"/>
        </w:rPr>
        <w:t xml:space="preserve"> technology to accept and process an electronic signature (eSignature).  The online </w:t>
      </w:r>
      <w:r w:rsidR="00885F4C">
        <w:rPr>
          <w:color w:val="000000"/>
        </w:rPr>
        <w:t>submittable version</w:t>
      </w:r>
      <w:r w:rsidR="00C2609A">
        <w:rPr>
          <w:color w:val="000000"/>
        </w:rPr>
        <w:t>s</w:t>
      </w:r>
      <w:r w:rsidRPr="007C36BA" w:rsidR="00885F4C">
        <w:rPr>
          <w:color w:val="000000"/>
        </w:rPr>
        <w:t xml:space="preserve"> mirror the paper version</w:t>
      </w:r>
      <w:r w:rsidR="00C2609A">
        <w:rPr>
          <w:color w:val="000000"/>
        </w:rPr>
        <w:t>s</w:t>
      </w:r>
      <w:r w:rsidRPr="007C36BA" w:rsidR="00885F4C">
        <w:rPr>
          <w:color w:val="000000"/>
        </w:rPr>
        <w:t xml:space="preserve"> and provide respondents with an online service option as an alternative to mailing</w:t>
      </w:r>
      <w:r w:rsidR="00885F4C">
        <w:rPr>
          <w:color w:val="000000"/>
        </w:rPr>
        <w:t>,</w:t>
      </w:r>
      <w:r w:rsidRPr="007C36BA" w:rsidR="00885F4C">
        <w:rPr>
          <w:color w:val="000000"/>
        </w:rPr>
        <w:t xml:space="preserve"> faxing</w:t>
      </w:r>
      <w:r w:rsidR="00885F4C">
        <w:rPr>
          <w:color w:val="000000"/>
        </w:rPr>
        <w:t>, or bringing</w:t>
      </w:r>
      <w:r w:rsidRPr="007C36BA" w:rsidR="00885F4C">
        <w:rPr>
          <w:color w:val="000000"/>
        </w:rPr>
        <w:t xml:space="preserve"> the form</w:t>
      </w:r>
      <w:r w:rsidR="00C2609A">
        <w:rPr>
          <w:color w:val="000000"/>
        </w:rPr>
        <w:t>s</w:t>
      </w:r>
      <w:r w:rsidRPr="007C36BA" w:rsidR="00885F4C">
        <w:rPr>
          <w:color w:val="000000"/>
        </w:rPr>
        <w:t xml:space="preserve"> </w:t>
      </w:r>
      <w:r w:rsidR="00885F4C">
        <w:rPr>
          <w:color w:val="000000"/>
        </w:rPr>
        <w:t>to an SSA field office</w:t>
      </w:r>
      <w:r w:rsidRPr="007C36BA" w:rsidR="00885F4C">
        <w:rPr>
          <w:color w:val="000000"/>
        </w:rPr>
        <w:t xml:space="preserve">. </w:t>
      </w:r>
      <w:r w:rsidR="00885F4C">
        <w:rPr>
          <w:color w:val="000000"/>
        </w:rPr>
        <w:t xml:space="preserve"> The respondents</w:t>
      </w:r>
      <w:r w:rsidRPr="007C36BA" w:rsidR="00885F4C">
        <w:rPr>
          <w:color w:val="000000"/>
        </w:rPr>
        <w:t xml:space="preserve"> initiate the online version from our website and complete, electronically sign, and submit it online using the </w:t>
      </w:r>
      <w:r w:rsidRPr="007C36BA" w:rsidR="00885F4C">
        <w:rPr>
          <w:i/>
          <w:color w:val="000000"/>
        </w:rPr>
        <w:t>Adobe Sign</w:t>
      </w:r>
      <w:r w:rsidRPr="007C36BA" w:rsidR="00885F4C">
        <w:rPr>
          <w:color w:val="000000"/>
        </w:rPr>
        <w:t xml:space="preserve"> web application.  Use of the </w:t>
      </w:r>
      <w:r w:rsidRPr="007C36BA" w:rsidR="00885F4C">
        <w:rPr>
          <w:i/>
          <w:color w:val="000000"/>
        </w:rPr>
        <w:t xml:space="preserve">Adobe Sign </w:t>
      </w:r>
      <w:r w:rsidRPr="007C36BA" w:rsidR="00885F4C">
        <w:rPr>
          <w:color w:val="000000"/>
        </w:rPr>
        <w:t>web application does not present any added burden on respondents</w:t>
      </w:r>
      <w:r w:rsidR="00885F4C">
        <w:rPr>
          <w:color w:val="000000"/>
        </w:rPr>
        <w:t>, nor does it require respondents</w:t>
      </w:r>
      <w:r w:rsidRPr="007C36BA" w:rsidR="00885F4C">
        <w:rPr>
          <w:color w:val="000000"/>
        </w:rPr>
        <w:t xml:space="preserve"> to download and install the application locally on their device or pay any subscription or licensing fees.  </w:t>
      </w:r>
      <w:r w:rsidR="00885F4C">
        <w:rPr>
          <w:rFonts w:eastAsia="Arial"/>
          <w:color w:val="000000"/>
        </w:rPr>
        <w:t>R</w:t>
      </w:r>
      <w:r w:rsidRPr="007C36BA" w:rsidR="00885F4C">
        <w:rPr>
          <w:rFonts w:eastAsia="Arial"/>
          <w:color w:val="000000"/>
        </w:rPr>
        <w:t xml:space="preserve">espondents enter their responses into structured data fields on the screens within the </w:t>
      </w:r>
      <w:r w:rsidRPr="007C36BA" w:rsidR="00885F4C">
        <w:rPr>
          <w:rFonts w:eastAsia="Arial"/>
          <w:i/>
          <w:color w:val="000000"/>
        </w:rPr>
        <w:t>Adobe</w:t>
      </w:r>
      <w:r w:rsidRPr="007C36BA" w:rsidR="00885F4C">
        <w:rPr>
          <w:rFonts w:eastAsia="Arial"/>
          <w:color w:val="000000"/>
        </w:rPr>
        <w:t xml:space="preserve"> platform by following a secure link that </w:t>
      </w:r>
      <w:r w:rsidRPr="007C36BA" w:rsidR="00885F4C">
        <w:rPr>
          <w:rFonts w:eastAsia="Arial"/>
          <w:i/>
          <w:color w:val="000000"/>
        </w:rPr>
        <w:t>Adobe Sign</w:t>
      </w:r>
      <w:r w:rsidRPr="007C36BA" w:rsidR="00885F4C">
        <w:rPr>
          <w:rFonts w:eastAsia="Arial"/>
          <w:color w:val="000000"/>
        </w:rPr>
        <w:t xml:space="preserve"> sends to the email address the respondent provides.  </w:t>
      </w:r>
      <w:r w:rsidRPr="007C36BA" w:rsidR="00885F4C">
        <w:t xml:space="preserve">The respondent receives an email from </w:t>
      </w:r>
      <w:r w:rsidRPr="007C36BA" w:rsidR="00885F4C">
        <w:rPr>
          <w:i/>
        </w:rPr>
        <w:t>Adobe Sign</w:t>
      </w:r>
      <w:r w:rsidRPr="007C36BA" w:rsidR="00885F4C">
        <w:t xml:space="preserve"> with instructions for how to access, complete, eSign, and submit the form using this online service. </w:t>
      </w:r>
      <w:r w:rsidRPr="007C36BA" w:rsidR="00885F4C">
        <w:rPr>
          <w:rFonts w:eastAsia="Arial"/>
          <w:color w:val="000000"/>
        </w:rPr>
        <w:t xml:space="preserve"> Upon submission, the online</w:t>
      </w:r>
      <w:r w:rsidR="00885F4C">
        <w:rPr>
          <w:rFonts w:eastAsia="Arial"/>
          <w:color w:val="000000"/>
        </w:rPr>
        <w:t xml:space="preserve"> submittable</w:t>
      </w:r>
      <w:r w:rsidRPr="007C36BA" w:rsidR="00885F4C">
        <w:rPr>
          <w:rFonts w:eastAsia="Arial"/>
          <w:color w:val="000000"/>
        </w:rPr>
        <w:t xml:space="preserve"> </w:t>
      </w:r>
      <w:r w:rsidR="00885F4C">
        <w:rPr>
          <w:rFonts w:eastAsia="Arial"/>
          <w:color w:val="000000"/>
        </w:rPr>
        <w:t>version of the form</w:t>
      </w:r>
      <w:r w:rsidR="00C2609A">
        <w:rPr>
          <w:rFonts w:eastAsia="Arial"/>
          <w:color w:val="000000"/>
        </w:rPr>
        <w:t>s</w:t>
      </w:r>
      <w:r w:rsidRPr="007C36BA" w:rsidR="00885F4C">
        <w:rPr>
          <w:rFonts w:eastAsia="Arial"/>
          <w:color w:val="000000"/>
        </w:rPr>
        <w:t xml:space="preserve"> electronically transmits an image of the completed form to the Electronic Viewing System (eVIEW) for </w:t>
      </w:r>
      <w:r w:rsidR="00885F4C">
        <w:rPr>
          <w:rFonts w:eastAsia="Arial"/>
          <w:color w:val="000000"/>
        </w:rPr>
        <w:t>SSA technicians to process</w:t>
      </w:r>
      <w:r w:rsidRPr="007C36BA" w:rsidR="00885F4C">
        <w:rPr>
          <w:rFonts w:eastAsia="Arial"/>
          <w:color w:val="000000"/>
        </w:rPr>
        <w:t>.</w:t>
      </w:r>
    </w:p>
    <w:p w:rsidR="00710B92" w:rsidP="00DA5A98" w14:paraId="236FED49" w14:textId="77777777">
      <w:pPr>
        <w:autoSpaceDE/>
        <w:autoSpaceDN/>
        <w:adjustRightInd/>
        <w:ind w:left="1440"/>
      </w:pPr>
    </w:p>
    <w:p w:rsidR="0056599D" w:rsidP="00DA5A98" w14:paraId="352D01F4" w14:textId="2F2E558E">
      <w:pPr>
        <w:autoSpaceDE/>
        <w:autoSpaceDN/>
        <w:adjustRightInd/>
        <w:ind w:left="1440"/>
      </w:pPr>
      <w:r>
        <w:t xml:space="preserve">For those regulation citations requiring submission of evidence, we rely on the availability of </w:t>
      </w:r>
      <w:r w:rsidR="00DF5714">
        <w:t>the electronic disability system, Electronic Records Express (OMB Control No. 0960-0753), which provide</w:t>
      </w:r>
      <w:r w:rsidR="0001625E">
        <w:t>s</w:t>
      </w:r>
      <w:r w:rsidR="00DF5714">
        <w:t xml:space="preserve"> for enhanced data and evidence collection through electronic means.  An increasing number of advocates and medical sources </w:t>
      </w:r>
      <w:r w:rsidRPr="004C122E" w:rsidR="00DF5714">
        <w:t xml:space="preserve">transmit medical </w:t>
      </w:r>
      <w:r w:rsidR="00DF5714">
        <w:t xml:space="preserve">and non-medical </w:t>
      </w:r>
      <w:r w:rsidR="006D057B">
        <w:t xml:space="preserve">records to us electronically.  We estimate approximately 20% of all respondents use Electronic Records Express for the regulation citations </w:t>
      </w:r>
      <w:r w:rsidR="001510A2">
        <w:rPr>
          <w:i/>
        </w:rPr>
        <w:t xml:space="preserve">20 CFR </w:t>
      </w:r>
      <w:r w:rsidRPr="00B44472" w:rsidR="006D057B">
        <w:rPr>
          <w:i/>
        </w:rPr>
        <w:t>404.950</w:t>
      </w:r>
      <w:r w:rsidR="006D057B">
        <w:t xml:space="preserve">, </w:t>
      </w:r>
      <w:r w:rsidRPr="00B44472" w:rsidR="006D057B">
        <w:rPr>
          <w:i/>
        </w:rPr>
        <w:t>416.1450</w:t>
      </w:r>
      <w:r w:rsidR="006D057B">
        <w:t xml:space="preserve">, </w:t>
      </w:r>
      <w:r w:rsidRPr="00B44472" w:rsidR="006D057B">
        <w:rPr>
          <w:i/>
        </w:rPr>
        <w:t>405.322</w:t>
      </w:r>
      <w:r w:rsidR="006D057B">
        <w:t xml:space="preserve">, and </w:t>
      </w:r>
      <w:r w:rsidRPr="00B44472" w:rsidR="006D057B">
        <w:rPr>
          <w:i/>
        </w:rPr>
        <w:t>405.1(c)(2)</w:t>
      </w:r>
      <w:r w:rsidR="006D057B">
        <w:t xml:space="preserve">.  </w:t>
      </w:r>
      <w:r w:rsidR="00686DDF">
        <w:t xml:space="preserve">In addition, </w:t>
      </w:r>
      <w:r w:rsidR="006D057B">
        <w:t xml:space="preserve">we estimate approximately 84% of the appointed representative respondents use the Appointed Representative Services through SSA’s website to submit evidence through Electronic Records Express for the regulation citations </w:t>
      </w:r>
      <w:r w:rsidR="00EB4035">
        <w:rPr>
          <w:i/>
        </w:rPr>
        <w:t xml:space="preserve">20 CFR </w:t>
      </w:r>
      <w:r w:rsidRPr="00B44472" w:rsidR="00EB4035">
        <w:rPr>
          <w:i/>
        </w:rPr>
        <w:t>404.949</w:t>
      </w:r>
      <w:r w:rsidR="00EB4035">
        <w:t xml:space="preserve">, </w:t>
      </w:r>
      <w:r w:rsidRPr="00B44472" w:rsidR="00EB4035">
        <w:rPr>
          <w:i/>
        </w:rPr>
        <w:t>4</w:t>
      </w:r>
      <w:r w:rsidR="00EB4035">
        <w:rPr>
          <w:i/>
        </w:rPr>
        <w:t>16</w:t>
      </w:r>
      <w:r w:rsidRPr="00B44472" w:rsidR="00EB4035">
        <w:rPr>
          <w:i/>
        </w:rPr>
        <w:t>.1449</w:t>
      </w:r>
      <w:r w:rsidR="00EB4035">
        <w:t xml:space="preserve">, </w:t>
      </w:r>
      <w:r w:rsidRPr="00B44472" w:rsidR="00EB4035">
        <w:rPr>
          <w:i/>
        </w:rPr>
        <w:t>405.344</w:t>
      </w:r>
      <w:r w:rsidR="00EB4035">
        <w:t xml:space="preserve">, and </w:t>
      </w:r>
      <w:r w:rsidRPr="00B44472" w:rsidR="00EB4035">
        <w:rPr>
          <w:i/>
        </w:rPr>
        <w:t>405.372(c)</w:t>
      </w:r>
      <w:r w:rsidR="00DF5714">
        <w:t>.</w:t>
      </w:r>
      <w:r w:rsidRPr="0056599D">
        <w:t xml:space="preserve"> </w:t>
      </w:r>
      <w:r>
        <w:t xml:space="preserve"> When a respondent needs to submit evidence to SSA which we have no electronic means of collecting it, respondents mail the evidence to SSA for processing.  Respondents do not need to travel to a Field Office to drop off documentation.</w:t>
      </w:r>
    </w:p>
    <w:p w:rsidR="00DF5714" w:rsidP="00DF5714" w14:paraId="7910FA1C" w14:textId="77777777">
      <w:pPr>
        <w:autoSpaceDE/>
        <w:autoSpaceDN/>
        <w:adjustRightInd/>
        <w:ind w:left="1440"/>
        <w:rPr>
          <w:b/>
        </w:rPr>
      </w:pPr>
    </w:p>
    <w:p w:rsidR="00DF5714" w:rsidP="007D44EC" w14:paraId="1B5809B2" w14:textId="77777777">
      <w:pPr>
        <w:numPr>
          <w:ilvl w:val="0"/>
          <w:numId w:val="7"/>
        </w:numPr>
        <w:autoSpaceDE/>
        <w:autoSpaceDN/>
        <w:adjustRightInd/>
        <w:rPr>
          <w:b/>
        </w:rPr>
      </w:pPr>
      <w:r w:rsidRPr="00BC7F42">
        <w:rPr>
          <w:b/>
        </w:rPr>
        <w:t xml:space="preserve">Why </w:t>
      </w:r>
      <w:r>
        <w:rPr>
          <w:b/>
        </w:rPr>
        <w:t>We Cannot Use Duplicate Information</w:t>
      </w:r>
    </w:p>
    <w:p w:rsidR="00DF5714" w:rsidP="00DF5714" w14:paraId="1B78BF84" w14:textId="02F961B7">
      <w:pPr>
        <w:autoSpaceDE/>
        <w:autoSpaceDN/>
        <w:adjustRightInd/>
        <w:ind w:left="1440"/>
      </w:pPr>
      <w:r w:rsidRPr="00ED6E1A">
        <w:t>The nature of the information we collect and the manner in which we collect</w:t>
      </w:r>
      <w:r w:rsidR="00E570C6">
        <w:t xml:space="preserve"> </w:t>
      </w:r>
      <w:r w:rsidRPr="00ED6E1A">
        <w:t>it preclude</w:t>
      </w:r>
      <w:r w:rsidR="00C84701">
        <w:t>s</w:t>
      </w:r>
      <w:r w:rsidRPr="00ED6E1A">
        <w:t xml:space="preserve"> duplication.  SSA does not use another collection instrument to obtain similar data</w:t>
      </w:r>
      <w:r>
        <w:t>.</w:t>
      </w:r>
    </w:p>
    <w:p w:rsidR="00D95D44" w:rsidP="00DF5714" w14:paraId="0257FA3B" w14:textId="77777777">
      <w:pPr>
        <w:autoSpaceDE/>
        <w:autoSpaceDN/>
        <w:adjustRightInd/>
        <w:ind w:left="1440"/>
        <w:rPr>
          <w:b/>
        </w:rPr>
      </w:pPr>
    </w:p>
    <w:p w:rsidR="00DF5714" w:rsidP="007D44EC" w14:paraId="042763A8" w14:textId="77777777">
      <w:pPr>
        <w:numPr>
          <w:ilvl w:val="0"/>
          <w:numId w:val="7"/>
        </w:numPr>
        <w:autoSpaceDE/>
        <w:autoSpaceDN/>
        <w:adjustRightInd/>
        <w:rPr>
          <w:b/>
        </w:rPr>
      </w:pPr>
      <w:r>
        <w:rPr>
          <w:b/>
        </w:rPr>
        <w:t>Minimizing Burden on Small Respondents</w:t>
      </w:r>
    </w:p>
    <w:p w:rsidR="00DF5714" w:rsidP="00DF5714" w14:paraId="7626DCAD" w14:textId="77777777">
      <w:pPr>
        <w:autoSpaceDE/>
        <w:autoSpaceDN/>
        <w:adjustRightInd/>
        <w:ind w:left="1440"/>
      </w:pPr>
      <w:r w:rsidRPr="00DF335E">
        <w:t>This collection does not significantly affect small businesses or other small entities</w:t>
      </w:r>
      <w:r>
        <w:t>.</w:t>
      </w:r>
    </w:p>
    <w:p w:rsidR="00DF5714" w:rsidP="00DF5714" w14:paraId="4BECD5F8" w14:textId="77777777">
      <w:pPr>
        <w:autoSpaceDE/>
        <w:autoSpaceDN/>
        <w:adjustRightInd/>
        <w:ind w:left="1440"/>
        <w:rPr>
          <w:b/>
        </w:rPr>
      </w:pPr>
    </w:p>
    <w:p w:rsidR="00DF5714" w:rsidP="007D44EC" w14:paraId="57D962D5" w14:textId="77777777">
      <w:pPr>
        <w:numPr>
          <w:ilvl w:val="0"/>
          <w:numId w:val="7"/>
        </w:numPr>
        <w:autoSpaceDE/>
        <w:autoSpaceDN/>
        <w:adjustRightInd/>
        <w:rPr>
          <w:b/>
        </w:rPr>
      </w:pPr>
      <w:r w:rsidRPr="00BC7F42">
        <w:rPr>
          <w:b/>
        </w:rPr>
        <w:t>Consequence of Not Collecting Information or Collecting it Less Frequently</w:t>
      </w:r>
    </w:p>
    <w:p w:rsidR="00192B6C" w:rsidP="00DF5714" w14:paraId="49B17A1E" w14:textId="77777777">
      <w:pPr>
        <w:autoSpaceDE/>
        <w:autoSpaceDN/>
        <w:adjustRightInd/>
        <w:ind w:left="1440"/>
      </w:pPr>
      <w:r>
        <w:t xml:space="preserve">If we did not conduct the information collection requirements of these regulations, we would have no way to adjudicate claims for disability as provided by </w:t>
      </w:r>
      <w:r w:rsidRPr="00E67532">
        <w:t xml:space="preserve">the </w:t>
      </w:r>
      <w:r w:rsidRPr="00B53587">
        <w:rPr>
          <w:i/>
        </w:rPr>
        <w:t>Act</w:t>
      </w:r>
      <w:r>
        <w:t xml:space="preserve">.    </w:t>
      </w:r>
    </w:p>
    <w:p w:rsidR="00713668" w:rsidP="00DF5714" w14:paraId="38A6AA97" w14:textId="07CF6719">
      <w:pPr>
        <w:autoSpaceDE/>
        <w:autoSpaceDN/>
        <w:adjustRightInd/>
        <w:ind w:left="1440"/>
      </w:pPr>
      <w:r>
        <w:t xml:space="preserve">If we did not collect the information on the HA-85 and HA-86, </w:t>
      </w:r>
      <w:r w:rsidRPr="00187E95">
        <w:t xml:space="preserve">it </w:t>
      </w:r>
      <w:r>
        <w:t>could</w:t>
      </w:r>
      <w:r w:rsidRPr="00187E95">
        <w:t xml:space="preserve"> di</w:t>
      </w:r>
      <w:r>
        <w:t>srupt the H</w:t>
      </w:r>
      <w:r w:rsidRPr="00187E95">
        <w:t xml:space="preserve">earing </w:t>
      </w:r>
      <w:r>
        <w:t xml:space="preserve">or Appeals Council’s review </w:t>
      </w:r>
      <w:r w:rsidRPr="00187E95">
        <w:t>process</w:t>
      </w:r>
      <w:r>
        <w:t xml:space="preserve">es, as it ensures that claimants understand the effect of withdrawing their request for hearing or review.  </w:t>
      </w:r>
      <w:r w:rsidR="00DF5714">
        <w:t xml:space="preserve">Because we collect the information </w:t>
      </w:r>
      <w:r>
        <w:t xml:space="preserve">on an as needed basis, </w:t>
      </w:r>
      <w:r w:rsidR="00DF5714">
        <w:t xml:space="preserve">we cannot collect it less frequently.  </w:t>
      </w:r>
      <w:r w:rsidRPr="00856709" w:rsidR="00DF5714">
        <w:t>There are no technical or legal obstacles to burden reduction.</w:t>
      </w:r>
    </w:p>
    <w:p w:rsidR="00DF5714" w:rsidP="00DF5714" w14:paraId="6CEB2697" w14:textId="77777777">
      <w:pPr>
        <w:autoSpaceDE/>
        <w:autoSpaceDN/>
        <w:adjustRightInd/>
        <w:ind w:left="1440"/>
        <w:rPr>
          <w:b/>
        </w:rPr>
      </w:pPr>
    </w:p>
    <w:p w:rsidR="00DF5714" w:rsidRPr="00DF5714" w:rsidP="007D44EC" w14:paraId="1434507D" w14:textId="77777777">
      <w:pPr>
        <w:numPr>
          <w:ilvl w:val="0"/>
          <w:numId w:val="7"/>
        </w:numPr>
        <w:autoSpaceDE/>
        <w:autoSpaceDN/>
        <w:adjustRightInd/>
        <w:rPr>
          <w:b/>
        </w:rPr>
      </w:pPr>
      <w:r w:rsidRPr="00DF5714">
        <w:rPr>
          <w:b/>
        </w:rPr>
        <w:t>Special Circumstances</w:t>
      </w:r>
    </w:p>
    <w:p w:rsidR="00DF5714" w:rsidRPr="00DF5714" w:rsidP="00DF5714" w14:paraId="360098F6" w14:textId="77777777">
      <w:pPr>
        <w:autoSpaceDE/>
        <w:autoSpaceDN/>
        <w:adjustRightInd/>
        <w:ind w:left="1440"/>
        <w:rPr>
          <w:b/>
        </w:rPr>
      </w:pPr>
      <w:r w:rsidRPr="00DF5714">
        <w:t xml:space="preserve">There are no special circumstances that would cause SSA to conduct this information collection in a manner inconsistent with </w:t>
      </w:r>
      <w:r w:rsidRPr="00DF5714">
        <w:rPr>
          <w:i/>
        </w:rPr>
        <w:t>5 CFR 1320.</w:t>
      </w:r>
      <w:r>
        <w:rPr>
          <w:i/>
        </w:rPr>
        <w:t>5</w:t>
      </w:r>
      <w:r w:rsidRPr="00DF5714">
        <w:t>.</w:t>
      </w:r>
    </w:p>
    <w:p w:rsidR="00DF5714" w:rsidRPr="00DF5714" w:rsidP="00DF5714" w14:paraId="4FF8EF21" w14:textId="77777777">
      <w:pPr>
        <w:autoSpaceDE/>
        <w:autoSpaceDN/>
        <w:adjustRightInd/>
        <w:ind w:left="1440"/>
        <w:rPr>
          <w:b/>
        </w:rPr>
      </w:pPr>
    </w:p>
    <w:p w:rsidR="00DF5714" w:rsidP="007D44EC" w14:paraId="1BFAB60F" w14:textId="77777777">
      <w:pPr>
        <w:numPr>
          <w:ilvl w:val="0"/>
          <w:numId w:val="7"/>
        </w:numPr>
        <w:autoSpaceDE/>
        <w:autoSpaceDN/>
        <w:adjustRightInd/>
        <w:rPr>
          <w:b/>
        </w:rPr>
      </w:pPr>
      <w:r w:rsidRPr="00BC7F42">
        <w:rPr>
          <w:b/>
        </w:rPr>
        <w:t>Solicitation of Public Comment and Other Consultations with the Public</w:t>
      </w:r>
    </w:p>
    <w:p w:rsidR="00DF5714" w:rsidP="002A1EFA" w14:paraId="024DFF70" w14:textId="2C161B3B">
      <w:pPr>
        <w:autoSpaceDE/>
        <w:autoSpaceDN/>
        <w:adjustRightInd/>
        <w:ind w:left="1440"/>
      </w:pPr>
      <w:r w:rsidRPr="00B61359">
        <w:rPr>
          <w:bCs/>
          <w:snapToGrid w:val="0"/>
        </w:rPr>
        <w:t xml:space="preserve">The 60-day advance Federal Register Notice published on </w:t>
      </w:r>
      <w:r>
        <w:rPr>
          <w:bCs/>
          <w:snapToGrid w:val="0"/>
        </w:rPr>
        <w:t>July 25</w:t>
      </w:r>
      <w:r w:rsidRPr="00B61359">
        <w:rPr>
          <w:bCs/>
          <w:snapToGrid w:val="0"/>
        </w:rPr>
        <w:t>, 2022, at 87 FR</w:t>
      </w:r>
      <w:r>
        <w:rPr>
          <w:bCs/>
          <w:snapToGrid w:val="0"/>
        </w:rPr>
        <w:t> 44180</w:t>
      </w:r>
      <w:r w:rsidRPr="00B61359">
        <w:rPr>
          <w:bCs/>
          <w:snapToGrid w:val="0"/>
        </w:rPr>
        <w:t xml:space="preserve">, and we received no public comments.  The 30-day FRN published on </w:t>
      </w:r>
      <w:r w:rsidR="008C0B8E">
        <w:rPr>
          <w:bCs/>
          <w:snapToGrid w:val="0"/>
        </w:rPr>
        <w:t>October 6</w:t>
      </w:r>
      <w:r w:rsidRPr="00B61359">
        <w:rPr>
          <w:bCs/>
          <w:snapToGrid w:val="0"/>
        </w:rPr>
        <w:t xml:space="preserve">, 2022, at 87 FR </w:t>
      </w:r>
      <w:r w:rsidR="008C0B8E">
        <w:rPr>
          <w:bCs/>
          <w:snapToGrid w:val="0"/>
        </w:rPr>
        <w:t>60721</w:t>
      </w:r>
      <w:r w:rsidRPr="00B61359">
        <w:rPr>
          <w:bCs/>
          <w:snapToGrid w:val="0"/>
        </w:rPr>
        <w:t>.  If we receive any comments in response to this Notice, we will forward them to OMB</w:t>
      </w:r>
      <w:r>
        <w:t>.</w:t>
      </w:r>
    </w:p>
    <w:p w:rsidR="00DF5714" w:rsidRPr="00DF5714" w:rsidP="00DF5714" w14:paraId="054D14AD" w14:textId="77777777">
      <w:pPr>
        <w:autoSpaceDE/>
        <w:autoSpaceDN/>
        <w:adjustRightInd/>
        <w:ind w:left="1440"/>
        <w:rPr>
          <w:b/>
        </w:rPr>
      </w:pPr>
    </w:p>
    <w:p w:rsidR="00DF5714" w:rsidP="007D44EC" w14:paraId="791EF209" w14:textId="77777777">
      <w:pPr>
        <w:numPr>
          <w:ilvl w:val="0"/>
          <w:numId w:val="7"/>
        </w:numPr>
        <w:autoSpaceDE/>
        <w:autoSpaceDN/>
        <w:adjustRightInd/>
        <w:rPr>
          <w:b/>
        </w:rPr>
      </w:pPr>
      <w:r w:rsidRPr="00BC7F42">
        <w:rPr>
          <w:b/>
        </w:rPr>
        <w:t>Payment or Gifts to Respondents</w:t>
      </w:r>
    </w:p>
    <w:p w:rsidR="00DF5714" w:rsidP="00DF5714" w14:paraId="33383527" w14:textId="30549627">
      <w:pPr>
        <w:autoSpaceDE/>
        <w:autoSpaceDN/>
        <w:adjustRightInd/>
        <w:ind w:left="1440"/>
      </w:pPr>
      <w:r>
        <w:t xml:space="preserve">SSA </w:t>
      </w:r>
      <w:r w:rsidRPr="002A1EFA" w:rsidR="002A1EFA">
        <w:t>does not provide payments or gifts to respondents</w:t>
      </w:r>
      <w:r>
        <w:t>.</w:t>
      </w:r>
    </w:p>
    <w:p w:rsidR="00DF5714" w:rsidP="00DF5714" w14:paraId="0E5BE779" w14:textId="77777777">
      <w:pPr>
        <w:autoSpaceDE/>
        <w:autoSpaceDN/>
        <w:adjustRightInd/>
        <w:ind w:left="1440"/>
        <w:rPr>
          <w:b/>
        </w:rPr>
      </w:pPr>
    </w:p>
    <w:p w:rsidR="00DF5714" w:rsidP="007D44EC" w14:paraId="76CBB950" w14:textId="77777777">
      <w:pPr>
        <w:numPr>
          <w:ilvl w:val="0"/>
          <w:numId w:val="7"/>
        </w:numPr>
        <w:autoSpaceDE/>
        <w:autoSpaceDN/>
        <w:adjustRightInd/>
        <w:rPr>
          <w:b/>
        </w:rPr>
      </w:pPr>
      <w:r w:rsidRPr="00BC7F42">
        <w:rPr>
          <w:b/>
        </w:rPr>
        <w:t>Assurances of Confidentiality</w:t>
      </w:r>
    </w:p>
    <w:p w:rsidR="00DF5714" w:rsidP="00DF5714" w14:paraId="00912049" w14:textId="77777777">
      <w:pPr>
        <w:autoSpaceDE/>
        <w:autoSpaceDN/>
        <w:adjustRightInd/>
        <w:ind w:left="1440"/>
      </w:pPr>
      <w:r w:rsidRPr="00542B50">
        <w:t xml:space="preserve">SSA protects and holds confidential the information it collects in accordance with </w:t>
      </w:r>
      <w:r w:rsidRPr="00B45976">
        <w:rPr>
          <w:i/>
        </w:rPr>
        <w:t>42 U.S.C. 1306, 20 CFR 401</w:t>
      </w:r>
      <w:r w:rsidRPr="00542B50">
        <w:t xml:space="preserve"> and </w:t>
      </w:r>
      <w:r w:rsidRPr="00B45976">
        <w:rPr>
          <w:i/>
        </w:rPr>
        <w:t>402, 5 U.S.C. 552</w:t>
      </w:r>
      <w:r>
        <w:t xml:space="preserve"> (Freedom of Information Act), </w:t>
      </w:r>
      <w:r>
        <w:rPr>
          <w:i/>
        </w:rPr>
        <w:t>5 </w:t>
      </w:r>
      <w:r w:rsidRPr="00B45976">
        <w:rPr>
          <w:i/>
        </w:rPr>
        <w:t>U.S.C. 552a</w:t>
      </w:r>
      <w:r w:rsidRPr="00542B50">
        <w:t xml:space="preserve"> (Privacy Act of 1974), and OMB Circular No. A-130</w:t>
      </w:r>
      <w:r>
        <w:t>.</w:t>
      </w:r>
    </w:p>
    <w:p w:rsidR="00DF5714" w:rsidP="00DF5714" w14:paraId="5A904B7D" w14:textId="77777777">
      <w:pPr>
        <w:autoSpaceDE/>
        <w:autoSpaceDN/>
        <w:adjustRightInd/>
        <w:ind w:left="1440"/>
        <w:rPr>
          <w:b/>
        </w:rPr>
      </w:pPr>
    </w:p>
    <w:p w:rsidR="00DF5714" w:rsidP="007D44EC" w14:paraId="6CACD260" w14:textId="77777777">
      <w:pPr>
        <w:numPr>
          <w:ilvl w:val="0"/>
          <w:numId w:val="7"/>
        </w:numPr>
        <w:autoSpaceDE/>
        <w:autoSpaceDN/>
        <w:adjustRightInd/>
        <w:rPr>
          <w:b/>
        </w:rPr>
      </w:pPr>
      <w:r w:rsidRPr="00BC7F42">
        <w:rPr>
          <w:b/>
        </w:rPr>
        <w:t>Justification for Sensitive Questions</w:t>
      </w:r>
    </w:p>
    <w:p w:rsidR="00DF5714" w:rsidP="00DF5714" w14:paraId="3D0F9B9F" w14:textId="77777777">
      <w:pPr>
        <w:autoSpaceDE/>
        <w:autoSpaceDN/>
        <w:adjustRightInd/>
        <w:ind w:left="1440"/>
      </w:pPr>
      <w:r w:rsidRPr="007C304C">
        <w:t>The information collection does not contain any questions of a sensitive nature</w:t>
      </w:r>
      <w:r>
        <w:t>.</w:t>
      </w:r>
    </w:p>
    <w:p w:rsidR="00DF5714" w:rsidP="00DF5714" w14:paraId="1AD1E839" w14:textId="77777777">
      <w:pPr>
        <w:autoSpaceDE/>
        <w:autoSpaceDN/>
        <w:adjustRightInd/>
        <w:ind w:left="1440"/>
        <w:rPr>
          <w:b/>
        </w:rPr>
      </w:pPr>
    </w:p>
    <w:p w:rsidR="00DF5714" w:rsidP="007D44EC" w14:paraId="01C694CC" w14:textId="08C24B45">
      <w:pPr>
        <w:numPr>
          <w:ilvl w:val="0"/>
          <w:numId w:val="7"/>
        </w:numPr>
        <w:autoSpaceDE/>
        <w:autoSpaceDN/>
        <w:adjustRightInd/>
        <w:rPr>
          <w:b/>
        </w:rPr>
      </w:pPr>
      <w:r w:rsidRPr="00BC7F42">
        <w:rPr>
          <w:b/>
        </w:rPr>
        <w:t>Estimates of Public Reporting Burden</w:t>
      </w:r>
    </w:p>
    <w:p w:rsidR="000B50C6" w:rsidP="000B50C6" w14:paraId="24BD5EFB" w14:textId="45D9D8F5">
      <w:pPr>
        <w:ind w:left="1440"/>
      </w:pPr>
      <w:r w:rsidRPr="00021A2E">
        <w:rPr>
          <w:bCs/>
          <w:snapToGrid w:val="0"/>
        </w:rPr>
        <w:t>Please see the burden chart below</w:t>
      </w:r>
      <w:r w:rsidRPr="000239D0">
        <w:t>:</w:t>
      </w:r>
    </w:p>
    <w:p w:rsidR="000B50C6" w:rsidP="000B50C6" w14:paraId="5165010D" w14:textId="2AE62598">
      <w:pPr>
        <w:ind w:left="144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597"/>
        <w:gridCol w:w="1415"/>
        <w:gridCol w:w="1190"/>
        <w:gridCol w:w="1256"/>
        <w:gridCol w:w="1562"/>
        <w:gridCol w:w="1530"/>
      </w:tblGrid>
      <w:tr w14:paraId="76615CA4" w14:textId="77777777" w:rsidTr="00AA091B">
        <w:tblPrEx>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0B50C6" w:rsidRPr="000B50C6" w:rsidP="000B50C6" w14:paraId="377F9A71" w14:textId="77777777">
            <w:pPr>
              <w:rPr>
                <w:b/>
              </w:rPr>
            </w:pPr>
            <w:r w:rsidRPr="000B50C6">
              <w:rPr>
                <w:b/>
              </w:rPr>
              <w:t>Regulation Sections</w:t>
            </w:r>
          </w:p>
        </w:tc>
        <w:tc>
          <w:tcPr>
            <w:tcW w:w="1597" w:type="dxa"/>
          </w:tcPr>
          <w:p w:rsidR="000B50C6" w:rsidRPr="000B50C6" w:rsidP="000B50C6" w14:paraId="3554A59C" w14:textId="77777777">
            <w:pPr>
              <w:rPr>
                <w:b/>
              </w:rPr>
            </w:pPr>
            <w:r w:rsidRPr="000B50C6">
              <w:rPr>
                <w:b/>
              </w:rPr>
              <w:t>Number of Respondents</w:t>
            </w:r>
          </w:p>
        </w:tc>
        <w:tc>
          <w:tcPr>
            <w:tcW w:w="1415" w:type="dxa"/>
          </w:tcPr>
          <w:p w:rsidR="000B50C6" w:rsidRPr="000B50C6" w:rsidP="000B50C6" w14:paraId="0B62333B" w14:textId="77777777">
            <w:pPr>
              <w:rPr>
                <w:b/>
              </w:rPr>
            </w:pPr>
            <w:r w:rsidRPr="000B50C6">
              <w:rPr>
                <w:b/>
              </w:rPr>
              <w:t>Frequency of Response</w:t>
            </w:r>
          </w:p>
        </w:tc>
        <w:tc>
          <w:tcPr>
            <w:tcW w:w="1190" w:type="dxa"/>
          </w:tcPr>
          <w:p w:rsidR="000B50C6" w:rsidRPr="000B50C6" w:rsidP="000B50C6" w14:paraId="515424F1" w14:textId="77777777">
            <w:pPr>
              <w:rPr>
                <w:b/>
              </w:rPr>
            </w:pPr>
            <w:r w:rsidRPr="000B50C6">
              <w:rPr>
                <w:b/>
              </w:rPr>
              <w:t xml:space="preserve">Average Burden per Response </w:t>
            </w:r>
            <w:r w:rsidRPr="000B50C6">
              <w:rPr>
                <w:b/>
              </w:rPr>
              <w:t>(minutes)</w:t>
            </w:r>
          </w:p>
        </w:tc>
        <w:tc>
          <w:tcPr>
            <w:tcW w:w="1256" w:type="dxa"/>
          </w:tcPr>
          <w:p w:rsidR="000B50C6" w:rsidRPr="000B50C6" w:rsidP="000B50C6" w14:paraId="241A0878" w14:textId="77777777">
            <w:pPr>
              <w:rPr>
                <w:b/>
              </w:rPr>
            </w:pPr>
            <w:r w:rsidRPr="000B50C6">
              <w:rPr>
                <w:b/>
              </w:rPr>
              <w:t xml:space="preserve">Estimated Total Annual Burden </w:t>
            </w:r>
            <w:r w:rsidRPr="000B50C6">
              <w:rPr>
                <w:b/>
              </w:rPr>
              <w:t>(hours)</w:t>
            </w:r>
          </w:p>
        </w:tc>
        <w:tc>
          <w:tcPr>
            <w:tcW w:w="1562" w:type="dxa"/>
          </w:tcPr>
          <w:p w:rsidR="000B50C6" w:rsidRPr="000B50C6" w:rsidP="000B50C6" w14:paraId="15C3B20C" w14:textId="77777777">
            <w:pPr>
              <w:rPr>
                <w:b/>
              </w:rPr>
            </w:pPr>
            <w:r w:rsidRPr="000B50C6">
              <w:rPr>
                <w:b/>
              </w:rPr>
              <w:t xml:space="preserve">Average Theoretical Hourly Cost Amount </w:t>
            </w:r>
            <w:r w:rsidRPr="000B50C6">
              <w:rPr>
                <w:b/>
              </w:rPr>
              <w:t>(dollars)*</w:t>
            </w:r>
          </w:p>
        </w:tc>
        <w:tc>
          <w:tcPr>
            <w:tcW w:w="1530" w:type="dxa"/>
          </w:tcPr>
          <w:p w:rsidR="000B50C6" w:rsidRPr="000B50C6" w:rsidP="000B50C6" w14:paraId="0F9230A8" w14:textId="77777777">
            <w:pPr>
              <w:rPr>
                <w:b/>
              </w:rPr>
            </w:pPr>
            <w:r w:rsidRPr="000B50C6">
              <w:rPr>
                <w:b/>
              </w:rPr>
              <w:t xml:space="preserve">Total Annual Opportunity Cost </w:t>
            </w:r>
            <w:r w:rsidRPr="000B50C6">
              <w:rPr>
                <w:b/>
              </w:rPr>
              <w:t>(dollars)**</w:t>
            </w:r>
          </w:p>
        </w:tc>
      </w:tr>
      <w:tr w14:paraId="232A614E" w14:textId="77777777" w:rsidTr="00AA091B">
        <w:tblPrEx>
          <w:tblW w:w="10440" w:type="dxa"/>
          <w:tblInd w:w="-432" w:type="dxa"/>
          <w:tblLayout w:type="fixed"/>
          <w:tblLook w:val="01E0"/>
        </w:tblPrEx>
        <w:tc>
          <w:tcPr>
            <w:tcW w:w="1890" w:type="dxa"/>
          </w:tcPr>
          <w:p w:rsidR="000B50C6" w:rsidRPr="000B50C6" w:rsidP="000B50C6" w14:paraId="102C07F3" w14:textId="77777777">
            <w:pPr>
              <w:tabs>
                <w:tab w:val="left" w:pos="1350"/>
              </w:tabs>
            </w:pPr>
            <w:r w:rsidRPr="000B50C6">
              <w:t>404.961,   416.1461, 405.330, and 405.366</w:t>
            </w:r>
          </w:p>
        </w:tc>
        <w:tc>
          <w:tcPr>
            <w:tcW w:w="1597" w:type="dxa"/>
          </w:tcPr>
          <w:p w:rsidR="000B50C6" w:rsidRPr="000B50C6" w:rsidP="000B50C6" w14:paraId="0439BF3C" w14:textId="77777777">
            <w:pPr>
              <w:tabs>
                <w:tab w:val="left" w:pos="1350"/>
              </w:tabs>
              <w:jc w:val="right"/>
            </w:pPr>
            <w:r w:rsidRPr="000B50C6">
              <w:t>12,220</w:t>
            </w:r>
          </w:p>
        </w:tc>
        <w:tc>
          <w:tcPr>
            <w:tcW w:w="1415" w:type="dxa"/>
          </w:tcPr>
          <w:p w:rsidR="000B50C6" w:rsidRPr="000B50C6" w:rsidP="000B50C6" w14:paraId="366A1EFD" w14:textId="77777777">
            <w:pPr>
              <w:tabs>
                <w:tab w:val="left" w:pos="1350"/>
              </w:tabs>
              <w:jc w:val="right"/>
            </w:pPr>
            <w:r w:rsidRPr="000B50C6">
              <w:t>1</w:t>
            </w:r>
          </w:p>
        </w:tc>
        <w:tc>
          <w:tcPr>
            <w:tcW w:w="1190" w:type="dxa"/>
          </w:tcPr>
          <w:p w:rsidR="000B50C6" w:rsidRPr="000B50C6" w:rsidP="000B50C6" w14:paraId="2033A09C" w14:textId="77777777">
            <w:pPr>
              <w:tabs>
                <w:tab w:val="left" w:pos="1350"/>
              </w:tabs>
              <w:jc w:val="right"/>
            </w:pPr>
            <w:r w:rsidRPr="000B50C6">
              <w:t>20</w:t>
            </w:r>
          </w:p>
        </w:tc>
        <w:tc>
          <w:tcPr>
            <w:tcW w:w="1256" w:type="dxa"/>
          </w:tcPr>
          <w:p w:rsidR="000B50C6" w:rsidRPr="000B50C6" w:rsidP="000B50C6" w14:paraId="77A54C32" w14:textId="77777777">
            <w:pPr>
              <w:tabs>
                <w:tab w:val="left" w:pos="1350"/>
              </w:tabs>
              <w:jc w:val="right"/>
            </w:pPr>
            <w:r w:rsidRPr="000B50C6">
              <w:t>4,073</w:t>
            </w:r>
          </w:p>
        </w:tc>
        <w:tc>
          <w:tcPr>
            <w:tcW w:w="1562" w:type="dxa"/>
          </w:tcPr>
          <w:p w:rsidR="000B50C6" w:rsidRPr="000B50C6" w:rsidP="000B50C6" w14:paraId="1B691DF7" w14:textId="77777777">
            <w:pPr>
              <w:tabs>
                <w:tab w:val="left" w:pos="1350"/>
              </w:tabs>
              <w:jc w:val="right"/>
            </w:pPr>
            <w:r w:rsidRPr="000B50C6">
              <w:t>$19.86*</w:t>
            </w:r>
          </w:p>
        </w:tc>
        <w:tc>
          <w:tcPr>
            <w:tcW w:w="1530" w:type="dxa"/>
          </w:tcPr>
          <w:p w:rsidR="000B50C6" w:rsidRPr="000B50C6" w:rsidP="000B50C6" w14:paraId="2AAF53B0" w14:textId="77777777">
            <w:pPr>
              <w:tabs>
                <w:tab w:val="left" w:pos="1350"/>
              </w:tabs>
              <w:jc w:val="right"/>
            </w:pPr>
            <w:r w:rsidRPr="000B50C6">
              <w:t>$80,890**</w:t>
            </w:r>
          </w:p>
        </w:tc>
      </w:tr>
      <w:tr w14:paraId="3612D22A" w14:textId="77777777" w:rsidTr="00AA091B">
        <w:tblPrEx>
          <w:tblW w:w="10440" w:type="dxa"/>
          <w:tblInd w:w="-432" w:type="dxa"/>
          <w:tblLayout w:type="fixed"/>
          <w:tblLook w:val="01E0"/>
        </w:tblPrEx>
        <w:tc>
          <w:tcPr>
            <w:tcW w:w="1890" w:type="dxa"/>
          </w:tcPr>
          <w:p w:rsidR="000B50C6" w:rsidRPr="000B50C6" w:rsidP="000B50C6" w14:paraId="2BE3A310" w14:textId="77777777">
            <w:pPr>
              <w:tabs>
                <w:tab w:val="left" w:pos="1350"/>
              </w:tabs>
            </w:pPr>
            <w:r w:rsidRPr="000B50C6">
              <w:t>404.950,  416.1450, and 405.332</w:t>
            </w:r>
          </w:p>
        </w:tc>
        <w:tc>
          <w:tcPr>
            <w:tcW w:w="1597" w:type="dxa"/>
          </w:tcPr>
          <w:p w:rsidR="000B50C6" w:rsidRPr="000B50C6" w:rsidP="000B50C6" w14:paraId="56F3595A" w14:textId="77777777">
            <w:pPr>
              <w:tabs>
                <w:tab w:val="left" w:pos="1350"/>
              </w:tabs>
              <w:jc w:val="right"/>
            </w:pPr>
            <w:r w:rsidRPr="000B50C6">
              <w:t>1,040</w:t>
            </w:r>
          </w:p>
        </w:tc>
        <w:tc>
          <w:tcPr>
            <w:tcW w:w="1415" w:type="dxa"/>
          </w:tcPr>
          <w:p w:rsidR="000B50C6" w:rsidRPr="000B50C6" w:rsidP="000B50C6" w14:paraId="50B7C8E8" w14:textId="77777777">
            <w:pPr>
              <w:tabs>
                <w:tab w:val="left" w:pos="1350"/>
              </w:tabs>
              <w:jc w:val="right"/>
            </w:pPr>
            <w:r w:rsidRPr="000B50C6">
              <w:t>1</w:t>
            </w:r>
          </w:p>
        </w:tc>
        <w:tc>
          <w:tcPr>
            <w:tcW w:w="1190" w:type="dxa"/>
          </w:tcPr>
          <w:p w:rsidR="000B50C6" w:rsidRPr="000B50C6" w:rsidP="000B50C6" w14:paraId="35A345BF" w14:textId="77777777">
            <w:pPr>
              <w:tabs>
                <w:tab w:val="left" w:pos="1350"/>
              </w:tabs>
              <w:jc w:val="right"/>
            </w:pPr>
            <w:r w:rsidRPr="000B50C6">
              <w:t>20</w:t>
            </w:r>
          </w:p>
        </w:tc>
        <w:tc>
          <w:tcPr>
            <w:tcW w:w="1256" w:type="dxa"/>
          </w:tcPr>
          <w:p w:rsidR="000B50C6" w:rsidRPr="000B50C6" w:rsidP="000B50C6" w14:paraId="53B78594" w14:textId="77777777">
            <w:pPr>
              <w:tabs>
                <w:tab w:val="left" w:pos="1350"/>
              </w:tabs>
              <w:jc w:val="right"/>
            </w:pPr>
            <w:r w:rsidRPr="000B50C6">
              <w:t>347</w:t>
            </w:r>
          </w:p>
        </w:tc>
        <w:tc>
          <w:tcPr>
            <w:tcW w:w="1562" w:type="dxa"/>
          </w:tcPr>
          <w:p w:rsidR="000B50C6" w:rsidRPr="000B50C6" w:rsidP="000B50C6" w14:paraId="428C6CC3" w14:textId="77777777">
            <w:pPr>
              <w:tabs>
                <w:tab w:val="left" w:pos="1350"/>
              </w:tabs>
              <w:jc w:val="right"/>
            </w:pPr>
            <w:r w:rsidRPr="000B50C6">
              <w:t>$19.86*</w:t>
            </w:r>
          </w:p>
        </w:tc>
        <w:tc>
          <w:tcPr>
            <w:tcW w:w="1530" w:type="dxa"/>
          </w:tcPr>
          <w:p w:rsidR="000B50C6" w:rsidRPr="000B50C6" w:rsidP="000B50C6" w14:paraId="20354132" w14:textId="77777777">
            <w:pPr>
              <w:tabs>
                <w:tab w:val="left" w:pos="1350"/>
              </w:tabs>
              <w:jc w:val="right"/>
            </w:pPr>
            <w:r w:rsidRPr="000B50C6">
              <w:t>$6,891**</w:t>
            </w:r>
          </w:p>
        </w:tc>
      </w:tr>
      <w:tr w14:paraId="7A4B4A0F" w14:textId="77777777" w:rsidTr="00AA091B">
        <w:tblPrEx>
          <w:tblW w:w="10440" w:type="dxa"/>
          <w:tblInd w:w="-432" w:type="dxa"/>
          <w:tblLayout w:type="fixed"/>
          <w:tblLook w:val="01E0"/>
        </w:tblPrEx>
        <w:tc>
          <w:tcPr>
            <w:tcW w:w="1890" w:type="dxa"/>
          </w:tcPr>
          <w:p w:rsidR="000B50C6" w:rsidRPr="000B50C6" w:rsidP="000B50C6" w14:paraId="0B15552D" w14:textId="77777777">
            <w:pPr>
              <w:tabs>
                <w:tab w:val="left" w:pos="1350"/>
              </w:tabs>
            </w:pPr>
            <w:r w:rsidRPr="000B50C6">
              <w:t>404.949 and 416.1449</w:t>
            </w:r>
          </w:p>
        </w:tc>
        <w:tc>
          <w:tcPr>
            <w:tcW w:w="1597" w:type="dxa"/>
          </w:tcPr>
          <w:p w:rsidR="000B50C6" w:rsidRPr="000B50C6" w:rsidP="000B50C6" w14:paraId="4C715080" w14:textId="77777777">
            <w:pPr>
              <w:tabs>
                <w:tab w:val="left" w:pos="1350"/>
              </w:tabs>
              <w:jc w:val="right"/>
            </w:pPr>
            <w:r w:rsidRPr="000B50C6">
              <w:t>2,868</w:t>
            </w:r>
          </w:p>
        </w:tc>
        <w:tc>
          <w:tcPr>
            <w:tcW w:w="1415" w:type="dxa"/>
          </w:tcPr>
          <w:p w:rsidR="000B50C6" w:rsidRPr="000B50C6" w:rsidP="000B50C6" w14:paraId="322A1E56" w14:textId="77777777">
            <w:pPr>
              <w:tabs>
                <w:tab w:val="left" w:pos="1350"/>
              </w:tabs>
              <w:jc w:val="right"/>
            </w:pPr>
            <w:r w:rsidRPr="000B50C6">
              <w:t>1</w:t>
            </w:r>
          </w:p>
        </w:tc>
        <w:tc>
          <w:tcPr>
            <w:tcW w:w="1190" w:type="dxa"/>
          </w:tcPr>
          <w:p w:rsidR="000B50C6" w:rsidRPr="000B50C6" w:rsidP="000B50C6" w14:paraId="14DA88EF" w14:textId="77777777">
            <w:pPr>
              <w:tabs>
                <w:tab w:val="left" w:pos="1350"/>
              </w:tabs>
              <w:jc w:val="right"/>
            </w:pPr>
            <w:r w:rsidRPr="000B50C6">
              <w:t>60</w:t>
            </w:r>
          </w:p>
        </w:tc>
        <w:tc>
          <w:tcPr>
            <w:tcW w:w="1256" w:type="dxa"/>
          </w:tcPr>
          <w:p w:rsidR="000B50C6" w:rsidRPr="000B50C6" w:rsidP="000B50C6" w14:paraId="1EC3FB70" w14:textId="77777777">
            <w:pPr>
              <w:tabs>
                <w:tab w:val="left" w:pos="1350"/>
              </w:tabs>
              <w:jc w:val="right"/>
            </w:pPr>
            <w:r w:rsidRPr="000B50C6">
              <w:t>2,868</w:t>
            </w:r>
          </w:p>
        </w:tc>
        <w:tc>
          <w:tcPr>
            <w:tcW w:w="1562" w:type="dxa"/>
          </w:tcPr>
          <w:p w:rsidR="000B50C6" w:rsidRPr="000B50C6" w:rsidP="000B50C6" w14:paraId="5F91BD85" w14:textId="77777777">
            <w:pPr>
              <w:tabs>
                <w:tab w:val="left" w:pos="1350"/>
              </w:tabs>
              <w:jc w:val="right"/>
            </w:pPr>
            <w:r w:rsidRPr="000B50C6">
              <w:t>$19.86*</w:t>
            </w:r>
          </w:p>
        </w:tc>
        <w:tc>
          <w:tcPr>
            <w:tcW w:w="1530" w:type="dxa"/>
          </w:tcPr>
          <w:p w:rsidR="000B50C6" w:rsidRPr="000B50C6" w:rsidP="000B50C6" w14:paraId="75207C3E" w14:textId="77777777">
            <w:pPr>
              <w:tabs>
                <w:tab w:val="left" w:pos="1350"/>
              </w:tabs>
              <w:jc w:val="right"/>
            </w:pPr>
            <w:r w:rsidRPr="000B50C6">
              <w:t>$56,958**</w:t>
            </w:r>
          </w:p>
        </w:tc>
      </w:tr>
      <w:tr w14:paraId="1627C1FD" w14:textId="77777777" w:rsidTr="00AA091B">
        <w:tblPrEx>
          <w:tblW w:w="10440" w:type="dxa"/>
          <w:tblInd w:w="-432" w:type="dxa"/>
          <w:tblLayout w:type="fixed"/>
          <w:tblLook w:val="01E0"/>
        </w:tblPrEx>
        <w:tc>
          <w:tcPr>
            <w:tcW w:w="1890" w:type="dxa"/>
          </w:tcPr>
          <w:p w:rsidR="000B50C6" w:rsidRPr="000B50C6" w:rsidP="000B50C6" w14:paraId="35652540" w14:textId="77777777">
            <w:pPr>
              <w:tabs>
                <w:tab w:val="left" w:pos="1350"/>
              </w:tabs>
            </w:pPr>
            <w:r w:rsidRPr="000B50C6">
              <w:t>405.334</w:t>
            </w:r>
          </w:p>
        </w:tc>
        <w:tc>
          <w:tcPr>
            <w:tcW w:w="1597" w:type="dxa"/>
          </w:tcPr>
          <w:p w:rsidR="000B50C6" w:rsidRPr="000B50C6" w:rsidP="000B50C6" w14:paraId="0452CF36" w14:textId="77777777">
            <w:pPr>
              <w:tabs>
                <w:tab w:val="left" w:pos="1350"/>
              </w:tabs>
              <w:jc w:val="right"/>
            </w:pPr>
            <w:r w:rsidRPr="000B50C6">
              <w:t>20</w:t>
            </w:r>
          </w:p>
        </w:tc>
        <w:tc>
          <w:tcPr>
            <w:tcW w:w="1415" w:type="dxa"/>
          </w:tcPr>
          <w:p w:rsidR="000B50C6" w:rsidRPr="000B50C6" w:rsidP="000B50C6" w14:paraId="77E3FE9D" w14:textId="77777777">
            <w:pPr>
              <w:tabs>
                <w:tab w:val="left" w:pos="1350"/>
              </w:tabs>
              <w:jc w:val="right"/>
            </w:pPr>
            <w:r w:rsidRPr="000B50C6">
              <w:t>1</w:t>
            </w:r>
          </w:p>
        </w:tc>
        <w:tc>
          <w:tcPr>
            <w:tcW w:w="1190" w:type="dxa"/>
          </w:tcPr>
          <w:p w:rsidR="000B50C6" w:rsidRPr="000B50C6" w:rsidP="000B50C6" w14:paraId="00ABCF7D" w14:textId="77777777">
            <w:pPr>
              <w:tabs>
                <w:tab w:val="left" w:pos="1350"/>
              </w:tabs>
              <w:jc w:val="right"/>
            </w:pPr>
            <w:r w:rsidRPr="000B50C6">
              <w:t>60</w:t>
            </w:r>
          </w:p>
        </w:tc>
        <w:tc>
          <w:tcPr>
            <w:tcW w:w="1256" w:type="dxa"/>
          </w:tcPr>
          <w:p w:rsidR="000B50C6" w:rsidRPr="000B50C6" w:rsidP="000B50C6" w14:paraId="5A43AB07" w14:textId="77777777">
            <w:pPr>
              <w:tabs>
                <w:tab w:val="left" w:pos="1350"/>
              </w:tabs>
              <w:jc w:val="right"/>
            </w:pPr>
            <w:r w:rsidRPr="000B50C6">
              <w:t>20</w:t>
            </w:r>
          </w:p>
        </w:tc>
        <w:tc>
          <w:tcPr>
            <w:tcW w:w="1562" w:type="dxa"/>
          </w:tcPr>
          <w:p w:rsidR="000B50C6" w:rsidRPr="000B50C6" w:rsidP="000B50C6" w14:paraId="7105035C" w14:textId="77777777">
            <w:pPr>
              <w:tabs>
                <w:tab w:val="left" w:pos="1350"/>
              </w:tabs>
              <w:jc w:val="right"/>
            </w:pPr>
            <w:r w:rsidRPr="000B50C6">
              <w:t>$19.86*</w:t>
            </w:r>
          </w:p>
        </w:tc>
        <w:tc>
          <w:tcPr>
            <w:tcW w:w="1530" w:type="dxa"/>
          </w:tcPr>
          <w:p w:rsidR="000B50C6" w:rsidRPr="000B50C6" w:rsidP="000B50C6" w14:paraId="685EC13A" w14:textId="77777777">
            <w:pPr>
              <w:tabs>
                <w:tab w:val="left" w:pos="1350"/>
              </w:tabs>
              <w:jc w:val="right"/>
            </w:pPr>
            <w:r w:rsidRPr="000B50C6">
              <w:t>$397**</w:t>
            </w:r>
          </w:p>
        </w:tc>
      </w:tr>
      <w:tr w14:paraId="647E2B62" w14:textId="77777777" w:rsidTr="00AA091B">
        <w:tblPrEx>
          <w:tblW w:w="10440" w:type="dxa"/>
          <w:tblInd w:w="-432" w:type="dxa"/>
          <w:tblLayout w:type="fixed"/>
          <w:tblLook w:val="01E0"/>
        </w:tblPrEx>
        <w:tc>
          <w:tcPr>
            <w:tcW w:w="1890" w:type="dxa"/>
          </w:tcPr>
          <w:p w:rsidR="000B50C6" w:rsidRPr="000B50C6" w:rsidP="000B50C6" w14:paraId="0E49BA50" w14:textId="77777777">
            <w:pPr>
              <w:tabs>
                <w:tab w:val="left" w:pos="1350"/>
              </w:tabs>
            </w:pPr>
            <w:r w:rsidRPr="000B50C6">
              <w:t>404.957,  416.1457, and 405.380</w:t>
            </w:r>
          </w:p>
        </w:tc>
        <w:tc>
          <w:tcPr>
            <w:tcW w:w="1597" w:type="dxa"/>
          </w:tcPr>
          <w:p w:rsidR="000B50C6" w:rsidRPr="000B50C6" w:rsidP="000B50C6" w14:paraId="3D7D59C4" w14:textId="77777777">
            <w:pPr>
              <w:tabs>
                <w:tab w:val="left" w:pos="1350"/>
              </w:tabs>
              <w:jc w:val="right"/>
            </w:pPr>
            <w:r w:rsidRPr="000B50C6">
              <w:t>21,041</w:t>
            </w:r>
          </w:p>
        </w:tc>
        <w:tc>
          <w:tcPr>
            <w:tcW w:w="1415" w:type="dxa"/>
          </w:tcPr>
          <w:p w:rsidR="000B50C6" w:rsidRPr="000B50C6" w:rsidP="000B50C6" w14:paraId="0CE991B8" w14:textId="77777777">
            <w:pPr>
              <w:tabs>
                <w:tab w:val="left" w:pos="1350"/>
              </w:tabs>
              <w:jc w:val="right"/>
            </w:pPr>
            <w:r w:rsidRPr="000B50C6">
              <w:t>1</w:t>
            </w:r>
          </w:p>
        </w:tc>
        <w:tc>
          <w:tcPr>
            <w:tcW w:w="1190" w:type="dxa"/>
          </w:tcPr>
          <w:p w:rsidR="000B50C6" w:rsidRPr="000B50C6" w:rsidP="000B50C6" w14:paraId="7787E754" w14:textId="77777777">
            <w:pPr>
              <w:tabs>
                <w:tab w:val="left" w:pos="1350"/>
              </w:tabs>
              <w:jc w:val="right"/>
            </w:pPr>
            <w:r w:rsidRPr="000B50C6">
              <w:t>10</w:t>
            </w:r>
          </w:p>
        </w:tc>
        <w:tc>
          <w:tcPr>
            <w:tcW w:w="1256" w:type="dxa"/>
          </w:tcPr>
          <w:p w:rsidR="000B50C6" w:rsidRPr="000B50C6" w:rsidP="000B50C6" w14:paraId="33C27727" w14:textId="77777777">
            <w:pPr>
              <w:tabs>
                <w:tab w:val="left" w:pos="1350"/>
              </w:tabs>
              <w:jc w:val="right"/>
            </w:pPr>
            <w:r w:rsidRPr="000B50C6">
              <w:t>3,507</w:t>
            </w:r>
          </w:p>
        </w:tc>
        <w:tc>
          <w:tcPr>
            <w:tcW w:w="1562" w:type="dxa"/>
          </w:tcPr>
          <w:p w:rsidR="000B50C6" w:rsidRPr="000B50C6" w:rsidP="000B50C6" w14:paraId="4661F3E6" w14:textId="77777777">
            <w:pPr>
              <w:tabs>
                <w:tab w:val="left" w:pos="1350"/>
              </w:tabs>
              <w:jc w:val="right"/>
            </w:pPr>
            <w:r w:rsidRPr="000B50C6">
              <w:t>$19.86*</w:t>
            </w:r>
          </w:p>
        </w:tc>
        <w:tc>
          <w:tcPr>
            <w:tcW w:w="1530" w:type="dxa"/>
          </w:tcPr>
          <w:p w:rsidR="000B50C6" w:rsidRPr="000B50C6" w:rsidP="000B50C6" w14:paraId="36D6AB80" w14:textId="77777777">
            <w:pPr>
              <w:tabs>
                <w:tab w:val="left" w:pos="1350"/>
              </w:tabs>
              <w:jc w:val="right"/>
            </w:pPr>
            <w:r w:rsidRPr="000B50C6">
              <w:t>$69,649**</w:t>
            </w:r>
          </w:p>
        </w:tc>
      </w:tr>
      <w:tr w14:paraId="6C6A6338" w14:textId="77777777" w:rsidTr="00AA091B">
        <w:tblPrEx>
          <w:tblW w:w="10440" w:type="dxa"/>
          <w:tblInd w:w="-432" w:type="dxa"/>
          <w:tblLayout w:type="fixed"/>
          <w:tblLook w:val="01E0"/>
        </w:tblPrEx>
        <w:tc>
          <w:tcPr>
            <w:tcW w:w="1890" w:type="dxa"/>
          </w:tcPr>
          <w:p w:rsidR="000B50C6" w:rsidRPr="000B50C6" w:rsidP="000B50C6" w14:paraId="57533F4B" w14:textId="77777777">
            <w:pPr>
              <w:tabs>
                <w:tab w:val="left" w:pos="1350"/>
              </w:tabs>
            </w:pPr>
            <w:r w:rsidRPr="000B50C6">
              <w:t>405.381</w:t>
            </w:r>
          </w:p>
        </w:tc>
        <w:tc>
          <w:tcPr>
            <w:tcW w:w="1597" w:type="dxa"/>
          </w:tcPr>
          <w:p w:rsidR="000B50C6" w:rsidRPr="000B50C6" w:rsidP="000B50C6" w14:paraId="2FB00148" w14:textId="77777777">
            <w:pPr>
              <w:tabs>
                <w:tab w:val="left" w:pos="1350"/>
              </w:tabs>
              <w:jc w:val="right"/>
            </w:pPr>
            <w:r w:rsidRPr="000B50C6">
              <w:t>37</w:t>
            </w:r>
          </w:p>
        </w:tc>
        <w:tc>
          <w:tcPr>
            <w:tcW w:w="1415" w:type="dxa"/>
          </w:tcPr>
          <w:p w:rsidR="000B50C6" w:rsidRPr="000B50C6" w:rsidP="000B50C6" w14:paraId="0E2DE341" w14:textId="77777777">
            <w:pPr>
              <w:tabs>
                <w:tab w:val="left" w:pos="1350"/>
              </w:tabs>
              <w:jc w:val="right"/>
            </w:pPr>
            <w:r w:rsidRPr="000B50C6">
              <w:t>1</w:t>
            </w:r>
          </w:p>
        </w:tc>
        <w:tc>
          <w:tcPr>
            <w:tcW w:w="1190" w:type="dxa"/>
          </w:tcPr>
          <w:p w:rsidR="000B50C6" w:rsidRPr="000B50C6" w:rsidP="000B50C6" w14:paraId="1173DBA7" w14:textId="77777777">
            <w:pPr>
              <w:tabs>
                <w:tab w:val="left" w:pos="1350"/>
              </w:tabs>
              <w:jc w:val="right"/>
            </w:pPr>
            <w:r w:rsidRPr="000B50C6">
              <w:t>30</w:t>
            </w:r>
          </w:p>
        </w:tc>
        <w:tc>
          <w:tcPr>
            <w:tcW w:w="1256" w:type="dxa"/>
          </w:tcPr>
          <w:p w:rsidR="000B50C6" w:rsidRPr="000B50C6" w:rsidP="000B50C6" w14:paraId="24BE617F" w14:textId="77777777">
            <w:pPr>
              <w:tabs>
                <w:tab w:val="left" w:pos="1350"/>
              </w:tabs>
              <w:jc w:val="right"/>
            </w:pPr>
            <w:r w:rsidRPr="000B50C6">
              <w:t>19</w:t>
            </w:r>
          </w:p>
        </w:tc>
        <w:tc>
          <w:tcPr>
            <w:tcW w:w="1562" w:type="dxa"/>
          </w:tcPr>
          <w:p w:rsidR="000B50C6" w:rsidRPr="000B50C6" w:rsidP="000B50C6" w14:paraId="36AF1815" w14:textId="77777777">
            <w:pPr>
              <w:tabs>
                <w:tab w:val="left" w:pos="1350"/>
              </w:tabs>
              <w:jc w:val="right"/>
            </w:pPr>
            <w:r w:rsidRPr="000B50C6">
              <w:t>$19.86*</w:t>
            </w:r>
          </w:p>
        </w:tc>
        <w:tc>
          <w:tcPr>
            <w:tcW w:w="1530" w:type="dxa"/>
          </w:tcPr>
          <w:p w:rsidR="000B50C6" w:rsidRPr="000B50C6" w:rsidP="000B50C6" w14:paraId="763BBA63" w14:textId="77777777">
            <w:pPr>
              <w:tabs>
                <w:tab w:val="left" w:pos="1350"/>
              </w:tabs>
              <w:jc w:val="right"/>
            </w:pPr>
            <w:r w:rsidRPr="000B50C6">
              <w:t>$377**</w:t>
            </w:r>
          </w:p>
        </w:tc>
      </w:tr>
      <w:tr w14:paraId="4F019DC2" w14:textId="77777777" w:rsidTr="00AA091B">
        <w:tblPrEx>
          <w:tblW w:w="10440" w:type="dxa"/>
          <w:tblInd w:w="-432" w:type="dxa"/>
          <w:tblLayout w:type="fixed"/>
          <w:tblLook w:val="01E0"/>
        </w:tblPrEx>
        <w:tc>
          <w:tcPr>
            <w:tcW w:w="1890" w:type="dxa"/>
          </w:tcPr>
          <w:p w:rsidR="000B50C6" w:rsidRPr="000B50C6" w:rsidP="000B50C6" w14:paraId="486D53E7" w14:textId="77777777">
            <w:pPr>
              <w:tabs>
                <w:tab w:val="left" w:pos="1350"/>
              </w:tabs>
            </w:pPr>
            <w:r w:rsidRPr="000B50C6">
              <w:t>405.401</w:t>
            </w:r>
          </w:p>
        </w:tc>
        <w:tc>
          <w:tcPr>
            <w:tcW w:w="1597" w:type="dxa"/>
          </w:tcPr>
          <w:p w:rsidR="000B50C6" w:rsidRPr="000B50C6" w:rsidP="000B50C6" w14:paraId="2538A8CD" w14:textId="77777777">
            <w:pPr>
              <w:tabs>
                <w:tab w:val="left" w:pos="1350"/>
              </w:tabs>
              <w:jc w:val="right"/>
            </w:pPr>
            <w:r w:rsidRPr="000B50C6">
              <w:t>5,310</w:t>
            </w:r>
          </w:p>
        </w:tc>
        <w:tc>
          <w:tcPr>
            <w:tcW w:w="1415" w:type="dxa"/>
          </w:tcPr>
          <w:p w:rsidR="000B50C6" w:rsidRPr="000B50C6" w:rsidP="000B50C6" w14:paraId="09B078D3" w14:textId="77777777">
            <w:pPr>
              <w:tabs>
                <w:tab w:val="left" w:pos="1350"/>
              </w:tabs>
              <w:jc w:val="right"/>
            </w:pPr>
            <w:r w:rsidRPr="000B50C6">
              <w:t>1</w:t>
            </w:r>
          </w:p>
        </w:tc>
        <w:tc>
          <w:tcPr>
            <w:tcW w:w="1190" w:type="dxa"/>
          </w:tcPr>
          <w:p w:rsidR="000B50C6" w:rsidRPr="000B50C6" w:rsidP="000B50C6" w14:paraId="5217DA8B" w14:textId="77777777">
            <w:pPr>
              <w:tabs>
                <w:tab w:val="left" w:pos="1350"/>
              </w:tabs>
              <w:jc w:val="right"/>
            </w:pPr>
            <w:r w:rsidRPr="000B50C6">
              <w:t>10</w:t>
            </w:r>
          </w:p>
        </w:tc>
        <w:tc>
          <w:tcPr>
            <w:tcW w:w="1256" w:type="dxa"/>
          </w:tcPr>
          <w:p w:rsidR="000B50C6" w:rsidRPr="000B50C6" w:rsidP="000B50C6" w14:paraId="7827E08F" w14:textId="77777777">
            <w:pPr>
              <w:tabs>
                <w:tab w:val="left" w:pos="1350"/>
              </w:tabs>
              <w:jc w:val="right"/>
            </w:pPr>
            <w:r w:rsidRPr="000B50C6">
              <w:t>885</w:t>
            </w:r>
          </w:p>
        </w:tc>
        <w:tc>
          <w:tcPr>
            <w:tcW w:w="1562" w:type="dxa"/>
          </w:tcPr>
          <w:p w:rsidR="000B50C6" w:rsidRPr="000B50C6" w:rsidP="000B50C6" w14:paraId="2CDEB487" w14:textId="77777777">
            <w:pPr>
              <w:tabs>
                <w:tab w:val="left" w:pos="1350"/>
              </w:tabs>
              <w:jc w:val="right"/>
            </w:pPr>
            <w:r w:rsidRPr="000B50C6">
              <w:t>$19.86*</w:t>
            </w:r>
          </w:p>
        </w:tc>
        <w:tc>
          <w:tcPr>
            <w:tcW w:w="1530" w:type="dxa"/>
          </w:tcPr>
          <w:p w:rsidR="000B50C6" w:rsidRPr="000B50C6" w:rsidP="000B50C6" w14:paraId="76C06C24" w14:textId="77777777">
            <w:pPr>
              <w:tabs>
                <w:tab w:val="left" w:pos="1350"/>
              </w:tabs>
              <w:jc w:val="right"/>
            </w:pPr>
            <w:r w:rsidRPr="000B50C6">
              <w:t>$17,576**</w:t>
            </w:r>
          </w:p>
        </w:tc>
      </w:tr>
      <w:tr w14:paraId="58B87214" w14:textId="77777777" w:rsidTr="00AA091B">
        <w:tblPrEx>
          <w:tblW w:w="10440" w:type="dxa"/>
          <w:tblInd w:w="-432" w:type="dxa"/>
          <w:tblLayout w:type="fixed"/>
          <w:tblLook w:val="01E0"/>
        </w:tblPrEx>
        <w:tc>
          <w:tcPr>
            <w:tcW w:w="1890" w:type="dxa"/>
          </w:tcPr>
          <w:p w:rsidR="000B50C6" w:rsidRPr="000B50C6" w:rsidP="000B50C6" w14:paraId="0C0DFEE9" w14:textId="77777777">
            <w:pPr>
              <w:tabs>
                <w:tab w:val="left" w:pos="-720"/>
              </w:tabs>
            </w:pPr>
            <w:r w:rsidRPr="000B50C6">
              <w:t>404.971 and 416.1471</w:t>
            </w:r>
          </w:p>
          <w:p w:rsidR="000B50C6" w:rsidRPr="000B50C6" w:rsidP="000B50C6" w14:paraId="0FF8E58C" w14:textId="6FDC3B05">
            <w:pPr>
              <w:tabs>
                <w:tab w:val="left" w:pos="1350"/>
              </w:tabs>
            </w:pPr>
            <w:r w:rsidRPr="000B50C6">
              <w:t>(HA-85</w:t>
            </w:r>
            <w:r w:rsidR="00867899">
              <w:t xml:space="preserve"> &amp; e85</w:t>
            </w:r>
            <w:r w:rsidRPr="000B50C6">
              <w:t>;</w:t>
            </w:r>
          </w:p>
          <w:p w:rsidR="000B50C6" w:rsidRPr="000B50C6" w:rsidP="000B50C6" w14:paraId="5A8AE87A" w14:textId="473F2855">
            <w:pPr>
              <w:tabs>
                <w:tab w:val="left" w:pos="1350"/>
              </w:tabs>
            </w:pPr>
            <w:r w:rsidRPr="000B50C6">
              <w:t>HA-86</w:t>
            </w:r>
            <w:r w:rsidR="00867899">
              <w:t xml:space="preserve"> &amp; e86</w:t>
            </w:r>
            <w:r w:rsidRPr="000B50C6">
              <w:t>)</w:t>
            </w:r>
          </w:p>
        </w:tc>
        <w:tc>
          <w:tcPr>
            <w:tcW w:w="1597" w:type="dxa"/>
          </w:tcPr>
          <w:p w:rsidR="000B50C6" w:rsidRPr="000B50C6" w:rsidP="000B50C6" w14:paraId="1E056823" w14:textId="77777777">
            <w:pPr>
              <w:tabs>
                <w:tab w:val="left" w:pos="1350"/>
              </w:tabs>
              <w:jc w:val="right"/>
            </w:pPr>
            <w:r w:rsidRPr="000B50C6">
              <w:t>1,606</w:t>
            </w:r>
          </w:p>
        </w:tc>
        <w:tc>
          <w:tcPr>
            <w:tcW w:w="1415" w:type="dxa"/>
          </w:tcPr>
          <w:p w:rsidR="000B50C6" w:rsidRPr="000B50C6" w:rsidP="000B50C6" w14:paraId="5078DC0F" w14:textId="77777777">
            <w:pPr>
              <w:tabs>
                <w:tab w:val="left" w:pos="1350"/>
              </w:tabs>
              <w:jc w:val="right"/>
            </w:pPr>
            <w:r w:rsidRPr="000B50C6">
              <w:t>1</w:t>
            </w:r>
          </w:p>
        </w:tc>
        <w:tc>
          <w:tcPr>
            <w:tcW w:w="1190" w:type="dxa"/>
          </w:tcPr>
          <w:p w:rsidR="000B50C6" w:rsidRPr="000B50C6" w:rsidP="000B50C6" w14:paraId="479F0104" w14:textId="77777777">
            <w:pPr>
              <w:tabs>
                <w:tab w:val="left" w:pos="1350"/>
              </w:tabs>
              <w:jc w:val="right"/>
            </w:pPr>
            <w:r w:rsidRPr="000B50C6">
              <w:t>10</w:t>
            </w:r>
          </w:p>
        </w:tc>
        <w:tc>
          <w:tcPr>
            <w:tcW w:w="1256" w:type="dxa"/>
          </w:tcPr>
          <w:p w:rsidR="000B50C6" w:rsidRPr="000B50C6" w:rsidP="000B50C6" w14:paraId="39F6E0ED" w14:textId="77777777">
            <w:pPr>
              <w:tabs>
                <w:tab w:val="left" w:pos="1350"/>
              </w:tabs>
              <w:jc w:val="right"/>
            </w:pPr>
            <w:r w:rsidRPr="000B50C6">
              <w:t>268</w:t>
            </w:r>
          </w:p>
        </w:tc>
        <w:tc>
          <w:tcPr>
            <w:tcW w:w="1562" w:type="dxa"/>
          </w:tcPr>
          <w:p w:rsidR="000B50C6" w:rsidRPr="000B50C6" w:rsidP="000B50C6" w14:paraId="4F1FC235" w14:textId="77777777">
            <w:pPr>
              <w:tabs>
                <w:tab w:val="left" w:pos="1350"/>
              </w:tabs>
              <w:jc w:val="right"/>
            </w:pPr>
            <w:r w:rsidRPr="000B50C6">
              <w:t>$19.86*</w:t>
            </w:r>
          </w:p>
        </w:tc>
        <w:tc>
          <w:tcPr>
            <w:tcW w:w="1530" w:type="dxa"/>
          </w:tcPr>
          <w:p w:rsidR="000B50C6" w:rsidRPr="000B50C6" w:rsidP="000B50C6" w14:paraId="106A4A7E" w14:textId="77777777">
            <w:pPr>
              <w:tabs>
                <w:tab w:val="left" w:pos="1350"/>
              </w:tabs>
              <w:jc w:val="right"/>
            </w:pPr>
            <w:r w:rsidRPr="000B50C6">
              <w:t>$5,322**</w:t>
            </w:r>
          </w:p>
        </w:tc>
      </w:tr>
      <w:tr w14:paraId="2C8351FF" w14:textId="77777777" w:rsidTr="00AA091B">
        <w:tblPrEx>
          <w:tblW w:w="10440" w:type="dxa"/>
          <w:tblInd w:w="-432" w:type="dxa"/>
          <w:tblLayout w:type="fixed"/>
          <w:tblLook w:val="01E0"/>
        </w:tblPrEx>
        <w:tc>
          <w:tcPr>
            <w:tcW w:w="1890" w:type="dxa"/>
          </w:tcPr>
          <w:p w:rsidR="000B50C6" w:rsidRPr="000B50C6" w:rsidP="000B50C6" w14:paraId="36FD4CD9" w14:textId="77777777">
            <w:pPr>
              <w:tabs>
                <w:tab w:val="left" w:pos="1350"/>
              </w:tabs>
            </w:pPr>
            <w:r w:rsidRPr="000B50C6">
              <w:t>404.982 and 416.1482</w:t>
            </w:r>
          </w:p>
        </w:tc>
        <w:tc>
          <w:tcPr>
            <w:tcW w:w="1597" w:type="dxa"/>
          </w:tcPr>
          <w:p w:rsidR="000B50C6" w:rsidRPr="000B50C6" w:rsidP="000B50C6" w14:paraId="2E79E3AB" w14:textId="77777777">
            <w:pPr>
              <w:tabs>
                <w:tab w:val="left" w:pos="-720"/>
              </w:tabs>
              <w:jc w:val="right"/>
            </w:pPr>
            <w:r w:rsidRPr="000B50C6">
              <w:t>1,687</w:t>
            </w:r>
          </w:p>
          <w:p w:rsidR="000B50C6" w:rsidRPr="000B50C6" w:rsidP="000B50C6" w14:paraId="151FF1DD" w14:textId="77777777">
            <w:pPr>
              <w:tabs>
                <w:tab w:val="left" w:pos="1350"/>
              </w:tabs>
              <w:jc w:val="right"/>
            </w:pPr>
          </w:p>
        </w:tc>
        <w:tc>
          <w:tcPr>
            <w:tcW w:w="1415" w:type="dxa"/>
          </w:tcPr>
          <w:p w:rsidR="000B50C6" w:rsidRPr="000B50C6" w:rsidP="000B50C6" w14:paraId="058E5D7E" w14:textId="77777777">
            <w:pPr>
              <w:tabs>
                <w:tab w:val="left" w:pos="1350"/>
              </w:tabs>
              <w:jc w:val="right"/>
            </w:pPr>
            <w:r w:rsidRPr="000B50C6">
              <w:t>1</w:t>
            </w:r>
          </w:p>
        </w:tc>
        <w:tc>
          <w:tcPr>
            <w:tcW w:w="1190" w:type="dxa"/>
          </w:tcPr>
          <w:p w:rsidR="000B50C6" w:rsidRPr="000B50C6" w:rsidP="000B50C6" w14:paraId="41A552B6" w14:textId="77777777">
            <w:pPr>
              <w:tabs>
                <w:tab w:val="left" w:pos="1350"/>
              </w:tabs>
              <w:jc w:val="right"/>
            </w:pPr>
            <w:r w:rsidRPr="000B50C6">
              <w:t>30</w:t>
            </w:r>
          </w:p>
        </w:tc>
        <w:tc>
          <w:tcPr>
            <w:tcW w:w="1256" w:type="dxa"/>
          </w:tcPr>
          <w:p w:rsidR="000B50C6" w:rsidRPr="000B50C6" w:rsidP="000B50C6" w14:paraId="7E62E2D6" w14:textId="77777777">
            <w:pPr>
              <w:tabs>
                <w:tab w:val="left" w:pos="1350"/>
              </w:tabs>
              <w:jc w:val="right"/>
            </w:pPr>
            <w:r w:rsidRPr="000B50C6">
              <w:t>844</w:t>
            </w:r>
          </w:p>
        </w:tc>
        <w:tc>
          <w:tcPr>
            <w:tcW w:w="1562" w:type="dxa"/>
          </w:tcPr>
          <w:p w:rsidR="000B50C6" w:rsidRPr="000B50C6" w:rsidP="000B50C6" w14:paraId="32A519F6" w14:textId="77777777">
            <w:pPr>
              <w:tabs>
                <w:tab w:val="left" w:pos="1350"/>
              </w:tabs>
              <w:jc w:val="right"/>
            </w:pPr>
            <w:r w:rsidRPr="000B50C6">
              <w:t>$19.86*</w:t>
            </w:r>
          </w:p>
        </w:tc>
        <w:tc>
          <w:tcPr>
            <w:tcW w:w="1530" w:type="dxa"/>
          </w:tcPr>
          <w:p w:rsidR="000B50C6" w:rsidRPr="000B50C6" w:rsidP="000B50C6" w14:paraId="02E1D3B4" w14:textId="77777777">
            <w:pPr>
              <w:tabs>
                <w:tab w:val="left" w:pos="1350"/>
              </w:tabs>
              <w:jc w:val="right"/>
            </w:pPr>
            <w:r w:rsidRPr="000B50C6">
              <w:t>$16,762**</w:t>
            </w:r>
          </w:p>
        </w:tc>
      </w:tr>
      <w:tr w14:paraId="2F35E9A0" w14:textId="77777777" w:rsidTr="00AA091B">
        <w:tblPrEx>
          <w:tblW w:w="10440" w:type="dxa"/>
          <w:tblInd w:w="-432" w:type="dxa"/>
          <w:tblLayout w:type="fixed"/>
          <w:tblLook w:val="01E0"/>
        </w:tblPrEx>
        <w:tc>
          <w:tcPr>
            <w:tcW w:w="1890" w:type="dxa"/>
          </w:tcPr>
          <w:p w:rsidR="000B50C6" w:rsidRPr="000B50C6" w:rsidP="000B50C6" w14:paraId="44ED608E" w14:textId="77777777">
            <w:pPr>
              <w:tabs>
                <w:tab w:val="left" w:pos="1350"/>
              </w:tabs>
            </w:pPr>
            <w:r w:rsidRPr="000B50C6">
              <w:t>404.987 &amp; 404.988 and 416.1487 &amp; 416.1488 and 405.601</w:t>
            </w:r>
          </w:p>
        </w:tc>
        <w:tc>
          <w:tcPr>
            <w:tcW w:w="1597" w:type="dxa"/>
          </w:tcPr>
          <w:p w:rsidR="000B50C6" w:rsidRPr="000B50C6" w:rsidP="000B50C6" w14:paraId="619E0BEA" w14:textId="77777777">
            <w:pPr>
              <w:tabs>
                <w:tab w:val="left" w:pos="-720"/>
              </w:tabs>
              <w:jc w:val="right"/>
            </w:pPr>
            <w:r w:rsidRPr="000B50C6">
              <w:t>12,425</w:t>
            </w:r>
          </w:p>
          <w:p w:rsidR="000B50C6" w:rsidRPr="000B50C6" w:rsidP="000B50C6" w14:paraId="073BF22B" w14:textId="77777777">
            <w:pPr>
              <w:tabs>
                <w:tab w:val="left" w:pos="1350"/>
              </w:tabs>
              <w:jc w:val="right"/>
            </w:pPr>
          </w:p>
        </w:tc>
        <w:tc>
          <w:tcPr>
            <w:tcW w:w="1415" w:type="dxa"/>
          </w:tcPr>
          <w:p w:rsidR="000B50C6" w:rsidRPr="000B50C6" w:rsidP="000B50C6" w14:paraId="21C60D27" w14:textId="77777777">
            <w:pPr>
              <w:tabs>
                <w:tab w:val="left" w:pos="-720"/>
              </w:tabs>
              <w:jc w:val="right"/>
            </w:pPr>
            <w:r w:rsidRPr="000B50C6">
              <w:t>1</w:t>
            </w:r>
          </w:p>
          <w:p w:rsidR="000B50C6" w:rsidRPr="000B50C6" w:rsidP="000B50C6" w14:paraId="45F3471E" w14:textId="77777777">
            <w:pPr>
              <w:tabs>
                <w:tab w:val="left" w:pos="1350"/>
              </w:tabs>
              <w:jc w:val="right"/>
            </w:pPr>
          </w:p>
        </w:tc>
        <w:tc>
          <w:tcPr>
            <w:tcW w:w="1190" w:type="dxa"/>
          </w:tcPr>
          <w:p w:rsidR="000B50C6" w:rsidRPr="000B50C6" w:rsidP="000B50C6" w14:paraId="20FC1B59" w14:textId="77777777">
            <w:pPr>
              <w:tabs>
                <w:tab w:val="left" w:pos="-720"/>
              </w:tabs>
              <w:jc w:val="right"/>
            </w:pPr>
            <w:r w:rsidRPr="000B50C6">
              <w:t>30</w:t>
            </w:r>
          </w:p>
          <w:p w:rsidR="000B50C6" w:rsidRPr="000B50C6" w:rsidP="000B50C6" w14:paraId="02B1E9D2" w14:textId="77777777">
            <w:pPr>
              <w:tabs>
                <w:tab w:val="left" w:pos="1350"/>
              </w:tabs>
              <w:jc w:val="right"/>
            </w:pPr>
          </w:p>
        </w:tc>
        <w:tc>
          <w:tcPr>
            <w:tcW w:w="1256" w:type="dxa"/>
          </w:tcPr>
          <w:p w:rsidR="000B50C6" w:rsidRPr="000B50C6" w:rsidP="000B50C6" w14:paraId="7E63D183" w14:textId="77777777">
            <w:pPr>
              <w:tabs>
                <w:tab w:val="left" w:pos="1350"/>
              </w:tabs>
              <w:jc w:val="right"/>
            </w:pPr>
            <w:r w:rsidRPr="000B50C6">
              <w:t>6,213</w:t>
            </w:r>
          </w:p>
        </w:tc>
        <w:tc>
          <w:tcPr>
            <w:tcW w:w="1562" w:type="dxa"/>
          </w:tcPr>
          <w:p w:rsidR="000B50C6" w:rsidRPr="000B50C6" w:rsidP="000B50C6" w14:paraId="56697F95" w14:textId="77777777">
            <w:pPr>
              <w:tabs>
                <w:tab w:val="left" w:pos="1350"/>
              </w:tabs>
              <w:jc w:val="right"/>
            </w:pPr>
            <w:r w:rsidRPr="000B50C6">
              <w:t>$19.86*</w:t>
            </w:r>
          </w:p>
        </w:tc>
        <w:tc>
          <w:tcPr>
            <w:tcW w:w="1530" w:type="dxa"/>
          </w:tcPr>
          <w:p w:rsidR="000B50C6" w:rsidRPr="000B50C6" w:rsidP="000B50C6" w14:paraId="285064C0" w14:textId="77777777">
            <w:pPr>
              <w:tabs>
                <w:tab w:val="left" w:pos="1350"/>
              </w:tabs>
              <w:jc w:val="right"/>
            </w:pPr>
            <w:r w:rsidRPr="000B50C6">
              <w:t>$123,390**</w:t>
            </w:r>
          </w:p>
        </w:tc>
      </w:tr>
      <w:tr w14:paraId="74BBFB46" w14:textId="77777777" w:rsidTr="00AA091B">
        <w:tblPrEx>
          <w:tblW w:w="10440" w:type="dxa"/>
          <w:tblInd w:w="-432" w:type="dxa"/>
          <w:tblLayout w:type="fixed"/>
          <w:tblLook w:val="01E0"/>
        </w:tblPrEx>
        <w:tc>
          <w:tcPr>
            <w:tcW w:w="1890" w:type="dxa"/>
          </w:tcPr>
          <w:p w:rsidR="000B50C6" w:rsidRPr="000B50C6" w:rsidP="000B50C6" w14:paraId="42506ABA" w14:textId="77777777">
            <w:pPr>
              <w:tabs>
                <w:tab w:val="left" w:pos="1350"/>
              </w:tabs>
            </w:pPr>
            <w:r w:rsidRPr="000B50C6">
              <w:t>404.1740(b)(1)</w:t>
            </w:r>
          </w:p>
        </w:tc>
        <w:tc>
          <w:tcPr>
            <w:tcW w:w="1597" w:type="dxa"/>
          </w:tcPr>
          <w:p w:rsidR="000B50C6" w:rsidRPr="000B50C6" w:rsidP="000B50C6" w14:paraId="221B45FA" w14:textId="77777777">
            <w:pPr>
              <w:tabs>
                <w:tab w:val="left" w:pos="1350"/>
              </w:tabs>
              <w:jc w:val="right"/>
            </w:pPr>
            <w:r w:rsidRPr="000B50C6">
              <w:t>150</w:t>
            </w:r>
          </w:p>
        </w:tc>
        <w:tc>
          <w:tcPr>
            <w:tcW w:w="1415" w:type="dxa"/>
          </w:tcPr>
          <w:p w:rsidR="000B50C6" w:rsidRPr="000B50C6" w:rsidP="000B50C6" w14:paraId="0B584A96" w14:textId="77777777">
            <w:pPr>
              <w:tabs>
                <w:tab w:val="left" w:pos="1350"/>
              </w:tabs>
              <w:jc w:val="right"/>
            </w:pPr>
            <w:r w:rsidRPr="000B50C6">
              <w:t>1</w:t>
            </w:r>
          </w:p>
        </w:tc>
        <w:tc>
          <w:tcPr>
            <w:tcW w:w="1190" w:type="dxa"/>
          </w:tcPr>
          <w:p w:rsidR="000B50C6" w:rsidRPr="000B50C6" w:rsidP="000B50C6" w14:paraId="553209E6" w14:textId="77777777">
            <w:pPr>
              <w:tabs>
                <w:tab w:val="left" w:pos="1350"/>
              </w:tabs>
              <w:jc w:val="right"/>
            </w:pPr>
            <w:r w:rsidRPr="000B50C6">
              <w:t>2</w:t>
            </w:r>
          </w:p>
        </w:tc>
        <w:tc>
          <w:tcPr>
            <w:tcW w:w="1256" w:type="dxa"/>
          </w:tcPr>
          <w:p w:rsidR="000B50C6" w:rsidRPr="000B50C6" w:rsidP="000B50C6" w14:paraId="7BB2993D" w14:textId="77777777">
            <w:pPr>
              <w:tabs>
                <w:tab w:val="left" w:pos="1350"/>
              </w:tabs>
              <w:jc w:val="right"/>
            </w:pPr>
            <w:r w:rsidRPr="000B50C6">
              <w:t>5</w:t>
            </w:r>
          </w:p>
        </w:tc>
        <w:tc>
          <w:tcPr>
            <w:tcW w:w="1562" w:type="dxa"/>
          </w:tcPr>
          <w:p w:rsidR="000B50C6" w:rsidRPr="000B50C6" w:rsidP="000B50C6" w14:paraId="0DADAD74" w14:textId="77777777">
            <w:pPr>
              <w:tabs>
                <w:tab w:val="left" w:pos="1350"/>
              </w:tabs>
              <w:jc w:val="right"/>
            </w:pPr>
            <w:r w:rsidRPr="000B50C6">
              <w:t>$19.86*</w:t>
            </w:r>
          </w:p>
        </w:tc>
        <w:tc>
          <w:tcPr>
            <w:tcW w:w="1530" w:type="dxa"/>
          </w:tcPr>
          <w:p w:rsidR="000B50C6" w:rsidRPr="000B50C6" w:rsidP="000B50C6" w14:paraId="5AE3EB05" w14:textId="77777777">
            <w:pPr>
              <w:tabs>
                <w:tab w:val="left" w:pos="1350"/>
              </w:tabs>
              <w:jc w:val="right"/>
            </w:pPr>
            <w:r w:rsidRPr="000B50C6">
              <w:t>$99**</w:t>
            </w:r>
          </w:p>
        </w:tc>
      </w:tr>
      <w:tr w14:paraId="0C40112A" w14:textId="77777777" w:rsidTr="00AA091B">
        <w:tblPrEx>
          <w:tblW w:w="10440" w:type="dxa"/>
          <w:tblInd w:w="-432" w:type="dxa"/>
          <w:tblLayout w:type="fixed"/>
          <w:tblLook w:val="01E0"/>
        </w:tblPrEx>
        <w:tc>
          <w:tcPr>
            <w:tcW w:w="1890" w:type="dxa"/>
          </w:tcPr>
          <w:p w:rsidR="000B50C6" w:rsidRPr="000B50C6" w:rsidP="000B50C6" w14:paraId="6AA3B22D" w14:textId="77777777">
            <w:pPr>
              <w:tabs>
                <w:tab w:val="left" w:pos="1350"/>
              </w:tabs>
            </w:pPr>
            <w:r w:rsidRPr="000B50C6">
              <w:t>416.1540(b)(1)</w:t>
            </w:r>
          </w:p>
        </w:tc>
        <w:tc>
          <w:tcPr>
            <w:tcW w:w="1597" w:type="dxa"/>
          </w:tcPr>
          <w:p w:rsidR="000B50C6" w:rsidRPr="000B50C6" w:rsidP="000B50C6" w14:paraId="24F74B08" w14:textId="77777777">
            <w:pPr>
              <w:tabs>
                <w:tab w:val="left" w:pos="1350"/>
              </w:tabs>
              <w:jc w:val="right"/>
            </w:pPr>
            <w:r w:rsidRPr="000B50C6">
              <w:t>150</w:t>
            </w:r>
          </w:p>
        </w:tc>
        <w:tc>
          <w:tcPr>
            <w:tcW w:w="1415" w:type="dxa"/>
          </w:tcPr>
          <w:p w:rsidR="000B50C6" w:rsidRPr="000B50C6" w:rsidP="000B50C6" w14:paraId="3E062DD9" w14:textId="77777777">
            <w:pPr>
              <w:tabs>
                <w:tab w:val="left" w:pos="1350"/>
              </w:tabs>
              <w:jc w:val="right"/>
            </w:pPr>
            <w:r w:rsidRPr="000B50C6">
              <w:t>1</w:t>
            </w:r>
          </w:p>
        </w:tc>
        <w:tc>
          <w:tcPr>
            <w:tcW w:w="1190" w:type="dxa"/>
          </w:tcPr>
          <w:p w:rsidR="000B50C6" w:rsidRPr="000B50C6" w:rsidP="000B50C6" w14:paraId="0E19C3AA" w14:textId="77777777">
            <w:pPr>
              <w:tabs>
                <w:tab w:val="left" w:pos="1350"/>
              </w:tabs>
              <w:jc w:val="right"/>
            </w:pPr>
            <w:r w:rsidRPr="000B50C6">
              <w:t>2</w:t>
            </w:r>
          </w:p>
        </w:tc>
        <w:tc>
          <w:tcPr>
            <w:tcW w:w="1256" w:type="dxa"/>
          </w:tcPr>
          <w:p w:rsidR="000B50C6" w:rsidRPr="000B50C6" w:rsidP="000B50C6" w14:paraId="0D73FE78" w14:textId="77777777">
            <w:pPr>
              <w:tabs>
                <w:tab w:val="left" w:pos="1350"/>
              </w:tabs>
              <w:jc w:val="right"/>
            </w:pPr>
            <w:r w:rsidRPr="000B50C6">
              <w:t>5</w:t>
            </w:r>
          </w:p>
        </w:tc>
        <w:tc>
          <w:tcPr>
            <w:tcW w:w="1562" w:type="dxa"/>
          </w:tcPr>
          <w:p w:rsidR="000B50C6" w:rsidRPr="000B50C6" w:rsidP="000B50C6" w14:paraId="35F5ED6E" w14:textId="77777777">
            <w:pPr>
              <w:tabs>
                <w:tab w:val="left" w:pos="1350"/>
              </w:tabs>
              <w:jc w:val="right"/>
            </w:pPr>
            <w:r w:rsidRPr="000B50C6">
              <w:t>$19.86*</w:t>
            </w:r>
          </w:p>
        </w:tc>
        <w:tc>
          <w:tcPr>
            <w:tcW w:w="1530" w:type="dxa"/>
          </w:tcPr>
          <w:p w:rsidR="000B50C6" w:rsidRPr="000B50C6" w:rsidP="000B50C6" w14:paraId="36A25267" w14:textId="77777777">
            <w:pPr>
              <w:tabs>
                <w:tab w:val="left" w:pos="1350"/>
              </w:tabs>
              <w:jc w:val="right"/>
            </w:pPr>
            <w:r w:rsidRPr="000B50C6">
              <w:t>$99**</w:t>
            </w:r>
          </w:p>
        </w:tc>
      </w:tr>
      <w:tr w14:paraId="385F6E98" w14:textId="77777777" w:rsidTr="00AA091B">
        <w:tblPrEx>
          <w:tblW w:w="10440" w:type="dxa"/>
          <w:tblInd w:w="-432" w:type="dxa"/>
          <w:tblLayout w:type="fixed"/>
          <w:tblLook w:val="01E0"/>
        </w:tblPrEx>
        <w:tc>
          <w:tcPr>
            <w:tcW w:w="1890" w:type="dxa"/>
          </w:tcPr>
          <w:p w:rsidR="000B50C6" w:rsidRPr="000B50C6" w:rsidP="000B50C6" w14:paraId="10DF2046" w14:textId="77777777">
            <w:pPr>
              <w:tabs>
                <w:tab w:val="left" w:pos="1350"/>
              </w:tabs>
            </w:pPr>
            <w:r w:rsidRPr="000B50C6">
              <w:t>404.1512, 404.1740(c)(4), 416.912, and 416.1540(c)(4)</w:t>
            </w:r>
          </w:p>
        </w:tc>
        <w:tc>
          <w:tcPr>
            <w:tcW w:w="1597" w:type="dxa"/>
          </w:tcPr>
          <w:p w:rsidR="000B50C6" w:rsidRPr="000B50C6" w:rsidP="000B50C6" w14:paraId="5AE5D0C1" w14:textId="77777777">
            <w:pPr>
              <w:tabs>
                <w:tab w:val="left" w:pos="1350"/>
              </w:tabs>
              <w:jc w:val="right"/>
            </w:pPr>
            <w:r w:rsidRPr="000B50C6">
              <w:t>150</w:t>
            </w:r>
          </w:p>
        </w:tc>
        <w:tc>
          <w:tcPr>
            <w:tcW w:w="1415" w:type="dxa"/>
          </w:tcPr>
          <w:p w:rsidR="000B50C6" w:rsidRPr="000B50C6" w:rsidP="000B50C6" w14:paraId="3D866636" w14:textId="77777777">
            <w:pPr>
              <w:tabs>
                <w:tab w:val="left" w:pos="1350"/>
              </w:tabs>
              <w:jc w:val="right"/>
            </w:pPr>
            <w:r w:rsidRPr="000B50C6">
              <w:t>1</w:t>
            </w:r>
          </w:p>
        </w:tc>
        <w:tc>
          <w:tcPr>
            <w:tcW w:w="1190" w:type="dxa"/>
          </w:tcPr>
          <w:p w:rsidR="000B50C6" w:rsidRPr="000B50C6" w:rsidP="000B50C6" w14:paraId="680C073F" w14:textId="77777777">
            <w:pPr>
              <w:tabs>
                <w:tab w:val="left" w:pos="1350"/>
              </w:tabs>
              <w:jc w:val="right"/>
            </w:pPr>
            <w:r w:rsidRPr="000B50C6">
              <w:t>2</w:t>
            </w:r>
          </w:p>
        </w:tc>
        <w:tc>
          <w:tcPr>
            <w:tcW w:w="1256" w:type="dxa"/>
          </w:tcPr>
          <w:p w:rsidR="000B50C6" w:rsidRPr="000B50C6" w:rsidP="000B50C6" w14:paraId="307EEFBA" w14:textId="77777777">
            <w:pPr>
              <w:tabs>
                <w:tab w:val="left" w:pos="1350"/>
              </w:tabs>
              <w:jc w:val="right"/>
            </w:pPr>
            <w:r w:rsidRPr="000B50C6">
              <w:t>5</w:t>
            </w:r>
          </w:p>
        </w:tc>
        <w:tc>
          <w:tcPr>
            <w:tcW w:w="1562" w:type="dxa"/>
          </w:tcPr>
          <w:p w:rsidR="000B50C6" w:rsidRPr="000B50C6" w:rsidP="000B50C6" w14:paraId="10BF855F" w14:textId="77777777">
            <w:pPr>
              <w:tabs>
                <w:tab w:val="left" w:pos="1350"/>
              </w:tabs>
              <w:jc w:val="right"/>
            </w:pPr>
            <w:r w:rsidRPr="000B50C6">
              <w:t>$19.86*</w:t>
            </w:r>
          </w:p>
        </w:tc>
        <w:tc>
          <w:tcPr>
            <w:tcW w:w="1530" w:type="dxa"/>
          </w:tcPr>
          <w:p w:rsidR="000B50C6" w:rsidRPr="000B50C6" w:rsidP="000B50C6" w14:paraId="1E6C35FA" w14:textId="77777777">
            <w:pPr>
              <w:tabs>
                <w:tab w:val="left" w:pos="1350"/>
              </w:tabs>
              <w:jc w:val="right"/>
            </w:pPr>
            <w:r w:rsidRPr="000B50C6">
              <w:t>$99**</w:t>
            </w:r>
          </w:p>
        </w:tc>
      </w:tr>
      <w:tr w14:paraId="15F8DE54" w14:textId="77777777" w:rsidTr="00AA091B">
        <w:tblPrEx>
          <w:tblW w:w="10440" w:type="dxa"/>
          <w:tblInd w:w="-432" w:type="dxa"/>
          <w:tblLayout w:type="fixed"/>
          <w:tblLook w:val="01E0"/>
        </w:tblPrEx>
        <w:tc>
          <w:tcPr>
            <w:tcW w:w="1890" w:type="dxa"/>
          </w:tcPr>
          <w:p w:rsidR="000B50C6" w:rsidRPr="000B50C6" w:rsidP="000B50C6" w14:paraId="40228E97" w14:textId="77777777">
            <w:pPr>
              <w:tabs>
                <w:tab w:val="left" w:pos="1350"/>
              </w:tabs>
            </w:pPr>
            <w:r w:rsidRPr="000B50C6">
              <w:t>405.372(c)</w:t>
            </w:r>
          </w:p>
        </w:tc>
        <w:tc>
          <w:tcPr>
            <w:tcW w:w="1597" w:type="dxa"/>
          </w:tcPr>
          <w:p w:rsidR="000B50C6" w:rsidRPr="000B50C6" w:rsidP="000B50C6" w14:paraId="08C51ABD" w14:textId="77777777">
            <w:pPr>
              <w:tabs>
                <w:tab w:val="left" w:pos="1350"/>
              </w:tabs>
              <w:jc w:val="right"/>
            </w:pPr>
            <w:r w:rsidRPr="000B50C6">
              <w:t>5,310</w:t>
            </w:r>
          </w:p>
        </w:tc>
        <w:tc>
          <w:tcPr>
            <w:tcW w:w="1415" w:type="dxa"/>
          </w:tcPr>
          <w:p w:rsidR="000B50C6" w:rsidRPr="000B50C6" w:rsidP="000B50C6" w14:paraId="0C9F7D02" w14:textId="77777777">
            <w:pPr>
              <w:tabs>
                <w:tab w:val="left" w:pos="1350"/>
              </w:tabs>
              <w:jc w:val="right"/>
            </w:pPr>
            <w:r w:rsidRPr="000B50C6">
              <w:t>1</w:t>
            </w:r>
          </w:p>
        </w:tc>
        <w:tc>
          <w:tcPr>
            <w:tcW w:w="1190" w:type="dxa"/>
          </w:tcPr>
          <w:p w:rsidR="000B50C6" w:rsidRPr="000B50C6" w:rsidP="000B50C6" w14:paraId="5D8B7FFB" w14:textId="77777777">
            <w:pPr>
              <w:tabs>
                <w:tab w:val="left" w:pos="1350"/>
              </w:tabs>
              <w:jc w:val="right"/>
            </w:pPr>
            <w:r w:rsidRPr="000B50C6">
              <w:t>10</w:t>
            </w:r>
          </w:p>
        </w:tc>
        <w:tc>
          <w:tcPr>
            <w:tcW w:w="1256" w:type="dxa"/>
          </w:tcPr>
          <w:p w:rsidR="000B50C6" w:rsidRPr="000B50C6" w:rsidP="000B50C6" w14:paraId="4BB99A3F" w14:textId="77777777">
            <w:pPr>
              <w:tabs>
                <w:tab w:val="left" w:pos="1350"/>
              </w:tabs>
              <w:jc w:val="right"/>
            </w:pPr>
            <w:r w:rsidRPr="000B50C6">
              <w:t>885</w:t>
            </w:r>
          </w:p>
        </w:tc>
        <w:tc>
          <w:tcPr>
            <w:tcW w:w="1562" w:type="dxa"/>
          </w:tcPr>
          <w:p w:rsidR="000B50C6" w:rsidRPr="000B50C6" w:rsidP="000B50C6" w14:paraId="2A5F4977" w14:textId="77777777">
            <w:pPr>
              <w:tabs>
                <w:tab w:val="left" w:pos="1350"/>
              </w:tabs>
              <w:jc w:val="right"/>
            </w:pPr>
            <w:r w:rsidRPr="000B50C6">
              <w:t>$19.86*</w:t>
            </w:r>
          </w:p>
        </w:tc>
        <w:tc>
          <w:tcPr>
            <w:tcW w:w="1530" w:type="dxa"/>
          </w:tcPr>
          <w:p w:rsidR="000B50C6" w:rsidRPr="000B50C6" w:rsidP="000B50C6" w14:paraId="24922742" w14:textId="77777777">
            <w:pPr>
              <w:tabs>
                <w:tab w:val="left" w:pos="1350"/>
              </w:tabs>
              <w:jc w:val="right"/>
            </w:pPr>
            <w:r w:rsidRPr="000B50C6">
              <w:t>$17,576**</w:t>
            </w:r>
          </w:p>
        </w:tc>
      </w:tr>
      <w:tr w14:paraId="3D6B482B" w14:textId="77777777" w:rsidTr="00AA091B">
        <w:tblPrEx>
          <w:tblW w:w="10440" w:type="dxa"/>
          <w:tblInd w:w="-432" w:type="dxa"/>
          <w:tblLayout w:type="fixed"/>
          <w:tblLook w:val="01E0"/>
        </w:tblPrEx>
        <w:tc>
          <w:tcPr>
            <w:tcW w:w="1890" w:type="dxa"/>
          </w:tcPr>
          <w:p w:rsidR="000B50C6" w:rsidRPr="000B50C6" w:rsidP="000B50C6" w14:paraId="0775FDB5" w14:textId="77777777">
            <w:pPr>
              <w:widowControl/>
              <w:autoSpaceDE/>
              <w:autoSpaceDN/>
              <w:adjustRightInd/>
              <w:rPr>
                <w:lang w:bidi="en-US"/>
              </w:rPr>
            </w:pPr>
            <w:r w:rsidRPr="000B50C6">
              <w:rPr>
                <w:lang w:bidi="en-US"/>
              </w:rPr>
              <w:t>405.1(b)(5)</w:t>
            </w:r>
          </w:p>
          <w:p w:rsidR="000B50C6" w:rsidRPr="000B50C6" w:rsidP="000B50C6" w14:paraId="5492BD47" w14:textId="77777777">
            <w:pPr>
              <w:tabs>
                <w:tab w:val="left" w:pos="1350"/>
              </w:tabs>
            </w:pPr>
            <w:r w:rsidRPr="000B50C6">
              <w:t>405.372(b)</w:t>
            </w:r>
          </w:p>
        </w:tc>
        <w:tc>
          <w:tcPr>
            <w:tcW w:w="1597" w:type="dxa"/>
          </w:tcPr>
          <w:p w:rsidR="000B50C6" w:rsidRPr="000B50C6" w:rsidP="000B50C6" w14:paraId="1C74334C" w14:textId="77777777">
            <w:pPr>
              <w:tabs>
                <w:tab w:val="left" w:pos="1350"/>
              </w:tabs>
              <w:jc w:val="right"/>
            </w:pPr>
            <w:r w:rsidRPr="000B50C6">
              <w:t>833</w:t>
            </w:r>
          </w:p>
        </w:tc>
        <w:tc>
          <w:tcPr>
            <w:tcW w:w="1415" w:type="dxa"/>
          </w:tcPr>
          <w:p w:rsidR="000B50C6" w:rsidRPr="000B50C6" w:rsidP="000B50C6" w14:paraId="30E0B0AB" w14:textId="77777777">
            <w:pPr>
              <w:tabs>
                <w:tab w:val="left" w:pos="1350"/>
              </w:tabs>
              <w:jc w:val="right"/>
            </w:pPr>
            <w:r w:rsidRPr="000B50C6">
              <w:t>1</w:t>
            </w:r>
          </w:p>
        </w:tc>
        <w:tc>
          <w:tcPr>
            <w:tcW w:w="1190" w:type="dxa"/>
          </w:tcPr>
          <w:p w:rsidR="000B50C6" w:rsidRPr="000B50C6" w:rsidP="000B50C6" w14:paraId="36E66398" w14:textId="77777777">
            <w:pPr>
              <w:tabs>
                <w:tab w:val="left" w:pos="1350"/>
              </w:tabs>
              <w:jc w:val="right"/>
            </w:pPr>
            <w:r w:rsidRPr="000B50C6">
              <w:t>30</w:t>
            </w:r>
          </w:p>
        </w:tc>
        <w:tc>
          <w:tcPr>
            <w:tcW w:w="1256" w:type="dxa"/>
          </w:tcPr>
          <w:p w:rsidR="000B50C6" w:rsidRPr="000B50C6" w:rsidP="000B50C6" w14:paraId="3F877F08" w14:textId="77777777">
            <w:pPr>
              <w:tabs>
                <w:tab w:val="left" w:pos="1350"/>
              </w:tabs>
              <w:jc w:val="right"/>
            </w:pPr>
            <w:r w:rsidRPr="000B50C6">
              <w:t>417</w:t>
            </w:r>
          </w:p>
        </w:tc>
        <w:tc>
          <w:tcPr>
            <w:tcW w:w="1562" w:type="dxa"/>
          </w:tcPr>
          <w:p w:rsidR="000B50C6" w:rsidRPr="000B50C6" w:rsidP="000B50C6" w14:paraId="4C213451" w14:textId="77777777">
            <w:pPr>
              <w:tabs>
                <w:tab w:val="left" w:pos="1350"/>
              </w:tabs>
              <w:jc w:val="right"/>
            </w:pPr>
            <w:r w:rsidRPr="000B50C6">
              <w:t>$19.86*</w:t>
            </w:r>
          </w:p>
        </w:tc>
        <w:tc>
          <w:tcPr>
            <w:tcW w:w="1530" w:type="dxa"/>
          </w:tcPr>
          <w:p w:rsidR="000B50C6" w:rsidRPr="000B50C6" w:rsidP="000B50C6" w14:paraId="30E0DC2C" w14:textId="77777777">
            <w:pPr>
              <w:tabs>
                <w:tab w:val="left" w:pos="1350"/>
              </w:tabs>
              <w:jc w:val="right"/>
            </w:pPr>
            <w:r w:rsidRPr="000B50C6">
              <w:t>$8,282**</w:t>
            </w:r>
          </w:p>
        </w:tc>
      </w:tr>
      <w:tr w14:paraId="56D739EB" w14:textId="77777777" w:rsidTr="00AA091B">
        <w:tblPrEx>
          <w:tblW w:w="10440" w:type="dxa"/>
          <w:tblInd w:w="-432" w:type="dxa"/>
          <w:tblLayout w:type="fixed"/>
          <w:tblLook w:val="01E0"/>
        </w:tblPrEx>
        <w:tc>
          <w:tcPr>
            <w:tcW w:w="1890" w:type="dxa"/>
          </w:tcPr>
          <w:p w:rsidR="000B50C6" w:rsidRPr="000B50C6" w:rsidP="000B50C6" w14:paraId="57BC7EB3" w14:textId="77777777">
            <w:pPr>
              <w:tabs>
                <w:tab w:val="left" w:pos="1350"/>
              </w:tabs>
            </w:pPr>
            <w:r w:rsidRPr="000B50C6">
              <w:t>405.505</w:t>
            </w:r>
          </w:p>
        </w:tc>
        <w:tc>
          <w:tcPr>
            <w:tcW w:w="1597" w:type="dxa"/>
          </w:tcPr>
          <w:p w:rsidR="000B50C6" w:rsidRPr="000B50C6" w:rsidP="000B50C6" w14:paraId="75557423" w14:textId="77777777">
            <w:pPr>
              <w:tabs>
                <w:tab w:val="left" w:pos="1350"/>
              </w:tabs>
              <w:jc w:val="right"/>
            </w:pPr>
            <w:r w:rsidRPr="000B50C6">
              <w:t>833</w:t>
            </w:r>
          </w:p>
        </w:tc>
        <w:tc>
          <w:tcPr>
            <w:tcW w:w="1415" w:type="dxa"/>
          </w:tcPr>
          <w:p w:rsidR="000B50C6" w:rsidRPr="000B50C6" w:rsidP="000B50C6" w14:paraId="6A555E1F" w14:textId="77777777">
            <w:pPr>
              <w:tabs>
                <w:tab w:val="left" w:pos="1350"/>
              </w:tabs>
              <w:jc w:val="right"/>
            </w:pPr>
            <w:r w:rsidRPr="000B50C6">
              <w:t>1</w:t>
            </w:r>
          </w:p>
        </w:tc>
        <w:tc>
          <w:tcPr>
            <w:tcW w:w="1190" w:type="dxa"/>
          </w:tcPr>
          <w:p w:rsidR="000B50C6" w:rsidRPr="000B50C6" w:rsidP="000B50C6" w14:paraId="6808AB65" w14:textId="77777777">
            <w:pPr>
              <w:tabs>
                <w:tab w:val="left" w:pos="1350"/>
              </w:tabs>
              <w:jc w:val="right"/>
            </w:pPr>
            <w:r w:rsidRPr="000B50C6">
              <w:t>30</w:t>
            </w:r>
          </w:p>
        </w:tc>
        <w:tc>
          <w:tcPr>
            <w:tcW w:w="1256" w:type="dxa"/>
          </w:tcPr>
          <w:p w:rsidR="000B50C6" w:rsidRPr="000B50C6" w:rsidP="000B50C6" w14:paraId="2FA41D41" w14:textId="77777777">
            <w:pPr>
              <w:tabs>
                <w:tab w:val="left" w:pos="1350"/>
              </w:tabs>
              <w:jc w:val="right"/>
            </w:pPr>
            <w:r w:rsidRPr="000B50C6">
              <w:t>417</w:t>
            </w:r>
          </w:p>
        </w:tc>
        <w:tc>
          <w:tcPr>
            <w:tcW w:w="1562" w:type="dxa"/>
          </w:tcPr>
          <w:p w:rsidR="000B50C6" w:rsidRPr="000B50C6" w:rsidP="000B50C6" w14:paraId="46031F1B" w14:textId="77777777">
            <w:pPr>
              <w:tabs>
                <w:tab w:val="left" w:pos="1350"/>
              </w:tabs>
              <w:jc w:val="right"/>
            </w:pPr>
            <w:r w:rsidRPr="000B50C6">
              <w:t>$19.86*</w:t>
            </w:r>
          </w:p>
        </w:tc>
        <w:tc>
          <w:tcPr>
            <w:tcW w:w="1530" w:type="dxa"/>
          </w:tcPr>
          <w:p w:rsidR="000B50C6" w:rsidRPr="000B50C6" w:rsidP="000B50C6" w14:paraId="00CD1625" w14:textId="77777777">
            <w:pPr>
              <w:tabs>
                <w:tab w:val="left" w:pos="1350"/>
              </w:tabs>
              <w:jc w:val="right"/>
            </w:pPr>
            <w:r w:rsidRPr="000B50C6">
              <w:t>$8,282**</w:t>
            </w:r>
          </w:p>
        </w:tc>
      </w:tr>
      <w:tr w14:paraId="0A644BF1" w14:textId="77777777" w:rsidTr="00AA091B">
        <w:tblPrEx>
          <w:tblW w:w="10440" w:type="dxa"/>
          <w:tblInd w:w="-432" w:type="dxa"/>
          <w:tblLayout w:type="fixed"/>
          <w:tblLook w:val="01E0"/>
        </w:tblPrEx>
        <w:tc>
          <w:tcPr>
            <w:tcW w:w="1890" w:type="dxa"/>
          </w:tcPr>
          <w:p w:rsidR="000B50C6" w:rsidRPr="000B50C6" w:rsidP="000B50C6" w14:paraId="19D5DA38" w14:textId="77777777">
            <w:pPr>
              <w:tabs>
                <w:tab w:val="left" w:pos="1350"/>
              </w:tabs>
            </w:pPr>
            <w:r w:rsidRPr="000B50C6">
              <w:t>405.1(c)(2)</w:t>
            </w:r>
          </w:p>
        </w:tc>
        <w:tc>
          <w:tcPr>
            <w:tcW w:w="1597" w:type="dxa"/>
          </w:tcPr>
          <w:p w:rsidR="000B50C6" w:rsidRPr="000B50C6" w:rsidP="000B50C6" w14:paraId="3C216039" w14:textId="77777777">
            <w:pPr>
              <w:tabs>
                <w:tab w:val="left" w:pos="1350"/>
              </w:tabs>
              <w:jc w:val="right"/>
            </w:pPr>
            <w:r w:rsidRPr="000B50C6">
              <w:t>5,310</w:t>
            </w:r>
          </w:p>
        </w:tc>
        <w:tc>
          <w:tcPr>
            <w:tcW w:w="1415" w:type="dxa"/>
          </w:tcPr>
          <w:p w:rsidR="000B50C6" w:rsidRPr="000B50C6" w:rsidP="000B50C6" w14:paraId="6775484A" w14:textId="77777777">
            <w:pPr>
              <w:tabs>
                <w:tab w:val="left" w:pos="1350"/>
              </w:tabs>
              <w:jc w:val="right"/>
            </w:pPr>
            <w:r w:rsidRPr="000B50C6">
              <w:t>1</w:t>
            </w:r>
          </w:p>
        </w:tc>
        <w:tc>
          <w:tcPr>
            <w:tcW w:w="1190" w:type="dxa"/>
          </w:tcPr>
          <w:p w:rsidR="000B50C6" w:rsidRPr="000B50C6" w:rsidP="000B50C6" w14:paraId="19633A11" w14:textId="77777777">
            <w:pPr>
              <w:tabs>
                <w:tab w:val="left" w:pos="1350"/>
              </w:tabs>
              <w:jc w:val="right"/>
            </w:pPr>
            <w:r w:rsidRPr="000B50C6">
              <w:t>10</w:t>
            </w:r>
          </w:p>
        </w:tc>
        <w:tc>
          <w:tcPr>
            <w:tcW w:w="1256" w:type="dxa"/>
          </w:tcPr>
          <w:p w:rsidR="000B50C6" w:rsidRPr="000B50C6" w:rsidP="000B50C6" w14:paraId="0EB76955" w14:textId="77777777">
            <w:pPr>
              <w:tabs>
                <w:tab w:val="left" w:pos="1350"/>
              </w:tabs>
              <w:jc w:val="right"/>
            </w:pPr>
            <w:r w:rsidRPr="000B50C6">
              <w:t>885</w:t>
            </w:r>
          </w:p>
        </w:tc>
        <w:tc>
          <w:tcPr>
            <w:tcW w:w="1562" w:type="dxa"/>
          </w:tcPr>
          <w:p w:rsidR="000B50C6" w:rsidRPr="000B50C6" w:rsidP="000B50C6" w14:paraId="2D509C79" w14:textId="77777777">
            <w:pPr>
              <w:tabs>
                <w:tab w:val="left" w:pos="1350"/>
              </w:tabs>
              <w:jc w:val="right"/>
            </w:pPr>
            <w:r w:rsidRPr="000B50C6">
              <w:t>$19.86*</w:t>
            </w:r>
          </w:p>
        </w:tc>
        <w:tc>
          <w:tcPr>
            <w:tcW w:w="1530" w:type="dxa"/>
          </w:tcPr>
          <w:p w:rsidR="000B50C6" w:rsidRPr="000B50C6" w:rsidP="000B50C6" w14:paraId="088FA973" w14:textId="77777777">
            <w:pPr>
              <w:tabs>
                <w:tab w:val="left" w:pos="1350"/>
              </w:tabs>
              <w:jc w:val="right"/>
            </w:pPr>
            <w:r w:rsidRPr="000B50C6">
              <w:t>$17,576**</w:t>
            </w:r>
          </w:p>
        </w:tc>
      </w:tr>
      <w:tr w14:paraId="378BF5BF" w14:textId="77777777" w:rsidTr="00AA091B">
        <w:tblPrEx>
          <w:tblW w:w="10440" w:type="dxa"/>
          <w:tblInd w:w="-432" w:type="dxa"/>
          <w:tblLayout w:type="fixed"/>
          <w:tblLook w:val="01E0"/>
        </w:tblPrEx>
        <w:tc>
          <w:tcPr>
            <w:tcW w:w="1890" w:type="dxa"/>
          </w:tcPr>
          <w:p w:rsidR="000B50C6" w:rsidRPr="000B50C6" w:rsidP="000B50C6" w14:paraId="44C201A4" w14:textId="77777777">
            <w:pPr>
              <w:tabs>
                <w:tab w:val="left" w:pos="1350"/>
              </w:tabs>
            </w:pPr>
            <w:r w:rsidRPr="000B50C6">
              <w:t>405.20</w:t>
            </w:r>
          </w:p>
        </w:tc>
        <w:tc>
          <w:tcPr>
            <w:tcW w:w="1597" w:type="dxa"/>
          </w:tcPr>
          <w:p w:rsidR="000B50C6" w:rsidRPr="000B50C6" w:rsidP="000B50C6" w14:paraId="61C5C70B" w14:textId="77777777">
            <w:pPr>
              <w:tabs>
                <w:tab w:val="left" w:pos="1350"/>
              </w:tabs>
              <w:jc w:val="right"/>
            </w:pPr>
            <w:r w:rsidRPr="000B50C6">
              <w:t>5,310</w:t>
            </w:r>
          </w:p>
        </w:tc>
        <w:tc>
          <w:tcPr>
            <w:tcW w:w="1415" w:type="dxa"/>
          </w:tcPr>
          <w:p w:rsidR="000B50C6" w:rsidRPr="000B50C6" w:rsidP="000B50C6" w14:paraId="7B71E25C" w14:textId="77777777">
            <w:pPr>
              <w:tabs>
                <w:tab w:val="left" w:pos="1350"/>
              </w:tabs>
              <w:jc w:val="right"/>
            </w:pPr>
            <w:r w:rsidRPr="000B50C6">
              <w:t>1</w:t>
            </w:r>
          </w:p>
        </w:tc>
        <w:tc>
          <w:tcPr>
            <w:tcW w:w="1190" w:type="dxa"/>
          </w:tcPr>
          <w:p w:rsidR="000B50C6" w:rsidRPr="000B50C6" w:rsidP="000B50C6" w14:paraId="5B05DCCE" w14:textId="77777777">
            <w:pPr>
              <w:tabs>
                <w:tab w:val="left" w:pos="1350"/>
              </w:tabs>
              <w:jc w:val="right"/>
            </w:pPr>
            <w:r w:rsidRPr="000B50C6">
              <w:t>10</w:t>
            </w:r>
          </w:p>
        </w:tc>
        <w:tc>
          <w:tcPr>
            <w:tcW w:w="1256" w:type="dxa"/>
          </w:tcPr>
          <w:p w:rsidR="000B50C6" w:rsidRPr="000B50C6" w:rsidP="000B50C6" w14:paraId="0AF4AE92" w14:textId="77777777">
            <w:pPr>
              <w:tabs>
                <w:tab w:val="left" w:pos="1350"/>
              </w:tabs>
              <w:jc w:val="right"/>
            </w:pPr>
            <w:r w:rsidRPr="000B50C6">
              <w:t>885</w:t>
            </w:r>
          </w:p>
        </w:tc>
        <w:tc>
          <w:tcPr>
            <w:tcW w:w="1562" w:type="dxa"/>
          </w:tcPr>
          <w:p w:rsidR="000B50C6" w:rsidRPr="000B50C6" w:rsidP="000B50C6" w14:paraId="67D9C172" w14:textId="77777777">
            <w:pPr>
              <w:tabs>
                <w:tab w:val="left" w:pos="1350"/>
              </w:tabs>
              <w:jc w:val="right"/>
            </w:pPr>
            <w:r w:rsidRPr="000B50C6">
              <w:t>$19.86*</w:t>
            </w:r>
          </w:p>
        </w:tc>
        <w:tc>
          <w:tcPr>
            <w:tcW w:w="1530" w:type="dxa"/>
          </w:tcPr>
          <w:p w:rsidR="000B50C6" w:rsidRPr="000B50C6" w:rsidP="000B50C6" w14:paraId="27DF2B46" w14:textId="77777777">
            <w:pPr>
              <w:tabs>
                <w:tab w:val="left" w:pos="1350"/>
              </w:tabs>
              <w:jc w:val="right"/>
            </w:pPr>
            <w:r w:rsidRPr="000B50C6">
              <w:t>$17,576**</w:t>
            </w:r>
          </w:p>
        </w:tc>
      </w:tr>
      <w:tr w14:paraId="3196DEFF" w14:textId="77777777" w:rsidTr="00AA091B">
        <w:tblPrEx>
          <w:tblW w:w="10440" w:type="dxa"/>
          <w:tblInd w:w="-432" w:type="dxa"/>
          <w:tblLayout w:type="fixed"/>
          <w:tblLook w:val="01E0"/>
        </w:tblPrEx>
        <w:tc>
          <w:tcPr>
            <w:tcW w:w="1890" w:type="dxa"/>
          </w:tcPr>
          <w:p w:rsidR="000B50C6" w:rsidRPr="000B50C6" w:rsidP="000B50C6" w14:paraId="0F5F67A6" w14:textId="77777777">
            <w:pPr>
              <w:tabs>
                <w:tab w:val="left" w:pos="1350"/>
              </w:tabs>
            </w:pPr>
            <w:r w:rsidRPr="000B50C6">
              <w:rPr>
                <w:b/>
              </w:rPr>
              <w:t>Totals</w:t>
            </w:r>
          </w:p>
        </w:tc>
        <w:tc>
          <w:tcPr>
            <w:tcW w:w="1597" w:type="dxa"/>
          </w:tcPr>
          <w:p w:rsidR="000B50C6" w:rsidRPr="000B50C6" w:rsidP="000B50C6" w14:paraId="5A17F4D0" w14:textId="77777777">
            <w:pPr>
              <w:tabs>
                <w:tab w:val="left" w:pos="1350"/>
              </w:tabs>
              <w:jc w:val="right"/>
            </w:pPr>
            <w:r w:rsidRPr="000B50C6">
              <w:rPr>
                <w:b/>
              </w:rPr>
              <w:t>76,300</w:t>
            </w:r>
          </w:p>
        </w:tc>
        <w:tc>
          <w:tcPr>
            <w:tcW w:w="1415" w:type="dxa"/>
          </w:tcPr>
          <w:p w:rsidR="000B50C6" w:rsidRPr="000B50C6" w:rsidP="000B50C6" w14:paraId="6417C187" w14:textId="77777777">
            <w:pPr>
              <w:tabs>
                <w:tab w:val="left" w:pos="1350"/>
              </w:tabs>
              <w:jc w:val="right"/>
            </w:pPr>
          </w:p>
        </w:tc>
        <w:tc>
          <w:tcPr>
            <w:tcW w:w="1190" w:type="dxa"/>
          </w:tcPr>
          <w:p w:rsidR="000B50C6" w:rsidRPr="000B50C6" w:rsidP="000B50C6" w14:paraId="7E683C72" w14:textId="77777777">
            <w:pPr>
              <w:tabs>
                <w:tab w:val="left" w:pos="1350"/>
              </w:tabs>
              <w:jc w:val="right"/>
            </w:pPr>
          </w:p>
        </w:tc>
        <w:tc>
          <w:tcPr>
            <w:tcW w:w="1256" w:type="dxa"/>
          </w:tcPr>
          <w:p w:rsidR="000B50C6" w:rsidRPr="000B50C6" w:rsidP="000B50C6" w14:paraId="7FE3CA89" w14:textId="77777777">
            <w:pPr>
              <w:tabs>
                <w:tab w:val="left" w:pos="1350"/>
              </w:tabs>
              <w:jc w:val="right"/>
            </w:pPr>
            <w:r w:rsidRPr="000B50C6">
              <w:rPr>
                <w:b/>
              </w:rPr>
              <w:t>22,548</w:t>
            </w:r>
          </w:p>
        </w:tc>
        <w:tc>
          <w:tcPr>
            <w:tcW w:w="1562" w:type="dxa"/>
          </w:tcPr>
          <w:p w:rsidR="000B50C6" w:rsidRPr="000B50C6" w:rsidP="000B50C6" w14:paraId="60DDE3FA" w14:textId="77777777">
            <w:pPr>
              <w:tabs>
                <w:tab w:val="left" w:pos="1350"/>
              </w:tabs>
              <w:jc w:val="right"/>
            </w:pPr>
          </w:p>
        </w:tc>
        <w:tc>
          <w:tcPr>
            <w:tcW w:w="1530" w:type="dxa"/>
          </w:tcPr>
          <w:p w:rsidR="000B50C6" w:rsidRPr="000B50C6" w:rsidP="000B50C6" w14:paraId="3B7FD18D" w14:textId="77777777">
            <w:pPr>
              <w:tabs>
                <w:tab w:val="left" w:pos="1350"/>
              </w:tabs>
              <w:jc w:val="right"/>
              <w:rPr>
                <w:b/>
              </w:rPr>
            </w:pPr>
            <w:r w:rsidRPr="000B50C6">
              <w:rPr>
                <w:b/>
              </w:rPr>
              <w:t>$447,801**</w:t>
            </w:r>
          </w:p>
        </w:tc>
      </w:tr>
    </w:tbl>
    <w:p w:rsidR="000B50C6" w:rsidP="000B50C6" w14:paraId="7FEBC732" w14:textId="047A83E7">
      <w:pPr>
        <w:suppressAutoHyphens/>
        <w:autoSpaceDE/>
        <w:autoSpaceDN/>
        <w:adjustRightInd/>
        <w:ind w:left="1440"/>
        <w:rPr>
          <w:lang w:eastAsia="ar-SA"/>
        </w:rPr>
      </w:pPr>
      <w:r w:rsidRPr="000B50C6">
        <w:rPr>
          <w:rFonts w:eastAsia="SimSun"/>
          <w:lang w:eastAsia="ar-SA"/>
        </w:rPr>
        <w:t>* We based this figure by averaging both the average DI payments based on SSA's current FY 2022 data (</w:t>
      </w:r>
      <w:hyperlink r:id="rId8" w:history="1">
        <w:r w:rsidRPr="000B50C6">
          <w:rPr>
            <w:rFonts w:eastAsia="SimSun"/>
            <w:snapToGrid w:val="0"/>
            <w:color w:val="0000FF"/>
            <w:u w:val="single"/>
            <w:lang w:eastAsia="ar-SA"/>
          </w:rPr>
          <w:t>https://www.ssa.gov/legislation/2022factsheet.pdf</w:t>
        </w:r>
      </w:hyperlink>
      <w:r w:rsidRPr="000B50C6">
        <w:rPr>
          <w:rFonts w:eastAsia="SimSun"/>
          <w:lang w:eastAsia="ar-SA"/>
        </w:rPr>
        <w:t>), and the average U.S. worker’s hourly wages, as reported by Bureau of Labor Statistics data (</w:t>
      </w:r>
      <w:hyperlink r:id="rId9" w:history="1">
        <w:r w:rsidRPr="000B50C6">
          <w:rPr>
            <w:rFonts w:eastAsia="SimSun"/>
            <w:snapToGrid w:val="0"/>
            <w:color w:val="0000FF"/>
            <w:u w:val="single"/>
            <w:lang w:eastAsia="ar-SA"/>
          </w:rPr>
          <w:t>https://www.bls.gov/oes/current/oes_nat.htm</w:t>
        </w:r>
      </w:hyperlink>
      <w:r w:rsidRPr="000B50C6">
        <w:rPr>
          <w:rFonts w:eastAsia="SimSun"/>
          <w:lang w:eastAsia="ar-SA"/>
        </w:rPr>
        <w:t>)</w:t>
      </w:r>
      <w:r w:rsidRPr="000B50C6">
        <w:rPr>
          <w:lang w:eastAsia="ar-SA"/>
        </w:rPr>
        <w:t>.</w:t>
      </w:r>
    </w:p>
    <w:p w:rsidR="000B50C6" w:rsidRPr="000B50C6" w:rsidP="000B50C6" w14:paraId="6B22D655" w14:textId="77777777">
      <w:pPr>
        <w:suppressAutoHyphens/>
        <w:autoSpaceDE/>
        <w:autoSpaceDN/>
        <w:adjustRightInd/>
        <w:ind w:left="1440"/>
        <w:rPr>
          <w:snapToGrid w:val="0"/>
        </w:rPr>
      </w:pPr>
    </w:p>
    <w:p w:rsidR="00DA6D23" w:rsidP="000B50C6" w14:paraId="659356A1" w14:textId="22C0ED28">
      <w:pPr>
        <w:autoSpaceDE/>
        <w:autoSpaceDN/>
        <w:adjustRightInd/>
        <w:ind w:left="1440"/>
      </w:pPr>
      <w:r w:rsidRPr="000B50C6">
        <w:t xml:space="preserve">** This figure does not represent actual costs that SSA is imposing on recipients </w:t>
      </w:r>
      <w:r w:rsidRPr="000B50C6">
        <w:t xml:space="preserve">of Social Security payments to complete this application; rather, these are theoretical opportunity costs for the additional time respondents will spend to complete the application.  </w:t>
      </w:r>
      <w:r w:rsidRPr="000B50C6">
        <w:rPr>
          <w:b/>
          <w:u w:val="single"/>
        </w:rPr>
        <w:t>There is no actual charge to respondents to complete the application</w:t>
      </w:r>
      <w:r w:rsidRPr="00EF031B" w:rsidR="00EF031B">
        <w:t>.</w:t>
      </w:r>
    </w:p>
    <w:p w:rsidR="0067245B" w:rsidP="000B50C6" w14:paraId="5E56DBB7" w14:textId="4537E08F">
      <w:pPr>
        <w:autoSpaceDE/>
        <w:autoSpaceDN/>
        <w:adjustRightInd/>
        <w:ind w:left="1440"/>
      </w:pPr>
    </w:p>
    <w:p w:rsidR="0067245B" w:rsidRPr="0067245B" w:rsidP="0067245B" w14:paraId="46989FDB" w14:textId="21AB89FE">
      <w:pPr>
        <w:autoSpaceDE/>
        <w:autoSpaceDN/>
        <w:adjustRightInd/>
        <w:ind w:left="1440"/>
        <w:contextualSpacing/>
        <w:rPr>
          <w:snapToGrid w:val="0"/>
        </w:rPr>
      </w:pPr>
      <w:r w:rsidRPr="0067245B">
        <w:rPr>
          <w:snapToGrid w:val="0"/>
        </w:rPr>
        <w:t>NOTE:  We did not include travel time as per our current management information data, respondents only mail in the forms</w:t>
      </w:r>
      <w:r>
        <w:rPr>
          <w:snapToGrid w:val="0"/>
        </w:rPr>
        <w:t xml:space="preserve"> when necessary</w:t>
      </w:r>
      <w:r w:rsidRPr="0067245B">
        <w:rPr>
          <w:snapToGrid w:val="0"/>
        </w:rPr>
        <w:t xml:space="preserve"> and, per our current data, do not drop them off to a field office.  Should this change in the future, we will include the language and chart for travel time to a field office.</w:t>
      </w:r>
    </w:p>
    <w:p w:rsidR="00EF031B" w:rsidP="00EF031B" w14:paraId="606F54B9" w14:textId="77777777">
      <w:pPr>
        <w:autoSpaceDE/>
        <w:autoSpaceDN/>
        <w:adjustRightInd/>
        <w:ind w:left="1440"/>
      </w:pPr>
    </w:p>
    <w:p w:rsidR="00C84701" w:rsidP="00C84701" w14:paraId="2099D7BC" w14:textId="2B96A1C3">
      <w:pPr>
        <w:ind w:left="1440"/>
        <w:rPr>
          <w:b/>
          <w:bCs/>
        </w:rPr>
      </w:pPr>
      <w:r w:rsidRPr="00D40B5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 xml:space="preserve">the </w:t>
      </w:r>
      <w:r w:rsidRPr="00D40B50">
        <w:rPr>
          <w:rFonts w:eastAsia="Calibri"/>
          <w:color w:val="000000"/>
        </w:rPr>
        <w:t>minutes</w:t>
      </w:r>
      <w:r>
        <w:rPr>
          <w:rFonts w:eastAsia="Calibri"/>
          <w:color w:val="000000"/>
        </w:rPr>
        <w:t xml:space="preserve"> above</w:t>
      </w:r>
      <w:r w:rsidRPr="00D40B50">
        <w:rPr>
          <w:rFonts w:eastAsia="Calibri"/>
          <w:color w:val="000000"/>
        </w:rPr>
        <w:t xml:space="preserve"> accurately shows the average burden per response for reading the </w:t>
      </w:r>
      <w:r w:rsidRPr="00D40B50">
        <w:rPr>
          <w:rFonts w:eastAsia="Calibri"/>
        </w:rPr>
        <w:t>instructions, gathering the facts, and answering the questions</w:t>
      </w:r>
      <w:r w:rsidRPr="00D40B50">
        <w:rPr>
          <w:rFonts w:eastAsia="Calibri"/>
          <w:color w:val="000000"/>
        </w:rPr>
        <w:t xml:space="preserve">.  Based on our current management information data, the current burden information we provided is accurate.  </w:t>
      </w:r>
      <w:r w:rsidRPr="00D40B50">
        <w:rPr>
          <w:rFonts w:eastAsia="Calibri"/>
        </w:rPr>
        <w:t xml:space="preserve">The total burden for this collection instrument is </w:t>
      </w:r>
      <w:r>
        <w:rPr>
          <w:b/>
        </w:rPr>
        <w:t>22,548</w:t>
      </w:r>
      <w:r w:rsidRPr="00D40B50">
        <w:rPr>
          <w:b/>
        </w:rPr>
        <w:t xml:space="preserve"> </w:t>
      </w:r>
      <w:r w:rsidRPr="00D40B50">
        <w:rPr>
          <w:rFonts w:eastAsia="Calibri"/>
        </w:rPr>
        <w:t xml:space="preserve">burden hours (reflecting SSA management information data), which results in an associated theoretical (not actual) opportunity cost financial burden of </w:t>
      </w:r>
      <w:r w:rsidRPr="00D40B50">
        <w:rPr>
          <w:rFonts w:eastAsia="Calibri"/>
          <w:b/>
          <w:bCs/>
          <w:color w:val="000000"/>
        </w:rPr>
        <w:t>$</w:t>
      </w:r>
      <w:r>
        <w:rPr>
          <w:rFonts w:eastAsia="Calibri"/>
          <w:b/>
          <w:bCs/>
          <w:color w:val="000000"/>
        </w:rPr>
        <w:t>447,801</w:t>
      </w:r>
      <w:r w:rsidRPr="00D40B50">
        <w:rPr>
          <w:rFonts w:eastAsia="Calibri"/>
        </w:rPr>
        <w:t>.  SSA does not charge respondents to complete our applications</w:t>
      </w:r>
      <w:r>
        <w:t>.</w:t>
      </w:r>
    </w:p>
    <w:p w:rsidR="004D296C" w:rsidRPr="00843A15" w:rsidP="00843A15" w14:paraId="16A88F64" w14:textId="77777777">
      <w:pPr>
        <w:autoSpaceDE/>
        <w:autoSpaceDN/>
        <w:adjustRightInd/>
        <w:ind w:left="1440"/>
      </w:pPr>
    </w:p>
    <w:p w:rsidR="00DF5714" w:rsidP="007D44EC" w14:paraId="5B91B216" w14:textId="77777777">
      <w:pPr>
        <w:numPr>
          <w:ilvl w:val="0"/>
          <w:numId w:val="7"/>
        </w:numPr>
        <w:autoSpaceDE/>
        <w:autoSpaceDN/>
        <w:adjustRightInd/>
        <w:rPr>
          <w:b/>
        </w:rPr>
      </w:pPr>
      <w:r w:rsidRPr="00BC7F42">
        <w:rPr>
          <w:b/>
        </w:rPr>
        <w:t>Annual</w:t>
      </w:r>
      <w:r w:rsidRPr="00BC7F42">
        <w:t xml:space="preserve"> </w:t>
      </w:r>
      <w:r w:rsidRPr="00BC7F42">
        <w:rPr>
          <w:b/>
        </w:rPr>
        <w:t>Cost to the Respondents (Other)</w:t>
      </w:r>
    </w:p>
    <w:p w:rsidR="00DA6D23" w:rsidP="00DA6D23" w14:paraId="7F69F01F" w14:textId="77777777">
      <w:pPr>
        <w:autoSpaceDE/>
        <w:autoSpaceDN/>
        <w:adjustRightInd/>
        <w:ind w:left="1440"/>
      </w:pPr>
      <w:r w:rsidRPr="005B5EAA">
        <w:t>This collection does not impose a known cost burden on the respondents.</w:t>
      </w:r>
    </w:p>
    <w:p w:rsidR="00DA6D23" w:rsidP="00DA6D23" w14:paraId="1E2DD850" w14:textId="77777777">
      <w:pPr>
        <w:autoSpaceDE/>
        <w:autoSpaceDN/>
        <w:adjustRightInd/>
        <w:ind w:left="1440"/>
        <w:rPr>
          <w:b/>
        </w:rPr>
      </w:pPr>
    </w:p>
    <w:p w:rsidR="00DF5714" w:rsidP="007D44EC" w14:paraId="5FD04310" w14:textId="77777777">
      <w:pPr>
        <w:numPr>
          <w:ilvl w:val="0"/>
          <w:numId w:val="7"/>
        </w:numPr>
        <w:autoSpaceDE/>
        <w:autoSpaceDN/>
        <w:adjustRightInd/>
        <w:rPr>
          <w:b/>
        </w:rPr>
      </w:pPr>
      <w:r w:rsidRPr="00BC7F42">
        <w:rPr>
          <w:b/>
        </w:rPr>
        <w:t>Annual Cost To Federal Government</w:t>
      </w:r>
    </w:p>
    <w:p w:rsidR="007C1DD0" w:rsidP="007C1DD0" w14:paraId="475585FE" w14:textId="3EFF5729">
      <w:pPr>
        <w:pStyle w:val="ListParagraph"/>
        <w:ind w:left="1440"/>
      </w:pPr>
      <w:r>
        <w:t xml:space="preserve">The annual cost to the Federal Government is approximately </w:t>
      </w:r>
      <w:r w:rsidRPr="007C1DD0">
        <w:rPr>
          <w:b/>
          <w:bCs/>
        </w:rPr>
        <w:t>$</w:t>
      </w:r>
      <w:r w:rsidR="00516545">
        <w:rPr>
          <w:b/>
          <w:bCs/>
        </w:rPr>
        <w:t>374,290</w:t>
      </w:r>
      <w:r>
        <w:t>.  This estimate accounts for costs from the following areas:</w:t>
      </w:r>
    </w:p>
    <w:p w:rsidR="007C1DD0" w:rsidP="007C1DD0" w14:paraId="37024468" w14:textId="77777777">
      <w:pPr>
        <w:pStyle w:val="ListParagraph"/>
        <w:ind w:left="1440"/>
        <w:rPr>
          <w:rFonts w:eastAsiaTheme="minorHAnsi"/>
          <w:color w:val="000000"/>
        </w:rPr>
      </w:pPr>
    </w:p>
    <w:tbl>
      <w:tblPr>
        <w:tblW w:w="8095" w:type="dxa"/>
        <w:tblInd w:w="805" w:type="dxa"/>
        <w:tblCellMar>
          <w:left w:w="0" w:type="dxa"/>
          <w:right w:w="0" w:type="dxa"/>
        </w:tblCellMar>
        <w:tblLook w:val="04A0"/>
      </w:tblPr>
      <w:tblGrid>
        <w:gridCol w:w="2605"/>
        <w:gridCol w:w="3600"/>
        <w:gridCol w:w="1890"/>
      </w:tblGrid>
      <w:tr w14:paraId="4EFA6E00"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6D07092B" w14:textId="77777777">
            <w:pPr>
              <w:pStyle w:val="ListParagraph"/>
              <w:ind w:left="0"/>
              <w:rPr>
                <w:b/>
                <w:bCs/>
                <w:color w:val="000000"/>
              </w:rPr>
            </w:pPr>
            <w:r>
              <w:rPr>
                <w:b/>
                <w:bCs/>
                <w:color w:val="000000"/>
              </w:rPr>
              <w:t>Description of Cost Factor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41F7AA16" w14:textId="77777777">
            <w:pPr>
              <w:pStyle w:val="ListParagraph"/>
              <w:ind w:left="0"/>
              <w:rPr>
                <w:b/>
                <w:bCs/>
                <w:color w:val="000000"/>
              </w:rPr>
            </w:pPr>
            <w:r>
              <w:rPr>
                <w:b/>
                <w:bCs/>
                <w:color w:val="000000"/>
              </w:rPr>
              <w:t>Methodology for Estimating Cost</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5544E462" w14:textId="77777777">
            <w:pPr>
              <w:pStyle w:val="ListParagraph"/>
              <w:ind w:left="0"/>
              <w:rPr>
                <w:b/>
                <w:bCs/>
                <w:color w:val="000000"/>
              </w:rPr>
            </w:pPr>
            <w:r>
              <w:rPr>
                <w:b/>
                <w:bCs/>
                <w:color w:val="000000"/>
              </w:rPr>
              <w:t>Cost in Dollars</w:t>
            </w:r>
          </w:p>
        </w:tc>
      </w:tr>
      <w:tr w14:paraId="0DD2BB3F"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785ACD23" w14:textId="77777777">
            <w:pPr>
              <w:pStyle w:val="ListParagraph"/>
              <w:ind w:left="0"/>
              <w:rPr>
                <w:color w:val="000000"/>
              </w:rPr>
            </w:pPr>
            <w:r>
              <w:rPr>
                <w:color w:val="000000"/>
              </w:rPr>
              <w:t>Designing and Printing the Form</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4E7CC16F" w14:textId="77777777">
            <w:pPr>
              <w:pStyle w:val="ListParagraph"/>
              <w:ind w:left="0"/>
              <w:rPr>
                <w:color w:val="000000"/>
              </w:rPr>
            </w:pPr>
            <w:r>
              <w:rPr>
                <w:color w:val="000000"/>
              </w:rPr>
              <w:t>Design Cost + Printing Cost</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231593C5" w14:textId="36F4A4DA">
            <w:pPr>
              <w:pStyle w:val="ListParagraph"/>
              <w:ind w:left="0"/>
              <w:jc w:val="right"/>
              <w:rPr>
                <w:color w:val="000000"/>
              </w:rPr>
            </w:pPr>
            <w:r>
              <w:rPr>
                <w:color w:val="000000"/>
              </w:rPr>
              <w:t>$</w:t>
            </w:r>
            <w:r w:rsidR="006E5E4E">
              <w:rPr>
                <w:color w:val="000000"/>
              </w:rPr>
              <w:t>5,000</w:t>
            </w:r>
          </w:p>
        </w:tc>
      </w:tr>
      <w:tr w14:paraId="1C9EC7A0"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686608B8" w14:textId="77777777">
            <w:pPr>
              <w:pStyle w:val="ListParagraph"/>
              <w:ind w:left="0"/>
              <w:rPr>
                <w:color w:val="000000"/>
              </w:rPr>
            </w:pPr>
            <w:r>
              <w:rPr>
                <w:color w:val="000000"/>
              </w:rPr>
              <w:t>Distributing, Shipping, and Material Costs for the Form</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2D697AD3" w14:textId="77777777">
            <w:pPr>
              <w:pStyle w:val="ListParagraph"/>
              <w:ind w:left="0"/>
              <w:rPr>
                <w:color w:val="000000"/>
              </w:rPr>
            </w:pPr>
            <w:r>
              <w:rPr>
                <w:color w:val="000000"/>
              </w:rPr>
              <w:t>Distribution + Shipping + Material Cost</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4299AD6B" w14:textId="4F583867">
            <w:pPr>
              <w:pStyle w:val="ListParagraph"/>
              <w:ind w:left="0"/>
              <w:jc w:val="right"/>
              <w:rPr>
                <w:color w:val="000000"/>
              </w:rPr>
            </w:pPr>
            <w:r>
              <w:rPr>
                <w:color w:val="000000"/>
              </w:rPr>
              <w:t>$254</w:t>
            </w:r>
          </w:p>
        </w:tc>
      </w:tr>
      <w:tr w14:paraId="5B178BF4"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125D123B" w14:textId="77777777">
            <w:pPr>
              <w:pStyle w:val="ListParagraph"/>
              <w:ind w:left="0"/>
              <w:rPr>
                <w:color w:val="000000"/>
              </w:rPr>
            </w:pPr>
            <w:r>
              <w:rPr>
                <w:color w:val="000000"/>
              </w:rPr>
              <w:t>SSA Employee (e.g., field office, 800 number, DDS staff) Information Collection and Processing Time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17911164" w14:textId="77777777">
            <w:pPr>
              <w:pStyle w:val="ListParagraph"/>
              <w:ind w:left="0"/>
              <w:rPr>
                <w:color w:val="000000"/>
              </w:rPr>
            </w:pPr>
            <w:r>
              <w:rPr>
                <w:color w:val="000000"/>
              </w:rPr>
              <w:t>GS-9 employee x # of responses x processing time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3354E665" w14:textId="24090AD9">
            <w:pPr>
              <w:pStyle w:val="ListParagraph"/>
              <w:ind w:left="0"/>
              <w:jc w:val="right"/>
              <w:rPr>
                <w:color w:val="000000"/>
              </w:rPr>
            </w:pPr>
            <w:r>
              <w:rPr>
                <w:color w:val="000000"/>
              </w:rPr>
              <w:t>$32</w:t>
            </w:r>
            <w:r w:rsidR="00516545">
              <w:rPr>
                <w:color w:val="000000"/>
              </w:rPr>
              <w:t>0</w:t>
            </w:r>
            <w:r>
              <w:rPr>
                <w:color w:val="000000"/>
              </w:rPr>
              <w:t>,529</w:t>
            </w:r>
          </w:p>
        </w:tc>
      </w:tr>
      <w:tr w14:paraId="4A391BD1"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3160F29F" w14:textId="49538458">
            <w:pPr>
              <w:pStyle w:val="ListParagraph"/>
              <w:ind w:left="0"/>
              <w:rPr>
                <w:color w:val="000000"/>
              </w:rPr>
            </w:pPr>
            <w:r>
              <w:rPr>
                <w:color w:val="000000"/>
              </w:rPr>
              <w:t>Full-Time Equivalent Costs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6F489593" w14:textId="77777777">
            <w:pPr>
              <w:pStyle w:val="ListParagraph"/>
              <w:ind w:left="0"/>
              <w:rPr>
                <w:color w:val="000000"/>
              </w:rPr>
            </w:pPr>
            <w:r>
              <w:rPr>
                <w:color w:val="000000"/>
              </w:rPr>
              <w:t>Out of pocket costs + Other expenses for providing this service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4E9F241C" w14:textId="62651656">
            <w:pPr>
              <w:pStyle w:val="ListParagraph"/>
              <w:ind w:left="0"/>
              <w:jc w:val="right"/>
              <w:rPr>
                <w:color w:val="000000"/>
              </w:rPr>
            </w:pPr>
            <w:r>
              <w:rPr>
                <w:color w:val="000000"/>
              </w:rPr>
              <w:t>$0</w:t>
            </w:r>
            <w:r w:rsidR="006E5E4E">
              <w:rPr>
                <w:color w:val="000000"/>
              </w:rPr>
              <w:t>*</w:t>
            </w:r>
          </w:p>
        </w:tc>
      </w:tr>
      <w:tr w14:paraId="0B89897D"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0BECEC02" w14:textId="77777777">
            <w:pPr>
              <w:pStyle w:val="ListParagraph"/>
              <w:ind w:left="0"/>
              <w:rPr>
                <w:color w:val="000000"/>
              </w:rPr>
            </w:pPr>
            <w:r>
              <w:rPr>
                <w:color w:val="000000"/>
              </w:rPr>
              <w:t>Systems Development, Updating, and Maintenance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1B26BC5B" w14:textId="77777777">
            <w:pPr>
              <w:pStyle w:val="ListParagraph"/>
              <w:ind w:left="0"/>
              <w:rPr>
                <w:color w:val="000000"/>
              </w:rPr>
            </w:pPr>
            <w:r>
              <w:rPr>
                <w:color w:val="000000"/>
              </w:rPr>
              <w:t>GS-9 employee x man hours for development, updating, maintenance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3814A84E" w14:textId="7ACFCA5C">
            <w:pPr>
              <w:pStyle w:val="ListParagraph"/>
              <w:ind w:left="0"/>
              <w:jc w:val="right"/>
              <w:rPr>
                <w:color w:val="000000"/>
              </w:rPr>
            </w:pPr>
            <w:r>
              <w:rPr>
                <w:color w:val="000000"/>
              </w:rPr>
              <w:t>$</w:t>
            </w:r>
            <w:r w:rsidR="006E5E4E">
              <w:rPr>
                <w:color w:val="000000"/>
              </w:rPr>
              <w:t>48,507</w:t>
            </w:r>
          </w:p>
        </w:tc>
      </w:tr>
      <w:tr w14:paraId="78B329A1"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366C2906" w14:textId="5890E2A4">
            <w:pPr>
              <w:pStyle w:val="ListParagraph"/>
              <w:ind w:left="0"/>
              <w:rPr>
                <w:color w:val="000000"/>
              </w:rPr>
            </w:pPr>
            <w:r>
              <w:rPr>
                <w:color w:val="000000"/>
              </w:rPr>
              <w:t>Quantifiable IT Costs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6E6E8FE3" w14:textId="77777777">
            <w:pPr>
              <w:pStyle w:val="ListParagraph"/>
              <w:ind w:left="0"/>
              <w:rPr>
                <w:color w:val="000000"/>
              </w:rPr>
            </w:pPr>
            <w:r>
              <w:rPr>
                <w:color w:val="000000"/>
              </w:rPr>
              <w:t>Any additional IT costs</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1DD0" w14:paraId="2292E6F6" w14:textId="5B16C499">
            <w:pPr>
              <w:pStyle w:val="ListParagraph"/>
              <w:ind w:left="0"/>
              <w:jc w:val="right"/>
              <w:rPr>
                <w:color w:val="000000"/>
              </w:rPr>
            </w:pPr>
            <w:r>
              <w:rPr>
                <w:color w:val="000000"/>
              </w:rPr>
              <w:t>$0</w:t>
            </w:r>
            <w:r w:rsidR="006E5E4E">
              <w:rPr>
                <w:color w:val="000000"/>
              </w:rPr>
              <w:t>*</w:t>
            </w:r>
          </w:p>
        </w:tc>
      </w:tr>
      <w:tr w14:paraId="59FF5DF5" w14:textId="77777777" w:rsidTr="00885F4C">
        <w:tblPrEx>
          <w:tblW w:w="8095" w:type="dxa"/>
          <w:tblInd w:w="805" w:type="dxa"/>
          <w:tblCellMar>
            <w:left w:w="0" w:type="dxa"/>
            <w:right w:w="0" w:type="dxa"/>
          </w:tblCellMar>
          <w:tblLook w:val="04A0"/>
        </w:tblPrEx>
        <w:tc>
          <w:tcPr>
            <w:tcW w:w="26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DD0" w14:paraId="0C510385" w14:textId="77777777">
            <w:pPr>
              <w:pStyle w:val="ListParagraph"/>
              <w:ind w:left="0"/>
              <w:rPr>
                <w:b/>
                <w:bCs/>
                <w:color w:val="000000"/>
              </w:rPr>
            </w:pPr>
            <w:r>
              <w:rPr>
                <w:b/>
                <w:bCs/>
                <w:color w:val="000000"/>
              </w:rPr>
              <w:t>Total</w:t>
            </w: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C1DD0" w14:paraId="1B00CCE0" w14:textId="77777777">
            <w:pPr>
              <w:pStyle w:val="ListParagraph"/>
              <w:ind w:left="0"/>
              <w:rPr>
                <w:b/>
                <w:bCs/>
                <w:color w:val="000000"/>
              </w:rPr>
            </w:pP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C1DD0" w14:paraId="08C072C3" w14:textId="0AF43C95">
            <w:pPr>
              <w:pStyle w:val="ListParagraph"/>
              <w:ind w:left="0"/>
              <w:jc w:val="right"/>
              <w:rPr>
                <w:b/>
                <w:bCs/>
                <w:color w:val="000000"/>
              </w:rPr>
            </w:pPr>
            <w:r>
              <w:rPr>
                <w:b/>
                <w:bCs/>
                <w:color w:val="000000"/>
              </w:rPr>
              <w:t>$</w:t>
            </w:r>
            <w:r w:rsidR="00516545">
              <w:rPr>
                <w:b/>
                <w:bCs/>
                <w:color w:val="000000"/>
              </w:rPr>
              <w:t>374,290</w:t>
            </w:r>
          </w:p>
        </w:tc>
      </w:tr>
    </w:tbl>
    <w:p w:rsidR="007C1DD0" w:rsidRPr="007C1DD0" w:rsidP="007C1DD0" w14:paraId="34C465E8" w14:textId="77777777">
      <w:pPr>
        <w:pStyle w:val="ListParagraph"/>
        <w:ind w:left="1440"/>
        <w:rPr>
          <w:color w:val="000000"/>
        </w:rPr>
      </w:pPr>
      <w:r w:rsidRPr="007C1DD0">
        <w:rPr>
          <w:color w:val="000000"/>
        </w:rPr>
        <w:t xml:space="preserve">  * We have inserted a $0 amount for cost factors that do not apply to this collection.</w:t>
      </w:r>
    </w:p>
    <w:p w:rsidR="007C1DD0" w:rsidP="007C1DD0" w14:paraId="6D865051" w14:textId="77777777">
      <w:pPr>
        <w:pStyle w:val="ListParagraph"/>
        <w:ind w:left="1440"/>
        <w:rPr>
          <w:color w:val="000000" w:themeColor="text1"/>
          <w:lang w:eastAsia="ar-SA"/>
        </w:rPr>
      </w:pPr>
    </w:p>
    <w:p w:rsidR="007C1DD0" w:rsidP="007C1DD0" w14:paraId="54C427DD" w14:textId="49A89B09">
      <w:pPr>
        <w:pStyle w:val="ListParagraph"/>
        <w:ind w:left="1440"/>
        <w:rPr>
          <w:lang w:eastAsia="ar-SA"/>
        </w:rPr>
      </w:pPr>
      <w:r w:rsidRPr="00516545">
        <w:rPr>
          <w:snapToGrid w:val="0"/>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t>.</w:t>
      </w:r>
    </w:p>
    <w:p w:rsidR="00A267B3" w:rsidP="00ED6DF8" w14:paraId="2C86B086" w14:textId="77777777">
      <w:pPr>
        <w:autoSpaceDE/>
        <w:autoSpaceDN/>
        <w:adjustRightInd/>
        <w:rPr>
          <w:b/>
        </w:rPr>
      </w:pPr>
    </w:p>
    <w:p w:rsidR="00DF5714" w:rsidP="007D44EC" w14:paraId="462EBE13" w14:textId="77777777">
      <w:pPr>
        <w:numPr>
          <w:ilvl w:val="0"/>
          <w:numId w:val="7"/>
        </w:numPr>
        <w:autoSpaceDE/>
        <w:autoSpaceDN/>
        <w:adjustRightInd/>
        <w:rPr>
          <w:b/>
        </w:rPr>
      </w:pPr>
      <w:r w:rsidRPr="00BC7F42">
        <w:rPr>
          <w:b/>
        </w:rPr>
        <w:t xml:space="preserve">Program Changes or Adjustments to the Information Collection </w:t>
      </w:r>
      <w:r>
        <w:rPr>
          <w:b/>
        </w:rPr>
        <w:t>Request</w:t>
      </w:r>
    </w:p>
    <w:p w:rsidR="00DA6D23" w:rsidP="002247BB" w14:paraId="240B59A5" w14:textId="714567B1">
      <w:pPr>
        <w:autoSpaceDE/>
        <w:autoSpaceDN/>
        <w:adjustRightInd/>
      </w:pPr>
      <w:r>
        <w:tab/>
      </w:r>
      <w:r>
        <w:tab/>
      </w:r>
      <w:r w:rsidR="007C1DD0">
        <w:t>There are no changes to the public reporting burden.</w:t>
      </w:r>
    </w:p>
    <w:p w:rsidR="00BF041A" w:rsidP="002247BB" w14:paraId="0EA7F255" w14:textId="77777777">
      <w:pPr>
        <w:autoSpaceDE/>
        <w:autoSpaceDN/>
        <w:adjustRightInd/>
        <w:rPr>
          <w:b/>
        </w:rPr>
      </w:pPr>
    </w:p>
    <w:p w:rsidR="00DF5714" w:rsidP="007D44EC" w14:paraId="627AD466" w14:textId="77777777">
      <w:pPr>
        <w:numPr>
          <w:ilvl w:val="0"/>
          <w:numId w:val="7"/>
        </w:numPr>
        <w:autoSpaceDE/>
        <w:autoSpaceDN/>
        <w:adjustRightInd/>
        <w:rPr>
          <w:b/>
        </w:rPr>
      </w:pPr>
      <w:r w:rsidRPr="00BC7F42">
        <w:rPr>
          <w:b/>
        </w:rPr>
        <w:t>Plans for Publication Information Collection</w:t>
      </w:r>
      <w:r>
        <w:rPr>
          <w:b/>
        </w:rPr>
        <w:t xml:space="preserve"> Results</w:t>
      </w:r>
    </w:p>
    <w:p w:rsidR="00DA6D23" w:rsidP="00DA6D23" w14:paraId="1D333582" w14:textId="77777777">
      <w:pPr>
        <w:autoSpaceDE/>
        <w:autoSpaceDN/>
        <w:adjustRightInd/>
        <w:ind w:left="1440"/>
        <w:rPr>
          <w:bCs/>
          <w:iCs/>
        </w:rPr>
      </w:pPr>
      <w:r w:rsidRPr="00ED3C0C">
        <w:rPr>
          <w:bCs/>
          <w:iCs/>
        </w:rPr>
        <w:t>SSA will not publish the results of the information collection</w:t>
      </w:r>
      <w:r>
        <w:rPr>
          <w:bCs/>
          <w:iCs/>
        </w:rPr>
        <w:t>.</w:t>
      </w:r>
    </w:p>
    <w:p w:rsidR="00DA6D23" w:rsidP="00DA6D23" w14:paraId="509877A5" w14:textId="77777777">
      <w:pPr>
        <w:autoSpaceDE/>
        <w:autoSpaceDN/>
        <w:adjustRightInd/>
        <w:ind w:left="1440"/>
        <w:rPr>
          <w:b/>
        </w:rPr>
      </w:pPr>
    </w:p>
    <w:p w:rsidR="00DF5714" w:rsidP="007D44EC" w14:paraId="0432D05C" w14:textId="77777777">
      <w:pPr>
        <w:numPr>
          <w:ilvl w:val="0"/>
          <w:numId w:val="7"/>
        </w:numPr>
        <w:autoSpaceDE/>
        <w:autoSpaceDN/>
        <w:adjustRightInd/>
        <w:rPr>
          <w:b/>
        </w:rPr>
      </w:pPr>
      <w:r>
        <w:rPr>
          <w:b/>
        </w:rPr>
        <w:t>Displaying the OMB Approval Expiration Date</w:t>
      </w:r>
    </w:p>
    <w:p w:rsidR="00DA6D23" w:rsidP="00DA6D23" w14:paraId="2C6FFD9D" w14:textId="77777777">
      <w:pPr>
        <w:autoSpaceDE/>
        <w:autoSpaceDN/>
        <w:adjustRightInd/>
        <w:ind w:left="1440"/>
        <w:rPr>
          <w:bCs/>
          <w:iCs/>
        </w:rPr>
      </w:pPr>
      <w:r w:rsidRPr="00ED3C0C">
        <w:rPr>
          <w:bCs/>
          <w:iCs/>
        </w:rPr>
        <w:t>SSA is not requesting an exception to the requirement to display an expiration date</w:t>
      </w:r>
      <w:r>
        <w:rPr>
          <w:bCs/>
          <w:iCs/>
        </w:rPr>
        <w:t>.</w:t>
      </w:r>
    </w:p>
    <w:p w:rsidR="00DA6D23" w:rsidP="00DA6D23" w14:paraId="5F613F9B" w14:textId="77777777">
      <w:pPr>
        <w:autoSpaceDE/>
        <w:autoSpaceDN/>
        <w:adjustRightInd/>
        <w:ind w:left="1440"/>
        <w:rPr>
          <w:b/>
        </w:rPr>
      </w:pPr>
    </w:p>
    <w:p w:rsidR="00DA6D23" w:rsidP="00DA6D23" w14:paraId="30D219C4" w14:textId="77777777">
      <w:pPr>
        <w:numPr>
          <w:ilvl w:val="0"/>
          <w:numId w:val="7"/>
        </w:numPr>
        <w:autoSpaceDE/>
        <w:autoSpaceDN/>
        <w:adjustRightInd/>
        <w:rPr>
          <w:b/>
        </w:rPr>
      </w:pPr>
      <w:r w:rsidRPr="00DA6D23">
        <w:rPr>
          <w:b/>
        </w:rPr>
        <w:t>Exceptions to Certification Statement</w:t>
      </w:r>
    </w:p>
    <w:p w:rsidR="00ED3C0C" w:rsidRPr="00DA6D23" w:rsidP="00DA6D23" w14:paraId="073342BB" w14:textId="7922907B">
      <w:pPr>
        <w:autoSpaceDE/>
        <w:autoSpaceDN/>
        <w:adjustRightInd/>
        <w:ind w:left="1440"/>
        <w:rPr>
          <w:b/>
        </w:rPr>
      </w:pPr>
      <w:r w:rsidRPr="00DA6D23">
        <w:t xml:space="preserve">SSA is not requesting an exception to the certification requirements at </w:t>
      </w:r>
      <w:r w:rsidRPr="00DA6D23">
        <w:rPr>
          <w:i/>
        </w:rPr>
        <w:t>5</w:t>
      </w:r>
      <w:r w:rsidR="00131B68">
        <w:rPr>
          <w:i/>
        </w:rPr>
        <w:t> </w:t>
      </w:r>
      <w:r w:rsidRPr="00DA6D23">
        <w:rPr>
          <w:i/>
        </w:rPr>
        <w:t>CFR</w:t>
      </w:r>
      <w:r w:rsidR="00131B68">
        <w:rPr>
          <w:i/>
        </w:rPr>
        <w:t> </w:t>
      </w:r>
      <w:r w:rsidRPr="00DA6D23">
        <w:rPr>
          <w:i/>
        </w:rPr>
        <w:t>1320.9</w:t>
      </w:r>
      <w:r w:rsidR="00DA6D23">
        <w:t xml:space="preserve"> </w:t>
      </w:r>
      <w:r w:rsidRPr="00DA6D23">
        <w:t xml:space="preserve">and related provisions at </w:t>
      </w:r>
      <w:r w:rsidRPr="00DA6D23">
        <w:rPr>
          <w:i/>
        </w:rPr>
        <w:t>5 CFR 1320.8(b)(3)</w:t>
      </w:r>
      <w:r w:rsidRPr="00DA6D23">
        <w:t xml:space="preserve">. </w:t>
      </w:r>
    </w:p>
    <w:p w:rsidR="00CF1758" w:rsidRPr="00753D3C" w:rsidP="00CF1758" w14:paraId="5493C132" w14:textId="77777777"/>
    <w:p w:rsidR="00CF1758" w:rsidRPr="00753D3C" w:rsidP="00F66180" w14:paraId="43677D05" w14:textId="77777777">
      <w:pPr>
        <w:numPr>
          <w:ilvl w:val="0"/>
          <w:numId w:val="1"/>
        </w:numPr>
        <w:tabs>
          <w:tab w:val="clear" w:pos="1440"/>
        </w:tabs>
        <w:ind w:hanging="540"/>
        <w:rPr>
          <w:b/>
          <w:u w:val="single"/>
        </w:rPr>
      </w:pPr>
      <w:r w:rsidRPr="00753D3C">
        <w:rPr>
          <w:b/>
          <w:u w:val="single"/>
        </w:rPr>
        <w:t>Collections employing statistical methods</w:t>
      </w:r>
    </w:p>
    <w:p w:rsidR="00CF1758" w:rsidRPr="006B36E0" w:rsidP="00CF1758" w14:paraId="74340B32" w14:textId="77777777">
      <w:pPr>
        <w:rPr>
          <w:sz w:val="28"/>
          <w:szCs w:val="28"/>
          <w:u w:val="single"/>
        </w:rPr>
      </w:pPr>
    </w:p>
    <w:p w:rsidR="00672423" w:rsidP="00F66180" w14:paraId="0B9E69F7" w14:textId="3E0DA7E2">
      <w:pPr>
        <w:tabs>
          <w:tab w:val="left" w:pos="1440"/>
        </w:tabs>
        <w:suppressAutoHyphens/>
        <w:ind w:left="1440"/>
      </w:pPr>
      <w:r>
        <w:t>SSA does not use s</w:t>
      </w:r>
      <w:r w:rsidRPr="006B36E0" w:rsidR="00CF1758">
        <w:t>tatistical methods for this information collection.</w:t>
      </w:r>
    </w:p>
    <w:sectPr w:rsidSect="00DB3B1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DC2" w:rsidP="008741BA" w14:paraId="051B7C73" w14:textId="77777777">
    <w:pPr>
      <w:pStyle w:val="Footer"/>
      <w:tabs>
        <w:tab w:val="clear" w:pos="8640"/>
        <w:tab w:val="right" w:pos="900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2E8010D"/>
    <w:multiLevelType w:val="hybridMultilevel"/>
    <w:tmpl w:val="8F7AE3F4"/>
    <w:lvl w:ilvl="0">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start w:val="1"/>
      <w:numFmt w:val="decimal"/>
      <w:lvlText w:val="%2."/>
      <w:lvlJc w:val="left"/>
      <w:pPr>
        <w:tabs>
          <w:tab w:val="num" w:pos="540"/>
        </w:tabs>
        <w:ind w:left="1620" w:hanging="720"/>
      </w:pPr>
      <w:rPr>
        <w:rFonts w:ascii="Times New Roman" w:hAnsi="Times New Roman" w:hint="default"/>
        <w:b w:val="0"/>
        <w:i w:val="0"/>
        <w:sz w:val="24"/>
        <w:szCs w:val="24"/>
        <w:u w:val="none"/>
      </w:rPr>
    </w:lvl>
    <w:lvl w:ilvl="2">
      <w:start w:val="6"/>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817625"/>
    <w:multiLevelType w:val="hybridMultilevel"/>
    <w:tmpl w:val="60925B0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1CF42B7"/>
    <w:multiLevelType w:val="hybridMultilevel"/>
    <w:tmpl w:val="2B689F5E"/>
    <w:lvl w:ilvl="0">
      <w:start w:val="0"/>
      <w:numFmt w:val="bullet"/>
      <w:lvlText w:val=""/>
      <w:lvlJc w:val="left"/>
      <w:pPr>
        <w:tabs>
          <w:tab w:val="num" w:pos="1800"/>
        </w:tabs>
        <w:ind w:left="1800" w:hanging="360"/>
      </w:pPr>
      <w:rPr>
        <w:rFonts w:ascii="Symbol" w:eastAsia="Times New Roman" w:hAnsi="Symbol" w:cs="Times New Roman" w:hint="default"/>
        <w:color w:val="auto"/>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4">
    <w:nsid w:val="3A982286"/>
    <w:multiLevelType w:val="hybridMultilevel"/>
    <w:tmpl w:val="74D22218"/>
    <w:lvl w:ilvl="0">
      <w:start w:val="0"/>
      <w:numFmt w:val="bullet"/>
      <w:lvlText w:val=""/>
      <w:lvlJc w:val="left"/>
      <w:pPr>
        <w:tabs>
          <w:tab w:val="num" w:pos="1800"/>
        </w:tabs>
        <w:ind w:left="1800" w:hanging="360"/>
      </w:pPr>
      <w:rPr>
        <w:rFonts w:ascii="Symbol" w:eastAsia="Times New Roman" w:hAnsi="Symbol" w:cs="Times New Roman"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B6A0A05"/>
    <w:multiLevelType w:val="hybridMultilevel"/>
    <w:tmpl w:val="6D20E54A"/>
    <w:lvl w:ilvl="0">
      <w:start w:val="0"/>
      <w:numFmt w:val="bullet"/>
      <w:lvlText w:val=""/>
      <w:lvlJc w:val="left"/>
      <w:pPr>
        <w:tabs>
          <w:tab w:val="num" w:pos="1800"/>
        </w:tabs>
        <w:ind w:left="1800" w:hanging="360"/>
      </w:pPr>
      <w:rPr>
        <w:rFonts w:ascii="Symbol" w:eastAsia="Times New Roman" w:hAnsi="Symbol" w:cs="Times New Roman" w:hint="default"/>
        <w:color w:val="auto"/>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6">
    <w:nsid w:val="40431499"/>
    <w:multiLevelType w:val="hybridMultilevel"/>
    <w:tmpl w:val="1EA4D926"/>
    <w:lvl w:ilvl="0">
      <w:start w:val="1"/>
      <w:numFmt w:val="bullet"/>
      <w:lvlText w:val=""/>
      <w:lvlJc w:val="left"/>
      <w:pPr>
        <w:ind w:left="2205" w:hanging="360"/>
      </w:pPr>
      <w:rPr>
        <w:rFonts w:ascii="Symbol" w:hAnsi="Symbol" w:hint="default"/>
      </w:rPr>
    </w:lvl>
    <w:lvl w:ilvl="1" w:tentative="1">
      <w:start w:val="1"/>
      <w:numFmt w:val="bullet"/>
      <w:lvlText w:val="o"/>
      <w:lvlJc w:val="left"/>
      <w:pPr>
        <w:ind w:left="2925" w:hanging="360"/>
      </w:pPr>
      <w:rPr>
        <w:rFonts w:ascii="Courier New" w:hAnsi="Courier New" w:cs="Courier New" w:hint="default"/>
      </w:rPr>
    </w:lvl>
    <w:lvl w:ilvl="2" w:tentative="1">
      <w:start w:val="1"/>
      <w:numFmt w:val="bullet"/>
      <w:lvlText w:val=""/>
      <w:lvlJc w:val="left"/>
      <w:pPr>
        <w:ind w:left="3645" w:hanging="360"/>
      </w:pPr>
      <w:rPr>
        <w:rFonts w:ascii="Wingdings" w:hAnsi="Wingdings" w:hint="default"/>
      </w:rPr>
    </w:lvl>
    <w:lvl w:ilvl="3" w:tentative="1">
      <w:start w:val="1"/>
      <w:numFmt w:val="bullet"/>
      <w:lvlText w:val=""/>
      <w:lvlJc w:val="left"/>
      <w:pPr>
        <w:ind w:left="4365" w:hanging="360"/>
      </w:pPr>
      <w:rPr>
        <w:rFonts w:ascii="Symbol" w:hAnsi="Symbol" w:hint="default"/>
      </w:rPr>
    </w:lvl>
    <w:lvl w:ilvl="4" w:tentative="1">
      <w:start w:val="1"/>
      <w:numFmt w:val="bullet"/>
      <w:lvlText w:val="o"/>
      <w:lvlJc w:val="left"/>
      <w:pPr>
        <w:ind w:left="5085" w:hanging="360"/>
      </w:pPr>
      <w:rPr>
        <w:rFonts w:ascii="Courier New" w:hAnsi="Courier New" w:cs="Courier New" w:hint="default"/>
      </w:rPr>
    </w:lvl>
    <w:lvl w:ilvl="5" w:tentative="1">
      <w:start w:val="1"/>
      <w:numFmt w:val="bullet"/>
      <w:lvlText w:val=""/>
      <w:lvlJc w:val="left"/>
      <w:pPr>
        <w:ind w:left="5805" w:hanging="360"/>
      </w:pPr>
      <w:rPr>
        <w:rFonts w:ascii="Wingdings" w:hAnsi="Wingdings" w:hint="default"/>
      </w:rPr>
    </w:lvl>
    <w:lvl w:ilvl="6" w:tentative="1">
      <w:start w:val="1"/>
      <w:numFmt w:val="bullet"/>
      <w:lvlText w:val=""/>
      <w:lvlJc w:val="left"/>
      <w:pPr>
        <w:ind w:left="6525" w:hanging="360"/>
      </w:pPr>
      <w:rPr>
        <w:rFonts w:ascii="Symbol" w:hAnsi="Symbol" w:hint="default"/>
      </w:rPr>
    </w:lvl>
    <w:lvl w:ilvl="7" w:tentative="1">
      <w:start w:val="1"/>
      <w:numFmt w:val="bullet"/>
      <w:lvlText w:val="o"/>
      <w:lvlJc w:val="left"/>
      <w:pPr>
        <w:ind w:left="7245" w:hanging="360"/>
      </w:pPr>
      <w:rPr>
        <w:rFonts w:ascii="Courier New" w:hAnsi="Courier New" w:cs="Courier New" w:hint="default"/>
      </w:rPr>
    </w:lvl>
    <w:lvl w:ilvl="8" w:tentative="1">
      <w:start w:val="1"/>
      <w:numFmt w:val="bullet"/>
      <w:lvlText w:val=""/>
      <w:lvlJc w:val="left"/>
      <w:pPr>
        <w:ind w:left="7965" w:hanging="360"/>
      </w:pPr>
      <w:rPr>
        <w:rFonts w:ascii="Wingdings" w:hAnsi="Wingdings" w:hint="default"/>
      </w:rPr>
    </w:lvl>
  </w:abstractNum>
  <w:abstractNum w:abstractNumId="7">
    <w:nsid w:val="616F329C"/>
    <w:multiLevelType w:val="hybridMultilevel"/>
    <w:tmpl w:val="F9EA0CA0"/>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6213D25"/>
    <w:multiLevelType w:val="hybridMultilevel"/>
    <w:tmpl w:val="133E7306"/>
    <w:lvl w:ilvl="0">
      <w:start w:val="0"/>
      <w:numFmt w:val="bullet"/>
      <w:lvlText w:val=""/>
      <w:lvlJc w:val="left"/>
      <w:pPr>
        <w:tabs>
          <w:tab w:val="num" w:pos="1800"/>
        </w:tabs>
        <w:ind w:left="1800" w:hanging="360"/>
      </w:pPr>
      <w:rPr>
        <w:rFonts w:ascii="Symbol" w:eastAsia="Times New Roman" w:hAnsi="Symbol" w:cs="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4"/>
  </w:num>
  <w:num w:numId="3">
    <w:abstractNumId w:val="5"/>
  </w:num>
  <w:num w:numId="4">
    <w:abstractNumId w:val="3"/>
  </w:num>
  <w:num w:numId="5">
    <w:abstractNumId w:val="8"/>
  </w:num>
  <w:num w:numId="6">
    <w:abstractNumId w:val="2"/>
  </w:num>
  <w:num w:numId="7">
    <w:abstractNumId w:val="7"/>
  </w:num>
  <w:num w:numId="8">
    <w:abstractNumId w:val="10"/>
  </w:num>
  <w:num w:numId="9">
    <w:abstractNumId w:val="9"/>
  </w:num>
  <w:num w:numId="10">
    <w:abstractNumId w:val="0"/>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59"/>
    <w:rsid w:val="000000EA"/>
    <w:rsid w:val="00003CDA"/>
    <w:rsid w:val="00005297"/>
    <w:rsid w:val="00006EA8"/>
    <w:rsid w:val="000102F9"/>
    <w:rsid w:val="00016222"/>
    <w:rsid w:val="0001625E"/>
    <w:rsid w:val="00021A2E"/>
    <w:rsid w:val="000239D0"/>
    <w:rsid w:val="00024535"/>
    <w:rsid w:val="0003078D"/>
    <w:rsid w:val="00031D3B"/>
    <w:rsid w:val="00036D4E"/>
    <w:rsid w:val="000405DA"/>
    <w:rsid w:val="0004514F"/>
    <w:rsid w:val="00047945"/>
    <w:rsid w:val="0005076D"/>
    <w:rsid w:val="000517AA"/>
    <w:rsid w:val="00052EA3"/>
    <w:rsid w:val="000575B1"/>
    <w:rsid w:val="00062729"/>
    <w:rsid w:val="00062875"/>
    <w:rsid w:val="00071AFA"/>
    <w:rsid w:val="0007446B"/>
    <w:rsid w:val="00075C84"/>
    <w:rsid w:val="000775A2"/>
    <w:rsid w:val="000779DC"/>
    <w:rsid w:val="00086542"/>
    <w:rsid w:val="00091E4C"/>
    <w:rsid w:val="000924F1"/>
    <w:rsid w:val="00092F48"/>
    <w:rsid w:val="00093189"/>
    <w:rsid w:val="00093810"/>
    <w:rsid w:val="000A0BF5"/>
    <w:rsid w:val="000A1B15"/>
    <w:rsid w:val="000A37DE"/>
    <w:rsid w:val="000A5DD5"/>
    <w:rsid w:val="000B50C6"/>
    <w:rsid w:val="000B53CD"/>
    <w:rsid w:val="000C095C"/>
    <w:rsid w:val="000C28B7"/>
    <w:rsid w:val="000D093F"/>
    <w:rsid w:val="000D2D41"/>
    <w:rsid w:val="000E212D"/>
    <w:rsid w:val="000F03FD"/>
    <w:rsid w:val="000F09F1"/>
    <w:rsid w:val="000F1A02"/>
    <w:rsid w:val="001007AC"/>
    <w:rsid w:val="00101DA8"/>
    <w:rsid w:val="00103A93"/>
    <w:rsid w:val="0010436F"/>
    <w:rsid w:val="001065B8"/>
    <w:rsid w:val="00111C79"/>
    <w:rsid w:val="00112B8C"/>
    <w:rsid w:val="0012208A"/>
    <w:rsid w:val="001249F0"/>
    <w:rsid w:val="00126865"/>
    <w:rsid w:val="0012753A"/>
    <w:rsid w:val="00131B68"/>
    <w:rsid w:val="00144DBA"/>
    <w:rsid w:val="001450F8"/>
    <w:rsid w:val="0014786A"/>
    <w:rsid w:val="0015063B"/>
    <w:rsid w:val="001510A2"/>
    <w:rsid w:val="001510F3"/>
    <w:rsid w:val="00156656"/>
    <w:rsid w:val="00156811"/>
    <w:rsid w:val="001574A9"/>
    <w:rsid w:val="00160F66"/>
    <w:rsid w:val="00177DB6"/>
    <w:rsid w:val="001802A2"/>
    <w:rsid w:val="00180436"/>
    <w:rsid w:val="00182C0D"/>
    <w:rsid w:val="00187E95"/>
    <w:rsid w:val="00190C5B"/>
    <w:rsid w:val="00192B6C"/>
    <w:rsid w:val="0019481D"/>
    <w:rsid w:val="00195423"/>
    <w:rsid w:val="001A1124"/>
    <w:rsid w:val="001B1C57"/>
    <w:rsid w:val="001B4B65"/>
    <w:rsid w:val="001B6407"/>
    <w:rsid w:val="001C0A15"/>
    <w:rsid w:val="001D1EE2"/>
    <w:rsid w:val="001D7CD5"/>
    <w:rsid w:val="001E1350"/>
    <w:rsid w:val="001F33A3"/>
    <w:rsid w:val="00205462"/>
    <w:rsid w:val="00205843"/>
    <w:rsid w:val="00206B10"/>
    <w:rsid w:val="00220ABB"/>
    <w:rsid w:val="002213D6"/>
    <w:rsid w:val="002247BB"/>
    <w:rsid w:val="00226597"/>
    <w:rsid w:val="00231D93"/>
    <w:rsid w:val="0023749A"/>
    <w:rsid w:val="00241311"/>
    <w:rsid w:val="00241B33"/>
    <w:rsid w:val="00244463"/>
    <w:rsid w:val="00264EA3"/>
    <w:rsid w:val="002659C8"/>
    <w:rsid w:val="002711B4"/>
    <w:rsid w:val="002721C7"/>
    <w:rsid w:val="00273D11"/>
    <w:rsid w:val="002762A8"/>
    <w:rsid w:val="00284633"/>
    <w:rsid w:val="00285EA5"/>
    <w:rsid w:val="00286903"/>
    <w:rsid w:val="0029122E"/>
    <w:rsid w:val="00297B3F"/>
    <w:rsid w:val="002A1EFA"/>
    <w:rsid w:val="002B2975"/>
    <w:rsid w:val="002B3731"/>
    <w:rsid w:val="002B7B4B"/>
    <w:rsid w:val="002C0E59"/>
    <w:rsid w:val="002C5F9E"/>
    <w:rsid w:val="002D2D32"/>
    <w:rsid w:val="002E33C3"/>
    <w:rsid w:val="002E3DC8"/>
    <w:rsid w:val="002E54C9"/>
    <w:rsid w:val="002E7814"/>
    <w:rsid w:val="002F13DE"/>
    <w:rsid w:val="002F25E8"/>
    <w:rsid w:val="002F7C4F"/>
    <w:rsid w:val="00301DEC"/>
    <w:rsid w:val="0030224E"/>
    <w:rsid w:val="003062F1"/>
    <w:rsid w:val="00307D6B"/>
    <w:rsid w:val="0031129A"/>
    <w:rsid w:val="00313156"/>
    <w:rsid w:val="00315888"/>
    <w:rsid w:val="0031698E"/>
    <w:rsid w:val="00325FB0"/>
    <w:rsid w:val="0032752A"/>
    <w:rsid w:val="00327B57"/>
    <w:rsid w:val="003307DB"/>
    <w:rsid w:val="0034678F"/>
    <w:rsid w:val="00351BE7"/>
    <w:rsid w:val="003604FD"/>
    <w:rsid w:val="00361BFA"/>
    <w:rsid w:val="00362E06"/>
    <w:rsid w:val="00364F69"/>
    <w:rsid w:val="00371AAB"/>
    <w:rsid w:val="00373206"/>
    <w:rsid w:val="003774FF"/>
    <w:rsid w:val="0037751D"/>
    <w:rsid w:val="00391A98"/>
    <w:rsid w:val="00393544"/>
    <w:rsid w:val="003A48C5"/>
    <w:rsid w:val="003A5015"/>
    <w:rsid w:val="003A5D4D"/>
    <w:rsid w:val="003B06ED"/>
    <w:rsid w:val="003C3E19"/>
    <w:rsid w:val="003C484A"/>
    <w:rsid w:val="003C67D3"/>
    <w:rsid w:val="003D19FF"/>
    <w:rsid w:val="003D27A9"/>
    <w:rsid w:val="003D3F05"/>
    <w:rsid w:val="003D4674"/>
    <w:rsid w:val="003D52E0"/>
    <w:rsid w:val="003D628D"/>
    <w:rsid w:val="003E2FD1"/>
    <w:rsid w:val="003E3711"/>
    <w:rsid w:val="003E55D4"/>
    <w:rsid w:val="003E6382"/>
    <w:rsid w:val="003E7BE0"/>
    <w:rsid w:val="003F0BEE"/>
    <w:rsid w:val="003F4EA2"/>
    <w:rsid w:val="003F52A8"/>
    <w:rsid w:val="003F76FA"/>
    <w:rsid w:val="003F79A4"/>
    <w:rsid w:val="004032C4"/>
    <w:rsid w:val="0040380B"/>
    <w:rsid w:val="00407599"/>
    <w:rsid w:val="004108E6"/>
    <w:rsid w:val="00410CE6"/>
    <w:rsid w:val="0041737A"/>
    <w:rsid w:val="00423167"/>
    <w:rsid w:val="00425D56"/>
    <w:rsid w:val="00430218"/>
    <w:rsid w:val="00430C6F"/>
    <w:rsid w:val="00431879"/>
    <w:rsid w:val="004626F0"/>
    <w:rsid w:val="004645BF"/>
    <w:rsid w:val="0046602B"/>
    <w:rsid w:val="00470383"/>
    <w:rsid w:val="00472D04"/>
    <w:rsid w:val="0047741B"/>
    <w:rsid w:val="0048124E"/>
    <w:rsid w:val="00481DD2"/>
    <w:rsid w:val="00486E9D"/>
    <w:rsid w:val="004873CE"/>
    <w:rsid w:val="00495FC1"/>
    <w:rsid w:val="004973C9"/>
    <w:rsid w:val="004A3710"/>
    <w:rsid w:val="004B09D6"/>
    <w:rsid w:val="004B0C45"/>
    <w:rsid w:val="004B2CE3"/>
    <w:rsid w:val="004B2F70"/>
    <w:rsid w:val="004B318E"/>
    <w:rsid w:val="004C0341"/>
    <w:rsid w:val="004C122E"/>
    <w:rsid w:val="004C255F"/>
    <w:rsid w:val="004C33A9"/>
    <w:rsid w:val="004C76E9"/>
    <w:rsid w:val="004D296C"/>
    <w:rsid w:val="004D6D41"/>
    <w:rsid w:val="004E30CE"/>
    <w:rsid w:val="004E4395"/>
    <w:rsid w:val="004E555A"/>
    <w:rsid w:val="004E6681"/>
    <w:rsid w:val="004E69F6"/>
    <w:rsid w:val="004F2F44"/>
    <w:rsid w:val="004F330D"/>
    <w:rsid w:val="004F6B52"/>
    <w:rsid w:val="005054D8"/>
    <w:rsid w:val="0050641D"/>
    <w:rsid w:val="00506EF6"/>
    <w:rsid w:val="005073A1"/>
    <w:rsid w:val="00507C73"/>
    <w:rsid w:val="00510846"/>
    <w:rsid w:val="005114FE"/>
    <w:rsid w:val="00516545"/>
    <w:rsid w:val="00516DDF"/>
    <w:rsid w:val="00521DA1"/>
    <w:rsid w:val="0052444C"/>
    <w:rsid w:val="005245C4"/>
    <w:rsid w:val="00531DB4"/>
    <w:rsid w:val="005322E3"/>
    <w:rsid w:val="00534001"/>
    <w:rsid w:val="00534E22"/>
    <w:rsid w:val="00542B50"/>
    <w:rsid w:val="00543C78"/>
    <w:rsid w:val="00546152"/>
    <w:rsid w:val="00547465"/>
    <w:rsid w:val="00547E53"/>
    <w:rsid w:val="005548CE"/>
    <w:rsid w:val="00562AF6"/>
    <w:rsid w:val="005652B7"/>
    <w:rsid w:val="0056599D"/>
    <w:rsid w:val="00566AD4"/>
    <w:rsid w:val="00567DF9"/>
    <w:rsid w:val="00570C13"/>
    <w:rsid w:val="00581ABC"/>
    <w:rsid w:val="0058308C"/>
    <w:rsid w:val="005940E8"/>
    <w:rsid w:val="00596DE7"/>
    <w:rsid w:val="00597FCE"/>
    <w:rsid w:val="005A05A5"/>
    <w:rsid w:val="005A0A79"/>
    <w:rsid w:val="005A2740"/>
    <w:rsid w:val="005A5917"/>
    <w:rsid w:val="005A5A08"/>
    <w:rsid w:val="005B0EB9"/>
    <w:rsid w:val="005B50FC"/>
    <w:rsid w:val="005B5EAA"/>
    <w:rsid w:val="005C04EF"/>
    <w:rsid w:val="005C26C1"/>
    <w:rsid w:val="005C3CF9"/>
    <w:rsid w:val="005C420D"/>
    <w:rsid w:val="005D526B"/>
    <w:rsid w:val="005E320B"/>
    <w:rsid w:val="005E6FDA"/>
    <w:rsid w:val="00606C67"/>
    <w:rsid w:val="00611BA2"/>
    <w:rsid w:val="00614CE7"/>
    <w:rsid w:val="00616775"/>
    <w:rsid w:val="0061798A"/>
    <w:rsid w:val="006217FB"/>
    <w:rsid w:val="00621B1C"/>
    <w:rsid w:val="00622484"/>
    <w:rsid w:val="00622BD6"/>
    <w:rsid w:val="0062437C"/>
    <w:rsid w:val="00630DCA"/>
    <w:rsid w:val="006321E3"/>
    <w:rsid w:val="00633BA2"/>
    <w:rsid w:val="00633D8B"/>
    <w:rsid w:val="00644DC8"/>
    <w:rsid w:val="006466F2"/>
    <w:rsid w:val="006533FA"/>
    <w:rsid w:val="00662278"/>
    <w:rsid w:val="00666955"/>
    <w:rsid w:val="00667E52"/>
    <w:rsid w:val="00667EF6"/>
    <w:rsid w:val="00672423"/>
    <w:rsid w:val="0067245B"/>
    <w:rsid w:val="00676342"/>
    <w:rsid w:val="00685ECD"/>
    <w:rsid w:val="00686DDF"/>
    <w:rsid w:val="0069057D"/>
    <w:rsid w:val="00697066"/>
    <w:rsid w:val="006A1CD8"/>
    <w:rsid w:val="006A5174"/>
    <w:rsid w:val="006A518F"/>
    <w:rsid w:val="006B36E0"/>
    <w:rsid w:val="006B37FF"/>
    <w:rsid w:val="006B55D3"/>
    <w:rsid w:val="006B6803"/>
    <w:rsid w:val="006D057B"/>
    <w:rsid w:val="006D0E89"/>
    <w:rsid w:val="006D497A"/>
    <w:rsid w:val="006D5386"/>
    <w:rsid w:val="006E1EDD"/>
    <w:rsid w:val="006E2205"/>
    <w:rsid w:val="006E4181"/>
    <w:rsid w:val="006E5E4E"/>
    <w:rsid w:val="006F184D"/>
    <w:rsid w:val="007009ED"/>
    <w:rsid w:val="00705230"/>
    <w:rsid w:val="00710B92"/>
    <w:rsid w:val="007113FB"/>
    <w:rsid w:val="00713668"/>
    <w:rsid w:val="00714BB7"/>
    <w:rsid w:val="00722ED4"/>
    <w:rsid w:val="0072312F"/>
    <w:rsid w:val="00734542"/>
    <w:rsid w:val="00736941"/>
    <w:rsid w:val="00736EB2"/>
    <w:rsid w:val="0074216D"/>
    <w:rsid w:val="00744628"/>
    <w:rsid w:val="00745C1A"/>
    <w:rsid w:val="00746B11"/>
    <w:rsid w:val="00747940"/>
    <w:rsid w:val="00751E35"/>
    <w:rsid w:val="00753D3C"/>
    <w:rsid w:val="007552A7"/>
    <w:rsid w:val="007572A5"/>
    <w:rsid w:val="00761E1F"/>
    <w:rsid w:val="00764331"/>
    <w:rsid w:val="0076606C"/>
    <w:rsid w:val="00767BA3"/>
    <w:rsid w:val="007753A9"/>
    <w:rsid w:val="00782286"/>
    <w:rsid w:val="00784CA5"/>
    <w:rsid w:val="007859A2"/>
    <w:rsid w:val="007910F0"/>
    <w:rsid w:val="00793CBC"/>
    <w:rsid w:val="00794335"/>
    <w:rsid w:val="00797564"/>
    <w:rsid w:val="007A349F"/>
    <w:rsid w:val="007A3DAD"/>
    <w:rsid w:val="007A5D4C"/>
    <w:rsid w:val="007B102B"/>
    <w:rsid w:val="007B2DF6"/>
    <w:rsid w:val="007B41C2"/>
    <w:rsid w:val="007B55F5"/>
    <w:rsid w:val="007C1DD0"/>
    <w:rsid w:val="007C26DB"/>
    <w:rsid w:val="007C304C"/>
    <w:rsid w:val="007C36BA"/>
    <w:rsid w:val="007D44EC"/>
    <w:rsid w:val="007D4512"/>
    <w:rsid w:val="007D70D9"/>
    <w:rsid w:val="007D76D7"/>
    <w:rsid w:val="007E1D4C"/>
    <w:rsid w:val="007E2ACA"/>
    <w:rsid w:val="007E33CA"/>
    <w:rsid w:val="007F112C"/>
    <w:rsid w:val="007F175C"/>
    <w:rsid w:val="007F478A"/>
    <w:rsid w:val="007F492D"/>
    <w:rsid w:val="007F64BD"/>
    <w:rsid w:val="007F70B3"/>
    <w:rsid w:val="007F7D24"/>
    <w:rsid w:val="00800A43"/>
    <w:rsid w:val="00806427"/>
    <w:rsid w:val="00811C1C"/>
    <w:rsid w:val="00812BE2"/>
    <w:rsid w:val="00813036"/>
    <w:rsid w:val="0081678C"/>
    <w:rsid w:val="008310A0"/>
    <w:rsid w:val="0083580C"/>
    <w:rsid w:val="00836FE2"/>
    <w:rsid w:val="00843A15"/>
    <w:rsid w:val="00847B1B"/>
    <w:rsid w:val="00853AF9"/>
    <w:rsid w:val="00854109"/>
    <w:rsid w:val="00856709"/>
    <w:rsid w:val="00863487"/>
    <w:rsid w:val="00863A97"/>
    <w:rsid w:val="0086406F"/>
    <w:rsid w:val="00866651"/>
    <w:rsid w:val="00867899"/>
    <w:rsid w:val="00867E06"/>
    <w:rsid w:val="00871789"/>
    <w:rsid w:val="00871BC8"/>
    <w:rsid w:val="008741BA"/>
    <w:rsid w:val="00883C02"/>
    <w:rsid w:val="0088502F"/>
    <w:rsid w:val="00885F4C"/>
    <w:rsid w:val="008950F1"/>
    <w:rsid w:val="008969E1"/>
    <w:rsid w:val="00897371"/>
    <w:rsid w:val="0089745D"/>
    <w:rsid w:val="008A2586"/>
    <w:rsid w:val="008B00A8"/>
    <w:rsid w:val="008B5B80"/>
    <w:rsid w:val="008C07D4"/>
    <w:rsid w:val="008C0B8E"/>
    <w:rsid w:val="008D1BB3"/>
    <w:rsid w:val="008D2186"/>
    <w:rsid w:val="008D39EF"/>
    <w:rsid w:val="008D4399"/>
    <w:rsid w:val="008D5744"/>
    <w:rsid w:val="00904EC3"/>
    <w:rsid w:val="00907A12"/>
    <w:rsid w:val="009122DC"/>
    <w:rsid w:val="0091461C"/>
    <w:rsid w:val="009242AD"/>
    <w:rsid w:val="00925268"/>
    <w:rsid w:val="009266A1"/>
    <w:rsid w:val="009328E9"/>
    <w:rsid w:val="00934037"/>
    <w:rsid w:val="00941032"/>
    <w:rsid w:val="00941EBB"/>
    <w:rsid w:val="00945DC2"/>
    <w:rsid w:val="00954349"/>
    <w:rsid w:val="0095629B"/>
    <w:rsid w:val="0096060D"/>
    <w:rsid w:val="009657E6"/>
    <w:rsid w:val="00972453"/>
    <w:rsid w:val="00977B36"/>
    <w:rsid w:val="00981CF1"/>
    <w:rsid w:val="0098253C"/>
    <w:rsid w:val="00985E68"/>
    <w:rsid w:val="00990BAD"/>
    <w:rsid w:val="00995AE4"/>
    <w:rsid w:val="009A341A"/>
    <w:rsid w:val="009A5400"/>
    <w:rsid w:val="009A6A03"/>
    <w:rsid w:val="009B3A93"/>
    <w:rsid w:val="009B3DD6"/>
    <w:rsid w:val="009D0671"/>
    <w:rsid w:val="009D2045"/>
    <w:rsid w:val="009D5A87"/>
    <w:rsid w:val="009E0A4B"/>
    <w:rsid w:val="009E2648"/>
    <w:rsid w:val="009E438F"/>
    <w:rsid w:val="009E5ED8"/>
    <w:rsid w:val="009F1DF4"/>
    <w:rsid w:val="009F200F"/>
    <w:rsid w:val="009F2B49"/>
    <w:rsid w:val="009F2C59"/>
    <w:rsid w:val="009F48D6"/>
    <w:rsid w:val="009F71F5"/>
    <w:rsid w:val="00A07502"/>
    <w:rsid w:val="00A11373"/>
    <w:rsid w:val="00A13D30"/>
    <w:rsid w:val="00A17D83"/>
    <w:rsid w:val="00A23057"/>
    <w:rsid w:val="00A23D16"/>
    <w:rsid w:val="00A267B3"/>
    <w:rsid w:val="00A3042F"/>
    <w:rsid w:val="00A31EBB"/>
    <w:rsid w:val="00A338C2"/>
    <w:rsid w:val="00A35CFB"/>
    <w:rsid w:val="00A36019"/>
    <w:rsid w:val="00A41648"/>
    <w:rsid w:val="00A41E47"/>
    <w:rsid w:val="00A42BF1"/>
    <w:rsid w:val="00A433BA"/>
    <w:rsid w:val="00A457C3"/>
    <w:rsid w:val="00A523F5"/>
    <w:rsid w:val="00A53D69"/>
    <w:rsid w:val="00A5611A"/>
    <w:rsid w:val="00A56570"/>
    <w:rsid w:val="00A62378"/>
    <w:rsid w:val="00A63337"/>
    <w:rsid w:val="00A64509"/>
    <w:rsid w:val="00A7338B"/>
    <w:rsid w:val="00A76298"/>
    <w:rsid w:val="00A80BFE"/>
    <w:rsid w:val="00A86F31"/>
    <w:rsid w:val="00A91657"/>
    <w:rsid w:val="00A926CA"/>
    <w:rsid w:val="00A92F8E"/>
    <w:rsid w:val="00A96B44"/>
    <w:rsid w:val="00AA27A3"/>
    <w:rsid w:val="00AA5FC6"/>
    <w:rsid w:val="00AB4D64"/>
    <w:rsid w:val="00AB7799"/>
    <w:rsid w:val="00AC1F99"/>
    <w:rsid w:val="00AC7114"/>
    <w:rsid w:val="00AD0032"/>
    <w:rsid w:val="00AD4683"/>
    <w:rsid w:val="00AD58E5"/>
    <w:rsid w:val="00AD596B"/>
    <w:rsid w:val="00AD5DA5"/>
    <w:rsid w:val="00AD600D"/>
    <w:rsid w:val="00AD6482"/>
    <w:rsid w:val="00AD64E8"/>
    <w:rsid w:val="00AE044D"/>
    <w:rsid w:val="00AE0F3C"/>
    <w:rsid w:val="00AE65FC"/>
    <w:rsid w:val="00AF4113"/>
    <w:rsid w:val="00AF52EC"/>
    <w:rsid w:val="00B017B5"/>
    <w:rsid w:val="00B1034E"/>
    <w:rsid w:val="00B11931"/>
    <w:rsid w:val="00B14CAD"/>
    <w:rsid w:val="00B224A0"/>
    <w:rsid w:val="00B22DD2"/>
    <w:rsid w:val="00B30201"/>
    <w:rsid w:val="00B305FF"/>
    <w:rsid w:val="00B32BB7"/>
    <w:rsid w:val="00B43B2E"/>
    <w:rsid w:val="00B44472"/>
    <w:rsid w:val="00B45976"/>
    <w:rsid w:val="00B50B37"/>
    <w:rsid w:val="00B53587"/>
    <w:rsid w:val="00B53614"/>
    <w:rsid w:val="00B56DFA"/>
    <w:rsid w:val="00B579BE"/>
    <w:rsid w:val="00B61359"/>
    <w:rsid w:val="00B61A83"/>
    <w:rsid w:val="00B65CCD"/>
    <w:rsid w:val="00B727CA"/>
    <w:rsid w:val="00B76F6D"/>
    <w:rsid w:val="00B77BD0"/>
    <w:rsid w:val="00B82143"/>
    <w:rsid w:val="00B85913"/>
    <w:rsid w:val="00B910D1"/>
    <w:rsid w:val="00B93EEC"/>
    <w:rsid w:val="00BA0047"/>
    <w:rsid w:val="00BA1B1E"/>
    <w:rsid w:val="00BB20A1"/>
    <w:rsid w:val="00BB2662"/>
    <w:rsid w:val="00BB3AB0"/>
    <w:rsid w:val="00BB50E1"/>
    <w:rsid w:val="00BC4A4A"/>
    <w:rsid w:val="00BC7626"/>
    <w:rsid w:val="00BC7F42"/>
    <w:rsid w:val="00BD6F2E"/>
    <w:rsid w:val="00BE00C6"/>
    <w:rsid w:val="00BE465B"/>
    <w:rsid w:val="00BE4E5E"/>
    <w:rsid w:val="00BE71F5"/>
    <w:rsid w:val="00BE749A"/>
    <w:rsid w:val="00BE796D"/>
    <w:rsid w:val="00BF041A"/>
    <w:rsid w:val="00BF22C9"/>
    <w:rsid w:val="00BF3840"/>
    <w:rsid w:val="00BF3D6A"/>
    <w:rsid w:val="00C0187B"/>
    <w:rsid w:val="00C01F5E"/>
    <w:rsid w:val="00C0531A"/>
    <w:rsid w:val="00C06323"/>
    <w:rsid w:val="00C07935"/>
    <w:rsid w:val="00C10FF1"/>
    <w:rsid w:val="00C178B8"/>
    <w:rsid w:val="00C21013"/>
    <w:rsid w:val="00C22388"/>
    <w:rsid w:val="00C23471"/>
    <w:rsid w:val="00C2609A"/>
    <w:rsid w:val="00C36DD3"/>
    <w:rsid w:val="00C41658"/>
    <w:rsid w:val="00C42D9B"/>
    <w:rsid w:val="00C4422B"/>
    <w:rsid w:val="00C46D34"/>
    <w:rsid w:val="00C51CBD"/>
    <w:rsid w:val="00C553D1"/>
    <w:rsid w:val="00C60693"/>
    <w:rsid w:val="00C65202"/>
    <w:rsid w:val="00C71232"/>
    <w:rsid w:val="00C75A16"/>
    <w:rsid w:val="00C7673D"/>
    <w:rsid w:val="00C82771"/>
    <w:rsid w:val="00C84701"/>
    <w:rsid w:val="00C878CC"/>
    <w:rsid w:val="00C91AAC"/>
    <w:rsid w:val="00C9686D"/>
    <w:rsid w:val="00CA363A"/>
    <w:rsid w:val="00CB3556"/>
    <w:rsid w:val="00CB4D07"/>
    <w:rsid w:val="00CB5325"/>
    <w:rsid w:val="00CB72DC"/>
    <w:rsid w:val="00CC430F"/>
    <w:rsid w:val="00CD3255"/>
    <w:rsid w:val="00CD3BD1"/>
    <w:rsid w:val="00CD60B1"/>
    <w:rsid w:val="00CD6CA1"/>
    <w:rsid w:val="00CE083C"/>
    <w:rsid w:val="00CE1B7D"/>
    <w:rsid w:val="00CE44EB"/>
    <w:rsid w:val="00CE6236"/>
    <w:rsid w:val="00CF0052"/>
    <w:rsid w:val="00CF00BB"/>
    <w:rsid w:val="00CF1758"/>
    <w:rsid w:val="00CF3AA2"/>
    <w:rsid w:val="00D01358"/>
    <w:rsid w:val="00D02C28"/>
    <w:rsid w:val="00D03870"/>
    <w:rsid w:val="00D1067F"/>
    <w:rsid w:val="00D147F6"/>
    <w:rsid w:val="00D15955"/>
    <w:rsid w:val="00D17D55"/>
    <w:rsid w:val="00D22FF8"/>
    <w:rsid w:val="00D2317A"/>
    <w:rsid w:val="00D31EAF"/>
    <w:rsid w:val="00D3328E"/>
    <w:rsid w:val="00D36DA0"/>
    <w:rsid w:val="00D40B50"/>
    <w:rsid w:val="00D4242D"/>
    <w:rsid w:val="00D44193"/>
    <w:rsid w:val="00D44451"/>
    <w:rsid w:val="00D5235E"/>
    <w:rsid w:val="00D52D78"/>
    <w:rsid w:val="00D539E3"/>
    <w:rsid w:val="00D7414C"/>
    <w:rsid w:val="00D74197"/>
    <w:rsid w:val="00D74BA5"/>
    <w:rsid w:val="00D76AAF"/>
    <w:rsid w:val="00D77C00"/>
    <w:rsid w:val="00D8049E"/>
    <w:rsid w:val="00D82288"/>
    <w:rsid w:val="00D914E5"/>
    <w:rsid w:val="00D93970"/>
    <w:rsid w:val="00D941D0"/>
    <w:rsid w:val="00D94AE5"/>
    <w:rsid w:val="00D95D44"/>
    <w:rsid w:val="00D95F73"/>
    <w:rsid w:val="00DA3946"/>
    <w:rsid w:val="00DA51D6"/>
    <w:rsid w:val="00DA5340"/>
    <w:rsid w:val="00DA5A98"/>
    <w:rsid w:val="00DA5D5F"/>
    <w:rsid w:val="00DA6D23"/>
    <w:rsid w:val="00DB3B15"/>
    <w:rsid w:val="00DB4CCD"/>
    <w:rsid w:val="00DB564D"/>
    <w:rsid w:val="00DD04CE"/>
    <w:rsid w:val="00DD5702"/>
    <w:rsid w:val="00DF20B4"/>
    <w:rsid w:val="00DF335E"/>
    <w:rsid w:val="00DF463F"/>
    <w:rsid w:val="00DF5714"/>
    <w:rsid w:val="00DF741F"/>
    <w:rsid w:val="00E02736"/>
    <w:rsid w:val="00E027A5"/>
    <w:rsid w:val="00E049F1"/>
    <w:rsid w:val="00E06978"/>
    <w:rsid w:val="00E11620"/>
    <w:rsid w:val="00E12790"/>
    <w:rsid w:val="00E13FB0"/>
    <w:rsid w:val="00E15871"/>
    <w:rsid w:val="00E2158D"/>
    <w:rsid w:val="00E21809"/>
    <w:rsid w:val="00E2232B"/>
    <w:rsid w:val="00E227D3"/>
    <w:rsid w:val="00E24330"/>
    <w:rsid w:val="00E32884"/>
    <w:rsid w:val="00E34E32"/>
    <w:rsid w:val="00E35B35"/>
    <w:rsid w:val="00E40A9C"/>
    <w:rsid w:val="00E40E9E"/>
    <w:rsid w:val="00E411EF"/>
    <w:rsid w:val="00E4449F"/>
    <w:rsid w:val="00E570C6"/>
    <w:rsid w:val="00E67532"/>
    <w:rsid w:val="00E7081F"/>
    <w:rsid w:val="00E708DB"/>
    <w:rsid w:val="00E7358B"/>
    <w:rsid w:val="00E74142"/>
    <w:rsid w:val="00E8159E"/>
    <w:rsid w:val="00E822A0"/>
    <w:rsid w:val="00E8249F"/>
    <w:rsid w:val="00E8567B"/>
    <w:rsid w:val="00E86764"/>
    <w:rsid w:val="00E96BB5"/>
    <w:rsid w:val="00EA03A4"/>
    <w:rsid w:val="00EA418E"/>
    <w:rsid w:val="00EA686C"/>
    <w:rsid w:val="00EA6E42"/>
    <w:rsid w:val="00EB08A2"/>
    <w:rsid w:val="00EB1144"/>
    <w:rsid w:val="00EB4035"/>
    <w:rsid w:val="00EC0C95"/>
    <w:rsid w:val="00EC1437"/>
    <w:rsid w:val="00ED1DC0"/>
    <w:rsid w:val="00ED3C0C"/>
    <w:rsid w:val="00ED3C4E"/>
    <w:rsid w:val="00ED6DF8"/>
    <w:rsid w:val="00ED6E1A"/>
    <w:rsid w:val="00EE1B32"/>
    <w:rsid w:val="00EF031B"/>
    <w:rsid w:val="00EF1211"/>
    <w:rsid w:val="00EF1B50"/>
    <w:rsid w:val="00EF4944"/>
    <w:rsid w:val="00F04CDF"/>
    <w:rsid w:val="00F066EB"/>
    <w:rsid w:val="00F069C6"/>
    <w:rsid w:val="00F10288"/>
    <w:rsid w:val="00F13250"/>
    <w:rsid w:val="00F14046"/>
    <w:rsid w:val="00F17B49"/>
    <w:rsid w:val="00F2210D"/>
    <w:rsid w:val="00F30A61"/>
    <w:rsid w:val="00F31511"/>
    <w:rsid w:val="00F37315"/>
    <w:rsid w:val="00F37FC5"/>
    <w:rsid w:val="00F47571"/>
    <w:rsid w:val="00F5174B"/>
    <w:rsid w:val="00F54A42"/>
    <w:rsid w:val="00F55CA1"/>
    <w:rsid w:val="00F57B69"/>
    <w:rsid w:val="00F66180"/>
    <w:rsid w:val="00F67727"/>
    <w:rsid w:val="00F83854"/>
    <w:rsid w:val="00F902A5"/>
    <w:rsid w:val="00F91D7E"/>
    <w:rsid w:val="00F92CF8"/>
    <w:rsid w:val="00F92DA1"/>
    <w:rsid w:val="00F92E9C"/>
    <w:rsid w:val="00F952EB"/>
    <w:rsid w:val="00F97ABF"/>
    <w:rsid w:val="00FA78E3"/>
    <w:rsid w:val="00FB2ED3"/>
    <w:rsid w:val="00FB5114"/>
    <w:rsid w:val="00FC0F69"/>
    <w:rsid w:val="00FC262F"/>
    <w:rsid w:val="00FC3340"/>
    <w:rsid w:val="00FC515B"/>
    <w:rsid w:val="00FC72EA"/>
    <w:rsid w:val="00FC7520"/>
    <w:rsid w:val="00FD015D"/>
    <w:rsid w:val="00FD2F79"/>
    <w:rsid w:val="00FD3B52"/>
    <w:rsid w:val="00FD4A44"/>
    <w:rsid w:val="00FD4BB7"/>
    <w:rsid w:val="00FE58B9"/>
    <w:rsid w:val="00FE5DD6"/>
    <w:rsid w:val="00FF0873"/>
    <w:rsid w:val="00FF16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CB0AA8"/>
  <w15:docId w15:val="{24464A19-8954-42AF-A399-082DA57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link w:val="NoSpacingChar"/>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 w:type="character" w:customStyle="1" w:styleId="NoSpacingChar">
    <w:name w:val="No Spacing Char"/>
    <w:link w:val="NoSpacing"/>
    <w:uiPriority w:val="1"/>
    <w:rsid w:val="00B53614"/>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legislation/2022factsheet.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Notes0 xmlns="f4d17a78-76d1-4ed6-89ac-5342528bb5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CC209759A13246AFFDE70159E57891" ma:contentTypeVersion="18" ma:contentTypeDescription="Create a new document." ma:contentTypeScope="" ma:versionID="8382cf07d67fefdc49611c79e5f44de6">
  <xsd:schema xmlns:xsd="http://www.w3.org/2001/XMLSchema" xmlns:xs="http://www.w3.org/2001/XMLSchema" xmlns:p="http://schemas.microsoft.com/office/2006/metadata/properties" xmlns:ns2="f4d17a78-76d1-4ed6-89ac-5342528bb5e5" xmlns:ns3="8b0b9b52-b17a-45d4-b350-579685156312" targetNamespace="http://schemas.microsoft.com/office/2006/metadata/properties" ma:root="true" ma:fieldsID="d86e0589a8fa134b5edb9c24dbb95140" ns2:_="" ns3:_="">
    <xsd:import namespace="f4d17a78-76d1-4ed6-89ac-5342528bb5e5"/>
    <xsd:import namespace="8b0b9b52-b17a-45d4-b350-579685156312"/>
    <xsd:element name="properties">
      <xsd:complexType>
        <xsd:sequence>
          <xsd:element name="documentManagement">
            <xsd:complexType>
              <xsd:all>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17a78-76d1-4ed6-89ac-5342528bb5e5"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b9b52-b17a-45d4-b350-579685156312"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459CC-C94C-4927-84C1-8C0FA1AB6AE3}">
  <ds:schemaRefs>
    <ds:schemaRef ds:uri="http://schemas.microsoft.com/sharepoint/events"/>
  </ds:schemaRefs>
</ds:datastoreItem>
</file>

<file path=customXml/itemProps2.xml><?xml version="1.0" encoding="utf-8"?>
<ds:datastoreItem xmlns:ds="http://schemas.openxmlformats.org/officeDocument/2006/customXml" ds:itemID="{390E2176-EF32-4E12-B7BB-977AC1F027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f4d17a78-76d1-4ed6-89ac-5342528bb5e5"/>
  </ds:schemaRefs>
</ds:datastoreItem>
</file>

<file path=customXml/itemProps3.xml><?xml version="1.0" encoding="utf-8"?>
<ds:datastoreItem xmlns:ds="http://schemas.openxmlformats.org/officeDocument/2006/customXml" ds:itemID="{0EBFAB8B-FC0C-4E26-A876-0331BDD4C494}">
  <ds:schemaRefs>
    <ds:schemaRef ds:uri="http://schemas.microsoft.com/sharepoint/v3/contenttype/forms"/>
  </ds:schemaRefs>
</ds:datastoreItem>
</file>

<file path=customXml/itemProps4.xml><?xml version="1.0" encoding="utf-8"?>
<ds:datastoreItem xmlns:ds="http://schemas.openxmlformats.org/officeDocument/2006/customXml" ds:itemID="{AACA0BA2-5D22-4057-9804-598F9FD2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17a78-76d1-4ed6-89ac-5342528bb5e5"/>
    <ds:schemaRef ds:uri="8b0b9b52-b17a-45d4-b350-57968515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15340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Preferred Customer</dc:creator>
  <cp:lastModifiedBy>SSA Response</cp:lastModifiedBy>
  <cp:revision>2</cp:revision>
  <cp:lastPrinted>2013-04-12T13:45:00Z</cp:lastPrinted>
  <dcterms:created xsi:type="dcterms:W3CDTF">2022-10-17T17:08:00Z</dcterms:created>
  <dcterms:modified xsi:type="dcterms:W3CDTF">2022-10-17T17:08:00Z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0x010100E5CC209759A13246AFFDE70159E57891</vt:lpwstr>
  </property>
  <property fmtid="{D5CDD505-2E9C-101B-9397-08002B2CF9AE}" pid="3" name="_AdHocReviewCycleID">
    <vt:i4>-1506275785</vt:i4>
  </property>
  <property fmtid="{D5CDD505-2E9C-101B-9397-08002B2CF9AE}" pid="4" name="_AuthorEmail">
    <vt:lpwstr>Naomi.Sipple@ssa.gov</vt:lpwstr>
  </property>
  <property fmtid="{D5CDD505-2E9C-101B-9397-08002B2CF9AE}" pid="5" name="_AuthorEmailDisplayName">
    <vt:lpwstr>Sipple, Naomi</vt:lpwstr>
  </property>
  <property fmtid="{D5CDD505-2E9C-101B-9397-08002B2CF9AE}" pid="6" name="_dlc_DocId">
    <vt:lpwstr>AEZT4Z3ZM2DA-459227393-1940</vt:lpwstr>
  </property>
  <property fmtid="{D5CDD505-2E9C-101B-9397-08002B2CF9AE}" pid="7" name="_dlc_DocIdItemGuid">
    <vt:lpwstr>e911128f-519b-4412-be73-6276777f5aea</vt:lpwstr>
  </property>
  <property fmtid="{D5CDD505-2E9C-101B-9397-08002B2CF9AE}" pid="8" name="_dlc_DocIdUrl">
    <vt:lpwstr>https://socialsecuritygov.sharepoint.com/sites/ModCollaboration-8cfe0/_layouts/15/DocIdRedir.aspx?ID=AEZT4Z3ZM2DA-459227393-1940, AEZT4Z3ZM2DA-459227393-1940</vt:lpwstr>
  </property>
  <property fmtid="{D5CDD505-2E9C-101B-9397-08002B2CF9AE}" pid="9" name="_EmailSubject">
    <vt:lpwstr>Final ICRs</vt:lpwstr>
  </property>
  <property fmtid="{D5CDD505-2E9C-101B-9397-08002B2CF9AE}" pid="10" name="_NewReviewCycle">
    <vt:lpwstr/>
  </property>
  <property fmtid="{D5CDD505-2E9C-101B-9397-08002B2CF9AE}" pid="11" name="_PreviousAdHocReviewCycleID">
    <vt:i4>-1113632672</vt:i4>
  </property>
  <property fmtid="{D5CDD505-2E9C-101B-9397-08002B2CF9AE}" pid="12" name="_ReviewingToolsShownOnce">
    <vt:lpwstr/>
  </property>
</Properties>
</file>