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097" w:rsidP="000F3097" w:rsidRDefault="000F3097" w14:paraId="59372A58" w14:textId="77777777">
      <w:pPr>
        <w:pStyle w:val="H2"/>
        <w:spacing w:before="0" w:after="0"/>
        <w:jc w:val="center"/>
        <w:rPr>
          <w:rStyle w:val="CommentReference"/>
          <w:rFonts w:eastAsiaTheme="minorHAnsi" w:cstheme="minorBidi"/>
          <w:caps w:val="0"/>
          <w:sz w:val="24"/>
          <w:szCs w:val="24"/>
        </w:rPr>
      </w:pPr>
      <w:r w:rsidRPr="000F3097">
        <w:t>S</w:t>
      </w:r>
      <w:r w:rsidRPr="000F3097">
        <w:rPr>
          <w:rStyle w:val="CommentReference"/>
          <w:rFonts w:eastAsiaTheme="minorHAnsi" w:cstheme="minorBidi"/>
          <w:caps w:val="0"/>
          <w:sz w:val="24"/>
          <w:szCs w:val="24"/>
        </w:rPr>
        <w:t xml:space="preserve">upporting Statement Part B For </w:t>
      </w:r>
    </w:p>
    <w:p w:rsidR="00632EC1" w:rsidP="000F3097" w:rsidRDefault="000F3097" w14:paraId="65125EF3" w14:textId="07BF83FD">
      <w:pPr>
        <w:pStyle w:val="H2"/>
        <w:spacing w:before="0" w:after="0"/>
        <w:jc w:val="center"/>
        <w:rPr>
          <w:rStyle w:val="CommentReference"/>
          <w:rFonts w:eastAsiaTheme="minorHAnsi" w:cstheme="minorBidi"/>
          <w:caps w:val="0"/>
          <w:sz w:val="24"/>
          <w:szCs w:val="24"/>
        </w:rPr>
      </w:pPr>
      <w:r w:rsidRPr="000F3097">
        <w:rPr>
          <w:rStyle w:val="CommentReference"/>
          <w:rFonts w:eastAsiaTheme="minorHAnsi" w:cstheme="minorBidi"/>
          <w:caps w:val="0"/>
          <w:sz w:val="24"/>
          <w:szCs w:val="24"/>
        </w:rPr>
        <w:t>National Beneficiary Survey (Round 8)</w:t>
      </w:r>
    </w:p>
    <w:p w:rsidR="000F3097" w:rsidP="000F3097" w:rsidRDefault="000F3097" w14:paraId="7C949AAC" w14:textId="10DF36F0">
      <w:pPr>
        <w:pStyle w:val="ParagraphContinued"/>
        <w:spacing w:before="0" w:after="0"/>
        <w:jc w:val="center"/>
        <w:rPr>
          <w:rFonts w:eastAsiaTheme="majorEastAsia" w:cstheme="majorBidi"/>
          <w:b/>
          <w:caps/>
          <w:szCs w:val="32"/>
        </w:rPr>
      </w:pPr>
      <w:r>
        <w:rPr>
          <w:rFonts w:eastAsiaTheme="majorEastAsia" w:cstheme="majorBidi"/>
          <w:b/>
          <w:caps/>
          <w:szCs w:val="32"/>
        </w:rPr>
        <w:t>OMB No. 0960-NEW</w:t>
      </w:r>
    </w:p>
    <w:p w:rsidR="00F75336" w:rsidP="00D849FD" w:rsidRDefault="00F75336" w14:paraId="0B807265" w14:textId="77777777">
      <w:pPr>
        <w:spacing w:after="0" w:line="240" w:lineRule="auto"/>
        <w:ind w:left="-360"/>
        <w:rPr>
          <w:rFonts w:ascii="Times New Roman" w:hAnsi="Times New Roman" w:cs="Times New Roman"/>
          <w:b/>
          <w:sz w:val="24"/>
          <w:szCs w:val="24"/>
        </w:rPr>
      </w:pPr>
      <w:bookmarkStart w:name="_Toc380999701" w:id="0"/>
      <w:bookmarkStart w:name="_Toc381000023" w:id="1"/>
      <w:bookmarkStart w:name="_Toc101248891" w:id="2"/>
    </w:p>
    <w:p w:rsidRPr="00882328" w:rsidR="00C96522" w:rsidP="00D849FD" w:rsidRDefault="00C96522" w14:paraId="33E93418" w14:textId="722B8B00">
      <w:pPr>
        <w:spacing w:after="0" w:line="240" w:lineRule="auto"/>
        <w:ind w:left="-360"/>
        <w:rPr>
          <w:rFonts w:ascii="Times New Roman" w:hAnsi="Times New Roman" w:cs="Times New Roman"/>
          <w:b/>
          <w:sz w:val="24"/>
          <w:szCs w:val="24"/>
          <w:u w:val="single"/>
        </w:rPr>
      </w:pPr>
      <w:r w:rsidRPr="00882328">
        <w:rPr>
          <w:rFonts w:ascii="Times New Roman" w:hAnsi="Times New Roman" w:cs="Times New Roman"/>
          <w:b/>
          <w:sz w:val="24"/>
          <w:szCs w:val="24"/>
        </w:rPr>
        <w:t xml:space="preserve">B. </w:t>
      </w:r>
      <w:r w:rsidR="00BD61AF">
        <w:rPr>
          <w:rFonts w:ascii="Times New Roman" w:hAnsi="Times New Roman" w:cs="Times New Roman"/>
          <w:b/>
          <w:sz w:val="24"/>
          <w:szCs w:val="24"/>
          <w:u w:val="single"/>
        </w:rPr>
        <w:t xml:space="preserve"> </w:t>
      </w:r>
      <w:r w:rsidRPr="00882328">
        <w:rPr>
          <w:rFonts w:ascii="Times New Roman" w:hAnsi="Times New Roman" w:cs="Times New Roman"/>
          <w:b/>
          <w:sz w:val="24"/>
          <w:szCs w:val="24"/>
          <w:u w:val="single"/>
        </w:rPr>
        <w:t>Collections of Information Employing Statistical Methods</w:t>
      </w:r>
    </w:p>
    <w:p w:rsidR="00602A76" w:rsidP="005B078C" w:rsidRDefault="00602A76" w14:paraId="665390D6" w14:textId="6FDB5841">
      <w:pPr>
        <w:pStyle w:val="NormalSS"/>
        <w:tabs>
          <w:tab w:val="clear" w:pos="432"/>
          <w:tab w:val="left" w:pos="270"/>
        </w:tabs>
        <w:spacing w:after="0"/>
        <w:ind w:firstLine="0"/>
        <w:jc w:val="left"/>
        <w:rPr>
          <w:rFonts w:ascii="Times New Roman" w:hAnsi="Times New Roman"/>
        </w:rPr>
      </w:pPr>
      <w:bookmarkStart w:name="_Toc233197210" w:id="3"/>
      <w:bookmarkEnd w:id="0"/>
      <w:bookmarkEnd w:id="1"/>
      <w:bookmarkEnd w:id="2"/>
      <w:r w:rsidRPr="00585DAE">
        <w:rPr>
          <w:rFonts w:ascii="Times New Roman" w:hAnsi="Times New Roman"/>
        </w:rPr>
        <w:t xml:space="preserve">The </w:t>
      </w:r>
      <w:r>
        <w:rPr>
          <w:rFonts w:ascii="Times New Roman" w:hAnsi="Times New Roman"/>
        </w:rPr>
        <w:t>primary purpose of the NBS</w:t>
      </w:r>
      <w:r w:rsidRPr="00585DAE">
        <w:rPr>
          <w:rFonts w:ascii="Times New Roman" w:hAnsi="Times New Roman"/>
        </w:rPr>
        <w:t xml:space="preserve"> is to assess beneficiary well-being and interest in work</w:t>
      </w:r>
      <w:r>
        <w:rPr>
          <w:rFonts w:ascii="Times New Roman" w:hAnsi="Times New Roman"/>
        </w:rPr>
        <w:t>,</w:t>
      </w:r>
      <w:r w:rsidRPr="00585DAE">
        <w:rPr>
          <w:rFonts w:ascii="Times New Roman" w:hAnsi="Times New Roman"/>
        </w:rPr>
        <w:t xml:space="preserve"> learn about their work experiences</w:t>
      </w:r>
      <w:r>
        <w:rPr>
          <w:rFonts w:ascii="Times New Roman" w:hAnsi="Times New Roman"/>
        </w:rPr>
        <w:t>,</w:t>
      </w:r>
      <w:r w:rsidRPr="00585DAE">
        <w:rPr>
          <w:rFonts w:ascii="Times New Roman" w:hAnsi="Times New Roman"/>
        </w:rPr>
        <w:t xml:space="preserve"> and identify how factors such as health</w:t>
      </w:r>
      <w:r>
        <w:rPr>
          <w:rFonts w:ascii="Times New Roman" w:hAnsi="Times New Roman"/>
        </w:rPr>
        <w:t>;</w:t>
      </w:r>
      <w:r w:rsidRPr="00585DAE">
        <w:rPr>
          <w:rFonts w:ascii="Times New Roman" w:hAnsi="Times New Roman"/>
        </w:rPr>
        <w:t xml:space="preserve"> living arrangements</w:t>
      </w:r>
      <w:r>
        <w:rPr>
          <w:rFonts w:ascii="Times New Roman" w:hAnsi="Times New Roman"/>
        </w:rPr>
        <w:t>;</w:t>
      </w:r>
      <w:r w:rsidRPr="00585DAE">
        <w:rPr>
          <w:rFonts w:ascii="Times New Roman" w:hAnsi="Times New Roman"/>
        </w:rPr>
        <w:t xml:space="preserve"> family structure</w:t>
      </w:r>
      <w:r>
        <w:rPr>
          <w:rFonts w:ascii="Times New Roman" w:hAnsi="Times New Roman"/>
        </w:rPr>
        <w:t xml:space="preserve">; </w:t>
      </w:r>
      <w:r w:rsidRPr="00585DAE">
        <w:rPr>
          <w:rFonts w:ascii="Times New Roman" w:hAnsi="Times New Roman"/>
        </w:rPr>
        <w:t>pre-disability occupation</w:t>
      </w:r>
      <w:r>
        <w:rPr>
          <w:rFonts w:ascii="Times New Roman" w:hAnsi="Times New Roman"/>
        </w:rPr>
        <w:t>s;</w:t>
      </w:r>
      <w:r w:rsidRPr="00585DAE">
        <w:rPr>
          <w:rFonts w:ascii="Times New Roman" w:hAnsi="Times New Roman"/>
        </w:rPr>
        <w:t xml:space="preserve"> use of non-SSA programs</w:t>
      </w:r>
      <w:r>
        <w:rPr>
          <w:rFonts w:ascii="Times New Roman" w:hAnsi="Times New Roman"/>
        </w:rPr>
        <w:t>;</w:t>
      </w:r>
      <w:r w:rsidRPr="00585DAE">
        <w:rPr>
          <w:rFonts w:ascii="Times New Roman" w:hAnsi="Times New Roman"/>
        </w:rPr>
        <w:t xml:space="preserve"> obstacles to work</w:t>
      </w:r>
      <w:r>
        <w:rPr>
          <w:rFonts w:ascii="Times New Roman" w:hAnsi="Times New Roman"/>
        </w:rPr>
        <w:t>; beneficiary interest</w:t>
      </w:r>
      <w:r w:rsidRPr="00585DAE">
        <w:rPr>
          <w:rFonts w:ascii="Times New Roman" w:hAnsi="Times New Roman"/>
        </w:rPr>
        <w:t xml:space="preserve"> to return to work</w:t>
      </w:r>
      <w:r>
        <w:rPr>
          <w:rFonts w:ascii="Times New Roman" w:hAnsi="Times New Roman"/>
        </w:rPr>
        <w:t>;</w:t>
      </w:r>
      <w:r w:rsidRPr="00585DAE">
        <w:rPr>
          <w:rFonts w:ascii="Times New Roman" w:hAnsi="Times New Roman"/>
        </w:rPr>
        <w:t xml:space="preserve"> </w:t>
      </w:r>
      <w:r>
        <w:rPr>
          <w:rFonts w:ascii="Times New Roman" w:hAnsi="Times New Roman"/>
        </w:rPr>
        <w:t xml:space="preserve">and </w:t>
      </w:r>
      <w:r w:rsidRPr="00585DAE">
        <w:rPr>
          <w:rFonts w:ascii="Times New Roman" w:hAnsi="Times New Roman"/>
        </w:rPr>
        <w:t xml:space="preserve">knowledge of </w:t>
      </w:r>
      <w:r>
        <w:rPr>
          <w:rFonts w:ascii="Times New Roman" w:hAnsi="Times New Roman"/>
        </w:rPr>
        <w:t xml:space="preserve">SSDI and </w:t>
      </w:r>
      <w:r w:rsidRPr="00585DAE">
        <w:rPr>
          <w:rFonts w:ascii="Times New Roman" w:hAnsi="Times New Roman"/>
        </w:rPr>
        <w:t xml:space="preserve">SSI work incentive programs promote or </w:t>
      </w:r>
      <w:r>
        <w:rPr>
          <w:rFonts w:ascii="Times New Roman" w:hAnsi="Times New Roman"/>
        </w:rPr>
        <w:t>hamper</w:t>
      </w:r>
      <w:r w:rsidRPr="00585DAE">
        <w:rPr>
          <w:rFonts w:ascii="Times New Roman" w:hAnsi="Times New Roman"/>
        </w:rPr>
        <w:t xml:space="preserve"> long-term work success</w:t>
      </w:r>
      <w:r>
        <w:rPr>
          <w:rFonts w:ascii="Times New Roman" w:hAnsi="Times New Roman"/>
        </w:rPr>
        <w:t xml:space="preserve">. </w:t>
      </w:r>
      <w:r w:rsidR="00D849FD">
        <w:rPr>
          <w:rFonts w:ascii="Times New Roman" w:hAnsi="Times New Roman"/>
        </w:rPr>
        <w:t xml:space="preserve"> </w:t>
      </w:r>
      <w:r>
        <w:rPr>
          <w:rFonts w:ascii="Times New Roman" w:hAnsi="Times New Roman"/>
        </w:rPr>
        <w:t>Round 8 of the NBS</w:t>
      </w:r>
      <w:r w:rsidRPr="00585DAE">
        <w:rPr>
          <w:rFonts w:ascii="Times New Roman" w:hAnsi="Times New Roman"/>
        </w:rPr>
        <w:t xml:space="preserve"> use</w:t>
      </w:r>
      <w:r>
        <w:rPr>
          <w:rFonts w:ascii="Times New Roman" w:hAnsi="Times New Roman"/>
        </w:rPr>
        <w:t>s</w:t>
      </w:r>
      <w:r w:rsidRPr="00585DAE">
        <w:rPr>
          <w:rFonts w:ascii="Times New Roman" w:hAnsi="Times New Roman"/>
        </w:rPr>
        <w:t xml:space="preserve"> a sample design similar to that used for </w:t>
      </w:r>
      <w:r>
        <w:rPr>
          <w:rFonts w:ascii="Times New Roman" w:hAnsi="Times New Roman"/>
        </w:rPr>
        <w:t xml:space="preserve">the seven previous rounds of the </w:t>
      </w:r>
      <w:r w:rsidRPr="00585DAE">
        <w:rPr>
          <w:rFonts w:ascii="Times New Roman" w:hAnsi="Times New Roman"/>
        </w:rPr>
        <w:t>NBS (conducted by SSA in 2004, 2005, 2006, 2010</w:t>
      </w:r>
      <w:r>
        <w:rPr>
          <w:rFonts w:ascii="Times New Roman" w:hAnsi="Times New Roman"/>
        </w:rPr>
        <w:t>, 2015, 2017, and 2019</w:t>
      </w:r>
      <w:r w:rsidRPr="00585DAE">
        <w:rPr>
          <w:rFonts w:ascii="Times New Roman" w:hAnsi="Times New Roman"/>
        </w:rPr>
        <w:t>).</w:t>
      </w:r>
      <w:r>
        <w:rPr>
          <w:rFonts w:ascii="Times New Roman" w:hAnsi="Times New Roman"/>
        </w:rPr>
        <w:t xml:space="preserve"> </w:t>
      </w:r>
      <w:r w:rsidR="00D849FD">
        <w:rPr>
          <w:rFonts w:ascii="Times New Roman" w:hAnsi="Times New Roman"/>
        </w:rPr>
        <w:t xml:space="preserve"> </w:t>
      </w:r>
      <w:r w:rsidRPr="00585DAE">
        <w:rPr>
          <w:rFonts w:ascii="Times New Roman" w:hAnsi="Times New Roman"/>
        </w:rPr>
        <w:t>The NBS</w:t>
      </w:r>
      <w:r>
        <w:rPr>
          <w:rFonts w:ascii="Times New Roman" w:hAnsi="Times New Roman"/>
        </w:rPr>
        <w:t xml:space="preserve"> </w:t>
      </w:r>
      <w:r w:rsidRPr="00585DAE">
        <w:rPr>
          <w:rFonts w:ascii="Times New Roman" w:hAnsi="Times New Roman"/>
        </w:rPr>
        <w:t>design</w:t>
      </w:r>
      <w:r>
        <w:rPr>
          <w:rFonts w:ascii="Times New Roman" w:hAnsi="Times New Roman"/>
        </w:rPr>
        <w:t xml:space="preserve"> uses</w:t>
      </w:r>
      <w:r w:rsidRPr="00585DAE">
        <w:rPr>
          <w:rFonts w:ascii="Times New Roman" w:hAnsi="Times New Roman"/>
        </w:rPr>
        <w:t xml:space="preserve"> a dual</w:t>
      </w:r>
      <w:r>
        <w:rPr>
          <w:rFonts w:ascii="Times New Roman" w:hAnsi="Times New Roman"/>
        </w:rPr>
        <w:t>-</w:t>
      </w:r>
      <w:r w:rsidRPr="00585DAE">
        <w:rPr>
          <w:rFonts w:ascii="Times New Roman" w:hAnsi="Times New Roman"/>
        </w:rPr>
        <w:t>mode survey</w:t>
      </w:r>
      <w:r>
        <w:rPr>
          <w:rFonts w:ascii="Times New Roman" w:hAnsi="Times New Roman"/>
        </w:rPr>
        <w:t xml:space="preserve"> to</w:t>
      </w:r>
      <w:r w:rsidRPr="00585DAE">
        <w:rPr>
          <w:rFonts w:ascii="Times New Roman" w:hAnsi="Times New Roman"/>
        </w:rPr>
        <w:t xml:space="preserve"> </w:t>
      </w:r>
      <w:r>
        <w:rPr>
          <w:rFonts w:ascii="Times New Roman" w:hAnsi="Times New Roman"/>
        </w:rPr>
        <w:t>collect data</w:t>
      </w:r>
      <w:r w:rsidRPr="00585DAE">
        <w:rPr>
          <w:rFonts w:ascii="Times New Roman" w:hAnsi="Times New Roman"/>
        </w:rPr>
        <w:t xml:space="preserve"> primarily using </w:t>
      </w:r>
      <w:r w:rsidRPr="000213DD">
        <w:rPr>
          <w:rFonts w:ascii="Times New Roman" w:hAnsi="Times New Roman"/>
        </w:rPr>
        <w:t>computer-assisted telephone interviewing (CATI) and computer-assisted personal interviewing (CAPI)</w:t>
      </w:r>
      <w:r w:rsidRPr="00585DAE">
        <w:rPr>
          <w:rFonts w:ascii="Times New Roman" w:hAnsi="Times New Roman"/>
        </w:rPr>
        <w:t xml:space="preserve"> for those who request or require an in-person interview to facilitate the</w:t>
      </w:r>
      <w:r>
        <w:rPr>
          <w:rFonts w:ascii="Times New Roman" w:hAnsi="Times New Roman"/>
        </w:rPr>
        <w:t>ir participation in the survey.</w:t>
      </w:r>
      <w:r w:rsidR="00D849FD">
        <w:rPr>
          <w:rFonts w:ascii="Times New Roman" w:hAnsi="Times New Roman"/>
        </w:rPr>
        <w:t xml:space="preserve"> </w:t>
      </w:r>
      <w:r>
        <w:rPr>
          <w:rFonts w:ascii="Times New Roman" w:hAnsi="Times New Roman"/>
        </w:rPr>
        <w:t xml:space="preserve"> </w:t>
      </w:r>
      <w:r w:rsidRPr="00585DAE">
        <w:rPr>
          <w:rFonts w:ascii="Times New Roman" w:hAnsi="Times New Roman"/>
        </w:rPr>
        <w:t>The survey instrument will be identical in e</w:t>
      </w:r>
      <w:r>
        <w:rPr>
          <w:rFonts w:ascii="Times New Roman" w:hAnsi="Times New Roman"/>
        </w:rPr>
        <w:t xml:space="preserve">ach mode. </w:t>
      </w:r>
      <w:r w:rsidRPr="00585DAE">
        <w:rPr>
          <w:rFonts w:ascii="Times New Roman" w:hAnsi="Times New Roman"/>
        </w:rPr>
        <w:t xml:space="preserve">In all cases, </w:t>
      </w:r>
      <w:r>
        <w:rPr>
          <w:rFonts w:ascii="Times New Roman" w:hAnsi="Times New Roman"/>
        </w:rPr>
        <w:t xml:space="preserve">we will attempt to interview the sample person. </w:t>
      </w:r>
      <w:r w:rsidR="00D849FD">
        <w:rPr>
          <w:rFonts w:ascii="Times New Roman" w:hAnsi="Times New Roman"/>
        </w:rPr>
        <w:t xml:space="preserve"> SSA</w:t>
      </w:r>
      <w:r>
        <w:rPr>
          <w:rFonts w:ascii="Times New Roman" w:hAnsi="Times New Roman"/>
        </w:rPr>
        <w:t xml:space="preserve"> will seek a proxy respondent only if the </w:t>
      </w:r>
      <w:r w:rsidRPr="00585DAE">
        <w:rPr>
          <w:rFonts w:ascii="Times New Roman" w:hAnsi="Times New Roman"/>
        </w:rPr>
        <w:t xml:space="preserve">sample </w:t>
      </w:r>
      <w:r w:rsidRPr="00585DAE" w:rsidR="008450AE">
        <w:rPr>
          <w:rFonts w:ascii="Times New Roman" w:hAnsi="Times New Roman"/>
        </w:rPr>
        <w:t>people</w:t>
      </w:r>
      <w:r>
        <w:rPr>
          <w:rFonts w:ascii="Times New Roman" w:hAnsi="Times New Roman"/>
        </w:rPr>
        <w:t xml:space="preserve"> are </w:t>
      </w:r>
      <w:r w:rsidRPr="00585DAE">
        <w:rPr>
          <w:rFonts w:ascii="Times New Roman" w:hAnsi="Times New Roman"/>
        </w:rPr>
        <w:t>unable to complete a telephone or in-person inte</w:t>
      </w:r>
      <w:r>
        <w:rPr>
          <w:rFonts w:ascii="Times New Roman" w:hAnsi="Times New Roman"/>
        </w:rPr>
        <w:t xml:space="preserve">rview because of their </w:t>
      </w:r>
      <w:r w:rsidRPr="00585DAE">
        <w:rPr>
          <w:rFonts w:ascii="Times New Roman" w:hAnsi="Times New Roman"/>
        </w:rPr>
        <w:t>disabili</w:t>
      </w:r>
      <w:r>
        <w:rPr>
          <w:rFonts w:ascii="Times New Roman" w:hAnsi="Times New Roman"/>
        </w:rPr>
        <w:t>ty</w:t>
      </w:r>
      <w:r w:rsidRPr="00585DAE">
        <w:rPr>
          <w:rFonts w:ascii="Times New Roman" w:hAnsi="Times New Roman"/>
        </w:rPr>
        <w:t>.</w:t>
      </w:r>
      <w:r>
        <w:rPr>
          <w:rFonts w:ascii="Times New Roman" w:hAnsi="Times New Roman"/>
        </w:rPr>
        <w:t xml:space="preserve"> </w:t>
      </w:r>
      <w:bookmarkStart w:name="_Hlk101189082" w:id="4"/>
      <w:r w:rsidR="00D849FD">
        <w:rPr>
          <w:rFonts w:ascii="Times New Roman" w:hAnsi="Times New Roman"/>
        </w:rPr>
        <w:t xml:space="preserve"> </w:t>
      </w:r>
      <w:r>
        <w:rPr>
          <w:rFonts w:ascii="Times New Roman" w:hAnsi="Times New Roman"/>
        </w:rPr>
        <w:t xml:space="preserve">We also propose to conduct a web and paper survey experiment for a sample of 1,000 nonrespondents.  </w:t>
      </w:r>
      <w:bookmarkEnd w:id="4"/>
    </w:p>
    <w:p w:rsidR="00D849FD" w:rsidP="00D849FD" w:rsidRDefault="00D849FD" w14:paraId="3D65492D" w14:textId="77777777">
      <w:pPr>
        <w:pStyle w:val="NormalSS"/>
        <w:spacing w:after="0"/>
        <w:ind w:firstLine="0"/>
        <w:jc w:val="left"/>
      </w:pPr>
    </w:p>
    <w:p w:rsidRPr="00882328" w:rsidR="00C96522" w:rsidP="00C96522" w:rsidRDefault="00C96522" w14:paraId="3C8575EF" w14:textId="77777777">
      <w:pPr>
        <w:pStyle w:val="Heading2"/>
        <w:numPr>
          <w:ilvl w:val="0"/>
          <w:numId w:val="0"/>
        </w:numPr>
        <w:rPr>
          <w:rFonts w:ascii="Times New Roman" w:hAnsi="Times New Roman" w:cs="Times New Roman"/>
          <w:b/>
          <w:bCs/>
          <w:sz w:val="24"/>
          <w:szCs w:val="24"/>
        </w:rPr>
      </w:pPr>
      <w:bookmarkStart w:name="_Toc191877767" w:id="5"/>
      <w:bookmarkEnd w:id="3"/>
      <w:r w:rsidRPr="00882328">
        <w:rPr>
          <w:rFonts w:ascii="Times New Roman" w:hAnsi="Times New Roman" w:cs="Times New Roman"/>
          <w:b/>
          <w:bCs/>
          <w:sz w:val="24"/>
          <w:szCs w:val="24"/>
        </w:rPr>
        <w:t>1.  Statistical Methodology</w:t>
      </w:r>
    </w:p>
    <w:p w:rsidRPr="001B7889" w:rsidR="00602A76" w:rsidP="002321B5" w:rsidRDefault="00602A76" w14:paraId="20DD76CD" w14:textId="77777777">
      <w:pPr>
        <w:pStyle w:val="NormalSS"/>
        <w:ind w:left="270" w:firstLine="0"/>
        <w:jc w:val="left"/>
        <w:rPr>
          <w:rFonts w:ascii="Times New Roman" w:hAnsi="Times New Roman"/>
        </w:rPr>
      </w:pPr>
      <w:r w:rsidRPr="001B7889">
        <w:rPr>
          <w:rFonts w:ascii="Times New Roman" w:hAnsi="Times New Roman"/>
        </w:rPr>
        <w:t xml:space="preserve">The target population or “universe” for </w:t>
      </w:r>
      <w:r>
        <w:rPr>
          <w:rFonts w:ascii="Times New Roman" w:hAnsi="Times New Roman"/>
        </w:rPr>
        <w:t>the Round 8 NBS</w:t>
      </w:r>
      <w:r w:rsidRPr="001B7889">
        <w:rPr>
          <w:rFonts w:ascii="Times New Roman" w:hAnsi="Times New Roman"/>
        </w:rPr>
        <w:t xml:space="preserve"> include</w:t>
      </w:r>
      <w:r>
        <w:rPr>
          <w:rFonts w:ascii="Times New Roman" w:hAnsi="Times New Roman"/>
        </w:rPr>
        <w:t>s</w:t>
      </w:r>
      <w:r w:rsidRPr="001B7889">
        <w:rPr>
          <w:rFonts w:ascii="Times New Roman" w:hAnsi="Times New Roman"/>
        </w:rPr>
        <w:t xml:space="preserve"> all SSI or </w:t>
      </w:r>
      <w:r>
        <w:rPr>
          <w:rFonts w:ascii="Times New Roman" w:hAnsi="Times New Roman"/>
        </w:rPr>
        <w:t>SS</w:t>
      </w:r>
      <w:r w:rsidRPr="001B7889">
        <w:rPr>
          <w:rFonts w:ascii="Times New Roman" w:hAnsi="Times New Roman"/>
        </w:rPr>
        <w:t>DI beneficiaries who meet the following criteria:</w:t>
      </w:r>
    </w:p>
    <w:p w:rsidRPr="00117783" w:rsidR="00602A76" w:rsidP="002321B5" w:rsidRDefault="003515C5" w14:paraId="6B234C7E" w14:textId="7A58CFA9">
      <w:pPr>
        <w:pStyle w:val="ListBullet"/>
        <w:tabs>
          <w:tab w:val="clear" w:pos="360"/>
          <w:tab w:val="num" w:pos="720"/>
        </w:tabs>
        <w:ind w:left="630"/>
      </w:pPr>
      <w:r>
        <w:t>A</w:t>
      </w:r>
      <w:r w:rsidR="000A5412">
        <w:t>re a</w:t>
      </w:r>
      <w:r w:rsidRPr="00117783" w:rsidR="00602A76">
        <w:t>ge</w:t>
      </w:r>
      <w:r>
        <w:t xml:space="preserve"> </w:t>
      </w:r>
      <w:r w:rsidRPr="00117783" w:rsidR="00602A76">
        <w:t xml:space="preserve">18 </w:t>
      </w:r>
      <w:r>
        <w:t>to</w:t>
      </w:r>
      <w:r w:rsidRPr="00117783" w:rsidR="00602A76">
        <w:t xml:space="preserve"> full retirement age </w:t>
      </w:r>
      <w:r>
        <w:t xml:space="preserve">(FRA) </w:t>
      </w:r>
      <w:r w:rsidRPr="00117783" w:rsidR="00602A76">
        <w:t>(</w:t>
      </w:r>
      <w:r>
        <w:t xml:space="preserve">age </w:t>
      </w:r>
      <w:r w:rsidRPr="00117783" w:rsidR="00602A76">
        <w:t xml:space="preserve">18 to 65 if receiving SSI, and </w:t>
      </w:r>
      <w:r>
        <w:t xml:space="preserve">age </w:t>
      </w:r>
      <w:r w:rsidRPr="00117783" w:rsidR="00602A76">
        <w:t>18 to 66 if receiving SSDI)</w:t>
      </w:r>
    </w:p>
    <w:p w:rsidRPr="00117783" w:rsidR="00602A76" w:rsidP="002321B5" w:rsidRDefault="000A5412" w14:paraId="443A7C8D" w14:textId="3950153E">
      <w:pPr>
        <w:pStyle w:val="ListBullet"/>
        <w:tabs>
          <w:tab w:val="clear" w:pos="360"/>
          <w:tab w:val="num" w:pos="720"/>
        </w:tabs>
        <w:ind w:left="630"/>
      </w:pPr>
      <w:r>
        <w:t>Are i</w:t>
      </w:r>
      <w:r w:rsidRPr="00117783" w:rsidR="00602A76">
        <w:t>n active pay status</w:t>
      </w:r>
      <w:r w:rsidRPr="00117783" w:rsidR="00602A76">
        <w:rPr>
          <w:rStyle w:val="FootnoteReference"/>
        </w:rPr>
        <w:footnoteReference w:id="2"/>
      </w:r>
      <w:r w:rsidRPr="00117783" w:rsidR="00602A76">
        <w:t xml:space="preserve"> as of June 30 of the sampling year (2022 for Round 8) in either the SSI or SSDI program</w:t>
      </w:r>
    </w:p>
    <w:p w:rsidRPr="00117783" w:rsidR="00602A76" w:rsidP="002321B5" w:rsidRDefault="00602A76" w14:paraId="12C913F4" w14:textId="77777777">
      <w:pPr>
        <w:pStyle w:val="ListBullet"/>
        <w:tabs>
          <w:tab w:val="clear" w:pos="360"/>
          <w:tab w:val="num" w:pos="720"/>
        </w:tabs>
        <w:ind w:left="630"/>
      </w:pPr>
      <w:r w:rsidRPr="00117783">
        <w:t>Are not nondisabled dependents of SSDI beneficiaries</w:t>
      </w:r>
    </w:p>
    <w:p w:rsidR="00602A76" w:rsidP="002321B5" w:rsidRDefault="00602A76" w14:paraId="470F2C3D" w14:textId="495A23F8">
      <w:pPr>
        <w:pStyle w:val="NormalSS"/>
        <w:tabs>
          <w:tab w:val="left" w:pos="2430"/>
        </w:tabs>
        <w:ind w:left="270" w:firstLine="0"/>
        <w:jc w:val="left"/>
        <w:rPr>
          <w:rFonts w:ascii="Times New Roman" w:hAnsi="Times New Roman"/>
          <w:szCs w:val="24"/>
        </w:rPr>
      </w:pPr>
      <w:r w:rsidRPr="00CC5C2E">
        <w:rPr>
          <w:rFonts w:ascii="Times New Roman" w:hAnsi="Times New Roman"/>
          <w:szCs w:val="24"/>
        </w:rPr>
        <w:t>To maintain consistency and support trend analyses, we</w:t>
      </w:r>
      <w:r>
        <w:rPr>
          <w:rFonts w:ascii="Times New Roman" w:hAnsi="Times New Roman"/>
          <w:szCs w:val="24"/>
        </w:rPr>
        <w:t xml:space="preserve"> will</w:t>
      </w:r>
      <w:r w:rsidRPr="00CC5C2E">
        <w:rPr>
          <w:rFonts w:ascii="Times New Roman" w:hAnsi="Times New Roman"/>
          <w:szCs w:val="24"/>
        </w:rPr>
        <w:t xml:space="preserve"> appl</w:t>
      </w:r>
      <w:r>
        <w:rPr>
          <w:rFonts w:ascii="Times New Roman" w:hAnsi="Times New Roman"/>
          <w:szCs w:val="24"/>
        </w:rPr>
        <w:t>y</w:t>
      </w:r>
      <w:r w:rsidRPr="00CC5C2E">
        <w:rPr>
          <w:rFonts w:ascii="Times New Roman" w:hAnsi="Times New Roman"/>
          <w:szCs w:val="24"/>
        </w:rPr>
        <w:t xml:space="preserve"> essentially the same sample selection criteria for </w:t>
      </w:r>
      <w:r>
        <w:rPr>
          <w:rFonts w:ascii="Times New Roman" w:hAnsi="Times New Roman"/>
          <w:szCs w:val="24"/>
        </w:rPr>
        <w:t>Round 8 of the NBS</w:t>
      </w:r>
      <w:r w:rsidRPr="00CC5C2E">
        <w:rPr>
          <w:rFonts w:ascii="Times New Roman" w:hAnsi="Times New Roman"/>
          <w:szCs w:val="24"/>
        </w:rPr>
        <w:t xml:space="preserve"> that we used to prepare the national samples in the prior NBS</w:t>
      </w:r>
      <w:r>
        <w:rPr>
          <w:rFonts w:ascii="Times New Roman" w:hAnsi="Times New Roman"/>
          <w:szCs w:val="24"/>
        </w:rPr>
        <w:t xml:space="preserve"> rounds</w:t>
      </w:r>
      <w:r w:rsidRPr="00CC5C2E">
        <w:rPr>
          <w:rFonts w:ascii="Times New Roman" w:hAnsi="Times New Roman"/>
          <w:szCs w:val="24"/>
        </w:rPr>
        <w:t>.</w:t>
      </w:r>
      <w:r>
        <w:rPr>
          <w:rFonts w:ascii="Times New Roman" w:hAnsi="Times New Roman"/>
          <w:szCs w:val="24"/>
        </w:rPr>
        <w:t xml:space="preserve"> </w:t>
      </w:r>
      <w:r w:rsidR="003E00CD">
        <w:rPr>
          <w:rFonts w:ascii="Times New Roman" w:hAnsi="Times New Roman"/>
          <w:szCs w:val="24"/>
        </w:rPr>
        <w:t xml:space="preserve"> </w:t>
      </w:r>
      <w:r w:rsidRPr="00CC5C2E">
        <w:rPr>
          <w:rFonts w:ascii="Times New Roman" w:hAnsi="Times New Roman"/>
          <w:szCs w:val="24"/>
        </w:rPr>
        <w:t xml:space="preserve">In </w:t>
      </w:r>
      <w:r>
        <w:rPr>
          <w:rFonts w:ascii="Times New Roman" w:hAnsi="Times New Roman"/>
          <w:szCs w:val="24"/>
        </w:rPr>
        <w:t>R</w:t>
      </w:r>
      <w:r w:rsidRPr="00CC5C2E">
        <w:rPr>
          <w:rFonts w:ascii="Times New Roman" w:hAnsi="Times New Roman"/>
          <w:szCs w:val="24"/>
        </w:rPr>
        <w:t xml:space="preserve">ound </w:t>
      </w:r>
      <w:r>
        <w:rPr>
          <w:rFonts w:ascii="Times New Roman" w:hAnsi="Times New Roman"/>
          <w:szCs w:val="24"/>
        </w:rPr>
        <w:t>8</w:t>
      </w:r>
      <w:r w:rsidR="003E00CD">
        <w:rPr>
          <w:rFonts w:ascii="Times New Roman" w:hAnsi="Times New Roman"/>
          <w:szCs w:val="24"/>
        </w:rPr>
        <w:t xml:space="preserve"> of the NBS</w:t>
      </w:r>
      <w:r w:rsidRPr="00CC5C2E">
        <w:rPr>
          <w:rFonts w:ascii="Times New Roman" w:hAnsi="Times New Roman"/>
          <w:szCs w:val="24"/>
        </w:rPr>
        <w:t xml:space="preserve">, we </w:t>
      </w:r>
      <w:r>
        <w:rPr>
          <w:rFonts w:ascii="Times New Roman" w:hAnsi="Times New Roman"/>
          <w:szCs w:val="24"/>
        </w:rPr>
        <w:t xml:space="preserve">will </w:t>
      </w:r>
      <w:r w:rsidRPr="00CC5C2E">
        <w:rPr>
          <w:rFonts w:ascii="Times New Roman" w:hAnsi="Times New Roman"/>
          <w:szCs w:val="24"/>
        </w:rPr>
        <w:t>select a nationally representative sample of active SSI recipients</w:t>
      </w:r>
      <w:r>
        <w:rPr>
          <w:rFonts w:ascii="Times New Roman" w:hAnsi="Times New Roman"/>
          <w:szCs w:val="24"/>
        </w:rPr>
        <w:t xml:space="preserve"> and SS</w:t>
      </w:r>
      <w:r w:rsidRPr="00CC5C2E">
        <w:rPr>
          <w:rFonts w:ascii="Times New Roman" w:hAnsi="Times New Roman"/>
          <w:szCs w:val="24"/>
        </w:rPr>
        <w:t>DI</w:t>
      </w:r>
      <w:r>
        <w:rPr>
          <w:rFonts w:ascii="Times New Roman" w:hAnsi="Times New Roman"/>
          <w:szCs w:val="24"/>
        </w:rPr>
        <w:t xml:space="preserve"> </w:t>
      </w:r>
      <w:r w:rsidRPr="00CC5C2E">
        <w:rPr>
          <w:rFonts w:ascii="Times New Roman" w:hAnsi="Times New Roman"/>
          <w:szCs w:val="24"/>
        </w:rPr>
        <w:t>beneficiaries</w:t>
      </w:r>
      <w:r>
        <w:rPr>
          <w:rFonts w:ascii="Times New Roman" w:hAnsi="Times New Roman"/>
          <w:szCs w:val="24"/>
        </w:rPr>
        <w:t xml:space="preserve"> (the Representative Beneficiary Sample, or RBS)</w:t>
      </w:r>
      <w:r w:rsidRPr="00CC5C2E">
        <w:rPr>
          <w:rFonts w:ascii="Times New Roman" w:hAnsi="Times New Roman"/>
          <w:szCs w:val="24"/>
        </w:rPr>
        <w:t>.</w:t>
      </w:r>
      <w:r>
        <w:rPr>
          <w:rFonts w:ascii="Times New Roman" w:hAnsi="Times New Roman"/>
          <w:szCs w:val="24"/>
        </w:rPr>
        <w:t xml:space="preserve"> </w:t>
      </w:r>
      <w:r w:rsidR="00402085">
        <w:rPr>
          <w:rFonts w:ascii="Times New Roman" w:hAnsi="Times New Roman"/>
          <w:szCs w:val="24"/>
        </w:rPr>
        <w:t xml:space="preserve"> </w:t>
      </w:r>
      <w:r>
        <w:rPr>
          <w:rFonts w:ascii="Times New Roman" w:hAnsi="Times New Roman"/>
          <w:szCs w:val="24"/>
        </w:rPr>
        <w:t xml:space="preserve">We </w:t>
      </w:r>
      <w:r w:rsidRPr="00CC5C2E">
        <w:rPr>
          <w:rFonts w:ascii="Times New Roman" w:hAnsi="Times New Roman"/>
          <w:szCs w:val="24"/>
        </w:rPr>
        <w:t xml:space="preserve">will </w:t>
      </w:r>
      <w:r>
        <w:rPr>
          <w:rFonts w:ascii="Times New Roman" w:hAnsi="Times New Roman"/>
          <w:szCs w:val="24"/>
        </w:rPr>
        <w:t xml:space="preserve">also independently select a sample </w:t>
      </w:r>
      <w:r w:rsidRPr="00CC5C2E">
        <w:rPr>
          <w:rFonts w:ascii="Times New Roman" w:hAnsi="Times New Roman"/>
          <w:szCs w:val="24"/>
        </w:rPr>
        <w:t xml:space="preserve">of SSI recipients and </w:t>
      </w:r>
      <w:r>
        <w:rPr>
          <w:rFonts w:ascii="Times New Roman" w:hAnsi="Times New Roman"/>
          <w:szCs w:val="24"/>
        </w:rPr>
        <w:t>SSDI beneficiaries whom we</w:t>
      </w:r>
      <w:r w:rsidRPr="00CC5C2E">
        <w:rPr>
          <w:rFonts w:ascii="Times New Roman" w:hAnsi="Times New Roman"/>
          <w:szCs w:val="24"/>
        </w:rPr>
        <w:t xml:space="preserve"> identified (using SSA administrative data) as </w:t>
      </w:r>
      <w:r w:rsidRPr="006676E7">
        <w:rPr>
          <w:rFonts w:ascii="Times New Roman" w:hAnsi="Times New Roman"/>
          <w:szCs w:val="24"/>
        </w:rPr>
        <w:t>a subset of beneficiaries who maintained a minimum level of earnings for a sustained period (a “successful worker” sample or SWS)</w:t>
      </w:r>
      <w:r w:rsidRPr="00CC5C2E">
        <w:rPr>
          <w:rFonts w:ascii="Times New Roman" w:hAnsi="Times New Roman"/>
          <w:szCs w:val="24"/>
        </w:rPr>
        <w:t>.</w:t>
      </w:r>
      <w:r>
        <w:rPr>
          <w:rFonts w:ascii="Times New Roman" w:hAnsi="Times New Roman"/>
          <w:szCs w:val="24"/>
        </w:rPr>
        <w:t xml:space="preserve"> </w:t>
      </w:r>
    </w:p>
    <w:p w:rsidR="005B078C" w:rsidP="002321B5" w:rsidRDefault="00602A76" w14:paraId="70A504B3" w14:textId="77777777">
      <w:pPr>
        <w:pStyle w:val="NormalSS"/>
        <w:tabs>
          <w:tab w:val="clear" w:pos="432"/>
          <w:tab w:val="left" w:pos="270"/>
        </w:tabs>
        <w:spacing w:after="0"/>
        <w:ind w:left="270" w:firstLine="0"/>
        <w:jc w:val="left"/>
        <w:rPr>
          <w:rFonts w:ascii="Times New Roman" w:hAnsi="Times New Roman"/>
        </w:rPr>
      </w:pPr>
      <w:r w:rsidRPr="002A2F10">
        <w:rPr>
          <w:rFonts w:ascii="Times New Roman" w:hAnsi="Times New Roman"/>
          <w:b/>
        </w:rPr>
        <w:t>Representative Beneficiary Sample</w:t>
      </w:r>
      <w:r>
        <w:rPr>
          <w:rFonts w:ascii="Times New Roman" w:hAnsi="Times New Roman"/>
          <w:b/>
        </w:rPr>
        <w:t>.</w:t>
      </w:r>
      <w:r>
        <w:rPr>
          <w:rFonts w:ascii="Times New Roman" w:hAnsi="Times New Roman"/>
        </w:rPr>
        <w:t xml:space="preserve"> </w:t>
      </w:r>
      <w:r w:rsidR="003E00CD">
        <w:rPr>
          <w:rFonts w:ascii="Times New Roman" w:hAnsi="Times New Roman"/>
        </w:rPr>
        <w:t xml:space="preserve"> </w:t>
      </w:r>
      <w:r w:rsidRPr="0088091A">
        <w:rPr>
          <w:rFonts w:ascii="Times New Roman" w:hAnsi="Times New Roman"/>
        </w:rPr>
        <w:t xml:space="preserve">For </w:t>
      </w:r>
      <w:r>
        <w:rPr>
          <w:rFonts w:ascii="Times New Roman" w:hAnsi="Times New Roman"/>
        </w:rPr>
        <w:t>the RBS, the</w:t>
      </w:r>
      <w:r w:rsidRPr="0088091A">
        <w:rPr>
          <w:rFonts w:ascii="Times New Roman" w:hAnsi="Times New Roman"/>
        </w:rPr>
        <w:t xml:space="preserve"> target population include</w:t>
      </w:r>
      <w:r>
        <w:rPr>
          <w:rFonts w:ascii="Times New Roman" w:hAnsi="Times New Roman"/>
        </w:rPr>
        <w:t>s</w:t>
      </w:r>
      <w:r w:rsidRPr="0088091A">
        <w:rPr>
          <w:rFonts w:ascii="Times New Roman" w:hAnsi="Times New Roman"/>
        </w:rPr>
        <w:t xml:space="preserve"> SSI recipients and </w:t>
      </w:r>
      <w:r>
        <w:rPr>
          <w:rFonts w:ascii="Times New Roman" w:hAnsi="Times New Roman"/>
        </w:rPr>
        <w:t>SS</w:t>
      </w:r>
      <w:r w:rsidRPr="0088091A">
        <w:rPr>
          <w:rFonts w:ascii="Times New Roman" w:hAnsi="Times New Roman"/>
        </w:rPr>
        <w:t>DI beneficiaries in all 50 states and the District of Columbia.</w:t>
      </w:r>
      <w:r>
        <w:rPr>
          <w:rFonts w:ascii="Times New Roman" w:hAnsi="Times New Roman"/>
        </w:rPr>
        <w:t xml:space="preserve"> </w:t>
      </w:r>
      <w:r w:rsidR="003E00CD">
        <w:rPr>
          <w:rFonts w:ascii="Times New Roman" w:hAnsi="Times New Roman"/>
        </w:rPr>
        <w:t xml:space="preserve"> </w:t>
      </w:r>
      <w:r w:rsidRPr="0088091A">
        <w:rPr>
          <w:rFonts w:ascii="Times New Roman" w:hAnsi="Times New Roman"/>
        </w:rPr>
        <w:t xml:space="preserve">The estimated size of the target population for the RBS </w:t>
      </w:r>
      <w:r>
        <w:rPr>
          <w:rFonts w:ascii="Times New Roman" w:hAnsi="Times New Roman"/>
        </w:rPr>
        <w:t>is approximately</w:t>
      </w:r>
      <w:r w:rsidRPr="0088091A">
        <w:rPr>
          <w:rFonts w:ascii="Times New Roman" w:hAnsi="Times New Roman"/>
        </w:rPr>
        <w:t xml:space="preserve"> </w:t>
      </w:r>
      <w:r w:rsidR="00BD3610">
        <w:rPr>
          <w:rFonts w:ascii="Times New Roman" w:hAnsi="Times New Roman"/>
        </w:rPr>
        <w:t>13</w:t>
      </w:r>
      <w:r w:rsidRPr="0088091A">
        <w:rPr>
          <w:rFonts w:ascii="Times New Roman" w:hAnsi="Times New Roman"/>
        </w:rPr>
        <w:t xml:space="preserve"> million</w:t>
      </w:r>
      <w:r>
        <w:rPr>
          <w:rFonts w:ascii="Times New Roman" w:hAnsi="Times New Roman"/>
        </w:rPr>
        <w:t xml:space="preserve">. </w:t>
      </w:r>
      <w:r w:rsidR="003E00CD">
        <w:rPr>
          <w:rFonts w:ascii="Times New Roman" w:hAnsi="Times New Roman"/>
        </w:rPr>
        <w:t xml:space="preserve"> </w:t>
      </w:r>
      <w:r>
        <w:rPr>
          <w:rFonts w:ascii="Times New Roman" w:hAnsi="Times New Roman"/>
        </w:rPr>
        <w:t>T</w:t>
      </w:r>
      <w:r w:rsidRPr="001B7889">
        <w:rPr>
          <w:rFonts w:ascii="Times New Roman" w:hAnsi="Times New Roman"/>
        </w:rPr>
        <w:t xml:space="preserve">o ensure </w:t>
      </w:r>
      <w:r>
        <w:rPr>
          <w:rFonts w:ascii="Times New Roman" w:hAnsi="Times New Roman"/>
        </w:rPr>
        <w:t>enough</w:t>
      </w:r>
      <w:r w:rsidRPr="001B7889">
        <w:rPr>
          <w:rFonts w:ascii="Times New Roman" w:hAnsi="Times New Roman"/>
        </w:rPr>
        <w:t xml:space="preserve"> </w:t>
      </w:r>
      <w:r>
        <w:rPr>
          <w:rFonts w:ascii="Times New Roman" w:hAnsi="Times New Roman"/>
        </w:rPr>
        <w:t>sample members</w:t>
      </w:r>
      <w:r w:rsidRPr="001B7889">
        <w:rPr>
          <w:rFonts w:ascii="Times New Roman" w:hAnsi="Times New Roman"/>
        </w:rPr>
        <w:t xml:space="preserve"> seeking work, </w:t>
      </w:r>
      <w:r>
        <w:rPr>
          <w:rFonts w:ascii="Times New Roman" w:hAnsi="Times New Roman"/>
        </w:rPr>
        <w:t xml:space="preserve">Mathematica stratifies the </w:t>
      </w:r>
      <w:r w:rsidRPr="001B7889">
        <w:rPr>
          <w:rFonts w:ascii="Times New Roman" w:hAnsi="Times New Roman"/>
        </w:rPr>
        <w:t xml:space="preserve">active beneficiary </w:t>
      </w:r>
      <w:r>
        <w:rPr>
          <w:rFonts w:ascii="Times New Roman" w:hAnsi="Times New Roman"/>
        </w:rPr>
        <w:t xml:space="preserve">population </w:t>
      </w:r>
      <w:r w:rsidRPr="001B7889">
        <w:rPr>
          <w:rFonts w:ascii="Times New Roman" w:hAnsi="Times New Roman"/>
        </w:rPr>
        <w:t xml:space="preserve">into </w:t>
      </w:r>
      <w:r w:rsidRPr="001B7889">
        <w:rPr>
          <w:rFonts w:ascii="Times New Roman" w:hAnsi="Times New Roman"/>
        </w:rPr>
        <w:lastRenderedPageBreak/>
        <w:t>four categories:</w:t>
      </w:r>
      <w:r>
        <w:rPr>
          <w:rFonts w:ascii="Times New Roman" w:hAnsi="Times New Roman"/>
        </w:rPr>
        <w:t xml:space="preserve"> </w:t>
      </w:r>
      <w:bookmarkStart w:name="_Hlk101189153" w:id="6"/>
      <w:r w:rsidR="005B078C">
        <w:rPr>
          <w:rFonts w:ascii="Times New Roman" w:hAnsi="Times New Roman"/>
        </w:rPr>
        <w:t xml:space="preserve"> </w:t>
      </w:r>
      <w:r w:rsidRPr="00BD3610" w:rsidR="00BD3610">
        <w:rPr>
          <w:rFonts w:ascii="Times New Roman" w:hAnsi="Times New Roman"/>
        </w:rPr>
        <w:t xml:space="preserve">(1) beneficiary had positive earnings in the year prior to the sampling year (2021 for Round 8); (2) age </w:t>
      </w:r>
      <w:bookmarkEnd w:id="6"/>
      <w:r w:rsidRPr="001B7889">
        <w:rPr>
          <w:rFonts w:ascii="Times New Roman" w:hAnsi="Times New Roman"/>
        </w:rPr>
        <w:t xml:space="preserve">18 to </w:t>
      </w:r>
      <w:r>
        <w:rPr>
          <w:rFonts w:ascii="Times New Roman" w:hAnsi="Times New Roman"/>
        </w:rPr>
        <w:t>3</w:t>
      </w:r>
      <w:r w:rsidRPr="001B7889">
        <w:rPr>
          <w:rFonts w:ascii="Times New Roman" w:hAnsi="Times New Roman"/>
        </w:rPr>
        <w:t>9</w:t>
      </w:r>
      <w:r w:rsidR="000C55CF">
        <w:rPr>
          <w:rFonts w:ascii="Times New Roman" w:hAnsi="Times New Roman"/>
        </w:rPr>
        <w:t xml:space="preserve">, </w:t>
      </w:r>
      <w:bookmarkStart w:name="_Hlk101344487" w:id="7"/>
      <w:r w:rsidR="00BD3610">
        <w:rPr>
          <w:rFonts w:ascii="Times New Roman" w:hAnsi="Times New Roman"/>
        </w:rPr>
        <w:t>no earnings in the year prior to the sampling year;</w:t>
      </w:r>
      <w:r w:rsidRPr="001B7889" w:rsidR="00BD3610">
        <w:rPr>
          <w:rFonts w:ascii="Times New Roman" w:hAnsi="Times New Roman"/>
        </w:rPr>
        <w:t xml:space="preserve"> </w:t>
      </w:r>
    </w:p>
    <w:p w:rsidR="00602A76" w:rsidP="005B078C" w:rsidRDefault="00BD3610" w14:paraId="2C210DA2" w14:textId="70907352">
      <w:pPr>
        <w:pStyle w:val="NormalSS"/>
        <w:tabs>
          <w:tab w:val="clear" w:pos="432"/>
          <w:tab w:val="left" w:pos="270"/>
        </w:tabs>
        <w:spacing w:after="0"/>
        <w:ind w:left="270" w:firstLine="0"/>
        <w:jc w:val="left"/>
        <w:rPr>
          <w:rFonts w:ascii="Times New Roman" w:hAnsi="Times New Roman"/>
        </w:rPr>
      </w:pPr>
      <w:r>
        <w:rPr>
          <w:rFonts w:ascii="Times New Roman" w:hAnsi="Times New Roman"/>
        </w:rPr>
        <w:t xml:space="preserve">(3) age </w:t>
      </w:r>
      <w:bookmarkEnd w:id="7"/>
      <w:r w:rsidRPr="001B7889" w:rsidR="00602A76">
        <w:rPr>
          <w:rFonts w:ascii="Times New Roman" w:hAnsi="Times New Roman"/>
        </w:rPr>
        <w:t>40 to 49</w:t>
      </w:r>
      <w:r w:rsidR="000D215D">
        <w:rPr>
          <w:rFonts w:ascii="Times New Roman" w:hAnsi="Times New Roman"/>
        </w:rPr>
        <w:t>,</w:t>
      </w:r>
      <w:r w:rsidR="00602A76">
        <w:rPr>
          <w:rFonts w:ascii="Times New Roman" w:hAnsi="Times New Roman"/>
        </w:rPr>
        <w:t xml:space="preserve"> </w:t>
      </w:r>
      <w:bookmarkStart w:name="_Hlk101344500" w:id="8"/>
      <w:r>
        <w:rPr>
          <w:rFonts w:ascii="Times New Roman" w:hAnsi="Times New Roman"/>
        </w:rPr>
        <w:t>no earnings in the year prior to the sampling year</w:t>
      </w:r>
      <w:bookmarkEnd w:id="8"/>
      <w:r w:rsidR="00602A76">
        <w:rPr>
          <w:rFonts w:ascii="Times New Roman" w:hAnsi="Times New Roman"/>
        </w:rPr>
        <w:t>;</w:t>
      </w:r>
      <w:r w:rsidRPr="001B7889" w:rsidR="00602A76">
        <w:rPr>
          <w:rFonts w:ascii="Times New Roman" w:hAnsi="Times New Roman"/>
        </w:rPr>
        <w:t xml:space="preserve"> and </w:t>
      </w:r>
      <w:r>
        <w:rPr>
          <w:rFonts w:ascii="Times New Roman" w:hAnsi="Times New Roman"/>
        </w:rPr>
        <w:t xml:space="preserve">(4) </w:t>
      </w:r>
      <w:r w:rsidR="00602A76">
        <w:rPr>
          <w:rFonts w:ascii="Times New Roman" w:hAnsi="Times New Roman"/>
        </w:rPr>
        <w:t xml:space="preserve">age </w:t>
      </w:r>
      <w:r w:rsidRPr="001B7889" w:rsidR="00602A76">
        <w:rPr>
          <w:rFonts w:ascii="Times New Roman" w:hAnsi="Times New Roman"/>
        </w:rPr>
        <w:t>50</w:t>
      </w:r>
      <w:r w:rsidR="00602A76">
        <w:rPr>
          <w:rFonts w:ascii="Times New Roman" w:hAnsi="Times New Roman"/>
        </w:rPr>
        <w:t xml:space="preserve"> to FRA</w:t>
      </w:r>
      <w:r w:rsidRPr="001B7889" w:rsidR="00602A76">
        <w:rPr>
          <w:rFonts w:ascii="Times New Roman" w:hAnsi="Times New Roman"/>
        </w:rPr>
        <w:t xml:space="preserve">, </w:t>
      </w:r>
      <w:bookmarkStart w:name="_Hlk101344528" w:id="9"/>
      <w:r>
        <w:rPr>
          <w:rFonts w:ascii="Times New Roman" w:hAnsi="Times New Roman"/>
        </w:rPr>
        <w:t>no earnings in the year prior to the sampling year</w:t>
      </w:r>
      <w:bookmarkEnd w:id="9"/>
      <w:r w:rsidR="00602A76">
        <w:rPr>
          <w:rFonts w:ascii="Times New Roman" w:hAnsi="Times New Roman"/>
        </w:rPr>
        <w:t xml:space="preserve"> (</w:t>
      </w:r>
      <w:r w:rsidRPr="001B7889" w:rsidR="00602A76">
        <w:rPr>
          <w:rFonts w:ascii="Times New Roman" w:hAnsi="Times New Roman"/>
        </w:rPr>
        <w:t>Table B.1</w:t>
      </w:r>
      <w:r w:rsidR="00602A76">
        <w:rPr>
          <w:rFonts w:ascii="Times New Roman" w:hAnsi="Times New Roman"/>
        </w:rPr>
        <w:t>)</w:t>
      </w:r>
      <w:r w:rsidRPr="001B7889" w:rsidR="00602A76">
        <w:rPr>
          <w:rFonts w:ascii="Times New Roman" w:hAnsi="Times New Roman"/>
        </w:rPr>
        <w:t>.</w:t>
      </w:r>
      <w:r>
        <w:rPr>
          <w:rStyle w:val="FootnoteReference"/>
          <w:rFonts w:ascii="Times New Roman" w:hAnsi="Times New Roman"/>
        </w:rPr>
        <w:footnoteReference w:id="3"/>
      </w:r>
      <w:r w:rsidR="003E00CD">
        <w:rPr>
          <w:rFonts w:ascii="Times New Roman" w:hAnsi="Times New Roman"/>
        </w:rPr>
        <w:t xml:space="preserve"> </w:t>
      </w:r>
      <w:r>
        <w:rPr>
          <w:rFonts w:ascii="Times New Roman" w:hAnsi="Times New Roman"/>
        </w:rPr>
        <w:t xml:space="preserve"> </w:t>
      </w:r>
      <w:r w:rsidR="00602A76">
        <w:rPr>
          <w:rFonts w:ascii="Times New Roman" w:hAnsi="Times New Roman"/>
        </w:rPr>
        <w:t>We will select people</w:t>
      </w:r>
      <w:r w:rsidRPr="001B7889" w:rsidR="00602A76">
        <w:rPr>
          <w:rFonts w:ascii="Times New Roman" w:hAnsi="Times New Roman"/>
        </w:rPr>
        <w:t xml:space="preserve"> in the </w:t>
      </w:r>
      <w:bookmarkStart w:name="_Hlk101344584" w:id="10"/>
      <w:r>
        <w:rPr>
          <w:rFonts w:ascii="Times New Roman" w:hAnsi="Times New Roman"/>
        </w:rPr>
        <w:t>first category</w:t>
      </w:r>
      <w:bookmarkEnd w:id="10"/>
      <w:r w:rsidR="00602A76">
        <w:rPr>
          <w:rFonts w:ascii="Times New Roman" w:hAnsi="Times New Roman"/>
        </w:rPr>
        <w:t xml:space="preserve"> (those most likely to be working at interview)</w:t>
      </w:r>
      <w:r w:rsidRPr="001B7889" w:rsidR="00602A76">
        <w:rPr>
          <w:rFonts w:ascii="Times New Roman" w:hAnsi="Times New Roman"/>
        </w:rPr>
        <w:t xml:space="preserve"> at a higher rate </w:t>
      </w:r>
      <w:r w:rsidRPr="001B7889">
        <w:rPr>
          <w:rFonts w:ascii="Times New Roman" w:hAnsi="Times New Roman"/>
        </w:rPr>
        <w:t xml:space="preserve">than </w:t>
      </w:r>
      <w:r>
        <w:rPr>
          <w:rFonts w:ascii="Times New Roman" w:hAnsi="Times New Roman"/>
        </w:rPr>
        <w:t>other categories; we will</w:t>
      </w:r>
      <w:r w:rsidR="000C55CF">
        <w:rPr>
          <w:rFonts w:ascii="Times New Roman" w:hAnsi="Times New Roman"/>
        </w:rPr>
        <w:t xml:space="preserve"> </w:t>
      </w:r>
      <w:r>
        <w:rPr>
          <w:rFonts w:ascii="Times New Roman" w:hAnsi="Times New Roman"/>
        </w:rPr>
        <w:t>select people in the fourth category (</w:t>
      </w:r>
      <w:r w:rsidR="00602A76">
        <w:rPr>
          <w:rFonts w:ascii="Times New Roman" w:hAnsi="Times New Roman"/>
        </w:rPr>
        <w:t xml:space="preserve">those </w:t>
      </w:r>
      <w:r>
        <w:rPr>
          <w:rFonts w:ascii="Times New Roman" w:hAnsi="Times New Roman"/>
        </w:rPr>
        <w:t>least likely to be working at interview) at the lowest rate</w:t>
      </w:r>
      <w:r w:rsidRPr="001B7889">
        <w:rPr>
          <w:rFonts w:ascii="Times New Roman" w:hAnsi="Times New Roman"/>
        </w:rPr>
        <w:t>.</w:t>
      </w:r>
    </w:p>
    <w:p w:rsidRPr="001B7889" w:rsidR="00D849FD" w:rsidP="00D849FD" w:rsidRDefault="00D849FD" w14:paraId="7DF539FD" w14:textId="77777777">
      <w:pPr>
        <w:pStyle w:val="NormalSS"/>
        <w:spacing w:after="0"/>
        <w:ind w:firstLine="0"/>
        <w:jc w:val="left"/>
        <w:rPr>
          <w:rFonts w:ascii="Times New Roman" w:hAnsi="Times New Roman"/>
        </w:rPr>
      </w:pPr>
    </w:p>
    <w:p w:rsidRPr="009959C2" w:rsidR="00602A76" w:rsidP="002321B5" w:rsidRDefault="002321B5" w14:paraId="0B14C1CB" w14:textId="618A7785">
      <w:pPr>
        <w:pStyle w:val="NormalSS"/>
        <w:ind w:left="270" w:hanging="270"/>
        <w:jc w:val="left"/>
        <w:rPr>
          <w:rFonts w:ascii="Times New Roman" w:hAnsi="Times New Roman"/>
          <w:szCs w:val="24"/>
        </w:rPr>
      </w:pPr>
      <w:r>
        <w:rPr>
          <w:rFonts w:ascii="Times New Roman" w:hAnsi="Times New Roman"/>
          <w:b/>
        </w:rPr>
        <w:tab/>
      </w:r>
      <w:r w:rsidRPr="001B7889" w:rsidR="00602A76">
        <w:rPr>
          <w:rFonts w:ascii="Times New Roman" w:hAnsi="Times New Roman"/>
          <w:b/>
        </w:rPr>
        <w:t>Successful Worker</w:t>
      </w:r>
      <w:r w:rsidR="00602A76">
        <w:rPr>
          <w:rFonts w:ascii="Times New Roman" w:hAnsi="Times New Roman"/>
          <w:b/>
        </w:rPr>
        <w:t xml:space="preserve"> Sample</w:t>
      </w:r>
      <w:r w:rsidRPr="00200540" w:rsidR="00602A76">
        <w:rPr>
          <w:rFonts w:ascii="Times New Roman" w:hAnsi="Times New Roman"/>
          <w:b/>
          <w:bCs/>
        </w:rPr>
        <w:t>.</w:t>
      </w:r>
      <w:r w:rsidR="00602A76">
        <w:rPr>
          <w:rFonts w:ascii="Times New Roman" w:hAnsi="Times New Roman"/>
        </w:rPr>
        <w:t xml:space="preserve"> </w:t>
      </w:r>
      <w:r w:rsidR="00D849FD">
        <w:rPr>
          <w:rFonts w:ascii="Times New Roman" w:hAnsi="Times New Roman"/>
        </w:rPr>
        <w:t xml:space="preserve"> </w:t>
      </w:r>
      <w:r w:rsidR="00602A76">
        <w:rPr>
          <w:rFonts w:ascii="Times New Roman" w:hAnsi="Times New Roman"/>
        </w:rPr>
        <w:t>The target population for the SWS is a subset of the RBS target population that includes SSI or SSDI beneficiaries</w:t>
      </w:r>
      <w:r w:rsidRPr="00C25E56" w:rsidR="00602A76">
        <w:rPr>
          <w:rFonts w:ascii="Times New Roman" w:hAnsi="Times New Roman"/>
        </w:rPr>
        <w:t xml:space="preserve"> </w:t>
      </w:r>
      <w:r w:rsidR="00602A76">
        <w:rPr>
          <w:rFonts w:ascii="Times New Roman" w:hAnsi="Times New Roman"/>
        </w:rPr>
        <w:t xml:space="preserve">who </w:t>
      </w:r>
      <w:r w:rsidRPr="00C25E56" w:rsidR="00602A76">
        <w:rPr>
          <w:rFonts w:ascii="Times New Roman" w:hAnsi="Times New Roman"/>
        </w:rPr>
        <w:t>maintained a minimum level of earnings for a sustained period</w:t>
      </w:r>
      <w:r w:rsidR="00602A76">
        <w:rPr>
          <w:rFonts w:ascii="Times New Roman" w:hAnsi="Times New Roman"/>
        </w:rPr>
        <w:t xml:space="preserve">. </w:t>
      </w:r>
      <w:r w:rsidR="00D849FD">
        <w:rPr>
          <w:rFonts w:ascii="Times New Roman" w:hAnsi="Times New Roman"/>
        </w:rPr>
        <w:t xml:space="preserve"> </w:t>
      </w:r>
      <w:r w:rsidR="00602A76">
        <w:rPr>
          <w:rFonts w:ascii="Times New Roman" w:hAnsi="Times New Roman"/>
        </w:rPr>
        <w:t xml:space="preserve">Because of the lag in identifying earnings for some successful workers, </w:t>
      </w:r>
      <w:r w:rsidRPr="004F0516" w:rsidR="00602A76">
        <w:rPr>
          <w:rFonts w:ascii="Times New Roman" w:hAnsi="Times New Roman"/>
        </w:rPr>
        <w:t>the SWS target population is further limited to successful workers </w:t>
      </w:r>
      <w:r w:rsidR="00602A76">
        <w:rPr>
          <w:rFonts w:ascii="Times New Roman" w:hAnsi="Times New Roman"/>
        </w:rPr>
        <w:t>SSA identified</w:t>
      </w:r>
      <w:r w:rsidRPr="004F0516" w:rsidR="00602A76">
        <w:rPr>
          <w:rFonts w:ascii="Times New Roman" w:hAnsi="Times New Roman"/>
        </w:rPr>
        <w:t xml:space="preserve"> using administrative data at the time of sample selection</w:t>
      </w:r>
      <w:r w:rsidR="00602A76">
        <w:rPr>
          <w:rFonts w:ascii="Times New Roman" w:hAnsi="Times New Roman"/>
        </w:rPr>
        <w:t>.</w:t>
      </w:r>
      <w:r w:rsidR="00D849FD">
        <w:rPr>
          <w:rFonts w:ascii="Times New Roman" w:hAnsi="Times New Roman"/>
        </w:rPr>
        <w:t xml:space="preserve"> </w:t>
      </w:r>
      <w:r w:rsidR="00602A76">
        <w:rPr>
          <w:rFonts w:ascii="Times New Roman" w:hAnsi="Times New Roman"/>
        </w:rPr>
        <w:t xml:space="preserve"> The weights from this selected sample are therefore provisional.</w:t>
      </w:r>
      <w:r w:rsidR="00D849FD">
        <w:rPr>
          <w:rFonts w:ascii="Times New Roman" w:hAnsi="Times New Roman"/>
        </w:rPr>
        <w:t xml:space="preserve"> </w:t>
      </w:r>
      <w:r w:rsidR="00602A76">
        <w:rPr>
          <w:rFonts w:ascii="Times New Roman" w:hAnsi="Times New Roman"/>
        </w:rPr>
        <w:t xml:space="preserve"> Approximately three years after the end of data collection, we will review updated administrative data from the same period and identify the beneficiaries who maintained a minimum level of earnings for a sustained period during that period, which will include many of the successful workers that could not be included in the initial frame.</w:t>
      </w:r>
      <w:r w:rsidR="00602A76">
        <w:rPr>
          <w:rStyle w:val="FootnoteReference"/>
          <w:rFonts w:ascii="Times New Roman" w:hAnsi="Times New Roman"/>
        </w:rPr>
        <w:footnoteReference w:id="4"/>
      </w:r>
      <w:r w:rsidR="00602A76">
        <w:rPr>
          <w:rFonts w:ascii="Times New Roman" w:hAnsi="Times New Roman"/>
        </w:rPr>
        <w:t xml:space="preserve"> </w:t>
      </w:r>
      <w:r w:rsidR="00D849FD">
        <w:rPr>
          <w:rFonts w:ascii="Times New Roman" w:hAnsi="Times New Roman"/>
        </w:rPr>
        <w:t xml:space="preserve"> </w:t>
      </w:r>
      <w:r w:rsidR="00602A76">
        <w:rPr>
          <w:rFonts w:ascii="Times New Roman" w:hAnsi="Times New Roman"/>
        </w:rPr>
        <w:t>Using these updated data, we will post-stratify the weights so that the final sample more closely matches the full successful worker population.</w:t>
      </w:r>
      <w:r w:rsidR="00602A76">
        <w:rPr>
          <w:rStyle w:val="FootnoteReference"/>
          <w:rFonts w:ascii="Times New Roman" w:hAnsi="Times New Roman"/>
        </w:rPr>
        <w:footnoteReference w:id="5"/>
      </w:r>
      <w:r w:rsidR="00602A76">
        <w:rPr>
          <w:rFonts w:ascii="Times New Roman" w:hAnsi="Times New Roman"/>
        </w:rPr>
        <w:t xml:space="preserve"> </w:t>
      </w:r>
      <w:r w:rsidR="00D849FD">
        <w:rPr>
          <w:rFonts w:ascii="Times New Roman" w:hAnsi="Times New Roman"/>
        </w:rPr>
        <w:t xml:space="preserve"> </w:t>
      </w:r>
      <w:r w:rsidRPr="009959C2" w:rsidR="00602A76">
        <w:rPr>
          <w:rFonts w:ascii="Times New Roman" w:hAnsi="Times New Roman"/>
          <w:szCs w:val="24"/>
        </w:rPr>
        <w:t xml:space="preserve">We will draw the </w:t>
      </w:r>
      <w:r w:rsidR="00602A76">
        <w:rPr>
          <w:rFonts w:ascii="Times New Roman" w:hAnsi="Times New Roman"/>
          <w:szCs w:val="24"/>
        </w:rPr>
        <w:t>SWS</w:t>
      </w:r>
      <w:r w:rsidRPr="009959C2" w:rsidR="00602A76">
        <w:rPr>
          <w:rFonts w:ascii="Times New Roman" w:hAnsi="Times New Roman"/>
          <w:szCs w:val="24"/>
        </w:rPr>
        <w:t xml:space="preserve"> from the same frame as the RBS, with the same criteria for inclusion listed above</w:t>
      </w:r>
      <w:r w:rsidR="00602A76">
        <w:rPr>
          <w:rFonts w:ascii="Times New Roman" w:hAnsi="Times New Roman"/>
          <w:szCs w:val="24"/>
        </w:rPr>
        <w:t xml:space="preserve"> for the RBS</w:t>
      </w:r>
      <w:r w:rsidRPr="009959C2" w:rsidR="00602A76">
        <w:rPr>
          <w:rFonts w:ascii="Times New Roman" w:hAnsi="Times New Roman"/>
          <w:szCs w:val="24"/>
        </w:rPr>
        <w:t>.</w:t>
      </w:r>
      <w:r w:rsidR="00602A76">
        <w:rPr>
          <w:rFonts w:ascii="Times New Roman" w:hAnsi="Times New Roman"/>
          <w:szCs w:val="24"/>
        </w:rPr>
        <w:t xml:space="preserve"> </w:t>
      </w:r>
      <w:r w:rsidR="00D849FD">
        <w:rPr>
          <w:rFonts w:ascii="Times New Roman" w:hAnsi="Times New Roman"/>
          <w:szCs w:val="24"/>
        </w:rPr>
        <w:t xml:space="preserve"> </w:t>
      </w:r>
      <w:r w:rsidRPr="009959C2" w:rsidR="00602A76">
        <w:rPr>
          <w:rFonts w:ascii="Times New Roman" w:hAnsi="Times New Roman"/>
          <w:szCs w:val="24"/>
        </w:rPr>
        <w:t xml:space="preserve">However, </w:t>
      </w:r>
      <w:r w:rsidR="00602A76">
        <w:rPr>
          <w:rFonts w:ascii="Times New Roman" w:hAnsi="Times New Roman"/>
          <w:szCs w:val="24"/>
        </w:rPr>
        <w:t xml:space="preserve">SSA will include </w:t>
      </w:r>
      <w:r w:rsidRPr="009959C2" w:rsidR="00602A76">
        <w:rPr>
          <w:rFonts w:ascii="Times New Roman" w:hAnsi="Times New Roman"/>
          <w:szCs w:val="24"/>
        </w:rPr>
        <w:t xml:space="preserve">additional criteria for the SWS: </w:t>
      </w:r>
    </w:p>
    <w:p w:rsidRPr="009959C2" w:rsidR="00602A76" w:rsidP="002321B5" w:rsidRDefault="00602A76" w14:paraId="365B363A" w14:textId="77777777">
      <w:pPr>
        <w:pStyle w:val="ListBullet"/>
        <w:tabs>
          <w:tab w:val="clear" w:pos="360"/>
          <w:tab w:val="num" w:pos="630"/>
        </w:tabs>
        <w:ind w:left="540" w:hanging="270"/>
      </w:pPr>
      <w:r w:rsidRPr="009959C2">
        <w:t xml:space="preserve">Identified as having three consecutive months of earnings above the </w:t>
      </w:r>
      <w:r>
        <w:t>nonblind s</w:t>
      </w:r>
      <w:r w:rsidRPr="009959C2">
        <w:t xml:space="preserve">ubstantial </w:t>
      </w:r>
      <w:r>
        <w:t>g</w:t>
      </w:r>
      <w:r w:rsidRPr="009959C2">
        <w:t xml:space="preserve">ainful </w:t>
      </w:r>
      <w:r>
        <w:t>a</w:t>
      </w:r>
      <w:r w:rsidRPr="009959C2">
        <w:t xml:space="preserve">ctivity (SGA) </w:t>
      </w:r>
      <w:r>
        <w:t>level</w:t>
      </w:r>
      <w:r w:rsidRPr="009959C2">
        <w:t>,</w:t>
      </w:r>
      <w:r w:rsidRPr="009E4B23">
        <w:rPr>
          <w:vertAlign w:val="superscript"/>
        </w:rPr>
        <w:footnoteReference w:id="6"/>
      </w:r>
      <w:r w:rsidRPr="009959C2">
        <w:t xml:space="preserve"> based on</w:t>
      </w:r>
      <w:r>
        <w:t xml:space="preserve"> </w:t>
      </w:r>
      <w:r w:rsidRPr="009959C2">
        <w:t xml:space="preserve">earnings data </w:t>
      </w:r>
      <w:r>
        <w:t>reported in</w:t>
      </w:r>
      <w:r w:rsidRPr="009959C2">
        <w:t xml:space="preserve"> SSA</w:t>
      </w:r>
      <w:r>
        <w:t>’s</w:t>
      </w:r>
      <w:r w:rsidRPr="009959C2">
        <w:t xml:space="preserve"> Disability Control File (DCF)</w:t>
      </w:r>
      <w:r w:rsidRPr="009E4B23">
        <w:rPr>
          <w:vertAlign w:val="superscript"/>
        </w:rPr>
        <w:footnoteReference w:id="7"/>
      </w:r>
    </w:p>
    <w:p w:rsidRPr="009959C2" w:rsidR="00602A76" w:rsidP="002321B5" w:rsidRDefault="00602A76" w14:paraId="643C32B9" w14:textId="77777777">
      <w:pPr>
        <w:pStyle w:val="ListBullet"/>
        <w:tabs>
          <w:tab w:val="clear" w:pos="360"/>
          <w:tab w:val="num" w:pos="630"/>
        </w:tabs>
        <w:ind w:left="540" w:hanging="270"/>
      </w:pPr>
      <w:r w:rsidRPr="009959C2">
        <w:t xml:space="preserve">No older than </w:t>
      </w:r>
      <w:r>
        <w:t xml:space="preserve">age </w:t>
      </w:r>
      <w:r w:rsidRPr="009959C2">
        <w:t>62 as of June 30</w:t>
      </w:r>
      <w:r>
        <w:t>, 2022 (the sampling month)</w:t>
      </w:r>
      <w:r>
        <w:rPr>
          <w:rStyle w:val="FootnoteReference"/>
        </w:rPr>
        <w:footnoteReference w:id="8"/>
      </w:r>
    </w:p>
    <w:p w:rsidR="00C96522" w:rsidP="002321B5" w:rsidRDefault="00602A76" w14:paraId="1DFF4F25" w14:textId="517B1E25">
      <w:pPr>
        <w:pStyle w:val="NormalSS"/>
        <w:tabs>
          <w:tab w:val="left" w:pos="90"/>
          <w:tab w:val="left" w:pos="2430"/>
        </w:tabs>
        <w:spacing w:after="0"/>
        <w:ind w:left="270" w:firstLine="0"/>
        <w:jc w:val="left"/>
        <w:rPr>
          <w:rFonts w:ascii="Times New Roman" w:hAnsi="Times New Roman"/>
          <w:szCs w:val="24"/>
        </w:rPr>
      </w:pPr>
      <w:r w:rsidRPr="009959C2">
        <w:rPr>
          <w:rFonts w:ascii="Times New Roman" w:hAnsi="Times New Roman"/>
          <w:szCs w:val="24"/>
        </w:rPr>
        <w:lastRenderedPageBreak/>
        <w:t xml:space="preserve">Based on data from </w:t>
      </w:r>
      <w:r>
        <w:rPr>
          <w:rFonts w:ascii="Times New Roman" w:hAnsi="Times New Roman"/>
          <w:szCs w:val="24"/>
        </w:rPr>
        <w:t>prior NBS rounds</w:t>
      </w:r>
      <w:r w:rsidRPr="009959C2">
        <w:rPr>
          <w:rFonts w:ascii="Times New Roman" w:hAnsi="Times New Roman"/>
          <w:szCs w:val="24"/>
        </w:rPr>
        <w:t xml:space="preserve">, we </w:t>
      </w:r>
      <w:r>
        <w:rPr>
          <w:rFonts w:ascii="Times New Roman" w:hAnsi="Times New Roman"/>
          <w:szCs w:val="24"/>
        </w:rPr>
        <w:t>expect</w:t>
      </w:r>
      <w:r w:rsidRPr="009959C2">
        <w:rPr>
          <w:rFonts w:ascii="Times New Roman" w:hAnsi="Times New Roman"/>
          <w:szCs w:val="24"/>
        </w:rPr>
        <w:t xml:space="preserve"> the size o</w:t>
      </w:r>
      <w:r>
        <w:rPr>
          <w:rFonts w:ascii="Times New Roman" w:hAnsi="Times New Roman"/>
          <w:szCs w:val="24"/>
        </w:rPr>
        <w:t xml:space="preserve">f the SWS target population </w:t>
      </w:r>
      <w:r w:rsidRPr="009959C2">
        <w:rPr>
          <w:rFonts w:ascii="Times New Roman" w:hAnsi="Times New Roman"/>
          <w:szCs w:val="24"/>
        </w:rPr>
        <w:t xml:space="preserve">we </w:t>
      </w:r>
      <w:r>
        <w:rPr>
          <w:rFonts w:ascii="Times New Roman" w:hAnsi="Times New Roman"/>
          <w:szCs w:val="24"/>
        </w:rPr>
        <w:t>will be able to</w:t>
      </w:r>
      <w:r w:rsidRPr="009959C2">
        <w:rPr>
          <w:rFonts w:ascii="Times New Roman" w:hAnsi="Times New Roman"/>
          <w:szCs w:val="24"/>
        </w:rPr>
        <w:t xml:space="preserve"> identify </w:t>
      </w:r>
      <w:r>
        <w:rPr>
          <w:rFonts w:ascii="Times New Roman" w:hAnsi="Times New Roman"/>
          <w:szCs w:val="24"/>
        </w:rPr>
        <w:t>at sample selection</w:t>
      </w:r>
      <w:r w:rsidRPr="009959C2">
        <w:rPr>
          <w:rFonts w:ascii="Times New Roman" w:hAnsi="Times New Roman"/>
          <w:szCs w:val="24"/>
        </w:rPr>
        <w:t xml:space="preserve"> </w:t>
      </w:r>
      <w:r>
        <w:rPr>
          <w:rFonts w:ascii="Times New Roman" w:hAnsi="Times New Roman"/>
          <w:szCs w:val="24"/>
        </w:rPr>
        <w:t>will be</w:t>
      </w:r>
      <w:r w:rsidRPr="009959C2">
        <w:rPr>
          <w:rFonts w:ascii="Times New Roman" w:hAnsi="Times New Roman"/>
          <w:szCs w:val="24"/>
        </w:rPr>
        <w:t xml:space="preserve"> about </w:t>
      </w:r>
      <w:r>
        <w:rPr>
          <w:rFonts w:ascii="Times New Roman" w:hAnsi="Times New Roman"/>
          <w:szCs w:val="24"/>
        </w:rPr>
        <w:t>100,000.</w:t>
      </w:r>
      <w:r>
        <w:rPr>
          <w:rStyle w:val="FootnoteReference"/>
          <w:rFonts w:ascii="Times New Roman" w:hAnsi="Times New Roman"/>
          <w:szCs w:val="24"/>
        </w:rPr>
        <w:footnoteReference w:id="9"/>
      </w:r>
      <w:r w:rsidRPr="009959C2">
        <w:rPr>
          <w:rFonts w:ascii="Times New Roman" w:hAnsi="Times New Roman"/>
          <w:szCs w:val="24"/>
        </w:rPr>
        <w:t xml:space="preserve"> </w:t>
      </w:r>
      <w:r w:rsidR="008450AE">
        <w:rPr>
          <w:rFonts w:ascii="Times New Roman" w:hAnsi="Times New Roman"/>
          <w:szCs w:val="24"/>
        </w:rPr>
        <w:t xml:space="preserve"> </w:t>
      </w:r>
      <w:r>
        <w:rPr>
          <w:rFonts w:ascii="Times New Roman" w:hAnsi="Times New Roman"/>
          <w:szCs w:val="24"/>
        </w:rPr>
        <w:t xml:space="preserve">Note that because of the </w:t>
      </w:r>
    </w:p>
    <w:p w:rsidRPr="009959C2" w:rsidR="00602A76" w:rsidP="002321B5" w:rsidRDefault="00602A76" w14:paraId="7472D35F" w14:textId="4A1B8D0F">
      <w:pPr>
        <w:pStyle w:val="NormalSS"/>
        <w:tabs>
          <w:tab w:val="left" w:pos="90"/>
          <w:tab w:val="left" w:pos="2430"/>
        </w:tabs>
        <w:spacing w:after="0"/>
        <w:ind w:left="270" w:firstLine="0"/>
        <w:jc w:val="left"/>
        <w:rPr>
          <w:rFonts w:ascii="Times New Roman" w:hAnsi="Times New Roman"/>
          <w:szCs w:val="24"/>
        </w:rPr>
      </w:pPr>
      <w:r>
        <w:rPr>
          <w:rFonts w:ascii="Times New Roman" w:hAnsi="Times New Roman"/>
          <w:szCs w:val="24"/>
        </w:rPr>
        <w:t>COVID-19 pandemic, the size of the actual SWS target population for Round 8 might differ.</w:t>
      </w:r>
    </w:p>
    <w:p w:rsidR="00602A76" w:rsidP="002321B5" w:rsidRDefault="00602A76" w14:paraId="7423E07D" w14:textId="3B35A4EC">
      <w:pPr>
        <w:pStyle w:val="NormalSS"/>
        <w:tabs>
          <w:tab w:val="left" w:pos="90"/>
          <w:tab w:val="left" w:pos="2430"/>
        </w:tabs>
        <w:ind w:left="270" w:firstLine="0"/>
        <w:jc w:val="left"/>
        <w:rPr>
          <w:rFonts w:ascii="Times New Roman" w:hAnsi="Times New Roman"/>
          <w:szCs w:val="24"/>
        </w:rPr>
      </w:pPr>
      <w:r>
        <w:rPr>
          <w:rFonts w:ascii="Times New Roman" w:hAnsi="Times New Roman"/>
          <w:szCs w:val="24"/>
        </w:rPr>
        <w:t>T</w:t>
      </w:r>
      <w:r w:rsidRPr="009959C2">
        <w:rPr>
          <w:rFonts w:ascii="Times New Roman" w:hAnsi="Times New Roman"/>
          <w:szCs w:val="24"/>
        </w:rPr>
        <w:t xml:space="preserve">o identify </w:t>
      </w:r>
      <w:r>
        <w:rPr>
          <w:rFonts w:ascii="Times New Roman" w:hAnsi="Times New Roman"/>
          <w:szCs w:val="24"/>
        </w:rPr>
        <w:t xml:space="preserve">enough </w:t>
      </w:r>
      <w:r w:rsidRPr="009959C2">
        <w:rPr>
          <w:rFonts w:ascii="Times New Roman" w:hAnsi="Times New Roman"/>
          <w:szCs w:val="24"/>
        </w:rPr>
        <w:t>respondents whose successful work began recently</w:t>
      </w:r>
      <w:r>
        <w:rPr>
          <w:rFonts w:ascii="Times New Roman" w:hAnsi="Times New Roman"/>
          <w:szCs w:val="24"/>
        </w:rPr>
        <w:t xml:space="preserve"> for the SWS</w:t>
      </w:r>
      <w:r w:rsidRPr="009959C2">
        <w:rPr>
          <w:rFonts w:ascii="Times New Roman" w:hAnsi="Times New Roman"/>
          <w:szCs w:val="24"/>
        </w:rPr>
        <w:t xml:space="preserve">, </w:t>
      </w:r>
      <w:r>
        <w:rPr>
          <w:rFonts w:ascii="Times New Roman" w:hAnsi="Times New Roman"/>
          <w:szCs w:val="24"/>
        </w:rPr>
        <w:t>we</w:t>
      </w:r>
      <w:r w:rsidRPr="009959C2">
        <w:rPr>
          <w:rFonts w:ascii="Times New Roman" w:hAnsi="Times New Roman"/>
          <w:szCs w:val="24"/>
        </w:rPr>
        <w:t xml:space="preserve"> </w:t>
      </w:r>
      <w:r>
        <w:rPr>
          <w:rFonts w:ascii="Times New Roman" w:hAnsi="Times New Roman"/>
          <w:szCs w:val="24"/>
        </w:rPr>
        <w:t>must</w:t>
      </w:r>
      <w:r w:rsidRPr="009959C2">
        <w:rPr>
          <w:rFonts w:ascii="Times New Roman" w:hAnsi="Times New Roman"/>
          <w:szCs w:val="24"/>
        </w:rPr>
        <w:t xml:space="preserve"> create seven subset frames at six-week intervals during the data collection period.</w:t>
      </w:r>
      <w:r w:rsidR="00D849FD">
        <w:rPr>
          <w:rFonts w:ascii="Times New Roman" w:hAnsi="Times New Roman"/>
          <w:szCs w:val="24"/>
        </w:rPr>
        <w:t xml:space="preserve"> </w:t>
      </w:r>
      <w:r>
        <w:rPr>
          <w:rFonts w:ascii="Times New Roman" w:hAnsi="Times New Roman"/>
          <w:szCs w:val="24"/>
        </w:rPr>
        <w:t xml:space="preserve"> </w:t>
      </w:r>
      <w:r w:rsidRPr="009959C2">
        <w:rPr>
          <w:rFonts w:ascii="Times New Roman" w:hAnsi="Times New Roman"/>
          <w:szCs w:val="24"/>
        </w:rPr>
        <w:t>Each of the samples from these subset frames will act as strata, with independent samples of approximately equal size drawn from each frame.</w:t>
      </w:r>
      <w:r w:rsidR="008450AE">
        <w:rPr>
          <w:rFonts w:ascii="Times New Roman" w:hAnsi="Times New Roman"/>
          <w:szCs w:val="24"/>
        </w:rPr>
        <w:t xml:space="preserve"> </w:t>
      </w:r>
      <w:r>
        <w:rPr>
          <w:rFonts w:ascii="Times New Roman" w:hAnsi="Times New Roman"/>
          <w:szCs w:val="24"/>
        </w:rPr>
        <w:t xml:space="preserve"> </w:t>
      </w:r>
      <w:r w:rsidRPr="009959C2">
        <w:rPr>
          <w:rFonts w:ascii="Times New Roman" w:hAnsi="Times New Roman"/>
          <w:szCs w:val="24"/>
        </w:rPr>
        <w:t>Beneficiary type, or “</w:t>
      </w:r>
      <w:r>
        <w:rPr>
          <w:rFonts w:ascii="Times New Roman" w:hAnsi="Times New Roman"/>
          <w:szCs w:val="24"/>
        </w:rPr>
        <w:t>T</w:t>
      </w:r>
      <w:r w:rsidRPr="009959C2">
        <w:rPr>
          <w:rFonts w:ascii="Times New Roman" w:hAnsi="Times New Roman"/>
          <w:szCs w:val="24"/>
        </w:rPr>
        <w:t>itle” (</w:t>
      </w:r>
      <w:r>
        <w:rPr>
          <w:rFonts w:ascii="Times New Roman" w:hAnsi="Times New Roman"/>
          <w:szCs w:val="24"/>
        </w:rPr>
        <w:t>SS</w:t>
      </w:r>
      <w:r w:rsidRPr="009959C2">
        <w:rPr>
          <w:rFonts w:ascii="Times New Roman" w:hAnsi="Times New Roman"/>
          <w:szCs w:val="24"/>
        </w:rPr>
        <w:t>DI</w:t>
      </w:r>
      <w:r>
        <w:rPr>
          <w:rFonts w:ascii="Times New Roman" w:hAnsi="Times New Roman"/>
          <w:szCs w:val="24"/>
        </w:rPr>
        <w:t xml:space="preserve"> </w:t>
      </w:r>
      <w:r w:rsidRPr="009959C2">
        <w:rPr>
          <w:rFonts w:ascii="Times New Roman" w:hAnsi="Times New Roman"/>
          <w:szCs w:val="24"/>
        </w:rPr>
        <w:t>only and SSI</w:t>
      </w:r>
      <w:r>
        <w:rPr>
          <w:rFonts w:ascii="Times New Roman" w:hAnsi="Times New Roman"/>
          <w:szCs w:val="24"/>
        </w:rPr>
        <w:t xml:space="preserve"> [</w:t>
      </w:r>
      <w:r w:rsidRPr="009959C2">
        <w:rPr>
          <w:rFonts w:ascii="Times New Roman" w:hAnsi="Times New Roman"/>
          <w:szCs w:val="24"/>
        </w:rPr>
        <w:t xml:space="preserve">with </w:t>
      </w:r>
      <w:r>
        <w:rPr>
          <w:rFonts w:ascii="Times New Roman" w:hAnsi="Times New Roman"/>
          <w:szCs w:val="24"/>
        </w:rPr>
        <w:t>or without SS</w:t>
      </w:r>
      <w:r w:rsidRPr="009959C2">
        <w:rPr>
          <w:rFonts w:ascii="Times New Roman" w:hAnsi="Times New Roman"/>
          <w:szCs w:val="24"/>
        </w:rPr>
        <w:t>DI</w:t>
      </w:r>
      <w:r>
        <w:rPr>
          <w:rFonts w:ascii="Times New Roman" w:hAnsi="Times New Roman"/>
          <w:szCs w:val="24"/>
        </w:rPr>
        <w:t>]</w:t>
      </w:r>
      <w:r w:rsidRPr="009959C2">
        <w:rPr>
          <w:rFonts w:ascii="Times New Roman" w:hAnsi="Times New Roman"/>
          <w:szCs w:val="24"/>
        </w:rPr>
        <w:t>) will act as a substratum within each subset frame.</w:t>
      </w:r>
      <w:r>
        <w:rPr>
          <w:rFonts w:ascii="Times New Roman" w:hAnsi="Times New Roman"/>
          <w:szCs w:val="24"/>
        </w:rPr>
        <w:t xml:space="preserve"> </w:t>
      </w:r>
      <w:r w:rsidRPr="009959C2">
        <w:rPr>
          <w:rFonts w:ascii="Times New Roman" w:hAnsi="Times New Roman"/>
          <w:szCs w:val="24"/>
        </w:rPr>
        <w:t xml:space="preserve">In Table </w:t>
      </w:r>
      <w:r>
        <w:rPr>
          <w:rFonts w:ascii="Times New Roman" w:hAnsi="Times New Roman"/>
          <w:szCs w:val="24"/>
        </w:rPr>
        <w:t>B.</w:t>
      </w:r>
      <w:r w:rsidRPr="009959C2">
        <w:rPr>
          <w:rFonts w:ascii="Times New Roman" w:hAnsi="Times New Roman"/>
          <w:szCs w:val="24"/>
        </w:rPr>
        <w:t xml:space="preserve">1, </w:t>
      </w:r>
      <w:r>
        <w:rPr>
          <w:rFonts w:ascii="Times New Roman" w:hAnsi="Times New Roman"/>
          <w:szCs w:val="24"/>
        </w:rPr>
        <w:t xml:space="preserve">we collapsed </w:t>
      </w:r>
      <w:r w:rsidRPr="009959C2">
        <w:rPr>
          <w:rFonts w:ascii="Times New Roman" w:hAnsi="Times New Roman"/>
          <w:szCs w:val="24"/>
        </w:rPr>
        <w:t xml:space="preserve">the seven samples into a single sample, broken out by beneficiary title. </w:t>
      </w:r>
    </w:p>
    <w:p w:rsidRPr="0020667A" w:rsidR="00602A76" w:rsidP="002321B5" w:rsidRDefault="00602A76" w14:paraId="1F681AB7" w14:textId="77777777">
      <w:pPr>
        <w:tabs>
          <w:tab w:val="left" w:pos="90"/>
        </w:tabs>
        <w:spacing w:line="240" w:lineRule="auto"/>
        <w:ind w:left="270"/>
        <w:rPr>
          <w:sz w:val="24"/>
          <w:szCs w:val="24"/>
        </w:rPr>
      </w:pPr>
      <w:r w:rsidRPr="0020667A">
        <w:rPr>
          <w:sz w:val="24"/>
          <w:szCs w:val="24"/>
        </w:rPr>
        <w:t>For the NBS Round 8, we plan to complete 5,000 interviews with the RBS sample and 3,000 interviews with the SWS sample.</w:t>
      </w:r>
    </w:p>
    <w:p w:rsidR="00602A76" w:rsidP="00602A76" w:rsidRDefault="00602A76" w14:paraId="5ACE0D53" w14:textId="77777777">
      <w:pPr>
        <w:pStyle w:val="TableTitle"/>
      </w:pPr>
      <w:bookmarkStart w:name="_Toc339443055" w:id="11"/>
      <w:bookmarkStart w:name="_Toc370718100" w:id="12"/>
      <w:bookmarkStart w:name="_Toc101247285" w:id="13"/>
      <w:bookmarkStart w:name="_Toc101249075" w:id="14"/>
      <w:r w:rsidRPr="001B7889">
        <w:t>Table B.1. NBS</w:t>
      </w:r>
      <w:r>
        <w:t xml:space="preserve"> Round 8 </w:t>
      </w:r>
      <w:r w:rsidRPr="001B7889">
        <w:t xml:space="preserve">Sample </w:t>
      </w:r>
      <w:bookmarkEnd w:id="11"/>
      <w:r w:rsidRPr="001B7889">
        <w:t>Sizes by Strata</w:t>
      </w:r>
      <w:bookmarkEnd w:id="12"/>
      <w:bookmarkEnd w:id="13"/>
      <w:bookmarkEnd w:id="14"/>
    </w:p>
    <w:tbl>
      <w:tblPr>
        <w:tblW w:w="49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35"/>
        <w:gridCol w:w="2210"/>
        <w:gridCol w:w="2210"/>
      </w:tblGrid>
      <w:tr w:rsidRPr="004A47FD" w:rsidR="00602A76" w:rsidTr="00A1234B" w14:paraId="52042C09" w14:textId="77777777">
        <w:trPr>
          <w:tblHeader/>
        </w:trPr>
        <w:tc>
          <w:tcPr>
            <w:tcW w:w="2612" w:type="pct"/>
            <w:tcBorders>
              <w:top w:val="single" w:color="auto" w:sz="12" w:space="0"/>
              <w:left w:val="nil"/>
              <w:bottom w:val="single" w:color="000000" w:sz="4" w:space="0"/>
              <w:right w:val="nil"/>
            </w:tcBorders>
            <w:vAlign w:val="bottom"/>
          </w:tcPr>
          <w:p w:rsidRPr="004A47FD" w:rsidR="00602A76" w:rsidP="009431AD" w:rsidRDefault="00602A76" w14:paraId="2DE21546" w14:textId="77777777">
            <w:pPr>
              <w:pStyle w:val="TableHeaderLeft"/>
              <w:rPr>
                <w:rFonts w:ascii="Times New Roman" w:hAnsi="Times New Roman"/>
                <w:sz w:val="22"/>
              </w:rPr>
            </w:pPr>
            <w:r w:rsidRPr="004A47FD">
              <w:rPr>
                <w:rFonts w:ascii="Times New Roman" w:hAnsi="Times New Roman"/>
                <w:sz w:val="22"/>
              </w:rPr>
              <w:t>Sampling Strata</w:t>
            </w:r>
          </w:p>
        </w:tc>
        <w:tc>
          <w:tcPr>
            <w:tcW w:w="1194" w:type="pct"/>
            <w:tcBorders>
              <w:top w:val="single" w:color="auto" w:sz="12" w:space="0"/>
              <w:left w:val="nil"/>
              <w:bottom w:val="single" w:color="000000" w:sz="4" w:space="0"/>
              <w:right w:val="nil"/>
            </w:tcBorders>
            <w:vAlign w:val="bottom"/>
          </w:tcPr>
          <w:p w:rsidRPr="004A47FD" w:rsidR="00602A76" w:rsidP="009431AD" w:rsidRDefault="00602A76" w14:paraId="5556FC64" w14:textId="77777777">
            <w:pPr>
              <w:pStyle w:val="TableHeaderLeft"/>
              <w:jc w:val="center"/>
              <w:rPr>
                <w:rFonts w:ascii="Times New Roman" w:hAnsi="Times New Roman"/>
                <w:sz w:val="22"/>
              </w:rPr>
            </w:pPr>
            <w:r w:rsidRPr="004A47FD">
              <w:rPr>
                <w:rFonts w:ascii="Times New Roman" w:hAnsi="Times New Roman"/>
                <w:sz w:val="22"/>
              </w:rPr>
              <w:t>Sample Size</w:t>
            </w:r>
          </w:p>
        </w:tc>
        <w:tc>
          <w:tcPr>
            <w:tcW w:w="1194" w:type="pct"/>
            <w:tcBorders>
              <w:top w:val="single" w:color="auto" w:sz="12" w:space="0"/>
              <w:left w:val="nil"/>
              <w:bottom w:val="single" w:color="000000" w:sz="4" w:space="0"/>
              <w:right w:val="nil"/>
            </w:tcBorders>
          </w:tcPr>
          <w:p w:rsidRPr="004A47FD" w:rsidR="00602A76" w:rsidP="00673298" w:rsidRDefault="00602A76" w14:paraId="051D59A1" w14:textId="77777777">
            <w:pPr>
              <w:pStyle w:val="TableHeaderLeft"/>
              <w:ind w:left="-136" w:right="-26"/>
              <w:jc w:val="center"/>
              <w:rPr>
                <w:rFonts w:ascii="Times New Roman" w:hAnsi="Times New Roman"/>
                <w:sz w:val="22"/>
              </w:rPr>
            </w:pPr>
            <w:r w:rsidRPr="004A47FD">
              <w:rPr>
                <w:rFonts w:ascii="Times New Roman" w:hAnsi="Times New Roman"/>
                <w:sz w:val="22"/>
              </w:rPr>
              <w:t>Target # of Completed Interviews</w:t>
            </w:r>
          </w:p>
        </w:tc>
      </w:tr>
      <w:tr w:rsidRPr="004A47FD" w:rsidR="00602A76" w:rsidTr="00A1234B" w14:paraId="14579F7B" w14:textId="77777777">
        <w:tc>
          <w:tcPr>
            <w:tcW w:w="2612" w:type="pct"/>
            <w:tcBorders>
              <w:top w:val="nil"/>
              <w:left w:val="nil"/>
              <w:bottom w:val="nil"/>
              <w:right w:val="nil"/>
            </w:tcBorders>
            <w:vAlign w:val="bottom"/>
          </w:tcPr>
          <w:p w:rsidRPr="004A47FD" w:rsidR="00602A76" w:rsidP="009431AD" w:rsidRDefault="00602A76" w14:paraId="051A381B" w14:textId="77777777">
            <w:pPr>
              <w:pStyle w:val="TableText"/>
              <w:rPr>
                <w:rFonts w:ascii="Times New Roman" w:hAnsi="Times New Roman"/>
                <w:sz w:val="22"/>
                <w:szCs w:val="22"/>
              </w:rPr>
            </w:pPr>
            <w:r w:rsidRPr="004A47FD">
              <w:rPr>
                <w:rFonts w:ascii="Times New Roman" w:hAnsi="Times New Roman"/>
                <w:sz w:val="22"/>
                <w:szCs w:val="22"/>
              </w:rPr>
              <w:t>RBS</w:t>
            </w:r>
          </w:p>
        </w:tc>
        <w:tc>
          <w:tcPr>
            <w:tcW w:w="1194" w:type="pct"/>
            <w:tcBorders>
              <w:top w:val="nil"/>
              <w:left w:val="nil"/>
              <w:bottom w:val="nil"/>
              <w:right w:val="nil"/>
            </w:tcBorders>
            <w:vAlign w:val="bottom"/>
          </w:tcPr>
          <w:p w:rsidRPr="004A47FD" w:rsidR="00602A76" w:rsidP="009431AD" w:rsidRDefault="00602A76" w14:paraId="59E70753" w14:textId="77777777">
            <w:pPr>
              <w:pStyle w:val="TableText"/>
              <w:ind w:right="892"/>
              <w:jc w:val="right"/>
              <w:rPr>
                <w:rFonts w:ascii="Times New Roman" w:hAnsi="Times New Roman"/>
                <w:sz w:val="22"/>
                <w:szCs w:val="22"/>
              </w:rPr>
            </w:pPr>
            <w:r w:rsidRPr="004A47FD">
              <w:rPr>
                <w:rFonts w:ascii="Times New Roman" w:hAnsi="Times New Roman"/>
                <w:sz w:val="22"/>
                <w:szCs w:val="22"/>
              </w:rPr>
              <w:t>6,250</w:t>
            </w:r>
          </w:p>
        </w:tc>
        <w:tc>
          <w:tcPr>
            <w:tcW w:w="1194" w:type="pct"/>
            <w:tcBorders>
              <w:top w:val="nil"/>
              <w:left w:val="nil"/>
              <w:bottom w:val="nil"/>
              <w:right w:val="nil"/>
            </w:tcBorders>
            <w:vAlign w:val="bottom"/>
          </w:tcPr>
          <w:p w:rsidRPr="004A47FD" w:rsidR="00602A76" w:rsidP="00673298" w:rsidRDefault="00602A76" w14:paraId="0F10D8BE" w14:textId="77777777">
            <w:pPr>
              <w:pStyle w:val="TableText"/>
              <w:tabs>
                <w:tab w:val="decimal" w:pos="1214"/>
              </w:tabs>
              <w:ind w:right="64"/>
              <w:rPr>
                <w:rFonts w:ascii="Times New Roman" w:hAnsi="Times New Roman"/>
                <w:sz w:val="22"/>
                <w:szCs w:val="22"/>
              </w:rPr>
            </w:pPr>
            <w:r w:rsidRPr="004A47FD">
              <w:rPr>
                <w:rFonts w:ascii="Times New Roman" w:hAnsi="Times New Roman"/>
                <w:sz w:val="22"/>
                <w:szCs w:val="22"/>
              </w:rPr>
              <w:t>5,000</w:t>
            </w:r>
          </w:p>
        </w:tc>
      </w:tr>
      <w:tr w:rsidRPr="004A47FD" w:rsidR="00602A76" w:rsidTr="00A1234B" w14:paraId="75921C20" w14:textId="77777777">
        <w:tc>
          <w:tcPr>
            <w:tcW w:w="2612" w:type="pct"/>
            <w:tcBorders>
              <w:top w:val="nil"/>
              <w:left w:val="nil"/>
              <w:bottom w:val="nil"/>
              <w:right w:val="nil"/>
            </w:tcBorders>
            <w:vAlign w:val="bottom"/>
          </w:tcPr>
          <w:p w:rsidRPr="004A47FD" w:rsidR="00602A76" w:rsidP="00BD3610" w:rsidRDefault="00BD3610" w14:paraId="6D41890F" w14:textId="51910E92">
            <w:pPr>
              <w:pStyle w:val="TableText"/>
              <w:tabs>
                <w:tab w:val="decimal" w:pos="1214"/>
              </w:tabs>
              <w:ind w:right="64" w:firstLine="180"/>
              <w:rPr>
                <w:rFonts w:ascii="Times New Roman" w:hAnsi="Times New Roman"/>
                <w:sz w:val="22"/>
                <w:szCs w:val="22"/>
              </w:rPr>
            </w:pPr>
            <w:r>
              <w:rPr>
                <w:rFonts w:ascii="Times New Roman" w:hAnsi="Times New Roman"/>
                <w:sz w:val="22"/>
                <w:szCs w:val="22"/>
              </w:rPr>
              <w:t>Positive earnings in 2021</w:t>
            </w:r>
          </w:p>
        </w:tc>
        <w:tc>
          <w:tcPr>
            <w:tcW w:w="1194" w:type="pct"/>
            <w:tcBorders>
              <w:top w:val="nil"/>
              <w:left w:val="nil"/>
              <w:bottom w:val="nil"/>
              <w:right w:val="nil"/>
            </w:tcBorders>
            <w:vAlign w:val="bottom"/>
          </w:tcPr>
          <w:p w:rsidRPr="004A47FD" w:rsidR="00602A76" w:rsidP="009431AD" w:rsidRDefault="00602A76" w14:paraId="0633F78B" w14:textId="44E8CCFB">
            <w:pPr>
              <w:pStyle w:val="TableText"/>
              <w:ind w:right="892"/>
              <w:jc w:val="right"/>
              <w:rPr>
                <w:rFonts w:ascii="Times New Roman" w:hAnsi="Times New Roman"/>
                <w:sz w:val="22"/>
                <w:szCs w:val="22"/>
              </w:rPr>
            </w:pPr>
            <w:r>
              <w:rPr>
                <w:rFonts w:ascii="Times New Roman" w:hAnsi="Times New Roman"/>
                <w:sz w:val="22"/>
                <w:szCs w:val="22"/>
              </w:rPr>
              <w:t>1,</w:t>
            </w:r>
            <w:r w:rsidR="00BD3610">
              <w:rPr>
                <w:rFonts w:ascii="Times New Roman" w:hAnsi="Times New Roman"/>
                <w:sz w:val="22"/>
                <w:szCs w:val="22"/>
              </w:rPr>
              <w:t>500</w:t>
            </w:r>
          </w:p>
        </w:tc>
        <w:tc>
          <w:tcPr>
            <w:tcW w:w="1194" w:type="pct"/>
            <w:tcBorders>
              <w:top w:val="nil"/>
              <w:left w:val="nil"/>
              <w:bottom w:val="nil"/>
              <w:right w:val="nil"/>
            </w:tcBorders>
            <w:vAlign w:val="bottom"/>
          </w:tcPr>
          <w:p w:rsidRPr="004A47FD" w:rsidR="00602A76" w:rsidP="00673298" w:rsidRDefault="00602A76" w14:paraId="12AC42FA" w14:textId="320CA023">
            <w:pPr>
              <w:pStyle w:val="TableText"/>
              <w:tabs>
                <w:tab w:val="decimal" w:pos="1214"/>
              </w:tabs>
              <w:ind w:right="64"/>
              <w:rPr>
                <w:rFonts w:ascii="Times New Roman" w:hAnsi="Times New Roman"/>
                <w:sz w:val="22"/>
                <w:szCs w:val="22"/>
              </w:rPr>
            </w:pPr>
            <w:r>
              <w:rPr>
                <w:rFonts w:ascii="Times New Roman" w:hAnsi="Times New Roman"/>
                <w:sz w:val="22"/>
                <w:szCs w:val="22"/>
              </w:rPr>
              <w:t>1,</w:t>
            </w:r>
            <w:r w:rsidR="00BD3610">
              <w:rPr>
                <w:rFonts w:ascii="Times New Roman" w:hAnsi="Times New Roman"/>
                <w:sz w:val="22"/>
                <w:szCs w:val="22"/>
              </w:rPr>
              <w:t>200</w:t>
            </w:r>
          </w:p>
        </w:tc>
      </w:tr>
      <w:tr w:rsidRPr="004A47FD" w:rsidR="00602A76" w:rsidTr="00A1234B" w14:paraId="548946EA" w14:textId="77777777">
        <w:tc>
          <w:tcPr>
            <w:tcW w:w="2612" w:type="pct"/>
            <w:tcBorders>
              <w:top w:val="nil"/>
              <w:left w:val="nil"/>
              <w:bottom w:val="nil"/>
              <w:right w:val="nil"/>
            </w:tcBorders>
            <w:vAlign w:val="bottom"/>
          </w:tcPr>
          <w:p w:rsidR="00602A76" w:rsidP="009431AD" w:rsidRDefault="00BD3610" w14:paraId="014DF762" w14:textId="29682839">
            <w:pPr>
              <w:pStyle w:val="TableText"/>
              <w:ind w:firstLine="180"/>
              <w:rPr>
                <w:rFonts w:ascii="Times New Roman" w:hAnsi="Times New Roman"/>
                <w:sz w:val="22"/>
                <w:szCs w:val="22"/>
              </w:rPr>
            </w:pPr>
            <w:r>
              <w:rPr>
                <w:rFonts w:ascii="Times New Roman" w:hAnsi="Times New Roman"/>
                <w:sz w:val="22"/>
                <w:szCs w:val="22"/>
              </w:rPr>
              <w:t>Zero earnings in 2021, age 18</w:t>
            </w:r>
            <w:r w:rsidR="00602A76">
              <w:rPr>
                <w:rFonts w:ascii="Times New Roman" w:hAnsi="Times New Roman"/>
                <w:sz w:val="22"/>
                <w:szCs w:val="22"/>
              </w:rPr>
              <w:t xml:space="preserve"> to 39</w:t>
            </w:r>
          </w:p>
        </w:tc>
        <w:tc>
          <w:tcPr>
            <w:tcW w:w="1194" w:type="pct"/>
            <w:tcBorders>
              <w:top w:val="nil"/>
              <w:left w:val="nil"/>
              <w:bottom w:val="nil"/>
              <w:right w:val="nil"/>
            </w:tcBorders>
            <w:vAlign w:val="bottom"/>
          </w:tcPr>
          <w:p w:rsidR="00602A76" w:rsidP="009431AD" w:rsidRDefault="00BD3610" w14:paraId="2718128A" w14:textId="1BDBCD74">
            <w:pPr>
              <w:pStyle w:val="TableText"/>
              <w:ind w:right="892"/>
              <w:jc w:val="right"/>
              <w:rPr>
                <w:rFonts w:ascii="Times New Roman" w:hAnsi="Times New Roman"/>
                <w:sz w:val="22"/>
                <w:szCs w:val="22"/>
              </w:rPr>
            </w:pPr>
            <w:r>
              <w:rPr>
                <w:rFonts w:ascii="Times New Roman" w:hAnsi="Times New Roman"/>
                <w:sz w:val="22"/>
                <w:szCs w:val="22"/>
              </w:rPr>
              <w:t>2,000</w:t>
            </w:r>
          </w:p>
        </w:tc>
        <w:tc>
          <w:tcPr>
            <w:tcW w:w="1194" w:type="pct"/>
            <w:tcBorders>
              <w:top w:val="nil"/>
              <w:left w:val="nil"/>
              <w:bottom w:val="nil"/>
              <w:right w:val="nil"/>
            </w:tcBorders>
            <w:vAlign w:val="bottom"/>
          </w:tcPr>
          <w:p w:rsidR="00602A76" w:rsidP="00673298" w:rsidRDefault="00602A76" w14:paraId="618C0ADA" w14:textId="5A659E33">
            <w:pPr>
              <w:pStyle w:val="TableText"/>
              <w:tabs>
                <w:tab w:val="decimal" w:pos="1214"/>
              </w:tabs>
              <w:ind w:right="64"/>
              <w:rPr>
                <w:rFonts w:ascii="Times New Roman" w:hAnsi="Times New Roman"/>
                <w:sz w:val="22"/>
                <w:szCs w:val="22"/>
              </w:rPr>
            </w:pPr>
            <w:r>
              <w:rPr>
                <w:rFonts w:ascii="Times New Roman" w:hAnsi="Times New Roman"/>
                <w:sz w:val="22"/>
                <w:szCs w:val="22"/>
              </w:rPr>
              <w:t>1,</w:t>
            </w:r>
            <w:r w:rsidR="00BD3610">
              <w:rPr>
                <w:rFonts w:ascii="Times New Roman" w:hAnsi="Times New Roman"/>
                <w:sz w:val="22"/>
                <w:szCs w:val="22"/>
              </w:rPr>
              <w:t>600</w:t>
            </w:r>
          </w:p>
        </w:tc>
      </w:tr>
      <w:tr w:rsidRPr="004A47FD" w:rsidR="00602A76" w:rsidTr="00A1234B" w14:paraId="569DEBA7" w14:textId="77777777">
        <w:tc>
          <w:tcPr>
            <w:tcW w:w="2612" w:type="pct"/>
            <w:tcBorders>
              <w:top w:val="nil"/>
              <w:left w:val="nil"/>
              <w:bottom w:val="nil"/>
              <w:right w:val="nil"/>
            </w:tcBorders>
            <w:vAlign w:val="bottom"/>
          </w:tcPr>
          <w:p w:rsidR="00602A76" w:rsidP="009431AD" w:rsidRDefault="00BD3610" w14:paraId="31726EF4" w14:textId="0836E3B4">
            <w:pPr>
              <w:pStyle w:val="TableText"/>
              <w:ind w:firstLine="180"/>
              <w:rPr>
                <w:rFonts w:ascii="Times New Roman" w:hAnsi="Times New Roman"/>
                <w:sz w:val="22"/>
                <w:szCs w:val="22"/>
              </w:rPr>
            </w:pPr>
            <w:r>
              <w:rPr>
                <w:rFonts w:ascii="Times New Roman" w:hAnsi="Times New Roman"/>
                <w:sz w:val="22"/>
                <w:szCs w:val="22"/>
              </w:rPr>
              <w:t xml:space="preserve">Zero earnings in 2021, age </w:t>
            </w:r>
            <w:r w:rsidR="00602A76">
              <w:rPr>
                <w:rFonts w:ascii="Times New Roman" w:hAnsi="Times New Roman"/>
                <w:sz w:val="22"/>
                <w:szCs w:val="22"/>
              </w:rPr>
              <w:t>40 to 49</w:t>
            </w:r>
          </w:p>
        </w:tc>
        <w:tc>
          <w:tcPr>
            <w:tcW w:w="1194" w:type="pct"/>
            <w:tcBorders>
              <w:top w:val="nil"/>
              <w:left w:val="nil"/>
              <w:bottom w:val="nil"/>
              <w:right w:val="nil"/>
            </w:tcBorders>
            <w:vAlign w:val="bottom"/>
          </w:tcPr>
          <w:p w:rsidR="00602A76" w:rsidP="009431AD" w:rsidRDefault="00602A76" w14:paraId="0E17485B" w14:textId="0772FA2D">
            <w:pPr>
              <w:pStyle w:val="TableText"/>
              <w:ind w:right="892"/>
              <w:jc w:val="right"/>
              <w:rPr>
                <w:rFonts w:ascii="Times New Roman" w:hAnsi="Times New Roman"/>
                <w:sz w:val="22"/>
                <w:szCs w:val="22"/>
              </w:rPr>
            </w:pPr>
            <w:r>
              <w:rPr>
                <w:rFonts w:ascii="Times New Roman" w:hAnsi="Times New Roman"/>
                <w:sz w:val="22"/>
                <w:szCs w:val="22"/>
              </w:rPr>
              <w:t>1,</w:t>
            </w:r>
            <w:r w:rsidR="00BD3610">
              <w:rPr>
                <w:rFonts w:ascii="Times New Roman" w:hAnsi="Times New Roman"/>
                <w:sz w:val="22"/>
                <w:szCs w:val="22"/>
              </w:rPr>
              <w:t>375</w:t>
            </w:r>
          </w:p>
        </w:tc>
        <w:tc>
          <w:tcPr>
            <w:tcW w:w="1194" w:type="pct"/>
            <w:tcBorders>
              <w:top w:val="nil"/>
              <w:left w:val="nil"/>
              <w:bottom w:val="nil"/>
              <w:right w:val="nil"/>
            </w:tcBorders>
            <w:vAlign w:val="bottom"/>
          </w:tcPr>
          <w:p w:rsidR="00602A76" w:rsidP="00673298" w:rsidRDefault="00602A76" w14:paraId="2E3F8A00" w14:textId="60F4362F">
            <w:pPr>
              <w:pStyle w:val="TableText"/>
              <w:tabs>
                <w:tab w:val="decimal" w:pos="1214"/>
              </w:tabs>
              <w:ind w:right="64"/>
              <w:rPr>
                <w:rFonts w:ascii="Times New Roman" w:hAnsi="Times New Roman"/>
                <w:sz w:val="22"/>
                <w:szCs w:val="22"/>
              </w:rPr>
            </w:pPr>
            <w:r>
              <w:rPr>
                <w:rFonts w:ascii="Times New Roman" w:hAnsi="Times New Roman"/>
                <w:sz w:val="22"/>
                <w:szCs w:val="22"/>
              </w:rPr>
              <w:t>1,</w:t>
            </w:r>
            <w:r w:rsidR="00BD3610">
              <w:rPr>
                <w:rFonts w:ascii="Times New Roman" w:hAnsi="Times New Roman"/>
                <w:sz w:val="22"/>
                <w:szCs w:val="22"/>
              </w:rPr>
              <w:t>100</w:t>
            </w:r>
          </w:p>
        </w:tc>
      </w:tr>
      <w:tr w:rsidRPr="004A47FD" w:rsidR="00602A76" w:rsidTr="00E66249" w14:paraId="5E4CB285" w14:textId="77777777">
        <w:trPr>
          <w:trHeight w:val="396"/>
        </w:trPr>
        <w:tc>
          <w:tcPr>
            <w:tcW w:w="2612" w:type="pct"/>
            <w:tcBorders>
              <w:top w:val="nil"/>
              <w:left w:val="nil"/>
              <w:bottom w:val="nil"/>
              <w:right w:val="nil"/>
            </w:tcBorders>
            <w:vAlign w:val="bottom"/>
          </w:tcPr>
          <w:p w:rsidR="00602A76" w:rsidP="00E66249" w:rsidRDefault="00BD3610" w14:paraId="036654B7" w14:textId="44601970">
            <w:pPr>
              <w:pStyle w:val="TableText"/>
              <w:spacing w:after="120"/>
              <w:ind w:firstLine="180"/>
              <w:rPr>
                <w:rFonts w:ascii="Times New Roman" w:hAnsi="Times New Roman"/>
                <w:sz w:val="22"/>
                <w:szCs w:val="22"/>
              </w:rPr>
            </w:pPr>
            <w:r w:rsidRPr="00BD3610">
              <w:rPr>
                <w:rFonts w:ascii="Times New Roman" w:hAnsi="Times New Roman"/>
                <w:sz w:val="22"/>
                <w:szCs w:val="22"/>
              </w:rPr>
              <w:t xml:space="preserve">Zero earnings in 2021, age </w:t>
            </w:r>
            <w:r w:rsidR="00602A76">
              <w:rPr>
                <w:rFonts w:ascii="Times New Roman" w:hAnsi="Times New Roman"/>
                <w:sz w:val="22"/>
                <w:szCs w:val="22"/>
              </w:rPr>
              <w:t>50 to FRA</w:t>
            </w:r>
          </w:p>
        </w:tc>
        <w:tc>
          <w:tcPr>
            <w:tcW w:w="1194" w:type="pct"/>
            <w:tcBorders>
              <w:top w:val="nil"/>
              <w:left w:val="nil"/>
              <w:bottom w:val="nil"/>
              <w:right w:val="nil"/>
            </w:tcBorders>
            <w:vAlign w:val="bottom"/>
          </w:tcPr>
          <w:p w:rsidR="00602A76" w:rsidP="00E66249" w:rsidRDefault="00602A76" w14:paraId="07CCAB4E" w14:textId="13CF9EDD">
            <w:pPr>
              <w:pStyle w:val="TableText"/>
              <w:spacing w:after="120"/>
              <w:ind w:right="892"/>
              <w:jc w:val="right"/>
              <w:rPr>
                <w:rFonts w:ascii="Times New Roman" w:hAnsi="Times New Roman"/>
                <w:sz w:val="22"/>
                <w:szCs w:val="22"/>
              </w:rPr>
            </w:pPr>
            <w:r>
              <w:rPr>
                <w:rFonts w:ascii="Times New Roman" w:hAnsi="Times New Roman"/>
                <w:sz w:val="22"/>
                <w:szCs w:val="22"/>
              </w:rPr>
              <w:t>1,</w:t>
            </w:r>
            <w:r w:rsidR="00BD3610">
              <w:rPr>
                <w:rFonts w:ascii="Times New Roman" w:hAnsi="Times New Roman"/>
                <w:sz w:val="22"/>
                <w:szCs w:val="22"/>
              </w:rPr>
              <w:t>375</w:t>
            </w:r>
          </w:p>
        </w:tc>
        <w:tc>
          <w:tcPr>
            <w:tcW w:w="1194" w:type="pct"/>
            <w:tcBorders>
              <w:top w:val="nil"/>
              <w:left w:val="nil"/>
              <w:bottom w:val="nil"/>
              <w:right w:val="nil"/>
            </w:tcBorders>
            <w:vAlign w:val="bottom"/>
          </w:tcPr>
          <w:p w:rsidR="00602A76" w:rsidP="00E66249" w:rsidRDefault="00BD3610" w14:paraId="51D47300" w14:textId="1F0E4C72">
            <w:pPr>
              <w:pStyle w:val="TableText"/>
              <w:tabs>
                <w:tab w:val="decimal" w:pos="1214"/>
              </w:tabs>
              <w:spacing w:after="120"/>
              <w:ind w:right="64"/>
              <w:rPr>
                <w:rFonts w:ascii="Times New Roman" w:hAnsi="Times New Roman"/>
                <w:sz w:val="22"/>
                <w:szCs w:val="22"/>
              </w:rPr>
            </w:pPr>
            <w:r>
              <w:rPr>
                <w:rFonts w:ascii="Times New Roman" w:hAnsi="Times New Roman"/>
                <w:sz w:val="22"/>
                <w:szCs w:val="22"/>
              </w:rPr>
              <w:t>1,100</w:t>
            </w:r>
          </w:p>
        </w:tc>
      </w:tr>
      <w:tr w:rsidRPr="004A47FD" w:rsidR="00602A76" w:rsidTr="00A1234B" w14:paraId="3C40AA4F" w14:textId="77777777">
        <w:tc>
          <w:tcPr>
            <w:tcW w:w="2612" w:type="pct"/>
            <w:tcBorders>
              <w:top w:val="nil"/>
              <w:left w:val="nil"/>
              <w:bottom w:val="nil"/>
              <w:right w:val="nil"/>
            </w:tcBorders>
            <w:vAlign w:val="bottom"/>
          </w:tcPr>
          <w:p w:rsidRPr="004A47FD" w:rsidR="00602A76" w:rsidP="009431AD" w:rsidRDefault="00602A76" w14:paraId="3F698B42" w14:textId="77777777">
            <w:pPr>
              <w:pStyle w:val="TableText"/>
              <w:rPr>
                <w:rFonts w:ascii="Times New Roman" w:hAnsi="Times New Roman"/>
                <w:sz w:val="22"/>
                <w:szCs w:val="22"/>
              </w:rPr>
            </w:pPr>
            <w:r w:rsidRPr="004A47FD">
              <w:rPr>
                <w:rFonts w:ascii="Times New Roman" w:hAnsi="Times New Roman"/>
                <w:sz w:val="22"/>
                <w:szCs w:val="22"/>
              </w:rPr>
              <w:t xml:space="preserve">SWS </w:t>
            </w:r>
          </w:p>
        </w:tc>
        <w:tc>
          <w:tcPr>
            <w:tcW w:w="1194" w:type="pct"/>
            <w:tcBorders>
              <w:top w:val="nil"/>
              <w:left w:val="nil"/>
              <w:bottom w:val="nil"/>
              <w:right w:val="nil"/>
            </w:tcBorders>
            <w:vAlign w:val="bottom"/>
          </w:tcPr>
          <w:p w:rsidRPr="004A47FD" w:rsidR="00602A76" w:rsidP="009431AD" w:rsidRDefault="00602A76" w14:paraId="4F102EE1" w14:textId="77777777">
            <w:pPr>
              <w:pStyle w:val="TableText"/>
              <w:ind w:right="892"/>
              <w:jc w:val="right"/>
              <w:rPr>
                <w:rFonts w:ascii="Times New Roman" w:hAnsi="Times New Roman"/>
                <w:sz w:val="22"/>
                <w:szCs w:val="22"/>
              </w:rPr>
            </w:pPr>
            <w:r w:rsidRPr="004A47FD">
              <w:rPr>
                <w:rFonts w:ascii="Times New Roman" w:hAnsi="Times New Roman"/>
                <w:sz w:val="22"/>
                <w:szCs w:val="22"/>
              </w:rPr>
              <w:t>3,750</w:t>
            </w:r>
          </w:p>
        </w:tc>
        <w:tc>
          <w:tcPr>
            <w:tcW w:w="1194" w:type="pct"/>
            <w:tcBorders>
              <w:top w:val="nil"/>
              <w:left w:val="nil"/>
              <w:bottom w:val="nil"/>
              <w:right w:val="nil"/>
            </w:tcBorders>
            <w:vAlign w:val="bottom"/>
          </w:tcPr>
          <w:p w:rsidRPr="004A47FD" w:rsidR="00602A76" w:rsidP="00673298" w:rsidRDefault="00602A76" w14:paraId="3AE347A7" w14:textId="77777777">
            <w:pPr>
              <w:pStyle w:val="TableText"/>
              <w:tabs>
                <w:tab w:val="decimal" w:pos="1214"/>
              </w:tabs>
              <w:ind w:right="64"/>
              <w:rPr>
                <w:rFonts w:ascii="Times New Roman" w:hAnsi="Times New Roman"/>
                <w:sz w:val="22"/>
                <w:szCs w:val="22"/>
              </w:rPr>
            </w:pPr>
            <w:r w:rsidRPr="004A47FD">
              <w:rPr>
                <w:rFonts w:ascii="Times New Roman" w:hAnsi="Times New Roman"/>
                <w:sz w:val="22"/>
                <w:szCs w:val="22"/>
              </w:rPr>
              <w:t>3,000</w:t>
            </w:r>
          </w:p>
        </w:tc>
      </w:tr>
      <w:tr w:rsidRPr="004A47FD" w:rsidR="00602A76" w:rsidTr="00A1234B" w14:paraId="4D542BED" w14:textId="77777777">
        <w:tc>
          <w:tcPr>
            <w:tcW w:w="2612" w:type="pct"/>
            <w:tcBorders>
              <w:top w:val="nil"/>
              <w:left w:val="nil"/>
              <w:bottom w:val="nil"/>
              <w:right w:val="nil"/>
            </w:tcBorders>
            <w:vAlign w:val="bottom"/>
          </w:tcPr>
          <w:p w:rsidRPr="004A47FD" w:rsidR="00602A76" w:rsidP="009431AD" w:rsidRDefault="00602A76" w14:paraId="17D26DF8" w14:textId="77777777">
            <w:pPr>
              <w:pStyle w:val="TableText"/>
              <w:ind w:left="180"/>
              <w:rPr>
                <w:rFonts w:ascii="Times New Roman" w:hAnsi="Times New Roman"/>
                <w:sz w:val="22"/>
                <w:szCs w:val="22"/>
              </w:rPr>
            </w:pPr>
            <w:r w:rsidRPr="004A47FD">
              <w:rPr>
                <w:rFonts w:ascii="Times New Roman" w:hAnsi="Times New Roman"/>
                <w:sz w:val="22"/>
                <w:szCs w:val="22"/>
              </w:rPr>
              <w:t>SSI (with and without SSDI)</w:t>
            </w:r>
          </w:p>
        </w:tc>
        <w:tc>
          <w:tcPr>
            <w:tcW w:w="1194" w:type="pct"/>
            <w:tcBorders>
              <w:top w:val="nil"/>
              <w:left w:val="nil"/>
              <w:bottom w:val="nil"/>
              <w:right w:val="nil"/>
            </w:tcBorders>
            <w:vAlign w:val="bottom"/>
          </w:tcPr>
          <w:p w:rsidRPr="004A47FD" w:rsidR="00602A76" w:rsidP="009431AD" w:rsidRDefault="00602A76" w14:paraId="7ED191B1" w14:textId="77777777">
            <w:pPr>
              <w:pStyle w:val="TableText"/>
              <w:ind w:right="892"/>
              <w:jc w:val="right"/>
              <w:rPr>
                <w:rFonts w:ascii="Times New Roman" w:hAnsi="Times New Roman"/>
                <w:sz w:val="22"/>
                <w:szCs w:val="22"/>
              </w:rPr>
            </w:pPr>
            <w:r w:rsidRPr="004A47FD">
              <w:rPr>
                <w:rFonts w:ascii="Times New Roman" w:hAnsi="Times New Roman"/>
                <w:sz w:val="22"/>
                <w:szCs w:val="22"/>
              </w:rPr>
              <w:t>1,875</w:t>
            </w:r>
          </w:p>
        </w:tc>
        <w:tc>
          <w:tcPr>
            <w:tcW w:w="1194" w:type="pct"/>
            <w:tcBorders>
              <w:top w:val="nil"/>
              <w:left w:val="nil"/>
              <w:bottom w:val="nil"/>
              <w:right w:val="nil"/>
            </w:tcBorders>
            <w:vAlign w:val="bottom"/>
          </w:tcPr>
          <w:p w:rsidRPr="004A47FD" w:rsidR="00602A76" w:rsidP="00673298" w:rsidRDefault="00602A76" w14:paraId="48CF21E5" w14:textId="77777777">
            <w:pPr>
              <w:pStyle w:val="TableText"/>
              <w:tabs>
                <w:tab w:val="decimal" w:pos="1214"/>
              </w:tabs>
              <w:ind w:right="64"/>
              <w:rPr>
                <w:rFonts w:ascii="Times New Roman" w:hAnsi="Times New Roman"/>
                <w:sz w:val="22"/>
                <w:szCs w:val="22"/>
              </w:rPr>
            </w:pPr>
            <w:r w:rsidRPr="004A47FD">
              <w:rPr>
                <w:rFonts w:ascii="Times New Roman" w:hAnsi="Times New Roman"/>
                <w:sz w:val="22"/>
                <w:szCs w:val="22"/>
              </w:rPr>
              <w:t>1,500</w:t>
            </w:r>
          </w:p>
        </w:tc>
      </w:tr>
      <w:tr w:rsidRPr="004A47FD" w:rsidR="00602A76" w:rsidTr="00A1234B" w14:paraId="3BCFF46B" w14:textId="77777777">
        <w:tc>
          <w:tcPr>
            <w:tcW w:w="2612" w:type="pct"/>
            <w:tcBorders>
              <w:top w:val="nil"/>
              <w:left w:val="nil"/>
              <w:bottom w:val="single" w:color="auto" w:sz="12" w:space="0"/>
              <w:right w:val="nil"/>
            </w:tcBorders>
            <w:vAlign w:val="bottom"/>
          </w:tcPr>
          <w:p w:rsidRPr="004A47FD" w:rsidR="00602A76" w:rsidP="009431AD" w:rsidRDefault="00602A76" w14:paraId="312605DB" w14:textId="77777777">
            <w:pPr>
              <w:pStyle w:val="TableText"/>
              <w:ind w:left="180"/>
              <w:rPr>
                <w:rFonts w:ascii="Times New Roman" w:hAnsi="Times New Roman"/>
                <w:sz w:val="22"/>
                <w:szCs w:val="22"/>
              </w:rPr>
            </w:pPr>
            <w:r w:rsidRPr="004A47FD">
              <w:rPr>
                <w:rFonts w:ascii="Times New Roman" w:hAnsi="Times New Roman"/>
                <w:sz w:val="22"/>
                <w:szCs w:val="22"/>
              </w:rPr>
              <w:t>SSDI only</w:t>
            </w:r>
          </w:p>
        </w:tc>
        <w:tc>
          <w:tcPr>
            <w:tcW w:w="1194" w:type="pct"/>
            <w:tcBorders>
              <w:top w:val="nil"/>
              <w:left w:val="nil"/>
              <w:bottom w:val="single" w:color="auto" w:sz="12" w:space="0"/>
              <w:right w:val="nil"/>
            </w:tcBorders>
            <w:vAlign w:val="bottom"/>
          </w:tcPr>
          <w:p w:rsidRPr="004A47FD" w:rsidR="00602A76" w:rsidP="009431AD" w:rsidRDefault="00602A76" w14:paraId="1ABB6579" w14:textId="77777777">
            <w:pPr>
              <w:pStyle w:val="TableText"/>
              <w:ind w:right="892"/>
              <w:jc w:val="right"/>
              <w:rPr>
                <w:rFonts w:ascii="Times New Roman" w:hAnsi="Times New Roman"/>
                <w:sz w:val="22"/>
                <w:szCs w:val="22"/>
              </w:rPr>
            </w:pPr>
            <w:r w:rsidRPr="004A47FD">
              <w:rPr>
                <w:rFonts w:ascii="Times New Roman" w:hAnsi="Times New Roman"/>
                <w:sz w:val="22"/>
                <w:szCs w:val="22"/>
              </w:rPr>
              <w:t>1,875</w:t>
            </w:r>
          </w:p>
        </w:tc>
        <w:tc>
          <w:tcPr>
            <w:tcW w:w="1194" w:type="pct"/>
            <w:tcBorders>
              <w:top w:val="nil"/>
              <w:left w:val="nil"/>
              <w:bottom w:val="single" w:color="auto" w:sz="12" w:space="0"/>
              <w:right w:val="nil"/>
            </w:tcBorders>
            <w:vAlign w:val="bottom"/>
          </w:tcPr>
          <w:p w:rsidRPr="004A47FD" w:rsidR="00602A76" w:rsidP="00673298" w:rsidRDefault="00602A76" w14:paraId="22308E4D" w14:textId="77777777">
            <w:pPr>
              <w:pStyle w:val="TableText"/>
              <w:tabs>
                <w:tab w:val="decimal" w:pos="1214"/>
              </w:tabs>
              <w:ind w:right="64"/>
              <w:rPr>
                <w:rFonts w:ascii="Times New Roman" w:hAnsi="Times New Roman"/>
                <w:sz w:val="22"/>
                <w:szCs w:val="22"/>
              </w:rPr>
            </w:pPr>
            <w:r w:rsidRPr="004A47FD">
              <w:rPr>
                <w:rFonts w:ascii="Times New Roman" w:hAnsi="Times New Roman"/>
                <w:sz w:val="22"/>
                <w:szCs w:val="22"/>
              </w:rPr>
              <w:t>1,500</w:t>
            </w:r>
          </w:p>
        </w:tc>
      </w:tr>
    </w:tbl>
    <w:p w:rsidRPr="001B7889" w:rsidR="00602A76" w:rsidP="00602A76" w:rsidRDefault="00602A76" w14:paraId="33E07B8C" w14:textId="77777777">
      <w:pPr>
        <w:pStyle w:val="NormalSS"/>
        <w:spacing w:after="0"/>
        <w:rPr>
          <w:rFonts w:ascii="Times New Roman" w:hAnsi="Times New Roman"/>
          <w:szCs w:val="24"/>
        </w:rPr>
      </w:pPr>
      <w:bookmarkStart w:name="_Toc232927193" w:id="15"/>
      <w:bookmarkStart w:name="_Toc233197213" w:id="16"/>
    </w:p>
    <w:p w:rsidR="00602A76" w:rsidP="002321B5" w:rsidRDefault="00602A76" w14:paraId="45F0790F" w14:textId="619FB459">
      <w:pPr>
        <w:pStyle w:val="NormalSS"/>
        <w:ind w:left="270" w:firstLine="0"/>
        <w:jc w:val="left"/>
        <w:rPr>
          <w:rFonts w:ascii="Times New Roman" w:hAnsi="Times New Roman"/>
        </w:rPr>
      </w:pPr>
      <w:r w:rsidRPr="001B7889">
        <w:rPr>
          <w:rFonts w:ascii="Times New Roman" w:hAnsi="Times New Roman"/>
        </w:rPr>
        <w:t>The sampl</w:t>
      </w:r>
      <w:r>
        <w:rPr>
          <w:rFonts w:ascii="Times New Roman" w:hAnsi="Times New Roman"/>
        </w:rPr>
        <w:t>e</w:t>
      </w:r>
      <w:r w:rsidRPr="001B7889">
        <w:rPr>
          <w:rFonts w:ascii="Times New Roman" w:hAnsi="Times New Roman"/>
        </w:rPr>
        <w:t xml:space="preserve"> design will include the selection of 80 primary sampling units (PSUs)</w:t>
      </w:r>
      <w:r>
        <w:rPr>
          <w:rFonts w:ascii="Times New Roman" w:hAnsi="Times New Roman"/>
        </w:rPr>
        <w:t>,</w:t>
      </w:r>
      <w:r w:rsidRPr="001B7889">
        <w:rPr>
          <w:rFonts w:ascii="Times New Roman" w:hAnsi="Times New Roman"/>
        </w:rPr>
        <w:t xml:space="preserve"> along with selection of zip-code-based secondary sampling units (SSUs)</w:t>
      </w:r>
      <w:r>
        <w:rPr>
          <w:rFonts w:ascii="Times New Roman" w:hAnsi="Times New Roman"/>
        </w:rPr>
        <w:t>,</w:t>
      </w:r>
      <w:r w:rsidRPr="001B7889">
        <w:rPr>
          <w:rFonts w:ascii="Times New Roman" w:hAnsi="Times New Roman"/>
        </w:rPr>
        <w:t xml:space="preserve"> within certainty PSUs. Specifically, we will select PSUs using a four-level composite size measure, incorporating the four age-based strata of the </w:t>
      </w:r>
      <w:r>
        <w:rPr>
          <w:rFonts w:ascii="Times New Roman" w:hAnsi="Times New Roman"/>
        </w:rPr>
        <w:t>RBS</w:t>
      </w:r>
      <w:r w:rsidRPr="001B7889">
        <w:rPr>
          <w:rFonts w:ascii="Times New Roman" w:hAnsi="Times New Roman"/>
        </w:rPr>
        <w:t>.</w:t>
      </w:r>
      <w:r>
        <w:rPr>
          <w:rFonts w:ascii="Times New Roman" w:hAnsi="Times New Roman"/>
        </w:rPr>
        <w:t xml:space="preserve"> </w:t>
      </w:r>
      <w:r w:rsidR="00D849FD">
        <w:rPr>
          <w:rFonts w:ascii="Times New Roman" w:hAnsi="Times New Roman"/>
        </w:rPr>
        <w:t xml:space="preserve"> </w:t>
      </w:r>
      <w:r w:rsidRPr="001C19E6">
        <w:rPr>
          <w:rFonts w:ascii="Times New Roman" w:hAnsi="Times New Roman"/>
        </w:rPr>
        <w:t>The RBS and SWS will use the same PSUs; SSUs will only be used in the RBS</w:t>
      </w:r>
      <w:r w:rsidRPr="009959C2">
        <w:rPr>
          <w:rFonts w:ascii="Times New Roman" w:hAnsi="Times New Roman"/>
        </w:rPr>
        <w:t>.</w:t>
      </w:r>
      <w:r>
        <w:rPr>
          <w:rFonts w:ascii="Times New Roman" w:hAnsi="Times New Roman"/>
        </w:rPr>
        <w:t xml:space="preserve"> </w:t>
      </w:r>
      <w:r w:rsidR="00D849FD">
        <w:rPr>
          <w:rFonts w:ascii="Times New Roman" w:hAnsi="Times New Roman"/>
        </w:rPr>
        <w:t xml:space="preserve"> </w:t>
      </w:r>
      <w:r w:rsidRPr="009959C2">
        <w:rPr>
          <w:rFonts w:ascii="Times New Roman" w:hAnsi="Times New Roman"/>
        </w:rPr>
        <w:t>Subsequent rounds for both the RBS and SWS will include the same set of PSUs and</w:t>
      </w:r>
      <w:r>
        <w:rPr>
          <w:rFonts w:ascii="Times New Roman" w:hAnsi="Times New Roman"/>
        </w:rPr>
        <w:t xml:space="preserve">, </w:t>
      </w:r>
      <w:r w:rsidRPr="009959C2">
        <w:rPr>
          <w:rFonts w:ascii="Times New Roman" w:hAnsi="Times New Roman"/>
        </w:rPr>
        <w:t>for the RBS only</w:t>
      </w:r>
      <w:r>
        <w:rPr>
          <w:rFonts w:ascii="Times New Roman" w:hAnsi="Times New Roman"/>
        </w:rPr>
        <w:t xml:space="preserve">, </w:t>
      </w:r>
      <w:r w:rsidRPr="009959C2">
        <w:rPr>
          <w:rFonts w:ascii="Times New Roman" w:hAnsi="Times New Roman"/>
        </w:rPr>
        <w:t>SSUs.</w:t>
      </w:r>
    </w:p>
    <w:p w:rsidR="00BD3610" w:rsidP="002321B5" w:rsidRDefault="00BD3610" w14:paraId="5AA85C93" w14:textId="5A7E7ED2">
      <w:pPr>
        <w:pStyle w:val="NormalSS"/>
        <w:ind w:left="270" w:firstLine="0"/>
        <w:jc w:val="left"/>
        <w:rPr>
          <w:rFonts w:ascii="Times New Roman" w:hAnsi="Times New Roman"/>
        </w:rPr>
      </w:pPr>
      <w:bookmarkStart w:name="_Hlk101344841" w:id="17"/>
      <w:r w:rsidRPr="00166CA0">
        <w:rPr>
          <w:rFonts w:ascii="Times New Roman" w:hAnsi="Times New Roman"/>
        </w:rPr>
        <w:t xml:space="preserve">To administer the </w:t>
      </w:r>
      <w:r>
        <w:rPr>
          <w:rFonts w:ascii="Times New Roman" w:hAnsi="Times New Roman"/>
        </w:rPr>
        <w:t xml:space="preserve">web and paper </w:t>
      </w:r>
      <w:r w:rsidRPr="00166CA0">
        <w:rPr>
          <w:rFonts w:ascii="Times New Roman" w:hAnsi="Times New Roman"/>
        </w:rPr>
        <w:t xml:space="preserve">experiment, we will sample 1,000 SWS nonrespondents from multiple sample extracts after those extracts on the main NBS effort. </w:t>
      </w:r>
      <w:r w:rsidR="000F3097">
        <w:rPr>
          <w:rFonts w:ascii="Times New Roman" w:hAnsi="Times New Roman"/>
        </w:rPr>
        <w:t xml:space="preserve"> </w:t>
      </w:r>
      <w:proofErr w:type="spellStart"/>
      <w:r w:rsidR="000F3097">
        <w:rPr>
          <w:rStyle w:val="CommentReference"/>
          <w:rFonts w:asciiTheme="minorHAnsi" w:hAnsiTheme="minorHAnsi" w:eastAsiaTheme="minorHAnsi" w:cstheme="minorBidi"/>
          <w:sz w:val="24"/>
          <w:szCs w:val="24"/>
        </w:rPr>
        <w:t>We</w:t>
      </w:r>
      <w:r w:rsidRPr="00166CA0">
        <w:rPr>
          <w:rFonts w:ascii="Times New Roman" w:hAnsi="Times New Roman"/>
        </w:rPr>
        <w:t>will</w:t>
      </w:r>
      <w:proofErr w:type="spellEnd"/>
      <w:r w:rsidRPr="00166CA0">
        <w:rPr>
          <w:rFonts w:ascii="Times New Roman" w:hAnsi="Times New Roman"/>
        </w:rPr>
        <w:t xml:space="preserve"> randomly</w:t>
      </w:r>
      <w:r>
        <w:rPr>
          <w:rFonts w:ascii="Times New Roman" w:hAnsi="Times New Roman"/>
        </w:rPr>
        <w:t xml:space="preserve"> assign</w:t>
      </w:r>
      <w:r w:rsidRPr="00166CA0">
        <w:rPr>
          <w:rFonts w:ascii="Times New Roman" w:hAnsi="Times New Roman"/>
        </w:rPr>
        <w:t xml:space="preserve"> the 1,000 non-respondents and offer 500 a web option and 500 a paper questionnaire.</w:t>
      </w:r>
    </w:p>
    <w:bookmarkEnd w:id="15"/>
    <w:bookmarkEnd w:id="16"/>
    <w:bookmarkEnd w:id="17"/>
    <w:p w:rsidRPr="00FE2937" w:rsidR="00602A76" w:rsidP="002321B5" w:rsidRDefault="00602A76" w14:paraId="36F8294E" w14:textId="5B9D7D3B">
      <w:pPr>
        <w:pStyle w:val="ParagraphSSLAST"/>
        <w:ind w:left="270" w:firstLine="0"/>
        <w:jc w:val="left"/>
        <w:rPr>
          <w:rFonts w:ascii="Times New Roman" w:hAnsi="Times New Roman"/>
          <w:szCs w:val="24"/>
        </w:rPr>
      </w:pPr>
      <w:r>
        <w:rPr>
          <w:rFonts w:ascii="Times New Roman" w:hAnsi="Times New Roman"/>
        </w:rPr>
        <w:t>The target response rate for the RBS and SWS is 80 percent; however, based on Mathematica</w:t>
      </w:r>
      <w:r w:rsidRPr="002C65EB">
        <w:rPr>
          <w:rFonts w:ascii="Times New Roman" w:hAnsi="Times New Roman"/>
        </w:rPr>
        <w:t xml:space="preserve">’s experience </w:t>
      </w:r>
      <w:r>
        <w:rPr>
          <w:rFonts w:ascii="Times New Roman" w:hAnsi="Times New Roman"/>
        </w:rPr>
        <w:t>with prior rounds of the</w:t>
      </w:r>
      <w:r w:rsidRPr="002C65EB">
        <w:rPr>
          <w:rFonts w:ascii="Times New Roman" w:hAnsi="Times New Roman"/>
        </w:rPr>
        <w:t xml:space="preserve"> NBS</w:t>
      </w:r>
      <w:r>
        <w:rPr>
          <w:rFonts w:ascii="Times New Roman" w:hAnsi="Times New Roman"/>
        </w:rPr>
        <w:t>, we expect this will be difficult to obtain.</w:t>
      </w:r>
      <w:r w:rsidR="00D849FD">
        <w:rPr>
          <w:rFonts w:ascii="Times New Roman" w:hAnsi="Times New Roman"/>
        </w:rPr>
        <w:t xml:space="preserve"> </w:t>
      </w:r>
      <w:r>
        <w:rPr>
          <w:rFonts w:ascii="Times New Roman" w:hAnsi="Times New Roman"/>
        </w:rPr>
        <w:t xml:space="preserve"> We </w:t>
      </w:r>
      <w:r w:rsidRPr="002C65EB">
        <w:rPr>
          <w:rFonts w:ascii="Times New Roman" w:hAnsi="Times New Roman"/>
        </w:rPr>
        <w:t>recognize that it is becoming increasingly challenging to locate sample members and gain their coope</w:t>
      </w:r>
      <w:r>
        <w:rPr>
          <w:rFonts w:ascii="Times New Roman" w:hAnsi="Times New Roman"/>
        </w:rPr>
        <w:t xml:space="preserve">ration with the survey process. </w:t>
      </w:r>
      <w:r w:rsidR="00D849FD">
        <w:rPr>
          <w:rFonts w:ascii="Times New Roman" w:hAnsi="Times New Roman"/>
        </w:rPr>
        <w:t xml:space="preserve"> </w:t>
      </w:r>
      <w:r w:rsidRPr="00EE273C">
        <w:rPr>
          <w:rFonts w:ascii="Times New Roman" w:hAnsi="Times New Roman"/>
        </w:rPr>
        <w:t xml:space="preserve">To achieve the target number of completed interviews, we will release as many </w:t>
      </w:r>
      <w:r w:rsidRPr="00FE2937">
        <w:rPr>
          <w:rFonts w:ascii="Times New Roman" w:hAnsi="Times New Roman"/>
          <w:szCs w:val="24"/>
        </w:rPr>
        <w:t>sample cases as needed (releasing additional sample cases in waves after the initial release as necessary).</w:t>
      </w:r>
      <w:r w:rsidR="00D849FD">
        <w:rPr>
          <w:rFonts w:ascii="Times New Roman" w:hAnsi="Times New Roman"/>
          <w:szCs w:val="24"/>
        </w:rPr>
        <w:t xml:space="preserve"> </w:t>
      </w:r>
      <w:r w:rsidRPr="00FE2937">
        <w:rPr>
          <w:rFonts w:ascii="Times New Roman" w:hAnsi="Times New Roman"/>
          <w:szCs w:val="24"/>
        </w:rPr>
        <w:t xml:space="preserve"> If the response rate for both </w:t>
      </w:r>
      <w:r w:rsidRPr="00FE2937">
        <w:rPr>
          <w:rFonts w:ascii="Times New Roman" w:hAnsi="Times New Roman"/>
          <w:szCs w:val="24"/>
        </w:rPr>
        <w:lastRenderedPageBreak/>
        <w:t>samples is less than 80 percent, we will conduct a nonresponse bias analysis and take the results into account during weighting procedures.</w:t>
      </w:r>
    </w:p>
    <w:p w:rsidRPr="00FE2937" w:rsidR="00BD3610" w:rsidP="002321B5" w:rsidRDefault="00BD3610" w14:paraId="512DA27B" w14:textId="03EA566B">
      <w:pPr>
        <w:ind w:left="270"/>
        <w:rPr>
          <w:sz w:val="24"/>
          <w:szCs w:val="24"/>
        </w:rPr>
      </w:pPr>
      <w:bookmarkStart w:name="_Hlk101344850" w:id="18"/>
      <w:r w:rsidRPr="00FE2937">
        <w:rPr>
          <w:sz w:val="24"/>
          <w:szCs w:val="24"/>
        </w:rPr>
        <w:t xml:space="preserve">The target number of responses rate for the web experiment is 125 (25 percent) and paper experiment is 100 (mode 20 percent). </w:t>
      </w:r>
      <w:r w:rsidR="00D849FD">
        <w:rPr>
          <w:sz w:val="24"/>
          <w:szCs w:val="24"/>
        </w:rPr>
        <w:t xml:space="preserve"> </w:t>
      </w:r>
      <w:r w:rsidRPr="00FE2937">
        <w:rPr>
          <w:sz w:val="24"/>
          <w:szCs w:val="24"/>
        </w:rPr>
        <w:t xml:space="preserve">These completed experimental surveys are in addition to the 3,000 </w:t>
      </w:r>
      <w:r w:rsidR="008450AE">
        <w:rPr>
          <w:sz w:val="24"/>
          <w:szCs w:val="24"/>
        </w:rPr>
        <w:t>completed surveys we</w:t>
      </w:r>
      <w:r w:rsidRPr="00FE2937" w:rsidR="008450AE">
        <w:rPr>
          <w:sz w:val="24"/>
          <w:szCs w:val="24"/>
        </w:rPr>
        <w:t xml:space="preserve"> </w:t>
      </w:r>
      <w:r w:rsidRPr="00FE2937">
        <w:rPr>
          <w:sz w:val="24"/>
          <w:szCs w:val="24"/>
        </w:rPr>
        <w:t xml:space="preserve">expect for the SWS sample for the NBS. </w:t>
      </w:r>
    </w:p>
    <w:p w:rsidRPr="002C65EB" w:rsidR="00602A76" w:rsidP="00D849FD" w:rsidRDefault="00602A76" w14:paraId="0BAE3902" w14:textId="22B56B92">
      <w:pPr>
        <w:pStyle w:val="H3"/>
        <w:spacing w:before="0" w:after="0"/>
      </w:pPr>
      <w:bookmarkStart w:name="_Toc232927194" w:id="19"/>
      <w:bookmarkStart w:name="_Toc233197214" w:id="20"/>
      <w:bookmarkStart w:name="_Toc349308996" w:id="21"/>
      <w:bookmarkStart w:name="_Toc101248892" w:id="22"/>
      <w:bookmarkEnd w:id="5"/>
      <w:bookmarkEnd w:id="18"/>
      <w:r w:rsidRPr="002C65EB">
        <w:t>2. Procedures for Collecting the Information</w:t>
      </w:r>
      <w:bookmarkEnd w:id="19"/>
      <w:bookmarkEnd w:id="20"/>
      <w:bookmarkEnd w:id="21"/>
      <w:bookmarkEnd w:id="22"/>
      <w:r w:rsidRPr="002C65EB">
        <w:t xml:space="preserve"> </w:t>
      </w:r>
    </w:p>
    <w:p w:rsidR="00602A76" w:rsidP="000F3097" w:rsidRDefault="00E47DD6" w14:paraId="311D4D03" w14:textId="4AE7CCAF">
      <w:pPr>
        <w:pStyle w:val="NormalSS"/>
        <w:spacing w:after="0"/>
        <w:ind w:left="270" w:firstLine="0"/>
        <w:jc w:val="left"/>
      </w:pPr>
      <w:r>
        <w:rPr>
          <w:rFonts w:ascii="Times New Roman" w:hAnsi="Times New Roman"/>
        </w:rPr>
        <w:t xml:space="preserve">SSA </w:t>
      </w:r>
      <w:r w:rsidR="00602A76">
        <w:rPr>
          <w:rFonts w:ascii="Times New Roman" w:hAnsi="Times New Roman"/>
        </w:rPr>
        <w:t xml:space="preserve">will </w:t>
      </w:r>
      <w:r w:rsidRPr="002C65EB" w:rsidR="00602A76">
        <w:rPr>
          <w:rFonts w:ascii="Times New Roman" w:hAnsi="Times New Roman"/>
        </w:rPr>
        <w:t xml:space="preserve">use </w:t>
      </w:r>
      <w:r w:rsidR="00BD3610">
        <w:rPr>
          <w:rFonts w:ascii="Times New Roman" w:hAnsi="Times New Roman"/>
        </w:rPr>
        <w:t>a</w:t>
      </w:r>
      <w:r w:rsidRPr="002C65EB" w:rsidR="00602A76">
        <w:rPr>
          <w:rFonts w:ascii="Times New Roman" w:hAnsi="Times New Roman"/>
        </w:rPr>
        <w:t xml:space="preserve"> multi-stage clustered design</w:t>
      </w:r>
      <w:r w:rsidR="00602A76">
        <w:rPr>
          <w:rFonts w:ascii="Times New Roman" w:hAnsi="Times New Roman"/>
        </w:rPr>
        <w:t xml:space="preserve"> </w:t>
      </w:r>
      <w:r w:rsidR="00903232">
        <w:rPr>
          <w:rFonts w:ascii="Times New Roman" w:hAnsi="Times New Roman"/>
        </w:rPr>
        <w:t>similar to the design used in prior</w:t>
      </w:r>
      <w:r w:rsidR="00602A76">
        <w:rPr>
          <w:rFonts w:ascii="Times New Roman" w:hAnsi="Times New Roman"/>
        </w:rPr>
        <w:t xml:space="preserve"> rounds</w:t>
      </w:r>
      <w:r w:rsidRPr="002C65EB" w:rsidR="00602A76">
        <w:rPr>
          <w:rFonts w:ascii="Times New Roman" w:hAnsi="Times New Roman"/>
        </w:rPr>
        <w:t xml:space="preserve"> to facilitate in-perso</w:t>
      </w:r>
      <w:r w:rsidR="00602A76">
        <w:rPr>
          <w:rFonts w:ascii="Times New Roman" w:hAnsi="Times New Roman"/>
        </w:rPr>
        <w:t xml:space="preserve">n interviews of beneficiaries </w:t>
      </w:r>
      <w:r w:rsidRPr="002C65EB" w:rsidR="00602A76">
        <w:rPr>
          <w:rFonts w:ascii="Times New Roman" w:hAnsi="Times New Roman"/>
        </w:rPr>
        <w:t>selected for the NBS</w:t>
      </w:r>
      <w:r w:rsidR="00602A76">
        <w:rPr>
          <w:rFonts w:ascii="Times New Roman" w:hAnsi="Times New Roman"/>
        </w:rPr>
        <w:t>, but</w:t>
      </w:r>
      <w:r w:rsidRPr="002C65EB" w:rsidR="00602A76">
        <w:rPr>
          <w:rFonts w:ascii="Times New Roman" w:hAnsi="Times New Roman"/>
        </w:rPr>
        <w:t xml:space="preserve"> who cannot be reached by telephone or who cannot be interviewed by telephone because of their disability or impairment.</w:t>
      </w:r>
      <w:r w:rsidR="00602A76">
        <w:rPr>
          <w:rFonts w:ascii="Times New Roman" w:hAnsi="Times New Roman"/>
        </w:rPr>
        <w:t xml:space="preserve"> </w:t>
      </w:r>
      <w:r>
        <w:rPr>
          <w:rFonts w:ascii="Times New Roman" w:hAnsi="Times New Roman"/>
        </w:rPr>
        <w:t xml:space="preserve"> </w:t>
      </w:r>
      <w:r w:rsidRPr="002C65EB" w:rsidR="00602A76">
        <w:rPr>
          <w:rFonts w:ascii="Times New Roman" w:hAnsi="Times New Roman"/>
        </w:rPr>
        <w:t>For the multi</w:t>
      </w:r>
      <w:r w:rsidR="00602A76">
        <w:rPr>
          <w:rFonts w:ascii="Times New Roman" w:hAnsi="Times New Roman"/>
        </w:rPr>
        <w:noBreakHyphen/>
      </w:r>
      <w:r w:rsidRPr="002C65EB" w:rsidR="00602A76">
        <w:rPr>
          <w:rFonts w:ascii="Times New Roman" w:hAnsi="Times New Roman"/>
        </w:rPr>
        <w:t>stage design</w:t>
      </w:r>
      <w:r w:rsidR="00602A76">
        <w:rPr>
          <w:rFonts w:ascii="Times New Roman" w:hAnsi="Times New Roman"/>
        </w:rPr>
        <w:t xml:space="preserve">, we </w:t>
      </w:r>
      <w:bookmarkStart w:name="_Hlk101344903" w:id="23"/>
      <w:bookmarkStart w:name="_Hlk101344914" w:id="24"/>
      <w:r w:rsidR="00903232">
        <w:rPr>
          <w:rFonts w:ascii="Times New Roman" w:hAnsi="Times New Roman"/>
        </w:rPr>
        <w:t>used recent test frame information to create PSUs based on the</w:t>
      </w:r>
      <w:bookmarkEnd w:id="23"/>
      <w:bookmarkEnd w:id="24"/>
      <w:r w:rsidRPr="002C65EB" w:rsidR="00602A76">
        <w:rPr>
          <w:rFonts w:ascii="Times New Roman" w:hAnsi="Times New Roman"/>
        </w:rPr>
        <w:t xml:space="preserve"> counts of eligible </w:t>
      </w:r>
      <w:r w:rsidR="00602A76">
        <w:rPr>
          <w:rFonts w:ascii="Times New Roman" w:hAnsi="Times New Roman"/>
        </w:rPr>
        <w:t xml:space="preserve">SSDI </w:t>
      </w:r>
      <w:r w:rsidRPr="002C65EB" w:rsidR="00602A76">
        <w:rPr>
          <w:rFonts w:ascii="Times New Roman" w:hAnsi="Times New Roman"/>
        </w:rPr>
        <w:t xml:space="preserve">beneficiaries </w:t>
      </w:r>
      <w:r w:rsidR="00602A76">
        <w:rPr>
          <w:rFonts w:ascii="Times New Roman" w:hAnsi="Times New Roman"/>
        </w:rPr>
        <w:t xml:space="preserve">and SSI recipients </w:t>
      </w:r>
      <w:r w:rsidRPr="002C65EB" w:rsidR="00602A76">
        <w:rPr>
          <w:rFonts w:ascii="Times New Roman" w:hAnsi="Times New Roman"/>
        </w:rPr>
        <w:t>in each county</w:t>
      </w:r>
      <w:r w:rsidR="00602A76">
        <w:rPr>
          <w:rFonts w:ascii="Times New Roman" w:hAnsi="Times New Roman"/>
        </w:rPr>
        <w:t>, as well as the counts of successful workers,</w:t>
      </w:r>
      <w:r w:rsidRPr="002C65EB" w:rsidR="00602A76">
        <w:rPr>
          <w:rFonts w:ascii="Times New Roman" w:hAnsi="Times New Roman"/>
        </w:rPr>
        <w:t xml:space="preserve"> to form PSUs cons</w:t>
      </w:r>
      <w:r w:rsidR="00602A76">
        <w:rPr>
          <w:rFonts w:ascii="Times New Roman" w:hAnsi="Times New Roman"/>
        </w:rPr>
        <w:t>isting of one or more counties.</w:t>
      </w:r>
      <w:r>
        <w:rPr>
          <w:rFonts w:ascii="Times New Roman" w:hAnsi="Times New Roman"/>
        </w:rPr>
        <w:t xml:space="preserve"> </w:t>
      </w:r>
      <w:r w:rsidR="00602A76">
        <w:rPr>
          <w:rFonts w:ascii="Times New Roman" w:hAnsi="Times New Roman"/>
        </w:rPr>
        <w:t xml:space="preserve"> The list of PSUs </w:t>
      </w:r>
      <w:bookmarkStart w:name="_Hlk101344956" w:id="25"/>
      <w:r w:rsidR="00903232">
        <w:rPr>
          <w:rFonts w:ascii="Times New Roman" w:hAnsi="Times New Roman"/>
        </w:rPr>
        <w:t xml:space="preserve">consists </w:t>
      </w:r>
      <w:bookmarkEnd w:id="25"/>
      <w:r w:rsidR="00602A76">
        <w:rPr>
          <w:rFonts w:ascii="Times New Roman" w:hAnsi="Times New Roman"/>
        </w:rPr>
        <w:t>of 1,</w:t>
      </w:r>
      <w:r w:rsidR="00903232">
        <w:rPr>
          <w:rFonts w:ascii="Times New Roman" w:hAnsi="Times New Roman"/>
        </w:rPr>
        <w:t>326</w:t>
      </w:r>
      <w:r w:rsidR="00602A76">
        <w:rPr>
          <w:rFonts w:ascii="Times New Roman" w:hAnsi="Times New Roman"/>
        </w:rPr>
        <w:t xml:space="preserve"> units</w:t>
      </w:r>
      <w:r w:rsidR="00903232">
        <w:rPr>
          <w:rFonts w:ascii="Times New Roman" w:hAnsi="Times New Roman"/>
        </w:rPr>
        <w:t>.</w:t>
      </w:r>
      <w:r w:rsidR="00903232">
        <w:rPr>
          <w:rStyle w:val="FootnoteReference"/>
          <w:rFonts w:ascii="Times New Roman" w:hAnsi="Times New Roman"/>
        </w:rPr>
        <w:footnoteReference w:id="10"/>
      </w:r>
      <w:r w:rsidR="00903232">
        <w:rPr>
          <w:rFonts w:ascii="Times New Roman" w:hAnsi="Times New Roman"/>
        </w:rPr>
        <w:t xml:space="preserve"> </w:t>
      </w:r>
      <w:r w:rsidR="00D849FD">
        <w:rPr>
          <w:rFonts w:ascii="Times New Roman" w:hAnsi="Times New Roman"/>
        </w:rPr>
        <w:t xml:space="preserve"> </w:t>
      </w:r>
      <w:r w:rsidRPr="002C65EB" w:rsidR="00602A76">
        <w:rPr>
          <w:rFonts w:ascii="Times New Roman" w:hAnsi="Times New Roman"/>
        </w:rPr>
        <w:t xml:space="preserve">From </w:t>
      </w:r>
      <w:r w:rsidRPr="002C65EB" w:rsidR="00903232">
        <w:rPr>
          <w:rFonts w:ascii="Times New Roman" w:hAnsi="Times New Roman"/>
        </w:rPr>
        <w:t>th</w:t>
      </w:r>
      <w:r w:rsidR="00903232">
        <w:rPr>
          <w:rFonts w:ascii="Times New Roman" w:hAnsi="Times New Roman"/>
        </w:rPr>
        <w:t>is</w:t>
      </w:r>
      <w:r w:rsidR="00602A76">
        <w:rPr>
          <w:rFonts w:ascii="Times New Roman" w:hAnsi="Times New Roman"/>
        </w:rPr>
        <w:t xml:space="preserve"> </w:t>
      </w:r>
      <w:r w:rsidRPr="002C65EB" w:rsidR="00602A76">
        <w:rPr>
          <w:rFonts w:ascii="Times New Roman" w:hAnsi="Times New Roman"/>
        </w:rPr>
        <w:t xml:space="preserve">list, we </w:t>
      </w:r>
      <w:r w:rsidR="00602A76">
        <w:rPr>
          <w:rFonts w:ascii="Times New Roman" w:hAnsi="Times New Roman"/>
        </w:rPr>
        <w:t>will</w:t>
      </w:r>
      <w:r w:rsidRPr="002C65EB" w:rsidR="00602A76">
        <w:rPr>
          <w:rFonts w:ascii="Times New Roman" w:hAnsi="Times New Roman"/>
        </w:rPr>
        <w:t xml:space="preserve"> </w:t>
      </w:r>
      <w:r w:rsidR="00602A76">
        <w:rPr>
          <w:rFonts w:ascii="Times New Roman" w:hAnsi="Times New Roman"/>
        </w:rPr>
        <w:t xml:space="preserve">select </w:t>
      </w:r>
      <w:r w:rsidRPr="002C65EB" w:rsidR="00602A76">
        <w:rPr>
          <w:rFonts w:ascii="Times New Roman" w:hAnsi="Times New Roman"/>
        </w:rPr>
        <w:t>a stratif</w:t>
      </w:r>
      <w:r w:rsidR="00602A76">
        <w:rPr>
          <w:rFonts w:ascii="Times New Roman" w:hAnsi="Times New Roman"/>
        </w:rPr>
        <w:t xml:space="preserve">ied national sample of 80 PSUs. </w:t>
      </w:r>
      <w:r w:rsidR="00D849FD">
        <w:rPr>
          <w:rFonts w:ascii="Times New Roman" w:hAnsi="Times New Roman"/>
        </w:rPr>
        <w:t xml:space="preserve"> </w:t>
      </w:r>
      <w:r w:rsidRPr="002C65EB" w:rsidR="00602A76">
        <w:rPr>
          <w:rFonts w:ascii="Times New Roman" w:hAnsi="Times New Roman"/>
        </w:rPr>
        <w:t xml:space="preserve">As in the </w:t>
      </w:r>
      <w:r w:rsidR="00602A76">
        <w:rPr>
          <w:rFonts w:ascii="Times New Roman" w:hAnsi="Times New Roman"/>
        </w:rPr>
        <w:t xml:space="preserve">previous </w:t>
      </w:r>
      <w:r w:rsidRPr="002C65EB" w:rsidR="00602A76">
        <w:rPr>
          <w:rFonts w:ascii="Times New Roman" w:hAnsi="Times New Roman"/>
        </w:rPr>
        <w:t>NBS</w:t>
      </w:r>
      <w:r w:rsidR="00602A76">
        <w:rPr>
          <w:rFonts w:ascii="Times New Roman" w:hAnsi="Times New Roman"/>
        </w:rPr>
        <w:t xml:space="preserve"> rounds</w:t>
      </w:r>
      <w:r w:rsidRPr="002C65EB" w:rsidR="00602A76">
        <w:rPr>
          <w:rFonts w:ascii="Times New Roman" w:hAnsi="Times New Roman"/>
        </w:rPr>
        <w:t xml:space="preserve">, </w:t>
      </w:r>
      <w:r w:rsidR="00602A76">
        <w:rPr>
          <w:rFonts w:ascii="Times New Roman" w:hAnsi="Times New Roman"/>
        </w:rPr>
        <w:t xml:space="preserve">we anticipate that </w:t>
      </w:r>
      <w:r w:rsidR="005257B9">
        <w:rPr>
          <w:rFonts w:ascii="Times New Roman" w:hAnsi="Times New Roman"/>
        </w:rPr>
        <w:t xml:space="preserve">we will select </w:t>
      </w:r>
      <w:r w:rsidR="00602A76">
        <w:rPr>
          <w:rFonts w:ascii="Times New Roman" w:hAnsi="Times New Roman"/>
        </w:rPr>
        <w:t xml:space="preserve">two of these 80 PSUs, corresponding to </w:t>
      </w:r>
      <w:r w:rsidRPr="002C65EB" w:rsidR="00602A76">
        <w:rPr>
          <w:rFonts w:ascii="Times New Roman" w:hAnsi="Times New Roman"/>
        </w:rPr>
        <w:t>Los Angeles and Cook (Chicago) counties</w:t>
      </w:r>
      <w:r w:rsidR="00602A76">
        <w:rPr>
          <w:rFonts w:ascii="Times New Roman" w:hAnsi="Times New Roman"/>
        </w:rPr>
        <w:t>,</w:t>
      </w:r>
      <w:r w:rsidRPr="002C65EB" w:rsidR="00602A76">
        <w:rPr>
          <w:rFonts w:ascii="Times New Roman" w:hAnsi="Times New Roman"/>
        </w:rPr>
        <w:t xml:space="preserve"> </w:t>
      </w:r>
      <w:r w:rsidR="00602A76">
        <w:rPr>
          <w:rFonts w:ascii="Times New Roman" w:hAnsi="Times New Roman"/>
        </w:rPr>
        <w:t>with certainty</w:t>
      </w:r>
      <w:r w:rsidRPr="002C65EB" w:rsidR="00602A76">
        <w:rPr>
          <w:rFonts w:ascii="Times New Roman" w:hAnsi="Times New Roman"/>
        </w:rPr>
        <w:t xml:space="preserve"> because of the number of </w:t>
      </w:r>
      <w:r w:rsidR="00602A76">
        <w:rPr>
          <w:rFonts w:ascii="Times New Roman" w:hAnsi="Times New Roman"/>
        </w:rPr>
        <w:t>disability</w:t>
      </w:r>
      <w:r w:rsidRPr="002C65EB" w:rsidR="00602A76">
        <w:rPr>
          <w:rFonts w:ascii="Times New Roman" w:hAnsi="Times New Roman"/>
        </w:rPr>
        <w:t xml:space="preserve"> beneficiaries in these locations</w:t>
      </w:r>
      <w:r w:rsidR="00602A76">
        <w:rPr>
          <w:rFonts w:ascii="Times New Roman" w:hAnsi="Times New Roman"/>
        </w:rPr>
        <w:t>, though it is possible that the set of certainty PSUs will differ from these two.</w:t>
      </w:r>
      <w:r>
        <w:rPr>
          <w:rFonts w:ascii="Times New Roman" w:hAnsi="Times New Roman"/>
        </w:rPr>
        <w:t xml:space="preserve"> </w:t>
      </w:r>
      <w:r w:rsidR="00602A76">
        <w:rPr>
          <w:rFonts w:ascii="Times New Roman" w:hAnsi="Times New Roman"/>
        </w:rPr>
        <w:t xml:space="preserve"> </w:t>
      </w:r>
      <w:r w:rsidRPr="002C65EB" w:rsidR="00602A76">
        <w:rPr>
          <w:rFonts w:ascii="Times New Roman" w:hAnsi="Times New Roman"/>
        </w:rPr>
        <w:t xml:space="preserve">Because of the size of </w:t>
      </w:r>
      <w:r w:rsidR="00602A76">
        <w:rPr>
          <w:rFonts w:ascii="Times New Roman" w:hAnsi="Times New Roman"/>
        </w:rPr>
        <w:t>the certainty</w:t>
      </w:r>
      <w:r w:rsidRPr="002C65EB" w:rsidR="00602A76">
        <w:rPr>
          <w:rFonts w:ascii="Times New Roman" w:hAnsi="Times New Roman"/>
        </w:rPr>
        <w:t xml:space="preserve"> counties, </w:t>
      </w:r>
      <w:r w:rsidR="00602A76">
        <w:rPr>
          <w:rFonts w:ascii="Times New Roman" w:hAnsi="Times New Roman"/>
        </w:rPr>
        <w:t xml:space="preserve">we will form </w:t>
      </w:r>
      <w:r w:rsidRPr="002C65EB" w:rsidR="00602A76">
        <w:rPr>
          <w:rFonts w:ascii="Times New Roman" w:hAnsi="Times New Roman"/>
        </w:rPr>
        <w:t>SSUs using beneficiaries’ zip code</w:t>
      </w:r>
      <w:r w:rsidR="00602A76">
        <w:rPr>
          <w:rFonts w:ascii="Times New Roman" w:hAnsi="Times New Roman"/>
        </w:rPr>
        <w:t xml:space="preserve">s and select the SSUs as an intermediate stage of selection before selecting beneficiaries. </w:t>
      </w:r>
      <w:r>
        <w:rPr>
          <w:rFonts w:ascii="Times New Roman" w:hAnsi="Times New Roman"/>
        </w:rPr>
        <w:t xml:space="preserve"> </w:t>
      </w:r>
      <w:r w:rsidR="00602A76">
        <w:rPr>
          <w:rFonts w:ascii="Times New Roman" w:hAnsi="Times New Roman"/>
        </w:rPr>
        <w:t>We will select t</w:t>
      </w:r>
      <w:r w:rsidRPr="002C65EB" w:rsidR="00602A76">
        <w:rPr>
          <w:rFonts w:ascii="Times New Roman" w:hAnsi="Times New Roman"/>
        </w:rPr>
        <w:t>he</w:t>
      </w:r>
      <w:r w:rsidR="00602A76">
        <w:rPr>
          <w:rFonts w:ascii="Times New Roman" w:hAnsi="Times New Roman"/>
        </w:rPr>
        <w:t xml:space="preserve"> PSUs and SSUs </w:t>
      </w:r>
      <w:r w:rsidRPr="002C65EB" w:rsidR="00602A76">
        <w:rPr>
          <w:rFonts w:ascii="Times New Roman" w:hAnsi="Times New Roman"/>
        </w:rPr>
        <w:t>with probability prop</w:t>
      </w:r>
      <w:r w:rsidR="00602A76">
        <w:rPr>
          <w:rFonts w:ascii="Times New Roman" w:hAnsi="Times New Roman"/>
        </w:rPr>
        <w:t>ortional to size, where we defined size</w:t>
      </w:r>
      <w:r w:rsidRPr="002C65EB" w:rsidR="00602A76">
        <w:rPr>
          <w:rFonts w:ascii="Times New Roman" w:hAnsi="Times New Roman"/>
        </w:rPr>
        <w:t xml:space="preserve"> as a composite size measure that accounts for the number of active beneficiaries</w:t>
      </w:r>
      <w:r w:rsidR="00602A76">
        <w:rPr>
          <w:rFonts w:ascii="Times New Roman" w:hAnsi="Times New Roman"/>
        </w:rPr>
        <w:t xml:space="preserve"> and recipients</w:t>
      </w:r>
      <w:r w:rsidRPr="002C65EB" w:rsidR="00602A76">
        <w:rPr>
          <w:rFonts w:ascii="Times New Roman" w:hAnsi="Times New Roman"/>
        </w:rPr>
        <w:t xml:space="preserve"> in each age group.</w:t>
      </w:r>
      <w:r w:rsidR="00602A76">
        <w:rPr>
          <w:rFonts w:ascii="Times New Roman" w:hAnsi="Times New Roman"/>
        </w:rPr>
        <w:t xml:space="preserve"> </w:t>
      </w:r>
      <w:r>
        <w:rPr>
          <w:rFonts w:ascii="Times New Roman" w:hAnsi="Times New Roman"/>
        </w:rPr>
        <w:t xml:space="preserve"> </w:t>
      </w:r>
      <w:r w:rsidR="00602A76">
        <w:rPr>
          <w:rFonts w:ascii="Times New Roman" w:hAnsi="Times New Roman"/>
        </w:rPr>
        <w:t>In prior rounds</w:t>
      </w:r>
      <w:r w:rsidRPr="002C65EB" w:rsidR="00602A76">
        <w:rPr>
          <w:rFonts w:ascii="Times New Roman" w:hAnsi="Times New Roman"/>
        </w:rPr>
        <w:t xml:space="preserve">, </w:t>
      </w:r>
      <w:r w:rsidR="00602A76">
        <w:rPr>
          <w:rFonts w:ascii="Times New Roman" w:hAnsi="Times New Roman"/>
        </w:rPr>
        <w:t xml:space="preserve">we selected four and two SSUs </w:t>
      </w:r>
      <w:r w:rsidRPr="002C65EB" w:rsidR="00602A76">
        <w:rPr>
          <w:rFonts w:ascii="Times New Roman" w:hAnsi="Times New Roman"/>
        </w:rPr>
        <w:t xml:space="preserve">from </w:t>
      </w:r>
      <w:r w:rsidR="00602A76">
        <w:rPr>
          <w:rFonts w:ascii="Times New Roman" w:hAnsi="Times New Roman"/>
        </w:rPr>
        <w:t xml:space="preserve">the </w:t>
      </w:r>
      <w:r w:rsidRPr="002C65EB" w:rsidR="00602A76">
        <w:rPr>
          <w:rFonts w:ascii="Times New Roman" w:hAnsi="Times New Roman"/>
        </w:rPr>
        <w:t>Los Angeles and Cook (Chicago) counties</w:t>
      </w:r>
      <w:r w:rsidR="00602A76">
        <w:rPr>
          <w:rFonts w:ascii="Times New Roman" w:hAnsi="Times New Roman"/>
        </w:rPr>
        <w:t xml:space="preserve">, respectively; the number of SSUs that we select in each certainty county will depend upon the relative size of those counties. </w:t>
      </w:r>
      <w:r w:rsidRPr="000D2B8F" w:rsidR="00602A76">
        <w:t xml:space="preserve"> </w:t>
      </w:r>
    </w:p>
    <w:p w:rsidRPr="000C03AE" w:rsidR="00602A76" w:rsidP="006E334F" w:rsidRDefault="00602A76" w14:paraId="08C67F93" w14:textId="382A88CE">
      <w:pPr>
        <w:pStyle w:val="H4"/>
        <w:ind w:left="270" w:firstLine="0"/>
        <w:rPr>
          <w:rFonts w:ascii="Times New Roman" w:hAnsi="Times New Roman"/>
        </w:rPr>
      </w:pPr>
      <w:bookmarkStart w:name="_Toc232927195" w:id="26"/>
      <w:bookmarkStart w:name="_Toc233197216" w:id="27"/>
      <w:r w:rsidRPr="003E00CD">
        <w:rPr>
          <w:b/>
          <w:bCs/>
          <w:i w:val="0"/>
          <w:iCs/>
          <w:color w:val="auto"/>
        </w:rPr>
        <w:t>Estimation Procedure</w:t>
      </w:r>
      <w:bookmarkEnd w:id="26"/>
      <w:bookmarkEnd w:id="27"/>
      <w:r w:rsidR="003E00CD">
        <w:rPr>
          <w:b/>
          <w:bCs/>
          <w:i w:val="0"/>
          <w:iCs/>
          <w:color w:val="auto"/>
        </w:rPr>
        <w:t xml:space="preserve">:  </w:t>
      </w:r>
      <w:r w:rsidRPr="00E47DD6">
        <w:rPr>
          <w:rFonts w:ascii="Times New Roman" w:hAnsi="Times New Roman"/>
          <w:i w:val="0"/>
          <w:iCs/>
        </w:rPr>
        <w:t>The analysis involves computation of descriptive statistics (means and</w:t>
      </w:r>
      <w:r w:rsidR="00E47DD6">
        <w:rPr>
          <w:rFonts w:ascii="Times New Roman" w:hAnsi="Times New Roman"/>
          <w:i w:val="0"/>
          <w:iCs/>
        </w:rPr>
        <w:t xml:space="preserve"> </w:t>
      </w:r>
      <w:r w:rsidRPr="00E47DD6">
        <w:rPr>
          <w:rFonts w:ascii="Times New Roman" w:hAnsi="Times New Roman"/>
          <w:i w:val="0"/>
          <w:iCs/>
        </w:rPr>
        <w:t xml:space="preserve">percentages) for the entire sample or specified subsamples. </w:t>
      </w:r>
      <w:r w:rsidR="00D849FD">
        <w:rPr>
          <w:rFonts w:ascii="Times New Roman" w:hAnsi="Times New Roman"/>
          <w:i w:val="0"/>
          <w:iCs/>
        </w:rPr>
        <w:t xml:space="preserve"> </w:t>
      </w:r>
      <w:r w:rsidRPr="00E47DD6">
        <w:rPr>
          <w:rFonts w:ascii="Times New Roman" w:hAnsi="Times New Roman"/>
          <w:i w:val="0"/>
          <w:iCs/>
        </w:rPr>
        <w:t xml:space="preserve">We will use multivariate models (primarily multiple regression and </w:t>
      </w:r>
      <w:r w:rsidRPr="00E47DD6" w:rsidR="00BD61AF">
        <w:rPr>
          <w:rFonts w:ascii="Times New Roman" w:hAnsi="Times New Roman"/>
          <w:i w:val="0"/>
          <w:iCs/>
        </w:rPr>
        <w:t>profit</w:t>
      </w:r>
      <w:r w:rsidRPr="00E47DD6">
        <w:rPr>
          <w:rFonts w:ascii="Times New Roman" w:hAnsi="Times New Roman"/>
          <w:i w:val="0"/>
          <w:iCs/>
        </w:rPr>
        <w:t xml:space="preserve"> or logit models) in some instances</w:t>
      </w:r>
      <w:r w:rsidRPr="000C03AE">
        <w:rPr>
          <w:rFonts w:ascii="Times New Roman" w:hAnsi="Times New Roman"/>
        </w:rPr>
        <w:t xml:space="preserve">. </w:t>
      </w:r>
    </w:p>
    <w:p w:rsidRPr="000C03AE" w:rsidR="00602A76" w:rsidP="006E334F" w:rsidRDefault="00602A76" w14:paraId="4218D962" w14:textId="06DC93EB">
      <w:pPr>
        <w:pStyle w:val="NormalSS"/>
        <w:ind w:left="270" w:firstLine="0"/>
        <w:jc w:val="left"/>
        <w:rPr>
          <w:rFonts w:ascii="Times New Roman" w:hAnsi="Times New Roman"/>
        </w:rPr>
      </w:pPr>
      <w:r w:rsidRPr="000C03AE">
        <w:rPr>
          <w:rFonts w:ascii="Times New Roman" w:hAnsi="Times New Roman"/>
        </w:rPr>
        <w:t>The analysis of survey data from such complex sample designs requires the use of weights to compensate for various probabilities of selection and special meth</w:t>
      </w:r>
      <w:r>
        <w:rPr>
          <w:rFonts w:ascii="Times New Roman" w:hAnsi="Times New Roman"/>
        </w:rPr>
        <w:t xml:space="preserve">ods to compute standard errors. </w:t>
      </w:r>
      <w:r w:rsidR="00E47DD6">
        <w:rPr>
          <w:rFonts w:ascii="Times New Roman" w:hAnsi="Times New Roman"/>
        </w:rPr>
        <w:t xml:space="preserve"> </w:t>
      </w:r>
      <w:r>
        <w:rPr>
          <w:rFonts w:ascii="Times New Roman" w:hAnsi="Times New Roman"/>
        </w:rPr>
        <w:t>We compute</w:t>
      </w:r>
      <w:r w:rsidRPr="000C03AE">
        <w:rPr>
          <w:rFonts w:ascii="Times New Roman" w:hAnsi="Times New Roman"/>
        </w:rPr>
        <w:t xml:space="preserve"> from the inverse of the selection probability </w:t>
      </w:r>
      <w:r>
        <w:rPr>
          <w:rFonts w:ascii="Times New Roman" w:hAnsi="Times New Roman"/>
        </w:rPr>
        <w:t>t</w:t>
      </w:r>
      <w:r w:rsidRPr="000C03AE">
        <w:rPr>
          <w:rFonts w:ascii="Times New Roman" w:hAnsi="Times New Roman"/>
        </w:rPr>
        <w:t xml:space="preserve">he base weight associated with a </w:t>
      </w:r>
      <w:r>
        <w:rPr>
          <w:rFonts w:ascii="Times New Roman" w:hAnsi="Times New Roman"/>
        </w:rPr>
        <w:t xml:space="preserve">sampled SSDI </w:t>
      </w:r>
      <w:r w:rsidRPr="000C03AE">
        <w:rPr>
          <w:rFonts w:ascii="Times New Roman" w:hAnsi="Times New Roman"/>
        </w:rPr>
        <w:t>beneficiary</w:t>
      </w:r>
      <w:r>
        <w:rPr>
          <w:rFonts w:ascii="Times New Roman" w:hAnsi="Times New Roman"/>
        </w:rPr>
        <w:t xml:space="preserve"> or SSI recipient for the NBS survey. </w:t>
      </w:r>
      <w:r w:rsidR="00E47DD6">
        <w:rPr>
          <w:rFonts w:ascii="Times New Roman" w:hAnsi="Times New Roman"/>
        </w:rPr>
        <w:t xml:space="preserve"> </w:t>
      </w:r>
      <w:r w:rsidRPr="000C03AE">
        <w:rPr>
          <w:rFonts w:ascii="Times New Roman" w:hAnsi="Times New Roman"/>
        </w:rPr>
        <w:t>The probability of selection is the product of the selection pro</w:t>
      </w:r>
      <w:r>
        <w:rPr>
          <w:rFonts w:ascii="Times New Roman" w:hAnsi="Times New Roman"/>
        </w:rPr>
        <w:t>bability at each sampling stage-</w:t>
      </w:r>
      <w:r w:rsidRPr="000C03AE">
        <w:rPr>
          <w:rFonts w:ascii="Times New Roman" w:hAnsi="Times New Roman"/>
        </w:rPr>
        <w:t>the PSU (as needed), and the individ</w:t>
      </w:r>
      <w:r>
        <w:rPr>
          <w:rFonts w:ascii="Times New Roman" w:hAnsi="Times New Roman"/>
        </w:rPr>
        <w:t xml:space="preserve">ual. </w:t>
      </w:r>
      <w:r w:rsidR="00E47DD6">
        <w:rPr>
          <w:rFonts w:ascii="Times New Roman" w:hAnsi="Times New Roman"/>
        </w:rPr>
        <w:t xml:space="preserve"> </w:t>
      </w:r>
      <w:r w:rsidRPr="000C03AE">
        <w:rPr>
          <w:rFonts w:ascii="Times New Roman" w:hAnsi="Times New Roman"/>
        </w:rPr>
        <w:t>Therefore, the initial sampling weight will be the inverse of the full selec</w:t>
      </w:r>
      <w:r>
        <w:rPr>
          <w:rFonts w:ascii="Times New Roman" w:hAnsi="Times New Roman"/>
        </w:rPr>
        <w:t>tion probability for each case.</w:t>
      </w:r>
      <w:r w:rsidR="00E47DD6">
        <w:rPr>
          <w:rFonts w:ascii="Times New Roman" w:hAnsi="Times New Roman"/>
        </w:rPr>
        <w:t xml:space="preserve"> </w:t>
      </w:r>
      <w:r>
        <w:rPr>
          <w:rFonts w:ascii="Times New Roman" w:hAnsi="Times New Roman"/>
        </w:rPr>
        <w:t xml:space="preserve"> </w:t>
      </w:r>
      <w:r w:rsidRPr="00B03FE1">
        <w:rPr>
          <w:rFonts w:ascii="Times New Roman" w:hAnsi="Times New Roman"/>
        </w:rPr>
        <w:t>The following component probabilities are the basis to calculate the probability of selection</w:t>
      </w:r>
      <w:r w:rsidRPr="000C03AE">
        <w:rPr>
          <w:rFonts w:ascii="Times New Roman" w:hAnsi="Times New Roman"/>
        </w:rPr>
        <w:t>:</w:t>
      </w:r>
    </w:p>
    <w:p w:rsidRPr="0020667A" w:rsidR="00602A76" w:rsidP="006E334F" w:rsidRDefault="00602A76" w14:paraId="4E585A2B" w14:textId="77777777">
      <w:pPr>
        <w:numPr>
          <w:ilvl w:val="0"/>
          <w:numId w:val="43"/>
        </w:numPr>
        <w:tabs>
          <w:tab w:val="clear" w:pos="360"/>
          <w:tab w:val="num" w:pos="-72"/>
        </w:tabs>
        <w:spacing w:before="120" w:after="120" w:line="240" w:lineRule="auto"/>
        <w:ind w:left="540" w:right="360" w:hanging="288"/>
        <w:rPr>
          <w:sz w:val="24"/>
          <w:szCs w:val="24"/>
        </w:rPr>
      </w:pPr>
      <w:r w:rsidRPr="0020667A">
        <w:rPr>
          <w:sz w:val="24"/>
          <w:szCs w:val="24"/>
        </w:rPr>
        <w:t xml:space="preserve">The probability of selecting PSU </w:t>
      </w:r>
      <w:proofErr w:type="spellStart"/>
      <w:r w:rsidRPr="0020667A">
        <w:rPr>
          <w:i/>
          <w:sz w:val="24"/>
          <w:szCs w:val="24"/>
        </w:rPr>
        <w:t>i</w:t>
      </w:r>
      <w:proofErr w:type="spellEnd"/>
      <w:r w:rsidRPr="0020667A">
        <w:rPr>
          <w:sz w:val="24"/>
          <w:szCs w:val="24"/>
        </w:rPr>
        <w:t xml:space="preserve"> within PSU stratum </w:t>
      </w:r>
      <w:r w:rsidRPr="0020667A">
        <w:rPr>
          <w:i/>
          <w:sz w:val="24"/>
          <w:szCs w:val="24"/>
        </w:rPr>
        <w:t>h</w:t>
      </w:r>
      <w:r w:rsidRPr="0020667A">
        <w:rPr>
          <w:sz w:val="24"/>
          <w:szCs w:val="24"/>
        </w:rPr>
        <w:t xml:space="preserve">, </w:t>
      </w:r>
      <w:r w:rsidRPr="0020667A">
        <w:rPr>
          <w:rFonts w:ascii="Symbol" w:hAnsi="Symbol"/>
          <w:i/>
          <w:sz w:val="24"/>
          <w:szCs w:val="24"/>
        </w:rPr>
        <w:t></w:t>
      </w:r>
      <w:r w:rsidRPr="0020667A">
        <w:rPr>
          <w:i/>
          <w:sz w:val="24"/>
          <w:szCs w:val="24"/>
          <w:vertAlign w:val="subscript"/>
        </w:rPr>
        <w:t>hi</w:t>
      </w:r>
      <w:r w:rsidRPr="0020667A">
        <w:rPr>
          <w:sz w:val="24"/>
          <w:szCs w:val="24"/>
        </w:rPr>
        <w:t xml:space="preserve">, is </w:t>
      </w:r>
      <w:r w:rsidRPr="0020667A">
        <w:rPr>
          <w:rFonts w:ascii="Symbol" w:hAnsi="Symbol"/>
          <w:i/>
          <w:sz w:val="24"/>
          <w:szCs w:val="24"/>
        </w:rPr>
        <w:t></w:t>
      </w:r>
      <w:r w:rsidRPr="0020667A">
        <w:rPr>
          <w:i/>
          <w:sz w:val="24"/>
          <w:szCs w:val="24"/>
          <w:vertAlign w:val="subscript"/>
        </w:rPr>
        <w:t>hi</w:t>
      </w:r>
      <w:r w:rsidRPr="0020667A">
        <w:rPr>
          <w:sz w:val="24"/>
          <w:szCs w:val="24"/>
        </w:rPr>
        <w:t xml:space="preserve"> = 1 for certainty PSUs; for noncertainty PSUs, the selection probability is given by </w:t>
      </w:r>
    </w:p>
    <w:p w:rsidRPr="0020667A" w:rsidR="00602A76" w:rsidP="00602A76" w:rsidRDefault="00017986" w14:paraId="2E880E18" w14:textId="1668CFF2">
      <w:pPr>
        <w:pStyle w:val="N2-2ndBullet"/>
        <w:numPr>
          <w:ilvl w:val="0"/>
          <w:numId w:val="0"/>
        </w:numPr>
        <w:spacing w:before="120" w:after="120" w:line="240" w:lineRule="auto"/>
        <w:jc w:val="center"/>
        <w:rPr>
          <w:sz w:val="24"/>
        </w:rPr>
      </w:pPr>
      <w:r w:rsidRPr="0020667A">
        <w:rPr>
          <w:position w:val="-28"/>
          <w:sz w:val="24"/>
        </w:rPr>
        <w:object w:dxaOrig="1480" w:dyaOrig="639" w14:anchorId="6E455B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88.2pt;height:34.2pt" fillcolor="window" o:ole="" type="#_x0000_t75">
            <v:imagedata o:title="" r:id="rId9"/>
          </v:shape>
          <o:OLEObject Type="Embed" ProgID="Equation.3" ShapeID="_x0000_i1025" DrawAspect="Content" ObjectID="_1722237880" r:id="rId10"/>
        </w:object>
      </w:r>
      <w:r w:rsidRPr="0020667A" w:rsidR="00602A76">
        <w:rPr>
          <w:sz w:val="24"/>
        </w:rPr>
        <w:t>,</w:t>
      </w:r>
    </w:p>
    <w:p w:rsidRPr="0020667A" w:rsidR="00602A76" w:rsidP="00602A76" w:rsidRDefault="00602A76" w14:paraId="34918CD4" w14:textId="77777777">
      <w:pPr>
        <w:ind w:left="288"/>
        <w:rPr>
          <w:sz w:val="24"/>
          <w:szCs w:val="24"/>
        </w:rPr>
      </w:pPr>
      <w:r w:rsidRPr="0020667A">
        <w:rPr>
          <w:sz w:val="24"/>
          <w:szCs w:val="24"/>
        </w:rPr>
        <w:t xml:space="preserve">where </w:t>
      </w:r>
      <w:r w:rsidRPr="0020667A">
        <w:rPr>
          <w:i/>
          <w:sz w:val="24"/>
          <w:szCs w:val="24"/>
        </w:rPr>
        <w:t>n</w:t>
      </w:r>
      <w:r w:rsidRPr="0020667A">
        <w:rPr>
          <w:i/>
          <w:sz w:val="24"/>
          <w:szCs w:val="24"/>
          <w:vertAlign w:val="subscript"/>
        </w:rPr>
        <w:t>h</w:t>
      </w:r>
      <w:r w:rsidRPr="0020667A">
        <w:rPr>
          <w:sz w:val="24"/>
          <w:szCs w:val="24"/>
        </w:rPr>
        <w:t xml:space="preserve"> is the sample size for stratum </w:t>
      </w:r>
      <w:r w:rsidRPr="0020667A">
        <w:rPr>
          <w:i/>
          <w:sz w:val="24"/>
          <w:szCs w:val="24"/>
        </w:rPr>
        <w:t>h</w:t>
      </w:r>
      <w:r w:rsidRPr="0020667A">
        <w:rPr>
          <w:sz w:val="24"/>
          <w:szCs w:val="24"/>
        </w:rPr>
        <w:t xml:space="preserve">. Typically, </w:t>
      </w:r>
      <w:r w:rsidRPr="0020667A">
        <w:rPr>
          <w:i/>
          <w:sz w:val="24"/>
          <w:szCs w:val="24"/>
        </w:rPr>
        <w:t>n</w:t>
      </w:r>
      <w:r w:rsidRPr="0020667A">
        <w:rPr>
          <w:i/>
          <w:sz w:val="24"/>
          <w:szCs w:val="24"/>
          <w:vertAlign w:val="subscript"/>
        </w:rPr>
        <w:t>h</w:t>
      </w:r>
      <w:r w:rsidRPr="0020667A">
        <w:rPr>
          <w:sz w:val="24"/>
          <w:szCs w:val="24"/>
        </w:rPr>
        <w:t xml:space="preserve"> = 1 or 2.</w:t>
      </w:r>
    </w:p>
    <w:p w:rsidRPr="0020667A" w:rsidR="00602A76" w:rsidP="005B078C" w:rsidRDefault="00602A76" w14:paraId="4ED48040" w14:textId="77777777">
      <w:pPr>
        <w:numPr>
          <w:ilvl w:val="0"/>
          <w:numId w:val="43"/>
        </w:numPr>
        <w:spacing w:before="120" w:after="120" w:line="240" w:lineRule="auto"/>
        <w:ind w:left="288" w:right="360" w:hanging="18"/>
        <w:rPr>
          <w:sz w:val="24"/>
          <w:szCs w:val="24"/>
        </w:rPr>
      </w:pPr>
      <w:r w:rsidRPr="0020667A">
        <w:rPr>
          <w:sz w:val="24"/>
          <w:szCs w:val="24"/>
        </w:rPr>
        <w:t xml:space="preserve">If secondary units are selected within the </w:t>
      </w:r>
      <w:r w:rsidRPr="0020667A">
        <w:rPr>
          <w:i/>
          <w:sz w:val="24"/>
          <w:szCs w:val="24"/>
        </w:rPr>
        <w:t>hi</w:t>
      </w:r>
      <w:r w:rsidRPr="0020667A">
        <w:rPr>
          <w:sz w:val="24"/>
          <w:szCs w:val="24"/>
        </w:rPr>
        <w:t xml:space="preserve">-th PSU, the probability of selecting secondary unit </w:t>
      </w:r>
      <w:r w:rsidRPr="0020667A">
        <w:rPr>
          <w:i/>
          <w:sz w:val="24"/>
          <w:szCs w:val="24"/>
        </w:rPr>
        <w:t>j</w:t>
      </w:r>
      <w:r w:rsidRPr="0020667A">
        <w:rPr>
          <w:sz w:val="24"/>
          <w:szCs w:val="24"/>
        </w:rPr>
        <w:t xml:space="preserve"> is given by</w:t>
      </w:r>
    </w:p>
    <w:p w:rsidRPr="0020667A" w:rsidR="00602A76" w:rsidP="00602A76" w:rsidRDefault="00602A76" w14:paraId="4948EBEB" w14:textId="77777777">
      <w:pPr>
        <w:pStyle w:val="N2-2ndBullet"/>
        <w:numPr>
          <w:ilvl w:val="0"/>
          <w:numId w:val="0"/>
        </w:numPr>
        <w:spacing w:before="120" w:after="120" w:line="240" w:lineRule="auto"/>
        <w:jc w:val="center"/>
        <w:rPr>
          <w:sz w:val="24"/>
        </w:rPr>
      </w:pPr>
      <w:r w:rsidRPr="0020667A">
        <w:rPr>
          <w:noProof/>
          <w:position w:val="-28"/>
          <w:sz w:val="24"/>
        </w:rPr>
        <w:drawing>
          <wp:inline distT="0" distB="0" distL="0" distR="0" wp14:anchorId="70142DF7" wp14:editId="51345DE8">
            <wp:extent cx="1047750" cy="43815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047750" cy="438150"/>
                    </a:xfrm>
                    <a:prstGeom prst="rect">
                      <a:avLst/>
                    </a:prstGeom>
                    <a:noFill/>
                    <a:ln w="9525">
                      <a:noFill/>
                      <a:miter lim="800000"/>
                      <a:headEnd/>
                      <a:tailEnd/>
                    </a:ln>
                  </pic:spPr>
                </pic:pic>
              </a:graphicData>
            </a:graphic>
          </wp:inline>
        </w:drawing>
      </w:r>
      <w:r w:rsidRPr="0020667A">
        <w:rPr>
          <w:sz w:val="24"/>
        </w:rPr>
        <w:t>.</w:t>
      </w:r>
    </w:p>
    <w:p w:rsidRPr="0020667A" w:rsidR="00602A76" w:rsidP="00602A76" w:rsidRDefault="00602A76" w14:paraId="0D8F79F4" w14:textId="77777777">
      <w:pPr>
        <w:spacing w:after="240" w:line="240" w:lineRule="auto"/>
        <w:ind w:left="288"/>
        <w:rPr>
          <w:color w:val="000000" w:themeColor="text1"/>
          <w:sz w:val="24"/>
          <w:szCs w:val="24"/>
        </w:rPr>
      </w:pPr>
      <w:r w:rsidRPr="0020667A">
        <w:rPr>
          <w:sz w:val="24"/>
          <w:szCs w:val="24"/>
        </w:rPr>
        <w:t xml:space="preserve">where </w:t>
      </w:r>
      <w:r w:rsidRPr="0020667A">
        <w:rPr>
          <w:position w:val="-10"/>
          <w:sz w:val="24"/>
          <w:szCs w:val="24"/>
        </w:rPr>
        <w:object w:dxaOrig="300" w:dyaOrig="320" w14:anchorId="75E4E0D9">
          <v:shape id="_x0000_i1026" style="width:14.4pt;height:14.4pt" fillcolor="window" o:ole="" type="#_x0000_t75">
            <v:imagedata o:title="" r:id="rId12"/>
          </v:shape>
          <o:OLEObject Type="Embed" ProgID="Equation.3" ShapeID="_x0000_i1026" DrawAspect="Content" ObjectID="_1722237881" r:id="rId13"/>
        </w:object>
      </w:r>
      <w:r w:rsidRPr="0020667A">
        <w:rPr>
          <w:sz w:val="24"/>
          <w:szCs w:val="24"/>
        </w:rPr>
        <w:t xml:space="preserve">is the sample size for secondary units in PSU </w:t>
      </w:r>
      <w:r w:rsidRPr="0020667A">
        <w:rPr>
          <w:i/>
          <w:sz w:val="24"/>
          <w:szCs w:val="24"/>
        </w:rPr>
        <w:t>hi</w:t>
      </w:r>
      <w:r w:rsidRPr="0020667A">
        <w:rPr>
          <w:sz w:val="24"/>
          <w:szCs w:val="24"/>
        </w:rPr>
        <w:t xml:space="preserve">, </w:t>
      </w:r>
      <w:r w:rsidRPr="0020667A">
        <w:rPr>
          <w:position w:val="-14"/>
          <w:sz w:val="24"/>
          <w:szCs w:val="24"/>
        </w:rPr>
        <w:object w:dxaOrig="720" w:dyaOrig="360" w14:anchorId="6892DCF1">
          <v:shape id="_x0000_i1027" style="width:42.6pt;height:14.4pt" fillcolor="window" o:ole="" type="#_x0000_t75">
            <v:imagedata o:title="" r:id="rId14"/>
          </v:shape>
          <o:OLEObject Type="Embed" ProgID="Equation.3" ShapeID="_x0000_i1027" DrawAspect="Content" ObjectID="_1722237882" r:id="rId15"/>
        </w:object>
      </w:r>
      <w:r w:rsidRPr="0020667A">
        <w:rPr>
          <w:sz w:val="24"/>
          <w:szCs w:val="24"/>
        </w:rPr>
        <w:t xml:space="preserve">is the measure of size of the secondary unit, and </w:t>
      </w:r>
      <w:r w:rsidRPr="0020667A">
        <w:rPr>
          <w:position w:val="-10"/>
          <w:sz w:val="24"/>
          <w:szCs w:val="24"/>
        </w:rPr>
        <w:object w:dxaOrig="680" w:dyaOrig="320" w14:anchorId="6532E9FB">
          <v:shape id="_x0000_i1028" style="width:36.6pt;height:14.4pt" fillcolor="window" o:ole="" type="#_x0000_t75">
            <v:imagedata o:title="" r:id="rId16"/>
          </v:shape>
          <o:OLEObject Type="Embed" ProgID="Equation.3" ShapeID="_x0000_i1028" DrawAspect="Content" ObjectID="_1722237883" r:id="rId17"/>
        </w:object>
      </w:r>
      <w:r w:rsidRPr="0020667A">
        <w:rPr>
          <w:sz w:val="24"/>
          <w:szCs w:val="24"/>
        </w:rPr>
        <w:t xml:space="preserve"> is the total measure of size for all secondary units in PSU </w:t>
      </w:r>
      <w:r w:rsidRPr="0020667A">
        <w:rPr>
          <w:i/>
          <w:sz w:val="24"/>
          <w:szCs w:val="24"/>
        </w:rPr>
        <w:t>hi</w:t>
      </w:r>
      <w:r w:rsidRPr="0020667A">
        <w:rPr>
          <w:sz w:val="24"/>
          <w:szCs w:val="24"/>
        </w:rPr>
        <w:t>.</w:t>
      </w:r>
    </w:p>
    <w:p w:rsidRPr="0020667A" w:rsidR="00602A76" w:rsidP="005B078C" w:rsidRDefault="00602A76" w14:paraId="5446487A" w14:textId="77777777">
      <w:pPr>
        <w:numPr>
          <w:ilvl w:val="0"/>
          <w:numId w:val="43"/>
        </w:numPr>
        <w:spacing w:before="120" w:after="120" w:line="240" w:lineRule="auto"/>
        <w:ind w:left="288" w:right="360" w:hanging="18"/>
        <w:rPr>
          <w:sz w:val="24"/>
          <w:szCs w:val="24"/>
        </w:rPr>
      </w:pPr>
      <w:r w:rsidRPr="0020667A">
        <w:rPr>
          <w:sz w:val="24"/>
          <w:szCs w:val="24"/>
        </w:rPr>
        <w:t xml:space="preserve">When subareas are used, the probability of selecting a given beneficiary within stratum </w:t>
      </w:r>
      <w:r w:rsidRPr="0020667A">
        <w:rPr>
          <w:i/>
          <w:sz w:val="24"/>
          <w:szCs w:val="24"/>
        </w:rPr>
        <w:t>s</w:t>
      </w:r>
      <w:r w:rsidRPr="0020667A">
        <w:rPr>
          <w:sz w:val="24"/>
          <w:szCs w:val="24"/>
        </w:rPr>
        <w:t xml:space="preserve"> of secondary unit </w:t>
      </w:r>
      <w:r w:rsidRPr="0020667A">
        <w:rPr>
          <w:i/>
          <w:sz w:val="24"/>
          <w:szCs w:val="24"/>
        </w:rPr>
        <w:t>j</w:t>
      </w:r>
      <w:r w:rsidRPr="0020667A">
        <w:rPr>
          <w:sz w:val="24"/>
          <w:szCs w:val="24"/>
        </w:rPr>
        <w:t xml:space="preserve"> in the </w:t>
      </w:r>
      <w:r w:rsidRPr="0020667A">
        <w:rPr>
          <w:i/>
          <w:sz w:val="24"/>
          <w:szCs w:val="24"/>
        </w:rPr>
        <w:t>hi</w:t>
      </w:r>
      <w:r w:rsidRPr="0020667A">
        <w:rPr>
          <w:sz w:val="24"/>
          <w:szCs w:val="24"/>
        </w:rPr>
        <w:t>-th PSU is given by</w:t>
      </w:r>
    </w:p>
    <w:p w:rsidRPr="0020667A" w:rsidR="00602A76" w:rsidP="00602A76" w:rsidRDefault="00602A76" w14:paraId="27574B0F" w14:textId="6EC3ABB2">
      <w:pPr>
        <w:pStyle w:val="E1-Equation"/>
        <w:spacing w:before="120" w:after="120" w:line="240" w:lineRule="auto"/>
        <w:rPr>
          <w:rFonts w:ascii="Garamond" w:hAnsi="Garamond"/>
          <w:sz w:val="24"/>
          <w:szCs w:val="24"/>
        </w:rPr>
      </w:pPr>
      <w:r w:rsidRPr="0020667A">
        <w:rPr>
          <w:rFonts w:ascii="Garamond" w:hAnsi="Garamond"/>
          <w:sz w:val="24"/>
          <w:szCs w:val="24"/>
        </w:rPr>
        <w:tab/>
      </w:r>
      <w:r w:rsidRPr="0020667A" w:rsidR="00017986">
        <w:rPr>
          <w:rFonts w:ascii="Garamond" w:hAnsi="Garamond"/>
          <w:position w:val="-30"/>
          <w:sz w:val="24"/>
          <w:szCs w:val="24"/>
        </w:rPr>
        <w:object w:dxaOrig="1260" w:dyaOrig="680" w14:anchorId="6D47399E">
          <v:shape id="_x0000_i1029" style="width:1in;height:41.4pt" fillcolor="window" o:ole="" type="#_x0000_t75">
            <v:imagedata o:title="" r:id="rId18"/>
          </v:shape>
          <o:OLEObject Type="Embed" ProgID="Equation.3" ShapeID="_x0000_i1029" DrawAspect="Content" ObjectID="_1722237884" r:id="rId19"/>
        </w:object>
      </w:r>
      <w:r w:rsidRPr="0020667A">
        <w:rPr>
          <w:rFonts w:ascii="Garamond" w:hAnsi="Garamond"/>
          <w:sz w:val="24"/>
          <w:szCs w:val="24"/>
        </w:rPr>
        <w:t>,</w:t>
      </w:r>
    </w:p>
    <w:p w:rsidRPr="0020667A" w:rsidR="00602A76" w:rsidP="00602A76" w:rsidRDefault="00602A76" w14:paraId="5AE75703" w14:textId="1E687D0E">
      <w:pPr>
        <w:pStyle w:val="NormalSS"/>
        <w:ind w:left="288" w:right="360" w:firstLine="0"/>
        <w:jc w:val="left"/>
        <w:rPr>
          <w:rFonts w:ascii="Times New Roman" w:hAnsi="Times New Roman"/>
          <w:szCs w:val="24"/>
        </w:rPr>
      </w:pPr>
      <w:r w:rsidRPr="0020667A">
        <w:rPr>
          <w:rFonts w:ascii="Times New Roman" w:hAnsi="Times New Roman"/>
          <w:szCs w:val="24"/>
        </w:rPr>
        <w:t xml:space="preserve">where </w:t>
      </w:r>
      <w:r w:rsidRPr="0020667A">
        <w:rPr>
          <w:rFonts w:ascii="Times New Roman" w:hAnsi="Times New Roman"/>
          <w:i/>
          <w:szCs w:val="24"/>
        </w:rPr>
        <w:t>n</w:t>
      </w:r>
      <w:r w:rsidRPr="0020667A">
        <w:rPr>
          <w:rFonts w:ascii="Times New Roman" w:hAnsi="Times New Roman"/>
          <w:i/>
          <w:szCs w:val="24"/>
          <w:vertAlign w:val="subscript"/>
        </w:rPr>
        <w:t>hijsk</w:t>
      </w:r>
      <w:r w:rsidRPr="0020667A">
        <w:rPr>
          <w:rFonts w:ascii="Times New Roman" w:hAnsi="Times New Roman"/>
          <w:szCs w:val="24"/>
        </w:rPr>
        <w:t xml:space="preserve"> and </w:t>
      </w:r>
      <w:r w:rsidRPr="0020667A">
        <w:rPr>
          <w:rFonts w:ascii="Times New Roman" w:hAnsi="Times New Roman"/>
          <w:i/>
          <w:szCs w:val="24"/>
        </w:rPr>
        <w:t>N</w:t>
      </w:r>
      <w:r w:rsidRPr="0020667A">
        <w:rPr>
          <w:rFonts w:ascii="Times New Roman" w:hAnsi="Times New Roman"/>
          <w:i/>
          <w:szCs w:val="24"/>
          <w:vertAlign w:val="subscript"/>
        </w:rPr>
        <w:t>hijsk</w:t>
      </w:r>
      <w:r w:rsidRPr="0020667A">
        <w:rPr>
          <w:rFonts w:ascii="Times New Roman" w:hAnsi="Times New Roman"/>
          <w:szCs w:val="24"/>
        </w:rPr>
        <w:t xml:space="preserve"> are the sample and population size, respectively, for the </w:t>
      </w:r>
      <w:r w:rsidRPr="0020667A">
        <w:rPr>
          <w:rFonts w:ascii="Times New Roman" w:hAnsi="Times New Roman"/>
          <w:i/>
          <w:szCs w:val="24"/>
        </w:rPr>
        <w:t>hijsk</w:t>
      </w:r>
      <w:r w:rsidRPr="0020667A">
        <w:rPr>
          <w:rFonts w:ascii="Times New Roman" w:hAnsi="Times New Roman"/>
          <w:szCs w:val="24"/>
        </w:rPr>
        <w:t xml:space="preserve">-th stratum within secondary unit </w:t>
      </w:r>
      <w:r w:rsidRPr="0020667A">
        <w:rPr>
          <w:rFonts w:ascii="Times New Roman" w:hAnsi="Times New Roman"/>
          <w:i/>
          <w:szCs w:val="24"/>
        </w:rPr>
        <w:t>j</w:t>
      </w:r>
      <w:r w:rsidRPr="0020667A">
        <w:rPr>
          <w:rFonts w:ascii="Times New Roman" w:hAnsi="Times New Roman"/>
          <w:szCs w:val="24"/>
        </w:rPr>
        <w:t xml:space="preserve"> of PSU </w:t>
      </w:r>
      <w:r w:rsidRPr="0020667A">
        <w:rPr>
          <w:rFonts w:ascii="Times New Roman" w:hAnsi="Times New Roman"/>
          <w:i/>
          <w:szCs w:val="24"/>
        </w:rPr>
        <w:t>hi</w:t>
      </w:r>
      <w:r w:rsidRPr="0020667A">
        <w:rPr>
          <w:rFonts w:ascii="Times New Roman" w:hAnsi="Times New Roman"/>
          <w:szCs w:val="24"/>
        </w:rPr>
        <w:t xml:space="preserve">, assuming subareas are used. </w:t>
      </w:r>
      <w:r w:rsidR="005257B9">
        <w:rPr>
          <w:rFonts w:ascii="Times New Roman" w:hAnsi="Times New Roman"/>
          <w:szCs w:val="24"/>
        </w:rPr>
        <w:t xml:space="preserve"> </w:t>
      </w:r>
      <w:r w:rsidRPr="0020667A">
        <w:rPr>
          <w:rFonts w:ascii="Times New Roman" w:hAnsi="Times New Roman"/>
          <w:szCs w:val="24"/>
        </w:rPr>
        <w:t xml:space="preserve">When subareas are not used, </w:t>
      </w:r>
      <w:r w:rsidRPr="0020667A">
        <w:rPr>
          <w:rFonts w:ascii="Times New Roman" w:hAnsi="Times New Roman"/>
          <w:i/>
          <w:szCs w:val="24"/>
        </w:rPr>
        <w:t>j</w:t>
      </w:r>
      <w:r w:rsidRPr="0020667A">
        <w:rPr>
          <w:rFonts w:ascii="Times New Roman" w:hAnsi="Times New Roman"/>
          <w:szCs w:val="24"/>
        </w:rPr>
        <w:t xml:space="preserve"> drops out of the subscripts.</w:t>
      </w:r>
    </w:p>
    <w:p w:rsidRPr="0020667A" w:rsidR="00602A76" w:rsidP="002321B5" w:rsidRDefault="00602A76" w14:paraId="780202C0" w14:textId="77777777">
      <w:pPr>
        <w:pStyle w:val="NormalSS"/>
        <w:keepNext/>
        <w:ind w:left="270" w:firstLine="0"/>
        <w:jc w:val="left"/>
        <w:rPr>
          <w:rFonts w:ascii="Times New Roman" w:hAnsi="Times New Roman"/>
          <w:szCs w:val="24"/>
        </w:rPr>
      </w:pPr>
      <w:r w:rsidRPr="0020667A">
        <w:rPr>
          <w:rFonts w:ascii="Times New Roman" w:hAnsi="Times New Roman"/>
          <w:szCs w:val="24"/>
        </w:rPr>
        <w:t>Finally, the overall selection probability is given by the following:</w:t>
      </w:r>
    </w:p>
    <w:p w:rsidRPr="0020667A" w:rsidR="00602A76" w:rsidP="00602A76" w:rsidRDefault="00602A76" w14:paraId="003078D7" w14:textId="44250E81">
      <w:pPr>
        <w:pStyle w:val="E1-Equation"/>
        <w:keepNext/>
        <w:spacing w:before="120" w:after="120" w:line="240" w:lineRule="auto"/>
        <w:rPr>
          <w:rFonts w:ascii="Garamond" w:hAnsi="Garamond"/>
          <w:sz w:val="24"/>
          <w:szCs w:val="24"/>
        </w:rPr>
      </w:pPr>
      <w:r w:rsidRPr="0020667A">
        <w:rPr>
          <w:rFonts w:ascii="Garamond" w:hAnsi="Garamond"/>
          <w:sz w:val="24"/>
          <w:szCs w:val="24"/>
        </w:rPr>
        <w:tab/>
      </w:r>
      <w:r w:rsidRPr="0020667A">
        <w:rPr>
          <w:sz w:val="24"/>
          <w:szCs w:val="24"/>
        </w:rPr>
        <w:t>Overall selection probability</w:t>
      </w:r>
      <w:r w:rsidRPr="0020667A">
        <w:rPr>
          <w:rFonts w:ascii="Garamond" w:hAnsi="Garamond"/>
          <w:sz w:val="24"/>
          <w:szCs w:val="24"/>
        </w:rPr>
        <w:t xml:space="preserve"> = </w:t>
      </w:r>
      <w:r w:rsidRPr="0020667A" w:rsidR="009C3D98">
        <w:rPr>
          <w:rFonts w:ascii="Garamond" w:hAnsi="Garamond"/>
          <w:position w:val="-14"/>
          <w:sz w:val="24"/>
          <w:szCs w:val="24"/>
        </w:rPr>
        <w:object w:dxaOrig="1120" w:dyaOrig="380" w14:anchorId="607A50C4">
          <v:shape id="_x0000_i1030" style="width:61.8pt;height:21pt" fillcolor="window" o:ole="" type="#_x0000_t75">
            <v:imagedata o:title="" r:id="rId20"/>
          </v:shape>
          <o:OLEObject Type="Embed" ProgID="Equation.3" ShapeID="_x0000_i1030" DrawAspect="Content" ObjectID="_1722237885" r:id="rId21"/>
        </w:object>
      </w:r>
      <w:r w:rsidRPr="0020667A">
        <w:rPr>
          <w:rFonts w:ascii="Garamond" w:hAnsi="Garamond"/>
          <w:sz w:val="24"/>
          <w:szCs w:val="24"/>
        </w:rPr>
        <w:t>.</w:t>
      </w:r>
    </w:p>
    <w:p w:rsidRPr="0020667A" w:rsidR="00602A76" w:rsidP="002321B5" w:rsidRDefault="00602A76" w14:paraId="5E987199" w14:textId="77777777">
      <w:pPr>
        <w:keepNext/>
        <w:spacing w:line="240" w:lineRule="auto"/>
        <w:ind w:left="270"/>
        <w:rPr>
          <w:sz w:val="24"/>
          <w:szCs w:val="24"/>
        </w:rPr>
      </w:pPr>
      <w:r w:rsidRPr="0020667A">
        <w:rPr>
          <w:sz w:val="24"/>
          <w:szCs w:val="24"/>
        </w:rPr>
        <w:t>The initial sampling weight is calculated as</w:t>
      </w:r>
    </w:p>
    <w:p w:rsidRPr="0020667A" w:rsidR="00602A76" w:rsidP="00602A76" w:rsidRDefault="00602A76" w14:paraId="194ADBD8" w14:textId="086B9812">
      <w:pPr>
        <w:pStyle w:val="E1-Equation"/>
        <w:spacing w:before="120" w:after="240" w:line="240" w:lineRule="auto"/>
        <w:rPr>
          <w:rFonts w:ascii="Garamond" w:hAnsi="Garamond"/>
          <w:sz w:val="24"/>
          <w:szCs w:val="24"/>
        </w:rPr>
      </w:pPr>
      <w:r w:rsidRPr="0020667A">
        <w:rPr>
          <w:rFonts w:ascii="Garamond" w:hAnsi="Garamond"/>
          <w:sz w:val="24"/>
          <w:szCs w:val="24"/>
        </w:rPr>
        <w:tab/>
      </w:r>
      <w:r w:rsidRPr="0020667A">
        <w:rPr>
          <w:sz w:val="24"/>
          <w:szCs w:val="24"/>
        </w:rPr>
        <w:t>Base weight</w:t>
      </w:r>
      <w:r w:rsidRPr="0020667A">
        <w:rPr>
          <w:rFonts w:ascii="Garamond" w:hAnsi="Garamond"/>
          <w:sz w:val="24"/>
          <w:szCs w:val="24"/>
        </w:rPr>
        <w:t xml:space="preserve"> = </w:t>
      </w:r>
      <w:r w:rsidRPr="0020667A" w:rsidR="00017986">
        <w:rPr>
          <w:rFonts w:ascii="Garamond" w:hAnsi="Garamond"/>
          <w:position w:val="-14"/>
          <w:sz w:val="24"/>
          <w:szCs w:val="24"/>
        </w:rPr>
        <w:object w:dxaOrig="499" w:dyaOrig="360" w14:anchorId="4F795E79">
          <v:shape id="_x0000_i1031" style="width:30pt;height:22.8pt" fillcolor="window" o:ole="" type="#_x0000_t75">
            <v:imagedata o:title="" r:id="rId22"/>
          </v:shape>
          <o:OLEObject Type="Embed" ProgID="Equation.3" ShapeID="_x0000_i1031" DrawAspect="Content" ObjectID="_1722237886" r:id="rId23"/>
        </w:object>
      </w:r>
      <w:r w:rsidRPr="0020667A">
        <w:rPr>
          <w:rFonts w:ascii="Garamond" w:hAnsi="Garamond"/>
          <w:sz w:val="24"/>
          <w:szCs w:val="24"/>
        </w:rPr>
        <w:t xml:space="preserve"> = </w:t>
      </w:r>
      <w:r w:rsidRPr="0020667A" w:rsidR="00017986">
        <w:rPr>
          <w:rFonts w:ascii="Garamond" w:hAnsi="Garamond"/>
          <w:position w:val="-30"/>
          <w:sz w:val="24"/>
          <w:szCs w:val="24"/>
        </w:rPr>
        <w:object w:dxaOrig="1120" w:dyaOrig="660" w14:anchorId="7E2A17AD">
          <v:shape id="_x0000_i1032" style="width:66.6pt;height:41.4pt" fillcolor="window" o:ole="" type="#_x0000_t75">
            <v:imagedata o:title="" r:id="rId24"/>
          </v:shape>
          <o:OLEObject Type="Embed" ProgID="Equation.3" ShapeID="_x0000_i1032" DrawAspect="Content" ObjectID="_1722237887" r:id="rId25"/>
        </w:object>
      </w:r>
      <w:r w:rsidRPr="0020667A">
        <w:rPr>
          <w:rFonts w:ascii="Garamond" w:hAnsi="Garamond"/>
          <w:sz w:val="24"/>
          <w:szCs w:val="24"/>
        </w:rPr>
        <w:t>.</w:t>
      </w:r>
    </w:p>
    <w:p w:rsidRPr="000C03AE" w:rsidR="00602A76" w:rsidP="002321B5" w:rsidRDefault="00602A76" w14:paraId="67E0A67D" w14:textId="77777777">
      <w:pPr>
        <w:pStyle w:val="NormalSS"/>
        <w:ind w:left="270" w:firstLine="0"/>
        <w:rPr>
          <w:rFonts w:ascii="Times New Roman" w:hAnsi="Times New Roman"/>
        </w:rPr>
      </w:pPr>
      <w:r w:rsidRPr="000C03AE">
        <w:rPr>
          <w:rFonts w:ascii="Times New Roman" w:hAnsi="Times New Roman"/>
        </w:rPr>
        <w:t xml:space="preserve">The subscript </w:t>
      </w:r>
      <w:r w:rsidRPr="000C03AE">
        <w:rPr>
          <w:rFonts w:ascii="Times New Roman" w:hAnsi="Times New Roman"/>
          <w:i/>
        </w:rPr>
        <w:t>j</w:t>
      </w:r>
      <w:r w:rsidRPr="000C03AE">
        <w:rPr>
          <w:rFonts w:ascii="Times New Roman" w:hAnsi="Times New Roman"/>
        </w:rPr>
        <w:t xml:space="preserve"> is dropped from the last two formulas for PSUs in which subareas are not sampled.</w:t>
      </w:r>
    </w:p>
    <w:p w:rsidRPr="000C03AE" w:rsidR="00602A76" w:rsidP="002321B5" w:rsidRDefault="00602A76" w14:paraId="305FEC04" w14:textId="17119F29">
      <w:pPr>
        <w:pStyle w:val="NormalSS"/>
        <w:ind w:left="270" w:firstLine="0"/>
        <w:jc w:val="left"/>
        <w:rPr>
          <w:rFonts w:ascii="Times New Roman" w:hAnsi="Times New Roman"/>
        </w:rPr>
      </w:pPr>
      <w:r w:rsidRPr="000C03AE">
        <w:rPr>
          <w:rFonts w:ascii="Times New Roman" w:hAnsi="Times New Roman"/>
        </w:rPr>
        <w:t>The use of base weights will yield unbiased estimates if there is adequate coverage an</w:t>
      </w:r>
      <w:r>
        <w:rPr>
          <w:rFonts w:ascii="Times New Roman" w:hAnsi="Times New Roman"/>
        </w:rPr>
        <w:t>d no survey nonresponse.</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 xml:space="preserve">Unit nonresponse (that is, whole questionnaire nonresponse) occurs when an eligible sampled beneficiary </w:t>
      </w:r>
      <w:r>
        <w:rPr>
          <w:rFonts w:ascii="Times New Roman" w:hAnsi="Times New Roman"/>
        </w:rPr>
        <w:t>fails to respond to the survey.</w:t>
      </w:r>
      <w:r w:rsidR="00E47DD6">
        <w:rPr>
          <w:rFonts w:ascii="Times New Roman" w:hAnsi="Times New Roman"/>
        </w:rPr>
        <w:t xml:space="preserve"> </w:t>
      </w:r>
      <w:r>
        <w:rPr>
          <w:rFonts w:ascii="Times New Roman" w:hAnsi="Times New Roman"/>
        </w:rPr>
        <w:t xml:space="preserve"> We will adjust the base weights with propensity scores t</w:t>
      </w:r>
      <w:r w:rsidRPr="000C03AE">
        <w:rPr>
          <w:rFonts w:ascii="Times New Roman" w:hAnsi="Times New Roman"/>
        </w:rPr>
        <w:t>o reduce the potential fo</w:t>
      </w:r>
      <w:r>
        <w:rPr>
          <w:rFonts w:ascii="Times New Roman" w:hAnsi="Times New Roman"/>
        </w:rPr>
        <w:t xml:space="preserve">r bias due to unit nonresponse, </w:t>
      </w:r>
      <w:r w:rsidRPr="000C03AE">
        <w:rPr>
          <w:rFonts w:ascii="Times New Roman" w:hAnsi="Times New Roman"/>
        </w:rPr>
        <w:t>created us</w:t>
      </w:r>
      <w:r>
        <w:rPr>
          <w:rFonts w:ascii="Times New Roman" w:hAnsi="Times New Roman"/>
        </w:rPr>
        <w:t>ing logistic regression models.</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Covariates in the</w:t>
      </w:r>
      <w:r>
        <w:rPr>
          <w:rFonts w:ascii="Times New Roman" w:hAnsi="Times New Roman"/>
        </w:rPr>
        <w:t xml:space="preserve">se models are variables </w:t>
      </w:r>
      <w:r w:rsidRPr="000C03AE">
        <w:rPr>
          <w:rFonts w:ascii="Times New Roman" w:hAnsi="Times New Roman"/>
        </w:rPr>
        <w:t xml:space="preserve">available for both respondents and nonrespondents and </w:t>
      </w:r>
      <w:r w:rsidR="005257B9">
        <w:rPr>
          <w:rFonts w:ascii="Times New Roman" w:hAnsi="Times New Roman"/>
        </w:rPr>
        <w:t>we choose them</w:t>
      </w:r>
      <w:r w:rsidRPr="000C03AE">
        <w:rPr>
          <w:rFonts w:ascii="Times New Roman" w:hAnsi="Times New Roman"/>
        </w:rPr>
        <w:t xml:space="preserve"> because of their relation to the likelihood of poor survey response and an assumed rel</w:t>
      </w:r>
      <w:r>
        <w:rPr>
          <w:rFonts w:ascii="Times New Roman" w:hAnsi="Times New Roman"/>
        </w:rPr>
        <w:t>ationship to the data outcomes.</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At a minimum, candidates for covariates used in the models will inclu</w:t>
      </w:r>
      <w:r>
        <w:rPr>
          <w:rFonts w:ascii="Times New Roman" w:hAnsi="Times New Roman"/>
        </w:rPr>
        <w:t>de the strata used in sampling.</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 xml:space="preserve">It is important that each level of the model covariates has </w:t>
      </w:r>
      <w:r>
        <w:rPr>
          <w:rFonts w:ascii="Times New Roman" w:hAnsi="Times New Roman"/>
        </w:rPr>
        <w:t xml:space="preserve">enough </w:t>
      </w:r>
      <w:r w:rsidRPr="000C03AE">
        <w:rPr>
          <w:rFonts w:ascii="Times New Roman" w:hAnsi="Times New Roman"/>
        </w:rPr>
        <w:t>sample members</w:t>
      </w:r>
      <w:r>
        <w:rPr>
          <w:rFonts w:ascii="Times New Roman" w:hAnsi="Times New Roman"/>
        </w:rPr>
        <w:t xml:space="preserve"> to ensure a stable adjustment. </w:t>
      </w:r>
      <w:r w:rsidR="00D849FD">
        <w:rPr>
          <w:rFonts w:ascii="Times New Roman" w:hAnsi="Times New Roman"/>
        </w:rPr>
        <w:t xml:space="preserve"> </w:t>
      </w:r>
      <w:r w:rsidRPr="000C03AE">
        <w:rPr>
          <w:rFonts w:ascii="Times New Roman" w:hAnsi="Times New Roman"/>
        </w:rPr>
        <w:t xml:space="preserve">As with prior rounds, </w:t>
      </w:r>
      <w:r>
        <w:rPr>
          <w:rFonts w:ascii="Times New Roman" w:hAnsi="Times New Roman"/>
        </w:rPr>
        <w:t>Mathematica</w:t>
      </w:r>
      <w:r w:rsidRPr="000C03AE">
        <w:rPr>
          <w:rFonts w:ascii="Times New Roman" w:hAnsi="Times New Roman"/>
        </w:rPr>
        <w:t xml:space="preserve"> develop</w:t>
      </w:r>
      <w:r>
        <w:rPr>
          <w:rFonts w:ascii="Times New Roman" w:hAnsi="Times New Roman"/>
        </w:rPr>
        <w:t>s</w:t>
      </w:r>
      <w:r w:rsidRPr="000C03AE">
        <w:rPr>
          <w:rFonts w:ascii="Times New Roman" w:hAnsi="Times New Roman"/>
        </w:rPr>
        <w:t xml:space="preserve"> two logistic propensity models:</w:t>
      </w:r>
      <w:r>
        <w:rPr>
          <w:rFonts w:ascii="Times New Roman" w:hAnsi="Times New Roman"/>
        </w:rPr>
        <w:t xml:space="preserve"> </w:t>
      </w:r>
      <w:r w:rsidRPr="000C03AE">
        <w:rPr>
          <w:rFonts w:ascii="Times New Roman" w:hAnsi="Times New Roman"/>
        </w:rPr>
        <w:t>one for locating a person and another for respon</w:t>
      </w:r>
      <w:r>
        <w:rPr>
          <w:rFonts w:ascii="Times New Roman" w:hAnsi="Times New Roman"/>
        </w:rPr>
        <w:t xml:space="preserve">se among located </w:t>
      </w:r>
      <w:r>
        <w:rPr>
          <w:rFonts w:ascii="Times New Roman" w:hAnsi="Times New Roman"/>
        </w:rPr>
        <w:lastRenderedPageBreak/>
        <w:t xml:space="preserve">individuals. </w:t>
      </w:r>
      <w:r w:rsidR="00E47DD6">
        <w:rPr>
          <w:rFonts w:ascii="Times New Roman" w:hAnsi="Times New Roman"/>
        </w:rPr>
        <w:t xml:space="preserve"> </w:t>
      </w:r>
      <w:r>
        <w:rPr>
          <w:rFonts w:ascii="Times New Roman" w:hAnsi="Times New Roman"/>
        </w:rPr>
        <w:t>We will develop the models</w:t>
      </w:r>
      <w:r w:rsidRPr="000C03AE">
        <w:rPr>
          <w:rFonts w:ascii="Times New Roman" w:hAnsi="Times New Roman"/>
        </w:rPr>
        <w:t xml:space="preserve"> using data in the SSA database available on all sample members, which is extensive</w:t>
      </w:r>
      <w:r>
        <w:rPr>
          <w:rFonts w:ascii="Times New Roman" w:hAnsi="Times New Roman"/>
        </w:rPr>
        <w:t>.</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The location an</w:t>
      </w:r>
      <w:r>
        <w:rPr>
          <w:rFonts w:ascii="Times New Roman" w:hAnsi="Times New Roman"/>
        </w:rPr>
        <w:t xml:space="preserve">d response logistic models </w:t>
      </w:r>
      <w:r w:rsidRPr="000C03AE">
        <w:rPr>
          <w:rFonts w:ascii="Times New Roman" w:hAnsi="Times New Roman"/>
        </w:rPr>
        <w:t>provide estimated propensity scores f</w:t>
      </w:r>
      <w:r>
        <w:rPr>
          <w:rFonts w:ascii="Times New Roman" w:hAnsi="Times New Roman"/>
        </w:rPr>
        <w:t>or each respondent</w:t>
      </w:r>
      <w:r w:rsidRPr="000C03AE">
        <w:rPr>
          <w:rFonts w:ascii="Times New Roman" w:hAnsi="Times New Roman"/>
        </w:rPr>
        <w:t xml:space="preserve"> account</w:t>
      </w:r>
      <w:r>
        <w:rPr>
          <w:rFonts w:ascii="Times New Roman" w:hAnsi="Times New Roman"/>
        </w:rPr>
        <w:t>ing</w:t>
      </w:r>
      <w:r w:rsidRPr="000C03AE">
        <w:rPr>
          <w:rFonts w:ascii="Times New Roman" w:hAnsi="Times New Roman"/>
        </w:rPr>
        <w:t xml:space="preserve"> for individuals with</w:t>
      </w:r>
      <w:r>
        <w:rPr>
          <w:rFonts w:ascii="Times New Roman" w:hAnsi="Times New Roman"/>
        </w:rPr>
        <w:t xml:space="preserve"> similar characteristics who we cannot</w:t>
      </w:r>
      <w:r w:rsidRPr="000C03AE">
        <w:rPr>
          <w:rFonts w:ascii="Times New Roman" w:hAnsi="Times New Roman"/>
        </w:rPr>
        <w:t xml:space="preserve"> </w:t>
      </w:r>
      <w:r>
        <w:rPr>
          <w:rFonts w:ascii="Times New Roman" w:hAnsi="Times New Roman"/>
        </w:rPr>
        <w:t>locate or who did not respond.</w:t>
      </w:r>
      <w:r w:rsidR="00E47DD6">
        <w:rPr>
          <w:rFonts w:ascii="Times New Roman" w:hAnsi="Times New Roman"/>
        </w:rPr>
        <w:t xml:space="preserve"> </w:t>
      </w:r>
      <w:r>
        <w:rPr>
          <w:rFonts w:ascii="Times New Roman" w:hAnsi="Times New Roman"/>
        </w:rPr>
        <w:t xml:space="preserve"> We will use t</w:t>
      </w:r>
      <w:r w:rsidRPr="000C03AE">
        <w:rPr>
          <w:rFonts w:ascii="Times New Roman" w:hAnsi="Times New Roman"/>
        </w:rPr>
        <w:t>he inverse of t</w:t>
      </w:r>
      <w:r>
        <w:rPr>
          <w:rFonts w:ascii="Times New Roman" w:hAnsi="Times New Roman"/>
        </w:rPr>
        <w:t xml:space="preserve">he propensity score as the adjustment factor. </w:t>
      </w:r>
      <w:r w:rsidR="00E47DD6">
        <w:rPr>
          <w:rFonts w:ascii="Times New Roman" w:hAnsi="Times New Roman"/>
        </w:rPr>
        <w:t xml:space="preserve"> </w:t>
      </w:r>
      <w:r w:rsidRPr="000C03AE">
        <w:rPr>
          <w:rFonts w:ascii="Times New Roman" w:hAnsi="Times New Roman"/>
        </w:rPr>
        <w:t>The adjusted weight for each sample case will be the product of the initial sampling weight and the adjustment factor.</w:t>
      </w:r>
    </w:p>
    <w:p w:rsidRPr="000C03AE" w:rsidR="00602A76" w:rsidP="002321B5" w:rsidRDefault="00602A76" w14:paraId="6AEE30CA" w14:textId="4A678AD7">
      <w:pPr>
        <w:pStyle w:val="NormalSS"/>
        <w:ind w:left="270" w:firstLine="0"/>
        <w:jc w:val="left"/>
        <w:rPr>
          <w:rFonts w:ascii="Times New Roman" w:hAnsi="Times New Roman"/>
        </w:rPr>
      </w:pPr>
      <w:r>
        <w:rPr>
          <w:rFonts w:ascii="Times New Roman" w:hAnsi="Times New Roman"/>
        </w:rPr>
        <w:t xml:space="preserve">We will use propensity modeling </w:t>
      </w:r>
      <w:r w:rsidRPr="000C03AE">
        <w:rPr>
          <w:rFonts w:ascii="Times New Roman" w:hAnsi="Times New Roman"/>
        </w:rPr>
        <w:t>instead of the standard weighting class procedure because it allows us to use more factors and complex interactions among factors to explain the differential propensi</w:t>
      </w:r>
      <w:r>
        <w:rPr>
          <w:rFonts w:ascii="Times New Roman" w:hAnsi="Times New Roman"/>
        </w:rPr>
        <w:t>ty located or to respond.</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 xml:space="preserve">In addition, </w:t>
      </w:r>
      <w:r>
        <w:rPr>
          <w:rFonts w:ascii="Times New Roman" w:hAnsi="Times New Roman"/>
        </w:rPr>
        <w:t xml:space="preserve">we will use available </w:t>
      </w:r>
      <w:r w:rsidRPr="000C03AE">
        <w:rPr>
          <w:rFonts w:ascii="Times New Roman" w:hAnsi="Times New Roman"/>
        </w:rPr>
        <w:t>standard statistical tests to evaluate the selection of variables f</w:t>
      </w:r>
      <w:r>
        <w:rPr>
          <w:rFonts w:ascii="Times New Roman" w:hAnsi="Times New Roman"/>
        </w:rPr>
        <w:t xml:space="preserve">or the model. </w:t>
      </w:r>
      <w:r w:rsidR="005257B9">
        <w:rPr>
          <w:rFonts w:ascii="Times New Roman" w:hAnsi="Times New Roman"/>
        </w:rPr>
        <w:t xml:space="preserve"> </w:t>
      </w:r>
      <w:r w:rsidRPr="000C03AE">
        <w:rPr>
          <w:rFonts w:ascii="Times New Roman" w:hAnsi="Times New Roman"/>
        </w:rPr>
        <w:t>To identify the factors for inclusion in the models, we will use bivariate cross-tabulations and multivariate procedures, such as interaction detection procedures (for example, Chi-squared Automatic Interaction</w:t>
      </w:r>
      <w:r>
        <w:rPr>
          <w:rFonts w:ascii="Times New Roman" w:hAnsi="Times New Roman"/>
        </w:rPr>
        <w:t xml:space="preserve"> Detection, or CHAID, software).</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 xml:space="preserve">To evaluate the candidate factors and interactions, we will use </w:t>
      </w:r>
      <w:r>
        <w:rPr>
          <w:rFonts w:ascii="Times New Roman" w:hAnsi="Times New Roman"/>
        </w:rPr>
        <w:t>a weighted stepwise procedure.</w:t>
      </w:r>
      <w:r w:rsidR="00E47DD6">
        <w:rPr>
          <w:rFonts w:ascii="Times New Roman" w:hAnsi="Times New Roman"/>
        </w:rPr>
        <w:t xml:space="preserve"> </w:t>
      </w:r>
      <w:r>
        <w:rPr>
          <w:rFonts w:ascii="Times New Roman" w:hAnsi="Times New Roman"/>
        </w:rPr>
        <w:t xml:space="preserve"> We will then check t</w:t>
      </w:r>
      <w:r w:rsidRPr="000C03AE">
        <w:rPr>
          <w:rFonts w:ascii="Times New Roman" w:hAnsi="Times New Roman"/>
        </w:rPr>
        <w:t xml:space="preserve">he </w:t>
      </w:r>
      <w:r>
        <w:rPr>
          <w:rFonts w:ascii="Times New Roman" w:hAnsi="Times New Roman"/>
        </w:rPr>
        <w:t>final model</w:t>
      </w:r>
      <w:r w:rsidRPr="000C03AE">
        <w:rPr>
          <w:rFonts w:ascii="Times New Roman" w:hAnsi="Times New Roman"/>
        </w:rPr>
        <w:t xml:space="preserve"> using survey data analysis software to obtain design-based precision estimates for asse</w:t>
      </w:r>
      <w:r>
        <w:rPr>
          <w:rFonts w:ascii="Times New Roman" w:hAnsi="Times New Roman"/>
        </w:rPr>
        <w:t>ssing the final set of factors.</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 xml:space="preserve">We </w:t>
      </w:r>
      <w:r>
        <w:rPr>
          <w:rFonts w:ascii="Times New Roman" w:hAnsi="Times New Roman"/>
        </w:rPr>
        <w:t xml:space="preserve">expect to require </w:t>
      </w:r>
      <w:r w:rsidRPr="000C03AE">
        <w:rPr>
          <w:rFonts w:ascii="Times New Roman" w:hAnsi="Times New Roman"/>
        </w:rPr>
        <w:t xml:space="preserve">separate models </w:t>
      </w:r>
      <w:r>
        <w:rPr>
          <w:rFonts w:ascii="Times New Roman" w:hAnsi="Times New Roman"/>
        </w:rPr>
        <w:t>for some survey populations</w:t>
      </w:r>
      <w:r w:rsidRPr="000C03AE">
        <w:rPr>
          <w:rFonts w:ascii="Times New Roman" w:hAnsi="Times New Roman"/>
        </w:rPr>
        <w:t xml:space="preserve"> because the factors explaining the ability to locate a person or response </w:t>
      </w:r>
      <w:r>
        <w:rPr>
          <w:rFonts w:ascii="Times New Roman" w:hAnsi="Times New Roman"/>
        </w:rPr>
        <w:t>could</w:t>
      </w:r>
      <w:r w:rsidRPr="000C03AE">
        <w:rPr>
          <w:rFonts w:ascii="Times New Roman" w:hAnsi="Times New Roman"/>
        </w:rPr>
        <w:t xml:space="preserve"> be unique to these populations (for example, people </w:t>
      </w:r>
      <w:r>
        <w:rPr>
          <w:rFonts w:ascii="Times New Roman" w:hAnsi="Times New Roman"/>
        </w:rPr>
        <w:t xml:space="preserve">whose benefits are suspended </w:t>
      </w:r>
      <w:r w:rsidRPr="000C03AE">
        <w:rPr>
          <w:rFonts w:ascii="Times New Roman" w:hAnsi="Times New Roman"/>
        </w:rPr>
        <w:t>due to work versus people in current pay status).</w:t>
      </w:r>
    </w:p>
    <w:p w:rsidR="00AB58FB" w:rsidP="00AB58FB" w:rsidRDefault="00602A76" w14:paraId="2329AA0E" w14:textId="77777777">
      <w:pPr>
        <w:pStyle w:val="NormalSS"/>
        <w:spacing w:after="0"/>
        <w:ind w:left="274" w:firstLine="0"/>
        <w:jc w:val="left"/>
        <w:rPr>
          <w:rFonts w:ascii="Times New Roman" w:hAnsi="Times New Roman"/>
        </w:rPr>
      </w:pPr>
      <w:r w:rsidRPr="000C03AE">
        <w:rPr>
          <w:rFonts w:ascii="Times New Roman" w:hAnsi="Times New Roman"/>
        </w:rPr>
        <w:t xml:space="preserve">After </w:t>
      </w:r>
      <w:r>
        <w:rPr>
          <w:rFonts w:ascii="Times New Roman" w:hAnsi="Times New Roman"/>
        </w:rPr>
        <w:t>adjusting</w:t>
      </w:r>
      <w:r w:rsidRPr="000C03AE">
        <w:rPr>
          <w:rFonts w:ascii="Times New Roman" w:hAnsi="Times New Roman"/>
        </w:rPr>
        <w:t xml:space="preserve"> for nonresponse, we will further adjust the weights so that some weighted sample statistics match known population values</w:t>
      </w:r>
      <w:r>
        <w:rPr>
          <w:rFonts w:ascii="Times New Roman" w:hAnsi="Times New Roman"/>
        </w:rPr>
        <w:t xml:space="preserve">, using the raking method for </w:t>
      </w:r>
    </w:p>
    <w:p w:rsidR="00602A76" w:rsidP="00AB58FB" w:rsidRDefault="00602A76" w14:paraId="4ED29F55" w14:textId="28E846B2">
      <w:pPr>
        <w:pStyle w:val="NormalSS"/>
        <w:spacing w:after="0"/>
        <w:ind w:left="274" w:firstLine="0"/>
        <w:jc w:val="left"/>
        <w:rPr>
          <w:rFonts w:ascii="Times New Roman" w:hAnsi="Times New Roman"/>
        </w:rPr>
      </w:pPr>
      <w:r>
        <w:rPr>
          <w:rFonts w:ascii="Times New Roman" w:hAnsi="Times New Roman"/>
        </w:rPr>
        <w:t>post</w:t>
      </w:r>
      <w:r w:rsidR="00AB58FB">
        <w:rPr>
          <w:rFonts w:ascii="Times New Roman" w:hAnsi="Times New Roman"/>
        </w:rPr>
        <w:t>-</w:t>
      </w:r>
      <w:r>
        <w:rPr>
          <w:rFonts w:ascii="Times New Roman" w:hAnsi="Times New Roman"/>
        </w:rPr>
        <w:t>stratification</w:t>
      </w:r>
      <w:r w:rsidRPr="000C03AE">
        <w:rPr>
          <w:rFonts w:ascii="Times New Roman" w:hAnsi="Times New Roman"/>
        </w:rPr>
        <w:t>.</w:t>
      </w:r>
      <w:r>
        <w:rPr>
          <w:rFonts w:ascii="Times New Roman" w:hAnsi="Times New Roman"/>
        </w:rPr>
        <w:t xml:space="preserve"> </w:t>
      </w:r>
      <w:r w:rsidR="00E47DD6">
        <w:rPr>
          <w:rFonts w:ascii="Times New Roman" w:hAnsi="Times New Roman"/>
        </w:rPr>
        <w:t xml:space="preserve"> </w:t>
      </w:r>
      <w:r w:rsidRPr="000C03AE">
        <w:rPr>
          <w:rFonts w:ascii="Times New Roman" w:hAnsi="Times New Roman"/>
        </w:rPr>
        <w:t xml:space="preserve">For example, if the weights for </w:t>
      </w:r>
      <w:r>
        <w:rPr>
          <w:rFonts w:ascii="Times New Roman" w:hAnsi="Times New Roman"/>
        </w:rPr>
        <w:t>beneficiaries by program (SSDI only and SSI)</w:t>
      </w:r>
      <w:r w:rsidRPr="000C03AE">
        <w:rPr>
          <w:rFonts w:ascii="Times New Roman" w:hAnsi="Times New Roman"/>
        </w:rPr>
        <w:t xml:space="preserve"> do not correspond to population values, </w:t>
      </w:r>
      <w:r>
        <w:rPr>
          <w:rFonts w:ascii="Times New Roman" w:hAnsi="Times New Roman"/>
        </w:rPr>
        <w:t xml:space="preserve">we will adjust the </w:t>
      </w:r>
      <w:r w:rsidRPr="000C03AE">
        <w:rPr>
          <w:rFonts w:ascii="Times New Roman" w:hAnsi="Times New Roman"/>
        </w:rPr>
        <w:t>weights in</w:t>
      </w:r>
      <w:r>
        <w:rPr>
          <w:rFonts w:ascii="Times New Roman" w:hAnsi="Times New Roman"/>
        </w:rPr>
        <w:t xml:space="preserve"> a proportional fashion, so</w:t>
      </w:r>
      <w:r w:rsidRPr="000C03AE">
        <w:rPr>
          <w:rFonts w:ascii="Times New Roman" w:hAnsi="Times New Roman"/>
        </w:rPr>
        <w:t xml:space="preserve"> the weighted sample and population values correspond.</w:t>
      </w:r>
      <w:r>
        <w:rPr>
          <w:rFonts w:ascii="Times New Roman" w:hAnsi="Times New Roman"/>
        </w:rPr>
        <w:t xml:space="preserve"> </w:t>
      </w:r>
      <w:r w:rsidR="00E47DD6">
        <w:rPr>
          <w:rFonts w:ascii="Times New Roman" w:hAnsi="Times New Roman"/>
        </w:rPr>
        <w:t xml:space="preserve"> </w:t>
      </w:r>
      <w:r>
        <w:rPr>
          <w:rFonts w:ascii="Times New Roman" w:hAnsi="Times New Roman"/>
        </w:rPr>
        <w:t xml:space="preserve">Potentially, we can control </w:t>
      </w:r>
      <w:r w:rsidRPr="000C03AE">
        <w:rPr>
          <w:rFonts w:ascii="Times New Roman" w:hAnsi="Times New Roman"/>
        </w:rPr>
        <w:t>population statistics for any variable observed in SSA administrative data.</w:t>
      </w:r>
      <w:r>
        <w:rPr>
          <w:rFonts w:ascii="Times New Roman" w:hAnsi="Times New Roman"/>
        </w:rPr>
        <w:t xml:space="preserve"> </w:t>
      </w:r>
      <w:r w:rsidR="00E47DD6">
        <w:rPr>
          <w:rFonts w:ascii="Times New Roman" w:hAnsi="Times New Roman"/>
        </w:rPr>
        <w:t xml:space="preserve"> </w:t>
      </w:r>
      <w:r w:rsidRPr="000C03AE">
        <w:rPr>
          <w:rFonts w:ascii="Times New Roman" w:hAnsi="Times New Roman"/>
        </w:rPr>
        <w:t xml:space="preserve">The variables </w:t>
      </w:r>
      <w:r w:rsidR="005257B9">
        <w:rPr>
          <w:rFonts w:ascii="Times New Roman" w:hAnsi="Times New Roman"/>
        </w:rPr>
        <w:t xml:space="preserve">we will </w:t>
      </w:r>
      <w:r w:rsidRPr="000C03AE">
        <w:rPr>
          <w:rFonts w:ascii="Times New Roman" w:hAnsi="Times New Roman"/>
        </w:rPr>
        <w:t xml:space="preserve">most likely </w:t>
      </w:r>
      <w:r>
        <w:rPr>
          <w:rFonts w:ascii="Times New Roman" w:hAnsi="Times New Roman"/>
        </w:rPr>
        <w:t>use are program;</w:t>
      </w:r>
      <w:r w:rsidRPr="000C03AE">
        <w:rPr>
          <w:rFonts w:ascii="Times New Roman" w:hAnsi="Times New Roman"/>
        </w:rPr>
        <w:t xml:space="preserve"> age</w:t>
      </w:r>
      <w:r>
        <w:rPr>
          <w:rFonts w:ascii="Times New Roman" w:hAnsi="Times New Roman"/>
        </w:rPr>
        <w:t>;</w:t>
      </w:r>
      <w:r w:rsidRPr="000C03AE">
        <w:rPr>
          <w:rFonts w:ascii="Times New Roman" w:hAnsi="Times New Roman"/>
        </w:rPr>
        <w:t xml:space="preserve"> sex</w:t>
      </w:r>
      <w:r>
        <w:rPr>
          <w:rFonts w:ascii="Times New Roman" w:hAnsi="Times New Roman"/>
        </w:rPr>
        <w:t>;</w:t>
      </w:r>
      <w:r w:rsidRPr="000C03AE">
        <w:rPr>
          <w:rFonts w:ascii="Times New Roman" w:hAnsi="Times New Roman"/>
        </w:rPr>
        <w:t xml:space="preserve"> </w:t>
      </w:r>
      <w:r>
        <w:rPr>
          <w:rFonts w:ascii="Times New Roman" w:hAnsi="Times New Roman"/>
        </w:rPr>
        <w:t>earnings level;</w:t>
      </w:r>
      <w:r w:rsidRPr="000C03AE">
        <w:rPr>
          <w:rFonts w:ascii="Times New Roman" w:hAnsi="Times New Roman"/>
        </w:rPr>
        <w:t xml:space="preserve"> </w:t>
      </w:r>
      <w:r>
        <w:rPr>
          <w:rFonts w:ascii="Times New Roman" w:hAnsi="Times New Roman"/>
        </w:rPr>
        <w:t xml:space="preserve">census division, </w:t>
      </w:r>
      <w:r w:rsidRPr="000C03AE">
        <w:rPr>
          <w:rFonts w:ascii="Times New Roman" w:hAnsi="Times New Roman"/>
        </w:rPr>
        <w:t>and primary impairment.</w:t>
      </w:r>
      <w:r w:rsidR="00E47DD6">
        <w:rPr>
          <w:rFonts w:ascii="Times New Roman" w:hAnsi="Times New Roman"/>
        </w:rPr>
        <w:t xml:space="preserve"> </w:t>
      </w:r>
      <w:r w:rsidRPr="000C03AE">
        <w:rPr>
          <w:rFonts w:ascii="Times New Roman" w:hAnsi="Times New Roman"/>
        </w:rPr>
        <w:t xml:space="preserve"> </w:t>
      </w:r>
      <w:r>
        <w:rPr>
          <w:rFonts w:ascii="Times New Roman" w:hAnsi="Times New Roman"/>
        </w:rPr>
        <w:t xml:space="preserve">For the SWS, we will conduct a second, final post-stratification three years after the end of data collection. </w:t>
      </w:r>
      <w:r w:rsidR="00E47DD6">
        <w:rPr>
          <w:rFonts w:ascii="Times New Roman" w:hAnsi="Times New Roman"/>
        </w:rPr>
        <w:t xml:space="preserve"> </w:t>
      </w:r>
      <w:r>
        <w:rPr>
          <w:rFonts w:ascii="Times New Roman" w:hAnsi="Times New Roman"/>
        </w:rPr>
        <w:t xml:space="preserve">This final post-stratification will account for successful workers whose earnings were not recorded in the DCF in time to be included in the provisional SWS frame used for sampling. </w:t>
      </w:r>
    </w:p>
    <w:p w:rsidRPr="00BD2434" w:rsidR="00AB58FB" w:rsidP="00AB58FB" w:rsidRDefault="00AB58FB" w14:paraId="2961D2FF" w14:textId="77777777">
      <w:pPr>
        <w:pStyle w:val="NormalSS"/>
        <w:spacing w:after="0"/>
        <w:ind w:left="274" w:firstLine="0"/>
        <w:jc w:val="left"/>
        <w:rPr>
          <w:rFonts w:ascii="Times New Roman" w:hAnsi="Times New Roman"/>
        </w:rPr>
      </w:pPr>
    </w:p>
    <w:p w:rsidRPr="000C03AE" w:rsidR="00602A76" w:rsidP="002321B5" w:rsidRDefault="00602A76" w14:paraId="013753BA" w14:textId="6B6DE953">
      <w:pPr>
        <w:pStyle w:val="NormalSS"/>
        <w:ind w:left="270" w:firstLine="0"/>
        <w:jc w:val="left"/>
        <w:rPr>
          <w:rFonts w:ascii="Times New Roman" w:hAnsi="Times New Roman"/>
        </w:rPr>
      </w:pPr>
      <w:r w:rsidRPr="000C03AE">
        <w:rPr>
          <w:rFonts w:ascii="Times New Roman" w:hAnsi="Times New Roman"/>
        </w:rPr>
        <w:t xml:space="preserve">In computing </w:t>
      </w:r>
      <w:r>
        <w:rPr>
          <w:rFonts w:ascii="Times New Roman" w:hAnsi="Times New Roman"/>
        </w:rPr>
        <w:t xml:space="preserve">the </w:t>
      </w:r>
      <w:r w:rsidRPr="000C03AE">
        <w:rPr>
          <w:rFonts w:ascii="Times New Roman" w:hAnsi="Times New Roman"/>
        </w:rPr>
        <w:t>final weights, some individuals m</w:t>
      </w:r>
      <w:r>
        <w:rPr>
          <w:rFonts w:ascii="Times New Roman" w:hAnsi="Times New Roman"/>
        </w:rPr>
        <w:t>ight</w:t>
      </w:r>
      <w:r w:rsidRPr="000C03AE">
        <w:rPr>
          <w:rFonts w:ascii="Times New Roman" w:hAnsi="Times New Roman"/>
        </w:rPr>
        <w:t xml:space="preserve"> </w:t>
      </w:r>
      <w:r>
        <w:rPr>
          <w:rFonts w:ascii="Times New Roman" w:hAnsi="Times New Roman"/>
        </w:rPr>
        <w:t>have</w:t>
      </w:r>
      <w:r w:rsidRPr="000C03AE">
        <w:rPr>
          <w:rFonts w:ascii="Times New Roman" w:hAnsi="Times New Roman"/>
        </w:rPr>
        <w:t xml:space="preserve"> large weights.</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 xml:space="preserve">Variability in sampling weights can severely </w:t>
      </w:r>
      <w:r>
        <w:rPr>
          <w:rFonts w:ascii="Times New Roman" w:hAnsi="Times New Roman"/>
        </w:rPr>
        <w:t xml:space="preserve">affect </w:t>
      </w:r>
      <w:r w:rsidRPr="000C03AE">
        <w:rPr>
          <w:rFonts w:ascii="Times New Roman" w:hAnsi="Times New Roman"/>
        </w:rPr>
        <w:t xml:space="preserve">standard errors, particularly in the extreme case where one observation has a sampling weight that is </w:t>
      </w:r>
      <w:r>
        <w:rPr>
          <w:rFonts w:ascii="Times New Roman" w:hAnsi="Times New Roman"/>
        </w:rPr>
        <w:t>substantially larger</w:t>
      </w:r>
      <w:r w:rsidRPr="000C03AE">
        <w:rPr>
          <w:rFonts w:ascii="Times New Roman" w:hAnsi="Times New Roman"/>
        </w:rPr>
        <w:t xml:space="preserve"> than others.</w:t>
      </w:r>
      <w:r>
        <w:rPr>
          <w:rFonts w:ascii="Times New Roman" w:hAnsi="Times New Roman"/>
        </w:rPr>
        <w:t xml:space="preserve"> </w:t>
      </w:r>
      <w:r w:rsidR="00D849FD">
        <w:rPr>
          <w:rFonts w:ascii="Times New Roman" w:hAnsi="Times New Roman"/>
        </w:rPr>
        <w:t xml:space="preserve"> </w:t>
      </w:r>
      <w:r w:rsidRPr="000C03AE">
        <w:rPr>
          <w:rFonts w:ascii="Times New Roman" w:hAnsi="Times New Roman"/>
        </w:rPr>
        <w:t>We will use “weight trimming” to alleviate this problem.</w:t>
      </w:r>
      <w:r>
        <w:rPr>
          <w:rFonts w:ascii="Times New Roman" w:hAnsi="Times New Roman"/>
        </w:rPr>
        <w:t xml:space="preserve"> </w:t>
      </w:r>
      <w:r w:rsidRPr="000C03AE">
        <w:rPr>
          <w:rFonts w:ascii="Times New Roman" w:hAnsi="Times New Roman"/>
        </w:rPr>
        <w:t xml:space="preserve">In this procedure, the value of very large weights is simply reduced, with the amount “trimmed” being distributed among other </w:t>
      </w:r>
      <w:r>
        <w:rPr>
          <w:rFonts w:ascii="Times New Roman" w:hAnsi="Times New Roman"/>
        </w:rPr>
        <w:t>sample members</w:t>
      </w:r>
      <w:r w:rsidRPr="000C03AE">
        <w:rPr>
          <w:rFonts w:ascii="Times New Roman" w:hAnsi="Times New Roman"/>
        </w:rPr>
        <w:t xml:space="preserve"> in some way.</w:t>
      </w:r>
      <w:r w:rsidR="00E47DD6">
        <w:rPr>
          <w:rFonts w:ascii="Times New Roman" w:hAnsi="Times New Roman"/>
        </w:rPr>
        <w:t xml:space="preserve"> </w:t>
      </w:r>
      <w:r>
        <w:rPr>
          <w:rFonts w:ascii="Times New Roman" w:hAnsi="Times New Roman"/>
        </w:rPr>
        <w:t xml:space="preserve"> </w:t>
      </w:r>
      <w:r w:rsidRPr="000C03AE">
        <w:rPr>
          <w:rFonts w:ascii="Times New Roman" w:hAnsi="Times New Roman"/>
        </w:rPr>
        <w:t>Reducing the weight can create biased estimates, but when one or two individuals have extremely large weights, the contribution to variance reduction outweighs the bias that might be created by trimming.</w:t>
      </w:r>
    </w:p>
    <w:p w:rsidR="00602A76" w:rsidP="002321B5" w:rsidRDefault="00602A76" w14:paraId="4293C3DD" w14:textId="5EAF744B">
      <w:pPr>
        <w:pStyle w:val="NormalSS"/>
        <w:ind w:left="270" w:firstLine="0"/>
        <w:jc w:val="left"/>
        <w:rPr>
          <w:rFonts w:ascii="Times New Roman" w:hAnsi="Times New Roman"/>
        </w:rPr>
      </w:pPr>
      <w:r w:rsidRPr="000C03AE">
        <w:rPr>
          <w:rFonts w:ascii="Times New Roman" w:hAnsi="Times New Roman"/>
        </w:rPr>
        <w:t>One way to protect against bias is to redistribute the “trimmed” amount over a group of individuals who share some common characteristic with those whose weights were trimmed.</w:t>
      </w:r>
      <w:r w:rsidR="00E47DD6">
        <w:rPr>
          <w:rFonts w:ascii="Times New Roman" w:hAnsi="Times New Roman"/>
        </w:rPr>
        <w:t xml:space="preserve"> </w:t>
      </w:r>
      <w:r w:rsidRPr="000C03AE">
        <w:rPr>
          <w:rFonts w:ascii="Times New Roman" w:hAnsi="Times New Roman"/>
        </w:rPr>
        <w:t xml:space="preserve"> </w:t>
      </w:r>
      <w:r>
        <w:rPr>
          <w:rFonts w:ascii="Times New Roman" w:hAnsi="Times New Roman"/>
        </w:rPr>
        <w:t>We will define t</w:t>
      </w:r>
      <w:r w:rsidRPr="000C03AE">
        <w:rPr>
          <w:rFonts w:ascii="Times New Roman" w:hAnsi="Times New Roman"/>
        </w:rPr>
        <w:t xml:space="preserve">hese “trimming classes” using variables selected in the same manner </w:t>
      </w:r>
      <w:r>
        <w:rPr>
          <w:rFonts w:ascii="Times New Roman" w:hAnsi="Times New Roman"/>
        </w:rPr>
        <w:t>we use</w:t>
      </w:r>
      <w:r w:rsidRPr="000C03AE">
        <w:rPr>
          <w:rFonts w:ascii="Times New Roman" w:hAnsi="Times New Roman"/>
        </w:rPr>
        <w:t xml:space="preserve"> to select variables for the nonresponse adjustments.</w:t>
      </w:r>
      <w:r w:rsidR="00E47DD6">
        <w:rPr>
          <w:rFonts w:ascii="Times New Roman" w:hAnsi="Times New Roman"/>
        </w:rPr>
        <w:t xml:space="preserve"> </w:t>
      </w:r>
      <w:r>
        <w:rPr>
          <w:rFonts w:ascii="Times New Roman" w:hAnsi="Times New Roman"/>
        </w:rPr>
        <w:t xml:space="preserve"> Because</w:t>
      </w:r>
      <w:r w:rsidRPr="000C03AE">
        <w:rPr>
          <w:rFonts w:ascii="Times New Roman" w:hAnsi="Times New Roman"/>
        </w:rPr>
        <w:t xml:space="preserve"> we will use propensity modeling </w:t>
      </w:r>
      <w:r w:rsidRPr="000C03AE">
        <w:rPr>
          <w:rFonts w:ascii="Times New Roman" w:hAnsi="Times New Roman"/>
        </w:rPr>
        <w:lastRenderedPageBreak/>
        <w:t xml:space="preserve">instead of weighting classes to </w:t>
      </w:r>
      <w:r>
        <w:rPr>
          <w:rFonts w:ascii="Times New Roman" w:hAnsi="Times New Roman"/>
        </w:rPr>
        <w:t>make</w:t>
      </w:r>
      <w:r w:rsidRPr="000C03AE">
        <w:rPr>
          <w:rFonts w:ascii="Times New Roman" w:hAnsi="Times New Roman"/>
        </w:rPr>
        <w:t xml:space="preserve"> </w:t>
      </w:r>
      <w:r w:rsidRPr="00CE421D">
        <w:rPr>
          <w:rFonts w:ascii="Times New Roman" w:hAnsi="Times New Roman"/>
        </w:rPr>
        <w:t>the nonresponse adjustments, we will define trimming classes using the most important variables in the propensity models.</w:t>
      </w:r>
    </w:p>
    <w:p w:rsidRPr="004575F7" w:rsidR="00602A76" w:rsidP="002321B5" w:rsidRDefault="00602A76" w14:paraId="2528B770" w14:textId="733605F0">
      <w:pPr>
        <w:pStyle w:val="H4"/>
        <w:ind w:left="270" w:firstLine="0"/>
        <w:rPr>
          <w:rFonts w:ascii="Times New Roman" w:hAnsi="Times New Roman"/>
        </w:rPr>
      </w:pPr>
      <w:bookmarkStart w:name="_Toc233197217" w:id="28"/>
      <w:r w:rsidRPr="00C96522">
        <w:rPr>
          <w:b/>
          <w:bCs/>
          <w:i w:val="0"/>
          <w:iCs/>
        </w:rPr>
        <w:t>Standard Errors</w:t>
      </w:r>
      <w:bookmarkEnd w:id="28"/>
      <w:r w:rsidR="003E00CD">
        <w:rPr>
          <w:b/>
          <w:bCs/>
          <w:i w:val="0"/>
          <w:iCs/>
        </w:rPr>
        <w:t xml:space="preserve">:  </w:t>
      </w:r>
      <w:r w:rsidRPr="003E00CD">
        <w:rPr>
          <w:rFonts w:ascii="Times New Roman" w:hAnsi="Times New Roman"/>
          <w:i w:val="0"/>
          <w:iCs/>
        </w:rPr>
        <w:t xml:space="preserve">For the NBS, the sampling variance estimate is a function of the sample design and the population parameter we are estimating; this is the design-based sampling variance. </w:t>
      </w:r>
      <w:r w:rsidR="00E47DD6">
        <w:rPr>
          <w:rFonts w:ascii="Times New Roman" w:hAnsi="Times New Roman"/>
          <w:i w:val="0"/>
          <w:iCs/>
        </w:rPr>
        <w:t xml:space="preserve"> </w:t>
      </w:r>
      <w:r w:rsidRPr="003E00CD">
        <w:rPr>
          <w:rFonts w:ascii="Times New Roman" w:hAnsi="Times New Roman"/>
          <w:i w:val="0"/>
          <w:iCs/>
        </w:rPr>
        <w:t>The design-based variance assumes the use of “fully adjusted” sampling weights, which derive from the sample design with adjustments to compensate for locating a person; individual nonresponse; and ratio-adjusting the sampling totals to external totals.</w:t>
      </w:r>
      <w:r w:rsidR="00E47DD6">
        <w:rPr>
          <w:rFonts w:ascii="Times New Roman" w:hAnsi="Times New Roman"/>
          <w:i w:val="0"/>
          <w:iCs/>
        </w:rPr>
        <w:t xml:space="preserve"> </w:t>
      </w:r>
      <w:r w:rsidRPr="003E00CD">
        <w:rPr>
          <w:rFonts w:ascii="Times New Roman" w:hAnsi="Times New Roman"/>
          <w:i w:val="0"/>
          <w:iCs/>
        </w:rPr>
        <w:t xml:space="preserve"> We will follow the same method used in the prior NBS, developing a single fully adjusted sampling weight and information on analysis parameters (that is, analysis stratification and analysis clusters) necessary to estimate the sampling variance for a statistic, using the Taylor series linearization approach.</w:t>
      </w:r>
      <w:r w:rsidRPr="004575F7">
        <w:rPr>
          <w:rFonts w:ascii="Times New Roman" w:hAnsi="Times New Roman"/>
        </w:rPr>
        <w:t xml:space="preserve"> </w:t>
      </w:r>
    </w:p>
    <w:p w:rsidR="00602A76" w:rsidP="002321B5" w:rsidRDefault="00602A76" w14:paraId="2612149D" w14:textId="5A636113">
      <w:pPr>
        <w:pStyle w:val="ParagraphSSLAST"/>
        <w:ind w:left="270" w:firstLine="0"/>
        <w:jc w:val="left"/>
        <w:rPr>
          <w:rFonts w:ascii="Times New Roman" w:hAnsi="Times New Roman"/>
        </w:rPr>
      </w:pPr>
      <w:r w:rsidRPr="004575F7">
        <w:rPr>
          <w:rFonts w:ascii="Times New Roman" w:hAnsi="Times New Roman"/>
        </w:rPr>
        <w:t xml:space="preserve">The Taylor series procedure is the most appropriate sampling variance estimation technique for complex </w:t>
      </w:r>
      <w:r>
        <w:rPr>
          <w:rFonts w:ascii="Times New Roman" w:hAnsi="Times New Roman"/>
        </w:rPr>
        <w:t xml:space="preserve">sample designs like the NBS. </w:t>
      </w:r>
      <w:r w:rsidR="00E47DD6">
        <w:rPr>
          <w:rFonts w:ascii="Times New Roman" w:hAnsi="Times New Roman"/>
        </w:rPr>
        <w:t xml:space="preserve"> </w:t>
      </w:r>
      <w:r>
        <w:rPr>
          <w:rFonts w:ascii="Times New Roman" w:hAnsi="Times New Roman"/>
        </w:rPr>
        <w:t xml:space="preserve">The Taylor series procedure </w:t>
      </w:r>
      <w:r w:rsidRPr="004575F7">
        <w:rPr>
          <w:rFonts w:ascii="Times New Roman" w:hAnsi="Times New Roman"/>
        </w:rPr>
        <w:t xml:space="preserve">is based on a classic statistical method in which </w:t>
      </w:r>
      <w:r>
        <w:rPr>
          <w:rFonts w:ascii="Times New Roman" w:hAnsi="Times New Roman"/>
        </w:rPr>
        <w:t xml:space="preserve">one can approximate </w:t>
      </w:r>
      <w:r w:rsidRPr="004575F7">
        <w:rPr>
          <w:rFonts w:ascii="Times New Roman" w:hAnsi="Times New Roman"/>
        </w:rPr>
        <w:t>a nonlinear statistic by a linear combination of the components within th</w:t>
      </w:r>
      <w:r>
        <w:rPr>
          <w:rFonts w:ascii="Times New Roman" w:hAnsi="Times New Roman"/>
        </w:rPr>
        <w:t xml:space="preserve">e statistic. </w:t>
      </w:r>
      <w:r w:rsidR="00E47DD6">
        <w:rPr>
          <w:rFonts w:ascii="Times New Roman" w:hAnsi="Times New Roman"/>
        </w:rPr>
        <w:t xml:space="preserve"> </w:t>
      </w:r>
      <w:r w:rsidRPr="004575F7">
        <w:rPr>
          <w:rFonts w:ascii="Times New Roman" w:hAnsi="Times New Roman"/>
        </w:rPr>
        <w:t>The accuracy of the approximation is dependent on the sample size and t</w:t>
      </w:r>
      <w:r>
        <w:rPr>
          <w:rFonts w:ascii="Times New Roman" w:hAnsi="Times New Roman"/>
        </w:rPr>
        <w:t>he complexity of the statistic.</w:t>
      </w:r>
      <w:r w:rsidR="00BF26F9">
        <w:rPr>
          <w:rFonts w:ascii="Times New Roman" w:hAnsi="Times New Roman"/>
        </w:rPr>
        <w:t xml:space="preserve"> </w:t>
      </w:r>
      <w:r>
        <w:rPr>
          <w:rFonts w:ascii="Times New Roman" w:hAnsi="Times New Roman"/>
        </w:rPr>
        <w:t xml:space="preserve"> </w:t>
      </w:r>
      <w:r w:rsidRPr="004575F7">
        <w:rPr>
          <w:rFonts w:ascii="Times New Roman" w:hAnsi="Times New Roman"/>
        </w:rPr>
        <w:t xml:space="preserve">For most commonly used nonlinear statistics (such as ratios, means, proportions, and regression coefficients), the linearized form </w:t>
      </w:r>
      <w:r>
        <w:rPr>
          <w:rFonts w:ascii="Times New Roman" w:hAnsi="Times New Roman"/>
        </w:rPr>
        <w:t>is already</w:t>
      </w:r>
      <w:r w:rsidRPr="004575F7">
        <w:rPr>
          <w:rFonts w:ascii="Times New Roman" w:hAnsi="Times New Roman"/>
        </w:rPr>
        <w:t xml:space="preserve"> developed and h</w:t>
      </w:r>
      <w:r>
        <w:rPr>
          <w:rFonts w:ascii="Times New Roman" w:hAnsi="Times New Roman"/>
        </w:rPr>
        <w:t xml:space="preserve">as good statistical properties. </w:t>
      </w:r>
      <w:r w:rsidR="00E47DD6">
        <w:rPr>
          <w:rFonts w:ascii="Times New Roman" w:hAnsi="Times New Roman"/>
        </w:rPr>
        <w:t xml:space="preserve"> </w:t>
      </w:r>
      <w:r w:rsidRPr="004575F7">
        <w:rPr>
          <w:rFonts w:ascii="Times New Roman" w:hAnsi="Times New Roman"/>
        </w:rPr>
        <w:t xml:space="preserve">Once a linearized form of an estimate is developed, </w:t>
      </w:r>
      <w:r>
        <w:rPr>
          <w:rFonts w:ascii="Times New Roman" w:hAnsi="Times New Roman"/>
        </w:rPr>
        <w:t xml:space="preserve">one can use </w:t>
      </w:r>
      <w:r w:rsidRPr="004575F7">
        <w:rPr>
          <w:rFonts w:ascii="Times New Roman" w:hAnsi="Times New Roman"/>
        </w:rPr>
        <w:t xml:space="preserve">the explicit equations for linear estimates to </w:t>
      </w:r>
      <w:r>
        <w:rPr>
          <w:rFonts w:ascii="Times New Roman" w:hAnsi="Times New Roman"/>
        </w:rPr>
        <w:t xml:space="preserve">estimate the sampling variance. </w:t>
      </w:r>
      <w:r w:rsidR="00E47DD6">
        <w:rPr>
          <w:rFonts w:ascii="Times New Roman" w:hAnsi="Times New Roman"/>
        </w:rPr>
        <w:t xml:space="preserve"> </w:t>
      </w:r>
      <w:r w:rsidRPr="004575F7">
        <w:rPr>
          <w:rFonts w:ascii="Times New Roman" w:hAnsi="Times New Roman"/>
        </w:rPr>
        <w:t xml:space="preserve">Because </w:t>
      </w:r>
      <w:r>
        <w:rPr>
          <w:rFonts w:ascii="Times New Roman" w:hAnsi="Times New Roman"/>
        </w:rPr>
        <w:t xml:space="preserve">one can use </w:t>
      </w:r>
      <w:r w:rsidRPr="004575F7">
        <w:rPr>
          <w:rFonts w:ascii="Times New Roman" w:hAnsi="Times New Roman"/>
        </w:rPr>
        <w:t xml:space="preserve">the explicit equations, </w:t>
      </w:r>
      <w:r>
        <w:rPr>
          <w:rFonts w:ascii="Times New Roman" w:hAnsi="Times New Roman"/>
        </w:rPr>
        <w:t xml:space="preserve">one can estimate </w:t>
      </w:r>
      <w:r w:rsidRPr="004575F7">
        <w:rPr>
          <w:rFonts w:ascii="Times New Roman" w:hAnsi="Times New Roman"/>
        </w:rPr>
        <w:t>the sampling variance using many features of t</w:t>
      </w:r>
      <w:r>
        <w:rPr>
          <w:rFonts w:ascii="Times New Roman" w:hAnsi="Times New Roman"/>
        </w:rPr>
        <w:t>he sampling design (for example, finite population corrections; stratification; multiple stages of selection;</w:t>
      </w:r>
      <w:r w:rsidRPr="004575F7">
        <w:rPr>
          <w:rFonts w:ascii="Times New Roman" w:hAnsi="Times New Roman"/>
        </w:rPr>
        <w:t xml:space="preserve"> and unequal </w:t>
      </w:r>
      <w:r>
        <w:rPr>
          <w:rFonts w:ascii="Times New Roman" w:hAnsi="Times New Roman"/>
        </w:rPr>
        <w:t xml:space="preserve">selection rates within strata). </w:t>
      </w:r>
      <w:r w:rsidR="00E47DD6">
        <w:rPr>
          <w:rFonts w:ascii="Times New Roman" w:hAnsi="Times New Roman"/>
        </w:rPr>
        <w:t xml:space="preserve"> </w:t>
      </w:r>
      <w:r w:rsidRPr="004575F7">
        <w:rPr>
          <w:rFonts w:ascii="Times New Roman" w:hAnsi="Times New Roman"/>
        </w:rPr>
        <w:t>This is the basic variance estimation procedure used in SUDAAN, the survey procedures in SAS, STATA, and other software packages to accommodate simpl</w:t>
      </w:r>
      <w:r>
        <w:rPr>
          <w:rFonts w:ascii="Times New Roman" w:hAnsi="Times New Roman"/>
        </w:rPr>
        <w:t xml:space="preserve">e and complex sampling designs. </w:t>
      </w:r>
      <w:r w:rsidR="00E47DD6">
        <w:rPr>
          <w:rFonts w:ascii="Times New Roman" w:hAnsi="Times New Roman"/>
        </w:rPr>
        <w:t xml:space="preserve"> </w:t>
      </w:r>
      <w:r>
        <w:rPr>
          <w:rFonts w:ascii="Times New Roman" w:hAnsi="Times New Roman"/>
        </w:rPr>
        <w:t xml:space="preserve">To calculate variance, we will need </w:t>
      </w:r>
      <w:r w:rsidRPr="004575F7">
        <w:rPr>
          <w:rFonts w:ascii="Times New Roman" w:hAnsi="Times New Roman"/>
        </w:rPr>
        <w:t xml:space="preserve">sample design information (such as stratum and analysis weight) for each sample unit. </w:t>
      </w:r>
    </w:p>
    <w:p w:rsidRPr="00BD2434" w:rsidR="00602A76" w:rsidP="002321B5" w:rsidRDefault="00602A76" w14:paraId="01D82DE3" w14:textId="7E5E182C">
      <w:pPr>
        <w:pStyle w:val="ParagraphSSLAST"/>
        <w:ind w:left="270" w:firstLine="0"/>
        <w:jc w:val="left"/>
        <w:rPr>
          <w:rFonts w:ascii="Times New Roman" w:hAnsi="Times New Roman"/>
        </w:rPr>
      </w:pPr>
      <w:r>
        <w:rPr>
          <w:rFonts w:ascii="Times New Roman" w:hAnsi="Times New Roman"/>
          <w:b/>
        </w:rPr>
        <w:t>RBS.</w:t>
      </w:r>
      <w:r>
        <w:rPr>
          <w:rFonts w:ascii="Times New Roman" w:hAnsi="Times New Roman"/>
        </w:rPr>
        <w:t xml:space="preserve"> </w:t>
      </w:r>
      <w:r w:rsidR="00E47DD6">
        <w:rPr>
          <w:rFonts w:ascii="Times New Roman" w:hAnsi="Times New Roman"/>
        </w:rPr>
        <w:t xml:space="preserve"> </w:t>
      </w:r>
      <w:r w:rsidRPr="004575F7">
        <w:rPr>
          <w:rFonts w:ascii="Times New Roman" w:hAnsi="Times New Roman"/>
        </w:rPr>
        <w:t>Table B.2</w:t>
      </w:r>
      <w:r>
        <w:rPr>
          <w:rFonts w:ascii="Times New Roman" w:hAnsi="Times New Roman"/>
        </w:rPr>
        <w:t xml:space="preserve"> shows</w:t>
      </w:r>
      <w:r w:rsidRPr="004575F7">
        <w:rPr>
          <w:rFonts w:ascii="Times New Roman" w:hAnsi="Times New Roman"/>
        </w:rPr>
        <w:t xml:space="preserve"> the minim</w:t>
      </w:r>
      <w:r>
        <w:rPr>
          <w:rFonts w:ascii="Times New Roman" w:hAnsi="Times New Roman"/>
        </w:rPr>
        <w:t>um</w:t>
      </w:r>
      <w:r w:rsidRPr="004575F7">
        <w:rPr>
          <w:rFonts w:ascii="Times New Roman" w:hAnsi="Times New Roman"/>
        </w:rPr>
        <w:t xml:space="preserve"> detectable difference</w:t>
      </w:r>
      <w:r>
        <w:rPr>
          <w:rFonts w:ascii="Times New Roman" w:hAnsi="Times New Roman"/>
        </w:rPr>
        <w:t>s</w:t>
      </w:r>
      <w:r w:rsidRPr="004575F7">
        <w:rPr>
          <w:rFonts w:ascii="Times New Roman" w:hAnsi="Times New Roman"/>
        </w:rPr>
        <w:t xml:space="preserve"> for </w:t>
      </w:r>
      <w:r>
        <w:rPr>
          <w:rFonts w:ascii="Times New Roman" w:hAnsi="Times New Roman"/>
        </w:rPr>
        <w:t xml:space="preserve">age subgroups, </w:t>
      </w:r>
      <w:r w:rsidRPr="004575F7">
        <w:rPr>
          <w:rFonts w:ascii="Times New Roman" w:hAnsi="Times New Roman"/>
        </w:rPr>
        <w:t xml:space="preserve">a measure of the smallest difference between subgroups that </w:t>
      </w:r>
      <w:r w:rsidR="00BF26F9">
        <w:rPr>
          <w:rFonts w:ascii="Times New Roman" w:hAnsi="Times New Roman"/>
        </w:rPr>
        <w:t xml:space="preserve">we will be able to detect in </w:t>
      </w:r>
      <w:r>
        <w:rPr>
          <w:rFonts w:ascii="Times New Roman" w:hAnsi="Times New Roman"/>
        </w:rPr>
        <w:t>5</w:t>
      </w:r>
      <w:r w:rsidRPr="004575F7">
        <w:rPr>
          <w:rFonts w:ascii="Times New Roman" w:hAnsi="Times New Roman"/>
        </w:rPr>
        <w:t xml:space="preserve">,000 </w:t>
      </w:r>
      <w:r w:rsidR="00BF26F9">
        <w:rPr>
          <w:rFonts w:ascii="Times New Roman" w:hAnsi="Times New Roman"/>
        </w:rPr>
        <w:t xml:space="preserve">completed surveys </w:t>
      </w:r>
      <w:r w:rsidRPr="004575F7">
        <w:rPr>
          <w:rFonts w:ascii="Times New Roman" w:hAnsi="Times New Roman"/>
        </w:rPr>
        <w:t>with 80 percent p</w:t>
      </w:r>
      <w:r>
        <w:rPr>
          <w:rFonts w:ascii="Times New Roman" w:hAnsi="Times New Roman"/>
        </w:rPr>
        <w:t xml:space="preserve">ower and 95 percent confidence. </w:t>
      </w:r>
      <w:r w:rsidR="00E47DD6">
        <w:rPr>
          <w:rFonts w:ascii="Times New Roman" w:hAnsi="Times New Roman"/>
        </w:rPr>
        <w:t xml:space="preserve"> </w:t>
      </w:r>
      <w:r w:rsidRPr="004575F7">
        <w:rPr>
          <w:rFonts w:ascii="Times New Roman" w:hAnsi="Times New Roman"/>
        </w:rPr>
        <w:t>For example, for a proportion of 0.10, a minim</w:t>
      </w:r>
      <w:r>
        <w:rPr>
          <w:rFonts w:ascii="Times New Roman" w:hAnsi="Times New Roman"/>
        </w:rPr>
        <w:t>um</w:t>
      </w:r>
      <w:r w:rsidRPr="004575F7">
        <w:rPr>
          <w:rFonts w:ascii="Times New Roman" w:hAnsi="Times New Roman"/>
        </w:rPr>
        <w:t xml:space="preserve"> detectable difference equal to </w:t>
      </w:r>
      <w:r>
        <w:rPr>
          <w:rFonts w:ascii="Times New Roman" w:hAnsi="Times New Roman"/>
        </w:rPr>
        <w:t>5.0</w:t>
      </w:r>
      <w:r w:rsidRPr="004575F7">
        <w:rPr>
          <w:rFonts w:ascii="Times New Roman" w:hAnsi="Times New Roman"/>
        </w:rPr>
        <w:t xml:space="preserve"> percentage points indicates that if 10 percent of the beneficiaries </w:t>
      </w:r>
      <w:r>
        <w:rPr>
          <w:rFonts w:ascii="Times New Roman" w:hAnsi="Times New Roman"/>
        </w:rPr>
        <w:t>a</w:t>
      </w:r>
      <w:r w:rsidRPr="004575F7">
        <w:rPr>
          <w:rFonts w:ascii="Times New Roman" w:hAnsi="Times New Roman"/>
        </w:rPr>
        <w:t>re employed</w:t>
      </w:r>
      <w:r>
        <w:rPr>
          <w:rFonts w:ascii="Times New Roman" w:hAnsi="Times New Roman"/>
        </w:rPr>
        <w:t xml:space="preserve"> and</w:t>
      </w:r>
      <w:r w:rsidRPr="004575F7">
        <w:rPr>
          <w:rFonts w:ascii="Times New Roman" w:hAnsi="Times New Roman"/>
        </w:rPr>
        <w:t xml:space="preserve"> never attended college, and at least </w:t>
      </w:r>
      <w:r>
        <w:rPr>
          <w:rFonts w:ascii="Times New Roman" w:hAnsi="Times New Roman"/>
        </w:rPr>
        <w:t>15.0 percent of beneficiaries a</w:t>
      </w:r>
      <w:r w:rsidRPr="004575F7">
        <w:rPr>
          <w:rFonts w:ascii="Times New Roman" w:hAnsi="Times New Roman"/>
        </w:rPr>
        <w:t xml:space="preserve">re employed </w:t>
      </w:r>
      <w:r>
        <w:rPr>
          <w:rFonts w:ascii="Times New Roman" w:hAnsi="Times New Roman"/>
        </w:rPr>
        <w:t>and</w:t>
      </w:r>
      <w:r w:rsidRPr="004575F7">
        <w:rPr>
          <w:rFonts w:ascii="Times New Roman" w:hAnsi="Times New Roman"/>
        </w:rPr>
        <w:t xml:space="preserve"> attended at least some college, the analysis will detect a significant difference between th</w:t>
      </w:r>
      <w:r>
        <w:rPr>
          <w:rFonts w:ascii="Times New Roman" w:hAnsi="Times New Roman"/>
        </w:rPr>
        <w:t xml:space="preserve">ese groups. </w:t>
      </w:r>
      <w:r w:rsidR="00E47DD6">
        <w:rPr>
          <w:rFonts w:ascii="Times New Roman" w:hAnsi="Times New Roman"/>
        </w:rPr>
        <w:t xml:space="preserve"> </w:t>
      </w:r>
      <w:r w:rsidRPr="004575F7">
        <w:rPr>
          <w:rFonts w:ascii="Times New Roman" w:hAnsi="Times New Roman"/>
        </w:rPr>
        <w:t xml:space="preserve">The table presents minimum detectable differences where </w:t>
      </w:r>
      <w:r>
        <w:rPr>
          <w:rFonts w:ascii="Times New Roman" w:hAnsi="Times New Roman"/>
        </w:rPr>
        <w:t xml:space="preserve">we compare </w:t>
      </w:r>
      <w:r w:rsidRPr="004575F7">
        <w:rPr>
          <w:rFonts w:ascii="Times New Roman" w:hAnsi="Times New Roman"/>
        </w:rPr>
        <w:t xml:space="preserve">one half of the sample to the other </w:t>
      </w:r>
      <w:r>
        <w:rPr>
          <w:rFonts w:ascii="Times New Roman" w:hAnsi="Times New Roman"/>
        </w:rPr>
        <w:t>half and</w:t>
      </w:r>
      <w:r w:rsidRPr="004575F7">
        <w:rPr>
          <w:rFonts w:ascii="Times New Roman" w:hAnsi="Times New Roman"/>
        </w:rPr>
        <w:t xml:space="preserve"> 70 percent of the sample to 30 percent. </w:t>
      </w:r>
      <w:bookmarkStart w:name="_Toc233197396" w:id="29"/>
    </w:p>
    <w:p w:rsidRPr="00673298" w:rsidR="00602A76" w:rsidP="00673298" w:rsidRDefault="00602A76" w14:paraId="5D64FF1B" w14:textId="2347385A">
      <w:pPr>
        <w:pStyle w:val="TableTitle"/>
      </w:pPr>
      <w:bookmarkStart w:name="_Toc370718101" w:id="30"/>
      <w:bookmarkStart w:name="_Toc101247286" w:id="31"/>
      <w:bookmarkStart w:name="_Toc101249076" w:id="32"/>
      <w:r w:rsidRPr="00673298">
        <w:lastRenderedPageBreak/>
        <w:t xml:space="preserve">Table B.2. Estimated Minimum Detectable Differences Between </w:t>
      </w:r>
      <w:bookmarkEnd w:id="29"/>
      <w:r w:rsidRPr="00673298">
        <w:t>RBS Age Subgroups</w:t>
      </w:r>
      <w:bookmarkEnd w:id="30"/>
      <w:bookmarkEnd w:id="31"/>
      <w:bookmarkEnd w:id="32"/>
    </w:p>
    <w:tbl>
      <w:tblPr>
        <w:tblStyle w:val="TableGrid"/>
        <w:tblW w:w="4709" w:type="pct"/>
        <w:tblBorders>
          <w:top w:val="single" w:color="C00000" w:sz="12" w:space="0"/>
          <w:bottom w:val="single" w:color="C00000" w:sz="4" w:space="0"/>
        </w:tblBorders>
        <w:tblLook w:val="04A0" w:firstRow="1" w:lastRow="0" w:firstColumn="1" w:lastColumn="0" w:noHBand="0" w:noVBand="1"/>
      </w:tblPr>
      <w:tblGrid>
        <w:gridCol w:w="1729"/>
        <w:gridCol w:w="1090"/>
        <w:gridCol w:w="1090"/>
        <w:gridCol w:w="1320"/>
        <w:gridCol w:w="222"/>
        <w:gridCol w:w="1081"/>
        <w:gridCol w:w="1142"/>
        <w:gridCol w:w="1141"/>
      </w:tblGrid>
      <w:tr w:rsidRPr="00F321C4" w:rsidR="00903232" w:rsidTr="00E66249" w14:paraId="669D9AA2" w14:textId="77777777">
        <w:trPr>
          <w:trHeight w:val="258"/>
          <w:tblHeader/>
        </w:trPr>
        <w:tc>
          <w:tcPr>
            <w:tcW w:w="981" w:type="pct"/>
            <w:vMerge w:val="restart"/>
            <w:tcBorders>
              <w:top w:val="single" w:color="auto" w:sz="12" w:space="0"/>
              <w:bottom w:val="single" w:color="auto" w:sz="4" w:space="0"/>
            </w:tcBorders>
            <w:shd w:val="clear" w:color="auto" w:fill="auto"/>
            <w:vAlign w:val="bottom"/>
          </w:tcPr>
          <w:p w:rsidRPr="00F321C4" w:rsidR="00602A76" w:rsidP="009431AD" w:rsidRDefault="00903232" w14:paraId="069B9E02" w14:textId="7B696B9F">
            <w:pPr>
              <w:pStyle w:val="TableHeaderLeft"/>
              <w:rPr>
                <w:rFonts w:ascii="Times New Roman" w:hAnsi="Times New Roman"/>
                <w:sz w:val="22"/>
              </w:rPr>
            </w:pPr>
            <w:r>
              <w:rPr>
                <w:rFonts w:ascii="Times New Roman" w:hAnsi="Times New Roman"/>
                <w:sz w:val="22"/>
              </w:rPr>
              <w:t>Subgroup</w:t>
            </w:r>
          </w:p>
        </w:tc>
        <w:tc>
          <w:tcPr>
            <w:tcW w:w="1985" w:type="pct"/>
            <w:gridSpan w:val="3"/>
            <w:tcBorders>
              <w:top w:val="single" w:color="auto" w:sz="12" w:space="0"/>
              <w:bottom w:val="nil"/>
            </w:tcBorders>
            <w:shd w:val="clear" w:color="auto" w:fill="auto"/>
            <w:vAlign w:val="bottom"/>
          </w:tcPr>
          <w:p w:rsidRPr="00F321C4" w:rsidR="00602A76" w:rsidP="009431AD" w:rsidRDefault="00602A76" w14:paraId="1B096C20" w14:textId="77777777">
            <w:pPr>
              <w:pStyle w:val="TableHeaderCenter"/>
              <w:rPr>
                <w:rFonts w:ascii="Times New Roman" w:hAnsi="Times New Roman"/>
                <w:sz w:val="22"/>
              </w:rPr>
            </w:pPr>
            <w:r w:rsidRPr="00F321C4">
              <w:rPr>
                <w:rFonts w:ascii="Times New Roman" w:hAnsi="Times New Roman"/>
                <w:sz w:val="22"/>
              </w:rPr>
              <w:t>Half the Sample Compared to Other Half</w:t>
            </w:r>
            <w:r w:rsidRPr="00F321C4">
              <w:rPr>
                <w:rFonts w:ascii="Times New Roman" w:hAnsi="Times New Roman"/>
                <w:sz w:val="22"/>
              </w:rPr>
              <w:br/>
              <w:t>(2,500 vs. 2,500 for full sample)</w:t>
            </w:r>
          </w:p>
        </w:tc>
        <w:tc>
          <w:tcPr>
            <w:tcW w:w="126" w:type="pct"/>
            <w:tcBorders>
              <w:top w:val="single" w:color="auto" w:sz="12" w:space="0"/>
              <w:bottom w:val="nil"/>
            </w:tcBorders>
            <w:vAlign w:val="bottom"/>
          </w:tcPr>
          <w:p w:rsidRPr="00F321C4" w:rsidR="00602A76" w:rsidP="009431AD" w:rsidRDefault="00602A76" w14:paraId="5385C058" w14:textId="77777777">
            <w:pPr>
              <w:pStyle w:val="TableHeaderCenter"/>
              <w:rPr>
                <w:rFonts w:ascii="Times New Roman" w:hAnsi="Times New Roman"/>
                <w:sz w:val="22"/>
              </w:rPr>
            </w:pPr>
          </w:p>
        </w:tc>
        <w:tc>
          <w:tcPr>
            <w:tcW w:w="1908" w:type="pct"/>
            <w:gridSpan w:val="3"/>
            <w:tcBorders>
              <w:top w:val="single" w:color="auto" w:sz="12" w:space="0"/>
              <w:bottom w:val="single" w:color="auto" w:sz="4" w:space="0"/>
            </w:tcBorders>
            <w:shd w:val="clear" w:color="auto" w:fill="auto"/>
            <w:vAlign w:val="bottom"/>
          </w:tcPr>
          <w:p w:rsidRPr="00F321C4" w:rsidR="00602A76" w:rsidP="009431AD" w:rsidRDefault="00602A76" w14:paraId="4D30DD10" w14:textId="77777777">
            <w:pPr>
              <w:pStyle w:val="TableHeaderCenter"/>
              <w:rPr>
                <w:rFonts w:ascii="Times New Roman" w:hAnsi="Times New Roman"/>
                <w:sz w:val="22"/>
              </w:rPr>
            </w:pPr>
            <w:r w:rsidRPr="00F321C4">
              <w:rPr>
                <w:rFonts w:ascii="Times New Roman" w:hAnsi="Times New Roman"/>
                <w:sz w:val="22"/>
              </w:rPr>
              <w:t>70% of Sample Compared to 30%</w:t>
            </w:r>
            <w:r w:rsidRPr="00F321C4">
              <w:rPr>
                <w:rFonts w:ascii="Times New Roman" w:hAnsi="Times New Roman"/>
                <w:sz w:val="22"/>
              </w:rPr>
              <w:br/>
              <w:t>(3,500 vs. 1,500 for full sample)</w:t>
            </w:r>
          </w:p>
        </w:tc>
      </w:tr>
      <w:tr w:rsidRPr="00F321C4" w:rsidR="00903232" w:rsidTr="00E66249" w14:paraId="35EED53B" w14:textId="77777777">
        <w:trPr>
          <w:trHeight w:val="70"/>
        </w:trPr>
        <w:tc>
          <w:tcPr>
            <w:tcW w:w="981" w:type="pct"/>
            <w:vMerge/>
            <w:tcBorders>
              <w:top w:val="nil"/>
              <w:bottom w:val="single" w:color="auto" w:sz="4" w:space="0"/>
            </w:tcBorders>
            <w:shd w:val="clear" w:color="auto" w:fill="auto"/>
            <w:vAlign w:val="center"/>
          </w:tcPr>
          <w:p w:rsidRPr="00F321C4" w:rsidR="00602A76" w:rsidP="009431AD" w:rsidRDefault="00602A76" w14:paraId="4742214D" w14:textId="77777777">
            <w:pPr>
              <w:pStyle w:val="TableText"/>
              <w:rPr>
                <w:rFonts w:ascii="Times New Roman" w:hAnsi="Times New Roman"/>
                <w:sz w:val="22"/>
                <w:szCs w:val="22"/>
              </w:rPr>
            </w:pPr>
          </w:p>
        </w:tc>
        <w:tc>
          <w:tcPr>
            <w:tcW w:w="1985" w:type="pct"/>
            <w:gridSpan w:val="3"/>
            <w:tcBorders>
              <w:top w:val="nil"/>
              <w:bottom w:val="single" w:color="auto" w:sz="4" w:space="0"/>
            </w:tcBorders>
            <w:shd w:val="clear" w:color="auto" w:fill="auto"/>
            <w:vAlign w:val="bottom"/>
          </w:tcPr>
          <w:p w:rsidRPr="00F321C4" w:rsidR="00602A76" w:rsidP="009431AD" w:rsidRDefault="00602A76" w14:paraId="4F0468C1" w14:textId="77777777">
            <w:pPr>
              <w:pStyle w:val="TableText"/>
              <w:spacing w:before="120" w:after="60"/>
              <w:jc w:val="center"/>
              <w:rPr>
                <w:rFonts w:ascii="Times New Roman" w:hAnsi="Times New Roman"/>
                <w:sz w:val="22"/>
                <w:szCs w:val="22"/>
              </w:rPr>
            </w:pPr>
            <w:r w:rsidRPr="00F321C4">
              <w:rPr>
                <w:rFonts w:ascii="Times New Roman" w:hAnsi="Times New Roman"/>
                <w:sz w:val="22"/>
                <w:szCs w:val="22"/>
              </w:rPr>
              <w:t>Mean of Binomial Distribution</w:t>
            </w:r>
          </w:p>
        </w:tc>
        <w:tc>
          <w:tcPr>
            <w:tcW w:w="126" w:type="pct"/>
            <w:tcBorders>
              <w:top w:val="nil"/>
              <w:bottom w:val="nil"/>
            </w:tcBorders>
            <w:vAlign w:val="bottom"/>
          </w:tcPr>
          <w:p w:rsidRPr="00F321C4" w:rsidR="00602A76" w:rsidP="009431AD" w:rsidRDefault="00602A76" w14:paraId="77338F86" w14:textId="77777777">
            <w:pPr>
              <w:pStyle w:val="TableText"/>
              <w:spacing w:before="120" w:after="60"/>
              <w:jc w:val="center"/>
              <w:rPr>
                <w:rFonts w:ascii="Times New Roman" w:hAnsi="Times New Roman"/>
                <w:sz w:val="22"/>
                <w:szCs w:val="22"/>
              </w:rPr>
            </w:pPr>
          </w:p>
        </w:tc>
        <w:tc>
          <w:tcPr>
            <w:tcW w:w="1908" w:type="pct"/>
            <w:gridSpan w:val="3"/>
            <w:tcBorders>
              <w:top w:val="single" w:color="auto" w:sz="4" w:space="0"/>
              <w:bottom w:val="single" w:color="auto" w:sz="4" w:space="0"/>
            </w:tcBorders>
            <w:shd w:val="clear" w:color="auto" w:fill="auto"/>
            <w:vAlign w:val="bottom"/>
          </w:tcPr>
          <w:p w:rsidRPr="00F321C4" w:rsidR="00602A76" w:rsidP="009431AD" w:rsidRDefault="00602A76" w14:paraId="1015F89A" w14:textId="77777777">
            <w:pPr>
              <w:pStyle w:val="TableText"/>
              <w:spacing w:before="120" w:after="60"/>
              <w:jc w:val="center"/>
              <w:rPr>
                <w:rFonts w:ascii="Times New Roman" w:hAnsi="Times New Roman"/>
                <w:sz w:val="22"/>
                <w:szCs w:val="22"/>
              </w:rPr>
            </w:pPr>
            <w:r w:rsidRPr="00F321C4">
              <w:rPr>
                <w:rFonts w:ascii="Times New Roman" w:hAnsi="Times New Roman"/>
                <w:sz w:val="22"/>
                <w:szCs w:val="22"/>
              </w:rPr>
              <w:t>Mean of Binomial Distribution</w:t>
            </w:r>
          </w:p>
        </w:tc>
      </w:tr>
      <w:tr w:rsidRPr="00F321C4" w:rsidR="00903232" w:rsidTr="00E66249" w14:paraId="3990DE5F" w14:textId="77777777">
        <w:trPr>
          <w:trHeight w:val="70"/>
        </w:trPr>
        <w:tc>
          <w:tcPr>
            <w:tcW w:w="981" w:type="pct"/>
            <w:vMerge/>
            <w:tcBorders>
              <w:top w:val="nil"/>
              <w:bottom w:val="single" w:color="auto" w:sz="4" w:space="0"/>
            </w:tcBorders>
            <w:shd w:val="clear" w:color="auto" w:fill="auto"/>
            <w:vAlign w:val="center"/>
          </w:tcPr>
          <w:p w:rsidRPr="00F321C4" w:rsidR="00602A76" w:rsidP="009431AD" w:rsidRDefault="00602A76" w14:paraId="2677157F" w14:textId="77777777">
            <w:pPr>
              <w:pStyle w:val="TableText"/>
              <w:rPr>
                <w:rFonts w:ascii="Times New Roman" w:hAnsi="Times New Roman"/>
                <w:sz w:val="22"/>
                <w:szCs w:val="22"/>
              </w:rPr>
            </w:pPr>
          </w:p>
        </w:tc>
        <w:tc>
          <w:tcPr>
            <w:tcW w:w="618" w:type="pct"/>
            <w:tcBorders>
              <w:top w:val="single" w:color="auto" w:sz="4" w:space="0"/>
              <w:bottom w:val="single" w:color="auto" w:sz="4" w:space="0"/>
            </w:tcBorders>
            <w:shd w:val="clear" w:color="auto" w:fill="auto"/>
            <w:vAlign w:val="bottom"/>
          </w:tcPr>
          <w:p w:rsidRPr="00F321C4" w:rsidR="00602A76" w:rsidP="009431AD" w:rsidRDefault="00602A76" w14:paraId="4180738A" w14:textId="77777777">
            <w:pPr>
              <w:pStyle w:val="TableText"/>
              <w:spacing w:before="120" w:after="60"/>
              <w:jc w:val="center"/>
              <w:rPr>
                <w:rFonts w:ascii="Times New Roman" w:hAnsi="Times New Roman"/>
                <w:sz w:val="22"/>
                <w:szCs w:val="22"/>
              </w:rPr>
            </w:pPr>
            <w:r w:rsidRPr="00F321C4">
              <w:rPr>
                <w:rFonts w:ascii="Times New Roman" w:hAnsi="Times New Roman"/>
                <w:sz w:val="22"/>
                <w:szCs w:val="22"/>
              </w:rPr>
              <w:t>10%</w:t>
            </w:r>
          </w:p>
        </w:tc>
        <w:tc>
          <w:tcPr>
            <w:tcW w:w="618" w:type="pct"/>
            <w:tcBorders>
              <w:top w:val="single" w:color="auto" w:sz="4" w:space="0"/>
              <w:bottom w:val="single" w:color="auto" w:sz="4" w:space="0"/>
            </w:tcBorders>
            <w:shd w:val="clear" w:color="auto" w:fill="auto"/>
          </w:tcPr>
          <w:p w:rsidRPr="00F321C4" w:rsidR="00602A76" w:rsidP="009431AD" w:rsidRDefault="00602A76" w14:paraId="77DD5D21" w14:textId="77777777">
            <w:pPr>
              <w:pStyle w:val="TableText"/>
              <w:spacing w:before="120" w:after="60"/>
              <w:jc w:val="center"/>
              <w:rPr>
                <w:rFonts w:ascii="Times New Roman" w:hAnsi="Times New Roman"/>
                <w:sz w:val="22"/>
                <w:szCs w:val="22"/>
              </w:rPr>
            </w:pPr>
            <w:r w:rsidRPr="00F321C4">
              <w:rPr>
                <w:rFonts w:ascii="Times New Roman" w:hAnsi="Times New Roman"/>
                <w:sz w:val="22"/>
                <w:szCs w:val="22"/>
              </w:rPr>
              <w:t>30%</w:t>
            </w:r>
          </w:p>
        </w:tc>
        <w:tc>
          <w:tcPr>
            <w:tcW w:w="749" w:type="pct"/>
            <w:tcBorders>
              <w:top w:val="single" w:color="auto" w:sz="4" w:space="0"/>
              <w:bottom w:val="single" w:color="auto" w:sz="4" w:space="0"/>
            </w:tcBorders>
            <w:shd w:val="clear" w:color="auto" w:fill="auto"/>
          </w:tcPr>
          <w:p w:rsidRPr="00F321C4" w:rsidR="00602A76" w:rsidP="009431AD" w:rsidRDefault="00602A76" w14:paraId="024ABFB1" w14:textId="77777777">
            <w:pPr>
              <w:pStyle w:val="TableText"/>
              <w:spacing w:before="120" w:after="60"/>
              <w:jc w:val="center"/>
              <w:rPr>
                <w:rFonts w:ascii="Times New Roman" w:hAnsi="Times New Roman"/>
                <w:sz w:val="22"/>
                <w:szCs w:val="22"/>
              </w:rPr>
            </w:pPr>
            <w:r w:rsidRPr="00F321C4">
              <w:rPr>
                <w:rFonts w:ascii="Times New Roman" w:hAnsi="Times New Roman"/>
                <w:sz w:val="22"/>
                <w:szCs w:val="22"/>
              </w:rPr>
              <w:t>50%</w:t>
            </w:r>
          </w:p>
        </w:tc>
        <w:tc>
          <w:tcPr>
            <w:tcW w:w="126" w:type="pct"/>
            <w:tcBorders>
              <w:top w:val="nil"/>
              <w:bottom w:val="nil"/>
            </w:tcBorders>
          </w:tcPr>
          <w:p w:rsidRPr="00F321C4" w:rsidR="00602A76" w:rsidP="009431AD" w:rsidRDefault="00602A76" w14:paraId="08A890CB" w14:textId="77777777">
            <w:pPr>
              <w:pStyle w:val="TableText"/>
              <w:spacing w:before="120" w:after="60"/>
              <w:jc w:val="center"/>
              <w:rPr>
                <w:rFonts w:ascii="Times New Roman" w:hAnsi="Times New Roman"/>
                <w:sz w:val="22"/>
                <w:szCs w:val="22"/>
              </w:rPr>
            </w:pPr>
          </w:p>
        </w:tc>
        <w:tc>
          <w:tcPr>
            <w:tcW w:w="613" w:type="pct"/>
            <w:tcBorders>
              <w:top w:val="single" w:color="auto" w:sz="4" w:space="0"/>
              <w:bottom w:val="single" w:color="auto" w:sz="4" w:space="0"/>
            </w:tcBorders>
            <w:shd w:val="clear" w:color="auto" w:fill="auto"/>
            <w:vAlign w:val="bottom"/>
          </w:tcPr>
          <w:p w:rsidRPr="00F321C4" w:rsidR="00602A76" w:rsidP="009431AD" w:rsidRDefault="00602A76" w14:paraId="45C764A9" w14:textId="77777777">
            <w:pPr>
              <w:pStyle w:val="TableText"/>
              <w:spacing w:before="120" w:after="60"/>
              <w:jc w:val="center"/>
              <w:rPr>
                <w:rFonts w:ascii="Times New Roman" w:hAnsi="Times New Roman"/>
                <w:sz w:val="22"/>
                <w:szCs w:val="22"/>
              </w:rPr>
            </w:pPr>
            <w:r w:rsidRPr="00F321C4">
              <w:rPr>
                <w:rFonts w:ascii="Times New Roman" w:hAnsi="Times New Roman"/>
                <w:sz w:val="22"/>
                <w:szCs w:val="22"/>
              </w:rPr>
              <w:t>10%</w:t>
            </w:r>
          </w:p>
        </w:tc>
        <w:tc>
          <w:tcPr>
            <w:tcW w:w="648" w:type="pct"/>
            <w:tcBorders>
              <w:top w:val="single" w:color="auto" w:sz="4" w:space="0"/>
              <w:bottom w:val="single" w:color="auto" w:sz="4" w:space="0"/>
            </w:tcBorders>
            <w:shd w:val="clear" w:color="auto" w:fill="auto"/>
          </w:tcPr>
          <w:p w:rsidRPr="00F321C4" w:rsidR="00602A76" w:rsidP="009431AD" w:rsidRDefault="00602A76" w14:paraId="0D6D789C" w14:textId="77777777">
            <w:pPr>
              <w:pStyle w:val="TableText"/>
              <w:spacing w:before="120" w:after="60"/>
              <w:jc w:val="center"/>
              <w:rPr>
                <w:rFonts w:ascii="Times New Roman" w:hAnsi="Times New Roman"/>
                <w:sz w:val="22"/>
                <w:szCs w:val="22"/>
              </w:rPr>
            </w:pPr>
            <w:r w:rsidRPr="00F321C4">
              <w:rPr>
                <w:rFonts w:ascii="Times New Roman" w:hAnsi="Times New Roman"/>
                <w:sz w:val="22"/>
                <w:szCs w:val="22"/>
              </w:rPr>
              <w:t>30%</w:t>
            </w:r>
          </w:p>
        </w:tc>
        <w:tc>
          <w:tcPr>
            <w:tcW w:w="647" w:type="pct"/>
            <w:tcBorders>
              <w:top w:val="single" w:color="auto" w:sz="4" w:space="0"/>
              <w:bottom w:val="single" w:color="auto" w:sz="4" w:space="0"/>
            </w:tcBorders>
            <w:shd w:val="clear" w:color="auto" w:fill="auto"/>
          </w:tcPr>
          <w:p w:rsidRPr="00F321C4" w:rsidR="00602A76" w:rsidP="009431AD" w:rsidRDefault="00602A76" w14:paraId="3BB8BF54" w14:textId="77777777">
            <w:pPr>
              <w:pStyle w:val="TableText"/>
              <w:spacing w:before="120" w:after="60"/>
              <w:jc w:val="center"/>
              <w:rPr>
                <w:rFonts w:ascii="Times New Roman" w:hAnsi="Times New Roman"/>
                <w:sz w:val="22"/>
                <w:szCs w:val="22"/>
              </w:rPr>
            </w:pPr>
            <w:r w:rsidRPr="00F321C4">
              <w:rPr>
                <w:rFonts w:ascii="Times New Roman" w:hAnsi="Times New Roman"/>
                <w:sz w:val="22"/>
                <w:szCs w:val="22"/>
              </w:rPr>
              <w:t>50%</w:t>
            </w:r>
          </w:p>
        </w:tc>
      </w:tr>
      <w:tr w:rsidRPr="00F321C4" w:rsidR="00903232" w:rsidTr="00E66249" w14:paraId="47F788AE" w14:textId="77777777">
        <w:tc>
          <w:tcPr>
            <w:tcW w:w="981" w:type="pct"/>
            <w:tcBorders>
              <w:top w:val="single" w:color="auto" w:sz="4" w:space="0"/>
            </w:tcBorders>
            <w:shd w:val="clear" w:color="auto" w:fill="auto"/>
          </w:tcPr>
          <w:p w:rsidRPr="00F321C4" w:rsidR="00602A76" w:rsidP="00E66249" w:rsidRDefault="0020667A" w14:paraId="05AFA8B9" w14:textId="460A2F4A">
            <w:pPr>
              <w:pStyle w:val="TableText"/>
              <w:spacing w:after="48" w:afterLines="20"/>
              <w:rPr>
                <w:rFonts w:ascii="Times New Roman" w:hAnsi="Times New Roman"/>
                <w:sz w:val="22"/>
                <w:szCs w:val="22"/>
              </w:rPr>
            </w:pPr>
            <w:r>
              <w:rPr>
                <w:rFonts w:ascii="Times New Roman" w:hAnsi="Times New Roman"/>
                <w:sz w:val="22"/>
                <w:szCs w:val="22"/>
              </w:rPr>
              <w:t>A</w:t>
            </w:r>
            <w:r w:rsidRPr="00F321C4" w:rsidR="00602A76">
              <w:rPr>
                <w:rFonts w:ascii="Times New Roman" w:hAnsi="Times New Roman"/>
                <w:sz w:val="22"/>
                <w:szCs w:val="22"/>
              </w:rPr>
              <w:t>ll</w:t>
            </w:r>
          </w:p>
        </w:tc>
        <w:tc>
          <w:tcPr>
            <w:tcW w:w="618" w:type="pct"/>
            <w:tcBorders>
              <w:top w:val="single" w:color="auto" w:sz="4" w:space="0"/>
            </w:tcBorders>
            <w:shd w:val="clear" w:color="auto" w:fill="auto"/>
            <w:vAlign w:val="bottom"/>
          </w:tcPr>
          <w:p w:rsidRPr="00F321C4" w:rsidR="00602A76" w:rsidP="00E66249" w:rsidRDefault="00903232" w14:paraId="3EE87C40" w14:textId="1652B7D6">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3.7</w:t>
            </w:r>
            <w:r w:rsidRPr="00F321C4" w:rsidR="00602A76">
              <w:rPr>
                <w:rFonts w:ascii="Times New Roman" w:hAnsi="Times New Roman"/>
                <w:sz w:val="22"/>
                <w:szCs w:val="22"/>
              </w:rPr>
              <w:t>%</w:t>
            </w:r>
          </w:p>
        </w:tc>
        <w:tc>
          <w:tcPr>
            <w:tcW w:w="618" w:type="pct"/>
            <w:tcBorders>
              <w:top w:val="nil"/>
            </w:tcBorders>
            <w:shd w:val="clear" w:color="auto" w:fill="auto"/>
            <w:vAlign w:val="bottom"/>
          </w:tcPr>
          <w:p w:rsidRPr="00F321C4" w:rsidR="00602A76" w:rsidP="00E66249" w:rsidRDefault="00903232" w14:paraId="77F3822E" w14:textId="7E6356FE">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5.7</w:t>
            </w:r>
            <w:r w:rsidRPr="00F321C4" w:rsidR="00602A76">
              <w:rPr>
                <w:rFonts w:ascii="Times New Roman" w:hAnsi="Times New Roman"/>
                <w:sz w:val="22"/>
                <w:szCs w:val="22"/>
              </w:rPr>
              <w:t>%</w:t>
            </w:r>
          </w:p>
        </w:tc>
        <w:tc>
          <w:tcPr>
            <w:tcW w:w="749" w:type="pct"/>
            <w:tcBorders>
              <w:top w:val="nil"/>
            </w:tcBorders>
            <w:shd w:val="clear" w:color="auto" w:fill="auto"/>
            <w:vAlign w:val="bottom"/>
          </w:tcPr>
          <w:p w:rsidRPr="00F321C4" w:rsidR="00602A76" w:rsidP="00E66249" w:rsidRDefault="00903232" w14:paraId="53D6243B" w14:textId="440D4EB3">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6.2</w:t>
            </w:r>
            <w:r w:rsidRPr="00F321C4" w:rsidR="00602A76">
              <w:rPr>
                <w:rFonts w:ascii="Times New Roman" w:hAnsi="Times New Roman"/>
                <w:sz w:val="22"/>
                <w:szCs w:val="22"/>
              </w:rPr>
              <w:t>%</w:t>
            </w:r>
          </w:p>
        </w:tc>
        <w:tc>
          <w:tcPr>
            <w:tcW w:w="126" w:type="pct"/>
            <w:tcBorders>
              <w:top w:val="nil"/>
            </w:tcBorders>
          </w:tcPr>
          <w:p w:rsidRPr="00F321C4" w:rsidR="00602A76" w:rsidP="00E66249" w:rsidRDefault="00602A76" w14:paraId="5938DFA5" w14:textId="77777777">
            <w:pPr>
              <w:pStyle w:val="TableText"/>
              <w:spacing w:after="48" w:afterLines="20"/>
              <w:jc w:val="center"/>
              <w:rPr>
                <w:rFonts w:ascii="Times New Roman" w:hAnsi="Times New Roman"/>
                <w:sz w:val="22"/>
                <w:szCs w:val="22"/>
              </w:rPr>
            </w:pPr>
          </w:p>
        </w:tc>
        <w:tc>
          <w:tcPr>
            <w:tcW w:w="613" w:type="pct"/>
            <w:tcBorders>
              <w:top w:val="single" w:color="auto" w:sz="4" w:space="0"/>
            </w:tcBorders>
            <w:shd w:val="clear" w:color="auto" w:fill="auto"/>
            <w:vAlign w:val="bottom"/>
          </w:tcPr>
          <w:p w:rsidRPr="00F321C4" w:rsidR="00602A76" w:rsidP="00E66249" w:rsidRDefault="00903232" w14:paraId="75E8B293" w14:textId="4D910FC1">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4.1</w:t>
            </w:r>
            <w:r w:rsidRPr="00F321C4" w:rsidR="00602A76">
              <w:rPr>
                <w:rFonts w:ascii="Times New Roman" w:hAnsi="Times New Roman"/>
                <w:sz w:val="22"/>
                <w:szCs w:val="22"/>
              </w:rPr>
              <w:t>%</w:t>
            </w:r>
          </w:p>
        </w:tc>
        <w:tc>
          <w:tcPr>
            <w:tcW w:w="648" w:type="pct"/>
            <w:tcBorders>
              <w:top w:val="single" w:color="auto" w:sz="4" w:space="0"/>
            </w:tcBorders>
            <w:shd w:val="clear" w:color="auto" w:fill="auto"/>
            <w:vAlign w:val="bottom"/>
          </w:tcPr>
          <w:p w:rsidRPr="00F321C4" w:rsidR="00602A76" w:rsidP="00E66249" w:rsidRDefault="00903232" w14:paraId="7B17B858" w14:textId="51163A13">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6.2</w:t>
            </w:r>
            <w:r w:rsidRPr="00F321C4" w:rsidR="00602A76">
              <w:rPr>
                <w:rFonts w:ascii="Times New Roman" w:hAnsi="Times New Roman"/>
                <w:sz w:val="22"/>
                <w:szCs w:val="22"/>
              </w:rPr>
              <w:t>%</w:t>
            </w:r>
          </w:p>
        </w:tc>
        <w:tc>
          <w:tcPr>
            <w:tcW w:w="647" w:type="pct"/>
            <w:tcBorders>
              <w:top w:val="single" w:color="auto" w:sz="4" w:space="0"/>
            </w:tcBorders>
            <w:shd w:val="clear" w:color="auto" w:fill="auto"/>
            <w:vAlign w:val="bottom"/>
          </w:tcPr>
          <w:p w:rsidRPr="00F321C4" w:rsidR="00602A76" w:rsidP="00E66249" w:rsidRDefault="00903232" w14:paraId="58080D6A" w14:textId="5CBED85F">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6.8</w:t>
            </w:r>
            <w:r w:rsidRPr="00F321C4" w:rsidR="00602A76">
              <w:rPr>
                <w:rFonts w:ascii="Times New Roman" w:hAnsi="Times New Roman"/>
                <w:sz w:val="22"/>
                <w:szCs w:val="22"/>
              </w:rPr>
              <w:t>%</w:t>
            </w:r>
          </w:p>
        </w:tc>
      </w:tr>
      <w:tr w:rsidRPr="00F321C4" w:rsidR="00903232" w:rsidTr="00E66249" w14:paraId="7377F8BD" w14:textId="77777777">
        <w:tc>
          <w:tcPr>
            <w:tcW w:w="981" w:type="pct"/>
            <w:shd w:val="clear" w:color="auto" w:fill="auto"/>
          </w:tcPr>
          <w:p w:rsidRPr="00F321C4" w:rsidR="00602A76" w:rsidP="00E66249" w:rsidRDefault="00602A76" w14:paraId="7E4347A2" w14:textId="77777777">
            <w:pPr>
              <w:pStyle w:val="TableText"/>
              <w:spacing w:after="48" w:afterLines="20"/>
              <w:rPr>
                <w:rFonts w:ascii="Times New Roman" w:hAnsi="Times New Roman"/>
                <w:sz w:val="22"/>
                <w:szCs w:val="22"/>
              </w:rPr>
            </w:pPr>
            <w:r w:rsidRPr="00F321C4">
              <w:rPr>
                <w:rFonts w:ascii="Times New Roman" w:hAnsi="Times New Roman"/>
                <w:sz w:val="22"/>
                <w:szCs w:val="22"/>
              </w:rPr>
              <w:t>Age 18 to 29</w:t>
            </w:r>
          </w:p>
        </w:tc>
        <w:tc>
          <w:tcPr>
            <w:tcW w:w="618" w:type="pct"/>
            <w:shd w:val="clear" w:color="auto" w:fill="auto"/>
            <w:vAlign w:val="bottom"/>
          </w:tcPr>
          <w:p w:rsidRPr="00F321C4" w:rsidR="00602A76" w:rsidP="00E66249" w:rsidRDefault="00903232" w14:paraId="76201C8A" w14:textId="207F9CD0">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7.3</w:t>
            </w:r>
            <w:r w:rsidRPr="00F321C4" w:rsidR="00602A76">
              <w:rPr>
                <w:rFonts w:ascii="Times New Roman" w:hAnsi="Times New Roman"/>
                <w:sz w:val="22"/>
                <w:szCs w:val="22"/>
              </w:rPr>
              <w:t>%</w:t>
            </w:r>
          </w:p>
        </w:tc>
        <w:tc>
          <w:tcPr>
            <w:tcW w:w="618" w:type="pct"/>
            <w:shd w:val="clear" w:color="auto" w:fill="auto"/>
            <w:vAlign w:val="bottom"/>
          </w:tcPr>
          <w:p w:rsidRPr="00F321C4" w:rsidR="00602A76" w:rsidP="00E66249" w:rsidRDefault="00903232" w14:paraId="48F3E2BA" w14:textId="5AAFAB68">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11.1</w:t>
            </w:r>
            <w:r w:rsidRPr="00F321C4" w:rsidR="00602A76">
              <w:rPr>
                <w:rFonts w:ascii="Times New Roman" w:hAnsi="Times New Roman"/>
                <w:sz w:val="22"/>
                <w:szCs w:val="22"/>
              </w:rPr>
              <w:t>%</w:t>
            </w:r>
          </w:p>
        </w:tc>
        <w:tc>
          <w:tcPr>
            <w:tcW w:w="749" w:type="pct"/>
            <w:shd w:val="clear" w:color="auto" w:fill="auto"/>
            <w:vAlign w:val="bottom"/>
          </w:tcPr>
          <w:p w:rsidRPr="00F321C4" w:rsidR="00602A76" w:rsidP="00E66249" w:rsidRDefault="00903232" w14:paraId="4F4DD881" w14:textId="204F9870">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12.2</w:t>
            </w:r>
            <w:r w:rsidRPr="00F321C4" w:rsidR="00602A76">
              <w:rPr>
                <w:rFonts w:ascii="Times New Roman" w:hAnsi="Times New Roman"/>
                <w:sz w:val="22"/>
                <w:szCs w:val="22"/>
              </w:rPr>
              <w:t>%</w:t>
            </w:r>
          </w:p>
        </w:tc>
        <w:tc>
          <w:tcPr>
            <w:tcW w:w="126" w:type="pct"/>
          </w:tcPr>
          <w:p w:rsidRPr="00F321C4" w:rsidR="00602A76" w:rsidP="00E66249" w:rsidRDefault="00602A76" w14:paraId="7877AC05" w14:textId="77777777">
            <w:pPr>
              <w:pStyle w:val="TableText"/>
              <w:spacing w:after="48" w:afterLines="20"/>
              <w:jc w:val="center"/>
              <w:rPr>
                <w:rFonts w:ascii="Times New Roman" w:hAnsi="Times New Roman"/>
                <w:sz w:val="22"/>
                <w:szCs w:val="22"/>
              </w:rPr>
            </w:pPr>
          </w:p>
        </w:tc>
        <w:tc>
          <w:tcPr>
            <w:tcW w:w="613" w:type="pct"/>
            <w:shd w:val="clear" w:color="auto" w:fill="auto"/>
            <w:vAlign w:val="bottom"/>
          </w:tcPr>
          <w:p w:rsidRPr="00F321C4" w:rsidR="00602A76" w:rsidP="00E66249" w:rsidRDefault="00903232" w14:paraId="220F2FE2" w14:textId="2897CA7E">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8.0</w:t>
            </w:r>
            <w:r w:rsidRPr="00F321C4" w:rsidR="00602A76">
              <w:rPr>
                <w:rFonts w:ascii="Times New Roman" w:hAnsi="Times New Roman"/>
                <w:sz w:val="22"/>
                <w:szCs w:val="22"/>
              </w:rPr>
              <w:t>%</w:t>
            </w:r>
          </w:p>
        </w:tc>
        <w:tc>
          <w:tcPr>
            <w:tcW w:w="648" w:type="pct"/>
            <w:shd w:val="clear" w:color="auto" w:fill="auto"/>
            <w:vAlign w:val="bottom"/>
          </w:tcPr>
          <w:p w:rsidRPr="00F321C4" w:rsidR="00602A76" w:rsidP="00E66249" w:rsidRDefault="00903232" w14:paraId="3BACB284" w14:textId="62401A64">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12.2</w:t>
            </w:r>
            <w:r w:rsidRPr="00F321C4" w:rsidR="00602A76">
              <w:rPr>
                <w:rFonts w:ascii="Times New Roman" w:hAnsi="Times New Roman"/>
                <w:sz w:val="22"/>
                <w:szCs w:val="22"/>
              </w:rPr>
              <w:t>%</w:t>
            </w:r>
          </w:p>
        </w:tc>
        <w:tc>
          <w:tcPr>
            <w:tcW w:w="647" w:type="pct"/>
            <w:shd w:val="clear" w:color="auto" w:fill="auto"/>
            <w:vAlign w:val="bottom"/>
          </w:tcPr>
          <w:p w:rsidRPr="00F321C4" w:rsidR="00602A76" w:rsidP="00E66249" w:rsidRDefault="00903232" w14:paraId="6B493B61" w14:textId="50414744">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13.3</w:t>
            </w:r>
            <w:r w:rsidRPr="00F321C4" w:rsidR="00602A76">
              <w:rPr>
                <w:rFonts w:ascii="Times New Roman" w:hAnsi="Times New Roman"/>
                <w:sz w:val="22"/>
                <w:szCs w:val="22"/>
              </w:rPr>
              <w:t>%</w:t>
            </w:r>
          </w:p>
        </w:tc>
      </w:tr>
      <w:tr w:rsidRPr="00F321C4" w:rsidR="00903232" w:rsidTr="00E66249" w14:paraId="68AC8079" w14:textId="77777777">
        <w:tc>
          <w:tcPr>
            <w:tcW w:w="981" w:type="pct"/>
            <w:shd w:val="clear" w:color="auto" w:fill="auto"/>
          </w:tcPr>
          <w:p w:rsidRPr="00F321C4" w:rsidR="00602A76" w:rsidP="00E66249" w:rsidRDefault="00602A76" w14:paraId="5C8E5847" w14:textId="77777777">
            <w:pPr>
              <w:pStyle w:val="TableText"/>
              <w:spacing w:after="48" w:afterLines="20"/>
              <w:rPr>
                <w:rFonts w:ascii="Times New Roman" w:hAnsi="Times New Roman"/>
                <w:sz w:val="22"/>
                <w:szCs w:val="22"/>
              </w:rPr>
            </w:pPr>
            <w:r w:rsidRPr="00F321C4">
              <w:rPr>
                <w:rFonts w:ascii="Times New Roman" w:hAnsi="Times New Roman"/>
                <w:sz w:val="22"/>
                <w:szCs w:val="22"/>
              </w:rPr>
              <w:t>Age 30 to 39</w:t>
            </w:r>
          </w:p>
        </w:tc>
        <w:tc>
          <w:tcPr>
            <w:tcW w:w="618" w:type="pct"/>
            <w:shd w:val="clear" w:color="auto" w:fill="auto"/>
            <w:vAlign w:val="bottom"/>
          </w:tcPr>
          <w:p w:rsidRPr="00F321C4" w:rsidR="00602A76" w:rsidP="00E66249" w:rsidRDefault="00903232" w14:paraId="5BDD921A" w14:textId="7357ECD8">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7.5</w:t>
            </w:r>
            <w:r w:rsidRPr="00F321C4" w:rsidR="00602A76">
              <w:rPr>
                <w:rFonts w:ascii="Times New Roman" w:hAnsi="Times New Roman"/>
                <w:sz w:val="22"/>
                <w:szCs w:val="22"/>
              </w:rPr>
              <w:t>%</w:t>
            </w:r>
          </w:p>
        </w:tc>
        <w:tc>
          <w:tcPr>
            <w:tcW w:w="618" w:type="pct"/>
            <w:shd w:val="clear" w:color="auto" w:fill="auto"/>
            <w:vAlign w:val="bottom"/>
          </w:tcPr>
          <w:p w:rsidRPr="00F321C4" w:rsidR="00602A76" w:rsidP="00E66249" w:rsidRDefault="00903232" w14:paraId="5E3AE861" w14:textId="0F25FEF3">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11.4</w:t>
            </w:r>
            <w:r w:rsidRPr="00F321C4" w:rsidR="00602A76">
              <w:rPr>
                <w:rFonts w:ascii="Times New Roman" w:hAnsi="Times New Roman"/>
                <w:sz w:val="22"/>
                <w:szCs w:val="22"/>
              </w:rPr>
              <w:t>%</w:t>
            </w:r>
          </w:p>
        </w:tc>
        <w:tc>
          <w:tcPr>
            <w:tcW w:w="749" w:type="pct"/>
            <w:shd w:val="clear" w:color="auto" w:fill="auto"/>
            <w:vAlign w:val="bottom"/>
          </w:tcPr>
          <w:p w:rsidRPr="00F321C4" w:rsidR="00602A76" w:rsidP="00E66249" w:rsidRDefault="00903232" w14:paraId="14F1B186" w14:textId="3FB27A15">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12.4</w:t>
            </w:r>
            <w:r w:rsidRPr="00F321C4" w:rsidR="00602A76">
              <w:rPr>
                <w:rFonts w:ascii="Times New Roman" w:hAnsi="Times New Roman"/>
                <w:sz w:val="22"/>
                <w:szCs w:val="22"/>
              </w:rPr>
              <w:t>%</w:t>
            </w:r>
          </w:p>
        </w:tc>
        <w:tc>
          <w:tcPr>
            <w:tcW w:w="126" w:type="pct"/>
          </w:tcPr>
          <w:p w:rsidRPr="00F321C4" w:rsidR="00602A76" w:rsidP="00E66249" w:rsidRDefault="00602A76" w14:paraId="173424D1" w14:textId="77777777">
            <w:pPr>
              <w:pStyle w:val="TableText"/>
              <w:spacing w:after="48" w:afterLines="20"/>
              <w:jc w:val="center"/>
              <w:rPr>
                <w:rFonts w:ascii="Times New Roman" w:hAnsi="Times New Roman"/>
                <w:sz w:val="22"/>
                <w:szCs w:val="22"/>
              </w:rPr>
            </w:pPr>
          </w:p>
        </w:tc>
        <w:tc>
          <w:tcPr>
            <w:tcW w:w="613" w:type="pct"/>
            <w:shd w:val="clear" w:color="auto" w:fill="auto"/>
            <w:vAlign w:val="bottom"/>
          </w:tcPr>
          <w:p w:rsidRPr="00F321C4" w:rsidR="00602A76" w:rsidP="00E66249" w:rsidRDefault="00903232" w14:paraId="4675362D" w14:textId="3D024E3F">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8.1</w:t>
            </w:r>
            <w:r w:rsidRPr="00F321C4" w:rsidR="00602A76">
              <w:rPr>
                <w:rFonts w:ascii="Times New Roman" w:hAnsi="Times New Roman"/>
                <w:sz w:val="22"/>
                <w:szCs w:val="22"/>
              </w:rPr>
              <w:t>%</w:t>
            </w:r>
          </w:p>
        </w:tc>
        <w:tc>
          <w:tcPr>
            <w:tcW w:w="648" w:type="pct"/>
            <w:shd w:val="clear" w:color="auto" w:fill="auto"/>
            <w:vAlign w:val="bottom"/>
          </w:tcPr>
          <w:p w:rsidRPr="00F321C4" w:rsidR="00602A76" w:rsidP="00E66249" w:rsidRDefault="00903232" w14:paraId="19AC246E" w14:textId="1C809FD4">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12.4</w:t>
            </w:r>
            <w:r w:rsidRPr="00F321C4" w:rsidR="00602A76">
              <w:rPr>
                <w:rFonts w:ascii="Times New Roman" w:hAnsi="Times New Roman"/>
                <w:sz w:val="22"/>
                <w:szCs w:val="22"/>
              </w:rPr>
              <w:t>%</w:t>
            </w:r>
          </w:p>
        </w:tc>
        <w:tc>
          <w:tcPr>
            <w:tcW w:w="647" w:type="pct"/>
            <w:shd w:val="clear" w:color="auto" w:fill="auto"/>
            <w:vAlign w:val="bottom"/>
          </w:tcPr>
          <w:p w:rsidRPr="00F321C4" w:rsidR="00602A76" w:rsidP="00E66249" w:rsidRDefault="00903232" w14:paraId="7BFE5FC2" w14:textId="0D8052CC">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13.6</w:t>
            </w:r>
            <w:r w:rsidRPr="00F321C4" w:rsidR="00602A76">
              <w:rPr>
                <w:rFonts w:ascii="Times New Roman" w:hAnsi="Times New Roman"/>
                <w:sz w:val="22"/>
                <w:szCs w:val="22"/>
              </w:rPr>
              <w:t>%</w:t>
            </w:r>
          </w:p>
        </w:tc>
      </w:tr>
      <w:tr w:rsidRPr="00F321C4" w:rsidR="00903232" w:rsidTr="00E66249" w14:paraId="0E44900B" w14:textId="77777777">
        <w:tc>
          <w:tcPr>
            <w:tcW w:w="981" w:type="pct"/>
            <w:tcBorders>
              <w:bottom w:val="nil"/>
            </w:tcBorders>
            <w:shd w:val="clear" w:color="auto" w:fill="auto"/>
          </w:tcPr>
          <w:p w:rsidRPr="00F321C4" w:rsidR="00602A76" w:rsidP="00E66249" w:rsidRDefault="00602A76" w14:paraId="3CC98A7C" w14:textId="77777777">
            <w:pPr>
              <w:pStyle w:val="TableText"/>
              <w:spacing w:after="48" w:afterLines="20"/>
              <w:rPr>
                <w:rFonts w:ascii="Times New Roman" w:hAnsi="Times New Roman"/>
                <w:sz w:val="22"/>
                <w:szCs w:val="22"/>
              </w:rPr>
            </w:pPr>
            <w:r w:rsidRPr="00F321C4">
              <w:rPr>
                <w:rFonts w:ascii="Times New Roman" w:hAnsi="Times New Roman"/>
                <w:sz w:val="22"/>
                <w:szCs w:val="22"/>
              </w:rPr>
              <w:t>Age 40 to 49</w:t>
            </w:r>
          </w:p>
        </w:tc>
        <w:tc>
          <w:tcPr>
            <w:tcW w:w="618" w:type="pct"/>
            <w:tcBorders>
              <w:bottom w:val="nil"/>
            </w:tcBorders>
            <w:shd w:val="clear" w:color="auto" w:fill="auto"/>
            <w:vAlign w:val="bottom"/>
          </w:tcPr>
          <w:p w:rsidRPr="00F321C4" w:rsidR="00602A76" w:rsidP="00E66249" w:rsidRDefault="00903232" w14:paraId="1AD27970" w14:textId="0EF51A3A">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7.1</w:t>
            </w:r>
            <w:r w:rsidRPr="00F321C4" w:rsidR="00602A76">
              <w:rPr>
                <w:rFonts w:ascii="Times New Roman" w:hAnsi="Times New Roman"/>
                <w:sz w:val="22"/>
                <w:szCs w:val="22"/>
              </w:rPr>
              <w:t>%</w:t>
            </w:r>
          </w:p>
        </w:tc>
        <w:tc>
          <w:tcPr>
            <w:tcW w:w="618" w:type="pct"/>
            <w:tcBorders>
              <w:bottom w:val="nil"/>
            </w:tcBorders>
            <w:shd w:val="clear" w:color="auto" w:fill="auto"/>
            <w:vAlign w:val="bottom"/>
          </w:tcPr>
          <w:p w:rsidRPr="00F321C4" w:rsidR="00602A76" w:rsidP="00E66249" w:rsidRDefault="00903232" w14:paraId="17896E9E" w14:textId="6BFBECCC">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10.8</w:t>
            </w:r>
            <w:r w:rsidRPr="00F321C4" w:rsidR="00602A76">
              <w:rPr>
                <w:rFonts w:ascii="Times New Roman" w:hAnsi="Times New Roman"/>
                <w:sz w:val="22"/>
                <w:szCs w:val="22"/>
              </w:rPr>
              <w:t>%</w:t>
            </w:r>
          </w:p>
        </w:tc>
        <w:tc>
          <w:tcPr>
            <w:tcW w:w="749" w:type="pct"/>
            <w:tcBorders>
              <w:bottom w:val="nil"/>
            </w:tcBorders>
            <w:shd w:val="clear" w:color="auto" w:fill="auto"/>
            <w:vAlign w:val="bottom"/>
          </w:tcPr>
          <w:p w:rsidRPr="00F321C4" w:rsidR="00602A76" w:rsidP="00E66249" w:rsidRDefault="00903232" w14:paraId="0E656E55" w14:textId="3AB8441F">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11.7</w:t>
            </w:r>
            <w:r w:rsidRPr="00F321C4" w:rsidR="00602A76">
              <w:rPr>
                <w:rFonts w:ascii="Times New Roman" w:hAnsi="Times New Roman"/>
                <w:sz w:val="22"/>
                <w:szCs w:val="22"/>
              </w:rPr>
              <w:t>%</w:t>
            </w:r>
          </w:p>
        </w:tc>
        <w:tc>
          <w:tcPr>
            <w:tcW w:w="126" w:type="pct"/>
            <w:tcBorders>
              <w:bottom w:val="nil"/>
            </w:tcBorders>
          </w:tcPr>
          <w:p w:rsidRPr="00F321C4" w:rsidR="00602A76" w:rsidP="00E66249" w:rsidRDefault="00602A76" w14:paraId="64465891" w14:textId="77777777">
            <w:pPr>
              <w:pStyle w:val="TableText"/>
              <w:spacing w:after="48" w:afterLines="20"/>
              <w:jc w:val="center"/>
              <w:rPr>
                <w:rFonts w:ascii="Times New Roman" w:hAnsi="Times New Roman"/>
                <w:sz w:val="22"/>
                <w:szCs w:val="22"/>
              </w:rPr>
            </w:pPr>
          </w:p>
        </w:tc>
        <w:tc>
          <w:tcPr>
            <w:tcW w:w="613" w:type="pct"/>
            <w:tcBorders>
              <w:bottom w:val="nil"/>
            </w:tcBorders>
            <w:shd w:val="clear" w:color="auto" w:fill="auto"/>
            <w:vAlign w:val="bottom"/>
          </w:tcPr>
          <w:p w:rsidRPr="00F321C4" w:rsidR="00602A76" w:rsidP="00E66249" w:rsidRDefault="00903232" w14:paraId="79C09A86" w14:textId="4A1A3666">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7.7</w:t>
            </w:r>
            <w:r w:rsidRPr="00F321C4" w:rsidR="00602A76">
              <w:rPr>
                <w:rFonts w:ascii="Times New Roman" w:hAnsi="Times New Roman"/>
                <w:sz w:val="22"/>
                <w:szCs w:val="22"/>
              </w:rPr>
              <w:t>%</w:t>
            </w:r>
          </w:p>
        </w:tc>
        <w:tc>
          <w:tcPr>
            <w:tcW w:w="648" w:type="pct"/>
            <w:tcBorders>
              <w:bottom w:val="nil"/>
            </w:tcBorders>
            <w:shd w:val="clear" w:color="auto" w:fill="auto"/>
            <w:vAlign w:val="bottom"/>
          </w:tcPr>
          <w:p w:rsidRPr="00F321C4" w:rsidR="00602A76" w:rsidP="00E66249" w:rsidRDefault="00903232" w14:paraId="6CF4FD70" w14:textId="6AA5B86D">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11.8</w:t>
            </w:r>
            <w:r w:rsidRPr="00F321C4" w:rsidR="00602A76">
              <w:rPr>
                <w:rFonts w:ascii="Times New Roman" w:hAnsi="Times New Roman"/>
                <w:sz w:val="22"/>
                <w:szCs w:val="22"/>
              </w:rPr>
              <w:t>%</w:t>
            </w:r>
          </w:p>
        </w:tc>
        <w:tc>
          <w:tcPr>
            <w:tcW w:w="647" w:type="pct"/>
            <w:tcBorders>
              <w:bottom w:val="nil"/>
            </w:tcBorders>
            <w:shd w:val="clear" w:color="auto" w:fill="auto"/>
            <w:vAlign w:val="bottom"/>
          </w:tcPr>
          <w:p w:rsidRPr="00F321C4" w:rsidR="00602A76" w:rsidP="00E66249" w:rsidRDefault="00903232" w14:paraId="0DABAE26" w14:textId="72A11179">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12.8</w:t>
            </w:r>
            <w:r w:rsidRPr="00F321C4" w:rsidR="00602A76">
              <w:rPr>
                <w:rFonts w:ascii="Times New Roman" w:hAnsi="Times New Roman"/>
                <w:sz w:val="22"/>
                <w:szCs w:val="22"/>
              </w:rPr>
              <w:t>%</w:t>
            </w:r>
          </w:p>
        </w:tc>
      </w:tr>
      <w:tr w:rsidRPr="00F321C4" w:rsidR="00903232" w:rsidTr="00E66249" w14:paraId="0433D7AE" w14:textId="77777777">
        <w:tc>
          <w:tcPr>
            <w:tcW w:w="981" w:type="pct"/>
            <w:tcBorders>
              <w:top w:val="nil"/>
              <w:bottom w:val="single" w:color="auto" w:sz="4" w:space="0"/>
            </w:tcBorders>
            <w:shd w:val="clear" w:color="auto" w:fill="auto"/>
          </w:tcPr>
          <w:p w:rsidRPr="00F321C4" w:rsidR="00602A76" w:rsidP="00E66249" w:rsidRDefault="00602A76" w14:paraId="7756BE39" w14:textId="77777777">
            <w:pPr>
              <w:pStyle w:val="TableText"/>
              <w:spacing w:after="48" w:afterLines="20"/>
              <w:rPr>
                <w:rFonts w:ascii="Times New Roman" w:hAnsi="Times New Roman"/>
                <w:sz w:val="22"/>
                <w:szCs w:val="22"/>
              </w:rPr>
            </w:pPr>
            <w:r w:rsidRPr="00F321C4">
              <w:rPr>
                <w:rFonts w:ascii="Times New Roman" w:hAnsi="Times New Roman"/>
                <w:sz w:val="22"/>
                <w:szCs w:val="22"/>
              </w:rPr>
              <w:t>Age 50 to FRA</w:t>
            </w:r>
          </w:p>
        </w:tc>
        <w:tc>
          <w:tcPr>
            <w:tcW w:w="618" w:type="pct"/>
            <w:tcBorders>
              <w:top w:val="nil"/>
              <w:bottom w:val="single" w:color="auto" w:sz="4" w:space="0"/>
            </w:tcBorders>
            <w:shd w:val="clear" w:color="auto" w:fill="auto"/>
            <w:vAlign w:val="bottom"/>
          </w:tcPr>
          <w:p w:rsidRPr="00F321C4" w:rsidR="00602A76" w:rsidP="00E66249" w:rsidRDefault="00903232" w14:paraId="55CC94CE" w14:textId="28285408">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5.9</w:t>
            </w:r>
            <w:r w:rsidRPr="00F321C4" w:rsidR="00602A76">
              <w:rPr>
                <w:rFonts w:ascii="Times New Roman" w:hAnsi="Times New Roman"/>
                <w:sz w:val="22"/>
                <w:szCs w:val="22"/>
              </w:rPr>
              <w:t>%</w:t>
            </w:r>
          </w:p>
        </w:tc>
        <w:tc>
          <w:tcPr>
            <w:tcW w:w="618" w:type="pct"/>
            <w:tcBorders>
              <w:top w:val="nil"/>
              <w:bottom w:val="single" w:color="auto" w:sz="4" w:space="0"/>
            </w:tcBorders>
            <w:shd w:val="clear" w:color="auto" w:fill="auto"/>
            <w:vAlign w:val="bottom"/>
          </w:tcPr>
          <w:p w:rsidRPr="00F321C4" w:rsidR="00602A76" w:rsidP="00E66249" w:rsidRDefault="00903232" w14:paraId="247585AB" w14:textId="2E2C8129">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8.9</w:t>
            </w:r>
            <w:r w:rsidRPr="00F321C4" w:rsidR="00602A76">
              <w:rPr>
                <w:rFonts w:ascii="Times New Roman" w:hAnsi="Times New Roman"/>
                <w:sz w:val="22"/>
                <w:szCs w:val="22"/>
              </w:rPr>
              <w:t>%</w:t>
            </w:r>
          </w:p>
        </w:tc>
        <w:tc>
          <w:tcPr>
            <w:tcW w:w="749" w:type="pct"/>
            <w:tcBorders>
              <w:top w:val="nil"/>
              <w:bottom w:val="single" w:color="auto" w:sz="4" w:space="0"/>
            </w:tcBorders>
            <w:shd w:val="clear" w:color="auto" w:fill="auto"/>
            <w:vAlign w:val="bottom"/>
          </w:tcPr>
          <w:p w:rsidRPr="00F321C4" w:rsidR="00602A76" w:rsidP="00E66249" w:rsidRDefault="00903232" w14:paraId="4B95BB00" w14:textId="7C63DBF4">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9.8</w:t>
            </w:r>
            <w:r w:rsidRPr="00F321C4" w:rsidR="00602A76">
              <w:rPr>
                <w:rFonts w:ascii="Times New Roman" w:hAnsi="Times New Roman"/>
                <w:sz w:val="22"/>
                <w:szCs w:val="22"/>
              </w:rPr>
              <w:t>%</w:t>
            </w:r>
          </w:p>
        </w:tc>
        <w:tc>
          <w:tcPr>
            <w:tcW w:w="126" w:type="pct"/>
            <w:tcBorders>
              <w:top w:val="nil"/>
              <w:bottom w:val="single" w:color="auto" w:sz="4" w:space="0"/>
            </w:tcBorders>
          </w:tcPr>
          <w:p w:rsidRPr="00F321C4" w:rsidR="00602A76" w:rsidP="00E66249" w:rsidRDefault="00602A76" w14:paraId="4A33CC96" w14:textId="77777777">
            <w:pPr>
              <w:pStyle w:val="TableText"/>
              <w:spacing w:after="48" w:afterLines="20"/>
              <w:jc w:val="center"/>
              <w:rPr>
                <w:rFonts w:ascii="Times New Roman" w:hAnsi="Times New Roman"/>
                <w:sz w:val="22"/>
                <w:szCs w:val="22"/>
              </w:rPr>
            </w:pPr>
          </w:p>
        </w:tc>
        <w:tc>
          <w:tcPr>
            <w:tcW w:w="613" w:type="pct"/>
            <w:tcBorders>
              <w:top w:val="nil"/>
              <w:bottom w:val="single" w:color="auto" w:sz="4" w:space="0"/>
            </w:tcBorders>
            <w:shd w:val="clear" w:color="auto" w:fill="auto"/>
            <w:vAlign w:val="bottom"/>
          </w:tcPr>
          <w:p w:rsidRPr="00F321C4" w:rsidR="00602A76" w:rsidP="00E66249" w:rsidRDefault="00903232" w14:paraId="403C6B50" w14:textId="1DFA2C95">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6.4</w:t>
            </w:r>
            <w:r w:rsidRPr="00F321C4" w:rsidR="00602A76">
              <w:rPr>
                <w:rFonts w:ascii="Times New Roman" w:hAnsi="Times New Roman"/>
                <w:sz w:val="22"/>
                <w:szCs w:val="22"/>
              </w:rPr>
              <w:t>%</w:t>
            </w:r>
          </w:p>
        </w:tc>
        <w:tc>
          <w:tcPr>
            <w:tcW w:w="648" w:type="pct"/>
            <w:tcBorders>
              <w:top w:val="nil"/>
              <w:bottom w:val="single" w:color="auto" w:sz="4" w:space="0"/>
            </w:tcBorders>
            <w:shd w:val="clear" w:color="auto" w:fill="auto"/>
            <w:vAlign w:val="bottom"/>
          </w:tcPr>
          <w:p w:rsidRPr="00F321C4" w:rsidR="00602A76" w:rsidP="00E66249" w:rsidRDefault="00903232" w14:paraId="68EDA737" w14:textId="218D1D3B">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9.8</w:t>
            </w:r>
            <w:r w:rsidRPr="00F321C4" w:rsidR="00602A76">
              <w:rPr>
                <w:rFonts w:ascii="Times New Roman" w:hAnsi="Times New Roman"/>
                <w:sz w:val="22"/>
                <w:szCs w:val="22"/>
              </w:rPr>
              <w:t>%</w:t>
            </w:r>
          </w:p>
        </w:tc>
        <w:tc>
          <w:tcPr>
            <w:tcW w:w="647" w:type="pct"/>
            <w:tcBorders>
              <w:top w:val="nil"/>
              <w:bottom w:val="single" w:color="auto" w:sz="4" w:space="0"/>
            </w:tcBorders>
            <w:shd w:val="clear" w:color="auto" w:fill="auto"/>
            <w:vAlign w:val="bottom"/>
          </w:tcPr>
          <w:p w:rsidRPr="00F321C4" w:rsidR="00602A76" w:rsidP="00E66249" w:rsidRDefault="00903232" w14:paraId="0034C9F1" w14:textId="3DA736C0">
            <w:pPr>
              <w:pStyle w:val="TableText"/>
              <w:spacing w:after="48" w:afterLines="20"/>
              <w:jc w:val="center"/>
              <w:rPr>
                <w:rFonts w:ascii="Times New Roman" w:hAnsi="Times New Roman" w:eastAsia="Arial Unicode MS"/>
                <w:sz w:val="22"/>
                <w:szCs w:val="22"/>
              </w:rPr>
            </w:pPr>
            <w:r>
              <w:rPr>
                <w:rFonts w:ascii="Times New Roman" w:hAnsi="Times New Roman"/>
                <w:sz w:val="22"/>
                <w:szCs w:val="22"/>
              </w:rPr>
              <w:t>10.6</w:t>
            </w:r>
            <w:r w:rsidRPr="00F321C4" w:rsidR="00602A76">
              <w:rPr>
                <w:rFonts w:ascii="Times New Roman" w:hAnsi="Times New Roman"/>
                <w:sz w:val="22"/>
                <w:szCs w:val="22"/>
              </w:rPr>
              <w:t>%</w:t>
            </w:r>
          </w:p>
        </w:tc>
      </w:tr>
    </w:tbl>
    <w:p w:rsidRPr="00C27411" w:rsidR="00602A76" w:rsidP="00602A76" w:rsidRDefault="00602A76" w14:paraId="53E5D95F" w14:textId="67C0A5DE">
      <w:pPr>
        <w:spacing w:after="240" w:line="240" w:lineRule="auto"/>
        <w:rPr>
          <w:sz w:val="20"/>
          <w:szCs w:val="16"/>
        </w:rPr>
      </w:pPr>
      <w:r w:rsidRPr="00C27411">
        <w:rPr>
          <w:sz w:val="20"/>
          <w:szCs w:val="16"/>
        </w:rPr>
        <w:t xml:space="preserve">Note: This table assumes a </w:t>
      </w:r>
      <w:r>
        <w:rPr>
          <w:sz w:val="20"/>
          <w:szCs w:val="16"/>
        </w:rPr>
        <w:t xml:space="preserve">comparison of </w:t>
      </w:r>
      <w:r w:rsidRPr="00C27411">
        <w:rPr>
          <w:sz w:val="20"/>
          <w:szCs w:val="16"/>
        </w:rPr>
        <w:t>binary outcome</w:t>
      </w:r>
      <w:r>
        <w:rPr>
          <w:sz w:val="20"/>
          <w:szCs w:val="16"/>
        </w:rPr>
        <w:t>s</w:t>
      </w:r>
      <w:r w:rsidRPr="00C27411">
        <w:rPr>
          <w:sz w:val="20"/>
          <w:szCs w:val="16"/>
        </w:rPr>
        <w:t xml:space="preserve">, </w:t>
      </w:r>
      <w:r>
        <w:rPr>
          <w:sz w:val="20"/>
          <w:szCs w:val="16"/>
        </w:rPr>
        <w:t>with</w:t>
      </w:r>
      <w:r w:rsidRPr="00C27411">
        <w:rPr>
          <w:sz w:val="20"/>
          <w:szCs w:val="16"/>
        </w:rPr>
        <w:t xml:space="preserve"> a 5 percent </w:t>
      </w:r>
      <w:r>
        <w:rPr>
          <w:sz w:val="20"/>
          <w:szCs w:val="16"/>
        </w:rPr>
        <w:t xml:space="preserve">significance </w:t>
      </w:r>
      <w:r w:rsidRPr="00C27411">
        <w:rPr>
          <w:sz w:val="20"/>
          <w:szCs w:val="16"/>
        </w:rPr>
        <w:t xml:space="preserve">level for a two-sided test and 80 percent power. Design effects are estimates obtained </w:t>
      </w:r>
      <w:r>
        <w:rPr>
          <w:sz w:val="20"/>
          <w:szCs w:val="16"/>
        </w:rPr>
        <w:t>from</w:t>
      </w:r>
      <w:r w:rsidRPr="00C27411">
        <w:rPr>
          <w:sz w:val="20"/>
          <w:szCs w:val="16"/>
        </w:rPr>
        <w:t xml:space="preserve"> the Round 7 </w:t>
      </w:r>
      <w:r w:rsidR="00903232">
        <w:rPr>
          <w:sz w:val="20"/>
          <w:szCs w:val="16"/>
        </w:rPr>
        <w:t xml:space="preserve">and Round 8 test </w:t>
      </w:r>
      <w:r w:rsidRPr="00C27411">
        <w:rPr>
          <w:sz w:val="20"/>
          <w:szCs w:val="16"/>
        </w:rPr>
        <w:t>NBS.</w:t>
      </w:r>
    </w:p>
    <w:p w:rsidRPr="00D72B18" w:rsidR="00602A76" w:rsidP="002321B5" w:rsidRDefault="00602A76" w14:paraId="33D0EB56" w14:textId="77777777">
      <w:pPr>
        <w:spacing w:after="240" w:line="240" w:lineRule="auto"/>
        <w:ind w:left="270"/>
      </w:pPr>
      <w:r w:rsidRPr="00D72B18">
        <w:t>The minimum detectable difference between two populations of an estimated percentage,</w:t>
      </w:r>
      <w:r w:rsidRPr="00D72B18">
        <w:object w:dxaOrig="220" w:dyaOrig="320" w14:anchorId="2FDB523E">
          <v:shape id="_x0000_i1033" style="width:6.6pt;height:14.4pt" fillcolor="window" o:ole="" type="#_x0000_t75">
            <v:imagedata o:title="" r:id="rId26"/>
          </v:shape>
          <o:OLEObject Type="Embed" ProgID="Equation.3" ShapeID="_x0000_i1033" DrawAspect="Content" ObjectID="_1722237888" r:id="rId27"/>
        </w:object>
      </w:r>
      <w:r w:rsidRPr="00D72B18">
        <w:t>, can be approximated by the following formula:</w:t>
      </w:r>
    </w:p>
    <w:p w:rsidRPr="003431B7" w:rsidR="00602A76" w:rsidP="00602A76" w:rsidRDefault="00602A76" w14:paraId="70E1236C" w14:textId="736F6BAF">
      <w:pPr>
        <w:spacing w:line="240" w:lineRule="auto"/>
        <w:jc w:val="center"/>
        <w:rPr>
          <w:rFonts w:ascii="Garamond" w:hAnsi="Garamond"/>
          <w:i/>
          <w:iCs/>
          <w:sz w:val="20"/>
        </w:rPr>
      </w:pPr>
      <w:r w:rsidRPr="003431B7">
        <w:rPr>
          <w:rFonts w:ascii="Garamond" w:hAnsi="Garamond"/>
          <w:i/>
          <w:iCs/>
          <w:sz w:val="20"/>
        </w:rPr>
        <w:t>Var(</w:t>
      </w:r>
      <w:r w:rsidRPr="003431B7">
        <w:rPr>
          <w:rFonts w:ascii="Garamond" w:hAnsi="Garamond"/>
          <w:i/>
          <w:iCs/>
          <w:sz w:val="20"/>
        </w:rPr>
        <w:object w:dxaOrig="220" w:dyaOrig="320" w14:anchorId="0BEEDAE2">
          <v:shape id="_x0000_i1034" style="width:6.6pt;height:14.4pt" fillcolor="window" o:ole="" type="#_x0000_t75">
            <v:imagedata o:title="" r:id="rId26"/>
          </v:shape>
          <o:OLEObject Type="Embed" ProgID="Equation.3" ShapeID="_x0000_i1034" DrawAspect="Content" ObjectID="_1722237889" r:id="rId28"/>
        </w:object>
      </w:r>
      <w:r w:rsidRPr="003431B7">
        <w:rPr>
          <w:rFonts w:ascii="Garamond" w:hAnsi="Garamond"/>
          <w:i/>
          <w:iCs/>
          <w:sz w:val="20"/>
        </w:rPr>
        <w:t xml:space="preserve">) = </w:t>
      </w:r>
      <w:r w:rsidRPr="003431B7" w:rsidR="00E66249">
        <w:rPr>
          <w:rFonts w:ascii="Garamond" w:hAnsi="Garamond"/>
          <w:i/>
          <w:iCs/>
          <w:sz w:val="20"/>
        </w:rPr>
        <w:object w:dxaOrig="2600" w:dyaOrig="380" w14:anchorId="654FD914">
          <v:shape id="_x0000_i1035" style="width:137.4pt;height:14.4pt" fillcolor="window" o:ole="" type="#_x0000_t75">
            <v:imagedata o:title="" r:id="rId29"/>
          </v:shape>
          <o:OLEObject Type="Embed" ProgID="Equation.DSMT4" ShapeID="_x0000_i1035" DrawAspect="Content" ObjectID="_1722237890" r:id="rId30"/>
        </w:object>
      </w:r>
      <w:r w:rsidRPr="003431B7">
        <w:rPr>
          <w:rFonts w:ascii="Garamond" w:hAnsi="Garamond"/>
          <w:i/>
          <w:iCs/>
          <w:sz w:val="20"/>
        </w:rPr>
        <w:t>,</w:t>
      </w:r>
    </w:p>
    <w:p w:rsidRPr="003A1A8D" w:rsidR="00602A76" w:rsidP="002321B5" w:rsidRDefault="00602A76" w14:paraId="0818D6A1" w14:textId="2D1E5AD9">
      <w:pPr>
        <w:pStyle w:val="ParagraphSSLAST"/>
        <w:ind w:left="270" w:firstLine="0"/>
        <w:jc w:val="left"/>
        <w:rPr>
          <w:rFonts w:ascii="Times New Roman" w:hAnsi="Times New Roman"/>
        </w:rPr>
      </w:pPr>
      <w:r w:rsidRPr="003A1A8D">
        <w:rPr>
          <w:rFonts w:ascii="Times New Roman" w:hAnsi="Times New Roman"/>
        </w:rPr>
        <w:t xml:space="preserve">where </w:t>
      </w:r>
      <w:r w:rsidRPr="003A1A8D">
        <w:rPr>
          <w:rFonts w:ascii="Times New Roman" w:hAnsi="Times New Roman"/>
        </w:rPr>
        <w:object w:dxaOrig="420" w:dyaOrig="380" w14:anchorId="4347D152">
          <v:shape id="_x0000_i1036" style="width:21.6pt;height:14.4pt" o:ole="" type="#_x0000_t75">
            <v:imagedata o:title="" r:id="rId31"/>
          </v:shape>
          <o:OLEObject Type="Embed" ProgID="Equation.DSMT4" ShapeID="_x0000_i1036" DrawAspect="Content" ObjectID="_1722237891" r:id="rId32"/>
        </w:object>
      </w:r>
      <w:r w:rsidRPr="003A1A8D">
        <w:rPr>
          <w:rFonts w:ascii="Times New Roman" w:hAnsi="Times New Roman"/>
        </w:rPr>
        <w:t xml:space="preserve"> and </w:t>
      </w:r>
      <w:r w:rsidRPr="003A1A8D">
        <w:rPr>
          <w:rFonts w:ascii="Times New Roman" w:hAnsi="Times New Roman"/>
        </w:rPr>
        <w:object w:dxaOrig="440" w:dyaOrig="380" w14:anchorId="353616B3">
          <v:shape id="_x0000_i1037" style="width:22.2pt;height:14.4pt" o:ole="" type="#_x0000_t75">
            <v:imagedata o:title="" r:id="rId33"/>
          </v:shape>
          <o:OLEObject Type="Embed" ProgID="Equation.DSMT4" ShapeID="_x0000_i1037" DrawAspect="Content" ObjectID="_1722237892" r:id="rId34"/>
        </w:object>
      </w:r>
      <w:r w:rsidRPr="003A1A8D">
        <w:rPr>
          <w:rFonts w:ascii="Times New Roman" w:hAnsi="Times New Roman"/>
        </w:rPr>
        <w:t xml:space="preserve">are the effective sample sizes of the two populations being compared and </w:t>
      </w:r>
      <w:r w:rsidRPr="003A1A8D">
        <w:rPr>
          <w:rFonts w:ascii="Times New Roman" w:hAnsi="Times New Roman"/>
        </w:rPr>
        <w:object w:dxaOrig="1420" w:dyaOrig="380" w14:anchorId="771197AF">
          <v:shape id="_x0000_i1038" style="width:1in;height:14.4pt" o:ole="" type="#_x0000_t75">
            <v:imagedata o:title="" r:id="rId35"/>
          </v:shape>
          <o:OLEObject Type="Embed" ProgID="Equation.DSMT4" ShapeID="_x0000_i1038" DrawAspect="Content" ObjectID="_1722237893" r:id="rId36"/>
        </w:object>
      </w:r>
      <w:r w:rsidRPr="003A1A8D">
        <w:rPr>
          <w:rFonts w:ascii="Times New Roman" w:hAnsi="Times New Roman"/>
        </w:rPr>
        <w:t xml:space="preserve"> </w:t>
      </w:r>
      <w:r w:rsidRPr="003A1A8D">
        <w:rPr>
          <w:rFonts w:ascii="Times New Roman" w:hAnsi="Times New Roman"/>
        </w:rPr>
        <w:object w:dxaOrig="1500" w:dyaOrig="380" w14:anchorId="78F4F96D">
          <v:shape id="_x0000_i1039" style="width:1in;height:14.4pt" o:ole="" type="#_x0000_t75">
            <v:imagedata o:title="" r:id="rId37"/>
          </v:shape>
          <o:OLEObject Type="Embed" ProgID="Equation.DSMT4" ShapeID="_x0000_i1039" DrawAspect="Content" ObjectID="_1722237894" r:id="rId38"/>
        </w:object>
      </w:r>
      <w:r w:rsidRPr="003A1A8D">
        <w:rPr>
          <w:rFonts w:ascii="Times New Roman" w:hAnsi="Times New Roman"/>
        </w:rPr>
        <w:t>.</w:t>
      </w:r>
      <w:r>
        <w:rPr>
          <w:rFonts w:ascii="Times New Roman" w:hAnsi="Times New Roman"/>
        </w:rPr>
        <w:t xml:space="preserve"> </w:t>
      </w:r>
      <w:r w:rsidR="00BF26F9">
        <w:rPr>
          <w:rFonts w:ascii="Times New Roman" w:hAnsi="Times New Roman"/>
        </w:rPr>
        <w:t xml:space="preserve"> </w:t>
      </w:r>
      <w:r>
        <w:rPr>
          <w:rFonts w:ascii="Times New Roman" w:hAnsi="Times New Roman"/>
        </w:rPr>
        <w:t>We estimate</w:t>
      </w:r>
      <w:r w:rsidR="00D61351">
        <w:rPr>
          <w:rFonts w:ascii="Times New Roman" w:hAnsi="Times New Roman"/>
        </w:rPr>
        <w:t>d</w:t>
      </w:r>
      <w:r>
        <w:rPr>
          <w:rFonts w:ascii="Times New Roman" w:hAnsi="Times New Roman"/>
        </w:rPr>
        <w:t xml:space="preserve"> t</w:t>
      </w:r>
      <w:r w:rsidRPr="003A1A8D">
        <w:rPr>
          <w:rFonts w:ascii="Times New Roman" w:hAnsi="Times New Roman"/>
        </w:rPr>
        <w:t xml:space="preserve">he design effect using </w:t>
      </w:r>
      <w:r>
        <w:rPr>
          <w:rFonts w:ascii="Times New Roman" w:hAnsi="Times New Roman"/>
        </w:rPr>
        <w:t>data from the Round 7 NBS.</w:t>
      </w:r>
    </w:p>
    <w:p w:rsidR="00673298" w:rsidP="006972B7" w:rsidRDefault="00602A76" w14:paraId="5D5D672E" w14:textId="7AD25F05">
      <w:pPr>
        <w:pStyle w:val="ParagraphSSLAST"/>
        <w:ind w:left="270" w:firstLine="0"/>
        <w:jc w:val="left"/>
        <w:rPr>
          <w:rFonts w:ascii="Times New Roman" w:hAnsi="Times New Roman"/>
        </w:rPr>
      </w:pPr>
      <w:r w:rsidRPr="003A1A8D">
        <w:rPr>
          <w:rFonts w:ascii="Times New Roman" w:hAnsi="Times New Roman"/>
          <w:b/>
        </w:rPr>
        <w:t>S</w:t>
      </w:r>
      <w:r>
        <w:rPr>
          <w:rFonts w:ascii="Times New Roman" w:hAnsi="Times New Roman"/>
          <w:b/>
        </w:rPr>
        <w:t>WS.</w:t>
      </w:r>
      <w:r w:rsidRPr="003A1A8D">
        <w:rPr>
          <w:rFonts w:ascii="Times New Roman" w:hAnsi="Times New Roman"/>
        </w:rPr>
        <w:t xml:space="preserve"> </w:t>
      </w:r>
      <w:r w:rsidR="00D849FD">
        <w:rPr>
          <w:rFonts w:ascii="Times New Roman" w:hAnsi="Times New Roman"/>
        </w:rPr>
        <w:t xml:space="preserve"> </w:t>
      </w:r>
      <w:r w:rsidRPr="009B067A">
        <w:rPr>
          <w:rFonts w:ascii="Times New Roman" w:hAnsi="Times New Roman"/>
        </w:rPr>
        <w:t xml:space="preserve">Of the </w:t>
      </w:r>
      <w:r>
        <w:rPr>
          <w:rFonts w:ascii="Times New Roman" w:hAnsi="Times New Roman"/>
        </w:rPr>
        <w:t xml:space="preserve">3,000 </w:t>
      </w:r>
      <w:r w:rsidRPr="009B067A">
        <w:rPr>
          <w:rFonts w:ascii="Times New Roman" w:hAnsi="Times New Roman"/>
        </w:rPr>
        <w:t xml:space="preserve">completed </w:t>
      </w:r>
      <w:r>
        <w:rPr>
          <w:rFonts w:ascii="Times New Roman" w:hAnsi="Times New Roman"/>
        </w:rPr>
        <w:t>SWS interviews</w:t>
      </w:r>
      <w:r w:rsidRPr="009B067A">
        <w:rPr>
          <w:rFonts w:ascii="Times New Roman" w:hAnsi="Times New Roman"/>
        </w:rPr>
        <w:t xml:space="preserve"> in </w:t>
      </w:r>
      <w:r>
        <w:rPr>
          <w:rFonts w:ascii="Times New Roman" w:hAnsi="Times New Roman"/>
        </w:rPr>
        <w:t>R</w:t>
      </w:r>
      <w:r w:rsidRPr="009B067A">
        <w:rPr>
          <w:rFonts w:ascii="Times New Roman" w:hAnsi="Times New Roman"/>
        </w:rPr>
        <w:t xml:space="preserve">ound </w:t>
      </w:r>
      <w:r>
        <w:rPr>
          <w:rFonts w:ascii="Times New Roman" w:hAnsi="Times New Roman"/>
        </w:rPr>
        <w:t>8,</w:t>
      </w:r>
      <w:r w:rsidRPr="009B067A">
        <w:rPr>
          <w:rFonts w:ascii="Times New Roman" w:hAnsi="Times New Roman"/>
        </w:rPr>
        <w:t xml:space="preserve"> </w:t>
      </w:r>
      <w:r>
        <w:rPr>
          <w:rFonts w:ascii="Times New Roman" w:hAnsi="Times New Roman"/>
        </w:rPr>
        <w:t>1,500</w:t>
      </w:r>
      <w:r w:rsidRPr="009B067A">
        <w:rPr>
          <w:rFonts w:ascii="Times New Roman" w:hAnsi="Times New Roman"/>
        </w:rPr>
        <w:t xml:space="preserve"> will be among SSI recipients </w:t>
      </w:r>
      <w:r>
        <w:rPr>
          <w:rFonts w:ascii="Times New Roman" w:hAnsi="Times New Roman"/>
        </w:rPr>
        <w:t>who may or may not concurrently receive SSDI</w:t>
      </w:r>
      <w:r w:rsidRPr="009B067A">
        <w:rPr>
          <w:rFonts w:ascii="Times New Roman" w:hAnsi="Times New Roman"/>
        </w:rPr>
        <w:t xml:space="preserve"> </w:t>
      </w:r>
      <w:r>
        <w:rPr>
          <w:rFonts w:ascii="Times New Roman" w:hAnsi="Times New Roman"/>
        </w:rPr>
        <w:t>and 1,500</w:t>
      </w:r>
      <w:r w:rsidRPr="009B067A">
        <w:rPr>
          <w:rFonts w:ascii="Times New Roman" w:hAnsi="Times New Roman"/>
        </w:rPr>
        <w:t xml:space="preserve"> will be </w:t>
      </w:r>
      <w:r>
        <w:rPr>
          <w:rFonts w:ascii="Times New Roman" w:hAnsi="Times New Roman"/>
        </w:rPr>
        <w:t>SS</w:t>
      </w:r>
      <w:r w:rsidRPr="009B067A">
        <w:rPr>
          <w:rFonts w:ascii="Times New Roman" w:hAnsi="Times New Roman"/>
        </w:rPr>
        <w:t>DI</w:t>
      </w:r>
      <w:r>
        <w:rPr>
          <w:rFonts w:ascii="Times New Roman" w:hAnsi="Times New Roman"/>
        </w:rPr>
        <w:t>-only</w:t>
      </w:r>
      <w:r w:rsidRPr="009B067A">
        <w:rPr>
          <w:rFonts w:ascii="Times New Roman" w:hAnsi="Times New Roman"/>
        </w:rPr>
        <w:t xml:space="preserve"> beneficiaries.</w:t>
      </w:r>
      <w:r>
        <w:rPr>
          <w:rFonts w:ascii="Times New Roman" w:hAnsi="Times New Roman"/>
        </w:rPr>
        <w:t xml:space="preserve"> </w:t>
      </w:r>
      <w:r w:rsidR="00D849FD">
        <w:rPr>
          <w:rFonts w:ascii="Times New Roman" w:hAnsi="Times New Roman"/>
        </w:rPr>
        <w:t xml:space="preserve"> </w:t>
      </w:r>
      <w:r w:rsidRPr="009B067A">
        <w:rPr>
          <w:rFonts w:ascii="Times New Roman" w:hAnsi="Times New Roman"/>
        </w:rPr>
        <w:t xml:space="preserve">Because </w:t>
      </w:r>
      <w:r>
        <w:rPr>
          <w:rFonts w:ascii="Times New Roman" w:hAnsi="Times New Roman"/>
        </w:rPr>
        <w:t xml:space="preserve">SSA is </w:t>
      </w:r>
      <w:r w:rsidRPr="009B067A">
        <w:rPr>
          <w:rFonts w:ascii="Times New Roman" w:hAnsi="Times New Roman"/>
        </w:rPr>
        <w:t>interested in differences betw</w:t>
      </w:r>
      <w:r>
        <w:rPr>
          <w:rFonts w:ascii="Times New Roman" w:hAnsi="Times New Roman"/>
        </w:rPr>
        <w:t>een SWS</w:t>
      </w:r>
      <w:r w:rsidRPr="009B067A">
        <w:rPr>
          <w:rFonts w:ascii="Times New Roman" w:hAnsi="Times New Roman"/>
        </w:rPr>
        <w:t xml:space="preserve"> beneficiaries</w:t>
      </w:r>
      <w:r>
        <w:rPr>
          <w:rFonts w:ascii="Times New Roman" w:hAnsi="Times New Roman"/>
        </w:rPr>
        <w:t xml:space="preserve"> who are receiving or returning to benefits</w:t>
      </w:r>
      <w:r w:rsidRPr="009B067A">
        <w:rPr>
          <w:rFonts w:ascii="Times New Roman" w:hAnsi="Times New Roman"/>
        </w:rPr>
        <w:t xml:space="preserve"> and those who are not, </w:t>
      </w:r>
      <w:r w:rsidR="00D61351">
        <w:rPr>
          <w:rFonts w:ascii="Times New Roman" w:hAnsi="Times New Roman"/>
        </w:rPr>
        <w:t xml:space="preserve">we may conduct </w:t>
      </w:r>
      <w:r w:rsidRPr="009B067A">
        <w:rPr>
          <w:rFonts w:ascii="Times New Roman" w:hAnsi="Times New Roman"/>
        </w:rPr>
        <w:t>a comparison of interest between these groups.</w:t>
      </w:r>
      <w:r>
        <w:rPr>
          <w:rFonts w:ascii="Times New Roman" w:hAnsi="Times New Roman"/>
        </w:rPr>
        <w:t xml:space="preserve"> </w:t>
      </w:r>
      <w:r w:rsidR="00D61351">
        <w:rPr>
          <w:rFonts w:ascii="Times New Roman" w:hAnsi="Times New Roman"/>
        </w:rPr>
        <w:t xml:space="preserve"> </w:t>
      </w:r>
      <w:r>
        <w:rPr>
          <w:rFonts w:ascii="Times New Roman" w:hAnsi="Times New Roman"/>
        </w:rPr>
        <w:t>Because</w:t>
      </w:r>
      <w:r w:rsidRPr="009B067A">
        <w:rPr>
          <w:rFonts w:ascii="Times New Roman" w:hAnsi="Times New Roman"/>
        </w:rPr>
        <w:t xml:space="preserve"> a</w:t>
      </w:r>
      <w:r>
        <w:rPr>
          <w:rFonts w:ascii="Times New Roman" w:hAnsi="Times New Roman"/>
        </w:rPr>
        <w:t>bout</w:t>
      </w:r>
      <w:r w:rsidRPr="009B067A">
        <w:rPr>
          <w:rFonts w:ascii="Times New Roman" w:hAnsi="Times New Roman"/>
        </w:rPr>
        <w:t xml:space="preserve"> </w:t>
      </w:r>
      <w:r>
        <w:rPr>
          <w:rFonts w:ascii="Times New Roman" w:hAnsi="Times New Roman"/>
        </w:rPr>
        <w:t>half</w:t>
      </w:r>
      <w:r w:rsidRPr="009B067A">
        <w:rPr>
          <w:rFonts w:ascii="Times New Roman" w:hAnsi="Times New Roman"/>
        </w:rPr>
        <w:t xml:space="preserve"> of </w:t>
      </w:r>
      <w:r>
        <w:rPr>
          <w:rFonts w:ascii="Times New Roman" w:hAnsi="Times New Roman"/>
        </w:rPr>
        <w:t>the SWS is likely to be</w:t>
      </w:r>
      <w:r w:rsidRPr="009B067A">
        <w:rPr>
          <w:rFonts w:ascii="Times New Roman" w:hAnsi="Times New Roman"/>
        </w:rPr>
        <w:t xml:space="preserve"> </w:t>
      </w:r>
      <w:r>
        <w:rPr>
          <w:rFonts w:ascii="Times New Roman" w:hAnsi="Times New Roman"/>
        </w:rPr>
        <w:t>receiving</w:t>
      </w:r>
      <w:r w:rsidRPr="009B067A">
        <w:rPr>
          <w:rFonts w:ascii="Times New Roman" w:hAnsi="Times New Roman"/>
        </w:rPr>
        <w:t xml:space="preserve"> </w:t>
      </w:r>
      <w:r>
        <w:rPr>
          <w:rFonts w:ascii="Times New Roman" w:hAnsi="Times New Roman"/>
        </w:rPr>
        <w:t xml:space="preserve">or returning to benefits </w:t>
      </w:r>
      <w:r w:rsidRPr="009B067A">
        <w:rPr>
          <w:rFonts w:ascii="Times New Roman" w:hAnsi="Times New Roman"/>
        </w:rPr>
        <w:t xml:space="preserve">at the time of data collection, such a comparison might involve </w:t>
      </w:r>
      <w:r>
        <w:rPr>
          <w:rFonts w:ascii="Times New Roman" w:hAnsi="Times New Roman"/>
        </w:rPr>
        <w:t>comparing</w:t>
      </w:r>
      <w:r w:rsidRPr="009B067A">
        <w:rPr>
          <w:rFonts w:ascii="Times New Roman" w:hAnsi="Times New Roman"/>
        </w:rPr>
        <w:t xml:space="preserve"> </w:t>
      </w:r>
      <w:r>
        <w:rPr>
          <w:rFonts w:ascii="Times New Roman" w:hAnsi="Times New Roman"/>
        </w:rPr>
        <w:t>the 50</w:t>
      </w:r>
      <w:r w:rsidRPr="009B067A">
        <w:rPr>
          <w:rFonts w:ascii="Times New Roman" w:hAnsi="Times New Roman"/>
        </w:rPr>
        <w:t xml:space="preserve"> percent of the sample</w:t>
      </w:r>
      <w:r>
        <w:rPr>
          <w:rFonts w:ascii="Times New Roman" w:hAnsi="Times New Roman"/>
        </w:rPr>
        <w:t xml:space="preserve"> not receiving benefits</w:t>
      </w:r>
      <w:r w:rsidRPr="009B067A">
        <w:rPr>
          <w:rFonts w:ascii="Times New Roman" w:hAnsi="Times New Roman"/>
        </w:rPr>
        <w:t xml:space="preserve"> (</w:t>
      </w:r>
      <w:r>
        <w:rPr>
          <w:rFonts w:ascii="Times New Roman" w:hAnsi="Times New Roman"/>
        </w:rPr>
        <w:t>N=1,500</w:t>
      </w:r>
      <w:r w:rsidRPr="009B067A">
        <w:rPr>
          <w:rFonts w:ascii="Times New Roman" w:hAnsi="Times New Roman"/>
        </w:rPr>
        <w:t xml:space="preserve">) and </w:t>
      </w:r>
      <w:r>
        <w:rPr>
          <w:rFonts w:ascii="Times New Roman" w:hAnsi="Times New Roman"/>
        </w:rPr>
        <w:t>the 5</w:t>
      </w:r>
      <w:r w:rsidRPr="009B067A">
        <w:rPr>
          <w:rFonts w:ascii="Times New Roman" w:hAnsi="Times New Roman"/>
        </w:rPr>
        <w:t>0 percent</w:t>
      </w:r>
      <w:r>
        <w:rPr>
          <w:rFonts w:ascii="Times New Roman" w:hAnsi="Times New Roman"/>
        </w:rPr>
        <w:t xml:space="preserve"> receiving or returning to benefits</w:t>
      </w:r>
      <w:r w:rsidRPr="009B067A">
        <w:rPr>
          <w:rFonts w:ascii="Times New Roman" w:hAnsi="Times New Roman"/>
        </w:rPr>
        <w:t xml:space="preserve"> (</w:t>
      </w:r>
      <w:r>
        <w:rPr>
          <w:rFonts w:ascii="Times New Roman" w:hAnsi="Times New Roman"/>
        </w:rPr>
        <w:t>N=1,500</w:t>
      </w:r>
      <w:r w:rsidRPr="009B067A">
        <w:rPr>
          <w:rFonts w:ascii="Times New Roman" w:hAnsi="Times New Roman"/>
        </w:rPr>
        <w:t>).</w:t>
      </w:r>
      <w:r>
        <w:rPr>
          <w:rFonts w:ascii="Times New Roman" w:hAnsi="Times New Roman"/>
        </w:rPr>
        <w:t xml:space="preserve"> </w:t>
      </w:r>
      <w:r w:rsidR="00D61351">
        <w:rPr>
          <w:rFonts w:ascii="Times New Roman" w:hAnsi="Times New Roman"/>
        </w:rPr>
        <w:t xml:space="preserve"> </w:t>
      </w:r>
      <w:r w:rsidRPr="009B067A">
        <w:rPr>
          <w:rFonts w:ascii="Times New Roman" w:hAnsi="Times New Roman"/>
        </w:rPr>
        <w:t>Table B.3 presents minimum detectable differences for a comparison between two halves</w:t>
      </w:r>
      <w:r>
        <w:rPr>
          <w:rFonts w:ascii="Times New Roman" w:hAnsi="Times New Roman"/>
        </w:rPr>
        <w:t xml:space="preserve"> of the SWS</w:t>
      </w:r>
      <w:r w:rsidRPr="009B067A">
        <w:rPr>
          <w:rFonts w:ascii="Times New Roman" w:hAnsi="Times New Roman"/>
        </w:rPr>
        <w:t xml:space="preserve"> and a comparison between 70 percent and 30 percent</w:t>
      </w:r>
      <w:r>
        <w:rPr>
          <w:rFonts w:ascii="Times New Roman" w:hAnsi="Times New Roman"/>
        </w:rPr>
        <w:t xml:space="preserve"> of the SWS</w:t>
      </w:r>
      <w:r w:rsidRPr="009B067A">
        <w:rPr>
          <w:rFonts w:ascii="Times New Roman" w:hAnsi="Times New Roman"/>
        </w:rPr>
        <w:t>.</w:t>
      </w:r>
      <w:r>
        <w:rPr>
          <w:rFonts w:ascii="Times New Roman" w:hAnsi="Times New Roman"/>
        </w:rPr>
        <w:t xml:space="preserve"> </w:t>
      </w:r>
      <w:r w:rsidR="00D61351">
        <w:rPr>
          <w:rFonts w:ascii="Times New Roman" w:hAnsi="Times New Roman"/>
        </w:rPr>
        <w:t xml:space="preserve"> </w:t>
      </w:r>
      <w:r>
        <w:rPr>
          <w:rFonts w:ascii="Times New Roman" w:hAnsi="Times New Roman"/>
        </w:rPr>
        <w:t xml:space="preserve">We also show the minimum detectable differences for </w:t>
      </w:r>
      <w:r w:rsidRPr="009B067A">
        <w:rPr>
          <w:rFonts w:ascii="Times New Roman" w:hAnsi="Times New Roman"/>
        </w:rPr>
        <w:t xml:space="preserve">comparisons </w:t>
      </w:r>
      <w:r>
        <w:rPr>
          <w:rFonts w:ascii="Times New Roman" w:hAnsi="Times New Roman"/>
        </w:rPr>
        <w:t>by</w:t>
      </w:r>
      <w:r w:rsidRPr="009B067A">
        <w:rPr>
          <w:rFonts w:ascii="Times New Roman" w:hAnsi="Times New Roman"/>
        </w:rPr>
        <w:t xml:space="preserve"> </w:t>
      </w:r>
      <w:r>
        <w:rPr>
          <w:rFonts w:ascii="Times New Roman" w:hAnsi="Times New Roman"/>
        </w:rPr>
        <w:t>title</w:t>
      </w:r>
      <w:r w:rsidRPr="009B067A">
        <w:rPr>
          <w:rFonts w:ascii="Times New Roman" w:hAnsi="Times New Roman"/>
        </w:rPr>
        <w:t xml:space="preserve"> (SSI, </w:t>
      </w:r>
      <w:r>
        <w:rPr>
          <w:rFonts w:ascii="Times New Roman" w:hAnsi="Times New Roman"/>
        </w:rPr>
        <w:t>SS</w:t>
      </w:r>
      <w:r w:rsidRPr="009B067A">
        <w:rPr>
          <w:rFonts w:ascii="Times New Roman" w:hAnsi="Times New Roman"/>
        </w:rPr>
        <w:t>DI, and concurrent</w:t>
      </w:r>
      <w:r>
        <w:rPr>
          <w:rFonts w:ascii="Times New Roman" w:hAnsi="Times New Roman"/>
        </w:rPr>
        <w:t>ly receiving both</w:t>
      </w:r>
      <w:r w:rsidRPr="009B067A">
        <w:rPr>
          <w:rFonts w:ascii="Times New Roman" w:hAnsi="Times New Roman"/>
        </w:rPr>
        <w:t>).</w:t>
      </w:r>
      <w:r>
        <w:rPr>
          <w:rFonts w:ascii="Times New Roman" w:hAnsi="Times New Roman"/>
        </w:rPr>
        <w:t xml:space="preserve"> </w:t>
      </w:r>
      <w:r w:rsidR="00D61351">
        <w:rPr>
          <w:rFonts w:ascii="Times New Roman" w:hAnsi="Times New Roman"/>
        </w:rPr>
        <w:t xml:space="preserve"> </w:t>
      </w:r>
      <w:r>
        <w:rPr>
          <w:rFonts w:ascii="Times New Roman" w:hAnsi="Times New Roman"/>
        </w:rPr>
        <w:t>Those estimates assume that 57 percent</w:t>
      </w:r>
      <w:r w:rsidRPr="007E1827">
        <w:rPr>
          <w:rFonts w:ascii="Times New Roman" w:hAnsi="Times New Roman"/>
        </w:rPr>
        <w:t xml:space="preserve"> of the </w:t>
      </w:r>
      <w:r>
        <w:rPr>
          <w:rFonts w:ascii="Times New Roman" w:hAnsi="Times New Roman"/>
        </w:rPr>
        <w:t>SSI stratum is SSI only and 43 percent</w:t>
      </w:r>
      <w:r w:rsidRPr="007E1827">
        <w:rPr>
          <w:rFonts w:ascii="Times New Roman" w:hAnsi="Times New Roman"/>
        </w:rPr>
        <w:t xml:space="preserve"> is concurrent</w:t>
      </w:r>
      <w:r>
        <w:rPr>
          <w:rFonts w:ascii="Times New Roman" w:hAnsi="Times New Roman"/>
        </w:rPr>
        <w:t>ly receiving SSDI.</w:t>
      </w:r>
    </w:p>
    <w:p w:rsidRPr="00673298" w:rsidR="00602A76" w:rsidP="00673298" w:rsidRDefault="00602A76" w14:paraId="4D08E3E2" w14:textId="6B197A67">
      <w:pPr>
        <w:pStyle w:val="TableTitle"/>
      </w:pPr>
      <w:bookmarkStart w:name="_Toc101247287" w:id="33"/>
      <w:bookmarkStart w:name="_Toc101249077" w:id="34"/>
      <w:r w:rsidRPr="00673298">
        <w:t>Table B.3. Estimated Minimum Detectable Differences Between SWS Subgroups</w:t>
      </w:r>
      <w:bookmarkEnd w:id="33"/>
      <w:bookmarkEnd w:id="34"/>
    </w:p>
    <w:tbl>
      <w:tblPr>
        <w:tblStyle w:val="TableGrid"/>
        <w:tblW w:w="4852" w:type="pct"/>
        <w:tblBorders>
          <w:top w:val="single" w:color="C00000" w:sz="12" w:space="0"/>
          <w:bottom w:val="single" w:color="C00000" w:sz="4" w:space="0"/>
        </w:tblBorders>
        <w:tblLook w:val="04A0" w:firstRow="1" w:lastRow="0" w:firstColumn="1" w:lastColumn="0" w:noHBand="0" w:noVBand="1"/>
      </w:tblPr>
      <w:tblGrid>
        <w:gridCol w:w="1730"/>
        <w:gridCol w:w="1132"/>
        <w:gridCol w:w="1081"/>
        <w:gridCol w:w="1130"/>
        <w:gridCol w:w="223"/>
        <w:gridCol w:w="1166"/>
        <w:gridCol w:w="1375"/>
        <w:gridCol w:w="1246"/>
      </w:tblGrid>
      <w:tr w:rsidRPr="00F321C4" w:rsidR="00602A76" w:rsidTr="00673298" w14:paraId="7D2C1DD1" w14:textId="77777777">
        <w:trPr>
          <w:trHeight w:val="258"/>
          <w:tblHeader/>
        </w:trPr>
        <w:tc>
          <w:tcPr>
            <w:tcW w:w="952" w:type="pct"/>
            <w:tcBorders>
              <w:top w:val="single" w:color="auto" w:sz="12" w:space="0"/>
            </w:tcBorders>
            <w:shd w:val="clear" w:color="auto" w:fill="auto"/>
            <w:vAlign w:val="center"/>
          </w:tcPr>
          <w:p w:rsidRPr="00F321C4" w:rsidR="00602A76" w:rsidP="009431AD" w:rsidRDefault="00602A76" w14:paraId="691B2100" w14:textId="77777777">
            <w:pPr>
              <w:pStyle w:val="TableHeaderLeft"/>
              <w:spacing w:before="0"/>
              <w:rPr>
                <w:rFonts w:ascii="Times New Roman" w:hAnsi="Times New Roman"/>
                <w:sz w:val="22"/>
              </w:rPr>
            </w:pPr>
          </w:p>
        </w:tc>
        <w:tc>
          <w:tcPr>
            <w:tcW w:w="1840" w:type="pct"/>
            <w:gridSpan w:val="3"/>
            <w:tcBorders>
              <w:top w:val="single" w:color="auto" w:sz="12" w:space="0"/>
              <w:bottom w:val="single" w:color="auto" w:sz="4" w:space="0"/>
              <w:right w:val="nil"/>
            </w:tcBorders>
            <w:shd w:val="clear" w:color="auto" w:fill="auto"/>
            <w:vAlign w:val="bottom"/>
          </w:tcPr>
          <w:p w:rsidRPr="00F321C4" w:rsidR="00602A76" w:rsidP="009431AD" w:rsidRDefault="00602A76" w14:paraId="50CDFD47" w14:textId="77777777">
            <w:pPr>
              <w:pStyle w:val="TableText"/>
              <w:spacing w:after="60"/>
              <w:jc w:val="center"/>
              <w:rPr>
                <w:rFonts w:ascii="Times New Roman" w:hAnsi="Times New Roman"/>
                <w:sz w:val="22"/>
                <w:szCs w:val="22"/>
              </w:rPr>
            </w:pPr>
            <w:r w:rsidRPr="00F321C4">
              <w:rPr>
                <w:rFonts w:ascii="Times New Roman" w:hAnsi="Times New Roman"/>
                <w:sz w:val="22"/>
                <w:szCs w:val="22"/>
              </w:rPr>
              <w:t>Half the Sample Compared to Other Half</w:t>
            </w:r>
            <w:r w:rsidRPr="00F321C4">
              <w:rPr>
                <w:rFonts w:ascii="Times New Roman" w:hAnsi="Times New Roman"/>
                <w:sz w:val="22"/>
                <w:szCs w:val="22"/>
              </w:rPr>
              <w:br/>
              <w:t>(1,500 vs 1,500 for full sample)</w:t>
            </w:r>
          </w:p>
        </w:tc>
        <w:tc>
          <w:tcPr>
            <w:tcW w:w="123" w:type="pct"/>
            <w:tcBorders>
              <w:top w:val="single" w:color="auto" w:sz="12" w:space="0"/>
              <w:left w:val="nil"/>
              <w:bottom w:val="nil"/>
              <w:right w:val="nil"/>
            </w:tcBorders>
          </w:tcPr>
          <w:p w:rsidRPr="00F321C4" w:rsidR="00602A76" w:rsidP="009431AD" w:rsidRDefault="00602A76" w14:paraId="097A6570" w14:textId="77777777">
            <w:pPr>
              <w:pStyle w:val="TableText"/>
              <w:spacing w:after="60"/>
              <w:jc w:val="center"/>
              <w:rPr>
                <w:rFonts w:ascii="Times New Roman" w:hAnsi="Times New Roman"/>
                <w:sz w:val="22"/>
                <w:szCs w:val="22"/>
              </w:rPr>
            </w:pPr>
          </w:p>
        </w:tc>
        <w:tc>
          <w:tcPr>
            <w:tcW w:w="2085" w:type="pct"/>
            <w:gridSpan w:val="3"/>
            <w:tcBorders>
              <w:top w:val="single" w:color="auto" w:sz="12" w:space="0"/>
              <w:left w:val="nil"/>
              <w:bottom w:val="single" w:color="auto" w:sz="4" w:space="0"/>
            </w:tcBorders>
            <w:shd w:val="clear" w:color="auto" w:fill="auto"/>
            <w:vAlign w:val="bottom"/>
          </w:tcPr>
          <w:p w:rsidRPr="00F321C4" w:rsidR="00602A76" w:rsidP="009431AD" w:rsidRDefault="00602A76" w14:paraId="37922898" w14:textId="77777777">
            <w:pPr>
              <w:pStyle w:val="TableText"/>
              <w:spacing w:after="60"/>
              <w:jc w:val="center"/>
              <w:rPr>
                <w:rFonts w:ascii="Times New Roman" w:hAnsi="Times New Roman"/>
                <w:sz w:val="22"/>
                <w:szCs w:val="22"/>
              </w:rPr>
            </w:pPr>
            <w:r w:rsidRPr="00F321C4">
              <w:rPr>
                <w:rFonts w:ascii="Times New Roman" w:hAnsi="Times New Roman"/>
                <w:sz w:val="22"/>
                <w:szCs w:val="22"/>
              </w:rPr>
              <w:t>70% of Sample Compared to 30%</w:t>
            </w:r>
            <w:r w:rsidRPr="00F321C4">
              <w:rPr>
                <w:rFonts w:ascii="Times New Roman" w:hAnsi="Times New Roman"/>
                <w:sz w:val="22"/>
                <w:szCs w:val="22"/>
              </w:rPr>
              <w:br/>
              <w:t>(900 vs. 2,100 for full sample)</w:t>
            </w:r>
          </w:p>
        </w:tc>
      </w:tr>
      <w:tr w:rsidRPr="00F321C4" w:rsidR="00602A76" w:rsidTr="00673298" w14:paraId="78ABC7EC" w14:textId="77777777">
        <w:tc>
          <w:tcPr>
            <w:tcW w:w="952" w:type="pct"/>
            <w:tcBorders>
              <w:top w:val="single" w:color="auto" w:sz="4" w:space="0"/>
              <w:bottom w:val="single" w:color="auto" w:sz="4" w:space="0"/>
            </w:tcBorders>
            <w:shd w:val="clear" w:color="auto" w:fill="auto"/>
            <w:vAlign w:val="bottom"/>
          </w:tcPr>
          <w:p w:rsidRPr="00F321C4" w:rsidR="00602A76" w:rsidP="009431AD" w:rsidRDefault="00602A76" w14:paraId="2080C986" w14:textId="77777777">
            <w:pPr>
              <w:pStyle w:val="TableText"/>
              <w:spacing w:after="60"/>
              <w:rPr>
                <w:rFonts w:ascii="Times New Roman" w:hAnsi="Times New Roman"/>
                <w:sz w:val="22"/>
                <w:szCs w:val="22"/>
              </w:rPr>
            </w:pPr>
          </w:p>
        </w:tc>
        <w:tc>
          <w:tcPr>
            <w:tcW w:w="1840" w:type="pct"/>
            <w:gridSpan w:val="3"/>
            <w:tcBorders>
              <w:top w:val="nil"/>
              <w:bottom w:val="nil"/>
            </w:tcBorders>
          </w:tcPr>
          <w:p w:rsidRPr="00F321C4" w:rsidR="00602A76" w:rsidP="009431AD" w:rsidRDefault="00602A76" w14:paraId="07BFD10E" w14:textId="77777777">
            <w:pPr>
              <w:pStyle w:val="TableText"/>
              <w:spacing w:after="60"/>
              <w:jc w:val="center"/>
              <w:rPr>
                <w:rFonts w:ascii="Times New Roman" w:hAnsi="Times New Roman"/>
                <w:sz w:val="22"/>
                <w:szCs w:val="22"/>
              </w:rPr>
            </w:pPr>
            <w:r w:rsidRPr="00F321C4">
              <w:rPr>
                <w:rFonts w:ascii="Times New Roman" w:hAnsi="Times New Roman"/>
                <w:sz w:val="22"/>
                <w:szCs w:val="22"/>
              </w:rPr>
              <w:t>Mean of Binomial Distribution</w:t>
            </w:r>
          </w:p>
        </w:tc>
        <w:tc>
          <w:tcPr>
            <w:tcW w:w="123" w:type="pct"/>
            <w:tcBorders>
              <w:top w:val="nil"/>
              <w:bottom w:val="nil"/>
            </w:tcBorders>
          </w:tcPr>
          <w:p w:rsidRPr="00F321C4" w:rsidR="00602A76" w:rsidP="009431AD" w:rsidRDefault="00602A76" w14:paraId="64C3C27A" w14:textId="77777777">
            <w:pPr>
              <w:pStyle w:val="TableText"/>
              <w:spacing w:after="60"/>
              <w:jc w:val="center"/>
              <w:rPr>
                <w:rFonts w:ascii="Times New Roman" w:hAnsi="Times New Roman"/>
                <w:sz w:val="22"/>
                <w:szCs w:val="22"/>
              </w:rPr>
            </w:pPr>
          </w:p>
        </w:tc>
        <w:tc>
          <w:tcPr>
            <w:tcW w:w="2085" w:type="pct"/>
            <w:gridSpan w:val="3"/>
            <w:tcBorders>
              <w:top w:val="single" w:color="auto" w:sz="4" w:space="0"/>
              <w:bottom w:val="single" w:color="auto" w:sz="4" w:space="0"/>
            </w:tcBorders>
            <w:shd w:val="clear" w:color="auto" w:fill="auto"/>
            <w:vAlign w:val="bottom"/>
          </w:tcPr>
          <w:p w:rsidRPr="00F321C4" w:rsidR="00602A76" w:rsidP="009431AD" w:rsidRDefault="00602A76" w14:paraId="4508AB98" w14:textId="77777777">
            <w:pPr>
              <w:pStyle w:val="TableText"/>
              <w:spacing w:after="60"/>
              <w:jc w:val="center"/>
              <w:rPr>
                <w:rFonts w:ascii="Times New Roman" w:hAnsi="Times New Roman"/>
                <w:sz w:val="22"/>
                <w:szCs w:val="22"/>
              </w:rPr>
            </w:pPr>
            <w:r w:rsidRPr="00F321C4">
              <w:rPr>
                <w:rFonts w:ascii="Times New Roman" w:hAnsi="Times New Roman"/>
                <w:sz w:val="22"/>
                <w:szCs w:val="22"/>
              </w:rPr>
              <w:t>Mean of Binomial Distribution</w:t>
            </w:r>
          </w:p>
        </w:tc>
      </w:tr>
      <w:tr w:rsidRPr="00F321C4" w:rsidR="00602A76" w:rsidTr="00673298" w14:paraId="32344EFF" w14:textId="77777777">
        <w:tc>
          <w:tcPr>
            <w:tcW w:w="952" w:type="pct"/>
            <w:tcBorders>
              <w:bottom w:val="single" w:color="auto" w:sz="4" w:space="0"/>
            </w:tcBorders>
            <w:shd w:val="clear" w:color="auto" w:fill="auto"/>
          </w:tcPr>
          <w:p w:rsidRPr="00F321C4" w:rsidR="00602A76" w:rsidP="009431AD" w:rsidRDefault="00602A76" w14:paraId="7121A38A" w14:textId="77777777">
            <w:pPr>
              <w:pStyle w:val="TableText"/>
              <w:spacing w:after="60"/>
              <w:rPr>
                <w:rFonts w:ascii="Times New Roman" w:hAnsi="Times New Roman"/>
                <w:sz w:val="22"/>
                <w:szCs w:val="22"/>
              </w:rPr>
            </w:pPr>
            <w:r>
              <w:rPr>
                <w:rFonts w:ascii="Times New Roman" w:hAnsi="Times New Roman"/>
                <w:sz w:val="22"/>
                <w:szCs w:val="22"/>
              </w:rPr>
              <w:t>Group</w:t>
            </w:r>
          </w:p>
        </w:tc>
        <w:tc>
          <w:tcPr>
            <w:tcW w:w="623" w:type="pct"/>
            <w:tcBorders>
              <w:top w:val="single" w:color="auto" w:sz="4" w:space="0"/>
              <w:bottom w:val="single" w:color="auto" w:sz="4" w:space="0"/>
            </w:tcBorders>
            <w:shd w:val="clear" w:color="auto" w:fill="auto"/>
            <w:vAlign w:val="bottom"/>
          </w:tcPr>
          <w:p w:rsidRPr="00F321C4" w:rsidR="00602A76" w:rsidP="009431AD" w:rsidRDefault="00602A76" w14:paraId="328BDA3F" w14:textId="77777777">
            <w:pPr>
              <w:pStyle w:val="TableText"/>
              <w:spacing w:after="60"/>
              <w:jc w:val="center"/>
              <w:rPr>
                <w:rFonts w:ascii="Times New Roman" w:hAnsi="Times New Roman"/>
                <w:sz w:val="22"/>
                <w:szCs w:val="22"/>
              </w:rPr>
            </w:pPr>
            <w:r w:rsidRPr="00F321C4">
              <w:rPr>
                <w:rFonts w:ascii="Times New Roman" w:hAnsi="Times New Roman"/>
                <w:sz w:val="22"/>
                <w:szCs w:val="22"/>
              </w:rPr>
              <w:t>10%</w:t>
            </w:r>
          </w:p>
        </w:tc>
        <w:tc>
          <w:tcPr>
            <w:tcW w:w="595" w:type="pct"/>
            <w:tcBorders>
              <w:top w:val="single" w:color="auto" w:sz="4" w:space="0"/>
              <w:bottom w:val="single" w:color="auto" w:sz="4" w:space="0"/>
            </w:tcBorders>
            <w:shd w:val="clear" w:color="auto" w:fill="auto"/>
            <w:vAlign w:val="bottom"/>
          </w:tcPr>
          <w:p w:rsidRPr="00F321C4" w:rsidR="00602A76" w:rsidP="009431AD" w:rsidRDefault="00602A76" w14:paraId="3A407921" w14:textId="77777777">
            <w:pPr>
              <w:pStyle w:val="TableText"/>
              <w:spacing w:after="60"/>
              <w:jc w:val="center"/>
              <w:rPr>
                <w:rFonts w:ascii="Times New Roman" w:hAnsi="Times New Roman"/>
                <w:sz w:val="22"/>
                <w:szCs w:val="22"/>
              </w:rPr>
            </w:pPr>
            <w:r w:rsidRPr="00F321C4">
              <w:rPr>
                <w:rFonts w:ascii="Times New Roman" w:hAnsi="Times New Roman"/>
                <w:sz w:val="22"/>
                <w:szCs w:val="22"/>
              </w:rPr>
              <w:t>30%</w:t>
            </w:r>
          </w:p>
        </w:tc>
        <w:tc>
          <w:tcPr>
            <w:tcW w:w="622" w:type="pct"/>
            <w:tcBorders>
              <w:top w:val="single" w:color="auto" w:sz="4" w:space="0"/>
              <w:bottom w:val="single" w:color="auto" w:sz="4" w:space="0"/>
              <w:right w:val="nil"/>
            </w:tcBorders>
            <w:shd w:val="clear" w:color="auto" w:fill="auto"/>
            <w:vAlign w:val="bottom"/>
          </w:tcPr>
          <w:p w:rsidRPr="00F321C4" w:rsidR="00602A76" w:rsidP="009431AD" w:rsidRDefault="00602A76" w14:paraId="5673C373" w14:textId="77777777">
            <w:pPr>
              <w:pStyle w:val="TableText"/>
              <w:spacing w:after="60"/>
              <w:jc w:val="center"/>
              <w:rPr>
                <w:rFonts w:ascii="Times New Roman" w:hAnsi="Times New Roman"/>
                <w:sz w:val="22"/>
                <w:szCs w:val="22"/>
              </w:rPr>
            </w:pPr>
            <w:r w:rsidRPr="00F321C4">
              <w:rPr>
                <w:rFonts w:ascii="Times New Roman" w:hAnsi="Times New Roman"/>
                <w:sz w:val="22"/>
                <w:szCs w:val="22"/>
              </w:rPr>
              <w:t>50%</w:t>
            </w:r>
          </w:p>
        </w:tc>
        <w:tc>
          <w:tcPr>
            <w:tcW w:w="123" w:type="pct"/>
            <w:tcBorders>
              <w:top w:val="nil"/>
              <w:left w:val="nil"/>
              <w:bottom w:val="nil"/>
              <w:right w:val="nil"/>
            </w:tcBorders>
          </w:tcPr>
          <w:p w:rsidRPr="00F321C4" w:rsidR="00602A76" w:rsidP="009431AD" w:rsidRDefault="00602A76" w14:paraId="321DF22A" w14:textId="77777777">
            <w:pPr>
              <w:pStyle w:val="TableText"/>
              <w:spacing w:after="60"/>
              <w:jc w:val="center"/>
              <w:rPr>
                <w:rFonts w:ascii="Times New Roman" w:hAnsi="Times New Roman"/>
                <w:sz w:val="22"/>
                <w:szCs w:val="22"/>
              </w:rPr>
            </w:pPr>
          </w:p>
        </w:tc>
        <w:tc>
          <w:tcPr>
            <w:tcW w:w="642" w:type="pct"/>
            <w:tcBorders>
              <w:top w:val="single" w:color="auto" w:sz="4" w:space="0"/>
              <w:left w:val="nil"/>
              <w:bottom w:val="single" w:color="auto" w:sz="4" w:space="0"/>
            </w:tcBorders>
            <w:shd w:val="clear" w:color="auto" w:fill="auto"/>
            <w:vAlign w:val="bottom"/>
          </w:tcPr>
          <w:p w:rsidRPr="00F321C4" w:rsidR="00602A76" w:rsidP="009431AD" w:rsidRDefault="00602A76" w14:paraId="41DFF180" w14:textId="77777777">
            <w:pPr>
              <w:pStyle w:val="TableText"/>
              <w:spacing w:after="60"/>
              <w:jc w:val="center"/>
              <w:rPr>
                <w:rFonts w:ascii="Times New Roman" w:hAnsi="Times New Roman"/>
                <w:sz w:val="22"/>
                <w:szCs w:val="22"/>
              </w:rPr>
            </w:pPr>
            <w:r w:rsidRPr="00F321C4">
              <w:rPr>
                <w:rFonts w:ascii="Times New Roman" w:hAnsi="Times New Roman"/>
                <w:sz w:val="22"/>
                <w:szCs w:val="22"/>
              </w:rPr>
              <w:t>10%</w:t>
            </w:r>
          </w:p>
        </w:tc>
        <w:tc>
          <w:tcPr>
            <w:tcW w:w="757" w:type="pct"/>
            <w:tcBorders>
              <w:top w:val="single" w:color="auto" w:sz="4" w:space="0"/>
              <w:bottom w:val="single" w:color="auto" w:sz="4" w:space="0"/>
            </w:tcBorders>
            <w:shd w:val="clear" w:color="auto" w:fill="auto"/>
            <w:vAlign w:val="bottom"/>
          </w:tcPr>
          <w:p w:rsidRPr="00F321C4" w:rsidR="00602A76" w:rsidP="009431AD" w:rsidRDefault="00602A76" w14:paraId="474096D6" w14:textId="77777777">
            <w:pPr>
              <w:pStyle w:val="TableText"/>
              <w:spacing w:after="60"/>
              <w:jc w:val="center"/>
              <w:rPr>
                <w:rFonts w:ascii="Times New Roman" w:hAnsi="Times New Roman"/>
                <w:sz w:val="22"/>
                <w:szCs w:val="22"/>
              </w:rPr>
            </w:pPr>
            <w:r w:rsidRPr="00F321C4">
              <w:rPr>
                <w:rFonts w:ascii="Times New Roman" w:hAnsi="Times New Roman"/>
                <w:sz w:val="22"/>
                <w:szCs w:val="22"/>
              </w:rPr>
              <w:t>30%</w:t>
            </w:r>
          </w:p>
        </w:tc>
        <w:tc>
          <w:tcPr>
            <w:tcW w:w="686" w:type="pct"/>
            <w:tcBorders>
              <w:top w:val="single" w:color="auto" w:sz="4" w:space="0"/>
              <w:bottom w:val="single" w:color="auto" w:sz="4" w:space="0"/>
            </w:tcBorders>
            <w:shd w:val="clear" w:color="auto" w:fill="auto"/>
            <w:vAlign w:val="bottom"/>
          </w:tcPr>
          <w:p w:rsidRPr="00F321C4" w:rsidR="00602A76" w:rsidP="009431AD" w:rsidRDefault="00602A76" w14:paraId="13E779B2" w14:textId="77777777">
            <w:pPr>
              <w:pStyle w:val="TableText"/>
              <w:spacing w:after="60"/>
              <w:jc w:val="center"/>
              <w:rPr>
                <w:rFonts w:ascii="Times New Roman" w:hAnsi="Times New Roman"/>
                <w:sz w:val="22"/>
                <w:szCs w:val="22"/>
              </w:rPr>
            </w:pPr>
            <w:r w:rsidRPr="00F321C4">
              <w:rPr>
                <w:rFonts w:ascii="Times New Roman" w:hAnsi="Times New Roman"/>
                <w:sz w:val="22"/>
                <w:szCs w:val="22"/>
              </w:rPr>
              <w:t>50%</w:t>
            </w:r>
          </w:p>
        </w:tc>
      </w:tr>
      <w:tr w:rsidRPr="00F321C4" w:rsidR="00602A76" w:rsidTr="00673298" w14:paraId="43E1F685" w14:textId="77777777">
        <w:tc>
          <w:tcPr>
            <w:tcW w:w="952" w:type="pct"/>
            <w:tcBorders>
              <w:top w:val="single" w:color="auto" w:sz="4" w:space="0"/>
            </w:tcBorders>
            <w:shd w:val="clear" w:color="auto" w:fill="auto"/>
          </w:tcPr>
          <w:p w:rsidRPr="00F321C4" w:rsidR="00602A76" w:rsidP="00E66249" w:rsidRDefault="00602A76" w14:paraId="1BC7625B" w14:textId="77777777">
            <w:pPr>
              <w:pStyle w:val="TableText"/>
              <w:spacing w:after="20"/>
              <w:rPr>
                <w:rFonts w:ascii="Times New Roman" w:hAnsi="Times New Roman"/>
                <w:sz w:val="22"/>
                <w:szCs w:val="22"/>
              </w:rPr>
            </w:pPr>
            <w:r>
              <w:rPr>
                <w:rFonts w:ascii="Times New Roman" w:hAnsi="Times New Roman"/>
                <w:sz w:val="22"/>
                <w:szCs w:val="22"/>
              </w:rPr>
              <w:t>A</w:t>
            </w:r>
            <w:r w:rsidRPr="00F321C4">
              <w:rPr>
                <w:rFonts w:ascii="Times New Roman" w:hAnsi="Times New Roman"/>
                <w:sz w:val="22"/>
                <w:szCs w:val="22"/>
              </w:rPr>
              <w:t>ll</w:t>
            </w:r>
          </w:p>
        </w:tc>
        <w:tc>
          <w:tcPr>
            <w:tcW w:w="623" w:type="pct"/>
            <w:tcBorders>
              <w:top w:val="single" w:color="auto" w:sz="4" w:space="0"/>
            </w:tcBorders>
            <w:shd w:val="clear" w:color="auto" w:fill="auto"/>
            <w:vAlign w:val="bottom"/>
          </w:tcPr>
          <w:p w:rsidRPr="00F321C4" w:rsidR="00602A76" w:rsidP="00E66249" w:rsidRDefault="00602A76" w14:paraId="4B150F1B"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3.4%</w:t>
            </w:r>
          </w:p>
        </w:tc>
        <w:tc>
          <w:tcPr>
            <w:tcW w:w="595" w:type="pct"/>
            <w:tcBorders>
              <w:top w:val="nil"/>
            </w:tcBorders>
            <w:shd w:val="clear" w:color="auto" w:fill="auto"/>
            <w:vAlign w:val="bottom"/>
          </w:tcPr>
          <w:p w:rsidRPr="00F321C4" w:rsidR="00602A76" w:rsidP="00E66249" w:rsidRDefault="00602A76" w14:paraId="01F154AE"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5.3%</w:t>
            </w:r>
          </w:p>
        </w:tc>
        <w:tc>
          <w:tcPr>
            <w:tcW w:w="622" w:type="pct"/>
            <w:tcBorders>
              <w:top w:val="nil"/>
              <w:right w:val="nil"/>
            </w:tcBorders>
            <w:shd w:val="clear" w:color="auto" w:fill="auto"/>
            <w:vAlign w:val="bottom"/>
          </w:tcPr>
          <w:p w:rsidRPr="00F321C4" w:rsidR="00602A76" w:rsidP="00E66249" w:rsidRDefault="00602A76" w14:paraId="224A50D5"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5.7%</w:t>
            </w:r>
          </w:p>
        </w:tc>
        <w:tc>
          <w:tcPr>
            <w:tcW w:w="123" w:type="pct"/>
            <w:tcBorders>
              <w:top w:val="nil"/>
              <w:left w:val="nil"/>
              <w:right w:val="nil"/>
            </w:tcBorders>
          </w:tcPr>
          <w:p w:rsidRPr="00F321C4" w:rsidR="00602A76" w:rsidP="00E66249" w:rsidRDefault="00602A76" w14:paraId="180BC902" w14:textId="77777777">
            <w:pPr>
              <w:pStyle w:val="TableText"/>
              <w:spacing w:after="20"/>
              <w:jc w:val="center"/>
              <w:rPr>
                <w:rFonts w:ascii="Times New Roman" w:hAnsi="Times New Roman"/>
                <w:sz w:val="22"/>
                <w:szCs w:val="22"/>
              </w:rPr>
            </w:pPr>
          </w:p>
        </w:tc>
        <w:tc>
          <w:tcPr>
            <w:tcW w:w="642" w:type="pct"/>
            <w:tcBorders>
              <w:top w:val="single" w:color="auto" w:sz="4" w:space="0"/>
              <w:left w:val="nil"/>
            </w:tcBorders>
            <w:shd w:val="clear" w:color="auto" w:fill="auto"/>
            <w:vAlign w:val="bottom"/>
          </w:tcPr>
          <w:p w:rsidRPr="00F321C4" w:rsidR="00602A76" w:rsidP="00E66249" w:rsidRDefault="00602A76" w14:paraId="172B231A"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3.8%</w:t>
            </w:r>
          </w:p>
        </w:tc>
        <w:tc>
          <w:tcPr>
            <w:tcW w:w="757" w:type="pct"/>
            <w:tcBorders>
              <w:top w:val="single" w:color="auto" w:sz="4" w:space="0"/>
            </w:tcBorders>
            <w:shd w:val="clear" w:color="auto" w:fill="auto"/>
            <w:vAlign w:val="bottom"/>
          </w:tcPr>
          <w:p w:rsidRPr="00F321C4" w:rsidR="00602A76" w:rsidP="00E66249" w:rsidRDefault="00602A76" w14:paraId="6CEE59F6"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5.7%</w:t>
            </w:r>
          </w:p>
        </w:tc>
        <w:tc>
          <w:tcPr>
            <w:tcW w:w="686" w:type="pct"/>
            <w:tcBorders>
              <w:top w:val="single" w:color="auto" w:sz="4" w:space="0"/>
            </w:tcBorders>
            <w:shd w:val="clear" w:color="auto" w:fill="auto"/>
            <w:vAlign w:val="bottom"/>
          </w:tcPr>
          <w:p w:rsidRPr="00F321C4" w:rsidR="00602A76" w:rsidP="00E66249" w:rsidRDefault="00602A76" w14:paraId="0EFE1114"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6.3%</w:t>
            </w:r>
          </w:p>
        </w:tc>
      </w:tr>
      <w:tr w:rsidRPr="00F321C4" w:rsidR="00602A76" w:rsidTr="00673298" w14:paraId="4586D561" w14:textId="77777777">
        <w:tc>
          <w:tcPr>
            <w:tcW w:w="952" w:type="pct"/>
            <w:shd w:val="clear" w:color="auto" w:fill="auto"/>
          </w:tcPr>
          <w:p w:rsidRPr="00F321C4" w:rsidR="00602A76" w:rsidP="00E66249" w:rsidRDefault="00602A76" w14:paraId="4EBB2661" w14:textId="77777777">
            <w:pPr>
              <w:pStyle w:val="TableText"/>
              <w:spacing w:after="20"/>
              <w:rPr>
                <w:rFonts w:ascii="Times New Roman" w:hAnsi="Times New Roman"/>
                <w:sz w:val="22"/>
                <w:szCs w:val="22"/>
              </w:rPr>
            </w:pPr>
            <w:r w:rsidRPr="00F321C4">
              <w:rPr>
                <w:rFonts w:ascii="Times New Roman" w:hAnsi="Times New Roman"/>
                <w:sz w:val="22"/>
                <w:szCs w:val="22"/>
              </w:rPr>
              <w:t>SSI only</w:t>
            </w:r>
          </w:p>
        </w:tc>
        <w:tc>
          <w:tcPr>
            <w:tcW w:w="623" w:type="pct"/>
            <w:shd w:val="clear" w:color="auto" w:fill="auto"/>
            <w:vAlign w:val="bottom"/>
          </w:tcPr>
          <w:p w:rsidRPr="00F321C4" w:rsidR="00602A76" w:rsidP="00E66249" w:rsidRDefault="00602A76" w14:paraId="7CBC3DD0"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6.4%</w:t>
            </w:r>
          </w:p>
        </w:tc>
        <w:tc>
          <w:tcPr>
            <w:tcW w:w="595" w:type="pct"/>
            <w:shd w:val="clear" w:color="auto" w:fill="auto"/>
            <w:vAlign w:val="bottom"/>
          </w:tcPr>
          <w:p w:rsidRPr="00F321C4" w:rsidR="00602A76" w:rsidP="00E66249" w:rsidRDefault="00602A76" w14:paraId="5C9C47F3"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9.8%</w:t>
            </w:r>
          </w:p>
        </w:tc>
        <w:tc>
          <w:tcPr>
            <w:tcW w:w="622" w:type="pct"/>
            <w:tcBorders>
              <w:right w:val="nil"/>
            </w:tcBorders>
            <w:shd w:val="clear" w:color="auto" w:fill="auto"/>
            <w:vAlign w:val="bottom"/>
          </w:tcPr>
          <w:p w:rsidRPr="00F321C4" w:rsidR="00602A76" w:rsidP="00E66249" w:rsidRDefault="00602A76" w14:paraId="72812AFD"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10.7%</w:t>
            </w:r>
          </w:p>
        </w:tc>
        <w:tc>
          <w:tcPr>
            <w:tcW w:w="123" w:type="pct"/>
            <w:tcBorders>
              <w:left w:val="nil"/>
              <w:right w:val="nil"/>
            </w:tcBorders>
          </w:tcPr>
          <w:p w:rsidRPr="00F321C4" w:rsidR="00602A76" w:rsidP="00E66249" w:rsidRDefault="00602A76" w14:paraId="605B1376" w14:textId="77777777">
            <w:pPr>
              <w:pStyle w:val="TableText"/>
              <w:spacing w:after="20"/>
              <w:jc w:val="center"/>
              <w:rPr>
                <w:rFonts w:ascii="Times New Roman" w:hAnsi="Times New Roman"/>
                <w:sz w:val="22"/>
                <w:szCs w:val="22"/>
              </w:rPr>
            </w:pPr>
          </w:p>
        </w:tc>
        <w:tc>
          <w:tcPr>
            <w:tcW w:w="642" w:type="pct"/>
            <w:tcBorders>
              <w:left w:val="nil"/>
            </w:tcBorders>
            <w:shd w:val="clear" w:color="auto" w:fill="auto"/>
            <w:vAlign w:val="bottom"/>
          </w:tcPr>
          <w:p w:rsidRPr="00F321C4" w:rsidR="00602A76" w:rsidP="00E66249" w:rsidRDefault="00602A76" w14:paraId="210670E8"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7.0%</w:t>
            </w:r>
          </w:p>
        </w:tc>
        <w:tc>
          <w:tcPr>
            <w:tcW w:w="757" w:type="pct"/>
            <w:shd w:val="clear" w:color="auto" w:fill="auto"/>
            <w:vAlign w:val="bottom"/>
          </w:tcPr>
          <w:p w:rsidRPr="00F321C4" w:rsidR="00602A76" w:rsidP="00E66249" w:rsidRDefault="00602A76" w14:paraId="0F26425C"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10.7%</w:t>
            </w:r>
          </w:p>
        </w:tc>
        <w:tc>
          <w:tcPr>
            <w:tcW w:w="686" w:type="pct"/>
            <w:shd w:val="clear" w:color="auto" w:fill="auto"/>
            <w:vAlign w:val="bottom"/>
          </w:tcPr>
          <w:p w:rsidRPr="00F321C4" w:rsidR="00602A76" w:rsidP="00E66249" w:rsidRDefault="00602A76" w14:paraId="49CC813D"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11.7%</w:t>
            </w:r>
          </w:p>
        </w:tc>
      </w:tr>
      <w:tr w:rsidRPr="00F321C4" w:rsidR="00602A76" w:rsidTr="00673298" w14:paraId="5A9A5C05" w14:textId="77777777">
        <w:tc>
          <w:tcPr>
            <w:tcW w:w="952" w:type="pct"/>
            <w:tcBorders>
              <w:bottom w:val="nil"/>
            </w:tcBorders>
            <w:shd w:val="clear" w:color="auto" w:fill="auto"/>
          </w:tcPr>
          <w:p w:rsidRPr="00F321C4" w:rsidR="00602A76" w:rsidP="00E66249" w:rsidRDefault="00602A76" w14:paraId="60B4CA5F" w14:textId="77777777">
            <w:pPr>
              <w:pStyle w:val="TableText"/>
              <w:spacing w:after="20"/>
              <w:rPr>
                <w:rFonts w:ascii="Times New Roman" w:hAnsi="Times New Roman"/>
                <w:sz w:val="22"/>
                <w:szCs w:val="22"/>
              </w:rPr>
            </w:pPr>
            <w:r w:rsidRPr="00F321C4">
              <w:rPr>
                <w:rFonts w:ascii="Times New Roman" w:hAnsi="Times New Roman"/>
                <w:sz w:val="22"/>
                <w:szCs w:val="22"/>
              </w:rPr>
              <w:lastRenderedPageBreak/>
              <w:t>SSDI only</w:t>
            </w:r>
          </w:p>
        </w:tc>
        <w:tc>
          <w:tcPr>
            <w:tcW w:w="623" w:type="pct"/>
            <w:tcBorders>
              <w:bottom w:val="nil"/>
            </w:tcBorders>
            <w:shd w:val="clear" w:color="auto" w:fill="auto"/>
            <w:vAlign w:val="bottom"/>
          </w:tcPr>
          <w:p w:rsidRPr="00F321C4" w:rsidR="00602A76" w:rsidP="00E66249" w:rsidRDefault="00602A76" w14:paraId="12C47A14"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4.8%</w:t>
            </w:r>
          </w:p>
        </w:tc>
        <w:tc>
          <w:tcPr>
            <w:tcW w:w="595" w:type="pct"/>
            <w:tcBorders>
              <w:bottom w:val="nil"/>
            </w:tcBorders>
            <w:shd w:val="clear" w:color="auto" w:fill="auto"/>
            <w:vAlign w:val="bottom"/>
          </w:tcPr>
          <w:p w:rsidRPr="00F321C4" w:rsidR="00602A76" w:rsidP="00E66249" w:rsidRDefault="00602A76" w14:paraId="168C0365"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7.4%</w:t>
            </w:r>
          </w:p>
        </w:tc>
        <w:tc>
          <w:tcPr>
            <w:tcW w:w="622" w:type="pct"/>
            <w:tcBorders>
              <w:bottom w:val="nil"/>
              <w:right w:val="nil"/>
            </w:tcBorders>
            <w:shd w:val="clear" w:color="auto" w:fill="auto"/>
            <w:vAlign w:val="bottom"/>
          </w:tcPr>
          <w:p w:rsidRPr="00F321C4" w:rsidR="00602A76" w:rsidP="00E66249" w:rsidRDefault="00602A76" w14:paraId="146B0107"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8.1%</w:t>
            </w:r>
          </w:p>
        </w:tc>
        <w:tc>
          <w:tcPr>
            <w:tcW w:w="123" w:type="pct"/>
            <w:tcBorders>
              <w:left w:val="nil"/>
              <w:bottom w:val="nil"/>
              <w:right w:val="nil"/>
            </w:tcBorders>
          </w:tcPr>
          <w:p w:rsidRPr="00F321C4" w:rsidR="00602A76" w:rsidP="00E66249" w:rsidRDefault="00602A76" w14:paraId="68131A05" w14:textId="77777777">
            <w:pPr>
              <w:pStyle w:val="TableText"/>
              <w:spacing w:after="20"/>
              <w:jc w:val="center"/>
              <w:rPr>
                <w:rFonts w:ascii="Times New Roman" w:hAnsi="Times New Roman"/>
                <w:sz w:val="22"/>
                <w:szCs w:val="22"/>
              </w:rPr>
            </w:pPr>
          </w:p>
        </w:tc>
        <w:tc>
          <w:tcPr>
            <w:tcW w:w="642" w:type="pct"/>
            <w:tcBorders>
              <w:left w:val="nil"/>
              <w:bottom w:val="nil"/>
            </w:tcBorders>
            <w:shd w:val="clear" w:color="auto" w:fill="auto"/>
            <w:vAlign w:val="bottom"/>
          </w:tcPr>
          <w:p w:rsidRPr="00F321C4" w:rsidR="00602A76" w:rsidP="00E66249" w:rsidRDefault="00602A76" w14:paraId="3FDA1FA9"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5.3%</w:t>
            </w:r>
          </w:p>
        </w:tc>
        <w:tc>
          <w:tcPr>
            <w:tcW w:w="757" w:type="pct"/>
            <w:tcBorders>
              <w:bottom w:val="nil"/>
            </w:tcBorders>
            <w:shd w:val="clear" w:color="auto" w:fill="auto"/>
            <w:vAlign w:val="bottom"/>
          </w:tcPr>
          <w:p w:rsidRPr="00F321C4" w:rsidR="00602A76" w:rsidP="00E66249" w:rsidRDefault="00602A76" w14:paraId="2DFD7B2D"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8.1%</w:t>
            </w:r>
          </w:p>
        </w:tc>
        <w:tc>
          <w:tcPr>
            <w:tcW w:w="686" w:type="pct"/>
            <w:tcBorders>
              <w:bottom w:val="nil"/>
            </w:tcBorders>
            <w:shd w:val="clear" w:color="auto" w:fill="auto"/>
            <w:vAlign w:val="bottom"/>
          </w:tcPr>
          <w:p w:rsidRPr="00F321C4" w:rsidR="00602A76" w:rsidP="00E66249" w:rsidRDefault="00602A76" w14:paraId="706B2C96"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8.9%</w:t>
            </w:r>
          </w:p>
        </w:tc>
      </w:tr>
      <w:tr w:rsidRPr="00F321C4" w:rsidR="00602A76" w:rsidTr="00673298" w14:paraId="1408069A" w14:textId="77777777">
        <w:tc>
          <w:tcPr>
            <w:tcW w:w="952" w:type="pct"/>
            <w:tcBorders>
              <w:top w:val="nil"/>
              <w:bottom w:val="single" w:color="auto" w:sz="4" w:space="0"/>
            </w:tcBorders>
            <w:shd w:val="clear" w:color="auto" w:fill="auto"/>
          </w:tcPr>
          <w:p w:rsidRPr="00F321C4" w:rsidR="00602A76" w:rsidP="00E66249" w:rsidRDefault="00602A76" w14:paraId="6EC90A73" w14:textId="77777777">
            <w:pPr>
              <w:pStyle w:val="TableText"/>
              <w:spacing w:after="20"/>
              <w:rPr>
                <w:rFonts w:ascii="Times New Roman" w:hAnsi="Times New Roman"/>
                <w:sz w:val="22"/>
                <w:szCs w:val="22"/>
              </w:rPr>
            </w:pPr>
            <w:r w:rsidRPr="00F321C4">
              <w:rPr>
                <w:rFonts w:ascii="Times New Roman" w:hAnsi="Times New Roman"/>
                <w:sz w:val="22"/>
                <w:szCs w:val="22"/>
              </w:rPr>
              <w:t>Concurrent</w:t>
            </w:r>
          </w:p>
        </w:tc>
        <w:tc>
          <w:tcPr>
            <w:tcW w:w="623" w:type="pct"/>
            <w:tcBorders>
              <w:top w:val="nil"/>
              <w:bottom w:val="single" w:color="auto" w:sz="4" w:space="0"/>
            </w:tcBorders>
            <w:shd w:val="clear" w:color="auto" w:fill="auto"/>
            <w:vAlign w:val="bottom"/>
          </w:tcPr>
          <w:p w:rsidRPr="00F321C4" w:rsidR="00602A76" w:rsidP="00E66249" w:rsidRDefault="00602A76" w14:paraId="31A2C76D"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7.5%</w:t>
            </w:r>
          </w:p>
        </w:tc>
        <w:tc>
          <w:tcPr>
            <w:tcW w:w="595" w:type="pct"/>
            <w:tcBorders>
              <w:top w:val="nil"/>
              <w:bottom w:val="single" w:color="auto" w:sz="4" w:space="0"/>
            </w:tcBorders>
            <w:shd w:val="clear" w:color="auto" w:fill="auto"/>
            <w:vAlign w:val="bottom"/>
          </w:tcPr>
          <w:p w:rsidRPr="00F321C4" w:rsidR="00602A76" w:rsidP="00E66249" w:rsidRDefault="00602A76" w14:paraId="4CC97EEF"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11.5%</w:t>
            </w:r>
          </w:p>
        </w:tc>
        <w:tc>
          <w:tcPr>
            <w:tcW w:w="622" w:type="pct"/>
            <w:tcBorders>
              <w:top w:val="nil"/>
              <w:bottom w:val="single" w:color="auto" w:sz="4" w:space="0"/>
              <w:right w:val="nil"/>
            </w:tcBorders>
            <w:shd w:val="clear" w:color="auto" w:fill="auto"/>
            <w:vAlign w:val="bottom"/>
          </w:tcPr>
          <w:p w:rsidRPr="00F321C4" w:rsidR="00602A76" w:rsidP="00E66249" w:rsidRDefault="00602A76" w14:paraId="69176499"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12.5%</w:t>
            </w:r>
          </w:p>
        </w:tc>
        <w:tc>
          <w:tcPr>
            <w:tcW w:w="123" w:type="pct"/>
            <w:tcBorders>
              <w:top w:val="nil"/>
              <w:left w:val="nil"/>
              <w:bottom w:val="single" w:color="auto" w:sz="4" w:space="0"/>
              <w:right w:val="nil"/>
            </w:tcBorders>
          </w:tcPr>
          <w:p w:rsidRPr="00F321C4" w:rsidR="00602A76" w:rsidP="00E66249" w:rsidRDefault="00602A76" w14:paraId="417B3040" w14:textId="77777777">
            <w:pPr>
              <w:pStyle w:val="TableText"/>
              <w:spacing w:after="20"/>
              <w:jc w:val="center"/>
              <w:rPr>
                <w:rFonts w:ascii="Times New Roman" w:hAnsi="Times New Roman"/>
                <w:sz w:val="22"/>
                <w:szCs w:val="22"/>
              </w:rPr>
            </w:pPr>
          </w:p>
        </w:tc>
        <w:tc>
          <w:tcPr>
            <w:tcW w:w="642" w:type="pct"/>
            <w:tcBorders>
              <w:top w:val="nil"/>
              <w:left w:val="nil"/>
              <w:bottom w:val="single" w:color="auto" w:sz="4" w:space="0"/>
            </w:tcBorders>
            <w:shd w:val="clear" w:color="auto" w:fill="auto"/>
            <w:vAlign w:val="bottom"/>
          </w:tcPr>
          <w:p w:rsidRPr="00F321C4" w:rsidR="00602A76" w:rsidP="00E66249" w:rsidRDefault="00602A76" w14:paraId="2DF6EBF4"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8.2%</w:t>
            </w:r>
          </w:p>
        </w:tc>
        <w:tc>
          <w:tcPr>
            <w:tcW w:w="757" w:type="pct"/>
            <w:tcBorders>
              <w:top w:val="nil"/>
              <w:bottom w:val="single" w:color="auto" w:sz="4" w:space="0"/>
            </w:tcBorders>
            <w:shd w:val="clear" w:color="auto" w:fill="auto"/>
            <w:vAlign w:val="bottom"/>
          </w:tcPr>
          <w:p w:rsidRPr="00F321C4" w:rsidR="00602A76" w:rsidP="00E66249" w:rsidRDefault="00602A76" w14:paraId="74C6CE46"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12.5%</w:t>
            </w:r>
          </w:p>
        </w:tc>
        <w:tc>
          <w:tcPr>
            <w:tcW w:w="686" w:type="pct"/>
            <w:tcBorders>
              <w:top w:val="nil"/>
              <w:bottom w:val="single" w:color="auto" w:sz="4" w:space="0"/>
            </w:tcBorders>
            <w:shd w:val="clear" w:color="auto" w:fill="auto"/>
            <w:vAlign w:val="bottom"/>
          </w:tcPr>
          <w:p w:rsidRPr="00F321C4" w:rsidR="00602A76" w:rsidP="00E66249" w:rsidRDefault="00602A76" w14:paraId="09E43D15" w14:textId="77777777">
            <w:pPr>
              <w:pStyle w:val="TableText"/>
              <w:spacing w:after="20"/>
              <w:jc w:val="center"/>
              <w:rPr>
                <w:rFonts w:ascii="Times New Roman" w:hAnsi="Times New Roman" w:eastAsia="Arial Unicode MS"/>
                <w:sz w:val="22"/>
                <w:szCs w:val="22"/>
              </w:rPr>
            </w:pPr>
            <w:r w:rsidRPr="00F321C4">
              <w:rPr>
                <w:rFonts w:ascii="Times New Roman" w:hAnsi="Times New Roman"/>
                <w:sz w:val="22"/>
                <w:szCs w:val="22"/>
              </w:rPr>
              <w:t>13.7%</w:t>
            </w:r>
          </w:p>
        </w:tc>
      </w:tr>
    </w:tbl>
    <w:p w:rsidRPr="00E66249" w:rsidR="00602A76" w:rsidP="00602A76" w:rsidRDefault="00602A76" w14:paraId="12F20FB9" w14:textId="1974562E">
      <w:pPr>
        <w:spacing w:after="240" w:line="240" w:lineRule="auto"/>
        <w:rPr>
          <w:sz w:val="20"/>
          <w:szCs w:val="20"/>
        </w:rPr>
      </w:pPr>
      <w:r w:rsidRPr="00E66249">
        <w:rPr>
          <w:sz w:val="20"/>
          <w:szCs w:val="20"/>
        </w:rPr>
        <w:t xml:space="preserve">Note: </w:t>
      </w:r>
      <w:r w:rsidR="00D61351">
        <w:rPr>
          <w:sz w:val="20"/>
          <w:szCs w:val="20"/>
        </w:rPr>
        <w:t xml:space="preserve"> </w:t>
      </w:r>
      <w:r w:rsidRPr="00E66249">
        <w:rPr>
          <w:sz w:val="20"/>
          <w:szCs w:val="20"/>
        </w:rPr>
        <w:t xml:space="preserve">This table assumes a comparison of binary outcomes, with a 5 percent significance level for a two-sided test and 80 percent power. </w:t>
      </w:r>
      <w:r w:rsidR="00D61351">
        <w:rPr>
          <w:sz w:val="20"/>
          <w:szCs w:val="20"/>
        </w:rPr>
        <w:t xml:space="preserve"> </w:t>
      </w:r>
      <w:r w:rsidRPr="00E66249">
        <w:rPr>
          <w:sz w:val="20"/>
          <w:szCs w:val="20"/>
        </w:rPr>
        <w:t>Design effects are estimates obtained from the Round 7 NBS.</w:t>
      </w:r>
    </w:p>
    <w:p w:rsidRPr="00E66249" w:rsidR="00602A76" w:rsidP="006972B7" w:rsidRDefault="00602A76" w14:paraId="6B51F483" w14:textId="73943993">
      <w:pPr>
        <w:spacing w:line="240" w:lineRule="auto"/>
        <w:ind w:left="270"/>
        <w:rPr>
          <w:sz w:val="24"/>
          <w:szCs w:val="24"/>
        </w:rPr>
      </w:pPr>
      <w:r w:rsidRPr="00E66249">
        <w:rPr>
          <w:sz w:val="24"/>
          <w:szCs w:val="24"/>
        </w:rPr>
        <w:t xml:space="preserve">The </w:t>
      </w:r>
      <w:r w:rsidR="00D61351">
        <w:rPr>
          <w:sz w:val="24"/>
          <w:szCs w:val="24"/>
        </w:rPr>
        <w:t xml:space="preserve">following formula approximates the </w:t>
      </w:r>
      <w:r w:rsidRPr="00E66249">
        <w:rPr>
          <w:sz w:val="24"/>
          <w:szCs w:val="24"/>
        </w:rPr>
        <w:t>minimum detectable difference between two populations of an estimated percentage,</w:t>
      </w:r>
      <w:r w:rsidRPr="00E66249">
        <w:rPr>
          <w:sz w:val="24"/>
          <w:szCs w:val="24"/>
        </w:rPr>
        <w:object w:dxaOrig="220" w:dyaOrig="320" w14:anchorId="6911B751">
          <v:shape id="_x0000_i1040" style="width:6.6pt;height:14.4pt" fillcolor="window" o:ole="" type="#_x0000_t75">
            <v:imagedata o:title="" r:id="rId26"/>
          </v:shape>
          <o:OLEObject Type="Embed" ProgID="Equation.3" ShapeID="_x0000_i1040" DrawAspect="Content" ObjectID="_1722237895" r:id="rId39"/>
        </w:object>
      </w:r>
      <w:r w:rsidRPr="00E66249">
        <w:rPr>
          <w:sz w:val="24"/>
          <w:szCs w:val="24"/>
        </w:rPr>
        <w:t>:</w:t>
      </w:r>
    </w:p>
    <w:p w:rsidRPr="003431B7" w:rsidR="00602A76" w:rsidP="00602A76" w:rsidRDefault="00602A76" w14:paraId="421E2A4B" w14:textId="77777777">
      <w:pPr>
        <w:spacing w:line="240" w:lineRule="auto"/>
        <w:jc w:val="center"/>
        <w:rPr>
          <w:rFonts w:ascii="Garamond" w:hAnsi="Garamond"/>
          <w:i/>
          <w:iCs/>
          <w:sz w:val="20"/>
        </w:rPr>
      </w:pPr>
      <w:r w:rsidRPr="003431B7">
        <w:rPr>
          <w:rFonts w:ascii="Garamond" w:hAnsi="Garamond"/>
          <w:i/>
          <w:iCs/>
          <w:sz w:val="20"/>
        </w:rPr>
        <w:t>Var(</w:t>
      </w:r>
      <w:r w:rsidRPr="003431B7">
        <w:rPr>
          <w:rFonts w:ascii="Garamond" w:hAnsi="Garamond"/>
          <w:i/>
          <w:iCs/>
          <w:sz w:val="20"/>
        </w:rPr>
        <w:object w:dxaOrig="220" w:dyaOrig="320" w14:anchorId="67B28DD8">
          <v:shape id="_x0000_i1041" style="width:6.6pt;height:14.4pt" fillcolor="window" o:ole="" type="#_x0000_t75">
            <v:imagedata o:title="" r:id="rId26"/>
          </v:shape>
          <o:OLEObject Type="Embed" ProgID="Equation.3" ShapeID="_x0000_i1041" DrawAspect="Content" ObjectID="_1722237896" r:id="rId40"/>
        </w:object>
      </w:r>
      <w:r w:rsidRPr="003431B7">
        <w:rPr>
          <w:rFonts w:ascii="Garamond" w:hAnsi="Garamond"/>
          <w:i/>
          <w:iCs/>
          <w:sz w:val="20"/>
        </w:rPr>
        <w:t xml:space="preserve">) = </w:t>
      </w:r>
      <w:r w:rsidRPr="003431B7">
        <w:rPr>
          <w:rFonts w:ascii="Garamond" w:hAnsi="Garamond"/>
          <w:i/>
          <w:iCs/>
          <w:sz w:val="20"/>
        </w:rPr>
        <w:object w:dxaOrig="2600" w:dyaOrig="380" w14:anchorId="47F87521">
          <v:shape id="_x0000_i1042" style="width:128.4pt;height:14.4pt" fillcolor="window" o:ole="" type="#_x0000_t75">
            <v:imagedata o:title="" r:id="rId29"/>
          </v:shape>
          <o:OLEObject Type="Embed" ProgID="Equation.DSMT4" ShapeID="_x0000_i1042" DrawAspect="Content" ObjectID="_1722237897" r:id="rId41"/>
        </w:object>
      </w:r>
      <w:r w:rsidRPr="003431B7">
        <w:rPr>
          <w:rFonts w:ascii="Garamond" w:hAnsi="Garamond"/>
          <w:i/>
          <w:iCs/>
          <w:sz w:val="20"/>
        </w:rPr>
        <w:t>,</w:t>
      </w:r>
    </w:p>
    <w:p w:rsidRPr="00A060AB" w:rsidR="00602A76" w:rsidP="002321B5" w:rsidRDefault="00602A76" w14:paraId="1A495DE2" w14:textId="4E127086">
      <w:pPr>
        <w:pStyle w:val="NormalSS"/>
        <w:tabs>
          <w:tab w:val="clear" w:pos="432"/>
          <w:tab w:val="left" w:pos="0"/>
        </w:tabs>
        <w:ind w:left="270" w:firstLine="0"/>
        <w:rPr>
          <w:rFonts w:ascii="Times New Roman" w:hAnsi="Times New Roman"/>
        </w:rPr>
      </w:pPr>
      <w:r w:rsidRPr="00A060AB">
        <w:rPr>
          <w:rFonts w:ascii="Times New Roman" w:hAnsi="Times New Roman"/>
        </w:rPr>
        <w:t xml:space="preserve">where </w:t>
      </w:r>
      <w:r w:rsidRPr="00A060AB">
        <w:rPr>
          <w:rFonts w:ascii="Times New Roman" w:hAnsi="Times New Roman"/>
        </w:rPr>
        <w:object w:dxaOrig="420" w:dyaOrig="380" w14:anchorId="21B24EC7">
          <v:shape id="_x0000_i1043" style="width:21.6pt;height:14.4pt" o:ole="" type="#_x0000_t75">
            <v:imagedata o:title="" r:id="rId31"/>
          </v:shape>
          <o:OLEObject Type="Embed" ProgID="Equation.DSMT4" ShapeID="_x0000_i1043" DrawAspect="Content" ObjectID="_1722237898" r:id="rId42"/>
        </w:object>
      </w:r>
      <w:r w:rsidRPr="00A060AB">
        <w:rPr>
          <w:rFonts w:ascii="Times New Roman" w:hAnsi="Times New Roman"/>
        </w:rPr>
        <w:t xml:space="preserve"> and </w:t>
      </w:r>
      <w:r w:rsidRPr="00A060AB">
        <w:rPr>
          <w:rFonts w:ascii="Times New Roman" w:hAnsi="Times New Roman"/>
        </w:rPr>
        <w:object w:dxaOrig="440" w:dyaOrig="380" w14:anchorId="5084EF53">
          <v:shape id="_x0000_i1044" style="width:22.2pt;height:14.4pt" o:ole="" type="#_x0000_t75">
            <v:imagedata o:title="" r:id="rId33"/>
          </v:shape>
          <o:OLEObject Type="Embed" ProgID="Equation.DSMT4" ShapeID="_x0000_i1044" DrawAspect="Content" ObjectID="_1722237899" r:id="rId43"/>
        </w:object>
      </w:r>
      <w:r w:rsidRPr="00A060AB">
        <w:rPr>
          <w:rFonts w:ascii="Times New Roman" w:hAnsi="Times New Roman"/>
        </w:rPr>
        <w:t xml:space="preserve">are the effective sample sizes of the two populations being compared and </w:t>
      </w:r>
      <w:r w:rsidRPr="00A060AB">
        <w:rPr>
          <w:rFonts w:ascii="Times New Roman" w:hAnsi="Times New Roman"/>
        </w:rPr>
        <w:object w:dxaOrig="1420" w:dyaOrig="380" w14:anchorId="16DE247D">
          <v:shape id="_x0000_i1045" style="width:1in;height:14.4pt" o:ole="" type="#_x0000_t75">
            <v:imagedata o:title="" r:id="rId35"/>
          </v:shape>
          <o:OLEObject Type="Embed" ProgID="Equation.DSMT4" ShapeID="_x0000_i1045" DrawAspect="Content" ObjectID="_1722237900" r:id="rId44"/>
        </w:object>
      </w:r>
      <w:r w:rsidRPr="00A060AB">
        <w:rPr>
          <w:rFonts w:ascii="Times New Roman" w:hAnsi="Times New Roman"/>
        </w:rPr>
        <w:t xml:space="preserve"> </w:t>
      </w:r>
      <w:r w:rsidRPr="00A060AB">
        <w:rPr>
          <w:rFonts w:ascii="Times New Roman" w:hAnsi="Times New Roman"/>
        </w:rPr>
        <w:object w:dxaOrig="1500" w:dyaOrig="380" w14:anchorId="632A8103">
          <v:shape id="_x0000_i1046" style="width:1in;height:14.4pt" o:ole="" type="#_x0000_t75">
            <v:imagedata o:title="" r:id="rId37"/>
          </v:shape>
          <o:OLEObject Type="Embed" ProgID="Equation.DSMT4" ShapeID="_x0000_i1046" DrawAspect="Content" ObjectID="_1722237901" r:id="rId45"/>
        </w:object>
      </w:r>
      <w:r w:rsidRPr="00A060AB">
        <w:rPr>
          <w:rFonts w:ascii="Times New Roman" w:hAnsi="Times New Roman"/>
        </w:rPr>
        <w:t>.</w:t>
      </w:r>
      <w:r>
        <w:rPr>
          <w:rFonts w:ascii="Times New Roman" w:hAnsi="Times New Roman"/>
        </w:rPr>
        <w:t xml:space="preserve"> </w:t>
      </w:r>
      <w:r w:rsidR="00D61351">
        <w:rPr>
          <w:rFonts w:ascii="Times New Roman" w:hAnsi="Times New Roman"/>
        </w:rPr>
        <w:t xml:space="preserve"> </w:t>
      </w:r>
      <w:r w:rsidRPr="00A060AB">
        <w:rPr>
          <w:rFonts w:ascii="Times New Roman" w:hAnsi="Times New Roman"/>
        </w:rPr>
        <w:t>The design effect</w:t>
      </w:r>
      <w:r>
        <w:rPr>
          <w:rFonts w:ascii="Times New Roman" w:hAnsi="Times New Roman"/>
        </w:rPr>
        <w:t>s</w:t>
      </w:r>
      <w:r w:rsidRPr="00A060AB">
        <w:rPr>
          <w:rFonts w:ascii="Times New Roman" w:hAnsi="Times New Roman"/>
        </w:rPr>
        <w:t xml:space="preserve"> </w:t>
      </w:r>
      <w:r>
        <w:rPr>
          <w:rFonts w:ascii="Times New Roman" w:hAnsi="Times New Roman"/>
        </w:rPr>
        <w:t>are</w:t>
      </w:r>
      <w:r w:rsidRPr="00A060AB">
        <w:rPr>
          <w:rFonts w:ascii="Times New Roman" w:hAnsi="Times New Roman"/>
        </w:rPr>
        <w:t xml:space="preserve"> </w:t>
      </w:r>
      <w:r>
        <w:rPr>
          <w:rFonts w:ascii="Times New Roman" w:hAnsi="Times New Roman"/>
        </w:rPr>
        <w:t>obtained using data from the Round 7 NBS, with both clustered and unclustered components in a dual sample design</w:t>
      </w:r>
      <w:r w:rsidRPr="00A060AB">
        <w:rPr>
          <w:rFonts w:ascii="Times New Roman" w:hAnsi="Times New Roman"/>
        </w:rPr>
        <w:t>.</w:t>
      </w:r>
    </w:p>
    <w:p w:rsidRPr="002318E1" w:rsidR="00602A76" w:rsidP="002318E1" w:rsidRDefault="00602A76" w14:paraId="17353627" w14:textId="5DCD9E85">
      <w:pPr>
        <w:pStyle w:val="H4"/>
        <w:ind w:left="270" w:firstLine="0"/>
        <w:rPr>
          <w:rFonts w:ascii="Times New Roman" w:hAnsi="Times New Roman"/>
          <w:i w:val="0"/>
          <w:iCs/>
        </w:rPr>
      </w:pPr>
      <w:bookmarkStart w:name="_Toc233197222" w:id="35"/>
      <w:r w:rsidRPr="002318E1">
        <w:rPr>
          <w:b/>
          <w:bCs/>
          <w:i w:val="0"/>
          <w:iCs/>
        </w:rPr>
        <w:t>Unusual Problems Requiring Specialized Sampling Procedures</w:t>
      </w:r>
      <w:bookmarkEnd w:id="35"/>
      <w:r w:rsidRPr="002318E1" w:rsidR="002318E1">
        <w:rPr>
          <w:i w:val="0"/>
          <w:iCs/>
        </w:rPr>
        <w:t>:</w:t>
      </w:r>
      <w:r w:rsidR="002318E1">
        <w:rPr>
          <w:i w:val="0"/>
          <w:iCs/>
        </w:rPr>
        <w:t xml:space="preserve"> </w:t>
      </w:r>
      <w:r w:rsidR="00D61351">
        <w:rPr>
          <w:i w:val="0"/>
          <w:iCs/>
        </w:rPr>
        <w:t xml:space="preserve"> </w:t>
      </w:r>
      <w:r w:rsidRPr="002318E1">
        <w:rPr>
          <w:rFonts w:ascii="Times New Roman" w:hAnsi="Times New Roman"/>
          <w:i w:val="0"/>
          <w:iCs/>
        </w:rPr>
        <w:t xml:space="preserve">For the SWS strata, it is possible that the number of beneficiaries with successful work within the PSU areas, and within the three beneficiary types, will be too small to meet sample size requirements. </w:t>
      </w:r>
      <w:r w:rsidRPr="002318E1" w:rsidR="00D849FD">
        <w:rPr>
          <w:rFonts w:ascii="Times New Roman" w:hAnsi="Times New Roman"/>
          <w:i w:val="0"/>
          <w:iCs/>
        </w:rPr>
        <w:t xml:space="preserve"> </w:t>
      </w:r>
      <w:r w:rsidRPr="002318E1">
        <w:rPr>
          <w:rFonts w:ascii="Times New Roman" w:hAnsi="Times New Roman"/>
          <w:i w:val="0"/>
          <w:iCs/>
        </w:rPr>
        <w:t xml:space="preserve">Even though we have data from Round 7 to help us evaluate the number of successful workers in PSUs, </w:t>
      </w:r>
      <w:r w:rsidR="00D61351">
        <w:rPr>
          <w:rFonts w:ascii="Times New Roman" w:hAnsi="Times New Roman"/>
          <w:i w:val="0"/>
          <w:iCs/>
        </w:rPr>
        <w:t>we do not know</w:t>
      </w:r>
      <w:r w:rsidRPr="002318E1">
        <w:rPr>
          <w:rFonts w:ascii="Times New Roman" w:hAnsi="Times New Roman"/>
          <w:i w:val="0"/>
          <w:iCs/>
        </w:rPr>
        <w:t xml:space="preserve"> whether the Round 7 experience is representative of what we will see in Round 8. </w:t>
      </w:r>
      <w:r w:rsidRPr="002318E1" w:rsidR="00D849FD">
        <w:rPr>
          <w:rFonts w:ascii="Times New Roman" w:hAnsi="Times New Roman"/>
          <w:i w:val="0"/>
          <w:iCs/>
        </w:rPr>
        <w:t xml:space="preserve"> W</w:t>
      </w:r>
      <w:r w:rsidRPr="002318E1">
        <w:rPr>
          <w:rFonts w:ascii="Times New Roman" w:hAnsi="Times New Roman"/>
          <w:i w:val="0"/>
          <w:iCs/>
        </w:rPr>
        <w:t xml:space="preserve">e plan to use a hybrid design, referred to as a dual sample design, which combines an unclustered stratified random sample with the clustered sample design. </w:t>
      </w:r>
      <w:r w:rsidRPr="002318E1" w:rsidR="00D849FD">
        <w:rPr>
          <w:rFonts w:ascii="Times New Roman" w:hAnsi="Times New Roman"/>
          <w:i w:val="0"/>
          <w:iCs/>
        </w:rPr>
        <w:t xml:space="preserve"> </w:t>
      </w:r>
      <w:r w:rsidRPr="002318E1">
        <w:rPr>
          <w:rFonts w:ascii="Times New Roman" w:hAnsi="Times New Roman"/>
          <w:i w:val="0"/>
          <w:iCs/>
        </w:rPr>
        <w:t xml:space="preserve">Although </w:t>
      </w:r>
      <w:r w:rsidR="00D61351">
        <w:rPr>
          <w:rFonts w:ascii="Times New Roman" w:hAnsi="Times New Roman"/>
          <w:i w:val="0"/>
          <w:iCs/>
        </w:rPr>
        <w:t xml:space="preserve">we will ensure </w:t>
      </w:r>
      <w:r w:rsidRPr="002318E1">
        <w:rPr>
          <w:rFonts w:ascii="Times New Roman" w:hAnsi="Times New Roman"/>
          <w:i w:val="0"/>
          <w:iCs/>
        </w:rPr>
        <w:t xml:space="preserve">both the unclustered and clustered samples will be nationally representative, </w:t>
      </w:r>
      <w:r w:rsidR="00D61351">
        <w:rPr>
          <w:rFonts w:ascii="Times New Roman" w:hAnsi="Times New Roman"/>
          <w:i w:val="0"/>
          <w:iCs/>
        </w:rPr>
        <w:t xml:space="preserve">we will limit </w:t>
      </w:r>
      <w:r w:rsidRPr="002318E1">
        <w:rPr>
          <w:rFonts w:ascii="Times New Roman" w:hAnsi="Times New Roman"/>
          <w:i w:val="0"/>
          <w:iCs/>
        </w:rPr>
        <w:t xml:space="preserve">the data collection in the unclustered component to CATI-only (no in-field follow-up or interviewing) due to the high cost that would be associated with field follow-up for the unclustered cases. </w:t>
      </w:r>
      <w:r w:rsidRPr="002318E1" w:rsidR="00D849FD">
        <w:rPr>
          <w:rFonts w:ascii="Times New Roman" w:hAnsi="Times New Roman"/>
          <w:i w:val="0"/>
          <w:iCs/>
        </w:rPr>
        <w:t xml:space="preserve"> </w:t>
      </w:r>
      <w:r w:rsidRPr="002318E1">
        <w:rPr>
          <w:rFonts w:ascii="Times New Roman" w:hAnsi="Times New Roman"/>
          <w:i w:val="0"/>
          <w:iCs/>
        </w:rPr>
        <w:t xml:space="preserve">For national estimates, we will compute sampling weights to account for this “dual-sample” strategy, as we have in the prior NBS. </w:t>
      </w:r>
    </w:p>
    <w:p w:rsidRPr="00A060AB" w:rsidR="00602A76" w:rsidP="006972B7" w:rsidRDefault="00602A76" w14:paraId="6F6B3601" w14:textId="1A748964">
      <w:pPr>
        <w:pStyle w:val="NormalSS"/>
        <w:ind w:left="270" w:firstLine="0"/>
        <w:jc w:val="left"/>
        <w:rPr>
          <w:rFonts w:ascii="Times New Roman" w:hAnsi="Times New Roman"/>
        </w:rPr>
      </w:pPr>
      <w:r w:rsidRPr="00A060AB">
        <w:rPr>
          <w:rFonts w:ascii="Times New Roman" w:hAnsi="Times New Roman"/>
        </w:rPr>
        <w:t xml:space="preserve">The result will be lower response rates for the non-PSU </w:t>
      </w:r>
      <w:r>
        <w:rPr>
          <w:rFonts w:ascii="Times New Roman" w:hAnsi="Times New Roman"/>
        </w:rPr>
        <w:t>sample members</w:t>
      </w:r>
      <w:r w:rsidRPr="00A060AB">
        <w:rPr>
          <w:rFonts w:ascii="Times New Roman" w:hAnsi="Times New Roman"/>
        </w:rPr>
        <w:t>, and p</w:t>
      </w:r>
      <w:r>
        <w:rPr>
          <w:rFonts w:ascii="Times New Roman" w:hAnsi="Times New Roman"/>
        </w:rPr>
        <w:t xml:space="preserve">otential bias in the estimates. </w:t>
      </w:r>
      <w:r w:rsidR="00D849FD">
        <w:rPr>
          <w:rFonts w:ascii="Times New Roman" w:hAnsi="Times New Roman"/>
        </w:rPr>
        <w:t xml:space="preserve"> </w:t>
      </w:r>
      <w:r w:rsidRPr="00A060AB">
        <w:rPr>
          <w:rFonts w:ascii="Times New Roman" w:hAnsi="Times New Roman"/>
        </w:rPr>
        <w:t>To address the bias issue, we will compare the responses of the within-PSU phone interview sample to those of the within-PSU in-person interview sample.</w:t>
      </w:r>
      <w:r>
        <w:rPr>
          <w:rFonts w:ascii="Times New Roman" w:hAnsi="Times New Roman"/>
        </w:rPr>
        <w:t xml:space="preserve"> </w:t>
      </w:r>
    </w:p>
    <w:p w:rsidRPr="00A060AB" w:rsidR="00602A76" w:rsidP="006972B7" w:rsidRDefault="00602A76" w14:paraId="4D345075" w14:textId="73A4BD15">
      <w:pPr>
        <w:pStyle w:val="NormalSS"/>
        <w:ind w:left="270" w:firstLine="0"/>
        <w:jc w:val="left"/>
        <w:rPr>
          <w:rFonts w:ascii="Times New Roman" w:hAnsi="Times New Roman"/>
        </w:rPr>
      </w:pPr>
      <w:r>
        <w:rPr>
          <w:rFonts w:ascii="Times New Roman" w:hAnsi="Times New Roman"/>
        </w:rPr>
        <w:t xml:space="preserve">We will administer Round 8 of the </w:t>
      </w:r>
      <w:r w:rsidRPr="00A060AB">
        <w:rPr>
          <w:rFonts w:ascii="Times New Roman" w:hAnsi="Times New Roman"/>
        </w:rPr>
        <w:t>NBS</w:t>
      </w:r>
      <w:r>
        <w:rPr>
          <w:rFonts w:ascii="Times New Roman" w:hAnsi="Times New Roman"/>
        </w:rPr>
        <w:t xml:space="preserve"> once in 2023. </w:t>
      </w:r>
      <w:r w:rsidR="00E47DD6">
        <w:rPr>
          <w:rFonts w:ascii="Times New Roman" w:hAnsi="Times New Roman"/>
        </w:rPr>
        <w:t xml:space="preserve"> </w:t>
      </w:r>
      <w:r>
        <w:rPr>
          <w:rFonts w:ascii="Times New Roman" w:hAnsi="Times New Roman"/>
        </w:rPr>
        <w:t>B</w:t>
      </w:r>
      <w:r w:rsidRPr="00A060AB">
        <w:rPr>
          <w:rFonts w:ascii="Times New Roman" w:hAnsi="Times New Roman"/>
        </w:rPr>
        <w:t>eneficiaries will complete the survey one time only</w:t>
      </w:r>
      <w:r>
        <w:rPr>
          <w:rFonts w:ascii="Times New Roman" w:hAnsi="Times New Roman"/>
        </w:rPr>
        <w:t xml:space="preserve">. </w:t>
      </w:r>
      <w:r w:rsidR="00D61351">
        <w:rPr>
          <w:rFonts w:ascii="Times New Roman" w:hAnsi="Times New Roman"/>
        </w:rPr>
        <w:t xml:space="preserve"> </w:t>
      </w:r>
      <w:r>
        <w:rPr>
          <w:rFonts w:ascii="Times New Roman" w:hAnsi="Times New Roman"/>
        </w:rPr>
        <w:t xml:space="preserve">Thus, </w:t>
      </w:r>
      <w:r w:rsidRPr="00A060AB">
        <w:rPr>
          <w:rFonts w:ascii="Times New Roman" w:hAnsi="Times New Roman"/>
        </w:rPr>
        <w:t xml:space="preserve">there is no cyclic burden for </w:t>
      </w:r>
      <w:r>
        <w:rPr>
          <w:rFonts w:ascii="Times New Roman" w:hAnsi="Times New Roman"/>
        </w:rPr>
        <w:t xml:space="preserve">these </w:t>
      </w:r>
      <w:r w:rsidRPr="00A060AB">
        <w:rPr>
          <w:rFonts w:ascii="Times New Roman" w:hAnsi="Times New Roman"/>
        </w:rPr>
        <w:t>responde</w:t>
      </w:r>
      <w:r>
        <w:rPr>
          <w:rFonts w:ascii="Times New Roman" w:hAnsi="Times New Roman"/>
        </w:rPr>
        <w:t xml:space="preserve">nts. </w:t>
      </w:r>
    </w:p>
    <w:p w:rsidRPr="00720BD2" w:rsidR="00602A76" w:rsidP="00D849FD" w:rsidRDefault="00602A76" w14:paraId="6AFF8539" w14:textId="25014E8D">
      <w:pPr>
        <w:pStyle w:val="H3"/>
        <w:spacing w:before="0" w:after="0"/>
      </w:pPr>
      <w:bookmarkStart w:name="_Toc101248893" w:id="36"/>
      <w:bookmarkStart w:name="_Toc232927196" w:id="37"/>
      <w:bookmarkStart w:name="_Toc233197224" w:id="38"/>
      <w:bookmarkStart w:name="_Toc349308997" w:id="39"/>
      <w:r w:rsidRPr="00720BD2">
        <w:t>3. Methods to Maximize Response Rates</w:t>
      </w:r>
      <w:bookmarkEnd w:id="36"/>
      <w:r w:rsidRPr="00720BD2">
        <w:t xml:space="preserve"> </w:t>
      </w:r>
      <w:bookmarkEnd w:id="37"/>
      <w:bookmarkEnd w:id="38"/>
      <w:bookmarkEnd w:id="39"/>
    </w:p>
    <w:p w:rsidRPr="00F11C48" w:rsidR="00602A76" w:rsidP="006972B7" w:rsidRDefault="00602A76" w14:paraId="1C2BEA29" w14:textId="19919877">
      <w:pPr>
        <w:pStyle w:val="NormalSS"/>
        <w:tabs>
          <w:tab w:val="clear" w:pos="432"/>
          <w:tab w:val="left" w:pos="270"/>
        </w:tabs>
        <w:ind w:left="270" w:firstLine="0"/>
        <w:jc w:val="left"/>
        <w:rPr>
          <w:rFonts w:ascii="Times New Roman" w:hAnsi="Times New Roman"/>
        </w:rPr>
      </w:pPr>
      <w:r w:rsidRPr="00720BD2">
        <w:rPr>
          <w:rFonts w:ascii="Times New Roman" w:hAnsi="Times New Roman"/>
        </w:rPr>
        <w:t>Locating sample</w:t>
      </w:r>
      <w:r>
        <w:rPr>
          <w:rFonts w:ascii="Times New Roman" w:hAnsi="Times New Roman"/>
        </w:rPr>
        <w:t xml:space="preserve"> members is the</w:t>
      </w:r>
      <w:r w:rsidRPr="00720BD2">
        <w:rPr>
          <w:rFonts w:ascii="Times New Roman" w:hAnsi="Times New Roman"/>
        </w:rPr>
        <w:t xml:space="preserve"> first challenge to obtaining a</w:t>
      </w:r>
      <w:r>
        <w:rPr>
          <w:rFonts w:ascii="Times New Roman" w:hAnsi="Times New Roman"/>
        </w:rPr>
        <w:t xml:space="preserve"> high response rate. </w:t>
      </w:r>
      <w:r w:rsidR="00D45E0A">
        <w:rPr>
          <w:rFonts w:ascii="Times New Roman" w:hAnsi="Times New Roman"/>
        </w:rPr>
        <w:t xml:space="preserve"> </w:t>
      </w:r>
      <w:r>
        <w:rPr>
          <w:rFonts w:ascii="Times New Roman" w:hAnsi="Times New Roman"/>
        </w:rPr>
        <w:t>Although</w:t>
      </w:r>
      <w:r w:rsidRPr="00720BD2">
        <w:rPr>
          <w:rFonts w:ascii="Times New Roman" w:hAnsi="Times New Roman"/>
        </w:rPr>
        <w:t xml:space="preserve"> SSA has contact i</w:t>
      </w:r>
      <w:r>
        <w:rPr>
          <w:rFonts w:ascii="Times New Roman" w:hAnsi="Times New Roman"/>
        </w:rPr>
        <w:t>nformation for all potential respondents</w:t>
      </w:r>
      <w:r w:rsidRPr="00720BD2">
        <w:rPr>
          <w:rFonts w:ascii="Times New Roman" w:hAnsi="Times New Roman"/>
        </w:rPr>
        <w:t xml:space="preserve">, we know from past experience that it </w:t>
      </w:r>
      <w:r>
        <w:rPr>
          <w:rFonts w:ascii="Times New Roman" w:hAnsi="Times New Roman"/>
        </w:rPr>
        <w:t xml:space="preserve">often does </w:t>
      </w:r>
      <w:r w:rsidRPr="00720BD2">
        <w:rPr>
          <w:rFonts w:ascii="Times New Roman" w:hAnsi="Times New Roman"/>
        </w:rPr>
        <w:t>not lead directly to the</w:t>
      </w:r>
      <w:r>
        <w:rPr>
          <w:rFonts w:ascii="Times New Roman" w:hAnsi="Times New Roman"/>
        </w:rPr>
        <w:t xml:space="preserve"> sample member</w:t>
      </w:r>
      <w:r w:rsidRPr="00720BD2">
        <w:rPr>
          <w:rFonts w:ascii="Times New Roman" w:hAnsi="Times New Roman"/>
        </w:rPr>
        <w:t>.</w:t>
      </w:r>
      <w:r>
        <w:rPr>
          <w:rFonts w:ascii="Times New Roman" w:hAnsi="Times New Roman"/>
        </w:rPr>
        <w:t xml:space="preserve"> </w:t>
      </w:r>
      <w:r w:rsidR="00D45E0A">
        <w:rPr>
          <w:rFonts w:ascii="Times New Roman" w:hAnsi="Times New Roman"/>
        </w:rPr>
        <w:t xml:space="preserve"> </w:t>
      </w:r>
      <w:r w:rsidRPr="00720BD2">
        <w:rPr>
          <w:rFonts w:ascii="Times New Roman" w:hAnsi="Times New Roman"/>
        </w:rPr>
        <w:t xml:space="preserve">Telephone numbers </w:t>
      </w:r>
      <w:r>
        <w:rPr>
          <w:rFonts w:ascii="Times New Roman" w:hAnsi="Times New Roman"/>
        </w:rPr>
        <w:t>are</w:t>
      </w:r>
      <w:r w:rsidRPr="00720BD2">
        <w:rPr>
          <w:rFonts w:ascii="Times New Roman" w:hAnsi="Times New Roman"/>
        </w:rPr>
        <w:t xml:space="preserve"> particularly problematic because there is no administrative reason to keep them updated in SSA re</w:t>
      </w:r>
      <w:r>
        <w:rPr>
          <w:rFonts w:ascii="Times New Roman" w:hAnsi="Times New Roman"/>
        </w:rPr>
        <w:t xml:space="preserve">cords. </w:t>
      </w:r>
      <w:r w:rsidR="00D45E0A">
        <w:rPr>
          <w:rFonts w:ascii="Times New Roman" w:hAnsi="Times New Roman"/>
        </w:rPr>
        <w:t xml:space="preserve"> </w:t>
      </w:r>
      <w:r>
        <w:rPr>
          <w:rFonts w:ascii="Times New Roman" w:hAnsi="Times New Roman"/>
        </w:rPr>
        <w:t>Addresses can be more reliable</w:t>
      </w:r>
      <w:r w:rsidRPr="00720BD2">
        <w:rPr>
          <w:rFonts w:ascii="Times New Roman" w:hAnsi="Times New Roman"/>
        </w:rPr>
        <w:t xml:space="preserve"> because </w:t>
      </w:r>
      <w:r>
        <w:rPr>
          <w:rFonts w:ascii="Times New Roman" w:hAnsi="Times New Roman"/>
        </w:rPr>
        <w:t>SSA</w:t>
      </w:r>
      <w:r w:rsidRPr="00720BD2">
        <w:rPr>
          <w:rFonts w:ascii="Times New Roman" w:hAnsi="Times New Roman"/>
        </w:rPr>
        <w:t xml:space="preserve"> sometimes u</w:t>
      </w:r>
      <w:r>
        <w:rPr>
          <w:rFonts w:ascii="Times New Roman" w:hAnsi="Times New Roman"/>
        </w:rPr>
        <w:t>ses them for mailing</w:t>
      </w:r>
      <w:r w:rsidR="0000580A">
        <w:rPr>
          <w:rFonts w:ascii="Times New Roman" w:hAnsi="Times New Roman"/>
        </w:rPr>
        <w:t xml:space="preserve"> </w:t>
      </w:r>
      <w:r>
        <w:rPr>
          <w:rFonts w:ascii="Times New Roman" w:hAnsi="Times New Roman"/>
        </w:rPr>
        <w:t xml:space="preserve">correspondences. </w:t>
      </w:r>
      <w:r w:rsidR="00D45E0A">
        <w:rPr>
          <w:rFonts w:ascii="Times New Roman" w:hAnsi="Times New Roman"/>
        </w:rPr>
        <w:t xml:space="preserve"> </w:t>
      </w:r>
      <w:r w:rsidRPr="00720BD2">
        <w:rPr>
          <w:rFonts w:ascii="Times New Roman" w:hAnsi="Times New Roman"/>
        </w:rPr>
        <w:t xml:space="preserve">These might, however, be a post office box, address of a </w:t>
      </w:r>
      <w:r>
        <w:rPr>
          <w:rFonts w:ascii="Times New Roman" w:hAnsi="Times New Roman"/>
        </w:rPr>
        <w:t>guardian, financial institution</w:t>
      </w:r>
      <w:r w:rsidRPr="00720BD2">
        <w:rPr>
          <w:rFonts w:ascii="Times New Roman" w:hAnsi="Times New Roman"/>
        </w:rPr>
        <w:t>, or other types of address</w:t>
      </w:r>
      <w:r>
        <w:rPr>
          <w:rFonts w:ascii="Times New Roman" w:hAnsi="Times New Roman"/>
        </w:rPr>
        <w:t>es that can make it difficult to</w:t>
      </w:r>
      <w:r w:rsidRPr="00720BD2">
        <w:rPr>
          <w:rFonts w:ascii="Times New Roman" w:hAnsi="Times New Roman"/>
        </w:rPr>
        <w:t xml:space="preserve"> locate the </w:t>
      </w:r>
      <w:r>
        <w:rPr>
          <w:rFonts w:ascii="Times New Roman" w:hAnsi="Times New Roman"/>
        </w:rPr>
        <w:t xml:space="preserve">sample member. </w:t>
      </w:r>
      <w:r w:rsidR="009F4CF8">
        <w:rPr>
          <w:rFonts w:ascii="Times New Roman" w:hAnsi="Times New Roman"/>
        </w:rPr>
        <w:t xml:space="preserve"> </w:t>
      </w:r>
      <w:r>
        <w:rPr>
          <w:rFonts w:ascii="Times New Roman" w:hAnsi="Times New Roman"/>
        </w:rPr>
        <w:t>Because</w:t>
      </w:r>
      <w:r w:rsidRPr="00720BD2">
        <w:rPr>
          <w:rFonts w:ascii="Times New Roman" w:hAnsi="Times New Roman"/>
        </w:rPr>
        <w:t xml:space="preserve"> SSA now requir</w:t>
      </w:r>
      <w:r>
        <w:rPr>
          <w:rFonts w:ascii="Times New Roman" w:hAnsi="Times New Roman"/>
        </w:rPr>
        <w:t>es direct deposit of payment</w:t>
      </w:r>
      <w:r w:rsidRPr="00720BD2">
        <w:rPr>
          <w:rFonts w:ascii="Times New Roman" w:hAnsi="Times New Roman"/>
        </w:rPr>
        <w:t xml:space="preserve"> checks, </w:t>
      </w:r>
      <w:r>
        <w:rPr>
          <w:rFonts w:ascii="Times New Roman" w:hAnsi="Times New Roman"/>
        </w:rPr>
        <w:t xml:space="preserve">it has minimized </w:t>
      </w:r>
      <w:r w:rsidRPr="00720BD2">
        <w:rPr>
          <w:rFonts w:ascii="Times New Roman" w:hAnsi="Times New Roman"/>
        </w:rPr>
        <w:t>the importance of keeping address inform</w:t>
      </w:r>
      <w:r>
        <w:rPr>
          <w:rFonts w:ascii="Times New Roman" w:hAnsi="Times New Roman"/>
        </w:rPr>
        <w:t>ation current</w:t>
      </w:r>
      <w:r w:rsidRPr="00720BD2">
        <w:rPr>
          <w:rFonts w:ascii="Times New Roman" w:hAnsi="Times New Roman"/>
        </w:rPr>
        <w:t>.</w:t>
      </w:r>
      <w:r w:rsidR="00D45E0A">
        <w:rPr>
          <w:rFonts w:ascii="Times New Roman" w:hAnsi="Times New Roman"/>
        </w:rPr>
        <w:t xml:space="preserve">  </w:t>
      </w:r>
      <w:r w:rsidRPr="00E846B3">
        <w:rPr>
          <w:rFonts w:ascii="Times New Roman" w:hAnsi="Times New Roman"/>
        </w:rPr>
        <w:t>To improve contact information, we</w:t>
      </w:r>
      <w:r w:rsidRPr="001064B2">
        <w:rPr>
          <w:rFonts w:ascii="Times New Roman" w:hAnsi="Times New Roman"/>
        </w:rPr>
        <w:t xml:space="preserve"> will</w:t>
      </w:r>
      <w:r w:rsidRPr="001064B2">
        <w:rPr>
          <w:rFonts w:ascii="Times New Roman" w:hAnsi="Times New Roman"/>
          <w:snapToGrid w:val="0"/>
        </w:rPr>
        <w:t xml:space="preserve"> mail an </w:t>
      </w:r>
      <w:r w:rsidRPr="001064B2">
        <w:rPr>
          <w:rFonts w:ascii="Times New Roman" w:hAnsi="Times New Roman"/>
          <w:snapToGrid w:val="0"/>
        </w:rPr>
        <w:lastRenderedPageBreak/>
        <w:t>advance letter on SSA letterhead</w:t>
      </w:r>
      <w:r w:rsidRPr="00630965">
        <w:rPr>
          <w:rFonts w:ascii="Times New Roman" w:hAnsi="Times New Roman"/>
          <w:snapToGrid w:val="0"/>
        </w:rPr>
        <w:t xml:space="preserve"> and a study brochure to each sample</w:t>
      </w:r>
      <w:r>
        <w:rPr>
          <w:rFonts w:ascii="Times New Roman" w:hAnsi="Times New Roman"/>
          <w:snapToGrid w:val="0"/>
        </w:rPr>
        <w:t xml:space="preserve"> member before attempting to survey them</w:t>
      </w:r>
      <w:r w:rsidRPr="00630965">
        <w:rPr>
          <w:rFonts w:ascii="Times New Roman" w:hAnsi="Times New Roman"/>
          <w:snapToGrid w:val="0"/>
        </w:rPr>
        <w:t xml:space="preserve"> using the address of record</w:t>
      </w:r>
      <w:r>
        <w:rPr>
          <w:rFonts w:ascii="Times New Roman" w:hAnsi="Times New Roman"/>
          <w:snapToGrid w:val="0"/>
        </w:rPr>
        <w:t>.</w:t>
      </w:r>
      <w:r w:rsidR="00D45E0A">
        <w:rPr>
          <w:rFonts w:ascii="Times New Roman" w:hAnsi="Times New Roman"/>
          <w:snapToGrid w:val="0"/>
        </w:rPr>
        <w:t xml:space="preserve"> </w:t>
      </w:r>
      <w:r>
        <w:rPr>
          <w:rFonts w:ascii="Times New Roman" w:hAnsi="Times New Roman"/>
          <w:snapToGrid w:val="0"/>
        </w:rPr>
        <w:t xml:space="preserve"> The letter will </w:t>
      </w:r>
      <w:r w:rsidRPr="00630965">
        <w:rPr>
          <w:rFonts w:ascii="Times New Roman" w:hAnsi="Times New Roman"/>
          <w:snapToGrid w:val="0"/>
        </w:rPr>
        <w:t xml:space="preserve">describe the survey and indicate that </w:t>
      </w:r>
      <w:r>
        <w:rPr>
          <w:rFonts w:ascii="Times New Roman" w:hAnsi="Times New Roman"/>
          <w:snapToGrid w:val="0"/>
        </w:rPr>
        <w:t xml:space="preserve">we will soon contact </w:t>
      </w:r>
      <w:r w:rsidRPr="00630965">
        <w:rPr>
          <w:rFonts w:ascii="Times New Roman" w:hAnsi="Times New Roman"/>
          <w:snapToGrid w:val="0"/>
        </w:rPr>
        <w:t>the</w:t>
      </w:r>
      <w:r>
        <w:rPr>
          <w:rFonts w:ascii="Times New Roman" w:hAnsi="Times New Roman"/>
          <w:snapToGrid w:val="0"/>
        </w:rPr>
        <w:t xml:space="preserve"> sample member. </w:t>
      </w:r>
      <w:r w:rsidR="00D45E0A">
        <w:rPr>
          <w:rFonts w:ascii="Times New Roman" w:hAnsi="Times New Roman"/>
          <w:snapToGrid w:val="0"/>
        </w:rPr>
        <w:t xml:space="preserve"> </w:t>
      </w:r>
      <w:r>
        <w:rPr>
          <w:rFonts w:ascii="Times New Roman" w:hAnsi="Times New Roman"/>
          <w:snapToGrid w:val="0"/>
        </w:rPr>
        <w:t xml:space="preserve">We will begin locating with letters </w:t>
      </w:r>
      <w:r w:rsidRPr="00630965">
        <w:rPr>
          <w:rFonts w:ascii="Times New Roman" w:hAnsi="Times New Roman"/>
          <w:snapToGrid w:val="0"/>
        </w:rPr>
        <w:t>returned to</w:t>
      </w:r>
      <w:r>
        <w:rPr>
          <w:rFonts w:ascii="Times New Roman" w:hAnsi="Times New Roman"/>
          <w:snapToGrid w:val="0"/>
        </w:rPr>
        <w:t xml:space="preserve"> Mathematica as undelivered. </w:t>
      </w:r>
      <w:r w:rsidR="00D61351">
        <w:rPr>
          <w:rFonts w:ascii="Times New Roman" w:hAnsi="Times New Roman"/>
          <w:snapToGrid w:val="0"/>
        </w:rPr>
        <w:t xml:space="preserve"> </w:t>
      </w:r>
      <w:r w:rsidRPr="00630965">
        <w:rPr>
          <w:rFonts w:ascii="Times New Roman" w:hAnsi="Times New Roman"/>
          <w:snapToGrid w:val="0"/>
        </w:rPr>
        <w:t>When an address is available without a phone number, we will conduct a dire</w:t>
      </w:r>
      <w:r>
        <w:rPr>
          <w:rFonts w:ascii="Times New Roman" w:hAnsi="Times New Roman"/>
          <w:snapToGrid w:val="0"/>
        </w:rPr>
        <w:t>ctory search to obtain a phone number.</w:t>
      </w:r>
      <w:r w:rsidR="00D45E0A">
        <w:rPr>
          <w:rFonts w:ascii="Times New Roman" w:hAnsi="Times New Roman"/>
          <w:snapToGrid w:val="0"/>
        </w:rPr>
        <w:t xml:space="preserve"> </w:t>
      </w:r>
      <w:r>
        <w:rPr>
          <w:rFonts w:ascii="Times New Roman" w:hAnsi="Times New Roman"/>
          <w:snapToGrid w:val="0"/>
        </w:rPr>
        <w:t xml:space="preserve"> </w:t>
      </w:r>
      <w:r w:rsidRPr="00630965">
        <w:rPr>
          <w:rFonts w:ascii="Times New Roman" w:hAnsi="Times New Roman"/>
          <w:szCs w:val="24"/>
        </w:rPr>
        <w:t>When direct</w:t>
      </w:r>
      <w:r>
        <w:rPr>
          <w:rFonts w:ascii="Times New Roman" w:hAnsi="Times New Roman"/>
          <w:szCs w:val="24"/>
        </w:rPr>
        <w:t>ory</w:t>
      </w:r>
      <w:r w:rsidRPr="00630965">
        <w:rPr>
          <w:rFonts w:ascii="Times New Roman" w:hAnsi="Times New Roman"/>
          <w:szCs w:val="24"/>
        </w:rPr>
        <w:t xml:space="preserve"> searches are unproductive, we will submit searches to Accurint, a comprehensive database compiled from multiple sources, and use locating letters and telephone tracing (calli</w:t>
      </w:r>
      <w:r>
        <w:rPr>
          <w:rFonts w:ascii="Times New Roman" w:hAnsi="Times New Roman"/>
          <w:szCs w:val="24"/>
        </w:rPr>
        <w:t>ng former neighbors or representative payees).</w:t>
      </w:r>
      <w:r w:rsidR="00D45E0A">
        <w:rPr>
          <w:rFonts w:ascii="Times New Roman" w:hAnsi="Times New Roman"/>
          <w:szCs w:val="24"/>
        </w:rPr>
        <w:t xml:space="preserve"> </w:t>
      </w:r>
      <w:r>
        <w:rPr>
          <w:rFonts w:ascii="Times New Roman" w:hAnsi="Times New Roman"/>
          <w:szCs w:val="24"/>
        </w:rPr>
        <w:t xml:space="preserve"> </w:t>
      </w:r>
      <w:r w:rsidRPr="00630965">
        <w:rPr>
          <w:rFonts w:ascii="Times New Roman" w:hAnsi="Times New Roman"/>
          <w:szCs w:val="24"/>
        </w:rPr>
        <w:t xml:space="preserve">In </w:t>
      </w:r>
      <w:r>
        <w:rPr>
          <w:rFonts w:ascii="Times New Roman" w:hAnsi="Times New Roman"/>
          <w:szCs w:val="24"/>
        </w:rPr>
        <w:t xml:space="preserve">Round 7 of the </w:t>
      </w:r>
      <w:r w:rsidRPr="00630965">
        <w:rPr>
          <w:rFonts w:ascii="Times New Roman" w:hAnsi="Times New Roman"/>
          <w:szCs w:val="24"/>
        </w:rPr>
        <w:t xml:space="preserve">NBS, we </w:t>
      </w:r>
      <w:r w:rsidRPr="00630965">
        <w:rPr>
          <w:rFonts w:ascii="Times New Roman" w:hAnsi="Times New Roman"/>
          <w:snapToGrid w:val="0"/>
        </w:rPr>
        <w:t xml:space="preserve">located </w:t>
      </w:r>
      <w:r>
        <w:rPr>
          <w:rFonts w:ascii="Times New Roman" w:hAnsi="Times New Roman"/>
          <w:snapToGrid w:val="0"/>
        </w:rPr>
        <w:t xml:space="preserve">approximately 86 </w:t>
      </w:r>
      <w:r w:rsidRPr="00630965">
        <w:rPr>
          <w:rFonts w:ascii="Times New Roman" w:hAnsi="Times New Roman"/>
          <w:snapToGrid w:val="0"/>
        </w:rPr>
        <w:t xml:space="preserve">percent of </w:t>
      </w:r>
      <w:r>
        <w:rPr>
          <w:rFonts w:ascii="Times New Roman" w:hAnsi="Times New Roman"/>
          <w:snapToGrid w:val="0"/>
        </w:rPr>
        <w:t>the sample</w:t>
      </w:r>
      <w:r w:rsidR="00D61351">
        <w:rPr>
          <w:rFonts w:ascii="Times New Roman" w:hAnsi="Times New Roman"/>
          <w:snapToGrid w:val="0"/>
        </w:rPr>
        <w:t xml:space="preserve"> in this way</w:t>
      </w:r>
      <w:r w:rsidRPr="00630965">
        <w:rPr>
          <w:rFonts w:ascii="Times New Roman" w:hAnsi="Times New Roman"/>
          <w:snapToGrid w:val="0"/>
        </w:rPr>
        <w:t>.</w:t>
      </w:r>
    </w:p>
    <w:p w:rsidRPr="00630965" w:rsidR="00602A76" w:rsidP="006972B7" w:rsidRDefault="00602A76" w14:paraId="5BC2E54F" w14:textId="2CDEC262">
      <w:pPr>
        <w:pStyle w:val="NormalSS"/>
        <w:ind w:left="270" w:firstLine="0"/>
        <w:jc w:val="left"/>
        <w:rPr>
          <w:rFonts w:ascii="Times New Roman" w:hAnsi="Times New Roman"/>
          <w:snapToGrid w:val="0"/>
        </w:rPr>
      </w:pPr>
      <w:r w:rsidRPr="00630965">
        <w:rPr>
          <w:rFonts w:ascii="Times New Roman" w:hAnsi="Times New Roman"/>
          <w:snapToGrid w:val="0"/>
        </w:rPr>
        <w:t>If</w:t>
      </w:r>
      <w:r w:rsidR="00D61351">
        <w:rPr>
          <w:rFonts w:ascii="Times New Roman" w:hAnsi="Times New Roman"/>
          <w:snapToGrid w:val="0"/>
        </w:rPr>
        <w:t xml:space="preserve"> we find or obtain an available</w:t>
      </w:r>
      <w:r w:rsidRPr="00630965">
        <w:rPr>
          <w:rFonts w:ascii="Times New Roman" w:hAnsi="Times New Roman"/>
          <w:snapToGrid w:val="0"/>
        </w:rPr>
        <w:t xml:space="preserve"> phone number, we will attempt to call</w:t>
      </w:r>
      <w:r>
        <w:rPr>
          <w:rFonts w:ascii="Times New Roman" w:hAnsi="Times New Roman"/>
          <w:snapToGrid w:val="0"/>
        </w:rPr>
        <w:t xml:space="preserve"> the respondent to conduct the interview. </w:t>
      </w:r>
      <w:r w:rsidR="00D45E0A">
        <w:rPr>
          <w:rFonts w:ascii="Times New Roman" w:hAnsi="Times New Roman"/>
          <w:snapToGrid w:val="0"/>
        </w:rPr>
        <w:t xml:space="preserve"> </w:t>
      </w:r>
      <w:r>
        <w:rPr>
          <w:rFonts w:ascii="Times New Roman" w:hAnsi="Times New Roman"/>
          <w:snapToGrid w:val="0"/>
        </w:rPr>
        <w:t>Mathematica</w:t>
      </w:r>
      <w:r w:rsidRPr="00630965">
        <w:rPr>
          <w:rFonts w:ascii="Times New Roman" w:hAnsi="Times New Roman"/>
          <w:snapToGrid w:val="0"/>
        </w:rPr>
        <w:t xml:space="preserve"> will use a protocol that calls for repeat efforts, including attempts on different days and</w:t>
      </w:r>
      <w:r>
        <w:rPr>
          <w:rFonts w:ascii="Times New Roman" w:hAnsi="Times New Roman"/>
          <w:snapToGrid w:val="0"/>
        </w:rPr>
        <w:t xml:space="preserve"> different times.</w:t>
      </w:r>
      <w:r w:rsidR="00D45E0A">
        <w:rPr>
          <w:rFonts w:ascii="Times New Roman" w:hAnsi="Times New Roman"/>
          <w:snapToGrid w:val="0"/>
        </w:rPr>
        <w:t xml:space="preserve"> </w:t>
      </w:r>
      <w:r>
        <w:rPr>
          <w:rFonts w:ascii="Times New Roman" w:hAnsi="Times New Roman"/>
          <w:snapToGrid w:val="0"/>
        </w:rPr>
        <w:t xml:space="preserve"> </w:t>
      </w:r>
      <w:r w:rsidRPr="00630965">
        <w:rPr>
          <w:rFonts w:ascii="Times New Roman" w:hAnsi="Times New Roman"/>
          <w:snapToGrid w:val="0"/>
        </w:rPr>
        <w:t xml:space="preserve">If </w:t>
      </w:r>
      <w:r>
        <w:rPr>
          <w:rFonts w:ascii="Times New Roman" w:hAnsi="Times New Roman"/>
          <w:snapToGrid w:val="0"/>
        </w:rPr>
        <w:t xml:space="preserve">we make </w:t>
      </w:r>
      <w:r w:rsidRPr="00630965">
        <w:rPr>
          <w:rFonts w:ascii="Times New Roman" w:hAnsi="Times New Roman"/>
          <w:snapToGrid w:val="0"/>
        </w:rPr>
        <w:t>successful</w:t>
      </w:r>
      <w:r>
        <w:rPr>
          <w:rFonts w:ascii="Times New Roman" w:hAnsi="Times New Roman"/>
          <w:snapToGrid w:val="0"/>
        </w:rPr>
        <w:t xml:space="preserve"> </w:t>
      </w:r>
      <w:r w:rsidRPr="00630965">
        <w:rPr>
          <w:rFonts w:ascii="Times New Roman" w:hAnsi="Times New Roman"/>
          <w:snapToGrid w:val="0"/>
        </w:rPr>
        <w:t xml:space="preserve">contact </w:t>
      </w:r>
      <w:r>
        <w:rPr>
          <w:rFonts w:ascii="Times New Roman" w:hAnsi="Times New Roman"/>
          <w:snapToGrid w:val="0"/>
        </w:rPr>
        <w:t>and th</w:t>
      </w:r>
      <w:r w:rsidRPr="00630965">
        <w:rPr>
          <w:rFonts w:ascii="Times New Roman" w:hAnsi="Times New Roman"/>
          <w:snapToGrid w:val="0"/>
        </w:rPr>
        <w:t>e beneficiary</w:t>
      </w:r>
      <w:r>
        <w:rPr>
          <w:rFonts w:ascii="Times New Roman" w:hAnsi="Times New Roman"/>
          <w:snapToGrid w:val="0"/>
        </w:rPr>
        <w:t xml:space="preserve"> or recipient</w:t>
      </w:r>
      <w:r w:rsidRPr="00630965">
        <w:rPr>
          <w:rFonts w:ascii="Times New Roman" w:hAnsi="Times New Roman"/>
          <w:snapToGrid w:val="0"/>
        </w:rPr>
        <w:t xml:space="preserve"> consents to </w:t>
      </w:r>
      <w:r>
        <w:rPr>
          <w:rFonts w:ascii="Times New Roman" w:hAnsi="Times New Roman"/>
          <w:snapToGrid w:val="0"/>
        </w:rPr>
        <w:t>the interview</w:t>
      </w:r>
      <w:r w:rsidRPr="00630965">
        <w:rPr>
          <w:rFonts w:ascii="Times New Roman" w:hAnsi="Times New Roman"/>
          <w:snapToGrid w:val="0"/>
        </w:rPr>
        <w:t>, the caller will conduct the interview using CATI technology.</w:t>
      </w:r>
    </w:p>
    <w:p w:rsidRPr="006255DE" w:rsidR="00602A76" w:rsidP="006972B7" w:rsidRDefault="00602A76" w14:paraId="5EE3ED4D" w14:textId="0192CEDF">
      <w:pPr>
        <w:pStyle w:val="NormalSS"/>
        <w:ind w:left="270" w:firstLine="0"/>
        <w:jc w:val="left"/>
        <w:rPr>
          <w:rFonts w:ascii="Times New Roman" w:hAnsi="Times New Roman"/>
        </w:rPr>
      </w:pPr>
      <w:r w:rsidRPr="00EB5598">
        <w:rPr>
          <w:rFonts w:ascii="Times New Roman" w:hAnsi="Times New Roman"/>
        </w:rPr>
        <w:t>For sample members who do not respond to our telephone calls</w:t>
      </w:r>
      <w:r>
        <w:rPr>
          <w:rFonts w:ascii="Times New Roman" w:hAnsi="Times New Roman"/>
        </w:rPr>
        <w:t xml:space="preserve"> or refuse to participate in the survey</w:t>
      </w:r>
      <w:r w:rsidRPr="00EB5598">
        <w:rPr>
          <w:rFonts w:ascii="Times New Roman" w:hAnsi="Times New Roman"/>
          <w:snapToGrid w:val="0"/>
        </w:rPr>
        <w:t>,</w:t>
      </w:r>
      <w:r w:rsidRPr="00630965">
        <w:rPr>
          <w:rFonts w:ascii="Times New Roman" w:hAnsi="Times New Roman"/>
          <w:snapToGrid w:val="0"/>
        </w:rPr>
        <w:t xml:space="preserve"> we will </w:t>
      </w:r>
      <w:r>
        <w:rPr>
          <w:rFonts w:ascii="Times New Roman" w:hAnsi="Times New Roman"/>
          <w:snapToGrid w:val="0"/>
        </w:rPr>
        <w:t>mail</w:t>
      </w:r>
      <w:r w:rsidRPr="00630965">
        <w:rPr>
          <w:rFonts w:ascii="Times New Roman" w:hAnsi="Times New Roman"/>
          <w:snapToGrid w:val="0"/>
        </w:rPr>
        <w:t xml:space="preserve"> locating letters</w:t>
      </w:r>
      <w:r>
        <w:rPr>
          <w:rFonts w:ascii="Times New Roman" w:hAnsi="Times New Roman"/>
          <w:snapToGrid w:val="0"/>
        </w:rPr>
        <w:t>,</w:t>
      </w:r>
      <w:r w:rsidRPr="00630965">
        <w:rPr>
          <w:rFonts w:ascii="Times New Roman" w:hAnsi="Times New Roman"/>
          <w:snapToGrid w:val="0"/>
        </w:rPr>
        <w:t xml:space="preserve"> reminder letters</w:t>
      </w:r>
      <w:r>
        <w:rPr>
          <w:rFonts w:ascii="Times New Roman" w:hAnsi="Times New Roman"/>
          <w:snapToGrid w:val="0"/>
        </w:rPr>
        <w:t>,</w:t>
      </w:r>
      <w:r w:rsidRPr="00630965">
        <w:rPr>
          <w:rFonts w:ascii="Times New Roman" w:hAnsi="Times New Roman"/>
          <w:snapToGrid w:val="0"/>
        </w:rPr>
        <w:t xml:space="preserve"> reminder postcards</w:t>
      </w:r>
      <w:r>
        <w:rPr>
          <w:rFonts w:ascii="Times New Roman" w:hAnsi="Times New Roman"/>
          <w:snapToGrid w:val="0"/>
        </w:rPr>
        <w:t>,</w:t>
      </w:r>
      <w:r w:rsidRPr="00630965">
        <w:rPr>
          <w:rFonts w:ascii="Times New Roman" w:hAnsi="Times New Roman"/>
          <w:snapToGrid w:val="0"/>
        </w:rPr>
        <w:t xml:space="preserve"> and refusal conversion letters, as appropriate</w:t>
      </w:r>
      <w:r>
        <w:rPr>
          <w:rFonts w:ascii="Times New Roman" w:hAnsi="Times New Roman"/>
          <w:snapToGrid w:val="0"/>
        </w:rPr>
        <w:t>.</w:t>
      </w:r>
      <w:r w:rsidR="00D45E0A">
        <w:rPr>
          <w:rFonts w:ascii="Times New Roman" w:hAnsi="Times New Roman"/>
          <w:snapToGrid w:val="0"/>
        </w:rPr>
        <w:t xml:space="preserve"> </w:t>
      </w:r>
      <w:r>
        <w:rPr>
          <w:rFonts w:ascii="Times New Roman" w:hAnsi="Times New Roman"/>
          <w:snapToGrid w:val="0"/>
        </w:rPr>
        <w:t xml:space="preserve"> </w:t>
      </w:r>
      <w:r w:rsidRPr="00630965">
        <w:rPr>
          <w:rFonts w:ascii="Times New Roman" w:hAnsi="Times New Roman"/>
          <w:snapToGrid w:val="0"/>
        </w:rPr>
        <w:t>After two to three months of CATI interviewing, we will begin to transfer cas</w:t>
      </w:r>
      <w:r>
        <w:rPr>
          <w:rFonts w:ascii="Times New Roman" w:hAnsi="Times New Roman"/>
          <w:snapToGrid w:val="0"/>
        </w:rPr>
        <w:t xml:space="preserve">es to field (in-person) data collection staff for locating. </w:t>
      </w:r>
      <w:r w:rsidR="00D45E0A">
        <w:rPr>
          <w:rFonts w:ascii="Times New Roman" w:hAnsi="Times New Roman"/>
          <w:snapToGrid w:val="0"/>
        </w:rPr>
        <w:t xml:space="preserve"> </w:t>
      </w:r>
      <w:r w:rsidRPr="00630965">
        <w:rPr>
          <w:rFonts w:ascii="Times New Roman" w:hAnsi="Times New Roman"/>
          <w:snapToGrid w:val="0"/>
        </w:rPr>
        <w:t xml:space="preserve">Delaying the start of field locating and interviewing allows an adequate number of cases to accumulate so field staff will have </w:t>
      </w:r>
      <w:r>
        <w:rPr>
          <w:rFonts w:ascii="Times New Roman" w:hAnsi="Times New Roman"/>
          <w:snapToGrid w:val="0"/>
        </w:rPr>
        <w:t>enough</w:t>
      </w:r>
      <w:r w:rsidRPr="00630965">
        <w:rPr>
          <w:rFonts w:ascii="Times New Roman" w:hAnsi="Times New Roman"/>
          <w:snapToGrid w:val="0"/>
        </w:rPr>
        <w:t xml:space="preserve"> work </w:t>
      </w:r>
      <w:r>
        <w:rPr>
          <w:rFonts w:ascii="Times New Roman" w:hAnsi="Times New Roman"/>
          <w:snapToGrid w:val="0"/>
        </w:rPr>
        <w:t>for</w:t>
      </w:r>
      <w:r w:rsidRPr="00630965">
        <w:rPr>
          <w:rFonts w:ascii="Times New Roman" w:hAnsi="Times New Roman"/>
          <w:snapToGrid w:val="0"/>
        </w:rPr>
        <w:t xml:space="preserve"> travel </w:t>
      </w:r>
      <w:r>
        <w:rPr>
          <w:rFonts w:ascii="Times New Roman" w:hAnsi="Times New Roman"/>
          <w:snapToGrid w:val="0"/>
        </w:rPr>
        <w:t>to</w:t>
      </w:r>
      <w:r w:rsidRPr="00630965">
        <w:rPr>
          <w:rFonts w:ascii="Times New Roman" w:hAnsi="Times New Roman"/>
          <w:snapToGrid w:val="0"/>
        </w:rPr>
        <w:t xml:space="preserve"> be cost</w:t>
      </w:r>
      <w:r>
        <w:rPr>
          <w:rFonts w:ascii="Times New Roman" w:hAnsi="Times New Roman"/>
          <w:snapToGrid w:val="0"/>
        </w:rPr>
        <w:t>-</w:t>
      </w:r>
      <w:r w:rsidRPr="00630965">
        <w:rPr>
          <w:rFonts w:ascii="Times New Roman" w:hAnsi="Times New Roman"/>
          <w:snapToGrid w:val="0"/>
        </w:rPr>
        <w:t>effective.</w:t>
      </w:r>
      <w:r>
        <w:rPr>
          <w:rFonts w:ascii="Times New Roman" w:hAnsi="Times New Roman"/>
          <w:snapToGrid w:val="0"/>
        </w:rPr>
        <w:t xml:space="preserve"> </w:t>
      </w:r>
      <w:r w:rsidR="005B4B22">
        <w:rPr>
          <w:rFonts w:ascii="Times New Roman" w:hAnsi="Times New Roman"/>
          <w:snapToGrid w:val="0"/>
        </w:rPr>
        <w:t xml:space="preserve"> </w:t>
      </w:r>
      <w:r w:rsidRPr="00630965">
        <w:rPr>
          <w:rFonts w:ascii="Times New Roman" w:hAnsi="Times New Roman"/>
          <w:snapToGrid w:val="0"/>
        </w:rPr>
        <w:t xml:space="preserve">Prior to deploying field staff, </w:t>
      </w:r>
      <w:r>
        <w:rPr>
          <w:rFonts w:ascii="Times New Roman" w:hAnsi="Times New Roman"/>
          <w:snapToGrid w:val="0"/>
        </w:rPr>
        <w:t xml:space="preserve">we will send all cases assigned to the field with a valid mailing address </w:t>
      </w:r>
      <w:r w:rsidRPr="00630965">
        <w:rPr>
          <w:rFonts w:ascii="Times New Roman" w:hAnsi="Times New Roman"/>
          <w:snapToGrid w:val="0"/>
        </w:rPr>
        <w:t xml:space="preserve">a </w:t>
      </w:r>
      <w:r>
        <w:rPr>
          <w:rFonts w:ascii="Times New Roman" w:hAnsi="Times New Roman"/>
          <w:snapToGrid w:val="0"/>
        </w:rPr>
        <w:t>pre-field letter</w:t>
      </w:r>
      <w:r w:rsidRPr="00630965">
        <w:rPr>
          <w:rFonts w:ascii="Times New Roman" w:hAnsi="Times New Roman"/>
          <w:snapToGrid w:val="0"/>
        </w:rPr>
        <w:t xml:space="preserve">, informing them that a representative from </w:t>
      </w:r>
      <w:r>
        <w:rPr>
          <w:rFonts w:ascii="Times New Roman" w:hAnsi="Times New Roman"/>
          <w:snapToGrid w:val="0"/>
        </w:rPr>
        <w:t>Mathematica</w:t>
      </w:r>
      <w:r w:rsidRPr="00630965">
        <w:rPr>
          <w:rFonts w:ascii="Times New Roman" w:hAnsi="Times New Roman"/>
          <w:snapToGrid w:val="0"/>
        </w:rPr>
        <w:t xml:space="preserve"> will be visiting their home</w:t>
      </w:r>
      <w:r>
        <w:rPr>
          <w:rFonts w:ascii="Times New Roman" w:hAnsi="Times New Roman"/>
          <w:snapToGrid w:val="0"/>
        </w:rPr>
        <w:t xml:space="preserve">. </w:t>
      </w:r>
      <w:r w:rsidR="00D45E0A">
        <w:rPr>
          <w:rFonts w:ascii="Times New Roman" w:hAnsi="Times New Roman"/>
          <w:snapToGrid w:val="0"/>
        </w:rPr>
        <w:t xml:space="preserve"> </w:t>
      </w:r>
      <w:r w:rsidRPr="00630965">
        <w:rPr>
          <w:rFonts w:ascii="Times New Roman" w:hAnsi="Times New Roman"/>
          <w:snapToGrid w:val="0"/>
        </w:rPr>
        <w:t xml:space="preserve">Once in the field, staff will have several other tools at their disposal to support field locating efforts, including a “Sorry I Missed You” card, appointment card, post-office letter, study brochure, interviewer field </w:t>
      </w:r>
      <w:r>
        <w:rPr>
          <w:rFonts w:ascii="Times New Roman" w:hAnsi="Times New Roman"/>
          <w:snapToGrid w:val="0"/>
        </w:rPr>
        <w:t xml:space="preserve">letter, and locating checklist. </w:t>
      </w:r>
      <w:r w:rsidR="00D45E0A">
        <w:rPr>
          <w:rFonts w:ascii="Times New Roman" w:hAnsi="Times New Roman"/>
          <w:snapToGrid w:val="0"/>
        </w:rPr>
        <w:t xml:space="preserve"> </w:t>
      </w:r>
      <w:r w:rsidRPr="00630965">
        <w:rPr>
          <w:rFonts w:ascii="Times New Roman" w:hAnsi="Times New Roman"/>
          <w:snapToGrid w:val="0"/>
        </w:rPr>
        <w:t>The</w:t>
      </w:r>
      <w:r>
        <w:rPr>
          <w:rFonts w:ascii="Times New Roman" w:hAnsi="Times New Roman"/>
          <w:snapToGrid w:val="0"/>
        </w:rPr>
        <w:t xml:space="preserve"> locator checklist identifies</w:t>
      </w:r>
      <w:r w:rsidRPr="00630965">
        <w:rPr>
          <w:rFonts w:ascii="Times New Roman" w:hAnsi="Times New Roman"/>
          <w:snapToGrid w:val="0"/>
        </w:rPr>
        <w:t xml:space="preserve"> steps a field interviewer should take when locating a respondent, with the steps listed hierarchically from most t</w:t>
      </w:r>
      <w:r>
        <w:rPr>
          <w:rFonts w:ascii="Times New Roman" w:hAnsi="Times New Roman"/>
          <w:snapToGrid w:val="0"/>
        </w:rPr>
        <w:t xml:space="preserve">o least likely to be effective. </w:t>
      </w:r>
      <w:r w:rsidR="00D45E0A">
        <w:rPr>
          <w:rFonts w:ascii="Times New Roman" w:hAnsi="Times New Roman"/>
          <w:snapToGrid w:val="0"/>
        </w:rPr>
        <w:t xml:space="preserve"> </w:t>
      </w:r>
      <w:r>
        <w:rPr>
          <w:rFonts w:ascii="Times New Roman" w:hAnsi="Times New Roman"/>
          <w:snapToGrid w:val="0"/>
        </w:rPr>
        <w:t xml:space="preserve">The checklist </w:t>
      </w:r>
      <w:r w:rsidRPr="00630965">
        <w:rPr>
          <w:rFonts w:ascii="Times New Roman" w:hAnsi="Times New Roman"/>
          <w:snapToGrid w:val="0"/>
        </w:rPr>
        <w:t>help</w:t>
      </w:r>
      <w:r>
        <w:rPr>
          <w:rFonts w:ascii="Times New Roman" w:hAnsi="Times New Roman"/>
          <w:snapToGrid w:val="0"/>
        </w:rPr>
        <w:t>s</w:t>
      </w:r>
      <w:r w:rsidRPr="00630965">
        <w:rPr>
          <w:rFonts w:ascii="Times New Roman" w:hAnsi="Times New Roman"/>
          <w:snapToGrid w:val="0"/>
        </w:rPr>
        <w:t xml:space="preserve"> prevent duplication of</w:t>
      </w:r>
      <w:r>
        <w:rPr>
          <w:rFonts w:ascii="Times New Roman" w:hAnsi="Times New Roman"/>
          <w:snapToGrid w:val="0"/>
        </w:rPr>
        <w:t xml:space="preserve"> </w:t>
      </w:r>
      <w:r w:rsidRPr="00630965">
        <w:rPr>
          <w:rFonts w:ascii="Times New Roman" w:hAnsi="Times New Roman"/>
          <w:snapToGrid w:val="0"/>
        </w:rPr>
        <w:t>efforts and set</w:t>
      </w:r>
      <w:r>
        <w:rPr>
          <w:rFonts w:ascii="Times New Roman" w:hAnsi="Times New Roman"/>
          <w:snapToGrid w:val="0"/>
        </w:rPr>
        <w:t>s</w:t>
      </w:r>
      <w:r w:rsidRPr="00630965">
        <w:rPr>
          <w:rFonts w:ascii="Times New Roman" w:hAnsi="Times New Roman"/>
          <w:snapToGrid w:val="0"/>
        </w:rPr>
        <w:t xml:space="preserve"> clear parameters for when a case should cease because of </w:t>
      </w:r>
      <w:r>
        <w:rPr>
          <w:rFonts w:ascii="Times New Roman" w:hAnsi="Times New Roman"/>
          <w:snapToGrid w:val="0"/>
        </w:rPr>
        <w:t>non</w:t>
      </w:r>
      <w:r w:rsidRPr="00630965">
        <w:rPr>
          <w:rFonts w:ascii="Times New Roman" w:hAnsi="Times New Roman"/>
          <w:snapToGrid w:val="0"/>
        </w:rPr>
        <w:t>response.</w:t>
      </w:r>
      <w:r>
        <w:rPr>
          <w:rFonts w:ascii="Times New Roman" w:hAnsi="Times New Roman"/>
          <w:snapToGrid w:val="0"/>
        </w:rPr>
        <w:t xml:space="preserve"> </w:t>
      </w:r>
      <w:r w:rsidR="00D45E0A">
        <w:rPr>
          <w:rFonts w:ascii="Times New Roman" w:hAnsi="Times New Roman"/>
          <w:snapToGrid w:val="0"/>
        </w:rPr>
        <w:t xml:space="preserve"> </w:t>
      </w:r>
      <w:r>
        <w:rPr>
          <w:rFonts w:ascii="Times New Roman" w:hAnsi="Times New Roman"/>
          <w:snapToGrid w:val="0"/>
        </w:rPr>
        <w:t>We will train l</w:t>
      </w:r>
      <w:r w:rsidRPr="00850672">
        <w:rPr>
          <w:rFonts w:ascii="Times New Roman" w:hAnsi="Times New Roman"/>
        </w:rPr>
        <w:t>ocat</w:t>
      </w:r>
      <w:r>
        <w:rPr>
          <w:rFonts w:ascii="Times New Roman" w:hAnsi="Times New Roman"/>
        </w:rPr>
        <w:t>ors</w:t>
      </w:r>
      <w:r w:rsidRPr="00850672">
        <w:rPr>
          <w:rFonts w:ascii="Times New Roman" w:hAnsi="Times New Roman"/>
        </w:rPr>
        <w:t xml:space="preserve"> </w:t>
      </w:r>
      <w:r>
        <w:rPr>
          <w:rFonts w:ascii="Times New Roman" w:hAnsi="Times New Roman"/>
        </w:rPr>
        <w:t xml:space="preserve">to </w:t>
      </w:r>
      <w:r w:rsidRPr="00850672">
        <w:rPr>
          <w:rFonts w:ascii="Times New Roman" w:hAnsi="Times New Roman"/>
        </w:rPr>
        <w:t xml:space="preserve">not reveal private information about </w:t>
      </w:r>
      <w:r>
        <w:rPr>
          <w:rFonts w:ascii="Times New Roman" w:hAnsi="Times New Roman"/>
        </w:rPr>
        <w:t>a sample member</w:t>
      </w:r>
      <w:r w:rsidRPr="00850672">
        <w:rPr>
          <w:rFonts w:ascii="Times New Roman" w:hAnsi="Times New Roman"/>
        </w:rPr>
        <w:t xml:space="preserve"> to any informants, including the study’s name or unique details about the study.</w:t>
      </w:r>
      <w:r w:rsidR="00D45E0A">
        <w:rPr>
          <w:rFonts w:ascii="Times New Roman" w:hAnsi="Times New Roman"/>
        </w:rPr>
        <w:t xml:space="preserve"> </w:t>
      </w:r>
      <w:r>
        <w:rPr>
          <w:rFonts w:ascii="Times New Roman" w:hAnsi="Times New Roman"/>
        </w:rPr>
        <w:t xml:space="preserve"> We will equip a</w:t>
      </w:r>
      <w:r w:rsidRPr="00850672">
        <w:rPr>
          <w:rFonts w:ascii="Times New Roman" w:hAnsi="Times New Roman"/>
        </w:rPr>
        <w:t xml:space="preserve">ll field staff with </w:t>
      </w:r>
      <w:r>
        <w:rPr>
          <w:rFonts w:ascii="Times New Roman" w:hAnsi="Times New Roman"/>
        </w:rPr>
        <w:t>cellular telephones so</w:t>
      </w:r>
      <w:r w:rsidRPr="00850672">
        <w:rPr>
          <w:rFonts w:ascii="Times New Roman" w:hAnsi="Times New Roman"/>
        </w:rPr>
        <w:t xml:space="preserve"> sample members, once found, can call into </w:t>
      </w:r>
      <w:r>
        <w:rPr>
          <w:rFonts w:ascii="Times New Roman" w:hAnsi="Times New Roman"/>
        </w:rPr>
        <w:t>Mathematica</w:t>
      </w:r>
      <w:r w:rsidRPr="00850672">
        <w:rPr>
          <w:rFonts w:ascii="Times New Roman" w:hAnsi="Times New Roman"/>
        </w:rPr>
        <w:t>’s telephone center to complete the interview.</w:t>
      </w:r>
      <w:r w:rsidR="00D45E0A">
        <w:rPr>
          <w:rFonts w:ascii="Times New Roman" w:hAnsi="Times New Roman"/>
        </w:rPr>
        <w:t xml:space="preserve"> </w:t>
      </w:r>
      <w:r>
        <w:rPr>
          <w:rFonts w:ascii="Times New Roman" w:hAnsi="Times New Roman"/>
        </w:rPr>
        <w:t xml:space="preserve"> We will monitor respondent characteristics throughout the data collection effort to detect the potential for bias so that resources could be allocated as needed to target specific sub-groups. </w:t>
      </w:r>
    </w:p>
    <w:p w:rsidR="00602A76" w:rsidP="006972B7" w:rsidRDefault="00602A76" w14:paraId="69138880" w14:textId="7006073A">
      <w:pPr>
        <w:pStyle w:val="NormalSS"/>
        <w:ind w:left="270" w:firstLine="0"/>
        <w:jc w:val="left"/>
        <w:rPr>
          <w:rFonts w:ascii="Times New Roman" w:hAnsi="Times New Roman"/>
        </w:rPr>
      </w:pPr>
      <w:r>
        <w:rPr>
          <w:rFonts w:ascii="Times New Roman" w:hAnsi="Times New Roman"/>
        </w:rPr>
        <w:t xml:space="preserve">To promote response among Spanish speakers, we will develop </w:t>
      </w:r>
      <w:r w:rsidRPr="006F0F03">
        <w:rPr>
          <w:rFonts w:ascii="Times New Roman" w:hAnsi="Times New Roman"/>
        </w:rPr>
        <w:t xml:space="preserve">a Spanish-language </w:t>
      </w:r>
      <w:r>
        <w:rPr>
          <w:rFonts w:ascii="Times New Roman" w:hAnsi="Times New Roman"/>
        </w:rPr>
        <w:t xml:space="preserve">version </w:t>
      </w:r>
      <w:r w:rsidRPr="006F0F03">
        <w:rPr>
          <w:rFonts w:ascii="Times New Roman" w:hAnsi="Times New Roman"/>
        </w:rPr>
        <w:t xml:space="preserve">of the </w:t>
      </w:r>
      <w:r>
        <w:rPr>
          <w:rFonts w:ascii="Times New Roman" w:hAnsi="Times New Roman"/>
        </w:rPr>
        <w:t xml:space="preserve">CATI </w:t>
      </w:r>
      <w:r w:rsidRPr="006F0F03">
        <w:rPr>
          <w:rFonts w:ascii="Times New Roman" w:hAnsi="Times New Roman"/>
        </w:rPr>
        <w:t xml:space="preserve">instrument </w:t>
      </w:r>
      <w:r>
        <w:rPr>
          <w:rFonts w:ascii="Times New Roman" w:hAnsi="Times New Roman"/>
        </w:rPr>
        <w:t xml:space="preserve">that </w:t>
      </w:r>
      <w:r w:rsidRPr="006F0F03">
        <w:rPr>
          <w:rFonts w:ascii="Times New Roman" w:hAnsi="Times New Roman"/>
        </w:rPr>
        <w:t>Spanish-speaking interviewers</w:t>
      </w:r>
      <w:r w:rsidR="00D61351">
        <w:rPr>
          <w:rFonts w:ascii="Times New Roman" w:hAnsi="Times New Roman"/>
        </w:rPr>
        <w:t xml:space="preserve"> will administer</w:t>
      </w:r>
      <w:r w:rsidRPr="006F0F03">
        <w:rPr>
          <w:rFonts w:ascii="Times New Roman" w:hAnsi="Times New Roman"/>
        </w:rPr>
        <w:t xml:space="preserve">. </w:t>
      </w:r>
      <w:r w:rsidR="00D45E0A">
        <w:rPr>
          <w:rFonts w:ascii="Times New Roman" w:hAnsi="Times New Roman"/>
        </w:rPr>
        <w:t xml:space="preserve"> </w:t>
      </w:r>
      <w:r>
        <w:rPr>
          <w:rFonts w:ascii="Times New Roman" w:hAnsi="Times New Roman"/>
        </w:rPr>
        <w:t xml:space="preserve">In addition, we will mail respondent letters and notification materials in Spanish to sample members who indicated a preference for Spanish language communications according to SSA’s administrative data. </w:t>
      </w:r>
      <w:r w:rsidR="00D45E0A">
        <w:rPr>
          <w:rFonts w:ascii="Times New Roman" w:hAnsi="Times New Roman"/>
        </w:rPr>
        <w:t xml:space="preserve"> </w:t>
      </w:r>
      <w:r>
        <w:rPr>
          <w:rFonts w:ascii="Times New Roman" w:hAnsi="Times New Roman"/>
        </w:rPr>
        <w:t xml:space="preserve">We will also provide Spanish versions of the </w:t>
      </w:r>
      <w:r w:rsidRPr="00BA5E10">
        <w:rPr>
          <w:rFonts w:ascii="Times New Roman" w:hAnsi="Times New Roman"/>
        </w:rPr>
        <w:t xml:space="preserve">advance letters and other communications </w:t>
      </w:r>
      <w:r>
        <w:rPr>
          <w:rFonts w:ascii="Times New Roman" w:hAnsi="Times New Roman"/>
        </w:rPr>
        <w:t>to all sample members who live in NBS sampling areas with a large proportion of beneficiaries with a Spanish-language preference.</w:t>
      </w:r>
      <w:r w:rsidRPr="00031778">
        <w:rPr>
          <w:rFonts w:ascii="Times New Roman" w:hAnsi="Times New Roman"/>
        </w:rPr>
        <w:t xml:space="preserve"> </w:t>
      </w:r>
    </w:p>
    <w:p w:rsidRPr="00630965" w:rsidR="00602A76" w:rsidP="00773647" w:rsidRDefault="00602A76" w14:paraId="2D687510" w14:textId="1CD10DEB">
      <w:pPr>
        <w:pStyle w:val="NormalSS"/>
        <w:tabs>
          <w:tab w:val="clear" w:pos="432"/>
          <w:tab w:val="left" w:pos="270"/>
          <w:tab w:val="left" w:pos="360"/>
        </w:tabs>
        <w:ind w:left="270" w:firstLine="0"/>
        <w:jc w:val="left"/>
        <w:rPr>
          <w:rFonts w:ascii="Times New Roman" w:hAnsi="Times New Roman"/>
        </w:rPr>
      </w:pPr>
      <w:r w:rsidRPr="00630965">
        <w:rPr>
          <w:rFonts w:ascii="Times New Roman" w:hAnsi="Times New Roman"/>
        </w:rPr>
        <w:t xml:space="preserve">The impairments of some </w:t>
      </w:r>
      <w:r>
        <w:rPr>
          <w:rFonts w:ascii="Times New Roman" w:hAnsi="Times New Roman"/>
        </w:rPr>
        <w:t xml:space="preserve">sample members </w:t>
      </w:r>
      <w:r w:rsidRPr="00630965">
        <w:rPr>
          <w:rFonts w:ascii="Times New Roman" w:hAnsi="Times New Roman"/>
        </w:rPr>
        <w:t xml:space="preserve">will make responding </w:t>
      </w:r>
      <w:r>
        <w:rPr>
          <w:rFonts w:ascii="Times New Roman" w:hAnsi="Times New Roman"/>
        </w:rPr>
        <w:t xml:space="preserve">to the survey </w:t>
      </w:r>
      <w:r w:rsidRPr="00630965">
        <w:rPr>
          <w:rFonts w:ascii="Times New Roman" w:hAnsi="Times New Roman"/>
        </w:rPr>
        <w:t>problematic, especially by tele</w:t>
      </w:r>
      <w:r>
        <w:rPr>
          <w:rFonts w:ascii="Times New Roman" w:hAnsi="Times New Roman"/>
        </w:rPr>
        <w:t xml:space="preserve">phone. </w:t>
      </w:r>
      <w:r w:rsidR="00D45E0A">
        <w:rPr>
          <w:rFonts w:ascii="Times New Roman" w:hAnsi="Times New Roman"/>
        </w:rPr>
        <w:t xml:space="preserve"> </w:t>
      </w:r>
      <w:r w:rsidRPr="00630965">
        <w:rPr>
          <w:rFonts w:ascii="Times New Roman" w:hAnsi="Times New Roman"/>
        </w:rPr>
        <w:t xml:space="preserve">To facilitate responses to the CATI interview, we will offer the use </w:t>
      </w:r>
      <w:r w:rsidRPr="00630965">
        <w:rPr>
          <w:rFonts w:ascii="Times New Roman" w:hAnsi="Times New Roman"/>
        </w:rPr>
        <w:lastRenderedPageBreak/>
        <w:t>of several assistive devices (</w:t>
      </w:r>
      <w:r>
        <w:rPr>
          <w:rFonts w:ascii="Times New Roman" w:hAnsi="Times New Roman"/>
        </w:rPr>
        <w:t xml:space="preserve">for example, </w:t>
      </w:r>
      <w:r w:rsidRPr="00630965">
        <w:rPr>
          <w:rFonts w:ascii="Times New Roman" w:hAnsi="Times New Roman"/>
        </w:rPr>
        <w:t>amplifier</w:t>
      </w:r>
      <w:r>
        <w:rPr>
          <w:rFonts w:ascii="Times New Roman" w:hAnsi="Times New Roman"/>
        </w:rPr>
        <w:t>s</w:t>
      </w:r>
      <w:r w:rsidRPr="00630965">
        <w:rPr>
          <w:rFonts w:ascii="Times New Roman" w:hAnsi="Times New Roman"/>
        </w:rPr>
        <w:t>, Telecommunications Relay Service, instant messaging,) and will instruct interviewers to remain patient</w:t>
      </w:r>
      <w:r>
        <w:rPr>
          <w:rFonts w:ascii="Times New Roman" w:hAnsi="Times New Roman"/>
        </w:rPr>
        <w:t>;</w:t>
      </w:r>
      <w:r w:rsidRPr="00630965">
        <w:rPr>
          <w:rFonts w:ascii="Times New Roman" w:hAnsi="Times New Roman"/>
        </w:rPr>
        <w:t xml:space="preserve"> repeat answers for clarification</w:t>
      </w:r>
      <w:r>
        <w:rPr>
          <w:rFonts w:ascii="Times New Roman" w:hAnsi="Times New Roman"/>
        </w:rPr>
        <w:t>;</w:t>
      </w:r>
      <w:r w:rsidRPr="00630965">
        <w:rPr>
          <w:rFonts w:ascii="Times New Roman" w:hAnsi="Times New Roman"/>
        </w:rPr>
        <w:t xml:space="preserve"> and identify sig</w:t>
      </w:r>
      <w:r>
        <w:rPr>
          <w:rFonts w:ascii="Times New Roman" w:hAnsi="Times New Roman"/>
        </w:rPr>
        <w:t>ns of respondent fatigue so</w:t>
      </w:r>
      <w:r w:rsidRPr="00630965">
        <w:rPr>
          <w:rFonts w:ascii="Times New Roman" w:hAnsi="Times New Roman"/>
        </w:rPr>
        <w:t xml:space="preserve"> </w:t>
      </w:r>
      <w:r>
        <w:rPr>
          <w:rFonts w:ascii="Times New Roman" w:hAnsi="Times New Roman"/>
        </w:rPr>
        <w:t xml:space="preserve">we can complete </w:t>
      </w:r>
      <w:r w:rsidRPr="00630965">
        <w:rPr>
          <w:rFonts w:ascii="Times New Roman" w:hAnsi="Times New Roman"/>
        </w:rPr>
        <w:t xml:space="preserve">the interview </w:t>
      </w:r>
      <w:r>
        <w:rPr>
          <w:rFonts w:ascii="Times New Roman" w:hAnsi="Times New Roman"/>
        </w:rPr>
        <w:t xml:space="preserve">in </w:t>
      </w:r>
      <w:r w:rsidRPr="00630965">
        <w:rPr>
          <w:rFonts w:ascii="Times New Roman" w:hAnsi="Times New Roman"/>
        </w:rPr>
        <w:t xml:space="preserve">one session if </w:t>
      </w:r>
      <w:r>
        <w:rPr>
          <w:rFonts w:ascii="Times New Roman" w:hAnsi="Times New Roman"/>
        </w:rPr>
        <w:t xml:space="preserve">possible. </w:t>
      </w:r>
      <w:r w:rsidR="006365B1">
        <w:rPr>
          <w:rFonts w:ascii="Times New Roman" w:hAnsi="Times New Roman"/>
        </w:rPr>
        <w:t xml:space="preserve"> </w:t>
      </w:r>
      <w:r w:rsidRPr="00630965">
        <w:rPr>
          <w:rFonts w:ascii="Times New Roman" w:hAnsi="Times New Roman"/>
        </w:rPr>
        <w:t>Despite these efforts, we know that some respondents will be unable to complete the interview by telephone</w:t>
      </w:r>
      <w:r w:rsidR="006365B1">
        <w:rPr>
          <w:rFonts w:ascii="Times New Roman" w:hAnsi="Times New Roman"/>
        </w:rPr>
        <w:t xml:space="preserve"> and</w:t>
      </w:r>
      <w:r w:rsidR="005B4B22">
        <w:rPr>
          <w:rFonts w:ascii="Times New Roman" w:hAnsi="Times New Roman"/>
        </w:rPr>
        <w:t xml:space="preserve"> </w:t>
      </w:r>
      <w:r w:rsidRPr="00630965">
        <w:rPr>
          <w:rFonts w:ascii="Times New Roman" w:hAnsi="Times New Roman"/>
        </w:rPr>
        <w:t>others will be unable to complete the interview at all.</w:t>
      </w:r>
    </w:p>
    <w:p w:rsidRPr="00630965" w:rsidR="00602A76" w:rsidP="00773647" w:rsidRDefault="00602A76" w14:paraId="1B5FA322" w14:textId="58559EFA">
      <w:pPr>
        <w:pStyle w:val="NormalSS"/>
        <w:tabs>
          <w:tab w:val="clear" w:pos="432"/>
          <w:tab w:val="left" w:pos="270"/>
          <w:tab w:val="left" w:pos="360"/>
        </w:tabs>
        <w:spacing w:after="120"/>
        <w:ind w:left="270" w:firstLine="0"/>
        <w:jc w:val="left"/>
        <w:rPr>
          <w:rFonts w:ascii="Times New Roman" w:hAnsi="Times New Roman"/>
          <w:szCs w:val="24"/>
        </w:rPr>
      </w:pPr>
      <w:r w:rsidRPr="00630965">
        <w:rPr>
          <w:rFonts w:ascii="Times New Roman" w:hAnsi="Times New Roman"/>
          <w:szCs w:val="24"/>
        </w:rPr>
        <w:t xml:space="preserve">To increase opportunities for self-response, we will permit assisted interviews, which differ from proxy interviews in that </w:t>
      </w:r>
      <w:r>
        <w:rPr>
          <w:rFonts w:ascii="Times New Roman" w:hAnsi="Times New Roman"/>
          <w:szCs w:val="24"/>
        </w:rPr>
        <w:t xml:space="preserve">the sample members </w:t>
      </w:r>
      <w:r w:rsidRPr="00630965">
        <w:rPr>
          <w:rFonts w:ascii="Times New Roman" w:hAnsi="Times New Roman"/>
          <w:szCs w:val="24"/>
        </w:rPr>
        <w:t>an</w:t>
      </w:r>
      <w:r>
        <w:rPr>
          <w:rFonts w:ascii="Times New Roman" w:hAnsi="Times New Roman"/>
          <w:szCs w:val="24"/>
        </w:rPr>
        <w:t>swer most questions themselves.</w:t>
      </w:r>
      <w:r w:rsidR="00D45E0A">
        <w:rPr>
          <w:rFonts w:ascii="Times New Roman" w:hAnsi="Times New Roman"/>
          <w:szCs w:val="24"/>
        </w:rPr>
        <w:t xml:space="preserve"> </w:t>
      </w:r>
      <w:r>
        <w:rPr>
          <w:rFonts w:ascii="Times New Roman" w:hAnsi="Times New Roman"/>
          <w:szCs w:val="24"/>
        </w:rPr>
        <w:t xml:space="preserve"> </w:t>
      </w:r>
      <w:r w:rsidRPr="00630965">
        <w:rPr>
          <w:rFonts w:ascii="Times New Roman" w:hAnsi="Times New Roman"/>
          <w:szCs w:val="24"/>
        </w:rPr>
        <w:t xml:space="preserve">The assistant, typically a family member, provides encouragement, interpretation, </w:t>
      </w:r>
      <w:r>
        <w:rPr>
          <w:rFonts w:ascii="Times New Roman" w:hAnsi="Times New Roman"/>
          <w:szCs w:val="24"/>
        </w:rPr>
        <w:t xml:space="preserve">and verifies answers as needed. </w:t>
      </w:r>
      <w:r w:rsidR="00D45E0A">
        <w:rPr>
          <w:rFonts w:ascii="Times New Roman" w:hAnsi="Times New Roman"/>
          <w:szCs w:val="24"/>
        </w:rPr>
        <w:t xml:space="preserve"> </w:t>
      </w:r>
      <w:r w:rsidRPr="00630965">
        <w:rPr>
          <w:rFonts w:ascii="Times New Roman" w:hAnsi="Times New Roman"/>
          <w:szCs w:val="24"/>
        </w:rPr>
        <w:t>These interviews minimize item nonresponse</w:t>
      </w:r>
      <w:r>
        <w:rPr>
          <w:rFonts w:ascii="Times New Roman" w:hAnsi="Times New Roman"/>
          <w:szCs w:val="24"/>
        </w:rPr>
        <w:t>;</w:t>
      </w:r>
      <w:r w:rsidRPr="00630965">
        <w:rPr>
          <w:rFonts w:ascii="Times New Roman" w:hAnsi="Times New Roman"/>
          <w:szCs w:val="24"/>
        </w:rPr>
        <w:t xml:space="preserve"> improve response accuracy</w:t>
      </w:r>
      <w:r>
        <w:rPr>
          <w:rFonts w:ascii="Times New Roman" w:hAnsi="Times New Roman"/>
          <w:szCs w:val="24"/>
        </w:rPr>
        <w:t>;</w:t>
      </w:r>
      <w:r w:rsidRPr="00630965">
        <w:rPr>
          <w:rFonts w:ascii="Times New Roman" w:hAnsi="Times New Roman"/>
          <w:szCs w:val="24"/>
        </w:rPr>
        <w:t xml:space="preserve"> and help with some limiting conditions such as hearing difficulties and language barriers. </w:t>
      </w:r>
    </w:p>
    <w:p w:rsidRPr="006F0F03" w:rsidR="00602A76" w:rsidP="006972B7" w:rsidRDefault="00602A76" w14:paraId="3F020B4B" w14:textId="0F2FDB98">
      <w:pPr>
        <w:pStyle w:val="NormalSS"/>
        <w:ind w:left="270" w:firstLine="0"/>
        <w:jc w:val="left"/>
        <w:rPr>
          <w:rFonts w:ascii="Times New Roman" w:hAnsi="Times New Roman"/>
        </w:rPr>
      </w:pPr>
      <w:r w:rsidRPr="006F0F03">
        <w:rPr>
          <w:rFonts w:ascii="Times New Roman" w:hAnsi="Times New Roman"/>
        </w:rPr>
        <w:t xml:space="preserve">As a last resort, we will rely on proxy respondents to complete the survey on behalf of sample members who are unable to do so (even with assistance) either by telephone or in person. </w:t>
      </w:r>
      <w:r w:rsidR="00D45E0A">
        <w:rPr>
          <w:rFonts w:ascii="Times New Roman" w:hAnsi="Times New Roman"/>
        </w:rPr>
        <w:t xml:space="preserve"> </w:t>
      </w:r>
      <w:r w:rsidRPr="006F0F03">
        <w:rPr>
          <w:rFonts w:ascii="Times New Roman" w:hAnsi="Times New Roman"/>
        </w:rPr>
        <w:t xml:space="preserve">This includes individuals with severe communication impairments or physical disabilities that preclude participation in any mode, and those with </w:t>
      </w:r>
      <w:r>
        <w:rPr>
          <w:rFonts w:ascii="Times New Roman" w:hAnsi="Times New Roman"/>
        </w:rPr>
        <w:t xml:space="preserve">cognitive </w:t>
      </w:r>
      <w:r w:rsidRPr="006F0F03">
        <w:rPr>
          <w:rFonts w:ascii="Times New Roman" w:hAnsi="Times New Roman"/>
        </w:rPr>
        <w:t>impairments that</w:t>
      </w:r>
      <w:r>
        <w:rPr>
          <w:rFonts w:ascii="Times New Roman" w:hAnsi="Times New Roman"/>
        </w:rPr>
        <w:t xml:space="preserve"> might compromise data quality.</w:t>
      </w:r>
      <w:r w:rsidR="00D45E0A">
        <w:rPr>
          <w:rFonts w:ascii="Times New Roman" w:hAnsi="Times New Roman"/>
        </w:rPr>
        <w:t xml:space="preserve"> </w:t>
      </w:r>
      <w:r>
        <w:rPr>
          <w:rFonts w:ascii="Times New Roman" w:hAnsi="Times New Roman"/>
        </w:rPr>
        <w:t xml:space="preserve"> </w:t>
      </w:r>
      <w:r w:rsidRPr="006F0F03">
        <w:rPr>
          <w:rFonts w:ascii="Times New Roman" w:hAnsi="Times New Roman"/>
        </w:rPr>
        <w:t>The use of proxies can minimize the risk of nonresponse bias that would result from the exclusion of individuals with severe phy</w:t>
      </w:r>
      <w:r>
        <w:rPr>
          <w:rFonts w:ascii="Times New Roman" w:hAnsi="Times New Roman"/>
        </w:rPr>
        <w:t xml:space="preserve">sical or cognitive impairments. </w:t>
      </w:r>
      <w:r w:rsidR="00D45E0A">
        <w:rPr>
          <w:rFonts w:ascii="Times New Roman" w:hAnsi="Times New Roman"/>
        </w:rPr>
        <w:t xml:space="preserve"> </w:t>
      </w:r>
      <w:r w:rsidRPr="006F0F03">
        <w:rPr>
          <w:rFonts w:ascii="Times New Roman" w:hAnsi="Times New Roman"/>
        </w:rPr>
        <w:t xml:space="preserve">To identify the need for proxy respondents, we will administer a mini-cognitive test </w:t>
      </w:r>
      <w:r>
        <w:rPr>
          <w:rFonts w:ascii="Times New Roman" w:hAnsi="Times New Roman"/>
        </w:rPr>
        <w:t xml:space="preserve">used in prior rounds of the </w:t>
      </w:r>
      <w:r w:rsidRPr="006F0F03">
        <w:rPr>
          <w:rFonts w:ascii="Times New Roman" w:hAnsi="Times New Roman"/>
        </w:rPr>
        <w:t>NBS</w:t>
      </w:r>
      <w:r>
        <w:rPr>
          <w:rFonts w:ascii="Times New Roman" w:hAnsi="Times New Roman"/>
        </w:rPr>
        <w:t>.</w:t>
      </w:r>
      <w:r w:rsidR="00D45E0A">
        <w:rPr>
          <w:rFonts w:ascii="Times New Roman" w:hAnsi="Times New Roman"/>
        </w:rPr>
        <w:t xml:space="preserve"> </w:t>
      </w:r>
      <w:r>
        <w:rPr>
          <w:rFonts w:ascii="Times New Roman" w:hAnsi="Times New Roman"/>
        </w:rPr>
        <w:t xml:space="preserve"> </w:t>
      </w:r>
      <w:r w:rsidRPr="006F0F03">
        <w:rPr>
          <w:rFonts w:ascii="Times New Roman" w:hAnsi="Times New Roman"/>
        </w:rPr>
        <w:t>The test provides interviewers a tool for determining when to seek a proxy rather than leaving the decision to intervi</w:t>
      </w:r>
      <w:r>
        <w:rPr>
          <w:rFonts w:ascii="Times New Roman" w:hAnsi="Times New Roman"/>
        </w:rPr>
        <w:t xml:space="preserve">ewer discretion or a gatekeeper. </w:t>
      </w:r>
    </w:p>
    <w:p w:rsidR="00602A76" w:rsidP="006972B7" w:rsidRDefault="006B44C5" w14:paraId="4C782213" w14:textId="5A7E96AB">
      <w:pPr>
        <w:pStyle w:val="ListBullet"/>
        <w:numPr>
          <w:ilvl w:val="0"/>
          <w:numId w:val="0"/>
        </w:numPr>
        <w:ind w:left="270"/>
        <w:rPr>
          <w:rFonts w:cs="Times New Roman"/>
        </w:rPr>
      </w:pPr>
      <w:r>
        <w:t>SSA will</w:t>
      </w:r>
      <w:r w:rsidR="00602A76">
        <w:t xml:space="preserve"> mail sample members </w:t>
      </w:r>
      <w:r w:rsidRPr="006F0F03" w:rsidR="00602A76">
        <w:t>a $</w:t>
      </w:r>
      <w:r w:rsidR="00602A76">
        <w:t>3</w:t>
      </w:r>
      <w:r w:rsidRPr="006F0F03" w:rsidR="00602A76">
        <w:t>0 gift card</w:t>
      </w:r>
      <w:r w:rsidR="00602A76">
        <w:t xml:space="preserve"> upon completion of the Round 8</w:t>
      </w:r>
      <w:r>
        <w:t xml:space="preserve"> NBS </w:t>
      </w:r>
      <w:r w:rsidR="00602A76">
        <w:t xml:space="preserve"> interview. </w:t>
      </w:r>
      <w:bookmarkStart w:name="_Hlk95292268" w:id="40"/>
      <w:r w:rsidR="005B4B22">
        <w:t xml:space="preserve"> </w:t>
      </w:r>
      <w:r w:rsidR="00602A76">
        <w:t xml:space="preserve">In addition to the post-paid incentive, we </w:t>
      </w:r>
      <w:r w:rsidRPr="00E07895" w:rsidR="00602A76">
        <w:t xml:space="preserve">propose </w:t>
      </w:r>
      <w:r w:rsidR="00602A76">
        <w:t>incorporating</w:t>
      </w:r>
      <w:r w:rsidRPr="00E07895" w:rsidR="00602A76">
        <w:t xml:space="preserve"> a </w:t>
      </w:r>
      <w:r w:rsidR="00602A76">
        <w:t xml:space="preserve">$2 cash </w:t>
      </w:r>
      <w:r w:rsidRPr="00E07895" w:rsidR="00602A76">
        <w:t>pre-pa</w:t>
      </w:r>
      <w:r w:rsidR="00602A76">
        <w:t>id</w:t>
      </w:r>
      <w:r w:rsidRPr="00E07895" w:rsidR="00602A76">
        <w:t xml:space="preserve"> incentive experiment </w:t>
      </w:r>
      <w:r w:rsidR="00602A76">
        <w:t>into the Round 8 incentive structure</w:t>
      </w:r>
      <w:r w:rsidRPr="00E07895" w:rsidR="00602A76">
        <w:t>.</w:t>
      </w:r>
      <w:r w:rsidRPr="00B9123D" w:rsidR="00602A76">
        <w:t xml:space="preserve"> </w:t>
      </w:r>
      <w:r>
        <w:t xml:space="preserve"> </w:t>
      </w:r>
      <w:r w:rsidR="00602A76">
        <w:rPr>
          <w:rFonts w:cs="Times New Roman"/>
        </w:rPr>
        <w:t xml:space="preserve">To operationalize the experiment, we will </w:t>
      </w:r>
      <w:r w:rsidRPr="00B334C7" w:rsidR="00602A76">
        <w:t>random</w:t>
      </w:r>
      <w:r w:rsidR="00602A76">
        <w:t xml:space="preserve">ly assign </w:t>
      </w:r>
      <w:r w:rsidRPr="00B334C7" w:rsidR="00602A76">
        <w:t xml:space="preserve">all </w:t>
      </w:r>
      <w:r w:rsidR="00602A76">
        <w:t>of the approximately 10,000 RBS and SWS members</w:t>
      </w:r>
      <w:r w:rsidRPr="00B334C7" w:rsidR="00602A76">
        <w:t xml:space="preserve"> in the first </w:t>
      </w:r>
      <w:r w:rsidR="00602A76">
        <w:t xml:space="preserve">sample release to a treatment or control group. </w:t>
      </w:r>
      <w:r w:rsidR="005B4B22">
        <w:t xml:space="preserve"> </w:t>
      </w:r>
      <w:r w:rsidR="00602A76">
        <w:t>T</w:t>
      </w:r>
      <w:r w:rsidRPr="00B334C7" w:rsidR="00602A76">
        <w:t xml:space="preserve">reatment group </w:t>
      </w:r>
      <w:r w:rsidR="00602A76">
        <w:t xml:space="preserve">members </w:t>
      </w:r>
      <w:r w:rsidRPr="00B334C7" w:rsidR="00602A76">
        <w:t xml:space="preserve">will receive $2 </w:t>
      </w:r>
      <w:r w:rsidR="00602A76">
        <w:t xml:space="preserve">cash inside of their </w:t>
      </w:r>
      <w:r w:rsidRPr="00B334C7" w:rsidR="00602A76">
        <w:t>advance letter</w:t>
      </w:r>
      <w:r w:rsidR="00602A76">
        <w:t>, and</w:t>
      </w:r>
      <w:r w:rsidRPr="00B334C7" w:rsidR="00602A76">
        <w:t xml:space="preserve"> a $30 gift card upon completion of the survey. </w:t>
      </w:r>
      <w:r>
        <w:t xml:space="preserve"> </w:t>
      </w:r>
      <w:r w:rsidR="00602A76">
        <w:t>C</w:t>
      </w:r>
      <w:r w:rsidRPr="00B334C7" w:rsidR="00602A76">
        <w:t xml:space="preserve">ontrol group </w:t>
      </w:r>
      <w:r w:rsidR="00602A76">
        <w:t xml:space="preserve">members </w:t>
      </w:r>
      <w:r w:rsidRPr="00B334C7" w:rsidR="00602A76">
        <w:t>will receive a $30 gift card upon survey completion</w:t>
      </w:r>
      <w:r w:rsidR="00602A76">
        <w:t xml:space="preserve">. </w:t>
      </w:r>
    </w:p>
    <w:p w:rsidRPr="009F4CF8" w:rsidR="00602A76" w:rsidP="006972B7" w:rsidRDefault="00602A76" w14:paraId="719AFA78" w14:textId="2420A50F">
      <w:pPr>
        <w:pStyle w:val="H4"/>
        <w:ind w:left="270" w:firstLine="0"/>
        <w:rPr>
          <w:rFonts w:ascii="Times New Roman" w:hAnsi="Times New Roman"/>
          <w:i w:val="0"/>
          <w:iCs/>
        </w:rPr>
      </w:pPr>
      <w:bookmarkStart w:name="_Toc3603237" w:id="41"/>
      <w:bookmarkStart w:name="_Toc232927198" w:id="42"/>
      <w:bookmarkStart w:name="_Toc233197226" w:id="43"/>
      <w:bookmarkEnd w:id="40"/>
      <w:r w:rsidRPr="006B44C5">
        <w:rPr>
          <w:b/>
          <w:bCs/>
          <w:i w:val="0"/>
          <w:iCs/>
        </w:rPr>
        <w:t>Dealing with Issues of Nonresponse</w:t>
      </w:r>
      <w:bookmarkEnd w:id="41"/>
      <w:bookmarkEnd w:id="42"/>
      <w:bookmarkEnd w:id="43"/>
      <w:r w:rsidR="009F4CF8">
        <w:rPr>
          <w:b/>
          <w:bCs/>
          <w:i w:val="0"/>
          <w:iCs/>
        </w:rPr>
        <w:t xml:space="preserve">:  </w:t>
      </w:r>
      <w:r w:rsidRPr="009F4CF8">
        <w:rPr>
          <w:rFonts w:ascii="Times New Roman" w:hAnsi="Times New Roman"/>
          <w:i w:val="0"/>
          <w:iCs/>
        </w:rPr>
        <w:t xml:space="preserve">We will adjust the base weights for survey nonresponse using the procedures described above and to control distributions for some variables to known totals from the administrative data. </w:t>
      </w:r>
      <w:r w:rsidR="006972B7">
        <w:rPr>
          <w:rFonts w:ascii="Times New Roman" w:hAnsi="Times New Roman"/>
          <w:i w:val="0"/>
          <w:iCs/>
        </w:rPr>
        <w:t xml:space="preserve"> </w:t>
      </w:r>
      <w:r w:rsidRPr="009F4CF8">
        <w:rPr>
          <w:rFonts w:ascii="Times New Roman" w:hAnsi="Times New Roman"/>
          <w:i w:val="0"/>
          <w:iCs/>
        </w:rPr>
        <w:t>We can assess the extent of remaining bias by comparing weighted outcomes for the survey sample that we can observe in administrative data (for example, annual earnings and SSI and SSDI payments) to outcomes for the population that the weighted sample is intended to represent.</w:t>
      </w:r>
    </w:p>
    <w:p w:rsidRPr="0001638A" w:rsidR="00602A76" w:rsidP="006972B7" w:rsidRDefault="00602A76" w14:paraId="6187CBB2" w14:textId="1253C249">
      <w:pPr>
        <w:pStyle w:val="H3"/>
        <w:spacing w:before="0" w:after="0"/>
      </w:pPr>
      <w:bookmarkStart w:name="_Toc101248894" w:id="44"/>
      <w:bookmarkStart w:name="_Toc232927199" w:id="45"/>
      <w:bookmarkStart w:name="_Toc233197227" w:id="46"/>
      <w:bookmarkStart w:name="_Toc349308998" w:id="47"/>
      <w:r w:rsidRPr="0001638A">
        <w:t>4. Tests of Procedures</w:t>
      </w:r>
      <w:bookmarkEnd w:id="44"/>
      <w:r w:rsidRPr="0001638A">
        <w:t xml:space="preserve"> </w:t>
      </w:r>
      <w:bookmarkEnd w:id="45"/>
      <w:bookmarkEnd w:id="46"/>
      <w:bookmarkEnd w:id="47"/>
    </w:p>
    <w:p w:rsidRPr="00F75336" w:rsidR="00C35EEE" w:rsidP="00C35EEE" w:rsidRDefault="00C35EEE" w14:paraId="6F3F868F" w14:textId="77777777">
      <w:pPr>
        <w:ind w:left="270"/>
        <w:rPr>
          <w:sz w:val="24"/>
          <w:szCs w:val="24"/>
        </w:rPr>
      </w:pPr>
      <w:bookmarkStart w:name="_Toc101248895" w:id="48"/>
      <w:bookmarkStart w:name="_Toc232927200" w:id="49"/>
      <w:bookmarkStart w:name="_Toc233197228" w:id="50"/>
      <w:bookmarkStart w:name="_Toc349308999" w:id="51"/>
      <w:r w:rsidRPr="00F75336">
        <w:rPr>
          <w:sz w:val="24"/>
          <w:szCs w:val="24"/>
        </w:rPr>
        <w:t xml:space="preserve">We based the Round 8 survey on the previous surveys, with the exception of the following new questions: </w:t>
      </w:r>
    </w:p>
    <w:p w:rsidRPr="00F75336" w:rsidR="00C35EEE" w:rsidP="00C35EEE" w:rsidRDefault="00C35EEE" w14:paraId="7319FFAD" w14:textId="57AA250D">
      <w:pPr>
        <w:pStyle w:val="ListParagraph"/>
        <w:numPr>
          <w:ilvl w:val="0"/>
          <w:numId w:val="45"/>
        </w:numPr>
        <w:spacing w:after="0" w:line="240" w:lineRule="auto"/>
        <w:ind w:left="630"/>
        <w:contextualSpacing w:val="0"/>
        <w:rPr>
          <w:rFonts w:eastAsia="Times New Roman"/>
          <w:sz w:val="24"/>
          <w:szCs w:val="24"/>
        </w:rPr>
      </w:pPr>
      <w:r w:rsidRPr="00F75336">
        <w:rPr>
          <w:rFonts w:eastAsia="Times New Roman"/>
          <w:sz w:val="24"/>
          <w:szCs w:val="24"/>
        </w:rPr>
        <w:t xml:space="preserve">Question B2a:  This new question captures a self-reported limitation scale (0 to 100) about the respondent’s main physical or mental health condition. </w:t>
      </w:r>
    </w:p>
    <w:p w:rsidRPr="00F75336" w:rsidR="00C35EEE" w:rsidP="00C35EEE" w:rsidRDefault="00C35EEE" w14:paraId="598BF6D6" w14:textId="77777777">
      <w:pPr>
        <w:pStyle w:val="ListParagraph"/>
        <w:spacing w:after="0" w:line="240" w:lineRule="auto"/>
        <w:ind w:left="720" w:firstLine="0"/>
        <w:contextualSpacing w:val="0"/>
        <w:rPr>
          <w:rFonts w:eastAsia="Times New Roman"/>
          <w:sz w:val="24"/>
          <w:szCs w:val="24"/>
        </w:rPr>
      </w:pPr>
    </w:p>
    <w:p w:rsidRPr="00F75336" w:rsidR="00C35EEE" w:rsidP="00C35EEE" w:rsidRDefault="00C35EEE" w14:paraId="4772870F" w14:textId="56486896">
      <w:pPr>
        <w:pStyle w:val="ListParagraph"/>
        <w:numPr>
          <w:ilvl w:val="0"/>
          <w:numId w:val="45"/>
        </w:numPr>
        <w:spacing w:after="0" w:line="240" w:lineRule="auto"/>
        <w:ind w:left="630"/>
        <w:contextualSpacing w:val="0"/>
        <w:rPr>
          <w:rFonts w:eastAsia="Times New Roman"/>
          <w:sz w:val="24"/>
          <w:szCs w:val="24"/>
        </w:rPr>
      </w:pPr>
      <w:r w:rsidRPr="00F75336">
        <w:rPr>
          <w:rFonts w:eastAsia="Times New Roman"/>
          <w:sz w:val="24"/>
          <w:szCs w:val="24"/>
        </w:rPr>
        <w:t xml:space="preserve">Questions C5c and C_B5c:  These new questions ask how respondents reported their work status to SSA. </w:t>
      </w:r>
    </w:p>
    <w:p w:rsidRPr="00F75336" w:rsidR="00C35EEE" w:rsidP="00C35EEE" w:rsidRDefault="00C35EEE" w14:paraId="0FB423FE" w14:textId="608107D5">
      <w:pPr>
        <w:pStyle w:val="ListParagraph"/>
        <w:numPr>
          <w:ilvl w:val="0"/>
          <w:numId w:val="45"/>
        </w:numPr>
        <w:spacing w:after="0" w:line="240" w:lineRule="auto"/>
        <w:ind w:hanging="450"/>
        <w:contextualSpacing w:val="0"/>
        <w:rPr>
          <w:rFonts w:eastAsia="Times New Roman"/>
          <w:sz w:val="24"/>
          <w:szCs w:val="24"/>
        </w:rPr>
      </w:pPr>
      <w:r w:rsidRPr="00F75336">
        <w:rPr>
          <w:rFonts w:eastAsia="Times New Roman"/>
          <w:sz w:val="24"/>
          <w:szCs w:val="24"/>
        </w:rPr>
        <w:lastRenderedPageBreak/>
        <w:t xml:space="preserve">Questions CP9a, C_BP9a, and DP4:  These new questions ask if most other workers at the place of employment have disabilities and are part of the additions to the instrument, to determine if the job is competitive integrated employment or some other employment program.  They are similar to questions from the prior round that were removed: CP10 and C_BP10. </w:t>
      </w:r>
    </w:p>
    <w:p w:rsidRPr="00F75336" w:rsidR="00C35EEE" w:rsidP="00C35EEE" w:rsidRDefault="00C35EEE" w14:paraId="52D8AACD" w14:textId="77777777">
      <w:pPr>
        <w:pStyle w:val="ListParagraph"/>
        <w:spacing w:after="0" w:line="240" w:lineRule="auto"/>
        <w:ind w:left="720" w:firstLine="0"/>
        <w:contextualSpacing w:val="0"/>
        <w:rPr>
          <w:rFonts w:eastAsia="Times New Roman"/>
          <w:sz w:val="24"/>
          <w:szCs w:val="24"/>
        </w:rPr>
      </w:pPr>
    </w:p>
    <w:p w:rsidRPr="00F75336" w:rsidR="00C35EEE" w:rsidP="00C35EEE" w:rsidRDefault="00C35EEE" w14:paraId="0CD57D13" w14:textId="62F7548C">
      <w:pPr>
        <w:pStyle w:val="ListParagraph"/>
        <w:numPr>
          <w:ilvl w:val="0"/>
          <w:numId w:val="45"/>
        </w:numPr>
        <w:spacing w:after="0" w:line="240" w:lineRule="auto"/>
        <w:contextualSpacing w:val="0"/>
        <w:rPr>
          <w:rFonts w:eastAsia="Times New Roman"/>
          <w:sz w:val="24"/>
          <w:szCs w:val="24"/>
        </w:rPr>
      </w:pPr>
      <w:r w:rsidRPr="00F75336">
        <w:rPr>
          <w:rFonts w:eastAsia="Times New Roman"/>
          <w:sz w:val="24"/>
          <w:szCs w:val="24"/>
        </w:rPr>
        <w:t xml:space="preserve">Questions CP9b, C_BP9b, and DP5:  These new questions ask if anyone who has a disability or does not have a disability could have taken the respondent’s job.  They are part of the additions to the instrument to determine if the job is competitive integrated employment or some other employment program. </w:t>
      </w:r>
    </w:p>
    <w:p w:rsidRPr="00F75336" w:rsidR="00C35EEE" w:rsidP="00C35EEE" w:rsidRDefault="00C35EEE" w14:paraId="49271383" w14:textId="77777777">
      <w:pPr>
        <w:pStyle w:val="ListParagraph"/>
        <w:spacing w:after="0" w:line="240" w:lineRule="auto"/>
        <w:ind w:left="720" w:firstLine="0"/>
        <w:contextualSpacing w:val="0"/>
        <w:rPr>
          <w:rFonts w:eastAsia="Times New Roman"/>
          <w:sz w:val="24"/>
          <w:szCs w:val="24"/>
        </w:rPr>
      </w:pPr>
    </w:p>
    <w:p w:rsidRPr="00F75336" w:rsidR="00C35EEE" w:rsidP="00C35EEE" w:rsidRDefault="00C35EEE" w14:paraId="752C0569" w14:textId="27EF7C8E">
      <w:pPr>
        <w:pStyle w:val="ListParagraph"/>
        <w:numPr>
          <w:ilvl w:val="0"/>
          <w:numId w:val="45"/>
        </w:numPr>
        <w:spacing w:after="0" w:line="240" w:lineRule="auto"/>
        <w:contextualSpacing w:val="0"/>
        <w:rPr>
          <w:rFonts w:eastAsia="Times New Roman"/>
          <w:sz w:val="24"/>
          <w:szCs w:val="24"/>
        </w:rPr>
      </w:pPr>
      <w:r w:rsidRPr="00F75336">
        <w:rPr>
          <w:rFonts w:eastAsia="Times New Roman"/>
          <w:sz w:val="24"/>
          <w:szCs w:val="24"/>
        </w:rPr>
        <w:t xml:space="preserve">Questions C39b.d2, C_B39b.d2, and D25a.d2:  These new questions ask if the respondent worked fewer hours or earned less money, because they want to keep other benefits like food stamps, housing assistance, or workers’ compensation. </w:t>
      </w:r>
    </w:p>
    <w:p w:rsidRPr="00F75336" w:rsidR="00C35EEE" w:rsidP="00C35EEE" w:rsidRDefault="00C35EEE" w14:paraId="3BC47FF2" w14:textId="77777777">
      <w:pPr>
        <w:pStyle w:val="ListParagraph"/>
        <w:spacing w:after="0" w:line="240" w:lineRule="auto"/>
        <w:ind w:left="720" w:firstLine="0"/>
        <w:contextualSpacing w:val="0"/>
        <w:rPr>
          <w:rFonts w:eastAsia="Times New Roman"/>
          <w:sz w:val="24"/>
          <w:szCs w:val="24"/>
        </w:rPr>
      </w:pPr>
    </w:p>
    <w:p w:rsidRPr="00F75336" w:rsidR="00C35EEE" w:rsidP="00C35EEE" w:rsidRDefault="00C35EEE" w14:paraId="34D8803C" w14:textId="298A2410">
      <w:pPr>
        <w:pStyle w:val="ListParagraph"/>
        <w:numPr>
          <w:ilvl w:val="0"/>
          <w:numId w:val="45"/>
        </w:numPr>
        <w:spacing w:after="0" w:line="240" w:lineRule="auto"/>
        <w:contextualSpacing w:val="0"/>
        <w:rPr>
          <w:rFonts w:eastAsia="Times New Roman"/>
          <w:sz w:val="24"/>
          <w:szCs w:val="24"/>
        </w:rPr>
      </w:pPr>
      <w:r w:rsidRPr="00F75336">
        <w:rPr>
          <w:rFonts w:eastAsia="Times New Roman"/>
          <w:sz w:val="24"/>
          <w:szCs w:val="24"/>
        </w:rPr>
        <w:t xml:space="preserve">Questions C39_7, C39_8, C_B39_7, C_B39_8, D31, and D32:  For respondents who were asked to repay SSA because they were working while receiving benefits, these new questions ask if the respondents tried to appeal or challenge the request to repay benefits and, if so, if they ended up repaying some, all, or none of the benefit amount.  </w:t>
      </w:r>
    </w:p>
    <w:p w:rsidRPr="00F75336" w:rsidR="00C35EEE" w:rsidP="00C35EEE" w:rsidRDefault="00C35EEE" w14:paraId="076DF160" w14:textId="77777777">
      <w:pPr>
        <w:pStyle w:val="ListParagraph"/>
        <w:spacing w:after="0" w:line="240" w:lineRule="auto"/>
        <w:ind w:left="720" w:firstLine="0"/>
        <w:contextualSpacing w:val="0"/>
        <w:rPr>
          <w:rFonts w:eastAsia="Times New Roman"/>
          <w:sz w:val="24"/>
          <w:szCs w:val="24"/>
        </w:rPr>
      </w:pPr>
    </w:p>
    <w:p w:rsidRPr="00F75336" w:rsidR="00C35EEE" w:rsidP="00C35EEE" w:rsidRDefault="00C35EEE" w14:paraId="70BC57A2" w14:textId="33963070">
      <w:pPr>
        <w:pStyle w:val="ListParagraph"/>
        <w:numPr>
          <w:ilvl w:val="0"/>
          <w:numId w:val="45"/>
        </w:numPr>
        <w:spacing w:after="0" w:line="240" w:lineRule="auto"/>
        <w:contextualSpacing w:val="0"/>
        <w:rPr>
          <w:rFonts w:eastAsia="Times New Roman"/>
          <w:sz w:val="24"/>
          <w:szCs w:val="24"/>
        </w:rPr>
      </w:pPr>
      <w:r w:rsidRPr="00F75336">
        <w:rPr>
          <w:rFonts w:eastAsia="Times New Roman"/>
          <w:sz w:val="24"/>
          <w:szCs w:val="24"/>
        </w:rPr>
        <w:t xml:space="preserve">Questions EP2a and EP2b:  These new items ask about respondents’ awareness of rules that allow work while on disability benefits and rules to report work status to SSA. </w:t>
      </w:r>
    </w:p>
    <w:p w:rsidRPr="00F75336" w:rsidR="00C35EEE" w:rsidP="00C35EEE" w:rsidRDefault="00C35EEE" w14:paraId="469D1A94" w14:textId="77777777">
      <w:pPr>
        <w:pStyle w:val="ListParagraph"/>
        <w:spacing w:after="0" w:line="240" w:lineRule="auto"/>
        <w:ind w:left="720" w:firstLine="0"/>
        <w:contextualSpacing w:val="0"/>
        <w:rPr>
          <w:rFonts w:eastAsia="Times New Roman"/>
          <w:sz w:val="24"/>
          <w:szCs w:val="24"/>
        </w:rPr>
      </w:pPr>
    </w:p>
    <w:p w:rsidRPr="00F75336" w:rsidR="00C35EEE" w:rsidP="00C35EEE" w:rsidRDefault="00C35EEE" w14:paraId="047AD9E4" w14:textId="02011691">
      <w:pPr>
        <w:pStyle w:val="ListParagraph"/>
        <w:numPr>
          <w:ilvl w:val="0"/>
          <w:numId w:val="45"/>
        </w:numPr>
        <w:spacing w:after="0" w:line="240" w:lineRule="auto"/>
        <w:contextualSpacing w:val="0"/>
        <w:rPr>
          <w:rFonts w:eastAsia="Times New Roman"/>
          <w:sz w:val="24"/>
          <w:szCs w:val="24"/>
        </w:rPr>
      </w:pPr>
      <w:r w:rsidRPr="00F75336">
        <w:rPr>
          <w:rFonts w:eastAsia="Times New Roman"/>
          <w:sz w:val="24"/>
          <w:szCs w:val="24"/>
        </w:rPr>
        <w:t xml:space="preserve">Question E22:  This new item asks respondents to provide a usefulness rating for the Ticket to Work program.  </w:t>
      </w:r>
    </w:p>
    <w:p w:rsidRPr="00F75336" w:rsidR="00C35EEE" w:rsidP="00C35EEE" w:rsidRDefault="00C35EEE" w14:paraId="460F6ABE" w14:textId="77777777">
      <w:pPr>
        <w:pStyle w:val="ListParagraph"/>
        <w:spacing w:after="0" w:line="240" w:lineRule="auto"/>
        <w:ind w:left="720" w:firstLine="0"/>
        <w:contextualSpacing w:val="0"/>
        <w:rPr>
          <w:rFonts w:eastAsia="Times New Roman"/>
          <w:sz w:val="24"/>
          <w:szCs w:val="24"/>
        </w:rPr>
      </w:pPr>
    </w:p>
    <w:p w:rsidRPr="00F75336" w:rsidR="00C35EEE" w:rsidP="00C35EEE" w:rsidRDefault="00C35EEE" w14:paraId="7805B300" w14:textId="4043716A">
      <w:pPr>
        <w:pStyle w:val="ListParagraph"/>
        <w:numPr>
          <w:ilvl w:val="0"/>
          <w:numId w:val="45"/>
        </w:numPr>
        <w:spacing w:after="0" w:line="240" w:lineRule="auto"/>
        <w:contextualSpacing w:val="0"/>
        <w:rPr>
          <w:rFonts w:eastAsia="Times New Roman"/>
          <w:sz w:val="24"/>
          <w:szCs w:val="24"/>
        </w:rPr>
      </w:pPr>
      <w:r w:rsidRPr="00F75336">
        <w:rPr>
          <w:rFonts w:eastAsia="Times New Roman"/>
          <w:sz w:val="24"/>
          <w:szCs w:val="24"/>
        </w:rPr>
        <w:t>Questions G59 and G59a:  These new questions collect information about respondents' experiences about getting information about services they need.</w:t>
      </w:r>
    </w:p>
    <w:p w:rsidR="00C35EEE" w:rsidP="00C35EEE" w:rsidRDefault="00C35EEE" w14:paraId="68294C5B" w14:textId="71FF3511">
      <w:pPr>
        <w:pStyle w:val="ParagraphContinued"/>
        <w:ind w:left="270"/>
      </w:pPr>
      <w:r>
        <w:t>SSA tested the new aspects of the Round 8 survey by conducing pretests of the NBS instruments in June 2022.  The purpose of the pretests was to test the order, flow, clarity, and timing of the instruments, especially for new or modified questions.  We also tested the new web and paper versions of the NBS that will be incorporated in the Round 8 causal experiment.  In addition to the pretests, we conducted an abbreviated cognitive interviewing session at the conclusion of each pretest to better understand how respondents interpreted and answered any new or modified questions.  The pretest sample was drawn from contact information that SSA pulled to match a test SWS extract.  Following the pretest, we made minor updates to the instruments to improve the clarity and flow of the instruments.</w:t>
      </w:r>
    </w:p>
    <w:p w:rsidR="00602A76" w:rsidP="006972B7" w:rsidRDefault="00602A76" w14:paraId="23E808FB" w14:textId="67BD73F7">
      <w:pPr>
        <w:pStyle w:val="H3"/>
        <w:spacing w:before="0" w:after="0"/>
      </w:pPr>
      <w:r w:rsidRPr="0001638A">
        <w:t>5. Statistical Agency Contact for Statistical Information</w:t>
      </w:r>
      <w:bookmarkEnd w:id="48"/>
    </w:p>
    <w:p w:rsidRPr="00747B6C" w:rsidR="00E53243" w:rsidP="006972B7" w:rsidRDefault="00E53243" w14:paraId="04D51548" w14:textId="71F04FFB">
      <w:pPr>
        <w:pStyle w:val="Heading2"/>
        <w:numPr>
          <w:ilvl w:val="0"/>
          <w:numId w:val="0"/>
        </w:numPr>
        <w:spacing w:before="0" w:line="240" w:lineRule="auto"/>
        <w:ind w:firstLine="270"/>
        <w:rPr>
          <w:rFonts w:asciiTheme="minorHAnsi" w:hAnsiTheme="minorHAnsi" w:cstheme="minorHAnsi"/>
          <w:sz w:val="24"/>
          <w:szCs w:val="24"/>
        </w:rPr>
      </w:pPr>
      <w:bookmarkStart w:name="_Toc93568229" w:id="52"/>
      <w:r w:rsidRPr="00747B6C">
        <w:rPr>
          <w:rFonts w:asciiTheme="minorHAnsi" w:hAnsiTheme="minorHAnsi" w:cstheme="minorHAnsi"/>
          <w:sz w:val="24"/>
          <w:szCs w:val="24"/>
        </w:rPr>
        <w:t>John Travis Jones</w:t>
      </w:r>
      <w:r w:rsidR="006972B7">
        <w:rPr>
          <w:rFonts w:asciiTheme="minorHAnsi" w:hAnsiTheme="minorHAnsi" w:cstheme="minorHAnsi"/>
          <w:sz w:val="24"/>
          <w:szCs w:val="24"/>
        </w:rPr>
        <w:t xml:space="preserve">, </w:t>
      </w:r>
      <w:r w:rsidRPr="00882328" w:rsidR="006972B7">
        <w:rPr>
          <w:rFonts w:ascii="Times New Roman" w:hAnsi="Times New Roman" w:cs="Times New Roman"/>
          <w:sz w:val="24"/>
          <w:szCs w:val="24"/>
        </w:rPr>
        <w:t>Contracting Officer Representative</w:t>
      </w:r>
    </w:p>
    <w:p w:rsidRPr="00747B6C" w:rsidR="00E53243" w:rsidP="006972B7" w:rsidRDefault="00E53243" w14:paraId="66D1A052" w14:textId="60219EC7">
      <w:pPr>
        <w:pStyle w:val="Heading2"/>
        <w:numPr>
          <w:ilvl w:val="0"/>
          <w:numId w:val="0"/>
        </w:numPr>
        <w:spacing w:before="0" w:line="240" w:lineRule="auto"/>
        <w:ind w:firstLine="270"/>
        <w:rPr>
          <w:rFonts w:asciiTheme="minorHAnsi" w:hAnsiTheme="minorHAnsi" w:cstheme="minorHAnsi"/>
          <w:sz w:val="24"/>
          <w:szCs w:val="24"/>
        </w:rPr>
      </w:pPr>
      <w:r w:rsidRPr="00747B6C">
        <w:rPr>
          <w:rFonts w:asciiTheme="minorHAnsi" w:hAnsiTheme="minorHAnsi" w:cstheme="minorHAnsi"/>
          <w:sz w:val="24"/>
          <w:szCs w:val="24"/>
        </w:rPr>
        <w:t>Social Security Administration Office of Research, Demonstrations and Employment Support</w:t>
      </w:r>
    </w:p>
    <w:p w:rsidRPr="00747B6C" w:rsidR="00E53243" w:rsidP="006972B7" w:rsidRDefault="00747B6C" w14:paraId="1200462C" w14:textId="3A577E9C">
      <w:pPr>
        <w:pStyle w:val="Heading2"/>
        <w:numPr>
          <w:ilvl w:val="0"/>
          <w:numId w:val="0"/>
        </w:numPr>
        <w:spacing w:before="0" w:line="240" w:lineRule="auto"/>
        <w:ind w:firstLine="270"/>
        <w:rPr>
          <w:rFonts w:asciiTheme="minorHAnsi" w:hAnsiTheme="minorHAnsi" w:cstheme="minorHAnsi"/>
          <w:sz w:val="24"/>
          <w:szCs w:val="24"/>
        </w:rPr>
      </w:pPr>
      <w:r w:rsidRPr="00747B6C">
        <w:rPr>
          <w:rFonts w:asciiTheme="minorHAnsi" w:hAnsiTheme="minorHAnsi" w:cstheme="minorHAnsi"/>
          <w:sz w:val="24"/>
          <w:szCs w:val="24"/>
        </w:rPr>
        <w:t>Telephone: 443-834-8092</w:t>
      </w:r>
    </w:p>
    <w:p w:rsidRPr="00747B6C" w:rsidR="00747B6C" w:rsidP="00747B6C" w:rsidRDefault="00747B6C" w14:paraId="6AC63185" w14:textId="77777777">
      <w:pPr>
        <w:pStyle w:val="TableText"/>
        <w:ind w:firstLine="270"/>
        <w:rPr>
          <w:rFonts w:asciiTheme="minorHAnsi" w:hAnsiTheme="minorHAnsi" w:cstheme="minorHAnsi"/>
          <w:color w:val="000000"/>
          <w:sz w:val="24"/>
          <w:szCs w:val="24"/>
        </w:rPr>
      </w:pPr>
      <w:r w:rsidRPr="00747B6C">
        <w:rPr>
          <w:rFonts w:asciiTheme="minorHAnsi" w:hAnsiTheme="minorHAnsi" w:cstheme="minorHAnsi"/>
          <w:sz w:val="24"/>
          <w:szCs w:val="24"/>
        </w:rPr>
        <w:t xml:space="preserve">Email:  </w:t>
      </w:r>
      <w:r w:rsidRPr="00747B6C">
        <w:rPr>
          <w:rFonts w:asciiTheme="minorHAnsi" w:hAnsiTheme="minorHAnsi" w:cstheme="minorHAnsi"/>
          <w:color w:val="000000"/>
          <w:sz w:val="24"/>
          <w:szCs w:val="24"/>
        </w:rPr>
        <w:t>John.Travis.Jones@ssa.gov</w:t>
      </w:r>
    </w:p>
    <w:p w:rsidRPr="00747B6C" w:rsidR="00747B6C" w:rsidP="00747B6C" w:rsidRDefault="00747B6C" w14:paraId="50669874" w14:textId="77777777">
      <w:pPr>
        <w:pStyle w:val="TableText"/>
        <w:rPr>
          <w:rFonts w:asciiTheme="minorHAnsi" w:hAnsiTheme="minorHAnsi" w:cstheme="minorHAnsi"/>
          <w:color w:val="000000"/>
          <w:sz w:val="24"/>
          <w:szCs w:val="24"/>
        </w:rPr>
      </w:pPr>
    </w:p>
    <w:bookmarkEnd w:id="52"/>
    <w:p w:rsidR="00BF0339" w:rsidP="00BF0339" w:rsidRDefault="00BF0339" w14:paraId="7590FE7F" w14:textId="23577CCF">
      <w:pPr>
        <w:spacing w:after="0" w:line="240" w:lineRule="auto"/>
        <w:ind w:left="274"/>
        <w:rPr>
          <w:rFonts w:ascii="Times New Roman" w:hAnsi="Times New Roman" w:cs="Times New Roman"/>
          <w:sz w:val="24"/>
          <w:szCs w:val="24"/>
        </w:rPr>
      </w:pPr>
      <w:r>
        <w:rPr>
          <w:rFonts w:ascii="Times New Roman" w:hAnsi="Times New Roman" w:cs="Times New Roman"/>
          <w:sz w:val="24"/>
          <w:szCs w:val="24"/>
        </w:rPr>
        <w:t>Eleanor Stinnett, Contracting Officer Representative</w:t>
      </w:r>
    </w:p>
    <w:p w:rsidR="00BF0339" w:rsidP="00BF0339" w:rsidRDefault="00BF0339" w14:paraId="6E5BE27E" w14:textId="44F52D44">
      <w:pPr>
        <w:spacing w:after="0" w:line="240" w:lineRule="auto"/>
        <w:ind w:left="274"/>
        <w:rPr>
          <w:rFonts w:ascii="Times New Roman" w:hAnsi="Times New Roman" w:cs="Times New Roman"/>
          <w:sz w:val="24"/>
          <w:szCs w:val="24"/>
        </w:rPr>
      </w:pPr>
      <w:r>
        <w:rPr>
          <w:rFonts w:ascii="Times New Roman" w:hAnsi="Times New Roman" w:cs="Times New Roman"/>
          <w:sz w:val="24"/>
          <w:szCs w:val="24"/>
        </w:rPr>
        <w:lastRenderedPageBreak/>
        <w:t>Social Security Ad</w:t>
      </w:r>
      <w:r w:rsidR="00747B6C">
        <w:rPr>
          <w:rFonts w:ascii="Times New Roman" w:hAnsi="Times New Roman" w:cs="Times New Roman"/>
          <w:sz w:val="24"/>
          <w:szCs w:val="24"/>
        </w:rPr>
        <w:t>ministration</w:t>
      </w:r>
    </w:p>
    <w:p w:rsidR="00BF0339" w:rsidP="00BF0339" w:rsidRDefault="00BF0339" w14:paraId="0E137F0E" w14:textId="52FFB4B9">
      <w:pPr>
        <w:spacing w:after="0" w:line="240" w:lineRule="auto"/>
        <w:ind w:left="274"/>
        <w:rPr>
          <w:rFonts w:ascii="Times New Roman" w:hAnsi="Times New Roman" w:cs="Times New Roman"/>
          <w:sz w:val="24"/>
          <w:szCs w:val="24"/>
        </w:rPr>
      </w:pPr>
      <w:r>
        <w:rPr>
          <w:rFonts w:ascii="Times New Roman" w:hAnsi="Times New Roman" w:cs="Times New Roman"/>
          <w:sz w:val="24"/>
          <w:szCs w:val="24"/>
        </w:rPr>
        <w:t xml:space="preserve">Telephone: </w:t>
      </w:r>
    </w:p>
    <w:p w:rsidR="00BF0339" w:rsidP="00BF0339" w:rsidRDefault="00BF0339" w14:paraId="36C507D5" w14:textId="23301A8F">
      <w:pPr>
        <w:spacing w:after="0" w:line="240" w:lineRule="auto"/>
        <w:ind w:left="274"/>
        <w:rPr>
          <w:rFonts w:ascii="Times New Roman" w:hAnsi="Times New Roman"/>
          <w:color w:val="000000"/>
          <w:sz w:val="24"/>
          <w:szCs w:val="24"/>
        </w:rPr>
      </w:pPr>
      <w:r>
        <w:rPr>
          <w:rFonts w:ascii="Times New Roman" w:hAnsi="Times New Roman" w:cs="Times New Roman"/>
          <w:sz w:val="24"/>
          <w:szCs w:val="24"/>
        </w:rPr>
        <w:t>Email</w:t>
      </w:r>
      <w:r w:rsidRPr="00BF0339">
        <w:rPr>
          <w:rFonts w:ascii="Times New Roman" w:hAnsi="Times New Roman" w:cs="Times New Roman"/>
          <w:sz w:val="24"/>
          <w:szCs w:val="24"/>
        </w:rPr>
        <w:t xml:space="preserve">: </w:t>
      </w:r>
      <w:hyperlink w:history="1" r:id="rId46">
        <w:r w:rsidRPr="00533715">
          <w:rPr>
            <w:rStyle w:val="Hyperlink"/>
            <w:rFonts w:ascii="Times New Roman" w:hAnsi="Times New Roman"/>
            <w:sz w:val="24"/>
            <w:szCs w:val="24"/>
          </w:rPr>
          <w:t>Eleanor.Stinnett@ssa.gov</w:t>
        </w:r>
      </w:hyperlink>
    </w:p>
    <w:p w:rsidRPr="00BF0339" w:rsidR="00BF0339" w:rsidP="00BF0339" w:rsidRDefault="00BF0339" w14:paraId="645F0C43" w14:textId="77777777">
      <w:pPr>
        <w:spacing w:after="0" w:line="240" w:lineRule="auto"/>
        <w:ind w:left="274"/>
        <w:rPr>
          <w:rFonts w:ascii="Times New Roman" w:hAnsi="Times New Roman" w:cs="Times New Roman"/>
          <w:sz w:val="24"/>
          <w:szCs w:val="24"/>
        </w:rPr>
      </w:pPr>
    </w:p>
    <w:p w:rsidRPr="00BF0339" w:rsidR="00BF0339" w:rsidP="00BF0339" w:rsidRDefault="00BF0339" w14:paraId="297B8A32" w14:textId="187B1950">
      <w:pPr>
        <w:autoSpaceDE w:val="0"/>
        <w:autoSpaceDN w:val="0"/>
        <w:spacing w:after="0" w:line="240" w:lineRule="auto"/>
        <w:ind w:firstLine="274"/>
        <w:rPr>
          <w:sz w:val="24"/>
          <w:szCs w:val="24"/>
        </w:rPr>
      </w:pPr>
      <w:r w:rsidRPr="00BF0339">
        <w:rPr>
          <w:rFonts w:ascii="Times New Roman" w:hAnsi="Times New Roman" w:cs="Times New Roman"/>
          <w:sz w:val="24"/>
          <w:szCs w:val="24"/>
        </w:rPr>
        <w:t xml:space="preserve">Eric Grau, </w:t>
      </w:r>
      <w:r w:rsidRPr="00BF0339">
        <w:rPr>
          <w:sz w:val="24"/>
          <w:szCs w:val="24"/>
        </w:rPr>
        <w:t xml:space="preserve">Statistician,  </w:t>
      </w:r>
    </w:p>
    <w:p w:rsidRPr="00BF0339" w:rsidR="00BF0339" w:rsidP="00BF0339" w:rsidRDefault="00BF0339" w14:paraId="6F255D34" w14:textId="750D98D9">
      <w:pPr>
        <w:spacing w:after="0" w:line="240" w:lineRule="auto"/>
        <w:ind w:left="274"/>
        <w:rPr>
          <w:rFonts w:ascii="Times New Roman" w:hAnsi="Times New Roman" w:cs="Times New Roman"/>
          <w:sz w:val="24"/>
          <w:szCs w:val="24"/>
        </w:rPr>
      </w:pPr>
      <w:r w:rsidRPr="00BF0339">
        <w:rPr>
          <w:rFonts w:ascii="Times New Roman" w:hAnsi="Times New Roman" w:cs="Times New Roman"/>
          <w:sz w:val="24"/>
          <w:szCs w:val="24"/>
        </w:rPr>
        <w:t>Mathematica</w:t>
      </w:r>
    </w:p>
    <w:p w:rsidRPr="00BF0339" w:rsidR="00BF0339" w:rsidP="00BF0339" w:rsidRDefault="00BF0339" w14:paraId="25ADB611" w14:textId="4E858FD8">
      <w:pPr>
        <w:spacing w:after="0" w:line="240" w:lineRule="auto"/>
        <w:ind w:left="274"/>
        <w:rPr>
          <w:rFonts w:ascii="Times New Roman" w:hAnsi="Times New Roman" w:cs="Times New Roman"/>
          <w:sz w:val="24"/>
          <w:szCs w:val="24"/>
        </w:rPr>
      </w:pPr>
      <w:r w:rsidRPr="00BF0339">
        <w:rPr>
          <w:rFonts w:ascii="Times New Roman" w:hAnsi="Times New Roman" w:cs="Times New Roman"/>
          <w:sz w:val="24"/>
          <w:szCs w:val="24"/>
        </w:rPr>
        <w:t xml:space="preserve">Telephone: </w:t>
      </w:r>
      <w:r w:rsidRPr="00BF0339">
        <w:rPr>
          <w:sz w:val="24"/>
          <w:szCs w:val="24"/>
        </w:rPr>
        <w:t>609.945.3330</w:t>
      </w:r>
    </w:p>
    <w:p w:rsidR="00BF0339" w:rsidP="00BF0339" w:rsidRDefault="00BF0339" w14:paraId="161225F3" w14:textId="28195130">
      <w:pPr>
        <w:spacing w:after="0" w:line="240" w:lineRule="auto"/>
        <w:ind w:left="274"/>
        <w:rPr>
          <w:rFonts w:ascii="Times New Roman" w:hAnsi="Times New Roman"/>
          <w:color w:val="000000"/>
          <w:sz w:val="24"/>
          <w:szCs w:val="24"/>
        </w:rPr>
      </w:pPr>
      <w:r w:rsidRPr="00BF0339">
        <w:rPr>
          <w:rFonts w:ascii="Times New Roman" w:hAnsi="Times New Roman" w:cs="Times New Roman"/>
          <w:sz w:val="24"/>
          <w:szCs w:val="24"/>
        </w:rPr>
        <w:t xml:space="preserve">Email: </w:t>
      </w:r>
      <w:hyperlink w:history="1" r:id="rId47">
        <w:r w:rsidRPr="00533715">
          <w:rPr>
            <w:rStyle w:val="Hyperlink"/>
            <w:rFonts w:ascii="Times New Roman" w:hAnsi="Times New Roman"/>
            <w:sz w:val="24"/>
            <w:szCs w:val="24"/>
          </w:rPr>
          <w:t>EGrau@mathematica-mpr.com</w:t>
        </w:r>
      </w:hyperlink>
    </w:p>
    <w:p w:rsidR="006972B7" w:rsidP="006972B7" w:rsidRDefault="00BF0339" w14:paraId="6DB2E507" w14:textId="77777777">
      <w:pPr>
        <w:spacing w:after="0" w:line="240" w:lineRule="auto"/>
        <w:ind w:left="270"/>
        <w:rPr>
          <w:rFonts w:ascii="Times New Roman" w:hAnsi="Times New Roman" w:cs="Times New Roman"/>
          <w:sz w:val="24"/>
          <w:szCs w:val="24"/>
        </w:rPr>
      </w:pPr>
      <w:r w:rsidRPr="00BF0339">
        <w:rPr>
          <w:rFonts w:ascii="Times New Roman" w:hAnsi="Times New Roman" w:cs="Times New Roman"/>
          <w:sz w:val="24"/>
          <w:szCs w:val="24"/>
        </w:rPr>
        <w:t>Gina Livermore, Senior Fellow</w:t>
      </w:r>
    </w:p>
    <w:p w:rsidRPr="00BF0339" w:rsidR="00BF0339" w:rsidP="006972B7" w:rsidRDefault="00BF0339" w14:paraId="062E6C1A" w14:textId="1FB13E61">
      <w:pPr>
        <w:spacing w:after="0" w:line="240" w:lineRule="auto"/>
        <w:ind w:left="270"/>
        <w:rPr>
          <w:rFonts w:ascii="Times New Roman" w:hAnsi="Times New Roman" w:cs="Times New Roman"/>
          <w:sz w:val="24"/>
          <w:szCs w:val="24"/>
        </w:rPr>
      </w:pPr>
      <w:r w:rsidRPr="00BF0339">
        <w:rPr>
          <w:rFonts w:ascii="Times New Roman" w:hAnsi="Times New Roman" w:cs="Times New Roman"/>
          <w:sz w:val="24"/>
          <w:szCs w:val="24"/>
        </w:rPr>
        <w:t>Mathematica</w:t>
      </w:r>
    </w:p>
    <w:p w:rsidRPr="00BF0339" w:rsidR="00BF0339" w:rsidP="006972B7" w:rsidRDefault="00BF0339" w14:paraId="53D42F07" w14:textId="2E85E5D7">
      <w:pPr>
        <w:spacing w:after="0" w:line="240" w:lineRule="auto"/>
        <w:ind w:left="270"/>
        <w:rPr>
          <w:rFonts w:ascii="Times New Roman" w:hAnsi="Times New Roman" w:cs="Times New Roman"/>
          <w:sz w:val="24"/>
          <w:szCs w:val="24"/>
        </w:rPr>
      </w:pPr>
      <w:r w:rsidRPr="00BF0339">
        <w:rPr>
          <w:rFonts w:ascii="Times New Roman" w:hAnsi="Times New Roman" w:cs="Times New Roman"/>
          <w:sz w:val="24"/>
          <w:szCs w:val="24"/>
        </w:rPr>
        <w:t>Telephone: 202-642-3462</w:t>
      </w:r>
    </w:p>
    <w:p w:rsidR="00BF0339" w:rsidP="006972B7" w:rsidRDefault="00BF0339" w14:paraId="3933C4D1" w14:textId="403188BF">
      <w:pPr>
        <w:pStyle w:val="TableText"/>
        <w:ind w:firstLine="270"/>
        <w:rPr>
          <w:rFonts w:ascii="Times New Roman" w:hAnsi="Times New Roman"/>
          <w:color w:val="000000"/>
          <w:sz w:val="24"/>
          <w:szCs w:val="24"/>
        </w:rPr>
      </w:pPr>
      <w:r w:rsidRPr="00BF0339">
        <w:rPr>
          <w:rFonts w:ascii="Times New Roman" w:hAnsi="Times New Roman"/>
          <w:sz w:val="24"/>
          <w:szCs w:val="24"/>
        </w:rPr>
        <w:t xml:space="preserve">Email: </w:t>
      </w:r>
      <w:hyperlink w:history="1" r:id="rId48">
        <w:r w:rsidRPr="00533715">
          <w:rPr>
            <w:rStyle w:val="Hyperlink"/>
            <w:rFonts w:ascii="Times New Roman" w:hAnsi="Times New Roman"/>
            <w:sz w:val="24"/>
            <w:szCs w:val="24"/>
          </w:rPr>
          <w:t>GLivermore@mathematica-mpr.com</w:t>
        </w:r>
      </w:hyperlink>
    </w:p>
    <w:p w:rsidRPr="00BF0339" w:rsidR="00BF0339" w:rsidP="00BF0339" w:rsidRDefault="00BF0339" w14:paraId="6E6D2EAA" w14:textId="0CDC111B">
      <w:pPr>
        <w:spacing w:after="0" w:line="240" w:lineRule="auto"/>
        <w:ind w:left="270"/>
        <w:rPr>
          <w:rFonts w:ascii="Times New Roman" w:hAnsi="Times New Roman" w:cs="Times New Roman"/>
          <w:sz w:val="24"/>
          <w:szCs w:val="24"/>
        </w:rPr>
      </w:pPr>
      <w:r w:rsidRPr="00BF0339">
        <w:rPr>
          <w:sz w:val="24"/>
          <w:szCs w:val="24"/>
        </w:rPr>
        <w:t xml:space="preserve"> </w:t>
      </w:r>
    </w:p>
    <w:p w:rsidRPr="00BF0339" w:rsidR="00BF0339" w:rsidP="00BF0339" w:rsidRDefault="00BF0339" w14:paraId="22336BCF" w14:textId="022CE8BA">
      <w:pPr>
        <w:spacing w:after="0" w:line="240" w:lineRule="auto"/>
        <w:ind w:left="270"/>
        <w:rPr>
          <w:rFonts w:ascii="Times New Roman" w:hAnsi="Times New Roman" w:cs="Times New Roman"/>
          <w:sz w:val="24"/>
          <w:szCs w:val="24"/>
        </w:rPr>
      </w:pPr>
      <w:r w:rsidRPr="00BF0339">
        <w:rPr>
          <w:rFonts w:ascii="Times New Roman" w:hAnsi="Times New Roman" w:cs="Times New Roman"/>
          <w:sz w:val="24"/>
          <w:szCs w:val="24"/>
        </w:rPr>
        <w:t>Mustafa Karakus, Associate Director</w:t>
      </w:r>
    </w:p>
    <w:p w:rsidRPr="00BF0339" w:rsidR="00BF0339" w:rsidP="00BF0339" w:rsidRDefault="00BF0339" w14:paraId="3052FCD7" w14:textId="22A4933A">
      <w:pPr>
        <w:spacing w:after="0" w:line="240" w:lineRule="auto"/>
        <w:ind w:left="270"/>
        <w:rPr>
          <w:rFonts w:ascii="Times New Roman" w:hAnsi="Times New Roman" w:cs="Times New Roman"/>
          <w:sz w:val="24"/>
          <w:szCs w:val="24"/>
        </w:rPr>
      </w:pPr>
      <w:r w:rsidRPr="00BF0339">
        <w:rPr>
          <w:rFonts w:ascii="Times New Roman" w:hAnsi="Times New Roman" w:cs="Times New Roman"/>
          <w:sz w:val="24"/>
          <w:szCs w:val="24"/>
        </w:rPr>
        <w:t>Westat</w:t>
      </w:r>
    </w:p>
    <w:p w:rsidRPr="00BF0339" w:rsidR="00BF0339" w:rsidP="00BF0339" w:rsidRDefault="00BF0339" w14:paraId="1EB0CC73" w14:textId="564ADB17">
      <w:pPr>
        <w:spacing w:after="0" w:line="240" w:lineRule="auto"/>
        <w:ind w:left="270"/>
        <w:rPr>
          <w:rFonts w:ascii="Times New Roman" w:hAnsi="Times New Roman" w:cs="Times New Roman"/>
          <w:sz w:val="24"/>
          <w:szCs w:val="24"/>
        </w:rPr>
      </w:pPr>
      <w:r w:rsidRPr="00BF0339">
        <w:rPr>
          <w:rFonts w:ascii="Times New Roman" w:hAnsi="Times New Roman" w:cs="Times New Roman"/>
          <w:sz w:val="24"/>
          <w:szCs w:val="24"/>
        </w:rPr>
        <w:t>Telephone:  240-370-4907</w:t>
      </w:r>
    </w:p>
    <w:p w:rsidR="00BF0339" w:rsidP="00BF0339" w:rsidRDefault="00BF0339" w14:paraId="3394067F" w14:textId="4CA4E148">
      <w:pPr>
        <w:spacing w:after="0" w:line="240" w:lineRule="auto"/>
        <w:ind w:left="270"/>
        <w:rPr>
          <w:rFonts w:ascii="Times New Roman" w:hAnsi="Times New Roman"/>
          <w:color w:val="000000"/>
          <w:sz w:val="24"/>
          <w:szCs w:val="24"/>
        </w:rPr>
      </w:pPr>
      <w:r w:rsidRPr="00BF0339">
        <w:rPr>
          <w:rFonts w:ascii="Times New Roman" w:hAnsi="Times New Roman" w:cs="Times New Roman"/>
          <w:sz w:val="24"/>
          <w:szCs w:val="24"/>
        </w:rPr>
        <w:t xml:space="preserve">Email: </w:t>
      </w:r>
      <w:hyperlink w:history="1" r:id="rId49">
        <w:r w:rsidRPr="00533715">
          <w:rPr>
            <w:rStyle w:val="Hyperlink"/>
            <w:rFonts w:ascii="Times New Roman" w:hAnsi="Times New Roman"/>
            <w:sz w:val="24"/>
            <w:szCs w:val="24"/>
          </w:rPr>
          <w:t>MustafaKarakus@westat.com</w:t>
        </w:r>
      </w:hyperlink>
    </w:p>
    <w:bookmarkEnd w:id="49"/>
    <w:bookmarkEnd w:id="50"/>
    <w:bookmarkEnd w:id="51"/>
    <w:sectPr w:rsidR="00BF0339" w:rsidSect="00673298">
      <w:headerReference w:type="default" r:id="rId50"/>
      <w:footerReference w:type="default" r:id="rId51"/>
      <w:headerReference w:type="first" r:id="rId52"/>
      <w:footerReference w:type="first" r:id="rId53"/>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96CE" w14:textId="77777777" w:rsidR="00C654D0" w:rsidRPr="00CC6F21" w:rsidRDefault="00C654D0" w:rsidP="00CC6F21">
      <w:r>
        <w:separator/>
      </w:r>
    </w:p>
  </w:endnote>
  <w:endnote w:type="continuationSeparator" w:id="0">
    <w:p w14:paraId="4EC70036" w14:textId="77777777" w:rsidR="00C654D0" w:rsidRPr="00CC6F21" w:rsidRDefault="00C654D0" w:rsidP="00CC6F21">
      <w:r>
        <w:continuationSeparator/>
      </w:r>
    </w:p>
  </w:endnote>
  <w:endnote w:type="continuationNotice" w:id="1">
    <w:p w14:paraId="566DBCC1" w14:textId="77777777" w:rsidR="00C654D0" w:rsidRDefault="00C654D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44C9" w14:textId="48558186" w:rsidR="00830548" w:rsidRPr="00A37298" w:rsidRDefault="00EE6ABE" w:rsidP="00A37298">
    <w:pPr>
      <w:pStyle w:val="Footer"/>
    </w:pPr>
    <w:r>
      <w:rPr>
        <w:bCs/>
      </w:rPr>
      <w:t xml:space="preserve">NBS Supporting Statement: Part </w:t>
    </w:r>
    <w:r w:rsidR="00673298">
      <w:rPr>
        <w:bCs/>
      </w:rPr>
      <w:t>B</w:t>
    </w:r>
    <w:r w:rsidR="002811E0">
      <w:tab/>
    </w:r>
    <w:r>
      <w:t xml:space="preserve">Page </w:t>
    </w:r>
    <w:r w:rsidR="002811E0" w:rsidRPr="00967B6B">
      <w:fldChar w:fldCharType="begin"/>
    </w:r>
    <w:r w:rsidR="002811E0" w:rsidRPr="00967B6B">
      <w:instrText xml:space="preserve"> PAGE </w:instrText>
    </w:r>
    <w:r w:rsidR="002811E0" w:rsidRPr="00967B6B">
      <w:fldChar w:fldCharType="separate"/>
    </w:r>
    <w:r w:rsidR="002811E0">
      <w:t>2</w:t>
    </w:r>
    <w:r w:rsidR="002811E0"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D1C2" w14:textId="0E90DA37"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75336">
      <w:rPr>
        <w:b/>
        <w:noProof/>
      </w:rPr>
      <w:t>08/17/22</w:t>
    </w:r>
    <w:r w:rsidRPr="003771BE">
      <w:fldChar w:fldCharType="end"/>
    </w:r>
    <w:r w:rsidR="00D82C0F">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p w14:paraId="7920E1DB" w14:textId="77777777" w:rsidR="00302E84" w:rsidRDefault="00302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46C8" w14:textId="77777777" w:rsidR="00C654D0" w:rsidRPr="00CC6F21" w:rsidRDefault="00C654D0" w:rsidP="003842A6">
      <w:pPr>
        <w:pStyle w:val="FootnoteSep"/>
      </w:pPr>
      <w:r>
        <w:separator/>
      </w:r>
    </w:p>
  </w:footnote>
  <w:footnote w:type="continuationSeparator" w:id="0">
    <w:p w14:paraId="5AE1413C" w14:textId="77777777" w:rsidR="00C654D0" w:rsidRPr="00CC6F21" w:rsidRDefault="00C654D0" w:rsidP="003842A6">
      <w:pPr>
        <w:pStyle w:val="FootnoteSep"/>
      </w:pPr>
      <w:r>
        <w:continuationSeparator/>
      </w:r>
    </w:p>
  </w:footnote>
  <w:footnote w:type="continuationNotice" w:id="1">
    <w:p w14:paraId="5A2A3C9B" w14:textId="77777777" w:rsidR="00C654D0" w:rsidRDefault="00C654D0" w:rsidP="003842A6">
      <w:pPr>
        <w:pStyle w:val="NoSpacing"/>
      </w:pPr>
    </w:p>
  </w:footnote>
  <w:footnote w:id="2">
    <w:p w14:paraId="05B8E80E" w14:textId="77777777" w:rsidR="00602A76" w:rsidRPr="002068DA" w:rsidRDefault="00602A76" w:rsidP="00602A76">
      <w:pPr>
        <w:pStyle w:val="FootnoteText"/>
      </w:pPr>
      <w:r w:rsidRPr="002068DA">
        <w:rPr>
          <w:rStyle w:val="FootnoteReference"/>
        </w:rPr>
        <w:footnoteRef/>
      </w:r>
      <w:r w:rsidRPr="002068DA">
        <w:t xml:space="preserve">Active status includes beneficiaries </w:t>
      </w:r>
      <w:r>
        <w:t>who currently receive</w:t>
      </w:r>
      <w:r w:rsidRPr="002068DA">
        <w:t xml:space="preserve"> cash benefits</w:t>
      </w:r>
      <w:r>
        <w:t>,</w:t>
      </w:r>
      <w:r w:rsidRPr="002068DA">
        <w:t xml:space="preserve"> as well as those whose benefits </w:t>
      </w:r>
      <w:r>
        <w:t>SSA</w:t>
      </w:r>
      <w:r w:rsidRPr="002068DA">
        <w:t xml:space="preserve"> temporarily suspended for work or other reasons.</w:t>
      </w:r>
    </w:p>
  </w:footnote>
  <w:footnote w:id="3">
    <w:p w14:paraId="0C54CEAF" w14:textId="7B104C94" w:rsidR="00BD3610" w:rsidRPr="00602A76" w:rsidRDefault="00BD3610" w:rsidP="00BD3610">
      <w:pPr>
        <w:pStyle w:val="FootnoteText"/>
      </w:pPr>
      <w:r w:rsidRPr="009D22A3">
        <w:rPr>
          <w:rStyle w:val="FootnoteReference"/>
        </w:rPr>
        <w:footnoteRef/>
      </w:r>
      <w:r w:rsidRPr="009D22A3">
        <w:t xml:space="preserve"> This stratification is a departure from the stratification used in Rounds 1 through 7, which was based solely on age categories. </w:t>
      </w:r>
      <w:r w:rsidR="008450AE">
        <w:t xml:space="preserve"> </w:t>
      </w:r>
      <w:r w:rsidRPr="009D22A3">
        <w:t>It takes advantage of the relationship between earnings in the year prior to the sampling year and whether the respondent was working at the time of the interview.</w:t>
      </w:r>
      <w:r>
        <w:t xml:space="preserve"> </w:t>
      </w:r>
      <w:r w:rsidR="008450AE">
        <w:t xml:space="preserve"> </w:t>
      </w:r>
      <w:r>
        <w:t>Earnings information was not readily available for stratification and sampling prior to Round 6.</w:t>
      </w:r>
    </w:p>
  </w:footnote>
  <w:footnote w:id="4">
    <w:p w14:paraId="3A355603" w14:textId="3B56B55E" w:rsidR="00602A76" w:rsidRPr="008E723B" w:rsidRDefault="00602A76" w:rsidP="00602A76">
      <w:pPr>
        <w:pStyle w:val="FootnoteText"/>
      </w:pPr>
      <w:r>
        <w:rPr>
          <w:rStyle w:val="FootnoteReference"/>
        </w:rPr>
        <w:footnoteRef/>
      </w:r>
      <w:r>
        <w:t xml:space="preserve"> </w:t>
      </w:r>
      <w:r w:rsidRPr="008E723B">
        <w:t>This updated information will contain a</w:t>
      </w:r>
      <w:r>
        <w:t>bout</w:t>
      </w:r>
      <w:r w:rsidRPr="008E723B">
        <w:t xml:space="preserve"> three times the number of successful workers that w</w:t>
      </w:r>
      <w:r>
        <w:t>ill be</w:t>
      </w:r>
      <w:r w:rsidRPr="008E723B">
        <w:t xml:space="preserve"> in the provisional frame from which the sample </w:t>
      </w:r>
      <w:r>
        <w:t xml:space="preserve">is </w:t>
      </w:r>
      <w:r w:rsidRPr="008E723B">
        <w:t>selected.</w:t>
      </w:r>
      <w:r w:rsidR="008450AE">
        <w:t xml:space="preserve"> </w:t>
      </w:r>
      <w:r w:rsidRPr="008E723B">
        <w:t xml:space="preserve"> A small number of cases who were initially identified as successful workers in the provisional frame may subsequently be found to not meet the successful work criteria.</w:t>
      </w:r>
    </w:p>
  </w:footnote>
  <w:footnote w:id="5">
    <w:p w14:paraId="2B318A1B" w14:textId="08789B69" w:rsidR="00602A76" w:rsidRPr="002068DA" w:rsidRDefault="00602A76" w:rsidP="00602A76">
      <w:pPr>
        <w:pStyle w:val="FootnoteText"/>
      </w:pPr>
      <w:r w:rsidRPr="002068DA">
        <w:rPr>
          <w:rStyle w:val="FootnoteReference"/>
        </w:rPr>
        <w:footnoteRef/>
      </w:r>
      <w:r w:rsidRPr="002068DA">
        <w:t xml:space="preserve"> The </w:t>
      </w:r>
      <w:r>
        <w:t>SWS</w:t>
      </w:r>
      <w:r w:rsidRPr="002068DA">
        <w:t xml:space="preserve"> will therefore not be representative of all SSI/SSDI beneficiaries who met the definition of successful work</w:t>
      </w:r>
      <w:r>
        <w:t xml:space="preserve"> because</w:t>
      </w:r>
      <w:r w:rsidRPr="002068DA">
        <w:t xml:space="preserve"> the earnings for some of these beneficiaries </w:t>
      </w:r>
      <w:r>
        <w:t>are not</w:t>
      </w:r>
      <w:r w:rsidRPr="002068DA">
        <w:t xml:space="preserve"> available in SSA administrative data in time for sample</w:t>
      </w:r>
      <w:r>
        <w:t xml:space="preserve"> </w:t>
      </w:r>
      <w:r w:rsidRPr="002068DA">
        <w:t>selection.</w:t>
      </w:r>
      <w:r>
        <w:t xml:space="preserve"> </w:t>
      </w:r>
      <w:r w:rsidR="008450AE">
        <w:t xml:space="preserve"> </w:t>
      </w:r>
      <w:r>
        <w:t>Applying the final post-stratified weights will alleviate some of this bias, but we have no opportunity to interview successful workers whose earnings were not included in the administrative data in time to be included in the provisional frame.</w:t>
      </w:r>
    </w:p>
  </w:footnote>
  <w:footnote w:id="6">
    <w:p w14:paraId="268BFF8F" w14:textId="77777777" w:rsidR="00602A76" w:rsidRPr="006C2CA0" w:rsidRDefault="00602A76" w:rsidP="00602A76">
      <w:pPr>
        <w:pStyle w:val="FootnoteText"/>
      </w:pPr>
      <w:r w:rsidRPr="002068DA">
        <w:rPr>
          <w:rStyle w:val="FootnoteReference"/>
        </w:rPr>
        <w:footnoteRef/>
      </w:r>
      <w:r w:rsidRPr="002068DA">
        <w:t xml:space="preserve"> </w:t>
      </w:r>
      <w:r w:rsidRPr="006C2CA0">
        <w:t xml:space="preserve">To be eligible for disability benefits, a person </w:t>
      </w:r>
      <w:r>
        <w:t xml:space="preserve">must be </w:t>
      </w:r>
      <w:r w:rsidRPr="006C2CA0">
        <w:t xml:space="preserve">unable to engage in </w:t>
      </w:r>
      <w:r>
        <w:t>SGA.</w:t>
      </w:r>
      <w:r w:rsidRPr="006C2CA0">
        <w:t xml:space="preserve"> </w:t>
      </w:r>
      <w:r>
        <w:t>In 2022, t</w:t>
      </w:r>
      <w:r w:rsidRPr="006C2CA0">
        <w:t>he monthly</w:t>
      </w:r>
      <w:r>
        <w:t xml:space="preserve"> nonblind</w:t>
      </w:r>
      <w:r w:rsidRPr="006C2CA0">
        <w:t xml:space="preserve"> SGA </w:t>
      </w:r>
      <w:r>
        <w:t xml:space="preserve">threshold </w:t>
      </w:r>
      <w:r w:rsidRPr="006C2CA0">
        <w:t>is </w:t>
      </w:r>
      <w:r w:rsidRPr="008C7708">
        <w:t>$1,350</w:t>
      </w:r>
      <w:r w:rsidRPr="006C2CA0">
        <w:t>. (From https://www.socialsecurity.gov/oact/cola/sga.html. Accessed 2/</w:t>
      </w:r>
      <w:r>
        <w:t>13</w:t>
      </w:r>
      <w:r w:rsidRPr="006C2CA0">
        <w:t>/20</w:t>
      </w:r>
      <w:r>
        <w:t>22</w:t>
      </w:r>
      <w:r w:rsidRPr="006C2CA0">
        <w:t>.)</w:t>
      </w:r>
    </w:p>
  </w:footnote>
  <w:footnote w:id="7">
    <w:p w14:paraId="63D7CAF1" w14:textId="6F53E762" w:rsidR="00602A76" w:rsidRPr="006C2CA0" w:rsidRDefault="00602A76" w:rsidP="00602A76">
      <w:pPr>
        <w:pStyle w:val="FootnoteText"/>
      </w:pPr>
      <w:r w:rsidRPr="006C2CA0">
        <w:rPr>
          <w:rStyle w:val="FootnoteReference"/>
          <w:color w:val="000000" w:themeColor="text1"/>
        </w:rPr>
        <w:footnoteRef/>
      </w:r>
      <w:r w:rsidRPr="006C2CA0">
        <w:t xml:space="preserve"> The DCF is a centralized, electronic database that stores, supports, and controls data on post-entitlement disability</w:t>
      </w:r>
      <w:r w:rsidR="00314D6C">
        <w:noBreakHyphen/>
      </w:r>
      <w:r w:rsidRPr="006C2CA0">
        <w:t xml:space="preserve">related actions and determinations. </w:t>
      </w:r>
    </w:p>
  </w:footnote>
  <w:footnote w:id="8">
    <w:p w14:paraId="68917004" w14:textId="15EED0D5" w:rsidR="00602A76" w:rsidRPr="008E723B" w:rsidRDefault="00602A76" w:rsidP="00602A76">
      <w:pPr>
        <w:pStyle w:val="FootnoteText"/>
      </w:pPr>
      <w:r w:rsidRPr="008E723B">
        <w:rPr>
          <w:rStyle w:val="FootnoteReference"/>
        </w:rPr>
        <w:footnoteRef/>
      </w:r>
      <w:r w:rsidRPr="008E723B">
        <w:t xml:space="preserve"> This constraint on the age of the successful worker was </w:t>
      </w:r>
      <w:r>
        <w:t>applied</w:t>
      </w:r>
      <w:r w:rsidRPr="008E723B">
        <w:t xml:space="preserve"> in Round 6 to ensure successful workers who indicated that they were working at the time of the Round 6 interview (and therefore eligible for the Round 7 longitudinal sample) would still be age-eligible</w:t>
      </w:r>
      <w:r>
        <w:t xml:space="preserve"> for disability benefits</w:t>
      </w:r>
      <w:r w:rsidRPr="008E723B">
        <w:t xml:space="preserve"> at Round 7. </w:t>
      </w:r>
      <w:r w:rsidR="008450AE">
        <w:t xml:space="preserve"> </w:t>
      </w:r>
      <w:r>
        <w:t>Al</w:t>
      </w:r>
      <w:r w:rsidRPr="008E723B">
        <w:t>though no sample members w</w:t>
      </w:r>
      <w:r>
        <w:t>ill be</w:t>
      </w:r>
      <w:r w:rsidRPr="008E723B">
        <w:t xml:space="preserve"> followed longitudinally </w:t>
      </w:r>
      <w:r>
        <w:t>in</w:t>
      </w:r>
      <w:r w:rsidRPr="008E723B">
        <w:t xml:space="preserve"> Round </w:t>
      </w:r>
      <w:r>
        <w:t>8</w:t>
      </w:r>
      <w:r w:rsidRPr="008E723B">
        <w:t xml:space="preserve">, </w:t>
      </w:r>
      <w:r>
        <w:t xml:space="preserve">we will apply </w:t>
      </w:r>
      <w:r w:rsidRPr="008E723B">
        <w:t xml:space="preserve">the </w:t>
      </w:r>
      <w:r>
        <w:t xml:space="preserve">same </w:t>
      </w:r>
      <w:r w:rsidRPr="008E723B">
        <w:t>constraint to maintain consistency across rounds.</w:t>
      </w:r>
    </w:p>
  </w:footnote>
  <w:footnote w:id="9">
    <w:p w14:paraId="2E833BF2" w14:textId="05CE2C03" w:rsidR="00602A76" w:rsidRPr="008E723B" w:rsidRDefault="00602A76" w:rsidP="00602A76">
      <w:pPr>
        <w:pStyle w:val="FootnoteText"/>
      </w:pPr>
      <w:r w:rsidRPr="008E723B">
        <w:rPr>
          <w:rStyle w:val="FootnoteReference"/>
        </w:rPr>
        <w:footnoteRef/>
      </w:r>
      <w:r w:rsidRPr="008E723B">
        <w:t xml:space="preserve"> We define the SWS target population </w:t>
      </w:r>
      <w:r>
        <w:t xml:space="preserve">here </w:t>
      </w:r>
      <w:r w:rsidRPr="008E723B">
        <w:t xml:space="preserve">in terms of the population of successful workers that is available for sampling. </w:t>
      </w:r>
      <w:r w:rsidR="008450AE">
        <w:t xml:space="preserve"> </w:t>
      </w:r>
      <w:r w:rsidRPr="008E723B">
        <w:t>In the final post-stratification three years after data collection, the SWS target population will be expanded to include most successful workers.</w:t>
      </w:r>
    </w:p>
  </w:footnote>
  <w:footnote w:id="10">
    <w:p w14:paraId="564D00D6" w14:textId="77777777" w:rsidR="00903232" w:rsidRDefault="00903232" w:rsidP="00903232">
      <w:pPr>
        <w:pStyle w:val="FootnoteText"/>
      </w:pPr>
      <w:r>
        <w:rPr>
          <w:rStyle w:val="FootnoteReference"/>
        </w:rPr>
        <w:footnoteRef/>
      </w:r>
      <w:r>
        <w:t xml:space="preserve"> This is close to the number of PSUs that were used in Rounds 1 through 7 (1,330), which was based on the number and distribution of beneficiaries in Round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BE9F" w14:textId="1B238C2B" w:rsidR="004C3238" w:rsidRDefault="004C3238" w:rsidP="00EE6ABE">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8C10"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A7EA7DE"/>
    <w:lvl w:ilvl="0">
      <w:start w:val="1"/>
      <w:numFmt w:val="decimal"/>
      <w:pStyle w:val="ListNumber"/>
      <w:lvlText w:val="%1."/>
      <w:lvlJc w:val="left"/>
      <w:pPr>
        <w:ind w:left="720" w:hanging="360"/>
      </w:pPr>
      <w:rPr>
        <w:rFonts w:hint="default"/>
        <w:b w:val="0"/>
        <w:i w:val="0"/>
        <w:color w:val="auto"/>
      </w:rPr>
    </w:lvl>
  </w:abstractNum>
  <w:abstractNum w:abstractNumId="9" w15:restartNumberingAfterBreak="0">
    <w:nsid w:val="FFFFFF89"/>
    <w:multiLevelType w:val="singleLevel"/>
    <w:tmpl w:val="A260AD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110D5AD2"/>
    <w:multiLevelType w:val="hybridMultilevel"/>
    <w:tmpl w:val="488ECABC"/>
    <w:lvl w:ilvl="0" w:tplc="2C74D59E">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2495D27"/>
    <w:multiLevelType w:val="singleLevel"/>
    <w:tmpl w:val="1C72C8C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6"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29931A7"/>
    <w:multiLevelType w:val="hybridMultilevel"/>
    <w:tmpl w:val="2610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62B16FC"/>
    <w:multiLevelType w:val="singleLevel"/>
    <w:tmpl w:val="35CACD78"/>
    <w:lvl w:ilvl="0">
      <w:start w:val="1"/>
      <w:numFmt w:val="bullet"/>
      <w:pStyle w:val="Bullet"/>
      <w:lvlText w:val=""/>
      <w:lvlJc w:val="left"/>
      <w:pPr>
        <w:tabs>
          <w:tab w:val="num" w:pos="360"/>
        </w:tabs>
        <w:ind w:left="360" w:hanging="360"/>
      </w:pPr>
      <w:rPr>
        <w:rFonts w:ascii="Symbol" w:hAnsi="Symbol" w:hint="default"/>
      </w:rPr>
    </w:lvl>
  </w:abstractNum>
  <w:abstractNum w:abstractNumId="3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1D55F5"/>
    <w:multiLevelType w:val="hybridMultilevel"/>
    <w:tmpl w:val="730E8260"/>
    <w:lvl w:ilvl="0" w:tplc="87F0A4B0">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7"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640C62C1"/>
    <w:multiLevelType w:val="hybridMultilevel"/>
    <w:tmpl w:val="803865EC"/>
    <w:lvl w:ilvl="0" w:tplc="7CFC663A">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B665E3"/>
    <w:multiLevelType w:val="hybridMultilevel"/>
    <w:tmpl w:val="F612A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3FB2CB0"/>
    <w:multiLevelType w:val="hybridMultilevel"/>
    <w:tmpl w:val="28780F4C"/>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1"/>
  </w:num>
  <w:num w:numId="4">
    <w:abstractNumId w:val="0"/>
  </w:num>
  <w:num w:numId="5">
    <w:abstractNumId w:val="31"/>
  </w:num>
  <w:num w:numId="6">
    <w:abstractNumId w:val="29"/>
  </w:num>
  <w:num w:numId="7">
    <w:abstractNumId w:val="11"/>
  </w:num>
  <w:num w:numId="8">
    <w:abstractNumId w:val="19"/>
  </w:num>
  <w:num w:numId="9">
    <w:abstractNumId w:val="15"/>
  </w:num>
  <w:num w:numId="10">
    <w:abstractNumId w:val="34"/>
  </w:num>
  <w:num w:numId="11">
    <w:abstractNumId w:val="10"/>
  </w:num>
  <w:num w:numId="12">
    <w:abstractNumId w:val="22"/>
  </w:num>
  <w:num w:numId="13">
    <w:abstractNumId w:val="36"/>
  </w:num>
  <w:num w:numId="14">
    <w:abstractNumId w:val="41"/>
  </w:num>
  <w:num w:numId="15">
    <w:abstractNumId w:val="27"/>
  </w:num>
  <w:num w:numId="16">
    <w:abstractNumId w:val="33"/>
  </w:num>
  <w:num w:numId="17">
    <w:abstractNumId w:val="18"/>
  </w:num>
  <w:num w:numId="18">
    <w:abstractNumId w:val="9"/>
  </w:num>
  <w:num w:numId="19">
    <w:abstractNumId w:val="6"/>
  </w:num>
  <w:num w:numId="20">
    <w:abstractNumId w:val="8"/>
  </w:num>
  <w:num w:numId="21">
    <w:abstractNumId w:val="3"/>
  </w:num>
  <w:num w:numId="22">
    <w:abstractNumId w:val="2"/>
  </w:num>
  <w:num w:numId="23">
    <w:abstractNumId w:val="24"/>
  </w:num>
  <w:num w:numId="24">
    <w:abstractNumId w:val="7"/>
  </w:num>
  <w:num w:numId="25">
    <w:abstractNumId w:val="26"/>
  </w:num>
  <w:num w:numId="26">
    <w:abstractNumId w:val="12"/>
  </w:num>
  <w:num w:numId="27">
    <w:abstractNumId w:val="40"/>
  </w:num>
  <w:num w:numId="28">
    <w:abstractNumId w:val="20"/>
  </w:num>
  <w:num w:numId="29">
    <w:abstractNumId w:val="21"/>
  </w:num>
  <w:num w:numId="30">
    <w:abstractNumId w:val="23"/>
  </w:num>
  <w:num w:numId="31">
    <w:abstractNumId w:val="14"/>
  </w:num>
  <w:num w:numId="32">
    <w:abstractNumId w:val="38"/>
  </w:num>
  <w:num w:numId="33">
    <w:abstractNumId w:val="17"/>
  </w:num>
  <w:num w:numId="34">
    <w:abstractNumId w:val="37"/>
  </w:num>
  <w:num w:numId="35">
    <w:abstractNumId w:val="39"/>
  </w:num>
  <w:num w:numId="36">
    <w:abstractNumId w:val="30"/>
  </w:num>
  <w:num w:numId="37">
    <w:abstractNumId w:val="13"/>
  </w:num>
  <w:num w:numId="38">
    <w:abstractNumId w:val="16"/>
  </w:num>
  <w:num w:numId="39">
    <w:abstractNumId w:val="35"/>
  </w:num>
  <w:num w:numId="40">
    <w:abstractNumId w:val="32"/>
  </w:num>
  <w:num w:numId="41">
    <w:abstractNumId w:val="42"/>
  </w:num>
  <w:num w:numId="42">
    <w:abstractNumId w:val="25"/>
  </w:num>
  <w:num w:numId="43">
    <w:abstractNumId w:val="44"/>
  </w:num>
  <w:num w:numId="44">
    <w:abstractNumId w:val="28"/>
  </w:num>
  <w:num w:numId="45">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C1"/>
    <w:rsid w:val="00003A49"/>
    <w:rsid w:val="00004128"/>
    <w:rsid w:val="00004440"/>
    <w:rsid w:val="00004AAA"/>
    <w:rsid w:val="00004DCC"/>
    <w:rsid w:val="0000580A"/>
    <w:rsid w:val="00005CF0"/>
    <w:rsid w:val="00007690"/>
    <w:rsid w:val="000077E6"/>
    <w:rsid w:val="00007FE1"/>
    <w:rsid w:val="00011527"/>
    <w:rsid w:val="0001315B"/>
    <w:rsid w:val="00013632"/>
    <w:rsid w:val="000150BC"/>
    <w:rsid w:val="00015394"/>
    <w:rsid w:val="00015C89"/>
    <w:rsid w:val="00016C44"/>
    <w:rsid w:val="00017986"/>
    <w:rsid w:val="00017B63"/>
    <w:rsid w:val="00023F49"/>
    <w:rsid w:val="0003072A"/>
    <w:rsid w:val="000317DE"/>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3FDC"/>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5FA7"/>
    <w:rsid w:val="00097653"/>
    <w:rsid w:val="00097CD7"/>
    <w:rsid w:val="000A2885"/>
    <w:rsid w:val="000A39BA"/>
    <w:rsid w:val="000A3A29"/>
    <w:rsid w:val="000A5412"/>
    <w:rsid w:val="000A6656"/>
    <w:rsid w:val="000B04DB"/>
    <w:rsid w:val="000B1298"/>
    <w:rsid w:val="000B29A2"/>
    <w:rsid w:val="000B4E8A"/>
    <w:rsid w:val="000B57E8"/>
    <w:rsid w:val="000B7351"/>
    <w:rsid w:val="000C151D"/>
    <w:rsid w:val="000C1988"/>
    <w:rsid w:val="000C2957"/>
    <w:rsid w:val="000C55CF"/>
    <w:rsid w:val="000C614D"/>
    <w:rsid w:val="000C699A"/>
    <w:rsid w:val="000C6E87"/>
    <w:rsid w:val="000D133A"/>
    <w:rsid w:val="000D1B57"/>
    <w:rsid w:val="000D1FF5"/>
    <w:rsid w:val="000D215D"/>
    <w:rsid w:val="000D29F0"/>
    <w:rsid w:val="000D39A0"/>
    <w:rsid w:val="000D7265"/>
    <w:rsid w:val="000E0819"/>
    <w:rsid w:val="000E1243"/>
    <w:rsid w:val="000E24C8"/>
    <w:rsid w:val="000E2FBA"/>
    <w:rsid w:val="000E5373"/>
    <w:rsid w:val="000E782C"/>
    <w:rsid w:val="000F0883"/>
    <w:rsid w:val="000F249C"/>
    <w:rsid w:val="000F3097"/>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783"/>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5327"/>
    <w:rsid w:val="001360F2"/>
    <w:rsid w:val="00136129"/>
    <w:rsid w:val="00137782"/>
    <w:rsid w:val="0014130E"/>
    <w:rsid w:val="00142CD5"/>
    <w:rsid w:val="001450E4"/>
    <w:rsid w:val="00145F3A"/>
    <w:rsid w:val="00146BA5"/>
    <w:rsid w:val="001519C7"/>
    <w:rsid w:val="001529D2"/>
    <w:rsid w:val="0015348D"/>
    <w:rsid w:val="00154E93"/>
    <w:rsid w:val="001555F7"/>
    <w:rsid w:val="001574E2"/>
    <w:rsid w:val="0016068B"/>
    <w:rsid w:val="001606FF"/>
    <w:rsid w:val="00161870"/>
    <w:rsid w:val="0016400A"/>
    <w:rsid w:val="001645B2"/>
    <w:rsid w:val="0016645C"/>
    <w:rsid w:val="0016728D"/>
    <w:rsid w:val="001673B1"/>
    <w:rsid w:val="0017049A"/>
    <w:rsid w:val="00172C36"/>
    <w:rsid w:val="00173FB5"/>
    <w:rsid w:val="00175EE8"/>
    <w:rsid w:val="00175F2E"/>
    <w:rsid w:val="00176C05"/>
    <w:rsid w:val="001776C2"/>
    <w:rsid w:val="0018145F"/>
    <w:rsid w:val="001827DF"/>
    <w:rsid w:val="00182B49"/>
    <w:rsid w:val="0018308B"/>
    <w:rsid w:val="00183157"/>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A39"/>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667A"/>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3E91"/>
    <w:rsid w:val="002243B9"/>
    <w:rsid w:val="00225CFC"/>
    <w:rsid w:val="002318E1"/>
    <w:rsid w:val="0023207B"/>
    <w:rsid w:val="002321B5"/>
    <w:rsid w:val="002330D8"/>
    <w:rsid w:val="00233297"/>
    <w:rsid w:val="0023403C"/>
    <w:rsid w:val="00234198"/>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6E83"/>
    <w:rsid w:val="002602D0"/>
    <w:rsid w:val="0026097C"/>
    <w:rsid w:val="00260EE6"/>
    <w:rsid w:val="00261FCF"/>
    <w:rsid w:val="0026277A"/>
    <w:rsid w:val="002665DA"/>
    <w:rsid w:val="00267ABA"/>
    <w:rsid w:val="00271DDE"/>
    <w:rsid w:val="002721E8"/>
    <w:rsid w:val="0027240C"/>
    <w:rsid w:val="00272570"/>
    <w:rsid w:val="00272DFE"/>
    <w:rsid w:val="00272E87"/>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2874"/>
    <w:rsid w:val="002B4855"/>
    <w:rsid w:val="002B551B"/>
    <w:rsid w:val="002B6C32"/>
    <w:rsid w:val="002B6D3C"/>
    <w:rsid w:val="002B6E26"/>
    <w:rsid w:val="002C090F"/>
    <w:rsid w:val="002C1CC2"/>
    <w:rsid w:val="002C3499"/>
    <w:rsid w:val="002C3557"/>
    <w:rsid w:val="002C64D4"/>
    <w:rsid w:val="002C6DA7"/>
    <w:rsid w:val="002C71AB"/>
    <w:rsid w:val="002D0406"/>
    <w:rsid w:val="002D04C8"/>
    <w:rsid w:val="002D061A"/>
    <w:rsid w:val="002D2A10"/>
    <w:rsid w:val="002D4533"/>
    <w:rsid w:val="002D4865"/>
    <w:rsid w:val="002D677A"/>
    <w:rsid w:val="002D69A2"/>
    <w:rsid w:val="002D7125"/>
    <w:rsid w:val="002D7812"/>
    <w:rsid w:val="002E01B1"/>
    <w:rsid w:val="002E04BC"/>
    <w:rsid w:val="002E1059"/>
    <w:rsid w:val="002E385A"/>
    <w:rsid w:val="002E468E"/>
    <w:rsid w:val="002E4949"/>
    <w:rsid w:val="002E6ADE"/>
    <w:rsid w:val="002E6B89"/>
    <w:rsid w:val="002E6E25"/>
    <w:rsid w:val="002E72B7"/>
    <w:rsid w:val="002F1308"/>
    <w:rsid w:val="002F30F9"/>
    <w:rsid w:val="002F3BC4"/>
    <w:rsid w:val="002F472F"/>
    <w:rsid w:val="002F56A3"/>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4D6C"/>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5C5"/>
    <w:rsid w:val="00351630"/>
    <w:rsid w:val="003542F4"/>
    <w:rsid w:val="00354C20"/>
    <w:rsid w:val="003550E5"/>
    <w:rsid w:val="00356DE9"/>
    <w:rsid w:val="00360875"/>
    <w:rsid w:val="0036310A"/>
    <w:rsid w:val="00363132"/>
    <w:rsid w:val="00363647"/>
    <w:rsid w:val="00364B94"/>
    <w:rsid w:val="00370758"/>
    <w:rsid w:val="003708F8"/>
    <w:rsid w:val="00370AAF"/>
    <w:rsid w:val="00370E2E"/>
    <w:rsid w:val="003723B6"/>
    <w:rsid w:val="00374143"/>
    <w:rsid w:val="003750B5"/>
    <w:rsid w:val="00376D12"/>
    <w:rsid w:val="003771BE"/>
    <w:rsid w:val="003842A6"/>
    <w:rsid w:val="003868C5"/>
    <w:rsid w:val="00391D57"/>
    <w:rsid w:val="00393366"/>
    <w:rsid w:val="003935E8"/>
    <w:rsid w:val="003937C3"/>
    <w:rsid w:val="0039458A"/>
    <w:rsid w:val="003958E4"/>
    <w:rsid w:val="00396702"/>
    <w:rsid w:val="00397224"/>
    <w:rsid w:val="003975B3"/>
    <w:rsid w:val="00397DA3"/>
    <w:rsid w:val="003A1025"/>
    <w:rsid w:val="003A117A"/>
    <w:rsid w:val="003A1E42"/>
    <w:rsid w:val="003A32F7"/>
    <w:rsid w:val="003A4E13"/>
    <w:rsid w:val="003A4F3D"/>
    <w:rsid w:val="003B12CB"/>
    <w:rsid w:val="003B2582"/>
    <w:rsid w:val="003B25C1"/>
    <w:rsid w:val="003B3997"/>
    <w:rsid w:val="003B3B48"/>
    <w:rsid w:val="003B7B39"/>
    <w:rsid w:val="003C230C"/>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D7FD8"/>
    <w:rsid w:val="003E00CD"/>
    <w:rsid w:val="003E08CD"/>
    <w:rsid w:val="003E3736"/>
    <w:rsid w:val="003E40FF"/>
    <w:rsid w:val="003E51C9"/>
    <w:rsid w:val="003E788B"/>
    <w:rsid w:val="003F020C"/>
    <w:rsid w:val="003F046C"/>
    <w:rsid w:val="003F448F"/>
    <w:rsid w:val="003F52FB"/>
    <w:rsid w:val="003F59C8"/>
    <w:rsid w:val="003F71D1"/>
    <w:rsid w:val="003F743E"/>
    <w:rsid w:val="003F757E"/>
    <w:rsid w:val="003F79FE"/>
    <w:rsid w:val="003F7A8F"/>
    <w:rsid w:val="00401936"/>
    <w:rsid w:val="00401C1D"/>
    <w:rsid w:val="00402085"/>
    <w:rsid w:val="00405CAB"/>
    <w:rsid w:val="00410744"/>
    <w:rsid w:val="0041080B"/>
    <w:rsid w:val="00411FF6"/>
    <w:rsid w:val="00412D75"/>
    <w:rsid w:val="0041335E"/>
    <w:rsid w:val="004146B1"/>
    <w:rsid w:val="00420ECE"/>
    <w:rsid w:val="00421951"/>
    <w:rsid w:val="0042260F"/>
    <w:rsid w:val="004229F6"/>
    <w:rsid w:val="00423634"/>
    <w:rsid w:val="00423787"/>
    <w:rsid w:val="004237F7"/>
    <w:rsid w:val="0042483F"/>
    <w:rsid w:val="00430092"/>
    <w:rsid w:val="00430737"/>
    <w:rsid w:val="00431639"/>
    <w:rsid w:val="00431CE3"/>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0DC"/>
    <w:rsid w:val="0045737F"/>
    <w:rsid w:val="0046198A"/>
    <w:rsid w:val="00461DE8"/>
    <w:rsid w:val="00461FA7"/>
    <w:rsid w:val="00465BF8"/>
    <w:rsid w:val="0046685E"/>
    <w:rsid w:val="00470A49"/>
    <w:rsid w:val="004712BA"/>
    <w:rsid w:val="004715A1"/>
    <w:rsid w:val="004716D6"/>
    <w:rsid w:val="00471F33"/>
    <w:rsid w:val="00472FA6"/>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60F3"/>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0163"/>
    <w:rsid w:val="004F2EA4"/>
    <w:rsid w:val="004F30AB"/>
    <w:rsid w:val="004F3361"/>
    <w:rsid w:val="004F6225"/>
    <w:rsid w:val="004F6B30"/>
    <w:rsid w:val="004F6B4F"/>
    <w:rsid w:val="004F78F0"/>
    <w:rsid w:val="004F7E31"/>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25EC"/>
    <w:rsid w:val="005257B9"/>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644"/>
    <w:rsid w:val="00566777"/>
    <w:rsid w:val="005679C5"/>
    <w:rsid w:val="00567ACA"/>
    <w:rsid w:val="0057270E"/>
    <w:rsid w:val="00573BD6"/>
    <w:rsid w:val="00573EA1"/>
    <w:rsid w:val="005748EA"/>
    <w:rsid w:val="00576204"/>
    <w:rsid w:val="00577581"/>
    <w:rsid w:val="00577590"/>
    <w:rsid w:val="00580D9A"/>
    <w:rsid w:val="00581F98"/>
    <w:rsid w:val="005833A4"/>
    <w:rsid w:val="00583AEF"/>
    <w:rsid w:val="00583E15"/>
    <w:rsid w:val="00584208"/>
    <w:rsid w:val="005907B1"/>
    <w:rsid w:val="00592EFE"/>
    <w:rsid w:val="00594204"/>
    <w:rsid w:val="005945DD"/>
    <w:rsid w:val="0059556A"/>
    <w:rsid w:val="00595DA8"/>
    <w:rsid w:val="00595E4E"/>
    <w:rsid w:val="00596DCD"/>
    <w:rsid w:val="00596E55"/>
    <w:rsid w:val="00597D6E"/>
    <w:rsid w:val="005A0251"/>
    <w:rsid w:val="005A0526"/>
    <w:rsid w:val="005A23AE"/>
    <w:rsid w:val="005A2BB9"/>
    <w:rsid w:val="005A3905"/>
    <w:rsid w:val="005A5897"/>
    <w:rsid w:val="005A6ECA"/>
    <w:rsid w:val="005A7794"/>
    <w:rsid w:val="005A7B66"/>
    <w:rsid w:val="005B078C"/>
    <w:rsid w:val="005B0D41"/>
    <w:rsid w:val="005B1EB6"/>
    <w:rsid w:val="005B2493"/>
    <w:rsid w:val="005B2F71"/>
    <w:rsid w:val="005B3B70"/>
    <w:rsid w:val="005B4B22"/>
    <w:rsid w:val="005B5D05"/>
    <w:rsid w:val="005B7895"/>
    <w:rsid w:val="005C2B60"/>
    <w:rsid w:val="005C2B8B"/>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E7A2F"/>
    <w:rsid w:val="005F2B42"/>
    <w:rsid w:val="005F3199"/>
    <w:rsid w:val="005F3652"/>
    <w:rsid w:val="005F36BF"/>
    <w:rsid w:val="005F3F66"/>
    <w:rsid w:val="005F6C58"/>
    <w:rsid w:val="005F7603"/>
    <w:rsid w:val="006011A4"/>
    <w:rsid w:val="00601A45"/>
    <w:rsid w:val="00602577"/>
    <w:rsid w:val="006025BC"/>
    <w:rsid w:val="00602A76"/>
    <w:rsid w:val="00606E5B"/>
    <w:rsid w:val="006072E5"/>
    <w:rsid w:val="006077DA"/>
    <w:rsid w:val="00607986"/>
    <w:rsid w:val="00607E0C"/>
    <w:rsid w:val="00610C3A"/>
    <w:rsid w:val="0061103A"/>
    <w:rsid w:val="006115BD"/>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2EC1"/>
    <w:rsid w:val="00633331"/>
    <w:rsid w:val="00633342"/>
    <w:rsid w:val="0063492C"/>
    <w:rsid w:val="00634C89"/>
    <w:rsid w:val="00635E6D"/>
    <w:rsid w:val="0063641B"/>
    <w:rsid w:val="006365B1"/>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56E9"/>
    <w:rsid w:val="00656B0C"/>
    <w:rsid w:val="00660F3E"/>
    <w:rsid w:val="00661BB0"/>
    <w:rsid w:val="006622FC"/>
    <w:rsid w:val="006633CA"/>
    <w:rsid w:val="00664557"/>
    <w:rsid w:val="00665ADF"/>
    <w:rsid w:val="00667052"/>
    <w:rsid w:val="00673298"/>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972B7"/>
    <w:rsid w:val="006A2391"/>
    <w:rsid w:val="006A352E"/>
    <w:rsid w:val="006A4D11"/>
    <w:rsid w:val="006A78E9"/>
    <w:rsid w:val="006A7B00"/>
    <w:rsid w:val="006B022A"/>
    <w:rsid w:val="006B16CD"/>
    <w:rsid w:val="006B204A"/>
    <w:rsid w:val="006B273F"/>
    <w:rsid w:val="006B2ADF"/>
    <w:rsid w:val="006B44C5"/>
    <w:rsid w:val="006B5555"/>
    <w:rsid w:val="006C02B1"/>
    <w:rsid w:val="006C1719"/>
    <w:rsid w:val="006C1C63"/>
    <w:rsid w:val="006C20BB"/>
    <w:rsid w:val="006C2DC4"/>
    <w:rsid w:val="006C4724"/>
    <w:rsid w:val="006C6F09"/>
    <w:rsid w:val="006C7A9C"/>
    <w:rsid w:val="006D0D7D"/>
    <w:rsid w:val="006D3517"/>
    <w:rsid w:val="006D4BFF"/>
    <w:rsid w:val="006D5AA1"/>
    <w:rsid w:val="006D78F8"/>
    <w:rsid w:val="006D7BCF"/>
    <w:rsid w:val="006E00C3"/>
    <w:rsid w:val="006E1680"/>
    <w:rsid w:val="006E275F"/>
    <w:rsid w:val="006E2D7F"/>
    <w:rsid w:val="006E334F"/>
    <w:rsid w:val="006E575B"/>
    <w:rsid w:val="006E6BDC"/>
    <w:rsid w:val="006F241B"/>
    <w:rsid w:val="006F25F9"/>
    <w:rsid w:val="006F27B1"/>
    <w:rsid w:val="006F2915"/>
    <w:rsid w:val="006F2F17"/>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52DF"/>
    <w:rsid w:val="00706AA5"/>
    <w:rsid w:val="00707EA8"/>
    <w:rsid w:val="007127C2"/>
    <w:rsid w:val="0071282A"/>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47B6C"/>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3647"/>
    <w:rsid w:val="0077425E"/>
    <w:rsid w:val="00775123"/>
    <w:rsid w:val="00775760"/>
    <w:rsid w:val="0077654E"/>
    <w:rsid w:val="00776A4B"/>
    <w:rsid w:val="00777A7B"/>
    <w:rsid w:val="007809C4"/>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4DA"/>
    <w:rsid w:val="007B17CC"/>
    <w:rsid w:val="007B54A5"/>
    <w:rsid w:val="007B595B"/>
    <w:rsid w:val="007C2C18"/>
    <w:rsid w:val="007C33D5"/>
    <w:rsid w:val="007C4015"/>
    <w:rsid w:val="007C558A"/>
    <w:rsid w:val="007C6805"/>
    <w:rsid w:val="007C7D0B"/>
    <w:rsid w:val="007D3CC1"/>
    <w:rsid w:val="007D456D"/>
    <w:rsid w:val="007D47DB"/>
    <w:rsid w:val="007D570C"/>
    <w:rsid w:val="007D5884"/>
    <w:rsid w:val="007D5A5C"/>
    <w:rsid w:val="007D6DF7"/>
    <w:rsid w:val="007D76A7"/>
    <w:rsid w:val="007D77EE"/>
    <w:rsid w:val="007E00C2"/>
    <w:rsid w:val="007E0655"/>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49E"/>
    <w:rsid w:val="00814C7B"/>
    <w:rsid w:val="00816FAF"/>
    <w:rsid w:val="008202BC"/>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666"/>
    <w:rsid w:val="00844B9C"/>
    <w:rsid w:val="008450AE"/>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4D20"/>
    <w:rsid w:val="008763FC"/>
    <w:rsid w:val="00876676"/>
    <w:rsid w:val="00876B50"/>
    <w:rsid w:val="00880FD5"/>
    <w:rsid w:val="008811F9"/>
    <w:rsid w:val="00881205"/>
    <w:rsid w:val="008812DA"/>
    <w:rsid w:val="0088182A"/>
    <w:rsid w:val="0088191A"/>
    <w:rsid w:val="00882EE5"/>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32A6"/>
    <w:rsid w:val="008A5686"/>
    <w:rsid w:val="008A6059"/>
    <w:rsid w:val="008B183D"/>
    <w:rsid w:val="008B261B"/>
    <w:rsid w:val="008B2F90"/>
    <w:rsid w:val="008B6172"/>
    <w:rsid w:val="008B7D5B"/>
    <w:rsid w:val="008C2359"/>
    <w:rsid w:val="008C2EC8"/>
    <w:rsid w:val="008C3F98"/>
    <w:rsid w:val="008C4027"/>
    <w:rsid w:val="008C6FC5"/>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232"/>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4B5D"/>
    <w:rsid w:val="009357D7"/>
    <w:rsid w:val="009365B0"/>
    <w:rsid w:val="00940B48"/>
    <w:rsid w:val="00941C9E"/>
    <w:rsid w:val="009430D9"/>
    <w:rsid w:val="0094543B"/>
    <w:rsid w:val="009460E9"/>
    <w:rsid w:val="0095021D"/>
    <w:rsid w:val="00950B22"/>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5B15"/>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3D98"/>
    <w:rsid w:val="009C42D4"/>
    <w:rsid w:val="009C4FF4"/>
    <w:rsid w:val="009C5DAC"/>
    <w:rsid w:val="009D34EC"/>
    <w:rsid w:val="009D744D"/>
    <w:rsid w:val="009E2267"/>
    <w:rsid w:val="009E24CB"/>
    <w:rsid w:val="009E4004"/>
    <w:rsid w:val="009E59FD"/>
    <w:rsid w:val="009F24E1"/>
    <w:rsid w:val="009F4CF8"/>
    <w:rsid w:val="009F5892"/>
    <w:rsid w:val="009F7C2B"/>
    <w:rsid w:val="00A00BE0"/>
    <w:rsid w:val="00A0206A"/>
    <w:rsid w:val="00A02145"/>
    <w:rsid w:val="00A0353E"/>
    <w:rsid w:val="00A043FC"/>
    <w:rsid w:val="00A05385"/>
    <w:rsid w:val="00A05A8E"/>
    <w:rsid w:val="00A05D95"/>
    <w:rsid w:val="00A062EF"/>
    <w:rsid w:val="00A11349"/>
    <w:rsid w:val="00A1234B"/>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9C7"/>
    <w:rsid w:val="00A37D3E"/>
    <w:rsid w:val="00A407EB"/>
    <w:rsid w:val="00A40E39"/>
    <w:rsid w:val="00A43E30"/>
    <w:rsid w:val="00A441A6"/>
    <w:rsid w:val="00A44B56"/>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745"/>
    <w:rsid w:val="00A82D7A"/>
    <w:rsid w:val="00A83588"/>
    <w:rsid w:val="00A83B1F"/>
    <w:rsid w:val="00A84430"/>
    <w:rsid w:val="00A85CD1"/>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58FB"/>
    <w:rsid w:val="00AB7A09"/>
    <w:rsid w:val="00AC1547"/>
    <w:rsid w:val="00AC16FB"/>
    <w:rsid w:val="00AC17C7"/>
    <w:rsid w:val="00AC18E1"/>
    <w:rsid w:val="00AC1B8D"/>
    <w:rsid w:val="00AC6627"/>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52D"/>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4945"/>
    <w:rsid w:val="00B551E4"/>
    <w:rsid w:val="00B563F8"/>
    <w:rsid w:val="00B56B0D"/>
    <w:rsid w:val="00B56C79"/>
    <w:rsid w:val="00B577C8"/>
    <w:rsid w:val="00B57F19"/>
    <w:rsid w:val="00B60F87"/>
    <w:rsid w:val="00B60F8D"/>
    <w:rsid w:val="00B61FEC"/>
    <w:rsid w:val="00B621F0"/>
    <w:rsid w:val="00B62B31"/>
    <w:rsid w:val="00B63A54"/>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4D94"/>
    <w:rsid w:val="00BA52EF"/>
    <w:rsid w:val="00BA66C5"/>
    <w:rsid w:val="00BA6805"/>
    <w:rsid w:val="00BB0474"/>
    <w:rsid w:val="00BB19C4"/>
    <w:rsid w:val="00BB4B07"/>
    <w:rsid w:val="00BB5C84"/>
    <w:rsid w:val="00BB7A1D"/>
    <w:rsid w:val="00BC0A80"/>
    <w:rsid w:val="00BC1506"/>
    <w:rsid w:val="00BC1F17"/>
    <w:rsid w:val="00BC333C"/>
    <w:rsid w:val="00BC3E95"/>
    <w:rsid w:val="00BC49E9"/>
    <w:rsid w:val="00BC4A56"/>
    <w:rsid w:val="00BC51CB"/>
    <w:rsid w:val="00BC5461"/>
    <w:rsid w:val="00BC64C1"/>
    <w:rsid w:val="00BC6702"/>
    <w:rsid w:val="00BC67A4"/>
    <w:rsid w:val="00BC7774"/>
    <w:rsid w:val="00BD0A27"/>
    <w:rsid w:val="00BD2513"/>
    <w:rsid w:val="00BD2BD5"/>
    <w:rsid w:val="00BD2D3A"/>
    <w:rsid w:val="00BD3610"/>
    <w:rsid w:val="00BD4014"/>
    <w:rsid w:val="00BD61AF"/>
    <w:rsid w:val="00BD7BB6"/>
    <w:rsid w:val="00BE00DD"/>
    <w:rsid w:val="00BE11BB"/>
    <w:rsid w:val="00BE1C34"/>
    <w:rsid w:val="00BE24E5"/>
    <w:rsid w:val="00BE3E5E"/>
    <w:rsid w:val="00BE4B83"/>
    <w:rsid w:val="00BE4F15"/>
    <w:rsid w:val="00BE5744"/>
    <w:rsid w:val="00BE57EC"/>
    <w:rsid w:val="00BE6902"/>
    <w:rsid w:val="00BE787B"/>
    <w:rsid w:val="00BE799D"/>
    <w:rsid w:val="00BE7BA8"/>
    <w:rsid w:val="00BF0332"/>
    <w:rsid w:val="00BF0339"/>
    <w:rsid w:val="00BF0B08"/>
    <w:rsid w:val="00BF26F9"/>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5EEE"/>
    <w:rsid w:val="00C37330"/>
    <w:rsid w:val="00C37A38"/>
    <w:rsid w:val="00C405F2"/>
    <w:rsid w:val="00C41F38"/>
    <w:rsid w:val="00C432BA"/>
    <w:rsid w:val="00C43D2F"/>
    <w:rsid w:val="00C44C60"/>
    <w:rsid w:val="00C46F16"/>
    <w:rsid w:val="00C47C99"/>
    <w:rsid w:val="00C5200C"/>
    <w:rsid w:val="00C52F57"/>
    <w:rsid w:val="00C535C9"/>
    <w:rsid w:val="00C53830"/>
    <w:rsid w:val="00C540FC"/>
    <w:rsid w:val="00C554C6"/>
    <w:rsid w:val="00C55736"/>
    <w:rsid w:val="00C55BC4"/>
    <w:rsid w:val="00C56592"/>
    <w:rsid w:val="00C56BC2"/>
    <w:rsid w:val="00C61829"/>
    <w:rsid w:val="00C6201A"/>
    <w:rsid w:val="00C63254"/>
    <w:rsid w:val="00C653BE"/>
    <w:rsid w:val="00C654D0"/>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87F80"/>
    <w:rsid w:val="00C92025"/>
    <w:rsid w:val="00C926D2"/>
    <w:rsid w:val="00C93EE3"/>
    <w:rsid w:val="00C940D8"/>
    <w:rsid w:val="00C96522"/>
    <w:rsid w:val="00C96EB4"/>
    <w:rsid w:val="00CA0716"/>
    <w:rsid w:val="00CA108A"/>
    <w:rsid w:val="00CA3879"/>
    <w:rsid w:val="00CA3FCF"/>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B9E"/>
    <w:rsid w:val="00CD4E72"/>
    <w:rsid w:val="00CD6044"/>
    <w:rsid w:val="00CD650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1B9"/>
    <w:rsid w:val="00CF06D0"/>
    <w:rsid w:val="00CF0C8D"/>
    <w:rsid w:val="00CF0E00"/>
    <w:rsid w:val="00CF1E8B"/>
    <w:rsid w:val="00CF2E34"/>
    <w:rsid w:val="00CF3B8E"/>
    <w:rsid w:val="00CF66AC"/>
    <w:rsid w:val="00CF66F3"/>
    <w:rsid w:val="00D00653"/>
    <w:rsid w:val="00D0118C"/>
    <w:rsid w:val="00D0467A"/>
    <w:rsid w:val="00D04944"/>
    <w:rsid w:val="00D06797"/>
    <w:rsid w:val="00D12EE7"/>
    <w:rsid w:val="00D1641C"/>
    <w:rsid w:val="00D24B26"/>
    <w:rsid w:val="00D266C9"/>
    <w:rsid w:val="00D2687F"/>
    <w:rsid w:val="00D26AB5"/>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33F8"/>
    <w:rsid w:val="00D45E0A"/>
    <w:rsid w:val="00D462EA"/>
    <w:rsid w:val="00D46690"/>
    <w:rsid w:val="00D46979"/>
    <w:rsid w:val="00D47BFD"/>
    <w:rsid w:val="00D50844"/>
    <w:rsid w:val="00D55701"/>
    <w:rsid w:val="00D5638C"/>
    <w:rsid w:val="00D566A5"/>
    <w:rsid w:val="00D57D04"/>
    <w:rsid w:val="00D601AC"/>
    <w:rsid w:val="00D61351"/>
    <w:rsid w:val="00D618BD"/>
    <w:rsid w:val="00D62E77"/>
    <w:rsid w:val="00D62F84"/>
    <w:rsid w:val="00D64FF2"/>
    <w:rsid w:val="00D66207"/>
    <w:rsid w:val="00D70D88"/>
    <w:rsid w:val="00D7241A"/>
    <w:rsid w:val="00D763BF"/>
    <w:rsid w:val="00D8059F"/>
    <w:rsid w:val="00D80D61"/>
    <w:rsid w:val="00D824C4"/>
    <w:rsid w:val="00D82C0F"/>
    <w:rsid w:val="00D8301A"/>
    <w:rsid w:val="00D83BD3"/>
    <w:rsid w:val="00D83CB1"/>
    <w:rsid w:val="00D849FD"/>
    <w:rsid w:val="00D85852"/>
    <w:rsid w:val="00D86275"/>
    <w:rsid w:val="00D87500"/>
    <w:rsid w:val="00D90A52"/>
    <w:rsid w:val="00D90C36"/>
    <w:rsid w:val="00D91B25"/>
    <w:rsid w:val="00D9651B"/>
    <w:rsid w:val="00D97DD3"/>
    <w:rsid w:val="00DA2D71"/>
    <w:rsid w:val="00DA5FF8"/>
    <w:rsid w:val="00DA64F8"/>
    <w:rsid w:val="00DA7DFB"/>
    <w:rsid w:val="00DB07B3"/>
    <w:rsid w:val="00DB10A2"/>
    <w:rsid w:val="00DB13C0"/>
    <w:rsid w:val="00DB2243"/>
    <w:rsid w:val="00DB2623"/>
    <w:rsid w:val="00DB2D86"/>
    <w:rsid w:val="00DB6A78"/>
    <w:rsid w:val="00DB75D5"/>
    <w:rsid w:val="00DB79E0"/>
    <w:rsid w:val="00DB7DEC"/>
    <w:rsid w:val="00DC4EA8"/>
    <w:rsid w:val="00DC532D"/>
    <w:rsid w:val="00DC6036"/>
    <w:rsid w:val="00DC7751"/>
    <w:rsid w:val="00DD1AC8"/>
    <w:rsid w:val="00DD2093"/>
    <w:rsid w:val="00DD279C"/>
    <w:rsid w:val="00DD2919"/>
    <w:rsid w:val="00DD3B1D"/>
    <w:rsid w:val="00DD44E7"/>
    <w:rsid w:val="00DD67B6"/>
    <w:rsid w:val="00DD6BCA"/>
    <w:rsid w:val="00DD7E55"/>
    <w:rsid w:val="00DE0AA6"/>
    <w:rsid w:val="00DE0EE7"/>
    <w:rsid w:val="00DE0F87"/>
    <w:rsid w:val="00DE18F6"/>
    <w:rsid w:val="00DE20F4"/>
    <w:rsid w:val="00DE36C8"/>
    <w:rsid w:val="00DE4FF3"/>
    <w:rsid w:val="00DE6F92"/>
    <w:rsid w:val="00DF170F"/>
    <w:rsid w:val="00DF22E6"/>
    <w:rsid w:val="00DF636A"/>
    <w:rsid w:val="00DF67C1"/>
    <w:rsid w:val="00DF7737"/>
    <w:rsid w:val="00E00492"/>
    <w:rsid w:val="00E012CA"/>
    <w:rsid w:val="00E02A89"/>
    <w:rsid w:val="00E06446"/>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47DD6"/>
    <w:rsid w:val="00E512BC"/>
    <w:rsid w:val="00E51324"/>
    <w:rsid w:val="00E518CC"/>
    <w:rsid w:val="00E52A0B"/>
    <w:rsid w:val="00E53243"/>
    <w:rsid w:val="00E55097"/>
    <w:rsid w:val="00E56939"/>
    <w:rsid w:val="00E605F4"/>
    <w:rsid w:val="00E60967"/>
    <w:rsid w:val="00E60C30"/>
    <w:rsid w:val="00E61820"/>
    <w:rsid w:val="00E61AB6"/>
    <w:rsid w:val="00E62AF4"/>
    <w:rsid w:val="00E653EE"/>
    <w:rsid w:val="00E66249"/>
    <w:rsid w:val="00E66326"/>
    <w:rsid w:val="00E66FDF"/>
    <w:rsid w:val="00E6747B"/>
    <w:rsid w:val="00E678D7"/>
    <w:rsid w:val="00E71168"/>
    <w:rsid w:val="00E720E2"/>
    <w:rsid w:val="00E72DC9"/>
    <w:rsid w:val="00E73099"/>
    <w:rsid w:val="00E73260"/>
    <w:rsid w:val="00E7396E"/>
    <w:rsid w:val="00E76235"/>
    <w:rsid w:val="00E76CF8"/>
    <w:rsid w:val="00E82DB1"/>
    <w:rsid w:val="00E82DC3"/>
    <w:rsid w:val="00E842BE"/>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25B"/>
    <w:rsid w:val="00E96B1A"/>
    <w:rsid w:val="00E9796B"/>
    <w:rsid w:val="00E97A99"/>
    <w:rsid w:val="00EA056B"/>
    <w:rsid w:val="00EA0DDD"/>
    <w:rsid w:val="00EA1F88"/>
    <w:rsid w:val="00EA2E5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5A8"/>
    <w:rsid w:val="00ED7E40"/>
    <w:rsid w:val="00EE196B"/>
    <w:rsid w:val="00EE1C3B"/>
    <w:rsid w:val="00EE4ABA"/>
    <w:rsid w:val="00EE4EAE"/>
    <w:rsid w:val="00EE55CD"/>
    <w:rsid w:val="00EE6A34"/>
    <w:rsid w:val="00EE6AB2"/>
    <w:rsid w:val="00EE6ABE"/>
    <w:rsid w:val="00EE7862"/>
    <w:rsid w:val="00EF0FEA"/>
    <w:rsid w:val="00EF1D7D"/>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4889"/>
    <w:rsid w:val="00F154CF"/>
    <w:rsid w:val="00F156C2"/>
    <w:rsid w:val="00F158B8"/>
    <w:rsid w:val="00F15D04"/>
    <w:rsid w:val="00F16F2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27FB4"/>
    <w:rsid w:val="00F31712"/>
    <w:rsid w:val="00F34147"/>
    <w:rsid w:val="00F35807"/>
    <w:rsid w:val="00F42E59"/>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09A"/>
    <w:rsid w:val="00F73F6D"/>
    <w:rsid w:val="00F74736"/>
    <w:rsid w:val="00F75336"/>
    <w:rsid w:val="00F75F15"/>
    <w:rsid w:val="00F765FE"/>
    <w:rsid w:val="00F808BD"/>
    <w:rsid w:val="00F80BDF"/>
    <w:rsid w:val="00F83720"/>
    <w:rsid w:val="00F84004"/>
    <w:rsid w:val="00F8525B"/>
    <w:rsid w:val="00F90597"/>
    <w:rsid w:val="00F92CCC"/>
    <w:rsid w:val="00F94EB3"/>
    <w:rsid w:val="00F95167"/>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0B76"/>
    <w:rsid w:val="00FC1DA4"/>
    <w:rsid w:val="00FC29CB"/>
    <w:rsid w:val="00FC2F5B"/>
    <w:rsid w:val="00FC2FA6"/>
    <w:rsid w:val="00FC4EC3"/>
    <w:rsid w:val="00FC549F"/>
    <w:rsid w:val="00FC580F"/>
    <w:rsid w:val="00FC641C"/>
    <w:rsid w:val="00FD0FEA"/>
    <w:rsid w:val="00FD1929"/>
    <w:rsid w:val="00FD1BB4"/>
    <w:rsid w:val="00FD2D86"/>
    <w:rsid w:val="00FD31DB"/>
    <w:rsid w:val="00FD41EF"/>
    <w:rsid w:val="00FD4BDA"/>
    <w:rsid w:val="00FD6439"/>
    <w:rsid w:val="00FD64CF"/>
    <w:rsid w:val="00FD729C"/>
    <w:rsid w:val="00FE0AE3"/>
    <w:rsid w:val="00FE0B91"/>
    <w:rsid w:val="00FE2419"/>
    <w:rsid w:val="00FE2937"/>
    <w:rsid w:val="00FE2DC3"/>
    <w:rsid w:val="00FE2EA0"/>
    <w:rsid w:val="00FE7970"/>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D818C4"/>
  <w15:chartTrackingRefBased/>
  <w15:docId w15:val="{C5BEC4B3-2A87-47A7-9481-488801D8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C56BC2"/>
    <w:pPr>
      <w:spacing w:after="0" w:line="240" w:lineRule="auto"/>
    </w:pPr>
    <w:rPr>
      <w:color w:val="000000" w:themeColor="text1"/>
      <w:sz w:val="24"/>
    </w:rPr>
  </w:style>
  <w:style w:type="paragraph" w:customStyle="1" w:styleId="Paragraph">
    <w:name w:val="Paragraph"/>
    <w:basedOn w:val="Normal"/>
    <w:link w:val="ParagraphChar"/>
    <w:qFormat/>
    <w:rsid w:val="00EE6ABE"/>
    <w:pPr>
      <w:spacing w:after="240" w:line="240" w:lineRule="auto"/>
    </w:pPr>
    <w:rPr>
      <w:sz w:val="24"/>
    </w:rPr>
  </w:style>
  <w:style w:type="paragraph" w:customStyle="1" w:styleId="ParagraphContinued">
    <w:name w:val="Paragraph Continued"/>
    <w:basedOn w:val="Paragraph"/>
    <w:next w:val="Paragraph"/>
    <w:qFormat/>
    <w:rsid w:val="00EE6ABE"/>
    <w:pPr>
      <w:spacing w:before="24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EE6ABE"/>
    <w:pPr>
      <w:spacing w:after="240" w:line="240" w:lineRule="auto"/>
      <w:ind w:left="432" w:hanging="432"/>
      <w:jc w:val="center"/>
      <w:outlineLvl w:val="1"/>
    </w:pPr>
    <w:rPr>
      <w:rFonts w:asciiTheme="minorHAnsi" w:hAnsiTheme="minorHAnsi"/>
      <w:b/>
      <w:caps/>
      <w:color w:val="auto"/>
      <w:sz w:val="24"/>
    </w:rPr>
  </w:style>
  <w:style w:type="paragraph" w:styleId="ListBullet">
    <w:name w:val="List Bullet"/>
    <w:basedOn w:val="Normal"/>
    <w:qFormat/>
    <w:rsid w:val="00117783"/>
    <w:pPr>
      <w:numPr>
        <w:numId w:val="18"/>
      </w:numPr>
      <w:spacing w:after="120" w:line="240" w:lineRule="auto"/>
    </w:pPr>
    <w:rPr>
      <w:sz w:val="24"/>
    </w:rPr>
  </w:style>
  <w:style w:type="paragraph" w:styleId="ListNumber">
    <w:name w:val="List Number"/>
    <w:basedOn w:val="Normal"/>
    <w:qFormat/>
    <w:rsid w:val="00E73260"/>
    <w:pPr>
      <w:numPr>
        <w:numId w:val="20"/>
      </w:numPr>
      <w:adjustRightInd w:val="0"/>
      <w:spacing w:after="120" w:line="240" w:lineRule="auto"/>
    </w:pPr>
    <w:rPr>
      <w:sz w:val="24"/>
    </w:r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E73260"/>
    <w:pPr>
      <w:pBdr>
        <w:top w:val="single" w:sz="4" w:space="4" w:color="auto"/>
      </w:pBdr>
      <w:tabs>
        <w:tab w:val="right" w:pos="10080"/>
      </w:tabs>
      <w:spacing w:after="0" w:line="240" w:lineRule="auto"/>
      <w:ind w:left="-720" w:right="-720"/>
    </w:pPr>
    <w:rPr>
      <w:sz w:val="24"/>
    </w:rPr>
  </w:style>
  <w:style w:type="character" w:customStyle="1" w:styleId="FooterChar">
    <w:name w:val="Footer Char"/>
    <w:basedOn w:val="DefaultParagraphFont"/>
    <w:link w:val="Footer"/>
    <w:uiPriority w:val="99"/>
    <w:rsid w:val="00E73260"/>
    <w:rPr>
      <w:sz w:val="24"/>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pPr>
    <w:rPr>
      <w:bCs/>
    </w:rPr>
  </w:style>
  <w:style w:type="paragraph" w:customStyle="1" w:styleId="AttachmentTitle">
    <w:name w:val="Attachment Title"/>
    <w:basedOn w:val="H1"/>
    <w:next w:val="H2"/>
    <w:semiHidden/>
    <w:rsid w:val="00041CBC"/>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EE6ABE"/>
    <w:pPr>
      <w:jc w:val="left"/>
      <w:outlineLvl w:val="2"/>
    </w:pPr>
  </w:style>
  <w:style w:type="paragraph" w:customStyle="1" w:styleId="H3">
    <w:name w:val="H3"/>
    <w:basedOn w:val="H1"/>
    <w:next w:val="ParagraphContinued"/>
    <w:qFormat/>
    <w:rsid w:val="00EE6ABE"/>
    <w:pPr>
      <w:jc w:val="left"/>
      <w:outlineLvl w:val="3"/>
    </w:pPr>
    <w:rPr>
      <w:caps w:val="0"/>
      <w:color w:val="000000" w:themeColor="text1"/>
    </w:rPr>
  </w:style>
  <w:style w:type="paragraph" w:customStyle="1" w:styleId="H4">
    <w:name w:val="H4"/>
    <w:basedOn w:val="H1"/>
    <w:next w:val="ParagraphContinued"/>
    <w:qFormat/>
    <w:rsid w:val="00EE6ABE"/>
    <w:pPr>
      <w:jc w:val="left"/>
      <w:outlineLvl w:val="4"/>
    </w:pPr>
    <w:rPr>
      <w:b w:val="0"/>
      <w:i/>
      <w:caps w:val="0"/>
      <w:color w:val="000000" w:themeColor="text1"/>
    </w:rPr>
  </w:style>
  <w:style w:type="character" w:customStyle="1" w:styleId="Heading9Char">
    <w:name w:val="Heading 9 Char"/>
    <w:aliases w:val="Heading 9 (business proposal only) Char"/>
    <w:basedOn w:val="DefaultParagraphFont"/>
    <w:link w:val="Heading9"/>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uiPriority w:val="34"/>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B57F19"/>
    <w:pPr>
      <w:spacing w:before="60"/>
    </w:pPr>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396702"/>
    <w:pPr>
      <w:spacing w:before="60"/>
    </w:pPr>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C56BC2"/>
    <w:pPr>
      <w:keepNext/>
      <w:spacing w:before="60" w:after="60"/>
      <w:jc w:val="center"/>
    </w:pPr>
    <w:rPr>
      <w:b/>
      <w:color w:val="auto"/>
    </w:rPr>
  </w:style>
  <w:style w:type="paragraph" w:customStyle="1" w:styleId="TableHeaderLeft">
    <w:name w:val="Table Header Left"/>
    <w:basedOn w:val="TableTextLeft"/>
    <w:qFormat/>
    <w:rsid w:val="00C56BC2"/>
    <w:pPr>
      <w:keepNext/>
      <w:spacing w:before="60" w:after="60"/>
    </w:pPr>
    <w:rPr>
      <w:b/>
      <w:color w:val="auto"/>
    </w:rPr>
  </w:style>
  <w:style w:type="paragraph" w:customStyle="1" w:styleId="TableTitle">
    <w:name w:val="Table Title"/>
    <w:basedOn w:val="ExhibitTitle"/>
    <w:qFormat/>
    <w:rsid w:val="00E73260"/>
    <w:pPr>
      <w:spacing w:after="60"/>
    </w:pPr>
    <w:rPr>
      <w:sz w:val="24"/>
    </w:rPr>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4F0163"/>
    <w:pPr>
      <w:tabs>
        <w:tab w:val="right" w:leader="dot" w:pos="9360"/>
      </w:tabs>
      <w:spacing w:after="180" w:line="240" w:lineRule="auto"/>
      <w:ind w:left="432" w:right="720" w:hanging="432"/>
    </w:pPr>
    <w:rPr>
      <w:b/>
      <w:sz w:val="24"/>
    </w:rPr>
  </w:style>
  <w:style w:type="paragraph" w:styleId="TOC2">
    <w:name w:val="toc 2"/>
    <w:basedOn w:val="Normal"/>
    <w:next w:val="Normal"/>
    <w:semiHidden/>
    <w:rsid w:val="00472FA6"/>
    <w:pPr>
      <w:tabs>
        <w:tab w:val="right" w:leader="dot" w:pos="9360"/>
      </w:tabs>
      <w:spacing w:after="180" w:line="240" w:lineRule="auto"/>
      <w:ind w:left="864" w:right="720" w:hanging="432"/>
    </w:pPr>
    <w:rPr>
      <w:sz w:val="24"/>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EE6ABE"/>
    <w:rPr>
      <w:rFonts w:eastAsiaTheme="majorEastAsia" w:cstheme="majorBidi"/>
      <w:b/>
      <w:caps/>
      <w:sz w:val="24"/>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E842BE"/>
    <w:pPr>
      <w:keepLines/>
      <w:spacing w:after="120" w:line="240" w:lineRule="auto"/>
      <w:ind w:hanging="360"/>
    </w:pPr>
    <w:rPr>
      <w:sz w:val="24"/>
    </w:r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Footnote Text-no space,Footnote Text Char Char Char Char,Footnote Text Char Char"/>
    <w:basedOn w:val="Normal"/>
    <w:link w:val="FootnoteTextChar"/>
    <w:semiHidden/>
    <w:rsid w:val="00602A76"/>
    <w:pPr>
      <w:spacing w:after="120" w:line="240" w:lineRule="auto"/>
    </w:pPr>
    <w:rPr>
      <w:rFonts w:ascii="Times New Roman" w:hAnsi="Times New Roman"/>
      <w:sz w:val="20"/>
      <w:szCs w:val="20"/>
    </w:rPr>
  </w:style>
  <w:style w:type="character" w:customStyle="1" w:styleId="FootnoteTextChar">
    <w:name w:val="Footnote Text Char"/>
    <w:aliases w:val="F1 Char,Footnote Text-no space Char,Footnote Text Char Char Char Char Char,Footnote Text Char Char Char"/>
    <w:basedOn w:val="DefaultParagraphFont"/>
    <w:link w:val="FootnoteText"/>
    <w:rsid w:val="00602A76"/>
    <w:rPr>
      <w:rFonts w:ascii="Times New Roman" w:hAnsi="Times New Roman"/>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link w:val="NoSpacingChar"/>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4F0163"/>
    <w:pPr>
      <w:spacing w:after="180" w:line="240" w:lineRule="auto"/>
      <w:ind w:left="720" w:right="720" w:hanging="720"/>
    </w:pPr>
    <w:rPr>
      <w:sz w:val="24"/>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rsid w:val="00632EC1"/>
    <w:pPr>
      <w:tabs>
        <w:tab w:val="left" w:pos="432"/>
      </w:tabs>
      <w:spacing w:after="240" w:line="240" w:lineRule="auto"/>
      <w:ind w:firstLine="432"/>
      <w:jc w:val="both"/>
    </w:pPr>
    <w:rPr>
      <w:rFonts w:ascii="Garamond" w:eastAsia="Times New Roman" w:hAnsi="Garamond" w:cs="Times New Roman"/>
      <w:sz w:val="24"/>
      <w:szCs w:val="20"/>
    </w:rPr>
  </w:style>
  <w:style w:type="paragraph" w:customStyle="1" w:styleId="Heading1Black">
    <w:name w:val="Heading 1_Black"/>
    <w:basedOn w:val="Normal"/>
    <w:next w:val="Normal"/>
    <w:semiHidden/>
    <w:rsid w:val="00632EC1"/>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Dash">
    <w:name w:val="Dash"/>
    <w:semiHidden/>
    <w:rsid w:val="00632EC1"/>
    <w:pPr>
      <w:numPr>
        <w:numId w:val="28"/>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semiHidden/>
    <w:rsid w:val="00632EC1"/>
    <w:pPr>
      <w:tabs>
        <w:tab w:val="num" w:pos="1080"/>
      </w:tabs>
      <w:spacing w:after="240"/>
    </w:pPr>
  </w:style>
  <w:style w:type="paragraph" w:customStyle="1" w:styleId="NumberedBullet">
    <w:name w:val="Numbered Bullet"/>
    <w:basedOn w:val="Normal"/>
    <w:semiHidden/>
    <w:rsid w:val="00632EC1"/>
    <w:pPr>
      <w:numPr>
        <w:numId w:val="39"/>
      </w:numPr>
      <w:tabs>
        <w:tab w:val="left" w:pos="360"/>
      </w:tabs>
      <w:spacing w:after="12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semiHidden/>
    <w:rsid w:val="00632EC1"/>
    <w:pPr>
      <w:spacing w:after="240" w:line="240" w:lineRule="auto"/>
      <w:ind w:left="720" w:hanging="720"/>
      <w:jc w:val="both"/>
    </w:pPr>
    <w:rPr>
      <w:rFonts w:ascii="Times New Roman" w:eastAsia="Times New Roman" w:hAnsi="Times New Roman" w:cs="Times New Roman"/>
      <w:sz w:val="24"/>
      <w:szCs w:val="20"/>
    </w:rPr>
  </w:style>
  <w:style w:type="paragraph" w:customStyle="1" w:styleId="MarkforTableHeading">
    <w:name w:val="Mark for Table Heading"/>
    <w:basedOn w:val="Normal"/>
    <w:next w:val="Normal"/>
    <w:semiHidden/>
    <w:rsid w:val="00632EC1"/>
    <w:pPr>
      <w:keepNext/>
      <w:tabs>
        <w:tab w:val="left" w:pos="432"/>
      </w:tabs>
      <w:spacing w:after="60" w:line="240" w:lineRule="auto"/>
      <w:jc w:val="both"/>
    </w:pPr>
    <w:rPr>
      <w:rFonts w:ascii="Arial" w:eastAsia="Times New Roman" w:hAnsi="Arial" w:cs="Times New Roman"/>
      <w:b/>
      <w:sz w:val="18"/>
      <w:szCs w:val="20"/>
    </w:rPr>
  </w:style>
  <w:style w:type="paragraph" w:customStyle="1" w:styleId="References">
    <w:name w:val="References"/>
    <w:basedOn w:val="Normal"/>
    <w:qFormat/>
    <w:rsid w:val="00632EC1"/>
    <w:pPr>
      <w:keepLines/>
      <w:tabs>
        <w:tab w:val="left" w:pos="432"/>
      </w:tabs>
      <w:spacing w:after="240" w:line="240" w:lineRule="auto"/>
      <w:ind w:left="432" w:hanging="432"/>
      <w:jc w:val="both"/>
    </w:pPr>
    <w:rPr>
      <w:rFonts w:ascii="Times New Roman" w:eastAsia="Times New Roman" w:hAnsi="Times New Roman" w:cs="Times New Roman"/>
      <w:sz w:val="24"/>
      <w:szCs w:val="20"/>
    </w:rPr>
  </w:style>
  <w:style w:type="paragraph" w:customStyle="1" w:styleId="MarkforFigureHeading">
    <w:name w:val="Mark for Figure Heading"/>
    <w:basedOn w:val="MarkforTableHeading"/>
    <w:next w:val="Normal"/>
    <w:semiHidden/>
    <w:rsid w:val="00632EC1"/>
  </w:style>
  <w:style w:type="paragraph" w:customStyle="1" w:styleId="MarkforExhibitHeading">
    <w:name w:val="Mark for Exhibit Heading"/>
    <w:basedOn w:val="Normal"/>
    <w:next w:val="Normal"/>
    <w:semiHidden/>
    <w:rsid w:val="00632EC1"/>
    <w:pPr>
      <w:keepNext/>
      <w:tabs>
        <w:tab w:val="left" w:pos="432"/>
      </w:tabs>
      <w:spacing w:after="60" w:line="240" w:lineRule="auto"/>
      <w:jc w:val="both"/>
    </w:pPr>
    <w:rPr>
      <w:rFonts w:ascii="Arial" w:eastAsia="Times New Roman" w:hAnsi="Arial" w:cs="Times New Roman"/>
      <w:b/>
      <w:sz w:val="18"/>
      <w:szCs w:val="20"/>
    </w:rPr>
  </w:style>
  <w:style w:type="character" w:customStyle="1" w:styleId="MTEquationSection">
    <w:name w:val="MTEquationSection"/>
    <w:basedOn w:val="DefaultParagraphFont"/>
    <w:semiHidden/>
    <w:rsid w:val="00632EC1"/>
    <w:rPr>
      <w:vanish/>
      <w:color w:val="FF0000"/>
    </w:rPr>
  </w:style>
  <w:style w:type="paragraph" w:customStyle="1" w:styleId="NumberedBulletLASTSS">
    <w:name w:val="Numbered Bullet (LAST SS)"/>
    <w:basedOn w:val="NumberedBullet"/>
    <w:next w:val="Normal"/>
    <w:semiHidden/>
    <w:rsid w:val="00632EC1"/>
    <w:pPr>
      <w:spacing w:after="240"/>
    </w:pPr>
  </w:style>
  <w:style w:type="paragraph" w:customStyle="1" w:styleId="TableFootnoteCaption">
    <w:name w:val="Table Footnote_Caption"/>
    <w:basedOn w:val="NormalSS"/>
    <w:qFormat/>
    <w:rsid w:val="00632EC1"/>
    <w:pPr>
      <w:spacing w:after="120"/>
      <w:ind w:firstLine="0"/>
    </w:pPr>
    <w:rPr>
      <w:rFonts w:ascii="Arial" w:hAnsi="Arial"/>
      <w:sz w:val="18"/>
    </w:rPr>
  </w:style>
  <w:style w:type="paragraph" w:customStyle="1" w:styleId="Normalcontinued">
    <w:name w:val="Normal (continued)"/>
    <w:basedOn w:val="Normal"/>
    <w:next w:val="Normal"/>
    <w:semiHidden/>
    <w:rsid w:val="00632EC1"/>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rsid w:val="00632EC1"/>
    <w:pPr>
      <w:ind w:firstLine="0"/>
    </w:pPr>
  </w:style>
  <w:style w:type="paragraph" w:customStyle="1" w:styleId="TableText">
    <w:name w:val="Table Text"/>
    <w:basedOn w:val="NormalSS"/>
    <w:qFormat/>
    <w:rsid w:val="00632EC1"/>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632EC1"/>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semiHidden/>
    <w:rsid w:val="00632EC1"/>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semiHidden/>
    <w:rsid w:val="00632EC1"/>
    <w:rPr>
      <w:color w:val="C00000"/>
    </w:rPr>
  </w:style>
  <w:style w:type="paragraph" w:customStyle="1" w:styleId="AcknowledgmentnoTOCBlue">
    <w:name w:val="Acknowledgment no TOC_Blue"/>
    <w:basedOn w:val="AcknowledgmentnoTOCBlack"/>
    <w:next w:val="Normal"/>
    <w:semiHidden/>
    <w:rsid w:val="00632EC1"/>
    <w:rPr>
      <w:color w:val="345294"/>
    </w:rPr>
  </w:style>
  <w:style w:type="paragraph" w:customStyle="1" w:styleId="BulletBlack">
    <w:name w:val="Bullet_Black"/>
    <w:basedOn w:val="Normal"/>
    <w:semiHidden/>
    <w:rsid w:val="00632EC1"/>
    <w:pPr>
      <w:numPr>
        <w:numId w:val="29"/>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semiHidden/>
    <w:rsid w:val="00632EC1"/>
    <w:pPr>
      <w:numPr>
        <w:numId w:val="32"/>
      </w:numPr>
    </w:pPr>
  </w:style>
  <w:style w:type="paragraph" w:customStyle="1" w:styleId="BulletBlue">
    <w:name w:val="Bullet_Blue"/>
    <w:basedOn w:val="BulletBlack"/>
    <w:semiHidden/>
    <w:rsid w:val="00632EC1"/>
    <w:pPr>
      <w:numPr>
        <w:numId w:val="30"/>
      </w:numPr>
      <w:ind w:left="720" w:hanging="288"/>
    </w:pPr>
  </w:style>
  <w:style w:type="paragraph" w:customStyle="1" w:styleId="BulletBlackLastSS">
    <w:name w:val="Bullet_Black (Last SS)"/>
    <w:basedOn w:val="BulletBlack"/>
    <w:next w:val="NormalSS"/>
    <w:semiHidden/>
    <w:rsid w:val="00632EC1"/>
    <w:pPr>
      <w:spacing w:after="240"/>
    </w:pPr>
  </w:style>
  <w:style w:type="paragraph" w:customStyle="1" w:styleId="BulletRedLastSS">
    <w:name w:val="Bullet_Red (Last SS)"/>
    <w:basedOn w:val="BulletBlackLastSS"/>
    <w:next w:val="NormalSS"/>
    <w:semiHidden/>
    <w:rsid w:val="00632EC1"/>
    <w:pPr>
      <w:numPr>
        <w:numId w:val="33"/>
      </w:numPr>
    </w:pPr>
  </w:style>
  <w:style w:type="paragraph" w:customStyle="1" w:styleId="BulletBlueLastSS">
    <w:name w:val="Bullet_Blue (Last SS)"/>
    <w:basedOn w:val="BulletBlackLastSS"/>
    <w:next w:val="NormalSS"/>
    <w:semiHidden/>
    <w:rsid w:val="00632EC1"/>
    <w:pPr>
      <w:numPr>
        <w:numId w:val="31"/>
      </w:numPr>
      <w:ind w:left="720" w:hanging="288"/>
    </w:pPr>
  </w:style>
  <w:style w:type="paragraph" w:customStyle="1" w:styleId="BulletBlackLastDS">
    <w:name w:val="Bullet_Black (Last DS)"/>
    <w:basedOn w:val="BulletBlackLastSS"/>
    <w:next w:val="Normal"/>
    <w:semiHidden/>
    <w:rsid w:val="00632EC1"/>
    <w:pPr>
      <w:spacing w:after="320"/>
    </w:pPr>
  </w:style>
  <w:style w:type="paragraph" w:customStyle="1" w:styleId="BulletRedLastDS">
    <w:name w:val="Bullet_Red (Last DS)"/>
    <w:basedOn w:val="BulletRedLastSS"/>
    <w:next w:val="Normal"/>
    <w:semiHidden/>
    <w:rsid w:val="00632EC1"/>
    <w:pPr>
      <w:spacing w:after="320"/>
    </w:pPr>
  </w:style>
  <w:style w:type="paragraph" w:customStyle="1" w:styleId="BulletBlueLastDS">
    <w:name w:val="Bullet_Blue (Last DS)"/>
    <w:basedOn w:val="BulletBlackLastDS"/>
    <w:next w:val="Normal"/>
    <w:semiHidden/>
    <w:rsid w:val="00632EC1"/>
    <w:pPr>
      <w:numPr>
        <w:numId w:val="34"/>
      </w:numPr>
      <w:ind w:left="720" w:hanging="288"/>
    </w:pPr>
  </w:style>
  <w:style w:type="paragraph" w:customStyle="1" w:styleId="Heading1Red">
    <w:name w:val="Heading 1_Red"/>
    <w:basedOn w:val="Heading1Black"/>
    <w:next w:val="Normal"/>
    <w:semiHidden/>
    <w:rsid w:val="00632EC1"/>
    <w:rPr>
      <w:color w:val="C00000"/>
    </w:rPr>
  </w:style>
  <w:style w:type="paragraph" w:customStyle="1" w:styleId="Heading1Blue">
    <w:name w:val="Heading 1_Blue"/>
    <w:basedOn w:val="Heading1Black"/>
    <w:next w:val="Normal"/>
    <w:semiHidden/>
    <w:rsid w:val="00632EC1"/>
    <w:rPr>
      <w:color w:val="345294"/>
    </w:rPr>
  </w:style>
  <w:style w:type="paragraph" w:customStyle="1" w:styleId="Heading2Black">
    <w:name w:val="Heading 2_Black"/>
    <w:basedOn w:val="Normal"/>
    <w:next w:val="Normal"/>
    <w:semiHidden/>
    <w:rsid w:val="00632EC1"/>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semiHidden/>
    <w:rsid w:val="00632EC1"/>
    <w:rPr>
      <w:color w:val="C00000"/>
    </w:rPr>
  </w:style>
  <w:style w:type="paragraph" w:customStyle="1" w:styleId="Heading2Blue">
    <w:name w:val="Heading 2_Blue"/>
    <w:basedOn w:val="Heading2Black"/>
    <w:next w:val="Normal"/>
    <w:semiHidden/>
    <w:rsid w:val="00632EC1"/>
    <w:rPr>
      <w:color w:val="345294"/>
    </w:rPr>
  </w:style>
  <w:style w:type="paragraph" w:customStyle="1" w:styleId="Heading2BlackNoTOC">
    <w:name w:val="Heading 2_Black No TOC"/>
    <w:basedOn w:val="Heading2Black"/>
    <w:next w:val="Normal"/>
    <w:semiHidden/>
    <w:rsid w:val="00632EC1"/>
    <w:pPr>
      <w:outlineLvl w:val="8"/>
    </w:pPr>
  </w:style>
  <w:style w:type="paragraph" w:customStyle="1" w:styleId="Heading2RedNoTOC">
    <w:name w:val="Heading 2_Red No TOC"/>
    <w:basedOn w:val="Heading2Red"/>
    <w:next w:val="Normal"/>
    <w:semiHidden/>
    <w:rsid w:val="00632EC1"/>
    <w:pPr>
      <w:outlineLvl w:val="8"/>
    </w:pPr>
  </w:style>
  <w:style w:type="paragraph" w:customStyle="1" w:styleId="Heading2BlueNoTOC">
    <w:name w:val="Heading 2_Blue No TOC"/>
    <w:basedOn w:val="Heading2Blue"/>
    <w:next w:val="Normal"/>
    <w:semiHidden/>
    <w:rsid w:val="00632EC1"/>
    <w:pPr>
      <w:outlineLvl w:val="8"/>
    </w:pPr>
  </w:style>
  <w:style w:type="paragraph" w:customStyle="1" w:styleId="MarkforAttachmentHeadingBlack">
    <w:name w:val="Mark for Attachment Heading_Black"/>
    <w:basedOn w:val="Normal"/>
    <w:next w:val="Normal"/>
    <w:semiHidden/>
    <w:rsid w:val="00632EC1"/>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semiHidden/>
    <w:rsid w:val="00632EC1"/>
    <w:rPr>
      <w:color w:val="C00000"/>
    </w:rPr>
  </w:style>
  <w:style w:type="paragraph" w:customStyle="1" w:styleId="MarkforAttachmentHeadingBlue">
    <w:name w:val="Mark for Attachment Heading_Blue"/>
    <w:basedOn w:val="MarkforAttachmentHeadingBlack"/>
    <w:next w:val="Normal"/>
    <w:semiHidden/>
    <w:rsid w:val="00632EC1"/>
    <w:rPr>
      <w:color w:val="345294"/>
    </w:rPr>
  </w:style>
  <w:style w:type="paragraph" w:customStyle="1" w:styleId="MarkforAppendixHeadingBlack">
    <w:name w:val="Mark for Appendix Heading_Black"/>
    <w:basedOn w:val="Normal"/>
    <w:next w:val="Normal"/>
    <w:semiHidden/>
    <w:rsid w:val="00632EC1"/>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semiHidden/>
    <w:rsid w:val="00632EC1"/>
    <w:rPr>
      <w:color w:val="C00000"/>
    </w:rPr>
  </w:style>
  <w:style w:type="paragraph" w:customStyle="1" w:styleId="MarkforAppendixHeadingBlue">
    <w:name w:val="Mark for Appendix Heading_Blue"/>
    <w:basedOn w:val="MarkforAppendixHeadingBlack"/>
    <w:next w:val="Normal"/>
    <w:semiHidden/>
    <w:rsid w:val="00632EC1"/>
    <w:rPr>
      <w:color w:val="345294"/>
    </w:rPr>
  </w:style>
  <w:style w:type="paragraph" w:customStyle="1" w:styleId="NumberedBulletLastDS">
    <w:name w:val="Numbered Bullet (Last DS)"/>
    <w:basedOn w:val="NumberedBulletLASTSS"/>
    <w:next w:val="Normal"/>
    <w:semiHidden/>
    <w:rsid w:val="00632EC1"/>
    <w:pPr>
      <w:spacing w:after="320"/>
    </w:pPr>
  </w:style>
  <w:style w:type="paragraph" w:customStyle="1" w:styleId="TableSignificanceCaption">
    <w:name w:val="Table Significance_Caption"/>
    <w:basedOn w:val="TableSourceCaption"/>
    <w:qFormat/>
    <w:rsid w:val="00632EC1"/>
    <w:pPr>
      <w:spacing w:after="0"/>
    </w:pPr>
  </w:style>
  <w:style w:type="paragraph" w:customStyle="1" w:styleId="TitleofDocumentVertical">
    <w:name w:val="Title of Document Vertical"/>
    <w:basedOn w:val="Normal"/>
    <w:semiHidden/>
    <w:rsid w:val="00632EC1"/>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semiHidden/>
    <w:rsid w:val="00632EC1"/>
    <w:pPr>
      <w:spacing w:before="0" w:after="160"/>
    </w:pPr>
  </w:style>
  <w:style w:type="paragraph" w:customStyle="1" w:styleId="TitleofDocumentNoPhoto">
    <w:name w:val="Title of Document No Photo"/>
    <w:basedOn w:val="TitleofDocumentHorizontal"/>
    <w:semiHidden/>
    <w:rsid w:val="00632EC1"/>
  </w:style>
  <w:style w:type="paragraph" w:customStyle="1" w:styleId="TableSpace">
    <w:name w:val="TableSpace"/>
    <w:basedOn w:val="TableSourceCaption"/>
    <w:next w:val="TableFootnoteCaption"/>
    <w:semiHidden/>
    <w:rsid w:val="00632EC1"/>
    <w:pPr>
      <w:spacing w:after="0"/>
    </w:pPr>
  </w:style>
  <w:style w:type="table" w:customStyle="1" w:styleId="SMPRTableRed">
    <w:name w:val="SMPR_Table_Red"/>
    <w:basedOn w:val="TableNormal"/>
    <w:rsid w:val="00632EC1"/>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rsid w:val="00632EC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632EC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rsid w:val="00632EC1"/>
    <w:pPr>
      <w:numPr>
        <w:numId w:val="35"/>
      </w:numPr>
    </w:pPr>
  </w:style>
  <w:style w:type="paragraph" w:customStyle="1" w:styleId="Heading3NoTOC">
    <w:name w:val="Heading 3_No TOC"/>
    <w:basedOn w:val="Heading3"/>
    <w:next w:val="Normal"/>
    <w:semiHidden/>
    <w:rsid w:val="00632EC1"/>
    <w:pPr>
      <w:keepLines w:val="0"/>
      <w:numPr>
        <w:ilvl w:val="0"/>
        <w:numId w:val="0"/>
      </w:numPr>
      <w:tabs>
        <w:tab w:val="left" w:pos="432"/>
      </w:tabs>
      <w:spacing w:before="0" w:after="240" w:line="240" w:lineRule="auto"/>
      <w:ind w:left="432" w:hanging="432"/>
      <w:jc w:val="both"/>
      <w:outlineLvl w:val="8"/>
    </w:pPr>
    <w:rPr>
      <w:rFonts w:ascii="Times New Roman" w:eastAsia="Times New Roman" w:hAnsi="Times New Roman" w:cs="Times New Roman"/>
      <w:b/>
      <w:color w:val="auto"/>
      <w:szCs w:val="20"/>
    </w:rPr>
  </w:style>
  <w:style w:type="paragraph" w:customStyle="1" w:styleId="Bullet">
    <w:name w:val="Bullet"/>
    <w:semiHidden/>
    <w:rsid w:val="00632EC1"/>
    <w:pPr>
      <w:numPr>
        <w:numId w:val="36"/>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semiHidden/>
    <w:rsid w:val="00632EC1"/>
    <w:pPr>
      <w:numPr>
        <w:numId w:val="37"/>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qFormat/>
    <w:rsid w:val="00632EC1"/>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semiHidden/>
    <w:rsid w:val="00632EC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632EC1"/>
  </w:style>
  <w:style w:type="paragraph" w:customStyle="1" w:styleId="MarkforFigure">
    <w:name w:val="Mark for Figure"/>
    <w:basedOn w:val="Normal"/>
    <w:next w:val="Normal"/>
    <w:semiHidden/>
    <w:rsid w:val="00632EC1"/>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NumberedBulletLAST">
    <w:name w:val="Numbered Bullet (LAST)"/>
    <w:basedOn w:val="NumberedBullet"/>
    <w:next w:val="Normal"/>
    <w:semiHidden/>
    <w:rsid w:val="00632EC1"/>
    <w:pPr>
      <w:numPr>
        <w:numId w:val="38"/>
      </w:numPr>
      <w:tabs>
        <w:tab w:val="clear" w:pos="792"/>
      </w:tabs>
      <w:spacing w:after="480"/>
      <w:ind w:left="720" w:hanging="288"/>
    </w:pPr>
  </w:style>
  <w:style w:type="paragraph" w:customStyle="1" w:styleId="xl29">
    <w:name w:val="xl29"/>
    <w:basedOn w:val="Normal"/>
    <w:semiHidden/>
    <w:rsid w:val="00632EC1"/>
    <w:pPr>
      <w:spacing w:before="100" w:beforeAutospacing="1" w:after="100" w:afterAutospacing="1" w:line="240" w:lineRule="auto"/>
    </w:pPr>
    <w:rPr>
      <w:rFonts w:ascii="Arial" w:eastAsia="Arial Unicode MS" w:hAnsi="Arial" w:cs="Arial"/>
      <w:b/>
      <w:bCs/>
      <w:sz w:val="16"/>
      <w:szCs w:val="16"/>
    </w:rPr>
  </w:style>
  <w:style w:type="character" w:customStyle="1" w:styleId="NormalSSChar">
    <w:name w:val="NormalSS Char"/>
    <w:basedOn w:val="DefaultParagraphFont"/>
    <w:link w:val="NormalSS"/>
    <w:locked/>
    <w:rsid w:val="00632EC1"/>
    <w:rPr>
      <w:rFonts w:ascii="Garamond" w:eastAsia="Times New Roman" w:hAnsi="Garamond" w:cs="Times New Roman"/>
      <w:sz w:val="24"/>
      <w:szCs w:val="20"/>
    </w:rPr>
  </w:style>
  <w:style w:type="paragraph" w:customStyle="1" w:styleId="Pubs">
    <w:name w:val="Pubs"/>
    <w:basedOn w:val="Normal"/>
    <w:semiHidden/>
    <w:rsid w:val="00632EC1"/>
    <w:pPr>
      <w:keepLines/>
      <w:widowControl w:val="0"/>
      <w:spacing w:before="120" w:after="0" w:line="240" w:lineRule="auto"/>
      <w:ind w:left="360" w:hanging="360"/>
      <w:jc w:val="both"/>
    </w:pPr>
    <w:rPr>
      <w:rFonts w:ascii="Garamond" w:eastAsia="Times New Roman" w:hAnsi="Garamond" w:cs="Times New Roman"/>
      <w:snapToGrid w:val="0"/>
      <w:sz w:val="21"/>
      <w:szCs w:val="21"/>
    </w:rPr>
  </w:style>
  <w:style w:type="character" w:customStyle="1" w:styleId="sc1">
    <w:name w:val="sc1"/>
    <w:basedOn w:val="DefaultParagraphFont"/>
    <w:semiHidden/>
    <w:rsid w:val="00632EC1"/>
    <w:rPr>
      <w:smallCaps/>
    </w:rPr>
  </w:style>
  <w:style w:type="character" w:customStyle="1" w:styleId="NoSpacingChar">
    <w:name w:val="No Spacing Char"/>
    <w:basedOn w:val="DefaultParagraphFont"/>
    <w:link w:val="NoSpacing"/>
    <w:uiPriority w:val="1"/>
    <w:rsid w:val="00632EC1"/>
  </w:style>
  <w:style w:type="paragraph" w:customStyle="1" w:styleId="backcovercities">
    <w:name w:val="back cover cities"/>
    <w:basedOn w:val="Normal"/>
    <w:semiHidden/>
    <w:rsid w:val="00632EC1"/>
    <w:pPr>
      <w:spacing w:after="0" w:line="240" w:lineRule="auto"/>
    </w:pPr>
    <w:rPr>
      <w:rFonts w:ascii="Arial Black" w:eastAsia="Times New Roman" w:hAnsi="Arial Black" w:cs="Times New Roman"/>
      <w:caps/>
      <w:noProof/>
      <w:spacing w:val="-3"/>
      <w:sz w:val="14"/>
      <w:szCs w:val="19"/>
    </w:rPr>
  </w:style>
  <w:style w:type="paragraph" w:customStyle="1" w:styleId="backcovertitle">
    <w:name w:val="back cover title"/>
    <w:basedOn w:val="Normal"/>
    <w:semiHidden/>
    <w:rsid w:val="00632EC1"/>
    <w:pPr>
      <w:pBdr>
        <w:top w:val="single" w:sz="4" w:space="5" w:color="auto"/>
        <w:bottom w:val="single" w:sz="4" w:space="5" w:color="auto"/>
      </w:pBdr>
      <w:spacing w:after="184" w:line="280" w:lineRule="exact"/>
      <w:outlineLvl w:val="0"/>
    </w:pPr>
    <w:rPr>
      <w:rFonts w:ascii="Arial Black" w:eastAsia="Times New Roman" w:hAnsi="Arial Black" w:cs="Times New Roman"/>
      <w:noProof/>
      <w:color w:val="E70033"/>
      <w:sz w:val="24"/>
      <w:szCs w:val="26"/>
    </w:rPr>
  </w:style>
  <w:style w:type="paragraph" w:customStyle="1" w:styleId="DashLASTSS">
    <w:name w:val="Dash (LAST SS)"/>
    <w:basedOn w:val="Dash"/>
    <w:next w:val="NormalSS"/>
    <w:semiHidden/>
    <w:rsid w:val="00632EC1"/>
    <w:pPr>
      <w:numPr>
        <w:numId w:val="41"/>
      </w:numPr>
      <w:tabs>
        <w:tab w:val="clear" w:pos="1080"/>
        <w:tab w:val="left" w:pos="288"/>
      </w:tabs>
      <w:spacing w:after="240"/>
      <w:ind w:right="0"/>
      <w:jc w:val="left"/>
    </w:pPr>
    <w:rPr>
      <w:rFonts w:ascii="Times New Roman" w:hAnsi="Times New Roman"/>
      <w:szCs w:val="20"/>
    </w:rPr>
  </w:style>
  <w:style w:type="paragraph" w:customStyle="1" w:styleId="coverallcaps">
    <w:name w:val="cover all caps"/>
    <w:basedOn w:val="Normal"/>
    <w:semiHidden/>
    <w:rsid w:val="00632EC1"/>
    <w:pPr>
      <w:spacing w:after="0" w:line="560" w:lineRule="exact"/>
    </w:pPr>
    <w:rPr>
      <w:rFonts w:ascii="Arial" w:eastAsia="Times New Roman" w:hAnsi="Arial" w:cs="Times New Roman"/>
      <w:caps/>
      <w:spacing w:val="28"/>
      <w:sz w:val="17"/>
      <w:szCs w:val="26"/>
    </w:rPr>
  </w:style>
  <w:style w:type="paragraph" w:customStyle="1" w:styleId="coverdate0">
    <w:name w:val="cover date"/>
    <w:semiHidden/>
    <w:rsid w:val="00632EC1"/>
    <w:pPr>
      <w:spacing w:after="0" w:line="440" w:lineRule="exact"/>
    </w:pPr>
    <w:rPr>
      <w:rFonts w:ascii="Arial" w:eastAsia="Times New Roman" w:hAnsi="Arial" w:cs="Times New Roman"/>
      <w:sz w:val="34"/>
      <w:szCs w:val="26"/>
    </w:rPr>
  </w:style>
  <w:style w:type="paragraph" w:customStyle="1" w:styleId="covertext0">
    <w:name w:val="cover text"/>
    <w:semiHidden/>
    <w:rsid w:val="00632EC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semiHidden/>
    <w:rsid w:val="00632EC1"/>
    <w:pPr>
      <w:pBdr>
        <w:bottom w:val="single" w:sz="2" w:space="1" w:color="auto"/>
      </w:pBdr>
      <w:spacing w:line="240" w:lineRule="auto"/>
    </w:pPr>
  </w:style>
  <w:style w:type="paragraph" w:customStyle="1" w:styleId="disclosure">
    <w:name w:val="disclosure"/>
    <w:basedOn w:val="Footer"/>
    <w:semiHidden/>
    <w:rsid w:val="00632EC1"/>
    <w:pPr>
      <w:tabs>
        <w:tab w:val="clear" w:pos="10080"/>
        <w:tab w:val="center" w:pos="4770"/>
        <w:tab w:val="right" w:pos="9360"/>
      </w:tabs>
      <w:spacing w:before="120"/>
      <w:ind w:left="0" w:right="0"/>
      <w:jc w:val="center"/>
    </w:pPr>
    <w:rPr>
      <w:rFonts w:ascii="Arial" w:eastAsia="Times New Roman" w:hAnsi="Arial" w:cs="Times New Roman"/>
      <w:sz w:val="17"/>
      <w:szCs w:val="20"/>
    </w:rPr>
  </w:style>
  <w:style w:type="paragraph" w:customStyle="1" w:styleId="reportcovername">
    <w:name w:val="report cover name"/>
    <w:basedOn w:val="covertext0"/>
    <w:semiHidden/>
    <w:rsid w:val="00632EC1"/>
    <w:pPr>
      <w:pBdr>
        <w:top w:val="single" w:sz="4" w:space="5" w:color="auto"/>
        <w:bottom w:val="single" w:sz="4" w:space="5" w:color="auto"/>
      </w:pBdr>
      <w:spacing w:after="0" w:line="360" w:lineRule="exact"/>
    </w:pPr>
    <w:rPr>
      <w:sz w:val="24"/>
    </w:rPr>
  </w:style>
  <w:style w:type="paragraph" w:customStyle="1" w:styleId="wwwmathematica-mprcom">
    <w:name w:val="www.mathematica-mpr.com"/>
    <w:semiHidden/>
    <w:rsid w:val="00632EC1"/>
    <w:pPr>
      <w:spacing w:after="100" w:line="240" w:lineRule="auto"/>
    </w:pPr>
    <w:rPr>
      <w:rFonts w:asciiTheme="majorHAnsi" w:eastAsia="Times New Roman" w:hAnsiTheme="majorHAnsi" w:cs="Times New Roman"/>
      <w:noProof/>
      <w:sz w:val="16"/>
      <w:szCs w:val="19"/>
    </w:rPr>
  </w:style>
  <w:style w:type="paragraph" w:customStyle="1" w:styleId="covertextnoline">
    <w:name w:val="cover text (no line)"/>
    <w:basedOn w:val="Normal"/>
    <w:semiHidden/>
    <w:rsid w:val="00632EC1"/>
    <w:pPr>
      <w:spacing w:after="0" w:line="240" w:lineRule="auto"/>
    </w:pPr>
    <w:rPr>
      <w:rFonts w:ascii="Arial Black" w:eastAsia="Times New Roman" w:hAnsi="Arial Black" w:cs="Times New Roman"/>
      <w:noProof/>
      <w:sz w:val="16"/>
      <w:szCs w:val="19"/>
    </w:rPr>
  </w:style>
  <w:style w:type="paragraph" w:customStyle="1" w:styleId="BulletLastSS">
    <w:name w:val="Bullet (Last SS)"/>
    <w:basedOn w:val="Bullet"/>
    <w:next w:val="NormalSS"/>
    <w:semiHidden/>
    <w:rsid w:val="00632EC1"/>
    <w:pPr>
      <w:numPr>
        <w:numId w:val="40"/>
      </w:numPr>
      <w:spacing w:after="240"/>
      <w:ind w:left="432" w:right="0" w:hanging="432"/>
      <w:jc w:val="left"/>
    </w:pPr>
  </w:style>
  <w:style w:type="paragraph" w:customStyle="1" w:styleId="H1Title">
    <w:name w:val="H1_Title"/>
    <w:basedOn w:val="Normal"/>
    <w:next w:val="Normal"/>
    <w:link w:val="H1TitleChar"/>
    <w:semiHidden/>
    <w:rsid w:val="00632EC1"/>
    <w:pPr>
      <w:pBdr>
        <w:top w:val="single" w:sz="4" w:space="5" w:color="auto"/>
        <w:bottom w:val="single" w:sz="4" w:space="5" w:color="auto"/>
      </w:pBdr>
      <w:spacing w:after="184" w:line="440" w:lineRule="exact"/>
      <w:outlineLvl w:val="0"/>
    </w:pPr>
    <w:rPr>
      <w:rFonts w:ascii="Arial Black" w:eastAsia="Times New Roman" w:hAnsi="Arial Black" w:cs="Times New Roman"/>
      <w:color w:val="E70033"/>
      <w:sz w:val="37"/>
      <w:szCs w:val="20"/>
    </w:rPr>
  </w:style>
  <w:style w:type="character" w:customStyle="1" w:styleId="H1TitleChar">
    <w:name w:val="H1_Title Char"/>
    <w:basedOn w:val="DefaultParagraphFont"/>
    <w:link w:val="H1Title"/>
    <w:rsid w:val="00632EC1"/>
    <w:rPr>
      <w:rFonts w:ascii="Arial Black" w:eastAsia="Times New Roman" w:hAnsi="Arial Black" w:cs="Times New Roman"/>
      <w:color w:val="E70033"/>
      <w:sz w:val="37"/>
      <w:szCs w:val="20"/>
    </w:rPr>
  </w:style>
  <w:style w:type="character" w:customStyle="1" w:styleId="ParagraphChar">
    <w:name w:val="Paragraph Char"/>
    <w:basedOn w:val="DefaultParagraphFont"/>
    <w:link w:val="Paragraph"/>
    <w:rsid w:val="00EE6ABE"/>
    <w:rPr>
      <w:sz w:val="24"/>
    </w:rPr>
  </w:style>
  <w:style w:type="paragraph" w:customStyle="1" w:styleId="Center">
    <w:name w:val="Center"/>
    <w:basedOn w:val="Normal"/>
    <w:semiHidden/>
    <w:rsid w:val="00602A76"/>
    <w:pPr>
      <w:tabs>
        <w:tab w:val="left" w:pos="432"/>
      </w:tabs>
      <w:spacing w:after="0" w:line="480" w:lineRule="auto"/>
      <w:jc w:val="center"/>
    </w:pPr>
    <w:rPr>
      <w:rFonts w:ascii="Times New Roman" w:eastAsia="Times New Roman" w:hAnsi="Times New Roman" w:cs="Times New Roman"/>
      <w:sz w:val="24"/>
      <w:szCs w:val="20"/>
    </w:rPr>
  </w:style>
  <w:style w:type="paragraph" w:customStyle="1" w:styleId="MarkforExhibit">
    <w:name w:val="Mark for Exhibit"/>
    <w:basedOn w:val="Normal"/>
    <w:next w:val="Normal"/>
    <w:semiHidden/>
    <w:rsid w:val="00602A7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semiHidden/>
    <w:rsid w:val="00602A7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MarkforAppendix">
    <w:name w:val="Mark for Appendix"/>
    <w:basedOn w:val="Normal"/>
    <w:semiHidden/>
    <w:rsid w:val="00602A76"/>
    <w:pPr>
      <w:tabs>
        <w:tab w:val="left" w:pos="432"/>
      </w:tabs>
      <w:spacing w:after="0" w:line="480" w:lineRule="auto"/>
      <w:jc w:val="center"/>
    </w:pPr>
    <w:rPr>
      <w:rFonts w:ascii="Times New Roman" w:eastAsia="Times New Roman" w:hAnsi="Times New Roman" w:cs="Times New Roman"/>
      <w:b/>
      <w:caps/>
      <w:sz w:val="24"/>
      <w:szCs w:val="20"/>
    </w:rPr>
  </w:style>
  <w:style w:type="paragraph" w:customStyle="1" w:styleId="bullet0">
    <w:name w:val="bullet"/>
    <w:semiHidden/>
    <w:rsid w:val="00602A76"/>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semiHidden/>
    <w:rsid w:val="00602A7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Gnormal">
    <w:name w:val="G_normal"/>
    <w:basedOn w:val="Normal"/>
    <w:semiHidden/>
    <w:rsid w:val="00602A76"/>
    <w:pPr>
      <w:tabs>
        <w:tab w:val="left" w:pos="432"/>
      </w:tabs>
      <w:spacing w:after="240" w:line="240" w:lineRule="auto"/>
      <w:ind w:firstLine="432"/>
      <w:jc w:val="both"/>
    </w:pPr>
    <w:rPr>
      <w:rFonts w:ascii="Garamond" w:eastAsia="Times New Roman" w:hAnsi="Garamond" w:cs="Times New Roman"/>
      <w:sz w:val="24"/>
      <w:szCs w:val="20"/>
    </w:rPr>
  </w:style>
  <w:style w:type="paragraph" w:customStyle="1" w:styleId="xl22">
    <w:name w:val="xl22"/>
    <w:basedOn w:val="Normal"/>
    <w:semiHidden/>
    <w:rsid w:val="00602A76"/>
    <w:pPr>
      <w:spacing w:before="100" w:beforeAutospacing="1" w:after="100" w:afterAutospacing="1" w:line="240" w:lineRule="auto"/>
    </w:pPr>
    <w:rPr>
      <w:rFonts w:ascii="Arial" w:eastAsia="Arial Unicode MS" w:hAnsi="Arial" w:cs="Arial"/>
      <w:sz w:val="16"/>
      <w:szCs w:val="16"/>
    </w:rPr>
  </w:style>
  <w:style w:type="paragraph" w:customStyle="1" w:styleId="xl26">
    <w:name w:val="xl26"/>
    <w:basedOn w:val="Normal"/>
    <w:semiHidden/>
    <w:rsid w:val="00602A76"/>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sz w:val="16"/>
      <w:szCs w:val="16"/>
    </w:rPr>
  </w:style>
  <w:style w:type="character" w:customStyle="1" w:styleId="bibrecord-highlight">
    <w:name w:val="bibrecord-highlight"/>
    <w:basedOn w:val="DefaultParagraphFont"/>
    <w:semiHidden/>
    <w:rsid w:val="00602A76"/>
  </w:style>
  <w:style w:type="character" w:customStyle="1" w:styleId="titles-title">
    <w:name w:val="titles-title"/>
    <w:basedOn w:val="DefaultParagraphFont"/>
    <w:semiHidden/>
    <w:rsid w:val="00602A76"/>
  </w:style>
  <w:style w:type="character" w:customStyle="1" w:styleId="titles-source">
    <w:name w:val="titles-source"/>
    <w:basedOn w:val="DefaultParagraphFont"/>
    <w:semiHidden/>
    <w:rsid w:val="00602A76"/>
  </w:style>
  <w:style w:type="paragraph" w:customStyle="1" w:styleId="TABLESFIGURESTOC">
    <w:name w:val="TABLES/FIGURES TOC"/>
    <w:basedOn w:val="TOC1"/>
    <w:semiHidden/>
    <w:rsid w:val="00602A76"/>
    <w:pPr>
      <w:tabs>
        <w:tab w:val="center" w:pos="432"/>
        <w:tab w:val="left" w:pos="1008"/>
        <w:tab w:val="left" w:pos="1440"/>
      </w:tabs>
      <w:spacing w:before="240" w:after="240"/>
      <w:ind w:left="994" w:right="288" w:hanging="994"/>
    </w:pPr>
    <w:rPr>
      <w:rFonts w:ascii="Times New Roman" w:eastAsia="Times New Roman" w:hAnsi="Times New Roman" w:cs="Times New Roman"/>
      <w:b w:val="0"/>
      <w:caps/>
      <w:noProof/>
      <w:szCs w:val="20"/>
    </w:rPr>
  </w:style>
  <w:style w:type="paragraph" w:customStyle="1" w:styleId="N2-2ndBullet">
    <w:name w:val="N2-2nd Bullet"/>
    <w:basedOn w:val="Normal"/>
    <w:semiHidden/>
    <w:rsid w:val="00602A76"/>
    <w:pPr>
      <w:numPr>
        <w:numId w:val="42"/>
      </w:numPr>
      <w:tabs>
        <w:tab w:val="clear" w:pos="0"/>
        <w:tab w:val="num" w:pos="360"/>
        <w:tab w:val="left" w:pos="1728"/>
      </w:tabs>
      <w:spacing w:after="240" w:line="240" w:lineRule="atLeast"/>
      <w:jc w:val="both"/>
    </w:pPr>
    <w:rPr>
      <w:rFonts w:ascii="Times New Roman" w:eastAsia="Times New Roman" w:hAnsi="Times New Roman" w:cs="Times New Roman"/>
      <w:szCs w:val="24"/>
    </w:rPr>
  </w:style>
  <w:style w:type="paragraph" w:customStyle="1" w:styleId="E1-Equation">
    <w:name w:val="E1-Equation"/>
    <w:semiHidden/>
    <w:rsid w:val="00602A76"/>
    <w:pPr>
      <w:tabs>
        <w:tab w:val="center" w:pos="4680"/>
        <w:tab w:val="right" w:pos="9360"/>
      </w:tabs>
      <w:spacing w:after="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31036">
      <w:bodyDiv w:val="1"/>
      <w:marLeft w:val="0"/>
      <w:marRight w:val="0"/>
      <w:marTop w:val="0"/>
      <w:marBottom w:val="0"/>
      <w:divBdr>
        <w:top w:val="none" w:sz="0" w:space="0" w:color="auto"/>
        <w:left w:val="none" w:sz="0" w:space="0" w:color="auto"/>
        <w:bottom w:val="none" w:sz="0" w:space="0" w:color="auto"/>
        <w:right w:val="none" w:sz="0" w:space="0" w:color="auto"/>
      </w:divBdr>
    </w:div>
    <w:div w:id="1780907098">
      <w:bodyDiv w:val="1"/>
      <w:marLeft w:val="0"/>
      <w:marRight w:val="0"/>
      <w:marTop w:val="0"/>
      <w:marBottom w:val="0"/>
      <w:divBdr>
        <w:top w:val="none" w:sz="0" w:space="0" w:color="auto"/>
        <w:left w:val="none" w:sz="0" w:space="0" w:color="auto"/>
        <w:bottom w:val="none" w:sz="0" w:space="0" w:color="auto"/>
        <w:right w:val="none" w:sz="0" w:space="0" w:color="auto"/>
      </w:divBdr>
    </w:div>
    <w:div w:id="18293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hyperlink" Target="mailto:EGrau@mathematica-mpr.com"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hyperlink" Target="mailto:Eleanor.Stinnett@ssa.gov"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hyperlink" Target="mailto:MustafaKarakus@westat.com"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hyperlink" Target="mailto:GLivermore@mathematica-mpr.com"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D27A8C-7F20-4702-BD31-64093C8C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13</Pages>
  <Words>5297</Words>
  <Characters>30197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 FOR</vt:lpstr>
    </vt:vector>
  </TitlesOfParts>
  <Manager/>
  <Company>[Name of Agency or Company]</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ROUND 8</dc:subject>
  <dc:creator>Sheryl Friedlander</dc:creator>
  <cp:keywords>report</cp:keywords>
  <dc:description/>
  <cp:lastModifiedBy> SSA Response</cp:lastModifiedBy>
  <cp:revision>2</cp:revision>
  <cp:lastPrinted>2020-09-11T21:32:00Z</cp:lastPrinted>
  <dcterms:created xsi:type="dcterms:W3CDTF">2022-08-17T14:38:00Z</dcterms:created>
  <dcterms:modified xsi:type="dcterms:W3CDTF">2022-08-17T14:38:00Z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y fmtid="{D5CDD505-2E9C-101B-9397-08002B2CF9AE}" pid="18" name="_AdHocReviewCycleID">
    <vt:i4>-1419776325</vt:i4>
  </property>
  <property fmtid="{D5CDD505-2E9C-101B-9397-08002B2CF9AE}" pid="19" name="_NewReviewCycle">
    <vt:lpwstr/>
  </property>
  <property fmtid="{D5CDD505-2E9C-101B-9397-08002B2CF9AE}" pid="20" name="_EmailSubject">
    <vt:lpwstr>0960-NEW NBS</vt:lpwstr>
  </property>
  <property fmtid="{D5CDD505-2E9C-101B-9397-08002B2CF9AE}" pid="21" name="_AuthorEmail">
    <vt:lpwstr>Tasha.Harley@ssa.gov</vt:lpwstr>
  </property>
  <property fmtid="{D5CDD505-2E9C-101B-9397-08002B2CF9AE}" pid="22" name="_AuthorEmailDisplayName">
    <vt:lpwstr>Harley, Tasha</vt:lpwstr>
  </property>
  <property fmtid="{D5CDD505-2E9C-101B-9397-08002B2CF9AE}" pid="23" name="_PreviousAdHocReviewCycleID">
    <vt:i4>-489197246</vt:i4>
  </property>
</Properties>
</file>