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59B6" w:rsidR="00A42C71" w:rsidP="00A42C71" w:rsidRDefault="00A42C71" w14:paraId="4CC484CA" w14:textId="66A4FD1A">
      <w:pPr>
        <w:spacing w:after="0"/>
        <w:rPr>
          <w:rFonts w:eastAsia="Arial Unicode MS" w:cstheme="minorHAnsi"/>
          <w:b/>
          <w:noProof/>
          <w:sz w:val="40"/>
          <w:szCs w:val="40"/>
        </w:rPr>
      </w:pPr>
    </w:p>
    <w:p w:rsidRPr="001A59B6" w:rsidR="00A42C71" w:rsidP="00A42C71" w:rsidRDefault="00A42C71" w14:paraId="2A27214F"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3A35AB11"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37F07D13"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1FFB09D6" w14:textId="77777777">
      <w:pPr>
        <w:pStyle w:val="ReportCover-Title"/>
        <w:jc w:val="center"/>
        <w:rPr>
          <w:rFonts w:eastAsia="Arial Unicode MS" w:asciiTheme="minorHAnsi" w:hAnsiTheme="minorHAnsi" w:cstheme="minorHAnsi"/>
          <w:noProof/>
          <w:color w:val="auto"/>
        </w:rPr>
      </w:pPr>
    </w:p>
    <w:p w:rsidRPr="001F54F6" w:rsidR="00A42C71" w:rsidP="00A42C71" w:rsidRDefault="004F09A5" w14:paraId="7CB5189A" w14:textId="0A159807">
      <w:pPr>
        <w:pStyle w:val="ReportCover-Title"/>
        <w:jc w:val="center"/>
        <w:rPr>
          <w:rFonts w:ascii="Arial" w:hAnsi="Arial" w:cs="Arial"/>
          <w:color w:val="auto"/>
        </w:rPr>
      </w:pPr>
      <w:r w:rsidRPr="001F54F6">
        <w:rPr>
          <w:rFonts w:ascii="Arial" w:hAnsi="Arial" w:eastAsia="Arial Unicode MS" w:cs="Arial"/>
          <w:noProof/>
          <w:color w:val="auto"/>
        </w:rPr>
        <w:t>Supporting Youth to be Successful in Life (SYSIL)</w:t>
      </w:r>
      <w:r w:rsidRPr="001F54F6" w:rsidR="00906276">
        <w:rPr>
          <w:rFonts w:ascii="Arial" w:hAnsi="Arial" w:eastAsia="Arial Unicode MS" w:cs="Arial"/>
          <w:noProof/>
          <w:color w:val="auto"/>
        </w:rPr>
        <w:t xml:space="preserve"> Study</w:t>
      </w:r>
    </w:p>
    <w:p w:rsidRPr="001F54F6" w:rsidR="00A42C71" w:rsidP="00A42C71" w:rsidRDefault="00A42C71" w14:paraId="4A7DBF2F" w14:textId="77777777">
      <w:pPr>
        <w:pStyle w:val="ReportCover-Title"/>
        <w:rPr>
          <w:rFonts w:ascii="Arial" w:hAnsi="Arial" w:cs="Arial"/>
          <w:color w:val="auto"/>
        </w:rPr>
      </w:pPr>
    </w:p>
    <w:p w:rsidRPr="001F54F6" w:rsidR="00A42C71" w:rsidP="00A42C71" w:rsidRDefault="00A42C71" w14:paraId="551C5600" w14:textId="77777777">
      <w:pPr>
        <w:pStyle w:val="ReportCover-Title"/>
        <w:rPr>
          <w:rFonts w:ascii="Arial" w:hAnsi="Arial" w:cs="Arial"/>
          <w:color w:val="auto"/>
        </w:rPr>
      </w:pPr>
    </w:p>
    <w:p w:rsidRPr="001F54F6" w:rsidR="00A42C71" w:rsidP="00A42C71" w:rsidRDefault="00A42C71" w14:paraId="3B1C155E" w14:textId="77777777">
      <w:pPr>
        <w:pStyle w:val="ReportCover-Title"/>
        <w:jc w:val="center"/>
        <w:rPr>
          <w:rFonts w:ascii="Arial" w:hAnsi="Arial" w:cs="Arial"/>
          <w:color w:val="auto"/>
          <w:sz w:val="32"/>
          <w:szCs w:val="32"/>
        </w:rPr>
      </w:pPr>
      <w:r w:rsidRPr="001F54F6">
        <w:rPr>
          <w:rFonts w:ascii="Arial" w:hAnsi="Arial" w:cs="Arial"/>
          <w:color w:val="auto"/>
          <w:sz w:val="32"/>
          <w:szCs w:val="32"/>
        </w:rPr>
        <w:t>OMB Information Collection Request</w:t>
      </w:r>
    </w:p>
    <w:p w:rsidRPr="001F54F6" w:rsidR="00A42C71" w:rsidP="00A42C71" w:rsidRDefault="004F09A5" w14:paraId="3F6C890C" w14:textId="0B9F70BD">
      <w:pPr>
        <w:pStyle w:val="ReportCover-Title"/>
        <w:jc w:val="center"/>
        <w:rPr>
          <w:rFonts w:ascii="Arial" w:hAnsi="Arial" w:cs="Arial"/>
          <w:color w:val="auto"/>
          <w:sz w:val="32"/>
          <w:szCs w:val="32"/>
        </w:rPr>
      </w:pPr>
      <w:r w:rsidRPr="001F54F6">
        <w:rPr>
          <w:rFonts w:ascii="Arial" w:hAnsi="Arial" w:cs="Arial"/>
          <w:color w:val="auto"/>
          <w:sz w:val="32"/>
          <w:szCs w:val="32"/>
        </w:rPr>
        <w:t>New Collection</w:t>
      </w:r>
    </w:p>
    <w:p w:rsidRPr="001A59B6" w:rsidR="00A42C71" w:rsidP="00A42C71" w:rsidRDefault="00A42C71" w14:paraId="41D2594A" w14:textId="77777777">
      <w:pPr>
        <w:spacing w:after="0"/>
        <w:rPr>
          <w:rFonts w:cstheme="minorHAnsi"/>
        </w:rPr>
      </w:pPr>
    </w:p>
    <w:p w:rsidRPr="001A59B6" w:rsidR="00A42C71" w:rsidP="00A42C71" w:rsidRDefault="00A42C71" w14:paraId="3DB8541C" w14:textId="77777777">
      <w:pPr>
        <w:pStyle w:val="ReportCover-Date"/>
        <w:spacing w:after="0"/>
        <w:jc w:val="center"/>
        <w:rPr>
          <w:rFonts w:asciiTheme="minorHAnsi" w:hAnsiTheme="minorHAnsi" w:cstheme="minorHAnsi"/>
          <w:color w:val="auto"/>
        </w:rPr>
      </w:pPr>
    </w:p>
    <w:p w:rsidRPr="001A59B6" w:rsidR="00A42C71" w:rsidP="00A42C71" w:rsidRDefault="00A42C71" w14:paraId="637F830C" w14:textId="77777777">
      <w:pPr>
        <w:pStyle w:val="ReportCover-Date"/>
        <w:spacing w:after="0"/>
        <w:jc w:val="center"/>
        <w:rPr>
          <w:rFonts w:asciiTheme="minorHAnsi" w:hAnsiTheme="minorHAnsi" w:cstheme="minorHAnsi"/>
          <w:color w:val="auto"/>
        </w:rPr>
      </w:pPr>
    </w:p>
    <w:p w:rsidRPr="001A59B6" w:rsidR="00A42C71" w:rsidP="00A42C71" w:rsidRDefault="00A42C71" w14:paraId="2DD34B23" w14:textId="77777777">
      <w:pPr>
        <w:pStyle w:val="ReportCover-Date"/>
        <w:spacing w:after="0"/>
        <w:jc w:val="center"/>
        <w:rPr>
          <w:rFonts w:asciiTheme="minorHAnsi" w:hAnsiTheme="minorHAnsi" w:cstheme="minorHAnsi"/>
          <w:color w:val="auto"/>
        </w:rPr>
      </w:pPr>
    </w:p>
    <w:p w:rsidRPr="001F54F6" w:rsidR="00A42C71" w:rsidP="00A42C71" w:rsidRDefault="00A42C71" w14:paraId="1DF64726" w14:textId="77777777">
      <w:pPr>
        <w:pStyle w:val="ReportCover-Date"/>
        <w:spacing w:after="0" w:line="240" w:lineRule="auto"/>
        <w:jc w:val="center"/>
        <w:rPr>
          <w:rFonts w:ascii="Arial" w:hAnsi="Arial" w:cs="Arial"/>
          <w:color w:val="auto"/>
          <w:sz w:val="48"/>
          <w:szCs w:val="48"/>
        </w:rPr>
      </w:pPr>
      <w:r w:rsidRPr="001F54F6">
        <w:rPr>
          <w:rFonts w:ascii="Arial" w:hAnsi="Arial" w:cs="Arial"/>
          <w:color w:val="auto"/>
          <w:sz w:val="48"/>
          <w:szCs w:val="48"/>
        </w:rPr>
        <w:t>Supporting Statement</w:t>
      </w:r>
    </w:p>
    <w:p w:rsidRPr="001F54F6" w:rsidR="00A42C71" w:rsidP="00A42C71" w:rsidRDefault="00A42C71" w14:paraId="0C143095" w14:textId="77777777">
      <w:pPr>
        <w:pStyle w:val="ReportCover-Date"/>
        <w:spacing w:after="0" w:line="240" w:lineRule="auto"/>
        <w:jc w:val="center"/>
        <w:rPr>
          <w:rFonts w:ascii="Arial" w:hAnsi="Arial" w:cs="Arial"/>
          <w:color w:val="auto"/>
          <w:sz w:val="48"/>
          <w:szCs w:val="48"/>
        </w:rPr>
      </w:pPr>
      <w:r w:rsidRPr="001F54F6">
        <w:rPr>
          <w:rFonts w:ascii="Arial" w:hAnsi="Arial" w:cs="Arial"/>
          <w:color w:val="auto"/>
          <w:sz w:val="48"/>
          <w:szCs w:val="48"/>
        </w:rPr>
        <w:t>Part B</w:t>
      </w:r>
    </w:p>
    <w:p w:rsidRPr="001A59B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F54F6" w:rsidR="00A42C71" w:rsidP="00A42C71" w:rsidRDefault="00A42C71" w14:paraId="602544F7" w14:textId="77777777">
      <w:pPr>
        <w:pStyle w:val="ReportCover-Date"/>
        <w:spacing w:after="0" w:line="240" w:lineRule="auto"/>
        <w:jc w:val="center"/>
        <w:rPr>
          <w:rFonts w:ascii="Arial" w:hAnsi="Arial" w:cs="Arial"/>
          <w:color w:val="auto"/>
          <w:sz w:val="48"/>
          <w:szCs w:val="48"/>
        </w:rPr>
      </w:pPr>
    </w:p>
    <w:p w:rsidRPr="001F54F6" w:rsidR="00A42C71" w:rsidP="00A42C71" w:rsidRDefault="005966D4" w14:paraId="10D3ADE5" w14:textId="7554B875">
      <w:pPr>
        <w:pStyle w:val="ReportCover-Date"/>
        <w:spacing w:after="0"/>
        <w:jc w:val="center"/>
        <w:rPr>
          <w:rFonts w:ascii="Arial" w:hAnsi="Arial" w:cs="Arial"/>
          <w:color w:val="auto"/>
        </w:rPr>
      </w:pPr>
      <w:r>
        <w:rPr>
          <w:rFonts w:ascii="Arial" w:hAnsi="Arial" w:cs="Arial"/>
          <w:color w:val="auto"/>
        </w:rPr>
        <w:t xml:space="preserve">June </w:t>
      </w:r>
      <w:r w:rsidRPr="001F54F6" w:rsidR="00E013A5">
        <w:rPr>
          <w:rFonts w:ascii="Arial" w:hAnsi="Arial" w:cs="Arial"/>
          <w:color w:val="auto"/>
        </w:rPr>
        <w:t>202</w:t>
      </w:r>
      <w:r>
        <w:rPr>
          <w:rFonts w:ascii="Arial" w:hAnsi="Arial" w:cs="Arial"/>
          <w:color w:val="auto"/>
        </w:rPr>
        <w:t>2</w:t>
      </w:r>
    </w:p>
    <w:p w:rsidRPr="001F54F6" w:rsidR="00A42C71" w:rsidP="00A42C71" w:rsidRDefault="00A42C71" w14:paraId="23C2EED4" w14:textId="77777777">
      <w:pPr>
        <w:pStyle w:val="ReportCover-Date"/>
        <w:spacing w:after="0"/>
        <w:jc w:val="center"/>
        <w:rPr>
          <w:rFonts w:ascii="Arial" w:hAnsi="Arial" w:cs="Arial"/>
          <w:color w:val="auto"/>
        </w:rPr>
      </w:pPr>
    </w:p>
    <w:p w:rsidRPr="001A59B6" w:rsidR="00A42C71" w:rsidP="00A42C71" w:rsidRDefault="00A42C71" w14:paraId="0850FD2E" w14:textId="77777777">
      <w:pPr>
        <w:pStyle w:val="ReportCover-Date"/>
        <w:spacing w:after="0"/>
        <w:jc w:val="center"/>
        <w:rPr>
          <w:rFonts w:asciiTheme="minorHAnsi" w:hAnsiTheme="minorHAnsi" w:cstheme="minorHAnsi"/>
          <w:color w:val="auto"/>
        </w:rPr>
      </w:pPr>
    </w:p>
    <w:p w:rsidRPr="001A59B6" w:rsidR="00A42C71" w:rsidP="00A42C71" w:rsidRDefault="00A42C71" w14:paraId="260D9019" w14:textId="77777777">
      <w:pPr>
        <w:pStyle w:val="ReportCover-Date"/>
        <w:spacing w:after="0"/>
        <w:jc w:val="center"/>
        <w:rPr>
          <w:rFonts w:asciiTheme="minorHAnsi" w:hAnsiTheme="minorHAnsi" w:cstheme="minorHAnsi"/>
          <w:color w:val="auto"/>
        </w:rPr>
      </w:pPr>
    </w:p>
    <w:p w:rsidRPr="001A59B6" w:rsidR="00A42C71" w:rsidP="00A42C71" w:rsidRDefault="00A42C71" w14:paraId="715DE65F" w14:textId="77777777">
      <w:pPr>
        <w:pStyle w:val="ReportCover-Date"/>
        <w:spacing w:after="0"/>
        <w:jc w:val="center"/>
        <w:rPr>
          <w:rFonts w:asciiTheme="minorHAnsi" w:hAnsiTheme="minorHAnsi" w:cstheme="minorHAnsi"/>
          <w:color w:val="auto"/>
        </w:rPr>
      </w:pPr>
    </w:p>
    <w:p w:rsidRPr="001A59B6" w:rsidR="00A42C71" w:rsidP="00A42C71" w:rsidRDefault="00A42C71" w14:paraId="3A5BBBCE" w14:textId="77777777">
      <w:pPr>
        <w:pStyle w:val="ReportCover-Date"/>
        <w:spacing w:after="0"/>
        <w:jc w:val="center"/>
        <w:rPr>
          <w:rFonts w:asciiTheme="minorHAnsi" w:hAnsiTheme="minorHAnsi" w:cstheme="minorHAnsi"/>
          <w:color w:val="auto"/>
        </w:rPr>
      </w:pPr>
    </w:p>
    <w:p w:rsidRPr="001A59B6" w:rsidR="00A42C71" w:rsidP="00A42C71" w:rsidRDefault="00A42C71" w14:paraId="48D9D0F9" w14:textId="77777777">
      <w:pPr>
        <w:pStyle w:val="ReportCover-Date"/>
        <w:spacing w:after="0"/>
        <w:jc w:val="center"/>
        <w:rPr>
          <w:rFonts w:asciiTheme="minorHAnsi" w:hAnsiTheme="minorHAnsi" w:cstheme="minorHAnsi"/>
          <w:color w:val="auto"/>
        </w:rPr>
      </w:pPr>
    </w:p>
    <w:p w:rsidRPr="001A59B6" w:rsidR="00A42C71" w:rsidP="00A42C71" w:rsidRDefault="00A42C71" w14:paraId="6732C469" w14:textId="77777777">
      <w:pPr>
        <w:pStyle w:val="ReportCover-Date"/>
        <w:spacing w:after="0"/>
        <w:jc w:val="center"/>
        <w:rPr>
          <w:rFonts w:asciiTheme="minorHAnsi" w:hAnsiTheme="minorHAnsi" w:cstheme="minorHAnsi"/>
          <w:color w:val="auto"/>
        </w:rPr>
      </w:pPr>
    </w:p>
    <w:p w:rsidRPr="001F54F6" w:rsidR="00A42C71" w:rsidP="00A42C71" w:rsidRDefault="00A42C71" w14:paraId="21A5D5D3" w14:textId="77777777">
      <w:pPr>
        <w:spacing w:after="0" w:line="240" w:lineRule="auto"/>
        <w:jc w:val="center"/>
        <w:rPr>
          <w:rFonts w:ascii="Arial" w:hAnsi="Arial" w:cs="Arial"/>
        </w:rPr>
      </w:pPr>
    </w:p>
    <w:p w:rsidRPr="001F54F6" w:rsidR="00A42C71" w:rsidP="00A42C71" w:rsidRDefault="00A42C71" w14:paraId="7208C5C8" w14:textId="77777777">
      <w:pPr>
        <w:spacing w:after="0" w:line="240" w:lineRule="auto"/>
        <w:jc w:val="center"/>
        <w:rPr>
          <w:rFonts w:ascii="Arial" w:hAnsi="Arial" w:cs="Arial"/>
        </w:rPr>
      </w:pPr>
      <w:r w:rsidRPr="001F54F6">
        <w:rPr>
          <w:rFonts w:ascii="Arial" w:hAnsi="Arial" w:cs="Arial"/>
        </w:rPr>
        <w:t>Submitted By:</w:t>
      </w:r>
    </w:p>
    <w:p w:rsidRPr="001F54F6" w:rsidR="00A42C71" w:rsidP="00A42C71" w:rsidRDefault="00A42C71" w14:paraId="55988A75" w14:textId="77777777">
      <w:pPr>
        <w:spacing w:after="0" w:line="240" w:lineRule="auto"/>
        <w:jc w:val="center"/>
        <w:rPr>
          <w:rFonts w:ascii="Arial" w:hAnsi="Arial" w:cs="Arial"/>
        </w:rPr>
      </w:pPr>
      <w:r w:rsidRPr="001F54F6">
        <w:rPr>
          <w:rFonts w:ascii="Arial" w:hAnsi="Arial" w:cs="Arial"/>
        </w:rPr>
        <w:t>Office of Planning, Research, and Evaluation</w:t>
      </w:r>
    </w:p>
    <w:p w:rsidRPr="001F54F6" w:rsidR="00A42C71" w:rsidP="00A42C71" w:rsidRDefault="00A42C71" w14:paraId="58048DA2" w14:textId="77777777">
      <w:pPr>
        <w:spacing w:after="0" w:line="240" w:lineRule="auto"/>
        <w:jc w:val="center"/>
        <w:rPr>
          <w:rFonts w:ascii="Arial" w:hAnsi="Arial" w:cs="Arial"/>
        </w:rPr>
      </w:pPr>
      <w:r w:rsidRPr="001F54F6">
        <w:rPr>
          <w:rFonts w:ascii="Arial" w:hAnsi="Arial" w:cs="Arial"/>
        </w:rPr>
        <w:t xml:space="preserve">Administration for Children and Families </w:t>
      </w:r>
    </w:p>
    <w:p w:rsidRPr="001F54F6" w:rsidR="00A42C71" w:rsidP="00A42C71" w:rsidRDefault="00A42C71" w14:paraId="41BA659B" w14:textId="77777777">
      <w:pPr>
        <w:spacing w:after="0" w:line="240" w:lineRule="auto"/>
        <w:jc w:val="center"/>
        <w:rPr>
          <w:rFonts w:ascii="Arial" w:hAnsi="Arial" w:cs="Arial"/>
        </w:rPr>
      </w:pPr>
      <w:r w:rsidRPr="001F54F6">
        <w:rPr>
          <w:rFonts w:ascii="Arial" w:hAnsi="Arial" w:cs="Arial"/>
        </w:rPr>
        <w:t>U.S. Department of Health and Human Services</w:t>
      </w:r>
    </w:p>
    <w:p w:rsidRPr="001F54F6" w:rsidR="00A42C71" w:rsidP="00A42C71" w:rsidRDefault="00A42C71" w14:paraId="26D8B869" w14:textId="77777777">
      <w:pPr>
        <w:spacing w:after="0" w:line="240" w:lineRule="auto"/>
        <w:jc w:val="center"/>
        <w:rPr>
          <w:rFonts w:ascii="Arial" w:hAnsi="Arial" w:cs="Arial"/>
        </w:rPr>
      </w:pPr>
    </w:p>
    <w:p w:rsidRPr="001F54F6" w:rsidR="00A42C71" w:rsidP="00A42C71" w:rsidRDefault="00A42C71" w14:paraId="63276A76" w14:textId="77777777">
      <w:pPr>
        <w:spacing w:after="0" w:line="240" w:lineRule="auto"/>
        <w:jc w:val="center"/>
        <w:rPr>
          <w:rFonts w:ascii="Arial" w:hAnsi="Arial" w:cs="Arial"/>
        </w:rPr>
      </w:pPr>
      <w:r w:rsidRPr="001F54F6">
        <w:rPr>
          <w:rFonts w:ascii="Arial" w:hAnsi="Arial" w:cs="Arial"/>
        </w:rPr>
        <w:t>4</w:t>
      </w:r>
      <w:r w:rsidRPr="001F54F6">
        <w:rPr>
          <w:rFonts w:ascii="Arial" w:hAnsi="Arial" w:cs="Arial"/>
          <w:vertAlign w:val="superscript"/>
        </w:rPr>
        <w:t>th</w:t>
      </w:r>
      <w:r w:rsidRPr="001F54F6">
        <w:rPr>
          <w:rFonts w:ascii="Arial" w:hAnsi="Arial" w:cs="Arial"/>
        </w:rPr>
        <w:t xml:space="preserve"> Floor, Mary E. Switzer Building</w:t>
      </w:r>
    </w:p>
    <w:p w:rsidRPr="001F54F6" w:rsidR="00A42C71" w:rsidP="00A42C71" w:rsidRDefault="00A42C71" w14:paraId="7A2C144B" w14:textId="77777777">
      <w:pPr>
        <w:spacing w:after="0" w:line="240" w:lineRule="auto"/>
        <w:jc w:val="center"/>
        <w:rPr>
          <w:rFonts w:ascii="Arial" w:hAnsi="Arial" w:cs="Arial"/>
        </w:rPr>
      </w:pPr>
      <w:r w:rsidRPr="001F54F6">
        <w:rPr>
          <w:rFonts w:ascii="Arial" w:hAnsi="Arial" w:cs="Arial"/>
        </w:rPr>
        <w:t>330 C Street, SW</w:t>
      </w:r>
    </w:p>
    <w:p w:rsidRPr="001F54F6" w:rsidR="00A42C71" w:rsidP="00A42C71" w:rsidRDefault="00A42C71" w14:paraId="081382E0" w14:textId="77777777">
      <w:pPr>
        <w:spacing w:after="0" w:line="240" w:lineRule="auto"/>
        <w:jc w:val="center"/>
        <w:rPr>
          <w:rFonts w:ascii="Arial" w:hAnsi="Arial" w:cs="Arial"/>
        </w:rPr>
      </w:pPr>
      <w:r w:rsidRPr="001F54F6">
        <w:rPr>
          <w:rFonts w:ascii="Arial" w:hAnsi="Arial" w:cs="Arial"/>
        </w:rPr>
        <w:t>Washington, D.C. 20201</w:t>
      </w:r>
    </w:p>
    <w:p w:rsidRPr="001F54F6" w:rsidR="00A42C71" w:rsidP="00A42C71" w:rsidRDefault="00A42C71" w14:paraId="6F908824" w14:textId="77777777">
      <w:pPr>
        <w:spacing w:after="0" w:line="240" w:lineRule="auto"/>
        <w:jc w:val="center"/>
        <w:rPr>
          <w:rFonts w:ascii="Arial" w:hAnsi="Arial" w:cs="Arial"/>
        </w:rPr>
      </w:pPr>
    </w:p>
    <w:p w:rsidRPr="001F54F6" w:rsidR="00A85501" w:rsidP="00A42C71" w:rsidRDefault="00A42C71" w14:paraId="16C3B2D5" w14:textId="4322C38D">
      <w:pPr>
        <w:spacing w:after="0" w:line="240" w:lineRule="auto"/>
        <w:jc w:val="center"/>
        <w:rPr>
          <w:rFonts w:ascii="Arial" w:hAnsi="Arial" w:cs="Arial"/>
        </w:rPr>
      </w:pPr>
      <w:r w:rsidRPr="001F54F6">
        <w:rPr>
          <w:rFonts w:ascii="Arial" w:hAnsi="Arial" w:cs="Arial"/>
        </w:rPr>
        <w:t>Project Officers:</w:t>
      </w:r>
      <w:r w:rsidRPr="001F54F6" w:rsidR="004F09A5">
        <w:rPr>
          <w:rFonts w:ascii="Arial" w:hAnsi="Arial" w:cs="Arial"/>
        </w:rPr>
        <w:t xml:space="preserve"> Mary Mueggenborg</w:t>
      </w:r>
    </w:p>
    <w:p w:rsidRPr="001A59B6" w:rsidR="00A42C71" w:rsidP="00A42C71" w:rsidRDefault="00A42C71" w14:paraId="6CB062A1" w14:textId="77777777">
      <w:pPr>
        <w:spacing w:after="0" w:line="240" w:lineRule="auto"/>
        <w:jc w:val="center"/>
        <w:rPr>
          <w:rFonts w:cstheme="minorHAnsi"/>
          <w:b/>
        </w:rPr>
      </w:pPr>
    </w:p>
    <w:p w:rsidRPr="001A59B6" w:rsidR="00A42C71" w:rsidP="00A42C71" w:rsidRDefault="00A42C71" w14:paraId="45C49EBE" w14:textId="0C381DFF">
      <w:pPr>
        <w:spacing w:after="0"/>
        <w:jc w:val="center"/>
        <w:rPr>
          <w:rFonts w:cstheme="minorHAnsi"/>
          <w:b/>
          <w:sz w:val="32"/>
          <w:szCs w:val="32"/>
        </w:rPr>
      </w:pPr>
      <w:r w:rsidRPr="001A59B6">
        <w:rPr>
          <w:rFonts w:cstheme="minorHAnsi"/>
          <w:b/>
          <w:sz w:val="32"/>
          <w:szCs w:val="32"/>
        </w:rPr>
        <w:t>Part B</w:t>
      </w:r>
    </w:p>
    <w:p w:rsidRPr="001A59B6" w:rsidR="00A42C71" w:rsidP="00A42C71" w:rsidRDefault="00A42C71" w14:paraId="230ABA5D" w14:textId="77777777">
      <w:pPr>
        <w:spacing w:after="0" w:line="240" w:lineRule="auto"/>
        <w:rPr>
          <w:rFonts w:cstheme="minorHAnsi"/>
          <w:b/>
        </w:rPr>
      </w:pPr>
    </w:p>
    <w:p w:rsidRPr="001A59B6" w:rsidR="00A42C71" w:rsidP="00A42C71" w:rsidRDefault="00A42C71" w14:paraId="6D9C455E" w14:textId="7B7FF265">
      <w:pPr>
        <w:spacing w:after="120" w:line="240" w:lineRule="auto"/>
        <w:rPr>
          <w:rFonts w:cstheme="minorHAnsi"/>
        </w:rPr>
      </w:pPr>
      <w:r w:rsidRPr="001A59B6">
        <w:rPr>
          <w:rFonts w:cstheme="minorHAnsi"/>
          <w:b/>
        </w:rPr>
        <w:t>B1.</w:t>
      </w:r>
      <w:r w:rsidRPr="001A59B6">
        <w:rPr>
          <w:rFonts w:cstheme="minorHAnsi"/>
          <w:b/>
        </w:rPr>
        <w:tab/>
        <w:t>Objectives</w:t>
      </w:r>
    </w:p>
    <w:p w:rsidR="00E60CE3" w:rsidP="00A42C71" w:rsidRDefault="00A42C71" w14:paraId="4FC32BAD" w14:textId="30A2C09F">
      <w:pPr>
        <w:spacing w:after="60" w:line="240" w:lineRule="auto"/>
        <w:rPr>
          <w:rFonts w:cstheme="minorHAnsi"/>
          <w:i/>
        </w:rPr>
      </w:pPr>
      <w:r w:rsidRPr="001A59B6">
        <w:rPr>
          <w:rFonts w:cstheme="minorHAnsi"/>
          <w:i/>
        </w:rPr>
        <w:t>Study Objectives</w:t>
      </w:r>
    </w:p>
    <w:p w:rsidRPr="00B21EDB" w:rsidR="00316FC2" w:rsidP="00140EDD" w:rsidRDefault="00CB7F39" w14:paraId="00200BA9" w14:textId="4DF0E6E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sidRPr="00D53DDB">
        <w:t xml:space="preserve">The </w:t>
      </w:r>
      <w:r>
        <w:t xml:space="preserve">goal of the Supporting Youth to be Successful in Life (SYSIL) study </w:t>
      </w:r>
      <w:r w:rsidRPr="00D53DDB">
        <w:t xml:space="preserve">is </w:t>
      </w:r>
      <w:r w:rsidRPr="00D53DDB" w:rsidR="00C777B0">
        <w:t xml:space="preserve">to expand the evidence base </w:t>
      </w:r>
      <w:r w:rsidR="00C777B0">
        <w:t xml:space="preserve">on programs intended to </w:t>
      </w:r>
      <w:r w:rsidRPr="002218D7" w:rsidR="00C777B0">
        <w:t xml:space="preserve">prevent homelessness among youth </w:t>
      </w:r>
      <w:r w:rsidR="00094113">
        <w:t xml:space="preserve">and young adults with experience </w:t>
      </w:r>
      <w:r w:rsidRPr="002218D7" w:rsidR="00C777B0">
        <w:t>in the child welfare system</w:t>
      </w:r>
      <w:r>
        <w:t xml:space="preserve"> through a summative evaluation of</w:t>
      </w:r>
      <w:r w:rsidR="00902D8B">
        <w:t xml:space="preserve"> </w:t>
      </w:r>
      <w:r w:rsidRPr="007D6D1E" w:rsidR="00997DA5">
        <w:t>Colorado</w:t>
      </w:r>
      <w:r w:rsidR="00997DA5">
        <w:t>’s</w:t>
      </w:r>
      <w:r w:rsidRPr="007D6D1E" w:rsidR="00997DA5">
        <w:t xml:space="preserve"> </w:t>
      </w:r>
      <w:r w:rsidRPr="00B6434D" w:rsidR="00997DA5">
        <w:rPr>
          <w:iCs/>
        </w:rPr>
        <w:t>Pathways to Success</w:t>
      </w:r>
      <w:r w:rsidRPr="00D53DDB" w:rsidR="00997DA5">
        <w:t xml:space="preserve"> </w:t>
      </w:r>
      <w:r w:rsidR="00731E38">
        <w:t xml:space="preserve">(Pathways) </w:t>
      </w:r>
      <w:r w:rsidRPr="00D53DDB" w:rsidR="00997DA5">
        <w:t>comprehensive service model</w:t>
      </w:r>
      <w:r w:rsidR="00C777B0">
        <w:t xml:space="preserve">. </w:t>
      </w:r>
      <w:r w:rsidR="00316FC2">
        <w:t>Pathways is an intensive, coach-like case management model for youth</w:t>
      </w:r>
      <w:r w:rsidR="00094139">
        <w:t xml:space="preserve"> and young adults </w:t>
      </w:r>
      <w:r>
        <w:t xml:space="preserve">who are or have been involved </w:t>
      </w:r>
      <w:r w:rsidR="00316FC2">
        <w:t xml:space="preserve">in foster care. </w:t>
      </w:r>
      <w:r>
        <w:t>The summative evaluation includes an impact study and an implementation study.</w:t>
      </w:r>
    </w:p>
    <w:p w:rsidR="00C777B0" w:rsidP="00140EDD" w:rsidRDefault="00CA3360" w14:paraId="21B34B81" w14:textId="014F05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Pathways impact study </w:t>
      </w:r>
      <w:r w:rsidR="00C777B0">
        <w:t xml:space="preserve">will provide evidence of program effectiveness on a large number of policy-relevant outcomes, including stable housing, education, employment, permanent connections to caring adults, and social-emotional well-being. It will show the effectiveness of Pathways at short- and long-term follow-up periods and estimate the extent to which the program is more or less effective for key subgroups. </w:t>
      </w:r>
      <w:r w:rsidR="00186588">
        <w:t>T</w:t>
      </w:r>
      <w:r w:rsidR="00C777B0">
        <w:t>he study will</w:t>
      </w:r>
      <w:r w:rsidR="00186588">
        <w:t xml:space="preserve"> also</w:t>
      </w:r>
      <w:r w:rsidR="00C777B0">
        <w:t xml:space="preserve"> link features of program implementation (for example, dosage, quality, or adherence of the program delivery) to youth outcomes.  </w:t>
      </w:r>
    </w:p>
    <w:p w:rsidRPr="001A59B6" w:rsidR="00A42C71" w:rsidP="00140EDD" w:rsidRDefault="003A14A4" w14:paraId="078509A0" w14:textId="369B12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t>The</w:t>
      </w:r>
      <w:r w:rsidRPr="00D53DDB">
        <w:t xml:space="preserve"> </w:t>
      </w:r>
      <w:r>
        <w:t>Pathways</w:t>
      </w:r>
      <w:r w:rsidRPr="00D53DDB">
        <w:t xml:space="preserve"> </w:t>
      </w:r>
      <w:r>
        <w:t>implementation study</w:t>
      </w:r>
      <w:r w:rsidRPr="00D53DDB">
        <w:t xml:space="preserve"> </w:t>
      </w:r>
      <w:r>
        <w:t xml:space="preserve">will support interpretation of the model’s impacts on outcomes and identify </w:t>
      </w:r>
      <w:bookmarkStart w:name="_Hlk55554200" w:id="0"/>
      <w:r>
        <w:t xml:space="preserve">factors that contributed to or inhibited implementation of Pathways services in different </w:t>
      </w:r>
      <w:r w:rsidR="00E612DF">
        <w:t>sites</w:t>
      </w:r>
      <w:r w:rsidR="00E612DF">
        <w:rPr>
          <w:rStyle w:val="FootnoteReference"/>
        </w:rPr>
        <w:footnoteReference w:id="1"/>
      </w:r>
      <w:r>
        <w:t xml:space="preserve">; these findings will aid in the replication or improvement of future </w:t>
      </w:r>
      <w:proofErr w:type="gramStart"/>
      <w:r>
        <w:t>Pathways</w:t>
      </w:r>
      <w:proofErr w:type="gramEnd"/>
      <w:r>
        <w:t xml:space="preserve"> service delivery. </w:t>
      </w:r>
      <w:bookmarkStart w:name="_Hlk55554270" w:id="1"/>
      <w:bookmarkEnd w:id="0"/>
      <w:r>
        <w:t xml:space="preserve">The implementation study will systematically assess different contexts in which Pathways is </w:t>
      </w:r>
      <w:proofErr w:type="gramStart"/>
      <w:r>
        <w:t>being implemented</w:t>
      </w:r>
      <w:proofErr w:type="gramEnd"/>
      <w:r>
        <w:t xml:space="preserve"> and the fidelity to which Pathways is being implemented.  </w:t>
      </w:r>
      <w:bookmarkEnd w:id="1"/>
    </w:p>
    <w:p w:rsidRPr="001A59B6" w:rsidR="00A42C71" w:rsidP="00EC1F58" w:rsidRDefault="00A42C71" w14:paraId="15CEF91F" w14:textId="2CE712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cstheme="minorHAnsi"/>
        </w:rPr>
      </w:pPr>
      <w:r w:rsidRPr="001A59B6">
        <w:rPr>
          <w:rFonts w:cstheme="minorHAnsi"/>
          <w:i/>
        </w:rPr>
        <w:t xml:space="preserve">Generalizability of Results </w:t>
      </w:r>
    </w:p>
    <w:p w:rsidRPr="001A59B6" w:rsidR="00A42C71" w:rsidP="00140EDD" w:rsidRDefault="00AB31FD" w14:paraId="3C9D8A40" w14:textId="45BECD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heme="minorHAnsi"/>
          <w:color w:val="000000"/>
        </w:rPr>
      </w:pPr>
      <w:r>
        <w:rPr>
          <w:rFonts w:eastAsia="Times New Roman" w:cstheme="minorHAnsi"/>
          <w:color w:val="000000"/>
        </w:rPr>
        <w:t xml:space="preserve">The impact </w:t>
      </w:r>
      <w:r w:rsidRPr="007733D5">
        <w:t xml:space="preserve">study </w:t>
      </w:r>
      <w:proofErr w:type="gramStart"/>
      <w:r w:rsidRPr="007733D5">
        <w:t>is intended</w:t>
      </w:r>
      <w:proofErr w:type="gramEnd"/>
      <w:r w:rsidRPr="007733D5">
        <w:t xml:space="preserve"> to produce estimates of the </w:t>
      </w:r>
      <w:r>
        <w:t xml:space="preserve">Pathways </w:t>
      </w:r>
      <w:r w:rsidRPr="007733D5">
        <w:t xml:space="preserve">intervention’s impact in </w:t>
      </w:r>
      <w:r>
        <w:t xml:space="preserve">the </w:t>
      </w:r>
      <w:r w:rsidR="00EE15C2">
        <w:t xml:space="preserve">subset of </w:t>
      </w:r>
      <w:r w:rsidR="00E612DF">
        <w:t xml:space="preserve">sites </w:t>
      </w:r>
      <w:r w:rsidR="00EE15C2">
        <w:t>in Colorado participating in the study</w:t>
      </w:r>
      <w:r w:rsidRPr="007733D5">
        <w:t xml:space="preserve">, not to promote statistical generalization to other </w:t>
      </w:r>
      <w:r w:rsidR="00D575B7">
        <w:t xml:space="preserve">sites </w:t>
      </w:r>
      <w:r w:rsidR="00EE15C2">
        <w:t>in Colorado or</w:t>
      </w:r>
      <w:r w:rsidRPr="007733D5" w:rsidR="00EE15C2">
        <w:t xml:space="preserve"> </w:t>
      </w:r>
      <w:r w:rsidR="00EE15C2">
        <w:t>to a broader</w:t>
      </w:r>
      <w:r w:rsidRPr="007733D5">
        <w:t xml:space="preserve"> population.</w:t>
      </w:r>
      <w:r>
        <w:t xml:space="preserve"> </w:t>
      </w:r>
      <w:r w:rsidR="00EE15C2">
        <w:t xml:space="preserve">The study </w:t>
      </w:r>
      <w:r w:rsidR="00500379">
        <w:t>will</w:t>
      </w:r>
      <w:r w:rsidR="00EE15C2">
        <w:t xml:space="preserve"> not randomly sample </w:t>
      </w:r>
      <w:r w:rsidR="00E612DF">
        <w:t xml:space="preserve">sites </w:t>
      </w:r>
      <w:r w:rsidR="00EE15C2">
        <w:t xml:space="preserve">for inclusion in the evaluation, a necessary condition for findings to generalize beyond the subset of </w:t>
      </w:r>
      <w:r w:rsidR="00D575B7">
        <w:t xml:space="preserve">sites </w:t>
      </w:r>
      <w:r w:rsidR="00EE15C2">
        <w:t xml:space="preserve">participating in the evaluation. </w:t>
      </w:r>
      <w:r>
        <w:t xml:space="preserve">The implementation </w:t>
      </w:r>
      <w:r w:rsidRPr="007733D5">
        <w:t xml:space="preserve">study </w:t>
      </w:r>
      <w:proofErr w:type="gramStart"/>
      <w:r w:rsidRPr="007733D5">
        <w:t>is intended</w:t>
      </w:r>
      <w:proofErr w:type="gramEnd"/>
      <w:r w:rsidRPr="007733D5">
        <w:t xml:space="preserve"> to present </w:t>
      </w:r>
      <w:r>
        <w:t xml:space="preserve">an </w:t>
      </w:r>
      <w:r w:rsidRPr="007733D5">
        <w:t>internally valid description of the implementation of</w:t>
      </w:r>
      <w:r>
        <w:t xml:space="preserve"> the Pathways intervention </w:t>
      </w:r>
      <w:r w:rsidRPr="007733D5">
        <w:t xml:space="preserve">in </w:t>
      </w:r>
      <w:r>
        <w:t xml:space="preserve">the selected </w:t>
      </w:r>
      <w:r w:rsidRPr="007733D5">
        <w:t>site, not to promote statistical generalization to other sites or service populations.</w:t>
      </w:r>
      <w:r w:rsidR="00EE15C2">
        <w:t xml:space="preserve"> </w:t>
      </w:r>
      <w:r w:rsidR="009E5FB5">
        <w:t>T</w:t>
      </w:r>
      <w:r w:rsidR="00EE15C2">
        <w:t xml:space="preserve">he study does not require broader generalizability for it to be policy relevant – if Pathways </w:t>
      </w:r>
      <w:proofErr w:type="gramStart"/>
      <w:r w:rsidR="00EE15C2">
        <w:t>is shown</w:t>
      </w:r>
      <w:proofErr w:type="gramEnd"/>
      <w:r w:rsidR="00EE15C2">
        <w:t xml:space="preserve"> to be effective in the participating </w:t>
      </w:r>
      <w:r w:rsidR="00D575B7">
        <w:t>sites</w:t>
      </w:r>
      <w:r w:rsidR="00EE15C2">
        <w:t xml:space="preserve">, it is possible that Colorado may scale up its implementation, and that other states may adopt Pathways.  </w:t>
      </w:r>
    </w:p>
    <w:p w:rsidR="00EA264B" w:rsidP="00EC1F58" w:rsidRDefault="00A42C71" w14:paraId="0484CFE7" w14:textId="0A3DF3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cstheme="minorHAnsi"/>
          <w:i/>
          <w:color w:val="000000"/>
        </w:rPr>
      </w:pPr>
      <w:r w:rsidRPr="001A59B6">
        <w:rPr>
          <w:rFonts w:eastAsia="Times New Roman" w:cstheme="minorHAnsi"/>
          <w:i/>
          <w:color w:val="000000"/>
        </w:rPr>
        <w:t>Appropriateness of Study Design and Methods for Planned Uses</w:t>
      </w:r>
    </w:p>
    <w:p w:rsidR="0096507C" w:rsidP="00EC1F58" w:rsidRDefault="00CB7F39" w14:paraId="6820C257" w14:textId="7309A2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theme="minorHAnsi"/>
          <w:color w:val="000000"/>
        </w:rPr>
      </w:pPr>
      <w:r w:rsidRPr="00201A78">
        <w:rPr>
          <w:rFonts w:cstheme="minorHAnsi"/>
        </w:rPr>
        <w:t xml:space="preserve">Both qualitative and quantitative data sources will </w:t>
      </w:r>
      <w:proofErr w:type="gramStart"/>
      <w:r w:rsidRPr="00201A78">
        <w:rPr>
          <w:rFonts w:cstheme="minorHAnsi"/>
        </w:rPr>
        <w:t>be used</w:t>
      </w:r>
      <w:proofErr w:type="gramEnd"/>
      <w:r w:rsidRPr="00201A78">
        <w:rPr>
          <w:rFonts w:cstheme="minorHAnsi"/>
        </w:rPr>
        <w:t xml:space="preserve"> to address the key research questions for SYSIL. Quantitative data will </w:t>
      </w:r>
      <w:proofErr w:type="gramStart"/>
      <w:r w:rsidRPr="00201A78">
        <w:rPr>
          <w:rFonts w:cstheme="minorHAnsi"/>
        </w:rPr>
        <w:t>be used</w:t>
      </w:r>
      <w:proofErr w:type="gramEnd"/>
      <w:r w:rsidRPr="00201A78">
        <w:rPr>
          <w:rFonts w:cstheme="minorHAnsi"/>
        </w:rPr>
        <w:t xml:space="preserve"> to understand the impact of Pathways on </w:t>
      </w:r>
      <w:r>
        <w:rPr>
          <w:rFonts w:cstheme="minorHAnsi"/>
        </w:rPr>
        <w:t xml:space="preserve">youth in </w:t>
      </w:r>
      <w:r w:rsidRPr="00201A78">
        <w:rPr>
          <w:rFonts w:cstheme="minorHAnsi"/>
        </w:rPr>
        <w:t xml:space="preserve">selected </w:t>
      </w:r>
      <w:r w:rsidR="00D575B7">
        <w:rPr>
          <w:rFonts w:cstheme="minorHAnsi"/>
        </w:rPr>
        <w:t>sites</w:t>
      </w:r>
      <w:r w:rsidRPr="00201A78">
        <w:rPr>
          <w:rFonts w:cstheme="minorHAnsi"/>
        </w:rPr>
        <w:t xml:space="preserve">. We will use qualitative data to understand what </w:t>
      </w:r>
      <w:r>
        <w:rPr>
          <w:rFonts w:cstheme="minorHAnsi"/>
        </w:rPr>
        <w:t xml:space="preserve">program </w:t>
      </w:r>
      <w:r w:rsidRPr="00201A78">
        <w:rPr>
          <w:rFonts w:cstheme="minorHAnsi"/>
        </w:rPr>
        <w:t xml:space="preserve">implementation looks like and how Pathways </w:t>
      </w:r>
      <w:r w:rsidRPr="00201A78">
        <w:rPr>
          <w:rFonts w:cstheme="minorHAnsi"/>
        </w:rPr>
        <w:lastRenderedPageBreak/>
        <w:t>differs from business-as-usual services in order to inform future efforts to prevent homelessness among this population.</w:t>
      </w:r>
      <w:r w:rsidR="00970985">
        <w:rPr>
          <w:rFonts w:cstheme="minorHAnsi"/>
        </w:rPr>
        <w:t xml:space="preserve"> </w:t>
      </w:r>
      <w:r w:rsidRPr="00201A78" w:rsidR="009928AE">
        <w:rPr>
          <w:rFonts w:cstheme="minorHAnsi"/>
        </w:rPr>
        <w:t xml:space="preserve">The Pathways implementation study </w:t>
      </w:r>
      <w:r w:rsidR="00891F40">
        <w:rPr>
          <w:rFonts w:cstheme="minorHAnsi"/>
        </w:rPr>
        <w:t xml:space="preserve">data </w:t>
      </w:r>
      <w:r w:rsidRPr="00201A78" w:rsidR="009928AE">
        <w:rPr>
          <w:rFonts w:cstheme="minorHAnsi"/>
        </w:rPr>
        <w:t xml:space="preserve">will </w:t>
      </w:r>
      <w:proofErr w:type="gramStart"/>
      <w:r w:rsidRPr="00201A78" w:rsidR="009928AE">
        <w:rPr>
          <w:rFonts w:cstheme="minorHAnsi"/>
        </w:rPr>
        <w:t>be used</w:t>
      </w:r>
      <w:proofErr w:type="gramEnd"/>
      <w:r w:rsidRPr="00201A78" w:rsidR="009928AE">
        <w:rPr>
          <w:rFonts w:cstheme="minorHAnsi"/>
        </w:rPr>
        <w:t xml:space="preserve"> to support interpretation of the model’s impacts on outcomes and identify factors that contributed to or inhibited implementation of Pathways services in different </w:t>
      </w:r>
      <w:r w:rsidR="00D575B7">
        <w:rPr>
          <w:rFonts w:cstheme="minorHAnsi"/>
        </w:rPr>
        <w:t>sites</w:t>
      </w:r>
      <w:r w:rsidRPr="00201A78" w:rsidR="009928AE">
        <w:rPr>
          <w:rFonts w:cstheme="minorHAnsi"/>
        </w:rPr>
        <w:t>.</w:t>
      </w:r>
      <w:r w:rsidRPr="00266F12" w:rsidR="009769B7">
        <w:rPr>
          <w:rFonts w:cstheme="minorHAnsi"/>
        </w:rPr>
        <w:t xml:space="preserve"> </w:t>
      </w:r>
      <w:r w:rsidRPr="00266F12" w:rsidR="009928AE">
        <w:rPr>
          <w:rFonts w:cstheme="minorHAnsi"/>
        </w:rPr>
        <w:t xml:space="preserve">Study reports will </w:t>
      </w:r>
      <w:proofErr w:type="gramStart"/>
      <w:r w:rsidRPr="00266F12" w:rsidR="009928AE">
        <w:rPr>
          <w:rFonts w:cstheme="minorHAnsi"/>
        </w:rPr>
        <w:t>be made</w:t>
      </w:r>
      <w:proofErr w:type="gramEnd"/>
      <w:r w:rsidRPr="00266F12" w:rsidR="009928AE">
        <w:rPr>
          <w:rFonts w:cstheme="minorHAnsi"/>
        </w:rPr>
        <w:t xml:space="preserve"> available to the public. </w:t>
      </w:r>
      <w:r w:rsidRPr="00266F12" w:rsidR="009928AE">
        <w:rPr>
          <w:rFonts w:cstheme="minorHAnsi"/>
          <w:color w:val="000000"/>
        </w:rPr>
        <w:t xml:space="preserve">Key limitations will </w:t>
      </w:r>
      <w:proofErr w:type="gramStart"/>
      <w:r w:rsidRPr="00266F12" w:rsidR="009928AE">
        <w:rPr>
          <w:rFonts w:cstheme="minorHAnsi"/>
          <w:color w:val="000000"/>
        </w:rPr>
        <w:t>be included</w:t>
      </w:r>
      <w:proofErr w:type="gramEnd"/>
      <w:r w:rsidRPr="00266F12" w:rsidR="009928AE">
        <w:rPr>
          <w:rFonts w:cstheme="minorHAnsi"/>
          <w:color w:val="000000"/>
        </w:rPr>
        <w:t xml:space="preserve"> in written products associated with the study.</w:t>
      </w:r>
    </w:p>
    <w:p w:rsidR="00EA264B" w:rsidP="00EC1F58" w:rsidRDefault="00EA264B" w14:paraId="4BF54B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theme="minorHAnsi"/>
        </w:rPr>
      </w:pPr>
    </w:p>
    <w:p w:rsidRPr="001A59B6" w:rsidR="00A42C71" w:rsidP="00A42C71" w:rsidRDefault="00A42C71" w14:paraId="21886270" w14:textId="1987D607">
      <w:pPr>
        <w:pStyle w:val="NormalWeb"/>
        <w:spacing w:before="0" w:beforeAutospacing="0" w:after="0" w:afterAutospacing="0"/>
        <w:rPr>
          <w:rFonts w:asciiTheme="minorHAnsi" w:hAnsiTheme="minorHAnsi" w:cstheme="minorHAnsi"/>
          <w:b/>
          <w:i/>
          <w:strike/>
          <w:sz w:val="22"/>
          <w:szCs w:val="22"/>
        </w:rPr>
      </w:pPr>
      <w:r w:rsidRPr="001A59B6">
        <w:rPr>
          <w:rFonts w:asciiTheme="minorHAnsi" w:hAnsiTheme="minorHAnsi" w:cstheme="minorHAnsi"/>
          <w:sz w:val="22"/>
          <w:szCs w:val="22"/>
        </w:rPr>
        <w:t xml:space="preserve">As noted in Supporting Statement A, this information </w:t>
      </w:r>
      <w:proofErr w:type="gramStart"/>
      <w:r w:rsidRPr="001A59B6">
        <w:rPr>
          <w:rFonts w:asciiTheme="minorHAnsi" w:hAnsiTheme="minorHAnsi" w:cstheme="minorHAnsi"/>
          <w:sz w:val="22"/>
          <w:szCs w:val="22"/>
        </w:rPr>
        <w:t>is not intended</w:t>
      </w:r>
      <w:proofErr w:type="gramEnd"/>
      <w:r w:rsidRPr="001A59B6">
        <w:rPr>
          <w:rFonts w:asciiTheme="minorHAnsi" w:hAnsiTheme="minorHAnsi" w:cstheme="minorHAnsi"/>
          <w:sz w:val="22"/>
          <w:szCs w:val="22"/>
        </w:rPr>
        <w:t xml:space="preserve"> to be used as the principal basis for public policy decisions and is not expected to meet the threshold of influential or highly influential scientific information.  </w:t>
      </w:r>
    </w:p>
    <w:p w:rsidRPr="001A59B6" w:rsidR="00A42C71" w:rsidP="00A42C71" w:rsidRDefault="00A42C71" w14:paraId="083526BA" w14:textId="77777777">
      <w:pPr>
        <w:pStyle w:val="ListParagraph"/>
        <w:spacing w:after="0" w:line="240" w:lineRule="auto"/>
        <w:ind w:left="0"/>
        <w:rPr>
          <w:rFonts w:cstheme="minorHAnsi"/>
        </w:rPr>
      </w:pPr>
    </w:p>
    <w:p w:rsidRPr="001A59B6" w:rsidR="00A42C71" w:rsidP="00A42C71" w:rsidRDefault="00A42C71" w14:paraId="7A1B7559" w14:textId="77777777">
      <w:pPr>
        <w:pStyle w:val="ListParagraph"/>
        <w:spacing w:after="0" w:line="240" w:lineRule="auto"/>
        <w:ind w:left="0"/>
        <w:rPr>
          <w:rFonts w:cstheme="minorHAnsi"/>
        </w:rPr>
      </w:pPr>
    </w:p>
    <w:p w:rsidRPr="001A59B6" w:rsidR="00A42C71" w:rsidP="00A42C71" w:rsidRDefault="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Pr="00EA264B" w:rsidR="00A42C71" w:rsidP="00EA264B" w:rsidRDefault="00A42C71" w14:paraId="4C77B3BD" w14:textId="522BE4CB">
      <w:pPr>
        <w:spacing w:after="60"/>
        <w:rPr>
          <w:i/>
        </w:rPr>
      </w:pPr>
      <w:r w:rsidRPr="00EA264B">
        <w:rPr>
          <w:i/>
        </w:rPr>
        <w:t xml:space="preserve">Target Population  </w:t>
      </w:r>
    </w:p>
    <w:p w:rsidRPr="00604E2F" w:rsidR="00631FE4" w:rsidP="006C05A4" w:rsidRDefault="006C05A4" w14:paraId="3840BBD8" w14:textId="53B7D4C3">
      <w:pPr>
        <w:autoSpaceDE w:val="0"/>
        <w:autoSpaceDN w:val="0"/>
        <w:adjustRightInd w:val="0"/>
        <w:spacing w:after="60" w:line="240" w:lineRule="atLeast"/>
        <w:contextualSpacing/>
      </w:pPr>
      <w:r>
        <w:rPr>
          <w:rFonts w:eastAsia="Times New Roman" w:cstheme="minorHAnsi"/>
          <w:color w:val="000000"/>
        </w:rPr>
        <w:t>For the impact study, we will collect data for youth</w:t>
      </w:r>
      <w:r w:rsidR="00EC1F58">
        <w:rPr>
          <w:rFonts w:eastAsia="Times New Roman" w:cstheme="minorHAnsi"/>
          <w:color w:val="000000"/>
        </w:rPr>
        <w:t xml:space="preserve"> and young adults</w:t>
      </w:r>
      <w:r>
        <w:rPr>
          <w:rFonts w:eastAsia="Times New Roman" w:cstheme="minorHAnsi"/>
          <w:color w:val="000000"/>
        </w:rPr>
        <w:t xml:space="preserve"> ages 14 to 2</w:t>
      </w:r>
      <w:r w:rsidR="00970985">
        <w:rPr>
          <w:rFonts w:eastAsia="Times New Roman" w:cstheme="minorHAnsi"/>
          <w:color w:val="000000"/>
        </w:rPr>
        <w:t>3</w:t>
      </w:r>
      <w:r>
        <w:rPr>
          <w:rFonts w:eastAsia="Times New Roman" w:cstheme="minorHAnsi"/>
          <w:color w:val="000000"/>
        </w:rPr>
        <w:t xml:space="preserve"> </w:t>
      </w:r>
      <w:r w:rsidR="00DF4475">
        <w:rPr>
          <w:rFonts w:eastAsia="Times New Roman" w:cstheme="minorHAnsi"/>
          <w:color w:val="000000"/>
        </w:rPr>
        <w:t xml:space="preserve">in the participating </w:t>
      </w:r>
      <w:r w:rsidR="00D575B7">
        <w:rPr>
          <w:rFonts w:eastAsia="Times New Roman" w:cstheme="minorHAnsi"/>
          <w:color w:val="000000"/>
        </w:rPr>
        <w:t xml:space="preserve">sites </w:t>
      </w:r>
      <w:r>
        <w:rPr>
          <w:rFonts w:eastAsia="Times New Roman" w:cstheme="minorHAnsi"/>
          <w:color w:val="000000"/>
        </w:rPr>
        <w:t xml:space="preserve">who are currently in </w:t>
      </w:r>
      <w:r w:rsidR="00DF4475">
        <w:rPr>
          <w:rFonts w:eastAsia="Times New Roman" w:cstheme="minorHAnsi"/>
          <w:color w:val="000000"/>
        </w:rPr>
        <w:t xml:space="preserve">the </w:t>
      </w:r>
      <w:r>
        <w:rPr>
          <w:rFonts w:eastAsia="Times New Roman" w:cstheme="minorHAnsi"/>
          <w:color w:val="000000"/>
        </w:rPr>
        <w:t xml:space="preserve">foster care </w:t>
      </w:r>
      <w:r w:rsidR="00DF4475">
        <w:rPr>
          <w:rFonts w:eastAsia="Times New Roman" w:cstheme="minorHAnsi"/>
          <w:color w:val="000000"/>
        </w:rPr>
        <w:t xml:space="preserve">system or </w:t>
      </w:r>
      <w:r w:rsidR="00DF4475">
        <w:t xml:space="preserve">were previously in the foster care system </w:t>
      </w:r>
      <w:r>
        <w:rPr>
          <w:rFonts w:eastAsia="Times New Roman" w:cstheme="minorHAnsi"/>
          <w:color w:val="000000"/>
        </w:rPr>
        <w:t>and have at least one risk factor for homelessness.</w:t>
      </w:r>
      <w:r>
        <w:rPr>
          <w:rStyle w:val="FootnoteReference"/>
          <w:rFonts w:eastAsia="Times New Roman" w:cstheme="minorHAnsi"/>
          <w:color w:val="000000"/>
        </w:rPr>
        <w:footnoteReference w:id="2"/>
      </w:r>
      <w:r>
        <w:rPr>
          <w:rFonts w:eastAsia="Times New Roman" w:cstheme="minorHAnsi"/>
          <w:color w:val="000000"/>
        </w:rPr>
        <w:t xml:space="preserve"> We expect to enroll approximately 700 youth</w:t>
      </w:r>
      <w:r w:rsidR="00643C05">
        <w:rPr>
          <w:rFonts w:eastAsia="Times New Roman" w:cstheme="minorHAnsi"/>
          <w:color w:val="000000"/>
        </w:rPr>
        <w:t xml:space="preserve"> and young adults</w:t>
      </w:r>
      <w:r>
        <w:rPr>
          <w:rFonts w:eastAsia="Times New Roman" w:cstheme="minorHAnsi"/>
          <w:color w:val="000000"/>
        </w:rPr>
        <w:t xml:space="preserve"> into the study.  </w:t>
      </w:r>
    </w:p>
    <w:p w:rsidRPr="008F6718" w:rsidR="006C05A4" w:rsidP="006C05A4" w:rsidRDefault="006C05A4" w14:paraId="393A57C9" w14:textId="77777777">
      <w:pPr>
        <w:autoSpaceDE w:val="0"/>
        <w:autoSpaceDN w:val="0"/>
        <w:adjustRightInd w:val="0"/>
        <w:spacing w:after="60" w:line="240" w:lineRule="atLeast"/>
        <w:contextualSpacing/>
        <w:rPr>
          <w:rFonts w:eastAsia="Times New Roman" w:cstheme="minorHAnsi"/>
          <w:color w:val="000000"/>
        </w:rPr>
      </w:pPr>
    </w:p>
    <w:p w:rsidR="00EA264B" w:rsidP="00A42C71" w:rsidRDefault="00970985" w14:paraId="6DD7D578" w14:textId="00D91EEF">
      <w:pPr>
        <w:autoSpaceDE w:val="0"/>
        <w:autoSpaceDN w:val="0"/>
        <w:adjustRightInd w:val="0"/>
        <w:spacing w:after="60" w:line="240" w:lineRule="atLeast"/>
        <w:contextualSpacing/>
        <w:rPr>
          <w:rFonts w:eastAsia="Times New Roman" w:cstheme="minorHAnsi"/>
          <w:color w:val="000000"/>
        </w:rPr>
      </w:pPr>
      <w:r>
        <w:t xml:space="preserve">As part of the implementation study, the evaluation team will conduct interviews during site visits and focus groups. </w:t>
      </w:r>
      <w:r w:rsidR="006C05A4">
        <w:rPr>
          <w:rFonts w:eastAsia="Times New Roman" w:cstheme="minorHAnsi"/>
          <w:color w:val="000000"/>
        </w:rPr>
        <w:t xml:space="preserve">The target population for the interviews that will </w:t>
      </w:r>
      <w:proofErr w:type="gramStart"/>
      <w:r w:rsidR="006C05A4">
        <w:rPr>
          <w:rFonts w:eastAsia="Times New Roman" w:cstheme="minorHAnsi"/>
          <w:color w:val="000000"/>
        </w:rPr>
        <w:t>be conducted</w:t>
      </w:r>
      <w:proofErr w:type="gramEnd"/>
      <w:r w:rsidR="006C05A4">
        <w:rPr>
          <w:rFonts w:eastAsia="Times New Roman" w:cstheme="minorHAnsi"/>
          <w:color w:val="000000"/>
        </w:rPr>
        <w:t xml:space="preserve"> during the site visits includes leaders and their staff who either deliver the Pathways Program (in treatment </w:t>
      </w:r>
      <w:r w:rsidR="00D575B7">
        <w:rPr>
          <w:rFonts w:eastAsia="Times New Roman" w:cstheme="minorHAnsi"/>
          <w:color w:val="000000"/>
        </w:rPr>
        <w:t>sites</w:t>
      </w:r>
      <w:r w:rsidR="006C05A4">
        <w:rPr>
          <w:rFonts w:eastAsia="Times New Roman" w:cstheme="minorHAnsi"/>
          <w:color w:val="000000"/>
        </w:rPr>
        <w:t xml:space="preserve">) or comparison services (in comparison </w:t>
      </w:r>
      <w:r w:rsidR="00D575B7">
        <w:rPr>
          <w:rFonts w:eastAsia="Times New Roman" w:cstheme="minorHAnsi"/>
          <w:color w:val="000000"/>
        </w:rPr>
        <w:t>sites</w:t>
      </w:r>
      <w:r w:rsidR="006C05A4">
        <w:rPr>
          <w:rFonts w:eastAsia="Times New Roman" w:cstheme="minorHAnsi"/>
          <w:color w:val="000000"/>
        </w:rPr>
        <w:t xml:space="preserve">). </w:t>
      </w:r>
      <w:r w:rsidRPr="006E389A" w:rsidR="00EA264B">
        <w:t xml:space="preserve">We will </w:t>
      </w:r>
      <w:r w:rsidR="00EA264B">
        <w:t xml:space="preserve">also </w:t>
      </w:r>
      <w:r w:rsidRPr="006E389A" w:rsidR="00EA264B">
        <w:t xml:space="preserve">conduct two “check-ins” </w:t>
      </w:r>
      <w:r w:rsidR="00EA264B">
        <w:t xml:space="preserve">by telephone </w:t>
      </w:r>
      <w:r w:rsidRPr="006E389A" w:rsidR="00EA264B">
        <w:t xml:space="preserve">with program directors </w:t>
      </w:r>
      <w:r w:rsidR="00EA264B">
        <w:t>from 1</w:t>
      </w:r>
      <w:r w:rsidR="0011603F">
        <w:t>6</w:t>
      </w:r>
      <w:r w:rsidR="00EA264B">
        <w:t xml:space="preserve"> sites (</w:t>
      </w:r>
      <w:r w:rsidR="0011603F">
        <w:t xml:space="preserve">all </w:t>
      </w:r>
      <w:r w:rsidR="00EA264B">
        <w:t xml:space="preserve">Pathways </w:t>
      </w:r>
      <w:r w:rsidR="00D575B7">
        <w:t xml:space="preserve">sites </w:t>
      </w:r>
      <w:r w:rsidR="00EA264B">
        <w:t xml:space="preserve">and comparison </w:t>
      </w:r>
      <w:r w:rsidR="00D575B7">
        <w:t>sites</w:t>
      </w:r>
      <w:r w:rsidR="00EA264B">
        <w:t xml:space="preserve">) </w:t>
      </w:r>
      <w:r w:rsidRPr="006E389A" w:rsidR="00EA264B">
        <w:t>to ask about current service delivery.</w:t>
      </w:r>
      <w:r w:rsidR="00EA264B">
        <w:t xml:space="preserve"> </w:t>
      </w:r>
      <w:r w:rsidR="006C05A4">
        <w:rPr>
          <w:rFonts w:eastAsia="Times New Roman" w:cstheme="minorHAnsi"/>
          <w:color w:val="000000"/>
        </w:rPr>
        <w:t xml:space="preserve">We expect to conduct interviews with up to 30 participants in both the Pathways and comparison sites. Target respondents for the focus groups include youth and young adults participating in the study who are receiving Pathways or comparison services. We expect up to 50 participants </w:t>
      </w:r>
      <w:r w:rsidRPr="00891BFA" w:rsidR="006C05A4">
        <w:rPr>
          <w:rFonts w:eastAsia="Times New Roman" w:cstheme="minorHAnsi"/>
          <w:color w:val="000000"/>
        </w:rPr>
        <w:t>for both the</w:t>
      </w:r>
      <w:r w:rsidR="006C05A4">
        <w:rPr>
          <w:rFonts w:eastAsia="Times New Roman" w:cstheme="minorHAnsi"/>
          <w:color w:val="000000"/>
        </w:rPr>
        <w:t xml:space="preserve"> Pathways and comparison site focus groups.</w:t>
      </w:r>
      <w:r w:rsidR="00F459BE">
        <w:rPr>
          <w:rFonts w:eastAsia="Times New Roman" w:cstheme="minorHAnsi"/>
          <w:color w:val="000000"/>
        </w:rPr>
        <w:t xml:space="preserve"> </w:t>
      </w:r>
    </w:p>
    <w:p w:rsidR="00631FE4" w:rsidP="00A42C71" w:rsidRDefault="00631FE4" w14:paraId="3F7B7B22" w14:textId="41DD1355">
      <w:pPr>
        <w:autoSpaceDE w:val="0"/>
        <w:autoSpaceDN w:val="0"/>
        <w:adjustRightInd w:val="0"/>
        <w:spacing w:after="60" w:line="240" w:lineRule="atLeast"/>
        <w:contextualSpacing/>
        <w:rPr>
          <w:rFonts w:eastAsia="Times New Roman" w:cstheme="minorHAnsi"/>
          <w:color w:val="000000"/>
        </w:rPr>
      </w:pPr>
    </w:p>
    <w:p w:rsidRPr="00EA264B" w:rsidR="00A42C71" w:rsidP="00EA264B" w:rsidRDefault="00A42C71" w14:paraId="242D83A5" w14:textId="68546D6E">
      <w:pPr>
        <w:spacing w:after="60"/>
        <w:rPr>
          <w:i/>
        </w:rPr>
      </w:pPr>
      <w:r w:rsidRPr="00EA264B">
        <w:rPr>
          <w:i/>
        </w:rPr>
        <w:t>Sampling and Site Selection</w:t>
      </w:r>
    </w:p>
    <w:p w:rsidR="004C2B23" w:rsidP="00EC1F58" w:rsidRDefault="008B7E4B" w14:paraId="1C6C6BBC" w14:textId="46504C57">
      <w:pPr>
        <w:spacing w:after="0"/>
        <w:rPr>
          <w:rFonts w:eastAsia="Calibri"/>
        </w:rPr>
      </w:pPr>
      <w:r>
        <w:t xml:space="preserve">Pathways </w:t>
      </w:r>
      <w:proofErr w:type="gramStart"/>
      <w:r w:rsidRPr="007B1C87">
        <w:t xml:space="preserve">was </w:t>
      </w:r>
      <w:r>
        <w:t>piloted</w:t>
      </w:r>
      <w:proofErr w:type="gramEnd"/>
      <w:r>
        <w:t xml:space="preserve"> in</w:t>
      </w:r>
      <w:r w:rsidR="000E6E98">
        <w:t xml:space="preserve"> an urban, a suburban, and a rural site in Colorado</w:t>
      </w:r>
      <w:r>
        <w:t xml:space="preserve">.  For the SYSIL study, we are expanding that group of </w:t>
      </w:r>
      <w:r w:rsidR="00E612DF">
        <w:t>sites</w:t>
      </w:r>
      <w:r>
        <w:t xml:space="preserve">. </w:t>
      </w:r>
      <w:r w:rsidRPr="00F92791" w:rsidR="00F92791">
        <w:rPr>
          <w:rFonts w:eastAsia="Calibri"/>
        </w:rPr>
        <w:t xml:space="preserve"> </w:t>
      </w:r>
      <w:r w:rsidR="00F92791">
        <w:rPr>
          <w:rFonts w:eastAsia="Calibri"/>
        </w:rPr>
        <w:t xml:space="preserve">When identifying </w:t>
      </w:r>
      <w:r w:rsidR="00E612DF">
        <w:rPr>
          <w:rFonts w:eastAsia="Calibri"/>
        </w:rPr>
        <w:t xml:space="preserve">sites </w:t>
      </w:r>
      <w:r w:rsidR="00F92791">
        <w:rPr>
          <w:rFonts w:eastAsia="Calibri"/>
        </w:rPr>
        <w:t>to participate in the summative evaluation</w:t>
      </w:r>
      <w:r w:rsidRPr="00776D0E" w:rsidR="00F92791">
        <w:rPr>
          <w:rFonts w:eastAsia="Calibri"/>
        </w:rPr>
        <w:t>,</w:t>
      </w:r>
      <w:r w:rsidRPr="00776D0E" w:rsidR="00591969">
        <w:rPr>
          <w:rFonts w:eastAsia="Calibri"/>
        </w:rPr>
        <w:t xml:space="preserve"> t</w:t>
      </w:r>
      <w:r w:rsidRPr="00776D0E" w:rsidR="000C6D5A">
        <w:rPr>
          <w:rFonts w:eastAsia="Calibri"/>
        </w:rPr>
        <w:t xml:space="preserve">he </w:t>
      </w:r>
      <w:r w:rsidR="00EA264B">
        <w:rPr>
          <w:rFonts w:eastAsia="Calibri"/>
        </w:rPr>
        <w:t xml:space="preserve">project team has tried </w:t>
      </w:r>
      <w:r w:rsidRPr="00776D0E" w:rsidR="000C6D5A">
        <w:rPr>
          <w:rFonts w:eastAsia="Calibri"/>
        </w:rPr>
        <w:t>to balance two goals: (1)</w:t>
      </w:r>
      <w:r w:rsidRPr="00776D0E" w:rsidR="00FA1A2E">
        <w:rPr>
          <w:rFonts w:eastAsia="Calibri"/>
        </w:rPr>
        <w:t xml:space="preserve"> to</w:t>
      </w:r>
      <w:r w:rsidRPr="00776D0E" w:rsidR="000C6D5A">
        <w:rPr>
          <w:rFonts w:eastAsia="Calibri"/>
        </w:rPr>
        <w:t xml:space="preserve"> identify treatment and comparison </w:t>
      </w:r>
      <w:r w:rsidR="00E612DF">
        <w:rPr>
          <w:rFonts w:eastAsia="Calibri"/>
        </w:rPr>
        <w:t>sites</w:t>
      </w:r>
      <w:r w:rsidRPr="00776D0E" w:rsidR="00E612DF">
        <w:rPr>
          <w:rFonts w:eastAsia="Calibri"/>
        </w:rPr>
        <w:t xml:space="preserve"> </w:t>
      </w:r>
      <w:r w:rsidRPr="00776D0E" w:rsidR="000C6D5A">
        <w:rPr>
          <w:rFonts w:eastAsia="Calibri"/>
        </w:rPr>
        <w:t xml:space="preserve">that </w:t>
      </w:r>
      <w:r w:rsidR="00EA264B">
        <w:rPr>
          <w:rFonts w:eastAsia="Calibri"/>
        </w:rPr>
        <w:t>a</w:t>
      </w:r>
      <w:r w:rsidRPr="00776D0E" w:rsidR="00FA1A2E">
        <w:rPr>
          <w:rFonts w:eastAsia="Calibri"/>
        </w:rPr>
        <w:t xml:space="preserve">re </w:t>
      </w:r>
      <w:r w:rsidRPr="00776D0E" w:rsidR="000C6D5A">
        <w:rPr>
          <w:rFonts w:eastAsia="Calibri"/>
        </w:rPr>
        <w:t xml:space="preserve">well matched in terms of background characteristics and the variables expected to influence youth outcomes (for example, a baseline assessment of the outcomes of interest), and (2) </w:t>
      </w:r>
      <w:r w:rsidR="00FA1A2E">
        <w:rPr>
          <w:rFonts w:eastAsia="Calibri"/>
        </w:rPr>
        <w:t xml:space="preserve">to </w:t>
      </w:r>
      <w:r w:rsidRPr="00776D0E" w:rsidR="000C6D5A">
        <w:rPr>
          <w:rFonts w:eastAsia="Calibri"/>
        </w:rPr>
        <w:t xml:space="preserve">identify comparison </w:t>
      </w:r>
      <w:r w:rsidR="00E612DF">
        <w:rPr>
          <w:rFonts w:eastAsia="Calibri"/>
        </w:rPr>
        <w:t>sites</w:t>
      </w:r>
      <w:r w:rsidRPr="00776D0E" w:rsidR="00E612DF">
        <w:rPr>
          <w:rFonts w:eastAsia="Calibri"/>
        </w:rPr>
        <w:t xml:space="preserve"> </w:t>
      </w:r>
      <w:r w:rsidRPr="00776D0E" w:rsidR="000C6D5A">
        <w:rPr>
          <w:rFonts w:eastAsia="Calibri"/>
        </w:rPr>
        <w:t>that provide</w:t>
      </w:r>
      <w:r w:rsidR="00FA1A2E">
        <w:rPr>
          <w:rFonts w:eastAsia="Calibri"/>
        </w:rPr>
        <w:t>d</w:t>
      </w:r>
      <w:r w:rsidRPr="00776D0E" w:rsidR="000C6D5A">
        <w:rPr>
          <w:rFonts w:eastAsia="Calibri"/>
        </w:rPr>
        <w:t xml:space="preserve"> services substantively different from Pathways.</w:t>
      </w:r>
      <w:r w:rsidR="006D36DF">
        <w:rPr>
          <w:rFonts w:eastAsia="Calibri"/>
        </w:rPr>
        <w:t xml:space="preserve"> </w:t>
      </w:r>
    </w:p>
    <w:p w:rsidR="0085437D" w:rsidP="004C2B23" w:rsidRDefault="0085437D" w14:paraId="502C9460" w14:textId="77777777">
      <w:pPr>
        <w:autoSpaceDE w:val="0"/>
        <w:autoSpaceDN w:val="0"/>
        <w:adjustRightInd w:val="0"/>
        <w:spacing w:after="0" w:line="240" w:lineRule="atLeast"/>
        <w:contextualSpacing/>
      </w:pPr>
    </w:p>
    <w:p w:rsidR="0076600A" w:rsidP="00EC1F58" w:rsidRDefault="00FA1A2E" w14:paraId="3FF80C65" w14:textId="458C8066">
      <w:pPr>
        <w:pStyle w:val="Paragraph"/>
        <w:spacing w:after="0"/>
      </w:pPr>
      <w:r>
        <w:rPr>
          <w:rFonts w:eastAsia="Calibri"/>
        </w:rPr>
        <w:t xml:space="preserve">Within each </w:t>
      </w:r>
      <w:r w:rsidR="00E612DF">
        <w:rPr>
          <w:rFonts w:eastAsia="Calibri"/>
        </w:rPr>
        <w:t>site</w:t>
      </w:r>
      <w:r>
        <w:rPr>
          <w:rFonts w:eastAsia="Calibri"/>
        </w:rPr>
        <w:t xml:space="preserve">, eligible </w:t>
      </w:r>
      <w:r w:rsidR="000C6D5A">
        <w:rPr>
          <w:rFonts w:eastAsia="Calibri"/>
        </w:rPr>
        <w:t xml:space="preserve">youth </w:t>
      </w:r>
      <w:r w:rsidR="00E23EF2">
        <w:rPr>
          <w:rFonts w:eastAsia="Calibri"/>
        </w:rPr>
        <w:t xml:space="preserve">and young adults </w:t>
      </w:r>
      <w:r w:rsidR="000C6D5A">
        <w:rPr>
          <w:rFonts w:eastAsia="Calibri"/>
        </w:rPr>
        <w:t xml:space="preserve">will </w:t>
      </w:r>
      <w:proofErr w:type="gramStart"/>
      <w:r w:rsidR="000C6D5A">
        <w:rPr>
          <w:rFonts w:eastAsia="Calibri"/>
        </w:rPr>
        <w:t>be identified</w:t>
      </w:r>
      <w:proofErr w:type="gramEnd"/>
      <w:r>
        <w:rPr>
          <w:rFonts w:eastAsia="Calibri"/>
        </w:rPr>
        <w:t xml:space="preserve"> through</w:t>
      </w:r>
      <w:r w:rsidR="007C6EF7">
        <w:rPr>
          <w:rFonts w:eastAsia="Calibri"/>
        </w:rPr>
        <w:t xml:space="preserve"> </w:t>
      </w:r>
      <w:r w:rsidR="000C6D5A">
        <w:rPr>
          <w:rFonts w:eastAsia="Calibri"/>
        </w:rPr>
        <w:t>using t</w:t>
      </w:r>
      <w:r w:rsidRPr="00ED0228" w:rsidR="00DC5212">
        <w:rPr>
          <w:rFonts w:eastAsia="Calibri"/>
        </w:rPr>
        <w:t>he Pathways Screening Assessment</w:t>
      </w:r>
      <w:r w:rsidR="000C6D5A">
        <w:rPr>
          <w:rFonts w:eastAsia="Calibri"/>
        </w:rPr>
        <w:t>, which</w:t>
      </w:r>
      <w:r>
        <w:rPr>
          <w:rFonts w:eastAsia="Calibri"/>
        </w:rPr>
        <w:t xml:space="preserve"> will</w:t>
      </w:r>
      <w:r w:rsidR="007C6EF7">
        <w:rPr>
          <w:rFonts w:eastAsia="Calibri"/>
        </w:rPr>
        <w:t xml:space="preserve"> </w:t>
      </w:r>
      <w:r>
        <w:rPr>
          <w:rFonts w:eastAsia="Calibri"/>
        </w:rPr>
        <w:t>identify</w:t>
      </w:r>
      <w:r w:rsidRPr="00ED0228">
        <w:rPr>
          <w:rFonts w:eastAsia="Calibri"/>
        </w:rPr>
        <w:t xml:space="preserve"> </w:t>
      </w:r>
      <w:r w:rsidRPr="00ED0228" w:rsidR="00DC5212">
        <w:rPr>
          <w:rFonts w:eastAsia="Calibri"/>
        </w:rPr>
        <w:t>risk factors for homelessness and determine</w:t>
      </w:r>
      <w:r>
        <w:rPr>
          <w:rFonts w:eastAsia="Calibri"/>
        </w:rPr>
        <w:t xml:space="preserve"> study</w:t>
      </w:r>
      <w:r w:rsidRPr="00ED0228" w:rsidR="00DC5212">
        <w:rPr>
          <w:rFonts w:eastAsia="Calibri"/>
        </w:rPr>
        <w:t xml:space="preserve"> eligibility among youth </w:t>
      </w:r>
      <w:r w:rsidR="00EC1F58">
        <w:rPr>
          <w:rFonts w:eastAsia="Calibri"/>
        </w:rPr>
        <w:t xml:space="preserve">and young adults </w:t>
      </w:r>
      <w:r w:rsidRPr="00ED0228" w:rsidR="00DC5212">
        <w:rPr>
          <w:rFonts w:eastAsia="Calibri"/>
        </w:rPr>
        <w:t>ages 14</w:t>
      </w:r>
      <w:r w:rsidRPr="00ED0228" w:rsidR="00DC5212">
        <w:t xml:space="preserve"> to </w:t>
      </w:r>
      <w:r w:rsidRPr="00ED0228" w:rsidR="00DC5212">
        <w:rPr>
          <w:rFonts w:eastAsia="Calibri"/>
        </w:rPr>
        <w:t>2</w:t>
      </w:r>
      <w:r>
        <w:rPr>
          <w:rFonts w:eastAsia="Calibri"/>
        </w:rPr>
        <w:t>3</w:t>
      </w:r>
      <w:r w:rsidRPr="00ED0228" w:rsidR="00DC5212">
        <w:rPr>
          <w:rFonts w:eastAsia="Calibri"/>
        </w:rPr>
        <w:t xml:space="preserve"> who are currently in foster care.</w:t>
      </w:r>
      <w:r w:rsidR="0076600A">
        <w:rPr>
          <w:rFonts w:eastAsia="Calibri"/>
        </w:rPr>
        <w:t xml:space="preserve"> </w:t>
      </w:r>
      <w:r w:rsidRPr="00282314" w:rsidR="0076600A">
        <w:t xml:space="preserve">For the purposes of the impact </w:t>
      </w:r>
      <w:r w:rsidRPr="00282314" w:rsidR="0076600A">
        <w:lastRenderedPageBreak/>
        <w:t xml:space="preserve">study, we </w:t>
      </w:r>
      <w:r w:rsidR="0076600A">
        <w:t>will</w:t>
      </w:r>
      <w:r w:rsidRPr="00282314" w:rsidR="0076600A">
        <w:t xml:space="preserve"> build on this Pathways eligibility screening process </w:t>
      </w:r>
      <w:r w:rsidR="0076600A">
        <w:t>to</w:t>
      </w:r>
      <w:r w:rsidRPr="00282314" w:rsidR="0076600A">
        <w:t xml:space="preserve"> identify potential sample members in both treatment and comparison </w:t>
      </w:r>
      <w:r w:rsidR="00E612DF">
        <w:t>sites</w:t>
      </w:r>
      <w:r w:rsidRPr="00282314" w:rsidR="0076600A">
        <w:t>.</w:t>
      </w:r>
      <w:r w:rsidRPr="00941753" w:rsidR="004244DD">
        <w:rPr>
          <w:rStyle w:val="FootnoteReference"/>
        </w:rPr>
        <w:t xml:space="preserve"> </w:t>
      </w:r>
      <w:r w:rsidR="004244DD">
        <w:rPr>
          <w:rStyle w:val="FootnoteReference"/>
        </w:rPr>
        <w:footnoteReference w:id="3"/>
      </w:r>
      <w:r w:rsidRPr="00282314" w:rsidR="004244DD">
        <w:t xml:space="preserve"> </w:t>
      </w:r>
      <w:r w:rsidRPr="00282314" w:rsidR="0076600A">
        <w:t xml:space="preserve"> </w:t>
      </w:r>
    </w:p>
    <w:p w:rsidRPr="00282314" w:rsidR="00AD6B60" w:rsidP="00EC1F58" w:rsidRDefault="00AD6B60" w14:paraId="758B3DEE" w14:textId="77777777">
      <w:pPr>
        <w:pStyle w:val="Paragraph"/>
        <w:spacing w:after="0"/>
      </w:pPr>
    </w:p>
    <w:p w:rsidR="002D4FD2" w:rsidP="002D4FD2" w:rsidRDefault="002D4FD2" w14:paraId="1DDCDFD3" w14:textId="6B766548">
      <w:pPr>
        <w:autoSpaceDE w:val="0"/>
        <w:autoSpaceDN w:val="0"/>
        <w:adjustRightInd w:val="0"/>
        <w:spacing w:after="0" w:line="240" w:lineRule="atLeast"/>
        <w:contextualSpacing/>
      </w:pPr>
      <w:bookmarkStart w:name="_Hlk62642056" w:id="2"/>
      <w:r>
        <w:t>Eligible youth</w:t>
      </w:r>
      <w:r w:rsidR="004F569F">
        <w:t xml:space="preserve"> and young adults</w:t>
      </w:r>
      <w:r>
        <w:t xml:space="preserve"> </w:t>
      </w:r>
      <w:r w:rsidRPr="00282314" w:rsidR="0076600A">
        <w:t xml:space="preserve">will </w:t>
      </w:r>
      <w:proofErr w:type="gramStart"/>
      <w:r w:rsidRPr="00282314" w:rsidR="0076600A">
        <w:t xml:space="preserve">be </w:t>
      </w:r>
      <w:r w:rsidR="0076600A">
        <w:t>invited</w:t>
      </w:r>
      <w:proofErr w:type="gramEnd"/>
      <w:r w:rsidR="0076600A">
        <w:t xml:space="preserve"> to participate</w:t>
      </w:r>
      <w:r w:rsidRPr="00282314" w:rsidR="0076600A">
        <w:t xml:space="preserve"> in</w:t>
      </w:r>
      <w:r>
        <w:t xml:space="preserve"> the</w:t>
      </w:r>
      <w:r w:rsidRPr="00282314" w:rsidR="0076600A">
        <w:t xml:space="preserve"> </w:t>
      </w:r>
      <w:r>
        <w:t>SYSIL study</w:t>
      </w:r>
      <w:r w:rsidRPr="00282314" w:rsidR="0076600A">
        <w:t xml:space="preserve">. </w:t>
      </w:r>
      <w:bookmarkEnd w:id="2"/>
      <w:r w:rsidRPr="00282314" w:rsidR="0076600A">
        <w:t>Their assigned Chafee worker</w:t>
      </w:r>
      <w:r>
        <w:rPr>
          <w:rStyle w:val="FootnoteReference"/>
        </w:rPr>
        <w:footnoteReference w:id="4"/>
      </w:r>
      <w:r w:rsidRPr="00282314">
        <w:t xml:space="preserve"> </w:t>
      </w:r>
      <w:r w:rsidRPr="00282314" w:rsidR="0076600A">
        <w:t xml:space="preserve">will describe the study opportunity and the benefits of participation and </w:t>
      </w:r>
      <w:r w:rsidR="0076600A">
        <w:t>assure</w:t>
      </w:r>
      <w:r w:rsidRPr="00282314" w:rsidR="0076600A">
        <w:t xml:space="preserve"> the youth </w:t>
      </w:r>
      <w:r w:rsidR="0076600A">
        <w:t xml:space="preserve">that </w:t>
      </w:r>
      <w:r w:rsidRPr="00282314" w:rsidR="0076600A">
        <w:t xml:space="preserve">they will receive services even if they choose </w:t>
      </w:r>
      <w:r w:rsidR="0076600A">
        <w:t xml:space="preserve">not </w:t>
      </w:r>
      <w:r w:rsidRPr="00282314" w:rsidR="0076600A">
        <w:t>to participate in the study.</w:t>
      </w:r>
      <w:r w:rsidR="00B22854">
        <w:t xml:space="preserve"> </w:t>
      </w:r>
      <w:r>
        <w:t>For the youth who express interest in participating, the Chafee worker will obtain consent and/or assent to enroll them in the study</w:t>
      </w:r>
      <w:r w:rsidR="00857EA1">
        <w:t xml:space="preserve"> (Appendix A)</w:t>
      </w:r>
      <w:r>
        <w:t>.</w:t>
      </w:r>
    </w:p>
    <w:p w:rsidR="00DC5212" w:rsidP="0076600A" w:rsidRDefault="00DC5212" w14:paraId="2FF837F5" w14:textId="3D837473">
      <w:pPr>
        <w:autoSpaceDE w:val="0"/>
        <w:autoSpaceDN w:val="0"/>
        <w:adjustRightInd w:val="0"/>
        <w:spacing w:after="0" w:line="240" w:lineRule="atLeast"/>
        <w:contextualSpacing/>
      </w:pPr>
    </w:p>
    <w:p w:rsidR="00F10829" w:rsidP="00EC1F58" w:rsidRDefault="00B1062F" w14:paraId="15D5F0A7" w14:textId="36E546AF">
      <w:pPr>
        <w:pStyle w:val="Paragraph"/>
        <w:spacing w:after="0"/>
        <w:rPr>
          <w:rFonts w:cstheme="minorHAnsi"/>
          <w:szCs w:val="24"/>
        </w:rPr>
      </w:pPr>
      <w:r>
        <w:rPr>
          <w:rFonts w:cstheme="minorHAnsi"/>
          <w:szCs w:val="24"/>
        </w:rPr>
        <w:t>For the implementation study, w</w:t>
      </w:r>
      <w:r w:rsidRPr="002A67F6" w:rsidR="002A67F6">
        <w:rPr>
          <w:rFonts w:cstheme="minorHAnsi"/>
          <w:szCs w:val="24"/>
        </w:rPr>
        <w:t xml:space="preserve">e will select </w:t>
      </w:r>
      <w:r w:rsidRPr="002A67F6" w:rsidR="002A67F6">
        <w:rPr>
          <w:rFonts w:cstheme="minorHAnsi"/>
        </w:rPr>
        <w:t xml:space="preserve">6 of the 21 Pathways sites and 6 of the 16 comparison sites for </w:t>
      </w:r>
      <w:r w:rsidRPr="002A67F6" w:rsidR="002A67F6">
        <w:rPr>
          <w:rFonts w:cstheme="minorHAnsi"/>
          <w:szCs w:val="24"/>
        </w:rPr>
        <w:t>the site</w:t>
      </w:r>
      <w:r>
        <w:rPr>
          <w:rFonts w:cstheme="minorHAnsi"/>
          <w:szCs w:val="24"/>
        </w:rPr>
        <w:t xml:space="preserve"> visits. </w:t>
      </w:r>
      <w:r w:rsidRPr="002A67F6" w:rsidR="002A67F6">
        <w:rPr>
          <w:rFonts w:cstheme="minorHAnsi"/>
          <w:szCs w:val="24"/>
        </w:rPr>
        <w:t xml:space="preserve">We will purposefully select sites that vary on a range of characteristics, including poverty, urbanicity, population without health insurance, proportion of homeless students, and proportion of youth and young adults </w:t>
      </w:r>
      <w:r>
        <w:rPr>
          <w:rFonts w:cstheme="minorHAnsi"/>
          <w:szCs w:val="24"/>
        </w:rPr>
        <w:t xml:space="preserve">who </w:t>
      </w:r>
      <w:r w:rsidRPr="002A67F6">
        <w:rPr>
          <w:rFonts w:cstheme="minorHAnsi"/>
          <w:szCs w:val="24"/>
        </w:rPr>
        <w:t>receiv</w:t>
      </w:r>
      <w:r>
        <w:rPr>
          <w:rFonts w:cstheme="minorHAnsi"/>
          <w:szCs w:val="24"/>
        </w:rPr>
        <w:t>e</w:t>
      </w:r>
      <w:r w:rsidRPr="002A67F6">
        <w:rPr>
          <w:rFonts w:cstheme="minorHAnsi"/>
          <w:szCs w:val="24"/>
        </w:rPr>
        <w:t xml:space="preserve"> </w:t>
      </w:r>
      <w:r w:rsidRPr="002A67F6" w:rsidR="002A67F6">
        <w:rPr>
          <w:rFonts w:cstheme="minorHAnsi"/>
          <w:szCs w:val="24"/>
        </w:rPr>
        <w:t>Chafee services.</w:t>
      </w:r>
    </w:p>
    <w:p w:rsidR="006902C9" w:rsidP="00EC1F58" w:rsidRDefault="006902C9" w14:paraId="14D5841D" w14:textId="77777777">
      <w:pPr>
        <w:pStyle w:val="Paragraph"/>
        <w:spacing w:after="0"/>
        <w:rPr>
          <w:rFonts w:cstheme="minorHAnsi"/>
          <w:szCs w:val="24"/>
        </w:rPr>
      </w:pPr>
    </w:p>
    <w:p w:rsidR="00C73C7C" w:rsidP="00EC1F58" w:rsidRDefault="005F689F" w14:paraId="4C55C7C5" w14:textId="5DE57390">
      <w:pPr>
        <w:pStyle w:val="Paragraph"/>
        <w:spacing w:after="0"/>
        <w:rPr>
          <w:rFonts w:cstheme="minorHAnsi"/>
          <w:szCs w:val="24"/>
        </w:rPr>
      </w:pPr>
      <w:r>
        <w:rPr>
          <w:rFonts w:cstheme="minorHAnsi"/>
          <w:szCs w:val="24"/>
        </w:rPr>
        <w:t xml:space="preserve">Prior to conducting the site visits, we will establish a point of contact at each of the sites. We will work with the point of contact to learn about the site structure and select participants for the staff interviews. Potential participants include program leadership, supervisors, and Chafee workers who deliver services to youth. We will also work with the point of contact at each site to discuss the most effective approach for recruiting focus group participants. Through these discussions, we will emphasize the importance of recruiting participants with both high and low participation rates in the Pathways and comparison services. </w:t>
      </w:r>
      <w:r w:rsidR="00CA2500">
        <w:t>We plan to recruit enough youth and young adults for each focus group to provide a range of perspectives on their experiences with</w:t>
      </w:r>
      <w:r w:rsidR="00FA1A2E">
        <w:t xml:space="preserve"> the</w:t>
      </w:r>
      <w:r w:rsidR="00192AAD">
        <w:t xml:space="preserve"> </w:t>
      </w:r>
      <w:r w:rsidR="00CA2500">
        <w:t>Pathways and comparison services.</w:t>
      </w:r>
    </w:p>
    <w:p w:rsidR="009C0A9A" w:rsidP="00EC1F58" w:rsidRDefault="009C0A9A" w14:paraId="5A0FA805" w14:textId="174094C5">
      <w:pPr>
        <w:pStyle w:val="Paragraph"/>
        <w:spacing w:after="0"/>
        <w:rPr>
          <w:rFonts w:cstheme="minorHAnsi"/>
          <w:szCs w:val="24"/>
        </w:rPr>
      </w:pPr>
    </w:p>
    <w:p w:rsidRPr="001A59B6" w:rsidR="0087068F" w:rsidP="006902C9" w:rsidRDefault="0087068F" w14:paraId="293BAC89" w14:textId="77777777">
      <w:pPr>
        <w:pStyle w:val="ListParagraph"/>
        <w:spacing w:after="0" w:line="240" w:lineRule="auto"/>
        <w:ind w:left="0"/>
        <w:rPr>
          <w:rFonts w:cstheme="minorHAnsi"/>
        </w:rPr>
      </w:pPr>
    </w:p>
    <w:p w:rsidRPr="001A59B6" w:rsidR="00A42C71" w:rsidP="00A42C71" w:rsidRDefault="00A42C71" w14:paraId="39D4A6AF" w14:textId="77777777">
      <w:pPr>
        <w:autoSpaceDE w:val="0"/>
        <w:autoSpaceDN w:val="0"/>
        <w:adjustRightInd w:val="0"/>
        <w:spacing w:after="120" w:line="240" w:lineRule="atLeast"/>
        <w:rPr>
          <w:rFonts w:eastAsia="Times New Roman" w:cstheme="minorHAnsi"/>
          <w:bCs/>
          <w:color w:val="000000"/>
        </w:rPr>
      </w:pPr>
      <w:bookmarkStart w:name="_Hlk62222369" w:id="3"/>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Pr="001A59B6" w:rsidR="00A42C71" w:rsidP="00A42C71" w:rsidRDefault="00A42C71" w14:paraId="2E0B6BE8" w14:textId="57A0EC1F">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Pr="00AB57D0" w:rsidR="00AB57D0" w:rsidP="00764BA3" w:rsidRDefault="009431F3" w14:paraId="1D4F717B" w14:textId="554EF1F7">
      <w:pPr>
        <w:spacing w:after="0" w:line="240" w:lineRule="auto"/>
        <w:contextualSpacing/>
        <w:rPr>
          <w:rFonts w:ascii="Calibri" w:hAnsi="Calibri" w:eastAsia="Calibri" w:cs="Times New Roman"/>
        </w:rPr>
      </w:pPr>
      <w:r>
        <w:rPr>
          <w:rFonts w:ascii="Calibri" w:hAnsi="Calibri" w:eastAsia="Calibri" w:cs="Times New Roman"/>
        </w:rPr>
        <w:t xml:space="preserve">Development of the youth survey began with a focus on </w:t>
      </w:r>
      <w:r w:rsidRPr="00AB57D0" w:rsidDel="005A428D" w:rsidR="00AB57D0">
        <w:rPr>
          <w:rFonts w:ascii="Calibri" w:hAnsi="Calibri" w:eastAsia="Calibri" w:cs="Times New Roman"/>
        </w:rPr>
        <w:t xml:space="preserve">the </w:t>
      </w:r>
      <w:r>
        <w:rPr>
          <w:rFonts w:ascii="Calibri" w:hAnsi="Calibri" w:eastAsia="Calibri" w:cs="Times New Roman"/>
        </w:rPr>
        <w:t xml:space="preserve">four main </w:t>
      </w:r>
      <w:r w:rsidRPr="00AB57D0" w:rsidDel="005A428D" w:rsidR="00AB57D0">
        <w:rPr>
          <w:rFonts w:ascii="Calibri" w:hAnsi="Calibri" w:eastAsia="Calibri" w:cs="Times New Roman"/>
        </w:rPr>
        <w:t xml:space="preserve">outcome domains: </w:t>
      </w:r>
      <w:r w:rsidR="00FA1A2E">
        <w:rPr>
          <w:rFonts w:ascii="Calibri" w:hAnsi="Calibri" w:eastAsia="Calibri" w:cs="Times New Roman"/>
        </w:rPr>
        <w:t xml:space="preserve">(1) </w:t>
      </w:r>
      <w:r w:rsidRPr="00AB57D0" w:rsidDel="005A428D" w:rsidR="00AB57D0">
        <w:rPr>
          <w:rFonts w:ascii="Calibri" w:hAnsi="Calibri" w:eastAsia="Calibri" w:cs="Times New Roman"/>
        </w:rPr>
        <w:t xml:space="preserve">housing, </w:t>
      </w:r>
      <w:r w:rsidR="00FA1A2E">
        <w:rPr>
          <w:rFonts w:ascii="Calibri" w:hAnsi="Calibri" w:eastAsia="Calibri" w:cs="Times New Roman"/>
        </w:rPr>
        <w:t xml:space="preserve">(2) </w:t>
      </w:r>
      <w:r w:rsidRPr="00AB57D0" w:rsidDel="005A428D" w:rsidR="00AB57D0">
        <w:rPr>
          <w:rFonts w:ascii="Calibri" w:hAnsi="Calibri" w:eastAsia="Calibri" w:cs="Times New Roman"/>
        </w:rPr>
        <w:t xml:space="preserve">permanent connections, </w:t>
      </w:r>
      <w:r w:rsidR="00FA1A2E">
        <w:rPr>
          <w:rFonts w:ascii="Calibri" w:hAnsi="Calibri" w:eastAsia="Calibri" w:cs="Times New Roman"/>
        </w:rPr>
        <w:t xml:space="preserve">(3) </w:t>
      </w:r>
      <w:r w:rsidRPr="00AB57D0" w:rsidDel="005A428D" w:rsidR="00AB57D0">
        <w:rPr>
          <w:rFonts w:ascii="Calibri" w:hAnsi="Calibri" w:eastAsia="Calibri" w:cs="Times New Roman"/>
        </w:rPr>
        <w:t xml:space="preserve">education and employment, and </w:t>
      </w:r>
      <w:r>
        <w:rPr>
          <w:rFonts w:ascii="Calibri" w:hAnsi="Calibri" w:eastAsia="Calibri" w:cs="Times New Roman"/>
        </w:rPr>
        <w:t xml:space="preserve">(4) </w:t>
      </w:r>
      <w:r w:rsidRPr="00AB57D0" w:rsidDel="005A428D" w:rsidR="00AB57D0">
        <w:rPr>
          <w:rFonts w:ascii="Calibri" w:hAnsi="Calibri" w:eastAsia="Calibri" w:cs="Times New Roman"/>
        </w:rPr>
        <w:t xml:space="preserve">social-emotional well-being. </w:t>
      </w:r>
      <w:r w:rsidR="00094113">
        <w:rPr>
          <w:rFonts w:ascii="Calibri" w:hAnsi="Calibri" w:eastAsia="Calibri" w:cs="Times New Roman"/>
        </w:rPr>
        <w:t xml:space="preserve">We </w:t>
      </w:r>
      <w:r>
        <w:rPr>
          <w:rFonts w:ascii="Calibri" w:hAnsi="Calibri" w:eastAsia="Calibri" w:cs="Times New Roman"/>
        </w:rPr>
        <w:t xml:space="preserve">worked with </w:t>
      </w:r>
      <w:r w:rsidRPr="00AB57D0" w:rsidR="00AB57D0">
        <w:rPr>
          <w:rFonts w:ascii="Calibri" w:hAnsi="Calibri" w:eastAsia="Calibri" w:cs="Times New Roman"/>
        </w:rPr>
        <w:t>a group of stakeholders</w:t>
      </w:r>
      <w:r>
        <w:rPr>
          <w:rFonts w:ascii="Calibri" w:hAnsi="Calibri" w:eastAsia="Calibri" w:cs="Times New Roman"/>
        </w:rPr>
        <w:t>, including some</w:t>
      </w:r>
      <w:r w:rsidR="005A428D">
        <w:rPr>
          <w:rFonts w:ascii="Calibri" w:hAnsi="Calibri" w:eastAsia="Calibri" w:cs="Times New Roman"/>
        </w:rPr>
        <w:t xml:space="preserve"> </w:t>
      </w:r>
      <w:r w:rsidRPr="0012102B" w:rsidR="00BF2E7E">
        <w:rPr>
          <w:rFonts w:ascii="Calibri" w:hAnsi="Calibri" w:eastAsia="Calibri" w:cs="Times New Roman"/>
        </w:rPr>
        <w:t>YARH</w:t>
      </w:r>
      <w:r w:rsidRPr="00AB57D0" w:rsidR="00BF2E7E">
        <w:rPr>
          <w:rFonts w:ascii="Calibri" w:hAnsi="Calibri" w:eastAsia="Calibri" w:cs="Times New Roman"/>
        </w:rPr>
        <w:t>-</w:t>
      </w:r>
      <w:r w:rsidRPr="00AB57D0" w:rsidR="00AB57D0">
        <w:rPr>
          <w:rFonts w:ascii="Calibri" w:hAnsi="Calibri" w:eastAsia="Calibri" w:cs="Times New Roman"/>
        </w:rPr>
        <w:t>2 grantees</w:t>
      </w:r>
      <w:r w:rsidR="005A428D">
        <w:rPr>
          <w:rFonts w:ascii="Calibri" w:hAnsi="Calibri" w:eastAsia="Calibri" w:cs="Times New Roman"/>
        </w:rPr>
        <w:t xml:space="preserve">, </w:t>
      </w:r>
      <w:r w:rsidRPr="00AB57D0" w:rsidR="00AB57D0">
        <w:rPr>
          <w:rFonts w:ascii="Calibri" w:hAnsi="Calibri" w:eastAsia="Calibri" w:cs="Times New Roman"/>
        </w:rPr>
        <w:t xml:space="preserve">to identify </w:t>
      </w:r>
      <w:r>
        <w:rPr>
          <w:rFonts w:ascii="Calibri" w:hAnsi="Calibri" w:eastAsia="Calibri" w:cs="Times New Roman"/>
        </w:rPr>
        <w:t>six</w:t>
      </w:r>
      <w:r w:rsidRPr="00AB57D0">
        <w:rPr>
          <w:rFonts w:ascii="Calibri" w:hAnsi="Calibri" w:eastAsia="Calibri" w:cs="Times New Roman"/>
        </w:rPr>
        <w:t xml:space="preserve"> </w:t>
      </w:r>
      <w:r w:rsidRPr="00AB57D0" w:rsidR="00AB57D0">
        <w:rPr>
          <w:rFonts w:ascii="Calibri" w:hAnsi="Calibri" w:eastAsia="Calibri" w:cs="Times New Roman"/>
        </w:rPr>
        <w:t xml:space="preserve">additional outcome domains that emerged as potentially important and relevant to policy at the start of the </w:t>
      </w:r>
      <w:r>
        <w:rPr>
          <w:rFonts w:ascii="Calibri" w:hAnsi="Calibri" w:eastAsia="Calibri" w:cs="Times New Roman"/>
        </w:rPr>
        <w:t xml:space="preserve">SYSIL </w:t>
      </w:r>
      <w:r w:rsidRPr="00AB57D0" w:rsidR="00AB57D0">
        <w:rPr>
          <w:rFonts w:ascii="Calibri" w:hAnsi="Calibri" w:eastAsia="Calibri" w:cs="Times New Roman"/>
        </w:rPr>
        <w:t>contract</w:t>
      </w:r>
      <w:r>
        <w:rPr>
          <w:rFonts w:ascii="Calibri" w:hAnsi="Calibri" w:eastAsia="Calibri" w:cs="Times New Roman"/>
        </w:rPr>
        <w:t xml:space="preserve">: (1) </w:t>
      </w:r>
      <w:r w:rsidRPr="000919FB">
        <w:rPr>
          <w:rFonts w:ascii="Calibri" w:hAnsi="Calibri" w:eastAsia="Calibri" w:cs="Times New Roman"/>
        </w:rPr>
        <w:t xml:space="preserve">connections </w:t>
      </w:r>
      <w:r>
        <w:rPr>
          <w:rFonts w:ascii="Calibri" w:hAnsi="Calibri" w:eastAsia="Calibri" w:cs="Times New Roman"/>
        </w:rPr>
        <w:t>between</w:t>
      </w:r>
      <w:r w:rsidRPr="000919FB">
        <w:rPr>
          <w:rFonts w:ascii="Calibri" w:hAnsi="Calibri" w:eastAsia="Calibri" w:cs="Times New Roman"/>
        </w:rPr>
        <w:t xml:space="preserve"> youth</w:t>
      </w:r>
      <w:r>
        <w:rPr>
          <w:rFonts w:ascii="Calibri" w:hAnsi="Calibri" w:eastAsia="Calibri" w:cs="Times New Roman"/>
        </w:rPr>
        <w:t xml:space="preserve"> and their </w:t>
      </w:r>
      <w:r w:rsidRPr="000919FB">
        <w:rPr>
          <w:rFonts w:ascii="Calibri" w:hAnsi="Calibri" w:eastAsia="Calibri" w:cs="Times New Roman"/>
        </w:rPr>
        <w:t>peers</w:t>
      </w:r>
      <w:r w:rsidRPr="00D3162A">
        <w:rPr>
          <w:rFonts w:ascii="Calibri" w:hAnsi="Calibri" w:eastAsia="Calibri" w:cs="Times New Roman"/>
        </w:rPr>
        <w:t>,</w:t>
      </w:r>
      <w:r w:rsidRPr="00AB57D0" w:rsidR="00D67A3F">
        <w:rPr>
          <w:rFonts w:ascii="Calibri" w:hAnsi="Calibri" w:eastAsia="Calibri" w:cs="Times New Roman"/>
        </w:rPr>
        <w:t xml:space="preserve"> </w:t>
      </w:r>
      <w:r w:rsidR="00426CAA">
        <w:rPr>
          <w:rFonts w:ascii="Calibri" w:hAnsi="Calibri" w:eastAsia="Calibri" w:cs="Times New Roman"/>
        </w:rPr>
        <w:t xml:space="preserve">(2) </w:t>
      </w:r>
      <w:r w:rsidR="00D67A3F">
        <w:rPr>
          <w:rFonts w:ascii="Calibri" w:hAnsi="Calibri" w:eastAsia="Calibri" w:cs="Times New Roman"/>
        </w:rPr>
        <w:t>i</w:t>
      </w:r>
      <w:r w:rsidRPr="00AB57D0" w:rsidR="00D67A3F">
        <w:rPr>
          <w:rFonts w:ascii="Calibri" w:hAnsi="Calibri" w:eastAsia="Calibri" w:cs="Times New Roman"/>
        </w:rPr>
        <w:t xml:space="preserve">nvolvement with criminal justice system or juvenile justice system, </w:t>
      </w:r>
      <w:r w:rsidR="00426CAA">
        <w:rPr>
          <w:rFonts w:ascii="Calibri" w:hAnsi="Calibri" w:eastAsia="Calibri" w:cs="Times New Roman"/>
        </w:rPr>
        <w:t xml:space="preserve">(3) </w:t>
      </w:r>
      <w:r w:rsidR="00D67A3F">
        <w:rPr>
          <w:rFonts w:ascii="Calibri" w:hAnsi="Calibri" w:eastAsia="Calibri" w:cs="Times New Roman"/>
        </w:rPr>
        <w:t>acc</w:t>
      </w:r>
      <w:r w:rsidRPr="00AB57D0" w:rsidR="00D67A3F">
        <w:rPr>
          <w:rFonts w:ascii="Calibri" w:hAnsi="Calibri" w:eastAsia="Calibri" w:cs="Times New Roman"/>
        </w:rPr>
        <w:t>ess to available system resources,</w:t>
      </w:r>
      <w:r w:rsidR="00426CAA">
        <w:rPr>
          <w:rFonts w:ascii="Calibri" w:hAnsi="Calibri" w:eastAsia="Calibri" w:cs="Times New Roman"/>
        </w:rPr>
        <w:t xml:space="preserve"> (4) </w:t>
      </w:r>
      <w:r w:rsidR="00D67A3F">
        <w:rPr>
          <w:rFonts w:ascii="Calibri" w:hAnsi="Calibri" w:eastAsia="Calibri" w:cs="Times New Roman"/>
        </w:rPr>
        <w:t>c</w:t>
      </w:r>
      <w:r w:rsidRPr="00AB57D0" w:rsidR="00D67A3F">
        <w:rPr>
          <w:rFonts w:ascii="Calibri" w:hAnsi="Calibri" w:eastAsia="Calibri" w:cs="Times New Roman"/>
        </w:rPr>
        <w:t>hild welfare history and status,</w:t>
      </w:r>
      <w:r w:rsidRPr="00426CAA" w:rsidR="00426CAA">
        <w:rPr>
          <w:rFonts w:ascii="Calibri" w:hAnsi="Calibri" w:eastAsia="Calibri" w:cs="Times New Roman"/>
        </w:rPr>
        <w:t xml:space="preserve"> </w:t>
      </w:r>
      <w:r w:rsidR="00426CAA">
        <w:rPr>
          <w:rFonts w:ascii="Calibri" w:hAnsi="Calibri" w:eastAsia="Calibri" w:cs="Times New Roman"/>
        </w:rPr>
        <w:t>(5</w:t>
      </w:r>
      <w:r w:rsidR="00BF2E7E">
        <w:rPr>
          <w:rFonts w:ascii="Calibri" w:hAnsi="Calibri" w:eastAsia="Calibri" w:cs="Times New Roman"/>
        </w:rPr>
        <w:t xml:space="preserve">) </w:t>
      </w:r>
      <w:r w:rsidR="00D67A3F">
        <w:rPr>
          <w:rFonts w:ascii="Calibri" w:hAnsi="Calibri" w:eastAsia="Calibri" w:cs="Times New Roman"/>
        </w:rPr>
        <w:t>r</w:t>
      </w:r>
      <w:r w:rsidRPr="00AB57D0" w:rsidR="00D67A3F">
        <w:rPr>
          <w:rFonts w:ascii="Calibri" w:hAnsi="Calibri" w:eastAsia="Calibri" w:cs="Times New Roman"/>
        </w:rPr>
        <w:t>eadiness for</w:t>
      </w:r>
      <w:r w:rsidR="00D67A3F">
        <w:rPr>
          <w:rFonts w:ascii="Calibri" w:hAnsi="Calibri" w:eastAsia="Calibri" w:cs="Times New Roman"/>
        </w:rPr>
        <w:t xml:space="preserve"> independence, and</w:t>
      </w:r>
      <w:r w:rsidR="00426CAA">
        <w:rPr>
          <w:rFonts w:ascii="Calibri" w:hAnsi="Calibri" w:eastAsia="Calibri" w:cs="Times New Roman"/>
        </w:rPr>
        <w:t xml:space="preserve"> (6) </w:t>
      </w:r>
      <w:r w:rsidR="00D67A3F">
        <w:rPr>
          <w:rFonts w:ascii="Calibri" w:hAnsi="Calibri" w:eastAsia="Calibri" w:cs="Times New Roman"/>
        </w:rPr>
        <w:t>p</w:t>
      </w:r>
      <w:r w:rsidRPr="00AB57D0" w:rsidR="00D67A3F">
        <w:rPr>
          <w:rFonts w:ascii="Calibri" w:hAnsi="Calibri" w:eastAsia="Calibri" w:cs="Times New Roman"/>
        </w:rPr>
        <w:t>arenthood</w:t>
      </w:r>
      <w:r w:rsidRPr="00AB57D0" w:rsidR="00AB57D0">
        <w:rPr>
          <w:rFonts w:ascii="Calibri" w:hAnsi="Calibri" w:eastAsia="Calibri" w:cs="Times New Roman"/>
        </w:rPr>
        <w:t xml:space="preserve">. </w:t>
      </w:r>
      <w:r w:rsidR="003C6CF2">
        <w:rPr>
          <w:rFonts w:ascii="Calibri" w:hAnsi="Calibri" w:eastAsia="Calibri" w:cs="Times New Roman"/>
        </w:rPr>
        <w:t xml:space="preserve">We then explored various measures to </w:t>
      </w:r>
      <w:r w:rsidRPr="00AB57D0" w:rsidR="00AB57D0">
        <w:rPr>
          <w:rFonts w:ascii="Calibri" w:hAnsi="Calibri" w:eastAsia="Calibri" w:cs="Times New Roman"/>
        </w:rPr>
        <w:t>operationalize these constructs and domains for the impact study</w:t>
      </w:r>
      <w:r w:rsidR="00426CAA">
        <w:rPr>
          <w:rFonts w:ascii="Calibri" w:hAnsi="Calibri" w:eastAsia="Calibri" w:cs="Times New Roman"/>
        </w:rPr>
        <w:t>, which resulted in a draft youth survey</w:t>
      </w:r>
      <w:r w:rsidRPr="00AB57D0" w:rsidR="00426CAA">
        <w:rPr>
          <w:rFonts w:ascii="Calibri" w:hAnsi="Calibri" w:eastAsia="Calibri" w:cs="Times New Roman"/>
        </w:rPr>
        <w:t>.</w:t>
      </w:r>
      <w:r w:rsidR="00426CAA">
        <w:rPr>
          <w:rFonts w:ascii="Calibri" w:hAnsi="Calibri" w:eastAsia="Calibri" w:cs="Times New Roman"/>
        </w:rPr>
        <w:t xml:space="preserve"> Appendix C presents a list of the sources referenced in development of the youth survey. </w:t>
      </w:r>
      <w:r w:rsidR="00E9553E">
        <w:rPr>
          <w:rFonts w:ascii="Calibri" w:hAnsi="Calibri" w:eastAsia="Calibri" w:cs="Times New Roman"/>
        </w:rPr>
        <w:t xml:space="preserve"> </w:t>
      </w:r>
    </w:p>
    <w:p w:rsidR="00904341" w:rsidP="00AC28BB" w:rsidRDefault="00904341" w14:paraId="6FB4A8C3" w14:textId="77777777">
      <w:pPr>
        <w:pStyle w:val="ListParagraph"/>
        <w:spacing w:after="0" w:line="240" w:lineRule="auto"/>
        <w:ind w:left="0"/>
      </w:pPr>
    </w:p>
    <w:p w:rsidR="008B083A" w:rsidP="008B083A" w:rsidRDefault="00094113" w14:paraId="4DCAA3D4" w14:textId="1B4AE692">
      <w:pPr>
        <w:pStyle w:val="ListParagraph"/>
        <w:spacing w:after="0" w:line="240" w:lineRule="auto"/>
        <w:ind w:left="0"/>
      </w:pPr>
      <w:r>
        <w:t>We</w:t>
      </w:r>
      <w:r w:rsidR="008B083A">
        <w:t xml:space="preserve"> consulted with stakeholders on the draft survey before conducting a pre-test with six youth</w:t>
      </w:r>
      <w:r w:rsidR="00D6398D">
        <w:t xml:space="preserve"> and </w:t>
      </w:r>
      <w:r w:rsidR="00FA529B">
        <w:t>young adults</w:t>
      </w:r>
      <w:r w:rsidR="008B083A">
        <w:t xml:space="preserve"> who had experience in the child welfare system. Pre-test participants included both males </w:t>
      </w:r>
      <w:r w:rsidR="008B083A">
        <w:lastRenderedPageBreak/>
        <w:t xml:space="preserve">and females; they ranged in age from 15 to 21 years old. The youth </w:t>
      </w:r>
      <w:r w:rsidR="00D018CD">
        <w:t xml:space="preserve">and young adults </w:t>
      </w:r>
      <w:r w:rsidR="008B083A">
        <w:t xml:space="preserve">completed hard copy surveys on their own and then participated in a virtual debriefing session with Mathematica staff. We used the pre-test to </w:t>
      </w:r>
      <w:r w:rsidRPr="000D126C" w:rsidR="008B083A">
        <w:t xml:space="preserve">ensure that questions </w:t>
      </w:r>
      <w:r w:rsidR="008B083A">
        <w:t xml:space="preserve">were </w:t>
      </w:r>
      <w:r w:rsidRPr="000D126C" w:rsidR="008B083A">
        <w:t>understandable</w:t>
      </w:r>
      <w:r w:rsidR="008B083A">
        <w:t xml:space="preserve"> and that</w:t>
      </w:r>
      <w:r w:rsidRPr="000D126C" w:rsidR="008B083A">
        <w:t xml:space="preserve"> </w:t>
      </w:r>
      <w:r w:rsidR="008B083A">
        <w:t xml:space="preserve">the </w:t>
      </w:r>
      <w:r w:rsidRPr="000D126C" w:rsidR="008B083A">
        <w:t xml:space="preserve">language </w:t>
      </w:r>
      <w:r w:rsidR="008B083A">
        <w:t xml:space="preserve">and terms used were </w:t>
      </w:r>
      <w:r w:rsidRPr="000D126C" w:rsidR="008B083A">
        <w:t xml:space="preserve">familiar to respondents, </w:t>
      </w:r>
      <w:r w:rsidR="008B083A">
        <w:t xml:space="preserve">as well as </w:t>
      </w:r>
      <w:r w:rsidRPr="000D126C" w:rsidR="008B083A">
        <w:t xml:space="preserve">to identify typical instrumentation problems such as </w:t>
      </w:r>
      <w:r w:rsidR="008B083A">
        <w:t xml:space="preserve">unclear </w:t>
      </w:r>
      <w:r w:rsidRPr="000D126C" w:rsidR="008B083A">
        <w:t>question wording and incomplete or inappropriate response categories</w:t>
      </w:r>
      <w:r w:rsidR="008B083A">
        <w:t xml:space="preserve">. We also used the pre-test to help measure </w:t>
      </w:r>
      <w:r w:rsidRPr="000D126C" w:rsidR="008B083A">
        <w:t>the response burden</w:t>
      </w:r>
      <w:r w:rsidR="008B083A">
        <w:t xml:space="preserve">. </w:t>
      </w:r>
      <w:r w:rsidR="00D21A5D">
        <w:t>We</w:t>
      </w:r>
      <w:r w:rsidR="00C778A8">
        <w:t xml:space="preserve"> </w:t>
      </w:r>
      <w:proofErr w:type="gramStart"/>
      <w:r w:rsidR="002037F1">
        <w:t>made revisions to</w:t>
      </w:r>
      <w:proofErr w:type="gramEnd"/>
      <w:r w:rsidR="002037F1">
        <w:t xml:space="preserve"> the survey based on pretest participant feedback. </w:t>
      </w:r>
      <w:r w:rsidR="008B083A">
        <w:t xml:space="preserve">The survey will </w:t>
      </w:r>
      <w:proofErr w:type="gramStart"/>
      <w:r w:rsidR="008B083A">
        <w:t>be programmed</w:t>
      </w:r>
      <w:proofErr w:type="gramEnd"/>
      <w:r w:rsidR="008B083A">
        <w:t xml:space="preserve"> into Confirmit, a web-based software application. Mathematica staff will thoroughly test the web survey prior to fielding it with youth. </w:t>
      </w:r>
    </w:p>
    <w:p w:rsidR="008B083A" w:rsidP="008B083A" w:rsidRDefault="008B083A" w14:paraId="71FBD5A1" w14:textId="77777777">
      <w:pPr>
        <w:pStyle w:val="ListParagraph"/>
        <w:spacing w:after="0" w:line="240" w:lineRule="auto"/>
        <w:ind w:left="0"/>
      </w:pPr>
    </w:p>
    <w:p w:rsidR="008B083A" w:rsidP="00857EA1" w:rsidRDefault="008B083A" w14:paraId="653F649E" w14:textId="77777777">
      <w:pPr>
        <w:pStyle w:val="ParagraphContinued"/>
        <w:spacing w:before="0" w:after="0"/>
      </w:pPr>
      <w:r>
        <w:t xml:space="preserve">To develop the interview and focus group discussion guides, Mathematica reviewed publicly available documents about the Pathways program to identify key topics of interest and tailor the guides accordingly. </w:t>
      </w:r>
    </w:p>
    <w:p w:rsidR="008B083A" w:rsidP="008B083A" w:rsidRDefault="008B083A" w14:paraId="4C03E73A" w14:textId="77777777">
      <w:pPr>
        <w:pStyle w:val="ListParagraph"/>
        <w:spacing w:after="0" w:line="240" w:lineRule="auto"/>
        <w:ind w:left="0"/>
      </w:pPr>
    </w:p>
    <w:p w:rsidRPr="004D2E92" w:rsidR="00CF06C6" w:rsidP="004D2E92" w:rsidRDefault="008B083A" w14:paraId="3F381856" w14:textId="48F28D8E">
      <w:pPr>
        <w:spacing w:after="120"/>
        <w:rPr>
          <w:rFonts w:cstheme="minorHAnsi"/>
          <w:b/>
        </w:rPr>
      </w:pPr>
      <w:r w:rsidRPr="005F3DD9">
        <w:rPr>
          <w:rFonts w:cstheme="minorHAnsi"/>
        </w:rPr>
        <w:t xml:space="preserve">Table </w:t>
      </w:r>
      <w:r>
        <w:rPr>
          <w:rFonts w:cstheme="minorHAnsi"/>
        </w:rPr>
        <w:t>B.1</w:t>
      </w:r>
      <w:r w:rsidRPr="005F3DD9">
        <w:rPr>
          <w:rFonts w:cstheme="minorHAnsi"/>
        </w:rPr>
        <w:t xml:space="preserve"> presents a crosswalk between the data collection instruments and </w:t>
      </w:r>
      <w:r>
        <w:rPr>
          <w:rFonts w:cstheme="minorHAnsi"/>
        </w:rPr>
        <w:t xml:space="preserve">the </w:t>
      </w:r>
      <w:r w:rsidRPr="005F3DD9">
        <w:rPr>
          <w:rFonts w:cstheme="minorHAnsi"/>
        </w:rPr>
        <w:t>study’s objectives.</w:t>
      </w:r>
    </w:p>
    <w:p w:rsidRPr="007474F3" w:rsidR="00556FFA" w:rsidP="004D2E92" w:rsidRDefault="001742F8" w14:paraId="7A9F6FC0" w14:textId="06AC65E7">
      <w:pPr>
        <w:pStyle w:val="ListParagraph"/>
        <w:spacing w:after="120" w:line="240" w:lineRule="auto"/>
        <w:ind w:left="0"/>
        <w:rPr>
          <w:b/>
          <w:bCs/>
        </w:rPr>
      </w:pPr>
      <w:r w:rsidRPr="007474F3">
        <w:rPr>
          <w:b/>
          <w:bCs/>
        </w:rPr>
        <w:t xml:space="preserve">Table </w:t>
      </w:r>
      <w:r w:rsidRPr="007474F3" w:rsidR="008154E9">
        <w:rPr>
          <w:b/>
          <w:bCs/>
        </w:rPr>
        <w:t>B.1</w:t>
      </w:r>
      <w:r w:rsidRPr="007474F3" w:rsidR="00690842">
        <w:rPr>
          <w:b/>
          <w:bCs/>
        </w:rPr>
        <w:t xml:space="preserve">. Crosswalk Between Data Collection </w:t>
      </w:r>
      <w:r w:rsidRPr="007474F3">
        <w:rPr>
          <w:b/>
          <w:bCs/>
        </w:rPr>
        <w:t xml:space="preserve">Instruments and </w:t>
      </w:r>
      <w:r w:rsidRPr="007474F3" w:rsidR="00520DCF">
        <w:rPr>
          <w:b/>
          <w:bCs/>
        </w:rPr>
        <w:t>S</w:t>
      </w:r>
      <w:r w:rsidRPr="007474F3">
        <w:rPr>
          <w:b/>
          <w:bCs/>
        </w:rPr>
        <w:t>tudy Objectives</w:t>
      </w:r>
    </w:p>
    <w:tbl>
      <w:tblPr>
        <w:tblW w:w="10435" w:type="dxa"/>
        <w:jc w:val="center"/>
        <w:tblLook w:val="04A0" w:firstRow="1" w:lastRow="0" w:firstColumn="1" w:lastColumn="0" w:noHBand="0" w:noVBand="1"/>
      </w:tblPr>
      <w:tblGrid>
        <w:gridCol w:w="2965"/>
        <w:gridCol w:w="720"/>
        <w:gridCol w:w="720"/>
        <w:gridCol w:w="720"/>
        <w:gridCol w:w="810"/>
        <w:gridCol w:w="720"/>
        <w:gridCol w:w="900"/>
        <w:gridCol w:w="630"/>
        <w:gridCol w:w="630"/>
        <w:gridCol w:w="900"/>
        <w:gridCol w:w="720"/>
      </w:tblGrid>
      <w:tr w:rsidRPr="00556FFA" w:rsidR="004D2E92" w:rsidTr="004D2E92" w14:paraId="29915C77" w14:textId="5EA114EC">
        <w:trPr>
          <w:cantSplit/>
          <w:trHeight w:val="2789"/>
          <w:tblHeader/>
          <w:jc w:val="center"/>
        </w:trPr>
        <w:tc>
          <w:tcPr>
            <w:tcW w:w="296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56FFA" w:rsidR="00857EA1" w:rsidP="003A643D" w:rsidRDefault="00857EA1" w14:paraId="4C410277" w14:textId="4D8CD582">
            <w:pPr>
              <w:spacing w:after="0" w:line="240" w:lineRule="auto"/>
              <w:rPr>
                <w:rFonts w:ascii="Times New Roman" w:hAnsi="Times New Roman" w:eastAsia="Times New Roman" w:cs="Times New Roman"/>
                <w:color w:val="000000"/>
                <w:sz w:val="20"/>
                <w:szCs w:val="20"/>
              </w:rPr>
            </w:pPr>
          </w:p>
        </w:tc>
        <w:tc>
          <w:tcPr>
            <w:tcW w:w="720" w:type="dxa"/>
            <w:tcBorders>
              <w:top w:val="single" w:color="auto" w:sz="4" w:space="0"/>
              <w:left w:val="nil"/>
              <w:bottom w:val="single" w:color="auto" w:sz="4" w:space="0"/>
              <w:right w:val="single" w:color="auto" w:sz="4" w:space="0"/>
            </w:tcBorders>
            <w:shd w:val="clear" w:color="auto" w:fill="D9D9D9" w:themeFill="background1" w:themeFillShade="D9"/>
            <w:textDirection w:val="btLr"/>
            <w:vAlign w:val="bottom"/>
            <w:hideMark/>
          </w:tcPr>
          <w:p w:rsidRPr="00556FFA" w:rsidR="00857EA1" w:rsidP="006C5916" w:rsidRDefault="00857EA1" w14:paraId="750861E0" w14:textId="1EDF2276">
            <w:pPr>
              <w:spacing w:after="0" w:line="240" w:lineRule="auto"/>
              <w:ind w:left="113" w:right="113"/>
              <w:rPr>
                <w:rFonts w:ascii="Calibri" w:hAnsi="Calibri" w:eastAsia="Times New Roman" w:cs="Calibri"/>
                <w:color w:val="000000"/>
                <w:sz w:val="20"/>
                <w:szCs w:val="20"/>
                <w:u w:val="single"/>
              </w:rPr>
            </w:pPr>
            <w:r w:rsidRPr="006F0731">
              <w:rPr>
                <w:rFonts w:ascii="Calibri" w:hAnsi="Calibri" w:eastAsia="Times New Roman" w:cs="Calibri"/>
                <w:color w:val="000000"/>
                <w:sz w:val="20"/>
                <w:szCs w:val="20"/>
              </w:rPr>
              <w:t>SYSIL Youth Survey</w:t>
            </w:r>
            <w:r>
              <w:rPr>
                <w:rFonts w:ascii="Calibri" w:hAnsi="Calibri" w:eastAsia="Times New Roman" w:cs="Calibri"/>
                <w:color w:val="000000"/>
                <w:sz w:val="20"/>
                <w:szCs w:val="20"/>
              </w:rPr>
              <w:t>—</w:t>
            </w:r>
            <w:r w:rsidRPr="006F0731">
              <w:rPr>
                <w:rFonts w:ascii="Calibri" w:hAnsi="Calibri" w:eastAsia="Times New Roman" w:cs="Calibri"/>
                <w:color w:val="000000"/>
                <w:sz w:val="20"/>
                <w:szCs w:val="20"/>
              </w:rPr>
              <w:t xml:space="preserve"> Baseline </w:t>
            </w:r>
            <w:r>
              <w:rPr>
                <w:rFonts w:ascii="Calibri" w:hAnsi="Calibri" w:eastAsia="Times New Roman" w:cs="Calibri"/>
                <w:color w:val="000000"/>
                <w:sz w:val="20"/>
                <w:szCs w:val="20"/>
              </w:rPr>
              <w:t>S</w:t>
            </w:r>
            <w:r w:rsidRPr="006F0731">
              <w:rPr>
                <w:rFonts w:ascii="Calibri" w:hAnsi="Calibri" w:eastAsia="Times New Roman" w:cs="Calibri"/>
                <w:color w:val="000000"/>
                <w:sz w:val="20"/>
                <w:szCs w:val="20"/>
              </w:rPr>
              <w:t>urvey</w:t>
            </w:r>
          </w:p>
        </w:tc>
        <w:tc>
          <w:tcPr>
            <w:tcW w:w="720" w:type="dxa"/>
            <w:tcBorders>
              <w:top w:val="single" w:color="auto" w:sz="4" w:space="0"/>
              <w:left w:val="nil"/>
              <w:bottom w:val="single" w:color="auto" w:sz="4" w:space="0"/>
              <w:right w:val="single" w:color="auto" w:sz="4" w:space="0"/>
            </w:tcBorders>
            <w:shd w:val="clear" w:color="auto" w:fill="D9D9D9" w:themeFill="background1" w:themeFillShade="D9"/>
            <w:textDirection w:val="btLr"/>
            <w:vAlign w:val="bottom"/>
            <w:hideMark/>
          </w:tcPr>
          <w:p w:rsidRPr="00556FFA" w:rsidR="00857EA1" w:rsidP="006C5916" w:rsidRDefault="00857EA1" w14:paraId="5D9FB5A0" w14:textId="0C236579">
            <w:pPr>
              <w:spacing w:after="0" w:line="240" w:lineRule="auto"/>
              <w:ind w:left="113" w:right="113"/>
              <w:rPr>
                <w:rFonts w:ascii="Calibri" w:hAnsi="Calibri" w:eastAsia="Times New Roman" w:cs="Calibri"/>
                <w:color w:val="000000"/>
                <w:sz w:val="20"/>
                <w:szCs w:val="20"/>
                <w:u w:val="single"/>
              </w:rPr>
            </w:pPr>
            <w:r w:rsidRPr="006F0731">
              <w:rPr>
                <w:rFonts w:ascii="Calibri" w:hAnsi="Calibri" w:eastAsia="Times New Roman" w:cs="Calibri"/>
                <w:color w:val="000000"/>
                <w:sz w:val="20"/>
                <w:szCs w:val="20"/>
              </w:rPr>
              <w:t>SYSIL Youth Survey</w:t>
            </w:r>
            <w:r>
              <w:rPr>
                <w:rFonts w:ascii="Calibri" w:hAnsi="Calibri" w:eastAsia="Times New Roman" w:cs="Calibri"/>
                <w:color w:val="000000"/>
                <w:sz w:val="20"/>
                <w:szCs w:val="20"/>
              </w:rPr>
              <w:t>—</w:t>
            </w:r>
            <w:r w:rsidRPr="006F0731">
              <w:rPr>
                <w:rFonts w:ascii="Calibri" w:hAnsi="Calibri" w:eastAsia="Times New Roman" w:cs="Calibri"/>
                <w:color w:val="000000"/>
                <w:sz w:val="20"/>
                <w:szCs w:val="20"/>
              </w:rPr>
              <w:t xml:space="preserve"> Follow</w:t>
            </w:r>
            <w:r>
              <w:rPr>
                <w:rFonts w:ascii="Calibri" w:hAnsi="Calibri" w:eastAsia="Times New Roman" w:cs="Calibri"/>
                <w:color w:val="000000"/>
                <w:sz w:val="20"/>
                <w:szCs w:val="20"/>
              </w:rPr>
              <w:t>-U</w:t>
            </w:r>
            <w:r w:rsidRPr="006F0731">
              <w:rPr>
                <w:rFonts w:ascii="Calibri" w:hAnsi="Calibri" w:eastAsia="Times New Roman" w:cs="Calibri"/>
                <w:color w:val="000000"/>
                <w:sz w:val="20"/>
                <w:szCs w:val="20"/>
              </w:rPr>
              <w:t xml:space="preserve">p </w:t>
            </w:r>
            <w:r>
              <w:rPr>
                <w:rFonts w:ascii="Calibri" w:hAnsi="Calibri" w:eastAsia="Times New Roman" w:cs="Calibri"/>
                <w:color w:val="000000"/>
                <w:sz w:val="20"/>
                <w:szCs w:val="20"/>
              </w:rPr>
              <w:t>S</w:t>
            </w:r>
            <w:r w:rsidRPr="006F0731">
              <w:rPr>
                <w:rFonts w:ascii="Calibri" w:hAnsi="Calibri" w:eastAsia="Times New Roman" w:cs="Calibri"/>
                <w:color w:val="000000"/>
                <w:sz w:val="20"/>
                <w:szCs w:val="20"/>
              </w:rPr>
              <w:t xml:space="preserve">urvey 1 (6 </w:t>
            </w:r>
            <w:r>
              <w:rPr>
                <w:rFonts w:ascii="Calibri" w:hAnsi="Calibri" w:eastAsia="Times New Roman" w:cs="Calibri"/>
                <w:color w:val="000000"/>
                <w:sz w:val="20"/>
                <w:szCs w:val="20"/>
              </w:rPr>
              <w:t>M</w:t>
            </w:r>
            <w:r w:rsidRPr="006F0731">
              <w:rPr>
                <w:rFonts w:ascii="Calibri" w:hAnsi="Calibri" w:eastAsia="Times New Roman" w:cs="Calibri"/>
                <w:color w:val="000000"/>
                <w:sz w:val="20"/>
                <w:szCs w:val="20"/>
              </w:rPr>
              <w:t>onths)</w:t>
            </w:r>
          </w:p>
        </w:tc>
        <w:tc>
          <w:tcPr>
            <w:tcW w:w="720" w:type="dxa"/>
            <w:tcBorders>
              <w:top w:val="single" w:color="auto" w:sz="4" w:space="0"/>
              <w:left w:val="nil"/>
              <w:bottom w:val="single" w:color="auto" w:sz="4" w:space="0"/>
              <w:right w:val="single" w:color="auto" w:sz="4" w:space="0"/>
            </w:tcBorders>
            <w:shd w:val="clear" w:color="auto" w:fill="D9D9D9" w:themeFill="background1" w:themeFillShade="D9"/>
            <w:textDirection w:val="btLr"/>
            <w:vAlign w:val="bottom"/>
            <w:hideMark/>
          </w:tcPr>
          <w:p w:rsidRPr="00556FFA" w:rsidR="00857EA1" w:rsidP="006C5916" w:rsidRDefault="00857EA1" w14:paraId="5307A0A7" w14:textId="78B6C5CA">
            <w:pPr>
              <w:spacing w:after="0" w:line="240" w:lineRule="auto"/>
              <w:ind w:left="113" w:right="113"/>
              <w:rPr>
                <w:rFonts w:ascii="Calibri" w:hAnsi="Calibri" w:eastAsia="Times New Roman" w:cs="Calibri"/>
                <w:color w:val="000000"/>
                <w:sz w:val="20"/>
                <w:szCs w:val="20"/>
                <w:u w:val="single"/>
              </w:rPr>
            </w:pPr>
            <w:r w:rsidRPr="006F0731">
              <w:rPr>
                <w:rFonts w:ascii="Calibri" w:hAnsi="Calibri" w:eastAsia="Times New Roman" w:cs="Calibri"/>
                <w:color w:val="000000"/>
                <w:sz w:val="20"/>
                <w:szCs w:val="20"/>
              </w:rPr>
              <w:t>SYSIL Youth Survey</w:t>
            </w:r>
            <w:r>
              <w:rPr>
                <w:rFonts w:ascii="Calibri" w:hAnsi="Calibri" w:eastAsia="Times New Roman" w:cs="Calibri"/>
                <w:color w:val="000000"/>
                <w:sz w:val="20"/>
                <w:szCs w:val="20"/>
              </w:rPr>
              <w:t>—</w:t>
            </w:r>
            <w:r w:rsidRPr="006F0731">
              <w:rPr>
                <w:rFonts w:ascii="Calibri" w:hAnsi="Calibri" w:eastAsia="Times New Roman" w:cs="Calibri"/>
                <w:color w:val="000000"/>
                <w:sz w:val="20"/>
                <w:szCs w:val="20"/>
              </w:rPr>
              <w:t xml:space="preserve"> Follow- </w:t>
            </w:r>
            <w:r>
              <w:rPr>
                <w:rFonts w:ascii="Calibri" w:hAnsi="Calibri" w:eastAsia="Times New Roman" w:cs="Calibri"/>
                <w:color w:val="000000"/>
                <w:sz w:val="20"/>
                <w:szCs w:val="20"/>
              </w:rPr>
              <w:t>U</w:t>
            </w:r>
            <w:r w:rsidRPr="006F0731">
              <w:rPr>
                <w:rFonts w:ascii="Calibri" w:hAnsi="Calibri" w:eastAsia="Times New Roman" w:cs="Calibri"/>
                <w:color w:val="000000"/>
                <w:sz w:val="20"/>
                <w:szCs w:val="20"/>
              </w:rPr>
              <w:t xml:space="preserve">p </w:t>
            </w:r>
            <w:r>
              <w:rPr>
                <w:rFonts w:ascii="Calibri" w:hAnsi="Calibri" w:eastAsia="Times New Roman" w:cs="Calibri"/>
                <w:color w:val="000000"/>
                <w:sz w:val="20"/>
                <w:szCs w:val="20"/>
              </w:rPr>
              <w:t>S</w:t>
            </w:r>
            <w:r w:rsidRPr="006F0731">
              <w:rPr>
                <w:rFonts w:ascii="Calibri" w:hAnsi="Calibri" w:eastAsia="Times New Roman" w:cs="Calibri"/>
                <w:color w:val="000000"/>
                <w:sz w:val="20"/>
                <w:szCs w:val="20"/>
              </w:rPr>
              <w:t xml:space="preserve">urvey 2 (12 </w:t>
            </w:r>
            <w:r>
              <w:rPr>
                <w:rFonts w:ascii="Calibri" w:hAnsi="Calibri" w:eastAsia="Times New Roman" w:cs="Calibri"/>
                <w:color w:val="000000"/>
                <w:sz w:val="20"/>
                <w:szCs w:val="20"/>
              </w:rPr>
              <w:t>M</w:t>
            </w:r>
            <w:r w:rsidRPr="006F0731">
              <w:rPr>
                <w:rFonts w:ascii="Calibri" w:hAnsi="Calibri" w:eastAsia="Times New Roman" w:cs="Calibri"/>
                <w:color w:val="000000"/>
                <w:sz w:val="20"/>
                <w:szCs w:val="20"/>
              </w:rPr>
              <w:t>onths)</w:t>
            </w:r>
          </w:p>
        </w:tc>
        <w:tc>
          <w:tcPr>
            <w:tcW w:w="810" w:type="dxa"/>
            <w:tcBorders>
              <w:top w:val="single" w:color="auto" w:sz="4" w:space="0"/>
              <w:left w:val="nil"/>
              <w:bottom w:val="single" w:color="auto" w:sz="4" w:space="0"/>
              <w:right w:val="single" w:color="auto" w:sz="4" w:space="0"/>
            </w:tcBorders>
            <w:shd w:val="clear" w:color="auto" w:fill="D9D9D9" w:themeFill="background1" w:themeFillShade="D9"/>
            <w:textDirection w:val="btLr"/>
            <w:vAlign w:val="bottom"/>
            <w:hideMark/>
          </w:tcPr>
          <w:p w:rsidRPr="00556FFA" w:rsidR="00857EA1" w:rsidP="006C5916" w:rsidRDefault="00857EA1" w14:paraId="66AB053A" w14:textId="3892F3DF">
            <w:pPr>
              <w:spacing w:after="0" w:line="240" w:lineRule="auto"/>
              <w:ind w:left="113" w:right="113"/>
              <w:rPr>
                <w:rFonts w:ascii="Calibri" w:hAnsi="Calibri" w:eastAsia="Times New Roman" w:cs="Calibri"/>
                <w:color w:val="000000"/>
                <w:sz w:val="20"/>
                <w:szCs w:val="20"/>
                <w:u w:val="single"/>
              </w:rPr>
            </w:pPr>
            <w:r w:rsidRPr="006F0731">
              <w:rPr>
                <w:rFonts w:ascii="Calibri" w:hAnsi="Calibri" w:eastAsia="Times New Roman" w:cs="Calibri"/>
                <w:color w:val="000000"/>
                <w:sz w:val="20"/>
                <w:szCs w:val="20"/>
              </w:rPr>
              <w:t>SYSIL Youth Survey</w:t>
            </w:r>
            <w:r>
              <w:rPr>
                <w:rFonts w:ascii="Calibri" w:hAnsi="Calibri" w:eastAsia="Times New Roman" w:cs="Calibri"/>
                <w:color w:val="000000"/>
                <w:sz w:val="20"/>
                <w:szCs w:val="20"/>
              </w:rPr>
              <w:t>—</w:t>
            </w:r>
            <w:r w:rsidRPr="006F0731">
              <w:rPr>
                <w:rFonts w:ascii="Calibri" w:hAnsi="Calibri" w:eastAsia="Times New Roman" w:cs="Calibri"/>
                <w:color w:val="000000"/>
                <w:sz w:val="20"/>
                <w:szCs w:val="20"/>
              </w:rPr>
              <w:t>Follow-</w:t>
            </w:r>
            <w:r>
              <w:rPr>
                <w:rFonts w:ascii="Calibri" w:hAnsi="Calibri" w:eastAsia="Times New Roman" w:cs="Calibri"/>
                <w:color w:val="000000"/>
                <w:sz w:val="20"/>
                <w:szCs w:val="20"/>
              </w:rPr>
              <w:t>U</w:t>
            </w:r>
            <w:r w:rsidRPr="006F0731">
              <w:rPr>
                <w:rFonts w:ascii="Calibri" w:hAnsi="Calibri" w:eastAsia="Times New Roman" w:cs="Calibri"/>
                <w:color w:val="000000"/>
                <w:sz w:val="20"/>
                <w:szCs w:val="20"/>
              </w:rPr>
              <w:t xml:space="preserve">p Survey 3 (24 </w:t>
            </w:r>
            <w:r>
              <w:rPr>
                <w:rFonts w:ascii="Calibri" w:hAnsi="Calibri" w:eastAsia="Times New Roman" w:cs="Calibri"/>
                <w:color w:val="000000"/>
                <w:sz w:val="20"/>
                <w:szCs w:val="20"/>
              </w:rPr>
              <w:t>M</w:t>
            </w:r>
            <w:r w:rsidRPr="006F0731">
              <w:rPr>
                <w:rFonts w:ascii="Calibri" w:hAnsi="Calibri" w:eastAsia="Times New Roman" w:cs="Calibri"/>
                <w:color w:val="000000"/>
                <w:sz w:val="20"/>
                <w:szCs w:val="20"/>
              </w:rPr>
              <w:t>onths)</w:t>
            </w:r>
          </w:p>
        </w:tc>
        <w:tc>
          <w:tcPr>
            <w:tcW w:w="720" w:type="dxa"/>
            <w:tcBorders>
              <w:top w:val="single" w:color="auto" w:sz="4" w:space="0"/>
              <w:left w:val="nil"/>
              <w:bottom w:val="single" w:color="auto" w:sz="4" w:space="0"/>
              <w:right w:val="single" w:color="auto" w:sz="4" w:space="0"/>
            </w:tcBorders>
            <w:shd w:val="clear" w:color="auto" w:fill="D9D9D9" w:themeFill="background1" w:themeFillShade="D9"/>
            <w:textDirection w:val="btLr"/>
            <w:vAlign w:val="bottom"/>
            <w:hideMark/>
          </w:tcPr>
          <w:p w:rsidRPr="00556FFA" w:rsidR="00857EA1" w:rsidP="006C5916" w:rsidRDefault="00857EA1" w14:paraId="49F464C0" w14:textId="436E5331">
            <w:pPr>
              <w:spacing w:after="0" w:line="240" w:lineRule="auto"/>
              <w:ind w:left="113" w:right="113"/>
              <w:rPr>
                <w:rFonts w:ascii="Calibri" w:hAnsi="Calibri" w:eastAsia="Times New Roman" w:cs="Calibri"/>
                <w:color w:val="000000"/>
                <w:sz w:val="20"/>
                <w:szCs w:val="20"/>
                <w:u w:val="single"/>
              </w:rPr>
            </w:pPr>
            <w:r w:rsidRPr="006F0731">
              <w:rPr>
                <w:rFonts w:ascii="Calibri" w:hAnsi="Calibri" w:eastAsia="Times New Roman" w:cs="Calibri"/>
                <w:color w:val="000000"/>
                <w:sz w:val="20"/>
                <w:szCs w:val="20"/>
              </w:rPr>
              <w:t xml:space="preserve">Interview </w:t>
            </w:r>
            <w:r>
              <w:rPr>
                <w:rFonts w:ascii="Calibri" w:hAnsi="Calibri" w:eastAsia="Times New Roman" w:cs="Calibri"/>
                <w:color w:val="000000"/>
                <w:sz w:val="20"/>
                <w:szCs w:val="20"/>
              </w:rPr>
              <w:t>G</w:t>
            </w:r>
            <w:r w:rsidRPr="006F0731">
              <w:rPr>
                <w:rFonts w:ascii="Calibri" w:hAnsi="Calibri" w:eastAsia="Times New Roman" w:cs="Calibri"/>
                <w:color w:val="000000"/>
                <w:sz w:val="20"/>
                <w:szCs w:val="20"/>
              </w:rPr>
              <w:t xml:space="preserve">uide for Pathways </w:t>
            </w:r>
            <w:r>
              <w:rPr>
                <w:rFonts w:ascii="Calibri" w:hAnsi="Calibri" w:eastAsia="Times New Roman" w:cs="Calibri"/>
                <w:color w:val="000000"/>
                <w:sz w:val="20"/>
                <w:szCs w:val="20"/>
              </w:rPr>
              <w:t>S</w:t>
            </w:r>
            <w:r w:rsidRPr="006F0731">
              <w:rPr>
                <w:rFonts w:ascii="Calibri" w:hAnsi="Calibri" w:eastAsia="Times New Roman" w:cs="Calibri"/>
                <w:color w:val="000000"/>
                <w:sz w:val="20"/>
                <w:szCs w:val="20"/>
              </w:rPr>
              <w:t>ites (</w:t>
            </w:r>
            <w:r>
              <w:rPr>
                <w:rFonts w:ascii="Calibri" w:hAnsi="Calibri" w:eastAsia="Times New Roman" w:cs="Calibri"/>
                <w:color w:val="000000"/>
                <w:sz w:val="20"/>
                <w:szCs w:val="20"/>
              </w:rPr>
              <w:t>T</w:t>
            </w:r>
            <w:r w:rsidRPr="006F0731">
              <w:rPr>
                <w:rFonts w:ascii="Calibri" w:hAnsi="Calibri" w:eastAsia="Times New Roman" w:cs="Calibri"/>
                <w:color w:val="000000"/>
                <w:sz w:val="20"/>
                <w:szCs w:val="20"/>
              </w:rPr>
              <w:t xml:space="preserve">reatment </w:t>
            </w:r>
            <w:r>
              <w:rPr>
                <w:rFonts w:ascii="Calibri" w:hAnsi="Calibri" w:eastAsia="Times New Roman" w:cs="Calibri"/>
                <w:color w:val="000000"/>
                <w:sz w:val="20"/>
                <w:szCs w:val="20"/>
              </w:rPr>
              <w:t>S</w:t>
            </w:r>
            <w:r w:rsidRPr="006F0731">
              <w:rPr>
                <w:rFonts w:ascii="Calibri" w:hAnsi="Calibri" w:eastAsia="Times New Roman" w:cs="Calibri"/>
                <w:color w:val="000000"/>
                <w:sz w:val="20"/>
                <w:szCs w:val="20"/>
              </w:rPr>
              <w:t>ites)</w:t>
            </w:r>
          </w:p>
        </w:tc>
        <w:tc>
          <w:tcPr>
            <w:tcW w:w="900" w:type="dxa"/>
            <w:tcBorders>
              <w:top w:val="single" w:color="auto" w:sz="4" w:space="0"/>
              <w:left w:val="nil"/>
              <w:bottom w:val="single" w:color="auto" w:sz="4" w:space="0"/>
              <w:right w:val="single" w:color="auto" w:sz="4" w:space="0"/>
            </w:tcBorders>
            <w:shd w:val="clear" w:color="auto" w:fill="D9D9D9" w:themeFill="background1" w:themeFillShade="D9"/>
            <w:textDirection w:val="btLr"/>
          </w:tcPr>
          <w:p w:rsidRPr="006F0731" w:rsidR="00857EA1" w:rsidP="006C5916" w:rsidRDefault="00857EA1" w14:paraId="6C265945" w14:textId="17D6EEDB">
            <w:pPr>
              <w:spacing w:after="0" w:line="240" w:lineRule="auto"/>
              <w:ind w:left="113" w:right="113"/>
              <w:rPr>
                <w:rFonts w:ascii="Calibri" w:hAnsi="Calibri" w:eastAsia="Times New Roman" w:cs="Calibri"/>
                <w:color w:val="000000"/>
                <w:sz w:val="20"/>
                <w:szCs w:val="20"/>
              </w:rPr>
            </w:pPr>
            <w:r>
              <w:rPr>
                <w:rFonts w:cstheme="minorHAnsi"/>
                <w:sz w:val="20"/>
                <w:szCs w:val="20"/>
              </w:rPr>
              <w:t>Program Director Check-ins for Pathways Sites (Treatment Sites)</w:t>
            </w:r>
          </w:p>
        </w:tc>
        <w:tc>
          <w:tcPr>
            <w:tcW w:w="6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bottom"/>
            <w:hideMark/>
          </w:tcPr>
          <w:p w:rsidRPr="00556FFA" w:rsidR="00857EA1" w:rsidP="006C5916" w:rsidRDefault="00857EA1" w14:paraId="3FC9FC0E" w14:textId="2C12E6A0">
            <w:pPr>
              <w:spacing w:after="0" w:line="240" w:lineRule="auto"/>
              <w:ind w:left="113" w:right="113"/>
              <w:rPr>
                <w:rFonts w:ascii="Calibri" w:hAnsi="Calibri" w:eastAsia="Times New Roman" w:cs="Calibri"/>
                <w:color w:val="000000"/>
                <w:sz w:val="20"/>
                <w:szCs w:val="20"/>
                <w:u w:val="single"/>
              </w:rPr>
            </w:pPr>
            <w:r w:rsidRPr="006F0731">
              <w:rPr>
                <w:rFonts w:ascii="Calibri" w:hAnsi="Calibri" w:eastAsia="Times New Roman" w:cs="Calibri"/>
                <w:color w:val="000000"/>
                <w:sz w:val="20"/>
                <w:szCs w:val="20"/>
              </w:rPr>
              <w:t xml:space="preserve">Interview </w:t>
            </w:r>
            <w:r>
              <w:rPr>
                <w:rFonts w:ascii="Calibri" w:hAnsi="Calibri" w:eastAsia="Times New Roman" w:cs="Calibri"/>
                <w:color w:val="000000"/>
                <w:sz w:val="20"/>
                <w:szCs w:val="20"/>
              </w:rPr>
              <w:t>G</w:t>
            </w:r>
            <w:r w:rsidRPr="006F0731">
              <w:rPr>
                <w:rFonts w:ascii="Calibri" w:hAnsi="Calibri" w:eastAsia="Times New Roman" w:cs="Calibri"/>
                <w:color w:val="000000"/>
                <w:sz w:val="20"/>
                <w:szCs w:val="20"/>
              </w:rPr>
              <w:t xml:space="preserve">uide for </w:t>
            </w:r>
            <w:r>
              <w:rPr>
                <w:rFonts w:ascii="Calibri" w:hAnsi="Calibri" w:eastAsia="Times New Roman" w:cs="Calibri"/>
                <w:color w:val="000000"/>
                <w:sz w:val="20"/>
                <w:szCs w:val="20"/>
              </w:rPr>
              <w:t>C</w:t>
            </w:r>
            <w:r w:rsidRPr="006F0731">
              <w:rPr>
                <w:rFonts w:ascii="Calibri" w:hAnsi="Calibri" w:eastAsia="Times New Roman" w:cs="Calibri"/>
                <w:color w:val="000000"/>
                <w:sz w:val="20"/>
                <w:szCs w:val="20"/>
              </w:rPr>
              <w:t xml:space="preserve">omparison </w:t>
            </w:r>
            <w:r>
              <w:rPr>
                <w:rFonts w:ascii="Calibri" w:hAnsi="Calibri" w:eastAsia="Times New Roman" w:cs="Calibri"/>
                <w:color w:val="000000"/>
                <w:sz w:val="20"/>
                <w:szCs w:val="20"/>
              </w:rPr>
              <w:t>S</w:t>
            </w:r>
            <w:r w:rsidRPr="006F0731">
              <w:rPr>
                <w:rFonts w:ascii="Calibri" w:hAnsi="Calibri" w:eastAsia="Times New Roman" w:cs="Calibri"/>
                <w:color w:val="000000"/>
                <w:sz w:val="20"/>
                <w:szCs w:val="20"/>
              </w:rPr>
              <w:t>ites</w:t>
            </w:r>
          </w:p>
        </w:tc>
        <w:tc>
          <w:tcPr>
            <w:tcW w:w="630" w:type="dxa"/>
            <w:tcBorders>
              <w:top w:val="single" w:color="auto" w:sz="4" w:space="0"/>
              <w:left w:val="nil"/>
              <w:bottom w:val="single" w:color="auto" w:sz="4" w:space="0"/>
              <w:right w:val="single" w:color="auto" w:sz="4" w:space="0"/>
            </w:tcBorders>
            <w:shd w:val="clear" w:color="auto" w:fill="D9D9D9" w:themeFill="background1" w:themeFillShade="D9"/>
            <w:textDirection w:val="btLr"/>
          </w:tcPr>
          <w:p w:rsidRPr="006F0731" w:rsidR="00857EA1" w:rsidP="006C5916" w:rsidRDefault="00857EA1" w14:paraId="5B026D71" w14:textId="4CD86E9C">
            <w:pPr>
              <w:spacing w:after="0" w:line="240" w:lineRule="auto"/>
              <w:ind w:left="113" w:right="113"/>
              <w:rPr>
                <w:rFonts w:ascii="Calibri" w:hAnsi="Calibri" w:eastAsia="Times New Roman" w:cs="Calibri"/>
                <w:color w:val="000000"/>
                <w:sz w:val="20"/>
                <w:szCs w:val="20"/>
              </w:rPr>
            </w:pPr>
            <w:r>
              <w:rPr>
                <w:rFonts w:ascii="Calibri" w:hAnsi="Calibri" w:eastAsia="Times New Roman" w:cs="Calibri"/>
                <w:color w:val="000000"/>
                <w:sz w:val="20"/>
                <w:szCs w:val="20"/>
              </w:rPr>
              <w:t>Program Director Check-ins for Comparison Sites</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bottom"/>
            <w:hideMark/>
          </w:tcPr>
          <w:p w:rsidRPr="00556FFA" w:rsidR="00857EA1" w:rsidP="006C5916" w:rsidRDefault="00857EA1" w14:paraId="42D78AEA" w14:textId="4297F798">
            <w:pPr>
              <w:spacing w:after="0" w:line="240" w:lineRule="auto"/>
              <w:ind w:left="113" w:right="113"/>
              <w:rPr>
                <w:rFonts w:ascii="Calibri" w:hAnsi="Calibri" w:eastAsia="Times New Roman" w:cs="Calibri"/>
                <w:color w:val="000000"/>
                <w:sz w:val="20"/>
                <w:szCs w:val="20"/>
                <w:u w:val="single"/>
              </w:rPr>
            </w:pPr>
            <w:r w:rsidRPr="006F0731">
              <w:rPr>
                <w:rFonts w:ascii="Calibri" w:hAnsi="Calibri" w:eastAsia="Times New Roman" w:cs="Calibri"/>
                <w:color w:val="000000"/>
                <w:sz w:val="20"/>
                <w:szCs w:val="20"/>
              </w:rPr>
              <w:t xml:space="preserve">Focus </w:t>
            </w:r>
            <w:r>
              <w:rPr>
                <w:rFonts w:ascii="Calibri" w:hAnsi="Calibri" w:eastAsia="Times New Roman" w:cs="Calibri"/>
                <w:color w:val="000000"/>
                <w:sz w:val="20"/>
                <w:szCs w:val="20"/>
              </w:rPr>
              <w:t>G</w:t>
            </w:r>
            <w:r w:rsidRPr="006F0731">
              <w:rPr>
                <w:rFonts w:ascii="Calibri" w:hAnsi="Calibri" w:eastAsia="Times New Roman" w:cs="Calibri"/>
                <w:color w:val="000000"/>
                <w:sz w:val="20"/>
                <w:szCs w:val="20"/>
              </w:rPr>
              <w:t xml:space="preserve">roup </w:t>
            </w:r>
            <w:r>
              <w:rPr>
                <w:rFonts w:ascii="Calibri" w:hAnsi="Calibri" w:eastAsia="Times New Roman" w:cs="Calibri"/>
                <w:color w:val="000000"/>
                <w:sz w:val="20"/>
                <w:szCs w:val="20"/>
              </w:rPr>
              <w:t>D</w:t>
            </w:r>
            <w:r w:rsidRPr="006F0731">
              <w:rPr>
                <w:rFonts w:ascii="Calibri" w:hAnsi="Calibri" w:eastAsia="Times New Roman" w:cs="Calibri"/>
                <w:color w:val="000000"/>
                <w:sz w:val="20"/>
                <w:szCs w:val="20"/>
              </w:rPr>
              <w:t xml:space="preserve">iscussion </w:t>
            </w:r>
            <w:r>
              <w:rPr>
                <w:rFonts w:ascii="Calibri" w:hAnsi="Calibri" w:eastAsia="Times New Roman" w:cs="Calibri"/>
                <w:color w:val="000000"/>
                <w:sz w:val="20"/>
                <w:szCs w:val="20"/>
              </w:rPr>
              <w:t>G</w:t>
            </w:r>
            <w:r w:rsidRPr="006F0731">
              <w:rPr>
                <w:rFonts w:ascii="Calibri" w:hAnsi="Calibri" w:eastAsia="Times New Roman" w:cs="Calibri"/>
                <w:color w:val="000000"/>
                <w:sz w:val="20"/>
                <w:szCs w:val="20"/>
              </w:rPr>
              <w:t xml:space="preserve">uide for Pathways </w:t>
            </w:r>
            <w:r>
              <w:rPr>
                <w:rFonts w:ascii="Calibri" w:hAnsi="Calibri" w:eastAsia="Times New Roman" w:cs="Calibri"/>
                <w:color w:val="000000"/>
                <w:sz w:val="20"/>
                <w:szCs w:val="20"/>
              </w:rPr>
              <w:t>Y</w:t>
            </w:r>
            <w:r w:rsidRPr="006F0731">
              <w:rPr>
                <w:rFonts w:ascii="Calibri" w:hAnsi="Calibri" w:eastAsia="Times New Roman" w:cs="Calibri"/>
                <w:color w:val="000000"/>
                <w:sz w:val="20"/>
                <w:szCs w:val="20"/>
              </w:rPr>
              <w:t>outh (</w:t>
            </w:r>
            <w:r>
              <w:rPr>
                <w:rFonts w:ascii="Calibri" w:hAnsi="Calibri" w:eastAsia="Times New Roman" w:cs="Calibri"/>
                <w:color w:val="000000"/>
                <w:sz w:val="20"/>
                <w:szCs w:val="20"/>
              </w:rPr>
              <w:t>T</w:t>
            </w:r>
            <w:r w:rsidRPr="006F0731">
              <w:rPr>
                <w:rFonts w:ascii="Calibri" w:hAnsi="Calibri" w:eastAsia="Times New Roman" w:cs="Calibri"/>
                <w:color w:val="000000"/>
                <w:sz w:val="20"/>
                <w:szCs w:val="20"/>
              </w:rPr>
              <w:t xml:space="preserve">reatment </w:t>
            </w:r>
            <w:r>
              <w:rPr>
                <w:rFonts w:ascii="Calibri" w:hAnsi="Calibri" w:eastAsia="Times New Roman" w:cs="Calibri"/>
                <w:color w:val="000000"/>
                <w:sz w:val="20"/>
                <w:szCs w:val="20"/>
              </w:rPr>
              <w:t>Y</w:t>
            </w:r>
            <w:r w:rsidRPr="006F0731">
              <w:rPr>
                <w:rFonts w:ascii="Calibri" w:hAnsi="Calibri" w:eastAsia="Times New Roman" w:cs="Calibri"/>
                <w:color w:val="000000"/>
                <w:sz w:val="20"/>
                <w:szCs w:val="20"/>
              </w:rPr>
              <w:t>outh)</w:t>
            </w:r>
          </w:p>
        </w:tc>
        <w:tc>
          <w:tcPr>
            <w:tcW w:w="720" w:type="dxa"/>
            <w:tcBorders>
              <w:top w:val="single" w:color="auto" w:sz="4" w:space="0"/>
              <w:left w:val="nil"/>
              <w:bottom w:val="single" w:color="auto" w:sz="4" w:space="0"/>
              <w:right w:val="single" w:color="auto" w:sz="4" w:space="0"/>
            </w:tcBorders>
            <w:shd w:val="clear" w:color="auto" w:fill="D9D9D9" w:themeFill="background1" w:themeFillShade="D9"/>
            <w:textDirection w:val="btLr"/>
            <w:vAlign w:val="bottom"/>
            <w:hideMark/>
          </w:tcPr>
          <w:p w:rsidRPr="00556FFA" w:rsidR="00857EA1" w:rsidP="006C5916" w:rsidRDefault="00857EA1" w14:paraId="61F90713" w14:textId="79AEA95A">
            <w:pPr>
              <w:spacing w:after="0" w:line="240" w:lineRule="auto"/>
              <w:ind w:left="113" w:right="113"/>
              <w:rPr>
                <w:rFonts w:ascii="Calibri" w:hAnsi="Calibri" w:eastAsia="Times New Roman" w:cs="Calibri"/>
                <w:color w:val="000000"/>
                <w:sz w:val="20"/>
                <w:szCs w:val="20"/>
                <w:u w:val="single"/>
              </w:rPr>
            </w:pPr>
            <w:r w:rsidRPr="006F0731">
              <w:rPr>
                <w:rFonts w:ascii="Calibri" w:hAnsi="Calibri" w:eastAsia="Times New Roman" w:cs="Calibri"/>
                <w:color w:val="000000"/>
                <w:sz w:val="20"/>
                <w:szCs w:val="20"/>
              </w:rPr>
              <w:t xml:space="preserve">Focus </w:t>
            </w:r>
            <w:r>
              <w:rPr>
                <w:rFonts w:ascii="Calibri" w:hAnsi="Calibri" w:eastAsia="Times New Roman" w:cs="Calibri"/>
                <w:color w:val="000000"/>
                <w:sz w:val="20"/>
                <w:szCs w:val="20"/>
              </w:rPr>
              <w:t>G</w:t>
            </w:r>
            <w:r w:rsidRPr="006F0731">
              <w:rPr>
                <w:rFonts w:ascii="Calibri" w:hAnsi="Calibri" w:eastAsia="Times New Roman" w:cs="Calibri"/>
                <w:color w:val="000000"/>
                <w:sz w:val="20"/>
                <w:szCs w:val="20"/>
              </w:rPr>
              <w:t xml:space="preserve">roup </w:t>
            </w:r>
            <w:r>
              <w:rPr>
                <w:rFonts w:ascii="Calibri" w:hAnsi="Calibri" w:eastAsia="Times New Roman" w:cs="Calibri"/>
                <w:color w:val="000000"/>
                <w:sz w:val="20"/>
                <w:szCs w:val="20"/>
              </w:rPr>
              <w:t>D</w:t>
            </w:r>
            <w:r w:rsidRPr="006F0731">
              <w:rPr>
                <w:rFonts w:ascii="Calibri" w:hAnsi="Calibri" w:eastAsia="Times New Roman" w:cs="Calibri"/>
                <w:color w:val="000000"/>
                <w:sz w:val="20"/>
                <w:szCs w:val="20"/>
              </w:rPr>
              <w:t xml:space="preserve">iscussion </w:t>
            </w:r>
            <w:r>
              <w:rPr>
                <w:rFonts w:ascii="Calibri" w:hAnsi="Calibri" w:eastAsia="Times New Roman" w:cs="Calibri"/>
                <w:color w:val="000000"/>
                <w:sz w:val="20"/>
                <w:szCs w:val="20"/>
              </w:rPr>
              <w:t>G</w:t>
            </w:r>
            <w:r w:rsidRPr="006F0731">
              <w:rPr>
                <w:rFonts w:ascii="Calibri" w:hAnsi="Calibri" w:eastAsia="Times New Roman" w:cs="Calibri"/>
                <w:color w:val="000000"/>
                <w:sz w:val="20"/>
                <w:szCs w:val="20"/>
              </w:rPr>
              <w:t xml:space="preserve">uide for </w:t>
            </w:r>
            <w:r>
              <w:rPr>
                <w:rFonts w:ascii="Calibri" w:hAnsi="Calibri" w:eastAsia="Times New Roman" w:cs="Calibri"/>
                <w:color w:val="000000"/>
                <w:sz w:val="20"/>
                <w:szCs w:val="20"/>
              </w:rPr>
              <w:t>C</w:t>
            </w:r>
            <w:r w:rsidRPr="006F0731">
              <w:rPr>
                <w:rFonts w:ascii="Calibri" w:hAnsi="Calibri" w:eastAsia="Times New Roman" w:cs="Calibri"/>
                <w:color w:val="000000"/>
                <w:sz w:val="20"/>
                <w:szCs w:val="20"/>
              </w:rPr>
              <w:t xml:space="preserve">omparison </w:t>
            </w:r>
            <w:r>
              <w:rPr>
                <w:rFonts w:ascii="Calibri" w:hAnsi="Calibri" w:eastAsia="Times New Roman" w:cs="Calibri"/>
                <w:color w:val="000000"/>
                <w:sz w:val="20"/>
                <w:szCs w:val="20"/>
              </w:rPr>
              <w:t>Y</w:t>
            </w:r>
            <w:r w:rsidRPr="006F0731">
              <w:rPr>
                <w:rFonts w:ascii="Calibri" w:hAnsi="Calibri" w:eastAsia="Times New Roman" w:cs="Calibri"/>
                <w:color w:val="000000"/>
                <w:sz w:val="20"/>
                <w:szCs w:val="20"/>
              </w:rPr>
              <w:t>outh</w:t>
            </w:r>
          </w:p>
        </w:tc>
      </w:tr>
      <w:tr w:rsidRPr="00556FFA" w:rsidR="004D2E92" w:rsidTr="004D2E92" w14:paraId="09DD844A" w14:textId="481347D1">
        <w:trPr>
          <w:trHeight w:val="624"/>
          <w:jc w:val="center"/>
        </w:trPr>
        <w:tc>
          <w:tcPr>
            <w:tcW w:w="2965" w:type="dxa"/>
            <w:tcBorders>
              <w:top w:val="nil"/>
              <w:left w:val="single" w:color="auto" w:sz="4" w:space="0"/>
              <w:bottom w:val="single" w:color="auto" w:sz="4" w:space="0"/>
              <w:right w:val="single" w:color="auto" w:sz="4" w:space="0"/>
            </w:tcBorders>
            <w:shd w:val="clear" w:color="auto" w:fill="auto"/>
            <w:vAlign w:val="center"/>
            <w:hideMark/>
          </w:tcPr>
          <w:p w:rsidRPr="004D3055" w:rsidR="00857EA1" w:rsidP="003A643D" w:rsidRDefault="00857EA1" w14:paraId="4894FEAC" w14:textId="77777777">
            <w:pPr>
              <w:spacing w:after="0" w:line="240" w:lineRule="auto"/>
              <w:rPr>
                <w:rFonts w:ascii="Calibri" w:hAnsi="Calibri" w:eastAsia="Times New Roman" w:cs="Calibri"/>
                <w:color w:val="000000"/>
                <w:sz w:val="20"/>
                <w:szCs w:val="20"/>
              </w:rPr>
            </w:pPr>
            <w:r w:rsidRPr="004D3055">
              <w:rPr>
                <w:rFonts w:ascii="Calibri" w:hAnsi="Calibri" w:eastAsia="Times New Roman" w:cs="Calibri"/>
                <w:color w:val="000000"/>
                <w:sz w:val="20"/>
                <w:szCs w:val="20"/>
              </w:rPr>
              <w:t xml:space="preserve">Objective 1: Provide evidence of program effectiveness on policy-related outcomes </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16FAE43A"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32125372"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0418161B"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81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2B14CD8C"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581E2F20"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900" w:type="dxa"/>
            <w:tcBorders>
              <w:top w:val="single" w:color="auto" w:sz="4" w:space="0"/>
              <w:left w:val="nil"/>
              <w:bottom w:val="single" w:color="auto" w:sz="4" w:space="0"/>
              <w:right w:val="single" w:color="auto" w:sz="4" w:space="0"/>
            </w:tcBorders>
          </w:tcPr>
          <w:p w:rsidRPr="00556FFA" w:rsidR="00857EA1" w:rsidP="003A643D" w:rsidRDefault="00857EA1" w14:paraId="08ABD7A5" w14:textId="77777777">
            <w:pPr>
              <w:spacing w:after="0" w:line="240" w:lineRule="auto"/>
              <w:jc w:val="center"/>
              <w:rPr>
                <w:rFonts w:ascii="Calibri" w:hAnsi="Calibri" w:eastAsia="Times New Roman" w:cs="Calibri"/>
                <w:color w:val="000000"/>
              </w:rPr>
            </w:pPr>
          </w:p>
        </w:tc>
        <w:tc>
          <w:tcPr>
            <w:tcW w:w="630" w:type="dxa"/>
            <w:tcBorders>
              <w:top w:val="nil"/>
              <w:left w:val="single" w:color="auto" w:sz="4" w:space="0"/>
              <w:bottom w:val="single" w:color="auto" w:sz="4" w:space="0"/>
              <w:right w:val="single" w:color="auto" w:sz="4" w:space="0"/>
            </w:tcBorders>
            <w:shd w:val="clear" w:color="auto" w:fill="auto"/>
            <w:vAlign w:val="center"/>
            <w:hideMark/>
          </w:tcPr>
          <w:p w:rsidRPr="00556FFA" w:rsidR="00857EA1" w:rsidP="003A643D" w:rsidRDefault="00857EA1" w14:paraId="1902D278" w14:textId="163BA168">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630" w:type="dxa"/>
            <w:tcBorders>
              <w:top w:val="single" w:color="auto" w:sz="4" w:space="0"/>
              <w:left w:val="nil"/>
              <w:bottom w:val="single" w:color="auto" w:sz="4" w:space="0"/>
              <w:right w:val="single" w:color="auto" w:sz="4" w:space="0"/>
            </w:tcBorders>
          </w:tcPr>
          <w:p w:rsidRPr="00556FFA" w:rsidR="00857EA1" w:rsidP="003A643D" w:rsidRDefault="00857EA1" w14:paraId="745EAA7F" w14:textId="77777777">
            <w:pPr>
              <w:spacing w:after="0" w:line="240" w:lineRule="auto"/>
              <w:jc w:val="center"/>
              <w:rPr>
                <w:rFonts w:ascii="Calibri" w:hAnsi="Calibri" w:eastAsia="Times New Roman" w:cs="Calibri"/>
                <w:color w:val="000000"/>
              </w:rPr>
            </w:pPr>
          </w:p>
        </w:tc>
        <w:tc>
          <w:tcPr>
            <w:tcW w:w="900" w:type="dxa"/>
            <w:tcBorders>
              <w:top w:val="nil"/>
              <w:left w:val="single" w:color="auto" w:sz="4" w:space="0"/>
              <w:bottom w:val="single" w:color="auto" w:sz="4" w:space="0"/>
              <w:right w:val="single" w:color="auto" w:sz="4" w:space="0"/>
            </w:tcBorders>
            <w:shd w:val="clear" w:color="auto" w:fill="auto"/>
            <w:vAlign w:val="center"/>
            <w:hideMark/>
          </w:tcPr>
          <w:p w:rsidRPr="00556FFA" w:rsidR="00857EA1" w:rsidP="003A643D" w:rsidRDefault="00857EA1" w14:paraId="1C50F207" w14:textId="072D6A96">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6861C55E"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r>
      <w:tr w:rsidRPr="00556FFA" w:rsidR="004D2E92" w:rsidTr="004D2E92" w14:paraId="57FB85BF" w14:textId="52D81DE0">
        <w:trPr>
          <w:trHeight w:val="832"/>
          <w:jc w:val="center"/>
        </w:trPr>
        <w:tc>
          <w:tcPr>
            <w:tcW w:w="2965" w:type="dxa"/>
            <w:tcBorders>
              <w:top w:val="nil"/>
              <w:left w:val="single" w:color="auto" w:sz="4" w:space="0"/>
              <w:bottom w:val="single" w:color="auto" w:sz="4" w:space="0"/>
              <w:right w:val="single" w:color="auto" w:sz="4" w:space="0"/>
            </w:tcBorders>
            <w:shd w:val="clear" w:color="auto" w:fill="auto"/>
            <w:vAlign w:val="center"/>
            <w:hideMark/>
          </w:tcPr>
          <w:p w:rsidRPr="004D3055" w:rsidR="00857EA1" w:rsidP="003A643D" w:rsidRDefault="00857EA1" w14:paraId="1228B5E5" w14:textId="77777777">
            <w:pPr>
              <w:spacing w:after="0" w:line="240" w:lineRule="auto"/>
              <w:rPr>
                <w:rFonts w:ascii="Calibri" w:hAnsi="Calibri" w:eastAsia="Times New Roman" w:cs="Calibri"/>
                <w:color w:val="000000"/>
                <w:sz w:val="20"/>
                <w:szCs w:val="20"/>
              </w:rPr>
            </w:pPr>
            <w:r w:rsidRPr="004D3055">
              <w:rPr>
                <w:rFonts w:ascii="Calibri" w:hAnsi="Calibri" w:eastAsia="Times New Roman" w:cs="Calibri"/>
                <w:color w:val="000000"/>
                <w:sz w:val="20"/>
                <w:szCs w:val="20"/>
              </w:rPr>
              <w:t>Objective 2: Provide estimates to determine the extent to which the program is more or less effective for key subgroups</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3ED6CFB5"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51EB3176"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46D56C7C"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81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04AFAB1D"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624437BF"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900" w:type="dxa"/>
            <w:tcBorders>
              <w:top w:val="single" w:color="auto" w:sz="4" w:space="0"/>
              <w:left w:val="nil"/>
              <w:bottom w:val="single" w:color="auto" w:sz="4" w:space="0"/>
              <w:right w:val="single" w:color="auto" w:sz="4" w:space="0"/>
            </w:tcBorders>
          </w:tcPr>
          <w:p w:rsidRPr="00556FFA" w:rsidR="00857EA1" w:rsidP="003A643D" w:rsidRDefault="00857EA1" w14:paraId="1B1FE755" w14:textId="77777777">
            <w:pPr>
              <w:spacing w:after="0" w:line="240" w:lineRule="auto"/>
              <w:jc w:val="center"/>
              <w:rPr>
                <w:rFonts w:ascii="Calibri" w:hAnsi="Calibri" w:eastAsia="Times New Roman" w:cs="Calibri"/>
                <w:color w:val="000000"/>
              </w:rPr>
            </w:pPr>
          </w:p>
        </w:tc>
        <w:tc>
          <w:tcPr>
            <w:tcW w:w="630" w:type="dxa"/>
            <w:tcBorders>
              <w:top w:val="nil"/>
              <w:left w:val="single" w:color="auto" w:sz="4" w:space="0"/>
              <w:bottom w:val="single" w:color="auto" w:sz="4" w:space="0"/>
              <w:right w:val="single" w:color="auto" w:sz="4" w:space="0"/>
            </w:tcBorders>
            <w:shd w:val="clear" w:color="auto" w:fill="auto"/>
            <w:vAlign w:val="center"/>
            <w:hideMark/>
          </w:tcPr>
          <w:p w:rsidRPr="00556FFA" w:rsidR="00857EA1" w:rsidP="003A643D" w:rsidRDefault="00857EA1" w14:paraId="6E1B8DC6" w14:textId="437C85A5">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630" w:type="dxa"/>
            <w:tcBorders>
              <w:top w:val="single" w:color="auto" w:sz="4" w:space="0"/>
              <w:left w:val="nil"/>
              <w:bottom w:val="single" w:color="auto" w:sz="4" w:space="0"/>
              <w:right w:val="single" w:color="auto" w:sz="4" w:space="0"/>
            </w:tcBorders>
          </w:tcPr>
          <w:p w:rsidRPr="00556FFA" w:rsidR="00857EA1" w:rsidP="003A643D" w:rsidRDefault="00857EA1" w14:paraId="4C0A9CA6" w14:textId="77777777">
            <w:pPr>
              <w:spacing w:after="0" w:line="240" w:lineRule="auto"/>
              <w:jc w:val="center"/>
              <w:rPr>
                <w:rFonts w:ascii="Calibri" w:hAnsi="Calibri" w:eastAsia="Times New Roman" w:cs="Calibri"/>
                <w:color w:val="000000"/>
              </w:rPr>
            </w:pPr>
          </w:p>
        </w:tc>
        <w:tc>
          <w:tcPr>
            <w:tcW w:w="900" w:type="dxa"/>
            <w:tcBorders>
              <w:top w:val="nil"/>
              <w:left w:val="single" w:color="auto" w:sz="4" w:space="0"/>
              <w:bottom w:val="single" w:color="auto" w:sz="4" w:space="0"/>
              <w:right w:val="single" w:color="auto" w:sz="4" w:space="0"/>
            </w:tcBorders>
            <w:shd w:val="clear" w:color="auto" w:fill="auto"/>
            <w:vAlign w:val="center"/>
            <w:hideMark/>
          </w:tcPr>
          <w:p w:rsidRPr="00556FFA" w:rsidR="00857EA1" w:rsidP="003A643D" w:rsidRDefault="00857EA1" w14:paraId="321ADAA5" w14:textId="6EBFB834">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4B42AD34"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r>
      <w:tr w:rsidRPr="00556FFA" w:rsidR="004D2E92" w:rsidTr="004D2E92" w14:paraId="61A09144" w14:textId="1D80D5E9">
        <w:trPr>
          <w:trHeight w:val="832"/>
          <w:jc w:val="center"/>
        </w:trPr>
        <w:tc>
          <w:tcPr>
            <w:tcW w:w="2965" w:type="dxa"/>
            <w:tcBorders>
              <w:top w:val="nil"/>
              <w:left w:val="single" w:color="auto" w:sz="4" w:space="0"/>
              <w:bottom w:val="single" w:color="auto" w:sz="4" w:space="0"/>
              <w:right w:val="single" w:color="auto" w:sz="4" w:space="0"/>
            </w:tcBorders>
            <w:shd w:val="clear" w:color="auto" w:fill="auto"/>
            <w:vAlign w:val="center"/>
            <w:hideMark/>
          </w:tcPr>
          <w:p w:rsidRPr="004D3055" w:rsidR="00857EA1" w:rsidP="003A643D" w:rsidRDefault="00857EA1" w14:paraId="6746D2C4" w14:textId="561D196A">
            <w:pPr>
              <w:spacing w:after="0" w:line="240" w:lineRule="auto"/>
              <w:rPr>
                <w:rFonts w:ascii="Calibri" w:hAnsi="Calibri" w:eastAsia="Times New Roman" w:cs="Calibri"/>
                <w:color w:val="000000"/>
                <w:sz w:val="20"/>
                <w:szCs w:val="20"/>
              </w:rPr>
            </w:pPr>
            <w:r w:rsidRPr="004D3055">
              <w:rPr>
                <w:rFonts w:ascii="Calibri" w:hAnsi="Calibri" w:eastAsia="Times New Roman" w:cs="Calibri"/>
                <w:color w:val="000000"/>
                <w:sz w:val="20"/>
                <w:szCs w:val="20"/>
              </w:rPr>
              <w:t>Objective 3: Create links from features of program implementation to youth outcomes</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23109600"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4E574DF3"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977AE5" w14:paraId="065635DA" w14:textId="23C7C689">
            <w:pPr>
              <w:spacing w:after="0" w:line="240" w:lineRule="auto"/>
              <w:jc w:val="center"/>
              <w:rPr>
                <w:rFonts w:ascii="Calibri" w:hAnsi="Calibri" w:eastAsia="Times New Roman" w:cs="Calibri"/>
                <w:color w:val="000000"/>
              </w:rPr>
            </w:pPr>
            <w:r>
              <w:rPr>
                <w:rFonts w:ascii="Calibri" w:hAnsi="Calibri" w:eastAsia="Times New Roman" w:cs="Calibri"/>
                <w:color w:val="000000"/>
              </w:rPr>
              <w:t>x</w:t>
            </w:r>
          </w:p>
        </w:tc>
        <w:tc>
          <w:tcPr>
            <w:tcW w:w="81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345CA61E"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615D9008"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900" w:type="dxa"/>
            <w:tcBorders>
              <w:top w:val="single" w:color="auto" w:sz="4" w:space="0"/>
              <w:left w:val="nil"/>
              <w:bottom w:val="single" w:color="auto" w:sz="4" w:space="0"/>
              <w:right w:val="single" w:color="auto" w:sz="4" w:space="0"/>
            </w:tcBorders>
          </w:tcPr>
          <w:p w:rsidRPr="00556FFA" w:rsidR="00857EA1" w:rsidP="003A643D" w:rsidRDefault="00857EA1" w14:paraId="6C58E62F" w14:textId="77777777">
            <w:pPr>
              <w:spacing w:after="0" w:line="240" w:lineRule="auto"/>
              <w:jc w:val="center"/>
              <w:rPr>
                <w:rFonts w:ascii="Calibri" w:hAnsi="Calibri" w:eastAsia="Times New Roman" w:cs="Calibri"/>
                <w:color w:val="000000"/>
              </w:rPr>
            </w:pPr>
          </w:p>
        </w:tc>
        <w:tc>
          <w:tcPr>
            <w:tcW w:w="630" w:type="dxa"/>
            <w:tcBorders>
              <w:top w:val="nil"/>
              <w:left w:val="single" w:color="auto" w:sz="4" w:space="0"/>
              <w:bottom w:val="single" w:color="auto" w:sz="4" w:space="0"/>
              <w:right w:val="single" w:color="auto" w:sz="4" w:space="0"/>
            </w:tcBorders>
            <w:shd w:val="clear" w:color="auto" w:fill="auto"/>
            <w:vAlign w:val="center"/>
            <w:hideMark/>
          </w:tcPr>
          <w:p w:rsidRPr="00556FFA" w:rsidR="00857EA1" w:rsidP="003A643D" w:rsidRDefault="00857EA1" w14:paraId="5D6B7984" w14:textId="31FA59EF">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630" w:type="dxa"/>
            <w:tcBorders>
              <w:top w:val="single" w:color="auto" w:sz="4" w:space="0"/>
              <w:left w:val="nil"/>
              <w:bottom w:val="single" w:color="auto" w:sz="4" w:space="0"/>
              <w:right w:val="single" w:color="auto" w:sz="4" w:space="0"/>
            </w:tcBorders>
          </w:tcPr>
          <w:p w:rsidRPr="00556FFA" w:rsidR="00857EA1" w:rsidP="003A643D" w:rsidRDefault="00857EA1" w14:paraId="7FDA9FFD" w14:textId="77777777">
            <w:pPr>
              <w:spacing w:after="0" w:line="240" w:lineRule="auto"/>
              <w:jc w:val="center"/>
              <w:rPr>
                <w:rFonts w:ascii="Calibri" w:hAnsi="Calibri" w:eastAsia="Times New Roman" w:cs="Calibri"/>
                <w:color w:val="000000"/>
              </w:rPr>
            </w:pPr>
          </w:p>
        </w:tc>
        <w:tc>
          <w:tcPr>
            <w:tcW w:w="900" w:type="dxa"/>
            <w:tcBorders>
              <w:top w:val="nil"/>
              <w:left w:val="single" w:color="auto" w:sz="4" w:space="0"/>
              <w:bottom w:val="single" w:color="auto" w:sz="4" w:space="0"/>
              <w:right w:val="single" w:color="auto" w:sz="4" w:space="0"/>
            </w:tcBorders>
            <w:shd w:val="clear" w:color="auto" w:fill="auto"/>
            <w:vAlign w:val="center"/>
            <w:hideMark/>
          </w:tcPr>
          <w:p w:rsidRPr="00556FFA" w:rsidR="00857EA1" w:rsidP="003A643D" w:rsidRDefault="00857EA1" w14:paraId="7F21AB65" w14:textId="4E286C96">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49B937DA"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r>
      <w:tr w:rsidRPr="00556FFA" w:rsidR="004D2E92" w:rsidTr="004D2E92" w14:paraId="70C6A124" w14:textId="40D80750">
        <w:trPr>
          <w:trHeight w:val="416"/>
          <w:jc w:val="center"/>
        </w:trPr>
        <w:tc>
          <w:tcPr>
            <w:tcW w:w="2965" w:type="dxa"/>
            <w:tcBorders>
              <w:top w:val="nil"/>
              <w:left w:val="single" w:color="auto" w:sz="4" w:space="0"/>
              <w:bottom w:val="single" w:color="auto" w:sz="4" w:space="0"/>
              <w:right w:val="single" w:color="auto" w:sz="4" w:space="0"/>
            </w:tcBorders>
            <w:shd w:val="clear" w:color="auto" w:fill="auto"/>
            <w:vAlign w:val="center"/>
            <w:hideMark/>
          </w:tcPr>
          <w:p w:rsidRPr="004D3055" w:rsidR="00857EA1" w:rsidP="003A643D" w:rsidRDefault="00857EA1" w14:paraId="67F1CD32" w14:textId="1F326D07">
            <w:pPr>
              <w:spacing w:after="0" w:line="240" w:lineRule="auto"/>
              <w:rPr>
                <w:rFonts w:ascii="Calibri" w:hAnsi="Calibri" w:eastAsia="Times New Roman" w:cs="Calibri"/>
                <w:color w:val="000000"/>
                <w:sz w:val="20"/>
                <w:szCs w:val="20"/>
              </w:rPr>
            </w:pPr>
            <w:r w:rsidRPr="004D3055">
              <w:rPr>
                <w:rFonts w:ascii="Calibri" w:hAnsi="Calibri" w:eastAsia="Times New Roman" w:cs="Calibri"/>
                <w:color w:val="000000"/>
                <w:sz w:val="20"/>
                <w:szCs w:val="20"/>
              </w:rPr>
              <w:t xml:space="preserve">Objective 4: Support </w:t>
            </w:r>
            <w:r>
              <w:rPr>
                <w:rFonts w:ascii="Calibri" w:hAnsi="Calibri" w:eastAsia="Times New Roman" w:cs="Calibri"/>
                <w:color w:val="000000"/>
                <w:sz w:val="20"/>
                <w:szCs w:val="20"/>
              </w:rPr>
              <w:t xml:space="preserve">interpretation of </w:t>
            </w:r>
            <w:r w:rsidRPr="004D3055">
              <w:rPr>
                <w:rFonts w:ascii="Calibri" w:hAnsi="Calibri" w:eastAsia="Times New Roman" w:cs="Calibri"/>
                <w:color w:val="000000"/>
                <w:sz w:val="20"/>
                <w:szCs w:val="20"/>
              </w:rPr>
              <w:t>the model’s impact on outcomes</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4259DBCB"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0C51D26A"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3A01F3EA"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81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77F735D1"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61D87CA6"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900" w:type="dxa"/>
            <w:tcBorders>
              <w:top w:val="single" w:color="auto" w:sz="4" w:space="0"/>
              <w:left w:val="nil"/>
              <w:bottom w:val="single" w:color="auto" w:sz="4" w:space="0"/>
              <w:right w:val="single" w:color="auto" w:sz="4" w:space="0"/>
            </w:tcBorders>
          </w:tcPr>
          <w:p w:rsidRPr="00556FFA" w:rsidR="00857EA1" w:rsidP="003A643D" w:rsidRDefault="00857EA1" w14:paraId="38C728AD" w14:textId="77777777">
            <w:pPr>
              <w:spacing w:after="0" w:line="240" w:lineRule="auto"/>
              <w:jc w:val="center"/>
              <w:rPr>
                <w:rFonts w:ascii="Calibri" w:hAnsi="Calibri" w:eastAsia="Times New Roman" w:cs="Calibri"/>
                <w:color w:val="000000"/>
              </w:rPr>
            </w:pPr>
          </w:p>
        </w:tc>
        <w:tc>
          <w:tcPr>
            <w:tcW w:w="630" w:type="dxa"/>
            <w:tcBorders>
              <w:top w:val="nil"/>
              <w:left w:val="single" w:color="auto" w:sz="4" w:space="0"/>
              <w:bottom w:val="single" w:color="auto" w:sz="4" w:space="0"/>
              <w:right w:val="single" w:color="auto" w:sz="4" w:space="0"/>
            </w:tcBorders>
            <w:shd w:val="clear" w:color="auto" w:fill="auto"/>
            <w:vAlign w:val="center"/>
            <w:hideMark/>
          </w:tcPr>
          <w:p w:rsidRPr="00556FFA" w:rsidR="00857EA1" w:rsidP="003A643D" w:rsidRDefault="00857EA1" w14:paraId="4932D188" w14:textId="29839A6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630" w:type="dxa"/>
            <w:tcBorders>
              <w:top w:val="single" w:color="auto" w:sz="4" w:space="0"/>
              <w:left w:val="nil"/>
              <w:bottom w:val="single" w:color="auto" w:sz="4" w:space="0"/>
              <w:right w:val="single" w:color="auto" w:sz="4" w:space="0"/>
            </w:tcBorders>
          </w:tcPr>
          <w:p w:rsidRPr="00556FFA" w:rsidR="00857EA1" w:rsidP="003A643D" w:rsidRDefault="00857EA1" w14:paraId="74E613D5" w14:textId="77777777">
            <w:pPr>
              <w:spacing w:after="0" w:line="240" w:lineRule="auto"/>
              <w:jc w:val="center"/>
              <w:rPr>
                <w:rFonts w:ascii="Calibri" w:hAnsi="Calibri" w:eastAsia="Times New Roman" w:cs="Calibri"/>
                <w:color w:val="000000"/>
              </w:rPr>
            </w:pPr>
          </w:p>
        </w:tc>
        <w:tc>
          <w:tcPr>
            <w:tcW w:w="900" w:type="dxa"/>
            <w:tcBorders>
              <w:top w:val="nil"/>
              <w:left w:val="single" w:color="auto" w:sz="4" w:space="0"/>
              <w:bottom w:val="single" w:color="auto" w:sz="4" w:space="0"/>
              <w:right w:val="single" w:color="auto" w:sz="4" w:space="0"/>
            </w:tcBorders>
            <w:shd w:val="clear" w:color="auto" w:fill="auto"/>
            <w:vAlign w:val="center"/>
            <w:hideMark/>
          </w:tcPr>
          <w:p w:rsidRPr="00556FFA" w:rsidR="00857EA1" w:rsidP="003A643D" w:rsidRDefault="00857EA1" w14:paraId="3D9D3775" w14:textId="0138A38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5365504E"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r>
      <w:tr w:rsidRPr="00556FFA" w:rsidR="004D2E92" w:rsidTr="004D2E92" w14:paraId="2456F9F9" w14:textId="40044C25">
        <w:trPr>
          <w:trHeight w:val="416"/>
          <w:jc w:val="center"/>
        </w:trPr>
        <w:tc>
          <w:tcPr>
            <w:tcW w:w="2965" w:type="dxa"/>
            <w:tcBorders>
              <w:top w:val="nil"/>
              <w:left w:val="single" w:color="auto" w:sz="4" w:space="0"/>
              <w:bottom w:val="single" w:color="auto" w:sz="4" w:space="0"/>
              <w:right w:val="single" w:color="auto" w:sz="4" w:space="0"/>
            </w:tcBorders>
            <w:shd w:val="clear" w:color="auto" w:fill="auto"/>
            <w:vAlign w:val="center"/>
            <w:hideMark/>
          </w:tcPr>
          <w:p w:rsidRPr="004D3055" w:rsidR="00857EA1" w:rsidP="00857EA1" w:rsidRDefault="00857EA1" w14:paraId="0F20D5FF" w14:textId="4A765D64">
            <w:pPr>
              <w:spacing w:after="0" w:line="240" w:lineRule="auto"/>
              <w:rPr>
                <w:rFonts w:ascii="Calibri" w:hAnsi="Calibri" w:eastAsia="Times New Roman" w:cs="Calibri"/>
                <w:color w:val="000000"/>
                <w:sz w:val="20"/>
                <w:szCs w:val="20"/>
              </w:rPr>
            </w:pPr>
            <w:r w:rsidRPr="004D3055">
              <w:rPr>
                <w:rFonts w:ascii="Calibri" w:hAnsi="Calibri" w:eastAsia="Times New Roman" w:cs="Calibri"/>
                <w:color w:val="000000"/>
                <w:sz w:val="20"/>
                <w:szCs w:val="20"/>
              </w:rPr>
              <w:t xml:space="preserve">Objective 5: Assess Pathways implementation </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857EA1" w:rsidRDefault="00857EA1" w14:paraId="79BE4B1C"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857EA1" w:rsidRDefault="00857EA1" w14:paraId="14546936"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857EA1" w:rsidRDefault="00857EA1" w14:paraId="0554EFCC"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810" w:type="dxa"/>
            <w:tcBorders>
              <w:top w:val="nil"/>
              <w:left w:val="nil"/>
              <w:bottom w:val="single" w:color="auto" w:sz="4" w:space="0"/>
              <w:right w:val="single" w:color="auto" w:sz="4" w:space="0"/>
            </w:tcBorders>
            <w:shd w:val="clear" w:color="auto" w:fill="auto"/>
            <w:vAlign w:val="center"/>
            <w:hideMark/>
          </w:tcPr>
          <w:p w:rsidRPr="00556FFA" w:rsidR="00857EA1" w:rsidP="00857EA1" w:rsidRDefault="00857EA1" w14:paraId="26801AE9"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857EA1" w:rsidRDefault="00857EA1" w14:paraId="1B952028"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900" w:type="dxa"/>
            <w:tcBorders>
              <w:top w:val="single" w:color="auto" w:sz="4" w:space="0"/>
              <w:left w:val="nil"/>
              <w:bottom w:val="single" w:color="auto" w:sz="4" w:space="0"/>
              <w:right w:val="single" w:color="auto" w:sz="4" w:space="0"/>
            </w:tcBorders>
            <w:vAlign w:val="center"/>
          </w:tcPr>
          <w:p w:rsidRPr="00556FFA" w:rsidR="00857EA1" w:rsidP="006C5916" w:rsidRDefault="00857EA1" w14:paraId="2D0938D0" w14:textId="3731CC12">
            <w:pPr>
              <w:spacing w:after="0" w:line="240" w:lineRule="auto"/>
              <w:jc w:val="center"/>
              <w:rPr>
                <w:rFonts w:ascii="Calibri" w:hAnsi="Calibri" w:eastAsia="Times New Roman" w:cs="Calibri"/>
                <w:color w:val="000000"/>
              </w:rPr>
            </w:pPr>
            <w:r>
              <w:rPr>
                <w:rFonts w:ascii="Calibri" w:hAnsi="Calibri" w:eastAsia="Times New Roman" w:cs="Calibri"/>
                <w:color w:val="000000"/>
              </w:rPr>
              <w:t>x</w:t>
            </w:r>
          </w:p>
        </w:tc>
        <w:tc>
          <w:tcPr>
            <w:tcW w:w="630" w:type="dxa"/>
            <w:tcBorders>
              <w:top w:val="nil"/>
              <w:left w:val="single" w:color="auto" w:sz="4" w:space="0"/>
              <w:bottom w:val="single" w:color="auto" w:sz="4" w:space="0"/>
              <w:right w:val="single" w:color="auto" w:sz="4" w:space="0"/>
            </w:tcBorders>
            <w:shd w:val="clear" w:color="auto" w:fill="auto"/>
            <w:vAlign w:val="center"/>
            <w:hideMark/>
          </w:tcPr>
          <w:p w:rsidRPr="00556FFA" w:rsidR="00857EA1" w:rsidP="00857EA1" w:rsidRDefault="00857EA1" w14:paraId="42FF6B42" w14:textId="4B7044B9">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630" w:type="dxa"/>
            <w:tcBorders>
              <w:top w:val="single" w:color="auto" w:sz="4" w:space="0"/>
              <w:left w:val="nil"/>
              <w:bottom w:val="single" w:color="auto" w:sz="4" w:space="0"/>
              <w:right w:val="single" w:color="auto" w:sz="4" w:space="0"/>
            </w:tcBorders>
            <w:vAlign w:val="center"/>
          </w:tcPr>
          <w:p w:rsidRPr="00556FFA" w:rsidR="00857EA1" w:rsidP="00857EA1" w:rsidRDefault="00857EA1" w14:paraId="768CA0A4" w14:textId="58B25C19">
            <w:pPr>
              <w:spacing w:after="0" w:line="240" w:lineRule="auto"/>
              <w:jc w:val="center"/>
              <w:rPr>
                <w:rFonts w:ascii="Calibri" w:hAnsi="Calibri" w:eastAsia="Times New Roman" w:cs="Calibri"/>
                <w:color w:val="000000"/>
              </w:rPr>
            </w:pPr>
            <w:r>
              <w:rPr>
                <w:rFonts w:ascii="Calibri" w:hAnsi="Calibri" w:eastAsia="Times New Roman" w:cs="Calibri"/>
                <w:color w:val="000000"/>
              </w:rPr>
              <w:t>x</w:t>
            </w:r>
          </w:p>
        </w:tc>
        <w:tc>
          <w:tcPr>
            <w:tcW w:w="900" w:type="dxa"/>
            <w:tcBorders>
              <w:top w:val="nil"/>
              <w:left w:val="single" w:color="auto" w:sz="4" w:space="0"/>
              <w:bottom w:val="single" w:color="auto" w:sz="4" w:space="0"/>
              <w:right w:val="single" w:color="auto" w:sz="4" w:space="0"/>
            </w:tcBorders>
            <w:shd w:val="clear" w:color="auto" w:fill="auto"/>
            <w:vAlign w:val="center"/>
            <w:hideMark/>
          </w:tcPr>
          <w:p w:rsidRPr="00556FFA" w:rsidR="00857EA1" w:rsidP="00857EA1" w:rsidRDefault="00857EA1" w14:paraId="5BC29CD0" w14:textId="3993CF83">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720" w:type="dxa"/>
            <w:tcBorders>
              <w:top w:val="nil"/>
              <w:left w:val="nil"/>
              <w:bottom w:val="single" w:color="auto" w:sz="4" w:space="0"/>
              <w:right w:val="single" w:color="auto" w:sz="4" w:space="0"/>
            </w:tcBorders>
            <w:shd w:val="clear" w:color="auto" w:fill="auto"/>
            <w:vAlign w:val="center"/>
            <w:hideMark/>
          </w:tcPr>
          <w:p w:rsidRPr="00556FFA" w:rsidR="00857EA1" w:rsidP="00857EA1" w:rsidRDefault="00857EA1" w14:paraId="5406CF99"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r>
    </w:tbl>
    <w:p w:rsidR="001742F8" w:rsidP="005777B0" w:rsidRDefault="001742F8" w14:paraId="72774CE2" w14:textId="278A2A08">
      <w:pPr>
        <w:pStyle w:val="ParagraphContinued"/>
        <w:rPr>
          <w:strike/>
        </w:rPr>
      </w:pPr>
    </w:p>
    <w:p w:rsidR="004D2E92" w:rsidP="004D2E92" w:rsidRDefault="004D2E92" w14:paraId="7A7B4B25" w14:textId="66FECD44">
      <w:pPr>
        <w:pStyle w:val="Paragraph"/>
      </w:pPr>
    </w:p>
    <w:p w:rsidR="004D2E92" w:rsidP="004D2E92" w:rsidRDefault="004D2E92" w14:paraId="5815893C" w14:textId="4D3EB357">
      <w:pPr>
        <w:pStyle w:val="Paragraph"/>
      </w:pPr>
    </w:p>
    <w:p w:rsidRPr="004D2E92" w:rsidR="004D2E92" w:rsidP="004D2E92" w:rsidRDefault="004D2E92" w14:paraId="7972E3B3" w14:textId="77777777">
      <w:pPr>
        <w:pStyle w:val="Paragraph"/>
      </w:pPr>
    </w:p>
    <w:p w:rsidR="008E2382" w:rsidP="00A42C71" w:rsidRDefault="00A42C71" w14:paraId="208CE44C" w14:textId="1C2EA0BF">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lastRenderedPageBreak/>
        <w:t xml:space="preserve">B4. </w:t>
      </w:r>
      <w:r w:rsidRPr="001A59B6">
        <w:rPr>
          <w:rFonts w:eastAsia="Times New Roman" w:cstheme="minorHAnsi"/>
          <w:b/>
          <w:bCs/>
          <w:color w:val="000000"/>
        </w:rPr>
        <w:tab/>
        <w:t>Collection of Data and Quality Control</w:t>
      </w:r>
    </w:p>
    <w:p w:rsidRPr="00BA6BF9" w:rsidR="00F95629" w:rsidP="00F95629" w:rsidRDefault="00F95629" w14:paraId="64DCE6B9" w14:textId="77777777">
      <w:pPr>
        <w:autoSpaceDE w:val="0"/>
        <w:autoSpaceDN w:val="0"/>
        <w:adjustRightInd w:val="0"/>
        <w:spacing w:after="120" w:line="240" w:lineRule="atLeast"/>
        <w:rPr>
          <w:rFonts w:eastAsia="Times New Roman" w:cstheme="minorHAnsi"/>
          <w:i/>
          <w:iCs/>
          <w:color w:val="000000"/>
        </w:rPr>
      </w:pPr>
      <w:r w:rsidRPr="00BA6BF9">
        <w:rPr>
          <w:rFonts w:eastAsia="Times New Roman" w:cstheme="minorHAnsi"/>
          <w:i/>
          <w:iCs/>
          <w:color w:val="000000"/>
        </w:rPr>
        <w:t>Impact Study</w:t>
      </w:r>
    </w:p>
    <w:p w:rsidR="00CF5D0B" w:rsidP="00186E1D" w:rsidRDefault="00F94F7F" w14:paraId="39600D59" w14:textId="7778792A">
      <w:pPr>
        <w:pStyle w:val="ListParagraph"/>
        <w:spacing w:after="0" w:line="240" w:lineRule="auto"/>
        <w:ind w:left="0"/>
      </w:pPr>
      <w:r>
        <w:t xml:space="preserve">As previously mentioned, </w:t>
      </w:r>
      <w:r w:rsidRPr="00282314" w:rsidR="00F95629">
        <w:t>Chafee workers in</w:t>
      </w:r>
      <w:r w:rsidRPr="00282314">
        <w:t xml:space="preserve"> </w:t>
      </w:r>
      <w:r>
        <w:t>the</w:t>
      </w:r>
      <w:r w:rsidR="003A643D">
        <w:t xml:space="preserve"> </w:t>
      </w:r>
      <w:r w:rsidRPr="00282314" w:rsidR="00F95629">
        <w:t xml:space="preserve">treatment and comparison </w:t>
      </w:r>
      <w:r w:rsidR="00E612DF">
        <w:t>sites</w:t>
      </w:r>
      <w:r w:rsidRPr="00282314" w:rsidR="00E612DF">
        <w:t xml:space="preserve"> </w:t>
      </w:r>
      <w:r w:rsidRPr="00282314" w:rsidR="00F95629">
        <w:t xml:space="preserve">will </w:t>
      </w:r>
      <w:r>
        <w:t>use the Pathways eligibility screening process to identify youth</w:t>
      </w:r>
      <w:r w:rsidR="00615D00">
        <w:t xml:space="preserve"> and young adults</w:t>
      </w:r>
      <w:r>
        <w:t xml:space="preserve"> who are eligible for the study.</w:t>
      </w:r>
      <w:r w:rsidRPr="00282314" w:rsidR="00F95629">
        <w:t xml:space="preserve"> </w:t>
      </w:r>
      <w:r w:rsidR="00DC5A5A">
        <w:t xml:space="preserve"> </w:t>
      </w:r>
      <w:r>
        <w:t xml:space="preserve">Eligible youth </w:t>
      </w:r>
      <w:r w:rsidR="00615D00">
        <w:t xml:space="preserve">and young adults </w:t>
      </w:r>
      <w:r w:rsidRPr="00282314" w:rsidR="00F95629">
        <w:t xml:space="preserve">will </w:t>
      </w:r>
      <w:proofErr w:type="gramStart"/>
      <w:r w:rsidRPr="00282314" w:rsidR="00F95629">
        <w:t xml:space="preserve">be </w:t>
      </w:r>
      <w:r w:rsidR="00F95629">
        <w:t>invited</w:t>
      </w:r>
      <w:proofErr w:type="gramEnd"/>
      <w:r w:rsidR="00F95629">
        <w:t xml:space="preserve"> to participate</w:t>
      </w:r>
      <w:r w:rsidRPr="00282314" w:rsidR="00F95629">
        <w:t xml:space="preserve"> in</w:t>
      </w:r>
      <w:r>
        <w:t xml:space="preserve"> the SYSIL study</w:t>
      </w:r>
      <w:r w:rsidRPr="00282314" w:rsidR="00F95629">
        <w:t xml:space="preserve">. Their assigned Chafee worker will describe the study opportunity and the benefits of participation and </w:t>
      </w:r>
      <w:r w:rsidR="00F95629">
        <w:t>assure</w:t>
      </w:r>
      <w:r w:rsidRPr="00282314" w:rsidR="00F95629">
        <w:t xml:space="preserve"> the youth</w:t>
      </w:r>
      <w:r w:rsidR="00D018CD">
        <w:t xml:space="preserve"> and young adults</w:t>
      </w:r>
      <w:r w:rsidRPr="00282314" w:rsidR="00F95629">
        <w:t xml:space="preserve"> </w:t>
      </w:r>
      <w:r w:rsidR="00F95629">
        <w:t xml:space="preserve">that </w:t>
      </w:r>
      <w:r w:rsidRPr="00282314" w:rsidR="00F95629">
        <w:t xml:space="preserve">they will receive services even if they </w:t>
      </w:r>
      <w:r w:rsidR="004244DD">
        <w:t xml:space="preserve">do </w:t>
      </w:r>
      <w:r w:rsidR="00F95629">
        <w:t xml:space="preserve">not </w:t>
      </w:r>
      <w:r w:rsidRPr="00282314" w:rsidR="00F95629">
        <w:t xml:space="preserve">to participate in the study. If the youth </w:t>
      </w:r>
      <w:r w:rsidR="00D018CD">
        <w:t xml:space="preserve">and young adults </w:t>
      </w:r>
      <w:r w:rsidRPr="00282314" w:rsidR="00F95629">
        <w:t xml:space="preserve">are interested in participating in the study, </w:t>
      </w:r>
      <w:r w:rsidR="004244DD">
        <w:t xml:space="preserve">then their Chafee worker will collect consent (or assent) </w:t>
      </w:r>
      <w:r w:rsidRPr="00282314" w:rsidR="00F95629">
        <w:t>and move to the first stage of data collection</w:t>
      </w:r>
      <w:r w:rsidR="00FB04B3">
        <w:t>: using a phone or tablet  completing their baseline survey</w:t>
      </w:r>
      <w:r w:rsidRPr="00282314" w:rsidR="00F95629">
        <w:t>.</w:t>
      </w:r>
      <w:r w:rsidRPr="00282314" w:rsidR="00F95629">
        <w:rPr>
          <w:rStyle w:val="FootnoteReference"/>
          <w:rFonts w:cstheme="minorHAnsi"/>
          <w:szCs w:val="24"/>
        </w:rPr>
        <w:footnoteReference w:id="5"/>
      </w:r>
      <w:r w:rsidR="00215074">
        <w:t xml:space="preserve"> </w:t>
      </w:r>
      <w:r w:rsidR="00186E1D">
        <w:t xml:space="preserve">The baseline survey is a self-administered, web-based survey that youth </w:t>
      </w:r>
      <w:r w:rsidR="00D018CD">
        <w:t xml:space="preserve">and young adults </w:t>
      </w:r>
      <w:r w:rsidR="00186E1D">
        <w:t xml:space="preserve">will complete using a Mathematica-provided cell phone or tablet computer. </w:t>
      </w:r>
      <w:r w:rsidR="007F0E92">
        <w:t xml:space="preserve">If youth are unable to complete the survey on the phone, they will </w:t>
      </w:r>
      <w:proofErr w:type="gramStart"/>
      <w:r w:rsidR="007F0E92">
        <w:t>be given</w:t>
      </w:r>
      <w:proofErr w:type="gramEnd"/>
      <w:r w:rsidR="007F0E92">
        <w:t xml:space="preserve"> the option to call in to Mathematica’s Survey Operations Center and complete the survey with a trained interviewer over the phone. </w:t>
      </w:r>
      <w:r w:rsidR="00186E1D">
        <w:t>Chafee workers will also oversee administration of the 6-month follow-up survey to the youth</w:t>
      </w:r>
      <w:r w:rsidR="00D018CD">
        <w:t xml:space="preserve"> and young adults</w:t>
      </w:r>
      <w:r w:rsidR="00186E1D">
        <w:t xml:space="preserve"> following the same procedures as the baseline survey.</w:t>
      </w:r>
      <w:r w:rsidR="007F0E92">
        <w:t xml:space="preserve"> </w:t>
      </w:r>
    </w:p>
    <w:p w:rsidRPr="00186E1D" w:rsidR="00186E1D" w:rsidP="00186E1D" w:rsidRDefault="00186E1D" w14:paraId="197F735E" w14:textId="77777777">
      <w:pPr>
        <w:pStyle w:val="ListParagraph"/>
        <w:spacing w:after="0" w:line="240" w:lineRule="auto"/>
        <w:ind w:left="0"/>
      </w:pPr>
    </w:p>
    <w:p w:rsidR="0034369A" w:rsidP="001E7D54" w:rsidRDefault="00186E1D" w14:paraId="25EDE090" w14:textId="3AD1DA83">
      <w:pPr>
        <w:pStyle w:val="Paragraph"/>
        <w:spacing w:after="0"/>
        <w:rPr>
          <w:rFonts w:eastAsia="Times New Roman"/>
        </w:rPr>
      </w:pPr>
      <w:r>
        <w:rPr>
          <w:rFonts w:eastAsia="Times New Roman"/>
        </w:rPr>
        <w:t>The 12- and 24-month follow-up surveys will not be presided over by Chafee workers. Mathematica will reach out directly to the youth via email, text, phone, and mail to invite them to complete the surveys on their own over the web</w:t>
      </w:r>
      <w:r w:rsidR="00D018CD">
        <w:rPr>
          <w:rFonts w:eastAsia="Times New Roman"/>
        </w:rPr>
        <w:t xml:space="preserve"> (Appendix C)</w:t>
      </w:r>
      <w:r>
        <w:rPr>
          <w:rFonts w:eastAsia="Times New Roman"/>
        </w:rPr>
        <w:t>. For the 12- and 24-month follow-up surveys, the youth will also have the option to complete the survey over the phone with a trained Mathematica interviewer. For hard-to-reach youth, trained local Mathematica staff will go into the field</w:t>
      </w:r>
      <w:r>
        <w:rPr>
          <w:rStyle w:val="FootnoteReference"/>
          <w:rFonts w:eastAsia="Times New Roman"/>
        </w:rPr>
        <w:footnoteReference w:id="6"/>
      </w:r>
      <w:r>
        <w:rPr>
          <w:rFonts w:eastAsia="Times New Roman"/>
        </w:rPr>
        <w:t xml:space="preserve"> to locate youth in-person and ask them to complete the survey either over the web or by phone.    </w:t>
      </w:r>
    </w:p>
    <w:p w:rsidR="00186E1D" w:rsidP="001E7D54" w:rsidRDefault="00186E1D" w14:paraId="056CEF19" w14:textId="3789361E">
      <w:pPr>
        <w:pStyle w:val="Paragraph"/>
        <w:spacing w:after="0"/>
      </w:pPr>
      <w:r>
        <w:rPr>
          <w:rFonts w:eastAsia="Times New Roman"/>
        </w:rPr>
        <w:t xml:space="preserve">   </w:t>
      </w:r>
    </w:p>
    <w:p w:rsidR="006F5AE4" w:rsidP="001E7D54" w:rsidRDefault="00F95629" w14:paraId="3646130C" w14:textId="050FA852">
      <w:pPr>
        <w:pStyle w:val="Paragraph"/>
        <w:spacing w:after="0"/>
        <w:rPr>
          <w:rFonts w:eastAsia="Times New Roman"/>
        </w:rPr>
      </w:pPr>
      <w:r>
        <w:rPr>
          <w:rFonts w:eastAsia="Times New Roman"/>
        </w:rPr>
        <w:t xml:space="preserve">Mathematica will </w:t>
      </w:r>
      <w:r w:rsidR="00D65323">
        <w:rPr>
          <w:rFonts w:eastAsia="Times New Roman"/>
        </w:rPr>
        <w:t xml:space="preserve">train staff to collect consent and administer the surveys with </w:t>
      </w:r>
      <w:r>
        <w:rPr>
          <w:rFonts w:eastAsia="Times New Roman"/>
        </w:rPr>
        <w:t>evaluation-specific training ma</w:t>
      </w:r>
      <w:r w:rsidR="00D65323">
        <w:rPr>
          <w:rFonts w:eastAsia="Times New Roman"/>
        </w:rPr>
        <w:t>terials</w:t>
      </w:r>
      <w:r>
        <w:rPr>
          <w:rFonts w:eastAsia="Times New Roman"/>
        </w:rPr>
        <w:t xml:space="preserve">, which will </w:t>
      </w:r>
      <w:proofErr w:type="gramStart"/>
      <w:r>
        <w:rPr>
          <w:rFonts w:eastAsia="Times New Roman"/>
        </w:rPr>
        <w:t>be developed</w:t>
      </w:r>
      <w:proofErr w:type="gramEnd"/>
      <w:r>
        <w:rPr>
          <w:rFonts w:eastAsia="Times New Roman"/>
        </w:rPr>
        <w:t xml:space="preserve"> in advance of data collection and updated as needed. </w:t>
      </w:r>
      <w:r w:rsidR="00D65323">
        <w:rPr>
          <w:rFonts w:eastAsia="Times New Roman"/>
        </w:rPr>
        <w:t>Mathematica will provide staff with various tools throughout the study and periodically conduct r</w:t>
      </w:r>
      <w:r>
        <w:rPr>
          <w:rFonts w:eastAsia="Times New Roman"/>
        </w:rPr>
        <w:t xml:space="preserve">efresher trainings </w:t>
      </w:r>
      <w:r w:rsidR="004E22AE">
        <w:rPr>
          <w:rFonts w:eastAsia="Times New Roman"/>
        </w:rPr>
        <w:t>as needed.</w:t>
      </w:r>
    </w:p>
    <w:p w:rsidR="0034369A" w:rsidP="001E7D54" w:rsidRDefault="0034369A" w14:paraId="44B90D6F" w14:textId="77777777">
      <w:pPr>
        <w:pStyle w:val="Paragraph"/>
        <w:spacing w:after="0"/>
        <w:rPr>
          <w:rFonts w:eastAsia="Times New Roman"/>
        </w:rPr>
      </w:pPr>
    </w:p>
    <w:p w:rsidRPr="00B87962" w:rsidR="008E2382" w:rsidP="001E7D54" w:rsidRDefault="008E2382" w14:paraId="1EC38313" w14:textId="462F2C5B">
      <w:pPr>
        <w:autoSpaceDE w:val="0"/>
        <w:autoSpaceDN w:val="0"/>
        <w:adjustRightInd w:val="0"/>
        <w:spacing w:after="60" w:line="240" w:lineRule="atLeast"/>
        <w:rPr>
          <w:rFonts w:eastAsia="Times New Roman" w:cstheme="minorHAnsi"/>
          <w:i/>
          <w:iCs/>
          <w:color w:val="000000"/>
        </w:rPr>
      </w:pPr>
      <w:r w:rsidRPr="00B87962">
        <w:rPr>
          <w:rFonts w:eastAsia="Times New Roman" w:cstheme="minorHAnsi"/>
          <w:i/>
          <w:iCs/>
          <w:color w:val="000000"/>
        </w:rPr>
        <w:t>Implementation Study</w:t>
      </w:r>
    </w:p>
    <w:p w:rsidRPr="00323946" w:rsidR="00474C6F" w:rsidP="001E7D54" w:rsidRDefault="00213507" w14:paraId="68110A14" w14:textId="2D6AA047">
      <w:pPr>
        <w:pStyle w:val="ParagraphContinued"/>
        <w:spacing w:before="0" w:after="0"/>
        <w:rPr>
          <w:rFonts w:eastAsia="Times New Roman" w:cstheme="minorHAnsi"/>
        </w:rPr>
      </w:pPr>
      <w:r>
        <w:rPr>
          <w:rFonts w:eastAsia="Times New Roman" w:cs="Times New Roman"/>
        </w:rPr>
        <w:t>Mathematica will conduct</w:t>
      </w:r>
      <w:r w:rsidR="007B26A3">
        <w:rPr>
          <w:rFonts w:eastAsia="Times New Roman" w:cs="Times New Roman"/>
        </w:rPr>
        <w:t xml:space="preserve"> the</w:t>
      </w:r>
      <w:r>
        <w:rPr>
          <w:rFonts w:eastAsia="Times New Roman" w:cs="Times New Roman"/>
        </w:rPr>
        <w:t xml:space="preserve"> interviews</w:t>
      </w:r>
      <w:r w:rsidR="000C42D7">
        <w:rPr>
          <w:rFonts w:eastAsia="Times New Roman" w:cs="Times New Roman"/>
        </w:rPr>
        <w:t>,</w:t>
      </w:r>
      <w:r>
        <w:rPr>
          <w:rFonts w:eastAsia="Times New Roman" w:cs="Times New Roman"/>
        </w:rPr>
        <w:t xml:space="preserve"> focus groups</w:t>
      </w:r>
      <w:r w:rsidR="00CE7665">
        <w:rPr>
          <w:rStyle w:val="FootnoteReference"/>
          <w:rFonts w:eastAsia="Times New Roman" w:cs="Times New Roman"/>
        </w:rPr>
        <w:footnoteReference w:id="7"/>
      </w:r>
      <w:r w:rsidR="000C42D7">
        <w:rPr>
          <w:rFonts w:eastAsia="Times New Roman" w:cs="Times New Roman"/>
        </w:rPr>
        <w:t>, and check-in calls</w:t>
      </w:r>
      <w:r>
        <w:rPr>
          <w:rFonts w:eastAsia="Times New Roman" w:cs="Times New Roman"/>
        </w:rPr>
        <w:t xml:space="preserve">. During the site visits, Mathematica will conduct one-on-one </w:t>
      </w:r>
      <w:r w:rsidR="00474C6F">
        <w:rPr>
          <w:rFonts w:eastAsia="Times New Roman" w:cs="Times New Roman"/>
        </w:rPr>
        <w:t xml:space="preserve">interviews </w:t>
      </w:r>
      <w:r w:rsidR="007B26A3">
        <w:rPr>
          <w:rFonts w:eastAsia="Times New Roman" w:cs="Times New Roman"/>
        </w:rPr>
        <w:t xml:space="preserve">with key staff </w:t>
      </w:r>
      <w:r w:rsidR="00474C6F">
        <w:rPr>
          <w:rFonts w:eastAsia="Times New Roman" w:cs="Times New Roman"/>
        </w:rPr>
        <w:t xml:space="preserve">and stakeholders, such as leaders of child welfare agencies and </w:t>
      </w:r>
      <w:r w:rsidR="007B26A3">
        <w:rPr>
          <w:rFonts w:eastAsia="Times New Roman" w:cs="Times New Roman"/>
        </w:rPr>
        <w:t>Chafee workers</w:t>
      </w:r>
      <w:r>
        <w:rPr>
          <w:rFonts w:eastAsia="Times New Roman" w:cs="Times New Roman"/>
        </w:rPr>
        <w:t xml:space="preserve">.  </w:t>
      </w:r>
      <w:r w:rsidR="00A56CE7">
        <w:rPr>
          <w:rFonts w:eastAsia="Times New Roman" w:cstheme="minorHAnsi"/>
        </w:rPr>
        <w:t xml:space="preserve">Check-in calls will be with program directors to document the current services </w:t>
      </w:r>
      <w:proofErr w:type="gramStart"/>
      <w:r w:rsidR="00A56CE7">
        <w:rPr>
          <w:rFonts w:eastAsia="Times New Roman" w:cstheme="minorHAnsi"/>
        </w:rPr>
        <w:t>being offered</w:t>
      </w:r>
      <w:proofErr w:type="gramEnd"/>
      <w:r w:rsidR="00A56CE7">
        <w:rPr>
          <w:rFonts w:eastAsia="Times New Roman" w:cstheme="minorHAnsi"/>
        </w:rPr>
        <w:t xml:space="preserve"> to youth and young adults. </w:t>
      </w:r>
      <w:r>
        <w:rPr>
          <w:rFonts w:eastAsia="Times New Roman" w:cs="Times New Roman"/>
        </w:rPr>
        <w:t xml:space="preserve">Focus groups will </w:t>
      </w:r>
      <w:proofErr w:type="gramStart"/>
      <w:r>
        <w:rPr>
          <w:rFonts w:eastAsia="Times New Roman" w:cs="Times New Roman"/>
        </w:rPr>
        <w:t>be conducted</w:t>
      </w:r>
      <w:proofErr w:type="gramEnd"/>
      <w:r>
        <w:rPr>
          <w:rFonts w:eastAsia="Times New Roman" w:cs="Times New Roman"/>
        </w:rPr>
        <w:t xml:space="preserve"> with participating youth</w:t>
      </w:r>
      <w:r w:rsidR="00A56CE7">
        <w:rPr>
          <w:rFonts w:eastAsia="Times New Roman" w:cs="Times New Roman"/>
        </w:rPr>
        <w:t xml:space="preserve"> and young adults</w:t>
      </w:r>
      <w:r>
        <w:rPr>
          <w:rFonts w:eastAsia="Times New Roman" w:cs="Times New Roman"/>
        </w:rPr>
        <w:t xml:space="preserve">. </w:t>
      </w:r>
      <w:r w:rsidR="007B26A3">
        <w:rPr>
          <w:rFonts w:eastAsia="Times New Roman" w:cs="Times New Roman"/>
        </w:rPr>
        <w:t>The</w:t>
      </w:r>
      <w:r w:rsidDel="007B26A3" w:rsidR="007B26A3">
        <w:rPr>
          <w:rFonts w:eastAsia="Times New Roman" w:cs="Times New Roman"/>
        </w:rPr>
        <w:t xml:space="preserve"> </w:t>
      </w:r>
      <w:r w:rsidR="007B26A3">
        <w:rPr>
          <w:rFonts w:eastAsia="Times New Roman" w:cs="Times New Roman"/>
        </w:rPr>
        <w:t>s</w:t>
      </w:r>
      <w:r w:rsidR="00474C6F">
        <w:rPr>
          <w:rFonts w:eastAsia="Times New Roman" w:cs="Times New Roman"/>
        </w:rPr>
        <w:t>ite visitors will record each interview</w:t>
      </w:r>
      <w:r w:rsidR="00A56CE7">
        <w:rPr>
          <w:rFonts w:eastAsia="Times New Roman" w:cs="Times New Roman"/>
        </w:rPr>
        <w:t>, check-in,</w:t>
      </w:r>
      <w:r w:rsidR="00474C6F">
        <w:rPr>
          <w:rFonts w:eastAsia="Times New Roman" w:cs="Times New Roman"/>
        </w:rPr>
        <w:t xml:space="preserve"> and focus group for </w:t>
      </w:r>
      <w:r w:rsidRPr="00323946" w:rsidR="00474C6F">
        <w:rPr>
          <w:rFonts w:eastAsia="Times New Roman" w:cstheme="minorHAnsi"/>
        </w:rPr>
        <w:t xml:space="preserve">transcription so </w:t>
      </w:r>
      <w:r w:rsidR="007B26A3">
        <w:rPr>
          <w:rFonts w:eastAsia="Times New Roman" w:cstheme="minorHAnsi"/>
        </w:rPr>
        <w:t xml:space="preserve">that </w:t>
      </w:r>
      <w:r w:rsidRPr="00323946" w:rsidR="00474C6F">
        <w:rPr>
          <w:rFonts w:eastAsia="Times New Roman" w:cstheme="minorHAnsi"/>
        </w:rPr>
        <w:t xml:space="preserve">data </w:t>
      </w:r>
      <w:proofErr w:type="gramStart"/>
      <w:r w:rsidR="007B26A3">
        <w:rPr>
          <w:rFonts w:eastAsia="Times New Roman" w:cstheme="minorHAnsi"/>
        </w:rPr>
        <w:t>are</w:t>
      </w:r>
      <w:r w:rsidRPr="00323946" w:rsidR="007B26A3">
        <w:rPr>
          <w:rFonts w:eastAsia="Times New Roman" w:cstheme="minorHAnsi"/>
        </w:rPr>
        <w:t xml:space="preserve"> </w:t>
      </w:r>
      <w:r w:rsidRPr="00323946" w:rsidR="00474C6F">
        <w:rPr>
          <w:rFonts w:eastAsia="Times New Roman" w:cstheme="minorHAnsi"/>
        </w:rPr>
        <w:t>collected</w:t>
      </w:r>
      <w:proofErr w:type="gramEnd"/>
      <w:r w:rsidRPr="00323946" w:rsidR="00474C6F">
        <w:rPr>
          <w:rFonts w:eastAsia="Times New Roman" w:cstheme="minorHAnsi"/>
        </w:rPr>
        <w:t xml:space="preserve"> verbatim for analysis.</w:t>
      </w:r>
      <w:r w:rsidR="000C42D7">
        <w:rPr>
          <w:rFonts w:eastAsia="Times New Roman" w:cstheme="minorHAnsi"/>
        </w:rPr>
        <w:t xml:space="preserve"> </w:t>
      </w:r>
    </w:p>
    <w:p w:rsidR="0034369A" w:rsidP="001E7D54" w:rsidRDefault="0034369A" w14:paraId="547CEFFF" w14:textId="77777777">
      <w:pPr>
        <w:spacing w:after="0" w:line="60" w:lineRule="atLeast"/>
        <w:rPr>
          <w:rFonts w:cstheme="minorHAnsi"/>
        </w:rPr>
      </w:pPr>
    </w:p>
    <w:p w:rsidRPr="00323946" w:rsidR="00474C6F" w:rsidP="001E7D54" w:rsidRDefault="00474C6F" w14:paraId="73BEEFAD" w14:textId="1A9DCC45">
      <w:pPr>
        <w:spacing w:after="0" w:line="60" w:lineRule="atLeast"/>
        <w:rPr>
          <w:rFonts w:cstheme="minorHAnsi"/>
        </w:rPr>
      </w:pPr>
      <w:r w:rsidRPr="00323946">
        <w:rPr>
          <w:rFonts w:cstheme="minorHAnsi"/>
        </w:rPr>
        <w:t xml:space="preserve">We will take several steps to ensure consistent, </w:t>
      </w:r>
      <w:r w:rsidRPr="00323946" w:rsidR="00C07918">
        <w:rPr>
          <w:rFonts w:cstheme="minorHAnsi"/>
        </w:rPr>
        <w:t>high quality</w:t>
      </w:r>
      <w:r w:rsidRPr="00323946">
        <w:rPr>
          <w:rFonts w:cstheme="minorHAnsi"/>
        </w:rPr>
        <w:t xml:space="preserve"> data collection across implementation study sites. Before conducting the site visits</w:t>
      </w:r>
      <w:r w:rsidR="000C42D7">
        <w:rPr>
          <w:rFonts w:cstheme="minorHAnsi"/>
        </w:rPr>
        <w:t xml:space="preserve"> and check-in calls</w:t>
      </w:r>
      <w:r w:rsidRPr="00323946">
        <w:rPr>
          <w:rFonts w:cstheme="minorHAnsi"/>
        </w:rPr>
        <w:t xml:space="preserve">, we will provide training to all </w:t>
      </w:r>
      <w:r w:rsidR="000C42D7">
        <w:rPr>
          <w:rFonts w:cstheme="minorHAnsi"/>
        </w:rPr>
        <w:t xml:space="preserve">implementation </w:t>
      </w:r>
      <w:r w:rsidR="000C42D7">
        <w:rPr>
          <w:rFonts w:cstheme="minorHAnsi"/>
        </w:rPr>
        <w:lastRenderedPageBreak/>
        <w:t xml:space="preserve">study staff </w:t>
      </w:r>
      <w:r w:rsidRPr="00323946">
        <w:rPr>
          <w:rFonts w:cstheme="minorHAnsi"/>
        </w:rPr>
        <w:t xml:space="preserve">to review the implementation study’s research questions </w:t>
      </w:r>
      <w:r w:rsidR="007B26A3">
        <w:rPr>
          <w:rFonts w:cstheme="minorHAnsi"/>
        </w:rPr>
        <w:t xml:space="preserve">as well as </w:t>
      </w:r>
      <w:r w:rsidRPr="00323946">
        <w:rPr>
          <w:rFonts w:cstheme="minorHAnsi"/>
        </w:rPr>
        <w:t xml:space="preserve">interview pitfalls and best practices. </w:t>
      </w:r>
    </w:p>
    <w:p w:rsidR="00F95629" w:rsidP="001E7D54" w:rsidRDefault="00F95629" w14:paraId="7C89F4FC" w14:textId="77777777">
      <w:pPr>
        <w:autoSpaceDE w:val="0"/>
        <w:autoSpaceDN w:val="0"/>
        <w:adjustRightInd w:val="0"/>
        <w:spacing w:after="0" w:line="240" w:lineRule="atLeast"/>
        <w:rPr>
          <w:rFonts w:eastAsia="Times New Roman" w:cstheme="minorHAnsi"/>
          <w:color w:val="000000"/>
        </w:rPr>
      </w:pPr>
    </w:p>
    <w:bookmarkEnd w:id="3"/>
    <w:p w:rsidR="00D27BA1" w:rsidP="004D2E92" w:rsidRDefault="00D27BA1" w14:paraId="2C6866BA" w14:textId="77777777">
      <w:pPr>
        <w:autoSpaceDE w:val="0"/>
        <w:autoSpaceDN w:val="0"/>
        <w:adjustRightInd w:val="0"/>
        <w:spacing w:after="0" w:line="240" w:lineRule="atLeast"/>
        <w:rPr>
          <w:rFonts w:eastAsia="Times New Roman" w:cstheme="minorHAnsi"/>
          <w:b/>
          <w:color w:val="000000"/>
        </w:rPr>
      </w:pPr>
    </w:p>
    <w:p w:rsidRPr="001A59B6" w:rsidR="00A42C71" w:rsidP="00A42C71" w:rsidRDefault="00A42C71" w14:paraId="040C23CA" w14:textId="4F954442">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Pr="001A59B6" w:rsidR="00A42C71" w:rsidP="00A42C71" w:rsidRDefault="00A42C71" w14:paraId="60C5A7FD"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Pr="005A0C6C" w:rsidR="005A0C6C" w:rsidP="00C07D23" w:rsidRDefault="005A0C6C" w14:paraId="5C8779C0" w14:textId="77777777">
      <w:pPr>
        <w:pStyle w:val="Paragraph"/>
        <w:rPr>
          <w:rFonts w:eastAsia="Times New Roman" w:cstheme="minorHAnsi"/>
          <w:i/>
          <w:iCs/>
          <w:color w:val="000000"/>
        </w:rPr>
      </w:pPr>
      <w:r w:rsidRPr="005A0C6C">
        <w:rPr>
          <w:rFonts w:eastAsia="Times New Roman" w:cstheme="minorHAnsi"/>
          <w:i/>
          <w:iCs/>
          <w:color w:val="000000"/>
        </w:rPr>
        <w:t xml:space="preserve">Generalizability </w:t>
      </w:r>
    </w:p>
    <w:p w:rsidRPr="00C07D23" w:rsidR="00E963BE" w:rsidP="00C07D23" w:rsidRDefault="00E963BE" w14:paraId="60E8F1EA" w14:textId="63CD39F1">
      <w:pPr>
        <w:pStyle w:val="Paragraph"/>
        <w:rPr>
          <w:rFonts w:eastAsia="Times New Roman" w:cstheme="minorHAnsi"/>
        </w:rPr>
      </w:pPr>
      <w:r w:rsidRPr="00BC1E9F">
        <w:rPr>
          <w:rFonts w:eastAsia="Times New Roman" w:cstheme="minorHAnsi"/>
          <w:color w:val="000000"/>
        </w:rPr>
        <w:t xml:space="preserve">The </w:t>
      </w:r>
      <w:r w:rsidR="00C13936">
        <w:rPr>
          <w:rFonts w:eastAsia="Times New Roman" w:cstheme="minorHAnsi"/>
          <w:color w:val="000000"/>
        </w:rPr>
        <w:t xml:space="preserve">surveys, </w:t>
      </w:r>
      <w:r w:rsidRPr="00BC1E9F" w:rsidR="00C13936">
        <w:rPr>
          <w:rFonts w:eastAsia="Times New Roman" w:cstheme="minorHAnsi"/>
          <w:color w:val="000000"/>
        </w:rPr>
        <w:t>focus groups</w:t>
      </w:r>
      <w:r w:rsidR="00C13936">
        <w:rPr>
          <w:rFonts w:eastAsia="Times New Roman" w:cstheme="minorHAnsi"/>
          <w:color w:val="000000"/>
        </w:rPr>
        <w:t>,</w:t>
      </w:r>
      <w:r w:rsidRPr="00BC1E9F" w:rsidR="00C13936">
        <w:rPr>
          <w:rFonts w:eastAsia="Times New Roman" w:cstheme="minorHAnsi"/>
          <w:color w:val="000000"/>
        </w:rPr>
        <w:t xml:space="preserve"> interviews</w:t>
      </w:r>
      <w:r w:rsidR="00401204">
        <w:rPr>
          <w:rFonts w:eastAsia="Times New Roman" w:cstheme="minorHAnsi"/>
          <w:color w:val="000000"/>
        </w:rPr>
        <w:t>, and check-ins</w:t>
      </w:r>
      <w:r w:rsidRPr="00BC1E9F" w:rsidR="00C13936">
        <w:rPr>
          <w:rFonts w:eastAsia="Times New Roman" w:cstheme="minorHAnsi"/>
          <w:color w:val="000000"/>
        </w:rPr>
        <w:t xml:space="preserve"> </w:t>
      </w:r>
      <w:proofErr w:type="gramStart"/>
      <w:r w:rsidRPr="00BC1E9F" w:rsidR="00C13936">
        <w:rPr>
          <w:rFonts w:eastAsia="Times New Roman" w:cstheme="minorHAnsi"/>
          <w:color w:val="000000"/>
        </w:rPr>
        <w:t xml:space="preserve">are </w:t>
      </w:r>
      <w:r w:rsidRPr="00BC1E9F">
        <w:rPr>
          <w:rFonts w:eastAsia="Times New Roman" w:cstheme="minorHAnsi"/>
          <w:color w:val="000000"/>
        </w:rPr>
        <w:t>not designed</w:t>
      </w:r>
      <w:proofErr w:type="gramEnd"/>
      <w:r w:rsidRPr="00BC1E9F">
        <w:rPr>
          <w:rFonts w:eastAsia="Times New Roman" w:cstheme="minorHAnsi"/>
          <w:color w:val="000000"/>
        </w:rPr>
        <w:t xml:space="preserve"> to produce statistically generalizable </w:t>
      </w:r>
      <w:r w:rsidRPr="00BC1E9F" w:rsidR="00776CBB">
        <w:rPr>
          <w:rFonts w:eastAsia="Times New Roman" w:cstheme="minorHAnsi"/>
          <w:color w:val="000000"/>
        </w:rPr>
        <w:t>findings</w:t>
      </w:r>
      <w:r w:rsidR="00EE15C2">
        <w:rPr>
          <w:rFonts w:eastAsia="Times New Roman" w:cstheme="minorHAnsi"/>
          <w:color w:val="000000"/>
        </w:rPr>
        <w:t xml:space="preserve"> – the findings will not generalize beyond the participating individuals and </w:t>
      </w:r>
      <w:r w:rsidR="00D575B7">
        <w:rPr>
          <w:rFonts w:eastAsia="Times New Roman" w:cstheme="minorHAnsi"/>
          <w:color w:val="000000"/>
        </w:rPr>
        <w:t xml:space="preserve">sites </w:t>
      </w:r>
      <w:r w:rsidR="00EE15C2">
        <w:rPr>
          <w:rFonts w:eastAsia="Times New Roman" w:cstheme="minorHAnsi"/>
          <w:color w:val="000000"/>
        </w:rPr>
        <w:t>in the study</w:t>
      </w:r>
      <w:r w:rsidR="00776CBB">
        <w:rPr>
          <w:rFonts w:eastAsia="Times New Roman" w:cstheme="minorHAnsi"/>
          <w:color w:val="000000"/>
        </w:rPr>
        <w:t xml:space="preserve">. </w:t>
      </w:r>
    </w:p>
    <w:p w:rsidRPr="005A0C6C" w:rsidR="00A42C71" w:rsidP="00A42C71" w:rsidRDefault="005A0C6C" w14:paraId="0A239E18" w14:textId="6957B59A">
      <w:pPr>
        <w:autoSpaceDE w:val="0"/>
        <w:autoSpaceDN w:val="0"/>
        <w:adjustRightInd w:val="0"/>
        <w:spacing w:after="0" w:line="240" w:lineRule="atLeast"/>
        <w:rPr>
          <w:rFonts w:eastAsia="Times New Roman" w:cstheme="minorHAnsi"/>
          <w:i/>
          <w:iCs/>
          <w:color w:val="000000"/>
        </w:rPr>
      </w:pPr>
      <w:r w:rsidRPr="005A0C6C">
        <w:rPr>
          <w:rFonts w:eastAsia="Times New Roman" w:cstheme="minorHAnsi"/>
          <w:i/>
          <w:iCs/>
          <w:color w:val="000000"/>
        </w:rPr>
        <w:t xml:space="preserve">Comparability </w:t>
      </w:r>
    </w:p>
    <w:p w:rsidR="005A0C6C" w:rsidRDefault="005A0C6C" w14:paraId="5364A752" w14:textId="248A2C1B">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For the surveys, we will </w:t>
      </w:r>
      <w:r w:rsidR="00026DEF">
        <w:rPr>
          <w:rFonts w:eastAsia="Times New Roman" w:cstheme="minorHAnsi"/>
          <w:color w:val="000000"/>
        </w:rPr>
        <w:t>review and analyze</w:t>
      </w:r>
      <w:r>
        <w:rPr>
          <w:rFonts w:eastAsia="Times New Roman" w:cstheme="minorHAnsi"/>
          <w:color w:val="000000"/>
        </w:rPr>
        <w:t xml:space="preserve"> response rates between treatment and comparison groups. We assume </w:t>
      </w:r>
      <w:r w:rsidR="0031635E">
        <w:rPr>
          <w:rFonts w:eastAsia="Times New Roman" w:cstheme="minorHAnsi"/>
          <w:color w:val="000000"/>
        </w:rPr>
        <w:t xml:space="preserve">the following overall response rates: </w:t>
      </w:r>
      <w:r w:rsidR="00605D61">
        <w:rPr>
          <w:rFonts w:eastAsia="Times New Roman" w:cstheme="minorHAnsi"/>
          <w:color w:val="000000"/>
        </w:rPr>
        <w:t xml:space="preserve">90 </w:t>
      </w:r>
      <w:r>
        <w:rPr>
          <w:rFonts w:eastAsia="Times New Roman" w:cstheme="minorHAnsi"/>
          <w:color w:val="000000"/>
        </w:rPr>
        <w:t xml:space="preserve">percent </w:t>
      </w:r>
      <w:r w:rsidR="00605D61">
        <w:rPr>
          <w:rFonts w:eastAsia="Times New Roman" w:cstheme="minorHAnsi"/>
          <w:color w:val="000000"/>
        </w:rPr>
        <w:t>for Follow-up 1 (6 Months)</w:t>
      </w:r>
      <w:r w:rsidR="0031635E">
        <w:rPr>
          <w:rFonts w:eastAsia="Times New Roman" w:cstheme="minorHAnsi"/>
          <w:color w:val="000000"/>
        </w:rPr>
        <w:t xml:space="preserve">; </w:t>
      </w:r>
      <w:r w:rsidR="00605D61">
        <w:rPr>
          <w:rFonts w:eastAsia="Times New Roman" w:cstheme="minorHAnsi"/>
          <w:color w:val="000000"/>
        </w:rPr>
        <w:t>85 percent response rate</w:t>
      </w:r>
      <w:r w:rsidR="004F4769">
        <w:rPr>
          <w:rFonts w:eastAsia="Times New Roman" w:cstheme="minorHAnsi"/>
          <w:color w:val="000000"/>
        </w:rPr>
        <w:t xml:space="preserve"> for Follow-up 2 (12 months)</w:t>
      </w:r>
      <w:r w:rsidR="0031635E">
        <w:rPr>
          <w:rFonts w:eastAsia="Times New Roman" w:cstheme="minorHAnsi"/>
          <w:color w:val="000000"/>
        </w:rPr>
        <w:t>;</w:t>
      </w:r>
      <w:r w:rsidR="004F4769">
        <w:rPr>
          <w:rFonts w:eastAsia="Times New Roman" w:cstheme="minorHAnsi"/>
          <w:color w:val="000000"/>
        </w:rPr>
        <w:t xml:space="preserve"> and a </w:t>
      </w:r>
      <w:r w:rsidR="00605D61">
        <w:rPr>
          <w:rFonts w:eastAsia="Times New Roman" w:cstheme="minorHAnsi"/>
          <w:color w:val="000000"/>
        </w:rPr>
        <w:t>70 percent response rate</w:t>
      </w:r>
      <w:r w:rsidR="004F4769">
        <w:rPr>
          <w:rFonts w:eastAsia="Times New Roman" w:cstheme="minorHAnsi"/>
          <w:color w:val="000000"/>
        </w:rPr>
        <w:t xml:space="preserve"> for </w:t>
      </w:r>
      <w:r w:rsidR="004F1430">
        <w:rPr>
          <w:rFonts w:eastAsia="Times New Roman" w:cstheme="minorHAnsi"/>
          <w:color w:val="000000"/>
        </w:rPr>
        <w:t>Follow-up 3 (24 months)</w:t>
      </w:r>
      <w:r w:rsidR="00605D61">
        <w:rPr>
          <w:rFonts w:eastAsia="Times New Roman" w:cstheme="minorHAnsi"/>
          <w:color w:val="000000"/>
        </w:rPr>
        <w:t>.</w:t>
      </w:r>
      <w:r w:rsidR="004F1430">
        <w:rPr>
          <w:rFonts w:eastAsia="Times New Roman" w:cstheme="minorHAnsi"/>
          <w:color w:val="000000"/>
        </w:rPr>
        <w:t xml:space="preserve"> While we will track overall response rates</w:t>
      </w:r>
      <w:r w:rsidR="0031635E">
        <w:rPr>
          <w:rFonts w:eastAsia="Times New Roman" w:cstheme="minorHAnsi"/>
          <w:color w:val="000000"/>
        </w:rPr>
        <w:t>,</w:t>
      </w:r>
      <w:r w:rsidR="004F1430">
        <w:rPr>
          <w:rFonts w:eastAsia="Times New Roman" w:cstheme="minorHAnsi"/>
          <w:color w:val="000000"/>
        </w:rPr>
        <w:t xml:space="preserve"> </w:t>
      </w:r>
      <w:r w:rsidR="00F45E13">
        <w:rPr>
          <w:rFonts w:eastAsia="Times New Roman" w:cstheme="minorHAnsi"/>
          <w:color w:val="000000"/>
        </w:rPr>
        <w:t xml:space="preserve">the </w:t>
      </w:r>
      <w:r w:rsidR="00755F67">
        <w:rPr>
          <w:rFonts w:eastAsia="Times New Roman" w:cstheme="minorHAnsi"/>
          <w:color w:val="000000"/>
        </w:rPr>
        <w:t xml:space="preserve">focus will be </w:t>
      </w:r>
      <w:r w:rsidR="004F1430">
        <w:rPr>
          <w:rFonts w:eastAsia="Times New Roman" w:cstheme="minorHAnsi"/>
          <w:color w:val="000000"/>
        </w:rPr>
        <w:t>on ob</w:t>
      </w:r>
      <w:r w:rsidR="00F45E13">
        <w:rPr>
          <w:rFonts w:eastAsia="Times New Roman" w:cstheme="minorHAnsi"/>
          <w:color w:val="000000"/>
        </w:rPr>
        <w:t>t</w:t>
      </w:r>
      <w:r w:rsidR="004F1430">
        <w:rPr>
          <w:rFonts w:eastAsia="Times New Roman" w:cstheme="minorHAnsi"/>
          <w:color w:val="000000"/>
        </w:rPr>
        <w:t xml:space="preserve">aining </w:t>
      </w:r>
      <w:r w:rsidR="00755F67">
        <w:rPr>
          <w:rFonts w:eastAsia="Times New Roman" w:cstheme="minorHAnsi"/>
          <w:color w:val="000000"/>
        </w:rPr>
        <w:t>similar response rates between the treatment and comparison groups</w:t>
      </w:r>
      <w:r w:rsidR="0031635E">
        <w:rPr>
          <w:rFonts w:eastAsia="Times New Roman" w:cstheme="minorHAnsi"/>
          <w:color w:val="000000"/>
        </w:rPr>
        <w:t xml:space="preserve"> for comparability</w:t>
      </w:r>
      <w:r w:rsidR="00755F67">
        <w:rPr>
          <w:rFonts w:eastAsia="Times New Roman" w:cstheme="minorHAnsi"/>
          <w:color w:val="000000"/>
        </w:rPr>
        <w:t xml:space="preserve">. </w:t>
      </w:r>
      <w:r w:rsidRPr="007E7CDC" w:rsidR="007E7CDC">
        <w:rPr>
          <w:szCs w:val="24"/>
        </w:rPr>
        <w:t xml:space="preserve"> </w:t>
      </w:r>
      <w:r w:rsidRPr="00F97299" w:rsidR="007E7CDC">
        <w:rPr>
          <w:szCs w:val="24"/>
        </w:rPr>
        <w:t xml:space="preserve">For the follow-up surveys, </w:t>
      </w:r>
      <w:r w:rsidR="007E7CDC">
        <w:rPr>
          <w:szCs w:val="24"/>
        </w:rPr>
        <w:t xml:space="preserve">we </w:t>
      </w:r>
      <w:r w:rsidRPr="00F97299" w:rsidR="007E7CDC">
        <w:rPr>
          <w:szCs w:val="24"/>
        </w:rPr>
        <w:t xml:space="preserve">will conduct non-response follow-up via phone and field, as needed. </w:t>
      </w:r>
      <w:r w:rsidR="007E7CDC">
        <w:rPr>
          <w:rFonts w:eastAsia="Times New Roman" w:cstheme="minorHAnsi"/>
          <w:color w:val="000000"/>
        </w:rPr>
        <w:t xml:space="preserve">Field staff will </w:t>
      </w:r>
      <w:proofErr w:type="gramStart"/>
      <w:r w:rsidR="007E7CDC">
        <w:rPr>
          <w:rFonts w:eastAsia="Times New Roman" w:cstheme="minorHAnsi"/>
          <w:color w:val="000000"/>
        </w:rPr>
        <w:t>be train</w:t>
      </w:r>
      <w:r w:rsidR="00EB3E7D">
        <w:rPr>
          <w:rFonts w:eastAsia="Times New Roman" w:cstheme="minorHAnsi"/>
          <w:color w:val="000000"/>
        </w:rPr>
        <w:t>ed</w:t>
      </w:r>
      <w:proofErr w:type="gramEnd"/>
      <w:r w:rsidR="007E7CDC">
        <w:rPr>
          <w:rFonts w:eastAsia="Times New Roman" w:cstheme="minorHAnsi"/>
          <w:color w:val="000000"/>
        </w:rPr>
        <w:t xml:space="preserve"> on data collection and </w:t>
      </w:r>
      <w:r w:rsidR="00500379">
        <w:rPr>
          <w:rFonts w:eastAsia="Times New Roman" w:cstheme="minorHAnsi"/>
          <w:color w:val="000000"/>
        </w:rPr>
        <w:t>privacy</w:t>
      </w:r>
      <w:r w:rsidR="007E7CDC">
        <w:rPr>
          <w:rFonts w:eastAsia="Times New Roman" w:cstheme="minorHAnsi"/>
          <w:color w:val="000000"/>
        </w:rPr>
        <w:t xml:space="preserve"> procedures</w:t>
      </w:r>
      <w:r w:rsidR="00433317">
        <w:rPr>
          <w:rFonts w:eastAsia="Times New Roman" w:cstheme="minorHAnsi"/>
          <w:color w:val="000000"/>
        </w:rPr>
        <w:t xml:space="preserve">. These trained field </w:t>
      </w:r>
      <w:r w:rsidR="00EB3E7D">
        <w:rPr>
          <w:rFonts w:eastAsia="Times New Roman" w:cstheme="minorHAnsi"/>
          <w:color w:val="000000"/>
        </w:rPr>
        <w:t xml:space="preserve">staff </w:t>
      </w:r>
      <w:r w:rsidR="00433317">
        <w:rPr>
          <w:rFonts w:eastAsia="Times New Roman" w:cstheme="minorHAnsi"/>
          <w:color w:val="000000"/>
        </w:rPr>
        <w:t xml:space="preserve">will assist in achieving desired response rates by using </w:t>
      </w:r>
      <w:r w:rsidR="00050C68">
        <w:rPr>
          <w:rFonts w:eastAsia="Times New Roman" w:cstheme="minorHAnsi"/>
          <w:color w:val="000000"/>
        </w:rPr>
        <w:t xml:space="preserve">locating efforts to find study participants to completes their surveys.  </w:t>
      </w:r>
      <w:r w:rsidR="007E7CDC">
        <w:rPr>
          <w:rFonts w:eastAsia="Times New Roman" w:cstheme="minorHAnsi"/>
          <w:color w:val="000000"/>
        </w:rPr>
        <w:t xml:space="preserve"> </w:t>
      </w:r>
    </w:p>
    <w:p w:rsidRPr="001A59B6" w:rsidR="00755F67" w:rsidP="00A42C71" w:rsidRDefault="00755F67" w14:paraId="08396E5F"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7D020F8F" w14:textId="05A7815E">
      <w:pPr>
        <w:autoSpaceDE w:val="0"/>
        <w:autoSpaceDN w:val="0"/>
        <w:adjustRightInd w:val="0"/>
        <w:spacing w:after="60" w:line="240" w:lineRule="atLeast"/>
        <w:rPr>
          <w:rFonts w:eastAsia="Times New Roman" w:cstheme="minorHAnsi"/>
          <w:i/>
          <w:color w:val="000000"/>
        </w:rPr>
      </w:pPr>
      <w:proofErr w:type="spellStart"/>
      <w:r w:rsidRPr="001A59B6">
        <w:rPr>
          <w:rFonts w:eastAsia="Times New Roman" w:cstheme="minorHAnsi"/>
          <w:i/>
          <w:color w:val="000000"/>
        </w:rPr>
        <w:t>NonResponse</w:t>
      </w:r>
      <w:proofErr w:type="spellEnd"/>
    </w:p>
    <w:p w:rsidR="004306E7" w:rsidP="00906EFA" w:rsidRDefault="0048346F" w14:paraId="333D3F15" w14:textId="354486F9">
      <w:pPr>
        <w:pStyle w:val="Paragraph"/>
        <w:spacing w:after="0"/>
        <w:rPr>
          <w:rFonts w:eastAsia="Calibri"/>
        </w:rPr>
      </w:pPr>
      <w:r>
        <w:rPr>
          <w:rFonts w:eastAsia="Times New Roman" w:cstheme="minorHAnsi"/>
          <w:color w:val="000000"/>
        </w:rPr>
        <w:t>P</w:t>
      </w:r>
      <w:r w:rsidRPr="00C32C8A" w:rsidR="009C6112">
        <w:rPr>
          <w:rFonts w:eastAsia="Times New Roman" w:cstheme="minorHAnsi"/>
          <w:color w:val="000000"/>
        </w:rPr>
        <w:t xml:space="preserve">articipants will not </w:t>
      </w:r>
      <w:proofErr w:type="gramStart"/>
      <w:r w:rsidRPr="00C32C8A" w:rsidR="009C6112">
        <w:rPr>
          <w:rFonts w:eastAsia="Times New Roman" w:cstheme="minorHAnsi"/>
          <w:color w:val="000000"/>
        </w:rPr>
        <w:t>be randomly sampled</w:t>
      </w:r>
      <w:proofErr w:type="gramEnd"/>
      <w:r w:rsidRPr="00C32C8A" w:rsidR="009C6112">
        <w:rPr>
          <w:rFonts w:eastAsia="Times New Roman" w:cstheme="minorHAnsi"/>
          <w:color w:val="000000"/>
        </w:rPr>
        <w:t xml:space="preserve"> and</w:t>
      </w:r>
      <w:r w:rsidR="0028574B">
        <w:rPr>
          <w:rFonts w:eastAsia="Times New Roman" w:cstheme="minorHAnsi"/>
          <w:color w:val="000000"/>
        </w:rPr>
        <w:t xml:space="preserve"> </w:t>
      </w:r>
      <w:r w:rsidRPr="00C32C8A" w:rsidR="009C6112">
        <w:rPr>
          <w:rFonts w:eastAsia="Times New Roman" w:cstheme="minorHAnsi"/>
          <w:color w:val="000000"/>
        </w:rPr>
        <w:t>findings are not intended to be representative.</w:t>
      </w:r>
      <w:r w:rsidR="00712BDA">
        <w:rPr>
          <w:rFonts w:eastAsia="Times New Roman" w:cstheme="minorHAnsi"/>
          <w:color w:val="000000"/>
        </w:rPr>
        <w:t xml:space="preserve"> </w:t>
      </w:r>
      <w:r w:rsidR="00E44C43">
        <w:rPr>
          <w:rFonts w:eastAsia="Times New Roman" w:cstheme="minorHAnsi"/>
          <w:color w:val="000000"/>
        </w:rPr>
        <w:t>D</w:t>
      </w:r>
      <w:r w:rsidRPr="00C32C8A" w:rsidR="009C6112">
        <w:rPr>
          <w:rFonts w:eastAsia="Times New Roman" w:cstheme="minorHAnsi"/>
          <w:color w:val="000000"/>
        </w:rPr>
        <w:t xml:space="preserve">emographics will </w:t>
      </w:r>
      <w:proofErr w:type="gramStart"/>
      <w:r w:rsidRPr="00C32C8A" w:rsidR="009C6112">
        <w:rPr>
          <w:rFonts w:eastAsia="Times New Roman" w:cstheme="minorHAnsi"/>
          <w:color w:val="000000"/>
        </w:rPr>
        <w:t>be documented</w:t>
      </w:r>
      <w:proofErr w:type="gramEnd"/>
      <w:r w:rsidRPr="00C32C8A" w:rsidR="009C6112">
        <w:rPr>
          <w:rFonts w:eastAsia="Times New Roman" w:cstheme="minorHAnsi"/>
          <w:color w:val="000000"/>
        </w:rPr>
        <w:t xml:space="preserve"> and reported in written materials associated with the data collection</w:t>
      </w:r>
      <w:r w:rsidR="00E44C43">
        <w:rPr>
          <w:rFonts w:eastAsia="Times New Roman" w:cstheme="minorHAnsi"/>
          <w:color w:val="000000"/>
        </w:rPr>
        <w:t xml:space="preserve"> by respondent status</w:t>
      </w:r>
      <w:r w:rsidR="00CE08A5">
        <w:rPr>
          <w:rFonts w:eastAsia="Times New Roman" w:cstheme="minorHAnsi"/>
          <w:color w:val="000000"/>
        </w:rPr>
        <w:t>.</w:t>
      </w:r>
    </w:p>
    <w:p w:rsidRPr="001A59B6" w:rsidR="00047030" w:rsidP="00A42C71" w:rsidRDefault="00047030" w14:paraId="74F84F00" w14:textId="77777777">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2C017166" w14:textId="77777777">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4E6826E7"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Pr="00B86DE2" w:rsidR="00B86DE2" w:rsidP="00B86DE2" w:rsidRDefault="00C4634A" w14:paraId="1DCF222D" w14:textId="4264C59E">
      <w:pPr>
        <w:spacing w:after="0" w:line="240" w:lineRule="auto"/>
        <w:rPr>
          <w:iCs/>
          <w:color w:val="0000FF" w:themeColor="hyperlink"/>
          <w:u w:val="single"/>
        </w:rPr>
      </w:pPr>
      <w:r w:rsidRPr="000652EE">
        <w:rPr>
          <w:rFonts w:eastAsia="Times New Roman" w:cstheme="minorHAnsi"/>
          <w:color w:val="000000"/>
        </w:rPr>
        <w:t xml:space="preserve">Data </w:t>
      </w:r>
      <w:r w:rsidRPr="0084670F">
        <w:t xml:space="preserve">will not </w:t>
      </w:r>
      <w:proofErr w:type="gramStart"/>
      <w:r w:rsidRPr="0084670F">
        <w:t>be used</w:t>
      </w:r>
      <w:proofErr w:type="gramEnd"/>
      <w:r w:rsidRPr="0084670F">
        <w:t xml:space="preserve"> to generate population estimates, either for internal use or dissemination.</w:t>
      </w:r>
      <w:r w:rsidR="00B86DE2">
        <w:t xml:space="preserve"> </w:t>
      </w:r>
    </w:p>
    <w:p w:rsidR="00301F03" w:rsidP="001E7D54" w:rsidRDefault="00301F03" w14:paraId="6C68B4E3" w14:textId="2E5EEBF8">
      <w:pPr>
        <w:autoSpaceDE w:val="0"/>
        <w:autoSpaceDN w:val="0"/>
        <w:adjustRightInd w:val="0"/>
        <w:spacing w:after="0" w:line="240" w:lineRule="atLeast"/>
        <w:rPr>
          <w:rFonts w:eastAsia="Times New Roman" w:cstheme="minorHAnsi"/>
          <w:b/>
          <w:bCs/>
          <w:color w:val="000000"/>
        </w:rPr>
      </w:pPr>
    </w:p>
    <w:p w:rsidR="00C4634A" w:rsidP="001E7D54" w:rsidRDefault="00C4634A" w14:paraId="5A6D3397" w14:textId="77777777">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5A639760" w14:textId="517764F4">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Pr="001A59B6" w:rsidR="00A42C71" w:rsidP="00A42C71" w:rsidRDefault="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Pr="001F0253" w:rsidR="009F21B4" w:rsidP="00A42C71" w:rsidRDefault="009F21B4" w14:paraId="138BD799" w14:textId="0DD3A049">
      <w:pPr>
        <w:autoSpaceDE w:val="0"/>
        <w:autoSpaceDN w:val="0"/>
        <w:adjustRightInd w:val="0"/>
        <w:spacing w:after="0" w:line="240" w:lineRule="atLeast"/>
        <w:rPr>
          <w:rFonts w:eastAsia="Times New Roman" w:cstheme="minorHAnsi"/>
          <w:bCs/>
          <w:i/>
          <w:color w:val="000000"/>
        </w:rPr>
      </w:pPr>
      <w:r w:rsidRPr="001F0253">
        <w:rPr>
          <w:rFonts w:eastAsia="Times New Roman" w:cstheme="minorHAnsi"/>
          <w:bCs/>
          <w:i/>
          <w:color w:val="000000"/>
        </w:rPr>
        <w:t>Impact Study</w:t>
      </w:r>
    </w:p>
    <w:p w:rsidR="00A159A1" w:rsidP="001E7D54" w:rsidRDefault="005C7C2A" w14:paraId="2D03EDCD" w14:textId="0CD87EA2">
      <w:pPr>
        <w:pStyle w:val="NormalSS"/>
        <w:spacing w:after="0"/>
        <w:ind w:firstLine="0"/>
        <w:rPr>
          <w:rFonts w:asciiTheme="minorHAnsi" w:hAnsiTheme="minorHAnsi" w:cstheme="minorHAnsi"/>
          <w:bCs/>
          <w:color w:val="000000"/>
          <w:sz w:val="22"/>
          <w:szCs w:val="22"/>
        </w:rPr>
      </w:pPr>
      <w:r w:rsidRPr="008F5EAC">
        <w:rPr>
          <w:rFonts w:asciiTheme="minorHAnsi" w:hAnsiTheme="minorHAnsi" w:cstheme="minorHAnsi"/>
          <w:bCs/>
          <w:color w:val="000000"/>
          <w:sz w:val="22"/>
          <w:szCs w:val="22"/>
        </w:rPr>
        <w:t>The youth survey</w:t>
      </w:r>
      <w:r w:rsidRPr="008F5EAC" w:rsidR="007F5C46">
        <w:rPr>
          <w:rFonts w:asciiTheme="minorHAnsi" w:hAnsiTheme="minorHAnsi" w:cstheme="minorHAnsi"/>
          <w:bCs/>
          <w:color w:val="000000"/>
          <w:sz w:val="22"/>
          <w:szCs w:val="22"/>
        </w:rPr>
        <w:t>s</w:t>
      </w:r>
      <w:r w:rsidRPr="008F5EAC">
        <w:rPr>
          <w:rFonts w:asciiTheme="minorHAnsi" w:hAnsiTheme="minorHAnsi" w:cstheme="minorHAnsi"/>
          <w:bCs/>
          <w:color w:val="000000"/>
          <w:sz w:val="22"/>
          <w:szCs w:val="22"/>
        </w:rPr>
        <w:t xml:space="preserve"> will </w:t>
      </w:r>
      <w:proofErr w:type="gramStart"/>
      <w:r w:rsidRPr="008F5EAC">
        <w:rPr>
          <w:rFonts w:asciiTheme="minorHAnsi" w:hAnsiTheme="minorHAnsi" w:cstheme="minorHAnsi"/>
          <w:bCs/>
          <w:color w:val="000000"/>
          <w:sz w:val="22"/>
          <w:szCs w:val="22"/>
        </w:rPr>
        <w:t>be programmed</w:t>
      </w:r>
      <w:proofErr w:type="gramEnd"/>
      <w:r w:rsidRPr="008F5EAC">
        <w:rPr>
          <w:rFonts w:asciiTheme="minorHAnsi" w:hAnsiTheme="minorHAnsi" w:cstheme="minorHAnsi"/>
          <w:bCs/>
          <w:color w:val="000000"/>
          <w:sz w:val="22"/>
          <w:szCs w:val="22"/>
        </w:rPr>
        <w:t xml:space="preserve"> </w:t>
      </w:r>
      <w:r w:rsidR="00F92791">
        <w:rPr>
          <w:rFonts w:asciiTheme="minorHAnsi" w:hAnsiTheme="minorHAnsi" w:cstheme="minorHAnsi"/>
          <w:bCs/>
          <w:color w:val="000000"/>
          <w:sz w:val="22"/>
          <w:szCs w:val="22"/>
        </w:rPr>
        <w:t>with</w:t>
      </w:r>
      <w:r w:rsidRPr="008F5EAC" w:rsidR="00F92791">
        <w:rPr>
          <w:rFonts w:asciiTheme="minorHAnsi" w:hAnsiTheme="minorHAnsi" w:cstheme="minorHAnsi"/>
          <w:bCs/>
          <w:color w:val="000000"/>
          <w:sz w:val="22"/>
          <w:szCs w:val="22"/>
        </w:rPr>
        <w:t xml:space="preserve"> </w:t>
      </w:r>
      <w:r w:rsidRPr="008F5EAC" w:rsidR="00725903">
        <w:rPr>
          <w:rFonts w:asciiTheme="minorHAnsi" w:hAnsiTheme="minorHAnsi" w:cstheme="minorHAnsi"/>
          <w:bCs/>
          <w:color w:val="000000"/>
          <w:sz w:val="22"/>
          <w:szCs w:val="22"/>
        </w:rPr>
        <w:t>Mathematica’s Confirmit software.</w:t>
      </w:r>
      <w:r w:rsidRPr="008F5EAC" w:rsidR="00051492">
        <w:rPr>
          <w:rFonts w:asciiTheme="minorHAnsi" w:hAnsiTheme="minorHAnsi" w:cstheme="minorHAnsi"/>
          <w:bCs/>
          <w:color w:val="000000"/>
          <w:sz w:val="22"/>
          <w:szCs w:val="22"/>
        </w:rPr>
        <w:t xml:space="preserve"> </w:t>
      </w:r>
      <w:r w:rsidRPr="008F5EAC" w:rsidR="00376527">
        <w:rPr>
          <w:rFonts w:asciiTheme="minorHAnsi" w:hAnsiTheme="minorHAnsi" w:cstheme="minorHAnsi"/>
          <w:bCs/>
          <w:color w:val="000000"/>
          <w:sz w:val="22"/>
          <w:szCs w:val="22"/>
        </w:rPr>
        <w:t xml:space="preserve">Error messages </w:t>
      </w:r>
      <w:r w:rsidRPr="008F5EAC" w:rsidR="00A159A1">
        <w:rPr>
          <w:rFonts w:asciiTheme="minorHAnsi" w:hAnsiTheme="minorHAnsi" w:cstheme="minorHAnsi"/>
          <w:bCs/>
          <w:color w:val="000000"/>
          <w:sz w:val="22"/>
          <w:szCs w:val="22"/>
        </w:rPr>
        <w:t xml:space="preserve">will </w:t>
      </w:r>
      <w:proofErr w:type="gramStart"/>
      <w:r w:rsidRPr="008F5EAC" w:rsidR="00A159A1">
        <w:rPr>
          <w:rFonts w:asciiTheme="minorHAnsi" w:hAnsiTheme="minorHAnsi" w:cstheme="minorHAnsi"/>
          <w:bCs/>
          <w:color w:val="000000"/>
          <w:sz w:val="22"/>
          <w:szCs w:val="22"/>
        </w:rPr>
        <w:t xml:space="preserve">be </w:t>
      </w:r>
      <w:r w:rsidRPr="008F5EAC" w:rsidR="00376527">
        <w:rPr>
          <w:rFonts w:asciiTheme="minorHAnsi" w:hAnsiTheme="minorHAnsi" w:cstheme="minorHAnsi"/>
          <w:bCs/>
          <w:color w:val="000000"/>
          <w:sz w:val="22"/>
          <w:szCs w:val="22"/>
        </w:rPr>
        <w:t>programmed</w:t>
      </w:r>
      <w:proofErr w:type="gramEnd"/>
      <w:r w:rsidRPr="008F5EAC" w:rsidR="00376527">
        <w:rPr>
          <w:rFonts w:asciiTheme="minorHAnsi" w:hAnsiTheme="minorHAnsi" w:cstheme="minorHAnsi"/>
          <w:bCs/>
          <w:color w:val="000000"/>
          <w:sz w:val="22"/>
          <w:szCs w:val="22"/>
        </w:rPr>
        <w:t xml:space="preserve"> in</w:t>
      </w:r>
      <w:r w:rsidRPr="008F5EAC" w:rsidR="00A159A1">
        <w:rPr>
          <w:rFonts w:asciiTheme="minorHAnsi" w:hAnsiTheme="minorHAnsi" w:cstheme="minorHAnsi"/>
          <w:bCs/>
          <w:color w:val="000000"/>
          <w:sz w:val="22"/>
          <w:szCs w:val="22"/>
        </w:rPr>
        <w:t>to</w:t>
      </w:r>
      <w:r w:rsidRPr="008F5EAC" w:rsidR="00376527">
        <w:rPr>
          <w:rFonts w:asciiTheme="minorHAnsi" w:hAnsiTheme="minorHAnsi" w:cstheme="minorHAnsi"/>
          <w:bCs/>
          <w:color w:val="000000"/>
          <w:sz w:val="22"/>
          <w:szCs w:val="22"/>
        </w:rPr>
        <w:t xml:space="preserve"> Confirmit to alert respondents to inconsistencies between data elements, values beyond the expected range, and similar issues</w:t>
      </w:r>
      <w:r w:rsidR="00F92791">
        <w:rPr>
          <w:rFonts w:asciiTheme="minorHAnsi" w:hAnsiTheme="minorHAnsi" w:cstheme="minorHAnsi"/>
          <w:bCs/>
          <w:color w:val="000000"/>
          <w:sz w:val="22"/>
          <w:szCs w:val="22"/>
        </w:rPr>
        <w:t>. Respondents will have</w:t>
      </w:r>
      <w:r w:rsidR="00DB2B7C">
        <w:rPr>
          <w:rFonts w:asciiTheme="minorHAnsi" w:hAnsiTheme="minorHAnsi" w:cstheme="minorHAnsi"/>
          <w:bCs/>
          <w:color w:val="000000"/>
          <w:sz w:val="22"/>
          <w:szCs w:val="22"/>
        </w:rPr>
        <w:t xml:space="preserve"> </w:t>
      </w:r>
      <w:r w:rsidRPr="008F5EAC" w:rsidR="00376527">
        <w:rPr>
          <w:rFonts w:asciiTheme="minorHAnsi" w:hAnsiTheme="minorHAnsi" w:cstheme="minorHAnsi"/>
          <w:bCs/>
          <w:color w:val="000000"/>
          <w:sz w:val="22"/>
          <w:szCs w:val="22"/>
        </w:rPr>
        <w:t>an opportunity to correct such errors before</w:t>
      </w:r>
      <w:r w:rsidRPr="008F5EAC" w:rsidR="00A159A1">
        <w:rPr>
          <w:rFonts w:asciiTheme="minorHAnsi" w:hAnsiTheme="minorHAnsi" w:cstheme="minorHAnsi"/>
          <w:bCs/>
          <w:color w:val="000000"/>
          <w:sz w:val="22"/>
          <w:szCs w:val="22"/>
        </w:rPr>
        <w:t xml:space="preserve"> </w:t>
      </w:r>
      <w:r w:rsidRPr="008F5EAC" w:rsidR="00376527">
        <w:rPr>
          <w:rFonts w:asciiTheme="minorHAnsi" w:hAnsiTheme="minorHAnsi" w:cstheme="minorHAnsi"/>
          <w:bCs/>
          <w:color w:val="000000"/>
          <w:sz w:val="22"/>
          <w:szCs w:val="22"/>
        </w:rPr>
        <w:t xml:space="preserve">the data </w:t>
      </w:r>
      <w:proofErr w:type="gramStart"/>
      <w:r w:rsidRPr="008F5EAC" w:rsidR="00376527">
        <w:rPr>
          <w:rFonts w:asciiTheme="minorHAnsi" w:hAnsiTheme="minorHAnsi" w:cstheme="minorHAnsi"/>
          <w:bCs/>
          <w:color w:val="000000"/>
          <w:sz w:val="22"/>
          <w:szCs w:val="22"/>
        </w:rPr>
        <w:t>are submitted</w:t>
      </w:r>
      <w:proofErr w:type="gramEnd"/>
      <w:r w:rsidRPr="008F5EAC" w:rsidR="00376527">
        <w:rPr>
          <w:rFonts w:asciiTheme="minorHAnsi" w:hAnsiTheme="minorHAnsi" w:cstheme="minorHAnsi"/>
          <w:bCs/>
          <w:color w:val="000000"/>
          <w:sz w:val="22"/>
          <w:szCs w:val="22"/>
        </w:rPr>
        <w:t>.</w:t>
      </w:r>
      <w:r w:rsidRPr="008F5EAC" w:rsidR="00A159A1">
        <w:rPr>
          <w:rFonts w:asciiTheme="minorHAnsi" w:hAnsiTheme="minorHAnsi" w:cstheme="minorHAnsi"/>
          <w:bCs/>
          <w:color w:val="000000"/>
          <w:sz w:val="22"/>
          <w:szCs w:val="22"/>
        </w:rPr>
        <w:t xml:space="preserve"> </w:t>
      </w:r>
      <w:r w:rsidRPr="008F5EAC" w:rsidR="007F5C46">
        <w:rPr>
          <w:rFonts w:asciiTheme="minorHAnsi" w:hAnsiTheme="minorHAnsi" w:cstheme="minorHAnsi"/>
          <w:bCs/>
          <w:color w:val="000000"/>
          <w:sz w:val="22"/>
          <w:szCs w:val="22"/>
        </w:rPr>
        <w:t xml:space="preserve">Surveys completed over the phone will </w:t>
      </w:r>
      <w:proofErr w:type="gramStart"/>
      <w:r w:rsidRPr="008F5EAC" w:rsidR="007F5C46">
        <w:rPr>
          <w:rFonts w:asciiTheme="minorHAnsi" w:hAnsiTheme="minorHAnsi" w:cstheme="minorHAnsi"/>
          <w:bCs/>
          <w:color w:val="000000"/>
          <w:sz w:val="22"/>
          <w:szCs w:val="22"/>
        </w:rPr>
        <w:t>be completed</w:t>
      </w:r>
      <w:proofErr w:type="gramEnd"/>
      <w:r w:rsidRPr="008F5EAC" w:rsidR="007F5C46">
        <w:rPr>
          <w:rFonts w:asciiTheme="minorHAnsi" w:hAnsiTheme="minorHAnsi" w:cstheme="minorHAnsi"/>
          <w:bCs/>
          <w:color w:val="000000"/>
          <w:sz w:val="22"/>
          <w:szCs w:val="22"/>
        </w:rPr>
        <w:t xml:space="preserve"> with trained Mathematica staff</w:t>
      </w:r>
      <w:r w:rsidR="00DB2B7C">
        <w:rPr>
          <w:rFonts w:asciiTheme="minorHAnsi" w:hAnsiTheme="minorHAnsi" w:cstheme="minorHAnsi"/>
          <w:bCs/>
          <w:color w:val="000000"/>
          <w:sz w:val="22"/>
          <w:szCs w:val="22"/>
        </w:rPr>
        <w:t>, who will</w:t>
      </w:r>
      <w:r w:rsidRPr="008F5EAC" w:rsidR="007F5C46">
        <w:rPr>
          <w:rFonts w:asciiTheme="minorHAnsi" w:hAnsiTheme="minorHAnsi" w:cstheme="minorHAnsi"/>
          <w:bCs/>
          <w:color w:val="000000"/>
          <w:sz w:val="22"/>
          <w:szCs w:val="22"/>
        </w:rPr>
        <w:t xml:space="preserve"> enter</w:t>
      </w:r>
      <w:r w:rsidR="00F92791">
        <w:rPr>
          <w:rFonts w:asciiTheme="minorHAnsi" w:hAnsiTheme="minorHAnsi" w:cstheme="minorHAnsi"/>
          <w:bCs/>
          <w:color w:val="000000"/>
          <w:sz w:val="22"/>
          <w:szCs w:val="22"/>
        </w:rPr>
        <w:t xml:space="preserve"> </w:t>
      </w:r>
      <w:r w:rsidRPr="008F5EAC" w:rsidR="007F5C46">
        <w:rPr>
          <w:rFonts w:asciiTheme="minorHAnsi" w:hAnsiTheme="minorHAnsi" w:cstheme="minorHAnsi"/>
          <w:bCs/>
          <w:color w:val="000000"/>
          <w:sz w:val="22"/>
          <w:szCs w:val="22"/>
        </w:rPr>
        <w:t>the responses directly into the web-based survey.</w:t>
      </w:r>
      <w:r w:rsidR="00E171FB">
        <w:rPr>
          <w:rFonts w:asciiTheme="minorHAnsi" w:hAnsiTheme="minorHAnsi" w:cstheme="minorHAnsi"/>
          <w:bCs/>
          <w:color w:val="000000"/>
          <w:sz w:val="22"/>
          <w:szCs w:val="22"/>
        </w:rPr>
        <w:t xml:space="preserve"> The use of a web-based survey eliminates the need for an additional step for data entry, thus minimizing potential errors that may occur during that process. </w:t>
      </w:r>
      <w:r w:rsidRPr="008F5EAC" w:rsidR="007F5C46">
        <w:rPr>
          <w:rFonts w:asciiTheme="minorHAnsi" w:hAnsiTheme="minorHAnsi" w:cstheme="minorHAnsi"/>
          <w:bCs/>
          <w:color w:val="000000"/>
          <w:sz w:val="22"/>
          <w:szCs w:val="22"/>
        </w:rPr>
        <w:t xml:space="preserve"> </w:t>
      </w:r>
    </w:p>
    <w:p w:rsidRPr="008F5EAC" w:rsidR="0022799A" w:rsidP="001E7D54" w:rsidRDefault="0022799A" w14:paraId="687ECA97" w14:textId="77777777">
      <w:pPr>
        <w:pStyle w:val="NormalSS"/>
        <w:spacing w:after="0"/>
        <w:ind w:firstLine="0"/>
        <w:rPr>
          <w:rFonts w:asciiTheme="minorHAnsi" w:hAnsiTheme="minorHAnsi" w:cstheme="minorHAnsi"/>
          <w:sz w:val="22"/>
          <w:szCs w:val="22"/>
        </w:rPr>
      </w:pPr>
    </w:p>
    <w:p w:rsidR="009F21B4" w:rsidP="001E7D54" w:rsidRDefault="00A71710" w14:paraId="6704401A" w14:textId="63A8C532">
      <w:pPr>
        <w:pStyle w:val="Paragraph"/>
        <w:spacing w:after="0"/>
        <w:rPr>
          <w:rFonts w:cstheme="minorHAnsi"/>
        </w:rPr>
      </w:pPr>
      <w:r w:rsidRPr="008F5EAC">
        <w:rPr>
          <w:rFonts w:cstheme="minorHAnsi"/>
        </w:rPr>
        <w:t>Once a sufficient number</w:t>
      </w:r>
      <w:r w:rsidR="00D21A5D">
        <w:rPr>
          <w:rFonts w:cstheme="minorHAnsi"/>
        </w:rPr>
        <w:t xml:space="preserve"> </w:t>
      </w:r>
      <w:r w:rsidRPr="008F5EAC">
        <w:rPr>
          <w:rFonts w:cstheme="minorHAnsi"/>
        </w:rPr>
        <w:t xml:space="preserve">of responses have </w:t>
      </w:r>
      <w:proofErr w:type="gramStart"/>
      <w:r w:rsidRPr="008F5EAC">
        <w:rPr>
          <w:rFonts w:cstheme="minorHAnsi"/>
        </w:rPr>
        <w:t>been received</w:t>
      </w:r>
      <w:proofErr w:type="gramEnd"/>
      <w:r w:rsidRPr="008F5EAC">
        <w:rPr>
          <w:rFonts w:cstheme="minorHAnsi"/>
        </w:rPr>
        <w:t xml:space="preserve">, we will conduct an initial quality check </w:t>
      </w:r>
      <w:r w:rsidR="003A329E">
        <w:rPr>
          <w:rFonts w:cstheme="minorHAnsi"/>
        </w:rPr>
        <w:t>to identify any potential issues</w:t>
      </w:r>
      <w:r w:rsidR="00E171FB">
        <w:rPr>
          <w:rFonts w:cstheme="minorHAnsi"/>
        </w:rPr>
        <w:t xml:space="preserve"> with the data</w:t>
      </w:r>
      <w:r w:rsidR="003A329E">
        <w:rPr>
          <w:rFonts w:cstheme="minorHAnsi"/>
        </w:rPr>
        <w:t xml:space="preserve">. </w:t>
      </w:r>
      <w:r w:rsidRPr="008F5EAC" w:rsidR="003A329E">
        <w:rPr>
          <w:rFonts w:cstheme="minorHAnsi"/>
        </w:rPr>
        <w:t xml:space="preserve">Additional </w:t>
      </w:r>
      <w:r w:rsidR="00E171FB">
        <w:rPr>
          <w:rFonts w:cstheme="minorHAnsi"/>
        </w:rPr>
        <w:t xml:space="preserve">data </w:t>
      </w:r>
      <w:r w:rsidRPr="008F5EAC" w:rsidR="003A329E">
        <w:rPr>
          <w:rFonts w:cstheme="minorHAnsi"/>
        </w:rPr>
        <w:t xml:space="preserve">quality checks will </w:t>
      </w:r>
      <w:proofErr w:type="gramStart"/>
      <w:r w:rsidRPr="008F5EAC" w:rsidR="003A329E">
        <w:rPr>
          <w:rFonts w:cstheme="minorHAnsi"/>
        </w:rPr>
        <w:t>be conducted</w:t>
      </w:r>
      <w:proofErr w:type="gramEnd"/>
      <w:r w:rsidRPr="008F5EAC" w:rsidR="003A329E">
        <w:rPr>
          <w:rFonts w:cstheme="minorHAnsi"/>
        </w:rPr>
        <w:t xml:space="preserve"> </w:t>
      </w:r>
      <w:r w:rsidR="003A329E">
        <w:rPr>
          <w:rFonts w:cstheme="minorHAnsi"/>
        </w:rPr>
        <w:t>throughout the study</w:t>
      </w:r>
      <w:r w:rsidRPr="008F5EAC" w:rsidR="003A329E">
        <w:rPr>
          <w:rFonts w:cstheme="minorHAnsi"/>
        </w:rPr>
        <w:t xml:space="preserve">. </w:t>
      </w:r>
    </w:p>
    <w:p w:rsidR="00F92791" w:rsidP="001E7D54" w:rsidRDefault="00F92791" w14:paraId="3AF6F3CD" w14:textId="77777777">
      <w:pPr>
        <w:spacing w:after="0" w:line="240" w:lineRule="auto"/>
        <w:rPr>
          <w:rFonts w:eastAsia="Times New Roman"/>
          <w:color w:val="212121"/>
        </w:rPr>
      </w:pPr>
      <w:r>
        <w:rPr>
          <w:rFonts w:eastAsia="Times New Roman"/>
          <w:color w:val="212121"/>
        </w:rPr>
        <w:lastRenderedPageBreak/>
        <w:t xml:space="preserve">The study participants will not </w:t>
      </w:r>
      <w:proofErr w:type="gramStart"/>
      <w:r>
        <w:rPr>
          <w:rFonts w:eastAsia="Times New Roman"/>
          <w:color w:val="212121"/>
        </w:rPr>
        <w:t>be randomly sampled</w:t>
      </w:r>
      <w:proofErr w:type="gramEnd"/>
      <w:r>
        <w:rPr>
          <w:rFonts w:eastAsia="Times New Roman"/>
          <w:color w:val="212121"/>
        </w:rPr>
        <w:t xml:space="preserve">.  In addition, the findings from this study </w:t>
      </w:r>
      <w:proofErr w:type="gramStart"/>
      <w:r>
        <w:rPr>
          <w:rFonts w:eastAsia="Times New Roman"/>
          <w:color w:val="212121"/>
        </w:rPr>
        <w:t>are not intended</w:t>
      </w:r>
      <w:proofErr w:type="gramEnd"/>
      <w:r>
        <w:rPr>
          <w:rFonts w:eastAsia="Times New Roman"/>
          <w:color w:val="212121"/>
        </w:rPr>
        <w:t xml:space="preserve"> to be generalizable to or representative of a broader target population. We will focus our analysis on the internal validity of the findings, rather than on the generalizability of the findings. As a result, we will not attempt to produce population estimates of program effectiveness by using survey weights and we will not estimate sampling error.  However, we will estimate the standard error of the impact estimate, as described in the Data Analysis section below.</w:t>
      </w:r>
    </w:p>
    <w:p w:rsidR="0022799A" w:rsidP="001E7D54" w:rsidRDefault="0022799A" w14:paraId="6C1F316B" w14:textId="77777777">
      <w:pPr>
        <w:pStyle w:val="Paragraph"/>
        <w:spacing w:after="0"/>
        <w:rPr>
          <w:i/>
          <w:iCs/>
        </w:rPr>
      </w:pPr>
    </w:p>
    <w:p w:rsidRPr="001F0253" w:rsidR="009F21B4" w:rsidP="00906EFA" w:rsidRDefault="009F21B4" w14:paraId="7F696B25" w14:textId="73A06A69">
      <w:pPr>
        <w:pStyle w:val="Paragraph"/>
        <w:spacing w:after="60"/>
        <w:rPr>
          <w:i/>
        </w:rPr>
      </w:pPr>
      <w:r w:rsidRPr="001F0253">
        <w:rPr>
          <w:i/>
        </w:rPr>
        <w:t>Implementation Study</w:t>
      </w:r>
    </w:p>
    <w:p w:rsidR="00C82D28" w:rsidP="00906EFA" w:rsidRDefault="00C82D28" w14:paraId="31867F31" w14:textId="19F413DA">
      <w:pPr>
        <w:pStyle w:val="Paragraph"/>
        <w:spacing w:after="0"/>
      </w:pPr>
      <w:r w:rsidRPr="000E402F">
        <w:t xml:space="preserve">After </w:t>
      </w:r>
      <w:r>
        <w:t>each round of site visits</w:t>
      </w:r>
      <w:r w:rsidRPr="00553B6A">
        <w:t xml:space="preserve">, we will systematically </w:t>
      </w:r>
      <w:r>
        <w:t>code</w:t>
      </w:r>
      <w:r w:rsidRPr="000E402F">
        <w:t xml:space="preserve"> </w:t>
      </w:r>
      <w:r>
        <w:t>the</w:t>
      </w:r>
      <w:r w:rsidRPr="000E402F">
        <w:t xml:space="preserve"> data using the components of the Pathways service model and </w:t>
      </w:r>
      <w:r w:rsidR="00DB2B7C">
        <w:t xml:space="preserve">the </w:t>
      </w:r>
      <w:r>
        <w:t>Consolidated Framework for Implementation Research (</w:t>
      </w:r>
      <w:r w:rsidRPr="000E402F">
        <w:t>CFIR</w:t>
      </w:r>
      <w:r>
        <w:t>)</w:t>
      </w:r>
      <w:r w:rsidRPr="000E402F">
        <w:t>.</w:t>
      </w:r>
      <w:r>
        <w:t xml:space="preserve"> </w:t>
      </w:r>
    </w:p>
    <w:p w:rsidR="0022799A" w:rsidP="00906EFA" w:rsidRDefault="0022799A" w14:paraId="43AA4EF6" w14:textId="77777777">
      <w:pPr>
        <w:pStyle w:val="Paragraph"/>
        <w:spacing w:after="0"/>
      </w:pPr>
    </w:p>
    <w:p w:rsidR="00401204" w:rsidP="00906EFA" w:rsidRDefault="009F21B4" w14:paraId="1CD62208" w14:textId="19F453E4">
      <w:pPr>
        <w:pStyle w:val="Paragraph"/>
        <w:spacing w:after="0"/>
      </w:pPr>
      <w:r w:rsidRPr="009F21B4">
        <w:t>In the initial stages of coding, the members of the study team will together review</w:t>
      </w:r>
      <w:r w:rsidR="00DB2B7C">
        <w:t xml:space="preserve"> the</w:t>
      </w:r>
      <w:r w:rsidRPr="009F21B4">
        <w:t xml:space="preserve"> interview transcripts and code data. </w:t>
      </w:r>
      <w:r w:rsidR="00E95612">
        <w:t>T</w:t>
      </w:r>
      <w:r w:rsidRPr="009F21B4">
        <w:t xml:space="preserve">o ensure reliability across coders, each study team member will independently code a transcript. The team will then meet to compare codes applied to the transcript to identify and resolve discrepancies. The team will continue this process until consistency in the application of codes across coders </w:t>
      </w:r>
      <w:proofErr w:type="gramStart"/>
      <w:r w:rsidRPr="009F21B4">
        <w:t>is achieved</w:t>
      </w:r>
      <w:proofErr w:type="gramEnd"/>
      <w:r w:rsidRPr="009F21B4">
        <w:t>.</w:t>
      </w:r>
      <w:r w:rsidR="0075145E">
        <w:t xml:space="preserve"> </w:t>
      </w:r>
    </w:p>
    <w:p w:rsidR="0022799A" w:rsidP="00906EFA" w:rsidRDefault="0022799A" w14:paraId="4E3867F0" w14:textId="77777777">
      <w:pPr>
        <w:pStyle w:val="Paragraph"/>
        <w:spacing w:after="0"/>
      </w:pPr>
    </w:p>
    <w:p w:rsidRPr="00D042AE" w:rsidR="00E95612" w:rsidP="00EC1F58" w:rsidRDefault="00401204" w14:paraId="6F345275" w14:textId="12AAF975">
      <w:pPr>
        <w:pStyle w:val="Paragraph"/>
        <w:spacing w:after="0"/>
      </w:pPr>
      <w:r>
        <w:t xml:space="preserve">Information from the check-ins will </w:t>
      </w:r>
      <w:proofErr w:type="gramStart"/>
      <w:r>
        <w:t>be used</w:t>
      </w:r>
      <w:proofErr w:type="gramEnd"/>
      <w:r>
        <w:t xml:space="preserve"> to describe services offered to youth and young adults. We will not use CFIR to code the data. </w:t>
      </w:r>
      <w:r w:rsidR="0075145E">
        <w:t xml:space="preserve"> </w:t>
      </w:r>
    </w:p>
    <w:p w:rsidRPr="001A59B6" w:rsidR="00A42C71" w:rsidP="00A42C71" w:rsidRDefault="00A42C71" w14:paraId="1F57B3E9" w14:textId="77777777">
      <w:pPr>
        <w:autoSpaceDE w:val="0"/>
        <w:autoSpaceDN w:val="0"/>
        <w:adjustRightInd w:val="0"/>
        <w:spacing w:after="0" w:line="240" w:lineRule="atLeast"/>
        <w:rPr>
          <w:rFonts w:eastAsia="Times New Roman" w:cstheme="minorHAnsi"/>
          <w:bCs/>
          <w:color w:val="000000"/>
        </w:rPr>
      </w:pPr>
    </w:p>
    <w:p w:rsidRPr="001A59B6" w:rsidR="00A42C71" w:rsidP="00A42C71" w:rsidRDefault="00A42C71" w14:paraId="029DADD1"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Pr="001F0253" w:rsidR="003C32A9" w:rsidP="00320E87" w:rsidRDefault="00E1604A" w14:paraId="02881823" w14:textId="77777777">
      <w:pPr>
        <w:autoSpaceDE w:val="0"/>
        <w:autoSpaceDN w:val="0"/>
        <w:adjustRightInd w:val="0"/>
        <w:spacing w:after="0" w:line="240" w:lineRule="atLeast"/>
        <w:rPr>
          <w:rFonts w:eastAsia="Times New Roman" w:cstheme="minorHAnsi"/>
          <w:bCs/>
          <w:i/>
          <w:color w:val="000000"/>
        </w:rPr>
      </w:pPr>
      <w:r w:rsidRPr="001F0253">
        <w:rPr>
          <w:rFonts w:eastAsia="Times New Roman" w:cstheme="minorHAnsi"/>
          <w:bCs/>
          <w:i/>
          <w:color w:val="000000"/>
        </w:rPr>
        <w:t>Impact Study</w:t>
      </w:r>
      <w:r w:rsidRPr="001F0253" w:rsidR="0011061F">
        <w:rPr>
          <w:rFonts w:eastAsia="Times New Roman" w:cstheme="minorHAnsi"/>
          <w:bCs/>
          <w:i/>
          <w:color w:val="000000"/>
        </w:rPr>
        <w:t xml:space="preserve"> </w:t>
      </w:r>
    </w:p>
    <w:p w:rsidR="0011061F" w:rsidP="003C32A9" w:rsidRDefault="001B23DD" w14:paraId="41DA92A9" w14:textId="5334ABCA">
      <w:pPr>
        <w:autoSpaceDE w:val="0"/>
        <w:autoSpaceDN w:val="0"/>
        <w:adjustRightInd w:val="0"/>
        <w:spacing w:after="0" w:line="240" w:lineRule="atLeast"/>
        <w:rPr>
          <w:rFonts w:eastAsia="Calibri"/>
        </w:rPr>
      </w:pPr>
      <w:r>
        <w:rPr>
          <w:rFonts w:eastAsia="Calibri"/>
        </w:rPr>
        <w:t xml:space="preserve">To </w:t>
      </w:r>
      <w:r w:rsidR="00D77B78">
        <w:rPr>
          <w:rFonts w:eastAsia="Calibri"/>
        </w:rPr>
        <w:t>examine the impact of Pathways on key outcomes—including but not limited to housing, educational attainment, employment, permanency, and well-being (Research Question 1)</w:t>
      </w:r>
      <w:r w:rsidRPr="001C7000" w:rsidR="00D77B78">
        <w:rPr>
          <w:rFonts w:eastAsia="Calibri"/>
        </w:rPr>
        <w:t xml:space="preserve"> </w:t>
      </w:r>
      <w:r>
        <w:rPr>
          <w:rFonts w:eastAsia="Calibri"/>
        </w:rPr>
        <w:t>we will estimate a regression model that includes an indicator of the Pathways treatment status as well as all baseline characteristics used to assess balance</w:t>
      </w:r>
      <w:r w:rsidR="001C7000">
        <w:rPr>
          <w:rFonts w:eastAsia="Calibri"/>
        </w:rPr>
        <w:t>,</w:t>
      </w:r>
      <w:r w:rsidDel="0066634A" w:rsidR="0066634A">
        <w:rPr>
          <w:rFonts w:eastAsia="Calibri"/>
        </w:rPr>
        <w:t xml:space="preserve"> </w:t>
      </w:r>
      <w:r>
        <w:rPr>
          <w:rFonts w:eastAsia="Calibri"/>
        </w:rPr>
        <w:t xml:space="preserve">to improve the precision of the impact estimates and statistically adjust for any differences. Because assignment to the Pathways program is at the </w:t>
      </w:r>
      <w:r w:rsidR="00D575B7">
        <w:rPr>
          <w:rFonts w:eastAsia="Calibri"/>
        </w:rPr>
        <w:t xml:space="preserve">site </w:t>
      </w:r>
      <w:r>
        <w:rPr>
          <w:rFonts w:eastAsia="Calibri"/>
        </w:rPr>
        <w:t xml:space="preserve">level and our analyses will </w:t>
      </w:r>
      <w:proofErr w:type="gramStart"/>
      <w:r>
        <w:rPr>
          <w:rFonts w:eastAsia="Calibri"/>
        </w:rPr>
        <w:t>be conducted</w:t>
      </w:r>
      <w:proofErr w:type="gramEnd"/>
      <w:r>
        <w:rPr>
          <w:rFonts w:eastAsia="Calibri"/>
        </w:rPr>
        <w:t xml:space="preserve"> at the youth level, we will adjust the estimated standard errors for clustering in all models. This will </w:t>
      </w:r>
      <w:r w:rsidR="00D77B78">
        <w:rPr>
          <w:rFonts w:eastAsia="Calibri"/>
        </w:rPr>
        <w:t xml:space="preserve">allow </w:t>
      </w:r>
      <w:r>
        <w:rPr>
          <w:rFonts w:eastAsia="Calibri"/>
        </w:rPr>
        <w:t xml:space="preserve">us to estimate the appropriate standard errors and </w:t>
      </w:r>
      <w:r>
        <w:rPr>
          <w:rFonts w:eastAsia="Calibri"/>
          <w:i/>
          <w:iCs/>
        </w:rPr>
        <w:t>p-</w:t>
      </w:r>
      <w:r>
        <w:rPr>
          <w:rFonts w:eastAsia="Calibri"/>
        </w:rPr>
        <w:t xml:space="preserve">values for all inferential analyses.   </w:t>
      </w:r>
    </w:p>
    <w:p w:rsidRPr="003C32A9" w:rsidR="003C32A9" w:rsidP="003C32A9" w:rsidRDefault="003C32A9" w14:paraId="6111BBDE" w14:textId="77777777">
      <w:pPr>
        <w:autoSpaceDE w:val="0"/>
        <w:autoSpaceDN w:val="0"/>
        <w:adjustRightInd w:val="0"/>
        <w:spacing w:after="0" w:line="240" w:lineRule="atLeast"/>
        <w:rPr>
          <w:rFonts w:eastAsia="Times New Roman" w:cstheme="minorHAnsi"/>
          <w:bCs/>
          <w:i/>
          <w:iCs/>
          <w:color w:val="000000"/>
        </w:rPr>
      </w:pPr>
    </w:p>
    <w:p w:rsidR="0022799A" w:rsidP="004D2E92" w:rsidRDefault="001B23DD" w14:paraId="1EA90433" w14:textId="13D78477">
      <w:pPr>
        <w:pStyle w:val="Paragraph"/>
        <w:spacing w:after="240"/>
        <w:rPr>
          <w:rFonts w:eastAsia="Calibri"/>
        </w:rPr>
      </w:pPr>
      <w:r w:rsidRPr="002C3446">
        <w:rPr>
          <w:rFonts w:eastAsia="Calibri"/>
        </w:rPr>
        <w:t xml:space="preserve">Assuming </w:t>
      </w:r>
      <w:r>
        <w:rPr>
          <w:rFonts w:eastAsia="Calibri"/>
        </w:rPr>
        <w:t xml:space="preserve">the analytic sample for a given outcome satisfies the </w:t>
      </w:r>
      <w:r w:rsidRPr="002C3446">
        <w:rPr>
          <w:rFonts w:eastAsia="Calibri"/>
        </w:rPr>
        <w:t>baseline equivalence</w:t>
      </w:r>
      <w:r>
        <w:rPr>
          <w:rFonts w:eastAsia="Calibri"/>
        </w:rPr>
        <w:t xml:space="preserve"> requirements</w:t>
      </w:r>
      <w:r w:rsidRPr="002C3446">
        <w:rPr>
          <w:rFonts w:eastAsia="Calibri"/>
        </w:rPr>
        <w:t>, this general analytic approach will provide unbiased estimates of two policy</w:t>
      </w:r>
      <w:r>
        <w:rPr>
          <w:rFonts w:eastAsia="Calibri"/>
        </w:rPr>
        <w:t>-</w:t>
      </w:r>
      <w:r w:rsidRPr="002C3446">
        <w:rPr>
          <w:rFonts w:eastAsia="Calibri"/>
        </w:rPr>
        <w:t xml:space="preserve">relevant effects: (1) the impact of Pathways on the target population and (2) the impact of Pathways on program participants. The first estimates the impact of the </w:t>
      </w:r>
      <w:r w:rsidRPr="00967D65">
        <w:rPr>
          <w:rFonts w:eastAsia="Calibri"/>
          <w:iCs/>
        </w:rPr>
        <w:t>offer</w:t>
      </w:r>
      <w:r w:rsidRPr="002C3446">
        <w:rPr>
          <w:rFonts w:eastAsia="Calibri"/>
        </w:rPr>
        <w:t xml:space="preserve"> to receive Pathways, </w:t>
      </w:r>
      <w:r>
        <w:rPr>
          <w:rFonts w:eastAsia="Calibri"/>
        </w:rPr>
        <w:t xml:space="preserve">also known </w:t>
      </w:r>
      <w:r w:rsidRPr="002C3446">
        <w:rPr>
          <w:rFonts w:eastAsia="Calibri"/>
        </w:rPr>
        <w:t xml:space="preserve">as the </w:t>
      </w:r>
      <w:r>
        <w:rPr>
          <w:rFonts w:eastAsia="Calibri"/>
        </w:rPr>
        <w:t>intent-to-treat (</w:t>
      </w:r>
      <w:r w:rsidRPr="002C3446">
        <w:rPr>
          <w:rFonts w:eastAsia="Calibri"/>
        </w:rPr>
        <w:t>ITT</w:t>
      </w:r>
      <w:r>
        <w:rPr>
          <w:rFonts w:eastAsia="Calibri"/>
        </w:rPr>
        <w:t>)</w:t>
      </w:r>
      <w:r w:rsidRPr="002C3446">
        <w:rPr>
          <w:rFonts w:eastAsia="Calibri"/>
        </w:rPr>
        <w:t xml:space="preserve"> impact estimate. The ITT estimate could </w:t>
      </w:r>
      <w:proofErr w:type="gramStart"/>
      <w:r w:rsidRPr="002C3446">
        <w:rPr>
          <w:rFonts w:eastAsia="Calibri"/>
        </w:rPr>
        <w:t>be diluted</w:t>
      </w:r>
      <w:proofErr w:type="gramEnd"/>
      <w:r w:rsidRPr="002C3446">
        <w:rPr>
          <w:rFonts w:eastAsia="Calibri"/>
        </w:rPr>
        <w:t xml:space="preserve"> because it could include youth assigned to the treatment group (</w:t>
      </w:r>
      <w:r>
        <w:rPr>
          <w:rFonts w:eastAsia="Calibri"/>
        </w:rPr>
        <w:t>that is,</w:t>
      </w:r>
      <w:r w:rsidRPr="002C3446">
        <w:rPr>
          <w:rFonts w:eastAsia="Calibri"/>
        </w:rPr>
        <w:t xml:space="preserve"> in a treatment </w:t>
      </w:r>
      <w:r w:rsidR="00D575B7">
        <w:rPr>
          <w:rFonts w:eastAsia="Calibri"/>
        </w:rPr>
        <w:t>site</w:t>
      </w:r>
      <w:r w:rsidRPr="002C3446">
        <w:rPr>
          <w:rFonts w:eastAsia="Calibri"/>
        </w:rPr>
        <w:t xml:space="preserve">) who did not actually </w:t>
      </w:r>
      <w:r w:rsidR="00D77B78">
        <w:rPr>
          <w:rFonts w:eastAsia="Calibri"/>
        </w:rPr>
        <w:t>use</w:t>
      </w:r>
      <w:r w:rsidRPr="002C3446">
        <w:rPr>
          <w:rFonts w:eastAsia="Calibri"/>
        </w:rPr>
        <w:t xml:space="preserve"> Pathways services. The second estimates the impact for youth who actually participate in Pathways</w:t>
      </w:r>
      <w:r>
        <w:rPr>
          <w:rFonts w:eastAsia="Calibri"/>
        </w:rPr>
        <w:t>—the</w:t>
      </w:r>
      <w:r w:rsidRPr="002C3446">
        <w:rPr>
          <w:rFonts w:eastAsia="Calibri"/>
        </w:rPr>
        <w:t xml:space="preserve"> </w:t>
      </w:r>
      <w:r>
        <w:rPr>
          <w:rFonts w:eastAsia="Calibri"/>
        </w:rPr>
        <w:t>treatment-on-treated (</w:t>
      </w:r>
      <w:r w:rsidRPr="002C3446">
        <w:rPr>
          <w:rFonts w:eastAsia="Calibri"/>
        </w:rPr>
        <w:t>TOT</w:t>
      </w:r>
      <w:r>
        <w:rPr>
          <w:rFonts w:eastAsia="Calibri"/>
        </w:rPr>
        <w:t>)</w:t>
      </w:r>
      <w:r w:rsidRPr="002C3446">
        <w:rPr>
          <w:rFonts w:eastAsia="Calibri"/>
        </w:rPr>
        <w:t xml:space="preserve"> impact estimate</w:t>
      </w:r>
      <w:r>
        <w:rPr>
          <w:rFonts w:eastAsia="Calibri"/>
        </w:rPr>
        <w:t xml:space="preserve">—which </w:t>
      </w:r>
      <w:proofErr w:type="gramStart"/>
      <w:r>
        <w:rPr>
          <w:rFonts w:eastAsia="Calibri"/>
        </w:rPr>
        <w:t>is calculated</w:t>
      </w:r>
      <w:proofErr w:type="gramEnd"/>
      <w:r>
        <w:rPr>
          <w:rFonts w:eastAsia="Calibri"/>
        </w:rPr>
        <w:t xml:space="preserve"> by dividing the ITT impact by the proportion of youth who </w:t>
      </w:r>
      <w:r w:rsidR="00D77B78">
        <w:rPr>
          <w:rFonts w:eastAsia="Calibri"/>
        </w:rPr>
        <w:t>participate</w:t>
      </w:r>
      <w:r>
        <w:rPr>
          <w:rFonts w:eastAsia="Calibri"/>
        </w:rPr>
        <w:t xml:space="preserve"> the program (Bloom 1984)</w:t>
      </w:r>
      <w:r w:rsidRPr="002C3446">
        <w:rPr>
          <w:rFonts w:eastAsia="Calibri"/>
        </w:rPr>
        <w:t xml:space="preserve">.  </w:t>
      </w:r>
    </w:p>
    <w:p w:rsidR="001B23DD" w:rsidP="004D2E92" w:rsidRDefault="001B23DD" w14:paraId="3384B90F" w14:textId="22361B47">
      <w:pPr>
        <w:pStyle w:val="ParagraphContinued"/>
        <w:spacing w:before="0" w:after="0"/>
        <w:rPr>
          <w:rFonts w:eastAsia="Calibri"/>
        </w:rPr>
      </w:pPr>
      <w:r>
        <w:rPr>
          <w:rFonts w:eastAsia="Calibri"/>
        </w:rPr>
        <w:t>To examine whether Pathways is particularly effective for key subgroups of the target population</w:t>
      </w:r>
      <w:r w:rsidR="00D21A5D">
        <w:rPr>
          <w:rFonts w:eastAsia="Calibri"/>
        </w:rPr>
        <w:t xml:space="preserve"> </w:t>
      </w:r>
      <w:r>
        <w:rPr>
          <w:rFonts w:eastAsia="Calibri"/>
        </w:rPr>
        <w:t>(</w:t>
      </w:r>
      <w:r w:rsidR="00D77B78">
        <w:rPr>
          <w:rFonts w:eastAsia="Calibri"/>
        </w:rPr>
        <w:t xml:space="preserve">Research Question </w:t>
      </w:r>
      <w:r>
        <w:rPr>
          <w:rFonts w:eastAsia="Calibri"/>
        </w:rPr>
        <w:t>2), we will use the same approaches described above for the full analytic sample. We will estimate separate impacts for key subgroups, and potentially explore the intersection of two or more subgroups, such as race and sexual identity.</w:t>
      </w:r>
      <w:r w:rsidRPr="008E7050" w:rsidR="008E7050">
        <w:rPr>
          <w:sz w:val="20"/>
          <w:szCs w:val="20"/>
        </w:rPr>
        <w:t xml:space="preserve"> </w:t>
      </w:r>
      <w:r w:rsidRPr="008E7050" w:rsidR="008E7050">
        <w:rPr>
          <w:rFonts w:eastAsia="Calibri"/>
        </w:rPr>
        <w:t xml:space="preserve">Given that the sample for the subgroup analyses in </w:t>
      </w:r>
      <w:r w:rsidRPr="008E7050" w:rsidR="008E7050">
        <w:rPr>
          <w:rFonts w:eastAsia="Calibri"/>
        </w:rPr>
        <w:lastRenderedPageBreak/>
        <w:t>research question 2 will be a subset of the full sample used to answer research question 1, the study will have reduced power to detect these impacts as statistically significant.</w:t>
      </w:r>
      <w:r w:rsidR="008E7050">
        <w:rPr>
          <w:rFonts w:eastAsia="Calibri"/>
        </w:rPr>
        <w:t xml:space="preserve"> </w:t>
      </w:r>
      <w:r>
        <w:rPr>
          <w:rFonts w:eastAsia="Calibri"/>
        </w:rPr>
        <w:t xml:space="preserve">We will assess whether impacts vary across subgroups by interacting subgroup indicators with the treatment status indicator (interaction models), then use an </w:t>
      </w:r>
      <w:r w:rsidRPr="001118ED">
        <w:rPr>
          <w:rFonts w:eastAsia="Calibri"/>
          <w:i/>
          <w:iCs/>
        </w:rPr>
        <w:t>F</w:t>
      </w:r>
      <w:r>
        <w:rPr>
          <w:rFonts w:eastAsia="Calibri"/>
        </w:rPr>
        <w:t xml:space="preserve">-test to assess whether the subgroup differences are statistically significant. </w:t>
      </w:r>
    </w:p>
    <w:p w:rsidRPr="00906EFA" w:rsidR="0022799A" w:rsidP="00906EFA" w:rsidRDefault="0022799A" w14:paraId="4882E3C0" w14:textId="77777777">
      <w:pPr>
        <w:pStyle w:val="Paragraph"/>
        <w:spacing w:after="0"/>
      </w:pPr>
    </w:p>
    <w:p w:rsidR="001B23DD" w:rsidP="00906EFA" w:rsidRDefault="001B23DD" w14:paraId="05BC508A" w14:textId="5C729920">
      <w:pPr>
        <w:pStyle w:val="Paragraph"/>
        <w:spacing w:after="0"/>
        <w:rPr>
          <w:rFonts w:eastAsia="Calibri"/>
        </w:rPr>
      </w:pPr>
      <w:r>
        <w:rPr>
          <w:rFonts w:eastAsia="Times New Roman" w:cstheme="minorHAnsi"/>
        </w:rPr>
        <w:t>To examine</w:t>
      </w:r>
      <w:r w:rsidRPr="00D77B78" w:rsidR="00D77B78">
        <w:rPr>
          <w:rFonts w:eastAsia="Times New Roman" w:cstheme="minorHAnsi"/>
        </w:rPr>
        <w:t xml:space="preserve"> </w:t>
      </w:r>
      <w:r w:rsidR="00D77B78">
        <w:rPr>
          <w:rFonts w:eastAsia="Times New Roman" w:cstheme="minorHAnsi"/>
        </w:rPr>
        <w:t xml:space="preserve">whether features of Pathways implementation </w:t>
      </w:r>
      <w:proofErr w:type="gramStart"/>
      <w:r w:rsidR="00D77B78">
        <w:rPr>
          <w:rFonts w:eastAsia="Times New Roman" w:cstheme="minorHAnsi"/>
        </w:rPr>
        <w:t>influences</w:t>
      </w:r>
      <w:proofErr w:type="gramEnd"/>
      <w:r w:rsidR="00D77B78">
        <w:rPr>
          <w:rFonts w:eastAsia="Times New Roman" w:cstheme="minorHAnsi"/>
        </w:rPr>
        <w:t xml:space="preserve"> youth outcomes (Research Question 3)</w:t>
      </w:r>
      <w:r>
        <w:rPr>
          <w:rFonts w:eastAsia="Times New Roman" w:cstheme="minorHAnsi"/>
        </w:rPr>
        <w:t xml:space="preserve">, we will estimate the relationship between the Pathways program and related outcomes </w:t>
      </w:r>
      <w:r>
        <w:rPr>
          <w:rFonts w:eastAsia="Calibri"/>
        </w:rPr>
        <w:t xml:space="preserve">by first regressing each outcome of interest </w:t>
      </w:r>
      <w:r w:rsidRPr="00CE3499">
        <w:rPr>
          <w:rFonts w:eastAsia="Calibri"/>
        </w:rPr>
        <w:t xml:space="preserve">on </w:t>
      </w:r>
      <w:r>
        <w:rPr>
          <w:rFonts w:eastAsia="Calibri"/>
        </w:rPr>
        <w:t xml:space="preserve">the </w:t>
      </w:r>
      <w:r w:rsidRPr="00CE3499">
        <w:rPr>
          <w:rFonts w:eastAsia="Calibri"/>
        </w:rPr>
        <w:t>measure</w:t>
      </w:r>
      <w:r>
        <w:rPr>
          <w:rFonts w:eastAsia="Calibri"/>
        </w:rPr>
        <w:t>s</w:t>
      </w:r>
      <w:r w:rsidRPr="00CE3499">
        <w:rPr>
          <w:rFonts w:eastAsia="Calibri"/>
        </w:rPr>
        <w:t xml:space="preserve"> of</w:t>
      </w:r>
      <w:r>
        <w:rPr>
          <w:rFonts w:eastAsia="Calibri"/>
        </w:rPr>
        <w:t xml:space="preserve"> </w:t>
      </w:r>
      <w:r w:rsidR="00D77B78">
        <w:rPr>
          <w:rFonts w:eastAsia="Calibri"/>
        </w:rPr>
        <w:t xml:space="preserve">Pathways </w:t>
      </w:r>
      <w:r w:rsidRPr="00CE3499">
        <w:rPr>
          <w:rFonts w:eastAsia="Calibri"/>
        </w:rPr>
        <w:t>implementation</w:t>
      </w:r>
      <w:r>
        <w:rPr>
          <w:rFonts w:eastAsia="Calibri"/>
        </w:rPr>
        <w:t xml:space="preserve"> </w:t>
      </w:r>
      <w:r w:rsidR="00D77B78">
        <w:rPr>
          <w:rFonts w:eastAsia="Calibri"/>
        </w:rPr>
        <w:t>while</w:t>
      </w:r>
      <w:r w:rsidRPr="00CE3499" w:rsidR="00D77B78">
        <w:rPr>
          <w:rFonts w:eastAsia="Calibri"/>
        </w:rPr>
        <w:t xml:space="preserve"> </w:t>
      </w:r>
      <w:r w:rsidRPr="00CE3499">
        <w:rPr>
          <w:rFonts w:eastAsia="Calibri"/>
        </w:rPr>
        <w:t>adjusting for</w:t>
      </w:r>
      <w:r>
        <w:rPr>
          <w:rFonts w:eastAsia="Calibri"/>
        </w:rPr>
        <w:t xml:space="preserve"> baseline characteristics that are likely to influence the outcome. In other words, this model will estimate whether youth with better or more exposure to the implementation have better outcomes (after adjusting for baseline characteristics as proxies for potential omitted variables that might produce bias in the observed relationship between implementation and outcomes). To get a reliable metric of implementation, we will start with the full set of implementation measures and use principal components analysis to identify a smaller set of implementation measures that capture much of the variability in implementation. Second, we will examine which individual components of implementation have the strongest relationship with </w:t>
      </w:r>
      <w:r w:rsidR="00776CBB">
        <w:rPr>
          <w:rFonts w:eastAsia="Calibri"/>
        </w:rPr>
        <w:t xml:space="preserve">the </w:t>
      </w:r>
      <w:r>
        <w:rPr>
          <w:rFonts w:eastAsia="Calibri"/>
        </w:rPr>
        <w:t xml:space="preserve">outcomes of interest. This approach will be comparable to the approach described above. However, instead of using </w:t>
      </w:r>
      <w:proofErr w:type="gramStart"/>
      <w:r w:rsidR="00776CBB">
        <w:rPr>
          <w:rFonts w:eastAsia="Calibri"/>
        </w:rPr>
        <w:t>Pathways</w:t>
      </w:r>
      <w:proofErr w:type="gramEnd"/>
      <w:r w:rsidR="00776CBB">
        <w:rPr>
          <w:rFonts w:eastAsia="Calibri"/>
        </w:rPr>
        <w:t xml:space="preserve"> </w:t>
      </w:r>
      <w:r>
        <w:rPr>
          <w:rFonts w:eastAsia="Calibri"/>
        </w:rPr>
        <w:t xml:space="preserve">implementation as a single predictor variable of interest, we will decompose the implementation into individual core components. We will have implementation data on features of Pathways, </w:t>
      </w:r>
      <w:r w:rsidR="00776CBB">
        <w:rPr>
          <w:rFonts w:eastAsia="Calibri"/>
        </w:rPr>
        <w:t>such as</w:t>
      </w:r>
      <w:r>
        <w:rPr>
          <w:rFonts w:eastAsia="Calibri"/>
        </w:rPr>
        <w:t xml:space="preserve"> these key components: (1) </w:t>
      </w:r>
      <w:r w:rsidR="00776CBB">
        <w:rPr>
          <w:rFonts w:eastAsia="Calibri"/>
        </w:rPr>
        <w:t xml:space="preserve">the </w:t>
      </w:r>
      <w:r>
        <w:rPr>
          <w:rFonts w:eastAsia="Calibri"/>
        </w:rPr>
        <w:t>dosage</w:t>
      </w:r>
      <w:r w:rsidR="00776CBB">
        <w:rPr>
          <w:rFonts w:eastAsia="Calibri"/>
        </w:rPr>
        <w:t xml:space="preserve"> and</w:t>
      </w:r>
      <w:r w:rsidR="001C7000">
        <w:rPr>
          <w:rFonts w:eastAsia="Calibri"/>
        </w:rPr>
        <w:t xml:space="preserve"> </w:t>
      </w:r>
      <w:r>
        <w:rPr>
          <w:rFonts w:eastAsia="Calibri"/>
        </w:rPr>
        <w:t>duration of regular case management meetings, (2) the types of goals that youth choose and the services offered to meet those goals, and (3) financial assistance</w:t>
      </w:r>
      <w:r w:rsidRPr="00776CBB" w:rsidR="00776CBB">
        <w:rPr>
          <w:rFonts w:eastAsia="Calibri"/>
        </w:rPr>
        <w:t xml:space="preserve"> </w:t>
      </w:r>
      <w:r w:rsidR="00776CBB">
        <w:rPr>
          <w:rFonts w:eastAsia="Calibri"/>
        </w:rPr>
        <w:t>youth may receive</w:t>
      </w:r>
      <w:r>
        <w:rPr>
          <w:rFonts w:eastAsia="Calibri"/>
        </w:rPr>
        <w:t xml:space="preserve">. After creating implementation measures for each of these key components, we will use them as separate predictors of participant outcomes. The benefit of this additional approach is that it will help us understand whether, for example, it was the case management or the financial assistance that had more influence on participant outcomes.  </w:t>
      </w:r>
    </w:p>
    <w:p w:rsidR="0022799A" w:rsidP="00906EFA" w:rsidRDefault="0022799A" w14:paraId="355BF90A" w14:textId="77777777">
      <w:pPr>
        <w:pStyle w:val="Paragraph"/>
        <w:spacing w:after="0"/>
        <w:rPr>
          <w:rFonts w:eastAsia="Calibri"/>
        </w:rPr>
      </w:pPr>
    </w:p>
    <w:p w:rsidR="001B23DD" w:rsidP="00EC1F58" w:rsidRDefault="001B23DD" w14:paraId="246A7AAD" w14:textId="56B98A0D">
      <w:pPr>
        <w:pStyle w:val="ParagraphContinued"/>
        <w:spacing w:before="0" w:after="0"/>
        <w:rPr>
          <w:rFonts w:eastAsia="Calibri"/>
        </w:rPr>
      </w:pPr>
      <w:r>
        <w:rPr>
          <w:rFonts w:eastAsia="Calibri"/>
        </w:rPr>
        <w:t xml:space="preserve">In addition to estimating traditional </w:t>
      </w:r>
      <w:r w:rsidRPr="00E31C03">
        <w:rPr>
          <w:rFonts w:eastAsia="Calibri"/>
        </w:rPr>
        <w:t>inferential test</w:t>
      </w:r>
      <w:r>
        <w:rPr>
          <w:rFonts w:eastAsia="Calibri"/>
        </w:rPr>
        <w:t xml:space="preserve">s, we will offer a more nuanced interpretation of the results through a </w:t>
      </w:r>
      <w:bookmarkStart w:name="_Hlk45624264" w:id="4"/>
      <w:r w:rsidRPr="00E31C03">
        <w:rPr>
          <w:rFonts w:eastAsia="Calibri"/>
        </w:rPr>
        <w:t xml:space="preserve">Bayesian presentation of the findings. </w:t>
      </w:r>
      <w:bookmarkEnd w:id="4"/>
      <w:r w:rsidRPr="00E31C03">
        <w:rPr>
          <w:rFonts w:eastAsia="Calibri"/>
        </w:rPr>
        <w:t>We will report the Bayesian posterior probability</w:t>
      </w:r>
      <w:r>
        <w:rPr>
          <w:rFonts w:eastAsia="Calibri"/>
        </w:rPr>
        <w:t>—</w:t>
      </w:r>
      <w:bookmarkStart w:name="_Hlk45624279" w:id="5"/>
      <w:r w:rsidRPr="00E31C03">
        <w:rPr>
          <w:rFonts w:eastAsia="Calibri"/>
        </w:rPr>
        <w:t xml:space="preserve">the probability that </w:t>
      </w:r>
      <w:r>
        <w:rPr>
          <w:rFonts w:eastAsia="Calibri"/>
        </w:rPr>
        <w:t>Pathways</w:t>
      </w:r>
      <w:r w:rsidRPr="00E31C03">
        <w:rPr>
          <w:rFonts w:eastAsia="Calibri"/>
        </w:rPr>
        <w:t xml:space="preserve"> truly has positive (that is, favorable) impacts</w:t>
      </w:r>
      <w:r>
        <w:rPr>
          <w:rFonts w:eastAsia="Calibri"/>
        </w:rPr>
        <w:t>—</w:t>
      </w:r>
      <w:r w:rsidRPr="00E31C03">
        <w:rPr>
          <w:rFonts w:eastAsia="Calibri"/>
        </w:rPr>
        <w:t xml:space="preserve">given the observed impact estimates for each outcome. </w:t>
      </w:r>
      <w:bookmarkEnd w:id="5"/>
      <w:r w:rsidRPr="00E31C03">
        <w:rPr>
          <w:rFonts w:eastAsia="Calibri"/>
        </w:rPr>
        <w:t>In doing so, we will be able to present resu</w:t>
      </w:r>
      <w:r w:rsidRPr="008876BC">
        <w:rPr>
          <w:rFonts w:eastAsia="Calibri"/>
        </w:rPr>
        <w:t>lts that say</w:t>
      </w:r>
      <w:r w:rsidRPr="00967D65">
        <w:rPr>
          <w:rFonts w:eastAsia="Calibri"/>
        </w:rPr>
        <w:t>, for example, t</w:t>
      </w:r>
      <w:r w:rsidRPr="008876BC">
        <w:rPr>
          <w:rFonts w:eastAsia="Calibri"/>
        </w:rPr>
        <w:t>here is a 77 percent probability that Pathways has a favorable effect on pa</w:t>
      </w:r>
      <w:r w:rsidRPr="00E31C03">
        <w:rPr>
          <w:rFonts w:eastAsia="Calibri"/>
        </w:rPr>
        <w:t>rticipant outcomes</w:t>
      </w:r>
      <w:r>
        <w:rPr>
          <w:rFonts w:eastAsia="Calibri"/>
        </w:rPr>
        <w:t>—</w:t>
      </w:r>
      <w:r w:rsidRPr="00E31C03">
        <w:rPr>
          <w:rFonts w:eastAsia="Calibri"/>
        </w:rPr>
        <w:t>even if the inferential test shows that there is a nonsignificant difference in the average outcomes across conditions.</w:t>
      </w:r>
      <w:r w:rsidRPr="00DE3865">
        <w:rPr>
          <w:rFonts w:eastAsia="Calibri"/>
        </w:rPr>
        <w:t xml:space="preserve"> </w:t>
      </w:r>
      <w:r w:rsidRPr="00C62757">
        <w:rPr>
          <w:rFonts w:eastAsia="Calibri"/>
        </w:rPr>
        <w:t xml:space="preserve">The approach we recommend </w:t>
      </w:r>
      <w:proofErr w:type="gramStart"/>
      <w:r w:rsidRPr="00C62757">
        <w:rPr>
          <w:rFonts w:eastAsia="Calibri"/>
        </w:rPr>
        <w:t>is described</w:t>
      </w:r>
      <w:proofErr w:type="gramEnd"/>
      <w:r w:rsidRPr="00C62757">
        <w:rPr>
          <w:rFonts w:eastAsia="Calibri"/>
        </w:rPr>
        <w:t xml:space="preserve"> in more detail in Deke and Finucane (</w:t>
      </w:r>
      <w:r w:rsidRPr="00C62757" w:rsidR="00AF297F">
        <w:rPr>
          <w:rFonts w:eastAsia="Calibri"/>
        </w:rPr>
        <w:t>2019</w:t>
      </w:r>
      <w:r w:rsidRPr="00C62757">
        <w:rPr>
          <w:rFonts w:eastAsia="Calibri"/>
        </w:rPr>
        <w:t xml:space="preserve">). </w:t>
      </w:r>
      <w:r>
        <w:rPr>
          <w:rFonts w:eastAsia="Calibri"/>
        </w:rPr>
        <w:t xml:space="preserve">  </w:t>
      </w:r>
    </w:p>
    <w:p w:rsidRPr="00EC1F58" w:rsidR="0022799A" w:rsidP="00EC1F58" w:rsidRDefault="0022799A" w14:paraId="26F1EE1D" w14:textId="77777777">
      <w:pPr>
        <w:pStyle w:val="Paragraph"/>
        <w:spacing w:after="0"/>
      </w:pPr>
    </w:p>
    <w:p w:rsidR="001B23DD" w:rsidP="00EC1F58" w:rsidRDefault="001B23DD" w14:paraId="23F10FB3" w14:textId="4A5E1AD9">
      <w:pPr>
        <w:pStyle w:val="Paragraph"/>
        <w:spacing w:after="0"/>
        <w:rPr>
          <w:rFonts w:eastAsia="Calibri"/>
        </w:rPr>
      </w:pPr>
      <w:r w:rsidRPr="00CE3499">
        <w:rPr>
          <w:rFonts w:eastAsia="Calibri"/>
        </w:rPr>
        <w:t xml:space="preserve">To inform the prior distribution used </w:t>
      </w:r>
      <w:r w:rsidRPr="00967D65">
        <w:rPr>
          <w:rFonts w:eastAsia="Calibri"/>
        </w:rPr>
        <w:t>for</w:t>
      </w:r>
      <w:r w:rsidRPr="00CE3499">
        <w:rPr>
          <w:rFonts w:eastAsia="Calibri"/>
        </w:rPr>
        <w:t xml:space="preserve"> the Bayesian presentation of findings, we will draw on</w:t>
      </w:r>
      <w:r>
        <w:rPr>
          <w:rFonts w:eastAsia="Calibri"/>
        </w:rPr>
        <w:t xml:space="preserve"> multiple sources of credible evidence on the effectiveness of programs that attempt to improve outcomes for a broad range of at-risk youth. This may include programs reviewed by the new Title IV-E Prevention Services Clearinghouse, dropout prevention programs from the What Works Clearinghouse, and potentially evidence on teen pregnancy prevention </w:t>
      </w:r>
      <w:r w:rsidRPr="004736D2">
        <w:rPr>
          <w:rFonts w:eastAsia="Calibri"/>
        </w:rPr>
        <w:t xml:space="preserve">from the </w:t>
      </w:r>
      <w:r>
        <w:rPr>
          <w:rFonts w:eastAsia="Calibri"/>
        </w:rPr>
        <w:t xml:space="preserve">Teen Pregnancy Prevention Evidence Review sponsored by the U.S. Department of Health and Human Services. </w:t>
      </w:r>
    </w:p>
    <w:p w:rsidR="001B23DD" w:rsidP="001B23DD" w:rsidRDefault="001B23DD" w14:paraId="6ECCCA55" w14:textId="737D8346">
      <w:pPr>
        <w:autoSpaceDE w:val="0"/>
        <w:autoSpaceDN w:val="0"/>
        <w:adjustRightInd w:val="0"/>
        <w:spacing w:after="0" w:line="240" w:lineRule="atLeast"/>
        <w:rPr>
          <w:rFonts w:eastAsia="Calibri"/>
        </w:rPr>
      </w:pPr>
      <w:r>
        <w:rPr>
          <w:rFonts w:eastAsia="Calibri"/>
        </w:rPr>
        <w:t xml:space="preserve">The design and analytic approach for this study will </w:t>
      </w:r>
      <w:proofErr w:type="gramStart"/>
      <w:r>
        <w:rPr>
          <w:rFonts w:eastAsia="Calibri"/>
        </w:rPr>
        <w:t>be registered</w:t>
      </w:r>
      <w:proofErr w:type="gramEnd"/>
      <w:r>
        <w:rPr>
          <w:rFonts w:eastAsia="Calibri"/>
        </w:rPr>
        <w:t xml:space="preserve"> at </w:t>
      </w:r>
      <w:r w:rsidR="00AF297F">
        <w:rPr>
          <w:rFonts w:eastAsia="Calibri"/>
        </w:rPr>
        <w:t>ClinicalTrials</w:t>
      </w:r>
      <w:r>
        <w:rPr>
          <w:rFonts w:eastAsia="Calibri"/>
        </w:rPr>
        <w:t>.gov.</w:t>
      </w:r>
    </w:p>
    <w:p w:rsidR="00057C97" w:rsidP="001B23DD" w:rsidRDefault="00057C97" w14:paraId="3121FA55" w14:textId="0CCB8769">
      <w:pPr>
        <w:autoSpaceDE w:val="0"/>
        <w:autoSpaceDN w:val="0"/>
        <w:adjustRightInd w:val="0"/>
        <w:spacing w:after="0" w:line="240" w:lineRule="atLeast"/>
        <w:rPr>
          <w:rFonts w:eastAsia="Calibri"/>
        </w:rPr>
      </w:pPr>
    </w:p>
    <w:p w:rsidRPr="00963EC6" w:rsidR="00057C97" w:rsidP="00963EC6" w:rsidRDefault="00057C97" w14:paraId="7716839C" w14:textId="398E7C32">
      <w:pPr>
        <w:autoSpaceDE w:val="0"/>
        <w:autoSpaceDN w:val="0"/>
        <w:adjustRightInd w:val="0"/>
        <w:spacing w:after="60" w:line="240" w:lineRule="atLeast"/>
        <w:rPr>
          <w:rFonts w:eastAsia="Times New Roman" w:cstheme="minorHAnsi"/>
          <w:bCs/>
          <w:i/>
          <w:color w:val="000000"/>
        </w:rPr>
      </w:pPr>
      <w:r w:rsidRPr="00963EC6">
        <w:rPr>
          <w:rFonts w:eastAsia="Times New Roman" w:cstheme="minorHAnsi"/>
          <w:bCs/>
          <w:i/>
          <w:color w:val="000000"/>
        </w:rPr>
        <w:lastRenderedPageBreak/>
        <w:t>Power analysis: Sample size and Minimum Detectable Impacts</w:t>
      </w:r>
    </w:p>
    <w:p w:rsidRPr="006F5078" w:rsidR="00057C97" w:rsidP="004D2E92" w:rsidRDefault="00057C97" w14:paraId="779144AA" w14:textId="7B682795">
      <w:pPr>
        <w:pStyle w:val="ParagraphContinued"/>
        <w:spacing w:before="0" w:after="240"/>
        <w:rPr>
          <w:rFonts w:eastAsia="Calibri"/>
        </w:rPr>
      </w:pPr>
      <w:r w:rsidRPr="006F5078">
        <w:rPr>
          <w:rFonts w:eastAsia="Calibri"/>
        </w:rPr>
        <w:t xml:space="preserve">One of the goals of the impact </w:t>
      </w:r>
      <w:r>
        <w:rPr>
          <w:rFonts w:eastAsia="Calibri"/>
        </w:rPr>
        <w:t>study</w:t>
      </w:r>
      <w:r w:rsidRPr="006F5078">
        <w:rPr>
          <w:rFonts w:eastAsia="Calibri"/>
        </w:rPr>
        <w:t xml:space="preserve"> is to detect statistically significant impacts on youth outcomes, assuming that the comprehensive service model </w:t>
      </w:r>
      <w:proofErr w:type="gramStart"/>
      <w:r w:rsidRPr="006F5078">
        <w:rPr>
          <w:rFonts w:eastAsia="Calibri"/>
        </w:rPr>
        <w:t>being tested</w:t>
      </w:r>
      <w:proofErr w:type="gramEnd"/>
      <w:r w:rsidRPr="006F5078">
        <w:rPr>
          <w:rFonts w:eastAsia="Calibri"/>
        </w:rPr>
        <w:t xml:space="preserve"> is truly effective. We calculated the minimum detectable impact (MDI) and the minimum detectable effect size (MDES) for the proposed study, assuming the goal is to have 80 percent power and a two-tailed hypothesis test with </w:t>
      </w:r>
      <w:r w:rsidRPr="006F5078">
        <w:rPr>
          <w:rFonts w:ascii="Symbol" w:hAnsi="Symbol" w:eastAsia="Calibri"/>
        </w:rPr>
        <w:t></w:t>
      </w:r>
      <w:r w:rsidRPr="006F5078">
        <w:rPr>
          <w:rFonts w:eastAsia="Calibri"/>
        </w:rPr>
        <w:t xml:space="preserve"> = 0.05.</w:t>
      </w:r>
    </w:p>
    <w:p w:rsidRPr="006F5078" w:rsidR="00057C97" w:rsidP="004D2E92" w:rsidRDefault="00057C97" w14:paraId="1B042379" w14:textId="7849C6B0">
      <w:pPr>
        <w:pStyle w:val="Paragraph"/>
        <w:spacing w:after="0"/>
        <w:rPr>
          <w:rFonts w:eastAsia="Calibri"/>
        </w:rPr>
      </w:pPr>
      <w:r w:rsidRPr="006F5078">
        <w:rPr>
          <w:rFonts w:eastAsia="Calibri"/>
        </w:rPr>
        <w:t>We present MDIs and MDESs for two outcome categories: (1) a continuous outcome such as readiness for independence, based on ratings obtained from a survey</w:t>
      </w:r>
      <w:r>
        <w:rPr>
          <w:rFonts w:eastAsia="Calibri"/>
        </w:rPr>
        <w:t>;</w:t>
      </w:r>
      <w:r w:rsidRPr="006F5078">
        <w:rPr>
          <w:rFonts w:eastAsia="Calibri"/>
        </w:rPr>
        <w:t xml:space="preserve"> and (2) a dichotomous indicator of the incidence of an outcome, such as an episode of homelessness or a diagnosis of clinical depression</w:t>
      </w:r>
      <w:r w:rsidRPr="006F5078">
        <w:t xml:space="preserve">, </w:t>
      </w:r>
      <w:r w:rsidRPr="006F5078">
        <w:rPr>
          <w:rFonts w:eastAsia="Calibri"/>
        </w:rPr>
        <w:t xml:space="preserve">based on either survey or administrative data. </w:t>
      </w:r>
      <w:r>
        <w:rPr>
          <w:rFonts w:eastAsia="Calibri"/>
        </w:rPr>
        <w:t xml:space="preserve">See </w:t>
      </w:r>
      <w:r w:rsidRPr="006F5078">
        <w:rPr>
          <w:rFonts w:eastAsia="Calibri"/>
        </w:rPr>
        <w:t xml:space="preserve">Table </w:t>
      </w:r>
      <w:r w:rsidR="00963EC6">
        <w:rPr>
          <w:rFonts w:eastAsia="Calibri"/>
        </w:rPr>
        <w:t>B.2</w:t>
      </w:r>
      <w:r w:rsidRPr="006F5078">
        <w:rPr>
          <w:rFonts w:eastAsia="Calibri"/>
        </w:rPr>
        <w:t xml:space="preserve"> </w:t>
      </w:r>
      <w:r>
        <w:rPr>
          <w:rFonts w:eastAsia="Calibri"/>
        </w:rPr>
        <w:t>for</w:t>
      </w:r>
      <w:r w:rsidRPr="006F5078">
        <w:rPr>
          <w:rFonts w:eastAsia="Calibri"/>
        </w:rPr>
        <w:t xml:space="preserve"> examples of MDIs and MDESs for </w:t>
      </w:r>
      <w:r>
        <w:rPr>
          <w:rFonts w:eastAsia="Calibri"/>
        </w:rPr>
        <w:t xml:space="preserve">these two outcome measures at </w:t>
      </w:r>
      <w:r w:rsidRPr="006F5078">
        <w:rPr>
          <w:rFonts w:eastAsia="Calibri"/>
        </w:rPr>
        <w:t xml:space="preserve">the immediate post-test and </w:t>
      </w:r>
      <w:r>
        <w:rPr>
          <w:rFonts w:eastAsia="Calibri"/>
        </w:rPr>
        <w:t xml:space="preserve">at </w:t>
      </w:r>
      <w:r w:rsidRPr="006F5078">
        <w:rPr>
          <w:rFonts w:eastAsia="Calibri"/>
        </w:rPr>
        <w:t xml:space="preserve">the long-term follow-up. </w:t>
      </w:r>
    </w:p>
    <w:p w:rsidRPr="006F5078" w:rsidR="00057C97" w:rsidP="00057C97" w:rsidRDefault="00057C97" w14:paraId="08D19A39" w14:textId="77777777">
      <w:pPr>
        <w:pStyle w:val="H4"/>
        <w:numPr>
          <w:ilvl w:val="0"/>
          <w:numId w:val="43"/>
        </w:numPr>
        <w:ind w:left="450" w:hanging="450"/>
        <w:rPr>
          <w:rFonts w:eastAsia="Calibri"/>
        </w:rPr>
      </w:pPr>
      <w:r w:rsidRPr="006F5078">
        <w:rPr>
          <w:rFonts w:eastAsia="Calibri"/>
        </w:rPr>
        <w:t>Colorado inputs and MDIs</w:t>
      </w:r>
    </w:p>
    <w:p w:rsidR="00057C97" w:rsidP="00057C97" w:rsidRDefault="00057C97" w14:paraId="6C163833" w14:textId="79D5F9CE">
      <w:pPr>
        <w:pStyle w:val="ParagraphContinued"/>
        <w:rPr>
          <w:rFonts w:eastAsia="Calibri"/>
          <w:i/>
        </w:rPr>
      </w:pPr>
      <w:r w:rsidRPr="00530913">
        <w:rPr>
          <w:rFonts w:eastAsia="Calibri"/>
        </w:rPr>
        <w:t xml:space="preserve">As inputs for this calculation, we assumed an expected sample enrollment of </w:t>
      </w:r>
      <w:r w:rsidR="00E13D76">
        <w:rPr>
          <w:rFonts w:eastAsia="Calibri"/>
        </w:rPr>
        <w:t>700</w:t>
      </w:r>
      <w:r w:rsidRPr="00530913">
        <w:rPr>
          <w:rFonts w:eastAsia="Calibri"/>
        </w:rPr>
        <w:t xml:space="preserve"> youth. Among these youth, we expected an </w:t>
      </w:r>
      <w:r w:rsidRPr="00F905FB">
        <w:rPr>
          <w:rFonts w:eastAsia="Calibri"/>
        </w:rPr>
        <w:t>8</w:t>
      </w:r>
      <w:r w:rsidR="00E13D76">
        <w:rPr>
          <w:rFonts w:eastAsia="Calibri"/>
        </w:rPr>
        <w:t>5</w:t>
      </w:r>
      <w:r w:rsidRPr="00F905FB">
        <w:rPr>
          <w:rFonts w:eastAsia="Calibri"/>
        </w:rPr>
        <w:t xml:space="preserve"> percent response rate from baseline to the </w:t>
      </w:r>
      <w:r w:rsidR="00726911">
        <w:rPr>
          <w:rFonts w:eastAsia="Calibri"/>
        </w:rPr>
        <w:t>12-month</w:t>
      </w:r>
      <w:r w:rsidRPr="00F905FB">
        <w:rPr>
          <w:rFonts w:eastAsia="Calibri"/>
        </w:rPr>
        <w:t xml:space="preserve"> follow-up (an effective sample size of </w:t>
      </w:r>
      <w:r w:rsidR="00E13D76">
        <w:rPr>
          <w:rFonts w:eastAsia="Calibri"/>
        </w:rPr>
        <w:t>595</w:t>
      </w:r>
      <w:r w:rsidRPr="00217143">
        <w:rPr>
          <w:rFonts w:eastAsia="Calibri"/>
        </w:rPr>
        <w:t xml:space="preserve"> youth). </w:t>
      </w:r>
      <w:r w:rsidRPr="00D86490">
        <w:rPr>
          <w:rFonts w:eastAsia="Calibri"/>
        </w:rPr>
        <w:t>In addition,</w:t>
      </w:r>
      <w:r>
        <w:rPr>
          <w:rFonts w:eastAsia="Calibri"/>
        </w:rPr>
        <w:t xml:space="preserve"> we expected a 70 percent response rate for the longer-term follow-up</w:t>
      </w:r>
      <w:r w:rsidR="00E13D76">
        <w:rPr>
          <w:rFonts w:eastAsia="Calibri"/>
        </w:rPr>
        <w:t xml:space="preserve"> (24-month follow-up)</w:t>
      </w:r>
      <w:r>
        <w:rPr>
          <w:rFonts w:eastAsia="Calibri"/>
        </w:rPr>
        <w:t>, for an effective sample of 4</w:t>
      </w:r>
      <w:r w:rsidR="00E13D76">
        <w:rPr>
          <w:rFonts w:eastAsia="Calibri"/>
        </w:rPr>
        <w:t>90</w:t>
      </w:r>
      <w:r>
        <w:rPr>
          <w:rFonts w:eastAsia="Calibri"/>
        </w:rPr>
        <w:t xml:space="preserve"> youth. Therefore, we will primarily focus our power calculations on the immediate post-test estimates of program effectiveness at 12 months, because this will be our largest and most powerful test of the full dose of Pathways. </w:t>
      </w:r>
    </w:p>
    <w:p w:rsidRPr="006D704C" w:rsidR="00057C97" w:rsidP="004D2E92" w:rsidRDefault="00057C97" w14:paraId="2B76DEE9" w14:textId="3860D666">
      <w:pPr>
        <w:pStyle w:val="Paragraph"/>
        <w:spacing w:after="0"/>
        <w:rPr>
          <w:rFonts w:eastAsia="Calibri"/>
          <w:i/>
        </w:rPr>
      </w:pPr>
      <w:r w:rsidRPr="006D704C">
        <w:rPr>
          <w:rFonts w:eastAsia="Calibri"/>
        </w:rPr>
        <w:t xml:space="preserve">Focusing on the </w:t>
      </w:r>
      <w:r w:rsidR="00726911">
        <w:rPr>
          <w:rFonts w:eastAsia="Calibri"/>
        </w:rPr>
        <w:t>12-month follow-up</w:t>
      </w:r>
      <w:r w:rsidRPr="006D704C">
        <w:rPr>
          <w:rFonts w:eastAsia="Calibri"/>
        </w:rPr>
        <w:t>, the MDES is 0.</w:t>
      </w:r>
      <w:r>
        <w:rPr>
          <w:rFonts w:eastAsia="Calibri"/>
        </w:rPr>
        <w:t>2</w:t>
      </w:r>
      <w:r w:rsidR="00E13D76">
        <w:rPr>
          <w:rFonts w:eastAsia="Calibri"/>
        </w:rPr>
        <w:t>5</w:t>
      </w:r>
      <w:r>
        <w:rPr>
          <w:rFonts w:eastAsia="Calibri"/>
        </w:rPr>
        <w:t xml:space="preserve"> </w:t>
      </w:r>
      <w:r w:rsidRPr="006D704C">
        <w:rPr>
          <w:rFonts w:eastAsia="Calibri"/>
        </w:rPr>
        <w:t>standard deviations for continuous variables and 0.</w:t>
      </w:r>
      <w:r w:rsidR="00E13D76">
        <w:rPr>
          <w:rFonts w:eastAsia="Calibri"/>
        </w:rPr>
        <w:t>28</w:t>
      </w:r>
      <w:r>
        <w:rPr>
          <w:rFonts w:eastAsia="Calibri"/>
        </w:rPr>
        <w:t xml:space="preserve"> </w:t>
      </w:r>
      <w:r w:rsidRPr="006D704C">
        <w:rPr>
          <w:rFonts w:eastAsia="Calibri"/>
        </w:rPr>
        <w:t xml:space="preserve">standard deviations for dichotomous outcomes. For dichotomous outcomes, MDIs are </w:t>
      </w:r>
      <w:r>
        <w:rPr>
          <w:rFonts w:eastAsia="Calibri"/>
        </w:rPr>
        <w:t>1</w:t>
      </w:r>
      <w:r w:rsidR="00E13D76">
        <w:rPr>
          <w:rFonts w:eastAsia="Calibri"/>
        </w:rPr>
        <w:t>1</w:t>
      </w:r>
      <w:r>
        <w:rPr>
          <w:rFonts w:eastAsia="Calibri"/>
        </w:rPr>
        <w:t xml:space="preserve"> </w:t>
      </w:r>
      <w:r w:rsidRPr="006D704C">
        <w:rPr>
          <w:rFonts w:eastAsia="Calibri"/>
        </w:rPr>
        <w:t xml:space="preserve">percentage points (PP) relative to a 20 percent (or 80 percent) comparison group prevalence rate, or </w:t>
      </w:r>
      <w:r>
        <w:rPr>
          <w:rFonts w:eastAsia="Calibri"/>
        </w:rPr>
        <w:t>1</w:t>
      </w:r>
      <w:r w:rsidR="00E13D76">
        <w:rPr>
          <w:rFonts w:eastAsia="Calibri"/>
        </w:rPr>
        <w:t>4</w:t>
      </w:r>
      <w:r>
        <w:rPr>
          <w:rFonts w:eastAsia="Calibri"/>
        </w:rPr>
        <w:t xml:space="preserve"> </w:t>
      </w:r>
      <w:r w:rsidRPr="006D704C">
        <w:rPr>
          <w:rFonts w:eastAsia="Calibri"/>
        </w:rPr>
        <w:t xml:space="preserve">PP relative to a 40 percent (or 60 percent) comparison group prevalence rate. </w:t>
      </w:r>
    </w:p>
    <w:p w:rsidRPr="004D2E92" w:rsidR="00BB706B" w:rsidP="004D2E92" w:rsidRDefault="00BB706B" w14:paraId="4441DBAF" w14:textId="2D95B30C">
      <w:pPr>
        <w:pStyle w:val="TableFootnote"/>
        <w:spacing w:before="0" w:after="0"/>
        <w:rPr>
          <w:rFonts w:eastAsia="Calibri" w:asciiTheme="minorHAnsi" w:hAnsiTheme="minorHAnsi" w:cstheme="minorHAnsi"/>
        </w:rPr>
      </w:pPr>
    </w:p>
    <w:p w:rsidRPr="004D2E92" w:rsidR="00BB706B" w:rsidP="00BB706B" w:rsidRDefault="00BB706B" w14:paraId="795F27D3" w14:textId="77777777">
      <w:pPr>
        <w:pStyle w:val="TableTitle"/>
        <w:rPr>
          <w:rFonts w:eastAsia="Calibri" w:asciiTheme="minorHAnsi" w:hAnsiTheme="minorHAnsi" w:cstheme="minorHAnsi"/>
        </w:rPr>
      </w:pPr>
      <w:r w:rsidRPr="004D2E92">
        <w:rPr>
          <w:rFonts w:eastAsia="Calibri" w:asciiTheme="minorHAnsi" w:hAnsiTheme="minorHAnsi" w:cstheme="minorHAnsi"/>
        </w:rPr>
        <w:t>Table B.2. Minimum detectable impact and effect size calculations for proposed QED of Pathways</w:t>
      </w:r>
    </w:p>
    <w:tbl>
      <w:tblPr>
        <w:tblStyle w:val="MathUBaseTable"/>
        <w:tblW w:w="93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98"/>
        <w:gridCol w:w="1948"/>
        <w:gridCol w:w="1655"/>
        <w:gridCol w:w="1654"/>
        <w:gridCol w:w="2164"/>
      </w:tblGrid>
      <w:tr w:rsidRPr="004D2E92" w:rsidR="00BB706B" w:rsidTr="00C363FE" w14:paraId="25037AAB" w14:textId="77777777">
        <w:trPr>
          <w:cnfStyle w:val="100000000000" w:firstRow="1" w:lastRow="0" w:firstColumn="0" w:lastColumn="0" w:oddVBand="0" w:evenVBand="0" w:oddHBand="0" w:evenHBand="0" w:firstRowFirstColumn="0" w:firstRowLastColumn="0" w:lastRowFirstColumn="0" w:lastRowLastColumn="0"/>
          <w:trHeight w:val="679"/>
          <w:tblHeader/>
        </w:trPr>
        <w:tc>
          <w:tcPr>
            <w:cnfStyle w:val="001000000000" w:firstRow="0" w:lastRow="0" w:firstColumn="1" w:lastColumn="0" w:oddVBand="0" w:evenVBand="0" w:oddHBand="0" w:evenHBand="0" w:firstRowFirstColumn="0" w:firstRowLastColumn="0" w:lastRowFirstColumn="0" w:lastRowLastColumn="0"/>
            <w:tcW w:w="189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themeFill="background1" w:themeFillShade="D9"/>
            <w:noWrap/>
          </w:tcPr>
          <w:p w:rsidRPr="004D2E92" w:rsidR="00BB706B" w:rsidP="00BB706B" w:rsidRDefault="00BB706B" w14:paraId="5287C4AF" w14:textId="77777777">
            <w:pPr>
              <w:pStyle w:val="TableHeaderCenter"/>
              <w:rPr>
                <w:rFonts w:asciiTheme="minorHAnsi" w:hAnsiTheme="minorHAnsi" w:cstheme="minorHAnsi"/>
                <w:color w:val="auto"/>
              </w:rPr>
            </w:pPr>
          </w:p>
        </w:tc>
        <w:tc>
          <w:tcPr>
            <w:tcW w:w="36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themeFill="background1" w:themeFillShade="D9"/>
            <w:noWrap/>
          </w:tcPr>
          <w:p w:rsidRPr="004D2E92" w:rsidR="00BB706B" w:rsidP="00BB706B" w:rsidRDefault="00BB706B" w14:paraId="3D91514E" w14:textId="5627FEB3">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D2E92">
              <w:rPr>
                <w:rFonts w:asciiTheme="minorHAnsi" w:hAnsiTheme="minorHAnsi" w:cstheme="minorHAnsi"/>
                <w:color w:val="auto"/>
              </w:rPr>
              <w:t>12-month follow-up</w:t>
            </w:r>
            <w:r w:rsidRPr="004D2E92">
              <w:rPr>
                <w:rFonts w:asciiTheme="minorHAnsi" w:hAnsiTheme="minorHAnsi" w:cstheme="minorHAnsi"/>
                <w:color w:val="auto"/>
              </w:rPr>
              <w:br/>
              <w:t xml:space="preserve">(group assignment N = 16; </w:t>
            </w:r>
            <w:r w:rsidRPr="004D2E92">
              <w:rPr>
                <w:rFonts w:asciiTheme="minorHAnsi" w:hAnsiTheme="minorHAnsi" w:cstheme="minorHAnsi"/>
                <w:color w:val="auto"/>
              </w:rPr>
              <w:br/>
              <w:t xml:space="preserve">response rate among youth </w:t>
            </w:r>
            <w:r w:rsidRPr="004D2E92">
              <w:rPr>
                <w:rFonts w:asciiTheme="minorHAnsi" w:hAnsiTheme="minorHAnsi" w:cstheme="minorHAnsi"/>
                <w:color w:val="auto"/>
              </w:rPr>
              <w:br/>
              <w:t>with survey consent = 8</w:t>
            </w:r>
            <w:r w:rsidRPr="004D2E92" w:rsidR="00AD6341">
              <w:rPr>
                <w:rFonts w:asciiTheme="minorHAnsi" w:hAnsiTheme="minorHAnsi" w:cstheme="minorHAnsi"/>
                <w:color w:val="auto"/>
              </w:rPr>
              <w:t>5</w:t>
            </w:r>
            <w:r w:rsidRPr="004D2E92">
              <w:rPr>
                <w:rFonts w:asciiTheme="minorHAnsi" w:hAnsiTheme="minorHAnsi" w:cstheme="minorHAnsi"/>
                <w:color w:val="auto"/>
              </w:rPr>
              <w:t xml:space="preserve">%; </w:t>
            </w:r>
            <w:r w:rsidRPr="004D2E92">
              <w:rPr>
                <w:rFonts w:asciiTheme="minorHAnsi" w:hAnsiTheme="minorHAnsi" w:cstheme="minorHAnsi"/>
                <w:color w:val="auto"/>
              </w:rPr>
              <w:br/>
              <w:t xml:space="preserve">effective sample size = </w:t>
            </w:r>
            <w:r w:rsidRPr="004D2E92" w:rsidR="00AD6341">
              <w:rPr>
                <w:rFonts w:asciiTheme="minorHAnsi" w:hAnsiTheme="minorHAnsi" w:cstheme="minorHAnsi"/>
                <w:color w:val="auto"/>
              </w:rPr>
              <w:t>595</w:t>
            </w:r>
            <w:r w:rsidRPr="004D2E92">
              <w:rPr>
                <w:rFonts w:asciiTheme="minorHAnsi" w:hAnsiTheme="minorHAnsi" w:cstheme="minorHAnsi"/>
                <w:color w:val="auto"/>
              </w:rPr>
              <w:t xml:space="preserve"> youth)</w:t>
            </w:r>
          </w:p>
        </w:tc>
        <w:tc>
          <w:tcPr>
            <w:tcW w:w="381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themeFill="background1" w:themeFillShade="D9"/>
          </w:tcPr>
          <w:p w:rsidRPr="004D2E92" w:rsidR="00BB706B" w:rsidP="00BB706B" w:rsidRDefault="00BB706B" w14:paraId="0AE8EE1D" w14:textId="4F846034">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D2E92">
              <w:rPr>
                <w:rFonts w:asciiTheme="minorHAnsi" w:hAnsiTheme="minorHAnsi" w:cstheme="minorHAnsi"/>
                <w:color w:val="auto"/>
              </w:rPr>
              <w:t xml:space="preserve">24-month follow-up </w:t>
            </w:r>
            <w:r w:rsidRPr="004D2E92">
              <w:rPr>
                <w:rFonts w:asciiTheme="minorHAnsi" w:hAnsiTheme="minorHAnsi" w:cstheme="minorHAnsi"/>
                <w:color w:val="auto"/>
              </w:rPr>
              <w:br/>
              <w:t xml:space="preserve">(group assignment N = 16; </w:t>
            </w:r>
            <w:r w:rsidRPr="004D2E92">
              <w:rPr>
                <w:rFonts w:asciiTheme="minorHAnsi" w:hAnsiTheme="minorHAnsi" w:cstheme="minorHAnsi"/>
                <w:color w:val="auto"/>
              </w:rPr>
              <w:br/>
              <w:t xml:space="preserve">response rate among youth </w:t>
            </w:r>
            <w:r w:rsidRPr="004D2E92">
              <w:rPr>
                <w:rFonts w:asciiTheme="minorHAnsi" w:hAnsiTheme="minorHAnsi" w:cstheme="minorHAnsi"/>
                <w:color w:val="auto"/>
              </w:rPr>
              <w:br/>
              <w:t xml:space="preserve">with survey consent = 70%; </w:t>
            </w:r>
            <w:r w:rsidRPr="004D2E92">
              <w:rPr>
                <w:rFonts w:asciiTheme="minorHAnsi" w:hAnsiTheme="minorHAnsi" w:cstheme="minorHAnsi"/>
                <w:color w:val="auto"/>
              </w:rPr>
              <w:br/>
              <w:t xml:space="preserve">effective sample size = </w:t>
            </w:r>
            <w:r w:rsidRPr="004D2E92" w:rsidR="00AD6341">
              <w:rPr>
                <w:rFonts w:asciiTheme="minorHAnsi" w:hAnsiTheme="minorHAnsi" w:cstheme="minorHAnsi"/>
                <w:color w:val="auto"/>
              </w:rPr>
              <w:t>490</w:t>
            </w:r>
            <w:r w:rsidRPr="004D2E92">
              <w:rPr>
                <w:rFonts w:asciiTheme="minorHAnsi" w:hAnsiTheme="minorHAnsi" w:cstheme="minorHAnsi"/>
                <w:color w:val="auto"/>
              </w:rPr>
              <w:t xml:space="preserve"> youth)</w:t>
            </w:r>
          </w:p>
        </w:tc>
      </w:tr>
      <w:tr w:rsidRPr="004D2E92" w:rsidR="004D2E92" w:rsidTr="00C363FE" w14:paraId="746A9B66" w14:textId="77777777">
        <w:trPr>
          <w:cnfStyle w:val="100000000000" w:firstRow="1" w:lastRow="0" w:firstColumn="0" w:lastColumn="0" w:oddVBand="0" w:evenVBand="0" w:oddHBand="0" w:evenHBand="0" w:firstRowFirstColumn="0" w:firstRowLastColumn="0" w:lastRowFirstColumn="0" w:lastRowLastColumn="0"/>
          <w:trHeight w:val="495"/>
          <w:tblHeader/>
        </w:trPr>
        <w:tc>
          <w:tcPr>
            <w:cnfStyle w:val="001000000000" w:firstRow="0" w:lastRow="0" w:firstColumn="1" w:lastColumn="0" w:oddVBand="0" w:evenVBand="0" w:oddHBand="0" w:evenHBand="0" w:firstRowFirstColumn="0" w:firstRowLastColumn="0" w:lastRowFirstColumn="0" w:lastRowLastColumn="0"/>
            <w:tcW w:w="1898" w:type="dxa"/>
            <w:shd w:val="clear" w:color="auto" w:fill="D9D9D9" w:themeFill="background1" w:themeFillShade="D9"/>
            <w:noWrap/>
            <w:hideMark/>
          </w:tcPr>
          <w:p w:rsidRPr="004D2E92" w:rsidR="00BB706B" w:rsidP="00BB706B" w:rsidRDefault="00BB706B" w14:paraId="1185CB70" w14:textId="77777777">
            <w:pPr>
              <w:pStyle w:val="TableHeaderCenter"/>
              <w:rPr>
                <w:rFonts w:asciiTheme="minorHAnsi" w:hAnsiTheme="minorHAnsi" w:cstheme="minorHAnsi"/>
                <w:color w:val="auto"/>
              </w:rPr>
            </w:pPr>
          </w:p>
        </w:tc>
        <w:tc>
          <w:tcPr>
            <w:tcW w:w="1948" w:type="dxa"/>
            <w:shd w:val="clear" w:color="auto" w:fill="D9D9D9" w:themeFill="background1" w:themeFillShade="D9"/>
            <w:noWrap/>
            <w:hideMark/>
          </w:tcPr>
          <w:p w:rsidRPr="004D2E92" w:rsidR="00BB706B" w:rsidP="00BB706B" w:rsidRDefault="00BB706B" w14:paraId="54DA4EF2" w14:textId="77777777">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D2E92">
              <w:rPr>
                <w:rFonts w:asciiTheme="minorHAnsi" w:hAnsiTheme="minorHAnsi" w:cstheme="minorHAnsi"/>
                <w:color w:val="auto"/>
              </w:rPr>
              <w:t>Continuous outcome</w:t>
            </w:r>
          </w:p>
        </w:tc>
        <w:tc>
          <w:tcPr>
            <w:tcW w:w="1654" w:type="dxa"/>
            <w:shd w:val="clear" w:color="auto" w:fill="D9D9D9" w:themeFill="background1" w:themeFillShade="D9"/>
          </w:tcPr>
          <w:p w:rsidRPr="004D2E92" w:rsidR="00BB706B" w:rsidP="00BB706B" w:rsidRDefault="00BB706B" w14:paraId="561369C9" w14:textId="77777777">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D2E92">
              <w:rPr>
                <w:rFonts w:asciiTheme="minorHAnsi" w:hAnsiTheme="minorHAnsi" w:cstheme="minorHAnsi"/>
                <w:color w:val="auto"/>
              </w:rPr>
              <w:t xml:space="preserve">Binary </w:t>
            </w:r>
            <w:r w:rsidRPr="004D2E92">
              <w:rPr>
                <w:rFonts w:asciiTheme="minorHAnsi" w:hAnsiTheme="minorHAnsi" w:cstheme="minorHAnsi"/>
                <w:color w:val="auto"/>
              </w:rPr>
              <w:br/>
              <w:t>outcome</w:t>
            </w:r>
          </w:p>
        </w:tc>
        <w:tc>
          <w:tcPr>
            <w:tcW w:w="1654" w:type="dxa"/>
            <w:shd w:val="clear" w:color="auto" w:fill="D9D9D9" w:themeFill="background1" w:themeFillShade="D9"/>
          </w:tcPr>
          <w:p w:rsidRPr="004D2E92" w:rsidR="00BB706B" w:rsidP="00BB706B" w:rsidRDefault="00BB706B" w14:paraId="41CE35FC" w14:textId="77777777">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D2E92">
              <w:rPr>
                <w:rFonts w:asciiTheme="minorHAnsi" w:hAnsiTheme="minorHAnsi" w:cstheme="minorHAnsi"/>
                <w:color w:val="auto"/>
              </w:rPr>
              <w:t>Continuous outcome</w:t>
            </w:r>
          </w:p>
        </w:tc>
        <w:tc>
          <w:tcPr>
            <w:tcW w:w="2163" w:type="dxa"/>
            <w:shd w:val="clear" w:color="auto" w:fill="D9D9D9" w:themeFill="background1" w:themeFillShade="D9"/>
          </w:tcPr>
          <w:p w:rsidRPr="004D2E92" w:rsidR="00BB706B" w:rsidP="00BB706B" w:rsidRDefault="00BB706B" w14:paraId="1EF9E8F4" w14:textId="77777777">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D2E92">
              <w:rPr>
                <w:rFonts w:asciiTheme="minorHAnsi" w:hAnsiTheme="minorHAnsi" w:cstheme="minorHAnsi"/>
                <w:color w:val="auto"/>
              </w:rPr>
              <w:t xml:space="preserve">Binary </w:t>
            </w:r>
            <w:r w:rsidRPr="004D2E92">
              <w:rPr>
                <w:rFonts w:asciiTheme="minorHAnsi" w:hAnsiTheme="minorHAnsi" w:cstheme="minorHAnsi"/>
                <w:color w:val="auto"/>
              </w:rPr>
              <w:br/>
              <w:t>outcome</w:t>
            </w:r>
          </w:p>
        </w:tc>
      </w:tr>
      <w:tr w:rsidRPr="004D2E92" w:rsidR="00BB706B" w:rsidTr="00C363FE" w14:paraId="7173E56B" w14:textId="77777777">
        <w:trPr>
          <w:trHeight w:val="265"/>
        </w:trPr>
        <w:tc>
          <w:tcPr>
            <w:cnfStyle w:val="001000000000" w:firstRow="0" w:lastRow="0" w:firstColumn="1" w:lastColumn="0" w:oddVBand="0" w:evenVBand="0" w:oddHBand="0" w:evenHBand="0" w:firstRowFirstColumn="0" w:firstRowLastColumn="0" w:lastRowFirstColumn="0" w:lastRowLastColumn="0"/>
            <w:tcW w:w="1898" w:type="dxa"/>
            <w:tcBorders>
              <w:right w:val="none" w:color="auto" w:sz="0" w:space="0"/>
            </w:tcBorders>
            <w:noWrap/>
            <w:hideMark/>
          </w:tcPr>
          <w:p w:rsidRPr="004D2E92" w:rsidR="00BB706B" w:rsidP="00BB706B" w:rsidRDefault="00BB706B" w14:paraId="38D89230" w14:textId="77777777">
            <w:pPr>
              <w:pStyle w:val="TableTextLeft"/>
              <w:rPr>
                <w:rFonts w:asciiTheme="minorHAnsi" w:hAnsiTheme="minorHAnsi" w:cstheme="minorHAnsi"/>
                <w:color w:val="000000"/>
              </w:rPr>
            </w:pPr>
            <w:r w:rsidRPr="004D2E92">
              <w:rPr>
                <w:rFonts w:asciiTheme="minorHAnsi" w:hAnsiTheme="minorHAnsi" w:cstheme="minorHAnsi"/>
                <w:color w:val="000000"/>
              </w:rPr>
              <w:t>MDES</w:t>
            </w:r>
          </w:p>
        </w:tc>
        <w:tc>
          <w:tcPr>
            <w:tcW w:w="1948" w:type="dxa"/>
            <w:noWrap/>
            <w:hideMark/>
          </w:tcPr>
          <w:p w:rsidRPr="004D2E92" w:rsidR="00BB706B" w:rsidP="00BB706B" w:rsidRDefault="00BB706B" w14:paraId="676D1846" w14:textId="4C094905">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D2E92">
              <w:rPr>
                <w:rFonts w:asciiTheme="minorHAnsi" w:hAnsiTheme="minorHAnsi" w:cstheme="minorHAnsi"/>
              </w:rPr>
              <w:t>0.2</w:t>
            </w:r>
            <w:r w:rsidRPr="004D2E92" w:rsidR="00AD6341">
              <w:rPr>
                <w:rFonts w:asciiTheme="minorHAnsi" w:hAnsiTheme="minorHAnsi" w:cstheme="minorHAnsi"/>
              </w:rPr>
              <w:t>5</w:t>
            </w:r>
          </w:p>
        </w:tc>
        <w:tc>
          <w:tcPr>
            <w:tcW w:w="1654" w:type="dxa"/>
          </w:tcPr>
          <w:p w:rsidRPr="004D2E92" w:rsidR="00BB706B" w:rsidP="00BB706B" w:rsidRDefault="00BB706B" w14:paraId="5F49114A" w14:textId="49A18029">
            <w:pPr>
              <w:pStyle w:val="TableTextDecimal"/>
              <w:tabs>
                <w:tab w:val="clear" w:pos="576"/>
                <w:tab w:val="decimal" w:pos="69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D2E92">
              <w:rPr>
                <w:rFonts w:asciiTheme="minorHAnsi" w:hAnsiTheme="minorHAnsi" w:cstheme="minorHAnsi"/>
              </w:rPr>
              <w:t>0.</w:t>
            </w:r>
            <w:r w:rsidRPr="004D2E92" w:rsidR="00AD6341">
              <w:rPr>
                <w:rFonts w:asciiTheme="minorHAnsi" w:hAnsiTheme="minorHAnsi" w:cstheme="minorHAnsi"/>
              </w:rPr>
              <w:t>28</w:t>
            </w:r>
          </w:p>
        </w:tc>
        <w:tc>
          <w:tcPr>
            <w:tcW w:w="1654" w:type="dxa"/>
          </w:tcPr>
          <w:p w:rsidRPr="004D2E92" w:rsidR="00AD6341" w:rsidP="00BB706B" w:rsidRDefault="00BB706B" w14:paraId="11293840" w14:textId="5EA3DBA7">
            <w:pPr>
              <w:pStyle w:val="TableTextDecimal"/>
              <w:tabs>
                <w:tab w:val="clear" w:pos="576"/>
                <w:tab w:val="decimal" w:pos="73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D2E92">
              <w:rPr>
                <w:rFonts w:asciiTheme="minorHAnsi" w:hAnsiTheme="minorHAnsi" w:cstheme="minorHAnsi"/>
              </w:rPr>
              <w:t>0.2</w:t>
            </w:r>
            <w:r w:rsidRPr="004D2E92" w:rsidR="00AD6341">
              <w:rPr>
                <w:rFonts w:asciiTheme="minorHAnsi" w:hAnsiTheme="minorHAnsi" w:cstheme="minorHAnsi"/>
              </w:rPr>
              <w:t>7</w:t>
            </w:r>
          </w:p>
        </w:tc>
        <w:tc>
          <w:tcPr>
            <w:tcW w:w="2163" w:type="dxa"/>
          </w:tcPr>
          <w:p w:rsidRPr="004D2E92" w:rsidR="00AD6341" w:rsidP="00BB706B" w:rsidRDefault="00BB706B" w14:paraId="755FA618" w14:textId="78DCF0D8">
            <w:pPr>
              <w:pStyle w:val="TableTextDecimal"/>
              <w:tabs>
                <w:tab w:val="clear" w:pos="576"/>
                <w:tab w:val="decimal" w:pos="88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D2E92">
              <w:rPr>
                <w:rFonts w:asciiTheme="minorHAnsi" w:hAnsiTheme="minorHAnsi" w:cstheme="minorHAnsi"/>
              </w:rPr>
              <w:t>0.3</w:t>
            </w:r>
            <w:r w:rsidRPr="004D2E92" w:rsidR="00AD6341">
              <w:rPr>
                <w:rFonts w:asciiTheme="minorHAnsi" w:hAnsiTheme="minorHAnsi" w:cstheme="minorHAnsi"/>
              </w:rPr>
              <w:t>0</w:t>
            </w:r>
          </w:p>
        </w:tc>
      </w:tr>
      <w:tr w:rsidRPr="004D2E92" w:rsidR="00BB706B" w:rsidTr="00C363FE" w14:paraId="25C86C7B" w14:textId="77777777">
        <w:trPr>
          <w:trHeight w:val="449"/>
        </w:trPr>
        <w:tc>
          <w:tcPr>
            <w:cnfStyle w:val="001000000000" w:firstRow="0" w:lastRow="0" w:firstColumn="1" w:lastColumn="0" w:oddVBand="0" w:evenVBand="0" w:oddHBand="0" w:evenHBand="0" w:firstRowFirstColumn="0" w:firstRowLastColumn="0" w:lastRowFirstColumn="0" w:lastRowLastColumn="0"/>
            <w:tcW w:w="1898" w:type="dxa"/>
            <w:tcBorders>
              <w:right w:val="none" w:color="auto" w:sz="0" w:space="0"/>
            </w:tcBorders>
            <w:noWrap/>
            <w:hideMark/>
          </w:tcPr>
          <w:p w:rsidRPr="004D2E92" w:rsidR="00BB706B" w:rsidP="00BB706B" w:rsidRDefault="00BB706B" w14:paraId="06354012" w14:textId="77777777">
            <w:pPr>
              <w:pStyle w:val="TableTextLeft"/>
              <w:rPr>
                <w:rFonts w:asciiTheme="minorHAnsi" w:hAnsiTheme="minorHAnsi" w:cstheme="minorHAnsi"/>
                <w:color w:val="000000"/>
              </w:rPr>
            </w:pPr>
            <w:r w:rsidRPr="004D2E92">
              <w:rPr>
                <w:rFonts w:asciiTheme="minorHAnsi" w:hAnsiTheme="minorHAnsi" w:cstheme="minorHAnsi"/>
                <w:color w:val="000000"/>
              </w:rPr>
              <w:t>MDI for a 20/80% prevalence rate</w:t>
            </w:r>
          </w:p>
        </w:tc>
        <w:tc>
          <w:tcPr>
            <w:tcW w:w="1948" w:type="dxa"/>
            <w:shd w:val="clear" w:color="auto" w:fill="EEECE1" w:themeFill="background2"/>
            <w:noWrap/>
          </w:tcPr>
          <w:p w:rsidRPr="004D2E92" w:rsidR="00BB706B" w:rsidP="00BB706B" w:rsidRDefault="00BB706B" w14:paraId="43E7B24E" w14:textId="77777777">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4" w:type="dxa"/>
          </w:tcPr>
          <w:p w:rsidRPr="004D2E92" w:rsidR="00BB706B" w:rsidP="00BB706B" w:rsidRDefault="00BB706B" w14:paraId="2AB023EB" w14:textId="1EBF9C07">
            <w:pPr>
              <w:pStyle w:val="TableTextDecimal"/>
              <w:tabs>
                <w:tab w:val="clear" w:pos="576"/>
                <w:tab w:val="decimal" w:pos="69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D2E92">
              <w:rPr>
                <w:rFonts w:asciiTheme="minorHAnsi" w:hAnsiTheme="minorHAnsi" w:cstheme="minorHAnsi"/>
              </w:rPr>
              <w:t>1</w:t>
            </w:r>
            <w:r w:rsidRPr="004D2E92" w:rsidR="00AD6341">
              <w:rPr>
                <w:rFonts w:asciiTheme="minorHAnsi" w:hAnsiTheme="minorHAnsi" w:cstheme="minorHAnsi"/>
              </w:rPr>
              <w:t>1</w:t>
            </w:r>
            <w:r w:rsidRPr="004D2E92">
              <w:rPr>
                <w:rFonts w:asciiTheme="minorHAnsi" w:hAnsiTheme="minorHAnsi" w:cstheme="minorHAnsi"/>
              </w:rPr>
              <w:t xml:space="preserve"> PP</w:t>
            </w:r>
          </w:p>
        </w:tc>
        <w:tc>
          <w:tcPr>
            <w:tcW w:w="1654" w:type="dxa"/>
            <w:shd w:val="clear" w:color="auto" w:fill="EEECE1" w:themeFill="background2"/>
          </w:tcPr>
          <w:p w:rsidRPr="004D2E92" w:rsidR="00BB706B" w:rsidP="00BB706B" w:rsidRDefault="00BB706B" w14:paraId="425EB015" w14:textId="77777777">
            <w:pPr>
              <w:pStyle w:val="TableTextDecimal"/>
              <w:tabs>
                <w:tab w:val="clear" w:pos="576"/>
                <w:tab w:val="decimal" w:pos="73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163" w:type="dxa"/>
          </w:tcPr>
          <w:p w:rsidRPr="004D2E92" w:rsidR="00BB706B" w:rsidP="00BB706B" w:rsidRDefault="00BB706B" w14:paraId="4595FAEF" w14:textId="699E814A">
            <w:pPr>
              <w:pStyle w:val="TableTextDecimal"/>
              <w:tabs>
                <w:tab w:val="clear" w:pos="576"/>
                <w:tab w:val="decimal" w:pos="88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D2E92">
              <w:rPr>
                <w:rFonts w:asciiTheme="minorHAnsi" w:hAnsiTheme="minorHAnsi" w:cstheme="minorHAnsi"/>
              </w:rPr>
              <w:t>1</w:t>
            </w:r>
            <w:r w:rsidRPr="004D2E92" w:rsidR="00AD6341">
              <w:rPr>
                <w:rFonts w:asciiTheme="minorHAnsi" w:hAnsiTheme="minorHAnsi" w:cstheme="minorHAnsi"/>
              </w:rPr>
              <w:t>2</w:t>
            </w:r>
            <w:r w:rsidRPr="004D2E92">
              <w:rPr>
                <w:rFonts w:asciiTheme="minorHAnsi" w:hAnsiTheme="minorHAnsi" w:cstheme="minorHAnsi"/>
              </w:rPr>
              <w:t xml:space="preserve"> PP</w:t>
            </w:r>
          </w:p>
        </w:tc>
      </w:tr>
      <w:tr w:rsidRPr="004D2E92" w:rsidR="00BB706B" w:rsidTr="00C363FE" w14:paraId="2481337D" w14:textId="77777777">
        <w:trPr>
          <w:trHeight w:val="449"/>
        </w:trPr>
        <w:tc>
          <w:tcPr>
            <w:cnfStyle w:val="001000000000" w:firstRow="0" w:lastRow="0" w:firstColumn="1" w:lastColumn="0" w:oddVBand="0" w:evenVBand="0" w:oddHBand="0" w:evenHBand="0" w:firstRowFirstColumn="0" w:firstRowLastColumn="0" w:lastRowFirstColumn="0" w:lastRowLastColumn="0"/>
            <w:tcW w:w="1898" w:type="dxa"/>
            <w:tcBorders>
              <w:right w:val="none" w:color="auto" w:sz="0" w:space="0"/>
            </w:tcBorders>
            <w:noWrap/>
            <w:hideMark/>
          </w:tcPr>
          <w:p w:rsidRPr="004D2E92" w:rsidR="00BB706B" w:rsidP="00BB706B" w:rsidRDefault="00BB706B" w14:paraId="14F6735E" w14:textId="77777777">
            <w:pPr>
              <w:pStyle w:val="TableTextLeft"/>
              <w:rPr>
                <w:rFonts w:asciiTheme="minorHAnsi" w:hAnsiTheme="minorHAnsi" w:cstheme="minorHAnsi"/>
                <w:color w:val="000000"/>
              </w:rPr>
            </w:pPr>
            <w:r w:rsidRPr="004D2E92">
              <w:rPr>
                <w:rFonts w:asciiTheme="minorHAnsi" w:hAnsiTheme="minorHAnsi" w:cstheme="minorHAnsi"/>
                <w:color w:val="000000"/>
              </w:rPr>
              <w:t>MDI for a 40/60% prevalence rate</w:t>
            </w:r>
          </w:p>
        </w:tc>
        <w:tc>
          <w:tcPr>
            <w:tcW w:w="1948" w:type="dxa"/>
            <w:shd w:val="clear" w:color="auto" w:fill="EEECE1" w:themeFill="background2"/>
            <w:noWrap/>
          </w:tcPr>
          <w:p w:rsidRPr="004D2E92" w:rsidR="00BB706B" w:rsidP="004D2E92" w:rsidRDefault="00BB706B" w14:paraId="4DB497F7" w14:textId="77777777">
            <w:pPr>
              <w:pStyle w:val="TableTextDecimal"/>
              <w:tabs>
                <w:tab w:val="clear" w:pos="576"/>
                <w:tab w:val="decimal" w:pos="841"/>
              </w:tabs>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4" w:type="dxa"/>
          </w:tcPr>
          <w:p w:rsidRPr="004D2E92" w:rsidR="00BB706B" w:rsidP="00BB706B" w:rsidRDefault="00BB706B" w14:paraId="2436CF20" w14:textId="6F0DAFCA">
            <w:pPr>
              <w:pStyle w:val="TableTextDecimal"/>
              <w:tabs>
                <w:tab w:val="clear" w:pos="576"/>
                <w:tab w:val="decimal" w:pos="69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D2E92">
              <w:rPr>
                <w:rFonts w:asciiTheme="minorHAnsi" w:hAnsiTheme="minorHAnsi" w:cstheme="minorHAnsi"/>
              </w:rPr>
              <w:t>1</w:t>
            </w:r>
            <w:r w:rsidRPr="004D2E92" w:rsidR="00AD6341">
              <w:rPr>
                <w:rFonts w:asciiTheme="minorHAnsi" w:hAnsiTheme="minorHAnsi" w:cstheme="minorHAnsi"/>
              </w:rPr>
              <w:t>4</w:t>
            </w:r>
            <w:r w:rsidRPr="004D2E92">
              <w:rPr>
                <w:rFonts w:asciiTheme="minorHAnsi" w:hAnsiTheme="minorHAnsi" w:cstheme="minorHAnsi"/>
              </w:rPr>
              <w:t xml:space="preserve"> PP</w:t>
            </w:r>
          </w:p>
        </w:tc>
        <w:tc>
          <w:tcPr>
            <w:tcW w:w="1654" w:type="dxa"/>
            <w:shd w:val="clear" w:color="auto" w:fill="EEECE1" w:themeFill="background2"/>
          </w:tcPr>
          <w:p w:rsidRPr="004D2E92" w:rsidR="00BB706B" w:rsidP="00BB706B" w:rsidRDefault="00BB706B" w14:paraId="65B4C3C8" w14:textId="77777777">
            <w:pPr>
              <w:pStyle w:val="TableTextDecimal"/>
              <w:tabs>
                <w:tab w:val="clear" w:pos="576"/>
                <w:tab w:val="decimal" w:pos="73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163" w:type="dxa"/>
          </w:tcPr>
          <w:p w:rsidRPr="004D2E92" w:rsidR="00BB706B" w:rsidP="00BB706B" w:rsidRDefault="00BB706B" w14:paraId="62C7C298" w14:textId="3FEE8823">
            <w:pPr>
              <w:pStyle w:val="TableTextDecimal"/>
              <w:tabs>
                <w:tab w:val="clear" w:pos="576"/>
                <w:tab w:val="decimal" w:pos="88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D2E92">
              <w:rPr>
                <w:rFonts w:asciiTheme="minorHAnsi" w:hAnsiTheme="minorHAnsi" w:cstheme="minorHAnsi"/>
              </w:rPr>
              <w:t>1</w:t>
            </w:r>
            <w:r w:rsidRPr="004D2E92" w:rsidR="00AD6341">
              <w:rPr>
                <w:rFonts w:asciiTheme="minorHAnsi" w:hAnsiTheme="minorHAnsi" w:cstheme="minorHAnsi"/>
              </w:rPr>
              <w:t>5</w:t>
            </w:r>
            <w:r w:rsidRPr="004D2E92">
              <w:rPr>
                <w:rFonts w:asciiTheme="minorHAnsi" w:hAnsiTheme="minorHAnsi" w:cstheme="minorHAnsi"/>
              </w:rPr>
              <w:t xml:space="preserve"> PP</w:t>
            </w:r>
          </w:p>
        </w:tc>
      </w:tr>
    </w:tbl>
    <w:p w:rsidR="00BB706B" w:rsidP="004D2E92" w:rsidRDefault="00BB706B" w14:paraId="0BA0F5F7" w14:textId="29568639">
      <w:pPr>
        <w:pStyle w:val="TableSource"/>
        <w:keepNext/>
        <w:keepLines/>
        <w:spacing w:before="0" w:after="0"/>
        <w:rPr>
          <w:rFonts w:eastAsia="Calibri"/>
        </w:rPr>
      </w:pPr>
      <w:r>
        <w:rPr>
          <w:rFonts w:eastAsia="Calibri"/>
        </w:rPr>
        <w:t>Note:</w:t>
      </w:r>
      <w:r>
        <w:rPr>
          <w:rFonts w:eastAsia="Calibri"/>
        </w:rPr>
        <w:tab/>
        <w:t>For continuous outcomes, we assumed an individual-level R</w:t>
      </w:r>
      <w:r>
        <w:rPr>
          <w:rFonts w:eastAsia="Calibri"/>
          <w:vertAlign w:val="superscript"/>
        </w:rPr>
        <w:t>2</w:t>
      </w:r>
      <w:r>
        <w:rPr>
          <w:rFonts w:eastAsia="Calibri"/>
        </w:rPr>
        <w:t xml:space="preserve"> of 0.40. For dichotomous outcomes, we assumed an individual-level R</w:t>
      </w:r>
      <w:r>
        <w:rPr>
          <w:rFonts w:eastAsia="Calibri"/>
          <w:vertAlign w:val="superscript"/>
        </w:rPr>
        <w:t>2</w:t>
      </w:r>
      <w:r>
        <w:rPr>
          <w:rFonts w:eastAsia="Calibri"/>
        </w:rPr>
        <w:t xml:space="preserve"> of 0.15. These assumptions were based on a draft analysis of impact data from a cross-site evaluation of youth in the child welfare system whose parents or caregivers had a substance use disorder. We also assumed a group-level </w:t>
      </w:r>
      <w:r w:rsidRPr="00927691">
        <w:rPr>
          <w:rFonts w:eastAsia="Calibri"/>
        </w:rPr>
        <w:t>R</w:t>
      </w:r>
      <w:r w:rsidRPr="00927691">
        <w:rPr>
          <w:rFonts w:eastAsia="Calibri"/>
          <w:vertAlign w:val="superscript"/>
        </w:rPr>
        <w:t>2</w:t>
      </w:r>
      <w:r>
        <w:rPr>
          <w:rFonts w:eastAsia="Calibri"/>
        </w:rPr>
        <w:t xml:space="preserve"> of 0.50 for outcomes in both categories and an intraclass correlation coefficient of 0.02 across </w:t>
      </w:r>
      <w:r w:rsidR="00D575B7">
        <w:rPr>
          <w:rFonts w:eastAsia="Calibri"/>
        </w:rPr>
        <w:t>sites</w:t>
      </w:r>
      <w:r>
        <w:rPr>
          <w:rFonts w:eastAsia="Calibri"/>
        </w:rPr>
        <w:t xml:space="preserve">. </w:t>
      </w:r>
    </w:p>
    <w:p w:rsidR="00BB706B" w:rsidP="00057C97" w:rsidRDefault="00BB706B" w14:paraId="6302B178" w14:textId="64A2754F">
      <w:pPr>
        <w:pStyle w:val="TableFootnote"/>
        <w:rPr>
          <w:rFonts w:eastAsia="Calibri"/>
        </w:rPr>
      </w:pPr>
      <w:r w:rsidRPr="0047646B">
        <w:rPr>
          <w:rFonts w:eastAsia="Calibri"/>
        </w:rPr>
        <w:t xml:space="preserve">MDES = minimum detectable effect size; MDI = minimum detectable impact; PP = percentage points; </w:t>
      </w:r>
      <w:r w:rsidRPr="005A6FE4">
        <w:rPr>
          <w:rFonts w:eastAsia="Calibri"/>
        </w:rPr>
        <w:t xml:space="preserve">QED = </w:t>
      </w:r>
      <w:r>
        <w:rPr>
          <w:rFonts w:eastAsia="Calibri"/>
        </w:rPr>
        <w:t>quasi-experimental design.</w:t>
      </w:r>
    </w:p>
    <w:p w:rsidRPr="006D704C" w:rsidR="00057C97" w:rsidP="00057C97" w:rsidRDefault="00057C97" w14:paraId="6F122DA7" w14:textId="77777777">
      <w:pPr>
        <w:pStyle w:val="H4"/>
        <w:numPr>
          <w:ilvl w:val="0"/>
          <w:numId w:val="43"/>
        </w:numPr>
        <w:ind w:left="450" w:hanging="450"/>
        <w:rPr>
          <w:rFonts w:eastAsia="Calibri"/>
        </w:rPr>
      </w:pPr>
      <w:r w:rsidRPr="006D704C">
        <w:rPr>
          <w:rFonts w:eastAsia="Calibri"/>
        </w:rPr>
        <w:lastRenderedPageBreak/>
        <w:t>Effectiveness findings from comparable interventions</w:t>
      </w:r>
    </w:p>
    <w:p w:rsidRPr="00CC5697" w:rsidR="00057C97" w:rsidP="00CC5697" w:rsidRDefault="00057C97" w14:paraId="72DF3215" w14:textId="502C8621">
      <w:pPr>
        <w:pStyle w:val="ParagraphContinued"/>
      </w:pPr>
      <w:r w:rsidRPr="006D704C">
        <w:rPr>
          <w:rFonts w:eastAsia="Calibri"/>
          <w:szCs w:val="24"/>
        </w:rPr>
        <w:t>Few rigorous studies have evaluated the effectiveness</w:t>
      </w:r>
      <w:r w:rsidRPr="00F34887">
        <w:rPr>
          <w:rFonts w:eastAsia="Calibri"/>
        </w:rPr>
        <w:t xml:space="preserve"> of a coach-like</w:t>
      </w:r>
      <w:r>
        <w:rPr>
          <w:rFonts w:eastAsia="Calibri"/>
        </w:rPr>
        <w:t>, strength-</w:t>
      </w:r>
      <w:r w:rsidRPr="00F34887">
        <w:rPr>
          <w:rFonts w:eastAsia="Calibri"/>
        </w:rPr>
        <w:t>based intervention</w:t>
      </w:r>
      <w:r>
        <w:rPr>
          <w:rFonts w:eastAsia="Calibri"/>
        </w:rPr>
        <w:t xml:space="preserve"> for homeless youth or youth who are in or transitioning out of foster care (see Morton et al. 2020 for a systematic review of a broad set of interventions to address youth homelessness). We identified five studies with comparable service models and/or populations that we could use to anchor our estimates of MDI</w:t>
      </w:r>
      <w:r w:rsidR="00F90600">
        <w:rPr>
          <w:rFonts w:eastAsia="Calibri"/>
        </w:rPr>
        <w:t xml:space="preserve"> (Power et al 2012; US DHHS ACF 2008; Valentine et al 2015; </w:t>
      </w:r>
      <w:proofErr w:type="spellStart"/>
      <w:r w:rsidR="00F90600">
        <w:rPr>
          <w:rFonts w:eastAsia="Calibri"/>
        </w:rPr>
        <w:t>Skemer</w:t>
      </w:r>
      <w:proofErr w:type="spellEnd"/>
      <w:r w:rsidR="00F90600">
        <w:rPr>
          <w:rFonts w:eastAsia="Calibri"/>
        </w:rPr>
        <w:t xml:space="preserve"> and Valentine 2016; </w:t>
      </w:r>
      <w:proofErr w:type="spellStart"/>
      <w:r w:rsidR="00F90600">
        <w:rPr>
          <w:rFonts w:eastAsia="Calibri"/>
        </w:rPr>
        <w:t>Theodos</w:t>
      </w:r>
      <w:proofErr w:type="spellEnd"/>
      <w:r w:rsidR="00F90600">
        <w:rPr>
          <w:rFonts w:eastAsia="Calibri"/>
        </w:rPr>
        <w:t xml:space="preserve"> et al. 2016)</w:t>
      </w:r>
      <w:r>
        <w:rPr>
          <w:rFonts w:eastAsia="Calibri"/>
        </w:rPr>
        <w:t xml:space="preserve">. </w:t>
      </w:r>
      <w:r w:rsidR="00F90600">
        <w:rPr>
          <w:rFonts w:eastAsia="Calibri"/>
        </w:rPr>
        <w:t xml:space="preserve">The five studies examined populations and interventions similar to the proposed study. Estimated impacts ranged from 2 to 13 percentage point differences or .18 and .83 standard deviations. </w:t>
      </w:r>
      <w:r>
        <w:rPr>
          <w:rFonts w:eastAsia="Calibri"/>
        </w:rPr>
        <w:t xml:space="preserve">Judging from our review of these studies, we believe that the proposed QED impact study of Pathways may be sufficiently powered to produce statistically significant effects for some but not all </w:t>
      </w:r>
      <w:proofErr w:type="gramStart"/>
      <w:r>
        <w:rPr>
          <w:rFonts w:eastAsia="Calibri"/>
        </w:rPr>
        <w:t>outcomes, if</w:t>
      </w:r>
      <w:proofErr w:type="gramEnd"/>
      <w:r>
        <w:rPr>
          <w:rFonts w:eastAsia="Calibri"/>
        </w:rPr>
        <w:t xml:space="preserve"> recruitment and response rate targets are achieved. </w:t>
      </w:r>
      <w:r w:rsidR="00CC5697">
        <w:rPr>
          <w:rFonts w:eastAsia="Calibri"/>
        </w:rPr>
        <w:t xml:space="preserve">Next, we discuss additional analytic approach for the impact study. </w:t>
      </w:r>
    </w:p>
    <w:p w:rsidRPr="007949D0" w:rsidR="0000688D" w:rsidP="0000688D" w:rsidRDefault="0000688D" w14:paraId="74023535" w14:textId="77777777">
      <w:pPr>
        <w:pStyle w:val="H2"/>
        <w:rPr>
          <w:rFonts w:eastAsia="Times New Roman" w:asciiTheme="minorHAnsi" w:hAnsiTheme="minorHAnsi" w:cstheme="minorHAnsi"/>
          <w:bCs/>
          <w:i/>
          <w:color w:val="000000"/>
          <w:sz w:val="22"/>
          <w:szCs w:val="22"/>
        </w:rPr>
      </w:pPr>
      <w:r w:rsidRPr="007949D0">
        <w:rPr>
          <w:rFonts w:eastAsia="Times New Roman" w:asciiTheme="minorHAnsi" w:hAnsiTheme="minorHAnsi" w:cstheme="minorHAnsi"/>
          <w:bCs/>
          <w:i/>
          <w:color w:val="000000"/>
          <w:sz w:val="22"/>
          <w:szCs w:val="22"/>
        </w:rPr>
        <w:t>Additional analytic approach to complement the main design for the impact study</w:t>
      </w:r>
    </w:p>
    <w:p w:rsidRPr="00D0082E" w:rsidR="0000688D" w:rsidP="00CC5697" w:rsidRDefault="0000688D" w14:paraId="4ED9D510" w14:textId="00CAB482">
      <w:pPr>
        <w:pStyle w:val="H3"/>
        <w:ind w:left="0" w:firstLine="0"/>
        <w:rPr>
          <w:rFonts w:eastAsia="Calibri"/>
        </w:rPr>
      </w:pPr>
      <w:r>
        <w:rPr>
          <w:rFonts w:eastAsia="Calibri"/>
        </w:rPr>
        <w:t>We</w:t>
      </w:r>
      <w:r w:rsidR="00CC5697">
        <w:rPr>
          <w:rFonts w:eastAsia="Calibri"/>
        </w:rPr>
        <w:t xml:space="preserve"> propose</w:t>
      </w:r>
      <w:r>
        <w:rPr>
          <w:rFonts w:eastAsia="Calibri"/>
        </w:rPr>
        <w:t xml:space="preserve"> </w:t>
      </w:r>
      <w:r w:rsidRPr="00282633">
        <w:rPr>
          <w:rFonts w:eastAsia="Calibri"/>
        </w:rPr>
        <w:t xml:space="preserve">an additional </w:t>
      </w:r>
      <w:r>
        <w:rPr>
          <w:rFonts w:eastAsia="Calibri"/>
        </w:rPr>
        <w:t>impact study</w:t>
      </w:r>
      <w:r w:rsidRPr="00282633">
        <w:rPr>
          <w:rFonts w:eastAsia="Calibri"/>
        </w:rPr>
        <w:t xml:space="preserve"> design that use</w:t>
      </w:r>
      <w:r>
        <w:rPr>
          <w:rFonts w:eastAsia="Calibri"/>
        </w:rPr>
        <w:t>s</w:t>
      </w:r>
      <w:r w:rsidRPr="00282633">
        <w:rPr>
          <w:rFonts w:eastAsia="Calibri"/>
        </w:rPr>
        <w:t xml:space="preserve"> </w:t>
      </w:r>
      <w:r>
        <w:rPr>
          <w:rFonts w:eastAsia="Calibri"/>
        </w:rPr>
        <w:t xml:space="preserve">the </w:t>
      </w:r>
      <w:r w:rsidRPr="00282633">
        <w:rPr>
          <w:rFonts w:eastAsia="Calibri"/>
        </w:rPr>
        <w:t xml:space="preserve">administrative data sources to supplement the main impact </w:t>
      </w:r>
      <w:r>
        <w:rPr>
          <w:rFonts w:eastAsia="Calibri"/>
        </w:rPr>
        <w:t>study</w:t>
      </w:r>
      <w:r w:rsidRPr="00282633">
        <w:rPr>
          <w:rFonts w:eastAsia="Calibri"/>
        </w:rPr>
        <w:t xml:space="preserve">. Specifically, we </w:t>
      </w:r>
      <w:r>
        <w:rPr>
          <w:rFonts w:eastAsia="Calibri"/>
        </w:rPr>
        <w:t>will use</w:t>
      </w:r>
      <w:r w:rsidRPr="00282633">
        <w:rPr>
          <w:rFonts w:eastAsia="Calibri"/>
        </w:rPr>
        <w:t xml:space="preserve"> a larger pool of potential sample members to expand the comparison group and conduct an analysis that obviate</w:t>
      </w:r>
      <w:r>
        <w:rPr>
          <w:rFonts w:eastAsia="Calibri"/>
        </w:rPr>
        <w:t>s</w:t>
      </w:r>
      <w:r w:rsidRPr="00282633">
        <w:rPr>
          <w:rFonts w:eastAsia="Calibri"/>
        </w:rPr>
        <w:t xml:space="preserve"> the need to do a clustering correction. </w:t>
      </w:r>
      <w:r>
        <w:rPr>
          <w:rFonts w:eastAsia="Calibri"/>
        </w:rPr>
        <w:t>This change will</w:t>
      </w:r>
      <w:r w:rsidRPr="00282633">
        <w:rPr>
          <w:rFonts w:eastAsia="Calibri"/>
        </w:rPr>
        <w:t xml:space="preserve"> address the chief limitation of the main study design: statistical power. </w:t>
      </w:r>
      <w:r>
        <w:rPr>
          <w:rFonts w:eastAsia="Calibri"/>
        </w:rPr>
        <w:t>However, this approach will only provide evidence about the effect of Pathways on the subset of outcomes that are available in administrative data.</w:t>
      </w:r>
      <w:r w:rsidR="007949D0">
        <w:rPr>
          <w:rFonts w:eastAsia="Calibri"/>
        </w:rPr>
        <w:t xml:space="preserve"> </w:t>
      </w:r>
      <w:r w:rsidRPr="00D0082E">
        <w:rPr>
          <w:rFonts w:eastAsia="Calibri"/>
        </w:rPr>
        <w:t>Data source</w:t>
      </w:r>
    </w:p>
    <w:p w:rsidRPr="00D0082E" w:rsidR="0000688D" w:rsidP="0000688D" w:rsidRDefault="0000688D" w14:paraId="15CFA24E" w14:textId="0C3BC5E5">
      <w:pPr>
        <w:pStyle w:val="ParagraphContinued"/>
        <w:rPr>
          <w:rFonts w:eastAsia="Calibri"/>
        </w:rPr>
      </w:pPr>
      <w:r>
        <w:rPr>
          <w:rFonts w:eastAsia="Calibri"/>
        </w:rPr>
        <w:t>This analysis will use administrative</w:t>
      </w:r>
      <w:r w:rsidRPr="00D0082E">
        <w:rPr>
          <w:rFonts w:eastAsia="Calibri"/>
        </w:rPr>
        <w:t xml:space="preserve"> data. </w:t>
      </w:r>
      <w:r>
        <w:rPr>
          <w:rFonts w:eastAsia="Calibri"/>
        </w:rPr>
        <w:t>T</w:t>
      </w:r>
      <w:r w:rsidRPr="00D0082E">
        <w:rPr>
          <w:rFonts w:eastAsia="Calibri"/>
        </w:rPr>
        <w:t xml:space="preserve">o boost </w:t>
      </w:r>
      <w:r>
        <w:rPr>
          <w:rFonts w:eastAsia="Calibri"/>
        </w:rPr>
        <w:t xml:space="preserve">the </w:t>
      </w:r>
      <w:r w:rsidRPr="00D0082E">
        <w:rPr>
          <w:rFonts w:eastAsia="Calibri"/>
        </w:rPr>
        <w:t>sample size and statistical power</w:t>
      </w:r>
      <w:r>
        <w:rPr>
          <w:rFonts w:eastAsia="Calibri"/>
        </w:rPr>
        <w:t xml:space="preserve"> relative to the main study, the analysis will include additional</w:t>
      </w:r>
      <w:r w:rsidRPr="00D0082E">
        <w:rPr>
          <w:rFonts w:eastAsia="Calibri"/>
        </w:rPr>
        <w:t xml:space="preserve"> sample members in a pre-intervention period</w:t>
      </w:r>
      <w:r>
        <w:rPr>
          <w:rFonts w:eastAsia="Calibri"/>
        </w:rPr>
        <w:t>,</w:t>
      </w:r>
      <w:r w:rsidRPr="00D0082E">
        <w:rPr>
          <w:rFonts w:eastAsia="Calibri"/>
        </w:rPr>
        <w:t xml:space="preserve"> </w:t>
      </w:r>
      <w:r>
        <w:rPr>
          <w:rFonts w:eastAsia="Calibri"/>
        </w:rPr>
        <w:t>and</w:t>
      </w:r>
      <w:r w:rsidRPr="00D0082E">
        <w:rPr>
          <w:rFonts w:eastAsia="Calibri"/>
        </w:rPr>
        <w:t xml:space="preserve"> noneligible youth</w:t>
      </w:r>
      <w:r>
        <w:rPr>
          <w:rFonts w:eastAsia="Calibri"/>
        </w:rPr>
        <w:t xml:space="preserve"> will </w:t>
      </w:r>
      <w:proofErr w:type="gramStart"/>
      <w:r>
        <w:rPr>
          <w:rFonts w:eastAsia="Calibri"/>
        </w:rPr>
        <w:t>be added</w:t>
      </w:r>
      <w:proofErr w:type="gramEnd"/>
      <w:r w:rsidRPr="00D0082E">
        <w:rPr>
          <w:rFonts w:eastAsia="Calibri"/>
        </w:rPr>
        <w:t xml:space="preserve"> in the estimation strategy</w:t>
      </w:r>
      <w:r>
        <w:rPr>
          <w:rFonts w:eastAsia="Calibri"/>
        </w:rPr>
        <w:t xml:space="preserve">. </w:t>
      </w:r>
    </w:p>
    <w:p w:rsidRPr="00D0082E" w:rsidR="0000688D" w:rsidP="00CC5697" w:rsidRDefault="0000688D" w14:paraId="5992357E" w14:textId="77777777">
      <w:pPr>
        <w:pStyle w:val="H3"/>
        <w:ind w:left="0" w:firstLine="0"/>
        <w:rPr>
          <w:rFonts w:eastAsia="Calibri"/>
        </w:rPr>
      </w:pPr>
      <w:r w:rsidRPr="00D0082E">
        <w:rPr>
          <w:rFonts w:eastAsia="Calibri"/>
        </w:rPr>
        <w:t>Difference-in-differences within a natural experiment</w:t>
      </w:r>
    </w:p>
    <w:p w:rsidRPr="00D0082E" w:rsidR="0000688D" w:rsidP="0000688D" w:rsidRDefault="0000688D" w14:paraId="591B1497" w14:textId="7767F76B">
      <w:pPr>
        <w:pStyle w:val="ParagraphContinued"/>
        <w:rPr>
          <w:rFonts w:eastAsia="Calibri"/>
        </w:rPr>
      </w:pPr>
      <w:r w:rsidRPr="00D0082E">
        <w:rPr>
          <w:rFonts w:eastAsia="Calibri"/>
        </w:rPr>
        <w:t xml:space="preserve">The timing of the introduction of Pathways in Colorado counties creates the appropriate circumstances for a natural experiment. </w:t>
      </w:r>
      <w:r w:rsidRPr="00F905FB">
        <w:rPr>
          <w:rFonts w:eastAsia="Calibri"/>
        </w:rPr>
        <w:t xml:space="preserve">Pathways </w:t>
      </w:r>
      <w:proofErr w:type="gramStart"/>
      <w:r w:rsidRPr="00F905FB">
        <w:rPr>
          <w:rFonts w:eastAsia="Calibri"/>
        </w:rPr>
        <w:t>was initially introduced</w:t>
      </w:r>
      <w:proofErr w:type="gramEnd"/>
      <w:r w:rsidRPr="00F905FB">
        <w:rPr>
          <w:rFonts w:eastAsia="Calibri"/>
        </w:rPr>
        <w:t xml:space="preserve"> in five counties in Colorado as part of the YARH-2 grant, in July 2016. W</w:t>
      </w:r>
      <w:r w:rsidRPr="00217143">
        <w:rPr>
          <w:rFonts w:eastAsia="Calibri"/>
        </w:rPr>
        <w:t xml:space="preserve">e expect that Pathways will become available in additional expansion counties, starting in </w:t>
      </w:r>
      <w:r>
        <w:rPr>
          <w:rFonts w:eastAsia="Calibri"/>
        </w:rPr>
        <w:t>summer</w:t>
      </w:r>
      <w:r w:rsidRPr="00F905FB">
        <w:rPr>
          <w:rFonts w:eastAsia="Calibri"/>
        </w:rPr>
        <w:t xml:space="preserve"> 2021 and continuing throughout the </w:t>
      </w:r>
      <w:r>
        <w:rPr>
          <w:rFonts w:eastAsia="Calibri"/>
        </w:rPr>
        <w:t>study</w:t>
      </w:r>
      <w:r w:rsidRPr="00F905FB">
        <w:rPr>
          <w:rFonts w:eastAsia="Calibri"/>
        </w:rPr>
        <w:t xml:space="preserve"> period. Prior to these periods, the same youth did not have the chance to participate in Pathways. Because youth did</w:t>
      </w:r>
      <w:r w:rsidRPr="00217143">
        <w:rPr>
          <w:rFonts w:eastAsia="Calibri"/>
        </w:rPr>
        <w:t xml:space="preserve"> not choose when Pathw</w:t>
      </w:r>
      <w:r w:rsidRPr="00D0082E">
        <w:rPr>
          <w:rFonts w:eastAsia="Calibri"/>
        </w:rPr>
        <w:t xml:space="preserve">ays would </w:t>
      </w:r>
      <w:proofErr w:type="gramStart"/>
      <w:r w:rsidRPr="00D0082E">
        <w:rPr>
          <w:rFonts w:eastAsia="Calibri"/>
        </w:rPr>
        <w:t>be introduced</w:t>
      </w:r>
      <w:proofErr w:type="gramEnd"/>
      <w:r>
        <w:rPr>
          <w:rFonts w:eastAsia="Calibri"/>
        </w:rPr>
        <w:t>—</w:t>
      </w:r>
      <w:r w:rsidRPr="00D0082E">
        <w:rPr>
          <w:rFonts w:eastAsia="Calibri"/>
        </w:rPr>
        <w:t xml:space="preserve">analogous to an RCT </w:t>
      </w:r>
      <w:r>
        <w:rPr>
          <w:rFonts w:eastAsia="Calibri"/>
        </w:rPr>
        <w:t>in which</w:t>
      </w:r>
      <w:r w:rsidRPr="00D0082E">
        <w:rPr>
          <w:rFonts w:eastAsia="Calibri"/>
        </w:rPr>
        <w:t xml:space="preserve"> youth cannot determine their treatment condition</w:t>
      </w:r>
      <w:r>
        <w:rPr>
          <w:rFonts w:eastAsia="Calibri"/>
        </w:rPr>
        <w:t>—the situation</w:t>
      </w:r>
      <w:r w:rsidRPr="00D0082E">
        <w:rPr>
          <w:rFonts w:eastAsia="Calibri"/>
        </w:rPr>
        <w:t xml:space="preserve"> constitutes a natural experiment. </w:t>
      </w:r>
      <w:r>
        <w:rPr>
          <w:rFonts w:eastAsia="Calibri"/>
        </w:rPr>
        <w:t>Following from</w:t>
      </w:r>
      <w:r w:rsidRPr="00D0082E">
        <w:rPr>
          <w:rFonts w:eastAsia="Calibri"/>
        </w:rPr>
        <w:t xml:space="preserve"> the difference-in-differences approach used in Asheer and colleagues (2017), we will leverage this natural experiment to estimate the effectiveness of Pathways on a larger pool of youth than possible in the </w:t>
      </w:r>
      <w:r w:rsidRPr="00282633">
        <w:rPr>
          <w:rFonts w:eastAsia="Calibri"/>
        </w:rPr>
        <w:t>main impact design. We will use administrative data for three years before the introduction to Pathways in a given</w:t>
      </w:r>
      <w:r w:rsidRPr="00D0082E">
        <w:rPr>
          <w:rFonts w:eastAsia="Calibri"/>
        </w:rPr>
        <w:t xml:space="preserve"> </w:t>
      </w:r>
      <w:r w:rsidR="00D575B7">
        <w:rPr>
          <w:rFonts w:eastAsia="Calibri"/>
        </w:rPr>
        <w:t>site</w:t>
      </w:r>
      <w:r w:rsidRPr="00D0082E" w:rsidR="00D575B7">
        <w:rPr>
          <w:rFonts w:eastAsia="Calibri"/>
        </w:rPr>
        <w:t xml:space="preserve"> </w:t>
      </w:r>
      <w:r w:rsidRPr="00D0082E">
        <w:rPr>
          <w:rFonts w:eastAsia="Calibri"/>
        </w:rPr>
        <w:t xml:space="preserve">and three years after the introduction. </w:t>
      </w:r>
    </w:p>
    <w:p w:rsidR="0000688D" w:rsidP="0000688D" w:rsidRDefault="0000688D" w14:paraId="0382C536" w14:textId="6A8BC558">
      <w:pPr>
        <w:pStyle w:val="ParagraphContinued"/>
        <w:rPr>
          <w:rFonts w:eastAsia="Calibri"/>
        </w:rPr>
      </w:pPr>
      <w:r>
        <w:rPr>
          <w:rFonts w:eastAsia="Calibri"/>
        </w:rPr>
        <w:t xml:space="preserve">To estimate the impacts, we will use a three-step approach common in difference-in-differences estimation. The first step estimates the differences in outcomes among eligible youth in the post-Pathways period relative to those for youth in </w:t>
      </w:r>
      <w:r w:rsidRPr="00D13F39">
        <w:rPr>
          <w:rFonts w:eastAsia="Calibri"/>
        </w:rPr>
        <w:t>the pre-Pathways period</w:t>
      </w:r>
      <w:r>
        <w:rPr>
          <w:rFonts w:eastAsia="Calibri"/>
        </w:rPr>
        <w:t>. This first difference would be the impact of Pathways, provided</w:t>
      </w:r>
      <w:r w:rsidRPr="00BA0DB7">
        <w:rPr>
          <w:rFonts w:eastAsia="Calibri"/>
        </w:rPr>
        <w:t xml:space="preserve"> nothing else changed in treatment </w:t>
      </w:r>
      <w:r w:rsidR="00E612DF">
        <w:rPr>
          <w:rFonts w:eastAsia="Calibri"/>
        </w:rPr>
        <w:t>sites</w:t>
      </w:r>
      <w:r w:rsidRPr="00BA0DB7" w:rsidR="00E612DF">
        <w:rPr>
          <w:rFonts w:eastAsia="Calibri"/>
        </w:rPr>
        <w:t xml:space="preserve"> </w:t>
      </w:r>
      <w:r w:rsidRPr="00BA0DB7">
        <w:rPr>
          <w:rFonts w:eastAsia="Calibri"/>
        </w:rPr>
        <w:t xml:space="preserve">and in the environment of all youth when Pathways </w:t>
      </w:r>
      <w:proofErr w:type="gramStart"/>
      <w:r w:rsidRPr="00BA0DB7">
        <w:rPr>
          <w:rFonts w:eastAsia="Calibri"/>
        </w:rPr>
        <w:t>was</w:t>
      </w:r>
      <w:r>
        <w:rPr>
          <w:rFonts w:eastAsia="Calibri"/>
        </w:rPr>
        <w:t xml:space="preserve"> introduced</w:t>
      </w:r>
      <w:proofErr w:type="gramEnd"/>
      <w:r>
        <w:rPr>
          <w:rFonts w:eastAsia="Calibri"/>
        </w:rPr>
        <w:t xml:space="preserve">. However, this circumstance is unlikely, and such an estimate </w:t>
      </w:r>
      <w:r>
        <w:rPr>
          <w:rFonts w:eastAsia="Calibri"/>
        </w:rPr>
        <w:lastRenderedPageBreak/>
        <w:t xml:space="preserve">probably cannot </w:t>
      </w:r>
      <w:proofErr w:type="gramStart"/>
      <w:r>
        <w:rPr>
          <w:rFonts w:eastAsia="Calibri"/>
        </w:rPr>
        <w:t>be attributed</w:t>
      </w:r>
      <w:proofErr w:type="gramEnd"/>
      <w:r>
        <w:rPr>
          <w:rFonts w:eastAsia="Calibri"/>
        </w:rPr>
        <w:t xml:space="preserve"> solely to Pathways. To address this limitation, the second difference calculates the change in outcomes in the post-Pathways period relative to the pre-Pathways period among ineligible youth, who should not </w:t>
      </w:r>
      <w:proofErr w:type="gramStart"/>
      <w:r>
        <w:rPr>
          <w:rFonts w:eastAsia="Calibri"/>
        </w:rPr>
        <w:t>be impacted</w:t>
      </w:r>
      <w:proofErr w:type="gramEnd"/>
      <w:r>
        <w:rPr>
          <w:rFonts w:eastAsia="Calibri"/>
        </w:rPr>
        <w:t xml:space="preserve"> by Pathways but could be impacted by other factors</w:t>
      </w:r>
      <w:r w:rsidRPr="00BA0DB7">
        <w:rPr>
          <w:rFonts w:eastAsia="Calibri"/>
        </w:rPr>
        <w:t>. The third step subtracts these</w:t>
      </w:r>
      <w:r>
        <w:rPr>
          <w:rFonts w:eastAsia="Calibri"/>
        </w:rPr>
        <w:t xml:space="preserve"> two differences, the change in outcomes for ineligible youth and the change for eligible youth. This will be the difference-in-differences estimate of the impact of Pathways on youth outcomes. </w:t>
      </w:r>
    </w:p>
    <w:p w:rsidRPr="00CC5697" w:rsidR="00E1604A" w:rsidP="00CC5697" w:rsidRDefault="0000688D" w14:paraId="0BBA65B4" w14:textId="4017FD03">
      <w:pPr>
        <w:pStyle w:val="Paragraph"/>
        <w:rPr>
          <w:rFonts w:eastAsia="Calibri"/>
        </w:rPr>
      </w:pPr>
      <w:r w:rsidRPr="007643AE">
        <w:rPr>
          <w:rFonts w:eastAsia="Calibri"/>
        </w:rPr>
        <w:t xml:space="preserve">Our estimation strategy will be based </w:t>
      </w:r>
      <w:r>
        <w:rPr>
          <w:rFonts w:eastAsia="Calibri"/>
        </w:rPr>
        <w:t>on</w:t>
      </w:r>
      <w:r w:rsidRPr="007643AE">
        <w:rPr>
          <w:rFonts w:eastAsia="Calibri"/>
        </w:rPr>
        <w:t xml:space="preserve"> a linear regression approach, limited to those individuals who are well matched according to the propensity model. We will statistically adjust for available demographic characteristics in our regression model to account for potential changes in the characteristics of eligible youth that could bias our impact estimates. </w:t>
      </w:r>
      <w:r>
        <w:rPr>
          <w:rFonts w:eastAsia="Calibri"/>
        </w:rPr>
        <w:t>As with</w:t>
      </w:r>
      <w:r w:rsidRPr="007643AE">
        <w:rPr>
          <w:rFonts w:eastAsia="Calibri"/>
        </w:rPr>
        <w:t xml:space="preserve"> the </w:t>
      </w:r>
      <w:r w:rsidRPr="00282633">
        <w:rPr>
          <w:rFonts w:eastAsia="Calibri"/>
        </w:rPr>
        <w:t>main impact analysis, we will define the Pathways status in two ways. We will estimate the impact of the offer of Pathways</w:t>
      </w:r>
      <w:r w:rsidRPr="007643AE">
        <w:rPr>
          <w:rFonts w:eastAsia="Calibri"/>
        </w:rPr>
        <w:t xml:space="preserve"> based on all eligible youth in the post-Pathways period (ITT-like effect) and the impact among youth in the post-Pathways period who actually enroll in Pathways (TOT-like effect), because only a subset of eligible individuals in participating </w:t>
      </w:r>
      <w:r w:rsidR="00E612DF">
        <w:rPr>
          <w:rFonts w:eastAsia="Calibri"/>
        </w:rPr>
        <w:t>sites</w:t>
      </w:r>
      <w:r w:rsidRPr="007643AE" w:rsidR="00E612DF">
        <w:rPr>
          <w:rFonts w:eastAsia="Calibri"/>
        </w:rPr>
        <w:t xml:space="preserve"> </w:t>
      </w:r>
      <w:r>
        <w:rPr>
          <w:rFonts w:eastAsia="Calibri"/>
        </w:rPr>
        <w:t>will</w:t>
      </w:r>
      <w:r w:rsidRPr="007643AE">
        <w:rPr>
          <w:rFonts w:eastAsia="Calibri"/>
        </w:rPr>
        <w:t xml:space="preserve"> actually </w:t>
      </w:r>
      <w:proofErr w:type="gramStart"/>
      <w:r w:rsidRPr="007643AE">
        <w:rPr>
          <w:rFonts w:eastAsia="Calibri"/>
        </w:rPr>
        <w:t>be offered</w:t>
      </w:r>
      <w:proofErr w:type="gramEnd"/>
      <w:r w:rsidRPr="007643AE">
        <w:rPr>
          <w:rFonts w:eastAsia="Calibri"/>
        </w:rPr>
        <w:t xml:space="preserve"> and receive the program. We will estimate the TOT-like impact by using the Bloom (1984) adjustment, dividing the ITT-like impact by the take-up rate to produce a credible TOT-like impact estimate.</w:t>
      </w:r>
    </w:p>
    <w:p w:rsidR="006D260B" w:rsidP="006D260B" w:rsidRDefault="006D260B" w14:paraId="7F83EF91" w14:textId="6C16E595">
      <w:pPr>
        <w:pStyle w:val="ParagraphContinued"/>
        <w:rPr>
          <w:rFonts w:eastAsia="Times New Roman" w:cstheme="minorHAnsi"/>
          <w:bCs/>
          <w:i/>
          <w:color w:val="000000"/>
        </w:rPr>
      </w:pPr>
      <w:r w:rsidRPr="001F0253">
        <w:rPr>
          <w:rFonts w:eastAsia="Times New Roman" w:cstheme="minorHAnsi"/>
          <w:bCs/>
          <w:i/>
          <w:color w:val="000000"/>
        </w:rPr>
        <w:t xml:space="preserve">Impact Study </w:t>
      </w:r>
      <w:r>
        <w:rPr>
          <w:rFonts w:eastAsia="Times New Roman" w:cstheme="minorHAnsi"/>
          <w:bCs/>
          <w:i/>
          <w:color w:val="000000"/>
        </w:rPr>
        <w:t>Reporting Approach</w:t>
      </w:r>
    </w:p>
    <w:p w:rsidRPr="000E1C0E" w:rsidR="006D260B" w:rsidP="006D260B" w:rsidRDefault="006D260B" w14:paraId="32B5FA7D" w14:textId="1A31B1EF">
      <w:pPr>
        <w:pStyle w:val="ParagraphContinued"/>
      </w:pPr>
      <w:r w:rsidRPr="000E1C0E">
        <w:t xml:space="preserve">Given the large number of impacts to </w:t>
      </w:r>
      <w:proofErr w:type="gramStart"/>
      <w:r w:rsidRPr="000E1C0E">
        <w:t>be estimated</w:t>
      </w:r>
      <w:proofErr w:type="gramEnd"/>
      <w:r w:rsidRPr="000E1C0E">
        <w:t xml:space="preserve"> in this impact study, it is important to specify a plan for reporting and interpreting these impact findings. The main study design includes three follow-up survey assessment points</w:t>
      </w:r>
      <w:r>
        <w:t>;</w:t>
      </w:r>
      <w:r w:rsidRPr="000E1C0E">
        <w:t xml:space="preserve"> ten outcome domains (with multiple outcomes of interest within each domain)</w:t>
      </w:r>
      <w:r>
        <w:t>;</w:t>
      </w:r>
      <w:r w:rsidRPr="000E1C0E">
        <w:t xml:space="preserve"> a plan to estimate both ITT and TOT impacts in the main study approach </w:t>
      </w:r>
      <w:r>
        <w:t>(</w:t>
      </w:r>
      <w:r w:rsidRPr="000E1C0E">
        <w:t>and to conduct impact analyses using a difference-in-difference technique</w:t>
      </w:r>
      <w:r>
        <w:t>);</w:t>
      </w:r>
      <w:r w:rsidRPr="000E1C0E">
        <w:t xml:space="preserve"> and </w:t>
      </w:r>
      <w:r>
        <w:t xml:space="preserve">analyses </w:t>
      </w:r>
      <w:r w:rsidRPr="000E1C0E">
        <w:t xml:space="preserve">to explore </w:t>
      </w:r>
      <w:r>
        <w:t xml:space="preserve">the </w:t>
      </w:r>
      <w:r w:rsidRPr="000E1C0E">
        <w:t>heterogeneity of impacts across key subgroups</w:t>
      </w:r>
      <w:r>
        <w:t xml:space="preserve">. </w:t>
      </w:r>
      <w:r w:rsidRPr="000E1C0E">
        <w:t xml:space="preserve">A prespecified reporting approach to distill the key findings and summarize conclusions from this large number of impact estimates will enable a focused interpretation of findings and mitigate concerns </w:t>
      </w:r>
      <w:r>
        <w:t xml:space="preserve">with </w:t>
      </w:r>
      <w:r w:rsidRPr="000E1C0E">
        <w:t>multiple hypothesis tests.</w:t>
      </w:r>
    </w:p>
    <w:p w:rsidRPr="000E1C0E" w:rsidR="006D260B" w:rsidP="006D260B" w:rsidRDefault="006D260B" w14:paraId="570F6930" w14:textId="351631D7">
      <w:pPr>
        <w:pStyle w:val="Paragraph"/>
      </w:pPr>
      <w:r w:rsidRPr="000E1C0E">
        <w:t>The first aspect of our proposed reporting approach is to separate findings by assessment period and analytic approach. The second aspect of our approach is to prespecify a relatively small number of impact estimates as confirmatory tests</w:t>
      </w:r>
      <w:r w:rsidR="00CC5697">
        <w:t xml:space="preserve"> in the registry at </w:t>
      </w:r>
      <w:hyperlink w:history="1" r:id="rId11">
        <w:r w:rsidRPr="00A8506C" w:rsidR="00CC5697">
          <w:rPr>
            <w:rStyle w:val="Hyperlink"/>
          </w:rPr>
          <w:t>clinicaltrials.gov</w:t>
        </w:r>
      </w:hyperlink>
      <w:r w:rsidR="00CC5697">
        <w:t xml:space="preserve">. </w:t>
      </w:r>
      <w:r w:rsidRPr="000E1C0E">
        <w:t>We will highlight those confirmatory tests in the main body of the report and use those test results to guide interpretation</w:t>
      </w:r>
      <w:r>
        <w:t xml:space="preserve"> and conclusions about the effectiveness of Pathways</w:t>
      </w:r>
      <w:r w:rsidRPr="000E1C0E">
        <w:t xml:space="preserve">. For the purposes of the impact study, </w:t>
      </w:r>
      <w:r>
        <w:t xml:space="preserve">we will use the </w:t>
      </w:r>
      <w:r w:rsidRPr="000E1C0E">
        <w:t>full</w:t>
      </w:r>
      <w:r>
        <w:t>-</w:t>
      </w:r>
      <w:r w:rsidRPr="000E1C0E">
        <w:t xml:space="preserve">sample, ITT analyses of one or two key outcomes per domain </w:t>
      </w:r>
      <w:r>
        <w:t xml:space="preserve">as </w:t>
      </w:r>
      <w:r w:rsidRPr="000E1C0E">
        <w:t xml:space="preserve">the confirmatory </w:t>
      </w:r>
      <w:r>
        <w:t>tests</w:t>
      </w:r>
      <w:r w:rsidRPr="000E1C0E">
        <w:t>.</w:t>
      </w:r>
      <w:r w:rsidRPr="000E1C0E">
        <w:rPr>
          <w:rStyle w:val="FootnoteReference"/>
          <w:sz w:val="24"/>
          <w:szCs w:val="24"/>
        </w:rPr>
        <w:footnoteReference w:id="8"/>
      </w:r>
      <w:r w:rsidRPr="000E1C0E">
        <w:t xml:space="preserve"> The results of this relatively small number of confirmatory hypothesis tests</w:t>
      </w:r>
      <w:r>
        <w:t xml:space="preserve">, </w:t>
      </w:r>
      <w:r w:rsidRPr="000E1C0E">
        <w:t>along with the Bayesian interpretation of the findings</w:t>
      </w:r>
      <w:r>
        <w:t>,</w:t>
      </w:r>
      <w:r w:rsidRPr="000E1C0E">
        <w:t xml:space="preserve"> will guide the summar</w:t>
      </w:r>
      <w:r>
        <w:t>y</w:t>
      </w:r>
      <w:r w:rsidRPr="000E1C0E">
        <w:t xml:space="preserve"> of the evidence of Pathways</w:t>
      </w:r>
      <w:r>
        <w:t>. We will integrate the information from both the traditional hypothesis tests and the Bayesian posterior probabilities associated with these tests when summarizing and interpreting the evidence for these confirmatory findings.</w:t>
      </w:r>
    </w:p>
    <w:p w:rsidR="006D260B" w:rsidP="006D260B" w:rsidRDefault="006D260B" w14:paraId="0543330E" w14:textId="497F8F90">
      <w:pPr>
        <w:pStyle w:val="Paragraph"/>
      </w:pPr>
      <w:r w:rsidRPr="000E1C0E">
        <w:t xml:space="preserve">We will complement the reporting of the confirmatory tests by summarizing the TOT impact estimates and subgroup findings in the main body. </w:t>
      </w:r>
      <w:r>
        <w:t xml:space="preserve">These findings will help illustrate the populations for whom </w:t>
      </w:r>
      <w:r>
        <w:lastRenderedPageBreak/>
        <w:t xml:space="preserve">Pathways appears to work best, and the extent to which program take-up influences results. We will also summarize the results of the exploratory analyses for research question 3, which link features of implementation to participant outcomes. Importantly, we will </w:t>
      </w:r>
      <w:r w:rsidRPr="000E1C0E">
        <w:t xml:space="preserve">not use </w:t>
      </w:r>
      <w:r>
        <w:t>nonconfirmatory results (the TOT or subgroup or exploratory</w:t>
      </w:r>
      <w:r w:rsidRPr="000E1C0E">
        <w:t xml:space="preserve"> findings</w:t>
      </w:r>
      <w:r>
        <w:t xml:space="preserve"> linking implementation to outcomes)</w:t>
      </w:r>
      <w:r w:rsidRPr="000E1C0E">
        <w:t xml:space="preserve"> to draw conclusions about the effectiveness of Pathways, </w:t>
      </w:r>
      <w:r w:rsidRPr="00BA464E">
        <w:t>unless confirmatory tests corroborate the findings</w:t>
      </w:r>
      <w:r>
        <w:t xml:space="preserve">. </w:t>
      </w:r>
    </w:p>
    <w:p w:rsidRPr="00DD6BCA" w:rsidR="006D260B" w:rsidP="004D2E92" w:rsidRDefault="006D260B" w14:paraId="7E0A40AD" w14:textId="29EE84C2">
      <w:pPr>
        <w:pStyle w:val="Paragraph"/>
        <w:spacing w:after="0"/>
      </w:pPr>
      <w:r w:rsidRPr="000E1C0E">
        <w:t>We will ensure a fully transparent presentation of all impact findings by including all nonconfirmatory test results in appendices</w:t>
      </w:r>
      <w:r>
        <w:t xml:space="preserve"> to the reports</w:t>
      </w:r>
      <w:r w:rsidRPr="000E1C0E">
        <w:t xml:space="preserve">. </w:t>
      </w:r>
      <w:r>
        <w:t>In doing so, the main report</w:t>
      </w:r>
      <w:r w:rsidR="00CC5697">
        <w:t>(s)</w:t>
      </w:r>
      <w:r>
        <w:t xml:space="preserve"> will fully answer research questions 1, 2, and 3. However, the main body of the report</w:t>
      </w:r>
      <w:r w:rsidR="00CC5697">
        <w:t>(s)</w:t>
      </w:r>
      <w:r>
        <w:t>, as well as the conclusions that guide interpretation for the report, will be based on the small set of confirmatory tests outlined above.</w:t>
      </w:r>
    </w:p>
    <w:p w:rsidR="00D27BA1" w:rsidP="004D2E92" w:rsidRDefault="00D27BA1" w14:paraId="3838F11A" w14:textId="77777777">
      <w:pPr>
        <w:pStyle w:val="Paragraph"/>
        <w:spacing w:after="0"/>
        <w:rPr>
          <w:iCs/>
          <w:u w:val="single"/>
        </w:rPr>
      </w:pPr>
    </w:p>
    <w:p w:rsidRPr="001F0253" w:rsidR="00E1604A" w:rsidP="00EC1F58" w:rsidRDefault="00E1604A" w14:paraId="24E23581" w14:textId="6415ED2E">
      <w:pPr>
        <w:pStyle w:val="Paragraph"/>
        <w:spacing w:after="60"/>
        <w:rPr>
          <w:i/>
        </w:rPr>
      </w:pPr>
      <w:r w:rsidRPr="001F0253">
        <w:rPr>
          <w:i/>
        </w:rPr>
        <w:t xml:space="preserve">Implementation Study </w:t>
      </w:r>
    </w:p>
    <w:p w:rsidR="00C633C3" w:rsidP="00802802" w:rsidRDefault="00C633C3" w14:paraId="491E5F1C" w14:textId="26D09DF3">
      <w:pPr>
        <w:pStyle w:val="Paragraph"/>
      </w:pPr>
      <w:r>
        <w:rPr>
          <w:rFonts w:eastAsia="Calibri"/>
        </w:rPr>
        <w:t>For the implementation study, w</w:t>
      </w:r>
      <w:r>
        <w:t xml:space="preserve">e will analyze qualitative data from visits to Pathways sites to describe factors that </w:t>
      </w:r>
      <w:r w:rsidR="00776CBB">
        <w:t xml:space="preserve">either </w:t>
      </w:r>
      <w:r>
        <w:t>contributed to or inhibited implementation and youth and young</w:t>
      </w:r>
      <w:r w:rsidR="00776CBB">
        <w:t xml:space="preserve"> adult</w:t>
      </w:r>
      <w:r>
        <w:t>’s responsiveness to Pathways. We will analyze qualitative data from</w:t>
      </w:r>
      <w:r w:rsidR="001B5662">
        <w:t xml:space="preserve"> visits </w:t>
      </w:r>
      <w:r w:rsidR="00401204">
        <w:t xml:space="preserve">and check-ins </w:t>
      </w:r>
      <w:r>
        <w:t xml:space="preserve">to comparison sites to describe the services offered to youth and young adults. </w:t>
      </w:r>
      <w:r w:rsidRPr="000E402F">
        <w:t xml:space="preserve">We will use </w:t>
      </w:r>
      <w:r>
        <w:t xml:space="preserve">a template analysis approach to </w:t>
      </w:r>
      <w:r w:rsidRPr="000E402F">
        <w:t xml:space="preserve">code and organize </w:t>
      </w:r>
      <w:r w:rsidR="00776CBB">
        <w:t xml:space="preserve">the </w:t>
      </w:r>
      <w:r w:rsidRPr="000E402F">
        <w:t>data</w:t>
      </w:r>
      <w:r>
        <w:t xml:space="preserve"> collected during the site visits. </w:t>
      </w:r>
      <w:r w:rsidRPr="00912A50">
        <w:t xml:space="preserve">Template analysis </w:t>
      </w:r>
      <w:r>
        <w:t>uses</w:t>
      </w:r>
      <w:r w:rsidRPr="00912A50">
        <w:t xml:space="preserve"> a coding template (or codebook) to balance the structure involved in using a framework </w:t>
      </w:r>
      <w:r>
        <w:t>for</w:t>
      </w:r>
      <w:r w:rsidRPr="00912A50">
        <w:t xml:space="preserve"> </w:t>
      </w:r>
      <w:r>
        <w:t xml:space="preserve">data </w:t>
      </w:r>
      <w:r w:rsidRPr="00912A50">
        <w:t>analy</w:t>
      </w:r>
      <w:r>
        <w:t>sis</w:t>
      </w:r>
      <w:r w:rsidRPr="00912A50">
        <w:t xml:space="preserve"> with the flexibility necessary to adapt the codebook to the study context</w:t>
      </w:r>
      <w:r>
        <w:t xml:space="preserve"> (King 2012)</w:t>
      </w:r>
      <w:r w:rsidRPr="000E402F">
        <w:t xml:space="preserve">. </w:t>
      </w:r>
    </w:p>
    <w:p w:rsidRPr="00F668E1" w:rsidR="00C633C3" w:rsidP="00EC1F58" w:rsidRDefault="00C633C3" w14:paraId="0D474F45" w14:textId="2DD11EF7">
      <w:pPr>
        <w:pStyle w:val="Paragraph"/>
        <w:spacing w:after="0"/>
      </w:pPr>
      <w:r>
        <w:t>To analyze the coded data, we will generate reports from NVivo for each collaborating site in the implementation study. These reports will include all the data segments coded for each combination of model component and CFIR code. We will develop analytic summaries for each combination of model component and CFIR code for each of the six Pathways sites and determine whether the CFIR constructs exerted negative, positive, or neutral influence on implementation. We will then populate analytic matrices with these summaries for cross-case analysis of patterns of barriers and facilitators relat</w:t>
      </w:r>
      <w:r w:rsidR="00776CBB">
        <w:t>ed</w:t>
      </w:r>
      <w:r w:rsidR="004E22AE">
        <w:t xml:space="preserve"> </w:t>
      </w:r>
      <w:r>
        <w:t xml:space="preserve">to each model component (Miles and Huberman 1994). This </w:t>
      </w:r>
      <w:r w:rsidRPr="008932D5">
        <w:t xml:space="preserve">approach supported our coding and analysis in the YARH-2 process study, and we found that it balanced the structure of a framework to guide data analysis with the flexibility necessary </w:t>
      </w:r>
      <w:r>
        <w:t xml:space="preserve">to </w:t>
      </w:r>
      <w:r w:rsidRPr="008932D5">
        <w:t xml:space="preserve">adapt our </w:t>
      </w:r>
      <w:r>
        <w:t>coding and analysis</w:t>
      </w:r>
      <w:r w:rsidRPr="008932D5">
        <w:t xml:space="preserve"> to the study context.</w:t>
      </w:r>
    </w:p>
    <w:p w:rsidRPr="001A59B6" w:rsidR="00A42C71" w:rsidP="00A42C71" w:rsidRDefault="00A42C71" w14:paraId="17631BBB" w14:textId="77777777">
      <w:pPr>
        <w:autoSpaceDE w:val="0"/>
        <w:autoSpaceDN w:val="0"/>
        <w:adjustRightInd w:val="0"/>
        <w:spacing w:after="0" w:line="240" w:lineRule="atLeast"/>
        <w:rPr>
          <w:rFonts w:eastAsia="Times New Roman" w:cstheme="minorHAnsi"/>
          <w:bCs/>
          <w:color w:val="000000"/>
        </w:rPr>
      </w:pPr>
    </w:p>
    <w:p w:rsidRPr="003C32A9" w:rsidR="005D1160" w:rsidP="003C32A9" w:rsidRDefault="00A42C71" w14:paraId="11CD8C2B" w14:textId="016041F7">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Pr="00A2114A" w:rsidR="00A42C71" w:rsidP="00A42C71" w:rsidRDefault="00401204" w14:paraId="334FEB50" w14:textId="7166BD69">
      <w:pPr>
        <w:spacing w:after="0" w:line="240" w:lineRule="auto"/>
        <w:rPr>
          <w:rFonts w:cstheme="minorHAnsi"/>
        </w:rPr>
      </w:pPr>
      <w:r>
        <w:t xml:space="preserve">We </w:t>
      </w:r>
      <w:r w:rsidR="00123A7A">
        <w:t xml:space="preserve">will develop a final report that outlines the short-, and long-term impacts of the Pathways comprehensive service model. </w:t>
      </w:r>
      <w:r w:rsidR="00A2114A">
        <w:t>T</w:t>
      </w:r>
      <w:r w:rsidR="00123A7A">
        <w:t>here may also be additional dissemination products generated for public use (such as briefs, interim reports, infographics, and so on). There will be an archived data set for the impact study</w:t>
      </w:r>
      <w:r w:rsidR="00A2114A">
        <w:t xml:space="preserve">, </w:t>
      </w:r>
      <w:r w:rsidR="00A2114A">
        <w:rPr>
          <w:rFonts w:eastAsia="Calibri"/>
        </w:rPr>
        <w:t xml:space="preserve">likely with the </w:t>
      </w:r>
      <w:hyperlink w:history="1" r:id="rId12">
        <w:r w:rsidR="00A2114A">
          <w:rPr>
            <w:rStyle w:val="Hyperlink"/>
          </w:rPr>
          <w:t>National Data Archive on Child Abuse and Neglect (NDACAN) (hhs.gov)</w:t>
        </w:r>
      </w:hyperlink>
      <w:r w:rsidR="00123A7A">
        <w:t xml:space="preserve">. </w:t>
      </w:r>
    </w:p>
    <w:p w:rsidRPr="001A59B6" w:rsidR="00094113" w:rsidP="00A42C71" w:rsidRDefault="00094113" w14:paraId="1D9A8C20" w14:textId="77777777">
      <w:pPr>
        <w:spacing w:after="0" w:line="240" w:lineRule="auto"/>
        <w:rPr>
          <w:rFonts w:eastAsia="Times New Roman" w:cstheme="minorHAnsi"/>
        </w:rPr>
      </w:pPr>
    </w:p>
    <w:p w:rsidRPr="001A59B6" w:rsidR="00A42C71" w:rsidP="00A42C71" w:rsidRDefault="00A42C71" w14:paraId="1C0321C0" w14:textId="77777777">
      <w:pPr>
        <w:spacing w:after="120" w:line="240" w:lineRule="auto"/>
        <w:rPr>
          <w:rFonts w:eastAsia="Times New Roman" w:cstheme="minorHAnsi"/>
        </w:rPr>
      </w:pPr>
      <w:r w:rsidRPr="001A59B6">
        <w:rPr>
          <w:rFonts w:eastAsia="Times New Roman" w:cstheme="minorHAnsi"/>
          <w:b/>
          <w:bCs/>
        </w:rPr>
        <w:t>B8.  Contact Person(s)</w:t>
      </w:r>
      <w:r w:rsidRPr="001A59B6">
        <w:rPr>
          <w:rFonts w:eastAsia="Times New Roman" w:cstheme="minorHAnsi"/>
        </w:rPr>
        <w:t xml:space="preserve">  </w:t>
      </w:r>
    </w:p>
    <w:p w:rsidRPr="003C32A9" w:rsidR="00A42C71" w:rsidP="003C32A9" w:rsidRDefault="00D042AE" w14:paraId="3F327361" w14:textId="1B1001D8">
      <w:pPr>
        <w:pStyle w:val="ListParagraph"/>
        <w:spacing w:after="0" w:line="240" w:lineRule="auto"/>
        <w:ind w:left="0"/>
        <w:rPr>
          <w:rFonts w:cstheme="minorHAnsi"/>
          <w:bCs/>
        </w:rPr>
      </w:pPr>
      <w:bookmarkStart w:name="_Hlk62224359" w:id="6"/>
      <w:r w:rsidRPr="003C32A9">
        <w:rPr>
          <w:rFonts w:cstheme="minorHAnsi"/>
          <w:bCs/>
        </w:rPr>
        <w:t>ACF</w:t>
      </w:r>
    </w:p>
    <w:p w:rsidRPr="003C32A9" w:rsidR="003C32A9" w:rsidP="003C32A9" w:rsidRDefault="003C32A9" w14:paraId="148D1EC7" w14:textId="3D22BFCB">
      <w:pPr>
        <w:pStyle w:val="ListParagraph"/>
        <w:numPr>
          <w:ilvl w:val="0"/>
          <w:numId w:val="35"/>
        </w:numPr>
        <w:spacing w:after="0" w:line="240" w:lineRule="auto"/>
        <w:rPr>
          <w:rFonts w:cstheme="minorHAnsi"/>
          <w:bCs/>
        </w:rPr>
      </w:pPr>
      <w:r w:rsidRPr="00D042AE">
        <w:rPr>
          <w:rFonts w:cstheme="minorHAnsi"/>
          <w:bCs/>
        </w:rPr>
        <w:t>Mary Mueggenborg</w:t>
      </w:r>
      <w:r>
        <w:rPr>
          <w:rFonts w:cstheme="minorHAnsi"/>
          <w:bCs/>
        </w:rPr>
        <w:t>,</w:t>
      </w:r>
      <w:r w:rsidRPr="00D042AE">
        <w:rPr>
          <w:rFonts w:cstheme="minorHAnsi"/>
          <w:bCs/>
        </w:rPr>
        <w:t xml:space="preserve"> </w:t>
      </w:r>
      <w:r w:rsidRPr="00E71A3B">
        <w:rPr>
          <w:rFonts w:cstheme="minorHAnsi"/>
          <w:bCs/>
        </w:rPr>
        <w:t>Mary.Mueggenborg@ACF.hhs.gov</w:t>
      </w:r>
    </w:p>
    <w:p w:rsidR="00D042AE" w:rsidP="00777C2E" w:rsidRDefault="00D042AE" w14:paraId="4F6264EC" w14:textId="7146108F">
      <w:pPr>
        <w:pStyle w:val="ListParagraph"/>
        <w:numPr>
          <w:ilvl w:val="0"/>
          <w:numId w:val="35"/>
        </w:numPr>
        <w:spacing w:after="0" w:line="240" w:lineRule="auto"/>
        <w:rPr>
          <w:rFonts w:cstheme="minorHAnsi"/>
          <w:bCs/>
        </w:rPr>
      </w:pPr>
      <w:r w:rsidRPr="00D042AE">
        <w:rPr>
          <w:rFonts w:cstheme="minorHAnsi"/>
          <w:bCs/>
        </w:rPr>
        <w:t>Catherine Heath</w:t>
      </w:r>
      <w:r w:rsidR="00E71A3B">
        <w:rPr>
          <w:rFonts w:cstheme="minorHAnsi"/>
          <w:bCs/>
        </w:rPr>
        <w:t xml:space="preserve">, </w:t>
      </w:r>
      <w:r w:rsidRPr="00E71A3B" w:rsidR="00E71A3B">
        <w:rPr>
          <w:rFonts w:cstheme="minorHAnsi"/>
          <w:bCs/>
        </w:rPr>
        <w:t>Catherine.Heath@ACF.hhs.gov</w:t>
      </w:r>
    </w:p>
    <w:p w:rsidRPr="00D042AE" w:rsidR="00D042AE" w:rsidP="00A42C71" w:rsidRDefault="00D042AE" w14:paraId="65A5CCAD" w14:textId="24A9F4AC">
      <w:pPr>
        <w:pStyle w:val="ListParagraph"/>
        <w:spacing w:after="0" w:line="240" w:lineRule="auto"/>
        <w:ind w:left="0"/>
        <w:rPr>
          <w:rFonts w:cstheme="minorHAnsi"/>
          <w:bCs/>
        </w:rPr>
      </w:pPr>
    </w:p>
    <w:p w:rsidRPr="003C32A9" w:rsidR="00D042AE" w:rsidP="00A42C71" w:rsidRDefault="00D042AE" w14:paraId="271C2C93" w14:textId="2FDE37A2">
      <w:pPr>
        <w:pStyle w:val="ListParagraph"/>
        <w:spacing w:after="0" w:line="240" w:lineRule="auto"/>
        <w:ind w:left="0"/>
        <w:rPr>
          <w:rFonts w:cstheme="minorHAnsi"/>
          <w:bCs/>
        </w:rPr>
      </w:pPr>
      <w:r w:rsidRPr="003C32A9">
        <w:rPr>
          <w:rFonts w:cstheme="minorHAnsi"/>
          <w:bCs/>
        </w:rPr>
        <w:t xml:space="preserve">Mathematica </w:t>
      </w:r>
    </w:p>
    <w:p w:rsidRPr="00D042AE" w:rsidR="00782BF8" w:rsidP="00777C2E" w:rsidRDefault="000D183E" w14:paraId="66FF5788" w14:textId="53D5B310">
      <w:pPr>
        <w:pStyle w:val="ListParagraph"/>
        <w:numPr>
          <w:ilvl w:val="0"/>
          <w:numId w:val="36"/>
        </w:numPr>
        <w:spacing w:after="0" w:line="240" w:lineRule="auto"/>
        <w:rPr>
          <w:rFonts w:cstheme="minorHAnsi"/>
          <w:bCs/>
        </w:rPr>
      </w:pPr>
      <w:r>
        <w:rPr>
          <w:rFonts w:cstheme="minorHAnsi"/>
          <w:bCs/>
        </w:rPr>
        <w:t>M.C.</w:t>
      </w:r>
      <w:r w:rsidRPr="00D042AE">
        <w:rPr>
          <w:rFonts w:cstheme="minorHAnsi"/>
          <w:bCs/>
        </w:rPr>
        <w:t xml:space="preserve"> </w:t>
      </w:r>
      <w:r w:rsidRPr="00D042AE" w:rsidR="00782BF8">
        <w:rPr>
          <w:rFonts w:cstheme="minorHAnsi"/>
          <w:bCs/>
        </w:rPr>
        <w:t>Bradley</w:t>
      </w:r>
      <w:r w:rsidR="00FF5C32">
        <w:rPr>
          <w:rFonts w:cstheme="minorHAnsi"/>
          <w:bCs/>
        </w:rPr>
        <w:t xml:space="preserve">, </w:t>
      </w:r>
      <w:r w:rsidRPr="00F64B18" w:rsidR="00FF5C32">
        <w:rPr>
          <w:rFonts w:cstheme="minorHAnsi"/>
          <w:bCs/>
        </w:rPr>
        <w:t>CBradley@mathematica-mpr.com</w:t>
      </w:r>
      <w:r w:rsidR="00FF5C32">
        <w:rPr>
          <w:rFonts w:cstheme="minorHAnsi"/>
          <w:bCs/>
        </w:rPr>
        <w:t xml:space="preserve"> </w:t>
      </w:r>
    </w:p>
    <w:p w:rsidRPr="00D042AE" w:rsidR="003E6E05" w:rsidP="00777C2E" w:rsidRDefault="003E6E05" w14:paraId="633620F5" w14:textId="3D3A1101">
      <w:pPr>
        <w:pStyle w:val="ListParagraph"/>
        <w:numPr>
          <w:ilvl w:val="0"/>
          <w:numId w:val="36"/>
        </w:numPr>
        <w:spacing w:after="0" w:line="240" w:lineRule="auto"/>
        <w:rPr>
          <w:rFonts w:cstheme="minorHAnsi"/>
          <w:bCs/>
        </w:rPr>
      </w:pPr>
      <w:r w:rsidRPr="00D042AE">
        <w:rPr>
          <w:rFonts w:cstheme="minorHAnsi"/>
          <w:bCs/>
        </w:rPr>
        <w:t>Russ</w:t>
      </w:r>
      <w:r w:rsidRPr="00D042AE" w:rsidR="00782BF8">
        <w:rPr>
          <w:rFonts w:cstheme="minorHAnsi"/>
          <w:bCs/>
        </w:rPr>
        <w:t>ell Cole</w:t>
      </w:r>
      <w:r w:rsidR="00FF5C32">
        <w:rPr>
          <w:rFonts w:cstheme="minorHAnsi"/>
          <w:bCs/>
        </w:rPr>
        <w:t xml:space="preserve">, </w:t>
      </w:r>
      <w:r w:rsidRPr="00FF5C32" w:rsidR="00FF5C32">
        <w:rPr>
          <w:rFonts w:cstheme="minorHAnsi"/>
          <w:bCs/>
        </w:rPr>
        <w:t>RCole@mathematica-mpr.com</w:t>
      </w:r>
    </w:p>
    <w:p w:rsidRPr="00D042AE" w:rsidR="003E6E05" w:rsidP="00777C2E" w:rsidRDefault="003E6E05" w14:paraId="6BB1F2B2" w14:textId="1E31128C">
      <w:pPr>
        <w:pStyle w:val="ListParagraph"/>
        <w:numPr>
          <w:ilvl w:val="0"/>
          <w:numId w:val="36"/>
        </w:numPr>
        <w:spacing w:after="0" w:line="240" w:lineRule="auto"/>
        <w:rPr>
          <w:rFonts w:cstheme="minorHAnsi"/>
          <w:bCs/>
        </w:rPr>
      </w:pPr>
      <w:r w:rsidRPr="00D042AE">
        <w:rPr>
          <w:rFonts w:cstheme="minorHAnsi"/>
          <w:bCs/>
        </w:rPr>
        <w:t>Men</w:t>
      </w:r>
      <w:r w:rsidRPr="00D042AE" w:rsidR="00782BF8">
        <w:rPr>
          <w:rFonts w:cstheme="minorHAnsi"/>
          <w:bCs/>
        </w:rPr>
        <w:t>bere Shiferaw</w:t>
      </w:r>
      <w:r w:rsidR="00FF5C32">
        <w:rPr>
          <w:rFonts w:cstheme="minorHAnsi"/>
          <w:bCs/>
        </w:rPr>
        <w:t xml:space="preserve">, </w:t>
      </w:r>
      <w:r w:rsidRPr="00FF5C32" w:rsidR="00FF5C32">
        <w:rPr>
          <w:rFonts w:cstheme="minorHAnsi"/>
          <w:bCs/>
        </w:rPr>
        <w:t>MShiferaw@mathematica-mpr.com</w:t>
      </w:r>
    </w:p>
    <w:p w:rsidRPr="00D042AE" w:rsidR="00782BF8" w:rsidP="00777C2E" w:rsidRDefault="00782BF8" w14:paraId="00AE1DB7" w14:textId="02C9516F">
      <w:pPr>
        <w:pStyle w:val="ListParagraph"/>
        <w:numPr>
          <w:ilvl w:val="0"/>
          <w:numId w:val="36"/>
        </w:numPr>
        <w:spacing w:after="0" w:line="240" w:lineRule="auto"/>
        <w:rPr>
          <w:rFonts w:cstheme="minorHAnsi"/>
          <w:bCs/>
        </w:rPr>
      </w:pPr>
      <w:r w:rsidRPr="00D042AE">
        <w:rPr>
          <w:rFonts w:cstheme="minorHAnsi"/>
          <w:bCs/>
        </w:rPr>
        <w:lastRenderedPageBreak/>
        <w:t>Melissa Thomas</w:t>
      </w:r>
      <w:r w:rsidR="00FF5C32">
        <w:rPr>
          <w:rFonts w:cstheme="minorHAnsi"/>
          <w:bCs/>
        </w:rPr>
        <w:t>, MThomas@mathematica-mpr.com</w:t>
      </w:r>
    </w:p>
    <w:p w:rsidRPr="00500379" w:rsidR="00500379" w:rsidP="00777C2E" w:rsidRDefault="00A11F24" w14:paraId="47CF6263" w14:textId="58D1CCEF">
      <w:pPr>
        <w:pStyle w:val="ListParagraph"/>
        <w:numPr>
          <w:ilvl w:val="0"/>
          <w:numId w:val="36"/>
        </w:numPr>
        <w:spacing w:after="0" w:line="240" w:lineRule="auto"/>
        <w:rPr>
          <w:rFonts w:cstheme="minorHAnsi"/>
          <w:bCs/>
        </w:rPr>
      </w:pPr>
      <w:hyperlink w:history="1" r:id="rId13">
        <w:r w:rsidRPr="004D2E92" w:rsidR="00CD01AC">
          <w:rPr>
            <w:rStyle w:val="Hyperlink"/>
            <w:rFonts w:cstheme="minorHAnsi"/>
            <w:bCs/>
            <w:color w:val="auto"/>
            <w:u w:val="none"/>
          </w:rPr>
          <w:t>Nickie</w:t>
        </w:r>
      </w:hyperlink>
      <w:r w:rsidRPr="00500379" w:rsidR="00CD01AC">
        <w:rPr>
          <w:rFonts w:cstheme="minorHAnsi"/>
          <w:bCs/>
        </w:rPr>
        <w:t xml:space="preserve"> Fung, NFung@mathematia-mpr.com</w:t>
      </w:r>
      <w:hyperlink w:history="1" r:id="rId14"/>
      <w:r w:rsidRPr="00500379" w:rsidR="00CD01AC">
        <w:rPr>
          <w:rFonts w:cstheme="minorHAnsi"/>
          <w:bCs/>
        </w:rPr>
        <w:t xml:space="preserve"> </w:t>
      </w:r>
    </w:p>
    <w:p w:rsidRPr="00500379" w:rsidR="003E6E05" w:rsidP="00777C2E" w:rsidRDefault="00A11F24" w14:paraId="28164325" w14:textId="669E53D5">
      <w:pPr>
        <w:pStyle w:val="ListParagraph"/>
        <w:numPr>
          <w:ilvl w:val="0"/>
          <w:numId w:val="36"/>
        </w:numPr>
        <w:spacing w:after="0" w:line="240" w:lineRule="auto"/>
        <w:rPr>
          <w:rFonts w:cstheme="minorHAnsi"/>
          <w:bCs/>
        </w:rPr>
      </w:pPr>
      <w:hyperlink w:history="1" r:id="rId15">
        <w:r w:rsidRPr="00C363FE" w:rsidR="00500379">
          <w:rPr>
            <w:rStyle w:val="Hyperlink"/>
            <w:rFonts w:cstheme="minorHAnsi"/>
            <w:bCs/>
            <w:color w:val="auto"/>
            <w:u w:val="none"/>
          </w:rPr>
          <w:t>Liz</w:t>
        </w:r>
      </w:hyperlink>
      <w:r w:rsidRPr="00500379" w:rsidR="00CD01AC">
        <w:rPr>
          <w:rFonts w:cstheme="minorHAnsi"/>
          <w:bCs/>
        </w:rPr>
        <w:t xml:space="preserve"> Clary, </w:t>
      </w:r>
      <w:hyperlink w:history="1" r:id="rId16">
        <w:r w:rsidRPr="00C363FE" w:rsidR="00CD01AC">
          <w:rPr>
            <w:rStyle w:val="Hyperlink"/>
            <w:rFonts w:cstheme="minorHAnsi"/>
            <w:bCs/>
            <w:color w:val="auto"/>
            <w:u w:val="none"/>
          </w:rPr>
          <w:t>LClary@mathematica-mpr.com</w:t>
        </w:r>
      </w:hyperlink>
      <w:r w:rsidRPr="00500379" w:rsidR="00CD01AC">
        <w:rPr>
          <w:rFonts w:cstheme="minorHAnsi"/>
          <w:bCs/>
        </w:rPr>
        <w:t xml:space="preserve"> </w:t>
      </w:r>
      <w:bookmarkStart w:name="_Hlk62224159" w:id="7"/>
      <w:r w:rsidRPr="00500379" w:rsidR="00CD01AC">
        <w:rPr>
          <w:rFonts w:cstheme="minorHAnsi"/>
          <w:bCs/>
        </w:rPr>
        <w:fldChar w:fldCharType="begin"/>
      </w:r>
      <w:r w:rsidRPr="00C363FE" w:rsidR="00CD01AC">
        <w:rPr>
          <w:rFonts w:cstheme="minorHAnsi"/>
          <w:bCs/>
        </w:rPr>
        <w:instrText xml:space="preserve"> HYPERLINK "mailto:" </w:instrText>
      </w:r>
      <w:r w:rsidRPr="00500379" w:rsidR="00CD01AC">
        <w:rPr>
          <w:rFonts w:cstheme="minorHAnsi"/>
          <w:bCs/>
        </w:rPr>
        <w:fldChar w:fldCharType="end"/>
      </w:r>
    </w:p>
    <w:bookmarkEnd w:id="6"/>
    <w:bookmarkEnd w:id="7"/>
    <w:p w:rsidRPr="00500379" w:rsidR="003E6E05" w:rsidP="00A42C71" w:rsidRDefault="003E6E05" w14:paraId="411A02B1" w14:textId="77777777">
      <w:pPr>
        <w:pStyle w:val="ListParagraph"/>
        <w:spacing w:after="0" w:line="240" w:lineRule="auto"/>
        <w:ind w:left="0"/>
        <w:rPr>
          <w:rFonts w:cstheme="minorHAnsi"/>
          <w:b/>
        </w:rPr>
      </w:pPr>
    </w:p>
    <w:p w:rsidRPr="001A59B6" w:rsidR="00A42C71" w:rsidP="00A42C71" w:rsidRDefault="00A42C71" w14:paraId="0D8125A9" w14:textId="77777777">
      <w:pPr>
        <w:pStyle w:val="ListParagraph"/>
        <w:spacing w:after="0" w:line="240" w:lineRule="auto"/>
        <w:ind w:left="0"/>
        <w:rPr>
          <w:rFonts w:cstheme="minorHAnsi"/>
          <w:b/>
        </w:rPr>
      </w:pPr>
    </w:p>
    <w:p w:rsidR="0039160D" w:rsidP="0039160D" w:rsidRDefault="0039160D" w14:paraId="79D9BF6F" w14:textId="77777777">
      <w:pPr>
        <w:spacing w:after="120" w:line="240" w:lineRule="auto"/>
        <w:rPr>
          <w:rFonts w:cstheme="minorHAnsi"/>
          <w:b/>
        </w:rPr>
      </w:pPr>
    </w:p>
    <w:p w:rsidRPr="0039160D" w:rsidR="00D8180F" w:rsidP="0039160D" w:rsidRDefault="00A42C71" w14:paraId="3FC08847" w14:textId="420CA319">
      <w:pPr>
        <w:spacing w:after="120" w:line="240" w:lineRule="auto"/>
        <w:rPr>
          <w:rFonts w:cstheme="minorHAnsi"/>
          <w:b/>
        </w:rPr>
      </w:pPr>
      <w:r w:rsidRPr="001A59B6">
        <w:rPr>
          <w:rFonts w:cstheme="minorHAnsi"/>
          <w:b/>
        </w:rPr>
        <w:t>Attachments</w:t>
      </w:r>
    </w:p>
    <w:p w:rsidR="00D8180F" w:rsidP="00D8180F" w:rsidRDefault="00D8180F" w14:paraId="43D81F1B" w14:textId="77777777">
      <w:pPr>
        <w:spacing w:after="0"/>
      </w:pPr>
      <w:r>
        <w:t>Instrument 1: SYSIL Youth Survey (Baseline and Follow-Ups 1-3)</w:t>
      </w:r>
    </w:p>
    <w:p w:rsidR="00D8180F" w:rsidP="00D8180F" w:rsidRDefault="00D8180F" w14:paraId="552E28A6" w14:textId="77777777">
      <w:pPr>
        <w:spacing w:after="0" w:line="240" w:lineRule="auto"/>
      </w:pPr>
      <w:r>
        <w:t xml:space="preserve">Instrument 2: Interview Guide </w:t>
      </w:r>
      <w:r>
        <w:tab/>
      </w:r>
    </w:p>
    <w:p w:rsidR="00D8180F" w:rsidP="00D8180F" w:rsidRDefault="00D8180F" w14:paraId="66DA39F9" w14:textId="77777777">
      <w:pPr>
        <w:spacing w:after="0" w:line="240" w:lineRule="auto"/>
      </w:pPr>
      <w:r>
        <w:tab/>
        <w:t xml:space="preserve">2a: Interview Guide (Treatment Sites) </w:t>
      </w:r>
    </w:p>
    <w:p w:rsidR="00D8180F" w:rsidP="00D8180F" w:rsidRDefault="00D8180F" w14:paraId="5CEF0535" w14:textId="77777777">
      <w:pPr>
        <w:spacing w:after="0" w:line="240" w:lineRule="auto"/>
      </w:pPr>
      <w:r>
        <w:tab/>
        <w:t>2b:</w:t>
      </w:r>
      <w:r w:rsidRPr="00624F49">
        <w:t xml:space="preserve"> </w:t>
      </w:r>
      <w:r>
        <w:t>Interview Guide (Comparison Sites)</w:t>
      </w:r>
    </w:p>
    <w:p w:rsidR="00D8180F" w:rsidP="00D8180F" w:rsidRDefault="00D8180F" w14:paraId="58A7B6D7" w14:textId="77777777">
      <w:pPr>
        <w:spacing w:after="0" w:line="240" w:lineRule="auto"/>
      </w:pPr>
      <w:r>
        <w:t>Instrument 3: Program Director Check-ins</w:t>
      </w:r>
      <w:r>
        <w:tab/>
      </w:r>
    </w:p>
    <w:p w:rsidR="00D8180F" w:rsidP="00D8180F" w:rsidRDefault="00D8180F" w14:paraId="351E4839" w14:textId="77777777">
      <w:pPr>
        <w:spacing w:after="0" w:line="240" w:lineRule="auto"/>
      </w:pPr>
      <w:r>
        <w:tab/>
        <w:t>3a: Program Director Check-ins (Treatment Sites)</w:t>
      </w:r>
    </w:p>
    <w:p w:rsidR="00D8180F" w:rsidP="00D8180F" w:rsidRDefault="00D8180F" w14:paraId="65C57EAF" w14:textId="77777777">
      <w:pPr>
        <w:spacing w:after="0" w:line="240" w:lineRule="auto"/>
      </w:pPr>
      <w:r>
        <w:tab/>
        <w:t>3b:</w:t>
      </w:r>
      <w:r w:rsidRPr="00624F49">
        <w:t xml:space="preserve"> </w:t>
      </w:r>
      <w:r>
        <w:t>Program Director Check-ins (Comparison Sites)</w:t>
      </w:r>
    </w:p>
    <w:p w:rsidR="00D8180F" w:rsidP="00D8180F" w:rsidRDefault="00D8180F" w14:paraId="6499E074" w14:textId="77777777">
      <w:pPr>
        <w:spacing w:after="0" w:line="240" w:lineRule="auto"/>
      </w:pPr>
      <w:r>
        <w:t xml:space="preserve">Instrument 4: Focus Group Guide </w:t>
      </w:r>
      <w:r>
        <w:tab/>
      </w:r>
    </w:p>
    <w:p w:rsidR="00D8180F" w:rsidP="00D8180F" w:rsidRDefault="00D8180F" w14:paraId="7E44BD05" w14:textId="77777777">
      <w:pPr>
        <w:spacing w:after="0" w:line="240" w:lineRule="auto"/>
      </w:pPr>
      <w:r>
        <w:tab/>
        <w:t xml:space="preserve">4a: Focus Group Guide (Treatment Youth) </w:t>
      </w:r>
    </w:p>
    <w:p w:rsidR="00D8180F" w:rsidP="00D8180F" w:rsidRDefault="00D8180F" w14:paraId="2E1464D3" w14:textId="77777777">
      <w:pPr>
        <w:spacing w:after="0" w:line="240" w:lineRule="auto"/>
      </w:pPr>
      <w:r>
        <w:tab/>
        <w:t>4b:</w:t>
      </w:r>
      <w:r w:rsidRPr="00624F49">
        <w:t xml:space="preserve"> </w:t>
      </w:r>
      <w:r>
        <w:t>Focus Group Guide (Comparison Youth)</w:t>
      </w:r>
    </w:p>
    <w:p w:rsidR="00310158" w:rsidP="00310158" w:rsidRDefault="00310158" w14:paraId="2F40613D" w14:textId="77777777">
      <w:pPr>
        <w:spacing w:after="0"/>
      </w:pPr>
      <w:r>
        <w:t>Appendix A: Consent and Assent Forms</w:t>
      </w:r>
    </w:p>
    <w:p w:rsidR="00310158" w:rsidP="00310158" w:rsidRDefault="00310158" w14:paraId="53DF29C4" w14:textId="77777777">
      <w:pPr>
        <w:spacing w:after="0"/>
      </w:pPr>
      <w:r>
        <w:t xml:space="preserve">Appendix B: List of Surveys Referenced </w:t>
      </w:r>
    </w:p>
    <w:p w:rsidR="00310158" w:rsidP="00310158" w:rsidRDefault="00310158" w14:paraId="33521E6B" w14:textId="31CF5572">
      <w:pPr>
        <w:spacing w:after="0"/>
      </w:pPr>
      <w:r>
        <w:t>Appendix C: Emails and Text for Outreach to Youth</w:t>
      </w:r>
    </w:p>
    <w:p w:rsidR="00F864BF" w:rsidP="00F864BF" w:rsidRDefault="00F864BF" w14:paraId="000F12E0" w14:textId="77777777">
      <w:pPr>
        <w:spacing w:after="0"/>
      </w:pPr>
      <w:r>
        <w:t>Appendix D: One-page Informational Documents for Implementation Study</w:t>
      </w:r>
    </w:p>
    <w:p w:rsidRPr="006B53F1" w:rsidR="00F864BF" w:rsidP="00310158" w:rsidRDefault="00F864BF" w14:paraId="7A0DD771" w14:textId="77777777">
      <w:pPr>
        <w:spacing w:after="0"/>
      </w:pPr>
    </w:p>
    <w:p w:rsidR="00123A7A" w:rsidRDefault="00123A7A" w14:paraId="289FCC34" w14:textId="77777777">
      <w:pPr>
        <w:rPr>
          <w:rFonts w:cstheme="minorHAnsi"/>
          <w:b/>
        </w:rPr>
      </w:pPr>
      <w:r>
        <w:rPr>
          <w:rFonts w:cstheme="minorHAnsi"/>
          <w:b/>
        </w:rPr>
        <w:br w:type="page"/>
      </w:r>
    </w:p>
    <w:p w:rsidR="00123A7A" w:rsidP="003E30F2" w:rsidRDefault="00123A7A" w14:paraId="11D7BCDB" w14:textId="77777777">
      <w:pPr>
        <w:spacing w:after="120" w:line="240" w:lineRule="auto"/>
        <w:rPr>
          <w:rFonts w:cstheme="minorHAnsi"/>
          <w:b/>
        </w:rPr>
      </w:pPr>
    </w:p>
    <w:p w:rsidRPr="003E30F2" w:rsidR="003E30F2" w:rsidP="00123A7A" w:rsidRDefault="003E30F2" w14:paraId="59BE0331" w14:textId="1569AB27">
      <w:pPr>
        <w:spacing w:after="120" w:line="240" w:lineRule="auto"/>
        <w:jc w:val="center"/>
        <w:rPr>
          <w:rFonts w:cstheme="minorHAnsi"/>
          <w:b/>
        </w:rPr>
      </w:pPr>
      <w:r w:rsidRPr="003E30F2">
        <w:rPr>
          <w:rFonts w:cstheme="minorHAnsi"/>
          <w:b/>
        </w:rPr>
        <w:t>References</w:t>
      </w:r>
    </w:p>
    <w:p w:rsidR="003E30F2" w:rsidP="00F35DAB" w:rsidRDefault="003E30F2" w14:paraId="28EBC27F" w14:textId="38EAE5D7">
      <w:pPr>
        <w:pStyle w:val="Reference"/>
      </w:pPr>
      <w:r w:rsidRPr="004A6CAE">
        <w:t xml:space="preserve">Bloom, H.S. “Accounting for No-Shows in Experimental Evaluation Designs.” </w:t>
      </w:r>
      <w:r w:rsidRPr="003E30F2">
        <w:t>Evaluation Review,</w:t>
      </w:r>
      <w:r w:rsidRPr="004A6CAE">
        <w:t xml:space="preserve"> vol. 8, no. 2, 1984, pp. 225–246.</w:t>
      </w:r>
    </w:p>
    <w:p w:rsidR="003E30F2" w:rsidP="00F35DAB" w:rsidRDefault="003E30F2" w14:paraId="77914FAF" w14:textId="5BE1C4EE">
      <w:pPr>
        <w:pStyle w:val="Reference"/>
      </w:pPr>
      <w:r w:rsidRPr="003A7575">
        <w:t>Deke, J., and M. Finucane. “Moving Beyond Statistical Significance: The BASIE (</w:t>
      </w:r>
      <w:proofErr w:type="spellStart"/>
      <w:r w:rsidRPr="003A7575">
        <w:t>BAyeSian</w:t>
      </w:r>
      <w:proofErr w:type="spellEnd"/>
      <w:r w:rsidRPr="003A7575">
        <w:t xml:space="preserve"> Interpretation of Estimates) Framework for Interpreting Findings from Impact Evaluations.” OPRE report 2019-35.</w:t>
      </w:r>
      <w:r w:rsidR="00154313">
        <w:t xml:space="preserve"> </w:t>
      </w:r>
      <w:r w:rsidRPr="003A7575">
        <w:t>Washington, DC: Office of Planning, Research, and Evaluation, Administration for Children and Families, U.S. Department of Health and Human Services, 2019.</w:t>
      </w:r>
    </w:p>
    <w:p w:rsidR="003E30F2" w:rsidP="00F35DAB" w:rsidRDefault="003E30F2" w14:paraId="260FB5F9" w14:textId="4ED51875">
      <w:pPr>
        <w:pStyle w:val="Reference"/>
        <w:spacing w:after="120"/>
      </w:pPr>
      <w:r w:rsidRPr="00912A50">
        <w:t>King</w:t>
      </w:r>
      <w:r>
        <w:t>,</w:t>
      </w:r>
      <w:r w:rsidRPr="00912A50">
        <w:t xml:space="preserve"> N. </w:t>
      </w:r>
      <w:r>
        <w:t>“</w:t>
      </w:r>
      <w:r w:rsidRPr="00912A50">
        <w:t>Doing Template Analysis.</w:t>
      </w:r>
      <w:r>
        <w:t>”</w:t>
      </w:r>
      <w:r w:rsidRPr="00912A50">
        <w:t xml:space="preserve"> In </w:t>
      </w:r>
      <w:r w:rsidRPr="003E30F2">
        <w:t>Qualitative Organizational Research: Core Methods and Current Challenges,</w:t>
      </w:r>
      <w:r w:rsidRPr="00912A50">
        <w:t xml:space="preserve"> </w:t>
      </w:r>
      <w:r>
        <w:t>edited by G.</w:t>
      </w:r>
      <w:r w:rsidRPr="00912A50">
        <w:t xml:space="preserve"> Symon</w:t>
      </w:r>
      <w:r>
        <w:t xml:space="preserve"> and C. </w:t>
      </w:r>
      <w:r w:rsidRPr="00912A50">
        <w:t>Cassell. London: Sage</w:t>
      </w:r>
      <w:r>
        <w:t>,</w:t>
      </w:r>
      <w:r w:rsidRPr="00912A50">
        <w:t xml:space="preserve"> 2012. </w:t>
      </w:r>
    </w:p>
    <w:p w:rsidR="00E4427B" w:rsidP="00E4427B" w:rsidRDefault="00E4427B" w14:paraId="16616309" w14:textId="68762D24">
      <w:pPr>
        <w:pStyle w:val="Reference"/>
        <w:spacing w:after="120"/>
      </w:pPr>
      <w:r w:rsidRPr="003C33B8">
        <w:t>Miles</w:t>
      </w:r>
      <w:r>
        <w:t>,</w:t>
      </w:r>
      <w:r w:rsidRPr="003C33B8">
        <w:t xml:space="preserve"> M</w:t>
      </w:r>
      <w:r>
        <w:t>.</w:t>
      </w:r>
      <w:r w:rsidRPr="003C33B8">
        <w:t>B</w:t>
      </w:r>
      <w:r>
        <w:t>.</w:t>
      </w:r>
      <w:r w:rsidRPr="003C33B8">
        <w:t xml:space="preserve">, </w:t>
      </w:r>
      <w:r>
        <w:t xml:space="preserve">and A.M. </w:t>
      </w:r>
      <w:r w:rsidRPr="003C33B8">
        <w:t xml:space="preserve">Huberman. </w:t>
      </w:r>
      <w:r>
        <w:t>“</w:t>
      </w:r>
      <w:r w:rsidRPr="003C33B8">
        <w:t>Qualitative Data Analysis: An Expanded</w:t>
      </w:r>
      <w:r>
        <w:t xml:space="preserve"> </w:t>
      </w:r>
      <w:r w:rsidRPr="003C33B8">
        <w:t>Sourcebook</w:t>
      </w:r>
      <w:r>
        <w:t>,”</w:t>
      </w:r>
      <w:r w:rsidRPr="003C33B8">
        <w:t xml:space="preserve"> 2nd ed. Thousand Oaks</w:t>
      </w:r>
      <w:r>
        <w:t>, CA</w:t>
      </w:r>
      <w:r w:rsidRPr="003C33B8">
        <w:t>: Sage Publications</w:t>
      </w:r>
      <w:r>
        <w:t>,</w:t>
      </w:r>
      <w:r w:rsidRPr="003C33B8">
        <w:t xml:space="preserve"> 1994.</w:t>
      </w:r>
    </w:p>
    <w:p w:rsidRPr="00F90600" w:rsidR="00285774" w:rsidP="00285774" w:rsidRDefault="00285774" w14:paraId="4CAAF69C" w14:textId="77777777">
      <w:pPr>
        <w:pStyle w:val="Reference"/>
      </w:pPr>
      <w:r w:rsidRPr="00470815">
        <w:t xml:space="preserve">Morton, M.H., S. </w:t>
      </w:r>
      <w:proofErr w:type="spellStart"/>
      <w:r w:rsidRPr="00470815">
        <w:t>Kugley</w:t>
      </w:r>
      <w:proofErr w:type="spellEnd"/>
      <w:r w:rsidRPr="00470815">
        <w:t>, R. Epstein, and A. Farrell. “Interventions for Youth Homelessness: A Systematic Review of Effectiveness Studies.” Children and Youth Services Review, vol. 116, September 2020, p.105096.</w:t>
      </w:r>
    </w:p>
    <w:p w:rsidR="00285774" w:rsidP="00285774" w:rsidRDefault="00285774" w14:paraId="55C3A074" w14:textId="15828DA8">
      <w:pPr>
        <w:pStyle w:val="Reference"/>
      </w:pPr>
      <w:r w:rsidRPr="004A6CAE">
        <w:t xml:space="preserve">Powers, L.E., S. </w:t>
      </w:r>
      <w:proofErr w:type="spellStart"/>
      <w:r w:rsidRPr="004A6CAE">
        <w:t>Geenen</w:t>
      </w:r>
      <w:proofErr w:type="spellEnd"/>
      <w:r w:rsidRPr="004A6CAE">
        <w:t xml:space="preserve">, J. Powers, S. </w:t>
      </w:r>
      <w:proofErr w:type="spellStart"/>
      <w:r w:rsidRPr="004A6CAE">
        <w:t>Pommier</w:t>
      </w:r>
      <w:proofErr w:type="spellEnd"/>
      <w:r w:rsidRPr="004A6CAE">
        <w:t xml:space="preserve">-Satya, A. Turner, L.D. Dalton, D. </w:t>
      </w:r>
      <w:proofErr w:type="spellStart"/>
      <w:r w:rsidRPr="004A6CAE">
        <w:t>Drummon</w:t>
      </w:r>
      <w:proofErr w:type="spellEnd"/>
      <w:r w:rsidRPr="004A6CAE">
        <w:t>, and P. Swank. “My Life: Effects of a Longitudinal, Randomized Study of Self-Determination Enhancement on the Transition Outcomes of Youth in Foster Care and Special Education.” </w:t>
      </w:r>
      <w:r w:rsidRPr="00470815">
        <w:t>Children and Youth Services Review, </w:t>
      </w:r>
      <w:r w:rsidRPr="004A6CAE">
        <w:t>vol. 34, no. 11, 2012, pp. 2179–2187.</w:t>
      </w:r>
    </w:p>
    <w:p w:rsidRPr="004A6CAE" w:rsidR="006821E2" w:rsidP="006821E2" w:rsidRDefault="006821E2" w14:paraId="1279C259" w14:textId="77777777">
      <w:pPr>
        <w:pStyle w:val="Reference"/>
      </w:pPr>
      <w:proofErr w:type="spellStart"/>
      <w:r w:rsidRPr="00A12B09">
        <w:t>Skemer</w:t>
      </w:r>
      <w:proofErr w:type="spellEnd"/>
      <w:r w:rsidRPr="00A12B09">
        <w:t xml:space="preserve">, M., </w:t>
      </w:r>
      <w:r>
        <w:t>and</w:t>
      </w:r>
      <w:r w:rsidRPr="00A12B09">
        <w:t xml:space="preserve"> </w:t>
      </w:r>
      <w:r>
        <w:t>E.J. Valentine</w:t>
      </w:r>
      <w:r w:rsidRPr="00A12B09">
        <w:t xml:space="preserve">. </w:t>
      </w:r>
      <w:r>
        <w:t>“</w:t>
      </w:r>
      <w:r w:rsidRPr="00A12B09">
        <w:t xml:space="preserve">Striving for </w:t>
      </w:r>
      <w:r>
        <w:t>I</w:t>
      </w:r>
      <w:r w:rsidRPr="00A12B09">
        <w:t>ndependence: Two-</w:t>
      </w:r>
      <w:r>
        <w:t>Y</w:t>
      </w:r>
      <w:r w:rsidRPr="00A12B09">
        <w:t xml:space="preserve">ear </w:t>
      </w:r>
      <w:r>
        <w:t>I</w:t>
      </w:r>
      <w:r w:rsidRPr="00A12B09">
        <w:t xml:space="preserve">mpact </w:t>
      </w:r>
      <w:r>
        <w:t>F</w:t>
      </w:r>
      <w:r w:rsidRPr="00A12B09">
        <w:t xml:space="preserve">indings from the </w:t>
      </w:r>
      <w:r>
        <w:t>Y</w:t>
      </w:r>
      <w:r w:rsidRPr="00A12B09">
        <w:t xml:space="preserve">outh </w:t>
      </w:r>
      <w:r>
        <w:t>V</w:t>
      </w:r>
      <w:r w:rsidRPr="00A12B09">
        <w:t xml:space="preserve">illages </w:t>
      </w:r>
      <w:r>
        <w:t>T</w:t>
      </w:r>
      <w:r w:rsidRPr="00A12B09">
        <w:t xml:space="preserve">ransitional </w:t>
      </w:r>
      <w:r>
        <w:t>L</w:t>
      </w:r>
      <w:r w:rsidRPr="00A12B09">
        <w:t xml:space="preserve">iving </w:t>
      </w:r>
      <w:r>
        <w:t>E</w:t>
      </w:r>
      <w:r w:rsidRPr="00A12B09">
        <w:t>valuation. New York: MDRC</w:t>
      </w:r>
      <w:r>
        <w:t>, 2016</w:t>
      </w:r>
      <w:r w:rsidRPr="00A12B09">
        <w:t>.</w:t>
      </w:r>
    </w:p>
    <w:p w:rsidRPr="004A6CAE" w:rsidR="00285774" w:rsidP="00285774" w:rsidRDefault="009809A2" w14:paraId="2FD9B3C3" w14:textId="0F5E3CC6">
      <w:pPr>
        <w:pStyle w:val="Reference"/>
      </w:pPr>
      <w:proofErr w:type="spellStart"/>
      <w:r w:rsidRPr="00470815">
        <w:t>Theodos</w:t>
      </w:r>
      <w:proofErr w:type="spellEnd"/>
      <w:r w:rsidRPr="00470815">
        <w:t xml:space="preserve">, B., M.R. </w:t>
      </w:r>
      <w:proofErr w:type="spellStart"/>
      <w:r w:rsidRPr="00470815">
        <w:t>Pergamit</w:t>
      </w:r>
      <w:proofErr w:type="spellEnd"/>
      <w:r w:rsidRPr="00470815">
        <w:t xml:space="preserve">, A. </w:t>
      </w:r>
      <w:proofErr w:type="spellStart"/>
      <w:r w:rsidRPr="00470815">
        <w:t>Derian</w:t>
      </w:r>
      <w:proofErr w:type="spellEnd"/>
      <w:r w:rsidRPr="00470815">
        <w:t xml:space="preserve">, S. Edelstein, and A. </w:t>
      </w:r>
      <w:proofErr w:type="spellStart"/>
      <w:r w:rsidRPr="00470815">
        <w:t>Stolte</w:t>
      </w:r>
      <w:proofErr w:type="spellEnd"/>
      <w:r w:rsidRPr="00470815">
        <w:t xml:space="preserve">. 2016. “Solutions for Youth: An Evaluation of the Latin American Youth Center’s Promotor Pathway Program.” Washington, DC: Urban </w:t>
      </w:r>
      <w:proofErr w:type="spellStart"/>
      <w:r w:rsidRPr="00470815">
        <w:t>Institute.</w:t>
      </w:r>
      <w:r w:rsidRPr="004A6CAE" w:rsidR="00285774">
        <w:t>U.S</w:t>
      </w:r>
      <w:proofErr w:type="spellEnd"/>
      <w:r w:rsidRPr="004A6CAE" w:rsidR="00285774">
        <w:t>. Department of Health and Human Services, Administration for Children and Families</w:t>
      </w:r>
      <w:r w:rsidR="00285774">
        <w:t xml:space="preserve"> (HHS/ACF)</w:t>
      </w:r>
      <w:r w:rsidRPr="004A6CAE" w:rsidR="00285774">
        <w:t xml:space="preserve">. </w:t>
      </w:r>
      <w:r w:rsidR="00285774">
        <w:t>“</w:t>
      </w:r>
      <w:r w:rsidRPr="004A6CAE" w:rsidR="00285774">
        <w:t>Evaluation of the Life Skills Training Program: Los Angeles County.</w:t>
      </w:r>
      <w:r w:rsidR="00285774">
        <w:t>”</w:t>
      </w:r>
      <w:r w:rsidRPr="004A6CAE" w:rsidR="00285774">
        <w:t xml:space="preserve"> Washington, DC: </w:t>
      </w:r>
      <w:r w:rsidR="00285774">
        <w:t>HHS/ACF</w:t>
      </w:r>
      <w:r w:rsidRPr="004A6CAE" w:rsidR="00285774">
        <w:t>, 2008.</w:t>
      </w:r>
    </w:p>
    <w:p w:rsidRPr="00DD6BCA" w:rsidR="00285774" w:rsidP="00285774" w:rsidRDefault="00285774" w14:paraId="5FBE5D61" w14:textId="77777777">
      <w:pPr>
        <w:pStyle w:val="Reference"/>
      </w:pPr>
      <w:r w:rsidRPr="00470815">
        <w:t xml:space="preserve">Valentine, E.J., M. </w:t>
      </w:r>
      <w:proofErr w:type="spellStart"/>
      <w:r w:rsidRPr="00470815">
        <w:t>Skemer</w:t>
      </w:r>
      <w:proofErr w:type="spellEnd"/>
      <w:r w:rsidRPr="00470815">
        <w:t>, and M. Courtney “Becoming Adults: One-Year Impact Findings from the Youth Villages Transitional Living Evaluation.” New York: MDRC, 2015.</w:t>
      </w:r>
    </w:p>
    <w:p w:rsidR="00E4427B" w:rsidP="00F35DAB" w:rsidRDefault="00E4427B" w14:paraId="6018116D" w14:textId="77777777">
      <w:pPr>
        <w:pStyle w:val="Reference"/>
        <w:spacing w:after="120"/>
      </w:pPr>
    </w:p>
    <w:p w:rsidRPr="003E30F2" w:rsidR="00154313" w:rsidP="003E30F2" w:rsidRDefault="00154313" w14:paraId="79352700" w14:textId="77777777">
      <w:pPr>
        <w:spacing w:after="0"/>
      </w:pPr>
    </w:p>
    <w:p w:rsidRPr="006B53F1" w:rsidR="004A14B1" w:rsidP="003E30F2" w:rsidRDefault="004A14B1" w14:paraId="627C215B" w14:textId="77777777">
      <w:pPr>
        <w:spacing w:after="0"/>
      </w:pPr>
    </w:p>
    <w:sectPr w:rsidRPr="006B53F1" w:rsidR="004A14B1" w:rsidSect="00C91C71">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E8200" w14:textId="77777777" w:rsidR="00A11F24" w:rsidRDefault="00A11F24" w:rsidP="0004063C">
      <w:pPr>
        <w:spacing w:after="0" w:line="240" w:lineRule="auto"/>
      </w:pPr>
      <w:r>
        <w:separator/>
      </w:r>
    </w:p>
  </w:endnote>
  <w:endnote w:type="continuationSeparator" w:id="0">
    <w:p w14:paraId="60D19FF7" w14:textId="77777777" w:rsidR="00A11F24" w:rsidRDefault="00A11F24"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03A5A331" w14:textId="4A048A73" w:rsidR="00E13D76" w:rsidRDefault="00E13D76">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04723F22" w14:textId="77777777" w:rsidR="00E13D76" w:rsidRDefault="00E13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E9E43" w14:textId="77777777" w:rsidR="00A11F24" w:rsidRDefault="00A11F24" w:rsidP="0004063C">
      <w:pPr>
        <w:spacing w:after="0" w:line="240" w:lineRule="auto"/>
      </w:pPr>
      <w:r>
        <w:separator/>
      </w:r>
    </w:p>
  </w:footnote>
  <w:footnote w:type="continuationSeparator" w:id="0">
    <w:p w14:paraId="3562D8C1" w14:textId="77777777" w:rsidR="00A11F24" w:rsidRDefault="00A11F24" w:rsidP="0004063C">
      <w:pPr>
        <w:spacing w:after="0" w:line="240" w:lineRule="auto"/>
      </w:pPr>
      <w:r>
        <w:continuationSeparator/>
      </w:r>
    </w:p>
  </w:footnote>
  <w:footnote w:id="1">
    <w:p w14:paraId="2D9341BC" w14:textId="3A6FFAC8" w:rsidR="00E612DF" w:rsidRDefault="00E612DF">
      <w:pPr>
        <w:pStyle w:val="FootnoteText"/>
      </w:pPr>
      <w:r>
        <w:rPr>
          <w:rStyle w:val="FootnoteReference"/>
        </w:rPr>
        <w:footnoteRef/>
      </w:r>
      <w:r>
        <w:t xml:space="preserve"> A “site” is a service unit that may include one or more counties. </w:t>
      </w:r>
      <w:r w:rsidR="00343611">
        <w:t>The 37 counties form 16 sites (10 intervention and 6 comparison) due to coordination of services across small adjacent counties.</w:t>
      </w:r>
    </w:p>
  </w:footnote>
  <w:footnote w:id="2">
    <w:p w14:paraId="39BE2F15" w14:textId="7C78E8EB" w:rsidR="00E13D76" w:rsidRPr="00977AE5" w:rsidRDefault="00E13D76" w:rsidP="006C05A4">
      <w:pPr>
        <w:pStyle w:val="FootnoteText"/>
        <w:rPr>
          <w:sz w:val="16"/>
          <w:szCs w:val="16"/>
        </w:rPr>
      </w:pPr>
      <w:r w:rsidRPr="00977AE5">
        <w:rPr>
          <w:rStyle w:val="FootnoteReference"/>
          <w:sz w:val="16"/>
          <w:szCs w:val="16"/>
        </w:rPr>
        <w:footnoteRef/>
      </w:r>
      <w:r w:rsidRPr="00977AE5">
        <w:rPr>
          <w:sz w:val="16"/>
          <w:szCs w:val="16"/>
        </w:rPr>
        <w:t xml:space="preserve"> </w:t>
      </w:r>
      <w:r w:rsidRPr="00977AE5">
        <w:rPr>
          <w:rFonts w:eastAsia="Calibri" w:cstheme="minorHAnsi"/>
          <w:sz w:val="16"/>
          <w:szCs w:val="16"/>
        </w:rPr>
        <w:t xml:space="preserve">The youth eligibility will </w:t>
      </w:r>
      <w:proofErr w:type="gramStart"/>
      <w:r w:rsidRPr="00977AE5">
        <w:rPr>
          <w:rFonts w:eastAsia="Calibri" w:cstheme="minorHAnsi"/>
          <w:sz w:val="16"/>
          <w:szCs w:val="16"/>
        </w:rPr>
        <w:t>be identified</w:t>
      </w:r>
      <w:proofErr w:type="gramEnd"/>
      <w:r w:rsidRPr="00977AE5">
        <w:rPr>
          <w:rFonts w:eastAsia="Calibri" w:cstheme="minorHAnsi"/>
          <w:sz w:val="16"/>
          <w:szCs w:val="16"/>
        </w:rPr>
        <w:t xml:space="preserve"> through the Pathways Screening Assessment, which will identify risk factors for homelessness and determine eligibility among youth ages 14</w:t>
      </w:r>
      <w:r w:rsidRPr="00977AE5">
        <w:rPr>
          <w:rFonts w:cstheme="minorHAnsi"/>
          <w:sz w:val="16"/>
          <w:szCs w:val="16"/>
        </w:rPr>
        <w:t xml:space="preserve"> to </w:t>
      </w:r>
      <w:r w:rsidRPr="00977AE5">
        <w:rPr>
          <w:rFonts w:eastAsia="Calibri" w:cstheme="minorHAnsi"/>
          <w:sz w:val="16"/>
          <w:szCs w:val="16"/>
        </w:rPr>
        <w:t xml:space="preserve">20 who are currently in foster care. This assessment </w:t>
      </w:r>
      <w:proofErr w:type="gramStart"/>
      <w:r w:rsidRPr="00977AE5">
        <w:rPr>
          <w:rFonts w:eastAsia="Calibri" w:cstheme="minorHAnsi"/>
          <w:sz w:val="16"/>
          <w:szCs w:val="16"/>
        </w:rPr>
        <w:t>is administered</w:t>
      </w:r>
      <w:proofErr w:type="gramEnd"/>
      <w:r w:rsidRPr="00977AE5">
        <w:rPr>
          <w:rFonts w:eastAsia="Calibri" w:cstheme="minorHAnsi"/>
          <w:sz w:val="16"/>
          <w:szCs w:val="16"/>
        </w:rPr>
        <w:t xml:space="preserve"> to youth by their case managers and is part of the regular service enrollment procedures; it is not part of the SYSIL study. </w:t>
      </w:r>
      <w:r w:rsidRPr="00977AE5">
        <w:rPr>
          <w:rFonts w:cstheme="minorHAnsi"/>
          <w:sz w:val="16"/>
          <w:szCs w:val="16"/>
        </w:rPr>
        <w:t>For the purposes of the SYSIL study</w:t>
      </w:r>
      <w:r w:rsidRPr="00977AE5">
        <w:rPr>
          <w:sz w:val="16"/>
          <w:szCs w:val="16"/>
        </w:rPr>
        <w:t xml:space="preserve"> </w:t>
      </w:r>
      <w:r w:rsidRPr="00977AE5">
        <w:rPr>
          <w:rFonts w:cstheme="minorHAnsi"/>
          <w:sz w:val="16"/>
          <w:szCs w:val="16"/>
        </w:rPr>
        <w:t>we will use the established Pathways eligibility screening process</w:t>
      </w:r>
      <w:r w:rsidRPr="00977AE5" w:rsidDel="00984F7D">
        <w:rPr>
          <w:rFonts w:cstheme="minorHAnsi"/>
          <w:sz w:val="16"/>
          <w:szCs w:val="16"/>
        </w:rPr>
        <w:t xml:space="preserve"> </w:t>
      </w:r>
      <w:r w:rsidRPr="00977AE5">
        <w:rPr>
          <w:rFonts w:cstheme="minorHAnsi"/>
          <w:sz w:val="16"/>
          <w:szCs w:val="16"/>
        </w:rPr>
        <w:t xml:space="preserve">to identify potential sample members in both the treatment and comparison </w:t>
      </w:r>
      <w:r w:rsidR="00E612DF">
        <w:rPr>
          <w:rFonts w:cstheme="minorHAnsi"/>
          <w:sz w:val="16"/>
          <w:szCs w:val="16"/>
        </w:rPr>
        <w:t>sites</w:t>
      </w:r>
      <w:r w:rsidRPr="00977AE5">
        <w:rPr>
          <w:rFonts w:cstheme="minorHAnsi"/>
          <w:sz w:val="16"/>
          <w:szCs w:val="16"/>
        </w:rPr>
        <w:t>.</w:t>
      </w:r>
    </w:p>
  </w:footnote>
  <w:footnote w:id="3">
    <w:p w14:paraId="4502F8A1" w14:textId="3A269ACD" w:rsidR="00E13D76" w:rsidRPr="00977AE5" w:rsidRDefault="00E13D76" w:rsidP="004244DD">
      <w:pPr>
        <w:pStyle w:val="FootnoteText"/>
        <w:rPr>
          <w:sz w:val="16"/>
          <w:szCs w:val="16"/>
        </w:rPr>
      </w:pPr>
      <w:r w:rsidRPr="00977AE5">
        <w:rPr>
          <w:rStyle w:val="FootnoteReference"/>
          <w:sz w:val="16"/>
          <w:szCs w:val="16"/>
        </w:rPr>
        <w:footnoteRef/>
      </w:r>
      <w:r w:rsidRPr="00977AE5">
        <w:rPr>
          <w:sz w:val="16"/>
          <w:szCs w:val="16"/>
        </w:rPr>
        <w:t xml:space="preserve"> The screening assessment is not specific to the SYSIL study and </w:t>
      </w:r>
      <w:proofErr w:type="gramStart"/>
      <w:r w:rsidRPr="00977AE5">
        <w:rPr>
          <w:sz w:val="16"/>
          <w:szCs w:val="16"/>
        </w:rPr>
        <w:t>is not included</w:t>
      </w:r>
      <w:proofErr w:type="gramEnd"/>
      <w:r w:rsidRPr="00977AE5">
        <w:rPr>
          <w:sz w:val="16"/>
          <w:szCs w:val="16"/>
        </w:rPr>
        <w:t xml:space="preserve"> as part of this Information Collection Request. Chafee workers in treatment and comparison </w:t>
      </w:r>
      <w:r w:rsidR="00E612DF">
        <w:rPr>
          <w:sz w:val="16"/>
          <w:szCs w:val="16"/>
        </w:rPr>
        <w:t>sites</w:t>
      </w:r>
      <w:r w:rsidR="00E612DF" w:rsidRPr="00977AE5">
        <w:rPr>
          <w:sz w:val="16"/>
          <w:szCs w:val="16"/>
        </w:rPr>
        <w:t xml:space="preserve"> </w:t>
      </w:r>
      <w:r w:rsidRPr="00977AE5">
        <w:rPr>
          <w:sz w:val="16"/>
          <w:szCs w:val="16"/>
        </w:rPr>
        <w:t>administer the same screening assessment with all potentially eligible youth.  This consistency in approach and instrumentation will help minimize the threat of differential screening results across conditions.</w:t>
      </w:r>
    </w:p>
  </w:footnote>
  <w:footnote w:id="4">
    <w:p w14:paraId="7FC93C9E" w14:textId="42BE7C40" w:rsidR="00E13D76" w:rsidRPr="000F5149" w:rsidRDefault="00E13D76" w:rsidP="002D4FD2">
      <w:pPr>
        <w:pStyle w:val="FootnoteText"/>
        <w:rPr>
          <w:sz w:val="16"/>
          <w:szCs w:val="16"/>
        </w:rPr>
      </w:pPr>
      <w:r>
        <w:rPr>
          <w:rStyle w:val="FootnoteReference"/>
        </w:rPr>
        <w:footnoteRef/>
      </w:r>
      <w:r>
        <w:t xml:space="preserve"> </w:t>
      </w:r>
      <w:r w:rsidRPr="00427FCF">
        <w:rPr>
          <w:sz w:val="16"/>
          <w:szCs w:val="16"/>
        </w:rPr>
        <w:t xml:space="preserve">We use the term </w:t>
      </w:r>
      <w:r>
        <w:rPr>
          <w:sz w:val="16"/>
          <w:szCs w:val="16"/>
        </w:rPr>
        <w:t>“</w:t>
      </w:r>
      <w:r w:rsidRPr="00427FCF">
        <w:rPr>
          <w:sz w:val="16"/>
          <w:szCs w:val="16"/>
        </w:rPr>
        <w:t>Chafee worker</w:t>
      </w:r>
      <w:r>
        <w:rPr>
          <w:sz w:val="16"/>
          <w:szCs w:val="16"/>
        </w:rPr>
        <w:t>”</w:t>
      </w:r>
      <w:r w:rsidRPr="00427FCF">
        <w:rPr>
          <w:sz w:val="16"/>
          <w:szCs w:val="16"/>
        </w:rPr>
        <w:t xml:space="preserve"> throughout </w:t>
      </w:r>
      <w:r>
        <w:rPr>
          <w:sz w:val="16"/>
          <w:szCs w:val="16"/>
        </w:rPr>
        <w:t xml:space="preserve">in reference to </w:t>
      </w:r>
      <w:r w:rsidRPr="000F5149">
        <w:rPr>
          <w:sz w:val="16"/>
          <w:szCs w:val="16"/>
        </w:rPr>
        <w:t xml:space="preserve">the </w:t>
      </w:r>
      <w:r w:rsidRPr="000F5149">
        <w:rPr>
          <w:rFonts w:eastAsia="Calibri" w:cstheme="minorHAnsi"/>
          <w:sz w:val="16"/>
          <w:szCs w:val="16"/>
        </w:rPr>
        <w:t>Chafee Foster Care Independent Living program workers</w:t>
      </w:r>
      <w:r>
        <w:rPr>
          <w:rFonts w:eastAsia="Calibri" w:cstheme="minorHAnsi"/>
          <w:sz w:val="16"/>
          <w:szCs w:val="16"/>
        </w:rPr>
        <w:t xml:space="preserve">. These are </w:t>
      </w:r>
      <w:r w:rsidRPr="000F5149">
        <w:rPr>
          <w:rFonts w:eastAsia="Calibri" w:cstheme="minorHAnsi"/>
          <w:sz w:val="16"/>
          <w:szCs w:val="16"/>
        </w:rPr>
        <w:t>state employees who assist youth and young adults in emancipating from the foster care system</w:t>
      </w:r>
      <w:r>
        <w:rPr>
          <w:rFonts w:eastAsia="Calibri" w:cstheme="minorHAnsi"/>
          <w:sz w:val="16"/>
          <w:szCs w:val="16"/>
        </w:rPr>
        <w:t xml:space="preserve">. Chafee workers in the treatment </w:t>
      </w:r>
      <w:r w:rsidR="00E612DF">
        <w:rPr>
          <w:rFonts w:eastAsia="Calibri" w:cstheme="minorHAnsi"/>
          <w:sz w:val="16"/>
          <w:szCs w:val="16"/>
        </w:rPr>
        <w:t xml:space="preserve">sites </w:t>
      </w:r>
      <w:r>
        <w:rPr>
          <w:rFonts w:eastAsia="Calibri" w:cstheme="minorHAnsi"/>
          <w:sz w:val="16"/>
          <w:szCs w:val="16"/>
        </w:rPr>
        <w:t xml:space="preserve">will </w:t>
      </w:r>
      <w:proofErr w:type="gramStart"/>
      <w:r>
        <w:rPr>
          <w:rFonts w:eastAsia="Calibri" w:cstheme="minorHAnsi"/>
          <w:sz w:val="16"/>
          <w:szCs w:val="16"/>
        </w:rPr>
        <w:t>be trained</w:t>
      </w:r>
      <w:proofErr w:type="gramEnd"/>
      <w:r>
        <w:rPr>
          <w:rFonts w:eastAsia="Calibri" w:cstheme="minorHAnsi"/>
          <w:sz w:val="16"/>
          <w:szCs w:val="16"/>
        </w:rPr>
        <w:t xml:space="preserve"> </w:t>
      </w:r>
      <w:r w:rsidRPr="000F5149">
        <w:rPr>
          <w:rFonts w:eastAsia="Calibri" w:cstheme="minorHAnsi"/>
          <w:sz w:val="16"/>
          <w:szCs w:val="16"/>
        </w:rPr>
        <w:t>to be Pathways Navigators</w:t>
      </w:r>
      <w:r>
        <w:rPr>
          <w:rFonts w:eastAsia="Calibri" w:cstheme="minorHAnsi"/>
          <w:sz w:val="16"/>
          <w:szCs w:val="16"/>
        </w:rPr>
        <w:t>,</w:t>
      </w:r>
      <w:r w:rsidRPr="000F5149">
        <w:rPr>
          <w:rFonts w:eastAsia="Calibri" w:cstheme="minorHAnsi"/>
          <w:sz w:val="16"/>
          <w:szCs w:val="16"/>
        </w:rPr>
        <w:t xml:space="preserve"> who will use coach-like strategies to engage with youth and young adults. </w:t>
      </w:r>
      <w:r>
        <w:rPr>
          <w:rFonts w:eastAsia="Calibri" w:cstheme="minorHAnsi"/>
          <w:sz w:val="16"/>
          <w:szCs w:val="16"/>
        </w:rPr>
        <w:t xml:space="preserve">Chafee workers in the comparison </w:t>
      </w:r>
      <w:r w:rsidR="00E612DF">
        <w:rPr>
          <w:rFonts w:eastAsia="Calibri" w:cstheme="minorHAnsi"/>
          <w:sz w:val="16"/>
          <w:szCs w:val="16"/>
        </w:rPr>
        <w:t xml:space="preserve">sites </w:t>
      </w:r>
      <w:r>
        <w:rPr>
          <w:rFonts w:eastAsia="Calibri" w:cstheme="minorHAnsi"/>
          <w:sz w:val="16"/>
          <w:szCs w:val="16"/>
        </w:rPr>
        <w:t xml:space="preserve">will </w:t>
      </w:r>
      <w:r w:rsidRPr="00B763B3">
        <w:rPr>
          <w:rFonts w:eastAsia="Calibri" w:cstheme="minorHAnsi"/>
          <w:sz w:val="16"/>
          <w:szCs w:val="16"/>
        </w:rPr>
        <w:t>not</w:t>
      </w:r>
      <w:r w:rsidRPr="000F5149">
        <w:rPr>
          <w:rFonts w:eastAsia="Calibri" w:cstheme="minorHAnsi"/>
          <w:sz w:val="16"/>
          <w:szCs w:val="16"/>
        </w:rPr>
        <w:t xml:space="preserve"> </w:t>
      </w:r>
      <w:proofErr w:type="gramStart"/>
      <w:r>
        <w:rPr>
          <w:rFonts w:eastAsia="Calibri" w:cstheme="minorHAnsi"/>
          <w:sz w:val="16"/>
          <w:szCs w:val="16"/>
        </w:rPr>
        <w:t>be trained</w:t>
      </w:r>
      <w:proofErr w:type="gramEnd"/>
      <w:r>
        <w:rPr>
          <w:rFonts w:eastAsia="Calibri" w:cstheme="minorHAnsi"/>
          <w:sz w:val="16"/>
          <w:szCs w:val="16"/>
        </w:rPr>
        <w:t xml:space="preserve"> as</w:t>
      </w:r>
      <w:r w:rsidRPr="000F5149">
        <w:rPr>
          <w:rFonts w:eastAsia="Calibri" w:cstheme="minorHAnsi"/>
          <w:sz w:val="16"/>
          <w:szCs w:val="16"/>
        </w:rPr>
        <w:t xml:space="preserve"> Pathways Navigators during the impact study; in those </w:t>
      </w:r>
      <w:r w:rsidR="00E612DF">
        <w:rPr>
          <w:rFonts w:eastAsia="Calibri" w:cstheme="minorHAnsi"/>
          <w:sz w:val="16"/>
          <w:szCs w:val="16"/>
        </w:rPr>
        <w:t>sites</w:t>
      </w:r>
      <w:r w:rsidRPr="000F5149">
        <w:rPr>
          <w:rFonts w:eastAsia="Calibri" w:cstheme="minorHAnsi"/>
          <w:sz w:val="16"/>
          <w:szCs w:val="16"/>
        </w:rPr>
        <w:t>, youth and young adults will receive business-as-usual services.</w:t>
      </w:r>
      <w:r>
        <w:rPr>
          <w:rFonts w:eastAsia="Calibri" w:cstheme="minorHAnsi"/>
          <w:sz w:val="16"/>
          <w:szCs w:val="16"/>
        </w:rPr>
        <w:t xml:space="preserve"> </w:t>
      </w:r>
    </w:p>
  </w:footnote>
  <w:footnote w:id="5">
    <w:p w14:paraId="7DD6F19D" w14:textId="039878FA" w:rsidR="00E13D76" w:rsidRPr="00977AE5" w:rsidRDefault="00E13D76" w:rsidP="00F95629">
      <w:pPr>
        <w:pStyle w:val="FootnoteText"/>
        <w:rPr>
          <w:sz w:val="16"/>
          <w:szCs w:val="16"/>
        </w:rPr>
      </w:pPr>
      <w:r w:rsidRPr="00977AE5">
        <w:rPr>
          <w:rStyle w:val="Superscript"/>
          <w:sz w:val="16"/>
          <w:szCs w:val="16"/>
        </w:rPr>
        <w:footnoteRef/>
      </w:r>
      <w:r w:rsidRPr="00977AE5">
        <w:rPr>
          <w:rStyle w:val="Superscript"/>
          <w:sz w:val="16"/>
          <w:szCs w:val="16"/>
        </w:rPr>
        <w:t xml:space="preserve"> </w:t>
      </w:r>
      <w:r w:rsidRPr="00977AE5">
        <w:rPr>
          <w:sz w:val="16"/>
          <w:szCs w:val="16"/>
        </w:rPr>
        <w:t xml:space="preserve">For the purposes of this design, we assume that the child welfare agency will provide consent for youth younger than age of 18 whose parent or guardian consent cannot </w:t>
      </w:r>
      <w:proofErr w:type="gramStart"/>
      <w:r w:rsidRPr="00977AE5">
        <w:rPr>
          <w:sz w:val="16"/>
          <w:szCs w:val="16"/>
        </w:rPr>
        <w:t>be obtained</w:t>
      </w:r>
      <w:proofErr w:type="gramEnd"/>
      <w:r w:rsidRPr="00977AE5">
        <w:rPr>
          <w:sz w:val="16"/>
          <w:szCs w:val="16"/>
        </w:rPr>
        <w:t>. We will first contact parents or guardians to obtain consent for youth younger than age 18.  We will work with the child welfare agency to obtain consent where we cannot reach parents or guardians to consent youth younger than age 18.</w:t>
      </w:r>
    </w:p>
  </w:footnote>
  <w:footnote w:id="6">
    <w:p w14:paraId="3F1D3B5E" w14:textId="77777777" w:rsidR="00E13D76" w:rsidRPr="00977AE5" w:rsidRDefault="00E13D76" w:rsidP="00186E1D">
      <w:pPr>
        <w:pStyle w:val="FootnoteText"/>
        <w:rPr>
          <w:sz w:val="16"/>
          <w:szCs w:val="16"/>
        </w:rPr>
      </w:pPr>
      <w:r w:rsidRPr="00977AE5">
        <w:rPr>
          <w:rStyle w:val="FootnoteReference"/>
          <w:sz w:val="16"/>
          <w:szCs w:val="16"/>
        </w:rPr>
        <w:footnoteRef/>
      </w:r>
      <w:r w:rsidRPr="00977AE5">
        <w:rPr>
          <w:sz w:val="16"/>
          <w:szCs w:val="16"/>
        </w:rPr>
        <w:t xml:space="preserve"> The field work will be dependent upon and according to public health protocols related to COVID-19.</w:t>
      </w:r>
    </w:p>
  </w:footnote>
  <w:footnote w:id="7">
    <w:p w14:paraId="5C41E1C9" w14:textId="245D6194" w:rsidR="00E13D76" w:rsidRPr="00977AE5" w:rsidRDefault="00E13D76" w:rsidP="00CE7665">
      <w:pPr>
        <w:pStyle w:val="CommentText"/>
        <w:spacing w:after="0"/>
        <w:rPr>
          <w:sz w:val="16"/>
          <w:szCs w:val="16"/>
        </w:rPr>
      </w:pPr>
      <w:r w:rsidRPr="00977AE5">
        <w:rPr>
          <w:rStyle w:val="FootnoteReference"/>
          <w:sz w:val="16"/>
          <w:szCs w:val="16"/>
        </w:rPr>
        <w:footnoteRef/>
      </w:r>
      <w:r w:rsidRPr="00977AE5">
        <w:rPr>
          <w:iCs/>
          <w:sz w:val="16"/>
          <w:szCs w:val="16"/>
          <w:vertAlign w:val="superscript"/>
        </w:rPr>
        <w:t xml:space="preserve"> </w:t>
      </w:r>
      <w:r w:rsidRPr="00977AE5">
        <w:rPr>
          <w:sz w:val="16"/>
          <w:szCs w:val="16"/>
        </w:rPr>
        <w:t xml:space="preserve">Mode of administration for the interviews and focus groups will be determined based on existing public health guidelines concerning COVID-19 at the time of data collection. </w:t>
      </w:r>
    </w:p>
    <w:p w14:paraId="3748D4F1" w14:textId="667FB696" w:rsidR="00E13D76" w:rsidRDefault="00E13D76">
      <w:pPr>
        <w:pStyle w:val="FootnoteText"/>
      </w:pPr>
    </w:p>
  </w:footnote>
  <w:footnote w:id="8">
    <w:p w14:paraId="6A602D92" w14:textId="77777777" w:rsidR="00E13D76" w:rsidRPr="002B235C" w:rsidRDefault="00E13D76" w:rsidP="006D260B">
      <w:pPr>
        <w:pStyle w:val="FootnoteText"/>
      </w:pPr>
      <w:r w:rsidRPr="002B235C">
        <w:rPr>
          <w:rStyle w:val="Superscript"/>
        </w:rPr>
        <w:footnoteRef/>
      </w:r>
      <w:r w:rsidRPr="002B235C">
        <w:rPr>
          <w:rStyle w:val="Superscript"/>
        </w:rPr>
        <w:t xml:space="preserve"> </w:t>
      </w:r>
      <w:r w:rsidRPr="002B235C">
        <w:t xml:space="preserve">If there are multiple key outcomes of interest in a domain, and selecting one or two is infeasible, we will develop a composite outcome that pools information across all measures within the domain to </w:t>
      </w:r>
      <w:proofErr w:type="gramStart"/>
      <w:r w:rsidRPr="002B235C">
        <w:t>be used</w:t>
      </w:r>
      <w:proofErr w:type="gramEnd"/>
      <w:r w:rsidRPr="002B235C">
        <w:t xml:space="preserve"> as the confirmatory test.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09A2" w14:textId="77777777" w:rsidR="00E13D76" w:rsidRPr="000D7D44" w:rsidRDefault="00E13D76"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E13D76" w:rsidRPr="00390F85" w:rsidRDefault="00E13D76"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48232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20BD1"/>
    <w:multiLevelType w:val="hybridMultilevel"/>
    <w:tmpl w:val="774C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9526A"/>
    <w:multiLevelType w:val="hybridMultilevel"/>
    <w:tmpl w:val="0144E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142A72"/>
    <w:multiLevelType w:val="multilevel"/>
    <w:tmpl w:val="44ACE6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443857"/>
    <w:multiLevelType w:val="hybridMultilevel"/>
    <w:tmpl w:val="DFB82A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347A77"/>
    <w:multiLevelType w:val="hybridMultilevel"/>
    <w:tmpl w:val="120252F6"/>
    <w:lvl w:ilvl="0" w:tplc="66183F7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8951F24"/>
    <w:multiLevelType w:val="hybridMultilevel"/>
    <w:tmpl w:val="C7326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A799E"/>
    <w:multiLevelType w:val="hybridMultilevel"/>
    <w:tmpl w:val="57968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C162AF"/>
    <w:multiLevelType w:val="hybridMultilevel"/>
    <w:tmpl w:val="92F6585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2"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22C230B"/>
    <w:multiLevelType w:val="hybridMultilevel"/>
    <w:tmpl w:val="DBD4042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4F36DE"/>
    <w:multiLevelType w:val="hybridMultilevel"/>
    <w:tmpl w:val="4BD6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645D8A"/>
    <w:multiLevelType w:val="hybridMultilevel"/>
    <w:tmpl w:val="A25E7EE4"/>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0" w15:restartNumberingAfterBreak="0">
    <w:nsid w:val="7BD73033"/>
    <w:multiLevelType w:val="hybridMultilevel"/>
    <w:tmpl w:val="C624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7"/>
  </w:num>
  <w:num w:numId="4">
    <w:abstractNumId w:val="31"/>
  </w:num>
  <w:num w:numId="5">
    <w:abstractNumId w:val="21"/>
  </w:num>
  <w:num w:numId="6">
    <w:abstractNumId w:val="38"/>
  </w:num>
  <w:num w:numId="7">
    <w:abstractNumId w:val="4"/>
  </w:num>
  <w:num w:numId="8">
    <w:abstractNumId w:val="13"/>
  </w:num>
  <w:num w:numId="9">
    <w:abstractNumId w:val="20"/>
  </w:num>
  <w:num w:numId="10">
    <w:abstractNumId w:val="37"/>
  </w:num>
  <w:num w:numId="11">
    <w:abstractNumId w:val="42"/>
  </w:num>
  <w:num w:numId="12">
    <w:abstractNumId w:val="35"/>
  </w:num>
  <w:num w:numId="13">
    <w:abstractNumId w:val="30"/>
  </w:num>
  <w:num w:numId="14">
    <w:abstractNumId w:val="36"/>
  </w:num>
  <w:num w:numId="15">
    <w:abstractNumId w:val="22"/>
  </w:num>
  <w:num w:numId="16">
    <w:abstractNumId w:val="29"/>
  </w:num>
  <w:num w:numId="17">
    <w:abstractNumId w:val="18"/>
  </w:num>
  <w:num w:numId="18">
    <w:abstractNumId w:val="12"/>
  </w:num>
  <w:num w:numId="19">
    <w:abstractNumId w:val="11"/>
  </w:num>
  <w:num w:numId="20">
    <w:abstractNumId w:val="27"/>
  </w:num>
  <w:num w:numId="21">
    <w:abstractNumId w:val="1"/>
  </w:num>
  <w:num w:numId="22">
    <w:abstractNumId w:val="2"/>
  </w:num>
  <w:num w:numId="23">
    <w:abstractNumId w:val="23"/>
  </w:num>
  <w:num w:numId="24">
    <w:abstractNumId w:val="3"/>
  </w:num>
  <w:num w:numId="25">
    <w:abstractNumId w:val="14"/>
  </w:num>
  <w:num w:numId="26">
    <w:abstractNumId w:val="26"/>
  </w:num>
  <w:num w:numId="27">
    <w:abstractNumId w:val="41"/>
  </w:num>
  <w:num w:numId="28">
    <w:abstractNumId w:val="34"/>
  </w:num>
  <w:num w:numId="29">
    <w:abstractNumId w:val="24"/>
  </w:num>
  <w:num w:numId="30">
    <w:abstractNumId w:val="0"/>
  </w:num>
  <w:num w:numId="31">
    <w:abstractNumId w:val="19"/>
  </w:num>
  <w:num w:numId="32">
    <w:abstractNumId w:val="33"/>
  </w:num>
  <w:num w:numId="33">
    <w:abstractNumId w:val="17"/>
  </w:num>
  <w:num w:numId="34">
    <w:abstractNumId w:val="40"/>
  </w:num>
  <w:num w:numId="35">
    <w:abstractNumId w:val="32"/>
  </w:num>
  <w:num w:numId="36">
    <w:abstractNumId w:val="6"/>
  </w:num>
  <w:num w:numId="37">
    <w:abstractNumId w:val="39"/>
  </w:num>
  <w:num w:numId="38">
    <w:abstractNumId w:val="5"/>
  </w:num>
  <w:num w:numId="39">
    <w:abstractNumId w:val="16"/>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10"/>
  </w:num>
  <w:num w:numId="43">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Nrc0MzOwNDEwNjRW0lEKTi0uzszPAykwqgUAy5cgAiwAAAA="/>
  </w:docVars>
  <w:rsids>
    <w:rsidRoot w:val="00B56589"/>
    <w:rsid w:val="000017FE"/>
    <w:rsid w:val="0000688D"/>
    <w:rsid w:val="00006FF5"/>
    <w:rsid w:val="000076EA"/>
    <w:rsid w:val="00011709"/>
    <w:rsid w:val="00011759"/>
    <w:rsid w:val="0001255D"/>
    <w:rsid w:val="00013178"/>
    <w:rsid w:val="000136E1"/>
    <w:rsid w:val="000157D3"/>
    <w:rsid w:val="00024532"/>
    <w:rsid w:val="0002481E"/>
    <w:rsid w:val="00025E1A"/>
    <w:rsid w:val="00026DEF"/>
    <w:rsid w:val="00027E79"/>
    <w:rsid w:val="00031F70"/>
    <w:rsid w:val="00033913"/>
    <w:rsid w:val="0004063C"/>
    <w:rsid w:val="0004247F"/>
    <w:rsid w:val="000426F5"/>
    <w:rsid w:val="00047030"/>
    <w:rsid w:val="000506F4"/>
    <w:rsid w:val="00050C68"/>
    <w:rsid w:val="00051492"/>
    <w:rsid w:val="00052F16"/>
    <w:rsid w:val="00057C97"/>
    <w:rsid w:val="00061205"/>
    <w:rsid w:val="00062AFB"/>
    <w:rsid w:val="0006352C"/>
    <w:rsid w:val="0006388E"/>
    <w:rsid w:val="000652EE"/>
    <w:rsid w:val="000655DD"/>
    <w:rsid w:val="00066D63"/>
    <w:rsid w:val="00071F79"/>
    <w:rsid w:val="0007251B"/>
    <w:rsid w:val="000733A5"/>
    <w:rsid w:val="00074867"/>
    <w:rsid w:val="0008131A"/>
    <w:rsid w:val="00082C5B"/>
    <w:rsid w:val="00083227"/>
    <w:rsid w:val="00084EDC"/>
    <w:rsid w:val="00085E28"/>
    <w:rsid w:val="00086CBE"/>
    <w:rsid w:val="0009019E"/>
    <w:rsid w:val="00090674"/>
    <w:rsid w:val="00090812"/>
    <w:rsid w:val="00091863"/>
    <w:rsid w:val="000921F0"/>
    <w:rsid w:val="00094113"/>
    <w:rsid w:val="00094139"/>
    <w:rsid w:val="00097560"/>
    <w:rsid w:val="000A012A"/>
    <w:rsid w:val="000A2231"/>
    <w:rsid w:val="000A43CF"/>
    <w:rsid w:val="000A6403"/>
    <w:rsid w:val="000A67C3"/>
    <w:rsid w:val="000B18C8"/>
    <w:rsid w:val="000B1FA7"/>
    <w:rsid w:val="000B7284"/>
    <w:rsid w:val="000C0D9A"/>
    <w:rsid w:val="000C285D"/>
    <w:rsid w:val="000C42D7"/>
    <w:rsid w:val="000C5FDC"/>
    <w:rsid w:val="000C6D5A"/>
    <w:rsid w:val="000C7B93"/>
    <w:rsid w:val="000D183E"/>
    <w:rsid w:val="000D2297"/>
    <w:rsid w:val="000D4E9A"/>
    <w:rsid w:val="000D5AA1"/>
    <w:rsid w:val="000D7D44"/>
    <w:rsid w:val="000E499C"/>
    <w:rsid w:val="000E4E43"/>
    <w:rsid w:val="000E6C14"/>
    <w:rsid w:val="000E6E98"/>
    <w:rsid w:val="000E7BB8"/>
    <w:rsid w:val="000F1E4A"/>
    <w:rsid w:val="000F5081"/>
    <w:rsid w:val="000F5149"/>
    <w:rsid w:val="0010009F"/>
    <w:rsid w:val="00100A56"/>
    <w:rsid w:val="00100D34"/>
    <w:rsid w:val="00101F0E"/>
    <w:rsid w:val="00103EFD"/>
    <w:rsid w:val="00107D87"/>
    <w:rsid w:val="0011061F"/>
    <w:rsid w:val="001158E7"/>
    <w:rsid w:val="0011603F"/>
    <w:rsid w:val="00116FB0"/>
    <w:rsid w:val="0012356A"/>
    <w:rsid w:val="00123A7A"/>
    <w:rsid w:val="001253F4"/>
    <w:rsid w:val="00126C67"/>
    <w:rsid w:val="00134D38"/>
    <w:rsid w:val="001357D9"/>
    <w:rsid w:val="00135BC2"/>
    <w:rsid w:val="00140841"/>
    <w:rsid w:val="00140EDD"/>
    <w:rsid w:val="00141A53"/>
    <w:rsid w:val="0014268F"/>
    <w:rsid w:val="00144665"/>
    <w:rsid w:val="001450C8"/>
    <w:rsid w:val="001474BC"/>
    <w:rsid w:val="00154313"/>
    <w:rsid w:val="001545F3"/>
    <w:rsid w:val="001554B6"/>
    <w:rsid w:val="00155FCF"/>
    <w:rsid w:val="001562D2"/>
    <w:rsid w:val="00156655"/>
    <w:rsid w:val="00157482"/>
    <w:rsid w:val="00164A0D"/>
    <w:rsid w:val="001701F6"/>
    <w:rsid w:val="001707D8"/>
    <w:rsid w:val="001741CE"/>
    <w:rsid w:val="001742F8"/>
    <w:rsid w:val="00175E58"/>
    <w:rsid w:val="00182FD4"/>
    <w:rsid w:val="001854BF"/>
    <w:rsid w:val="00186588"/>
    <w:rsid w:val="00186E1D"/>
    <w:rsid w:val="00192AAD"/>
    <w:rsid w:val="00196A24"/>
    <w:rsid w:val="00196C26"/>
    <w:rsid w:val="001A1FB3"/>
    <w:rsid w:val="001A3D4C"/>
    <w:rsid w:val="001B06A3"/>
    <w:rsid w:val="001B0A76"/>
    <w:rsid w:val="001B23DD"/>
    <w:rsid w:val="001B26E2"/>
    <w:rsid w:val="001B52DF"/>
    <w:rsid w:val="001B5662"/>
    <w:rsid w:val="001B5B9A"/>
    <w:rsid w:val="001B7166"/>
    <w:rsid w:val="001B7AAF"/>
    <w:rsid w:val="001C0AB4"/>
    <w:rsid w:val="001C4762"/>
    <w:rsid w:val="001C7000"/>
    <w:rsid w:val="001D12F3"/>
    <w:rsid w:val="001D34D6"/>
    <w:rsid w:val="001E05FB"/>
    <w:rsid w:val="001E11EF"/>
    <w:rsid w:val="001E24DF"/>
    <w:rsid w:val="001E251E"/>
    <w:rsid w:val="001E2C92"/>
    <w:rsid w:val="001E2CE3"/>
    <w:rsid w:val="001E769C"/>
    <w:rsid w:val="001E7D54"/>
    <w:rsid w:val="001F0253"/>
    <w:rsid w:val="001F0A31"/>
    <w:rsid w:val="001F0E1F"/>
    <w:rsid w:val="001F1F1A"/>
    <w:rsid w:val="001F40F4"/>
    <w:rsid w:val="001F54F6"/>
    <w:rsid w:val="001F57F5"/>
    <w:rsid w:val="002019E8"/>
    <w:rsid w:val="00201A78"/>
    <w:rsid w:val="002020C4"/>
    <w:rsid w:val="00202B18"/>
    <w:rsid w:val="002037F1"/>
    <w:rsid w:val="0020401C"/>
    <w:rsid w:val="0020574F"/>
    <w:rsid w:val="002060BE"/>
    <w:rsid w:val="0020629A"/>
    <w:rsid w:val="00206E11"/>
    <w:rsid w:val="00206FE3"/>
    <w:rsid w:val="00207554"/>
    <w:rsid w:val="00207576"/>
    <w:rsid w:val="00207E36"/>
    <w:rsid w:val="00211261"/>
    <w:rsid w:val="00211C3D"/>
    <w:rsid w:val="00213507"/>
    <w:rsid w:val="00215074"/>
    <w:rsid w:val="00216640"/>
    <w:rsid w:val="002178DB"/>
    <w:rsid w:val="00226F87"/>
    <w:rsid w:val="0022799A"/>
    <w:rsid w:val="00230B9F"/>
    <w:rsid w:val="0023254D"/>
    <w:rsid w:val="00235893"/>
    <w:rsid w:val="002412D7"/>
    <w:rsid w:val="00247AAA"/>
    <w:rsid w:val="002517BB"/>
    <w:rsid w:val="00254919"/>
    <w:rsid w:val="00256AC5"/>
    <w:rsid w:val="00256E24"/>
    <w:rsid w:val="00260865"/>
    <w:rsid w:val="00263BCA"/>
    <w:rsid w:val="00265491"/>
    <w:rsid w:val="002663F4"/>
    <w:rsid w:val="00266D4C"/>
    <w:rsid w:val="00266F12"/>
    <w:rsid w:val="00266FA8"/>
    <w:rsid w:val="002701C6"/>
    <w:rsid w:val="0027307A"/>
    <w:rsid w:val="00276CE2"/>
    <w:rsid w:val="00281E18"/>
    <w:rsid w:val="00283770"/>
    <w:rsid w:val="0028574B"/>
    <w:rsid w:val="00285774"/>
    <w:rsid w:val="00287AF1"/>
    <w:rsid w:val="00292E1A"/>
    <w:rsid w:val="00296B62"/>
    <w:rsid w:val="002A1961"/>
    <w:rsid w:val="002A41C6"/>
    <w:rsid w:val="002A61D7"/>
    <w:rsid w:val="002A6312"/>
    <w:rsid w:val="002A67F6"/>
    <w:rsid w:val="002B1EC8"/>
    <w:rsid w:val="002B3133"/>
    <w:rsid w:val="002B38C7"/>
    <w:rsid w:val="002B4278"/>
    <w:rsid w:val="002B6E5C"/>
    <w:rsid w:val="002B778B"/>
    <w:rsid w:val="002B785B"/>
    <w:rsid w:val="002C2578"/>
    <w:rsid w:val="002D4FD2"/>
    <w:rsid w:val="002E0088"/>
    <w:rsid w:val="002E09FD"/>
    <w:rsid w:val="002E3210"/>
    <w:rsid w:val="002E66EE"/>
    <w:rsid w:val="002E6A31"/>
    <w:rsid w:val="002E6CCF"/>
    <w:rsid w:val="002E7EFD"/>
    <w:rsid w:val="002F33D0"/>
    <w:rsid w:val="002F4570"/>
    <w:rsid w:val="002F5D25"/>
    <w:rsid w:val="00300722"/>
    <w:rsid w:val="00300B63"/>
    <w:rsid w:val="00301F03"/>
    <w:rsid w:val="00302294"/>
    <w:rsid w:val="0030316D"/>
    <w:rsid w:val="003045E5"/>
    <w:rsid w:val="003046F4"/>
    <w:rsid w:val="00306F9C"/>
    <w:rsid w:val="00307843"/>
    <w:rsid w:val="00310158"/>
    <w:rsid w:val="0031635E"/>
    <w:rsid w:val="003164CE"/>
    <w:rsid w:val="00316FC2"/>
    <w:rsid w:val="00320E87"/>
    <w:rsid w:val="0032365B"/>
    <w:rsid w:val="00323946"/>
    <w:rsid w:val="003257B8"/>
    <w:rsid w:val="0032661D"/>
    <w:rsid w:val="00333481"/>
    <w:rsid w:val="003349E5"/>
    <w:rsid w:val="00343611"/>
    <w:rsid w:val="0034369A"/>
    <w:rsid w:val="00345E06"/>
    <w:rsid w:val="003579D2"/>
    <w:rsid w:val="00360812"/>
    <w:rsid w:val="00361286"/>
    <w:rsid w:val="00362736"/>
    <w:rsid w:val="00363D88"/>
    <w:rsid w:val="00364A74"/>
    <w:rsid w:val="003712D9"/>
    <w:rsid w:val="00373D2F"/>
    <w:rsid w:val="00373FFB"/>
    <w:rsid w:val="00376527"/>
    <w:rsid w:val="003810A0"/>
    <w:rsid w:val="00390B0F"/>
    <w:rsid w:val="00390F85"/>
    <w:rsid w:val="0039160D"/>
    <w:rsid w:val="003932E1"/>
    <w:rsid w:val="00397107"/>
    <w:rsid w:val="003A00C3"/>
    <w:rsid w:val="003A1038"/>
    <w:rsid w:val="003A14A4"/>
    <w:rsid w:val="003A329E"/>
    <w:rsid w:val="003A3FD8"/>
    <w:rsid w:val="003A5642"/>
    <w:rsid w:val="003A643D"/>
    <w:rsid w:val="003A7774"/>
    <w:rsid w:val="003B040D"/>
    <w:rsid w:val="003B24E8"/>
    <w:rsid w:val="003B31E7"/>
    <w:rsid w:val="003B4C35"/>
    <w:rsid w:val="003B70D8"/>
    <w:rsid w:val="003B7501"/>
    <w:rsid w:val="003C1691"/>
    <w:rsid w:val="003C22D0"/>
    <w:rsid w:val="003C24F2"/>
    <w:rsid w:val="003C32A9"/>
    <w:rsid w:val="003C3BE9"/>
    <w:rsid w:val="003C5C09"/>
    <w:rsid w:val="003C6CF2"/>
    <w:rsid w:val="003C7358"/>
    <w:rsid w:val="003D48B3"/>
    <w:rsid w:val="003D6E6B"/>
    <w:rsid w:val="003E213B"/>
    <w:rsid w:val="003E30F2"/>
    <w:rsid w:val="003E442D"/>
    <w:rsid w:val="003E61F6"/>
    <w:rsid w:val="003E6E05"/>
    <w:rsid w:val="003E7186"/>
    <w:rsid w:val="003E760A"/>
    <w:rsid w:val="003F277D"/>
    <w:rsid w:val="00401204"/>
    <w:rsid w:val="00402747"/>
    <w:rsid w:val="0040502D"/>
    <w:rsid w:val="00406CF4"/>
    <w:rsid w:val="00407537"/>
    <w:rsid w:val="00407C0B"/>
    <w:rsid w:val="0041314A"/>
    <w:rsid w:val="004134A9"/>
    <w:rsid w:val="00414839"/>
    <w:rsid w:val="00415545"/>
    <w:rsid w:val="004165BD"/>
    <w:rsid w:val="0042220D"/>
    <w:rsid w:val="004229A7"/>
    <w:rsid w:val="004244DD"/>
    <w:rsid w:val="00426CAA"/>
    <w:rsid w:val="00427FCF"/>
    <w:rsid w:val="004306E7"/>
    <w:rsid w:val="004307A4"/>
    <w:rsid w:val="00430B32"/>
    <w:rsid w:val="00432D41"/>
    <w:rsid w:val="00433317"/>
    <w:rsid w:val="0043377A"/>
    <w:rsid w:val="004346DB"/>
    <w:rsid w:val="00437489"/>
    <w:rsid w:val="004379B6"/>
    <w:rsid w:val="00440665"/>
    <w:rsid w:val="0044428E"/>
    <w:rsid w:val="004449E4"/>
    <w:rsid w:val="0044525A"/>
    <w:rsid w:val="00446465"/>
    <w:rsid w:val="004468C0"/>
    <w:rsid w:val="00450A81"/>
    <w:rsid w:val="004513B3"/>
    <w:rsid w:val="00454467"/>
    <w:rsid w:val="00455AD8"/>
    <w:rsid w:val="00456D44"/>
    <w:rsid w:val="00460D54"/>
    <w:rsid w:val="00461D3E"/>
    <w:rsid w:val="00463BCF"/>
    <w:rsid w:val="004706CC"/>
    <w:rsid w:val="00470815"/>
    <w:rsid w:val="00474C6F"/>
    <w:rsid w:val="0048036F"/>
    <w:rsid w:val="0048346F"/>
    <w:rsid w:val="0049643E"/>
    <w:rsid w:val="00496C97"/>
    <w:rsid w:val="00496DC2"/>
    <w:rsid w:val="00497266"/>
    <w:rsid w:val="00497AFE"/>
    <w:rsid w:val="004A12A2"/>
    <w:rsid w:val="004A14B1"/>
    <w:rsid w:val="004B0509"/>
    <w:rsid w:val="004B1C21"/>
    <w:rsid w:val="004B45E3"/>
    <w:rsid w:val="004B75AC"/>
    <w:rsid w:val="004C1351"/>
    <w:rsid w:val="004C1DA5"/>
    <w:rsid w:val="004C2B23"/>
    <w:rsid w:val="004C3644"/>
    <w:rsid w:val="004C44E7"/>
    <w:rsid w:val="004C5266"/>
    <w:rsid w:val="004C5ED4"/>
    <w:rsid w:val="004D0FE7"/>
    <w:rsid w:val="004D12DD"/>
    <w:rsid w:val="004D17A3"/>
    <w:rsid w:val="004D2108"/>
    <w:rsid w:val="004D2E92"/>
    <w:rsid w:val="004D3055"/>
    <w:rsid w:val="004D40CB"/>
    <w:rsid w:val="004D7845"/>
    <w:rsid w:val="004E22AE"/>
    <w:rsid w:val="004E235A"/>
    <w:rsid w:val="004E364E"/>
    <w:rsid w:val="004E3826"/>
    <w:rsid w:val="004E5778"/>
    <w:rsid w:val="004E7ED8"/>
    <w:rsid w:val="004F09A5"/>
    <w:rsid w:val="004F1430"/>
    <w:rsid w:val="004F1843"/>
    <w:rsid w:val="004F4769"/>
    <w:rsid w:val="004F569F"/>
    <w:rsid w:val="004F6885"/>
    <w:rsid w:val="004F6AEA"/>
    <w:rsid w:val="00500379"/>
    <w:rsid w:val="00500E99"/>
    <w:rsid w:val="0050376D"/>
    <w:rsid w:val="00505B6A"/>
    <w:rsid w:val="00510280"/>
    <w:rsid w:val="00512062"/>
    <w:rsid w:val="005129BB"/>
    <w:rsid w:val="00512C25"/>
    <w:rsid w:val="00516639"/>
    <w:rsid w:val="00520DCF"/>
    <w:rsid w:val="00522DA8"/>
    <w:rsid w:val="005241B0"/>
    <w:rsid w:val="00526CE6"/>
    <w:rsid w:val="00526E0C"/>
    <w:rsid w:val="0053023E"/>
    <w:rsid w:val="005302CB"/>
    <w:rsid w:val="00530D91"/>
    <w:rsid w:val="00530EE9"/>
    <w:rsid w:val="00531408"/>
    <w:rsid w:val="00532431"/>
    <w:rsid w:val="00533E32"/>
    <w:rsid w:val="00533FDB"/>
    <w:rsid w:val="005359F7"/>
    <w:rsid w:val="00536723"/>
    <w:rsid w:val="00536B20"/>
    <w:rsid w:val="00537023"/>
    <w:rsid w:val="00540FCB"/>
    <w:rsid w:val="00544C42"/>
    <w:rsid w:val="0055219A"/>
    <w:rsid w:val="0055434C"/>
    <w:rsid w:val="00556FFA"/>
    <w:rsid w:val="005577DA"/>
    <w:rsid w:val="00560802"/>
    <w:rsid w:val="00560D63"/>
    <w:rsid w:val="00561298"/>
    <w:rsid w:val="00562889"/>
    <w:rsid w:val="00562ED5"/>
    <w:rsid w:val="00563B00"/>
    <w:rsid w:val="00565D28"/>
    <w:rsid w:val="0057204C"/>
    <w:rsid w:val="00572C59"/>
    <w:rsid w:val="00573917"/>
    <w:rsid w:val="005777B0"/>
    <w:rsid w:val="005821A8"/>
    <w:rsid w:val="00582585"/>
    <w:rsid w:val="00582BD0"/>
    <w:rsid w:val="00582F09"/>
    <w:rsid w:val="00585E04"/>
    <w:rsid w:val="00591283"/>
    <w:rsid w:val="00591969"/>
    <w:rsid w:val="00594256"/>
    <w:rsid w:val="005966D4"/>
    <w:rsid w:val="00597CDC"/>
    <w:rsid w:val="005A040B"/>
    <w:rsid w:val="005A0C6C"/>
    <w:rsid w:val="005A428D"/>
    <w:rsid w:val="005A4A27"/>
    <w:rsid w:val="005A61CE"/>
    <w:rsid w:val="005A7E5A"/>
    <w:rsid w:val="005B0F8F"/>
    <w:rsid w:val="005B1285"/>
    <w:rsid w:val="005B1410"/>
    <w:rsid w:val="005B3E02"/>
    <w:rsid w:val="005C4BDB"/>
    <w:rsid w:val="005C56EF"/>
    <w:rsid w:val="005C5916"/>
    <w:rsid w:val="005C7966"/>
    <w:rsid w:val="005C7C2A"/>
    <w:rsid w:val="005D1160"/>
    <w:rsid w:val="005D4376"/>
    <w:rsid w:val="005D4562"/>
    <w:rsid w:val="005D4A40"/>
    <w:rsid w:val="005D6897"/>
    <w:rsid w:val="005D71ED"/>
    <w:rsid w:val="005E493B"/>
    <w:rsid w:val="005E5C2F"/>
    <w:rsid w:val="005F1151"/>
    <w:rsid w:val="005F1C97"/>
    <w:rsid w:val="005F248C"/>
    <w:rsid w:val="005F2951"/>
    <w:rsid w:val="005F4FE2"/>
    <w:rsid w:val="005F689F"/>
    <w:rsid w:val="005F6FE6"/>
    <w:rsid w:val="005F775B"/>
    <w:rsid w:val="00600507"/>
    <w:rsid w:val="00600906"/>
    <w:rsid w:val="00600AF2"/>
    <w:rsid w:val="00604E2F"/>
    <w:rsid w:val="00605D61"/>
    <w:rsid w:val="00607C04"/>
    <w:rsid w:val="006126CD"/>
    <w:rsid w:val="00614751"/>
    <w:rsid w:val="00614860"/>
    <w:rsid w:val="00615D00"/>
    <w:rsid w:val="006179FD"/>
    <w:rsid w:val="00621D3F"/>
    <w:rsid w:val="006222DC"/>
    <w:rsid w:val="0062286E"/>
    <w:rsid w:val="006237F5"/>
    <w:rsid w:val="00624CC3"/>
    <w:rsid w:val="00624DDC"/>
    <w:rsid w:val="006253B6"/>
    <w:rsid w:val="006257ED"/>
    <w:rsid w:val="0062686E"/>
    <w:rsid w:val="00630861"/>
    <w:rsid w:val="00630B30"/>
    <w:rsid w:val="006317D4"/>
    <w:rsid w:val="00631FE4"/>
    <w:rsid w:val="00634116"/>
    <w:rsid w:val="006416D9"/>
    <w:rsid w:val="00641775"/>
    <w:rsid w:val="0064217B"/>
    <w:rsid w:val="00643C05"/>
    <w:rsid w:val="00645146"/>
    <w:rsid w:val="006459B5"/>
    <w:rsid w:val="00646514"/>
    <w:rsid w:val="00651FF6"/>
    <w:rsid w:val="006523FA"/>
    <w:rsid w:val="0065322C"/>
    <w:rsid w:val="00656C6A"/>
    <w:rsid w:val="006624A6"/>
    <w:rsid w:val="006659DE"/>
    <w:rsid w:val="0066634A"/>
    <w:rsid w:val="00671BF7"/>
    <w:rsid w:val="006726A9"/>
    <w:rsid w:val="00674334"/>
    <w:rsid w:val="006764F2"/>
    <w:rsid w:val="006773AD"/>
    <w:rsid w:val="006816D6"/>
    <w:rsid w:val="006821E2"/>
    <w:rsid w:val="00682596"/>
    <w:rsid w:val="00682BEB"/>
    <w:rsid w:val="0068303E"/>
    <w:rsid w:val="006830BE"/>
    <w:rsid w:val="0068383E"/>
    <w:rsid w:val="00684CAB"/>
    <w:rsid w:val="00687633"/>
    <w:rsid w:val="006902C9"/>
    <w:rsid w:val="00690842"/>
    <w:rsid w:val="0069112B"/>
    <w:rsid w:val="00691367"/>
    <w:rsid w:val="0069305D"/>
    <w:rsid w:val="0069594E"/>
    <w:rsid w:val="006A0047"/>
    <w:rsid w:val="006A238A"/>
    <w:rsid w:val="006A329E"/>
    <w:rsid w:val="006A4D02"/>
    <w:rsid w:val="006A609F"/>
    <w:rsid w:val="006A6CD4"/>
    <w:rsid w:val="006A6F1D"/>
    <w:rsid w:val="006B1BF9"/>
    <w:rsid w:val="006B31DA"/>
    <w:rsid w:val="006B53F1"/>
    <w:rsid w:val="006B6037"/>
    <w:rsid w:val="006B6E12"/>
    <w:rsid w:val="006C05A4"/>
    <w:rsid w:val="006C0E56"/>
    <w:rsid w:val="006C1343"/>
    <w:rsid w:val="006C2D50"/>
    <w:rsid w:val="006C4623"/>
    <w:rsid w:val="006C5916"/>
    <w:rsid w:val="006D02E3"/>
    <w:rsid w:val="006D0CCE"/>
    <w:rsid w:val="006D1812"/>
    <w:rsid w:val="006D260B"/>
    <w:rsid w:val="006D3228"/>
    <w:rsid w:val="006D36DF"/>
    <w:rsid w:val="006D6BF5"/>
    <w:rsid w:val="006E1346"/>
    <w:rsid w:val="006E3710"/>
    <w:rsid w:val="006E48BC"/>
    <w:rsid w:val="006E4F82"/>
    <w:rsid w:val="006F36F0"/>
    <w:rsid w:val="006F3E8C"/>
    <w:rsid w:val="006F5AE4"/>
    <w:rsid w:val="006F78FE"/>
    <w:rsid w:val="00700B26"/>
    <w:rsid w:val="00704F3A"/>
    <w:rsid w:val="00712BDA"/>
    <w:rsid w:val="00713058"/>
    <w:rsid w:val="00713303"/>
    <w:rsid w:val="00716419"/>
    <w:rsid w:val="0071744F"/>
    <w:rsid w:val="00717BDC"/>
    <w:rsid w:val="00720747"/>
    <w:rsid w:val="00721803"/>
    <w:rsid w:val="00723A28"/>
    <w:rsid w:val="00725903"/>
    <w:rsid w:val="00726911"/>
    <w:rsid w:val="0073006E"/>
    <w:rsid w:val="00731E38"/>
    <w:rsid w:val="00733AF9"/>
    <w:rsid w:val="00736B62"/>
    <w:rsid w:val="00740214"/>
    <w:rsid w:val="00744A40"/>
    <w:rsid w:val="00746EA8"/>
    <w:rsid w:val="007474F3"/>
    <w:rsid w:val="0075145E"/>
    <w:rsid w:val="00752D3F"/>
    <w:rsid w:val="00755344"/>
    <w:rsid w:val="00755F67"/>
    <w:rsid w:val="00756D20"/>
    <w:rsid w:val="007606D4"/>
    <w:rsid w:val="00764BA3"/>
    <w:rsid w:val="00764C85"/>
    <w:rsid w:val="0076535A"/>
    <w:rsid w:val="00765CBB"/>
    <w:rsid w:val="0076600A"/>
    <w:rsid w:val="007733D5"/>
    <w:rsid w:val="0077528B"/>
    <w:rsid w:val="00776CBB"/>
    <w:rsid w:val="00776D0E"/>
    <w:rsid w:val="00777C2E"/>
    <w:rsid w:val="00782BF8"/>
    <w:rsid w:val="0078446C"/>
    <w:rsid w:val="00793E3E"/>
    <w:rsid w:val="007949D0"/>
    <w:rsid w:val="00797868"/>
    <w:rsid w:val="007A27DF"/>
    <w:rsid w:val="007A29C5"/>
    <w:rsid w:val="007A3F95"/>
    <w:rsid w:val="007A5596"/>
    <w:rsid w:val="007B26A3"/>
    <w:rsid w:val="007B74E7"/>
    <w:rsid w:val="007B74FC"/>
    <w:rsid w:val="007C6EF7"/>
    <w:rsid w:val="007C7B4B"/>
    <w:rsid w:val="007C7E62"/>
    <w:rsid w:val="007D4997"/>
    <w:rsid w:val="007D49B5"/>
    <w:rsid w:val="007D5878"/>
    <w:rsid w:val="007E222E"/>
    <w:rsid w:val="007E3A7E"/>
    <w:rsid w:val="007E6304"/>
    <w:rsid w:val="007E7CDC"/>
    <w:rsid w:val="007E7FEE"/>
    <w:rsid w:val="007F0E92"/>
    <w:rsid w:val="007F2058"/>
    <w:rsid w:val="007F355D"/>
    <w:rsid w:val="007F50EF"/>
    <w:rsid w:val="007F5C46"/>
    <w:rsid w:val="007F7C59"/>
    <w:rsid w:val="00801B37"/>
    <w:rsid w:val="008025A2"/>
    <w:rsid w:val="00802802"/>
    <w:rsid w:val="00803887"/>
    <w:rsid w:val="00804AF7"/>
    <w:rsid w:val="0080634F"/>
    <w:rsid w:val="008114BA"/>
    <w:rsid w:val="00813B3E"/>
    <w:rsid w:val="00814A50"/>
    <w:rsid w:val="008154E9"/>
    <w:rsid w:val="00817561"/>
    <w:rsid w:val="00823428"/>
    <w:rsid w:val="008247E7"/>
    <w:rsid w:val="00825DD4"/>
    <w:rsid w:val="00825FBC"/>
    <w:rsid w:val="0083043F"/>
    <w:rsid w:val="008361EB"/>
    <w:rsid w:val="008369BA"/>
    <w:rsid w:val="00840D32"/>
    <w:rsid w:val="00843933"/>
    <w:rsid w:val="00844BFF"/>
    <w:rsid w:val="0084670F"/>
    <w:rsid w:val="008504AD"/>
    <w:rsid w:val="00851B96"/>
    <w:rsid w:val="00852B7E"/>
    <w:rsid w:val="0085437D"/>
    <w:rsid w:val="008559C4"/>
    <w:rsid w:val="008561BC"/>
    <w:rsid w:val="00856459"/>
    <w:rsid w:val="00856ECD"/>
    <w:rsid w:val="00857EA1"/>
    <w:rsid w:val="0086201E"/>
    <w:rsid w:val="0086332D"/>
    <w:rsid w:val="00864C1F"/>
    <w:rsid w:val="008653A5"/>
    <w:rsid w:val="00865904"/>
    <w:rsid w:val="0086701A"/>
    <w:rsid w:val="00867533"/>
    <w:rsid w:val="00867893"/>
    <w:rsid w:val="008705E4"/>
    <w:rsid w:val="0087068F"/>
    <w:rsid w:val="00870FA1"/>
    <w:rsid w:val="00873FA9"/>
    <w:rsid w:val="00874B9D"/>
    <w:rsid w:val="00875220"/>
    <w:rsid w:val="0087584B"/>
    <w:rsid w:val="00875F81"/>
    <w:rsid w:val="00881E21"/>
    <w:rsid w:val="00883258"/>
    <w:rsid w:val="00884A3D"/>
    <w:rsid w:val="00885A8A"/>
    <w:rsid w:val="00890DFB"/>
    <w:rsid w:val="00891AC0"/>
    <w:rsid w:val="00891BFA"/>
    <w:rsid w:val="00891CD9"/>
    <w:rsid w:val="00891F40"/>
    <w:rsid w:val="0089385D"/>
    <w:rsid w:val="008965A7"/>
    <w:rsid w:val="00897197"/>
    <w:rsid w:val="008A1F13"/>
    <w:rsid w:val="008A5B2D"/>
    <w:rsid w:val="008B083A"/>
    <w:rsid w:val="008B1F43"/>
    <w:rsid w:val="008B60B9"/>
    <w:rsid w:val="008B7E4B"/>
    <w:rsid w:val="008D4E5B"/>
    <w:rsid w:val="008D7791"/>
    <w:rsid w:val="008E0239"/>
    <w:rsid w:val="008E079B"/>
    <w:rsid w:val="008E2382"/>
    <w:rsid w:val="008E4718"/>
    <w:rsid w:val="008E7050"/>
    <w:rsid w:val="008F23D3"/>
    <w:rsid w:val="008F2446"/>
    <w:rsid w:val="008F31EA"/>
    <w:rsid w:val="008F3530"/>
    <w:rsid w:val="008F5EAC"/>
    <w:rsid w:val="008F6718"/>
    <w:rsid w:val="008F7501"/>
    <w:rsid w:val="009002A3"/>
    <w:rsid w:val="00901040"/>
    <w:rsid w:val="00902A46"/>
    <w:rsid w:val="00902D8B"/>
    <w:rsid w:val="00903D6D"/>
    <w:rsid w:val="00904341"/>
    <w:rsid w:val="00905B24"/>
    <w:rsid w:val="00906276"/>
    <w:rsid w:val="00906341"/>
    <w:rsid w:val="00906EFA"/>
    <w:rsid w:val="0091089A"/>
    <w:rsid w:val="00913807"/>
    <w:rsid w:val="0091381E"/>
    <w:rsid w:val="00914503"/>
    <w:rsid w:val="00916C83"/>
    <w:rsid w:val="00923F25"/>
    <w:rsid w:val="0093240D"/>
    <w:rsid w:val="0093256A"/>
    <w:rsid w:val="00933ECE"/>
    <w:rsid w:val="0093736F"/>
    <w:rsid w:val="00941753"/>
    <w:rsid w:val="009421A4"/>
    <w:rsid w:val="009431F3"/>
    <w:rsid w:val="00944D91"/>
    <w:rsid w:val="00944F32"/>
    <w:rsid w:val="00945C7F"/>
    <w:rsid w:val="0095160E"/>
    <w:rsid w:val="009517B7"/>
    <w:rsid w:val="00952FF8"/>
    <w:rsid w:val="0095522D"/>
    <w:rsid w:val="0095712A"/>
    <w:rsid w:val="00957376"/>
    <w:rsid w:val="0096171A"/>
    <w:rsid w:val="00963503"/>
    <w:rsid w:val="00963EC6"/>
    <w:rsid w:val="0096507C"/>
    <w:rsid w:val="00965DBD"/>
    <w:rsid w:val="00965E64"/>
    <w:rsid w:val="00970985"/>
    <w:rsid w:val="0097102D"/>
    <w:rsid w:val="00971944"/>
    <w:rsid w:val="009739A0"/>
    <w:rsid w:val="009745D4"/>
    <w:rsid w:val="00974904"/>
    <w:rsid w:val="009765FD"/>
    <w:rsid w:val="009769B7"/>
    <w:rsid w:val="00976C6B"/>
    <w:rsid w:val="0097710E"/>
    <w:rsid w:val="00977AE5"/>
    <w:rsid w:val="00977F04"/>
    <w:rsid w:val="0098060B"/>
    <w:rsid w:val="009809A2"/>
    <w:rsid w:val="009815C6"/>
    <w:rsid w:val="00982738"/>
    <w:rsid w:val="00984F7D"/>
    <w:rsid w:val="00987D20"/>
    <w:rsid w:val="009912A0"/>
    <w:rsid w:val="009928AE"/>
    <w:rsid w:val="0099297F"/>
    <w:rsid w:val="00992D7F"/>
    <w:rsid w:val="009937B4"/>
    <w:rsid w:val="00993AC9"/>
    <w:rsid w:val="00996201"/>
    <w:rsid w:val="00997814"/>
    <w:rsid w:val="00997DA5"/>
    <w:rsid w:val="009A39E1"/>
    <w:rsid w:val="009A3AD8"/>
    <w:rsid w:val="009A4F42"/>
    <w:rsid w:val="009A6EE8"/>
    <w:rsid w:val="009B0F58"/>
    <w:rsid w:val="009B7FB9"/>
    <w:rsid w:val="009C0722"/>
    <w:rsid w:val="009C0A9A"/>
    <w:rsid w:val="009C3380"/>
    <w:rsid w:val="009C41D0"/>
    <w:rsid w:val="009C6112"/>
    <w:rsid w:val="009C69AF"/>
    <w:rsid w:val="009C6F3D"/>
    <w:rsid w:val="009C7A9D"/>
    <w:rsid w:val="009D0CCE"/>
    <w:rsid w:val="009D20F2"/>
    <w:rsid w:val="009E0A7E"/>
    <w:rsid w:val="009E22B6"/>
    <w:rsid w:val="009E2935"/>
    <w:rsid w:val="009E5CCC"/>
    <w:rsid w:val="009E5FB5"/>
    <w:rsid w:val="009E7A0B"/>
    <w:rsid w:val="009E7E38"/>
    <w:rsid w:val="009F07B2"/>
    <w:rsid w:val="009F14F1"/>
    <w:rsid w:val="009F21B4"/>
    <w:rsid w:val="009F265B"/>
    <w:rsid w:val="009F269D"/>
    <w:rsid w:val="009F482C"/>
    <w:rsid w:val="009F68DB"/>
    <w:rsid w:val="00A03E3F"/>
    <w:rsid w:val="00A059A9"/>
    <w:rsid w:val="00A1108E"/>
    <w:rsid w:val="00A11F24"/>
    <w:rsid w:val="00A15116"/>
    <w:rsid w:val="00A151D1"/>
    <w:rsid w:val="00A159A1"/>
    <w:rsid w:val="00A17E6E"/>
    <w:rsid w:val="00A21136"/>
    <w:rsid w:val="00A2114A"/>
    <w:rsid w:val="00A25FEB"/>
    <w:rsid w:val="00A27A41"/>
    <w:rsid w:val="00A27CD0"/>
    <w:rsid w:val="00A31892"/>
    <w:rsid w:val="00A31A8C"/>
    <w:rsid w:val="00A32159"/>
    <w:rsid w:val="00A35FD0"/>
    <w:rsid w:val="00A362B6"/>
    <w:rsid w:val="00A371B2"/>
    <w:rsid w:val="00A37BF5"/>
    <w:rsid w:val="00A42A06"/>
    <w:rsid w:val="00A42C71"/>
    <w:rsid w:val="00A44FCA"/>
    <w:rsid w:val="00A46143"/>
    <w:rsid w:val="00A47512"/>
    <w:rsid w:val="00A5075F"/>
    <w:rsid w:val="00A5456C"/>
    <w:rsid w:val="00A55505"/>
    <w:rsid w:val="00A56CE7"/>
    <w:rsid w:val="00A615C1"/>
    <w:rsid w:val="00A626C2"/>
    <w:rsid w:val="00A64F0B"/>
    <w:rsid w:val="00A65C64"/>
    <w:rsid w:val="00A67DFF"/>
    <w:rsid w:val="00A71475"/>
    <w:rsid w:val="00A714DC"/>
    <w:rsid w:val="00A71710"/>
    <w:rsid w:val="00A7179C"/>
    <w:rsid w:val="00A71C2C"/>
    <w:rsid w:val="00A72190"/>
    <w:rsid w:val="00A75AAE"/>
    <w:rsid w:val="00A761CB"/>
    <w:rsid w:val="00A8506C"/>
    <w:rsid w:val="00A85501"/>
    <w:rsid w:val="00A85701"/>
    <w:rsid w:val="00A85A20"/>
    <w:rsid w:val="00A935C6"/>
    <w:rsid w:val="00A94AE1"/>
    <w:rsid w:val="00AA2C3C"/>
    <w:rsid w:val="00AA49FD"/>
    <w:rsid w:val="00AA7154"/>
    <w:rsid w:val="00AA781D"/>
    <w:rsid w:val="00AA7CC9"/>
    <w:rsid w:val="00AB1A16"/>
    <w:rsid w:val="00AB31FD"/>
    <w:rsid w:val="00AB39AF"/>
    <w:rsid w:val="00AB57D0"/>
    <w:rsid w:val="00AB736A"/>
    <w:rsid w:val="00AC16E4"/>
    <w:rsid w:val="00AC28BB"/>
    <w:rsid w:val="00AC3164"/>
    <w:rsid w:val="00AC3ECC"/>
    <w:rsid w:val="00AC46B1"/>
    <w:rsid w:val="00AC5DA1"/>
    <w:rsid w:val="00AD1A0D"/>
    <w:rsid w:val="00AD2AE3"/>
    <w:rsid w:val="00AD3261"/>
    <w:rsid w:val="00AD4355"/>
    <w:rsid w:val="00AD5A0F"/>
    <w:rsid w:val="00AD6341"/>
    <w:rsid w:val="00AD6B60"/>
    <w:rsid w:val="00AE07CA"/>
    <w:rsid w:val="00AE27C2"/>
    <w:rsid w:val="00AE3131"/>
    <w:rsid w:val="00AE3F5F"/>
    <w:rsid w:val="00AF0079"/>
    <w:rsid w:val="00AF297F"/>
    <w:rsid w:val="00AF4408"/>
    <w:rsid w:val="00AF4AEA"/>
    <w:rsid w:val="00B006D6"/>
    <w:rsid w:val="00B02177"/>
    <w:rsid w:val="00B05C24"/>
    <w:rsid w:val="00B0762F"/>
    <w:rsid w:val="00B0768F"/>
    <w:rsid w:val="00B1062F"/>
    <w:rsid w:val="00B13DC4"/>
    <w:rsid w:val="00B14CDD"/>
    <w:rsid w:val="00B17B7C"/>
    <w:rsid w:val="00B21EDB"/>
    <w:rsid w:val="00B22854"/>
    <w:rsid w:val="00B22E7F"/>
    <w:rsid w:val="00B23277"/>
    <w:rsid w:val="00B239B3"/>
    <w:rsid w:val="00B245AD"/>
    <w:rsid w:val="00B24AB8"/>
    <w:rsid w:val="00B25252"/>
    <w:rsid w:val="00B2617F"/>
    <w:rsid w:val="00B26F3B"/>
    <w:rsid w:val="00B32E7B"/>
    <w:rsid w:val="00B37CFA"/>
    <w:rsid w:val="00B40E3C"/>
    <w:rsid w:val="00B4182B"/>
    <w:rsid w:val="00B435D9"/>
    <w:rsid w:val="00B451A0"/>
    <w:rsid w:val="00B4752B"/>
    <w:rsid w:val="00B55E54"/>
    <w:rsid w:val="00B56589"/>
    <w:rsid w:val="00B60FB2"/>
    <w:rsid w:val="00B63790"/>
    <w:rsid w:val="00B63E41"/>
    <w:rsid w:val="00B64D05"/>
    <w:rsid w:val="00B671A4"/>
    <w:rsid w:val="00B70460"/>
    <w:rsid w:val="00B7270C"/>
    <w:rsid w:val="00B72A15"/>
    <w:rsid w:val="00B72C64"/>
    <w:rsid w:val="00B73D72"/>
    <w:rsid w:val="00B7424B"/>
    <w:rsid w:val="00B75537"/>
    <w:rsid w:val="00B763B3"/>
    <w:rsid w:val="00B76591"/>
    <w:rsid w:val="00B778AC"/>
    <w:rsid w:val="00B848B1"/>
    <w:rsid w:val="00B86DE2"/>
    <w:rsid w:val="00B86EBA"/>
    <w:rsid w:val="00B87962"/>
    <w:rsid w:val="00B9441B"/>
    <w:rsid w:val="00B95ADD"/>
    <w:rsid w:val="00BA2136"/>
    <w:rsid w:val="00BA34A2"/>
    <w:rsid w:val="00BA5034"/>
    <w:rsid w:val="00BA6BF9"/>
    <w:rsid w:val="00BB024F"/>
    <w:rsid w:val="00BB0445"/>
    <w:rsid w:val="00BB046E"/>
    <w:rsid w:val="00BB49EF"/>
    <w:rsid w:val="00BB4BF8"/>
    <w:rsid w:val="00BB5B1F"/>
    <w:rsid w:val="00BB706B"/>
    <w:rsid w:val="00BC0F36"/>
    <w:rsid w:val="00BC1E9F"/>
    <w:rsid w:val="00BC6EF5"/>
    <w:rsid w:val="00BC7816"/>
    <w:rsid w:val="00BD49E6"/>
    <w:rsid w:val="00BD5F46"/>
    <w:rsid w:val="00BD702B"/>
    <w:rsid w:val="00BD7B78"/>
    <w:rsid w:val="00BD7CDB"/>
    <w:rsid w:val="00BE19DC"/>
    <w:rsid w:val="00BE45BC"/>
    <w:rsid w:val="00BE773B"/>
    <w:rsid w:val="00BF0713"/>
    <w:rsid w:val="00BF1445"/>
    <w:rsid w:val="00BF1FE2"/>
    <w:rsid w:val="00BF2E7E"/>
    <w:rsid w:val="00BF4312"/>
    <w:rsid w:val="00BF6A7F"/>
    <w:rsid w:val="00BF6CE1"/>
    <w:rsid w:val="00BF7E41"/>
    <w:rsid w:val="00C02ED6"/>
    <w:rsid w:val="00C05352"/>
    <w:rsid w:val="00C06BF5"/>
    <w:rsid w:val="00C07278"/>
    <w:rsid w:val="00C07918"/>
    <w:rsid w:val="00C07D23"/>
    <w:rsid w:val="00C1107D"/>
    <w:rsid w:val="00C12E1C"/>
    <w:rsid w:val="00C13936"/>
    <w:rsid w:val="00C14250"/>
    <w:rsid w:val="00C149D3"/>
    <w:rsid w:val="00C14F6D"/>
    <w:rsid w:val="00C16257"/>
    <w:rsid w:val="00C20FA1"/>
    <w:rsid w:val="00C248C3"/>
    <w:rsid w:val="00C25FD0"/>
    <w:rsid w:val="00C3007C"/>
    <w:rsid w:val="00C305ED"/>
    <w:rsid w:val="00C323F5"/>
    <w:rsid w:val="00C32404"/>
    <w:rsid w:val="00C32ADC"/>
    <w:rsid w:val="00C32C8A"/>
    <w:rsid w:val="00C363FE"/>
    <w:rsid w:val="00C449A3"/>
    <w:rsid w:val="00C4634A"/>
    <w:rsid w:val="00C50713"/>
    <w:rsid w:val="00C532CE"/>
    <w:rsid w:val="00C60F41"/>
    <w:rsid w:val="00C62F0C"/>
    <w:rsid w:val="00C633C3"/>
    <w:rsid w:val="00C71B08"/>
    <w:rsid w:val="00C73360"/>
    <w:rsid w:val="00C733EB"/>
    <w:rsid w:val="00C73C7C"/>
    <w:rsid w:val="00C74101"/>
    <w:rsid w:val="00C76CAF"/>
    <w:rsid w:val="00C77013"/>
    <w:rsid w:val="00C777B0"/>
    <w:rsid w:val="00C778A8"/>
    <w:rsid w:val="00C80B18"/>
    <w:rsid w:val="00C80E53"/>
    <w:rsid w:val="00C8176F"/>
    <w:rsid w:val="00C82D28"/>
    <w:rsid w:val="00C8396B"/>
    <w:rsid w:val="00C8551F"/>
    <w:rsid w:val="00C86CB2"/>
    <w:rsid w:val="00C91C71"/>
    <w:rsid w:val="00C926F9"/>
    <w:rsid w:val="00C92848"/>
    <w:rsid w:val="00C95126"/>
    <w:rsid w:val="00CA2500"/>
    <w:rsid w:val="00CA3360"/>
    <w:rsid w:val="00CA3884"/>
    <w:rsid w:val="00CA72A5"/>
    <w:rsid w:val="00CB6AFA"/>
    <w:rsid w:val="00CB7F39"/>
    <w:rsid w:val="00CC07BF"/>
    <w:rsid w:val="00CC2951"/>
    <w:rsid w:val="00CC4651"/>
    <w:rsid w:val="00CC5697"/>
    <w:rsid w:val="00CC6120"/>
    <w:rsid w:val="00CC6466"/>
    <w:rsid w:val="00CD01AC"/>
    <w:rsid w:val="00CD38DF"/>
    <w:rsid w:val="00CD5CB0"/>
    <w:rsid w:val="00CD6277"/>
    <w:rsid w:val="00CE018E"/>
    <w:rsid w:val="00CE08A5"/>
    <w:rsid w:val="00CE1607"/>
    <w:rsid w:val="00CE558F"/>
    <w:rsid w:val="00CE655D"/>
    <w:rsid w:val="00CE7665"/>
    <w:rsid w:val="00CE7A4A"/>
    <w:rsid w:val="00CF06C6"/>
    <w:rsid w:val="00CF2797"/>
    <w:rsid w:val="00CF2BD9"/>
    <w:rsid w:val="00CF361D"/>
    <w:rsid w:val="00CF37BA"/>
    <w:rsid w:val="00CF5D0B"/>
    <w:rsid w:val="00D00463"/>
    <w:rsid w:val="00D018CD"/>
    <w:rsid w:val="00D042AE"/>
    <w:rsid w:val="00D04C57"/>
    <w:rsid w:val="00D05116"/>
    <w:rsid w:val="00D052EA"/>
    <w:rsid w:val="00D0731A"/>
    <w:rsid w:val="00D10340"/>
    <w:rsid w:val="00D1343F"/>
    <w:rsid w:val="00D13AA8"/>
    <w:rsid w:val="00D1584E"/>
    <w:rsid w:val="00D2075F"/>
    <w:rsid w:val="00D2180B"/>
    <w:rsid w:val="00D21A5D"/>
    <w:rsid w:val="00D21AEB"/>
    <w:rsid w:val="00D221B1"/>
    <w:rsid w:val="00D22B4B"/>
    <w:rsid w:val="00D231EF"/>
    <w:rsid w:val="00D239B5"/>
    <w:rsid w:val="00D24834"/>
    <w:rsid w:val="00D27BA1"/>
    <w:rsid w:val="00D316AF"/>
    <w:rsid w:val="00D32B72"/>
    <w:rsid w:val="00D33896"/>
    <w:rsid w:val="00D401F1"/>
    <w:rsid w:val="00D4033C"/>
    <w:rsid w:val="00D4412A"/>
    <w:rsid w:val="00D45504"/>
    <w:rsid w:val="00D5346A"/>
    <w:rsid w:val="00D54679"/>
    <w:rsid w:val="00D55767"/>
    <w:rsid w:val="00D565D7"/>
    <w:rsid w:val="00D575B7"/>
    <w:rsid w:val="00D6398D"/>
    <w:rsid w:val="00D63A8F"/>
    <w:rsid w:val="00D64781"/>
    <w:rsid w:val="00D65323"/>
    <w:rsid w:val="00D67A3F"/>
    <w:rsid w:val="00D71BA0"/>
    <w:rsid w:val="00D722A1"/>
    <w:rsid w:val="00D749DF"/>
    <w:rsid w:val="00D75374"/>
    <w:rsid w:val="00D754F9"/>
    <w:rsid w:val="00D755E0"/>
    <w:rsid w:val="00D75C63"/>
    <w:rsid w:val="00D762A3"/>
    <w:rsid w:val="00D77B78"/>
    <w:rsid w:val="00D8180F"/>
    <w:rsid w:val="00D819AF"/>
    <w:rsid w:val="00D81DE6"/>
    <w:rsid w:val="00D82755"/>
    <w:rsid w:val="00D82874"/>
    <w:rsid w:val="00D82E67"/>
    <w:rsid w:val="00D831AC"/>
    <w:rsid w:val="00D8587F"/>
    <w:rsid w:val="00D86D41"/>
    <w:rsid w:val="00D87E56"/>
    <w:rsid w:val="00D9157D"/>
    <w:rsid w:val="00D91AC3"/>
    <w:rsid w:val="00D95E35"/>
    <w:rsid w:val="00D96201"/>
    <w:rsid w:val="00D96B01"/>
    <w:rsid w:val="00D97926"/>
    <w:rsid w:val="00DA0FB0"/>
    <w:rsid w:val="00DA2C57"/>
    <w:rsid w:val="00DA3312"/>
    <w:rsid w:val="00DA3557"/>
    <w:rsid w:val="00DA3DA8"/>
    <w:rsid w:val="00DA4701"/>
    <w:rsid w:val="00DA56F6"/>
    <w:rsid w:val="00DA6F31"/>
    <w:rsid w:val="00DB1F21"/>
    <w:rsid w:val="00DB2B7C"/>
    <w:rsid w:val="00DB300B"/>
    <w:rsid w:val="00DB742F"/>
    <w:rsid w:val="00DB77EA"/>
    <w:rsid w:val="00DB7B66"/>
    <w:rsid w:val="00DC3485"/>
    <w:rsid w:val="00DC4920"/>
    <w:rsid w:val="00DC5212"/>
    <w:rsid w:val="00DC5A5A"/>
    <w:rsid w:val="00DC65F2"/>
    <w:rsid w:val="00DC7876"/>
    <w:rsid w:val="00DC7DD5"/>
    <w:rsid w:val="00DD11D1"/>
    <w:rsid w:val="00DD1F14"/>
    <w:rsid w:val="00DE119E"/>
    <w:rsid w:val="00DE3AB1"/>
    <w:rsid w:val="00DE3ED7"/>
    <w:rsid w:val="00DE6518"/>
    <w:rsid w:val="00DE6CE8"/>
    <w:rsid w:val="00DF00BC"/>
    <w:rsid w:val="00DF0F20"/>
    <w:rsid w:val="00DF1291"/>
    <w:rsid w:val="00DF4475"/>
    <w:rsid w:val="00DF4498"/>
    <w:rsid w:val="00DF6093"/>
    <w:rsid w:val="00E004DD"/>
    <w:rsid w:val="00E013A5"/>
    <w:rsid w:val="00E018E3"/>
    <w:rsid w:val="00E06DC7"/>
    <w:rsid w:val="00E10B4E"/>
    <w:rsid w:val="00E10D45"/>
    <w:rsid w:val="00E1392C"/>
    <w:rsid w:val="00E13D76"/>
    <w:rsid w:val="00E14BC8"/>
    <w:rsid w:val="00E153D8"/>
    <w:rsid w:val="00E1604A"/>
    <w:rsid w:val="00E171FB"/>
    <w:rsid w:val="00E178C3"/>
    <w:rsid w:val="00E22342"/>
    <w:rsid w:val="00E22AC6"/>
    <w:rsid w:val="00E23EF2"/>
    <w:rsid w:val="00E24830"/>
    <w:rsid w:val="00E25ACD"/>
    <w:rsid w:val="00E26FA9"/>
    <w:rsid w:val="00E30ACB"/>
    <w:rsid w:val="00E318A6"/>
    <w:rsid w:val="00E34737"/>
    <w:rsid w:val="00E347E0"/>
    <w:rsid w:val="00E35208"/>
    <w:rsid w:val="00E3548C"/>
    <w:rsid w:val="00E40454"/>
    <w:rsid w:val="00E41C62"/>
    <w:rsid w:val="00E41EE9"/>
    <w:rsid w:val="00E4427B"/>
    <w:rsid w:val="00E44AE4"/>
    <w:rsid w:val="00E44C43"/>
    <w:rsid w:val="00E44E91"/>
    <w:rsid w:val="00E461D4"/>
    <w:rsid w:val="00E46E61"/>
    <w:rsid w:val="00E47E28"/>
    <w:rsid w:val="00E51398"/>
    <w:rsid w:val="00E5413C"/>
    <w:rsid w:val="00E55414"/>
    <w:rsid w:val="00E60CE3"/>
    <w:rsid w:val="00E612DF"/>
    <w:rsid w:val="00E61623"/>
    <w:rsid w:val="00E62285"/>
    <w:rsid w:val="00E62819"/>
    <w:rsid w:val="00E6594D"/>
    <w:rsid w:val="00E6717C"/>
    <w:rsid w:val="00E67B11"/>
    <w:rsid w:val="00E71A3B"/>
    <w:rsid w:val="00E71E25"/>
    <w:rsid w:val="00E7279E"/>
    <w:rsid w:val="00E7559F"/>
    <w:rsid w:val="00E755A1"/>
    <w:rsid w:val="00E83BFB"/>
    <w:rsid w:val="00E8447E"/>
    <w:rsid w:val="00E85387"/>
    <w:rsid w:val="00E856C7"/>
    <w:rsid w:val="00E9045F"/>
    <w:rsid w:val="00E91764"/>
    <w:rsid w:val="00E93A3A"/>
    <w:rsid w:val="00E9553E"/>
    <w:rsid w:val="00E95612"/>
    <w:rsid w:val="00E958FE"/>
    <w:rsid w:val="00E963BE"/>
    <w:rsid w:val="00EA0D4F"/>
    <w:rsid w:val="00EA264B"/>
    <w:rsid w:val="00EA405B"/>
    <w:rsid w:val="00EA76FF"/>
    <w:rsid w:val="00EB0D30"/>
    <w:rsid w:val="00EB20F6"/>
    <w:rsid w:val="00EB2486"/>
    <w:rsid w:val="00EB292A"/>
    <w:rsid w:val="00EB3254"/>
    <w:rsid w:val="00EB3E7D"/>
    <w:rsid w:val="00EB4C26"/>
    <w:rsid w:val="00EB6134"/>
    <w:rsid w:val="00EB7515"/>
    <w:rsid w:val="00EC1809"/>
    <w:rsid w:val="00EC1A6C"/>
    <w:rsid w:val="00EC1F58"/>
    <w:rsid w:val="00EC4A12"/>
    <w:rsid w:val="00EC6403"/>
    <w:rsid w:val="00ED27C5"/>
    <w:rsid w:val="00ED4C50"/>
    <w:rsid w:val="00ED7509"/>
    <w:rsid w:val="00ED7A8E"/>
    <w:rsid w:val="00EE0471"/>
    <w:rsid w:val="00EE15C2"/>
    <w:rsid w:val="00EE38AF"/>
    <w:rsid w:val="00EF0794"/>
    <w:rsid w:val="00EF254B"/>
    <w:rsid w:val="00EF4672"/>
    <w:rsid w:val="00EF4FF2"/>
    <w:rsid w:val="00EF531A"/>
    <w:rsid w:val="00EF5C8F"/>
    <w:rsid w:val="00EF6637"/>
    <w:rsid w:val="00EF7FAC"/>
    <w:rsid w:val="00F022F8"/>
    <w:rsid w:val="00F02C48"/>
    <w:rsid w:val="00F071DE"/>
    <w:rsid w:val="00F10829"/>
    <w:rsid w:val="00F16D07"/>
    <w:rsid w:val="00F16F72"/>
    <w:rsid w:val="00F171DF"/>
    <w:rsid w:val="00F2302F"/>
    <w:rsid w:val="00F241D4"/>
    <w:rsid w:val="00F25193"/>
    <w:rsid w:val="00F27A9B"/>
    <w:rsid w:val="00F311B9"/>
    <w:rsid w:val="00F32279"/>
    <w:rsid w:val="00F33B2C"/>
    <w:rsid w:val="00F34123"/>
    <w:rsid w:val="00F35552"/>
    <w:rsid w:val="00F35DAB"/>
    <w:rsid w:val="00F3613E"/>
    <w:rsid w:val="00F369E8"/>
    <w:rsid w:val="00F3797E"/>
    <w:rsid w:val="00F40C28"/>
    <w:rsid w:val="00F42246"/>
    <w:rsid w:val="00F4342D"/>
    <w:rsid w:val="00F459BE"/>
    <w:rsid w:val="00F45E13"/>
    <w:rsid w:val="00F50C77"/>
    <w:rsid w:val="00F50EC4"/>
    <w:rsid w:val="00F518A3"/>
    <w:rsid w:val="00F53929"/>
    <w:rsid w:val="00F559C3"/>
    <w:rsid w:val="00F56EB8"/>
    <w:rsid w:val="00F57E9E"/>
    <w:rsid w:val="00F61703"/>
    <w:rsid w:val="00F632F9"/>
    <w:rsid w:val="00F64B18"/>
    <w:rsid w:val="00F66D50"/>
    <w:rsid w:val="00F676EE"/>
    <w:rsid w:val="00F70210"/>
    <w:rsid w:val="00F7141F"/>
    <w:rsid w:val="00F74630"/>
    <w:rsid w:val="00F76F2B"/>
    <w:rsid w:val="00F77D61"/>
    <w:rsid w:val="00F82CA8"/>
    <w:rsid w:val="00F864BF"/>
    <w:rsid w:val="00F90600"/>
    <w:rsid w:val="00F9122A"/>
    <w:rsid w:val="00F92480"/>
    <w:rsid w:val="00F92791"/>
    <w:rsid w:val="00F93497"/>
    <w:rsid w:val="00F94E44"/>
    <w:rsid w:val="00F94F7F"/>
    <w:rsid w:val="00F95629"/>
    <w:rsid w:val="00F96A13"/>
    <w:rsid w:val="00FA1A2E"/>
    <w:rsid w:val="00FA2056"/>
    <w:rsid w:val="00FA529B"/>
    <w:rsid w:val="00FA6D2C"/>
    <w:rsid w:val="00FB04B3"/>
    <w:rsid w:val="00FB448E"/>
    <w:rsid w:val="00FB5BF6"/>
    <w:rsid w:val="00FC0593"/>
    <w:rsid w:val="00FC4404"/>
    <w:rsid w:val="00FC526F"/>
    <w:rsid w:val="00FC779A"/>
    <w:rsid w:val="00FD130D"/>
    <w:rsid w:val="00FD1414"/>
    <w:rsid w:val="00FD5A66"/>
    <w:rsid w:val="00FD7336"/>
    <w:rsid w:val="00FD7CE9"/>
    <w:rsid w:val="00FE4906"/>
    <w:rsid w:val="00FE5503"/>
    <w:rsid w:val="00FE7D66"/>
    <w:rsid w:val="00FF144C"/>
    <w:rsid w:val="00FF2ADB"/>
    <w:rsid w:val="00FF3216"/>
    <w:rsid w:val="00FF4C32"/>
    <w:rsid w:val="00FF5C32"/>
    <w:rsid w:val="00FF5C51"/>
    <w:rsid w:val="00FF6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A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qFormat/>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nhideWhenUsed/>
    <w:qFormat/>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nhideWhenUsed/>
    <w:qFormat/>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1"/>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link w:val="NoSpacingChar"/>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customStyle="1" w:styleId="Paragraph">
    <w:name w:val="Paragraph"/>
    <w:basedOn w:val="Normal"/>
    <w:qFormat/>
    <w:rsid w:val="0076600A"/>
    <w:pPr>
      <w:spacing w:after="160" w:line="264" w:lineRule="auto"/>
    </w:pPr>
  </w:style>
  <w:style w:type="character" w:customStyle="1" w:styleId="UnresolvedMention1">
    <w:name w:val="Unresolved Mention1"/>
    <w:basedOn w:val="DefaultParagraphFont"/>
    <w:uiPriority w:val="99"/>
    <w:semiHidden/>
    <w:unhideWhenUsed/>
    <w:rsid w:val="0076600A"/>
    <w:rPr>
      <w:color w:val="605E5C"/>
      <w:shd w:val="clear" w:color="auto" w:fill="E1DFDD"/>
    </w:rPr>
  </w:style>
  <w:style w:type="character" w:customStyle="1" w:styleId="Superscript">
    <w:name w:val="Superscript"/>
    <w:basedOn w:val="DefaultParagraphFont"/>
    <w:qFormat/>
    <w:rsid w:val="005D1160"/>
    <w:rPr>
      <w:vertAlign w:val="superscript"/>
    </w:rPr>
  </w:style>
  <w:style w:type="paragraph" w:customStyle="1" w:styleId="ParagraphContinued">
    <w:name w:val="Paragraph Continued"/>
    <w:basedOn w:val="Paragraph"/>
    <w:next w:val="Paragraph"/>
    <w:qFormat/>
    <w:rsid w:val="005D1160"/>
    <w:pPr>
      <w:spacing w:before="160"/>
    </w:pPr>
  </w:style>
  <w:style w:type="paragraph" w:styleId="ListBullet">
    <w:name w:val="List Bullet"/>
    <w:basedOn w:val="Normal"/>
    <w:qFormat/>
    <w:rsid w:val="0096507C"/>
    <w:pPr>
      <w:numPr>
        <w:numId w:val="30"/>
      </w:numPr>
      <w:spacing w:after="80" w:line="264" w:lineRule="auto"/>
    </w:pPr>
  </w:style>
  <w:style w:type="character" w:styleId="FollowedHyperlink">
    <w:name w:val="FollowedHyperlink"/>
    <w:basedOn w:val="DefaultParagraphFont"/>
    <w:uiPriority w:val="99"/>
    <w:semiHidden/>
    <w:unhideWhenUsed/>
    <w:rsid w:val="00FC0593"/>
    <w:rPr>
      <w:color w:val="800080" w:themeColor="followedHyperlink"/>
      <w:u w:val="single"/>
    </w:rPr>
  </w:style>
  <w:style w:type="paragraph" w:customStyle="1" w:styleId="NormalSS">
    <w:name w:val="NormalSS"/>
    <w:basedOn w:val="Normal"/>
    <w:link w:val="NormalSSChar"/>
    <w:qFormat/>
    <w:rsid w:val="00FC0593"/>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basedOn w:val="DefaultParagraphFont"/>
    <w:link w:val="NormalSS"/>
    <w:rsid w:val="00FC0593"/>
    <w:rPr>
      <w:rFonts w:ascii="Garamond" w:eastAsia="Times New Roman" w:hAnsi="Garamond" w:cs="Times New Roman"/>
      <w:sz w:val="24"/>
      <w:szCs w:val="24"/>
    </w:rPr>
  </w:style>
  <w:style w:type="paragraph" w:customStyle="1" w:styleId="TableTextLeft">
    <w:name w:val="Table Text Left"/>
    <w:qFormat/>
    <w:rsid w:val="00531408"/>
    <w:pPr>
      <w:spacing w:before="40" w:after="20" w:line="264" w:lineRule="auto"/>
    </w:pPr>
    <w:rPr>
      <w:rFonts w:asciiTheme="majorHAnsi" w:hAnsiTheme="majorHAnsi"/>
      <w:color w:val="000000" w:themeColor="text1"/>
      <w:sz w:val="18"/>
    </w:rPr>
  </w:style>
  <w:style w:type="paragraph" w:customStyle="1" w:styleId="TableHeaderCenter">
    <w:name w:val="Table Header Center"/>
    <w:basedOn w:val="TableTextLeft"/>
    <w:qFormat/>
    <w:rsid w:val="00531408"/>
    <w:pPr>
      <w:keepNext/>
      <w:jc w:val="center"/>
    </w:pPr>
    <w:rPr>
      <w:color w:val="FFFFFF" w:themeColor="background1"/>
      <w:sz w:val="20"/>
    </w:rPr>
  </w:style>
  <w:style w:type="paragraph" w:customStyle="1" w:styleId="TableHeaderLeft">
    <w:name w:val="Table Header Left"/>
    <w:basedOn w:val="TableTextLeft"/>
    <w:qFormat/>
    <w:rsid w:val="00531408"/>
    <w:pPr>
      <w:keepNext/>
    </w:pPr>
    <w:rPr>
      <w:color w:val="FFFFFF" w:themeColor="background1"/>
      <w:sz w:val="20"/>
    </w:rPr>
  </w:style>
  <w:style w:type="paragraph" w:customStyle="1" w:styleId="TableTitle">
    <w:name w:val="Table Title"/>
    <w:basedOn w:val="Normal"/>
    <w:qFormat/>
    <w:rsid w:val="00531408"/>
    <w:pPr>
      <w:keepNext/>
      <w:keepLines/>
      <w:spacing w:before="40" w:after="40" w:line="264" w:lineRule="auto"/>
    </w:pPr>
    <w:rPr>
      <w:rFonts w:asciiTheme="majorHAnsi" w:hAnsiTheme="majorHAnsi"/>
      <w:b/>
      <w:color w:val="000000" w:themeColor="text1"/>
      <w:sz w:val="20"/>
    </w:rPr>
  </w:style>
  <w:style w:type="table" w:customStyle="1" w:styleId="MathUBaseTable">
    <w:name w:val="MathU Base Table"/>
    <w:basedOn w:val="TableNormal"/>
    <w:uiPriority w:val="99"/>
    <w:rsid w:val="00531408"/>
    <w:pPr>
      <w:spacing w:before="40" w:after="20" w:line="240" w:lineRule="auto"/>
    </w:pPr>
    <w:rPr>
      <w:rFonts w:asciiTheme="majorHAnsi" w:hAnsiTheme="majorHAnsi"/>
      <w:sz w:val="18"/>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TitleRule">
    <w:name w:val="Title Rule"/>
    <w:basedOn w:val="Normal"/>
    <w:qFormat/>
    <w:rsid w:val="00531408"/>
    <w:pPr>
      <w:keepNext/>
      <w:spacing w:before="240" w:after="80" w:line="264" w:lineRule="auto"/>
    </w:pPr>
  </w:style>
  <w:style w:type="character" w:customStyle="1" w:styleId="NoSpacingChar">
    <w:name w:val="No Spacing Char"/>
    <w:link w:val="NoSpacing"/>
    <w:uiPriority w:val="1"/>
    <w:rsid w:val="000076EA"/>
  </w:style>
  <w:style w:type="paragraph" w:styleId="EndnoteText">
    <w:name w:val="endnote text"/>
    <w:basedOn w:val="Normal"/>
    <w:link w:val="EndnoteTextChar"/>
    <w:uiPriority w:val="99"/>
    <w:semiHidden/>
    <w:unhideWhenUsed/>
    <w:rsid w:val="00B261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617F"/>
    <w:rPr>
      <w:sz w:val="20"/>
      <w:szCs w:val="20"/>
    </w:rPr>
  </w:style>
  <w:style w:type="character" w:styleId="EndnoteReference">
    <w:name w:val="endnote reference"/>
    <w:basedOn w:val="DefaultParagraphFont"/>
    <w:uiPriority w:val="99"/>
    <w:semiHidden/>
    <w:unhideWhenUsed/>
    <w:rsid w:val="00B2617F"/>
    <w:rPr>
      <w:vertAlign w:val="superscript"/>
    </w:rPr>
  </w:style>
  <w:style w:type="paragraph" w:customStyle="1" w:styleId="Bullets">
    <w:name w:val="Bullets"/>
    <w:basedOn w:val="BodyText"/>
    <w:link w:val="BulletsChar"/>
    <w:qFormat/>
    <w:rsid w:val="009002A3"/>
    <w:pPr>
      <w:numPr>
        <w:numId w:val="37"/>
      </w:numPr>
      <w:spacing w:line="264" w:lineRule="auto"/>
    </w:pPr>
    <w:rPr>
      <w:rFonts w:ascii="Times New Roman" w:eastAsia="Times New Roman" w:hAnsi="Times New Roman" w:cs="Times New Roman"/>
      <w:szCs w:val="20"/>
    </w:rPr>
  </w:style>
  <w:style w:type="character" w:customStyle="1" w:styleId="BulletsChar">
    <w:name w:val="Bullets Char"/>
    <w:link w:val="Bullets"/>
    <w:locked/>
    <w:rsid w:val="009002A3"/>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9002A3"/>
    <w:pPr>
      <w:spacing w:after="120"/>
    </w:pPr>
  </w:style>
  <w:style w:type="character" w:customStyle="1" w:styleId="BodyTextChar">
    <w:name w:val="Body Text Char"/>
    <w:basedOn w:val="DefaultParagraphFont"/>
    <w:link w:val="BodyText"/>
    <w:uiPriority w:val="99"/>
    <w:semiHidden/>
    <w:rsid w:val="009002A3"/>
  </w:style>
  <w:style w:type="paragraph" w:customStyle="1" w:styleId="Reference">
    <w:name w:val="Reference"/>
    <w:basedOn w:val="ListContinue"/>
    <w:qFormat/>
    <w:rsid w:val="003E30F2"/>
    <w:pPr>
      <w:keepLines/>
      <w:spacing w:after="80" w:line="264" w:lineRule="auto"/>
      <w:ind w:hanging="360"/>
      <w:contextualSpacing w:val="0"/>
    </w:pPr>
  </w:style>
  <w:style w:type="paragraph" w:styleId="ListContinue">
    <w:name w:val="List Continue"/>
    <w:basedOn w:val="Normal"/>
    <w:uiPriority w:val="99"/>
    <w:semiHidden/>
    <w:unhideWhenUsed/>
    <w:rsid w:val="003E30F2"/>
    <w:pPr>
      <w:spacing w:after="120"/>
      <w:ind w:left="360"/>
      <w:contextualSpacing/>
    </w:pPr>
  </w:style>
  <w:style w:type="paragraph" w:customStyle="1" w:styleId="FigureTitle">
    <w:name w:val="Figure Title"/>
    <w:basedOn w:val="Normal"/>
    <w:qFormat/>
    <w:rsid w:val="0000688D"/>
    <w:pPr>
      <w:keepNext/>
      <w:keepLines/>
      <w:spacing w:before="40" w:after="40" w:line="264" w:lineRule="auto"/>
    </w:pPr>
    <w:rPr>
      <w:rFonts w:asciiTheme="majorHAnsi" w:hAnsiTheme="majorHAnsi"/>
      <w:b/>
      <w:color w:val="000000" w:themeColor="text1"/>
      <w:sz w:val="20"/>
    </w:rPr>
  </w:style>
  <w:style w:type="paragraph" w:customStyle="1" w:styleId="H2">
    <w:name w:val="H2"/>
    <w:basedOn w:val="Normal"/>
    <w:next w:val="ParagraphContinued"/>
    <w:qFormat/>
    <w:rsid w:val="0000688D"/>
    <w:pPr>
      <w:keepNext/>
      <w:keepLines/>
      <w:spacing w:before="240" w:after="0" w:line="264" w:lineRule="auto"/>
      <w:ind w:left="432" w:hanging="432"/>
      <w:outlineLvl w:val="2"/>
    </w:pPr>
    <w:rPr>
      <w:rFonts w:asciiTheme="majorHAnsi" w:eastAsiaTheme="majorEastAsia" w:hAnsiTheme="majorHAnsi" w:cstheme="majorBidi"/>
      <w:color w:val="1F497D" w:themeColor="text2"/>
      <w:sz w:val="24"/>
      <w:szCs w:val="32"/>
    </w:rPr>
  </w:style>
  <w:style w:type="paragraph" w:customStyle="1" w:styleId="H3">
    <w:name w:val="H3"/>
    <w:basedOn w:val="Normal"/>
    <w:next w:val="ParagraphContinued"/>
    <w:qFormat/>
    <w:rsid w:val="0000688D"/>
    <w:pPr>
      <w:keepNext/>
      <w:keepLines/>
      <w:spacing w:before="240" w:after="0" w:line="264" w:lineRule="auto"/>
      <w:ind w:left="432" w:hanging="432"/>
      <w:outlineLvl w:val="3"/>
    </w:pPr>
    <w:rPr>
      <w:rFonts w:eastAsiaTheme="majorEastAsia" w:cstheme="majorBidi"/>
      <w:b/>
      <w:color w:val="000000" w:themeColor="text1"/>
      <w:szCs w:val="32"/>
    </w:rPr>
  </w:style>
  <w:style w:type="paragraph" w:customStyle="1" w:styleId="H4">
    <w:name w:val="H4"/>
    <w:basedOn w:val="Normal"/>
    <w:next w:val="ParagraphContinued"/>
    <w:qFormat/>
    <w:rsid w:val="00057C97"/>
    <w:pPr>
      <w:keepNext/>
      <w:keepLines/>
      <w:spacing w:before="240" w:after="0" w:line="264" w:lineRule="auto"/>
      <w:ind w:left="432" w:hanging="432"/>
      <w:outlineLvl w:val="4"/>
    </w:pPr>
    <w:rPr>
      <w:rFonts w:eastAsiaTheme="majorEastAsia" w:cstheme="majorBidi"/>
      <w:i/>
      <w:color w:val="000000" w:themeColor="text1"/>
      <w:szCs w:val="32"/>
    </w:rPr>
  </w:style>
  <w:style w:type="paragraph" w:customStyle="1" w:styleId="TableFootnote">
    <w:name w:val="Table Footnote"/>
    <w:basedOn w:val="Normal"/>
    <w:qFormat/>
    <w:rsid w:val="00057C97"/>
    <w:pPr>
      <w:spacing w:before="40" w:after="60" w:line="264" w:lineRule="auto"/>
    </w:pPr>
    <w:rPr>
      <w:rFonts w:asciiTheme="majorHAnsi" w:hAnsiTheme="majorHAnsi"/>
      <w:color w:val="000000" w:themeColor="text1"/>
      <w:sz w:val="18"/>
    </w:rPr>
  </w:style>
  <w:style w:type="paragraph" w:customStyle="1" w:styleId="TableSource">
    <w:name w:val="Table Source"/>
    <w:basedOn w:val="Normal"/>
    <w:qFormat/>
    <w:rsid w:val="00057C97"/>
    <w:pPr>
      <w:spacing w:before="40" w:after="60" w:line="264" w:lineRule="auto"/>
      <w:ind w:left="792" w:hanging="792"/>
    </w:pPr>
    <w:rPr>
      <w:rFonts w:asciiTheme="majorHAnsi" w:hAnsiTheme="majorHAnsi"/>
      <w:color w:val="000000" w:themeColor="text1"/>
      <w:sz w:val="18"/>
    </w:rPr>
  </w:style>
  <w:style w:type="paragraph" w:customStyle="1" w:styleId="TableTextDecimal">
    <w:name w:val="Table Text Decimal"/>
    <w:basedOn w:val="TableTextLeft"/>
    <w:qFormat/>
    <w:rsid w:val="00057C97"/>
    <w:pPr>
      <w:tabs>
        <w:tab w:val="decimal" w:pos="576"/>
      </w:tabs>
    </w:pPr>
  </w:style>
  <w:style w:type="character" w:styleId="UnresolvedMention">
    <w:name w:val="Unresolved Mention"/>
    <w:basedOn w:val="DefaultParagraphFont"/>
    <w:uiPriority w:val="99"/>
    <w:semiHidden/>
    <w:unhideWhenUsed/>
    <w:rsid w:val="00A85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86080">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14278765">
      <w:bodyDiv w:val="1"/>
      <w:marLeft w:val="0"/>
      <w:marRight w:val="0"/>
      <w:marTop w:val="0"/>
      <w:marBottom w:val="0"/>
      <w:divBdr>
        <w:top w:val="none" w:sz="0" w:space="0" w:color="auto"/>
        <w:left w:val="none" w:sz="0" w:space="0" w:color="auto"/>
        <w:bottom w:val="none" w:sz="0" w:space="0" w:color="auto"/>
        <w:right w:val="none" w:sz="0" w:space="0" w:color="auto"/>
      </w:divBdr>
    </w:div>
    <w:div w:id="719596361">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9374895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90740190">
      <w:bodyDiv w:val="1"/>
      <w:marLeft w:val="0"/>
      <w:marRight w:val="0"/>
      <w:marTop w:val="0"/>
      <w:marBottom w:val="0"/>
      <w:divBdr>
        <w:top w:val="none" w:sz="0" w:space="0" w:color="auto"/>
        <w:left w:val="none" w:sz="0" w:space="0" w:color="auto"/>
        <w:bottom w:val="none" w:sz="0" w:space="0" w:color="auto"/>
        <w:right w:val="none" w:sz="0" w:space="0" w:color="auto"/>
      </w:divBdr>
    </w:div>
    <w:div w:id="1310405798">
      <w:bodyDiv w:val="1"/>
      <w:marLeft w:val="0"/>
      <w:marRight w:val="0"/>
      <w:marTop w:val="0"/>
      <w:marBottom w:val="0"/>
      <w:divBdr>
        <w:top w:val="none" w:sz="0" w:space="0" w:color="auto"/>
        <w:left w:val="none" w:sz="0" w:space="0" w:color="auto"/>
        <w:bottom w:val="none" w:sz="0" w:space="0" w:color="auto"/>
        <w:right w:val="none" w:sz="0" w:space="0" w:color="auto"/>
      </w:divBdr>
    </w:div>
    <w:div w:id="1463885254">
      <w:bodyDiv w:val="1"/>
      <w:marLeft w:val="0"/>
      <w:marRight w:val="0"/>
      <w:marTop w:val="0"/>
      <w:marBottom w:val="0"/>
      <w:divBdr>
        <w:top w:val="none" w:sz="0" w:space="0" w:color="auto"/>
        <w:left w:val="none" w:sz="0" w:space="0" w:color="auto"/>
        <w:bottom w:val="none" w:sz="0" w:space="0" w:color="auto"/>
        <w:right w:val="none" w:sz="0" w:space="0" w:color="auto"/>
      </w:divBdr>
    </w:div>
    <w:div w:id="1470055315">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1985351140">
      <w:bodyDiv w:val="1"/>
      <w:marLeft w:val="0"/>
      <w:marRight w:val="0"/>
      <w:marTop w:val="0"/>
      <w:marBottom w:val="0"/>
      <w:divBdr>
        <w:top w:val="none" w:sz="0" w:space="0" w:color="auto"/>
        <w:left w:val="none" w:sz="0" w:space="0" w:color="auto"/>
        <w:bottom w:val="none" w:sz="0" w:space="0" w:color="auto"/>
        <w:right w:val="none" w:sz="0" w:space="0" w:color="auto"/>
      </w:divBdr>
    </w:div>
    <w:div w:id="2134322735">
      <w:bodyDiv w:val="1"/>
      <w:marLeft w:val="0"/>
      <w:marRight w:val="0"/>
      <w:marTop w:val="0"/>
      <w:marBottom w:val="0"/>
      <w:divBdr>
        <w:top w:val="none" w:sz="0" w:space="0" w:color="auto"/>
        <w:left w:val="none" w:sz="0" w:space="0" w:color="auto"/>
        <w:bottom w:val="none" w:sz="0" w:space="0" w:color="auto"/>
        <w:right w:val="none" w:sz="0" w:space="0" w:color="auto"/>
      </w:divBdr>
    </w:div>
    <w:div w:id="2140756240">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cki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dacan.acf.hhs.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Clary@mathematica-mp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cbradley/AppData/Local/Microsoft/Windows/INetCache/Content.Outlook/L7B4TX7G/clinicaltrials.gov" TargetMode="External"/><Relationship Id="rId5" Type="http://schemas.openxmlformats.org/officeDocument/2006/relationships/numbering" Target="numbering.xml"/><Relationship Id="rId15" Type="http://schemas.openxmlformats.org/officeDocument/2006/relationships/hyperlink" Target="mailto:Li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0F4E4E84B7C441AC610F4E356DF03D" ma:contentTypeVersion="5" ma:contentTypeDescription="Create a new document." ma:contentTypeScope="" ma:versionID="63353f774a8baae1bfad5db1f681ebcd">
  <xsd:schema xmlns:xsd="http://www.w3.org/2001/XMLSchema" xmlns:xs="http://www.w3.org/2001/XMLSchema" xmlns:p="http://schemas.microsoft.com/office/2006/metadata/properties" xmlns:ns2="16868fb1-993d-421e-b732-a02f4826644f" xmlns:ns3="9047fb6c-9071-4514-aa56-f9611b5b8f3d" targetNamespace="http://schemas.microsoft.com/office/2006/metadata/properties" ma:root="true" ma:fieldsID="2034d58821c6013fa70d75d12d786204" ns2:_="" ns3:_="">
    <xsd:import namespace="16868fb1-993d-421e-b732-a02f4826644f"/>
    <xsd:import namespace="9047fb6c-9071-4514-aa56-f9611b5b8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nclude_x0020_in_x0020_Transition_x0020_Material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8fb1-993d-421e-b732-a02f48266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7fb6c-9071-4514-aa56-f9611b5b8f3d" elementFormDefault="qualified">
    <xsd:import namespace="http://schemas.microsoft.com/office/2006/documentManagement/types"/>
    <xsd:import namespace="http://schemas.microsoft.com/office/infopath/2007/PartnerControls"/>
    <xsd:element name="Include_x0020_in_x0020_Transition_x0020_Materials" ma:index="12" ma:displayName="Include in Transition Materials" ma:default="Do not include" ma:description="Indicator that should be included in transition materials" ma:format="Dropdown" ma:internalName="Include_x0020_in_x0020_Transition_x0020_Materials" ma:readOnly="false">
      <xsd:simpleType>
        <xsd:restriction base="dms:Choice">
          <xsd:enumeration value="Do not include"/>
          <xsd:enumeration value="Include (not documented)"/>
          <xsd:enumeration value="Included (documen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clude_x0020_in_x0020_Transition_x0020_Materials xmlns="9047fb6c-9071-4514-aa56-f9611b5b8f3d">Include (not documented)</Include_x0020_in_x0020_Transition_x0020_Materials>
  </documentManagement>
</p:properties>
</file>

<file path=customXml/itemProps1.xml><?xml version="1.0" encoding="utf-8"?>
<ds:datastoreItem xmlns:ds="http://schemas.openxmlformats.org/officeDocument/2006/customXml" ds:itemID="{DF8656AF-6753-44E8-9CC3-4409EEB66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8fb1-993d-421e-b732-a02f4826644f"/>
    <ds:schemaRef ds:uri="9047fb6c-9071-4514-aa56-f9611b5b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1BFDCE-6CB8-4C61-8593-760122E9297B}">
  <ds:schemaRefs>
    <ds:schemaRef ds:uri="http://schemas.openxmlformats.org/officeDocument/2006/bibliography"/>
  </ds:schemaRefs>
</ds:datastoreItem>
</file>

<file path=customXml/itemProps3.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4.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9047fb6c-9071-4514-aa56-f9611b5b8f3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6053</Words>
  <Characters>34508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Thomas</dc:creator>
  <cp:lastModifiedBy>Mathematica</cp:lastModifiedBy>
  <cp:revision>3</cp:revision>
  <cp:lastPrinted>2021-01-30T15:28:00Z</cp:lastPrinted>
  <dcterms:created xsi:type="dcterms:W3CDTF">2022-06-07T17:00:00Z</dcterms:created>
  <dcterms:modified xsi:type="dcterms:W3CDTF">2022-06-07T17:00:00Z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0x010100700F4E4E84B7C441AC610F4E356DF03D</vt:lpwstr>
  </property>
  <property fmtid="{D5CDD505-2E9C-101B-9397-08002B2CF9AE}" pid="3" name="URL">
    <vt:lpwstr/>
  </property>
  <property fmtid="{D5CDD505-2E9C-101B-9397-08002B2CF9AE}" pid="4" name="Order">
    <vt:r8>97900</vt:r8>
  </property>
  <property fmtid="{D5CDD505-2E9C-101B-9397-08002B2CF9AE}" pid="5" name="_ExtendedDescription">
    <vt:lpwstr/>
  </property>
  <property fmtid="{D5CDD505-2E9C-101B-9397-08002B2CF9AE}" pid="6" name="TriggerFlowInfo">
    <vt:lpwstr/>
  </property>
</Properties>
</file>