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08" w:type="dxa"/>
        <w:tblBorders>
          <w:top w:val="nil"/>
          <w:left w:val="nil"/>
          <w:bottom w:val="nil"/>
          <w:right w:val="nil"/>
        </w:tblBorders>
        <w:tblLook w:val="0000" w:firstRow="0" w:lastRow="0" w:firstColumn="0" w:lastColumn="0" w:noHBand="0" w:noVBand="0"/>
      </w:tblPr>
      <w:tblGrid>
        <w:gridCol w:w="11057"/>
      </w:tblGrid>
      <w:tr w:rsidR="00FE0DC4" w:rsidRPr="00C26BB4" w14:paraId="05EAA17D" w14:textId="77777777" w:rsidTr="000546D4">
        <w:trPr>
          <w:trHeight w:val="881"/>
        </w:trPr>
        <w:tc>
          <w:tcPr>
            <w:tcW w:w="6960" w:type="dxa"/>
            <w:tcBorders>
              <w:top w:val="single" w:sz="4" w:space="0" w:color="000000"/>
              <w:bottom w:val="single" w:sz="8" w:space="0" w:color="000000"/>
              <w:right w:val="single" w:sz="8" w:space="0" w:color="000000"/>
            </w:tcBorders>
            <w:vAlign w:val="center"/>
          </w:tcPr>
          <w:p w14:paraId="656CB7B2" w14:textId="77777777" w:rsidR="00FE0DC4" w:rsidRDefault="00FE0DC4" w:rsidP="000546D4">
            <w:pPr>
              <w:autoSpaceDE w:val="0"/>
              <w:autoSpaceDN w:val="0"/>
              <w:adjustRightInd w:val="0"/>
              <w:rPr>
                <w:rFonts w:ascii="Arial" w:hAnsi="Arial"/>
                <w:sz w:val="18"/>
                <w:szCs w:val="20"/>
              </w:rPr>
            </w:pPr>
            <w:bookmarkStart w:id="0" w:name="_GoBack"/>
            <w:bookmarkEnd w:id="0"/>
          </w:p>
          <w:p w14:paraId="16D0252C" w14:textId="5EB71716" w:rsidR="00FE0DC4" w:rsidRPr="006A03D5" w:rsidRDefault="009C3B9B" w:rsidP="000546D4">
            <w:pPr>
              <w:rPr>
                <w:rFonts w:asciiTheme="minorHAnsi" w:hAnsiTheme="minorHAnsi" w:cstheme="minorHAnsi"/>
                <w:sz w:val="22"/>
                <w:szCs w:val="20"/>
              </w:rPr>
            </w:pPr>
            <w:r w:rsidRPr="006A03D5">
              <w:rPr>
                <w:rFonts w:asciiTheme="minorHAnsi" w:hAnsiTheme="minorHAnsi" w:cstheme="minorHAnsi"/>
                <w:sz w:val="22"/>
                <w:szCs w:val="20"/>
              </w:rPr>
              <w:t>Information in red text provides guidance for the completion of Appendix B</w:t>
            </w:r>
            <w:r w:rsidR="006A03D5">
              <w:rPr>
                <w:rFonts w:asciiTheme="minorHAnsi" w:hAnsiTheme="minorHAnsi" w:cstheme="minorHAnsi"/>
                <w:sz w:val="22"/>
                <w:szCs w:val="20"/>
              </w:rPr>
              <w:t>, Section B-01</w:t>
            </w:r>
            <w:r w:rsidR="006A03D5" w:rsidRPr="006A03D5">
              <w:rPr>
                <w:rFonts w:asciiTheme="minorHAnsi" w:hAnsiTheme="minorHAnsi" w:cstheme="minorHAnsi"/>
                <w:sz w:val="22"/>
                <w:szCs w:val="20"/>
              </w:rPr>
              <w:t xml:space="preserve"> </w:t>
            </w:r>
            <w:r w:rsidRPr="006A03D5">
              <w:rPr>
                <w:rFonts w:asciiTheme="minorHAnsi" w:hAnsiTheme="minorHAnsi" w:cstheme="minorHAnsi"/>
                <w:sz w:val="22"/>
                <w:szCs w:val="20"/>
              </w:rPr>
              <w:t xml:space="preserve">of the ACF-OGM-SF-PPR. </w:t>
            </w:r>
          </w:p>
          <w:p w14:paraId="4A2EC5FA" w14:textId="77777777" w:rsidR="009C3B9B" w:rsidRDefault="009C3B9B" w:rsidP="000546D4">
            <w:pPr>
              <w:rPr>
                <w:rFonts w:ascii="Arial" w:hAnsi="Arial"/>
                <w:sz w:val="18"/>
                <w:szCs w:val="20"/>
              </w:rPr>
            </w:pPr>
          </w:p>
          <w:tbl>
            <w:tblPr>
              <w:tblW w:w="8603" w:type="dxa"/>
              <w:tblCellMar>
                <w:left w:w="0" w:type="dxa"/>
                <w:right w:w="0" w:type="dxa"/>
              </w:tblCellMar>
              <w:tblLook w:val="04A0" w:firstRow="1" w:lastRow="0" w:firstColumn="1" w:lastColumn="0" w:noHBand="0" w:noVBand="1"/>
            </w:tblPr>
            <w:tblGrid>
              <w:gridCol w:w="6720"/>
              <w:gridCol w:w="960"/>
              <w:gridCol w:w="923"/>
            </w:tblGrid>
            <w:tr w:rsidR="00FE0DC4" w14:paraId="641CA362" w14:textId="77777777" w:rsidTr="000546D4">
              <w:trPr>
                <w:trHeight w:val="300"/>
              </w:trPr>
              <w:tc>
                <w:tcPr>
                  <w:tcW w:w="6720" w:type="dxa"/>
                  <w:tcBorders>
                    <w:top w:val="single" w:sz="8" w:space="0" w:color="auto"/>
                    <w:left w:val="single" w:sz="8" w:space="0" w:color="auto"/>
                    <w:bottom w:val="single" w:sz="8" w:space="0" w:color="auto"/>
                    <w:right w:val="single" w:sz="8" w:space="0" w:color="000000"/>
                  </w:tcBorders>
                  <w:shd w:val="clear" w:color="auto" w:fill="8DB4E2"/>
                  <w:noWrap/>
                  <w:tcMar>
                    <w:top w:w="0" w:type="dxa"/>
                    <w:left w:w="108" w:type="dxa"/>
                    <w:bottom w:w="0" w:type="dxa"/>
                    <w:right w:w="108" w:type="dxa"/>
                  </w:tcMar>
                  <w:vAlign w:val="center"/>
                  <w:hideMark/>
                </w:tcPr>
                <w:p w14:paraId="7F6DDC1C" w14:textId="77777777" w:rsidR="00FE0DC4" w:rsidRPr="00077ECD" w:rsidRDefault="00FE0DC4" w:rsidP="000546D4">
                  <w:pPr>
                    <w:jc w:val="center"/>
                    <w:rPr>
                      <w:rFonts w:ascii="Calibri" w:eastAsia="Calibri" w:hAnsi="Calibri"/>
                      <w:b/>
                      <w:color w:val="000000"/>
                      <w:sz w:val="22"/>
                      <w:szCs w:val="22"/>
                    </w:rPr>
                  </w:pPr>
                  <w:r w:rsidRPr="00077ECD">
                    <w:rPr>
                      <w:rFonts w:ascii="Calibri" w:hAnsi="Calibri"/>
                      <w:b/>
                      <w:color w:val="000000"/>
                      <w:sz w:val="22"/>
                    </w:rPr>
                    <w:t>Home Study</w:t>
                  </w:r>
                </w:p>
              </w:tc>
              <w:tc>
                <w:tcPr>
                  <w:tcW w:w="960" w:type="dxa"/>
                  <w:tcBorders>
                    <w:top w:val="single" w:sz="8" w:space="0" w:color="auto"/>
                    <w:left w:val="nil"/>
                    <w:bottom w:val="single" w:sz="8" w:space="0" w:color="auto"/>
                    <w:right w:val="single" w:sz="8" w:space="0" w:color="auto"/>
                  </w:tcBorders>
                  <w:shd w:val="clear" w:color="auto" w:fill="8DB4E2"/>
                  <w:noWrap/>
                  <w:tcMar>
                    <w:top w:w="0" w:type="dxa"/>
                    <w:left w:w="108" w:type="dxa"/>
                    <w:bottom w:w="0" w:type="dxa"/>
                    <w:right w:w="108" w:type="dxa"/>
                  </w:tcMar>
                  <w:vAlign w:val="center"/>
                  <w:hideMark/>
                </w:tcPr>
                <w:p w14:paraId="34A22BA3" w14:textId="77777777" w:rsidR="00FE0DC4" w:rsidRDefault="00FE0DC4" w:rsidP="000546D4">
                  <w:pPr>
                    <w:jc w:val="center"/>
                    <w:rPr>
                      <w:rFonts w:ascii="Calibri" w:hAnsi="Calibri"/>
                      <w:color w:val="000000"/>
                      <w:sz w:val="22"/>
                    </w:rPr>
                  </w:pPr>
                  <w:r w:rsidRPr="00077ECD">
                    <w:rPr>
                      <w:rFonts w:ascii="Calibri" w:hAnsi="Calibri"/>
                      <w:color w:val="000000"/>
                      <w:sz w:val="22"/>
                    </w:rPr>
                    <w:t xml:space="preserve">Quarter </w:t>
                  </w:r>
                  <w:r>
                    <w:rPr>
                      <w:rFonts w:ascii="Calibri" w:hAnsi="Calibri"/>
                      <w:color w:val="000000"/>
                      <w:sz w:val="22"/>
                    </w:rPr>
                    <w:t>1</w:t>
                  </w:r>
                </w:p>
                <w:p w14:paraId="4C70E3A8" w14:textId="77777777" w:rsidR="00FE0DC4" w:rsidRPr="00FE0DC4" w:rsidRDefault="00FE0DC4" w:rsidP="000546D4">
                  <w:pPr>
                    <w:jc w:val="center"/>
                    <w:rPr>
                      <w:rFonts w:ascii="Calibri" w:eastAsia="Calibri" w:hAnsi="Calibri"/>
                      <w:color w:val="FF0000"/>
                      <w:sz w:val="22"/>
                      <w:szCs w:val="22"/>
                    </w:rPr>
                  </w:pPr>
                  <w:r>
                    <w:rPr>
                      <w:rFonts w:ascii="Calibri" w:hAnsi="Calibri"/>
                      <w:color w:val="FF0000"/>
                      <w:sz w:val="22"/>
                    </w:rPr>
                    <w:t>Change each quarter</w:t>
                  </w:r>
                </w:p>
              </w:tc>
              <w:tc>
                <w:tcPr>
                  <w:tcW w:w="923" w:type="dxa"/>
                  <w:tcBorders>
                    <w:top w:val="single" w:sz="8" w:space="0" w:color="auto"/>
                    <w:left w:val="nil"/>
                    <w:bottom w:val="single" w:sz="8" w:space="0" w:color="auto"/>
                    <w:right w:val="single" w:sz="8" w:space="0" w:color="auto"/>
                  </w:tcBorders>
                  <w:shd w:val="clear" w:color="auto" w:fill="8DB4E2"/>
                  <w:noWrap/>
                  <w:tcMar>
                    <w:top w:w="0" w:type="dxa"/>
                    <w:left w:w="108" w:type="dxa"/>
                    <w:bottom w:w="0" w:type="dxa"/>
                    <w:right w:w="108" w:type="dxa"/>
                  </w:tcMar>
                  <w:vAlign w:val="center"/>
                  <w:hideMark/>
                </w:tcPr>
                <w:p w14:paraId="21DA7CE6"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Annual</w:t>
                  </w:r>
                </w:p>
                <w:p w14:paraId="55F6475D" w14:textId="7164BDDC" w:rsidR="00FE0DC4" w:rsidRPr="00077ECD" w:rsidRDefault="00FE0DC4" w:rsidP="00B0263B">
                  <w:pPr>
                    <w:jc w:val="center"/>
                    <w:rPr>
                      <w:rFonts w:ascii="Calibri" w:eastAsia="Calibri" w:hAnsi="Calibri"/>
                      <w:color w:val="000000"/>
                      <w:sz w:val="22"/>
                      <w:szCs w:val="22"/>
                    </w:rPr>
                  </w:pPr>
                  <w:r w:rsidRPr="00077ECD">
                    <w:rPr>
                      <w:rFonts w:ascii="Calibri" w:hAnsi="Calibri"/>
                      <w:color w:val="000000"/>
                      <w:sz w:val="22"/>
                    </w:rPr>
                    <w:t>FY</w:t>
                  </w:r>
                  <w:r w:rsidR="00B0263B">
                    <w:rPr>
                      <w:rFonts w:ascii="Calibri" w:hAnsi="Calibri"/>
                      <w:color w:val="000000"/>
                      <w:sz w:val="22"/>
                    </w:rPr>
                    <w:t>19</w:t>
                  </w:r>
                </w:p>
              </w:tc>
            </w:tr>
            <w:tr w:rsidR="00FE0DC4" w14:paraId="593BC104"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39B4D652" w14:textId="77777777" w:rsidR="00FE0DC4" w:rsidRDefault="00FE0DC4" w:rsidP="000546D4">
                  <w:pPr>
                    <w:jc w:val="center"/>
                    <w:rPr>
                      <w:rFonts w:ascii="Calibri" w:hAnsi="Calibri"/>
                      <w:color w:val="000000"/>
                      <w:sz w:val="22"/>
                    </w:rPr>
                  </w:pPr>
                  <w:r>
                    <w:rPr>
                      <w:rFonts w:ascii="Calibri" w:hAnsi="Calibri"/>
                      <w:color w:val="000000"/>
                      <w:sz w:val="22"/>
                    </w:rPr>
                    <w:t>TVPRA</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98EDAF5"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872DAAC" w14:textId="77777777" w:rsidR="00FE0DC4" w:rsidRPr="00077ECD" w:rsidRDefault="00FE0DC4" w:rsidP="000546D4">
                  <w:pPr>
                    <w:jc w:val="center"/>
                    <w:rPr>
                      <w:rFonts w:ascii="Calibri" w:eastAsia="Calibri" w:hAnsi="Calibri"/>
                      <w:color w:val="000000"/>
                      <w:sz w:val="22"/>
                      <w:szCs w:val="22"/>
                    </w:rPr>
                  </w:pPr>
                </w:p>
              </w:tc>
            </w:tr>
            <w:tr w:rsidR="00FE0DC4" w14:paraId="4C881339"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646889B2"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New Cases</w:t>
                  </w:r>
                  <w:r w:rsidRPr="00077ECD">
                    <w:rPr>
                      <w:rFonts w:ascii="Calibri" w:hAnsi="Calibri"/>
                      <w:color w:val="000000"/>
                      <w:sz w:val="22"/>
                    </w:rPr>
                    <w:t xml:space="preserve"> Accepted</w:t>
                  </w:r>
                  <w:r w:rsidRPr="00A528AB">
                    <w:rPr>
                      <w:rFonts w:ascii="Calibri" w:hAnsi="Calibri"/>
                      <w:color w:val="FF0000"/>
                    </w:rPr>
                    <w:t>-The total number of new (</w:t>
                  </w:r>
                  <w:r w:rsidR="00976B4F">
                    <w:rPr>
                      <w:rFonts w:ascii="Calibri" w:hAnsi="Calibri"/>
                      <w:color w:val="FF0000"/>
                    </w:rPr>
                    <w:t>not previously active) TVPRA home studies</w:t>
                  </w:r>
                  <w:r w:rsidRPr="00A528AB">
                    <w:rPr>
                      <w:rFonts w:ascii="Calibri" w:hAnsi="Calibri"/>
                      <w:color w:val="FF0000"/>
                    </w:rPr>
                    <w:t xml:space="preserve"> accepted during the </w:t>
                  </w:r>
                  <w:r>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776A4D"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 </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535D063" w14:textId="77777777" w:rsidR="00FE0DC4" w:rsidRPr="00077ECD" w:rsidRDefault="00FE0DC4" w:rsidP="000546D4">
                  <w:pPr>
                    <w:jc w:val="center"/>
                    <w:rPr>
                      <w:rFonts w:ascii="Calibri" w:eastAsia="Calibri" w:hAnsi="Calibri"/>
                      <w:color w:val="000000"/>
                      <w:sz w:val="22"/>
                      <w:szCs w:val="22"/>
                    </w:rPr>
                  </w:pPr>
                </w:p>
              </w:tc>
            </w:tr>
            <w:tr w:rsidR="00FE0DC4" w14:paraId="3627B753"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1B564076" w14:textId="77777777" w:rsidR="00FE0DC4" w:rsidRPr="00077ECD" w:rsidRDefault="00FE0DC4" w:rsidP="000546D4">
                  <w:pPr>
                    <w:rPr>
                      <w:rFonts w:ascii="Calibri" w:eastAsia="Calibri" w:hAnsi="Calibri"/>
                      <w:color w:val="000000"/>
                      <w:sz w:val="22"/>
                      <w:szCs w:val="22"/>
                    </w:rPr>
                  </w:pPr>
                  <w:r>
                    <w:rPr>
                      <w:rFonts w:ascii="Calibri" w:eastAsia="Calibri" w:hAnsi="Calibri"/>
                      <w:color w:val="000000"/>
                      <w:sz w:val="22"/>
                      <w:szCs w:val="22"/>
                    </w:rPr>
                    <w:t>Number of Cases Cancelled</w:t>
                  </w:r>
                  <w:r w:rsidRPr="00A528AB">
                    <w:rPr>
                      <w:rFonts w:ascii="Calibri" w:hAnsi="Calibri"/>
                      <w:color w:val="FF0000"/>
                    </w:rPr>
                    <w:t xml:space="preserve"> The total number</w:t>
                  </w:r>
                  <w:r w:rsidR="00976B4F">
                    <w:rPr>
                      <w:rFonts w:ascii="Calibri" w:hAnsi="Calibri"/>
                      <w:color w:val="FF0000"/>
                    </w:rPr>
                    <w:t xml:space="preserve"> of TVPRA home studies </w:t>
                  </w:r>
                  <w:r>
                    <w:rPr>
                      <w:rFonts w:ascii="Calibri" w:hAnsi="Calibri"/>
                      <w:color w:val="FF0000"/>
                    </w:rPr>
                    <w:t xml:space="preserve">accepted but cancelled </w:t>
                  </w:r>
                  <w:r w:rsidR="00592A28">
                    <w:rPr>
                      <w:rFonts w:ascii="Calibri" w:hAnsi="Calibri"/>
                      <w:color w:val="FF0000"/>
                    </w:rPr>
                    <w:t xml:space="preserve">(cancelled by anyone for any reason) </w:t>
                  </w:r>
                  <w:r>
                    <w:rPr>
                      <w:rFonts w:ascii="Calibri" w:hAnsi="Calibri"/>
                      <w:color w:val="FF0000"/>
                    </w:rPr>
                    <w:t>during</w:t>
                  </w:r>
                  <w:r w:rsidRPr="00A528AB">
                    <w:rPr>
                      <w:rFonts w:ascii="Calibri" w:hAnsi="Calibri"/>
                      <w:color w:val="FF0000"/>
                    </w:rPr>
                    <w:t xml:space="preserve"> the </w:t>
                  </w:r>
                  <w:r>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F39EAC"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 </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B1B01FA" w14:textId="77777777" w:rsidR="00FE0DC4" w:rsidRPr="00077ECD" w:rsidRDefault="00FE0DC4" w:rsidP="000546D4">
                  <w:pPr>
                    <w:jc w:val="center"/>
                    <w:rPr>
                      <w:rFonts w:ascii="Calibri" w:eastAsia="Calibri" w:hAnsi="Calibri"/>
                      <w:color w:val="000000"/>
                      <w:sz w:val="22"/>
                      <w:szCs w:val="22"/>
                    </w:rPr>
                  </w:pPr>
                </w:p>
              </w:tc>
            </w:tr>
            <w:tr w:rsidR="00FE0DC4" w14:paraId="06449B46"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2CB0CD63"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of Rollover Cases Being Served from P</w:t>
                  </w:r>
                  <w:r w:rsidRPr="00077ECD">
                    <w:rPr>
                      <w:rFonts w:ascii="Calibri" w:hAnsi="Calibri"/>
                      <w:color w:val="000000"/>
                      <w:sz w:val="22"/>
                    </w:rPr>
                    <w:t>revious Fiscal Year</w:t>
                  </w:r>
                  <w:r>
                    <w:rPr>
                      <w:rFonts w:ascii="Calibri" w:hAnsi="Calibri"/>
                      <w:color w:val="FF0000"/>
                    </w:rPr>
                    <w:t>-</w:t>
                  </w:r>
                  <w:r w:rsidRPr="005A2663">
                    <w:rPr>
                      <w:rFonts w:ascii="Calibri" w:hAnsi="Calibri"/>
                      <w:color w:val="FF0000"/>
                    </w:rPr>
                    <w:t>This number should only be reported in quarter one, subsequent quarters the first column will be blank and the number from the first quarter will be carried over each quarter in the annual column to the right.</w:t>
                  </w:r>
                  <w:r>
                    <w:rPr>
                      <w:rFonts w:ascii="Calibri" w:hAnsi="Calibri"/>
                      <w:color w:val="FF0000"/>
                    </w:rPr>
                    <w:t xml:space="preserve"> </w:t>
                  </w:r>
                  <w:r w:rsidR="00976B4F">
                    <w:rPr>
                      <w:rFonts w:ascii="Calibri" w:hAnsi="Calibri"/>
                      <w:color w:val="FF0000"/>
                    </w:rPr>
                    <w:t xml:space="preserve">This number should represent rollover TVPRA home study cases. </w:t>
                  </w:r>
                  <w:r>
                    <w:rPr>
                      <w:rFonts w:ascii="Calibri" w:hAnsi="Calibri"/>
                      <w:color w:val="FF0000"/>
                    </w:rPr>
                    <w:t>Carryover the figure from the first quarter to the annual column for each subsequent reporting period.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5C40777"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C5F120F" w14:textId="77777777" w:rsidR="00FE0DC4" w:rsidRPr="00077ECD" w:rsidRDefault="00FE0DC4" w:rsidP="000546D4">
                  <w:pPr>
                    <w:jc w:val="center"/>
                    <w:rPr>
                      <w:rFonts w:ascii="Calibri" w:eastAsia="Calibri" w:hAnsi="Calibri"/>
                      <w:color w:val="000000"/>
                      <w:sz w:val="22"/>
                      <w:szCs w:val="22"/>
                    </w:rPr>
                  </w:pPr>
                </w:p>
              </w:tc>
            </w:tr>
            <w:tr w:rsidR="00FE0DC4" w14:paraId="15165FA2"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11058D65" w14:textId="77777777" w:rsidR="00FE0DC4" w:rsidRPr="00077ECD" w:rsidRDefault="00FE0DC4" w:rsidP="000546D4">
                  <w:pPr>
                    <w:rPr>
                      <w:rFonts w:ascii="Calibri" w:hAnsi="Calibri"/>
                      <w:color w:val="000000"/>
                      <w:sz w:val="22"/>
                    </w:rPr>
                  </w:pPr>
                  <w:r>
                    <w:rPr>
                      <w:rFonts w:ascii="Calibri" w:hAnsi="Calibri"/>
                      <w:color w:val="000000"/>
                      <w:sz w:val="22"/>
                    </w:rPr>
                    <w:t>Number of Cases Closed</w:t>
                  </w:r>
                  <w:r w:rsidR="00976B4F">
                    <w:rPr>
                      <w:rFonts w:ascii="Calibri" w:hAnsi="Calibri"/>
                      <w:color w:val="000000"/>
                      <w:sz w:val="22"/>
                    </w:rPr>
                    <w:t>-</w:t>
                  </w:r>
                  <w:r w:rsidR="00976B4F" w:rsidRPr="00A528AB">
                    <w:rPr>
                      <w:rFonts w:ascii="Calibri" w:hAnsi="Calibri"/>
                      <w:color w:val="FF0000"/>
                    </w:rPr>
                    <w:t xml:space="preserve"> The total number</w:t>
                  </w:r>
                  <w:r w:rsidR="00976B4F">
                    <w:rPr>
                      <w:rFonts w:ascii="Calibri" w:hAnsi="Calibri"/>
                      <w:color w:val="FF0000"/>
                    </w:rPr>
                    <w:t xml:space="preserve"> of TVPRA home studies closed during</w:t>
                  </w:r>
                  <w:r w:rsidR="00976B4F" w:rsidRPr="00A528AB">
                    <w:rPr>
                      <w:rFonts w:ascii="Calibri" w:hAnsi="Calibri"/>
                      <w:color w:val="FF0000"/>
                    </w:rPr>
                    <w:t xml:space="preserve"> the </w:t>
                  </w:r>
                  <w:r w:rsidR="00976B4F">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D0E21AD"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22EB65A" w14:textId="77777777" w:rsidR="00FE0DC4" w:rsidRPr="00077ECD" w:rsidRDefault="00FE0DC4" w:rsidP="000546D4">
                  <w:pPr>
                    <w:jc w:val="center"/>
                    <w:rPr>
                      <w:rFonts w:ascii="Calibri" w:eastAsia="Calibri" w:hAnsi="Calibri"/>
                      <w:color w:val="000000"/>
                      <w:sz w:val="22"/>
                      <w:szCs w:val="22"/>
                    </w:rPr>
                  </w:pPr>
                </w:p>
              </w:tc>
            </w:tr>
            <w:tr w:rsidR="00FE0DC4" w14:paraId="54E1D998"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165F8187" w14:textId="77777777" w:rsidR="00FE0DC4" w:rsidRDefault="00FE0DC4" w:rsidP="000546D4">
                  <w:pPr>
                    <w:jc w:val="center"/>
                    <w:rPr>
                      <w:rFonts w:ascii="Calibri" w:hAnsi="Calibri"/>
                      <w:color w:val="000000"/>
                      <w:sz w:val="22"/>
                    </w:rPr>
                  </w:pPr>
                  <w:r>
                    <w:rPr>
                      <w:rFonts w:ascii="Calibri" w:hAnsi="Calibri"/>
                      <w:color w:val="000000"/>
                      <w:sz w:val="22"/>
                    </w:rPr>
                    <w:t>ORR Mandated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8F8C9F1"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B6821B5" w14:textId="77777777" w:rsidR="00FE0DC4" w:rsidRPr="00077ECD" w:rsidRDefault="00FE0DC4" w:rsidP="000546D4">
                  <w:pPr>
                    <w:jc w:val="center"/>
                    <w:rPr>
                      <w:rFonts w:ascii="Calibri" w:eastAsia="Calibri" w:hAnsi="Calibri"/>
                      <w:color w:val="000000"/>
                      <w:sz w:val="22"/>
                      <w:szCs w:val="22"/>
                    </w:rPr>
                  </w:pPr>
                </w:p>
              </w:tc>
            </w:tr>
            <w:tr w:rsidR="00FE0DC4" w14:paraId="30E5F4BC"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776588F0"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New cases</w:t>
                  </w:r>
                  <w:r w:rsidRPr="00077ECD">
                    <w:rPr>
                      <w:rFonts w:ascii="Calibri" w:hAnsi="Calibri"/>
                      <w:color w:val="000000"/>
                      <w:sz w:val="22"/>
                    </w:rPr>
                    <w:t xml:space="preserve"> Accepted</w:t>
                  </w:r>
                  <w:r w:rsidR="00976B4F" w:rsidRPr="00A528AB">
                    <w:rPr>
                      <w:rFonts w:ascii="Calibri" w:hAnsi="Calibri"/>
                      <w:color w:val="FF0000"/>
                    </w:rPr>
                    <w:t>-The total number of ne</w:t>
                  </w:r>
                  <w:r w:rsidR="00976B4F">
                    <w:rPr>
                      <w:rFonts w:ascii="Calibri" w:hAnsi="Calibri"/>
                      <w:color w:val="FF0000"/>
                    </w:rPr>
                    <w:t>w (not previously active) ORR mandated home studies that are</w:t>
                  </w:r>
                  <w:r w:rsidR="00976B4F" w:rsidRPr="00A528AB">
                    <w:rPr>
                      <w:rFonts w:ascii="Calibri" w:hAnsi="Calibri"/>
                      <w:color w:val="FF0000"/>
                    </w:rPr>
                    <w:t xml:space="preserve"> accepted during the </w:t>
                  </w:r>
                  <w:r w:rsidR="00976B4F">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434E89"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 </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A288E3F" w14:textId="77777777" w:rsidR="00FE0DC4" w:rsidRPr="00077ECD" w:rsidRDefault="00FE0DC4" w:rsidP="000546D4">
                  <w:pPr>
                    <w:jc w:val="center"/>
                    <w:rPr>
                      <w:rFonts w:ascii="Calibri" w:eastAsia="Calibri" w:hAnsi="Calibri"/>
                      <w:color w:val="000000"/>
                      <w:sz w:val="22"/>
                      <w:szCs w:val="22"/>
                    </w:rPr>
                  </w:pPr>
                </w:p>
              </w:tc>
            </w:tr>
            <w:tr w:rsidR="00FE0DC4" w14:paraId="576C4789"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00EA8EB7" w14:textId="77777777" w:rsidR="00FE0DC4" w:rsidRPr="00077ECD" w:rsidRDefault="00FE0DC4" w:rsidP="000546D4">
                  <w:pPr>
                    <w:rPr>
                      <w:rFonts w:ascii="Calibri" w:eastAsia="Calibri" w:hAnsi="Calibri"/>
                      <w:color w:val="000000"/>
                      <w:sz w:val="22"/>
                      <w:szCs w:val="22"/>
                    </w:rPr>
                  </w:pPr>
                  <w:r>
                    <w:rPr>
                      <w:rFonts w:ascii="Calibri" w:eastAsia="Calibri" w:hAnsi="Calibri"/>
                      <w:color w:val="000000"/>
                      <w:sz w:val="22"/>
                      <w:szCs w:val="22"/>
                    </w:rPr>
                    <w:lastRenderedPageBreak/>
                    <w:t>Number of Cases Cancelled</w:t>
                  </w:r>
                  <w:r w:rsidR="00976B4F" w:rsidRPr="00A528AB">
                    <w:rPr>
                      <w:rFonts w:ascii="Calibri" w:hAnsi="Calibri"/>
                      <w:color w:val="FF0000"/>
                    </w:rPr>
                    <w:t xml:space="preserve"> </w:t>
                  </w:r>
                  <w:r w:rsidR="00976B4F">
                    <w:rPr>
                      <w:rFonts w:ascii="Calibri" w:hAnsi="Calibri"/>
                      <w:color w:val="FF0000"/>
                    </w:rPr>
                    <w:t>-</w:t>
                  </w:r>
                  <w:r w:rsidR="00976B4F" w:rsidRPr="00A528AB">
                    <w:rPr>
                      <w:rFonts w:ascii="Calibri" w:hAnsi="Calibri"/>
                      <w:color w:val="FF0000"/>
                    </w:rPr>
                    <w:t>The total number</w:t>
                  </w:r>
                  <w:r w:rsidR="00976B4F">
                    <w:rPr>
                      <w:rFonts w:ascii="Calibri" w:hAnsi="Calibri"/>
                      <w:color w:val="FF0000"/>
                    </w:rPr>
                    <w:t xml:space="preserve"> of ORR mandated home studies accepted but cancelled </w:t>
                  </w:r>
                  <w:r w:rsidR="00592A28">
                    <w:rPr>
                      <w:rFonts w:ascii="Calibri" w:hAnsi="Calibri"/>
                      <w:color w:val="FF0000"/>
                    </w:rPr>
                    <w:t xml:space="preserve">(cancelled by anyone for any reason) </w:t>
                  </w:r>
                  <w:r w:rsidR="00976B4F">
                    <w:rPr>
                      <w:rFonts w:ascii="Calibri" w:hAnsi="Calibri"/>
                      <w:color w:val="FF0000"/>
                    </w:rPr>
                    <w:t>during</w:t>
                  </w:r>
                  <w:r w:rsidR="00976B4F" w:rsidRPr="00A528AB">
                    <w:rPr>
                      <w:rFonts w:ascii="Calibri" w:hAnsi="Calibri"/>
                      <w:color w:val="FF0000"/>
                    </w:rPr>
                    <w:t xml:space="preserve"> the </w:t>
                  </w:r>
                  <w:r w:rsidR="00976B4F">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71C1B8"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 </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421955F" w14:textId="77777777" w:rsidR="00FE0DC4" w:rsidRPr="00077ECD" w:rsidRDefault="00FE0DC4" w:rsidP="000546D4">
                  <w:pPr>
                    <w:jc w:val="center"/>
                    <w:rPr>
                      <w:rFonts w:ascii="Calibri" w:eastAsia="Calibri" w:hAnsi="Calibri"/>
                      <w:color w:val="000000"/>
                      <w:sz w:val="22"/>
                      <w:szCs w:val="22"/>
                    </w:rPr>
                  </w:pPr>
                </w:p>
              </w:tc>
            </w:tr>
            <w:tr w:rsidR="00FE0DC4" w14:paraId="29EB4CD3"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70012D6E"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of Rollover Cases Being Served from P</w:t>
                  </w:r>
                  <w:r w:rsidRPr="00077ECD">
                    <w:rPr>
                      <w:rFonts w:ascii="Calibri" w:hAnsi="Calibri"/>
                      <w:color w:val="000000"/>
                      <w:sz w:val="22"/>
                    </w:rPr>
                    <w:t>revious Fiscal Year</w:t>
                  </w:r>
                  <w:r w:rsidR="00976B4F">
                    <w:rPr>
                      <w:rFonts w:ascii="Calibri" w:hAnsi="Calibri"/>
                      <w:color w:val="FF0000"/>
                    </w:rPr>
                    <w:t>-</w:t>
                  </w:r>
                  <w:r w:rsidR="00976B4F" w:rsidRPr="005A2663">
                    <w:rPr>
                      <w:rFonts w:ascii="Calibri" w:hAnsi="Calibri"/>
                      <w:color w:val="FF0000"/>
                    </w:rPr>
                    <w:t>This number should only be reported in quarter one, subsequent quarters the first column will be blank and the number from the first quarter will be carried over each quarter in the annual column to the right.</w:t>
                  </w:r>
                  <w:r w:rsidR="00976B4F">
                    <w:rPr>
                      <w:rFonts w:ascii="Calibri" w:hAnsi="Calibri"/>
                      <w:color w:val="FF0000"/>
                    </w:rPr>
                    <w:t xml:space="preserve"> This number should represent rollover ORR mandated home study. Carryover the figure from the first quarter to the annual column for each subsequent reporting period.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838CCEB"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61A4C3B" w14:textId="77777777" w:rsidR="00FE0DC4" w:rsidRPr="00077ECD" w:rsidRDefault="00FE0DC4" w:rsidP="000546D4">
                  <w:pPr>
                    <w:jc w:val="center"/>
                    <w:rPr>
                      <w:rFonts w:ascii="Calibri" w:eastAsia="Calibri" w:hAnsi="Calibri"/>
                      <w:color w:val="000000"/>
                      <w:sz w:val="22"/>
                      <w:szCs w:val="22"/>
                    </w:rPr>
                  </w:pPr>
                </w:p>
              </w:tc>
            </w:tr>
            <w:tr w:rsidR="00FE0DC4" w14:paraId="398082A2"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42EF08E1" w14:textId="77777777" w:rsidR="00FE0DC4" w:rsidRPr="00077ECD" w:rsidRDefault="00FE0DC4" w:rsidP="000546D4">
                  <w:pPr>
                    <w:rPr>
                      <w:rFonts w:ascii="Calibri" w:hAnsi="Calibri"/>
                      <w:color w:val="000000"/>
                      <w:sz w:val="22"/>
                    </w:rPr>
                  </w:pPr>
                  <w:r>
                    <w:rPr>
                      <w:rFonts w:ascii="Calibri" w:hAnsi="Calibri"/>
                      <w:color w:val="000000"/>
                      <w:sz w:val="22"/>
                    </w:rPr>
                    <w:t>Number of Cases Closed</w:t>
                  </w:r>
                  <w:r w:rsidR="00976B4F">
                    <w:rPr>
                      <w:rFonts w:ascii="Calibri" w:hAnsi="Calibri"/>
                      <w:color w:val="FF0000"/>
                      <w:sz w:val="22"/>
                    </w:rPr>
                    <w:t>-</w:t>
                  </w:r>
                  <w:r w:rsidR="00976B4F" w:rsidRPr="00A528AB">
                    <w:rPr>
                      <w:rFonts w:ascii="Calibri" w:hAnsi="Calibri"/>
                      <w:color w:val="FF0000"/>
                    </w:rPr>
                    <w:t xml:space="preserve"> The total number</w:t>
                  </w:r>
                  <w:r w:rsidR="00976B4F">
                    <w:rPr>
                      <w:rFonts w:ascii="Calibri" w:hAnsi="Calibri"/>
                      <w:color w:val="FF0000"/>
                    </w:rPr>
                    <w:t xml:space="preserve"> of mandated home study cases that were closed during</w:t>
                  </w:r>
                  <w:r w:rsidR="00976B4F" w:rsidRPr="00A528AB">
                    <w:rPr>
                      <w:rFonts w:ascii="Calibri" w:hAnsi="Calibri"/>
                      <w:color w:val="FF0000"/>
                    </w:rPr>
                    <w:t xml:space="preserve"> the </w:t>
                  </w:r>
                  <w:r w:rsidR="00976B4F">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7346B7D"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10C8CC0" w14:textId="77777777" w:rsidR="00FE0DC4" w:rsidRPr="00077ECD" w:rsidRDefault="00FE0DC4" w:rsidP="000546D4">
                  <w:pPr>
                    <w:jc w:val="center"/>
                    <w:rPr>
                      <w:rFonts w:ascii="Calibri" w:eastAsia="Calibri" w:hAnsi="Calibri"/>
                      <w:color w:val="000000"/>
                      <w:sz w:val="22"/>
                      <w:szCs w:val="22"/>
                    </w:rPr>
                  </w:pPr>
                </w:p>
              </w:tc>
            </w:tr>
            <w:tr w:rsidR="00FE0DC4" w14:paraId="19620AD0"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12205560" w14:textId="77777777" w:rsidR="00FE0DC4" w:rsidRDefault="00FE0DC4" w:rsidP="000546D4">
                  <w:pPr>
                    <w:jc w:val="center"/>
                    <w:rPr>
                      <w:rFonts w:ascii="Calibri" w:hAnsi="Calibri"/>
                      <w:color w:val="000000"/>
                      <w:sz w:val="22"/>
                    </w:rPr>
                  </w:pPr>
                  <w:r>
                    <w:rPr>
                      <w:rFonts w:ascii="Calibri" w:hAnsi="Calibri"/>
                      <w:color w:val="000000"/>
                      <w:sz w:val="22"/>
                    </w:rPr>
                    <w:t>Discretionary</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D77F327"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DB8109B" w14:textId="77777777" w:rsidR="00FE0DC4" w:rsidRPr="00077ECD" w:rsidRDefault="00FE0DC4" w:rsidP="000546D4">
                  <w:pPr>
                    <w:jc w:val="center"/>
                    <w:rPr>
                      <w:rFonts w:ascii="Calibri" w:eastAsia="Calibri" w:hAnsi="Calibri"/>
                      <w:color w:val="000000"/>
                      <w:sz w:val="22"/>
                      <w:szCs w:val="22"/>
                    </w:rPr>
                  </w:pPr>
                </w:p>
              </w:tc>
            </w:tr>
            <w:tr w:rsidR="00FE0DC4" w14:paraId="43494653"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614594D1"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New cases</w:t>
                  </w:r>
                  <w:r w:rsidRPr="00077ECD">
                    <w:rPr>
                      <w:rFonts w:ascii="Calibri" w:hAnsi="Calibri"/>
                      <w:color w:val="000000"/>
                      <w:sz w:val="22"/>
                    </w:rPr>
                    <w:t xml:space="preserve"> Accepted</w:t>
                  </w:r>
                  <w:r w:rsidR="00976B4F" w:rsidRPr="00A528AB">
                    <w:rPr>
                      <w:rFonts w:ascii="Calibri" w:hAnsi="Calibri"/>
                      <w:color w:val="FF0000"/>
                    </w:rPr>
                    <w:t>-The total number of new (</w:t>
                  </w:r>
                  <w:r w:rsidR="00976B4F">
                    <w:rPr>
                      <w:rFonts w:ascii="Calibri" w:hAnsi="Calibri"/>
                      <w:color w:val="FF0000"/>
                    </w:rPr>
                    <w:t xml:space="preserve">not previously active) discretionary home studies </w:t>
                  </w:r>
                  <w:r w:rsidR="00976B4F" w:rsidRPr="00A528AB">
                    <w:rPr>
                      <w:rFonts w:ascii="Calibri" w:hAnsi="Calibri"/>
                      <w:color w:val="FF0000"/>
                    </w:rPr>
                    <w:t xml:space="preserve">accepted during the </w:t>
                  </w:r>
                  <w:r w:rsidR="00976B4F">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6B0C2A"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 </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6BE72DD" w14:textId="77777777" w:rsidR="00FE0DC4" w:rsidRPr="00077ECD" w:rsidRDefault="00FE0DC4" w:rsidP="000546D4">
                  <w:pPr>
                    <w:jc w:val="center"/>
                    <w:rPr>
                      <w:rFonts w:ascii="Calibri" w:eastAsia="Calibri" w:hAnsi="Calibri"/>
                      <w:color w:val="000000"/>
                      <w:sz w:val="22"/>
                      <w:szCs w:val="22"/>
                    </w:rPr>
                  </w:pPr>
                </w:p>
              </w:tc>
            </w:tr>
            <w:tr w:rsidR="00FE0DC4" w14:paraId="4EA5ECAB"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6D1BC746" w14:textId="77777777" w:rsidR="00FE0DC4" w:rsidRPr="00077ECD" w:rsidRDefault="00FE0DC4" w:rsidP="00A06096">
                  <w:pPr>
                    <w:rPr>
                      <w:rFonts w:ascii="Calibri" w:eastAsia="Calibri" w:hAnsi="Calibri"/>
                      <w:color w:val="000000"/>
                      <w:sz w:val="22"/>
                      <w:szCs w:val="22"/>
                    </w:rPr>
                  </w:pPr>
                  <w:r>
                    <w:rPr>
                      <w:rFonts w:ascii="Calibri" w:eastAsia="Calibri" w:hAnsi="Calibri"/>
                      <w:color w:val="000000"/>
                      <w:sz w:val="22"/>
                      <w:szCs w:val="22"/>
                    </w:rPr>
                    <w:t>Number of Cases Cancelled</w:t>
                  </w:r>
                  <w:r w:rsidR="00976B4F">
                    <w:rPr>
                      <w:rFonts w:ascii="Calibri" w:eastAsia="Calibri" w:hAnsi="Calibri"/>
                      <w:color w:val="000000"/>
                      <w:sz w:val="22"/>
                      <w:szCs w:val="22"/>
                    </w:rPr>
                    <w:t xml:space="preserve"> </w:t>
                  </w:r>
                  <w:r w:rsidR="00976B4F">
                    <w:rPr>
                      <w:rFonts w:ascii="Calibri" w:hAnsi="Calibri"/>
                      <w:color w:val="FF0000"/>
                    </w:rPr>
                    <w:t>-</w:t>
                  </w:r>
                  <w:r w:rsidR="00976B4F" w:rsidRPr="00A528AB">
                    <w:rPr>
                      <w:rFonts w:ascii="Calibri" w:hAnsi="Calibri"/>
                      <w:color w:val="FF0000"/>
                    </w:rPr>
                    <w:t>The total number</w:t>
                  </w:r>
                  <w:r w:rsidR="00976B4F">
                    <w:rPr>
                      <w:rFonts w:ascii="Calibri" w:hAnsi="Calibri"/>
                      <w:color w:val="FF0000"/>
                    </w:rPr>
                    <w:t xml:space="preserve"> of discretionary home studies accepted but cancelled </w:t>
                  </w:r>
                  <w:r w:rsidR="00592A28">
                    <w:rPr>
                      <w:rFonts w:ascii="Calibri" w:hAnsi="Calibri"/>
                      <w:color w:val="FF0000"/>
                    </w:rPr>
                    <w:t xml:space="preserve">(cancelled by anyone for any reason) </w:t>
                  </w:r>
                  <w:r w:rsidR="00976B4F">
                    <w:rPr>
                      <w:rFonts w:ascii="Calibri" w:hAnsi="Calibri"/>
                      <w:color w:val="FF0000"/>
                    </w:rPr>
                    <w:t>during</w:t>
                  </w:r>
                  <w:r w:rsidR="00976B4F" w:rsidRPr="00A528AB">
                    <w:rPr>
                      <w:rFonts w:ascii="Calibri" w:hAnsi="Calibri"/>
                      <w:color w:val="FF0000"/>
                    </w:rPr>
                    <w:t xml:space="preserve"> the </w:t>
                  </w:r>
                  <w:r w:rsidR="00976B4F">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B8C290"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 </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40CEB27" w14:textId="77777777" w:rsidR="00FE0DC4" w:rsidRPr="00077ECD" w:rsidRDefault="00FE0DC4" w:rsidP="000546D4">
                  <w:pPr>
                    <w:jc w:val="center"/>
                    <w:rPr>
                      <w:rFonts w:ascii="Calibri" w:eastAsia="Calibri" w:hAnsi="Calibri"/>
                      <w:color w:val="000000"/>
                      <w:sz w:val="22"/>
                      <w:szCs w:val="22"/>
                    </w:rPr>
                  </w:pPr>
                </w:p>
              </w:tc>
            </w:tr>
            <w:tr w:rsidR="00FE0DC4" w14:paraId="6947F971"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4E752A1F"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of Rollover Cases Being Served from P</w:t>
                  </w:r>
                  <w:r w:rsidRPr="00077ECD">
                    <w:rPr>
                      <w:rFonts w:ascii="Calibri" w:hAnsi="Calibri"/>
                      <w:color w:val="000000"/>
                      <w:sz w:val="22"/>
                    </w:rPr>
                    <w:t>revious Fiscal Year</w:t>
                  </w:r>
                  <w:r w:rsidR="00C91664">
                    <w:rPr>
                      <w:rFonts w:ascii="Calibri" w:hAnsi="Calibri"/>
                      <w:color w:val="FF0000"/>
                    </w:rPr>
                    <w:t>-</w:t>
                  </w:r>
                  <w:r w:rsidR="00C91664" w:rsidRPr="005A2663">
                    <w:rPr>
                      <w:rFonts w:ascii="Calibri" w:hAnsi="Calibri"/>
                      <w:color w:val="FF0000"/>
                    </w:rPr>
                    <w:t>This number should only be reported in quarter one, subsequent quarters the first column will be blank and the number from the first quarter will be carried over each quarter in the annual column to the right.</w:t>
                  </w:r>
                  <w:r w:rsidR="00C91664">
                    <w:rPr>
                      <w:rFonts w:ascii="Calibri" w:hAnsi="Calibri"/>
                      <w:color w:val="FF0000"/>
                    </w:rPr>
                    <w:t xml:space="preserve"> This number should represent rollover Discretionary home study cases. Carryover the figure from the first quarter to the annual column for each subsequent reporting period.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FDDC478"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9C72E4B" w14:textId="77777777" w:rsidR="00FE0DC4" w:rsidRPr="00077ECD" w:rsidRDefault="00FE0DC4" w:rsidP="000546D4">
                  <w:pPr>
                    <w:jc w:val="center"/>
                    <w:rPr>
                      <w:rFonts w:ascii="Calibri" w:eastAsia="Calibri" w:hAnsi="Calibri"/>
                      <w:color w:val="000000"/>
                      <w:sz w:val="22"/>
                      <w:szCs w:val="22"/>
                    </w:rPr>
                  </w:pPr>
                </w:p>
              </w:tc>
            </w:tr>
            <w:tr w:rsidR="00FE0DC4" w14:paraId="0C74F263"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09394A2F" w14:textId="77777777" w:rsidR="00FE0DC4" w:rsidRPr="00077ECD" w:rsidRDefault="00FE0DC4" w:rsidP="000546D4">
                  <w:pPr>
                    <w:rPr>
                      <w:rFonts w:ascii="Calibri" w:hAnsi="Calibri"/>
                      <w:color w:val="000000"/>
                      <w:sz w:val="22"/>
                    </w:rPr>
                  </w:pPr>
                  <w:r>
                    <w:rPr>
                      <w:rFonts w:ascii="Calibri" w:hAnsi="Calibri"/>
                      <w:color w:val="000000"/>
                      <w:sz w:val="22"/>
                    </w:rPr>
                    <w:lastRenderedPageBreak/>
                    <w:t>Number of Cases Closed</w:t>
                  </w:r>
                  <w:r w:rsidR="00C91664">
                    <w:rPr>
                      <w:rFonts w:ascii="Calibri" w:hAnsi="Calibri"/>
                      <w:color w:val="FF0000"/>
                      <w:sz w:val="22"/>
                    </w:rPr>
                    <w:t>-</w:t>
                  </w:r>
                  <w:r w:rsidR="00C91664" w:rsidRPr="00A528AB">
                    <w:rPr>
                      <w:rFonts w:ascii="Calibri" w:hAnsi="Calibri"/>
                      <w:color w:val="FF0000"/>
                    </w:rPr>
                    <w:t xml:space="preserve"> The total number</w:t>
                  </w:r>
                  <w:r w:rsidR="00C91664">
                    <w:rPr>
                      <w:rFonts w:ascii="Calibri" w:hAnsi="Calibri"/>
                      <w:color w:val="FF0000"/>
                    </w:rPr>
                    <w:t xml:space="preserve"> of discretionary home study cases that were closed during</w:t>
                  </w:r>
                  <w:r w:rsidR="00C91664" w:rsidRPr="00A528AB">
                    <w:rPr>
                      <w:rFonts w:ascii="Calibri" w:hAnsi="Calibri"/>
                      <w:color w:val="FF0000"/>
                    </w:rPr>
                    <w:t xml:space="preserve"> the </w:t>
                  </w:r>
                  <w:r w:rsidR="00C91664">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5DF904A"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CAF4EF6" w14:textId="77777777" w:rsidR="00FE0DC4" w:rsidRPr="00077ECD" w:rsidRDefault="00FE0DC4" w:rsidP="000546D4">
                  <w:pPr>
                    <w:jc w:val="center"/>
                    <w:rPr>
                      <w:rFonts w:ascii="Calibri" w:eastAsia="Calibri" w:hAnsi="Calibri"/>
                      <w:color w:val="000000"/>
                      <w:sz w:val="22"/>
                      <w:szCs w:val="22"/>
                    </w:rPr>
                  </w:pPr>
                </w:p>
              </w:tc>
            </w:tr>
            <w:tr w:rsidR="00FE0DC4" w14:paraId="586A1BBD"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7D836A39" w14:textId="77777777" w:rsidR="00FE0DC4" w:rsidRPr="00C91664" w:rsidRDefault="00FE0DC4" w:rsidP="000546D4">
                  <w:pPr>
                    <w:rPr>
                      <w:rFonts w:ascii="Calibri" w:hAnsi="Calibri"/>
                      <w:color w:val="FF0000"/>
                      <w:sz w:val="22"/>
                    </w:rPr>
                  </w:pPr>
                  <w:r>
                    <w:rPr>
                      <w:rFonts w:ascii="Calibri" w:hAnsi="Calibri"/>
                      <w:color w:val="000000"/>
                      <w:sz w:val="22"/>
                    </w:rPr>
                    <w:t xml:space="preserve">Total Number of Children Served through Home Studies </w:t>
                  </w:r>
                  <w:r w:rsidR="00C91664">
                    <w:rPr>
                      <w:rFonts w:ascii="Calibri" w:hAnsi="Calibri"/>
                      <w:color w:val="FF0000"/>
                      <w:sz w:val="22"/>
                    </w:rPr>
                    <w:t>- This number should represent all types of rollover home studies plus all ty</w:t>
                  </w:r>
                  <w:r w:rsidR="00220D34">
                    <w:rPr>
                      <w:rFonts w:ascii="Calibri" w:hAnsi="Calibri"/>
                      <w:color w:val="FF0000"/>
                      <w:sz w:val="22"/>
                    </w:rPr>
                    <w:t>pes of accepted home studies minus the</w:t>
                  </w:r>
                  <w:r w:rsidR="00C91664">
                    <w:rPr>
                      <w:rFonts w:ascii="Calibri" w:hAnsi="Calibri"/>
                      <w:color w:val="FF0000"/>
                      <w:sz w:val="22"/>
                    </w:rPr>
                    <w:t xml:space="preserve"> cancelled cases.</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58EF7A1"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8BEBD1F" w14:textId="77777777" w:rsidR="00FE0DC4" w:rsidRPr="00077ECD" w:rsidRDefault="00FE0DC4" w:rsidP="000546D4">
                  <w:pPr>
                    <w:jc w:val="center"/>
                    <w:rPr>
                      <w:rFonts w:ascii="Calibri" w:eastAsia="Calibri" w:hAnsi="Calibri"/>
                      <w:color w:val="000000"/>
                      <w:sz w:val="22"/>
                      <w:szCs w:val="22"/>
                    </w:rPr>
                  </w:pPr>
                </w:p>
              </w:tc>
            </w:tr>
            <w:tr w:rsidR="00FE0DC4" w14:paraId="5EDBED62" w14:textId="77777777" w:rsidTr="000546D4">
              <w:trPr>
                <w:trHeight w:val="300"/>
              </w:trPr>
              <w:tc>
                <w:tcPr>
                  <w:tcW w:w="6720" w:type="dxa"/>
                  <w:tcBorders>
                    <w:top w:val="nil"/>
                    <w:left w:val="single" w:sz="8" w:space="0" w:color="auto"/>
                    <w:bottom w:val="single" w:sz="8" w:space="0" w:color="auto"/>
                    <w:right w:val="single" w:sz="8" w:space="0" w:color="000000"/>
                  </w:tcBorders>
                  <w:shd w:val="clear" w:color="auto" w:fill="8DB4E2"/>
                  <w:noWrap/>
                  <w:tcMar>
                    <w:top w:w="0" w:type="dxa"/>
                    <w:left w:w="108" w:type="dxa"/>
                    <w:bottom w:w="0" w:type="dxa"/>
                    <w:right w:w="108" w:type="dxa"/>
                  </w:tcMar>
                  <w:vAlign w:val="center"/>
                  <w:hideMark/>
                </w:tcPr>
                <w:p w14:paraId="79B6F474" w14:textId="77777777" w:rsidR="00FE0DC4" w:rsidRPr="00077ECD" w:rsidRDefault="00FE0DC4" w:rsidP="000546D4">
                  <w:pPr>
                    <w:jc w:val="center"/>
                    <w:rPr>
                      <w:rFonts w:ascii="Calibri" w:eastAsia="Calibri" w:hAnsi="Calibri"/>
                      <w:b/>
                      <w:color w:val="000000"/>
                      <w:sz w:val="22"/>
                      <w:szCs w:val="22"/>
                    </w:rPr>
                  </w:pPr>
                  <w:r w:rsidRPr="00077ECD">
                    <w:rPr>
                      <w:rFonts w:ascii="Calibri" w:hAnsi="Calibri"/>
                      <w:b/>
                      <w:color w:val="000000"/>
                      <w:sz w:val="22"/>
                    </w:rPr>
                    <w:t>Post Release Services</w:t>
                  </w:r>
                  <w:r>
                    <w:rPr>
                      <w:rFonts w:ascii="Calibri" w:hAnsi="Calibri"/>
                      <w:b/>
                      <w:color w:val="000000"/>
                      <w:sz w:val="22"/>
                    </w:rPr>
                    <w:t xml:space="preserve"> </w:t>
                  </w:r>
                </w:p>
              </w:tc>
              <w:tc>
                <w:tcPr>
                  <w:tcW w:w="960" w:type="dxa"/>
                  <w:tcBorders>
                    <w:top w:val="nil"/>
                    <w:left w:val="nil"/>
                    <w:bottom w:val="single" w:sz="8" w:space="0" w:color="auto"/>
                    <w:right w:val="single" w:sz="8" w:space="0" w:color="auto"/>
                  </w:tcBorders>
                  <w:shd w:val="clear" w:color="auto" w:fill="8DB4E2"/>
                  <w:noWrap/>
                  <w:tcMar>
                    <w:top w:w="0" w:type="dxa"/>
                    <w:left w:w="108" w:type="dxa"/>
                    <w:bottom w:w="0" w:type="dxa"/>
                    <w:right w:w="108" w:type="dxa"/>
                  </w:tcMar>
                  <w:vAlign w:val="center"/>
                  <w:hideMark/>
                </w:tcPr>
                <w:p w14:paraId="7ACCFB53"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 xml:space="preserve">Quarter </w:t>
                  </w:r>
                  <w:r>
                    <w:rPr>
                      <w:rFonts w:ascii="Calibri" w:hAnsi="Calibri"/>
                      <w:color w:val="000000"/>
                      <w:sz w:val="22"/>
                    </w:rPr>
                    <w:t>1</w:t>
                  </w:r>
                </w:p>
              </w:tc>
              <w:tc>
                <w:tcPr>
                  <w:tcW w:w="923" w:type="dxa"/>
                  <w:tcBorders>
                    <w:top w:val="nil"/>
                    <w:left w:val="nil"/>
                    <w:bottom w:val="single" w:sz="8" w:space="0" w:color="auto"/>
                    <w:right w:val="single" w:sz="8" w:space="0" w:color="auto"/>
                  </w:tcBorders>
                  <w:shd w:val="clear" w:color="auto" w:fill="8DB4E2"/>
                  <w:noWrap/>
                  <w:tcMar>
                    <w:top w:w="0" w:type="dxa"/>
                    <w:left w:w="108" w:type="dxa"/>
                    <w:bottom w:w="0" w:type="dxa"/>
                    <w:right w:w="108" w:type="dxa"/>
                  </w:tcMar>
                  <w:vAlign w:val="center"/>
                  <w:hideMark/>
                </w:tcPr>
                <w:p w14:paraId="24D2A2A7"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Annual</w:t>
                  </w:r>
                </w:p>
                <w:p w14:paraId="3FB6B21E"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FY1</w:t>
                  </w:r>
                  <w:r>
                    <w:rPr>
                      <w:rFonts w:ascii="Calibri" w:hAnsi="Calibri"/>
                      <w:color w:val="000000"/>
                      <w:sz w:val="22"/>
                    </w:rPr>
                    <w:t>7</w:t>
                  </w:r>
                </w:p>
              </w:tc>
            </w:tr>
            <w:tr w:rsidR="00FE0DC4" w14:paraId="241CD1D6"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362EA331" w14:textId="77777777" w:rsidR="00FE0DC4" w:rsidRDefault="00FE0DC4" w:rsidP="000546D4">
                  <w:pPr>
                    <w:jc w:val="center"/>
                    <w:rPr>
                      <w:rFonts w:ascii="Calibri" w:hAnsi="Calibri"/>
                      <w:color w:val="000000"/>
                      <w:sz w:val="22"/>
                    </w:rPr>
                  </w:pPr>
                  <w:r>
                    <w:rPr>
                      <w:rFonts w:ascii="Calibri" w:hAnsi="Calibri"/>
                      <w:color w:val="000000"/>
                      <w:sz w:val="22"/>
                    </w:rPr>
                    <w:t>PRS Only</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637596E"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46EA782" w14:textId="77777777" w:rsidR="00FE0DC4" w:rsidRPr="00077ECD" w:rsidRDefault="00FE0DC4" w:rsidP="000546D4">
                  <w:pPr>
                    <w:jc w:val="center"/>
                    <w:rPr>
                      <w:rFonts w:ascii="Calibri" w:eastAsia="Calibri" w:hAnsi="Calibri"/>
                      <w:color w:val="000000"/>
                      <w:sz w:val="22"/>
                      <w:szCs w:val="22"/>
                    </w:rPr>
                  </w:pPr>
                </w:p>
              </w:tc>
            </w:tr>
            <w:tr w:rsidR="00FE0DC4" w14:paraId="70012C68"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00AACDA5"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New cases</w:t>
                  </w:r>
                  <w:r w:rsidRPr="00077ECD">
                    <w:rPr>
                      <w:rFonts w:ascii="Calibri" w:hAnsi="Calibri"/>
                      <w:color w:val="000000"/>
                      <w:sz w:val="22"/>
                    </w:rPr>
                    <w:t xml:space="preserve"> Accepted</w:t>
                  </w:r>
                  <w:r w:rsidR="00060291" w:rsidRPr="00A528AB">
                    <w:rPr>
                      <w:rFonts w:ascii="Calibri" w:hAnsi="Calibri"/>
                      <w:color w:val="FF0000"/>
                    </w:rPr>
                    <w:t xml:space="preserve"> </w:t>
                  </w:r>
                  <w:r w:rsidR="00060291">
                    <w:rPr>
                      <w:rFonts w:ascii="Calibri" w:hAnsi="Calibri"/>
                      <w:color w:val="FF0000"/>
                    </w:rPr>
                    <w:t>-</w:t>
                  </w:r>
                  <w:r w:rsidR="00060291" w:rsidRPr="00A528AB">
                    <w:rPr>
                      <w:rFonts w:ascii="Calibri" w:hAnsi="Calibri"/>
                      <w:color w:val="FF0000"/>
                    </w:rPr>
                    <w:t>The total number of new (</w:t>
                  </w:r>
                  <w:r w:rsidR="00060291">
                    <w:rPr>
                      <w:rFonts w:ascii="Calibri" w:hAnsi="Calibri"/>
                      <w:color w:val="FF0000"/>
                    </w:rPr>
                    <w:t xml:space="preserve">not previously active) PRS only </w:t>
                  </w:r>
                  <w:r w:rsidR="00060291" w:rsidRPr="00A528AB">
                    <w:rPr>
                      <w:rFonts w:ascii="Calibri" w:hAnsi="Calibri"/>
                      <w:color w:val="FF0000"/>
                    </w:rPr>
                    <w:t xml:space="preserve">accepted during the </w:t>
                  </w:r>
                  <w:r w:rsidR="00060291">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9FF0AF"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 </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9E136D4" w14:textId="77777777" w:rsidR="00FE0DC4" w:rsidRPr="00077ECD" w:rsidRDefault="00FE0DC4" w:rsidP="000546D4">
                  <w:pPr>
                    <w:jc w:val="center"/>
                    <w:rPr>
                      <w:rFonts w:ascii="Calibri" w:eastAsia="Calibri" w:hAnsi="Calibri"/>
                      <w:color w:val="000000"/>
                      <w:sz w:val="22"/>
                      <w:szCs w:val="22"/>
                    </w:rPr>
                  </w:pPr>
                </w:p>
              </w:tc>
            </w:tr>
            <w:tr w:rsidR="00FE0DC4" w14:paraId="1836EFB5"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78117B9D"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of Rollover Cases Being Served from P</w:t>
                  </w:r>
                  <w:r w:rsidRPr="00077ECD">
                    <w:rPr>
                      <w:rFonts w:ascii="Calibri" w:hAnsi="Calibri"/>
                      <w:color w:val="000000"/>
                      <w:sz w:val="22"/>
                    </w:rPr>
                    <w:t>revious Fiscal Year</w:t>
                  </w:r>
                  <w:r w:rsidR="00060291">
                    <w:rPr>
                      <w:rFonts w:ascii="Calibri" w:hAnsi="Calibri"/>
                      <w:color w:val="FF0000"/>
                    </w:rPr>
                    <w:t>-</w:t>
                  </w:r>
                  <w:r w:rsidR="00060291" w:rsidRPr="005A2663">
                    <w:rPr>
                      <w:rFonts w:ascii="Calibri" w:hAnsi="Calibri"/>
                      <w:color w:val="FF0000"/>
                    </w:rPr>
                    <w:t>This number should only be reported in quarter one, subsequent quarters the first column will be blank and the number from the first quarter will be carried over each quarter in the annual column to the right.</w:t>
                  </w:r>
                  <w:r w:rsidR="00060291">
                    <w:rPr>
                      <w:rFonts w:ascii="Calibri" w:hAnsi="Calibri"/>
                      <w:color w:val="FF0000"/>
                    </w:rPr>
                    <w:t xml:space="preserve"> This number should represent rollover PRS only cases. Carryover the figure from the first quarter to the annual column for each subsequent reporting period.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1C038EF"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6550F40" w14:textId="77777777" w:rsidR="00FE0DC4" w:rsidRPr="00077ECD" w:rsidRDefault="00FE0DC4" w:rsidP="000546D4">
                  <w:pPr>
                    <w:jc w:val="center"/>
                    <w:rPr>
                      <w:rFonts w:ascii="Calibri" w:eastAsia="Calibri" w:hAnsi="Calibri"/>
                      <w:color w:val="000000"/>
                      <w:sz w:val="22"/>
                      <w:szCs w:val="22"/>
                    </w:rPr>
                  </w:pPr>
                </w:p>
              </w:tc>
            </w:tr>
            <w:tr w:rsidR="00FE0DC4" w14:paraId="34AC2CAC"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0E96A3FC" w14:textId="77777777" w:rsidR="00FE0DC4" w:rsidRPr="00077ECD" w:rsidRDefault="00FE0DC4" w:rsidP="000546D4">
                  <w:pPr>
                    <w:rPr>
                      <w:rFonts w:ascii="Calibri" w:hAnsi="Calibri"/>
                      <w:color w:val="000000"/>
                      <w:sz w:val="22"/>
                    </w:rPr>
                  </w:pPr>
                  <w:r>
                    <w:rPr>
                      <w:rFonts w:ascii="Calibri" w:hAnsi="Calibri"/>
                      <w:color w:val="000000"/>
                      <w:sz w:val="22"/>
                    </w:rPr>
                    <w:t>Number of Cases Closed</w:t>
                  </w:r>
                  <w:r w:rsidR="00060291">
                    <w:rPr>
                      <w:rFonts w:ascii="Calibri" w:hAnsi="Calibri"/>
                      <w:color w:val="FF0000"/>
                      <w:sz w:val="22"/>
                    </w:rPr>
                    <w:t>-</w:t>
                  </w:r>
                  <w:r w:rsidR="00060291" w:rsidRPr="00A528AB">
                    <w:rPr>
                      <w:rFonts w:ascii="Calibri" w:hAnsi="Calibri"/>
                      <w:color w:val="FF0000"/>
                    </w:rPr>
                    <w:t xml:space="preserve"> The total number</w:t>
                  </w:r>
                  <w:r w:rsidR="00060291">
                    <w:rPr>
                      <w:rFonts w:ascii="Calibri" w:hAnsi="Calibri"/>
                      <w:color w:val="FF0000"/>
                    </w:rPr>
                    <w:t xml:space="preserve"> of PRS only cases that were closed during</w:t>
                  </w:r>
                  <w:r w:rsidR="00060291" w:rsidRPr="00A528AB">
                    <w:rPr>
                      <w:rFonts w:ascii="Calibri" w:hAnsi="Calibri"/>
                      <w:color w:val="FF0000"/>
                    </w:rPr>
                    <w:t xml:space="preserve"> the </w:t>
                  </w:r>
                  <w:r w:rsidR="00060291">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41DBAFC"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39B377A" w14:textId="77777777" w:rsidR="00FE0DC4" w:rsidRPr="00077ECD" w:rsidRDefault="00FE0DC4" w:rsidP="000546D4">
                  <w:pPr>
                    <w:jc w:val="center"/>
                    <w:rPr>
                      <w:rFonts w:ascii="Calibri" w:eastAsia="Calibri" w:hAnsi="Calibri"/>
                      <w:color w:val="000000"/>
                      <w:sz w:val="22"/>
                      <w:szCs w:val="22"/>
                    </w:rPr>
                  </w:pPr>
                </w:p>
              </w:tc>
            </w:tr>
            <w:tr w:rsidR="00FE0DC4" w14:paraId="4E41C1A1"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4C3A84CC" w14:textId="77777777" w:rsidR="00FE0DC4" w:rsidRPr="00077ECD" w:rsidRDefault="00FE0DC4" w:rsidP="000546D4">
                  <w:pPr>
                    <w:jc w:val="center"/>
                    <w:rPr>
                      <w:rFonts w:ascii="Calibri" w:hAnsi="Calibri"/>
                      <w:color w:val="000000"/>
                      <w:sz w:val="22"/>
                    </w:rPr>
                  </w:pPr>
                  <w:r>
                    <w:rPr>
                      <w:rFonts w:ascii="Calibri" w:hAnsi="Calibri"/>
                      <w:color w:val="000000"/>
                      <w:sz w:val="22"/>
                    </w:rPr>
                    <w:t>PRS TVPRA</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C05566E"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3D1AF5F" w14:textId="77777777" w:rsidR="00FE0DC4" w:rsidRPr="00077ECD" w:rsidRDefault="00FE0DC4" w:rsidP="000546D4">
                  <w:pPr>
                    <w:jc w:val="center"/>
                    <w:rPr>
                      <w:rFonts w:ascii="Calibri" w:eastAsia="Calibri" w:hAnsi="Calibri"/>
                      <w:color w:val="000000"/>
                      <w:sz w:val="22"/>
                      <w:szCs w:val="22"/>
                    </w:rPr>
                  </w:pPr>
                </w:p>
              </w:tc>
            </w:tr>
            <w:tr w:rsidR="00FE0DC4" w14:paraId="1E2FAB02"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4BAE098A"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New Cases</w:t>
                  </w:r>
                  <w:r w:rsidRPr="00077ECD">
                    <w:rPr>
                      <w:rFonts w:ascii="Calibri" w:hAnsi="Calibri"/>
                      <w:color w:val="000000"/>
                      <w:sz w:val="22"/>
                    </w:rPr>
                    <w:t xml:space="preserve"> Accepted</w:t>
                  </w:r>
                  <w:r w:rsidR="00060291">
                    <w:rPr>
                      <w:rFonts w:ascii="Calibri" w:hAnsi="Calibri"/>
                      <w:color w:val="FF0000"/>
                    </w:rPr>
                    <w:t>-</w:t>
                  </w:r>
                  <w:r w:rsidR="00060291" w:rsidRPr="00A528AB">
                    <w:rPr>
                      <w:rFonts w:ascii="Calibri" w:hAnsi="Calibri"/>
                      <w:color w:val="FF0000"/>
                    </w:rPr>
                    <w:t>The total number of new (</w:t>
                  </w:r>
                  <w:r w:rsidR="00060291">
                    <w:rPr>
                      <w:rFonts w:ascii="Calibri" w:hAnsi="Calibri"/>
                      <w:color w:val="FF0000"/>
                    </w:rPr>
                    <w:t xml:space="preserve">not previously active) TVPRA-PRS referrals </w:t>
                  </w:r>
                  <w:r w:rsidR="00060291" w:rsidRPr="00A528AB">
                    <w:rPr>
                      <w:rFonts w:ascii="Calibri" w:hAnsi="Calibri"/>
                      <w:color w:val="FF0000"/>
                    </w:rPr>
                    <w:t xml:space="preserve">accepted during the </w:t>
                  </w:r>
                  <w:r w:rsidR="00060291">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B0DAFB"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 </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1CDC5F3" w14:textId="77777777" w:rsidR="00FE0DC4" w:rsidRPr="00077ECD" w:rsidRDefault="00FE0DC4" w:rsidP="000546D4">
                  <w:pPr>
                    <w:jc w:val="center"/>
                    <w:rPr>
                      <w:rFonts w:ascii="Calibri" w:eastAsia="Calibri" w:hAnsi="Calibri"/>
                      <w:color w:val="000000"/>
                      <w:sz w:val="22"/>
                      <w:szCs w:val="22"/>
                    </w:rPr>
                  </w:pPr>
                </w:p>
              </w:tc>
            </w:tr>
            <w:tr w:rsidR="00FE0DC4" w14:paraId="79C790D0"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25C03A41"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of Rollover Cases Being Served from P</w:t>
                  </w:r>
                  <w:r w:rsidRPr="00077ECD">
                    <w:rPr>
                      <w:rFonts w:ascii="Calibri" w:hAnsi="Calibri"/>
                      <w:color w:val="000000"/>
                      <w:sz w:val="22"/>
                    </w:rPr>
                    <w:t>revious Fiscal Year</w:t>
                  </w:r>
                  <w:r w:rsidR="00060291">
                    <w:rPr>
                      <w:rFonts w:ascii="Calibri" w:hAnsi="Calibri"/>
                      <w:color w:val="FF0000"/>
                    </w:rPr>
                    <w:t>-</w:t>
                  </w:r>
                  <w:r w:rsidR="00060291" w:rsidRPr="005A2663">
                    <w:rPr>
                      <w:rFonts w:ascii="Calibri" w:hAnsi="Calibri"/>
                      <w:color w:val="FF0000"/>
                    </w:rPr>
                    <w:t>This number should only be reported in quarter one, subsequent quarters the first column will be blank and the number from the first quarter will be carried over each quarter in the annual column to the right.</w:t>
                  </w:r>
                  <w:r w:rsidR="00060291">
                    <w:rPr>
                      <w:rFonts w:ascii="Calibri" w:hAnsi="Calibri"/>
                      <w:color w:val="FF0000"/>
                    </w:rPr>
                    <w:t xml:space="preserve"> This number should represent rollover TVPRA-PRS cases. Carryover the figure from the first quarter to the annual column for each subsequent reporting period.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A8790E0"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DCDC33C" w14:textId="77777777" w:rsidR="00FE0DC4" w:rsidRPr="00077ECD" w:rsidRDefault="00FE0DC4" w:rsidP="000546D4">
                  <w:pPr>
                    <w:jc w:val="center"/>
                    <w:rPr>
                      <w:rFonts w:ascii="Calibri" w:eastAsia="Calibri" w:hAnsi="Calibri"/>
                      <w:color w:val="000000"/>
                      <w:sz w:val="22"/>
                      <w:szCs w:val="22"/>
                    </w:rPr>
                  </w:pPr>
                </w:p>
              </w:tc>
            </w:tr>
            <w:tr w:rsidR="00FE0DC4" w14:paraId="037181C9"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780B685B" w14:textId="77777777" w:rsidR="00FE0DC4" w:rsidRPr="00077ECD" w:rsidRDefault="00FE0DC4" w:rsidP="000546D4">
                  <w:pPr>
                    <w:rPr>
                      <w:rFonts w:ascii="Calibri" w:hAnsi="Calibri"/>
                      <w:color w:val="000000"/>
                      <w:sz w:val="22"/>
                    </w:rPr>
                  </w:pPr>
                  <w:r>
                    <w:rPr>
                      <w:rFonts w:ascii="Calibri" w:hAnsi="Calibri"/>
                      <w:color w:val="000000"/>
                      <w:sz w:val="22"/>
                    </w:rPr>
                    <w:t>Number of Cases Closed</w:t>
                  </w:r>
                  <w:r w:rsidR="00060291">
                    <w:rPr>
                      <w:rFonts w:ascii="Calibri" w:hAnsi="Calibri"/>
                      <w:color w:val="FF0000"/>
                      <w:sz w:val="22"/>
                    </w:rPr>
                    <w:t>-</w:t>
                  </w:r>
                  <w:r w:rsidR="00060291" w:rsidRPr="00A528AB">
                    <w:rPr>
                      <w:rFonts w:ascii="Calibri" w:hAnsi="Calibri"/>
                      <w:color w:val="FF0000"/>
                    </w:rPr>
                    <w:t xml:space="preserve"> The total number</w:t>
                  </w:r>
                  <w:r w:rsidR="00060291">
                    <w:rPr>
                      <w:rFonts w:ascii="Calibri" w:hAnsi="Calibri"/>
                      <w:color w:val="FF0000"/>
                    </w:rPr>
                    <w:t xml:space="preserve"> of PRS only cases that were closed during</w:t>
                  </w:r>
                  <w:r w:rsidR="00060291" w:rsidRPr="00A528AB">
                    <w:rPr>
                      <w:rFonts w:ascii="Calibri" w:hAnsi="Calibri"/>
                      <w:color w:val="FF0000"/>
                    </w:rPr>
                    <w:t xml:space="preserve"> the </w:t>
                  </w:r>
                  <w:r w:rsidR="00060291">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8AF615E"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B374C29" w14:textId="77777777" w:rsidR="00FE0DC4" w:rsidRPr="00077ECD" w:rsidRDefault="00FE0DC4" w:rsidP="000546D4">
                  <w:pPr>
                    <w:jc w:val="center"/>
                    <w:rPr>
                      <w:rFonts w:ascii="Calibri" w:eastAsia="Calibri" w:hAnsi="Calibri"/>
                      <w:color w:val="000000"/>
                      <w:sz w:val="22"/>
                      <w:szCs w:val="22"/>
                    </w:rPr>
                  </w:pPr>
                </w:p>
              </w:tc>
            </w:tr>
            <w:tr w:rsidR="00FE0DC4" w14:paraId="5B9D204E"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348CBB09" w14:textId="77777777" w:rsidR="00FE0DC4" w:rsidRDefault="00FE0DC4" w:rsidP="000546D4">
                  <w:pPr>
                    <w:jc w:val="center"/>
                    <w:rPr>
                      <w:rFonts w:ascii="Calibri" w:hAnsi="Calibri"/>
                      <w:color w:val="000000"/>
                      <w:sz w:val="22"/>
                    </w:rPr>
                  </w:pPr>
                  <w:r>
                    <w:rPr>
                      <w:rFonts w:ascii="Calibri" w:hAnsi="Calibri"/>
                      <w:color w:val="000000"/>
                      <w:sz w:val="22"/>
                    </w:rPr>
                    <w:t>PRS After Discretionary Home Study</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5F018E5"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6F7CDC0" w14:textId="77777777" w:rsidR="00FE0DC4" w:rsidRPr="00077ECD" w:rsidRDefault="00FE0DC4" w:rsidP="000546D4">
                  <w:pPr>
                    <w:jc w:val="center"/>
                    <w:rPr>
                      <w:rFonts w:ascii="Calibri" w:eastAsia="Calibri" w:hAnsi="Calibri"/>
                      <w:color w:val="000000"/>
                      <w:sz w:val="22"/>
                      <w:szCs w:val="22"/>
                    </w:rPr>
                  </w:pPr>
                </w:p>
              </w:tc>
            </w:tr>
            <w:tr w:rsidR="00FE0DC4" w14:paraId="5190C9FB"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35ED3D35"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New Cases</w:t>
                  </w:r>
                  <w:r w:rsidRPr="00077ECD">
                    <w:rPr>
                      <w:rFonts w:ascii="Calibri" w:hAnsi="Calibri"/>
                      <w:color w:val="000000"/>
                      <w:sz w:val="22"/>
                    </w:rPr>
                    <w:t xml:space="preserve"> Accepted</w:t>
                  </w:r>
                  <w:r w:rsidR="00060291">
                    <w:rPr>
                      <w:rFonts w:ascii="Calibri" w:hAnsi="Calibri"/>
                      <w:color w:val="FF0000"/>
                    </w:rPr>
                    <w:t>-</w:t>
                  </w:r>
                  <w:r w:rsidR="00060291" w:rsidRPr="00A528AB">
                    <w:rPr>
                      <w:rFonts w:ascii="Calibri" w:hAnsi="Calibri"/>
                      <w:color w:val="FF0000"/>
                    </w:rPr>
                    <w:t>The total number of new (</w:t>
                  </w:r>
                  <w:r w:rsidR="00060291">
                    <w:rPr>
                      <w:rFonts w:ascii="Calibri" w:hAnsi="Calibri"/>
                      <w:color w:val="FF0000"/>
                    </w:rPr>
                    <w:t xml:space="preserve">not previously active) PRS referrals after a discretionary home study were </w:t>
                  </w:r>
                  <w:r w:rsidR="00060291" w:rsidRPr="00A528AB">
                    <w:rPr>
                      <w:rFonts w:ascii="Calibri" w:hAnsi="Calibri"/>
                      <w:color w:val="FF0000"/>
                    </w:rPr>
                    <w:t xml:space="preserve">accepted during the </w:t>
                  </w:r>
                  <w:r w:rsidR="00060291">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51F12B"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 </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79DF370" w14:textId="77777777" w:rsidR="00FE0DC4" w:rsidRPr="00077ECD" w:rsidRDefault="00FE0DC4" w:rsidP="000546D4">
                  <w:pPr>
                    <w:jc w:val="center"/>
                    <w:rPr>
                      <w:rFonts w:ascii="Calibri" w:eastAsia="Calibri" w:hAnsi="Calibri"/>
                      <w:color w:val="000000"/>
                      <w:sz w:val="22"/>
                      <w:szCs w:val="22"/>
                    </w:rPr>
                  </w:pPr>
                </w:p>
              </w:tc>
            </w:tr>
            <w:tr w:rsidR="00FE0DC4" w14:paraId="3B761891"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3AA18829"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of Rollover Cases Being Served from P</w:t>
                  </w:r>
                  <w:r w:rsidRPr="00077ECD">
                    <w:rPr>
                      <w:rFonts w:ascii="Calibri" w:hAnsi="Calibri"/>
                      <w:color w:val="000000"/>
                      <w:sz w:val="22"/>
                    </w:rPr>
                    <w:t>revious Fiscal Year</w:t>
                  </w:r>
                  <w:r w:rsidR="00060291">
                    <w:rPr>
                      <w:rFonts w:ascii="Calibri" w:hAnsi="Calibri"/>
                      <w:color w:val="FF0000"/>
                    </w:rPr>
                    <w:t>-</w:t>
                  </w:r>
                  <w:r w:rsidR="00060291" w:rsidRPr="005A2663">
                    <w:rPr>
                      <w:rFonts w:ascii="Calibri" w:hAnsi="Calibri"/>
                      <w:color w:val="FF0000"/>
                    </w:rPr>
                    <w:t>This number should only be reported in quarter one, subsequent quarters the first column will be blank and the number from the first quarter will be carried over each quarter in the annual column to the right.</w:t>
                  </w:r>
                  <w:r w:rsidR="00060291">
                    <w:rPr>
                      <w:rFonts w:ascii="Calibri" w:hAnsi="Calibri"/>
                      <w:color w:val="FF0000"/>
                    </w:rPr>
                    <w:t xml:space="preserve"> This number should represent rollover PRS cases after a discretionary home study. Carryover the figure from the first quarter to the annual column for each subsequent reporting period.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1F16EE6"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6385DE0" w14:textId="77777777" w:rsidR="00FE0DC4" w:rsidRPr="00077ECD" w:rsidRDefault="00FE0DC4" w:rsidP="000546D4">
                  <w:pPr>
                    <w:jc w:val="center"/>
                    <w:rPr>
                      <w:rFonts w:ascii="Calibri" w:eastAsia="Calibri" w:hAnsi="Calibri"/>
                      <w:color w:val="000000"/>
                      <w:sz w:val="22"/>
                      <w:szCs w:val="22"/>
                    </w:rPr>
                  </w:pPr>
                </w:p>
              </w:tc>
            </w:tr>
            <w:tr w:rsidR="00FE0DC4" w14:paraId="7760A170"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3C994360" w14:textId="77777777" w:rsidR="00FE0DC4" w:rsidRPr="00077ECD" w:rsidRDefault="00FE0DC4" w:rsidP="000546D4">
                  <w:pPr>
                    <w:rPr>
                      <w:rFonts w:ascii="Calibri" w:hAnsi="Calibri"/>
                      <w:color w:val="000000"/>
                      <w:sz w:val="22"/>
                    </w:rPr>
                  </w:pPr>
                  <w:r>
                    <w:rPr>
                      <w:rFonts w:ascii="Calibri" w:hAnsi="Calibri"/>
                      <w:color w:val="000000"/>
                      <w:sz w:val="22"/>
                    </w:rPr>
                    <w:t>Number of Cases Closed</w:t>
                  </w:r>
                  <w:r w:rsidR="00060291">
                    <w:rPr>
                      <w:rFonts w:ascii="Calibri" w:hAnsi="Calibri"/>
                      <w:color w:val="FF0000"/>
                      <w:sz w:val="22"/>
                    </w:rPr>
                    <w:t>-</w:t>
                  </w:r>
                  <w:r w:rsidR="00060291" w:rsidRPr="00A528AB">
                    <w:rPr>
                      <w:rFonts w:ascii="Calibri" w:hAnsi="Calibri"/>
                      <w:color w:val="FF0000"/>
                    </w:rPr>
                    <w:t xml:space="preserve"> The total number</w:t>
                  </w:r>
                  <w:r w:rsidR="00060291">
                    <w:rPr>
                      <w:rFonts w:ascii="Calibri" w:hAnsi="Calibri"/>
                      <w:color w:val="FF0000"/>
                    </w:rPr>
                    <w:t xml:space="preserve"> of PRS cases after a discretionary home study that were closed during</w:t>
                  </w:r>
                  <w:r w:rsidR="00060291" w:rsidRPr="00A528AB">
                    <w:rPr>
                      <w:rFonts w:ascii="Calibri" w:hAnsi="Calibri"/>
                      <w:color w:val="FF0000"/>
                    </w:rPr>
                    <w:t xml:space="preserve"> the </w:t>
                  </w:r>
                  <w:r w:rsidR="00060291">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EBA8567"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49C9DDB" w14:textId="77777777" w:rsidR="00FE0DC4" w:rsidRPr="00077ECD" w:rsidRDefault="00FE0DC4" w:rsidP="000546D4">
                  <w:pPr>
                    <w:jc w:val="center"/>
                    <w:rPr>
                      <w:rFonts w:ascii="Calibri" w:eastAsia="Calibri" w:hAnsi="Calibri"/>
                      <w:color w:val="000000"/>
                      <w:sz w:val="22"/>
                      <w:szCs w:val="22"/>
                    </w:rPr>
                  </w:pPr>
                </w:p>
              </w:tc>
            </w:tr>
            <w:tr w:rsidR="00FE0DC4" w14:paraId="2FEE3182"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511E3F72" w14:textId="77777777" w:rsidR="00FE0DC4" w:rsidRDefault="00FE0DC4" w:rsidP="000546D4">
                  <w:pPr>
                    <w:jc w:val="center"/>
                    <w:rPr>
                      <w:rFonts w:ascii="Calibri" w:hAnsi="Calibri"/>
                      <w:color w:val="000000"/>
                      <w:sz w:val="22"/>
                    </w:rPr>
                  </w:pPr>
                  <w:r>
                    <w:rPr>
                      <w:rFonts w:ascii="Calibri" w:hAnsi="Calibri"/>
                      <w:color w:val="000000"/>
                      <w:sz w:val="22"/>
                    </w:rPr>
                    <w:t>PRS After Mandated Home Study</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074D8B3"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DAA0E29" w14:textId="77777777" w:rsidR="00FE0DC4" w:rsidRPr="00077ECD" w:rsidRDefault="00FE0DC4" w:rsidP="000546D4">
                  <w:pPr>
                    <w:jc w:val="center"/>
                    <w:rPr>
                      <w:rFonts w:ascii="Calibri" w:eastAsia="Calibri" w:hAnsi="Calibri"/>
                      <w:color w:val="000000"/>
                      <w:sz w:val="22"/>
                      <w:szCs w:val="22"/>
                    </w:rPr>
                  </w:pPr>
                </w:p>
              </w:tc>
            </w:tr>
            <w:tr w:rsidR="00FE0DC4" w14:paraId="161A3E15"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5FEE1062"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New cases</w:t>
                  </w:r>
                  <w:r w:rsidRPr="00077ECD">
                    <w:rPr>
                      <w:rFonts w:ascii="Calibri" w:hAnsi="Calibri"/>
                      <w:color w:val="000000"/>
                      <w:sz w:val="22"/>
                    </w:rPr>
                    <w:t xml:space="preserve"> Accepted</w:t>
                  </w:r>
                  <w:r w:rsidR="00060291" w:rsidRPr="00A528AB">
                    <w:rPr>
                      <w:rFonts w:ascii="Calibri" w:hAnsi="Calibri"/>
                      <w:color w:val="FF0000"/>
                    </w:rPr>
                    <w:t xml:space="preserve"> The total number of new (</w:t>
                  </w:r>
                  <w:r w:rsidR="00060291">
                    <w:rPr>
                      <w:rFonts w:ascii="Calibri" w:hAnsi="Calibri"/>
                      <w:color w:val="FF0000"/>
                    </w:rPr>
                    <w:t xml:space="preserve">not previously active) PRS referrals after an ORR mandated home study were </w:t>
                  </w:r>
                  <w:r w:rsidR="00060291" w:rsidRPr="00A528AB">
                    <w:rPr>
                      <w:rFonts w:ascii="Calibri" w:hAnsi="Calibri"/>
                      <w:color w:val="FF0000"/>
                    </w:rPr>
                    <w:t xml:space="preserve">accepted during the </w:t>
                  </w:r>
                  <w:r w:rsidR="00060291">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F7565E"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 </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DB93B07" w14:textId="77777777" w:rsidR="00FE0DC4" w:rsidRPr="00077ECD" w:rsidRDefault="00FE0DC4" w:rsidP="000546D4">
                  <w:pPr>
                    <w:jc w:val="center"/>
                    <w:rPr>
                      <w:rFonts w:ascii="Calibri" w:eastAsia="Calibri" w:hAnsi="Calibri"/>
                      <w:color w:val="000000"/>
                      <w:sz w:val="22"/>
                      <w:szCs w:val="22"/>
                    </w:rPr>
                  </w:pPr>
                </w:p>
              </w:tc>
            </w:tr>
            <w:tr w:rsidR="00FE0DC4" w14:paraId="4408CDF3"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07CC6A7F" w14:textId="77777777" w:rsidR="00FE0DC4" w:rsidRPr="00462E69" w:rsidRDefault="00FE0DC4" w:rsidP="000546D4">
                  <w:pPr>
                    <w:rPr>
                      <w:rFonts w:ascii="Calibri" w:eastAsia="Calibri" w:hAnsi="Calibri"/>
                      <w:color w:val="FF0000"/>
                      <w:sz w:val="22"/>
                      <w:szCs w:val="22"/>
                    </w:rPr>
                  </w:pPr>
                  <w:r>
                    <w:rPr>
                      <w:rFonts w:ascii="Calibri" w:hAnsi="Calibri"/>
                      <w:color w:val="000000"/>
                      <w:sz w:val="22"/>
                    </w:rPr>
                    <w:t>Number of Rollover Cases Being Served from P</w:t>
                  </w:r>
                  <w:r w:rsidRPr="00077ECD">
                    <w:rPr>
                      <w:rFonts w:ascii="Calibri" w:hAnsi="Calibri"/>
                      <w:color w:val="000000"/>
                      <w:sz w:val="22"/>
                    </w:rPr>
                    <w:t>revious Fiscal Year</w:t>
                  </w:r>
                  <w:r w:rsidR="00462E69">
                    <w:rPr>
                      <w:rFonts w:ascii="Calibri" w:hAnsi="Calibri"/>
                      <w:color w:val="FF0000"/>
                      <w:sz w:val="22"/>
                    </w:rPr>
                    <w:t xml:space="preserve">- </w:t>
                  </w:r>
                  <w:r w:rsidR="00462E69" w:rsidRPr="005A2663">
                    <w:rPr>
                      <w:rFonts w:ascii="Calibri" w:hAnsi="Calibri"/>
                      <w:color w:val="FF0000"/>
                    </w:rPr>
                    <w:t>This number should only be reported in quarter one, subsequent quarters the first column will be blank and the number from the first quarter will be carried over each quarter in the annual column to the right.</w:t>
                  </w:r>
                  <w:r w:rsidR="00462E69">
                    <w:rPr>
                      <w:rFonts w:ascii="Calibri" w:hAnsi="Calibri"/>
                      <w:color w:val="FF0000"/>
                    </w:rPr>
                    <w:t xml:space="preserve"> This number should represent rollover PRS cases after an ORR mandated home study. Carryover the figure from the first quarter to the annual column for each subsequent reporting period.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81E4CD3"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D760774" w14:textId="77777777" w:rsidR="00FE0DC4" w:rsidRPr="00077ECD" w:rsidRDefault="00FE0DC4" w:rsidP="000546D4">
                  <w:pPr>
                    <w:jc w:val="center"/>
                    <w:rPr>
                      <w:rFonts w:ascii="Calibri" w:eastAsia="Calibri" w:hAnsi="Calibri"/>
                      <w:color w:val="000000"/>
                      <w:sz w:val="22"/>
                      <w:szCs w:val="22"/>
                    </w:rPr>
                  </w:pPr>
                </w:p>
              </w:tc>
            </w:tr>
            <w:tr w:rsidR="00FE0DC4" w14:paraId="00DBFBF0"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20D1B0D5" w14:textId="77777777" w:rsidR="00FE0DC4" w:rsidRPr="00077ECD" w:rsidRDefault="00FE0DC4" w:rsidP="000546D4">
                  <w:pPr>
                    <w:rPr>
                      <w:rFonts w:ascii="Calibri" w:hAnsi="Calibri"/>
                      <w:color w:val="000000"/>
                      <w:sz w:val="22"/>
                    </w:rPr>
                  </w:pPr>
                  <w:r>
                    <w:rPr>
                      <w:rFonts w:ascii="Calibri" w:hAnsi="Calibri"/>
                      <w:color w:val="000000"/>
                      <w:sz w:val="22"/>
                    </w:rPr>
                    <w:t>Number of Cases Closed</w:t>
                  </w:r>
                  <w:r w:rsidR="00462E69">
                    <w:rPr>
                      <w:rFonts w:ascii="Calibri" w:hAnsi="Calibri"/>
                      <w:color w:val="FF0000"/>
                      <w:sz w:val="22"/>
                    </w:rPr>
                    <w:t>-</w:t>
                  </w:r>
                  <w:r w:rsidR="00462E69" w:rsidRPr="00A528AB">
                    <w:rPr>
                      <w:rFonts w:ascii="Calibri" w:hAnsi="Calibri"/>
                      <w:color w:val="FF0000"/>
                    </w:rPr>
                    <w:t xml:space="preserve"> The total number</w:t>
                  </w:r>
                  <w:r w:rsidR="00462E69">
                    <w:rPr>
                      <w:rFonts w:ascii="Calibri" w:hAnsi="Calibri"/>
                      <w:color w:val="FF0000"/>
                    </w:rPr>
                    <w:t xml:space="preserve"> of PRS cases after an ORR mandated home study that were closed during</w:t>
                  </w:r>
                  <w:r w:rsidR="00462E69" w:rsidRPr="00A528AB">
                    <w:rPr>
                      <w:rFonts w:ascii="Calibri" w:hAnsi="Calibri"/>
                      <w:color w:val="FF0000"/>
                    </w:rPr>
                    <w:t xml:space="preserve"> the </w:t>
                  </w:r>
                  <w:r w:rsidR="00462E69">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7798EC8"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D67595B" w14:textId="77777777" w:rsidR="00FE0DC4" w:rsidRPr="00077ECD" w:rsidRDefault="00FE0DC4" w:rsidP="000546D4">
                  <w:pPr>
                    <w:jc w:val="center"/>
                    <w:rPr>
                      <w:rFonts w:ascii="Calibri" w:eastAsia="Calibri" w:hAnsi="Calibri"/>
                      <w:color w:val="000000"/>
                      <w:sz w:val="22"/>
                      <w:szCs w:val="22"/>
                    </w:rPr>
                  </w:pPr>
                </w:p>
              </w:tc>
            </w:tr>
            <w:tr w:rsidR="00FE0DC4" w14:paraId="0D2F67A1" w14:textId="77777777" w:rsidTr="000546D4">
              <w:trPr>
                <w:trHeight w:val="600"/>
              </w:trPr>
              <w:tc>
                <w:tcPr>
                  <w:tcW w:w="6720" w:type="dxa"/>
                  <w:tcBorders>
                    <w:top w:val="nil"/>
                    <w:left w:val="single" w:sz="8" w:space="0" w:color="auto"/>
                    <w:bottom w:val="double" w:sz="6" w:space="0" w:color="auto"/>
                    <w:right w:val="nil"/>
                  </w:tcBorders>
                  <w:tcMar>
                    <w:top w:w="0" w:type="dxa"/>
                    <w:left w:w="108" w:type="dxa"/>
                    <w:bottom w:w="0" w:type="dxa"/>
                    <w:right w:w="108" w:type="dxa"/>
                  </w:tcMar>
                  <w:vAlign w:val="bottom"/>
                  <w:hideMark/>
                </w:tcPr>
                <w:p w14:paraId="125CCDAE" w14:textId="77777777" w:rsidR="00FE0DC4" w:rsidRPr="00077ECD" w:rsidRDefault="00FE0DC4" w:rsidP="000546D4">
                  <w:pPr>
                    <w:rPr>
                      <w:rFonts w:ascii="Calibri" w:eastAsia="Calibri" w:hAnsi="Calibri"/>
                      <w:color w:val="000000"/>
                      <w:sz w:val="22"/>
                      <w:szCs w:val="22"/>
                    </w:rPr>
                  </w:pPr>
                  <w:r w:rsidRPr="00077ECD">
                    <w:rPr>
                      <w:rFonts w:ascii="Calibri" w:hAnsi="Calibri"/>
                      <w:color w:val="000000"/>
                      <w:sz w:val="22"/>
                    </w:rPr>
                    <w:t xml:space="preserve">Total Number of </w:t>
                  </w:r>
                  <w:r>
                    <w:rPr>
                      <w:rFonts w:ascii="Calibri" w:hAnsi="Calibri"/>
                      <w:color w:val="000000"/>
                      <w:sz w:val="22"/>
                    </w:rPr>
                    <w:t>Children Served for ALL Post Release Services</w:t>
                  </w:r>
                  <w:r w:rsidR="00462E69">
                    <w:rPr>
                      <w:rFonts w:ascii="Calibri" w:hAnsi="Calibri"/>
                      <w:color w:val="FF0000"/>
                      <w:sz w:val="22"/>
                    </w:rPr>
                    <w:t xml:space="preserve">- This number should represent all types of rollover PRS plus all types of accepted </w:t>
                  </w:r>
                  <w:r w:rsidR="00220D34">
                    <w:rPr>
                      <w:rFonts w:ascii="Calibri" w:hAnsi="Calibri"/>
                      <w:color w:val="FF0000"/>
                      <w:sz w:val="22"/>
                    </w:rPr>
                    <w:t>PRS minus the</w:t>
                  </w:r>
                  <w:r w:rsidR="00462E69">
                    <w:rPr>
                      <w:rFonts w:ascii="Calibri" w:hAnsi="Calibri"/>
                      <w:color w:val="FF0000"/>
                      <w:sz w:val="22"/>
                    </w:rPr>
                    <w:t xml:space="preserve"> cancelled cases.</w:t>
                  </w:r>
                </w:p>
              </w:tc>
              <w:tc>
                <w:tcPr>
                  <w:tcW w:w="960" w:type="dxa"/>
                  <w:tcBorders>
                    <w:top w:val="single" w:sz="8" w:space="0" w:color="auto"/>
                    <w:left w:val="single" w:sz="8" w:space="0" w:color="auto"/>
                    <w:bottom w:val="double" w:sz="6" w:space="0" w:color="auto"/>
                    <w:right w:val="single" w:sz="8" w:space="0" w:color="auto"/>
                  </w:tcBorders>
                  <w:tcMar>
                    <w:top w:w="0" w:type="dxa"/>
                    <w:left w:w="108" w:type="dxa"/>
                    <w:bottom w:w="0" w:type="dxa"/>
                    <w:right w:w="108" w:type="dxa"/>
                  </w:tcMar>
                  <w:vAlign w:val="bottom"/>
                  <w:hideMark/>
                </w:tcPr>
                <w:p w14:paraId="0D4B3520" w14:textId="77777777" w:rsidR="00FE0DC4" w:rsidRPr="00077ECD" w:rsidRDefault="00FE0DC4" w:rsidP="000546D4">
                  <w:pPr>
                    <w:rPr>
                      <w:rFonts w:ascii="Calibri" w:eastAsia="Calibri" w:hAnsi="Calibri"/>
                      <w:b/>
                      <w:bCs/>
                      <w:color w:val="000000"/>
                      <w:sz w:val="22"/>
                      <w:szCs w:val="22"/>
                    </w:rPr>
                  </w:pPr>
                  <w:r w:rsidRPr="00077ECD">
                    <w:rPr>
                      <w:rFonts w:ascii="Calibri" w:hAnsi="Calibri"/>
                      <w:b/>
                      <w:bCs/>
                      <w:color w:val="000000"/>
                      <w:sz w:val="22"/>
                    </w:rPr>
                    <w:t> </w:t>
                  </w:r>
                </w:p>
              </w:tc>
              <w:tc>
                <w:tcPr>
                  <w:tcW w:w="923" w:type="dxa"/>
                  <w:tcBorders>
                    <w:top w:val="single" w:sz="8" w:space="0" w:color="auto"/>
                    <w:left w:val="nil"/>
                    <w:bottom w:val="double" w:sz="6" w:space="0" w:color="auto"/>
                    <w:right w:val="single" w:sz="8" w:space="0" w:color="auto"/>
                  </w:tcBorders>
                  <w:tcMar>
                    <w:top w:w="0" w:type="dxa"/>
                    <w:left w:w="108" w:type="dxa"/>
                    <w:bottom w:w="0" w:type="dxa"/>
                    <w:right w:w="108" w:type="dxa"/>
                  </w:tcMar>
                  <w:vAlign w:val="bottom"/>
                </w:tcPr>
                <w:p w14:paraId="1941D259" w14:textId="77777777" w:rsidR="00FE0DC4" w:rsidRPr="00077ECD" w:rsidRDefault="00FE0DC4" w:rsidP="000546D4">
                  <w:pPr>
                    <w:rPr>
                      <w:rFonts w:ascii="Calibri" w:eastAsia="Calibri" w:hAnsi="Calibri"/>
                      <w:b/>
                      <w:bCs/>
                      <w:color w:val="000000"/>
                      <w:sz w:val="22"/>
                      <w:szCs w:val="22"/>
                    </w:rPr>
                  </w:pPr>
                </w:p>
              </w:tc>
            </w:tr>
            <w:tr w:rsidR="00FE0DC4" w14:paraId="113FF8BB" w14:textId="77777777" w:rsidTr="000546D4">
              <w:trPr>
                <w:trHeight w:val="315"/>
              </w:trPr>
              <w:tc>
                <w:tcPr>
                  <w:tcW w:w="672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EA74BA9" w14:textId="77777777" w:rsidR="00FE0DC4" w:rsidRPr="00077ECD" w:rsidRDefault="00FE0DC4" w:rsidP="000546D4">
                  <w:pPr>
                    <w:jc w:val="center"/>
                    <w:rPr>
                      <w:rFonts w:ascii="Calibri" w:eastAsia="Calibri" w:hAnsi="Calibri"/>
                      <w:b/>
                      <w:bCs/>
                      <w:color w:val="000000"/>
                      <w:sz w:val="22"/>
                      <w:szCs w:val="22"/>
                    </w:rPr>
                  </w:pPr>
                  <w:r w:rsidRPr="00077ECD">
                    <w:rPr>
                      <w:rFonts w:ascii="Calibri" w:hAnsi="Calibri"/>
                      <w:b/>
                      <w:bCs/>
                      <w:color w:val="000000"/>
                      <w:sz w:val="22"/>
                    </w:rPr>
                    <w:t>TOTAL NUMBER OF CHILDREN SERVED in HS and PRS</w:t>
                  </w:r>
                </w:p>
              </w:tc>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0E957C" w14:textId="77777777" w:rsidR="00FE0DC4" w:rsidRPr="00077ECD" w:rsidRDefault="00FE0DC4" w:rsidP="000546D4">
                  <w:pPr>
                    <w:rPr>
                      <w:rFonts w:ascii="Calibri" w:eastAsia="Calibri" w:hAnsi="Calibri"/>
                      <w:color w:val="000000"/>
                      <w:sz w:val="22"/>
                      <w:szCs w:val="22"/>
                    </w:rPr>
                  </w:pPr>
                  <w:r w:rsidRPr="00077ECD">
                    <w:rPr>
                      <w:rFonts w:ascii="Calibri" w:hAnsi="Calibri"/>
                      <w:color w:val="000000"/>
                      <w:sz w:val="22"/>
                    </w:rPr>
                    <w:t> </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1897451" w14:textId="77777777" w:rsidR="00FE0DC4" w:rsidRPr="00077ECD" w:rsidRDefault="00FE0DC4" w:rsidP="000546D4">
                  <w:pPr>
                    <w:rPr>
                      <w:rFonts w:ascii="Calibri" w:eastAsia="Calibri" w:hAnsi="Calibri"/>
                      <w:b/>
                      <w:color w:val="000000"/>
                      <w:sz w:val="22"/>
                      <w:szCs w:val="22"/>
                    </w:rPr>
                  </w:pPr>
                </w:p>
              </w:tc>
            </w:tr>
          </w:tbl>
          <w:p w14:paraId="5E35E557" w14:textId="77777777" w:rsidR="00FE0DC4" w:rsidRDefault="00FE0DC4" w:rsidP="000546D4">
            <w:pPr>
              <w:rPr>
                <w:rFonts w:ascii="Arial" w:hAnsi="Arial"/>
                <w:sz w:val="18"/>
                <w:szCs w:val="20"/>
              </w:rPr>
            </w:pPr>
          </w:p>
          <w:p w14:paraId="54AC23EB" w14:textId="77777777" w:rsidR="00FE0DC4" w:rsidRDefault="00FE0DC4" w:rsidP="000546D4">
            <w:pPr>
              <w:rPr>
                <w:rFonts w:ascii="Arial" w:hAnsi="Arial"/>
                <w:sz w:val="18"/>
                <w:szCs w:val="20"/>
              </w:rPr>
            </w:pPr>
          </w:p>
          <w:p w14:paraId="6AEAC057" w14:textId="77777777" w:rsidR="00FE0DC4" w:rsidRDefault="00FE0DC4" w:rsidP="000546D4">
            <w:pPr>
              <w:rPr>
                <w:rFonts w:ascii="Arial" w:hAnsi="Arial"/>
                <w:sz w:val="18"/>
                <w:szCs w:val="20"/>
              </w:rPr>
            </w:pPr>
          </w:p>
          <w:tbl>
            <w:tblPr>
              <w:tblW w:w="8592" w:type="dxa"/>
              <w:tblLook w:val="04A0" w:firstRow="1" w:lastRow="0" w:firstColumn="1" w:lastColumn="0" w:noHBand="0" w:noVBand="1"/>
            </w:tblPr>
            <w:tblGrid>
              <w:gridCol w:w="6702"/>
              <w:gridCol w:w="990"/>
              <w:gridCol w:w="900"/>
            </w:tblGrid>
            <w:tr w:rsidR="00FE0DC4" w14:paraId="489D90EE" w14:textId="77777777" w:rsidTr="000546D4">
              <w:trPr>
                <w:trHeight w:val="300"/>
              </w:trPr>
              <w:tc>
                <w:tcPr>
                  <w:tcW w:w="6702" w:type="dxa"/>
                  <w:tcBorders>
                    <w:top w:val="single" w:sz="4" w:space="0" w:color="auto"/>
                    <w:left w:val="single" w:sz="4" w:space="0" w:color="auto"/>
                    <w:bottom w:val="single" w:sz="4" w:space="0" w:color="auto"/>
                    <w:right w:val="single" w:sz="4" w:space="0" w:color="000000"/>
                  </w:tcBorders>
                  <w:shd w:val="clear" w:color="000000" w:fill="8DB4E2"/>
                  <w:noWrap/>
                  <w:vAlign w:val="center"/>
                  <w:hideMark/>
                </w:tcPr>
                <w:p w14:paraId="4AE1BEDE" w14:textId="77777777" w:rsidR="00FE0DC4" w:rsidRDefault="00FE0DC4" w:rsidP="000546D4">
                  <w:pPr>
                    <w:jc w:val="center"/>
                    <w:rPr>
                      <w:rFonts w:ascii="Calibri" w:hAnsi="Calibri"/>
                      <w:b/>
                      <w:bCs/>
                      <w:color w:val="000000"/>
                      <w:sz w:val="22"/>
                      <w:szCs w:val="22"/>
                    </w:rPr>
                  </w:pPr>
                  <w:r>
                    <w:rPr>
                      <w:rFonts w:ascii="Calibri" w:hAnsi="Calibri"/>
                      <w:b/>
                      <w:bCs/>
                      <w:color w:val="000000"/>
                      <w:sz w:val="22"/>
                      <w:szCs w:val="22"/>
                    </w:rPr>
                    <w:t>Home Study</w:t>
                  </w:r>
                </w:p>
              </w:tc>
              <w:tc>
                <w:tcPr>
                  <w:tcW w:w="990" w:type="dxa"/>
                  <w:tcBorders>
                    <w:top w:val="single" w:sz="4" w:space="0" w:color="auto"/>
                    <w:left w:val="nil"/>
                    <w:bottom w:val="single" w:sz="4" w:space="0" w:color="auto"/>
                    <w:right w:val="single" w:sz="4" w:space="0" w:color="auto"/>
                  </w:tcBorders>
                  <w:shd w:val="clear" w:color="000000" w:fill="8DB4E2"/>
                  <w:noWrap/>
                  <w:vAlign w:val="center"/>
                  <w:hideMark/>
                </w:tcPr>
                <w:p w14:paraId="51642ED4" w14:textId="77777777" w:rsidR="00FE0DC4" w:rsidRDefault="00FE0DC4" w:rsidP="000546D4">
                  <w:pPr>
                    <w:jc w:val="center"/>
                    <w:rPr>
                      <w:rFonts w:ascii="Calibri" w:hAnsi="Calibri"/>
                      <w:color w:val="000000"/>
                      <w:sz w:val="22"/>
                      <w:szCs w:val="22"/>
                    </w:rPr>
                  </w:pPr>
                  <w:r>
                    <w:rPr>
                      <w:rFonts w:ascii="Calibri" w:hAnsi="Calibri"/>
                      <w:color w:val="000000"/>
                      <w:sz w:val="22"/>
                      <w:szCs w:val="22"/>
                    </w:rPr>
                    <w:t>Quarter 1</w:t>
                  </w:r>
                </w:p>
              </w:tc>
              <w:tc>
                <w:tcPr>
                  <w:tcW w:w="900" w:type="dxa"/>
                  <w:tcBorders>
                    <w:top w:val="single" w:sz="4" w:space="0" w:color="auto"/>
                    <w:left w:val="nil"/>
                    <w:bottom w:val="single" w:sz="4" w:space="0" w:color="auto"/>
                    <w:right w:val="single" w:sz="4" w:space="0" w:color="auto"/>
                  </w:tcBorders>
                  <w:shd w:val="clear" w:color="000000" w:fill="8DB4E2"/>
                  <w:noWrap/>
                  <w:vAlign w:val="center"/>
                  <w:hideMark/>
                </w:tcPr>
                <w:p w14:paraId="0B654F3D" w14:textId="77777777" w:rsidR="00FE0DC4" w:rsidRDefault="00FE0DC4" w:rsidP="000546D4">
                  <w:pPr>
                    <w:jc w:val="center"/>
                    <w:rPr>
                      <w:rFonts w:ascii="Calibri" w:hAnsi="Calibri"/>
                      <w:color w:val="000000"/>
                      <w:sz w:val="22"/>
                      <w:szCs w:val="22"/>
                    </w:rPr>
                  </w:pPr>
                  <w:r>
                    <w:rPr>
                      <w:rFonts w:ascii="Calibri" w:hAnsi="Calibri"/>
                      <w:color w:val="000000"/>
                      <w:sz w:val="22"/>
                      <w:szCs w:val="22"/>
                    </w:rPr>
                    <w:t>Annual</w:t>
                  </w:r>
                </w:p>
              </w:tc>
            </w:tr>
            <w:tr w:rsidR="00FE0DC4" w14:paraId="6660BDC4" w14:textId="77777777" w:rsidTr="000546D4">
              <w:trPr>
                <w:trHeight w:val="570"/>
              </w:trPr>
              <w:tc>
                <w:tcPr>
                  <w:tcW w:w="670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FCDD606" w14:textId="77777777" w:rsidR="00FE0DC4" w:rsidRDefault="00FE0DC4" w:rsidP="000546D4">
                  <w:pPr>
                    <w:rPr>
                      <w:rFonts w:ascii="Calibri" w:hAnsi="Calibri"/>
                      <w:color w:val="000000"/>
                      <w:sz w:val="22"/>
                      <w:szCs w:val="22"/>
                    </w:rPr>
                  </w:pPr>
                  <w:r>
                    <w:rPr>
                      <w:rFonts w:ascii="Calibri" w:hAnsi="Calibri"/>
                      <w:color w:val="000000"/>
                      <w:sz w:val="22"/>
                      <w:szCs w:val="22"/>
                    </w:rPr>
                    <w:t>Total Number of Reports submitted to ORR within 10 business days (beginning Dec. 1, 2015)</w:t>
                  </w:r>
                  <w:r w:rsidR="00C94B5A">
                    <w:rPr>
                      <w:rFonts w:ascii="Calibri" w:hAnsi="Calibri"/>
                      <w:color w:val="FF0000"/>
                    </w:rPr>
                    <w:t xml:space="preserve"> – This figure should reflect all home study reports submitted within the required </w:t>
                  </w:r>
                  <w:r w:rsidR="00A06096">
                    <w:rPr>
                      <w:rFonts w:ascii="Calibri" w:hAnsi="Calibri"/>
                      <w:color w:val="FF0000"/>
                    </w:rPr>
                    <w:t>10-day</w:t>
                  </w:r>
                  <w:r w:rsidR="00C94B5A">
                    <w:rPr>
                      <w:rFonts w:ascii="Calibri" w:hAnsi="Calibri"/>
                      <w:color w:val="FF0000"/>
                    </w:rPr>
                    <w:t xml:space="preserve"> timeframe during the reporting quarter.  Add prior reporting period figure to this reporting period for the annual column (except for Q1).</w:t>
                  </w:r>
                </w:p>
              </w:tc>
              <w:tc>
                <w:tcPr>
                  <w:tcW w:w="990" w:type="dxa"/>
                  <w:tcBorders>
                    <w:top w:val="nil"/>
                    <w:left w:val="nil"/>
                    <w:bottom w:val="single" w:sz="4" w:space="0" w:color="auto"/>
                    <w:right w:val="single" w:sz="4" w:space="0" w:color="auto"/>
                  </w:tcBorders>
                  <w:shd w:val="clear" w:color="auto" w:fill="auto"/>
                  <w:noWrap/>
                  <w:vAlign w:val="center"/>
                  <w:hideMark/>
                </w:tcPr>
                <w:p w14:paraId="76987CAB" w14:textId="77777777" w:rsidR="00FE0DC4" w:rsidRDefault="00FE0DC4" w:rsidP="000546D4">
                  <w:pPr>
                    <w:jc w:val="center"/>
                    <w:rPr>
                      <w:rFonts w:ascii="Calibri" w:hAnsi="Calibri"/>
                      <w:color w:val="000000"/>
                      <w:sz w:val="22"/>
                      <w:szCs w:val="22"/>
                    </w:rPr>
                  </w:pPr>
                  <w:r>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center"/>
                  <w:hideMark/>
                </w:tcPr>
                <w:p w14:paraId="52F399D1" w14:textId="77777777" w:rsidR="00FE0DC4" w:rsidRDefault="00FE0DC4" w:rsidP="000546D4">
                  <w:pPr>
                    <w:jc w:val="center"/>
                    <w:rPr>
                      <w:rFonts w:ascii="Calibri" w:hAnsi="Calibri"/>
                      <w:color w:val="000000"/>
                      <w:sz w:val="22"/>
                      <w:szCs w:val="22"/>
                    </w:rPr>
                  </w:pPr>
                  <w:r>
                    <w:rPr>
                      <w:rFonts w:ascii="Calibri" w:hAnsi="Calibri"/>
                      <w:color w:val="000000"/>
                      <w:sz w:val="22"/>
                      <w:szCs w:val="22"/>
                    </w:rPr>
                    <w:t> </w:t>
                  </w:r>
                </w:p>
              </w:tc>
            </w:tr>
            <w:tr w:rsidR="00FE0DC4" w14:paraId="743EE3F3" w14:textId="77777777" w:rsidTr="000546D4">
              <w:trPr>
                <w:trHeight w:val="570"/>
              </w:trPr>
              <w:tc>
                <w:tcPr>
                  <w:tcW w:w="670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85CF60D" w14:textId="77777777" w:rsidR="00FE0DC4" w:rsidRDefault="00FE0DC4" w:rsidP="000546D4">
                  <w:pPr>
                    <w:rPr>
                      <w:rFonts w:ascii="Calibri" w:hAnsi="Calibri"/>
                      <w:color w:val="000000"/>
                      <w:sz w:val="22"/>
                      <w:szCs w:val="22"/>
                    </w:rPr>
                  </w:pPr>
                  <w:r>
                    <w:rPr>
                      <w:rFonts w:ascii="Calibri" w:hAnsi="Calibri"/>
                      <w:color w:val="000000"/>
                      <w:sz w:val="22"/>
                      <w:szCs w:val="22"/>
                    </w:rPr>
                    <w:t>Number of Reports granted an extension by ORR/DCS/Federal Field Specialist</w:t>
                  </w:r>
                  <w:r w:rsidR="00C94B5A">
                    <w:rPr>
                      <w:rFonts w:ascii="Calibri" w:hAnsi="Calibri"/>
                      <w:color w:val="FF0000"/>
                    </w:rPr>
                    <w:t>– This figure should reflect any home studies granted an extension during the reporting period. Add prior reporting period figure to this reporting period for the annual column (except for Q1).</w:t>
                  </w:r>
                </w:p>
              </w:tc>
              <w:tc>
                <w:tcPr>
                  <w:tcW w:w="990" w:type="dxa"/>
                  <w:tcBorders>
                    <w:top w:val="nil"/>
                    <w:left w:val="nil"/>
                    <w:bottom w:val="single" w:sz="4" w:space="0" w:color="auto"/>
                    <w:right w:val="single" w:sz="4" w:space="0" w:color="auto"/>
                  </w:tcBorders>
                  <w:shd w:val="clear" w:color="auto" w:fill="auto"/>
                  <w:noWrap/>
                  <w:vAlign w:val="center"/>
                  <w:hideMark/>
                </w:tcPr>
                <w:p w14:paraId="11580F24" w14:textId="77777777" w:rsidR="00FE0DC4" w:rsidRDefault="00FE0DC4" w:rsidP="000546D4">
                  <w:pPr>
                    <w:jc w:val="center"/>
                    <w:rPr>
                      <w:rFonts w:ascii="Calibri" w:hAnsi="Calibri"/>
                      <w:color w:val="000000"/>
                      <w:sz w:val="22"/>
                      <w:szCs w:val="22"/>
                    </w:rPr>
                  </w:pPr>
                  <w:r>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center"/>
                  <w:hideMark/>
                </w:tcPr>
                <w:p w14:paraId="7A499750" w14:textId="77777777" w:rsidR="00FE0DC4" w:rsidRDefault="00FE0DC4" w:rsidP="000546D4">
                  <w:pPr>
                    <w:jc w:val="center"/>
                    <w:rPr>
                      <w:rFonts w:ascii="Calibri" w:hAnsi="Calibri"/>
                      <w:color w:val="000000"/>
                      <w:sz w:val="22"/>
                      <w:szCs w:val="22"/>
                    </w:rPr>
                  </w:pPr>
                  <w:r>
                    <w:rPr>
                      <w:rFonts w:ascii="Calibri" w:hAnsi="Calibri"/>
                      <w:color w:val="000000"/>
                      <w:sz w:val="22"/>
                      <w:szCs w:val="22"/>
                    </w:rPr>
                    <w:t> </w:t>
                  </w:r>
                </w:p>
              </w:tc>
            </w:tr>
            <w:tr w:rsidR="00FE0DC4" w14:paraId="56BC31DE" w14:textId="77777777" w:rsidTr="00592A28">
              <w:trPr>
                <w:trHeight w:val="570"/>
              </w:trPr>
              <w:tc>
                <w:tcPr>
                  <w:tcW w:w="670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BBBE647" w14:textId="77777777" w:rsidR="00FE0DC4" w:rsidRDefault="00FE0DC4" w:rsidP="000546D4">
                  <w:pPr>
                    <w:rPr>
                      <w:rFonts w:ascii="Calibri" w:hAnsi="Calibri"/>
                      <w:color w:val="000000"/>
                      <w:sz w:val="22"/>
                      <w:szCs w:val="22"/>
                    </w:rPr>
                  </w:pPr>
                  <w:r>
                    <w:rPr>
                      <w:rFonts w:ascii="Calibri" w:hAnsi="Calibri"/>
                      <w:color w:val="000000"/>
                      <w:sz w:val="22"/>
                      <w:szCs w:val="22"/>
                    </w:rPr>
                    <w:t>Total Number of Addendums requested by ORR/DCS/Federal Field Specialist</w:t>
                  </w:r>
                  <w:r w:rsidR="00C94B5A">
                    <w:rPr>
                      <w:rFonts w:ascii="Calibri" w:hAnsi="Calibri"/>
                      <w:color w:val="FF0000"/>
                    </w:rPr>
                    <w:t>– This figure should reflect any addendums requested during the reporting period. Add prior reporting period figure to this reporting</w:t>
                  </w:r>
                </w:p>
              </w:tc>
              <w:tc>
                <w:tcPr>
                  <w:tcW w:w="990" w:type="dxa"/>
                  <w:tcBorders>
                    <w:top w:val="nil"/>
                    <w:left w:val="nil"/>
                    <w:bottom w:val="nil"/>
                    <w:right w:val="single" w:sz="4" w:space="0" w:color="auto"/>
                  </w:tcBorders>
                  <w:shd w:val="clear" w:color="auto" w:fill="auto"/>
                  <w:noWrap/>
                  <w:vAlign w:val="center"/>
                  <w:hideMark/>
                </w:tcPr>
                <w:p w14:paraId="627DF527" w14:textId="77777777" w:rsidR="00FE0DC4" w:rsidRDefault="00FE0DC4" w:rsidP="000546D4">
                  <w:pPr>
                    <w:jc w:val="center"/>
                    <w:rPr>
                      <w:rFonts w:ascii="Calibri" w:hAnsi="Calibri"/>
                      <w:color w:val="000000"/>
                      <w:sz w:val="22"/>
                      <w:szCs w:val="22"/>
                    </w:rPr>
                  </w:pPr>
                  <w:r>
                    <w:rPr>
                      <w:rFonts w:ascii="Calibri" w:hAnsi="Calibri"/>
                      <w:color w:val="000000"/>
                      <w:sz w:val="22"/>
                      <w:szCs w:val="22"/>
                    </w:rPr>
                    <w:t> </w:t>
                  </w:r>
                </w:p>
              </w:tc>
              <w:tc>
                <w:tcPr>
                  <w:tcW w:w="900" w:type="dxa"/>
                  <w:tcBorders>
                    <w:top w:val="nil"/>
                    <w:left w:val="nil"/>
                    <w:bottom w:val="nil"/>
                    <w:right w:val="single" w:sz="4" w:space="0" w:color="auto"/>
                  </w:tcBorders>
                  <w:shd w:val="clear" w:color="auto" w:fill="auto"/>
                  <w:noWrap/>
                  <w:vAlign w:val="center"/>
                  <w:hideMark/>
                </w:tcPr>
                <w:p w14:paraId="1532BE53" w14:textId="77777777" w:rsidR="00FE0DC4" w:rsidRDefault="00FE0DC4" w:rsidP="000546D4">
                  <w:pPr>
                    <w:jc w:val="center"/>
                    <w:rPr>
                      <w:rFonts w:ascii="Calibri" w:hAnsi="Calibri"/>
                      <w:color w:val="000000"/>
                      <w:sz w:val="22"/>
                      <w:szCs w:val="22"/>
                    </w:rPr>
                  </w:pPr>
                  <w:r>
                    <w:rPr>
                      <w:rFonts w:ascii="Calibri" w:hAnsi="Calibri"/>
                      <w:color w:val="000000"/>
                      <w:sz w:val="22"/>
                      <w:szCs w:val="22"/>
                    </w:rPr>
                    <w:t> </w:t>
                  </w:r>
                </w:p>
              </w:tc>
            </w:tr>
            <w:tr w:rsidR="00592A28" w14:paraId="1A6E9CE2" w14:textId="77777777" w:rsidTr="000546D4">
              <w:trPr>
                <w:trHeight w:val="570"/>
              </w:trPr>
              <w:tc>
                <w:tcPr>
                  <w:tcW w:w="6702" w:type="dxa"/>
                  <w:tcBorders>
                    <w:top w:val="single" w:sz="4" w:space="0" w:color="auto"/>
                    <w:left w:val="single" w:sz="4" w:space="0" w:color="auto"/>
                    <w:bottom w:val="single" w:sz="4" w:space="0" w:color="auto"/>
                    <w:right w:val="single" w:sz="4" w:space="0" w:color="000000"/>
                  </w:tcBorders>
                  <w:shd w:val="clear" w:color="auto" w:fill="auto"/>
                  <w:vAlign w:val="center"/>
                </w:tcPr>
                <w:p w14:paraId="0CD208F0" w14:textId="77777777" w:rsidR="00592A28" w:rsidRPr="00592A28" w:rsidRDefault="00592A28" w:rsidP="000546D4">
                  <w:pPr>
                    <w:rPr>
                      <w:rFonts w:ascii="Calibri" w:hAnsi="Calibri"/>
                      <w:color w:val="FF0000"/>
                      <w:sz w:val="22"/>
                      <w:szCs w:val="22"/>
                    </w:rPr>
                  </w:pPr>
                  <w:r>
                    <w:rPr>
                      <w:rFonts w:ascii="Calibri" w:hAnsi="Calibri"/>
                      <w:color w:val="000000"/>
                      <w:sz w:val="22"/>
                      <w:szCs w:val="22"/>
                    </w:rPr>
                    <w:t xml:space="preserve">Total Number of Reports canceled or remanded by ORR/DCS/Federal Field Specialist </w:t>
                  </w:r>
                  <w:r>
                    <w:rPr>
                      <w:rFonts w:ascii="Calibri" w:hAnsi="Calibri"/>
                      <w:color w:val="FF0000"/>
                      <w:sz w:val="22"/>
                      <w:szCs w:val="22"/>
                    </w:rPr>
                    <w:t>–This figure should reflect only those referrals that were specifically cancelled by the FFS during the reporting period.</w:t>
                  </w:r>
                </w:p>
              </w:tc>
              <w:tc>
                <w:tcPr>
                  <w:tcW w:w="990" w:type="dxa"/>
                  <w:tcBorders>
                    <w:top w:val="nil"/>
                    <w:left w:val="nil"/>
                    <w:bottom w:val="single" w:sz="4" w:space="0" w:color="auto"/>
                    <w:right w:val="single" w:sz="4" w:space="0" w:color="auto"/>
                  </w:tcBorders>
                  <w:shd w:val="clear" w:color="auto" w:fill="auto"/>
                  <w:noWrap/>
                  <w:vAlign w:val="center"/>
                </w:tcPr>
                <w:p w14:paraId="70AD9941" w14:textId="77777777" w:rsidR="00592A28" w:rsidRDefault="00592A28" w:rsidP="000546D4">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center"/>
                </w:tcPr>
                <w:p w14:paraId="4EDD4A0C" w14:textId="77777777" w:rsidR="00592A28" w:rsidRDefault="00592A28" w:rsidP="000546D4">
                  <w:pPr>
                    <w:jc w:val="center"/>
                    <w:rPr>
                      <w:rFonts w:ascii="Calibri" w:hAnsi="Calibri"/>
                      <w:color w:val="000000"/>
                      <w:sz w:val="22"/>
                      <w:szCs w:val="22"/>
                    </w:rPr>
                  </w:pPr>
                </w:p>
              </w:tc>
            </w:tr>
          </w:tbl>
          <w:p w14:paraId="20853A82" w14:textId="77777777" w:rsidR="00FE0DC4" w:rsidRPr="00077ECD" w:rsidRDefault="00FE0DC4" w:rsidP="000546D4">
            <w:pPr>
              <w:rPr>
                <w:rFonts w:ascii="Calibri" w:hAnsi="Calibri"/>
                <w:sz w:val="22"/>
                <w:szCs w:val="20"/>
              </w:rPr>
            </w:pPr>
          </w:p>
          <w:p w14:paraId="32224DBE" w14:textId="77777777" w:rsidR="00FE0DC4" w:rsidRPr="00077ECD" w:rsidRDefault="00FE0DC4" w:rsidP="000546D4">
            <w:pPr>
              <w:rPr>
                <w:rFonts w:ascii="Calibri" w:hAnsi="Calibri"/>
                <w:sz w:val="22"/>
                <w:szCs w:val="20"/>
              </w:rPr>
            </w:pPr>
          </w:p>
          <w:tbl>
            <w:tblPr>
              <w:tblW w:w="10831" w:type="dxa"/>
              <w:tblLook w:val="04A0" w:firstRow="1" w:lastRow="0" w:firstColumn="1" w:lastColumn="0" w:noHBand="0" w:noVBand="1"/>
            </w:tblPr>
            <w:tblGrid>
              <w:gridCol w:w="6702"/>
              <w:gridCol w:w="990"/>
              <w:gridCol w:w="1339"/>
              <w:gridCol w:w="900"/>
              <w:gridCol w:w="900"/>
            </w:tblGrid>
            <w:tr w:rsidR="00FE0DC4" w14:paraId="2825EFDC" w14:textId="77777777" w:rsidTr="00C94B5A">
              <w:trPr>
                <w:gridAfter w:val="2"/>
                <w:wAfter w:w="1800" w:type="dxa"/>
                <w:trHeight w:val="300"/>
              </w:trPr>
              <w:tc>
                <w:tcPr>
                  <w:tcW w:w="6702" w:type="dxa"/>
                  <w:tcBorders>
                    <w:top w:val="single" w:sz="4" w:space="0" w:color="auto"/>
                    <w:left w:val="single" w:sz="4" w:space="0" w:color="auto"/>
                    <w:bottom w:val="single" w:sz="4" w:space="0" w:color="auto"/>
                    <w:right w:val="single" w:sz="4" w:space="0" w:color="000000"/>
                  </w:tcBorders>
                  <w:shd w:val="clear" w:color="000000" w:fill="8DB4E2"/>
                  <w:noWrap/>
                  <w:vAlign w:val="center"/>
                  <w:hideMark/>
                </w:tcPr>
                <w:p w14:paraId="690D348F" w14:textId="77777777" w:rsidR="00FE0DC4" w:rsidRDefault="00FE0DC4" w:rsidP="000546D4">
                  <w:pPr>
                    <w:jc w:val="center"/>
                    <w:rPr>
                      <w:rFonts w:ascii="Calibri" w:hAnsi="Calibri"/>
                      <w:b/>
                      <w:bCs/>
                      <w:color w:val="000000"/>
                      <w:sz w:val="22"/>
                      <w:szCs w:val="22"/>
                    </w:rPr>
                  </w:pPr>
                  <w:r>
                    <w:rPr>
                      <w:rFonts w:ascii="Calibri" w:hAnsi="Calibri"/>
                      <w:b/>
                      <w:bCs/>
                      <w:color w:val="000000"/>
                      <w:sz w:val="22"/>
                      <w:szCs w:val="22"/>
                    </w:rPr>
                    <w:t>Post Release Services</w:t>
                  </w:r>
                </w:p>
              </w:tc>
              <w:tc>
                <w:tcPr>
                  <w:tcW w:w="990" w:type="dxa"/>
                  <w:tcBorders>
                    <w:top w:val="single" w:sz="4" w:space="0" w:color="auto"/>
                    <w:left w:val="nil"/>
                    <w:bottom w:val="single" w:sz="4" w:space="0" w:color="auto"/>
                    <w:right w:val="single" w:sz="4" w:space="0" w:color="auto"/>
                  </w:tcBorders>
                  <w:shd w:val="clear" w:color="000000" w:fill="8DB4E2"/>
                  <w:noWrap/>
                  <w:vAlign w:val="center"/>
                  <w:hideMark/>
                </w:tcPr>
                <w:p w14:paraId="3AA6372E" w14:textId="77777777" w:rsidR="00FE0DC4" w:rsidRDefault="00FE0DC4" w:rsidP="000546D4">
                  <w:pPr>
                    <w:jc w:val="center"/>
                    <w:rPr>
                      <w:rFonts w:ascii="Calibri" w:hAnsi="Calibri"/>
                      <w:color w:val="000000"/>
                      <w:sz w:val="22"/>
                      <w:szCs w:val="22"/>
                    </w:rPr>
                  </w:pPr>
                  <w:r>
                    <w:rPr>
                      <w:rFonts w:ascii="Calibri" w:hAnsi="Calibri"/>
                      <w:color w:val="000000"/>
                      <w:sz w:val="22"/>
                      <w:szCs w:val="22"/>
                    </w:rPr>
                    <w:t>Quarter 1</w:t>
                  </w:r>
                </w:p>
              </w:tc>
              <w:tc>
                <w:tcPr>
                  <w:tcW w:w="1339" w:type="dxa"/>
                  <w:tcBorders>
                    <w:top w:val="single" w:sz="4" w:space="0" w:color="auto"/>
                    <w:left w:val="nil"/>
                    <w:bottom w:val="single" w:sz="4" w:space="0" w:color="auto"/>
                    <w:right w:val="single" w:sz="4" w:space="0" w:color="auto"/>
                  </w:tcBorders>
                  <w:shd w:val="clear" w:color="000000" w:fill="8DB4E2"/>
                  <w:noWrap/>
                  <w:vAlign w:val="center"/>
                  <w:hideMark/>
                </w:tcPr>
                <w:p w14:paraId="159FA266" w14:textId="77777777" w:rsidR="00FE0DC4" w:rsidRDefault="00FE0DC4" w:rsidP="000546D4">
                  <w:pPr>
                    <w:jc w:val="center"/>
                    <w:rPr>
                      <w:rFonts w:ascii="Calibri" w:hAnsi="Calibri"/>
                      <w:color w:val="000000"/>
                      <w:sz w:val="22"/>
                      <w:szCs w:val="22"/>
                    </w:rPr>
                  </w:pPr>
                  <w:r>
                    <w:rPr>
                      <w:rFonts w:ascii="Calibri" w:hAnsi="Calibri"/>
                      <w:color w:val="000000"/>
                      <w:sz w:val="22"/>
                      <w:szCs w:val="22"/>
                    </w:rPr>
                    <w:t>Annual</w:t>
                  </w:r>
                </w:p>
              </w:tc>
            </w:tr>
            <w:tr w:rsidR="00FE0DC4" w14:paraId="35E58673" w14:textId="77777777" w:rsidTr="00C94B5A">
              <w:trPr>
                <w:gridAfter w:val="2"/>
                <w:wAfter w:w="1800" w:type="dxa"/>
                <w:trHeight w:val="300"/>
              </w:trPr>
              <w:tc>
                <w:tcPr>
                  <w:tcW w:w="670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6F855D" w14:textId="77777777" w:rsidR="00FE0DC4" w:rsidRDefault="00FE0DC4" w:rsidP="000546D4">
                  <w:pPr>
                    <w:rPr>
                      <w:rFonts w:ascii="Calibri" w:hAnsi="Calibri"/>
                      <w:b/>
                      <w:bCs/>
                      <w:color w:val="FF0000"/>
                      <w:sz w:val="22"/>
                      <w:szCs w:val="22"/>
                    </w:rPr>
                  </w:pPr>
                  <w:r>
                    <w:rPr>
                      <w:rFonts w:ascii="Calibri" w:hAnsi="Calibri"/>
                      <w:b/>
                      <w:bCs/>
                      <w:color w:val="FF0000"/>
                      <w:sz w:val="22"/>
                      <w:szCs w:val="22"/>
                    </w:rPr>
                    <w:t>Notifications of Concern Submitted to ORR</w:t>
                  </w:r>
                  <w:r w:rsidR="00C94B5A">
                    <w:rPr>
                      <w:rFonts w:ascii="Calibri" w:hAnsi="Calibri"/>
                      <w:b/>
                      <w:bCs/>
                      <w:color w:val="FF0000"/>
                    </w:rPr>
                    <w:t xml:space="preserve">– </w:t>
                  </w:r>
                  <w:r w:rsidR="00C94B5A" w:rsidRPr="000A3B93">
                    <w:rPr>
                      <w:rFonts w:ascii="Calibri" w:hAnsi="Calibri"/>
                      <w:bCs/>
                      <w:color w:val="FF0000"/>
                    </w:rPr>
                    <w:t xml:space="preserve">This number should reflect all NOC’s reported to ORR that fit into the categories identified below during the reporting period.  Please do not include any other </w:t>
                  </w:r>
                  <w:r w:rsidR="00A06096" w:rsidRPr="000A3B93">
                    <w:rPr>
                      <w:rFonts w:ascii="Calibri" w:hAnsi="Calibri"/>
                      <w:bCs/>
                      <w:color w:val="FF0000"/>
                    </w:rPr>
                    <w:t>categories</w:t>
                  </w:r>
                  <w:r w:rsidR="00C94B5A" w:rsidRPr="000A3B93">
                    <w:rPr>
                      <w:rFonts w:ascii="Calibri" w:hAnsi="Calibri"/>
                      <w:bCs/>
                      <w:color w:val="FF0000"/>
                    </w:rPr>
                    <w:t xml:space="preserve">, even if you have other NOC internally. </w:t>
                  </w:r>
                  <w:r w:rsidR="00C94B5A" w:rsidRPr="000A3B93">
                    <w:rPr>
                      <w:rFonts w:ascii="Calibri" w:hAnsi="Calibri"/>
                      <w:color w:val="FF0000"/>
                    </w:rPr>
                    <w:t>Add prior reporting period figure to this reporting period for the annual column</w:t>
                  </w:r>
                  <w:r w:rsidR="00C94B5A">
                    <w:rPr>
                      <w:rFonts w:ascii="Calibri" w:hAnsi="Calibri"/>
                      <w:color w:val="FF0000"/>
                    </w:rPr>
                    <w:t xml:space="preserve"> (except for Q1)</w:t>
                  </w:r>
                  <w:r w:rsidR="00C94B5A" w:rsidRPr="000A3B93">
                    <w:rPr>
                      <w:rFonts w:ascii="Calibri" w:hAnsi="Calibri"/>
                      <w:color w:val="FF0000"/>
                    </w:rPr>
                    <w:t>.</w:t>
                  </w:r>
                </w:p>
              </w:tc>
              <w:tc>
                <w:tcPr>
                  <w:tcW w:w="990" w:type="dxa"/>
                  <w:tcBorders>
                    <w:top w:val="nil"/>
                    <w:left w:val="nil"/>
                    <w:bottom w:val="single" w:sz="4" w:space="0" w:color="auto"/>
                    <w:right w:val="single" w:sz="4" w:space="0" w:color="auto"/>
                  </w:tcBorders>
                  <w:shd w:val="clear" w:color="auto" w:fill="auto"/>
                  <w:noWrap/>
                  <w:vAlign w:val="center"/>
                  <w:hideMark/>
                </w:tcPr>
                <w:p w14:paraId="1B5C34B4" w14:textId="77777777" w:rsidR="00FE0DC4" w:rsidRDefault="00FE0DC4" w:rsidP="000546D4">
                  <w:pPr>
                    <w:jc w:val="center"/>
                    <w:rPr>
                      <w:rFonts w:ascii="Calibri" w:hAnsi="Calibri"/>
                      <w:color w:val="000000"/>
                      <w:sz w:val="22"/>
                      <w:szCs w:val="22"/>
                    </w:rPr>
                  </w:pPr>
                  <w:r>
                    <w:rPr>
                      <w:rFonts w:ascii="Calibri" w:hAnsi="Calibri"/>
                      <w:color w:val="000000"/>
                      <w:sz w:val="22"/>
                      <w:szCs w:val="22"/>
                    </w:rPr>
                    <w:t> </w:t>
                  </w:r>
                </w:p>
              </w:tc>
              <w:tc>
                <w:tcPr>
                  <w:tcW w:w="1339" w:type="dxa"/>
                  <w:tcBorders>
                    <w:top w:val="nil"/>
                    <w:left w:val="nil"/>
                    <w:bottom w:val="single" w:sz="4" w:space="0" w:color="auto"/>
                    <w:right w:val="single" w:sz="4" w:space="0" w:color="auto"/>
                  </w:tcBorders>
                  <w:shd w:val="clear" w:color="auto" w:fill="auto"/>
                  <w:noWrap/>
                  <w:vAlign w:val="center"/>
                  <w:hideMark/>
                </w:tcPr>
                <w:p w14:paraId="3B5E90CB" w14:textId="77777777" w:rsidR="00FE0DC4" w:rsidRDefault="00FE0DC4" w:rsidP="000546D4">
                  <w:pPr>
                    <w:jc w:val="center"/>
                    <w:rPr>
                      <w:rFonts w:ascii="Calibri" w:hAnsi="Calibri"/>
                      <w:color w:val="000000"/>
                      <w:sz w:val="22"/>
                      <w:szCs w:val="22"/>
                    </w:rPr>
                  </w:pPr>
                  <w:r>
                    <w:rPr>
                      <w:rFonts w:ascii="Calibri" w:hAnsi="Calibri"/>
                      <w:color w:val="000000"/>
                      <w:sz w:val="22"/>
                      <w:szCs w:val="22"/>
                    </w:rPr>
                    <w:t> </w:t>
                  </w:r>
                </w:p>
              </w:tc>
            </w:tr>
            <w:tr w:rsidR="00C94B5A" w14:paraId="4BDC69A5" w14:textId="77777777" w:rsidTr="00C4343D">
              <w:trPr>
                <w:gridAfter w:val="2"/>
                <w:wAfter w:w="1800" w:type="dxa"/>
                <w:trHeight w:val="300"/>
              </w:trPr>
              <w:tc>
                <w:tcPr>
                  <w:tcW w:w="903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2CE0EC77" w14:textId="77777777" w:rsidR="00C94B5A" w:rsidRDefault="00C94B5A" w:rsidP="00C94B5A">
                  <w:pPr>
                    <w:jc w:val="center"/>
                    <w:rPr>
                      <w:rFonts w:ascii="Calibri" w:hAnsi="Calibri"/>
                      <w:b/>
                      <w:bCs/>
                      <w:color w:val="000000"/>
                    </w:rPr>
                  </w:pPr>
                  <w:r>
                    <w:rPr>
                      <w:rFonts w:ascii="Calibri" w:hAnsi="Calibri"/>
                      <w:b/>
                      <w:bCs/>
                      <w:color w:val="000000"/>
                    </w:rPr>
                    <w:t>Reason for Closure</w:t>
                  </w:r>
                </w:p>
              </w:tc>
            </w:tr>
            <w:tr w:rsidR="00C94B5A" w14:paraId="5BABFA61" w14:textId="77777777" w:rsidTr="00C4343D">
              <w:trPr>
                <w:trHeight w:val="300"/>
              </w:trPr>
              <w:tc>
                <w:tcPr>
                  <w:tcW w:w="903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61CDC5AB" w14:textId="77777777" w:rsidR="00C94B5A" w:rsidRPr="00B80B67" w:rsidRDefault="00C94B5A" w:rsidP="00C94B5A">
                  <w:pPr>
                    <w:rPr>
                      <w:rFonts w:ascii="Calibri" w:hAnsi="Calibri"/>
                      <w:color w:val="FF0000"/>
                    </w:rPr>
                  </w:pPr>
                  <w:r>
                    <w:rPr>
                      <w:rFonts w:ascii="Calibri" w:hAnsi="Calibri"/>
                      <w:color w:val="000000"/>
                    </w:rPr>
                    <w:t xml:space="preserve">UAC turned 18 </w:t>
                  </w:r>
                  <w:r>
                    <w:rPr>
                      <w:rFonts w:ascii="Calibri" w:hAnsi="Calibri"/>
                      <w:color w:val="FF0000"/>
                    </w:rPr>
                    <w:t xml:space="preserve">– This figure will reflect the number of cases closed because the UAC aged out (turned 18).  </w:t>
                  </w:r>
                  <w:r w:rsidRPr="000A3B93">
                    <w:rPr>
                      <w:rFonts w:ascii="Calibri" w:hAnsi="Calibri"/>
                      <w:color w:val="FF0000"/>
                    </w:rPr>
                    <w:t>Add prior reporting period figure to this reporting period for the annual column</w:t>
                  </w:r>
                  <w:r>
                    <w:rPr>
                      <w:rFonts w:ascii="Calibri" w:hAnsi="Calibri"/>
                      <w:color w:val="FF0000"/>
                    </w:rPr>
                    <w:t xml:space="preserve"> (except for Q1).</w:t>
                  </w:r>
                </w:p>
              </w:tc>
              <w:tc>
                <w:tcPr>
                  <w:tcW w:w="900" w:type="dxa"/>
                  <w:vAlign w:val="center"/>
                </w:tcPr>
                <w:p w14:paraId="2E250C16" w14:textId="77777777" w:rsidR="00C94B5A" w:rsidRDefault="00C94B5A" w:rsidP="00C94B5A">
                  <w:pPr>
                    <w:jc w:val="center"/>
                    <w:rPr>
                      <w:rFonts w:ascii="Calibri" w:hAnsi="Calibri"/>
                      <w:color w:val="000000"/>
                    </w:rPr>
                  </w:pPr>
                  <w:r>
                    <w:rPr>
                      <w:rFonts w:ascii="Calibri" w:hAnsi="Calibri"/>
                      <w:color w:val="000000"/>
                    </w:rPr>
                    <w:t> </w:t>
                  </w:r>
                </w:p>
              </w:tc>
              <w:tc>
                <w:tcPr>
                  <w:tcW w:w="900" w:type="dxa"/>
                  <w:vAlign w:val="center"/>
                </w:tcPr>
                <w:p w14:paraId="5E4D6F19" w14:textId="77777777" w:rsidR="00C94B5A" w:rsidRDefault="00C94B5A" w:rsidP="00C94B5A">
                  <w:pPr>
                    <w:jc w:val="center"/>
                    <w:rPr>
                      <w:rFonts w:ascii="Calibri" w:hAnsi="Calibri"/>
                      <w:color w:val="000000"/>
                    </w:rPr>
                  </w:pPr>
                  <w:r>
                    <w:rPr>
                      <w:rFonts w:ascii="Calibri" w:hAnsi="Calibri"/>
                      <w:color w:val="000000"/>
                    </w:rPr>
                    <w:t> </w:t>
                  </w:r>
                </w:p>
              </w:tc>
            </w:tr>
            <w:tr w:rsidR="00C94B5A" w14:paraId="3663FC54" w14:textId="77777777" w:rsidTr="00C4343D">
              <w:trPr>
                <w:trHeight w:val="300"/>
              </w:trPr>
              <w:tc>
                <w:tcPr>
                  <w:tcW w:w="903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6FB15572" w14:textId="77777777" w:rsidR="00C94B5A" w:rsidRDefault="00C94B5A" w:rsidP="00C94B5A">
                  <w:pPr>
                    <w:rPr>
                      <w:rFonts w:ascii="Calibri" w:hAnsi="Calibri"/>
                      <w:color w:val="000000"/>
                    </w:rPr>
                  </w:pPr>
                  <w:r>
                    <w:rPr>
                      <w:rFonts w:ascii="Calibri" w:hAnsi="Calibri"/>
                      <w:color w:val="000000"/>
                    </w:rPr>
                    <w:t>Legal Case- Status Achieved</w:t>
                  </w:r>
                  <w:r>
                    <w:rPr>
                      <w:rFonts w:ascii="Calibri" w:hAnsi="Calibri"/>
                      <w:color w:val="FF0000"/>
                    </w:rPr>
                    <w:t xml:space="preserve">– This figure will reflect the number of cases closed because the UAC achieved some sort of legal status, such as SIJ, Order of Removal or Voluntary Departure for example.  </w:t>
                  </w:r>
                  <w:r w:rsidRPr="000A3B93">
                    <w:rPr>
                      <w:rFonts w:ascii="Calibri" w:hAnsi="Calibri"/>
                      <w:color w:val="FF0000"/>
                    </w:rPr>
                    <w:t>Add prior reporting period figure to this reporting period for the annual column</w:t>
                  </w:r>
                  <w:r>
                    <w:rPr>
                      <w:rFonts w:ascii="Calibri" w:hAnsi="Calibri"/>
                      <w:color w:val="FF0000"/>
                    </w:rPr>
                    <w:t xml:space="preserve"> (except for Q1).</w:t>
                  </w:r>
                </w:p>
              </w:tc>
              <w:tc>
                <w:tcPr>
                  <w:tcW w:w="900" w:type="dxa"/>
                  <w:vAlign w:val="center"/>
                </w:tcPr>
                <w:p w14:paraId="0127DA13" w14:textId="77777777" w:rsidR="00C94B5A" w:rsidRDefault="00C94B5A" w:rsidP="00C94B5A">
                  <w:pPr>
                    <w:jc w:val="center"/>
                    <w:rPr>
                      <w:rFonts w:ascii="Calibri" w:hAnsi="Calibri"/>
                      <w:color w:val="000000"/>
                    </w:rPr>
                  </w:pPr>
                  <w:r>
                    <w:rPr>
                      <w:rFonts w:ascii="Calibri" w:hAnsi="Calibri"/>
                      <w:color w:val="000000"/>
                    </w:rPr>
                    <w:t> </w:t>
                  </w:r>
                </w:p>
              </w:tc>
              <w:tc>
                <w:tcPr>
                  <w:tcW w:w="900" w:type="dxa"/>
                  <w:vAlign w:val="center"/>
                </w:tcPr>
                <w:p w14:paraId="70E5AE7E" w14:textId="77777777" w:rsidR="00C94B5A" w:rsidRDefault="00C94B5A" w:rsidP="00C94B5A">
                  <w:pPr>
                    <w:jc w:val="center"/>
                    <w:rPr>
                      <w:rFonts w:ascii="Calibri" w:hAnsi="Calibri"/>
                      <w:color w:val="000000"/>
                    </w:rPr>
                  </w:pPr>
                  <w:r>
                    <w:rPr>
                      <w:rFonts w:ascii="Calibri" w:hAnsi="Calibri"/>
                      <w:color w:val="000000"/>
                    </w:rPr>
                    <w:t> </w:t>
                  </w:r>
                </w:p>
              </w:tc>
            </w:tr>
            <w:tr w:rsidR="00C94B5A" w14:paraId="280347DE" w14:textId="77777777" w:rsidTr="00C4343D">
              <w:trPr>
                <w:trHeight w:val="300"/>
              </w:trPr>
              <w:tc>
                <w:tcPr>
                  <w:tcW w:w="903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34D3FEC1" w14:textId="77777777" w:rsidR="00C94B5A" w:rsidRDefault="00C94B5A" w:rsidP="00C94B5A">
                  <w:pPr>
                    <w:rPr>
                      <w:rFonts w:ascii="Calibri" w:hAnsi="Calibri"/>
                      <w:color w:val="000000"/>
                    </w:rPr>
                  </w:pPr>
                  <w:r>
                    <w:rPr>
                      <w:rFonts w:ascii="Calibri" w:hAnsi="Calibri"/>
                      <w:color w:val="000000"/>
                    </w:rPr>
                    <w:t>Legal Case Closed Without Status</w:t>
                  </w:r>
                  <w:r>
                    <w:rPr>
                      <w:rFonts w:ascii="Calibri" w:hAnsi="Calibri"/>
                      <w:color w:val="FF0000"/>
                    </w:rPr>
                    <w:t xml:space="preserve">– This figure will reflect the number of cases closed because the UAC’s legal case was closed without status.  </w:t>
                  </w:r>
                  <w:r w:rsidRPr="000A3B93">
                    <w:rPr>
                      <w:rFonts w:ascii="Calibri" w:hAnsi="Calibri"/>
                      <w:color w:val="FF0000"/>
                    </w:rPr>
                    <w:t>Add prior reporting period figure to this reporting period for the annual column</w:t>
                  </w:r>
                  <w:r>
                    <w:rPr>
                      <w:rFonts w:ascii="Calibri" w:hAnsi="Calibri"/>
                      <w:color w:val="FF0000"/>
                    </w:rPr>
                    <w:t xml:space="preserve"> (except for Q1).</w:t>
                  </w:r>
                </w:p>
              </w:tc>
              <w:tc>
                <w:tcPr>
                  <w:tcW w:w="900" w:type="dxa"/>
                  <w:vAlign w:val="center"/>
                </w:tcPr>
                <w:p w14:paraId="43E0FC98" w14:textId="77777777" w:rsidR="00C94B5A" w:rsidRDefault="00C94B5A" w:rsidP="00C94B5A">
                  <w:pPr>
                    <w:jc w:val="center"/>
                    <w:rPr>
                      <w:rFonts w:ascii="Calibri" w:hAnsi="Calibri"/>
                      <w:color w:val="000000"/>
                    </w:rPr>
                  </w:pPr>
                  <w:r>
                    <w:rPr>
                      <w:rFonts w:ascii="Calibri" w:hAnsi="Calibri"/>
                      <w:color w:val="000000"/>
                    </w:rPr>
                    <w:t> </w:t>
                  </w:r>
                </w:p>
              </w:tc>
              <w:tc>
                <w:tcPr>
                  <w:tcW w:w="900" w:type="dxa"/>
                  <w:vAlign w:val="center"/>
                </w:tcPr>
                <w:p w14:paraId="29471BD3" w14:textId="77777777" w:rsidR="00C94B5A" w:rsidRDefault="00C94B5A" w:rsidP="00C94B5A">
                  <w:pPr>
                    <w:jc w:val="center"/>
                    <w:rPr>
                      <w:rFonts w:ascii="Calibri" w:hAnsi="Calibri"/>
                      <w:color w:val="000000"/>
                    </w:rPr>
                  </w:pPr>
                  <w:r>
                    <w:rPr>
                      <w:rFonts w:ascii="Calibri" w:hAnsi="Calibri"/>
                      <w:color w:val="000000"/>
                    </w:rPr>
                    <w:t> </w:t>
                  </w:r>
                </w:p>
              </w:tc>
            </w:tr>
            <w:tr w:rsidR="00C94B5A" w14:paraId="3CA99369" w14:textId="77777777" w:rsidTr="00C4343D">
              <w:trPr>
                <w:trHeight w:val="300"/>
              </w:trPr>
              <w:tc>
                <w:tcPr>
                  <w:tcW w:w="903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20E8DDCD" w14:textId="77777777" w:rsidR="00C94B5A" w:rsidRDefault="00C94B5A" w:rsidP="00C94B5A">
                  <w:pPr>
                    <w:rPr>
                      <w:rFonts w:ascii="Calibri" w:hAnsi="Calibri"/>
                      <w:color w:val="000000"/>
                    </w:rPr>
                  </w:pPr>
                  <w:r>
                    <w:rPr>
                      <w:rFonts w:ascii="Calibri" w:hAnsi="Calibri"/>
                      <w:color w:val="000000"/>
                    </w:rPr>
                    <w:t xml:space="preserve">Sponsor DECLINED Services </w:t>
                  </w:r>
                  <w:r>
                    <w:rPr>
                      <w:rFonts w:ascii="Calibri" w:hAnsi="Calibri"/>
                      <w:color w:val="FF0000"/>
                    </w:rPr>
                    <w:t xml:space="preserve">– This figure will reflect the number of cases closed because the sponsor declined PRS services.  </w:t>
                  </w:r>
                  <w:r w:rsidRPr="000A3B93">
                    <w:rPr>
                      <w:rFonts w:ascii="Calibri" w:hAnsi="Calibri"/>
                      <w:color w:val="FF0000"/>
                    </w:rPr>
                    <w:t>Add prior reporting period figure to this reporting period for the annual column</w:t>
                  </w:r>
                  <w:r>
                    <w:rPr>
                      <w:rFonts w:ascii="Calibri" w:hAnsi="Calibri"/>
                      <w:color w:val="FF0000"/>
                    </w:rPr>
                    <w:t xml:space="preserve"> (except for Q1).</w:t>
                  </w:r>
                </w:p>
              </w:tc>
              <w:tc>
                <w:tcPr>
                  <w:tcW w:w="900" w:type="dxa"/>
                  <w:vAlign w:val="center"/>
                </w:tcPr>
                <w:p w14:paraId="2091C642" w14:textId="77777777" w:rsidR="00C94B5A" w:rsidRDefault="00C94B5A" w:rsidP="00C94B5A">
                  <w:pPr>
                    <w:jc w:val="center"/>
                    <w:rPr>
                      <w:rFonts w:ascii="Calibri" w:hAnsi="Calibri"/>
                      <w:color w:val="000000"/>
                    </w:rPr>
                  </w:pPr>
                  <w:r>
                    <w:rPr>
                      <w:rFonts w:ascii="Calibri" w:hAnsi="Calibri"/>
                      <w:color w:val="000000"/>
                    </w:rPr>
                    <w:t> </w:t>
                  </w:r>
                </w:p>
              </w:tc>
              <w:tc>
                <w:tcPr>
                  <w:tcW w:w="900" w:type="dxa"/>
                  <w:vAlign w:val="center"/>
                </w:tcPr>
                <w:p w14:paraId="136FA214" w14:textId="77777777" w:rsidR="00C94B5A" w:rsidRDefault="00C94B5A" w:rsidP="00C94B5A">
                  <w:pPr>
                    <w:jc w:val="center"/>
                    <w:rPr>
                      <w:rFonts w:ascii="Calibri" w:hAnsi="Calibri"/>
                      <w:color w:val="000000"/>
                    </w:rPr>
                  </w:pPr>
                  <w:r>
                    <w:rPr>
                      <w:rFonts w:ascii="Calibri" w:hAnsi="Calibri"/>
                      <w:color w:val="000000"/>
                    </w:rPr>
                    <w:t> </w:t>
                  </w:r>
                </w:p>
              </w:tc>
            </w:tr>
            <w:tr w:rsidR="00C94B5A" w14:paraId="730B87A7" w14:textId="77777777" w:rsidTr="00C4343D">
              <w:trPr>
                <w:trHeight w:val="300"/>
              </w:trPr>
              <w:tc>
                <w:tcPr>
                  <w:tcW w:w="903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5088FB2F" w14:textId="77777777" w:rsidR="00C94B5A" w:rsidRDefault="00C94B5A" w:rsidP="00C94B5A">
                  <w:pPr>
                    <w:rPr>
                      <w:rFonts w:ascii="Calibri" w:hAnsi="Calibri"/>
                      <w:color w:val="000000"/>
                    </w:rPr>
                  </w:pPr>
                  <w:r>
                    <w:rPr>
                      <w:rFonts w:ascii="Calibri" w:hAnsi="Calibri"/>
                      <w:color w:val="000000"/>
                    </w:rPr>
                    <w:t xml:space="preserve">PRS Assessment deemed services completed / no longer needed </w:t>
                  </w:r>
                  <w:r>
                    <w:rPr>
                      <w:rFonts w:ascii="Calibri" w:hAnsi="Calibri"/>
                      <w:color w:val="FF0000"/>
                    </w:rPr>
                    <w:t xml:space="preserve">– This figure will reflect the number of cases closed because PRS provider no longer deemed services necessary for a variety of reasons. </w:t>
                  </w:r>
                  <w:r w:rsidRPr="000A3B93">
                    <w:rPr>
                      <w:rFonts w:ascii="Calibri" w:hAnsi="Calibri"/>
                      <w:color w:val="FF0000"/>
                    </w:rPr>
                    <w:t>Add prior reporting period figure to this reporting period for the annual column</w:t>
                  </w:r>
                  <w:r>
                    <w:rPr>
                      <w:rFonts w:ascii="Calibri" w:hAnsi="Calibri"/>
                      <w:color w:val="FF0000"/>
                    </w:rPr>
                    <w:t xml:space="preserve"> (except for Q1).</w:t>
                  </w:r>
                </w:p>
              </w:tc>
              <w:tc>
                <w:tcPr>
                  <w:tcW w:w="900" w:type="dxa"/>
                  <w:vAlign w:val="center"/>
                </w:tcPr>
                <w:p w14:paraId="32192453" w14:textId="77777777" w:rsidR="00C94B5A" w:rsidRDefault="00C94B5A" w:rsidP="00C94B5A">
                  <w:pPr>
                    <w:jc w:val="center"/>
                    <w:rPr>
                      <w:rFonts w:ascii="Calibri" w:hAnsi="Calibri"/>
                      <w:color w:val="000000"/>
                    </w:rPr>
                  </w:pPr>
                  <w:r>
                    <w:rPr>
                      <w:rFonts w:ascii="Calibri" w:hAnsi="Calibri"/>
                      <w:color w:val="000000"/>
                    </w:rPr>
                    <w:t> </w:t>
                  </w:r>
                </w:p>
              </w:tc>
              <w:tc>
                <w:tcPr>
                  <w:tcW w:w="900" w:type="dxa"/>
                  <w:vAlign w:val="center"/>
                </w:tcPr>
                <w:p w14:paraId="09934D5C" w14:textId="77777777" w:rsidR="00C94B5A" w:rsidRDefault="00C94B5A" w:rsidP="00C94B5A">
                  <w:pPr>
                    <w:jc w:val="center"/>
                    <w:rPr>
                      <w:rFonts w:ascii="Calibri" w:hAnsi="Calibri"/>
                      <w:color w:val="000000"/>
                    </w:rPr>
                  </w:pPr>
                  <w:r>
                    <w:rPr>
                      <w:rFonts w:ascii="Calibri" w:hAnsi="Calibri"/>
                      <w:color w:val="000000"/>
                    </w:rPr>
                    <w:t> </w:t>
                  </w:r>
                </w:p>
              </w:tc>
            </w:tr>
            <w:tr w:rsidR="00C94B5A" w14:paraId="7A0CE5D0" w14:textId="77777777" w:rsidTr="00C4343D">
              <w:trPr>
                <w:trHeight w:val="300"/>
              </w:trPr>
              <w:tc>
                <w:tcPr>
                  <w:tcW w:w="903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1C600B94" w14:textId="77777777" w:rsidR="00C94B5A" w:rsidRDefault="00C94B5A" w:rsidP="00C94B5A">
                  <w:pPr>
                    <w:rPr>
                      <w:rFonts w:ascii="Calibri" w:hAnsi="Calibri"/>
                      <w:color w:val="000000"/>
                    </w:rPr>
                  </w:pPr>
                  <w:r>
                    <w:rPr>
                      <w:rFonts w:ascii="Calibri" w:hAnsi="Calibri"/>
                      <w:color w:val="000000"/>
                    </w:rPr>
                    <w:t xml:space="preserve">Unable to Contact Sponsor / UAC </w:t>
                  </w:r>
                  <w:r>
                    <w:rPr>
                      <w:rFonts w:ascii="Calibri" w:hAnsi="Calibri"/>
                      <w:color w:val="FF0000"/>
                    </w:rPr>
                    <w:t xml:space="preserve">– This figure will reflect the number of cases closed due to lost contact or never established contact.  </w:t>
                  </w:r>
                  <w:r w:rsidRPr="000A3B93">
                    <w:rPr>
                      <w:rFonts w:ascii="Calibri" w:hAnsi="Calibri"/>
                      <w:color w:val="FF0000"/>
                    </w:rPr>
                    <w:t>Add prior reporting period figure to this reporting period for the annual column</w:t>
                  </w:r>
                  <w:r>
                    <w:rPr>
                      <w:rFonts w:ascii="Calibri" w:hAnsi="Calibri"/>
                      <w:color w:val="FF0000"/>
                    </w:rPr>
                    <w:t xml:space="preserve"> (except for Q1).</w:t>
                  </w:r>
                </w:p>
              </w:tc>
              <w:tc>
                <w:tcPr>
                  <w:tcW w:w="900" w:type="dxa"/>
                  <w:vAlign w:val="center"/>
                </w:tcPr>
                <w:p w14:paraId="2BA8F4A0" w14:textId="77777777" w:rsidR="00C94B5A" w:rsidRDefault="00C94B5A" w:rsidP="00C94B5A">
                  <w:pPr>
                    <w:jc w:val="center"/>
                    <w:rPr>
                      <w:rFonts w:ascii="Calibri" w:hAnsi="Calibri"/>
                      <w:color w:val="000000"/>
                    </w:rPr>
                  </w:pPr>
                  <w:r>
                    <w:rPr>
                      <w:rFonts w:ascii="Calibri" w:hAnsi="Calibri"/>
                      <w:color w:val="000000"/>
                    </w:rPr>
                    <w:t> </w:t>
                  </w:r>
                </w:p>
              </w:tc>
              <w:tc>
                <w:tcPr>
                  <w:tcW w:w="900" w:type="dxa"/>
                  <w:vAlign w:val="center"/>
                </w:tcPr>
                <w:p w14:paraId="0BBD5906" w14:textId="77777777" w:rsidR="00C94B5A" w:rsidRDefault="00C94B5A" w:rsidP="00C94B5A">
                  <w:pPr>
                    <w:jc w:val="center"/>
                    <w:rPr>
                      <w:rFonts w:ascii="Calibri" w:hAnsi="Calibri"/>
                      <w:color w:val="000000"/>
                    </w:rPr>
                  </w:pPr>
                  <w:r>
                    <w:rPr>
                      <w:rFonts w:ascii="Calibri" w:hAnsi="Calibri"/>
                      <w:color w:val="000000"/>
                    </w:rPr>
                    <w:t> </w:t>
                  </w:r>
                </w:p>
              </w:tc>
            </w:tr>
            <w:tr w:rsidR="00C94B5A" w14:paraId="53C57850" w14:textId="77777777" w:rsidTr="00C4343D">
              <w:trPr>
                <w:trHeight w:val="300"/>
              </w:trPr>
              <w:tc>
                <w:tcPr>
                  <w:tcW w:w="903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5BD943F6" w14:textId="77777777" w:rsidR="00C94B5A" w:rsidRDefault="00C94B5A" w:rsidP="00C94B5A">
                  <w:pPr>
                    <w:rPr>
                      <w:rFonts w:ascii="Calibri" w:hAnsi="Calibri"/>
                      <w:color w:val="000000"/>
                    </w:rPr>
                  </w:pPr>
                  <w:r>
                    <w:rPr>
                      <w:rFonts w:ascii="Calibri" w:hAnsi="Calibri"/>
                      <w:color w:val="000000"/>
                    </w:rPr>
                    <w:t xml:space="preserve">Transferred to another PRS Provider </w:t>
                  </w:r>
                  <w:r>
                    <w:rPr>
                      <w:rFonts w:ascii="Calibri" w:hAnsi="Calibri"/>
                      <w:color w:val="FF0000"/>
                    </w:rPr>
                    <w:t xml:space="preserve">– This figure will reflect the number of cases closed because the UAC moved out of the PRS provider service area(s).  </w:t>
                  </w:r>
                  <w:r w:rsidRPr="000A3B93">
                    <w:rPr>
                      <w:rFonts w:ascii="Calibri" w:hAnsi="Calibri"/>
                      <w:color w:val="FF0000"/>
                    </w:rPr>
                    <w:t>Add prior reporting period figure to this reporting period for the annual column</w:t>
                  </w:r>
                  <w:r>
                    <w:rPr>
                      <w:rFonts w:ascii="Calibri" w:hAnsi="Calibri"/>
                      <w:color w:val="FF0000"/>
                    </w:rPr>
                    <w:t xml:space="preserve"> (except for Q1).</w:t>
                  </w:r>
                </w:p>
              </w:tc>
              <w:tc>
                <w:tcPr>
                  <w:tcW w:w="900" w:type="dxa"/>
                  <w:vAlign w:val="bottom"/>
                </w:tcPr>
                <w:p w14:paraId="391127AF" w14:textId="77777777" w:rsidR="00C94B5A" w:rsidRDefault="00C94B5A" w:rsidP="00C94B5A">
                  <w:pPr>
                    <w:rPr>
                      <w:rFonts w:ascii="Calibri" w:hAnsi="Calibri"/>
                      <w:color w:val="000000"/>
                    </w:rPr>
                  </w:pPr>
                  <w:r>
                    <w:rPr>
                      <w:rFonts w:ascii="Calibri" w:hAnsi="Calibri"/>
                      <w:color w:val="000000"/>
                    </w:rPr>
                    <w:t> </w:t>
                  </w:r>
                </w:p>
              </w:tc>
              <w:tc>
                <w:tcPr>
                  <w:tcW w:w="900" w:type="dxa"/>
                  <w:vAlign w:val="bottom"/>
                </w:tcPr>
                <w:p w14:paraId="622C2CF4" w14:textId="77777777" w:rsidR="00C94B5A" w:rsidRDefault="00C94B5A" w:rsidP="00C94B5A">
                  <w:pPr>
                    <w:rPr>
                      <w:rFonts w:ascii="Calibri" w:hAnsi="Calibri"/>
                      <w:color w:val="000000"/>
                    </w:rPr>
                  </w:pPr>
                  <w:r>
                    <w:rPr>
                      <w:rFonts w:ascii="Calibri" w:hAnsi="Calibri"/>
                      <w:color w:val="000000"/>
                    </w:rPr>
                    <w:t> </w:t>
                  </w:r>
                </w:p>
              </w:tc>
            </w:tr>
            <w:tr w:rsidR="00C94B5A" w14:paraId="2F20AFF0" w14:textId="77777777" w:rsidTr="00C4343D">
              <w:trPr>
                <w:trHeight w:val="300"/>
              </w:trPr>
              <w:tc>
                <w:tcPr>
                  <w:tcW w:w="903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59A56F93" w14:textId="77777777" w:rsidR="00C94B5A" w:rsidRDefault="00C94B5A" w:rsidP="00C94B5A">
                  <w:pPr>
                    <w:rPr>
                      <w:rFonts w:ascii="Calibri" w:hAnsi="Calibri"/>
                      <w:color w:val="000000"/>
                    </w:rPr>
                  </w:pPr>
                  <w:r>
                    <w:rPr>
                      <w:rFonts w:ascii="Calibri" w:hAnsi="Calibri"/>
                      <w:color w:val="000000"/>
                    </w:rPr>
                    <w:t>UAC Ran Away</w:t>
                  </w:r>
                  <w:r>
                    <w:rPr>
                      <w:rFonts w:ascii="Calibri" w:hAnsi="Calibri"/>
                      <w:color w:val="FF0000"/>
                    </w:rPr>
                    <w:t xml:space="preserve">– This figure will reflect the number of cases closed because the UAC ran away and was never located.  </w:t>
                  </w:r>
                  <w:r w:rsidRPr="000A3B93">
                    <w:rPr>
                      <w:rFonts w:ascii="Calibri" w:hAnsi="Calibri"/>
                      <w:color w:val="FF0000"/>
                    </w:rPr>
                    <w:t>Add prior reporting period figure to this reporting period for the annual column</w:t>
                  </w:r>
                  <w:r>
                    <w:rPr>
                      <w:rFonts w:ascii="Calibri" w:hAnsi="Calibri"/>
                      <w:color w:val="FF0000"/>
                    </w:rPr>
                    <w:t xml:space="preserve"> (except for Q1).</w:t>
                  </w:r>
                </w:p>
              </w:tc>
              <w:tc>
                <w:tcPr>
                  <w:tcW w:w="900" w:type="dxa"/>
                  <w:vAlign w:val="bottom"/>
                </w:tcPr>
                <w:p w14:paraId="3AB6446D" w14:textId="77777777" w:rsidR="00C94B5A" w:rsidRDefault="00C94B5A" w:rsidP="00C94B5A">
                  <w:pPr>
                    <w:rPr>
                      <w:rFonts w:ascii="Calibri" w:hAnsi="Calibri"/>
                      <w:color w:val="000000"/>
                    </w:rPr>
                  </w:pPr>
                  <w:r>
                    <w:rPr>
                      <w:rFonts w:ascii="Calibri" w:hAnsi="Calibri"/>
                      <w:color w:val="000000"/>
                    </w:rPr>
                    <w:t> </w:t>
                  </w:r>
                </w:p>
              </w:tc>
              <w:tc>
                <w:tcPr>
                  <w:tcW w:w="900" w:type="dxa"/>
                  <w:vAlign w:val="bottom"/>
                </w:tcPr>
                <w:p w14:paraId="7D6BE442" w14:textId="77777777" w:rsidR="00C94B5A" w:rsidRDefault="00C94B5A" w:rsidP="00C94B5A">
                  <w:pPr>
                    <w:rPr>
                      <w:rFonts w:ascii="Calibri" w:hAnsi="Calibri"/>
                      <w:color w:val="000000"/>
                    </w:rPr>
                  </w:pPr>
                  <w:r>
                    <w:rPr>
                      <w:rFonts w:ascii="Calibri" w:hAnsi="Calibri"/>
                      <w:color w:val="000000"/>
                    </w:rPr>
                    <w:t> </w:t>
                  </w:r>
                </w:p>
              </w:tc>
            </w:tr>
            <w:tr w:rsidR="00C94B5A" w14:paraId="5B14F3F0" w14:textId="77777777" w:rsidTr="00C4343D">
              <w:trPr>
                <w:trHeight w:val="300"/>
              </w:trPr>
              <w:tc>
                <w:tcPr>
                  <w:tcW w:w="903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140A5CB0" w14:textId="77777777" w:rsidR="00C94B5A" w:rsidRDefault="00C94B5A" w:rsidP="00C94B5A">
                  <w:pPr>
                    <w:rPr>
                      <w:rFonts w:ascii="Calibri" w:hAnsi="Calibri"/>
                      <w:color w:val="000000"/>
                    </w:rPr>
                  </w:pPr>
                  <w:r w:rsidRPr="00C94B5A">
                    <w:rPr>
                      <w:rFonts w:ascii="Calibri" w:hAnsi="Calibri"/>
                      <w:color w:val="000000"/>
                    </w:rPr>
                    <w:t>UAC Arrested</w:t>
                  </w:r>
                  <w:r>
                    <w:rPr>
                      <w:rFonts w:ascii="Calibri" w:hAnsi="Calibri"/>
                      <w:color w:val="FF0000"/>
                    </w:rPr>
                    <w:t xml:space="preserve">– This figure will reflect the number of cases closed because the UAC was arrested and incarcerated.  </w:t>
                  </w:r>
                  <w:r w:rsidRPr="000A3B93">
                    <w:rPr>
                      <w:rFonts w:ascii="Calibri" w:hAnsi="Calibri"/>
                      <w:color w:val="FF0000"/>
                    </w:rPr>
                    <w:t>Add prior reporting period figure to this reporting period for the annual column</w:t>
                  </w:r>
                  <w:r>
                    <w:rPr>
                      <w:rFonts w:ascii="Calibri" w:hAnsi="Calibri"/>
                      <w:color w:val="FF0000"/>
                    </w:rPr>
                    <w:t xml:space="preserve"> (except for Q1).</w:t>
                  </w:r>
                </w:p>
              </w:tc>
              <w:tc>
                <w:tcPr>
                  <w:tcW w:w="900" w:type="dxa"/>
                  <w:vAlign w:val="bottom"/>
                </w:tcPr>
                <w:p w14:paraId="6C927EE3" w14:textId="77777777" w:rsidR="00C94B5A" w:rsidRDefault="00C94B5A" w:rsidP="00C94B5A">
                  <w:pPr>
                    <w:rPr>
                      <w:rFonts w:ascii="Calibri" w:hAnsi="Calibri"/>
                      <w:color w:val="000000"/>
                    </w:rPr>
                  </w:pPr>
                </w:p>
              </w:tc>
              <w:tc>
                <w:tcPr>
                  <w:tcW w:w="900" w:type="dxa"/>
                  <w:vAlign w:val="bottom"/>
                </w:tcPr>
                <w:p w14:paraId="4B1AB816" w14:textId="77777777" w:rsidR="00C94B5A" w:rsidRDefault="00C94B5A" w:rsidP="00C94B5A">
                  <w:pPr>
                    <w:rPr>
                      <w:rFonts w:ascii="Calibri" w:hAnsi="Calibri"/>
                      <w:color w:val="000000"/>
                    </w:rPr>
                  </w:pPr>
                </w:p>
              </w:tc>
            </w:tr>
            <w:tr w:rsidR="00C94B5A" w14:paraId="20C92FE3" w14:textId="77777777" w:rsidTr="00C4343D">
              <w:trPr>
                <w:trHeight w:val="300"/>
              </w:trPr>
              <w:tc>
                <w:tcPr>
                  <w:tcW w:w="903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4DDF371F" w14:textId="77777777" w:rsidR="00C94B5A" w:rsidRDefault="00C94B5A" w:rsidP="00C94B5A">
                  <w:pPr>
                    <w:rPr>
                      <w:rFonts w:ascii="Calibri" w:hAnsi="Calibri"/>
                      <w:color w:val="000000"/>
                    </w:rPr>
                  </w:pPr>
                  <w:r>
                    <w:rPr>
                      <w:rFonts w:ascii="Calibri" w:hAnsi="Calibri"/>
                      <w:color w:val="000000"/>
                    </w:rPr>
                    <w:t>Other</w:t>
                  </w:r>
                  <w:r>
                    <w:rPr>
                      <w:rFonts w:ascii="Calibri" w:hAnsi="Calibri"/>
                      <w:color w:val="FF0000"/>
                    </w:rPr>
                    <w:t xml:space="preserve">– This figure will reflect the total number of cases closed for reasons other than mentioned above.  It is not required to list the reasons.  </w:t>
                  </w:r>
                  <w:r w:rsidRPr="000A3B93">
                    <w:rPr>
                      <w:rFonts w:ascii="Calibri" w:hAnsi="Calibri"/>
                      <w:color w:val="FF0000"/>
                    </w:rPr>
                    <w:t>Add prior reporting period figure to this reporting period for the annual column</w:t>
                  </w:r>
                  <w:r>
                    <w:rPr>
                      <w:rFonts w:ascii="Calibri" w:hAnsi="Calibri"/>
                      <w:color w:val="FF0000"/>
                    </w:rPr>
                    <w:t xml:space="preserve"> (except for Q1).</w:t>
                  </w:r>
                </w:p>
              </w:tc>
              <w:tc>
                <w:tcPr>
                  <w:tcW w:w="900" w:type="dxa"/>
                  <w:vAlign w:val="bottom"/>
                </w:tcPr>
                <w:p w14:paraId="0752808C" w14:textId="77777777" w:rsidR="00C94B5A" w:rsidRDefault="00C94B5A" w:rsidP="00C94B5A">
                  <w:pPr>
                    <w:rPr>
                      <w:rFonts w:ascii="Calibri" w:hAnsi="Calibri"/>
                      <w:color w:val="000000"/>
                    </w:rPr>
                  </w:pPr>
                </w:p>
              </w:tc>
              <w:tc>
                <w:tcPr>
                  <w:tcW w:w="900" w:type="dxa"/>
                  <w:vAlign w:val="bottom"/>
                </w:tcPr>
                <w:p w14:paraId="031A3E00" w14:textId="77777777" w:rsidR="00C94B5A" w:rsidRDefault="00C94B5A" w:rsidP="00C94B5A">
                  <w:pPr>
                    <w:rPr>
                      <w:rFonts w:ascii="Calibri" w:hAnsi="Calibri"/>
                      <w:color w:val="000000"/>
                    </w:rPr>
                  </w:pPr>
                </w:p>
              </w:tc>
            </w:tr>
            <w:tr w:rsidR="00C94B5A" w14:paraId="4412E4A9" w14:textId="77777777" w:rsidTr="00C94B5A">
              <w:trPr>
                <w:gridAfter w:val="2"/>
                <w:wAfter w:w="1800" w:type="dxa"/>
                <w:trHeight w:val="300"/>
              </w:trPr>
              <w:tc>
                <w:tcPr>
                  <w:tcW w:w="9031"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13EDF8C" w14:textId="77777777" w:rsidR="00C94B5A" w:rsidRPr="00531E0C" w:rsidRDefault="00C94B5A" w:rsidP="00C94B5A">
                  <w:pPr>
                    <w:jc w:val="center"/>
                    <w:rPr>
                      <w:rFonts w:ascii="Calibri" w:hAnsi="Calibri"/>
                      <w:b/>
                      <w:bCs/>
                      <w:sz w:val="22"/>
                      <w:szCs w:val="22"/>
                    </w:rPr>
                  </w:pPr>
                  <w:r w:rsidRPr="00531E0C">
                    <w:rPr>
                      <w:rFonts w:ascii="Calibri" w:hAnsi="Calibri"/>
                      <w:b/>
                      <w:bCs/>
                      <w:sz w:val="22"/>
                      <w:szCs w:val="22"/>
                    </w:rPr>
                    <w:t>PRS Needs</w:t>
                  </w:r>
                  <w:r>
                    <w:rPr>
                      <w:rFonts w:ascii="Calibri" w:hAnsi="Calibri"/>
                      <w:b/>
                      <w:bCs/>
                      <w:sz w:val="22"/>
                      <w:szCs w:val="22"/>
                    </w:rPr>
                    <w:t xml:space="preserve"> (B</w:t>
                  </w:r>
                  <w:r w:rsidRPr="00531E0C">
                    <w:rPr>
                      <w:rFonts w:ascii="Calibri" w:hAnsi="Calibri"/>
                      <w:b/>
                      <w:bCs/>
                      <w:sz w:val="22"/>
                      <w:szCs w:val="22"/>
                    </w:rPr>
                    <w:t>y type)</w:t>
                  </w:r>
                </w:p>
              </w:tc>
            </w:tr>
            <w:tr w:rsidR="00C94B5A" w14:paraId="5B10F7AB" w14:textId="77777777" w:rsidTr="00C94B5A">
              <w:trPr>
                <w:gridAfter w:val="2"/>
                <w:wAfter w:w="1800" w:type="dxa"/>
                <w:trHeight w:val="300"/>
              </w:trPr>
              <w:tc>
                <w:tcPr>
                  <w:tcW w:w="670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3DB0954" w14:textId="77777777" w:rsidR="00C94B5A" w:rsidRPr="000B0266" w:rsidRDefault="00C94B5A" w:rsidP="00C94B5A">
                  <w:pPr>
                    <w:rPr>
                      <w:rFonts w:ascii="Calibri" w:hAnsi="Calibri"/>
                      <w:color w:val="000000"/>
                      <w:sz w:val="22"/>
                      <w:szCs w:val="22"/>
                    </w:rPr>
                  </w:pPr>
                </w:p>
              </w:tc>
              <w:tc>
                <w:tcPr>
                  <w:tcW w:w="990" w:type="dxa"/>
                  <w:tcBorders>
                    <w:top w:val="nil"/>
                    <w:left w:val="nil"/>
                    <w:bottom w:val="single" w:sz="4" w:space="0" w:color="auto"/>
                    <w:right w:val="single" w:sz="4" w:space="0" w:color="auto"/>
                  </w:tcBorders>
                  <w:shd w:val="clear" w:color="auto" w:fill="auto"/>
                  <w:noWrap/>
                  <w:vAlign w:val="bottom"/>
                  <w:hideMark/>
                </w:tcPr>
                <w:p w14:paraId="25019E81" w14:textId="77777777" w:rsidR="00C94B5A" w:rsidRDefault="00C94B5A" w:rsidP="00C94B5A">
                  <w:pPr>
                    <w:rPr>
                      <w:rFonts w:ascii="Calibri" w:hAnsi="Calibri"/>
                      <w:color w:val="000000"/>
                      <w:sz w:val="22"/>
                      <w:szCs w:val="22"/>
                    </w:rPr>
                  </w:pPr>
                  <w:r>
                    <w:rPr>
                      <w:rFonts w:ascii="Calibri" w:hAnsi="Calibri"/>
                      <w:color w:val="000000"/>
                      <w:sz w:val="22"/>
                      <w:szCs w:val="22"/>
                    </w:rPr>
                    <w:t>Original reason for referral to PRS (New Cases) </w:t>
                  </w:r>
                </w:p>
              </w:tc>
              <w:tc>
                <w:tcPr>
                  <w:tcW w:w="1339" w:type="dxa"/>
                  <w:tcBorders>
                    <w:top w:val="nil"/>
                    <w:left w:val="nil"/>
                    <w:bottom w:val="single" w:sz="4" w:space="0" w:color="auto"/>
                    <w:right w:val="single" w:sz="4" w:space="0" w:color="auto"/>
                  </w:tcBorders>
                  <w:shd w:val="clear" w:color="auto" w:fill="auto"/>
                  <w:noWrap/>
                  <w:vAlign w:val="bottom"/>
                  <w:hideMark/>
                </w:tcPr>
                <w:p w14:paraId="4A2A7D2D" w14:textId="77777777" w:rsidR="00C94B5A" w:rsidRDefault="00C94B5A" w:rsidP="00C94B5A">
                  <w:pPr>
                    <w:rPr>
                      <w:rFonts w:ascii="Calibri" w:hAnsi="Calibri"/>
                      <w:color w:val="000000"/>
                      <w:sz w:val="22"/>
                      <w:szCs w:val="22"/>
                    </w:rPr>
                  </w:pPr>
                  <w:r>
                    <w:rPr>
                      <w:rFonts w:ascii="Calibri" w:hAnsi="Calibri"/>
                      <w:color w:val="000000"/>
                      <w:sz w:val="22"/>
                      <w:szCs w:val="22"/>
                    </w:rPr>
                    <w:t> Ongoing Primary Needs PRS Identified (After Initial Assessment)</w:t>
                  </w:r>
                </w:p>
              </w:tc>
            </w:tr>
            <w:tr w:rsidR="00C94B5A" w14:paraId="44E5BF06" w14:textId="77777777" w:rsidTr="00C94B5A">
              <w:trPr>
                <w:gridAfter w:val="2"/>
                <w:wAfter w:w="1800" w:type="dxa"/>
                <w:trHeight w:val="300"/>
              </w:trPr>
              <w:tc>
                <w:tcPr>
                  <w:tcW w:w="670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4FA5089" w14:textId="77777777" w:rsidR="00C94B5A" w:rsidRPr="000B0266" w:rsidRDefault="00C94B5A" w:rsidP="00C4343D">
                  <w:pPr>
                    <w:rPr>
                      <w:rFonts w:ascii="Calibri" w:hAnsi="Calibri"/>
                      <w:color w:val="000000"/>
                      <w:sz w:val="22"/>
                      <w:szCs w:val="22"/>
                    </w:rPr>
                  </w:pPr>
                  <w:r>
                    <w:rPr>
                      <w:rFonts w:ascii="Calibri" w:hAnsi="Calibri"/>
                      <w:color w:val="000000"/>
                      <w:sz w:val="22"/>
                      <w:szCs w:val="22"/>
                    </w:rPr>
                    <w:t>Placement Stability and Safety</w:t>
                  </w:r>
                  <w:r w:rsidR="00C4343D">
                    <w:rPr>
                      <w:rFonts w:ascii="Calibri" w:hAnsi="Calibri"/>
                      <w:color w:val="FF0000"/>
                    </w:rPr>
                    <w:t>– The figure in the first column will be comprised of any referrals accepted and/or served during the quarter that were referred for service due to concerns around placement stability or safety.  The second column will reflect cases you accepted and/or served during the quarter in which your organization identified placement safety and stability a concern based on your own assessment. These will occasionally have cases counted more than one time per issue.</w:t>
                  </w:r>
                </w:p>
              </w:tc>
              <w:tc>
                <w:tcPr>
                  <w:tcW w:w="990" w:type="dxa"/>
                  <w:tcBorders>
                    <w:top w:val="nil"/>
                    <w:left w:val="nil"/>
                    <w:bottom w:val="single" w:sz="4" w:space="0" w:color="auto"/>
                    <w:right w:val="single" w:sz="4" w:space="0" w:color="auto"/>
                  </w:tcBorders>
                  <w:shd w:val="clear" w:color="auto" w:fill="auto"/>
                  <w:noWrap/>
                  <w:vAlign w:val="bottom"/>
                </w:tcPr>
                <w:p w14:paraId="01F06374" w14:textId="77777777" w:rsidR="00C94B5A" w:rsidRDefault="00C94B5A" w:rsidP="00C94B5A">
                  <w:pPr>
                    <w:rPr>
                      <w:rFonts w:ascii="Calibri" w:hAnsi="Calibri"/>
                      <w:color w:val="000000"/>
                      <w:sz w:val="22"/>
                      <w:szCs w:val="22"/>
                    </w:rPr>
                  </w:pPr>
                </w:p>
              </w:tc>
              <w:tc>
                <w:tcPr>
                  <w:tcW w:w="1339" w:type="dxa"/>
                  <w:tcBorders>
                    <w:top w:val="nil"/>
                    <w:left w:val="nil"/>
                    <w:bottom w:val="single" w:sz="4" w:space="0" w:color="auto"/>
                    <w:right w:val="single" w:sz="4" w:space="0" w:color="auto"/>
                  </w:tcBorders>
                  <w:shd w:val="clear" w:color="auto" w:fill="auto"/>
                  <w:noWrap/>
                  <w:vAlign w:val="bottom"/>
                </w:tcPr>
                <w:p w14:paraId="7E23F7C8" w14:textId="77777777" w:rsidR="00C94B5A" w:rsidRDefault="00C94B5A" w:rsidP="00C94B5A">
                  <w:pPr>
                    <w:rPr>
                      <w:rFonts w:ascii="Calibri" w:hAnsi="Calibri"/>
                      <w:color w:val="000000"/>
                      <w:sz w:val="22"/>
                      <w:szCs w:val="22"/>
                    </w:rPr>
                  </w:pPr>
                </w:p>
              </w:tc>
            </w:tr>
            <w:tr w:rsidR="00C94B5A" w14:paraId="282781BE" w14:textId="77777777" w:rsidTr="00C94B5A">
              <w:trPr>
                <w:gridAfter w:val="2"/>
                <w:wAfter w:w="1800" w:type="dxa"/>
                <w:trHeight w:val="300"/>
              </w:trPr>
              <w:tc>
                <w:tcPr>
                  <w:tcW w:w="670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CDE3467" w14:textId="77777777" w:rsidR="00C94B5A" w:rsidRPr="000B0266" w:rsidRDefault="00C94B5A" w:rsidP="00C4343D">
                  <w:pPr>
                    <w:rPr>
                      <w:rFonts w:ascii="Calibri" w:hAnsi="Calibri"/>
                      <w:color w:val="000000"/>
                      <w:sz w:val="22"/>
                      <w:szCs w:val="22"/>
                    </w:rPr>
                  </w:pPr>
                  <w:r w:rsidRPr="000B0266">
                    <w:rPr>
                      <w:rFonts w:ascii="Calibri" w:hAnsi="Calibri"/>
                      <w:color w:val="000000"/>
                      <w:sz w:val="22"/>
                      <w:szCs w:val="22"/>
                    </w:rPr>
                    <w:t>Guardianship</w:t>
                  </w:r>
                  <w:r w:rsidR="00C4343D">
                    <w:rPr>
                      <w:rFonts w:ascii="Calibri" w:hAnsi="Calibri"/>
                      <w:color w:val="FF0000"/>
                    </w:rPr>
                    <w:t>– The figure in the first column will be comprised of any referrals accepted and/or served during the quarter that were referred for service due to concerns around guardianship.  The second column will reflect cases you accepted and/or served during the quarter in which your organization identified guardianship as a concern based on your own assessment. These will occasionally have cases counted more than one time per issue.</w:t>
                  </w:r>
                </w:p>
              </w:tc>
              <w:tc>
                <w:tcPr>
                  <w:tcW w:w="990" w:type="dxa"/>
                  <w:tcBorders>
                    <w:top w:val="nil"/>
                    <w:left w:val="nil"/>
                    <w:bottom w:val="single" w:sz="4" w:space="0" w:color="auto"/>
                    <w:right w:val="single" w:sz="4" w:space="0" w:color="auto"/>
                  </w:tcBorders>
                  <w:shd w:val="clear" w:color="auto" w:fill="auto"/>
                  <w:noWrap/>
                  <w:vAlign w:val="bottom"/>
                </w:tcPr>
                <w:p w14:paraId="338D2A7C" w14:textId="77777777" w:rsidR="00C94B5A" w:rsidRDefault="00C94B5A" w:rsidP="00C94B5A">
                  <w:pPr>
                    <w:rPr>
                      <w:rFonts w:ascii="Calibri" w:hAnsi="Calibri"/>
                      <w:color w:val="000000"/>
                      <w:sz w:val="22"/>
                      <w:szCs w:val="22"/>
                    </w:rPr>
                  </w:pPr>
                </w:p>
              </w:tc>
              <w:tc>
                <w:tcPr>
                  <w:tcW w:w="1339" w:type="dxa"/>
                  <w:tcBorders>
                    <w:top w:val="nil"/>
                    <w:left w:val="nil"/>
                    <w:bottom w:val="single" w:sz="4" w:space="0" w:color="auto"/>
                    <w:right w:val="single" w:sz="4" w:space="0" w:color="auto"/>
                  </w:tcBorders>
                  <w:shd w:val="clear" w:color="auto" w:fill="auto"/>
                  <w:noWrap/>
                  <w:vAlign w:val="bottom"/>
                </w:tcPr>
                <w:p w14:paraId="49A3B36F" w14:textId="77777777" w:rsidR="00C94B5A" w:rsidRDefault="00C94B5A" w:rsidP="00C94B5A">
                  <w:pPr>
                    <w:rPr>
                      <w:rFonts w:ascii="Calibri" w:hAnsi="Calibri"/>
                      <w:color w:val="000000"/>
                      <w:sz w:val="22"/>
                      <w:szCs w:val="22"/>
                    </w:rPr>
                  </w:pPr>
                </w:p>
              </w:tc>
            </w:tr>
            <w:tr w:rsidR="00C94B5A" w14:paraId="3AAC4DFA" w14:textId="77777777" w:rsidTr="00C94B5A">
              <w:trPr>
                <w:gridAfter w:val="2"/>
                <w:wAfter w:w="1800" w:type="dxa"/>
                <w:trHeight w:val="300"/>
              </w:trPr>
              <w:tc>
                <w:tcPr>
                  <w:tcW w:w="670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EA91664" w14:textId="77777777" w:rsidR="00C94B5A" w:rsidRPr="000B0266" w:rsidRDefault="00C94B5A" w:rsidP="00C94B5A">
                  <w:pPr>
                    <w:rPr>
                      <w:rFonts w:ascii="Calibri" w:hAnsi="Calibri"/>
                      <w:color w:val="000000"/>
                      <w:sz w:val="22"/>
                      <w:szCs w:val="22"/>
                    </w:rPr>
                  </w:pPr>
                  <w:r w:rsidRPr="000B0266">
                    <w:rPr>
                      <w:rFonts w:ascii="Calibri" w:hAnsi="Calibri"/>
                      <w:color w:val="000000"/>
                      <w:sz w:val="22"/>
                      <w:szCs w:val="22"/>
                    </w:rPr>
                    <w:t>Legal Services</w:t>
                  </w:r>
                  <w:r w:rsidR="00C4343D">
                    <w:rPr>
                      <w:rFonts w:ascii="Calibri" w:hAnsi="Calibri"/>
                      <w:color w:val="FF0000"/>
                    </w:rPr>
                    <w:t>– The figure in the first column will be comprised of any referrals accepted and/or served during the quarter that were referred for service due to concerns around guardianship.  The second column will reflect cases you accepted and/or served during the quarter in which your organization identified guardianship as a concern based on your own assessment. These will occasionally have cases counted more than one time per issue.</w:t>
                  </w:r>
                </w:p>
              </w:tc>
              <w:tc>
                <w:tcPr>
                  <w:tcW w:w="990" w:type="dxa"/>
                  <w:tcBorders>
                    <w:top w:val="nil"/>
                    <w:left w:val="nil"/>
                    <w:bottom w:val="single" w:sz="4" w:space="0" w:color="auto"/>
                    <w:right w:val="single" w:sz="4" w:space="0" w:color="auto"/>
                  </w:tcBorders>
                  <w:shd w:val="clear" w:color="auto" w:fill="auto"/>
                  <w:noWrap/>
                  <w:vAlign w:val="bottom"/>
                  <w:hideMark/>
                </w:tcPr>
                <w:p w14:paraId="07CCAEEE" w14:textId="77777777" w:rsidR="00C94B5A" w:rsidRDefault="00C94B5A" w:rsidP="00C94B5A">
                  <w:pPr>
                    <w:rPr>
                      <w:rFonts w:ascii="Calibri" w:hAnsi="Calibri"/>
                      <w:color w:val="000000"/>
                      <w:sz w:val="22"/>
                      <w:szCs w:val="22"/>
                    </w:rPr>
                  </w:pPr>
                  <w:r>
                    <w:rPr>
                      <w:rFonts w:ascii="Calibri" w:hAnsi="Calibri"/>
                      <w:color w:val="000000"/>
                      <w:sz w:val="22"/>
                      <w:szCs w:val="22"/>
                    </w:rPr>
                    <w:t> </w:t>
                  </w:r>
                </w:p>
              </w:tc>
              <w:tc>
                <w:tcPr>
                  <w:tcW w:w="1339" w:type="dxa"/>
                  <w:tcBorders>
                    <w:top w:val="nil"/>
                    <w:left w:val="nil"/>
                    <w:bottom w:val="single" w:sz="4" w:space="0" w:color="auto"/>
                    <w:right w:val="single" w:sz="4" w:space="0" w:color="auto"/>
                  </w:tcBorders>
                  <w:shd w:val="clear" w:color="auto" w:fill="auto"/>
                  <w:noWrap/>
                  <w:vAlign w:val="bottom"/>
                  <w:hideMark/>
                </w:tcPr>
                <w:p w14:paraId="525FA791" w14:textId="77777777" w:rsidR="00C94B5A" w:rsidRDefault="00C94B5A" w:rsidP="00C94B5A">
                  <w:pPr>
                    <w:rPr>
                      <w:rFonts w:ascii="Calibri" w:hAnsi="Calibri"/>
                      <w:color w:val="000000"/>
                      <w:sz w:val="22"/>
                      <w:szCs w:val="22"/>
                    </w:rPr>
                  </w:pPr>
                  <w:r>
                    <w:rPr>
                      <w:rFonts w:ascii="Calibri" w:hAnsi="Calibri"/>
                      <w:color w:val="000000"/>
                      <w:sz w:val="22"/>
                      <w:szCs w:val="22"/>
                    </w:rPr>
                    <w:t> </w:t>
                  </w:r>
                </w:p>
              </w:tc>
            </w:tr>
            <w:tr w:rsidR="00C94B5A" w14:paraId="664A636B" w14:textId="77777777" w:rsidTr="00C94B5A">
              <w:trPr>
                <w:gridAfter w:val="2"/>
                <w:wAfter w:w="1800" w:type="dxa"/>
                <w:trHeight w:val="300"/>
              </w:trPr>
              <w:tc>
                <w:tcPr>
                  <w:tcW w:w="670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F3843A9" w14:textId="77777777" w:rsidR="00C94B5A" w:rsidRPr="000B0266" w:rsidRDefault="00C94B5A" w:rsidP="00C94B5A">
                  <w:pPr>
                    <w:rPr>
                      <w:rFonts w:ascii="Calibri" w:hAnsi="Calibri"/>
                      <w:color w:val="000000"/>
                      <w:sz w:val="22"/>
                      <w:szCs w:val="22"/>
                    </w:rPr>
                  </w:pPr>
                  <w:r w:rsidRPr="000B0266">
                    <w:rPr>
                      <w:rFonts w:ascii="Calibri" w:hAnsi="Calibri"/>
                      <w:color w:val="000000"/>
                      <w:sz w:val="22"/>
                      <w:szCs w:val="22"/>
                    </w:rPr>
                    <w:t>School Enrollment / Ed</w:t>
                  </w:r>
                  <w:r>
                    <w:rPr>
                      <w:rFonts w:ascii="Calibri" w:hAnsi="Calibri"/>
                      <w:color w:val="000000"/>
                      <w:sz w:val="22"/>
                      <w:szCs w:val="22"/>
                    </w:rPr>
                    <w:t>uc</w:t>
                  </w:r>
                  <w:r w:rsidRPr="000B0266">
                    <w:rPr>
                      <w:rFonts w:ascii="Calibri" w:hAnsi="Calibri"/>
                      <w:color w:val="000000"/>
                      <w:sz w:val="22"/>
                      <w:szCs w:val="22"/>
                    </w:rPr>
                    <w:t>ation</w:t>
                  </w:r>
                  <w:r w:rsidR="00C4343D">
                    <w:rPr>
                      <w:rFonts w:ascii="Calibri" w:hAnsi="Calibri"/>
                      <w:color w:val="FF0000"/>
                    </w:rPr>
                    <w:t>– The figure in the first column will be comprised of any referrals accepted and/or served during the quarter that were referred for service due to concerns around school enrollment/education.  The second column will reflect cases you accepted and/or served during the quarter in which your organization identified school enrollment/education as a concern based on your own assessment. These will occasionally have cases counted more than one time per issue.</w:t>
                  </w:r>
                </w:p>
              </w:tc>
              <w:tc>
                <w:tcPr>
                  <w:tcW w:w="990" w:type="dxa"/>
                  <w:tcBorders>
                    <w:top w:val="nil"/>
                    <w:left w:val="nil"/>
                    <w:bottom w:val="single" w:sz="4" w:space="0" w:color="auto"/>
                    <w:right w:val="single" w:sz="4" w:space="0" w:color="auto"/>
                  </w:tcBorders>
                  <w:shd w:val="clear" w:color="auto" w:fill="auto"/>
                  <w:noWrap/>
                  <w:vAlign w:val="bottom"/>
                  <w:hideMark/>
                </w:tcPr>
                <w:p w14:paraId="2C88B46A" w14:textId="77777777" w:rsidR="00C94B5A" w:rsidRDefault="00C94B5A" w:rsidP="00C94B5A">
                  <w:pPr>
                    <w:rPr>
                      <w:rFonts w:ascii="Calibri" w:hAnsi="Calibri"/>
                      <w:color w:val="000000"/>
                      <w:sz w:val="22"/>
                      <w:szCs w:val="22"/>
                    </w:rPr>
                  </w:pPr>
                  <w:r>
                    <w:rPr>
                      <w:rFonts w:ascii="Calibri" w:hAnsi="Calibri"/>
                      <w:color w:val="000000"/>
                      <w:sz w:val="22"/>
                      <w:szCs w:val="22"/>
                    </w:rPr>
                    <w:t> </w:t>
                  </w:r>
                </w:p>
              </w:tc>
              <w:tc>
                <w:tcPr>
                  <w:tcW w:w="1339" w:type="dxa"/>
                  <w:tcBorders>
                    <w:top w:val="nil"/>
                    <w:left w:val="nil"/>
                    <w:bottom w:val="single" w:sz="4" w:space="0" w:color="auto"/>
                    <w:right w:val="single" w:sz="4" w:space="0" w:color="auto"/>
                  </w:tcBorders>
                  <w:shd w:val="clear" w:color="auto" w:fill="auto"/>
                  <w:noWrap/>
                  <w:vAlign w:val="bottom"/>
                  <w:hideMark/>
                </w:tcPr>
                <w:p w14:paraId="137E1077" w14:textId="77777777" w:rsidR="00C94B5A" w:rsidRDefault="00C94B5A" w:rsidP="00C94B5A">
                  <w:pPr>
                    <w:rPr>
                      <w:rFonts w:ascii="Calibri" w:hAnsi="Calibri"/>
                      <w:color w:val="000000"/>
                      <w:sz w:val="22"/>
                      <w:szCs w:val="22"/>
                    </w:rPr>
                  </w:pPr>
                  <w:r>
                    <w:rPr>
                      <w:rFonts w:ascii="Calibri" w:hAnsi="Calibri"/>
                      <w:color w:val="000000"/>
                      <w:sz w:val="22"/>
                      <w:szCs w:val="22"/>
                    </w:rPr>
                    <w:t> </w:t>
                  </w:r>
                </w:p>
              </w:tc>
            </w:tr>
            <w:tr w:rsidR="00C94B5A" w14:paraId="29AFDB3C" w14:textId="77777777" w:rsidTr="00C94B5A">
              <w:trPr>
                <w:gridAfter w:val="2"/>
                <w:wAfter w:w="1800" w:type="dxa"/>
                <w:trHeight w:val="300"/>
              </w:trPr>
              <w:tc>
                <w:tcPr>
                  <w:tcW w:w="670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ED4F6EE" w14:textId="77777777" w:rsidR="00C94B5A" w:rsidRPr="000B0266" w:rsidRDefault="00C94B5A" w:rsidP="00C4343D">
                  <w:pPr>
                    <w:rPr>
                      <w:rFonts w:ascii="Calibri" w:hAnsi="Calibri"/>
                      <w:color w:val="000000"/>
                      <w:sz w:val="22"/>
                      <w:szCs w:val="22"/>
                    </w:rPr>
                  </w:pPr>
                  <w:r w:rsidRPr="000B0266">
                    <w:rPr>
                      <w:rFonts w:ascii="Calibri" w:hAnsi="Calibri"/>
                      <w:color w:val="000000"/>
                      <w:sz w:val="22"/>
                      <w:szCs w:val="22"/>
                    </w:rPr>
                    <w:t>Medical Services</w:t>
                  </w:r>
                  <w:r w:rsidR="00C4343D">
                    <w:rPr>
                      <w:rFonts w:ascii="Calibri" w:hAnsi="Calibri"/>
                      <w:color w:val="FF0000"/>
                    </w:rPr>
                    <w:t>– The figure in the first column will be comprised of any referrals accepted and/or served during the quarter that were referred for service due to concerns medical service needs.  The second column will reflect cases you accepted and/or served during the quarter in which your organization identified medical services as a concern based on your own assessment. These will occasionally have cases counted more than one time per issue.</w:t>
                  </w:r>
                </w:p>
              </w:tc>
              <w:tc>
                <w:tcPr>
                  <w:tcW w:w="990" w:type="dxa"/>
                  <w:tcBorders>
                    <w:top w:val="nil"/>
                    <w:left w:val="nil"/>
                    <w:bottom w:val="single" w:sz="4" w:space="0" w:color="auto"/>
                    <w:right w:val="single" w:sz="4" w:space="0" w:color="auto"/>
                  </w:tcBorders>
                  <w:shd w:val="clear" w:color="auto" w:fill="auto"/>
                  <w:noWrap/>
                  <w:vAlign w:val="bottom"/>
                  <w:hideMark/>
                </w:tcPr>
                <w:p w14:paraId="5B11FA5A" w14:textId="77777777" w:rsidR="00C94B5A" w:rsidRDefault="00C94B5A" w:rsidP="00C94B5A">
                  <w:pPr>
                    <w:rPr>
                      <w:rFonts w:ascii="Calibri" w:hAnsi="Calibri"/>
                      <w:color w:val="000000"/>
                      <w:sz w:val="22"/>
                      <w:szCs w:val="22"/>
                    </w:rPr>
                  </w:pPr>
                  <w:r>
                    <w:rPr>
                      <w:rFonts w:ascii="Calibri" w:hAnsi="Calibri"/>
                      <w:color w:val="000000"/>
                      <w:sz w:val="22"/>
                      <w:szCs w:val="22"/>
                    </w:rPr>
                    <w:t> </w:t>
                  </w:r>
                </w:p>
              </w:tc>
              <w:tc>
                <w:tcPr>
                  <w:tcW w:w="1339" w:type="dxa"/>
                  <w:tcBorders>
                    <w:top w:val="nil"/>
                    <w:left w:val="nil"/>
                    <w:bottom w:val="single" w:sz="4" w:space="0" w:color="auto"/>
                    <w:right w:val="single" w:sz="4" w:space="0" w:color="auto"/>
                  </w:tcBorders>
                  <w:shd w:val="clear" w:color="auto" w:fill="auto"/>
                  <w:noWrap/>
                  <w:vAlign w:val="bottom"/>
                  <w:hideMark/>
                </w:tcPr>
                <w:p w14:paraId="5BBE2C21" w14:textId="77777777" w:rsidR="00C94B5A" w:rsidRDefault="00C94B5A" w:rsidP="00C94B5A">
                  <w:pPr>
                    <w:rPr>
                      <w:rFonts w:ascii="Calibri" w:hAnsi="Calibri"/>
                      <w:color w:val="000000"/>
                      <w:sz w:val="22"/>
                      <w:szCs w:val="22"/>
                    </w:rPr>
                  </w:pPr>
                  <w:r>
                    <w:rPr>
                      <w:rFonts w:ascii="Calibri" w:hAnsi="Calibri"/>
                      <w:color w:val="000000"/>
                      <w:sz w:val="22"/>
                      <w:szCs w:val="22"/>
                    </w:rPr>
                    <w:t> </w:t>
                  </w:r>
                </w:p>
              </w:tc>
            </w:tr>
            <w:tr w:rsidR="00C94B5A" w14:paraId="5B76A358" w14:textId="77777777" w:rsidTr="00C94B5A">
              <w:trPr>
                <w:gridAfter w:val="2"/>
                <w:wAfter w:w="1800" w:type="dxa"/>
                <w:trHeight w:val="300"/>
              </w:trPr>
              <w:tc>
                <w:tcPr>
                  <w:tcW w:w="670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A7A6031" w14:textId="77777777" w:rsidR="00C94B5A" w:rsidRPr="000B0266" w:rsidRDefault="00C94B5A" w:rsidP="00C94B5A">
                  <w:pPr>
                    <w:rPr>
                      <w:rFonts w:ascii="Calibri" w:hAnsi="Calibri"/>
                      <w:color w:val="000000"/>
                      <w:sz w:val="22"/>
                      <w:szCs w:val="22"/>
                    </w:rPr>
                  </w:pPr>
                  <w:r w:rsidRPr="000B0266">
                    <w:rPr>
                      <w:rFonts w:ascii="Calibri" w:hAnsi="Calibri"/>
                      <w:color w:val="000000"/>
                      <w:sz w:val="22"/>
                      <w:szCs w:val="22"/>
                    </w:rPr>
                    <w:t>Individual Mental Health Services</w:t>
                  </w:r>
                  <w:r w:rsidR="00C4343D">
                    <w:rPr>
                      <w:rFonts w:ascii="Calibri" w:hAnsi="Calibri"/>
                      <w:color w:val="FF0000"/>
                    </w:rPr>
                    <w:t>– The figure in the first column will be comprised of any referrals accepted and/or served during the quarter that were referred for service due to concerns around securing men</w:t>
                  </w:r>
                  <w:r w:rsidR="00052863">
                    <w:rPr>
                      <w:rFonts w:ascii="Calibri" w:hAnsi="Calibri"/>
                      <w:color w:val="FF0000"/>
                    </w:rPr>
                    <w:t>tal health services for the UAC</w:t>
                  </w:r>
                  <w:r w:rsidR="00C4343D">
                    <w:rPr>
                      <w:rFonts w:ascii="Calibri" w:hAnsi="Calibri"/>
                      <w:color w:val="FF0000"/>
                    </w:rPr>
                    <w:t>.  The second column will reflect cases you accepted and/or served during the quarter in which your organization identifie</w:t>
                  </w:r>
                  <w:r w:rsidR="00052863">
                    <w:rPr>
                      <w:rFonts w:ascii="Calibri" w:hAnsi="Calibri"/>
                      <w:color w:val="FF0000"/>
                    </w:rPr>
                    <w:t>d individual mental health</w:t>
                  </w:r>
                  <w:r w:rsidR="00C4343D">
                    <w:rPr>
                      <w:rFonts w:ascii="Calibri" w:hAnsi="Calibri"/>
                      <w:color w:val="FF0000"/>
                    </w:rPr>
                    <w:t xml:space="preserve"> as a concern based on your own assessment. These will occasionally have cases counted more than one time per issue.</w:t>
                  </w:r>
                </w:p>
              </w:tc>
              <w:tc>
                <w:tcPr>
                  <w:tcW w:w="990" w:type="dxa"/>
                  <w:tcBorders>
                    <w:top w:val="nil"/>
                    <w:left w:val="nil"/>
                    <w:bottom w:val="single" w:sz="4" w:space="0" w:color="auto"/>
                    <w:right w:val="single" w:sz="4" w:space="0" w:color="auto"/>
                  </w:tcBorders>
                  <w:shd w:val="clear" w:color="auto" w:fill="auto"/>
                  <w:noWrap/>
                  <w:vAlign w:val="bottom"/>
                  <w:hideMark/>
                </w:tcPr>
                <w:p w14:paraId="23C91803" w14:textId="77777777" w:rsidR="00C94B5A" w:rsidRDefault="00C94B5A" w:rsidP="00C94B5A">
                  <w:pPr>
                    <w:rPr>
                      <w:rFonts w:ascii="Calibri" w:hAnsi="Calibri"/>
                      <w:color w:val="000000"/>
                      <w:sz w:val="22"/>
                      <w:szCs w:val="22"/>
                    </w:rPr>
                  </w:pPr>
                  <w:r>
                    <w:rPr>
                      <w:rFonts w:ascii="Calibri" w:hAnsi="Calibri"/>
                      <w:color w:val="000000"/>
                      <w:sz w:val="22"/>
                      <w:szCs w:val="22"/>
                    </w:rPr>
                    <w:t> </w:t>
                  </w:r>
                </w:p>
              </w:tc>
              <w:tc>
                <w:tcPr>
                  <w:tcW w:w="1339" w:type="dxa"/>
                  <w:tcBorders>
                    <w:top w:val="nil"/>
                    <w:left w:val="nil"/>
                    <w:bottom w:val="single" w:sz="4" w:space="0" w:color="auto"/>
                    <w:right w:val="single" w:sz="4" w:space="0" w:color="auto"/>
                  </w:tcBorders>
                  <w:shd w:val="clear" w:color="auto" w:fill="auto"/>
                  <w:noWrap/>
                  <w:vAlign w:val="bottom"/>
                  <w:hideMark/>
                </w:tcPr>
                <w:p w14:paraId="74AAE741" w14:textId="77777777" w:rsidR="00C94B5A" w:rsidRDefault="00C94B5A" w:rsidP="00C94B5A">
                  <w:pPr>
                    <w:rPr>
                      <w:rFonts w:ascii="Calibri" w:hAnsi="Calibri"/>
                      <w:color w:val="000000"/>
                      <w:sz w:val="22"/>
                      <w:szCs w:val="22"/>
                    </w:rPr>
                  </w:pPr>
                  <w:r>
                    <w:rPr>
                      <w:rFonts w:ascii="Calibri" w:hAnsi="Calibri"/>
                      <w:color w:val="000000"/>
                      <w:sz w:val="22"/>
                      <w:szCs w:val="22"/>
                    </w:rPr>
                    <w:t> </w:t>
                  </w:r>
                </w:p>
              </w:tc>
            </w:tr>
            <w:tr w:rsidR="00C94B5A" w14:paraId="47812E89" w14:textId="77777777" w:rsidTr="00C94B5A">
              <w:trPr>
                <w:gridAfter w:val="2"/>
                <w:wAfter w:w="1800" w:type="dxa"/>
                <w:trHeight w:val="300"/>
              </w:trPr>
              <w:tc>
                <w:tcPr>
                  <w:tcW w:w="670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1655530" w14:textId="77777777" w:rsidR="00C94B5A" w:rsidRPr="000B0266" w:rsidRDefault="00C94B5A" w:rsidP="00052863">
                  <w:pPr>
                    <w:rPr>
                      <w:rFonts w:ascii="Calibri" w:hAnsi="Calibri"/>
                      <w:color w:val="000000"/>
                      <w:sz w:val="22"/>
                      <w:szCs w:val="22"/>
                    </w:rPr>
                  </w:pPr>
                  <w:r>
                    <w:rPr>
                      <w:rFonts w:ascii="Calibri" w:hAnsi="Calibri"/>
                      <w:color w:val="000000"/>
                      <w:sz w:val="22"/>
                      <w:szCs w:val="22"/>
                    </w:rPr>
                    <w:t>Family Stabilization/ Counseling</w:t>
                  </w:r>
                  <w:r w:rsidR="00C4343D">
                    <w:rPr>
                      <w:rFonts w:ascii="Calibri" w:hAnsi="Calibri"/>
                      <w:color w:val="FF0000"/>
                    </w:rPr>
                    <w:t>– The figure in the first column will be comprised of any referrals accepted and/or served during the quarter that were referred for service due to concerns around.  The second column will reflect cases you accepted and/or served during the quarter in which your organization identifie</w:t>
                  </w:r>
                  <w:r w:rsidR="00052863">
                    <w:rPr>
                      <w:rFonts w:ascii="Calibri" w:hAnsi="Calibri"/>
                      <w:color w:val="FF0000"/>
                    </w:rPr>
                    <w:t>d family stabilization and/or family counseling</w:t>
                  </w:r>
                  <w:r w:rsidR="00C4343D">
                    <w:rPr>
                      <w:rFonts w:ascii="Calibri" w:hAnsi="Calibri"/>
                      <w:color w:val="FF0000"/>
                    </w:rPr>
                    <w:t xml:space="preserve"> as a concern based on your own assessment. These will occasionally have cases counted more than one time per issue.</w:t>
                  </w:r>
                </w:p>
              </w:tc>
              <w:tc>
                <w:tcPr>
                  <w:tcW w:w="990" w:type="dxa"/>
                  <w:tcBorders>
                    <w:top w:val="nil"/>
                    <w:left w:val="nil"/>
                    <w:bottom w:val="single" w:sz="4" w:space="0" w:color="auto"/>
                    <w:right w:val="single" w:sz="4" w:space="0" w:color="auto"/>
                  </w:tcBorders>
                  <w:shd w:val="clear" w:color="auto" w:fill="auto"/>
                  <w:noWrap/>
                  <w:vAlign w:val="bottom"/>
                  <w:hideMark/>
                </w:tcPr>
                <w:p w14:paraId="5781F3B1" w14:textId="77777777" w:rsidR="00C94B5A" w:rsidRDefault="00C94B5A" w:rsidP="00C94B5A">
                  <w:pPr>
                    <w:rPr>
                      <w:rFonts w:ascii="Calibri" w:hAnsi="Calibri"/>
                      <w:color w:val="000000"/>
                      <w:sz w:val="22"/>
                      <w:szCs w:val="22"/>
                    </w:rPr>
                  </w:pPr>
                  <w:r>
                    <w:rPr>
                      <w:rFonts w:ascii="Calibri" w:hAnsi="Calibri"/>
                      <w:color w:val="000000"/>
                      <w:sz w:val="22"/>
                      <w:szCs w:val="22"/>
                    </w:rPr>
                    <w:t> </w:t>
                  </w:r>
                </w:p>
              </w:tc>
              <w:tc>
                <w:tcPr>
                  <w:tcW w:w="1339" w:type="dxa"/>
                  <w:tcBorders>
                    <w:top w:val="nil"/>
                    <w:left w:val="nil"/>
                    <w:bottom w:val="single" w:sz="4" w:space="0" w:color="auto"/>
                    <w:right w:val="single" w:sz="4" w:space="0" w:color="auto"/>
                  </w:tcBorders>
                  <w:shd w:val="clear" w:color="auto" w:fill="auto"/>
                  <w:noWrap/>
                  <w:vAlign w:val="bottom"/>
                  <w:hideMark/>
                </w:tcPr>
                <w:p w14:paraId="2F6EC4D0" w14:textId="77777777" w:rsidR="00C94B5A" w:rsidRDefault="00C94B5A" w:rsidP="00C94B5A">
                  <w:pPr>
                    <w:rPr>
                      <w:rFonts w:ascii="Calibri" w:hAnsi="Calibri"/>
                      <w:color w:val="000000"/>
                      <w:sz w:val="22"/>
                      <w:szCs w:val="22"/>
                    </w:rPr>
                  </w:pPr>
                  <w:r>
                    <w:rPr>
                      <w:rFonts w:ascii="Calibri" w:hAnsi="Calibri"/>
                      <w:color w:val="000000"/>
                      <w:sz w:val="22"/>
                      <w:szCs w:val="22"/>
                    </w:rPr>
                    <w:t> </w:t>
                  </w:r>
                </w:p>
              </w:tc>
            </w:tr>
            <w:tr w:rsidR="00C94B5A" w14:paraId="4632A049" w14:textId="77777777" w:rsidTr="00C94B5A">
              <w:trPr>
                <w:gridAfter w:val="2"/>
                <w:wAfter w:w="1800" w:type="dxa"/>
                <w:trHeight w:val="300"/>
              </w:trPr>
              <w:tc>
                <w:tcPr>
                  <w:tcW w:w="670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1E328D8" w14:textId="77777777" w:rsidR="00C94B5A" w:rsidRPr="000B0266" w:rsidRDefault="00C94B5A" w:rsidP="00C94B5A">
                  <w:pPr>
                    <w:rPr>
                      <w:rFonts w:ascii="Calibri" w:hAnsi="Calibri"/>
                      <w:color w:val="000000"/>
                      <w:sz w:val="22"/>
                      <w:szCs w:val="22"/>
                    </w:rPr>
                  </w:pPr>
                  <w:r w:rsidRPr="000B0266">
                    <w:rPr>
                      <w:rFonts w:ascii="Calibri" w:hAnsi="Calibri"/>
                      <w:color w:val="000000"/>
                      <w:sz w:val="22"/>
                      <w:szCs w:val="22"/>
                    </w:rPr>
                    <w:t>Substance Abuse</w:t>
                  </w:r>
                  <w:r w:rsidR="00C4343D">
                    <w:rPr>
                      <w:rFonts w:ascii="Calibri" w:hAnsi="Calibri"/>
                      <w:color w:val="FF0000"/>
                    </w:rPr>
                    <w:t>– The figure in the first column will be comprised of any referrals accepted and/or served during the quarter that were referred for service due to concerns around</w:t>
                  </w:r>
                  <w:r w:rsidR="00052863">
                    <w:rPr>
                      <w:rFonts w:ascii="Calibri" w:hAnsi="Calibri"/>
                      <w:color w:val="FF0000"/>
                    </w:rPr>
                    <w:t xml:space="preserve"> substance abuse</w:t>
                  </w:r>
                  <w:r w:rsidR="00C4343D">
                    <w:rPr>
                      <w:rFonts w:ascii="Calibri" w:hAnsi="Calibri"/>
                      <w:color w:val="FF0000"/>
                    </w:rPr>
                    <w:t>.  The second column will reflect cases you accepted and/or served during the quarter in which your organization identifie</w:t>
                  </w:r>
                  <w:r w:rsidR="00052863">
                    <w:rPr>
                      <w:rFonts w:ascii="Calibri" w:hAnsi="Calibri"/>
                      <w:color w:val="FF0000"/>
                    </w:rPr>
                    <w:t>d substance abuse</w:t>
                  </w:r>
                  <w:r w:rsidR="00C4343D">
                    <w:rPr>
                      <w:rFonts w:ascii="Calibri" w:hAnsi="Calibri"/>
                      <w:color w:val="FF0000"/>
                    </w:rPr>
                    <w:t xml:space="preserve"> as a concern based on your own assessment. These will occasionally have cases counted more than one time per issue.</w:t>
                  </w:r>
                </w:p>
              </w:tc>
              <w:tc>
                <w:tcPr>
                  <w:tcW w:w="990" w:type="dxa"/>
                  <w:tcBorders>
                    <w:top w:val="nil"/>
                    <w:left w:val="nil"/>
                    <w:bottom w:val="single" w:sz="4" w:space="0" w:color="auto"/>
                    <w:right w:val="single" w:sz="4" w:space="0" w:color="auto"/>
                  </w:tcBorders>
                  <w:shd w:val="clear" w:color="auto" w:fill="auto"/>
                  <w:noWrap/>
                  <w:vAlign w:val="bottom"/>
                  <w:hideMark/>
                </w:tcPr>
                <w:p w14:paraId="42A2AF99" w14:textId="77777777" w:rsidR="00C94B5A" w:rsidRDefault="00C94B5A" w:rsidP="00C94B5A">
                  <w:pPr>
                    <w:rPr>
                      <w:rFonts w:ascii="Calibri" w:hAnsi="Calibri"/>
                      <w:color w:val="000000"/>
                      <w:sz w:val="22"/>
                      <w:szCs w:val="22"/>
                    </w:rPr>
                  </w:pPr>
                  <w:r>
                    <w:rPr>
                      <w:rFonts w:ascii="Calibri" w:hAnsi="Calibri"/>
                      <w:color w:val="000000"/>
                      <w:sz w:val="22"/>
                      <w:szCs w:val="22"/>
                    </w:rPr>
                    <w:t> </w:t>
                  </w:r>
                </w:p>
              </w:tc>
              <w:tc>
                <w:tcPr>
                  <w:tcW w:w="1339" w:type="dxa"/>
                  <w:tcBorders>
                    <w:top w:val="nil"/>
                    <w:left w:val="nil"/>
                    <w:bottom w:val="single" w:sz="4" w:space="0" w:color="auto"/>
                    <w:right w:val="single" w:sz="4" w:space="0" w:color="auto"/>
                  </w:tcBorders>
                  <w:shd w:val="clear" w:color="auto" w:fill="auto"/>
                  <w:noWrap/>
                  <w:vAlign w:val="bottom"/>
                  <w:hideMark/>
                </w:tcPr>
                <w:p w14:paraId="76376535" w14:textId="77777777" w:rsidR="00C94B5A" w:rsidRDefault="00C94B5A" w:rsidP="00C94B5A">
                  <w:pPr>
                    <w:rPr>
                      <w:rFonts w:ascii="Calibri" w:hAnsi="Calibri"/>
                      <w:color w:val="000000"/>
                      <w:sz w:val="22"/>
                      <w:szCs w:val="22"/>
                    </w:rPr>
                  </w:pPr>
                  <w:r>
                    <w:rPr>
                      <w:rFonts w:ascii="Calibri" w:hAnsi="Calibri"/>
                      <w:color w:val="000000"/>
                      <w:sz w:val="22"/>
                      <w:szCs w:val="22"/>
                    </w:rPr>
                    <w:t> </w:t>
                  </w:r>
                </w:p>
              </w:tc>
            </w:tr>
            <w:tr w:rsidR="00C94B5A" w14:paraId="16883DED" w14:textId="77777777" w:rsidTr="00C94B5A">
              <w:trPr>
                <w:gridAfter w:val="2"/>
                <w:wAfter w:w="1800" w:type="dxa"/>
                <w:trHeight w:val="300"/>
              </w:trPr>
              <w:tc>
                <w:tcPr>
                  <w:tcW w:w="670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F3BD814" w14:textId="77777777" w:rsidR="00C94B5A" w:rsidRPr="000B0266" w:rsidRDefault="00C94B5A" w:rsidP="00C94B5A">
                  <w:pPr>
                    <w:rPr>
                      <w:rFonts w:ascii="Calibri" w:hAnsi="Calibri"/>
                      <w:color w:val="000000"/>
                      <w:sz w:val="22"/>
                      <w:szCs w:val="22"/>
                    </w:rPr>
                  </w:pPr>
                  <w:r w:rsidRPr="000B0266">
                    <w:rPr>
                      <w:rFonts w:ascii="Calibri" w:hAnsi="Calibri"/>
                      <w:color w:val="000000"/>
                      <w:sz w:val="22"/>
                      <w:szCs w:val="22"/>
                    </w:rPr>
                    <w:t>Gang Prevention</w:t>
                  </w:r>
                  <w:r w:rsidR="00C4343D">
                    <w:rPr>
                      <w:rFonts w:ascii="Calibri" w:hAnsi="Calibri"/>
                      <w:color w:val="FF0000"/>
                    </w:rPr>
                    <w:t>– The figure in the first column will be comprised of any referrals accepted and/or served during the quarter that were referred for service due to concerns around</w:t>
                  </w:r>
                  <w:r w:rsidR="00052863">
                    <w:rPr>
                      <w:rFonts w:ascii="Calibri" w:hAnsi="Calibri"/>
                      <w:color w:val="FF0000"/>
                    </w:rPr>
                    <w:t xml:space="preserve"> gang involvement or prevention</w:t>
                  </w:r>
                  <w:r w:rsidR="00C4343D">
                    <w:rPr>
                      <w:rFonts w:ascii="Calibri" w:hAnsi="Calibri"/>
                      <w:color w:val="FF0000"/>
                    </w:rPr>
                    <w:t>.  The second column will reflect cases you accepted and/or served during the quarter in which your organization identifie</w:t>
                  </w:r>
                  <w:r w:rsidR="00052863">
                    <w:rPr>
                      <w:rFonts w:ascii="Calibri" w:hAnsi="Calibri"/>
                      <w:color w:val="FF0000"/>
                    </w:rPr>
                    <w:t>d gang involvement</w:t>
                  </w:r>
                  <w:r w:rsidR="00C4343D">
                    <w:rPr>
                      <w:rFonts w:ascii="Calibri" w:hAnsi="Calibri"/>
                      <w:color w:val="FF0000"/>
                    </w:rPr>
                    <w:t xml:space="preserve"> as a concern based on your own assessment. These will occasionally have cases counted more than one time per issue.</w:t>
                  </w:r>
                </w:p>
              </w:tc>
              <w:tc>
                <w:tcPr>
                  <w:tcW w:w="990" w:type="dxa"/>
                  <w:tcBorders>
                    <w:top w:val="nil"/>
                    <w:left w:val="nil"/>
                    <w:bottom w:val="single" w:sz="4" w:space="0" w:color="auto"/>
                    <w:right w:val="single" w:sz="4" w:space="0" w:color="auto"/>
                  </w:tcBorders>
                  <w:shd w:val="clear" w:color="auto" w:fill="auto"/>
                  <w:noWrap/>
                  <w:vAlign w:val="bottom"/>
                </w:tcPr>
                <w:p w14:paraId="55DD3CA6" w14:textId="77777777" w:rsidR="00C94B5A" w:rsidRDefault="00C94B5A" w:rsidP="00C94B5A">
                  <w:pPr>
                    <w:rPr>
                      <w:rFonts w:ascii="Calibri" w:hAnsi="Calibri"/>
                      <w:color w:val="000000"/>
                      <w:sz w:val="22"/>
                      <w:szCs w:val="22"/>
                    </w:rPr>
                  </w:pPr>
                </w:p>
              </w:tc>
              <w:tc>
                <w:tcPr>
                  <w:tcW w:w="1339" w:type="dxa"/>
                  <w:tcBorders>
                    <w:top w:val="nil"/>
                    <w:left w:val="nil"/>
                    <w:bottom w:val="single" w:sz="4" w:space="0" w:color="auto"/>
                    <w:right w:val="single" w:sz="4" w:space="0" w:color="auto"/>
                  </w:tcBorders>
                  <w:shd w:val="clear" w:color="auto" w:fill="auto"/>
                  <w:noWrap/>
                  <w:vAlign w:val="bottom"/>
                </w:tcPr>
                <w:p w14:paraId="236C8DCA" w14:textId="77777777" w:rsidR="00C94B5A" w:rsidRDefault="00C94B5A" w:rsidP="00C94B5A">
                  <w:pPr>
                    <w:rPr>
                      <w:rFonts w:ascii="Calibri" w:hAnsi="Calibri"/>
                      <w:color w:val="000000"/>
                      <w:sz w:val="22"/>
                      <w:szCs w:val="22"/>
                    </w:rPr>
                  </w:pPr>
                </w:p>
              </w:tc>
            </w:tr>
          </w:tbl>
          <w:p w14:paraId="03BC61C7" w14:textId="77777777" w:rsidR="00FE0DC4" w:rsidRPr="00077ECD" w:rsidRDefault="00FE0DC4" w:rsidP="000546D4">
            <w:pPr>
              <w:rPr>
                <w:rFonts w:ascii="Calibri" w:hAnsi="Calibri"/>
                <w:sz w:val="22"/>
                <w:szCs w:val="20"/>
              </w:rPr>
            </w:pPr>
          </w:p>
          <w:p w14:paraId="6CFFB701" w14:textId="77777777" w:rsidR="00FE0DC4" w:rsidRPr="00077ECD" w:rsidRDefault="00FE0DC4" w:rsidP="000546D4">
            <w:pPr>
              <w:rPr>
                <w:rFonts w:ascii="Calibri" w:hAnsi="Calibri"/>
                <w:sz w:val="22"/>
                <w:szCs w:val="20"/>
              </w:rPr>
            </w:pPr>
          </w:p>
          <w:p w14:paraId="291C858B" w14:textId="77777777" w:rsidR="00FE0DC4" w:rsidRPr="00077ECD" w:rsidRDefault="00FE0DC4" w:rsidP="000546D4">
            <w:pPr>
              <w:rPr>
                <w:rFonts w:ascii="Calibri" w:hAnsi="Calibri"/>
                <w:sz w:val="22"/>
                <w:szCs w:val="20"/>
              </w:rPr>
            </w:pPr>
          </w:p>
          <w:p w14:paraId="463BF9CA" w14:textId="77777777" w:rsidR="00FE0DC4" w:rsidRPr="00C26BB4" w:rsidRDefault="00FE0DC4" w:rsidP="000546D4">
            <w:pPr>
              <w:rPr>
                <w:rFonts w:ascii="Arial" w:hAnsi="Arial" w:cs="Arial"/>
                <w:sz w:val="18"/>
                <w:szCs w:val="18"/>
              </w:rPr>
            </w:pPr>
          </w:p>
        </w:tc>
      </w:tr>
    </w:tbl>
    <w:p w14:paraId="1541E97E" w14:textId="77777777" w:rsidR="00965606" w:rsidRDefault="00965606"/>
    <w:sectPr w:rsidR="0096560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3BD4A" w14:textId="77777777" w:rsidR="00A06096" w:rsidRDefault="00A06096" w:rsidP="00A06096">
      <w:r>
        <w:separator/>
      </w:r>
    </w:p>
  </w:endnote>
  <w:endnote w:type="continuationSeparator" w:id="0">
    <w:p w14:paraId="36EB57EB" w14:textId="77777777" w:rsidR="00A06096" w:rsidRDefault="00A06096" w:rsidP="00A06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AC33D" w14:textId="77777777" w:rsidR="00A06096" w:rsidRPr="006160A5" w:rsidRDefault="00A06096" w:rsidP="00A06096">
    <w:pPr>
      <w:widowControl w:val="0"/>
      <w:tabs>
        <w:tab w:val="left" w:pos="-720"/>
      </w:tabs>
      <w:suppressAutoHyphens/>
      <w:ind w:left="450"/>
      <w:rPr>
        <w:rFonts w:asciiTheme="minorHAnsi" w:hAnsiTheme="minorHAnsi"/>
        <w:snapToGrid w:val="0"/>
        <w:sz w:val="20"/>
        <w:szCs w:val="20"/>
      </w:rPr>
    </w:pPr>
    <w:r w:rsidRPr="006160A5">
      <w:rPr>
        <w:rFonts w:asciiTheme="minorHAnsi" w:hAnsiTheme="minorHAnsi"/>
        <w:snapToGrid w:val="0"/>
        <w:sz w:val="20"/>
        <w:szCs w:val="20"/>
      </w:rPr>
      <w:t>THE PAPERWORK REDUCTION ACT OF 1995 (Pub. L. 104-13)</w:t>
    </w:r>
  </w:p>
  <w:p w14:paraId="7F50B4ED" w14:textId="77777777" w:rsidR="00A06096" w:rsidRPr="006160A5" w:rsidRDefault="00A06096" w:rsidP="00A06096">
    <w:pPr>
      <w:widowControl w:val="0"/>
      <w:tabs>
        <w:tab w:val="left" w:pos="-720"/>
      </w:tabs>
      <w:suppressAutoHyphens/>
      <w:rPr>
        <w:rFonts w:asciiTheme="minorHAnsi" w:hAnsiTheme="minorHAnsi"/>
        <w:snapToGrid w:val="0"/>
        <w:sz w:val="20"/>
        <w:szCs w:val="20"/>
      </w:rPr>
    </w:pPr>
  </w:p>
  <w:p w14:paraId="5639EA06" w14:textId="46B9336D" w:rsidR="00A06096" w:rsidRPr="006160A5" w:rsidRDefault="00A06096" w:rsidP="00A06096">
    <w:pPr>
      <w:widowControl w:val="0"/>
      <w:tabs>
        <w:tab w:val="left" w:pos="-720"/>
      </w:tabs>
      <w:suppressAutoHyphens/>
      <w:ind w:left="450"/>
      <w:rPr>
        <w:rFonts w:asciiTheme="minorHAnsi" w:hAnsiTheme="minorHAnsi"/>
        <w:snapToGrid w:val="0"/>
        <w:sz w:val="20"/>
        <w:szCs w:val="20"/>
      </w:rPr>
    </w:pPr>
    <w:r w:rsidRPr="006160A5">
      <w:rPr>
        <w:rFonts w:asciiTheme="minorHAnsi" w:hAnsiTheme="minorHAnsi"/>
        <w:snapToGrid w:val="0"/>
        <w:sz w:val="20"/>
        <w:szCs w:val="20"/>
      </w:rPr>
      <w:t>Public reporting burden for this collection of inform</w:t>
    </w:r>
    <w:r w:rsidR="005A7AC8" w:rsidRPr="006160A5">
      <w:rPr>
        <w:rFonts w:asciiTheme="minorHAnsi" w:hAnsiTheme="minorHAnsi"/>
        <w:snapToGrid w:val="0"/>
        <w:sz w:val="20"/>
        <w:szCs w:val="20"/>
      </w:rPr>
      <w:t>ation is estimated to average ten (10)</w:t>
    </w:r>
    <w:r w:rsidRPr="006160A5">
      <w:rPr>
        <w:rFonts w:asciiTheme="minorHAnsi" w:hAnsiTheme="minorHAnsi"/>
        <w:snapToGrid w:val="0"/>
        <w:sz w:val="20"/>
        <w:szCs w:val="20"/>
      </w:rPr>
      <w:t xml:space="preserve"> hours per response, including the time for reviewing instructions, gathering and maintaining the data needed, and reviewing the collection of information.</w:t>
    </w:r>
    <w:r w:rsidR="006160A5" w:rsidRPr="006160A5">
      <w:rPr>
        <w:rFonts w:asciiTheme="minorHAnsi" w:hAnsiTheme="minorHAnsi"/>
        <w:sz w:val="20"/>
        <w:szCs w:val="20"/>
      </w:rPr>
      <w:t xml:space="preserve"> The valid OMB control number for this information collection is 0970-</w:t>
    </w:r>
    <w:r w:rsidR="006A03D5" w:rsidRPr="006160A5">
      <w:rPr>
        <w:rFonts w:asciiTheme="minorHAnsi" w:hAnsiTheme="minorHAnsi"/>
        <w:sz w:val="20"/>
        <w:szCs w:val="20"/>
      </w:rPr>
      <w:t>0</w:t>
    </w:r>
    <w:r w:rsidR="006A03D5">
      <w:rPr>
        <w:rFonts w:asciiTheme="minorHAnsi" w:hAnsiTheme="minorHAnsi"/>
        <w:sz w:val="20"/>
        <w:szCs w:val="20"/>
      </w:rPr>
      <w:t>490</w:t>
    </w:r>
    <w:r w:rsidR="006160A5" w:rsidRPr="006160A5">
      <w:rPr>
        <w:rFonts w:asciiTheme="minorHAnsi" w:hAnsiTheme="minorHAnsi"/>
        <w:sz w:val="20"/>
        <w:szCs w:val="20"/>
      </w:rPr>
      <w:t>.</w:t>
    </w:r>
  </w:p>
  <w:p w14:paraId="06D3C0D3" w14:textId="77777777" w:rsidR="00A06096" w:rsidRPr="006160A5" w:rsidRDefault="00A06096" w:rsidP="00A06096">
    <w:pPr>
      <w:widowControl w:val="0"/>
      <w:tabs>
        <w:tab w:val="left" w:pos="-720"/>
      </w:tabs>
      <w:suppressAutoHyphens/>
      <w:ind w:left="450"/>
      <w:rPr>
        <w:rFonts w:asciiTheme="minorHAnsi" w:hAnsiTheme="minorHAnsi"/>
        <w:snapToGrid w:val="0"/>
        <w:sz w:val="20"/>
        <w:szCs w:val="20"/>
      </w:rPr>
    </w:pPr>
  </w:p>
  <w:p w14:paraId="04990D90" w14:textId="77777777" w:rsidR="00A06096" w:rsidRPr="006160A5" w:rsidRDefault="00A06096" w:rsidP="00A06096">
    <w:pPr>
      <w:widowControl w:val="0"/>
      <w:tabs>
        <w:tab w:val="left" w:pos="-720"/>
      </w:tabs>
      <w:suppressAutoHyphens/>
      <w:ind w:left="450"/>
      <w:rPr>
        <w:rFonts w:asciiTheme="minorHAnsi" w:hAnsiTheme="minorHAnsi"/>
        <w:snapToGrid w:val="0"/>
        <w:sz w:val="20"/>
        <w:szCs w:val="20"/>
      </w:rPr>
    </w:pPr>
    <w:r w:rsidRPr="006160A5">
      <w:rPr>
        <w:rFonts w:asciiTheme="minorHAnsi" w:hAnsiTheme="minorHAnsi"/>
        <w:snapToGrid w:val="0"/>
        <w:sz w:val="20"/>
        <w:szCs w:val="20"/>
      </w:rPr>
      <w:t>An agency may not conduct or sponsor, and a person is not required to respond to, a collection of information unless it displays a currently valid OMB control number.</w:t>
    </w:r>
  </w:p>
  <w:sdt>
    <w:sdtPr>
      <w:rPr>
        <w:rFonts w:asciiTheme="minorHAnsi" w:hAnsiTheme="minorHAnsi"/>
        <w:sz w:val="22"/>
        <w:szCs w:val="22"/>
      </w:rPr>
      <w:id w:val="282775238"/>
      <w:docPartObj>
        <w:docPartGallery w:val="Page Numbers (Bottom of Page)"/>
        <w:docPartUnique/>
      </w:docPartObj>
    </w:sdtPr>
    <w:sdtEndPr>
      <w:rPr>
        <w:noProof/>
        <w:sz w:val="20"/>
        <w:szCs w:val="20"/>
      </w:rPr>
    </w:sdtEndPr>
    <w:sdtContent>
      <w:p w14:paraId="7EA9F58C" w14:textId="21A0CA2D" w:rsidR="00A06096" w:rsidRPr="006160A5" w:rsidRDefault="00A06096">
        <w:pPr>
          <w:pStyle w:val="Footer"/>
          <w:jc w:val="right"/>
          <w:rPr>
            <w:rFonts w:asciiTheme="minorHAnsi" w:hAnsiTheme="minorHAnsi"/>
            <w:sz w:val="20"/>
            <w:szCs w:val="20"/>
          </w:rPr>
        </w:pPr>
        <w:r w:rsidRPr="006160A5">
          <w:rPr>
            <w:rFonts w:asciiTheme="minorHAnsi" w:hAnsiTheme="minorHAnsi"/>
            <w:sz w:val="20"/>
            <w:szCs w:val="20"/>
          </w:rPr>
          <w:fldChar w:fldCharType="begin"/>
        </w:r>
        <w:r w:rsidRPr="006160A5">
          <w:rPr>
            <w:rFonts w:asciiTheme="minorHAnsi" w:hAnsiTheme="minorHAnsi"/>
            <w:sz w:val="20"/>
            <w:szCs w:val="20"/>
          </w:rPr>
          <w:instrText xml:space="preserve"> PAGE   \* MERGEFORMAT </w:instrText>
        </w:r>
        <w:r w:rsidRPr="006160A5">
          <w:rPr>
            <w:rFonts w:asciiTheme="minorHAnsi" w:hAnsiTheme="minorHAnsi"/>
            <w:sz w:val="20"/>
            <w:szCs w:val="20"/>
          </w:rPr>
          <w:fldChar w:fldCharType="separate"/>
        </w:r>
        <w:r w:rsidR="00131C1B">
          <w:rPr>
            <w:rFonts w:asciiTheme="minorHAnsi" w:hAnsiTheme="minorHAnsi"/>
            <w:noProof/>
            <w:sz w:val="20"/>
            <w:szCs w:val="20"/>
          </w:rPr>
          <w:t>1</w:t>
        </w:r>
        <w:r w:rsidRPr="006160A5">
          <w:rPr>
            <w:rFonts w:asciiTheme="minorHAnsi" w:hAnsiTheme="minorHAnsi"/>
            <w:noProof/>
            <w:sz w:val="20"/>
            <w:szCs w:val="20"/>
          </w:rPr>
          <w:fldChar w:fldCharType="end"/>
        </w:r>
      </w:p>
    </w:sdtContent>
  </w:sdt>
  <w:p w14:paraId="593DEA74" w14:textId="77777777" w:rsidR="00A06096" w:rsidRDefault="00A060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1253E" w14:textId="77777777" w:rsidR="00A06096" w:rsidRDefault="00A06096" w:rsidP="00A06096">
      <w:r>
        <w:separator/>
      </w:r>
    </w:p>
  </w:footnote>
  <w:footnote w:type="continuationSeparator" w:id="0">
    <w:p w14:paraId="58A40067" w14:textId="77777777" w:rsidR="00A06096" w:rsidRDefault="00A06096" w:rsidP="00A06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1A3F32F" w14:textId="77777777" w:rsidR="006A03D5" w:rsidRPr="006160A5" w:rsidRDefault="006A03D5" w:rsidP="006A03D5">
        <w:pPr>
          <w:pStyle w:val="Header"/>
          <w:tabs>
            <w:tab w:val="clear" w:pos="4680"/>
            <w:tab w:val="clear" w:pos="9360"/>
          </w:tabs>
          <w:jc w:val="center"/>
          <w:rPr>
            <w:rFonts w:asciiTheme="minorHAnsi" w:hAnsiTheme="minorHAnsi"/>
          </w:rPr>
        </w:pPr>
        <w:r>
          <w:rPr>
            <w:rFonts w:asciiTheme="minorHAnsi" w:hAnsiTheme="minorHAnsi"/>
          </w:rPr>
          <w:t>Instructions for Completing the Office of Refugee and Resettlement (ORR)/Department of Unaccompanied Children Operations (DUCO); Home Study (HS) and Post Release (PRS) Grantee Data Collection (Appendix B, Section B-01 – Program Indicators, Major Activities and accomplishments)</w:t>
        </w:r>
      </w:p>
    </w:sdtContent>
  </w:sdt>
  <w:p w14:paraId="620CAC8C" w14:textId="77777777" w:rsidR="006A03D5" w:rsidRDefault="006A03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C4"/>
    <w:rsid w:val="00052863"/>
    <w:rsid w:val="00060291"/>
    <w:rsid w:val="000A48BA"/>
    <w:rsid w:val="00100B41"/>
    <w:rsid w:val="00131C1B"/>
    <w:rsid w:val="001B6180"/>
    <w:rsid w:val="00220D34"/>
    <w:rsid w:val="00462E69"/>
    <w:rsid w:val="00496AD4"/>
    <w:rsid w:val="00592A28"/>
    <w:rsid w:val="005A7AC8"/>
    <w:rsid w:val="006160A5"/>
    <w:rsid w:val="006A03D5"/>
    <w:rsid w:val="00773A68"/>
    <w:rsid w:val="008373B1"/>
    <w:rsid w:val="00965606"/>
    <w:rsid w:val="00976B4F"/>
    <w:rsid w:val="009C3B9B"/>
    <w:rsid w:val="00A06096"/>
    <w:rsid w:val="00B0263B"/>
    <w:rsid w:val="00C4343D"/>
    <w:rsid w:val="00C65615"/>
    <w:rsid w:val="00C91664"/>
    <w:rsid w:val="00C94B5A"/>
    <w:rsid w:val="00EA3DFB"/>
    <w:rsid w:val="00FE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92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096"/>
    <w:pPr>
      <w:tabs>
        <w:tab w:val="center" w:pos="4680"/>
        <w:tab w:val="right" w:pos="9360"/>
      </w:tabs>
    </w:pPr>
  </w:style>
  <w:style w:type="character" w:customStyle="1" w:styleId="HeaderChar">
    <w:name w:val="Header Char"/>
    <w:basedOn w:val="DefaultParagraphFont"/>
    <w:link w:val="Header"/>
    <w:uiPriority w:val="99"/>
    <w:rsid w:val="00A060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6096"/>
    <w:pPr>
      <w:tabs>
        <w:tab w:val="center" w:pos="4680"/>
        <w:tab w:val="right" w:pos="9360"/>
      </w:tabs>
    </w:pPr>
  </w:style>
  <w:style w:type="character" w:customStyle="1" w:styleId="FooterChar">
    <w:name w:val="Footer Char"/>
    <w:basedOn w:val="DefaultParagraphFont"/>
    <w:link w:val="Footer"/>
    <w:uiPriority w:val="99"/>
    <w:rsid w:val="00A0609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C3B9B"/>
    <w:rPr>
      <w:sz w:val="16"/>
      <w:szCs w:val="16"/>
    </w:rPr>
  </w:style>
  <w:style w:type="paragraph" w:styleId="CommentText">
    <w:name w:val="annotation text"/>
    <w:basedOn w:val="Normal"/>
    <w:link w:val="CommentTextChar"/>
    <w:uiPriority w:val="99"/>
    <w:semiHidden/>
    <w:unhideWhenUsed/>
    <w:rsid w:val="009C3B9B"/>
    <w:rPr>
      <w:sz w:val="20"/>
      <w:szCs w:val="20"/>
    </w:rPr>
  </w:style>
  <w:style w:type="character" w:customStyle="1" w:styleId="CommentTextChar">
    <w:name w:val="Comment Text Char"/>
    <w:basedOn w:val="DefaultParagraphFont"/>
    <w:link w:val="CommentText"/>
    <w:uiPriority w:val="99"/>
    <w:semiHidden/>
    <w:rsid w:val="009C3B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3B9B"/>
    <w:rPr>
      <w:b/>
      <w:bCs/>
    </w:rPr>
  </w:style>
  <w:style w:type="character" w:customStyle="1" w:styleId="CommentSubjectChar">
    <w:name w:val="Comment Subject Char"/>
    <w:basedOn w:val="CommentTextChar"/>
    <w:link w:val="CommentSubject"/>
    <w:uiPriority w:val="99"/>
    <w:semiHidden/>
    <w:rsid w:val="009C3B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C3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9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096"/>
    <w:pPr>
      <w:tabs>
        <w:tab w:val="center" w:pos="4680"/>
        <w:tab w:val="right" w:pos="9360"/>
      </w:tabs>
    </w:pPr>
  </w:style>
  <w:style w:type="character" w:customStyle="1" w:styleId="HeaderChar">
    <w:name w:val="Header Char"/>
    <w:basedOn w:val="DefaultParagraphFont"/>
    <w:link w:val="Header"/>
    <w:uiPriority w:val="99"/>
    <w:rsid w:val="00A060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6096"/>
    <w:pPr>
      <w:tabs>
        <w:tab w:val="center" w:pos="4680"/>
        <w:tab w:val="right" w:pos="9360"/>
      </w:tabs>
    </w:pPr>
  </w:style>
  <w:style w:type="character" w:customStyle="1" w:styleId="FooterChar">
    <w:name w:val="Footer Char"/>
    <w:basedOn w:val="DefaultParagraphFont"/>
    <w:link w:val="Footer"/>
    <w:uiPriority w:val="99"/>
    <w:rsid w:val="00A0609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C3B9B"/>
    <w:rPr>
      <w:sz w:val="16"/>
      <w:szCs w:val="16"/>
    </w:rPr>
  </w:style>
  <w:style w:type="paragraph" w:styleId="CommentText">
    <w:name w:val="annotation text"/>
    <w:basedOn w:val="Normal"/>
    <w:link w:val="CommentTextChar"/>
    <w:uiPriority w:val="99"/>
    <w:semiHidden/>
    <w:unhideWhenUsed/>
    <w:rsid w:val="009C3B9B"/>
    <w:rPr>
      <w:sz w:val="20"/>
      <w:szCs w:val="20"/>
    </w:rPr>
  </w:style>
  <w:style w:type="character" w:customStyle="1" w:styleId="CommentTextChar">
    <w:name w:val="Comment Text Char"/>
    <w:basedOn w:val="DefaultParagraphFont"/>
    <w:link w:val="CommentText"/>
    <w:uiPriority w:val="99"/>
    <w:semiHidden/>
    <w:rsid w:val="009C3B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3B9B"/>
    <w:rPr>
      <w:b/>
      <w:bCs/>
    </w:rPr>
  </w:style>
  <w:style w:type="character" w:customStyle="1" w:styleId="CommentSubjectChar">
    <w:name w:val="Comment Subject Char"/>
    <w:basedOn w:val="CommentTextChar"/>
    <w:link w:val="CommentSubject"/>
    <w:uiPriority w:val="99"/>
    <w:semiHidden/>
    <w:rsid w:val="009C3B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C3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728068">
      <w:bodyDiv w:val="1"/>
      <w:marLeft w:val="0"/>
      <w:marRight w:val="0"/>
      <w:marTop w:val="0"/>
      <w:marBottom w:val="0"/>
      <w:divBdr>
        <w:top w:val="none" w:sz="0" w:space="0" w:color="auto"/>
        <w:left w:val="none" w:sz="0" w:space="0" w:color="auto"/>
        <w:bottom w:val="none" w:sz="0" w:space="0" w:color="auto"/>
        <w:right w:val="none" w:sz="0" w:space="0" w:color="auto"/>
      </w:divBdr>
    </w:div>
    <w:div w:id="127887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61D6A-9161-4CB3-8141-FF72B4E55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2467</Words>
  <Characters>14065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Instructions for Completing the Office of Refugee and Resettlement (ORR)/Department of Unaccompanied Children Operations (DUCO); Home Study (HS) and Post Release (PRS) Grantee Data Collection (Appendix B, Section B-01 – Program Indicators, Major Activitie</vt:lpstr>
    </vt:vector>
  </TitlesOfParts>
  <Company/>
  <LinksUpToDate>false</LinksUpToDate>
  <CharactersWithSpaces>16500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Office of Refugee and Resettlement (ORR)/Department of Unaccompanied Children Operations (DUCO); Home Study (HS) and Post Release (PRS) Grantee Data Collection (Appendix B, Section B-01 – Program Indicators, Major Activities and accomplishments)</dc:title>
  <dc:subject/>
  <dc:creator>Houppert, Gail (ACF)</dc:creator>
  <cp:keywords/>
  <dc:description/>
  <cp:lastModifiedBy>SYSTEM</cp:lastModifiedBy>
  <cp:revision>2</cp:revision>
  <dcterms:created xsi:type="dcterms:W3CDTF">2019-12-09T16:14:00Z</dcterms:created>
  <dcterms:modified xsi:type="dcterms:W3CDTF">2019-12-09T16:14:00Z</dcterms:modified>
</cp:coreProperties>
</file>