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8D1384" w:rsidRDefault="00A42C71" w14:paraId="37F07D13" w14:textId="77777777">
      <w:pPr>
        <w:pStyle w:val="ReportCover-Title"/>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F62A0C" w:rsidRDefault="00E9740B" w14:paraId="4A7DBF2F" w14:textId="113ABDAA">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 xml:space="preserve">Study on the </w:t>
      </w:r>
      <w:r w:rsidRPr="00F62A0C" w:rsidR="00F62A0C">
        <w:rPr>
          <w:rFonts w:eastAsia="Arial Unicode MS" w:asciiTheme="minorHAnsi" w:hAnsiTheme="minorHAnsi" w:cstheme="minorHAnsi"/>
          <w:noProof/>
          <w:color w:val="auto"/>
        </w:rPr>
        <w:t xml:space="preserve">Conversion of Enrollment Slots from Head Start to Early Head Start </w:t>
      </w:r>
      <w:r>
        <w:rPr>
          <w:rFonts w:eastAsia="Arial Unicode MS" w:asciiTheme="minorHAnsi" w:hAnsiTheme="minorHAnsi" w:cstheme="minorHAnsi"/>
          <w:noProof/>
          <w:color w:val="auto"/>
        </w:rPr>
        <w:t>(HS2EHS Study)</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6F92A4EF">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F62A0C">
        <w:rPr>
          <w:rFonts w:asciiTheme="minorHAnsi" w:hAnsiTheme="minorHAnsi" w:cstheme="minorHAnsi"/>
          <w:color w:val="auto"/>
          <w:sz w:val="32"/>
          <w:szCs w:val="32"/>
        </w:rPr>
        <w:t>–</w:t>
      </w:r>
      <w:r w:rsidRPr="001A59B6">
        <w:rPr>
          <w:rFonts w:asciiTheme="minorHAnsi" w:hAnsiTheme="minorHAnsi" w:cstheme="minorHAnsi"/>
          <w:color w:val="auto"/>
          <w:sz w:val="32"/>
          <w:szCs w:val="32"/>
        </w:rPr>
        <w:t xml:space="preserve"> </w:t>
      </w:r>
      <w:r w:rsidR="00F62A0C">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075943" w14:paraId="10D3ADE5" w14:textId="2A2DB891">
      <w:pPr>
        <w:pStyle w:val="ReportCover-Date"/>
        <w:spacing w:after="0"/>
        <w:jc w:val="center"/>
        <w:rPr>
          <w:rFonts w:asciiTheme="minorHAnsi" w:hAnsiTheme="minorHAnsi" w:cstheme="minorHAnsi"/>
          <w:color w:val="auto"/>
        </w:rPr>
      </w:pPr>
      <w:r>
        <w:rPr>
          <w:rFonts w:asciiTheme="minorHAnsi" w:hAnsiTheme="minorHAnsi" w:cstheme="minorHAnsi"/>
          <w:color w:val="auto"/>
        </w:rPr>
        <w:t>June</w:t>
      </w:r>
      <w:r w:rsidRPr="001A59B6" w:rsidR="00920893">
        <w:rPr>
          <w:rFonts w:asciiTheme="minorHAnsi" w:hAnsiTheme="minorHAnsi" w:cstheme="minorHAnsi"/>
          <w:color w:val="auto"/>
        </w:rPr>
        <w:t xml:space="preserve"> </w:t>
      </w:r>
      <w:r w:rsidR="00F62A0C">
        <w:rPr>
          <w:rFonts w:asciiTheme="minorHAnsi" w:hAnsiTheme="minorHAnsi" w:cstheme="minorHAnsi"/>
          <w:color w:val="auto"/>
        </w:rPr>
        <w:t>2022</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F62A0C" w:rsidRDefault="00A42C71" w14:paraId="6732C469" w14:textId="77777777">
      <w:pPr>
        <w:pStyle w:val="ReportCover-Date"/>
        <w:spacing w:after="0"/>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3BEA0F8E">
      <w:pPr>
        <w:spacing w:after="0" w:line="240" w:lineRule="auto"/>
        <w:jc w:val="center"/>
        <w:rPr>
          <w:rFonts w:cstheme="minorHAnsi"/>
        </w:rPr>
      </w:pPr>
      <w:r w:rsidRPr="001A59B6">
        <w:rPr>
          <w:rFonts w:cstheme="minorHAnsi"/>
        </w:rPr>
        <w:t>Project Officer:</w:t>
      </w:r>
    </w:p>
    <w:p w:rsidRPr="0024155E" w:rsidR="00F62A0C" w:rsidP="00F62A0C" w:rsidRDefault="00F62A0C" w14:paraId="3EE7967D" w14:textId="77777777">
      <w:pPr>
        <w:spacing w:after="0" w:line="240" w:lineRule="auto"/>
        <w:jc w:val="center"/>
        <w:rPr>
          <w:rFonts w:cstheme="minorHAnsi"/>
        </w:rPr>
      </w:pPr>
      <w:r w:rsidRPr="0024155E">
        <w:rPr>
          <w:rFonts w:cstheme="minorHAnsi"/>
        </w:rPr>
        <w:t>Jenessa Malin</w:t>
      </w:r>
    </w:p>
    <w:p w:rsidR="00F62A0C" w:rsidP="00A42C71" w:rsidRDefault="00F62A0C" w14:paraId="5FD9BAFE" w14:textId="399943C4">
      <w:pPr>
        <w:spacing w:after="0" w:line="240" w:lineRule="auto"/>
        <w:jc w:val="center"/>
        <w:rPr>
          <w:rFonts w:cstheme="minorHAnsi"/>
        </w:rPr>
      </w:pPr>
    </w:p>
    <w:p w:rsidR="001409A8" w:rsidP="00A42C71" w:rsidRDefault="001409A8" w14:paraId="47C9761E" w14:textId="16C5346B">
      <w:pPr>
        <w:spacing w:after="0" w:line="240" w:lineRule="auto"/>
        <w:jc w:val="center"/>
        <w:rPr>
          <w:rFonts w:cstheme="minorHAnsi"/>
        </w:rPr>
      </w:pPr>
    </w:p>
    <w:p w:rsidR="001409A8" w:rsidP="00A42C71" w:rsidRDefault="001409A8" w14:paraId="2678A658" w14:textId="7D923DA8">
      <w:pPr>
        <w:spacing w:after="0" w:line="240" w:lineRule="auto"/>
        <w:jc w:val="center"/>
        <w:rPr>
          <w:rFonts w:cstheme="minorHAnsi"/>
        </w:rPr>
      </w:pPr>
    </w:p>
    <w:p w:rsidRPr="001A59B6" w:rsidR="001409A8" w:rsidP="00A42C71" w:rsidRDefault="001409A8" w14:paraId="6E543F01" w14:textId="77777777">
      <w:pPr>
        <w:spacing w:after="0" w:line="240" w:lineRule="auto"/>
        <w:jc w:val="center"/>
        <w:rPr>
          <w:rFonts w:cstheme="minorHAnsi"/>
        </w:rPr>
      </w:pP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00A42C71" w:rsidP="00A42C71" w:rsidRDefault="00B349A5" w14:paraId="61ECC40C" w14:textId="29271AC2">
      <w:pPr>
        <w:spacing w:after="0" w:line="240" w:lineRule="auto"/>
        <w:rPr>
          <w:rFonts w:cstheme="minorHAnsi"/>
        </w:rPr>
      </w:pPr>
      <w:r>
        <w:rPr>
          <w:rFonts w:cstheme="minorHAnsi"/>
        </w:rPr>
        <w:t xml:space="preserve">The </w:t>
      </w:r>
      <w:r w:rsidR="00E9740B">
        <w:rPr>
          <w:rFonts w:cstheme="minorHAnsi"/>
          <w:i/>
          <w:iCs/>
        </w:rPr>
        <w:t xml:space="preserve">Study on the </w:t>
      </w:r>
      <w:r>
        <w:rPr>
          <w:rFonts w:cstheme="minorHAnsi"/>
          <w:i/>
          <w:iCs/>
        </w:rPr>
        <w:t>Conversion of Enrollment Slots from Head Start to Early Head Start</w:t>
      </w:r>
      <w:r>
        <w:rPr>
          <w:rFonts w:cstheme="minorHAnsi"/>
        </w:rPr>
        <w:t xml:space="preserve"> (HS2EHS</w:t>
      </w:r>
      <w:r w:rsidR="00E9740B">
        <w:rPr>
          <w:rFonts w:cstheme="minorHAnsi"/>
        </w:rPr>
        <w:t xml:space="preserve"> Study)</w:t>
      </w:r>
      <w:r w:rsidR="00EF5588">
        <w:rPr>
          <w:rFonts w:cstheme="minorHAnsi"/>
        </w:rPr>
        <w:t xml:space="preserve"> </w:t>
      </w:r>
      <w:r>
        <w:rPr>
          <w:rFonts w:cstheme="minorHAnsi"/>
        </w:rPr>
        <w:t>has three primary objectives:</w:t>
      </w:r>
    </w:p>
    <w:p w:rsidR="00B349A5" w:rsidP="5C40FA4D" w:rsidRDefault="5C40FA4D" w14:paraId="2DD0E877" w14:textId="4813629D">
      <w:pPr>
        <w:pStyle w:val="ListParagraph"/>
        <w:numPr>
          <w:ilvl w:val="0"/>
          <w:numId w:val="31"/>
        </w:numPr>
        <w:spacing w:after="0" w:line="240" w:lineRule="auto"/>
      </w:pPr>
      <w:r w:rsidRPr="5C40FA4D">
        <w:t>To understand how and why grant recipients convert enrollment slots from Head Start to Early Head Start;</w:t>
      </w:r>
    </w:p>
    <w:p w:rsidR="00B349A5" w:rsidP="28F8C221" w:rsidRDefault="28F8C221" w14:paraId="55047208" w14:textId="46B4EBE2">
      <w:pPr>
        <w:pStyle w:val="ListParagraph"/>
        <w:numPr>
          <w:ilvl w:val="0"/>
          <w:numId w:val="31"/>
        </w:numPr>
        <w:spacing w:after="0" w:line="240" w:lineRule="auto"/>
      </w:pPr>
      <w:r w:rsidRPr="28F8C221">
        <w:t>To gather information about planning for and implementation of high-quality Early Head Start services following conversion</w:t>
      </w:r>
      <w:r w:rsidR="000F28E1">
        <w:t>; and</w:t>
      </w:r>
    </w:p>
    <w:p w:rsidR="00B349A5" w:rsidP="00B349A5" w:rsidRDefault="00970B1A" w14:paraId="79C25426" w14:textId="57C766F5">
      <w:pPr>
        <w:pStyle w:val="ListParagraph"/>
        <w:numPr>
          <w:ilvl w:val="0"/>
          <w:numId w:val="31"/>
        </w:numPr>
        <w:spacing w:after="0" w:line="240" w:lineRule="auto"/>
        <w:rPr>
          <w:rFonts w:cstheme="minorHAnsi"/>
        </w:rPr>
      </w:pPr>
      <w:r>
        <w:rPr>
          <w:rFonts w:cstheme="minorHAnsi"/>
        </w:rPr>
        <w:t>To learn about barriers and facilitators to the provision of high-quality Early Head Start services that meet community needs</w:t>
      </w:r>
      <w:r w:rsidR="000F28E1">
        <w:rPr>
          <w:rFonts w:cstheme="minorHAnsi"/>
        </w:rPr>
        <w:t>.</w:t>
      </w:r>
    </w:p>
    <w:p w:rsidR="00A42C71" w:rsidP="00A42C71" w:rsidRDefault="00A42C71" w14:paraId="5329D960" w14:textId="7537D93C">
      <w:pPr>
        <w:spacing w:after="0" w:line="240" w:lineRule="auto"/>
        <w:rPr>
          <w:rFonts w:cstheme="minorHAnsi"/>
        </w:rPr>
      </w:pPr>
    </w:p>
    <w:p w:rsidRPr="001A59B6" w:rsidR="00970B1A" w:rsidP="00A42C71" w:rsidRDefault="00970B1A" w14:paraId="7A95CBCE" w14:textId="252E36A6">
      <w:pPr>
        <w:spacing w:after="0" w:line="240" w:lineRule="auto"/>
        <w:rPr>
          <w:rFonts w:cstheme="minorHAnsi"/>
        </w:rPr>
      </w:pPr>
      <w:r>
        <w:rPr>
          <w:rFonts w:cstheme="minorHAnsi"/>
        </w:rPr>
        <w:t>To achieve these objectives, we will co</w:t>
      </w:r>
      <w:r w:rsidR="00CE114D">
        <w:rPr>
          <w:rFonts w:cstheme="minorHAnsi"/>
        </w:rPr>
        <w:t xml:space="preserve">nduct </w:t>
      </w:r>
      <w:r w:rsidR="008509F6">
        <w:rPr>
          <w:rFonts w:cstheme="minorHAnsi"/>
        </w:rPr>
        <w:t xml:space="preserve">data collection </w:t>
      </w:r>
      <w:r w:rsidR="00CE114D">
        <w:rPr>
          <w:rFonts w:cstheme="minorHAnsi"/>
        </w:rPr>
        <w:t>with</w:t>
      </w:r>
      <w:r w:rsidR="000F28E1">
        <w:rPr>
          <w:rFonts w:cstheme="minorHAnsi"/>
        </w:rPr>
        <w:t xml:space="preserve"> up to</w:t>
      </w:r>
      <w:r w:rsidR="00CE114D">
        <w:rPr>
          <w:rFonts w:cstheme="minorHAnsi"/>
        </w:rPr>
        <w:t xml:space="preserve"> six </w:t>
      </w:r>
      <w:r w:rsidR="000F28E1">
        <w:rPr>
          <w:rFonts w:cstheme="minorHAnsi"/>
        </w:rPr>
        <w:t xml:space="preserve">case studies. Each case study will focus on a </w:t>
      </w:r>
      <w:r w:rsidR="00CE114D">
        <w:rPr>
          <w:rFonts w:cstheme="minorHAnsi"/>
        </w:rPr>
        <w:t>Head Start grant recipient</w:t>
      </w:r>
      <w:r w:rsidR="000F28E1">
        <w:rPr>
          <w:rFonts w:cstheme="minorHAnsi"/>
        </w:rPr>
        <w:t xml:space="preserve"> that has recently converted enrollment slots from Head Start to Early Head Start</w:t>
      </w:r>
      <w:r w:rsidR="00CE114D">
        <w:rPr>
          <w:rFonts w:cstheme="minorHAnsi"/>
        </w:rPr>
        <w:t>.</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A42C71" w:rsidRDefault="00CE114D" w14:paraId="3B40B647" w14:textId="419C9EE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study is intended to present </w:t>
      </w:r>
      <w:r w:rsidR="006E7BB2">
        <w:rPr>
          <w:rFonts w:eastAsia="Times New Roman" w:cstheme="minorHAnsi"/>
          <w:color w:val="000000"/>
        </w:rPr>
        <w:t xml:space="preserve">an </w:t>
      </w:r>
      <w:r>
        <w:rPr>
          <w:rFonts w:eastAsia="Times New Roman" w:cstheme="minorHAnsi"/>
          <w:color w:val="000000"/>
        </w:rPr>
        <w:t xml:space="preserve">internally-valid description of </w:t>
      </w:r>
      <w:r w:rsidR="00790270">
        <w:rPr>
          <w:rFonts w:eastAsia="Times New Roman" w:cstheme="minorHAnsi"/>
          <w:color w:val="000000"/>
        </w:rPr>
        <w:t xml:space="preserve">up to six </w:t>
      </w:r>
      <w:r w:rsidR="000F28E1">
        <w:rPr>
          <w:rFonts w:eastAsia="Times New Roman" w:cstheme="minorHAnsi"/>
          <w:color w:val="000000"/>
        </w:rPr>
        <w:t xml:space="preserve">Head Start </w:t>
      </w:r>
      <w:r>
        <w:rPr>
          <w:rFonts w:eastAsia="Times New Roman" w:cstheme="minorHAnsi"/>
          <w:color w:val="000000"/>
        </w:rPr>
        <w:t xml:space="preserve">grant recipients </w:t>
      </w:r>
      <w:r w:rsidR="006E7BB2">
        <w:rPr>
          <w:rFonts w:eastAsia="Times New Roman" w:cstheme="minorHAnsi"/>
          <w:color w:val="000000"/>
        </w:rPr>
        <w:t xml:space="preserve">that </w:t>
      </w:r>
      <w:r>
        <w:rPr>
          <w:rFonts w:eastAsia="Times New Roman" w:cstheme="minorHAnsi"/>
          <w:color w:val="000000"/>
        </w:rPr>
        <w:t>have converted enrollment slots to Early Head Start</w:t>
      </w:r>
      <w:r w:rsidR="006E7BB2">
        <w:rPr>
          <w:rFonts w:eastAsia="Times New Roman" w:cstheme="minorHAnsi"/>
          <w:color w:val="000000"/>
        </w:rPr>
        <w:t>. It is</w:t>
      </w:r>
      <w:r>
        <w:rPr>
          <w:rFonts w:eastAsia="Times New Roman" w:cstheme="minorHAnsi"/>
          <w:color w:val="000000"/>
        </w:rPr>
        <w:t xml:space="preserve"> not</w:t>
      </w:r>
      <w:r w:rsidR="006E7BB2">
        <w:rPr>
          <w:rFonts w:eastAsia="Times New Roman" w:cstheme="minorHAnsi"/>
          <w:color w:val="000000"/>
        </w:rPr>
        <w:t xml:space="preserve"> designed</w:t>
      </w:r>
      <w:r>
        <w:rPr>
          <w:rFonts w:eastAsia="Times New Roman" w:cstheme="minorHAnsi"/>
          <w:color w:val="000000"/>
        </w:rPr>
        <w:t xml:space="preserve"> to </w:t>
      </w:r>
      <w:r w:rsidR="006E7BB2">
        <w:rPr>
          <w:rFonts w:eastAsia="Times New Roman" w:cstheme="minorHAnsi"/>
          <w:color w:val="000000"/>
        </w:rPr>
        <w:t xml:space="preserve">yield </w:t>
      </w:r>
      <w:r>
        <w:rPr>
          <w:rFonts w:eastAsia="Times New Roman" w:cstheme="minorHAnsi"/>
          <w:color w:val="000000"/>
        </w:rPr>
        <w:t xml:space="preserve">statistical generalization to other </w:t>
      </w:r>
      <w:r w:rsidR="00CC565B">
        <w:rPr>
          <w:rFonts w:eastAsia="Times New Roman" w:cstheme="minorHAnsi"/>
          <w:color w:val="000000"/>
        </w:rPr>
        <w:t xml:space="preserve">grant recipients or </w:t>
      </w:r>
      <w:r>
        <w:rPr>
          <w:rFonts w:eastAsia="Times New Roman" w:cstheme="minorHAnsi"/>
          <w:color w:val="000000"/>
        </w:rPr>
        <w:t>populations.</w:t>
      </w:r>
      <w:r w:rsidRPr="002E60B5" w:rsidR="002E60B5">
        <w:t xml:space="preserve"> </w:t>
      </w:r>
      <w:r w:rsidR="002E60B5">
        <w:t>The study is intended to provide information to the Office of Head Start, ACF-funded training and technical assistance (T/TA) providers, and Head Start grant recipients about the conversion process as well as about facilitators and barriers to successfully convert enrollment slots and to provide high-quality Early Head Start services to infants, toddlers, and pregnant women.</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207AFF" w:rsidR="00CE114D" w:rsidP="7647AC75" w:rsidRDefault="7647AC75" w14:paraId="230001E7" w14:textId="015171FD">
      <w:pPr>
        <w:pStyle w:val="NormalWeb"/>
        <w:spacing w:before="0" w:beforeAutospacing="0" w:after="0" w:afterAutospacing="0"/>
        <w:rPr>
          <w:rFonts w:asciiTheme="minorHAnsi" w:hAnsiTheme="minorHAnsi" w:cstheme="minorHAnsi"/>
          <w:sz w:val="22"/>
          <w:szCs w:val="22"/>
        </w:rPr>
      </w:pPr>
      <w:r w:rsidRPr="7647AC75">
        <w:rPr>
          <w:rFonts w:asciiTheme="minorHAnsi" w:hAnsiTheme="minorHAnsi" w:cstheme="minorBidi"/>
          <w:sz w:val="22"/>
          <w:szCs w:val="22"/>
        </w:rPr>
        <w:t xml:space="preserve">We </w:t>
      </w:r>
      <w:r w:rsidRPr="000F28E1">
        <w:rPr>
          <w:rFonts w:asciiTheme="minorHAnsi" w:hAnsiTheme="minorHAnsi" w:cstheme="minorHAnsi"/>
          <w:sz w:val="22"/>
          <w:szCs w:val="22"/>
        </w:rPr>
        <w:t xml:space="preserve">will </w:t>
      </w:r>
      <w:r w:rsidRPr="00DA40D0" w:rsidR="00201995">
        <w:rPr>
          <w:rFonts w:asciiTheme="minorHAnsi" w:hAnsiTheme="minorHAnsi" w:cstheme="minorHAnsi"/>
          <w:sz w:val="22"/>
          <w:szCs w:val="22"/>
        </w:rPr>
        <w:t>use</w:t>
      </w:r>
      <w:r w:rsidRPr="0073224A">
        <w:rPr>
          <w:rFonts w:asciiTheme="minorHAnsi" w:hAnsiTheme="minorHAnsi" w:cstheme="minorHAnsi"/>
          <w:sz w:val="22"/>
          <w:szCs w:val="22"/>
        </w:rPr>
        <w:t xml:space="preserve"> a qualitative multi-case study design with purposive selection of grant recipients to achieve the study’s objectives. </w:t>
      </w:r>
      <w:r w:rsidRPr="00207AFF" w:rsidR="000F28E1">
        <w:rPr>
          <w:rFonts w:asciiTheme="minorHAnsi" w:hAnsiTheme="minorHAnsi" w:cstheme="minorHAnsi"/>
          <w:sz w:val="22"/>
          <w:szCs w:val="22"/>
        </w:rPr>
        <w:t>A purposive sample will ensure we include cases relevant to (and respondents with perspectives on) the range of approaches currently used to</w:t>
      </w:r>
      <w:r w:rsidRPr="000F28E1" w:rsidR="000F28E1">
        <w:rPr>
          <w:rFonts w:asciiTheme="minorHAnsi" w:hAnsiTheme="minorHAnsi" w:cstheme="minorHAnsi"/>
          <w:sz w:val="22"/>
          <w:szCs w:val="22"/>
        </w:rPr>
        <w:t xml:space="preserve"> </w:t>
      </w:r>
      <w:r w:rsidRPr="00DA40D0" w:rsidR="000F28E1">
        <w:rPr>
          <w:rFonts w:asciiTheme="minorHAnsi" w:hAnsiTheme="minorHAnsi" w:cstheme="minorHAnsi"/>
          <w:sz w:val="22"/>
          <w:szCs w:val="22"/>
        </w:rPr>
        <w:t>convert enrollment slots fr</w:t>
      </w:r>
      <w:r w:rsidRPr="0073224A" w:rsidR="000F28E1">
        <w:rPr>
          <w:rFonts w:asciiTheme="minorHAnsi" w:hAnsiTheme="minorHAnsi" w:cstheme="minorHAnsi"/>
          <w:sz w:val="22"/>
          <w:szCs w:val="22"/>
        </w:rPr>
        <w:t xml:space="preserve">om Head Start to Early Head Start. </w:t>
      </w:r>
      <w:r w:rsidRPr="00207AFF" w:rsidR="000F28E1">
        <w:rPr>
          <w:rFonts w:asciiTheme="minorHAnsi" w:hAnsiTheme="minorHAnsi" w:cstheme="minorHAnsi"/>
          <w:sz w:val="22"/>
          <w:szCs w:val="22"/>
        </w:rPr>
        <w:t>A purposive sample also</w:t>
      </w:r>
      <w:r w:rsidRPr="00207AFF">
        <w:rPr>
          <w:rFonts w:asciiTheme="minorHAnsi" w:hAnsiTheme="minorHAnsi" w:cstheme="minorHAnsi"/>
          <w:sz w:val="22"/>
          <w:szCs w:val="22"/>
        </w:rPr>
        <w:t xml:space="preserve"> allows us to select grant recipients that vary along certain dimensions that existing research suggests </w:t>
      </w:r>
      <w:r w:rsidRPr="00207AFF" w:rsidR="000F28E1">
        <w:rPr>
          <w:rFonts w:asciiTheme="minorHAnsi" w:hAnsiTheme="minorHAnsi" w:cstheme="minorHAnsi"/>
          <w:sz w:val="22"/>
          <w:szCs w:val="22"/>
        </w:rPr>
        <w:t xml:space="preserve">may </w:t>
      </w:r>
      <w:r w:rsidRPr="00207AFF">
        <w:rPr>
          <w:rFonts w:asciiTheme="minorHAnsi" w:hAnsiTheme="minorHAnsi" w:cstheme="minorHAnsi"/>
          <w:sz w:val="22"/>
          <w:szCs w:val="22"/>
        </w:rPr>
        <w:t xml:space="preserve">affect the conversion process. </w:t>
      </w:r>
      <w:r w:rsidRPr="00920893" w:rsidR="000F28E1">
        <w:rPr>
          <w:rFonts w:asciiTheme="minorHAnsi" w:hAnsiTheme="minorHAnsi" w:cstheme="minorHAnsi"/>
          <w:sz w:val="22"/>
          <w:szCs w:val="22"/>
        </w:rPr>
        <w:t xml:space="preserve">Because this project aims to learn about approaches, processes, challenges, and facilitators to converting enrollment slots, qualitative methods will promote in-depth examination of constructs of interest, using flexible instruments that can respond to local conditions. </w:t>
      </w:r>
    </w:p>
    <w:p w:rsidR="00CE114D" w:rsidP="00A42C71" w:rsidRDefault="00CE114D" w14:paraId="3F6E8391" w14:textId="77777777">
      <w:pPr>
        <w:pStyle w:val="NormalWeb"/>
        <w:spacing w:before="0" w:beforeAutospacing="0" w:after="0" w:afterAutospacing="0"/>
        <w:rPr>
          <w:rFonts w:asciiTheme="minorHAnsi" w:hAnsiTheme="minorHAnsi" w:cstheme="minorHAnsi"/>
          <w:sz w:val="22"/>
          <w:szCs w:val="22"/>
        </w:rPr>
      </w:pPr>
    </w:p>
    <w:p w:rsidRPr="001A59B6" w:rsidR="00A42C71" w:rsidP="7647AC75" w:rsidRDefault="7647AC75" w14:paraId="21886270" w14:textId="136B4C4D">
      <w:pPr>
        <w:pStyle w:val="NormalWeb"/>
        <w:spacing w:before="0" w:beforeAutospacing="0" w:after="0" w:afterAutospacing="0"/>
        <w:rPr>
          <w:rFonts w:asciiTheme="minorHAnsi" w:hAnsiTheme="minorHAnsi" w:cstheme="minorBidi"/>
          <w:b/>
          <w:bCs/>
          <w:i/>
          <w:iCs/>
          <w:strike/>
          <w:sz w:val="22"/>
          <w:szCs w:val="22"/>
        </w:rPr>
      </w:pPr>
      <w:r w:rsidRPr="7647AC75">
        <w:rPr>
          <w:rFonts w:asciiTheme="minorHAnsi" w:hAnsiTheme="minorHAnsi" w:cstheme="minorBidi"/>
          <w:sz w:val="22"/>
          <w:szCs w:val="22"/>
        </w:rPr>
        <w:t>As noted in Supporting Statement A, this information is not intended to be used as the principal basis for public policy decisions and is not expected to meet the threshold of influential or highly influential scientific information. The data collected is not meant to be representative. This study does not include an impact evaluation and will not be used to assess participants’ outcomes. All publicly available products associated with this study will clearly describe key limitations.</w:t>
      </w: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41414A" w:rsidR="00262BC6" w:rsidP="0041414A" w:rsidRDefault="00A42C71" w14:paraId="6B0AE903" w14:textId="77777777">
      <w:pPr>
        <w:spacing w:after="60"/>
        <w:rPr>
          <w:i/>
          <w:iCs/>
        </w:rPr>
      </w:pPr>
      <w:r w:rsidRPr="0041414A">
        <w:rPr>
          <w:i/>
          <w:iCs/>
        </w:rPr>
        <w:t xml:space="preserve">Target Population  </w:t>
      </w:r>
    </w:p>
    <w:p w:rsidRPr="001A59B6" w:rsidR="00A42C71" w:rsidP="005C7C9F" w:rsidRDefault="008276AE" w14:paraId="273747A8" w14:textId="65B0AB01">
      <w:pPr>
        <w:autoSpaceDE w:val="0"/>
        <w:autoSpaceDN w:val="0"/>
        <w:adjustRightInd w:val="0"/>
        <w:spacing w:after="60" w:line="240" w:lineRule="atLeast"/>
        <w:contextualSpacing/>
        <w:rPr>
          <w:rFonts w:eastAsia="Times New Roman" w:cstheme="minorHAnsi"/>
          <w:color w:val="000000"/>
        </w:rPr>
      </w:pPr>
      <w:r>
        <w:rPr>
          <w:rFonts w:cstheme="minorHAnsi"/>
        </w:rPr>
        <w:lastRenderedPageBreak/>
        <w:t xml:space="preserve">From </w:t>
      </w:r>
      <w:r w:rsidR="000F28E1">
        <w:rPr>
          <w:rFonts w:cstheme="minorHAnsi"/>
        </w:rPr>
        <w:t xml:space="preserve">up to </w:t>
      </w:r>
      <w:r>
        <w:rPr>
          <w:rFonts w:cstheme="minorHAnsi"/>
        </w:rPr>
        <w:t xml:space="preserve">six grant recipients, </w:t>
      </w:r>
      <w:r w:rsidR="000F28E1">
        <w:rPr>
          <w:rFonts w:cstheme="minorHAnsi"/>
        </w:rPr>
        <w:t xml:space="preserve">the target population </w:t>
      </w:r>
      <w:r w:rsidR="009B4607">
        <w:rPr>
          <w:rFonts w:cstheme="minorHAnsi"/>
        </w:rPr>
        <w:t xml:space="preserve">may </w:t>
      </w:r>
      <w:r w:rsidR="000F28E1">
        <w:rPr>
          <w:rFonts w:cstheme="minorHAnsi"/>
        </w:rPr>
        <w:t>include</w:t>
      </w:r>
      <w:r w:rsidR="00262BC6">
        <w:rPr>
          <w:rFonts w:cstheme="minorHAnsi"/>
        </w:rPr>
        <w:t xml:space="preserve"> </w:t>
      </w:r>
      <w:r w:rsidR="005C7C9F">
        <w:rPr>
          <w:rFonts w:cstheme="minorHAnsi"/>
        </w:rPr>
        <w:t>Head Start director</w:t>
      </w:r>
      <w:r w:rsidR="000F28E1">
        <w:rPr>
          <w:rFonts w:cstheme="minorHAnsi"/>
        </w:rPr>
        <w:t>s</w:t>
      </w:r>
      <w:r w:rsidR="00BB01BD">
        <w:rPr>
          <w:rFonts w:cstheme="minorHAnsi"/>
        </w:rPr>
        <w:t xml:space="preserve"> </w:t>
      </w:r>
      <w:r w:rsidRPr="00BB01BD" w:rsidR="00BB01BD">
        <w:rPr>
          <w:rFonts w:cstheme="minorHAnsi"/>
        </w:rPr>
        <w:t xml:space="preserve">and staff, Head Start policy council members, Head Start Training and Technical Assistance staff, and state and local </w:t>
      </w:r>
      <w:r w:rsidR="002E7A93">
        <w:rPr>
          <w:rFonts w:cstheme="minorHAnsi"/>
        </w:rPr>
        <w:t>early care and education</w:t>
      </w:r>
      <w:r w:rsidRPr="00BB01BD" w:rsidR="00BB01BD">
        <w:rPr>
          <w:rFonts w:cstheme="minorHAnsi"/>
        </w:rPr>
        <w:t xml:space="preserve"> leaders and community partners</w:t>
      </w:r>
      <w:r w:rsidR="00BB01BD">
        <w:rPr>
          <w:rFonts w:cstheme="minorHAnsi"/>
        </w:rPr>
        <w:t>.</w:t>
      </w:r>
      <w:r w:rsidRPr="00BB01BD" w:rsidDel="00BB01BD" w:rsidR="00BB01BD">
        <w:rPr>
          <w:rFonts w:cstheme="minorHAnsi"/>
        </w:rPr>
        <w:t xml:space="preserve"> </w:t>
      </w:r>
      <w:r w:rsidRPr="005C7C9F" w:rsidR="005C7C9F">
        <w:rPr>
          <w:rFonts w:cstheme="minorHAnsi"/>
        </w:rPr>
        <w:t xml:space="preserve">The research team will use non-probability, purposive sampling to identify potential respondents who can </w:t>
      </w:r>
      <w:r>
        <w:rPr>
          <w:rFonts w:cstheme="minorHAnsi"/>
        </w:rPr>
        <w:t xml:space="preserve">answer questions about </w:t>
      </w:r>
      <w:r w:rsidRPr="005C7C9F" w:rsidR="005C7C9F">
        <w:rPr>
          <w:rFonts w:cstheme="minorHAnsi"/>
        </w:rPr>
        <w:t xml:space="preserve">the study’s key </w:t>
      </w:r>
      <w:r>
        <w:rPr>
          <w:rFonts w:cstheme="minorHAnsi"/>
        </w:rPr>
        <w:t>questions</w:t>
      </w:r>
      <w:r w:rsidRPr="005C7C9F" w:rsidR="005C7C9F">
        <w:rPr>
          <w:rFonts w:cstheme="minorHAnsi"/>
        </w:rPr>
        <w:t>. Because participants will be purposively selected, they will not be representative of the population of Head Start</w:t>
      </w:r>
      <w:r w:rsidR="005C7C9F">
        <w:rPr>
          <w:rFonts w:cstheme="minorHAnsi"/>
        </w:rPr>
        <w:t xml:space="preserve"> staff</w:t>
      </w:r>
      <w:r w:rsidR="003A5FD1">
        <w:rPr>
          <w:rFonts w:cstheme="minorHAnsi"/>
        </w:rPr>
        <w:t>,</w:t>
      </w:r>
      <w:r w:rsidR="005C7C9F">
        <w:rPr>
          <w:rFonts w:cstheme="minorHAnsi"/>
        </w:rPr>
        <w:t xml:space="preserve"> </w:t>
      </w:r>
      <w:r w:rsidR="003A5FD1">
        <w:rPr>
          <w:rFonts w:cstheme="minorHAnsi"/>
        </w:rPr>
        <w:t>Head Start Training and T</w:t>
      </w:r>
      <w:r w:rsidR="005C7C9F">
        <w:rPr>
          <w:rFonts w:cstheme="minorHAnsi"/>
        </w:rPr>
        <w:t>echnical assistance</w:t>
      </w:r>
      <w:r w:rsidR="003A5FD1">
        <w:rPr>
          <w:rFonts w:cstheme="minorHAnsi"/>
        </w:rPr>
        <w:t xml:space="preserve"> staff</w:t>
      </w:r>
      <w:r w:rsidR="005C7C9F">
        <w:rPr>
          <w:rFonts w:cstheme="minorHAnsi"/>
        </w:rPr>
        <w:t>, state or local early care and education leaders</w:t>
      </w:r>
      <w:r w:rsidR="003A5FD1">
        <w:rPr>
          <w:rFonts w:cstheme="minorHAnsi"/>
        </w:rPr>
        <w:t>, or community partners</w:t>
      </w:r>
      <w:r w:rsidR="005C7C9F">
        <w:rPr>
          <w:rFonts w:cstheme="minorHAnsi"/>
        </w:rPr>
        <w:t>.</w:t>
      </w:r>
      <w:r w:rsidRPr="005C7C9F" w:rsidR="005C7C9F">
        <w:rPr>
          <w:rFonts w:cstheme="minorHAnsi"/>
        </w:rPr>
        <w:t xml:space="preserve"> Instead, we aim to obtain variation in </w:t>
      </w:r>
      <w:r>
        <w:rPr>
          <w:rFonts w:cstheme="minorHAnsi"/>
        </w:rPr>
        <w:t xml:space="preserve">perspectives and experiences of the </w:t>
      </w:r>
      <w:r w:rsidRPr="005C7C9F" w:rsidR="00E70223">
        <w:rPr>
          <w:rFonts w:cstheme="minorHAnsi"/>
        </w:rPr>
        <w:t xml:space="preserve">respondents </w:t>
      </w:r>
      <w:r>
        <w:rPr>
          <w:rFonts w:cstheme="minorHAnsi"/>
        </w:rPr>
        <w:t xml:space="preserve">we interview from </w:t>
      </w:r>
      <w:r w:rsidR="005C7C9F">
        <w:rPr>
          <w:rFonts w:cstheme="minorHAnsi"/>
        </w:rPr>
        <w:t>grant recipients</w:t>
      </w:r>
      <w:r w:rsidRPr="005C7C9F" w:rsidR="005C7C9F">
        <w:rPr>
          <w:rFonts w:cstheme="minorHAnsi"/>
        </w:rPr>
        <w:t xml:space="preserve"> to understand </w:t>
      </w:r>
      <w:r w:rsidR="005C7C9F">
        <w:rPr>
          <w:rFonts w:cstheme="minorHAnsi"/>
        </w:rPr>
        <w:t>the conversion process</w:t>
      </w:r>
      <w:r w:rsidR="00E70223">
        <w:rPr>
          <w:rFonts w:cstheme="minorHAnsi"/>
        </w:rPr>
        <w:t xml:space="preserve"> </w:t>
      </w:r>
      <w:r>
        <w:rPr>
          <w:rFonts w:cstheme="minorHAnsi"/>
        </w:rPr>
        <w:t>for each grant recipient</w:t>
      </w:r>
      <w:r w:rsidRPr="005C7C9F" w:rsidR="005C7C9F">
        <w:rPr>
          <w:rFonts w:cstheme="minorHAnsi"/>
        </w:rPr>
        <w:t>.</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Pr="0041414A" w:rsidR="00A42C71" w:rsidP="0041414A" w:rsidRDefault="00A42C71" w14:paraId="242D83A5" w14:textId="77777777">
      <w:pPr>
        <w:spacing w:after="60"/>
        <w:rPr>
          <w:i/>
          <w:iCs/>
        </w:rPr>
      </w:pPr>
      <w:r w:rsidRPr="0041414A">
        <w:rPr>
          <w:i/>
          <w:iCs/>
        </w:rPr>
        <w:t>Sampling and Site Selection</w:t>
      </w:r>
    </w:p>
    <w:p w:rsidR="002D2E67" w:rsidP="002D2E67" w:rsidRDefault="002D2E67" w14:paraId="17055113" w14:textId="76044CD2">
      <w:pPr>
        <w:autoSpaceDE w:val="0"/>
        <w:autoSpaceDN w:val="0"/>
        <w:adjustRightInd w:val="0"/>
        <w:spacing w:after="0" w:line="240" w:lineRule="atLeast"/>
        <w:contextualSpacing/>
      </w:pPr>
      <w:r>
        <w:rPr>
          <w:rFonts w:eastAsia="Times New Roman" w:cstheme="minorHAnsi"/>
          <w:color w:val="000000"/>
        </w:rPr>
        <w:t xml:space="preserve">Our site selection approach will yield </w:t>
      </w:r>
      <w:r w:rsidR="00DA40D0">
        <w:rPr>
          <w:rFonts w:eastAsia="Times New Roman" w:cstheme="minorHAnsi"/>
          <w:color w:val="000000"/>
        </w:rPr>
        <w:t xml:space="preserve">up to </w:t>
      </w:r>
      <w:r>
        <w:rPr>
          <w:rFonts w:eastAsia="Times New Roman" w:cstheme="minorHAnsi"/>
          <w:color w:val="000000"/>
        </w:rPr>
        <w:t xml:space="preserve">six Head Start grant recipients identified as having a promising approach to conversion and who have undergone conversion of enrollment slots recently, such that interviewees are able to recall details about the process of applying for and converting enrollment slots. </w:t>
      </w:r>
      <w:r w:rsidR="00003331">
        <w:rPr>
          <w:rFonts w:eastAsia="Times New Roman" w:cstheme="minorHAnsi"/>
          <w:color w:val="000000"/>
        </w:rPr>
        <w:t>We will prioritize grant</w:t>
      </w:r>
      <w:r w:rsidR="00E84BA4">
        <w:rPr>
          <w:rFonts w:eastAsia="Times New Roman" w:cstheme="minorHAnsi"/>
          <w:color w:val="000000"/>
        </w:rPr>
        <w:t xml:space="preserve"> recipients </w:t>
      </w:r>
      <w:r w:rsidR="00003331">
        <w:rPr>
          <w:rFonts w:eastAsia="Times New Roman" w:cstheme="minorHAnsi"/>
          <w:color w:val="000000"/>
        </w:rPr>
        <w:t xml:space="preserve">that </w:t>
      </w:r>
      <w:r>
        <w:rPr>
          <w:rFonts w:eastAsia="Times New Roman" w:cstheme="minorHAnsi"/>
          <w:color w:val="000000"/>
        </w:rPr>
        <w:t>have had a request for conversion approved 12-18 months prior to data collection</w:t>
      </w:r>
      <w:r w:rsidRPr="00136B82" w:rsidR="00136B82">
        <w:rPr>
          <w:rFonts w:eastAsia="Times New Roman" w:cstheme="minorHAnsi"/>
          <w:color w:val="000000"/>
        </w:rPr>
        <w:t xml:space="preserve"> </w:t>
      </w:r>
      <w:r w:rsidR="00136B82">
        <w:rPr>
          <w:rFonts w:eastAsia="Times New Roman" w:cstheme="minorHAnsi"/>
          <w:color w:val="000000"/>
        </w:rPr>
        <w:t xml:space="preserve">and </w:t>
      </w:r>
      <w:r w:rsidR="00003331">
        <w:rPr>
          <w:rFonts w:eastAsia="Times New Roman" w:cstheme="minorHAnsi"/>
          <w:color w:val="000000"/>
        </w:rPr>
        <w:t xml:space="preserve">that have </w:t>
      </w:r>
      <w:proofErr w:type="gramStart"/>
      <w:r w:rsidR="00003331">
        <w:rPr>
          <w:rFonts w:eastAsia="Times New Roman" w:cstheme="minorHAnsi"/>
          <w:color w:val="000000"/>
        </w:rPr>
        <w:t>a</w:t>
      </w:r>
      <w:r w:rsidRPr="008509F6" w:rsidR="00136B82">
        <w:rPr>
          <w:rFonts w:eastAsia="Times New Roman" w:cstheme="minorHAnsi"/>
          <w:color w:val="000000"/>
        </w:rPr>
        <w:t xml:space="preserve"> majority of</w:t>
      </w:r>
      <w:proofErr w:type="gramEnd"/>
      <w:r w:rsidRPr="008509F6" w:rsidR="00136B82">
        <w:rPr>
          <w:rFonts w:eastAsia="Times New Roman" w:cstheme="minorHAnsi"/>
          <w:color w:val="000000"/>
        </w:rPr>
        <w:t xml:space="preserve"> staff who</w:t>
      </w:r>
      <w:r w:rsidR="00136B82">
        <w:rPr>
          <w:rFonts w:eastAsia="Times New Roman" w:cstheme="minorHAnsi"/>
          <w:color w:val="000000"/>
        </w:rPr>
        <w:t xml:space="preserve"> were</w:t>
      </w:r>
      <w:r w:rsidRPr="008509F6" w:rsidR="00136B82">
        <w:rPr>
          <w:rFonts w:eastAsia="Times New Roman" w:cstheme="minorHAnsi"/>
          <w:color w:val="000000"/>
        </w:rPr>
        <w:t xml:space="preserve"> present for the conversion still employed</w:t>
      </w:r>
      <w:r w:rsidR="00136B82">
        <w:rPr>
          <w:rFonts w:eastAsia="Times New Roman" w:cstheme="minorHAnsi"/>
          <w:color w:val="000000"/>
        </w:rPr>
        <w:t xml:space="preserve">. We will prioritize grant recipients that </w:t>
      </w:r>
      <w:r w:rsidR="00E84BA4">
        <w:rPr>
          <w:rFonts w:eastAsia="Times New Roman" w:cstheme="minorHAnsi"/>
          <w:color w:val="000000"/>
        </w:rPr>
        <w:t xml:space="preserve">had their application reviewed by </w:t>
      </w:r>
      <w:r w:rsidR="00B77C63">
        <w:rPr>
          <w:rFonts w:eastAsia="Times New Roman" w:cstheme="minorHAnsi"/>
          <w:color w:val="000000"/>
        </w:rPr>
        <w:t xml:space="preserve">the </w:t>
      </w:r>
      <w:bookmarkStart w:name="_Hlk104294738" w:id="0"/>
      <w:r w:rsidR="00B77C63">
        <w:rPr>
          <w:rFonts w:eastAsia="Times New Roman" w:cstheme="minorHAnsi"/>
          <w:color w:val="000000"/>
        </w:rPr>
        <w:t>Office of Head Start</w:t>
      </w:r>
      <w:bookmarkEnd w:id="0"/>
      <w:r w:rsidR="00B77C63">
        <w:rPr>
          <w:rFonts w:eastAsia="Times New Roman" w:cstheme="minorHAnsi"/>
          <w:color w:val="000000"/>
        </w:rPr>
        <w:t xml:space="preserve">’s </w:t>
      </w:r>
      <w:r w:rsidR="00E84BA4">
        <w:rPr>
          <w:rFonts w:eastAsia="Times New Roman" w:cstheme="minorHAnsi"/>
          <w:color w:val="000000"/>
        </w:rPr>
        <w:t>Central Office</w:t>
      </w:r>
      <w:r w:rsidR="00136B82">
        <w:rPr>
          <w:rFonts w:eastAsia="Times New Roman" w:cstheme="minorHAnsi"/>
          <w:color w:val="000000"/>
        </w:rPr>
        <w:t>.</w:t>
      </w:r>
      <w:r w:rsidR="00E84BA4">
        <w:rPr>
          <w:rStyle w:val="FootnoteReference"/>
          <w:rFonts w:eastAsia="Times New Roman" w:cstheme="minorHAnsi"/>
          <w:color w:val="000000"/>
        </w:rPr>
        <w:footnoteReference w:id="1"/>
      </w:r>
      <w:r>
        <w:rPr>
          <w:rFonts w:eastAsia="Times New Roman" w:cstheme="minorHAnsi"/>
          <w:color w:val="000000"/>
        </w:rPr>
        <w:t xml:space="preserve"> </w:t>
      </w:r>
      <w:r w:rsidR="00003331">
        <w:rPr>
          <w:rFonts w:eastAsia="Times New Roman" w:cstheme="minorHAnsi"/>
          <w:color w:val="000000"/>
        </w:rPr>
        <w:t xml:space="preserve">We will aim for variation in the </w:t>
      </w:r>
      <w:r w:rsidR="000164AF">
        <w:rPr>
          <w:rFonts w:eastAsia="Times New Roman" w:cstheme="minorHAnsi"/>
          <w:color w:val="000000"/>
        </w:rPr>
        <w:t xml:space="preserve">agency types </w:t>
      </w:r>
      <w:r w:rsidR="00003331">
        <w:rPr>
          <w:rFonts w:eastAsia="Times New Roman" w:cstheme="minorHAnsi"/>
          <w:color w:val="000000"/>
        </w:rPr>
        <w:t>of the</w:t>
      </w:r>
      <w:r w:rsidR="00E8078B">
        <w:rPr>
          <w:rFonts w:eastAsia="Times New Roman" w:cstheme="minorHAnsi"/>
          <w:color w:val="000000"/>
        </w:rPr>
        <w:t xml:space="preserve"> </w:t>
      </w:r>
      <w:r w:rsidR="000164AF">
        <w:rPr>
          <w:rFonts w:eastAsia="Times New Roman" w:cstheme="minorHAnsi"/>
          <w:color w:val="000000"/>
        </w:rPr>
        <w:t xml:space="preserve">Head Start </w:t>
      </w:r>
      <w:r w:rsidR="00E8078B">
        <w:rPr>
          <w:rFonts w:eastAsia="Times New Roman" w:cstheme="minorHAnsi"/>
          <w:color w:val="000000"/>
        </w:rPr>
        <w:t>grant recipient</w:t>
      </w:r>
      <w:r w:rsidR="000164AF">
        <w:rPr>
          <w:rFonts w:eastAsia="Times New Roman" w:cstheme="minorHAnsi"/>
          <w:color w:val="000000"/>
        </w:rPr>
        <w:t>s</w:t>
      </w:r>
      <w:r w:rsidR="00003331">
        <w:rPr>
          <w:rFonts w:eastAsia="Times New Roman" w:cstheme="minorHAnsi"/>
          <w:color w:val="000000"/>
        </w:rPr>
        <w:t xml:space="preserve"> selected for participation</w:t>
      </w:r>
      <w:r w:rsidR="000164AF">
        <w:rPr>
          <w:rFonts w:eastAsia="Times New Roman" w:cstheme="minorHAnsi"/>
          <w:color w:val="000000"/>
        </w:rPr>
        <w:t>.</w:t>
      </w:r>
      <w:r w:rsidR="000164AF">
        <w:rPr>
          <w:rStyle w:val="FootnoteReference"/>
          <w:rFonts w:eastAsia="Times New Roman" w:cstheme="minorHAnsi"/>
          <w:color w:val="000000"/>
        </w:rPr>
        <w:footnoteReference w:id="2"/>
      </w:r>
      <w:r w:rsidR="00E84BA4">
        <w:rPr>
          <w:rFonts w:eastAsia="Times New Roman" w:cstheme="minorHAnsi"/>
          <w:color w:val="000000"/>
        </w:rPr>
        <w:t xml:space="preserve"> </w:t>
      </w:r>
      <w:r w:rsidR="00BB01BD">
        <w:rPr>
          <w:rFonts w:cstheme="minorHAnsi"/>
        </w:rPr>
        <w:t xml:space="preserve">Our team will use data from the Head Start Enterprise System (HSES) to identify grant recipients that </w:t>
      </w:r>
      <w:r w:rsidR="00BB01BD">
        <w:rPr>
          <w:rFonts w:eastAsia="Times New Roman" w:cstheme="minorHAnsi"/>
          <w:color w:val="000000"/>
        </w:rPr>
        <w:t>have had a request for conversion approved in the past 12-18 months</w:t>
      </w:r>
      <w:r w:rsidR="00636F8C">
        <w:rPr>
          <w:rFonts w:eastAsia="Times New Roman" w:cstheme="minorHAnsi"/>
          <w:color w:val="000000"/>
        </w:rPr>
        <w:t xml:space="preserve"> and have had their application reviewed by the central office</w:t>
      </w:r>
      <w:r w:rsidR="00BB01BD">
        <w:rPr>
          <w:rFonts w:cstheme="minorHAnsi"/>
        </w:rPr>
        <w:t>.</w:t>
      </w:r>
      <w:r w:rsidR="00636F8C">
        <w:rPr>
          <w:rFonts w:cstheme="minorHAnsi"/>
        </w:rPr>
        <w:t xml:space="preserve"> </w:t>
      </w:r>
      <w:r w:rsidR="00636F8C">
        <w:t>We will also request nominations of grant recipients with promising approaches to conversion from federal staff via email.</w:t>
      </w:r>
      <w:r w:rsidRPr="008509F6" w:rsidR="008509F6">
        <w:t xml:space="preserve"> </w:t>
      </w:r>
      <w:r w:rsidR="008509F6">
        <w:t>A</w:t>
      </w:r>
      <w:r w:rsidRPr="008509F6" w:rsidR="008509F6">
        <w:t xml:space="preserve"> promising approach could include one that was particularly effective or </w:t>
      </w:r>
      <w:r w:rsidRPr="008509F6" w:rsidR="00EF5588">
        <w:t>innovative</w:t>
      </w:r>
      <w:r w:rsidR="00EF5588">
        <w:t xml:space="preserve"> and</w:t>
      </w:r>
      <w:r w:rsidR="008509F6">
        <w:t xml:space="preserve"> will be largely left up to federal staff to determine</w:t>
      </w:r>
      <w:r w:rsidRPr="008509F6" w:rsidR="008509F6">
        <w:t>.</w:t>
      </w:r>
    </w:p>
    <w:p w:rsidRPr="002D2E67" w:rsidR="0041414A" w:rsidP="002D2E67" w:rsidRDefault="0041414A" w14:paraId="6491BECA" w14:textId="77777777">
      <w:pPr>
        <w:autoSpaceDE w:val="0"/>
        <w:autoSpaceDN w:val="0"/>
        <w:adjustRightInd w:val="0"/>
        <w:spacing w:after="0" w:line="240" w:lineRule="atLeast"/>
        <w:contextualSpacing/>
        <w:rPr>
          <w:rFonts w:eastAsia="Times New Roman" w:cstheme="minorHAnsi"/>
          <w:color w:val="000000"/>
        </w:rPr>
      </w:pPr>
    </w:p>
    <w:p w:rsidR="003A3DF2" w:rsidP="00A01AD5" w:rsidRDefault="7647AC75" w14:paraId="13BED8DB" w14:textId="5ACB66CA">
      <w:pPr>
        <w:pStyle w:val="ListParagraph"/>
        <w:spacing w:after="0" w:line="240" w:lineRule="auto"/>
        <w:ind w:left="0" w:firstLine="720"/>
      </w:pPr>
      <w:r w:rsidRPr="7647AC75">
        <w:t>Among eligible recipients, we will seek</w:t>
      </w:r>
      <w:r w:rsidRPr="00636F8C" w:rsidR="00636F8C">
        <w:t xml:space="preserve"> variation along the following dimensions: history of providing EHS, prior conversion experience, region, urbanicity, population served, agency type, conversion to home-based vs. </w:t>
      </w:r>
      <w:proofErr w:type="gramStart"/>
      <w:r w:rsidRPr="00636F8C" w:rsidR="00636F8C">
        <w:t>center-based</w:t>
      </w:r>
      <w:proofErr w:type="gramEnd"/>
      <w:r w:rsidRPr="00636F8C" w:rsidR="00636F8C">
        <w:t xml:space="preserve"> EHS, </w:t>
      </w:r>
      <w:r w:rsidR="00763DD7">
        <w:t xml:space="preserve">and </w:t>
      </w:r>
      <w:r w:rsidRPr="00636F8C" w:rsidR="00636F8C">
        <w:t>time from conversion request to approval.</w:t>
      </w:r>
      <w:r w:rsidR="00636F8C">
        <w:t xml:space="preserve"> </w:t>
      </w:r>
      <w:r w:rsidRPr="28F8C221" w:rsidR="003A3DF2">
        <w:t>We will be mindful of these differences throughout</w:t>
      </w:r>
      <w:r w:rsidRPr="28F8C221" w:rsidR="28F8C221">
        <w:t xml:space="preserve"> data collection, analysis and reporting</w:t>
      </w:r>
      <w:r w:rsidRPr="28F8C221" w:rsidR="003A3DF2">
        <w:t xml:space="preserve">. </w:t>
      </w:r>
      <w:r w:rsidRPr="28F8C221" w:rsidR="28F8C221">
        <w:t>T</w:t>
      </w:r>
      <w:r w:rsidRPr="28F8C221" w:rsidR="003A3DF2">
        <w:t xml:space="preserve">o the extent possible, we will also seek variation across the six recipients along dimensions such as geographic region, urbanicity, proportion of slots converted to home- versus center-based Early Head Start, length of time between conversion request to approval, policy context (e.g., presence of state-funded pre-K), and size of </w:t>
      </w:r>
      <w:r w:rsidR="00835D62">
        <w:t xml:space="preserve">the </w:t>
      </w:r>
      <w:r w:rsidRPr="28F8C221" w:rsidR="003A3DF2">
        <w:t>recipient’s grant.</w:t>
      </w:r>
      <w:r w:rsidRPr="28F8C221" w:rsidR="00CA686B">
        <w:t xml:space="preserve"> Again, this information will be drawn from the </w:t>
      </w:r>
      <w:r w:rsidR="00FB135C">
        <w:t>Program Information Report (</w:t>
      </w:r>
      <w:r w:rsidRPr="28F8C221" w:rsidR="28F8C221">
        <w:t>PIR</w:t>
      </w:r>
      <w:r w:rsidR="00FB135C">
        <w:t>)</w:t>
      </w:r>
      <w:r w:rsidRPr="28F8C221" w:rsidR="28F8C221">
        <w:t xml:space="preserve"> </w:t>
      </w:r>
      <w:r w:rsidRPr="28F8C221" w:rsidR="00CA686B">
        <w:t xml:space="preserve">and </w:t>
      </w:r>
      <w:r w:rsidRPr="28F8C221" w:rsidR="28F8C221">
        <w:t>HSES</w:t>
      </w:r>
      <w:r w:rsidRPr="28F8C221" w:rsidR="00CA686B">
        <w:t>.</w:t>
      </w:r>
    </w:p>
    <w:p w:rsidR="0041414A" w:rsidP="00A01AD5" w:rsidRDefault="0041414A" w14:paraId="5931DC65" w14:textId="77777777">
      <w:pPr>
        <w:pStyle w:val="ListParagraph"/>
        <w:spacing w:after="0" w:line="240" w:lineRule="auto"/>
        <w:ind w:left="0" w:firstLine="720"/>
      </w:pPr>
    </w:p>
    <w:p w:rsidRPr="001A59B6" w:rsidR="00940CA4" w:rsidP="28F8C221" w:rsidRDefault="00CA686B" w14:paraId="35EF14F2" w14:textId="3CFB470E">
      <w:pPr>
        <w:pStyle w:val="ListParagraph"/>
        <w:spacing w:after="0" w:line="240" w:lineRule="auto"/>
        <w:ind w:left="0"/>
      </w:pPr>
      <w:r>
        <w:rPr>
          <w:rFonts w:cstheme="minorHAnsi"/>
        </w:rPr>
        <w:tab/>
      </w:r>
      <w:r w:rsidRPr="28F8C221" w:rsidR="00D3481D">
        <w:t>We will identify</w:t>
      </w:r>
      <w:r w:rsidRPr="28F8C221">
        <w:t xml:space="preserve"> </w:t>
      </w:r>
      <w:r w:rsidR="00E54A47">
        <w:t>potential</w:t>
      </w:r>
      <w:r w:rsidRPr="28F8C221" w:rsidR="00136B82">
        <w:t xml:space="preserve"> </w:t>
      </w:r>
      <w:r w:rsidR="00E70223">
        <w:t>grant recipients</w:t>
      </w:r>
      <w:r w:rsidRPr="28F8C221" w:rsidR="00E70223">
        <w:t xml:space="preserve"> </w:t>
      </w:r>
      <w:r w:rsidRPr="28F8C221">
        <w:t xml:space="preserve">to invite </w:t>
      </w:r>
      <w:r w:rsidR="00DA40D0">
        <w:t>to participate in</w:t>
      </w:r>
      <w:r w:rsidRPr="28F8C221" w:rsidR="00DA40D0">
        <w:t xml:space="preserve"> </w:t>
      </w:r>
      <w:r w:rsidRPr="28F8C221">
        <w:t xml:space="preserve">the </w:t>
      </w:r>
      <w:r w:rsidRPr="28F8C221" w:rsidR="28F8C221">
        <w:t xml:space="preserve">multi-case study </w:t>
      </w:r>
      <w:r w:rsidRPr="28F8C221" w:rsidR="00D3481D">
        <w:t xml:space="preserve">(6 priority </w:t>
      </w:r>
      <w:r w:rsidR="00E54A47">
        <w:t>as well as</w:t>
      </w:r>
      <w:r w:rsidRPr="28F8C221" w:rsidR="00E54A47">
        <w:t xml:space="preserve"> </w:t>
      </w:r>
      <w:r w:rsidRPr="28F8C221" w:rsidR="00D3481D">
        <w:t>backups)</w:t>
      </w:r>
      <w:r w:rsidRPr="28F8C221">
        <w:t xml:space="preserve">, </w:t>
      </w:r>
      <w:r w:rsidRPr="28F8C221" w:rsidR="00D3481D">
        <w:t xml:space="preserve">and </w:t>
      </w:r>
      <w:r w:rsidRPr="28F8C221">
        <w:t xml:space="preserve">our team will </w:t>
      </w:r>
      <w:r w:rsidRPr="28F8C221" w:rsidR="00A73C9E">
        <w:t xml:space="preserve">conduct a preparatory interview with each </w:t>
      </w:r>
      <w:r w:rsidR="000561B9">
        <w:t xml:space="preserve">Head Start </w:t>
      </w:r>
      <w:r w:rsidRPr="28F8C221" w:rsidR="00A73C9E">
        <w:t xml:space="preserve">grant recipient’s </w:t>
      </w:r>
      <w:r w:rsidR="00182150">
        <w:t>D</w:t>
      </w:r>
      <w:r w:rsidRPr="28F8C221" w:rsidR="00182150">
        <w:t xml:space="preserve">irector </w:t>
      </w:r>
      <w:r w:rsidR="00182150">
        <w:t xml:space="preserve">and Coordinator </w:t>
      </w:r>
      <w:r w:rsidRPr="28F8C221" w:rsidR="00A73C9E">
        <w:t>(</w:t>
      </w:r>
      <w:r w:rsidRPr="28F8C221" w:rsidR="0024155E">
        <w:t xml:space="preserve">Instrument </w:t>
      </w:r>
      <w:r w:rsidR="00182150">
        <w:t>1</w:t>
      </w:r>
      <w:r w:rsidRPr="28F8C221" w:rsidR="0024155E">
        <w:t xml:space="preserve">) </w:t>
      </w:r>
      <w:r w:rsidRPr="28F8C221" w:rsidR="00A73C9E">
        <w:t xml:space="preserve">to review study goals and collect additional information to assess eligibility. We will send a follow-up </w:t>
      </w:r>
      <w:r w:rsidR="00E54A47">
        <w:t>preparatory</w:t>
      </w:r>
      <w:r w:rsidR="00643266">
        <w:t xml:space="preserve"> </w:t>
      </w:r>
      <w:r w:rsidRPr="28F8C221" w:rsidR="00A73C9E">
        <w:t>email (</w:t>
      </w:r>
      <w:r w:rsidRPr="28F8C221" w:rsidR="0024155E">
        <w:t xml:space="preserve">Instrument </w:t>
      </w:r>
      <w:r w:rsidR="00182150">
        <w:t>2</w:t>
      </w:r>
      <w:r w:rsidRPr="28F8C221" w:rsidR="00934028">
        <w:t xml:space="preserve">) </w:t>
      </w:r>
      <w:r w:rsidRPr="28F8C221" w:rsidR="00A73C9E">
        <w:t xml:space="preserve">to the </w:t>
      </w:r>
      <w:r w:rsidR="00182150">
        <w:t>D</w:t>
      </w:r>
      <w:r w:rsidRPr="28F8C221" w:rsidR="00182150">
        <w:t>irector</w:t>
      </w:r>
      <w:r w:rsidR="00182150">
        <w:t xml:space="preserve"> </w:t>
      </w:r>
      <w:r w:rsidRPr="28F8C221" w:rsidR="00A73C9E">
        <w:t>after the</w:t>
      </w:r>
      <w:r w:rsidR="005C0B7C">
        <w:t>ir</w:t>
      </w:r>
      <w:r w:rsidRPr="28F8C221" w:rsidR="00A73C9E">
        <w:t xml:space="preserve"> call requesting the names and contact information of </w:t>
      </w:r>
      <w:r w:rsidR="00E70223">
        <w:t xml:space="preserve">grant recipient </w:t>
      </w:r>
      <w:r w:rsidRPr="28F8C221" w:rsidR="00A73C9E">
        <w:t xml:space="preserve">staff, technical </w:t>
      </w:r>
      <w:r w:rsidRPr="28F8C221" w:rsidR="00A73C9E">
        <w:lastRenderedPageBreak/>
        <w:t>assistance providers</w:t>
      </w:r>
      <w:r w:rsidR="00DA40D0">
        <w:t>, and other individuals</w:t>
      </w:r>
      <w:r w:rsidRPr="28F8C221" w:rsidR="00A73C9E">
        <w:t xml:space="preserve"> that participated in the conversion and </w:t>
      </w:r>
      <w:r w:rsidR="00182150">
        <w:t>may</w:t>
      </w:r>
      <w:r w:rsidRPr="28F8C221" w:rsidR="00182150">
        <w:t xml:space="preserve"> </w:t>
      </w:r>
      <w:r w:rsidRPr="28F8C221" w:rsidR="00A73C9E">
        <w:t xml:space="preserve">be appropriate for an interview. We will also request the names and contact information of state or local early care and education leaders who can </w:t>
      </w:r>
      <w:r w:rsidRPr="28F8C221" w:rsidR="28F8C221">
        <w:t xml:space="preserve">provide contextual information to better understand the </w:t>
      </w:r>
      <w:r w:rsidRPr="28F8C221" w:rsidR="00A73C9E">
        <w:t>recipient</w:t>
      </w:r>
      <w:r w:rsidR="00835D62">
        <w:t>’</w:t>
      </w:r>
      <w:r w:rsidRPr="28F8C221" w:rsidR="00A73C9E">
        <w:t>s conversion.</w:t>
      </w:r>
      <w:r w:rsidR="00E70223">
        <w:t xml:space="preserve"> </w:t>
      </w:r>
      <w:r w:rsidRPr="28F8C221" w:rsidR="28F8C221">
        <w:t xml:space="preserve">Based on analysis of information collected from the </w:t>
      </w:r>
      <w:r w:rsidR="00003331">
        <w:t xml:space="preserve">up to </w:t>
      </w:r>
      <w:r w:rsidR="00136B82">
        <w:t>12</w:t>
      </w:r>
      <w:r w:rsidRPr="28F8C221" w:rsidR="28F8C221">
        <w:t xml:space="preserve"> grant recipients</w:t>
      </w:r>
      <w:r w:rsidR="00763DD7">
        <w:t xml:space="preserve"> (up to 18 total Directors and Coordinators)</w:t>
      </w:r>
      <w:r w:rsidRPr="28F8C221" w:rsidR="00934028">
        <w:t xml:space="preserve">, our team will make a final determination about </w:t>
      </w:r>
      <w:r w:rsidRPr="28F8C221" w:rsidR="00D3481D">
        <w:t xml:space="preserve">which </w:t>
      </w:r>
      <w:r w:rsidR="00182150">
        <w:t xml:space="preserve">grant </w:t>
      </w:r>
      <w:r w:rsidRPr="28F8C221" w:rsidR="00934028">
        <w:t>recipient</w:t>
      </w:r>
      <w:r w:rsidRPr="28F8C221" w:rsidR="00D3481D">
        <w:t>s</w:t>
      </w:r>
      <w:r w:rsidRPr="28F8C221" w:rsidR="00934028">
        <w:t xml:space="preserve"> to</w:t>
      </w:r>
      <w:r w:rsidRPr="28F8C221" w:rsidR="00D3481D">
        <w:t xml:space="preserve"> invite</w:t>
      </w:r>
      <w:r w:rsidRPr="28F8C221" w:rsidR="00934028">
        <w:t xml:space="preserve"> </w:t>
      </w:r>
      <w:r w:rsidR="00DA40D0">
        <w:t xml:space="preserve">to </w:t>
      </w:r>
      <w:r w:rsidRPr="28F8C221" w:rsidR="00934028">
        <w:t xml:space="preserve">participate in the </w:t>
      </w:r>
      <w:r w:rsidRPr="28F8C221" w:rsidR="28F8C221">
        <w:t>multi-case study</w:t>
      </w:r>
      <w:r w:rsidRPr="28F8C221" w:rsidR="00934028">
        <w:t xml:space="preserve">. For each participating </w:t>
      </w:r>
      <w:r w:rsidR="00182150">
        <w:t xml:space="preserve">grant </w:t>
      </w:r>
      <w:r w:rsidRPr="28F8C221" w:rsidR="00934028">
        <w:t xml:space="preserve">recipient, we will use the list of names provided by the </w:t>
      </w:r>
      <w:r w:rsidR="00182150">
        <w:t>D</w:t>
      </w:r>
      <w:r w:rsidRPr="28F8C221" w:rsidR="00934028">
        <w:t>irector</w:t>
      </w:r>
      <w:r w:rsidR="00182150">
        <w:t xml:space="preserve"> and/or Coordinator</w:t>
      </w:r>
      <w:r w:rsidRPr="28F8C221" w:rsidR="00934028">
        <w:t xml:space="preserve"> (</w:t>
      </w:r>
      <w:r w:rsidRPr="28F8C221" w:rsidR="00D3481D">
        <w:t xml:space="preserve">Instrument </w:t>
      </w:r>
      <w:r w:rsidR="00182150">
        <w:t>2</w:t>
      </w:r>
      <w:r w:rsidRPr="28F8C221" w:rsidR="00934028">
        <w:t xml:space="preserve">) to identify potential interviewees. </w:t>
      </w:r>
    </w:p>
    <w:p w:rsidRPr="001A59B6" w:rsidR="00A42C71" w:rsidP="00A42C71" w:rsidRDefault="00A42C71" w14:paraId="705CF94B"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6C7208D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3E1139" w:rsidP="00A42C71" w:rsidRDefault="00934028" w14:paraId="7606E9A4" w14:textId="5B6CD31F">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designed the </w:t>
      </w:r>
      <w:r w:rsidR="009557B9">
        <w:rPr>
          <w:rFonts w:eastAsia="Times New Roman" w:cstheme="minorHAnsi"/>
          <w:color w:val="000000"/>
        </w:rPr>
        <w:t>study</w:t>
      </w:r>
      <w:r>
        <w:rPr>
          <w:rFonts w:eastAsia="Times New Roman" w:cstheme="minorHAnsi"/>
          <w:color w:val="000000"/>
        </w:rPr>
        <w:t xml:space="preserve"> protocols to efficiently address the research questions and capture constructs of interest</w:t>
      </w:r>
      <w:r w:rsidR="003C1D15">
        <w:rPr>
          <w:rFonts w:eastAsia="Times New Roman" w:cstheme="minorHAnsi"/>
          <w:color w:val="000000"/>
        </w:rPr>
        <w:t xml:space="preserve">, both of which were informed by </w:t>
      </w:r>
      <w:r w:rsidR="00A3277E">
        <w:rPr>
          <w:rFonts w:eastAsia="Times New Roman" w:cstheme="minorHAnsi"/>
          <w:color w:val="000000"/>
        </w:rPr>
        <w:t xml:space="preserve">a review of existing published documents, existing instruments, </w:t>
      </w:r>
      <w:r w:rsidR="003C1D15">
        <w:rPr>
          <w:rFonts w:eastAsia="Times New Roman" w:cstheme="minorHAnsi"/>
          <w:color w:val="000000"/>
        </w:rPr>
        <w:t>key informant interviews, and expert and stakeholder input.</w:t>
      </w:r>
      <w:r w:rsidR="009557B9">
        <w:rPr>
          <w:rFonts w:eastAsia="Times New Roman" w:cstheme="minorHAnsi"/>
          <w:color w:val="000000"/>
        </w:rPr>
        <w:t xml:space="preserve"> Interviews are structured to follow, in chronological order, the process of conversion, from </w:t>
      </w:r>
      <w:r w:rsidR="00A3277E">
        <w:rPr>
          <w:rFonts w:eastAsia="Times New Roman" w:cstheme="minorHAnsi"/>
          <w:color w:val="000000"/>
        </w:rPr>
        <w:t xml:space="preserve">grant </w:t>
      </w:r>
      <w:r w:rsidR="009557B9">
        <w:rPr>
          <w:rFonts w:eastAsia="Times New Roman" w:cstheme="minorHAnsi"/>
          <w:color w:val="000000"/>
        </w:rPr>
        <w:t>recipients’ motivation to their implementation of Early Head Start services.</w:t>
      </w:r>
      <w:r w:rsidR="003C1D15">
        <w:rPr>
          <w:rFonts w:eastAsia="Times New Roman" w:cstheme="minorHAnsi"/>
          <w:color w:val="000000"/>
        </w:rPr>
        <w:t xml:space="preserve"> </w:t>
      </w:r>
    </w:p>
    <w:p w:rsidR="00AD5C04" w:rsidP="00A42C71" w:rsidRDefault="00AD5C04" w14:paraId="78EC408C" w14:textId="77777777">
      <w:pPr>
        <w:autoSpaceDE w:val="0"/>
        <w:autoSpaceDN w:val="0"/>
        <w:adjustRightInd w:val="0"/>
        <w:spacing w:after="0" w:line="240" w:lineRule="atLeast"/>
        <w:rPr>
          <w:rFonts w:eastAsia="Times New Roman" w:cstheme="minorHAnsi"/>
          <w:color w:val="000000"/>
        </w:rPr>
      </w:pPr>
    </w:p>
    <w:p w:rsidRPr="00E54A47" w:rsidR="009557B9" w:rsidP="003E1139" w:rsidRDefault="003E1139" w14:paraId="4AB4D2A8" w14:textId="6DC9C21F">
      <w:pPr>
        <w:autoSpaceDE w:val="0"/>
        <w:autoSpaceDN w:val="0"/>
        <w:adjustRightInd w:val="0"/>
        <w:spacing w:after="0" w:line="240" w:lineRule="atLeast"/>
        <w:ind w:firstLine="720"/>
        <w:rPr>
          <w:rFonts w:eastAsia="Times New Roman" w:cstheme="minorHAnsi"/>
          <w:color w:val="000000"/>
        </w:rPr>
      </w:pPr>
      <w:r w:rsidRPr="00E54A47">
        <w:rPr>
          <w:rFonts w:eastAsia="Times New Roman" w:cstheme="minorHAnsi"/>
          <w:color w:val="000000"/>
        </w:rPr>
        <w:t xml:space="preserve">The </w:t>
      </w:r>
      <w:r w:rsidRPr="00E54A47" w:rsidR="00182150">
        <w:rPr>
          <w:rFonts w:eastAsia="Times New Roman" w:cstheme="minorHAnsi"/>
          <w:color w:val="000000"/>
        </w:rPr>
        <w:t>instruments</w:t>
      </w:r>
      <w:r w:rsidRPr="00E54A47">
        <w:rPr>
          <w:rFonts w:eastAsia="Times New Roman" w:cstheme="minorHAnsi"/>
          <w:color w:val="000000"/>
        </w:rPr>
        <w:t xml:space="preserve"> each address some, if not all, of the study objectives described in B1.</w:t>
      </w:r>
    </w:p>
    <w:p w:rsidRPr="00864A9B" w:rsidR="003E1139" w:rsidP="003E1139" w:rsidRDefault="003E1139" w14:paraId="54D76C4E" w14:textId="6762C8B8">
      <w:pPr>
        <w:autoSpaceDE w:val="0"/>
        <w:autoSpaceDN w:val="0"/>
        <w:adjustRightInd w:val="0"/>
        <w:spacing w:after="0" w:line="240" w:lineRule="atLeast"/>
        <w:rPr>
          <w:rFonts w:eastAsia="Times New Roman" w:cstheme="minorHAnsi"/>
          <w:color w:val="000000"/>
        </w:rPr>
      </w:pPr>
    </w:p>
    <w:tbl>
      <w:tblPr>
        <w:tblStyle w:val="TableGrid"/>
        <w:tblW w:w="0" w:type="auto"/>
        <w:tblInd w:w="0" w:type="dxa"/>
        <w:tblLook w:val="04A0" w:firstRow="1" w:lastRow="0" w:firstColumn="1" w:lastColumn="0" w:noHBand="0" w:noVBand="1"/>
      </w:tblPr>
      <w:tblGrid>
        <w:gridCol w:w="4675"/>
        <w:gridCol w:w="4675"/>
      </w:tblGrid>
      <w:tr w:rsidRPr="00864A9B" w:rsidR="003E1139" w:rsidTr="00ED470E" w14:paraId="565A6E04" w14:textId="77777777">
        <w:tc>
          <w:tcPr>
            <w:tcW w:w="9350" w:type="dxa"/>
            <w:gridSpan w:val="2"/>
          </w:tcPr>
          <w:p w:rsidRPr="00864A9B" w:rsidR="003E1139" w:rsidP="003E1139" w:rsidRDefault="003E1139" w14:paraId="0408881D" w14:textId="70290B15">
            <w:pPr>
              <w:autoSpaceDE w:val="0"/>
              <w:autoSpaceDN w:val="0"/>
              <w:adjustRightInd w:val="0"/>
              <w:spacing w:line="240" w:lineRule="atLeast"/>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Table </w:t>
            </w:r>
            <w:r w:rsidRPr="00864A9B" w:rsidR="001A72C9">
              <w:rPr>
                <w:rFonts w:asciiTheme="minorHAnsi" w:hAnsiTheme="minorHAnsi" w:cstheme="minorHAnsi"/>
                <w:color w:val="000000"/>
                <w:sz w:val="22"/>
                <w:szCs w:val="22"/>
              </w:rPr>
              <w:t>1</w:t>
            </w:r>
            <w:r w:rsidRPr="00864A9B">
              <w:rPr>
                <w:rFonts w:asciiTheme="minorHAnsi" w:hAnsiTheme="minorHAnsi" w:cstheme="minorHAnsi"/>
                <w:color w:val="000000"/>
                <w:sz w:val="22"/>
                <w:szCs w:val="22"/>
              </w:rPr>
              <w:t xml:space="preserve">. </w:t>
            </w:r>
            <w:r w:rsidRPr="00864A9B" w:rsidR="003B7C45">
              <w:rPr>
                <w:rFonts w:asciiTheme="minorHAnsi" w:hAnsiTheme="minorHAnsi" w:cstheme="minorHAnsi"/>
                <w:color w:val="000000"/>
                <w:sz w:val="22"/>
                <w:szCs w:val="22"/>
              </w:rPr>
              <w:t xml:space="preserve">Alignment of Study Objectives and </w:t>
            </w:r>
            <w:r w:rsidRPr="00864A9B" w:rsidR="00182150">
              <w:rPr>
                <w:rFonts w:asciiTheme="minorHAnsi" w:hAnsiTheme="minorHAnsi" w:cstheme="minorHAnsi"/>
                <w:color w:val="000000"/>
                <w:sz w:val="22"/>
                <w:szCs w:val="22"/>
              </w:rPr>
              <w:t>Instruments</w:t>
            </w:r>
          </w:p>
        </w:tc>
      </w:tr>
      <w:tr w:rsidRPr="00864A9B" w:rsidR="003E1139" w:rsidTr="003E1139" w14:paraId="6B33C76F" w14:textId="77777777">
        <w:tc>
          <w:tcPr>
            <w:tcW w:w="4675" w:type="dxa"/>
          </w:tcPr>
          <w:p w:rsidRPr="00864A9B" w:rsidR="003E1139" w:rsidP="003E1139" w:rsidRDefault="003E1139" w14:paraId="663B731B" w14:textId="29711658">
            <w:pPr>
              <w:autoSpaceDE w:val="0"/>
              <w:autoSpaceDN w:val="0"/>
              <w:adjustRightInd w:val="0"/>
              <w:spacing w:line="240" w:lineRule="atLeast"/>
              <w:rPr>
                <w:rFonts w:asciiTheme="minorHAnsi" w:hAnsiTheme="minorHAnsi" w:cstheme="minorHAnsi"/>
                <w:b/>
                <w:bCs/>
                <w:color w:val="000000"/>
                <w:sz w:val="22"/>
                <w:szCs w:val="22"/>
              </w:rPr>
            </w:pPr>
            <w:r w:rsidRPr="00864A9B">
              <w:rPr>
                <w:rFonts w:asciiTheme="minorHAnsi" w:hAnsiTheme="minorHAnsi" w:cstheme="minorHAnsi"/>
                <w:b/>
                <w:bCs/>
                <w:color w:val="000000"/>
                <w:sz w:val="22"/>
                <w:szCs w:val="22"/>
              </w:rPr>
              <w:t>Study Objective</w:t>
            </w:r>
          </w:p>
        </w:tc>
        <w:tc>
          <w:tcPr>
            <w:tcW w:w="4675" w:type="dxa"/>
          </w:tcPr>
          <w:p w:rsidRPr="00864A9B" w:rsidR="003E1139" w:rsidP="003E1139" w:rsidRDefault="00182150" w14:paraId="11BBC2FB" w14:textId="645479FE">
            <w:pPr>
              <w:autoSpaceDE w:val="0"/>
              <w:autoSpaceDN w:val="0"/>
              <w:adjustRightInd w:val="0"/>
              <w:spacing w:line="240" w:lineRule="atLeast"/>
              <w:rPr>
                <w:rFonts w:asciiTheme="minorHAnsi" w:hAnsiTheme="minorHAnsi" w:cstheme="minorHAnsi"/>
                <w:b/>
                <w:bCs/>
                <w:color w:val="000000"/>
                <w:sz w:val="22"/>
                <w:szCs w:val="22"/>
              </w:rPr>
            </w:pPr>
            <w:r w:rsidRPr="00864A9B">
              <w:rPr>
                <w:rFonts w:asciiTheme="minorHAnsi" w:hAnsiTheme="minorHAnsi" w:cstheme="minorHAnsi"/>
                <w:b/>
                <w:bCs/>
                <w:color w:val="000000"/>
                <w:sz w:val="22"/>
                <w:szCs w:val="22"/>
              </w:rPr>
              <w:t>Instruments</w:t>
            </w:r>
            <w:r w:rsidRPr="00864A9B" w:rsidR="003B7C45">
              <w:rPr>
                <w:rFonts w:asciiTheme="minorHAnsi" w:hAnsiTheme="minorHAnsi" w:cstheme="minorHAnsi"/>
                <w:b/>
                <w:bCs/>
                <w:color w:val="000000"/>
                <w:sz w:val="22"/>
                <w:szCs w:val="22"/>
              </w:rPr>
              <w:t xml:space="preserve"> Addressing Study Objective</w:t>
            </w:r>
          </w:p>
        </w:tc>
      </w:tr>
      <w:tr w:rsidRPr="00864A9B" w:rsidR="003E1139" w:rsidTr="003E1139" w14:paraId="4C00A00D" w14:textId="77777777">
        <w:tc>
          <w:tcPr>
            <w:tcW w:w="4675" w:type="dxa"/>
          </w:tcPr>
          <w:p w:rsidRPr="00864A9B" w:rsidR="003E1139" w:rsidP="00920893" w:rsidRDefault="003B7C45" w14:paraId="3C76ECA1" w14:textId="14F6614C">
            <w:pPr>
              <w:pStyle w:val="ListParagraph"/>
              <w:numPr>
                <w:ilvl w:val="0"/>
                <w:numId w:val="33"/>
              </w:numPr>
              <w:autoSpaceDE w:val="0"/>
              <w:autoSpaceDN w:val="0"/>
              <w:adjustRightInd w:val="0"/>
              <w:spacing w:line="240" w:lineRule="atLeast"/>
              <w:ind w:left="337"/>
              <w:rPr>
                <w:rFonts w:asciiTheme="minorHAnsi" w:hAnsiTheme="minorHAnsi" w:cstheme="minorHAnsi"/>
                <w:color w:val="000000"/>
                <w:sz w:val="22"/>
                <w:szCs w:val="22"/>
              </w:rPr>
            </w:pPr>
            <w:r w:rsidRPr="00864A9B">
              <w:rPr>
                <w:rFonts w:asciiTheme="minorHAnsi" w:hAnsiTheme="minorHAnsi" w:cstheme="minorHAnsi"/>
                <w:color w:val="000000"/>
                <w:sz w:val="22"/>
                <w:szCs w:val="22"/>
              </w:rPr>
              <w:t>To understand how and why grant recipients convert enrollment slots from Head Start to Early Head Start</w:t>
            </w:r>
          </w:p>
        </w:tc>
        <w:tc>
          <w:tcPr>
            <w:tcW w:w="4675" w:type="dxa"/>
          </w:tcPr>
          <w:p w:rsidRPr="00864A9B" w:rsidR="003E1139" w:rsidP="008F21D8" w:rsidRDefault="00182150" w14:paraId="77E8792D" w14:textId="0BF7F516">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Instrument 3</w:t>
            </w:r>
            <w:r w:rsidRPr="00864A9B" w:rsidR="003B7C45">
              <w:rPr>
                <w:rFonts w:asciiTheme="minorHAnsi" w:hAnsiTheme="minorHAnsi" w:cstheme="minorHAnsi"/>
                <w:color w:val="000000"/>
                <w:sz w:val="22"/>
                <w:szCs w:val="22"/>
              </w:rPr>
              <w:t xml:space="preserve"> – Full Interview for Head Start Staff </w:t>
            </w:r>
            <w:r w:rsidRPr="00864A9B" w:rsidR="00F4767C">
              <w:rPr>
                <w:rFonts w:asciiTheme="minorHAnsi" w:hAnsiTheme="minorHAnsi" w:cstheme="minorHAnsi"/>
                <w:color w:val="000000"/>
                <w:sz w:val="22"/>
                <w:szCs w:val="22"/>
              </w:rPr>
              <w:t xml:space="preserve">and T/TA Staff </w:t>
            </w:r>
            <w:r w:rsidRPr="00864A9B">
              <w:rPr>
                <w:rFonts w:asciiTheme="minorHAnsi" w:hAnsiTheme="minorHAnsi" w:cstheme="minorHAnsi"/>
                <w:color w:val="000000"/>
                <w:sz w:val="22"/>
                <w:szCs w:val="22"/>
              </w:rPr>
              <w:t xml:space="preserve">Protocol </w:t>
            </w:r>
            <w:r w:rsidRPr="00864A9B" w:rsidR="003B7C45">
              <w:rPr>
                <w:rFonts w:asciiTheme="minorHAnsi" w:hAnsiTheme="minorHAnsi" w:cstheme="minorHAnsi"/>
                <w:color w:val="000000"/>
                <w:sz w:val="22"/>
                <w:szCs w:val="22"/>
              </w:rPr>
              <w:t xml:space="preserve">(relevant sections: </w:t>
            </w:r>
            <w:r w:rsidRPr="00864A9B" w:rsidR="008F21D8">
              <w:rPr>
                <w:rFonts w:asciiTheme="minorHAnsi" w:hAnsiTheme="minorHAnsi" w:cstheme="minorHAnsi"/>
                <w:color w:val="000000"/>
                <w:sz w:val="22"/>
                <w:szCs w:val="22"/>
              </w:rPr>
              <w:t>Admin/Management Staff, Staff Who Oversee Fiscal Operations; Staff Working Directly with Families)</w:t>
            </w:r>
          </w:p>
          <w:p w:rsidRPr="00864A9B" w:rsidR="008F21D8" w:rsidP="00920893" w:rsidRDefault="00182150" w14:paraId="3960A758" w14:textId="11FC7A63">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Instrument 4 </w:t>
            </w:r>
            <w:r w:rsidRPr="00864A9B" w:rsidR="008F21D8">
              <w:rPr>
                <w:rFonts w:asciiTheme="minorHAnsi" w:hAnsiTheme="minorHAnsi" w:cstheme="minorHAnsi"/>
                <w:color w:val="000000"/>
                <w:sz w:val="22"/>
                <w:szCs w:val="22"/>
              </w:rPr>
              <w:t>– Full Interview for Non-Head Start Staff</w:t>
            </w:r>
            <w:r w:rsidRPr="00864A9B">
              <w:rPr>
                <w:rFonts w:asciiTheme="minorHAnsi" w:hAnsiTheme="minorHAnsi" w:cstheme="minorHAnsi"/>
                <w:color w:val="000000"/>
                <w:sz w:val="22"/>
                <w:szCs w:val="22"/>
              </w:rPr>
              <w:t xml:space="preserve"> Protocol</w:t>
            </w:r>
          </w:p>
        </w:tc>
      </w:tr>
      <w:tr w:rsidRPr="00864A9B" w:rsidR="003E1139" w:rsidTr="003E1139" w14:paraId="087CB37B" w14:textId="77777777">
        <w:tc>
          <w:tcPr>
            <w:tcW w:w="4675" w:type="dxa"/>
          </w:tcPr>
          <w:p w:rsidRPr="00864A9B" w:rsidR="003B7C45" w:rsidP="00920893" w:rsidRDefault="003B7C45" w14:paraId="4F08FEB2" w14:textId="3B736A3F">
            <w:pPr>
              <w:pStyle w:val="ListParagraph"/>
              <w:numPr>
                <w:ilvl w:val="0"/>
                <w:numId w:val="33"/>
              </w:numPr>
              <w:autoSpaceDE w:val="0"/>
              <w:autoSpaceDN w:val="0"/>
              <w:adjustRightInd w:val="0"/>
              <w:spacing w:line="240" w:lineRule="atLeast"/>
              <w:ind w:left="33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To gather information about planning for and implementation of high-quality </w:t>
            </w:r>
            <w:r w:rsidRPr="00864A9B" w:rsidR="00DC5501">
              <w:rPr>
                <w:rFonts w:asciiTheme="minorHAnsi" w:hAnsiTheme="minorHAnsi" w:cstheme="minorHAnsi"/>
                <w:color w:val="000000"/>
                <w:sz w:val="22"/>
                <w:szCs w:val="22"/>
              </w:rPr>
              <w:t>E</w:t>
            </w:r>
            <w:r w:rsidRPr="00864A9B">
              <w:rPr>
                <w:rFonts w:asciiTheme="minorHAnsi" w:hAnsiTheme="minorHAnsi" w:cstheme="minorHAnsi"/>
                <w:color w:val="000000"/>
                <w:sz w:val="22"/>
                <w:szCs w:val="22"/>
              </w:rPr>
              <w:t>arly Head Start services following conversion</w:t>
            </w:r>
          </w:p>
        </w:tc>
        <w:tc>
          <w:tcPr>
            <w:tcW w:w="4675" w:type="dxa"/>
          </w:tcPr>
          <w:p w:rsidRPr="00864A9B" w:rsidR="003E1139" w:rsidP="008F21D8" w:rsidRDefault="00182150" w14:paraId="4C40D860" w14:textId="6456CF23">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Instrument 1 </w:t>
            </w:r>
            <w:r w:rsidRPr="00864A9B" w:rsidR="003B7C45">
              <w:rPr>
                <w:rFonts w:asciiTheme="minorHAnsi" w:hAnsiTheme="minorHAnsi" w:cstheme="minorHAnsi"/>
                <w:color w:val="000000"/>
                <w:sz w:val="22"/>
                <w:szCs w:val="22"/>
              </w:rPr>
              <w:t xml:space="preserve">– Preparatory </w:t>
            </w:r>
            <w:r w:rsidRPr="00864A9B">
              <w:rPr>
                <w:rFonts w:asciiTheme="minorHAnsi" w:hAnsiTheme="minorHAnsi" w:cstheme="minorHAnsi"/>
                <w:color w:val="000000"/>
                <w:sz w:val="22"/>
                <w:szCs w:val="22"/>
              </w:rPr>
              <w:t xml:space="preserve">Interview </w:t>
            </w:r>
            <w:r w:rsidRPr="00864A9B" w:rsidR="003B7C45">
              <w:rPr>
                <w:rFonts w:asciiTheme="minorHAnsi" w:hAnsiTheme="minorHAnsi" w:cstheme="minorHAnsi"/>
                <w:color w:val="000000"/>
                <w:sz w:val="22"/>
                <w:szCs w:val="22"/>
              </w:rPr>
              <w:t>with Head Start Directors and Coordinators (relevant section: Head Start Directors)</w:t>
            </w:r>
          </w:p>
          <w:p w:rsidRPr="00864A9B" w:rsidR="008F21D8" w:rsidP="00920893" w:rsidRDefault="00182150" w14:paraId="5B882666" w14:textId="7BF0AC6F">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Instrument 2 </w:t>
            </w:r>
            <w:r w:rsidRPr="00864A9B" w:rsidR="008F21D8">
              <w:rPr>
                <w:rFonts w:asciiTheme="minorHAnsi" w:hAnsiTheme="minorHAnsi" w:cstheme="minorHAnsi"/>
                <w:color w:val="000000"/>
                <w:sz w:val="22"/>
                <w:szCs w:val="22"/>
              </w:rPr>
              <w:t>– Preparatory Email Request</w:t>
            </w:r>
          </w:p>
          <w:p w:rsidRPr="00864A9B" w:rsidR="008F21D8" w:rsidP="008F21D8" w:rsidRDefault="00182150" w14:paraId="5B174796" w14:textId="2FAFDE19">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Instrument 3 </w:t>
            </w:r>
            <w:r w:rsidRPr="00864A9B" w:rsidR="008F21D8">
              <w:rPr>
                <w:rFonts w:asciiTheme="minorHAnsi" w:hAnsiTheme="minorHAnsi" w:cstheme="minorHAnsi"/>
                <w:color w:val="000000"/>
                <w:sz w:val="22"/>
                <w:szCs w:val="22"/>
              </w:rPr>
              <w:t>– Full Interview for Head Start Staff</w:t>
            </w:r>
            <w:r w:rsidRPr="00864A9B">
              <w:rPr>
                <w:rFonts w:asciiTheme="minorHAnsi" w:hAnsiTheme="minorHAnsi" w:cstheme="minorHAnsi"/>
                <w:color w:val="000000"/>
                <w:sz w:val="22"/>
                <w:szCs w:val="22"/>
              </w:rPr>
              <w:t xml:space="preserve"> </w:t>
            </w:r>
            <w:r w:rsidRPr="00864A9B" w:rsidR="00F4767C">
              <w:rPr>
                <w:rFonts w:asciiTheme="minorHAnsi" w:hAnsiTheme="minorHAnsi" w:cstheme="minorHAnsi"/>
                <w:color w:val="000000"/>
                <w:sz w:val="22"/>
                <w:szCs w:val="22"/>
              </w:rPr>
              <w:t xml:space="preserve">and T/TA Staff </w:t>
            </w:r>
            <w:r w:rsidRPr="00864A9B">
              <w:rPr>
                <w:rFonts w:asciiTheme="minorHAnsi" w:hAnsiTheme="minorHAnsi" w:cstheme="minorHAnsi"/>
                <w:color w:val="000000"/>
                <w:sz w:val="22"/>
                <w:szCs w:val="22"/>
              </w:rPr>
              <w:t>Protocol</w:t>
            </w:r>
            <w:r w:rsidRPr="00864A9B" w:rsidR="008F21D8">
              <w:rPr>
                <w:rFonts w:asciiTheme="minorHAnsi" w:hAnsiTheme="minorHAnsi" w:cstheme="minorHAnsi"/>
                <w:color w:val="000000"/>
                <w:sz w:val="22"/>
                <w:szCs w:val="22"/>
              </w:rPr>
              <w:t xml:space="preserve"> (relevant sections: Admin/Management Staff, Staff Who Oversee Fiscal Operations; Staff Working Directly with Families)</w:t>
            </w:r>
          </w:p>
          <w:p w:rsidRPr="00864A9B" w:rsidR="008F21D8" w:rsidP="00920893" w:rsidRDefault="00182150" w14:paraId="271FC2B0" w14:textId="50A8D692">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Instrument 4 </w:t>
            </w:r>
            <w:r w:rsidRPr="00864A9B" w:rsidR="008F21D8">
              <w:rPr>
                <w:rFonts w:asciiTheme="minorHAnsi" w:hAnsiTheme="minorHAnsi" w:cstheme="minorHAnsi"/>
                <w:color w:val="000000"/>
                <w:sz w:val="22"/>
                <w:szCs w:val="22"/>
              </w:rPr>
              <w:t>– Full Interview for Non-Head Start Staff</w:t>
            </w:r>
            <w:r w:rsidRPr="00864A9B">
              <w:rPr>
                <w:rFonts w:asciiTheme="minorHAnsi" w:hAnsiTheme="minorHAnsi" w:cstheme="minorHAnsi"/>
                <w:color w:val="000000"/>
                <w:sz w:val="22"/>
                <w:szCs w:val="22"/>
              </w:rPr>
              <w:t xml:space="preserve"> Protocol</w:t>
            </w:r>
          </w:p>
        </w:tc>
      </w:tr>
      <w:tr w:rsidRPr="00864A9B" w:rsidR="008F21D8" w:rsidTr="003E1139" w14:paraId="2243C267" w14:textId="77777777">
        <w:tc>
          <w:tcPr>
            <w:tcW w:w="4675" w:type="dxa"/>
          </w:tcPr>
          <w:p w:rsidRPr="00864A9B" w:rsidR="008F21D8" w:rsidP="00920893" w:rsidRDefault="008F21D8" w14:paraId="5073D3FD" w14:textId="10EDAE7B">
            <w:pPr>
              <w:pStyle w:val="ListParagraph"/>
              <w:numPr>
                <w:ilvl w:val="0"/>
                <w:numId w:val="33"/>
              </w:numPr>
              <w:autoSpaceDE w:val="0"/>
              <w:autoSpaceDN w:val="0"/>
              <w:adjustRightInd w:val="0"/>
              <w:spacing w:line="240" w:lineRule="atLeast"/>
              <w:ind w:left="337"/>
              <w:rPr>
                <w:rFonts w:asciiTheme="minorHAnsi" w:hAnsiTheme="minorHAnsi" w:cstheme="minorHAnsi"/>
                <w:color w:val="000000"/>
                <w:sz w:val="22"/>
                <w:szCs w:val="22"/>
              </w:rPr>
            </w:pPr>
            <w:r w:rsidRPr="00864A9B">
              <w:rPr>
                <w:rFonts w:asciiTheme="minorHAnsi" w:hAnsiTheme="minorHAnsi" w:cstheme="minorHAnsi"/>
                <w:color w:val="000000"/>
                <w:sz w:val="22"/>
                <w:szCs w:val="22"/>
              </w:rPr>
              <w:t>To learn about barriers and facilitators to the provision of high-quality Early Head Start services that meet community needs</w:t>
            </w:r>
          </w:p>
        </w:tc>
        <w:tc>
          <w:tcPr>
            <w:tcW w:w="4675" w:type="dxa"/>
          </w:tcPr>
          <w:p w:rsidRPr="00864A9B" w:rsidR="008F21D8" w:rsidP="008F21D8" w:rsidRDefault="00182150" w14:paraId="54756DFF" w14:textId="42B40463">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Instrument 3 </w:t>
            </w:r>
            <w:r w:rsidRPr="00864A9B" w:rsidR="008F21D8">
              <w:rPr>
                <w:rFonts w:asciiTheme="minorHAnsi" w:hAnsiTheme="minorHAnsi" w:cstheme="minorHAnsi"/>
                <w:color w:val="000000"/>
                <w:sz w:val="22"/>
                <w:szCs w:val="22"/>
              </w:rPr>
              <w:t>– Full Interview for Head Start Staff</w:t>
            </w:r>
            <w:r w:rsidRPr="00864A9B" w:rsidR="00F4767C">
              <w:rPr>
                <w:rFonts w:asciiTheme="minorHAnsi" w:hAnsiTheme="minorHAnsi" w:cstheme="minorHAnsi"/>
                <w:color w:val="000000"/>
                <w:sz w:val="22"/>
                <w:szCs w:val="22"/>
              </w:rPr>
              <w:t xml:space="preserve"> and T/TA Staff</w:t>
            </w:r>
            <w:r w:rsidRPr="00864A9B" w:rsidR="008F21D8">
              <w:rPr>
                <w:rFonts w:asciiTheme="minorHAnsi" w:hAnsiTheme="minorHAnsi" w:cstheme="minorHAnsi"/>
                <w:color w:val="000000"/>
                <w:sz w:val="22"/>
                <w:szCs w:val="22"/>
              </w:rPr>
              <w:t xml:space="preserve"> </w:t>
            </w:r>
            <w:r w:rsidRPr="00864A9B">
              <w:rPr>
                <w:rFonts w:asciiTheme="minorHAnsi" w:hAnsiTheme="minorHAnsi" w:cstheme="minorHAnsi"/>
                <w:color w:val="000000"/>
                <w:sz w:val="22"/>
                <w:szCs w:val="22"/>
              </w:rPr>
              <w:t xml:space="preserve">Protocol </w:t>
            </w:r>
            <w:r w:rsidRPr="00864A9B" w:rsidR="008F21D8">
              <w:rPr>
                <w:rFonts w:asciiTheme="minorHAnsi" w:hAnsiTheme="minorHAnsi" w:cstheme="minorHAnsi"/>
                <w:color w:val="000000"/>
                <w:sz w:val="22"/>
                <w:szCs w:val="22"/>
              </w:rPr>
              <w:t>(relevant sections: Admin/Management Staff, Staff Who Oversee Fiscal Operations; Staff Working Directly with Families)</w:t>
            </w:r>
          </w:p>
          <w:p w:rsidRPr="00864A9B" w:rsidR="008F21D8" w:rsidP="00920893" w:rsidRDefault="00182150" w14:paraId="06987817" w14:textId="4F660B33">
            <w:pPr>
              <w:pStyle w:val="ListParagraph"/>
              <w:numPr>
                <w:ilvl w:val="0"/>
                <w:numId w:val="34"/>
              </w:numPr>
              <w:autoSpaceDE w:val="0"/>
              <w:autoSpaceDN w:val="0"/>
              <w:adjustRightInd w:val="0"/>
              <w:spacing w:line="240" w:lineRule="atLeast"/>
              <w:ind w:left="347"/>
              <w:rPr>
                <w:rFonts w:asciiTheme="minorHAnsi" w:hAnsiTheme="minorHAnsi" w:cstheme="minorHAnsi"/>
                <w:color w:val="000000"/>
                <w:sz w:val="22"/>
                <w:szCs w:val="22"/>
              </w:rPr>
            </w:pPr>
            <w:r w:rsidRPr="00864A9B">
              <w:rPr>
                <w:rFonts w:asciiTheme="minorHAnsi" w:hAnsiTheme="minorHAnsi" w:cstheme="minorHAnsi"/>
                <w:color w:val="000000"/>
                <w:sz w:val="22"/>
                <w:szCs w:val="22"/>
              </w:rPr>
              <w:t xml:space="preserve">Instrument 4 </w:t>
            </w:r>
            <w:r w:rsidRPr="00864A9B" w:rsidR="008F21D8">
              <w:rPr>
                <w:rFonts w:asciiTheme="minorHAnsi" w:hAnsiTheme="minorHAnsi" w:cstheme="minorHAnsi"/>
                <w:color w:val="000000"/>
                <w:sz w:val="22"/>
                <w:szCs w:val="22"/>
              </w:rPr>
              <w:t>– Full Interview for Non-Head Start Staff</w:t>
            </w:r>
            <w:r w:rsidRPr="00864A9B">
              <w:rPr>
                <w:rFonts w:asciiTheme="minorHAnsi" w:hAnsiTheme="minorHAnsi" w:cstheme="minorHAnsi"/>
                <w:color w:val="000000"/>
                <w:sz w:val="22"/>
                <w:szCs w:val="22"/>
              </w:rPr>
              <w:t xml:space="preserve"> Protocol</w:t>
            </w:r>
          </w:p>
        </w:tc>
      </w:tr>
    </w:tbl>
    <w:p w:rsidRPr="00E54A47" w:rsidR="003E1139" w:rsidP="00920893" w:rsidRDefault="003E1139" w14:paraId="53BB399F" w14:textId="77777777">
      <w:pPr>
        <w:autoSpaceDE w:val="0"/>
        <w:autoSpaceDN w:val="0"/>
        <w:adjustRightInd w:val="0"/>
        <w:spacing w:after="0" w:line="240" w:lineRule="atLeast"/>
        <w:rPr>
          <w:rFonts w:eastAsia="Times New Roman" w:cstheme="minorHAnsi"/>
          <w:color w:val="000000"/>
        </w:rPr>
      </w:pPr>
    </w:p>
    <w:p w:rsidRPr="00E54A47" w:rsidR="003E1139" w:rsidP="00920893" w:rsidRDefault="003E1139" w14:paraId="63007348" w14:textId="77777777">
      <w:pPr>
        <w:autoSpaceDE w:val="0"/>
        <w:autoSpaceDN w:val="0"/>
        <w:adjustRightInd w:val="0"/>
        <w:spacing w:after="0" w:line="240" w:lineRule="atLeast"/>
        <w:ind w:firstLine="720"/>
        <w:rPr>
          <w:rFonts w:eastAsia="Times New Roman" w:cstheme="minorHAnsi"/>
          <w:color w:val="000000"/>
        </w:rPr>
      </w:pPr>
    </w:p>
    <w:p w:rsidR="00A42C71" w:rsidP="28F8C221" w:rsidRDefault="28F8C221" w14:paraId="724733CA" w14:textId="736F4B11">
      <w:pPr>
        <w:autoSpaceDE w:val="0"/>
        <w:autoSpaceDN w:val="0"/>
        <w:adjustRightInd w:val="0"/>
        <w:spacing w:after="0" w:line="240" w:lineRule="atLeast"/>
        <w:ind w:firstLine="720"/>
        <w:rPr>
          <w:rFonts w:eastAsia="Times New Roman"/>
          <w:color w:val="000000" w:themeColor="text1"/>
        </w:rPr>
      </w:pPr>
      <w:r w:rsidRPr="00864A9B">
        <w:rPr>
          <w:rFonts w:eastAsia="Times New Roman" w:cstheme="minorHAnsi"/>
          <w:color w:val="000000" w:themeColor="text1"/>
        </w:rPr>
        <w:lastRenderedPageBreak/>
        <w:t xml:space="preserve">In drafting these instruments, we considered whether we could gather information from other sources to minimize the burden placed on participants. For instance, for each recipient participating in the </w:t>
      </w:r>
      <w:r w:rsidRPr="00864A9B" w:rsidR="007C41DE">
        <w:rPr>
          <w:rFonts w:eastAsia="Times New Roman" w:cstheme="minorHAnsi"/>
          <w:color w:val="000000" w:themeColor="text1"/>
        </w:rPr>
        <w:t>multi-case study</w:t>
      </w:r>
      <w:r w:rsidRPr="00864A9B">
        <w:rPr>
          <w:rFonts w:eastAsia="Times New Roman" w:cstheme="minorHAnsi"/>
          <w:color w:val="000000" w:themeColor="text1"/>
        </w:rPr>
        <w:t>, we will review all information about the conversion of interest from HSES and</w:t>
      </w:r>
      <w:r w:rsidRPr="00864A9B" w:rsidR="007C41DE">
        <w:rPr>
          <w:rFonts w:eastAsia="Times New Roman" w:cstheme="minorHAnsi"/>
          <w:color w:val="000000" w:themeColor="text1"/>
        </w:rPr>
        <w:t xml:space="preserve"> </w:t>
      </w:r>
      <w:r w:rsidRPr="00864A9B">
        <w:rPr>
          <w:rFonts w:eastAsia="Times New Roman" w:cstheme="minorHAnsi"/>
          <w:color w:val="000000" w:themeColor="text1"/>
        </w:rPr>
        <w:t xml:space="preserve">PIR data. We will seek to confirm some of what we </w:t>
      </w:r>
      <w:r w:rsidRPr="00864A9B" w:rsidR="007C41DE">
        <w:rPr>
          <w:rFonts w:eastAsia="Times New Roman" w:cstheme="minorHAnsi"/>
          <w:color w:val="000000" w:themeColor="text1"/>
        </w:rPr>
        <w:t>find but</w:t>
      </w:r>
      <w:r w:rsidRPr="00864A9B">
        <w:rPr>
          <w:rFonts w:eastAsia="Times New Roman" w:cstheme="minorHAnsi"/>
          <w:color w:val="000000" w:themeColor="text1"/>
        </w:rPr>
        <w:t xml:space="preserve"> will collect detailed background information from HSES and PIR to will help us avoid seeking redundant information during the interviews. We have also carefully considered which interviewee(s) are best suited to address which question(s) to avoid asking multiple people for the same information.</w:t>
      </w:r>
      <w:r w:rsidRPr="00864A9B" w:rsidR="00636F8C">
        <w:rPr>
          <w:rFonts w:eastAsia="Times New Roman" w:cstheme="minorHAnsi"/>
          <w:color w:val="000000" w:themeColor="text1"/>
        </w:rPr>
        <w:t xml:space="preserve"> As such, respondents will respond only to the subset of modules or questions in the master protocols that align</w:t>
      </w:r>
      <w:r w:rsidRPr="00636F8C" w:rsidR="00636F8C">
        <w:rPr>
          <w:rFonts w:eastAsia="Times New Roman"/>
          <w:color w:val="000000" w:themeColor="text1"/>
        </w:rPr>
        <w:t xml:space="preserve"> with their own areas of knowledge/expertise.</w:t>
      </w:r>
    </w:p>
    <w:p w:rsidR="00AD5C04" w:rsidP="28F8C221" w:rsidRDefault="00AD5C04" w14:paraId="0F9FC132" w14:textId="77777777">
      <w:pPr>
        <w:autoSpaceDE w:val="0"/>
        <w:autoSpaceDN w:val="0"/>
        <w:adjustRightInd w:val="0"/>
        <w:spacing w:after="0" w:line="240" w:lineRule="atLeast"/>
        <w:ind w:firstLine="720"/>
        <w:rPr>
          <w:rFonts w:eastAsia="Times New Roman"/>
          <w:color w:val="000000"/>
        </w:rPr>
      </w:pPr>
    </w:p>
    <w:p w:rsidRPr="001A59B6" w:rsidR="009557B9" w:rsidP="00A42C71" w:rsidRDefault="009557B9" w14:paraId="5718A445" w14:textId="2CB7023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ab/>
        <w:t xml:space="preserve">We sought feedback on drafts of the instruments from </w:t>
      </w:r>
      <w:r w:rsidR="00DA40D0">
        <w:rPr>
          <w:rFonts w:eastAsia="Times New Roman" w:cstheme="minorHAnsi"/>
          <w:color w:val="000000"/>
        </w:rPr>
        <w:t>federal staff</w:t>
      </w:r>
      <w:r>
        <w:rPr>
          <w:rFonts w:eastAsia="Times New Roman" w:cstheme="minorHAnsi"/>
          <w:color w:val="000000"/>
        </w:rPr>
        <w:t xml:space="preserve"> and experts consulting on the project. Each round of input yielded feedback that helped us streamline and refine the protocols.</w:t>
      </w:r>
      <w:r w:rsidR="000C587F">
        <w:rPr>
          <w:rFonts w:eastAsia="Times New Roman" w:cstheme="minorHAnsi"/>
          <w:color w:val="000000"/>
        </w:rPr>
        <w:t xml:space="preserve"> </w:t>
      </w: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7979D4" w:rsidP="007979D4" w:rsidRDefault="002E60B5" w14:paraId="250F13DB" w14:textId="622766A9">
      <w:pPr>
        <w:autoSpaceDE w:val="0"/>
        <w:autoSpaceDN w:val="0"/>
        <w:adjustRightInd w:val="0"/>
        <w:spacing w:after="120" w:line="240" w:lineRule="atLeast"/>
      </w:pPr>
      <w:r>
        <w:t>ACF has contracted t</w:t>
      </w:r>
      <w:r w:rsidRPr="007979D4">
        <w:t xml:space="preserve">he </w:t>
      </w:r>
      <w:r w:rsidRPr="007979D4" w:rsidR="007979D4">
        <w:t>Urban Institute and MEF Associate</w:t>
      </w:r>
      <w:r w:rsidR="00D14BFB">
        <w:t>s</w:t>
      </w:r>
      <w:r w:rsidRPr="007979D4" w:rsidR="007979D4">
        <w:t xml:space="preserve"> </w:t>
      </w:r>
      <w:r>
        <w:t>to collect</w:t>
      </w:r>
      <w:r w:rsidRPr="007979D4" w:rsidR="007979D4">
        <w:t xml:space="preserve"> all necessary data. Table 2 in Supporting Statement A summarizes the data collection that will be conducted for the study.</w:t>
      </w:r>
      <w:r w:rsidR="007979D4">
        <w:t xml:space="preserve"> </w:t>
      </w:r>
    </w:p>
    <w:p w:rsidRPr="007979D4" w:rsidR="00A42C71" w:rsidP="007979D4" w:rsidRDefault="007979D4" w14:paraId="1167930B" w14:textId="55BFB892">
      <w:pPr>
        <w:autoSpaceDE w:val="0"/>
        <w:autoSpaceDN w:val="0"/>
        <w:adjustRightInd w:val="0"/>
        <w:spacing w:after="120" w:line="240" w:lineRule="atLeast"/>
        <w:rPr>
          <w:rFonts w:eastAsia="Times New Roman" w:cstheme="minorHAnsi"/>
          <w:color w:val="000000"/>
        </w:rPr>
      </w:pPr>
      <w:r w:rsidRPr="00A40458">
        <w:rPr>
          <w:rFonts w:cstheme="minorHAnsi"/>
        </w:rPr>
        <w:t xml:space="preserve">We will assign a two-person case liaison team to each </w:t>
      </w:r>
      <w:r w:rsidR="003D27EC">
        <w:rPr>
          <w:rFonts w:cstheme="minorHAnsi"/>
        </w:rPr>
        <w:t>grant recipient</w:t>
      </w:r>
      <w:r w:rsidRPr="00A40458">
        <w:rPr>
          <w:rFonts w:cstheme="minorHAnsi"/>
        </w:rPr>
        <w:t xml:space="preserve"> and aim to have that team perform all screening, recruiting, and interviewing for that </w:t>
      </w:r>
      <w:r w:rsidR="00E70223">
        <w:rPr>
          <w:rFonts w:cstheme="minorHAnsi"/>
        </w:rPr>
        <w:t xml:space="preserve">particular </w:t>
      </w:r>
      <w:r w:rsidR="003D27EC">
        <w:rPr>
          <w:rFonts w:cstheme="minorHAnsi"/>
        </w:rPr>
        <w:t>grant recipient</w:t>
      </w:r>
      <w:r w:rsidRPr="00A40458">
        <w:rPr>
          <w:rFonts w:cstheme="minorHAnsi"/>
        </w:rPr>
        <w:t>.</w:t>
      </w:r>
      <w:r>
        <w:rPr>
          <w:rFonts w:cstheme="minorHAnsi"/>
        </w:rPr>
        <w:t xml:space="preserve"> Every team member will participate in a training prior to data collection. </w:t>
      </w:r>
      <w:r w:rsidRPr="007979D4">
        <w:rPr>
          <w:rFonts w:cstheme="minorHAnsi"/>
        </w:rPr>
        <w:t xml:space="preserve">Training will focus on strategies to ensure we collect high quality data in the least burdensome way </w:t>
      </w:r>
      <w:r>
        <w:rPr>
          <w:rFonts w:cstheme="minorHAnsi"/>
        </w:rPr>
        <w:t xml:space="preserve">for respondents, </w:t>
      </w:r>
      <w:r w:rsidRPr="007979D4">
        <w:rPr>
          <w:rFonts w:cstheme="minorHAnsi"/>
        </w:rPr>
        <w:t>including: (1) how to prepare for the interview (for example, narrowing to the selected modules, identifying where documents we have gathered already provide the needed information)</w:t>
      </w:r>
      <w:r w:rsidR="00BE1773">
        <w:rPr>
          <w:rFonts w:cstheme="minorHAnsi"/>
        </w:rPr>
        <w:t>;</w:t>
      </w:r>
      <w:r w:rsidRPr="007979D4">
        <w:rPr>
          <w:rFonts w:cstheme="minorHAnsi"/>
        </w:rPr>
        <w:t xml:space="preserve"> (2) how to efficiently move through the interview protocol while collecting high</w:t>
      </w:r>
      <w:r w:rsidR="00BE1773">
        <w:rPr>
          <w:rFonts w:cstheme="minorHAnsi"/>
        </w:rPr>
        <w:t>-</w:t>
      </w:r>
      <w:r w:rsidRPr="007979D4">
        <w:rPr>
          <w:rFonts w:cstheme="minorHAnsi"/>
        </w:rPr>
        <w:t>quality information (for example, how to make decisions about which probes are critical</w:t>
      </w:r>
      <w:r w:rsidR="00BE1773">
        <w:rPr>
          <w:rFonts w:cstheme="minorHAnsi"/>
        </w:rPr>
        <w:t>,</w:t>
      </w:r>
      <w:r w:rsidRPr="007979D4">
        <w:rPr>
          <w:rFonts w:cstheme="minorHAnsi"/>
        </w:rPr>
        <w:t xml:space="preserve"> based on answers received to that point in the interview); and (3) how to synthesize notes after each interview to confirm completeness of the data. </w:t>
      </w:r>
    </w:p>
    <w:p w:rsidR="007979D4" w:rsidP="00864A9B" w:rsidRDefault="007979D4" w14:paraId="386DEC61" w14:textId="645535F3">
      <w:pPr>
        <w:autoSpaceDE w:val="0"/>
        <w:autoSpaceDN w:val="0"/>
        <w:adjustRightInd w:val="0"/>
        <w:spacing w:after="60" w:line="240" w:lineRule="atLeast"/>
        <w:rPr>
          <w:rFonts w:eastAsia="Times New Roman" w:cstheme="minorHAnsi"/>
          <w:color w:val="000000"/>
          <w:u w:val="single"/>
        </w:rPr>
      </w:pPr>
      <w:r w:rsidRPr="007979D4">
        <w:rPr>
          <w:rFonts w:eastAsia="Times New Roman" w:cstheme="minorHAnsi"/>
          <w:color w:val="000000"/>
          <w:u w:val="single"/>
        </w:rPr>
        <w:t>Recruitment</w:t>
      </w:r>
    </w:p>
    <w:p w:rsidR="007979D4" w:rsidP="00636F8C" w:rsidRDefault="00AD5C04" w14:paraId="02F36BFB" w14:textId="4E25384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w:t>
      </w:r>
      <w:r w:rsidRPr="007979D4" w:rsidR="00852B72">
        <w:rPr>
          <w:rFonts w:eastAsia="Times New Roman" w:cstheme="minorHAnsi"/>
          <w:color w:val="000000"/>
        </w:rPr>
        <w:t xml:space="preserve">e will </w:t>
      </w:r>
      <w:r w:rsidR="00636F8C">
        <w:rPr>
          <w:rFonts w:eastAsia="Times New Roman" w:cstheme="minorHAnsi"/>
          <w:color w:val="000000"/>
        </w:rPr>
        <w:t xml:space="preserve">engage federal staff to help identify potential grant recipients for participation. </w:t>
      </w:r>
      <w:r w:rsidR="002538C5">
        <w:rPr>
          <w:rFonts w:eastAsia="Times New Roman" w:cstheme="minorHAnsi"/>
          <w:color w:val="000000"/>
        </w:rPr>
        <w:t xml:space="preserve">Once we identify eligible grant recipients (described in B2) </w:t>
      </w:r>
      <w:r>
        <w:rPr>
          <w:rFonts w:eastAsia="Times New Roman" w:cstheme="minorHAnsi"/>
          <w:color w:val="000000"/>
        </w:rPr>
        <w:t xml:space="preserve">and OMB has approved the information collection request, </w:t>
      </w:r>
      <w:r w:rsidR="002538C5">
        <w:rPr>
          <w:rFonts w:eastAsia="Times New Roman" w:cstheme="minorHAnsi"/>
          <w:color w:val="000000"/>
        </w:rPr>
        <w:t xml:space="preserve">we will begin recruiting grant recipients. </w:t>
      </w:r>
      <w:r w:rsidR="00636F8C">
        <w:rPr>
          <w:rFonts w:eastAsia="Times New Roman" w:cstheme="minorHAnsi"/>
          <w:color w:val="000000"/>
        </w:rPr>
        <w:t>T</w:t>
      </w:r>
      <w:r w:rsidRPr="007979D4" w:rsidR="007979D4">
        <w:rPr>
          <w:rFonts w:eastAsia="Times New Roman" w:cstheme="minorHAnsi"/>
          <w:color w:val="000000"/>
        </w:rPr>
        <w:t>he project team will follow up directly with grant</w:t>
      </w:r>
      <w:r w:rsidR="00D55728">
        <w:rPr>
          <w:rFonts w:eastAsia="Times New Roman" w:cstheme="minorHAnsi"/>
          <w:color w:val="000000"/>
        </w:rPr>
        <w:t xml:space="preserve"> recipient</w:t>
      </w:r>
      <w:r w:rsidRPr="007979D4" w:rsidR="007979D4">
        <w:rPr>
          <w:rFonts w:eastAsia="Times New Roman" w:cstheme="minorHAnsi"/>
          <w:color w:val="000000"/>
        </w:rPr>
        <w:t xml:space="preserve"> directors to collect information that will help us to confirm eligibility (described </w:t>
      </w:r>
      <w:r w:rsidR="007979D4">
        <w:rPr>
          <w:rFonts w:eastAsia="Times New Roman" w:cstheme="minorHAnsi"/>
          <w:color w:val="000000"/>
        </w:rPr>
        <w:t>in B2).</w:t>
      </w:r>
      <w:r w:rsidRPr="007979D4" w:rsidR="007979D4">
        <w:rPr>
          <w:rFonts w:eastAsia="Times New Roman" w:cstheme="minorHAnsi"/>
          <w:color w:val="000000"/>
        </w:rPr>
        <w:t xml:space="preserve"> The project team will then work</w:t>
      </w:r>
      <w:r w:rsidRPr="007979D4" w:rsidR="007979D4">
        <w:t xml:space="preserve"> </w:t>
      </w:r>
      <w:r w:rsidRPr="007979D4" w:rsidR="007979D4">
        <w:rPr>
          <w:rFonts w:eastAsia="Times New Roman" w:cstheme="minorHAnsi"/>
          <w:color w:val="000000"/>
        </w:rPr>
        <w:t xml:space="preserve">with eligible </w:t>
      </w:r>
      <w:r w:rsidR="009A098A">
        <w:rPr>
          <w:rFonts w:eastAsia="Times New Roman" w:cstheme="minorHAnsi"/>
          <w:color w:val="000000"/>
        </w:rPr>
        <w:t>grant recipients</w:t>
      </w:r>
      <w:r w:rsidRPr="007979D4" w:rsidR="009A098A">
        <w:rPr>
          <w:rFonts w:eastAsia="Times New Roman" w:cstheme="minorHAnsi"/>
          <w:color w:val="000000"/>
        </w:rPr>
        <w:t xml:space="preserve"> </w:t>
      </w:r>
      <w:r w:rsidRPr="007979D4" w:rsidR="007979D4">
        <w:rPr>
          <w:rFonts w:eastAsia="Times New Roman" w:cstheme="minorHAnsi"/>
          <w:color w:val="000000"/>
        </w:rPr>
        <w:t>to confirm participation and begin scheduling interviews with the help of a</w:t>
      </w:r>
      <w:r w:rsidR="00F71D2A">
        <w:rPr>
          <w:rFonts w:eastAsia="Times New Roman" w:cstheme="minorHAnsi"/>
          <w:color w:val="000000"/>
        </w:rPr>
        <w:t xml:space="preserve"> </w:t>
      </w:r>
      <w:r w:rsidRPr="007979D4" w:rsidR="007979D4">
        <w:rPr>
          <w:rFonts w:eastAsia="Times New Roman" w:cstheme="minorHAnsi"/>
          <w:color w:val="000000"/>
        </w:rPr>
        <w:t>Coordinator</w:t>
      </w:r>
      <w:r w:rsidR="007979D4">
        <w:rPr>
          <w:rFonts w:eastAsia="Times New Roman" w:cstheme="minorHAnsi"/>
          <w:color w:val="000000"/>
        </w:rPr>
        <w:t>.</w:t>
      </w:r>
      <w:r w:rsidR="006E4DEE">
        <w:rPr>
          <w:rFonts w:eastAsia="Times New Roman" w:cstheme="minorHAnsi"/>
          <w:color w:val="000000"/>
        </w:rPr>
        <w:t xml:space="preserve"> Below we describe in more detail how we will select the Coordinator. </w:t>
      </w:r>
    </w:p>
    <w:p w:rsidR="007979D4" w:rsidP="00A42C71" w:rsidRDefault="007979D4" w14:paraId="6B232C42" w14:textId="77777777">
      <w:pPr>
        <w:autoSpaceDE w:val="0"/>
        <w:autoSpaceDN w:val="0"/>
        <w:adjustRightInd w:val="0"/>
        <w:spacing w:after="0" w:line="240" w:lineRule="atLeast"/>
        <w:rPr>
          <w:rFonts w:eastAsia="Times New Roman" w:cstheme="minorHAnsi"/>
          <w:i/>
          <w:iCs/>
          <w:color w:val="000000"/>
        </w:rPr>
      </w:pPr>
    </w:p>
    <w:p w:rsidRPr="007979D4" w:rsidR="007979D4" w:rsidP="00864A9B" w:rsidRDefault="007979D4" w14:paraId="7B567C74" w14:textId="0012C52E">
      <w:pPr>
        <w:autoSpaceDE w:val="0"/>
        <w:autoSpaceDN w:val="0"/>
        <w:adjustRightInd w:val="0"/>
        <w:spacing w:after="60" w:line="240" w:lineRule="atLeast"/>
        <w:rPr>
          <w:rFonts w:eastAsia="Times New Roman" w:cstheme="minorHAnsi"/>
          <w:i/>
          <w:iCs/>
          <w:color w:val="000000"/>
        </w:rPr>
      </w:pPr>
      <w:r w:rsidRPr="007979D4">
        <w:rPr>
          <w:rFonts w:eastAsia="Times New Roman" w:cstheme="minorHAnsi"/>
          <w:i/>
          <w:iCs/>
          <w:color w:val="000000"/>
        </w:rPr>
        <w:t xml:space="preserve">Outreach to </w:t>
      </w:r>
      <w:r>
        <w:rPr>
          <w:rFonts w:eastAsia="Times New Roman" w:cstheme="minorHAnsi"/>
          <w:i/>
          <w:iCs/>
          <w:color w:val="000000"/>
        </w:rPr>
        <w:t>G</w:t>
      </w:r>
      <w:r w:rsidRPr="007979D4">
        <w:rPr>
          <w:rFonts w:eastAsia="Times New Roman" w:cstheme="minorHAnsi"/>
          <w:i/>
          <w:iCs/>
          <w:color w:val="000000"/>
        </w:rPr>
        <w:t xml:space="preserve">rant </w:t>
      </w:r>
      <w:r>
        <w:rPr>
          <w:rFonts w:eastAsia="Times New Roman" w:cstheme="minorHAnsi"/>
          <w:i/>
          <w:iCs/>
          <w:color w:val="000000"/>
        </w:rPr>
        <w:t>R</w:t>
      </w:r>
      <w:r w:rsidRPr="007979D4">
        <w:rPr>
          <w:rFonts w:eastAsia="Times New Roman" w:cstheme="minorHAnsi"/>
          <w:i/>
          <w:iCs/>
          <w:color w:val="000000"/>
        </w:rPr>
        <w:t>ecipients</w:t>
      </w:r>
    </w:p>
    <w:p w:rsidR="007979D4" w:rsidP="00AD5C04" w:rsidRDefault="0058750C" w14:paraId="139295CF" w14:textId="739FC91E">
      <w:pPr>
        <w:spacing w:after="0" w:line="240" w:lineRule="auto"/>
      </w:pPr>
      <w:r>
        <w:t>The</w:t>
      </w:r>
      <w:r w:rsidRPr="0083378C" w:rsidR="007979D4">
        <w:t xml:space="preserve"> project team will </w:t>
      </w:r>
      <w:r w:rsidR="007979D4">
        <w:t>send an email</w:t>
      </w:r>
      <w:r w:rsidR="009A098A">
        <w:t xml:space="preserve"> (Appendix </w:t>
      </w:r>
      <w:r w:rsidR="00AA0BB4">
        <w:t>B</w:t>
      </w:r>
      <w:r w:rsidR="009A098A">
        <w:t>)</w:t>
      </w:r>
      <w:r w:rsidR="007979D4">
        <w:t xml:space="preserve"> introducing the study and asking for a time to </w:t>
      </w:r>
      <w:r w:rsidRPr="0083378C" w:rsidR="007979D4">
        <w:t xml:space="preserve">schedule and conduct </w:t>
      </w:r>
      <w:r w:rsidR="007979D4">
        <w:t>preparatory interviews</w:t>
      </w:r>
      <w:r w:rsidRPr="0083378C" w:rsidR="007979D4">
        <w:t xml:space="preserve"> with the </w:t>
      </w:r>
      <w:r w:rsidR="00392DA1">
        <w:t>D</w:t>
      </w:r>
      <w:r w:rsidRPr="0083378C" w:rsidR="00392DA1">
        <w:t xml:space="preserve">irector </w:t>
      </w:r>
      <w:r w:rsidR="00392DA1">
        <w:t>of</w:t>
      </w:r>
      <w:r w:rsidRPr="0083378C" w:rsidR="00392DA1">
        <w:t xml:space="preserve"> </w:t>
      </w:r>
      <w:r w:rsidRPr="0083378C" w:rsidR="007979D4">
        <w:t xml:space="preserve">each of the </w:t>
      </w:r>
      <w:r w:rsidR="009A098A">
        <w:rPr>
          <w:rFonts w:eastAsia="Times New Roman" w:cstheme="minorHAnsi"/>
          <w:color w:val="000000"/>
        </w:rPr>
        <w:t>grant recipients</w:t>
      </w:r>
      <w:r w:rsidRPr="0083378C" w:rsidR="007979D4">
        <w:t xml:space="preserve">. </w:t>
      </w:r>
      <w:r w:rsidR="007979D4">
        <w:t>The project team will attach</w:t>
      </w:r>
      <w:r w:rsidR="00AA0BB4">
        <w:t xml:space="preserve"> </w:t>
      </w:r>
      <w:r w:rsidR="007979D4">
        <w:t>a document that includes responses to anticipated frequently asked questions (FAQs</w:t>
      </w:r>
      <w:r w:rsidR="009A098A">
        <w:t xml:space="preserve">; Appendix </w:t>
      </w:r>
      <w:r w:rsidR="00842481">
        <w:t>C</w:t>
      </w:r>
      <w:r w:rsidR="006662B1">
        <w:t>)</w:t>
      </w:r>
      <w:r w:rsidR="007979D4">
        <w:t xml:space="preserve">. During the preparatory interviews with </w:t>
      </w:r>
      <w:r w:rsidR="00392DA1">
        <w:t>D</w:t>
      </w:r>
      <w:r w:rsidR="007979D4">
        <w:t>irectors, w</w:t>
      </w:r>
      <w:r w:rsidRPr="0083378C" w:rsidR="007979D4">
        <w:t xml:space="preserve">e will </w:t>
      </w:r>
      <w:r w:rsidR="007979D4">
        <w:t>use the OMB-approved protoco</w:t>
      </w:r>
      <w:r w:rsidR="00392DA1">
        <w:t>l (Instrument 1)</w:t>
      </w:r>
      <w:r w:rsidR="007979D4">
        <w:t xml:space="preserve"> to r</w:t>
      </w:r>
      <w:r w:rsidRPr="00BE7AE0" w:rsidR="007979D4">
        <w:t>eview study goals and expectations for participation</w:t>
      </w:r>
      <w:r w:rsidR="007979D4">
        <w:t>, identify the process for c</w:t>
      </w:r>
      <w:r w:rsidRPr="00BE7AE0" w:rsidR="007979D4">
        <w:t>onfirm</w:t>
      </w:r>
      <w:r w:rsidR="007979D4">
        <w:t>ing</w:t>
      </w:r>
      <w:r w:rsidRPr="00BE7AE0" w:rsidR="007979D4">
        <w:t xml:space="preserve"> </w:t>
      </w:r>
      <w:r w:rsidR="007979D4">
        <w:t>eligibility (e.g., policy council approval), and answer any questions. We will then send a follow-up request by email to o</w:t>
      </w:r>
      <w:r w:rsidRPr="00BE7AE0" w:rsidR="007979D4">
        <w:t xml:space="preserve">btain </w:t>
      </w:r>
      <w:r w:rsidR="007979D4">
        <w:t>contact information</w:t>
      </w:r>
      <w:r w:rsidRPr="00BE7AE0" w:rsidR="007979D4">
        <w:t xml:space="preserve"> about </w:t>
      </w:r>
      <w:r w:rsidR="00D55728">
        <w:t xml:space="preserve">which </w:t>
      </w:r>
      <w:r w:rsidR="007979D4">
        <w:t>staff were involved in the conversion process</w:t>
      </w:r>
      <w:r w:rsidR="00392DA1">
        <w:t xml:space="preserve"> (Instrument 2)</w:t>
      </w:r>
      <w:r w:rsidR="007979D4">
        <w:t>. This information will help the team to</w:t>
      </w:r>
      <w:r w:rsidRPr="008D175A" w:rsidR="007979D4">
        <w:t xml:space="preserve"> identify potential participants to interview during </w:t>
      </w:r>
      <w:r w:rsidR="00E9740B">
        <w:t>data collection</w:t>
      </w:r>
      <w:r w:rsidR="00F71D2A">
        <w:t>.</w:t>
      </w:r>
      <w:r w:rsidRPr="008D175A" w:rsidR="007979D4">
        <w:t xml:space="preserve"> </w:t>
      </w:r>
    </w:p>
    <w:p w:rsidR="00AD5C04" w:rsidP="00864A9B" w:rsidRDefault="00AD5C04" w14:paraId="7CB38475" w14:textId="77777777">
      <w:pPr>
        <w:spacing w:after="0" w:line="240" w:lineRule="auto"/>
      </w:pPr>
    </w:p>
    <w:p w:rsidR="007979D4" w:rsidP="00AD5C04" w:rsidRDefault="007979D4" w14:paraId="7989E98E" w14:textId="57479979">
      <w:pPr>
        <w:spacing w:after="0" w:line="240" w:lineRule="auto"/>
      </w:pPr>
      <w:r>
        <w:t xml:space="preserve">Based on the information provided during the preparatory interview </w:t>
      </w:r>
      <w:r w:rsidR="00392DA1">
        <w:t xml:space="preserve">(Instrument 1) </w:t>
      </w:r>
      <w:r>
        <w:t>and follow-up email</w:t>
      </w:r>
      <w:r w:rsidR="00392DA1">
        <w:t xml:space="preserve"> (Instrument 2)</w:t>
      </w:r>
      <w:r>
        <w:t xml:space="preserve">, the study team will make a final eligibility determination (for more information, see </w:t>
      </w:r>
      <w:r w:rsidR="009A098A">
        <w:t>B2).</w:t>
      </w:r>
    </w:p>
    <w:p w:rsidR="00AD5C04" w:rsidP="00864A9B" w:rsidRDefault="00AD5C04" w14:paraId="6AA7FF91" w14:textId="77777777">
      <w:pPr>
        <w:spacing w:after="0" w:line="240" w:lineRule="auto"/>
      </w:pPr>
    </w:p>
    <w:p w:rsidR="00F71D2A" w:rsidP="007979D4" w:rsidRDefault="007979D4" w14:paraId="52B6C30D" w14:textId="370E6805">
      <w:pPr>
        <w:autoSpaceDE w:val="0"/>
        <w:autoSpaceDN w:val="0"/>
        <w:adjustRightInd w:val="0"/>
        <w:spacing w:after="0" w:line="240" w:lineRule="atLeast"/>
      </w:pPr>
      <w:r>
        <w:lastRenderedPageBreak/>
        <w:t xml:space="preserve">If the </w:t>
      </w:r>
      <w:r w:rsidR="006E4DEE">
        <w:t>grant recipient</w:t>
      </w:r>
      <w:r w:rsidR="009C1884">
        <w:t xml:space="preserve"> </w:t>
      </w:r>
      <w:r>
        <w:t>is eligible and willing to participate, we will ask Program Directors to identify a Coordinator</w:t>
      </w:r>
      <w:r w:rsidR="006662B1">
        <w:t xml:space="preserve"> (Appendix </w:t>
      </w:r>
      <w:r w:rsidR="00842481">
        <w:t>D</w:t>
      </w:r>
      <w:r w:rsidR="006662B1">
        <w:t>)</w:t>
      </w:r>
      <w:r w:rsidR="00852B72">
        <w:t>, who will be responsible for scheduling and coordinating interviews and handling day-of logistics</w:t>
      </w:r>
      <w:r>
        <w:t xml:space="preserve">. We will then email </w:t>
      </w:r>
      <w:r w:rsidR="00E8099C">
        <w:t>C</w:t>
      </w:r>
      <w:r>
        <w:t xml:space="preserve">oordinators </w:t>
      </w:r>
      <w:r w:rsidR="009A098A">
        <w:t xml:space="preserve">(Appendix </w:t>
      </w:r>
      <w:r w:rsidR="00842481">
        <w:t>E</w:t>
      </w:r>
      <w:r w:rsidR="009A098A">
        <w:t xml:space="preserve">) </w:t>
      </w:r>
      <w:r>
        <w:t xml:space="preserve">and will again attach a document with responses to anticipated </w:t>
      </w:r>
      <w:r w:rsidR="006E4DEE">
        <w:t>Frequently Ask Questions (</w:t>
      </w:r>
      <w:r>
        <w:t>FAQs</w:t>
      </w:r>
      <w:r w:rsidR="006E4DEE">
        <w:t>)</w:t>
      </w:r>
      <w:r>
        <w:t>. During the</w:t>
      </w:r>
      <w:r w:rsidR="00E8099C">
        <w:t xml:space="preserve"> P</w:t>
      </w:r>
      <w:r>
        <w:t xml:space="preserve">reparatory </w:t>
      </w:r>
      <w:r w:rsidR="00392DA1">
        <w:t xml:space="preserve">Interview </w:t>
      </w:r>
      <w:r>
        <w:t xml:space="preserve">with </w:t>
      </w:r>
      <w:r w:rsidR="00AD00AB">
        <w:t>C</w:t>
      </w:r>
      <w:r>
        <w:t>oordinators</w:t>
      </w:r>
      <w:r w:rsidR="00392DA1">
        <w:t xml:space="preserve"> (Instrument 1)</w:t>
      </w:r>
      <w:r>
        <w:t>, we will r</w:t>
      </w:r>
      <w:r w:rsidRPr="00BE7AE0">
        <w:t xml:space="preserve">eview study goals and expectations for </w:t>
      </w:r>
      <w:r>
        <w:t xml:space="preserve">the </w:t>
      </w:r>
    </w:p>
    <w:p w:rsidR="007979D4" w:rsidP="007979D4" w:rsidRDefault="00852B72" w14:paraId="2BEF3A0C" w14:textId="3B9809A5">
      <w:pPr>
        <w:autoSpaceDE w:val="0"/>
        <w:autoSpaceDN w:val="0"/>
        <w:adjustRightInd w:val="0"/>
        <w:spacing w:after="0" w:line="240" w:lineRule="atLeast"/>
        <w:rPr>
          <w:rFonts w:eastAsia="Times New Roman" w:cstheme="minorHAnsi"/>
          <w:color w:val="000000"/>
        </w:rPr>
      </w:pPr>
      <w:proofErr w:type="gramStart"/>
      <w:r>
        <w:t>C</w:t>
      </w:r>
      <w:r w:rsidR="007979D4">
        <w:t>oordinator role,</w:t>
      </w:r>
      <w:proofErr w:type="gramEnd"/>
      <w:r w:rsidR="007979D4">
        <w:t xml:space="preserve"> c</w:t>
      </w:r>
      <w:r w:rsidRPr="00BE7AE0" w:rsidR="007979D4">
        <w:t xml:space="preserve">onfirm </w:t>
      </w:r>
      <w:r w:rsidR="007979D4">
        <w:t>willingness to serve in this role, and begin planning for data collection.</w:t>
      </w:r>
    </w:p>
    <w:p w:rsidR="007979D4" w:rsidP="00A42C71" w:rsidRDefault="007979D4" w14:paraId="177A7B1E" w14:textId="77777777">
      <w:pPr>
        <w:autoSpaceDE w:val="0"/>
        <w:autoSpaceDN w:val="0"/>
        <w:adjustRightInd w:val="0"/>
        <w:spacing w:after="0" w:line="240" w:lineRule="atLeast"/>
        <w:rPr>
          <w:rFonts w:eastAsia="Times New Roman" w:cstheme="minorHAnsi"/>
          <w:color w:val="000000"/>
        </w:rPr>
      </w:pPr>
    </w:p>
    <w:p w:rsidRPr="007979D4" w:rsidR="007979D4" w:rsidP="00864A9B" w:rsidRDefault="007979D4" w14:paraId="517F2BA7" w14:textId="7F9ABE13">
      <w:pPr>
        <w:autoSpaceDE w:val="0"/>
        <w:autoSpaceDN w:val="0"/>
        <w:adjustRightInd w:val="0"/>
        <w:spacing w:after="60" w:line="240" w:lineRule="atLeast"/>
        <w:rPr>
          <w:rFonts w:eastAsia="Times New Roman" w:cstheme="minorHAnsi"/>
          <w:color w:val="000000"/>
          <w:u w:val="single"/>
        </w:rPr>
      </w:pPr>
      <w:r w:rsidRPr="007979D4">
        <w:rPr>
          <w:rFonts w:eastAsia="Times New Roman" w:cstheme="minorHAnsi"/>
          <w:color w:val="000000"/>
          <w:u w:val="single"/>
        </w:rPr>
        <w:t>Mode of Data Collection</w:t>
      </w:r>
    </w:p>
    <w:p w:rsidRPr="00C61D4E" w:rsidR="006E4DEE" w:rsidP="00DB5D42" w:rsidRDefault="7647AC75" w14:paraId="745C145B" w14:textId="1644400E">
      <w:pPr>
        <w:autoSpaceDE w:val="0"/>
        <w:autoSpaceDN w:val="0"/>
        <w:adjustRightInd w:val="0"/>
        <w:spacing w:after="0" w:line="240" w:lineRule="atLeast"/>
        <w:rPr>
          <w:rFonts w:eastAsia="Times New Roman"/>
          <w:color w:val="000000"/>
        </w:rPr>
      </w:pPr>
      <w:r w:rsidRPr="7647AC75">
        <w:rPr>
          <w:rFonts w:eastAsia="Times New Roman"/>
          <w:color w:val="000000" w:themeColor="text1"/>
        </w:rPr>
        <w:t>We will conduct</w:t>
      </w:r>
      <w:r w:rsidR="00E9740B">
        <w:rPr>
          <w:rFonts w:eastAsia="Times New Roman"/>
          <w:color w:val="000000" w:themeColor="text1"/>
        </w:rPr>
        <w:t xml:space="preserve"> data collection </w:t>
      </w:r>
      <w:r w:rsidRPr="7647AC75">
        <w:rPr>
          <w:rFonts w:eastAsia="Times New Roman"/>
          <w:color w:val="000000" w:themeColor="text1"/>
        </w:rPr>
        <w:t xml:space="preserve">entirely virtually, over the phone and using a video conferencing platform such as Zoom. </w:t>
      </w:r>
    </w:p>
    <w:p w:rsidR="00DB5D42" w:rsidP="00DB5D42" w:rsidRDefault="00DB5D42" w14:paraId="57A654BE" w14:textId="77777777">
      <w:pPr>
        <w:autoSpaceDE w:val="0"/>
        <w:autoSpaceDN w:val="0"/>
        <w:adjustRightInd w:val="0"/>
        <w:spacing w:after="0" w:line="240" w:lineRule="atLeast"/>
        <w:rPr>
          <w:rFonts w:eastAsia="Times New Roman" w:cstheme="minorHAnsi"/>
          <w:color w:val="000000"/>
        </w:rPr>
      </w:pPr>
    </w:p>
    <w:p w:rsidRPr="007979D4" w:rsidR="007979D4" w:rsidP="00864A9B" w:rsidRDefault="007979D4" w14:paraId="34DB476A" w14:textId="010E7728">
      <w:pPr>
        <w:autoSpaceDE w:val="0"/>
        <w:autoSpaceDN w:val="0"/>
        <w:adjustRightInd w:val="0"/>
        <w:spacing w:after="60" w:line="240" w:lineRule="atLeast"/>
        <w:rPr>
          <w:rFonts w:eastAsia="Times New Roman" w:cstheme="minorHAnsi"/>
          <w:color w:val="000000"/>
          <w:u w:val="single"/>
        </w:rPr>
      </w:pPr>
      <w:bookmarkStart w:name="_Hlk104450957" w:id="1"/>
      <w:r w:rsidRPr="007979D4">
        <w:rPr>
          <w:rFonts w:eastAsia="Times New Roman" w:cstheme="minorHAnsi"/>
          <w:color w:val="000000"/>
          <w:u w:val="single"/>
        </w:rPr>
        <w:t xml:space="preserve">Quality and Consistency in Data Collection Activities </w:t>
      </w:r>
    </w:p>
    <w:bookmarkEnd w:id="1"/>
    <w:p w:rsidR="00DB5D42" w:rsidP="00DB5D42" w:rsidRDefault="00B14475" w14:paraId="7C8BDB64" w14:textId="335C4038">
      <w:pPr>
        <w:pStyle w:val="Paragraph"/>
        <w:spacing w:after="0"/>
        <w:rPr>
          <w:rFonts w:cstheme="minorHAnsi"/>
          <w:sz w:val="22"/>
          <w:szCs w:val="22"/>
        </w:rPr>
      </w:pPr>
      <w:r>
        <w:rPr>
          <w:rFonts w:cstheme="minorHAnsi"/>
          <w:sz w:val="22"/>
          <w:szCs w:val="22"/>
        </w:rPr>
        <w:t xml:space="preserve">The research team will leverage information collected as part of the preparatory interview and/or through public sources related to the roles and responsibilities of particular respondents to identify the appropriate subset of items to ask in each interview (Instruments </w:t>
      </w:r>
      <w:r w:rsidR="00842481">
        <w:rPr>
          <w:rFonts w:cstheme="minorHAnsi"/>
          <w:sz w:val="22"/>
          <w:szCs w:val="22"/>
        </w:rPr>
        <w:t xml:space="preserve">1, 3, and </w:t>
      </w:r>
      <w:r>
        <w:rPr>
          <w:rFonts w:cstheme="minorHAnsi"/>
          <w:sz w:val="22"/>
          <w:szCs w:val="22"/>
        </w:rPr>
        <w:t xml:space="preserve">4). </w:t>
      </w:r>
      <w:r w:rsidRPr="00A40458" w:rsidR="00DB5D42">
        <w:rPr>
          <w:rFonts w:cstheme="minorHAnsi"/>
          <w:sz w:val="22"/>
          <w:szCs w:val="22"/>
        </w:rPr>
        <w:t xml:space="preserve">For </w:t>
      </w:r>
      <w:r w:rsidR="00DB5D42">
        <w:rPr>
          <w:rFonts w:cstheme="minorHAnsi"/>
          <w:sz w:val="22"/>
          <w:szCs w:val="22"/>
        </w:rPr>
        <w:t>all interviews</w:t>
      </w:r>
      <w:r w:rsidR="00EA3933">
        <w:rPr>
          <w:rFonts w:cstheme="minorHAnsi"/>
          <w:sz w:val="22"/>
          <w:szCs w:val="22"/>
        </w:rPr>
        <w:t xml:space="preserve"> (</w:t>
      </w:r>
      <w:r w:rsidR="006E4DEE">
        <w:rPr>
          <w:rFonts w:cstheme="minorHAnsi"/>
          <w:sz w:val="22"/>
          <w:szCs w:val="22"/>
        </w:rPr>
        <w:t>I</w:t>
      </w:r>
      <w:r w:rsidR="00EA3933">
        <w:rPr>
          <w:rFonts w:cstheme="minorHAnsi"/>
          <w:sz w:val="22"/>
          <w:szCs w:val="22"/>
        </w:rPr>
        <w:t>nstrument</w:t>
      </w:r>
      <w:r w:rsidR="006E4DEE">
        <w:rPr>
          <w:rFonts w:cstheme="minorHAnsi"/>
          <w:sz w:val="22"/>
          <w:szCs w:val="22"/>
        </w:rPr>
        <w:t>s</w:t>
      </w:r>
      <w:r w:rsidR="00EA3933">
        <w:rPr>
          <w:rFonts w:cstheme="minorHAnsi"/>
          <w:sz w:val="22"/>
          <w:szCs w:val="22"/>
        </w:rPr>
        <w:t xml:space="preserve"> </w:t>
      </w:r>
      <w:r w:rsidR="00842481">
        <w:rPr>
          <w:rFonts w:cstheme="minorHAnsi"/>
          <w:sz w:val="22"/>
          <w:szCs w:val="22"/>
        </w:rPr>
        <w:t xml:space="preserve">1, 3, and </w:t>
      </w:r>
      <w:r w:rsidR="00EA3933">
        <w:rPr>
          <w:rFonts w:cstheme="minorHAnsi"/>
          <w:sz w:val="22"/>
          <w:szCs w:val="22"/>
        </w:rPr>
        <w:t xml:space="preserve">4) </w:t>
      </w:r>
      <w:r w:rsidRPr="00A40458" w:rsidR="00DB5D42">
        <w:rPr>
          <w:rFonts w:cstheme="minorHAnsi"/>
          <w:sz w:val="22"/>
          <w:szCs w:val="22"/>
        </w:rPr>
        <w:t xml:space="preserve">one member of the case liaison team will conduct the interview and one will take notes. With the permission of respondents, we will also record the interviews. The </w:t>
      </w:r>
      <w:r w:rsidR="006E4DEE">
        <w:rPr>
          <w:rFonts w:cstheme="minorHAnsi"/>
          <w:sz w:val="22"/>
          <w:szCs w:val="22"/>
        </w:rPr>
        <w:t xml:space="preserve">grant recipient </w:t>
      </w:r>
      <w:r w:rsidRPr="00A40458" w:rsidR="00DB5D42">
        <w:rPr>
          <w:rFonts w:cstheme="minorHAnsi"/>
          <w:sz w:val="22"/>
          <w:szCs w:val="22"/>
        </w:rPr>
        <w:t xml:space="preserve">liaison team will confer after each </w:t>
      </w:r>
      <w:r w:rsidR="00F71D2A">
        <w:rPr>
          <w:rFonts w:cstheme="minorHAnsi"/>
          <w:sz w:val="22"/>
          <w:szCs w:val="22"/>
        </w:rPr>
        <w:t xml:space="preserve">interview </w:t>
      </w:r>
      <w:r w:rsidRPr="00A40458" w:rsidR="00DB5D42">
        <w:rPr>
          <w:rFonts w:cstheme="minorHAnsi"/>
          <w:sz w:val="22"/>
          <w:szCs w:val="22"/>
        </w:rPr>
        <w:t xml:space="preserve">(using interview recordings as needed) to ensure completeness of data. Throughout the data collection period, </w:t>
      </w:r>
      <w:r w:rsidR="00F71D2A">
        <w:rPr>
          <w:rFonts w:cstheme="minorHAnsi"/>
          <w:sz w:val="22"/>
          <w:szCs w:val="22"/>
        </w:rPr>
        <w:t>the study research team</w:t>
      </w:r>
      <w:r w:rsidRPr="00A40458" w:rsidR="00DB5D42">
        <w:rPr>
          <w:rFonts w:cstheme="minorHAnsi"/>
          <w:sz w:val="22"/>
          <w:szCs w:val="22"/>
        </w:rPr>
        <w:t xml:space="preserve"> will conduct weekly meetings to share information and strategies, help troubleshoot challenges, and ensure that all data are collected </w:t>
      </w:r>
      <w:r w:rsidR="00D55728">
        <w:rPr>
          <w:rFonts w:cstheme="minorHAnsi"/>
          <w:sz w:val="22"/>
          <w:szCs w:val="22"/>
        </w:rPr>
        <w:t xml:space="preserve">as </w:t>
      </w:r>
      <w:r w:rsidRPr="00A40458" w:rsidR="00DB5D42">
        <w:rPr>
          <w:rFonts w:cstheme="minorHAnsi"/>
          <w:sz w:val="22"/>
          <w:szCs w:val="22"/>
        </w:rPr>
        <w:t>uniformly</w:t>
      </w:r>
      <w:r w:rsidR="00D55728">
        <w:rPr>
          <w:rFonts w:cstheme="minorHAnsi"/>
          <w:sz w:val="22"/>
          <w:szCs w:val="22"/>
        </w:rPr>
        <w:t xml:space="preserve"> as possible</w:t>
      </w:r>
      <w:r w:rsidRPr="00A40458" w:rsidR="00DB5D42">
        <w:rPr>
          <w:rFonts w:cstheme="minorHAnsi"/>
          <w:sz w:val="22"/>
          <w:szCs w:val="22"/>
        </w:rPr>
        <w:t>.</w:t>
      </w: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1A59B6" w:rsidR="00A42C71" w:rsidP="00A42C71" w:rsidRDefault="00EA3933" w14:paraId="0A239E18" w14:textId="53C2C1CE">
      <w:pPr>
        <w:autoSpaceDE w:val="0"/>
        <w:autoSpaceDN w:val="0"/>
        <w:adjustRightInd w:val="0"/>
        <w:spacing w:after="0" w:line="240" w:lineRule="atLeast"/>
        <w:rPr>
          <w:rFonts w:eastAsia="Times New Roman" w:cstheme="minorHAnsi"/>
          <w:color w:val="000000"/>
        </w:rPr>
      </w:pPr>
      <w:r w:rsidRPr="00914126">
        <w:rPr>
          <w:rFonts w:eastAsia="Times New Roman" w:cstheme="minorHAnsi"/>
          <w:color w:val="000000"/>
        </w:rPr>
        <w:t>The</w:t>
      </w:r>
      <w:r w:rsidRPr="00E654F2">
        <w:rPr>
          <w:rFonts w:eastAsia="Times New Roman" w:cstheme="minorHAnsi"/>
          <w:color w:val="000000"/>
        </w:rPr>
        <w:t xml:space="preserve"> inte</w:t>
      </w:r>
      <w:r w:rsidRPr="001910AB">
        <w:rPr>
          <w:rFonts w:eastAsia="Times New Roman" w:cstheme="minorHAnsi"/>
          <w:color w:val="000000"/>
        </w:rPr>
        <w:t>rviews</w:t>
      </w:r>
      <w:r>
        <w:rPr>
          <w:rFonts w:eastAsia="Times New Roman" w:cstheme="minorHAnsi"/>
          <w:color w:val="000000"/>
        </w:rPr>
        <w:t xml:space="preserve"> </w:t>
      </w:r>
      <w:r w:rsidRPr="001910AB">
        <w:rPr>
          <w:rFonts w:eastAsia="Times New Roman" w:cstheme="minorHAnsi"/>
          <w:color w:val="000000"/>
        </w:rPr>
        <w:t>are not designed to produce statistically generalizable findings and participation is wholly at the respondent’s discretion. Response rates will not be calculated or reported.</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7647AC75" w:rsidRDefault="7647AC75" w14:paraId="7D020F8F" w14:textId="23BC01D2">
      <w:pPr>
        <w:autoSpaceDE w:val="0"/>
        <w:autoSpaceDN w:val="0"/>
        <w:adjustRightInd w:val="0"/>
        <w:spacing w:after="60" w:line="240" w:lineRule="atLeast"/>
        <w:rPr>
          <w:rFonts w:eastAsia="Times New Roman"/>
          <w:i/>
          <w:iCs/>
          <w:color w:val="000000"/>
        </w:rPr>
      </w:pPr>
      <w:r w:rsidRPr="7647AC75">
        <w:rPr>
          <w:rFonts w:eastAsia="Times New Roman"/>
          <w:i/>
          <w:iCs/>
          <w:color w:val="000000" w:themeColor="text1"/>
        </w:rPr>
        <w:t>Nonresponse</w:t>
      </w:r>
    </w:p>
    <w:p w:rsidRPr="00C61D4E" w:rsidR="00A42C71" w:rsidP="00C61D4E" w:rsidRDefault="00EA3933" w14:paraId="6FCD2496" w14:textId="3159BDA8">
      <w:pPr>
        <w:pStyle w:val="Paragraph"/>
        <w:spacing w:after="0"/>
        <w:rPr>
          <w:rFonts w:cstheme="minorHAnsi"/>
          <w:sz w:val="22"/>
          <w:szCs w:val="22"/>
        </w:rPr>
      </w:pPr>
      <w:r w:rsidRPr="00A40458">
        <w:rPr>
          <w:rFonts w:cstheme="minorHAnsi"/>
          <w:sz w:val="22"/>
          <w:szCs w:val="22"/>
        </w:rPr>
        <w:t xml:space="preserve">Based on previous experience with similar methods and respondents, we do not expect substantial nonresponse on the interviews. </w:t>
      </w:r>
      <w:r w:rsidRPr="00A40458">
        <w:rPr>
          <w:rFonts w:cstheme="minorHAnsi"/>
          <w:color w:val="000000"/>
          <w:sz w:val="22"/>
          <w:szCs w:val="22"/>
        </w:rPr>
        <w:t>Because participants will not be randomly sampled and findings are not intended to be representative, we will not calculate nonresponse bias.</w:t>
      </w:r>
      <w:r>
        <w:rPr>
          <w:rFonts w:cstheme="minorHAnsi"/>
          <w:color w:val="000000"/>
          <w:sz w:val="22"/>
          <w:szCs w:val="22"/>
        </w:rPr>
        <w:t xml:space="preserve"> </w:t>
      </w:r>
      <w:r w:rsidRPr="00A40458">
        <w:rPr>
          <w:rFonts w:cstheme="minorHAnsi"/>
          <w:sz w:val="22"/>
          <w:szCs w:val="22"/>
        </w:rPr>
        <w:t xml:space="preserve">As part of study reporting, we will present information about characteristics of the participating agencies and </w:t>
      </w:r>
      <w:r w:rsidR="00433992">
        <w:rPr>
          <w:rFonts w:cstheme="minorHAnsi"/>
          <w:sz w:val="22"/>
          <w:szCs w:val="22"/>
        </w:rPr>
        <w:t>grant recipients</w:t>
      </w:r>
      <w:r w:rsidRPr="00A40458">
        <w:rPr>
          <w:rFonts w:cstheme="minorHAnsi"/>
          <w:sz w:val="22"/>
          <w:szCs w:val="22"/>
        </w:rPr>
        <w:t>.</w:t>
      </w:r>
      <w:r>
        <w:rPr>
          <w:rFonts w:cstheme="minorHAnsi"/>
          <w:sz w:val="22"/>
          <w:szCs w:val="22"/>
        </w:rPr>
        <w:t xml:space="preserve"> </w:t>
      </w: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A42C71" w:rsidP="00852B72" w:rsidRDefault="00EA3933" w14:paraId="54D795CB" w14:textId="13CB8A59">
      <w:pPr>
        <w:spacing w:after="0" w:line="290" w:lineRule="exact"/>
        <w:rPr>
          <w:rFonts w:eastAsia="Times New Roman" w:cstheme="minorHAnsi"/>
        </w:rPr>
      </w:pPr>
      <w:r w:rsidRPr="00A40458">
        <w:rPr>
          <w:rFonts w:cstheme="minorHAnsi"/>
        </w:rPr>
        <w:t xml:space="preserve">This study seeks to present internally valid descriptions of the </w:t>
      </w:r>
      <w:r>
        <w:rPr>
          <w:rFonts w:cstheme="minorHAnsi"/>
        </w:rPr>
        <w:t>conversion process grant recipients who recently converted enrollment slots from Head Start to Early Head Start</w:t>
      </w:r>
      <w:r w:rsidRPr="00A40458">
        <w:rPr>
          <w:rFonts w:cstheme="minorHAnsi"/>
        </w:rPr>
        <w:t>, not to promote statistical generalization to</w:t>
      </w:r>
      <w:r>
        <w:rPr>
          <w:rFonts w:cstheme="minorHAnsi"/>
        </w:rPr>
        <w:t xml:space="preserve"> all grant recipients</w:t>
      </w:r>
      <w:r w:rsidRPr="00A40458">
        <w:rPr>
          <w:rFonts w:cstheme="minorHAnsi"/>
        </w:rPr>
        <w:t xml:space="preserve">. </w:t>
      </w:r>
      <w:r w:rsidRPr="00A40458">
        <w:rPr>
          <w:rFonts w:eastAsia="Times New Roman" w:cstheme="minorHAnsi"/>
        </w:rPr>
        <w:t xml:space="preserve">We do not plan to make policy decisions based on data that are not representative, nor publish biased population estimates. Information reported will clearly state that results are not meant to be generalizable. </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956195" w:rsidR="00A42C71" w:rsidP="00956195" w:rsidRDefault="00EA3933" w14:paraId="1F57B3E9" w14:textId="582F9624">
      <w:pPr>
        <w:pStyle w:val="Paragraph"/>
        <w:rPr>
          <w:rFonts w:cstheme="minorHAnsi"/>
          <w:sz w:val="22"/>
          <w:szCs w:val="22"/>
        </w:rPr>
      </w:pPr>
      <w:r w:rsidRPr="00A40458">
        <w:rPr>
          <w:rFonts w:cstheme="minorHAnsi"/>
          <w:sz w:val="22"/>
          <w:szCs w:val="22"/>
        </w:rPr>
        <w:t xml:space="preserve">To ensure that interview notes are complete and consistently prepared, we will use a standard note template for each data collection protocol. The notetaker could make use of audio recordings (with </w:t>
      </w:r>
      <w:r w:rsidRPr="00A40458">
        <w:rPr>
          <w:rFonts w:cstheme="minorHAnsi"/>
          <w:sz w:val="22"/>
          <w:szCs w:val="22"/>
        </w:rPr>
        <w:lastRenderedPageBreak/>
        <w:t>permission of respondents) to ensure that notes are complete. Data collectors will review the interview notes and a senior member of the team will review a subset of the notes to ensure that data are complete and error free</w:t>
      </w:r>
      <w:r>
        <w:rPr>
          <w:rFonts w:cstheme="minorHAnsi"/>
          <w:sz w:val="22"/>
          <w:szCs w:val="22"/>
        </w:rPr>
        <w:t>.</w:t>
      </w: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Pr="001A59B6" w:rsidR="00A42C71" w:rsidP="00A42C71" w:rsidRDefault="00EA3933" w14:paraId="7621D8EE" w14:textId="4B171FEF">
      <w:pPr>
        <w:autoSpaceDE w:val="0"/>
        <w:autoSpaceDN w:val="0"/>
        <w:adjustRightInd w:val="0"/>
        <w:spacing w:after="0" w:line="240" w:lineRule="atLeast"/>
        <w:rPr>
          <w:rFonts w:eastAsia="Times New Roman" w:cstheme="minorHAnsi"/>
          <w:bCs/>
          <w:color w:val="000000"/>
        </w:rPr>
      </w:pPr>
      <w:r w:rsidRPr="00EA3933">
        <w:rPr>
          <w:rFonts w:eastAsia="Times New Roman" w:cstheme="minorHAnsi"/>
          <w:bCs/>
          <w:color w:val="000000"/>
        </w:rPr>
        <w:t>Qualitative data from both the interviews and documents gathered will provide comprehensive and rich information to analyze factors associated with</w:t>
      </w:r>
      <w:r w:rsidR="00E70223">
        <w:rPr>
          <w:rFonts w:eastAsia="Times New Roman" w:cstheme="minorHAnsi"/>
          <w:bCs/>
          <w:color w:val="000000"/>
        </w:rPr>
        <w:t xml:space="preserve"> </w:t>
      </w:r>
      <w:r w:rsidR="00314BF7">
        <w:rPr>
          <w:rFonts w:eastAsia="Times New Roman" w:cstheme="minorHAnsi"/>
          <w:bCs/>
          <w:color w:val="000000"/>
        </w:rPr>
        <w:t>each research question</w:t>
      </w:r>
      <w:r w:rsidRPr="00EA3933">
        <w:rPr>
          <w:rFonts w:eastAsia="Times New Roman" w:cstheme="minorHAnsi"/>
          <w:bCs/>
          <w:color w:val="000000"/>
        </w:rPr>
        <w:t>. We will build a structure for organizing and coding the data across all the data collection sources to facilitate efficient analysis.</w:t>
      </w:r>
      <w:r w:rsidRPr="00EA3933">
        <w:t xml:space="preserve"> </w:t>
      </w:r>
      <w:r w:rsidRPr="00EA3933">
        <w:rPr>
          <w:rFonts w:eastAsia="Times New Roman" w:cstheme="minorHAnsi"/>
          <w:bCs/>
          <w:color w:val="000000"/>
        </w:rPr>
        <w:t>With respect to each question, we will examine each grant</w:t>
      </w:r>
      <w:r w:rsidR="00E70223">
        <w:rPr>
          <w:rFonts w:eastAsia="Times New Roman" w:cstheme="minorHAnsi"/>
          <w:bCs/>
          <w:color w:val="000000"/>
        </w:rPr>
        <w:t xml:space="preserve"> recipient</w:t>
      </w:r>
      <w:r w:rsidRPr="00EA3933">
        <w:rPr>
          <w:rFonts w:eastAsia="Times New Roman" w:cstheme="minorHAnsi"/>
          <w:bCs/>
          <w:color w:val="000000"/>
        </w:rPr>
        <w:t xml:space="preserve"> independently (unit analysis) as well as in comparison with other </w:t>
      </w:r>
      <w:r w:rsidR="00314BF7">
        <w:rPr>
          <w:rFonts w:eastAsia="Times New Roman" w:cstheme="minorHAnsi"/>
          <w:bCs/>
          <w:color w:val="000000"/>
        </w:rPr>
        <w:t>grant recipients</w:t>
      </w:r>
      <w:r w:rsidRPr="00EA3933">
        <w:rPr>
          <w:rFonts w:eastAsia="Times New Roman" w:cstheme="minorHAnsi"/>
          <w:bCs/>
          <w:color w:val="000000"/>
        </w:rPr>
        <w:t xml:space="preserve"> in the study (cross-case analysis).</w:t>
      </w:r>
    </w:p>
    <w:p w:rsidRPr="001A59B6" w:rsidR="00A42C71" w:rsidP="00A42C71" w:rsidRDefault="00A42C71" w14:paraId="0B8C1089" w14:textId="77777777">
      <w:pPr>
        <w:autoSpaceDE w:val="0"/>
        <w:autoSpaceDN w:val="0"/>
        <w:adjustRightInd w:val="0"/>
        <w:spacing w:after="0" w:line="240" w:lineRule="atLeast"/>
        <w:rPr>
          <w:rFonts w:eastAsia="Times New Roman" w:cstheme="minorHAnsi"/>
          <w:bCs/>
          <w:color w:val="000000"/>
        </w:rPr>
      </w:pPr>
    </w:p>
    <w:p w:rsidR="00EA3933" w:rsidP="00665D3A" w:rsidRDefault="00EA3933" w14:paraId="2FCD4422" w14:textId="5BC1EF65">
      <w:pPr>
        <w:pStyle w:val="Paragraph"/>
        <w:spacing w:after="0"/>
        <w:rPr>
          <w:rFonts w:cstheme="minorHAnsi"/>
          <w:bCs/>
          <w:sz w:val="22"/>
          <w:szCs w:val="22"/>
        </w:rPr>
      </w:pPr>
      <w:r w:rsidRPr="00A40458">
        <w:rPr>
          <w:rFonts w:cstheme="minorHAnsi"/>
          <w:b/>
          <w:sz w:val="22"/>
          <w:szCs w:val="22"/>
        </w:rPr>
        <w:t xml:space="preserve">Coding field notes and documents. </w:t>
      </w:r>
      <w:r w:rsidRPr="00EA3933">
        <w:rPr>
          <w:rFonts w:cstheme="minorHAnsi"/>
          <w:bCs/>
          <w:sz w:val="22"/>
          <w:szCs w:val="22"/>
        </w:rPr>
        <w:t xml:space="preserve">To facilitate secure data management and efficient coding, we will use a qualitative coding and analysis software program. All data will be loaded into the program, including interview recordings, </w:t>
      </w:r>
      <w:r w:rsidR="00E9740B">
        <w:rPr>
          <w:rFonts w:cstheme="minorHAnsi"/>
          <w:bCs/>
          <w:sz w:val="22"/>
          <w:szCs w:val="22"/>
        </w:rPr>
        <w:t>interview</w:t>
      </w:r>
      <w:r w:rsidRPr="00EA3933">
        <w:rPr>
          <w:rFonts w:cstheme="minorHAnsi"/>
          <w:bCs/>
          <w:sz w:val="22"/>
          <w:szCs w:val="22"/>
        </w:rPr>
        <w:t xml:space="preserve"> notes, and documents provided by grant</w:t>
      </w:r>
      <w:r w:rsidR="00380326">
        <w:rPr>
          <w:rFonts w:cstheme="minorHAnsi"/>
          <w:bCs/>
          <w:sz w:val="22"/>
          <w:szCs w:val="22"/>
        </w:rPr>
        <w:t xml:space="preserve"> recipients</w:t>
      </w:r>
      <w:r w:rsidRPr="00EA3933">
        <w:rPr>
          <w:rFonts w:cstheme="minorHAnsi"/>
          <w:bCs/>
          <w:sz w:val="22"/>
          <w:szCs w:val="22"/>
        </w:rPr>
        <w:t xml:space="preserve">. If transcriptions of the interviews are created, these will be loaded into the program. Members of the research team will conduct two rounds of coding using a codebook that </w:t>
      </w:r>
      <w:r>
        <w:rPr>
          <w:rFonts w:cstheme="minorHAnsi"/>
          <w:bCs/>
          <w:sz w:val="22"/>
          <w:szCs w:val="22"/>
        </w:rPr>
        <w:t>a senior</w:t>
      </w:r>
      <w:r w:rsidRPr="00EA3933">
        <w:rPr>
          <w:rFonts w:cstheme="minorHAnsi"/>
          <w:bCs/>
          <w:sz w:val="22"/>
          <w:szCs w:val="22"/>
        </w:rPr>
        <w:t xml:space="preserve"> </w:t>
      </w:r>
      <w:r>
        <w:rPr>
          <w:rFonts w:cstheme="minorHAnsi"/>
          <w:bCs/>
          <w:sz w:val="22"/>
          <w:szCs w:val="22"/>
        </w:rPr>
        <w:t xml:space="preserve">researcher </w:t>
      </w:r>
      <w:r w:rsidRPr="00EA3933">
        <w:rPr>
          <w:rFonts w:cstheme="minorHAnsi"/>
          <w:bCs/>
          <w:sz w:val="22"/>
          <w:szCs w:val="22"/>
        </w:rPr>
        <w:t>will develop. The codebook</w:t>
      </w:r>
      <w:r w:rsidRPr="00EA3933">
        <w:t xml:space="preserve"> </w:t>
      </w:r>
      <w:r w:rsidRPr="00EA3933">
        <w:rPr>
          <w:rFonts w:cstheme="minorHAnsi"/>
          <w:bCs/>
          <w:sz w:val="22"/>
          <w:szCs w:val="22"/>
        </w:rPr>
        <w:t xml:space="preserve">will include codes linked to the multi-case study research questions and other domains of interest identified by the research team, experts, and stakeholders in preceding project activities. We will update the codebook iteratively as analysis proceeds. </w:t>
      </w:r>
      <w:r>
        <w:rPr>
          <w:rFonts w:cstheme="minorHAnsi"/>
          <w:bCs/>
          <w:sz w:val="22"/>
          <w:szCs w:val="22"/>
        </w:rPr>
        <w:t>A senior researcher</w:t>
      </w:r>
      <w:r w:rsidRPr="00EA3933">
        <w:rPr>
          <w:rFonts w:cstheme="minorHAnsi"/>
          <w:bCs/>
          <w:sz w:val="22"/>
          <w:szCs w:val="22"/>
        </w:rPr>
        <w:t xml:space="preserve"> will train coders on the codebook and coding procedures.</w:t>
      </w:r>
    </w:p>
    <w:p w:rsidRPr="00EA3933" w:rsidR="00665D3A" w:rsidP="00864A9B" w:rsidRDefault="00665D3A" w14:paraId="3A09E70F" w14:textId="77777777">
      <w:pPr>
        <w:pStyle w:val="Paragraph"/>
        <w:spacing w:after="0"/>
        <w:rPr>
          <w:rFonts w:cstheme="minorHAnsi"/>
          <w:bCs/>
          <w:sz w:val="22"/>
          <w:szCs w:val="22"/>
        </w:rPr>
      </w:pPr>
    </w:p>
    <w:p w:rsidR="00EA3933" w:rsidP="00665D3A" w:rsidRDefault="28F8C221" w14:paraId="70BB90D5" w14:textId="28F1FD79">
      <w:pPr>
        <w:pStyle w:val="Paragraph"/>
        <w:spacing w:after="0"/>
        <w:rPr>
          <w:rFonts w:cstheme="minorBidi"/>
          <w:sz w:val="22"/>
          <w:szCs w:val="22"/>
        </w:rPr>
      </w:pPr>
      <w:r w:rsidRPr="28F8C221">
        <w:rPr>
          <w:rFonts w:cstheme="minorBidi"/>
          <w:sz w:val="22"/>
          <w:szCs w:val="22"/>
        </w:rPr>
        <w:t>Coders will begin by conducting a first round of coding based on the codebook. We will permit some amount of open coding to allow emergent themes to surface, but, through group discussion, we will work to link these emergent themes back to one of the primary research questions. During this first round of coding, the senior researcher will meet with the coding team to discuss any challenges that are arising, clarify codes, and update the codebook. Following the first round of coding, the team will discuss their preliminary interpretation of findings and identify specific themes to explore in greater depth through a second round of coding.</w:t>
      </w:r>
    </w:p>
    <w:p w:rsidRPr="00EA3933" w:rsidR="00665D3A" w:rsidP="00864A9B" w:rsidRDefault="00665D3A" w14:paraId="6695C852" w14:textId="77777777">
      <w:pPr>
        <w:pStyle w:val="Paragraph"/>
        <w:spacing w:after="0"/>
        <w:rPr>
          <w:rFonts w:cstheme="minorBidi"/>
          <w:sz w:val="22"/>
          <w:szCs w:val="22"/>
        </w:rPr>
      </w:pPr>
    </w:p>
    <w:p w:rsidR="00A42C71" w:rsidP="00665D3A" w:rsidRDefault="00EA3933" w14:paraId="17631BBB" w14:textId="1B32E8ED">
      <w:pPr>
        <w:pStyle w:val="Paragraph"/>
        <w:spacing w:after="0"/>
        <w:rPr>
          <w:rFonts w:cstheme="minorHAnsi"/>
          <w:bCs/>
          <w:sz w:val="22"/>
          <w:szCs w:val="22"/>
        </w:rPr>
      </w:pPr>
      <w:r w:rsidRPr="00EA3933">
        <w:rPr>
          <w:rFonts w:cstheme="minorHAnsi"/>
          <w:bCs/>
          <w:sz w:val="22"/>
          <w:szCs w:val="22"/>
        </w:rPr>
        <w:t xml:space="preserve">When coding is complete, we will assign each research question to a member of the team; that team member will be responsible for examining relevant coded excerpts. These team members will first examine excerpts by </w:t>
      </w:r>
      <w:r>
        <w:rPr>
          <w:rFonts w:cstheme="minorHAnsi"/>
          <w:bCs/>
          <w:sz w:val="22"/>
          <w:szCs w:val="22"/>
        </w:rPr>
        <w:t>grant recipient</w:t>
      </w:r>
      <w:r w:rsidRPr="00EA3933">
        <w:rPr>
          <w:rFonts w:cstheme="minorHAnsi"/>
          <w:bCs/>
          <w:sz w:val="22"/>
          <w:szCs w:val="22"/>
        </w:rPr>
        <w:t xml:space="preserve">, then compare themes across </w:t>
      </w:r>
      <w:r>
        <w:rPr>
          <w:rFonts w:cstheme="minorHAnsi"/>
          <w:bCs/>
          <w:sz w:val="22"/>
          <w:szCs w:val="22"/>
        </w:rPr>
        <w:t xml:space="preserve">grant recipients </w:t>
      </w:r>
      <w:r w:rsidRPr="00EA3933">
        <w:rPr>
          <w:rFonts w:cstheme="minorHAnsi"/>
          <w:bCs/>
          <w:sz w:val="22"/>
          <w:szCs w:val="22"/>
        </w:rPr>
        <w:t xml:space="preserve">participating in the multi-case study, and finally </w:t>
      </w:r>
      <w:r w:rsidR="00911AF0">
        <w:rPr>
          <w:rFonts w:cstheme="minorHAnsi"/>
          <w:bCs/>
          <w:sz w:val="22"/>
          <w:szCs w:val="22"/>
        </w:rPr>
        <w:t xml:space="preserve">will </w:t>
      </w:r>
      <w:r w:rsidRPr="00EA3933">
        <w:rPr>
          <w:rFonts w:cstheme="minorHAnsi"/>
          <w:bCs/>
          <w:sz w:val="22"/>
          <w:szCs w:val="22"/>
        </w:rPr>
        <w:t>compar</w:t>
      </w:r>
      <w:r w:rsidR="00911AF0">
        <w:rPr>
          <w:rFonts w:cstheme="minorHAnsi"/>
          <w:bCs/>
          <w:sz w:val="22"/>
          <w:szCs w:val="22"/>
        </w:rPr>
        <w:t>e</w:t>
      </w:r>
      <w:r w:rsidRPr="00EA3933">
        <w:rPr>
          <w:rFonts w:cstheme="minorHAnsi"/>
          <w:bCs/>
          <w:sz w:val="22"/>
          <w:szCs w:val="22"/>
        </w:rPr>
        <w:t xml:space="preserve"> what is emerging across the different categories of </w:t>
      </w:r>
      <w:r>
        <w:rPr>
          <w:rFonts w:cstheme="minorHAnsi"/>
          <w:bCs/>
          <w:sz w:val="22"/>
          <w:szCs w:val="22"/>
        </w:rPr>
        <w:t>grant recipients</w:t>
      </w:r>
      <w:r w:rsidRPr="00EA3933">
        <w:rPr>
          <w:rFonts w:cstheme="minorHAnsi"/>
          <w:bCs/>
          <w:sz w:val="22"/>
          <w:szCs w:val="22"/>
        </w:rPr>
        <w:t xml:space="preserve"> that we prioritized in sampling (e.g., urbanicity and size of conversion). The team will meet several times to discuss findings and </w:t>
      </w:r>
      <w:r w:rsidR="00911AF0">
        <w:rPr>
          <w:rFonts w:cstheme="minorHAnsi"/>
          <w:bCs/>
          <w:sz w:val="22"/>
          <w:szCs w:val="22"/>
        </w:rPr>
        <w:t xml:space="preserve">themes that lead to the emerging </w:t>
      </w:r>
      <w:r w:rsidRPr="00EA3933">
        <w:rPr>
          <w:rFonts w:cstheme="minorHAnsi"/>
          <w:bCs/>
          <w:sz w:val="22"/>
          <w:szCs w:val="22"/>
        </w:rPr>
        <w:t xml:space="preserve">“story” of each </w:t>
      </w:r>
      <w:r>
        <w:rPr>
          <w:rFonts w:cstheme="minorHAnsi"/>
          <w:bCs/>
          <w:sz w:val="22"/>
          <w:szCs w:val="22"/>
        </w:rPr>
        <w:t>grant recipient</w:t>
      </w:r>
      <w:r w:rsidRPr="00EA3933">
        <w:rPr>
          <w:rFonts w:cstheme="minorHAnsi"/>
          <w:bCs/>
          <w:sz w:val="22"/>
          <w:szCs w:val="22"/>
        </w:rPr>
        <w:t xml:space="preserve">, </w:t>
      </w:r>
      <w:r w:rsidR="00911AF0">
        <w:rPr>
          <w:rFonts w:cstheme="minorHAnsi"/>
          <w:bCs/>
          <w:sz w:val="22"/>
          <w:szCs w:val="22"/>
        </w:rPr>
        <w:t xml:space="preserve">and </w:t>
      </w:r>
      <w:r w:rsidRPr="00EA3933">
        <w:rPr>
          <w:rFonts w:cstheme="minorHAnsi"/>
          <w:bCs/>
          <w:sz w:val="22"/>
          <w:szCs w:val="22"/>
        </w:rPr>
        <w:t>place those findings in the larger, cross-site narrative about conversion of enrollment slots</w:t>
      </w:r>
      <w:r w:rsidR="00911AF0">
        <w:rPr>
          <w:rFonts w:cstheme="minorHAnsi"/>
          <w:bCs/>
          <w:sz w:val="22"/>
          <w:szCs w:val="22"/>
        </w:rPr>
        <w:t xml:space="preserve">. The team will also </w:t>
      </w:r>
      <w:r w:rsidRPr="00EA3933">
        <w:rPr>
          <w:rFonts w:cstheme="minorHAnsi"/>
          <w:bCs/>
          <w:sz w:val="22"/>
          <w:szCs w:val="22"/>
        </w:rPr>
        <w:t xml:space="preserve">consider the ways in which urbanicity and conversion size </w:t>
      </w:r>
      <w:r w:rsidR="00911AF0">
        <w:rPr>
          <w:rFonts w:cstheme="minorHAnsi"/>
          <w:bCs/>
          <w:sz w:val="22"/>
          <w:szCs w:val="22"/>
        </w:rPr>
        <w:t xml:space="preserve">are or are not related to the </w:t>
      </w:r>
      <w:r w:rsidRPr="00EA3933">
        <w:rPr>
          <w:rFonts w:cstheme="minorHAnsi"/>
          <w:bCs/>
          <w:sz w:val="22"/>
          <w:szCs w:val="22"/>
        </w:rPr>
        <w:t xml:space="preserve">conversion process for </w:t>
      </w:r>
      <w:r>
        <w:rPr>
          <w:rFonts w:cstheme="minorHAnsi"/>
          <w:bCs/>
          <w:sz w:val="22"/>
          <w:szCs w:val="22"/>
        </w:rPr>
        <w:t>grant recipients</w:t>
      </w:r>
      <w:r w:rsidRPr="00EA3933">
        <w:rPr>
          <w:rFonts w:cstheme="minorHAnsi"/>
          <w:bCs/>
          <w:sz w:val="22"/>
          <w:szCs w:val="22"/>
        </w:rPr>
        <w:t xml:space="preserve"> in the </w:t>
      </w:r>
      <w:r w:rsidR="00D86FD3">
        <w:rPr>
          <w:rFonts w:cstheme="minorHAnsi"/>
          <w:bCs/>
          <w:sz w:val="22"/>
          <w:szCs w:val="22"/>
        </w:rPr>
        <w:t>m</w:t>
      </w:r>
      <w:r w:rsidRPr="00EA3933">
        <w:rPr>
          <w:rFonts w:cstheme="minorHAnsi"/>
          <w:bCs/>
          <w:sz w:val="22"/>
          <w:szCs w:val="22"/>
        </w:rPr>
        <w:t>ulti-</w:t>
      </w:r>
      <w:r w:rsidR="00D86FD3">
        <w:rPr>
          <w:rFonts w:cstheme="minorHAnsi"/>
          <w:bCs/>
          <w:sz w:val="22"/>
          <w:szCs w:val="22"/>
        </w:rPr>
        <w:t>c</w:t>
      </w:r>
      <w:r w:rsidRPr="00EA3933">
        <w:rPr>
          <w:rFonts w:cstheme="minorHAnsi"/>
          <w:bCs/>
          <w:sz w:val="22"/>
          <w:szCs w:val="22"/>
        </w:rPr>
        <w:t xml:space="preserve">ase </w:t>
      </w:r>
      <w:r w:rsidR="00D86FD3">
        <w:rPr>
          <w:rFonts w:cstheme="minorHAnsi"/>
          <w:bCs/>
          <w:sz w:val="22"/>
          <w:szCs w:val="22"/>
        </w:rPr>
        <w:t>s</w:t>
      </w:r>
      <w:r w:rsidRPr="00EA3933">
        <w:rPr>
          <w:rFonts w:cstheme="minorHAnsi"/>
          <w:bCs/>
          <w:sz w:val="22"/>
          <w:szCs w:val="22"/>
        </w:rPr>
        <w:t>tudy.</w:t>
      </w:r>
    </w:p>
    <w:p w:rsidRPr="00EA3933" w:rsidR="00665D3A" w:rsidP="00864A9B" w:rsidRDefault="00665D3A" w14:paraId="0B1E9E99" w14:textId="77777777">
      <w:pPr>
        <w:pStyle w:val="Paragraph"/>
        <w:spacing w:after="0"/>
        <w:rPr>
          <w:rFonts w:eastAsiaTheme="minorEastAsia" w:cstheme="minorHAnsi"/>
          <w:bCs/>
          <w:iCs/>
          <w:sz w:val="22"/>
          <w:szCs w:val="22"/>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956195" w:rsidP="00956195" w:rsidRDefault="00956195" w14:paraId="17B3002E" w14:textId="56B124FF">
      <w:pPr>
        <w:spacing w:after="0" w:line="240" w:lineRule="auto"/>
        <w:rPr>
          <w:rFonts w:eastAsia="Times New Roman" w:cstheme="minorHAnsi"/>
        </w:rPr>
      </w:pPr>
      <w:r w:rsidRPr="00956195">
        <w:rPr>
          <w:rFonts w:eastAsia="Times New Roman" w:cstheme="minorHAnsi"/>
        </w:rPr>
        <w:t xml:space="preserve">When the data are coded, the team will be able to retrieve and sort data linked to specific research questions and constructs. We will synthesize data pertaining to a specific research question across respondents or for specific types of respondents. We will then share the findings in </w:t>
      </w:r>
      <w:r w:rsidR="00946B8A">
        <w:rPr>
          <w:rFonts w:eastAsia="Times New Roman" w:cstheme="minorHAnsi"/>
        </w:rPr>
        <w:t>public-facing products</w:t>
      </w:r>
      <w:r w:rsidR="002E60B5">
        <w:rPr>
          <w:rFonts w:eastAsia="Times New Roman" w:cstheme="minorHAnsi"/>
        </w:rPr>
        <w:t xml:space="preserve"> targeted to </w:t>
      </w:r>
      <w:r w:rsidR="00CD5D64">
        <w:rPr>
          <w:rFonts w:eastAsia="Times New Roman" w:cstheme="minorHAnsi"/>
        </w:rPr>
        <w:t>federal</w:t>
      </w:r>
      <w:r w:rsidR="002E60B5">
        <w:rPr>
          <w:rFonts w:eastAsia="Times New Roman" w:cstheme="minorHAnsi"/>
        </w:rPr>
        <w:t xml:space="preserve"> staff, Head Start grant recipients, ACF-funded Training and Technical Assistance providers, and researchers</w:t>
      </w:r>
      <w:r w:rsidR="00981F8A">
        <w:rPr>
          <w:rFonts w:eastAsia="Times New Roman" w:cstheme="minorHAnsi"/>
        </w:rPr>
        <w:t xml:space="preserve">. Possible products from the </w:t>
      </w:r>
      <w:r w:rsidR="007C41DE">
        <w:rPr>
          <w:rFonts w:eastAsia="Times New Roman" w:cstheme="minorHAnsi"/>
        </w:rPr>
        <w:t>multi-case study</w:t>
      </w:r>
      <w:r w:rsidR="00981F8A">
        <w:rPr>
          <w:rFonts w:eastAsia="Times New Roman" w:cstheme="minorHAnsi"/>
        </w:rPr>
        <w:t xml:space="preserve"> include: </w:t>
      </w:r>
    </w:p>
    <w:p w:rsidR="00956195" w:rsidP="00956195" w:rsidRDefault="00956195" w14:paraId="6CEE7309" w14:textId="77777777">
      <w:pPr>
        <w:pStyle w:val="ListParagraph"/>
        <w:numPr>
          <w:ilvl w:val="0"/>
          <w:numId w:val="32"/>
        </w:numPr>
        <w:spacing w:after="0" w:line="240" w:lineRule="auto"/>
        <w:rPr>
          <w:rFonts w:eastAsia="Times New Roman" w:cstheme="minorHAnsi"/>
        </w:rPr>
      </w:pPr>
      <w:r w:rsidRPr="00956195">
        <w:rPr>
          <w:rFonts w:eastAsia="Times New Roman" w:cstheme="minorHAnsi"/>
        </w:rPr>
        <w:lastRenderedPageBreak/>
        <w:t>A study report</w:t>
      </w:r>
    </w:p>
    <w:p w:rsidR="00956195" w:rsidP="00956195" w:rsidRDefault="00956195" w14:paraId="6FCA325B" w14:textId="44FC0AD2">
      <w:pPr>
        <w:pStyle w:val="ListParagraph"/>
        <w:numPr>
          <w:ilvl w:val="0"/>
          <w:numId w:val="32"/>
        </w:numPr>
        <w:spacing w:after="0" w:line="240" w:lineRule="auto"/>
        <w:rPr>
          <w:rFonts w:eastAsia="Times New Roman" w:cstheme="minorHAnsi"/>
        </w:rPr>
      </w:pPr>
      <w:r w:rsidRPr="00956195">
        <w:rPr>
          <w:rFonts w:eastAsia="Times New Roman" w:cstheme="minorHAnsi"/>
        </w:rPr>
        <w:t xml:space="preserve">A </w:t>
      </w:r>
      <w:r w:rsidR="00146CDD">
        <w:rPr>
          <w:rFonts w:eastAsia="Times New Roman" w:cstheme="minorHAnsi"/>
        </w:rPr>
        <w:t xml:space="preserve">brief or </w:t>
      </w:r>
      <w:r w:rsidRPr="00956195">
        <w:rPr>
          <w:rFonts w:eastAsia="Times New Roman" w:cstheme="minorHAnsi"/>
        </w:rPr>
        <w:t>series of research briefs</w:t>
      </w:r>
    </w:p>
    <w:p w:rsidRPr="00956195" w:rsidR="00A42C71" w:rsidP="00956195" w:rsidRDefault="00956195" w14:paraId="3569E449" w14:textId="12C0214D">
      <w:pPr>
        <w:pStyle w:val="ListParagraph"/>
        <w:numPr>
          <w:ilvl w:val="0"/>
          <w:numId w:val="32"/>
        </w:numPr>
        <w:spacing w:after="0" w:line="240" w:lineRule="auto"/>
        <w:rPr>
          <w:rFonts w:eastAsia="Times New Roman" w:cstheme="minorHAnsi"/>
        </w:rPr>
      </w:pPr>
      <w:r w:rsidRPr="00956195">
        <w:rPr>
          <w:rFonts w:eastAsia="Times New Roman" w:cstheme="minorHAnsi"/>
        </w:rPr>
        <w:t>Presentations or briefings</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B765F8" w:rsidR="00A42C71" w:rsidP="00B765F8" w:rsidRDefault="00A42C71" w14:paraId="3F327361" w14:textId="5704EF2C">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29247D" w:rsidR="00956195" w:rsidP="00956195" w:rsidRDefault="00956195" w14:paraId="3C6B8BCF" w14:textId="77777777">
      <w:pPr>
        <w:spacing w:after="0" w:line="240" w:lineRule="auto"/>
        <w:rPr>
          <w:rFonts w:cstheme="minorHAnsi"/>
        </w:rPr>
      </w:pPr>
      <w:r w:rsidRPr="0029247D">
        <w:rPr>
          <w:rFonts w:cstheme="minorHAnsi"/>
        </w:rPr>
        <w:t>Jenessa Malin</w:t>
      </w:r>
    </w:p>
    <w:p w:rsidRPr="0029247D" w:rsidR="00956195" w:rsidP="00956195" w:rsidRDefault="00946B8A" w14:paraId="04DF538D" w14:textId="3D3CADC6">
      <w:pPr>
        <w:spacing w:after="0" w:line="240" w:lineRule="auto"/>
        <w:rPr>
          <w:rFonts w:cstheme="minorHAnsi"/>
        </w:rPr>
      </w:pPr>
      <w:r>
        <w:rPr>
          <w:rFonts w:cstheme="minorHAnsi"/>
        </w:rPr>
        <w:t xml:space="preserve">Senior </w:t>
      </w:r>
      <w:r w:rsidRPr="0029247D" w:rsidR="00956195">
        <w:rPr>
          <w:rFonts w:cstheme="minorHAnsi"/>
        </w:rPr>
        <w:t xml:space="preserve">Social Science Research Analyst </w:t>
      </w:r>
    </w:p>
    <w:p w:rsidRPr="0029247D" w:rsidR="00956195" w:rsidP="00956195" w:rsidRDefault="00956195" w14:paraId="0695096A" w14:textId="77777777">
      <w:pPr>
        <w:spacing w:after="0" w:line="240" w:lineRule="auto"/>
        <w:rPr>
          <w:rFonts w:cstheme="minorHAnsi"/>
        </w:rPr>
      </w:pPr>
      <w:r w:rsidRPr="0029247D">
        <w:rPr>
          <w:rFonts w:cstheme="minorHAnsi"/>
        </w:rPr>
        <w:t>U. S. Department of Health and Human Services</w:t>
      </w:r>
    </w:p>
    <w:p w:rsidRPr="0029247D" w:rsidR="00956195" w:rsidP="00956195" w:rsidRDefault="00956195" w14:paraId="1E96DC09" w14:textId="77777777">
      <w:pPr>
        <w:spacing w:after="0" w:line="240" w:lineRule="auto"/>
        <w:rPr>
          <w:rFonts w:cstheme="minorHAnsi"/>
        </w:rPr>
      </w:pPr>
      <w:r w:rsidRPr="0029247D">
        <w:rPr>
          <w:rFonts w:cstheme="minorHAnsi"/>
        </w:rPr>
        <w:t>Administration for Children and Families</w:t>
      </w:r>
    </w:p>
    <w:p w:rsidRPr="0029247D" w:rsidR="00956195" w:rsidP="00956195" w:rsidRDefault="00956195" w14:paraId="1C840569" w14:textId="77777777">
      <w:pPr>
        <w:spacing w:after="0" w:line="240" w:lineRule="auto"/>
        <w:rPr>
          <w:rFonts w:cstheme="minorHAnsi"/>
        </w:rPr>
      </w:pPr>
      <w:r w:rsidRPr="0029247D">
        <w:rPr>
          <w:rFonts w:cstheme="minorHAnsi"/>
        </w:rPr>
        <w:t>Office of Planning, Research &amp; Evaluation</w:t>
      </w:r>
    </w:p>
    <w:p w:rsidRPr="0029247D" w:rsidR="00956195" w:rsidP="00956195" w:rsidRDefault="00956195" w14:paraId="0FD05335" w14:textId="77777777">
      <w:pPr>
        <w:spacing w:after="0" w:line="240" w:lineRule="auto"/>
        <w:rPr>
          <w:rFonts w:cstheme="minorHAnsi"/>
        </w:rPr>
      </w:pPr>
      <w:r w:rsidRPr="0029247D">
        <w:rPr>
          <w:rFonts w:cstheme="minorHAnsi"/>
        </w:rPr>
        <w:t>Switzer Building</w:t>
      </w:r>
    </w:p>
    <w:p w:rsidRPr="0029247D" w:rsidR="00956195" w:rsidP="00956195" w:rsidRDefault="00956195" w14:paraId="4614C55C" w14:textId="77777777">
      <w:pPr>
        <w:spacing w:after="0" w:line="240" w:lineRule="auto"/>
        <w:rPr>
          <w:rFonts w:cstheme="minorHAnsi"/>
        </w:rPr>
      </w:pPr>
      <w:r w:rsidRPr="0029247D">
        <w:rPr>
          <w:rFonts w:cstheme="minorHAnsi"/>
        </w:rPr>
        <w:t>Washington DC, 20201</w:t>
      </w:r>
    </w:p>
    <w:p w:rsidRPr="0029247D" w:rsidR="00956195" w:rsidP="00956195" w:rsidRDefault="00956195" w14:paraId="25E4419A" w14:textId="77777777">
      <w:pPr>
        <w:spacing w:after="0" w:line="240" w:lineRule="auto"/>
        <w:rPr>
          <w:rFonts w:cstheme="minorHAnsi"/>
        </w:rPr>
      </w:pPr>
      <w:r w:rsidRPr="0029247D">
        <w:rPr>
          <w:rFonts w:cstheme="minorHAnsi"/>
        </w:rPr>
        <w:t>(202) 401-5560</w:t>
      </w:r>
      <w:r w:rsidRPr="0029247D" w:rsidDel="00147BAE">
        <w:rPr>
          <w:rFonts w:cstheme="minorHAnsi"/>
        </w:rPr>
        <w:t xml:space="preserve"> </w:t>
      </w:r>
    </w:p>
    <w:p w:rsidRPr="0029247D" w:rsidR="00956195" w:rsidP="00864A9B" w:rsidRDefault="00075943" w14:paraId="40B568FE" w14:textId="13019363">
      <w:pPr>
        <w:spacing w:after="0" w:line="240" w:lineRule="auto"/>
        <w:rPr>
          <w:rFonts w:cstheme="minorHAnsi"/>
          <w:szCs w:val="24"/>
        </w:rPr>
      </w:pPr>
      <w:hyperlink w:history="1" r:id="rId11">
        <w:r w:rsidRPr="001F79FF" w:rsidR="00956195">
          <w:rPr>
            <w:rStyle w:val="Hyperlink"/>
            <w:rFonts w:cstheme="minorHAnsi"/>
            <w:szCs w:val="24"/>
          </w:rPr>
          <w:t>jenessa.malin@acf.hhs.gov</w:t>
        </w:r>
      </w:hyperlink>
    </w:p>
    <w:p w:rsidRPr="001A59B6" w:rsidR="00956195" w:rsidP="00A42C71" w:rsidRDefault="00956195" w14:paraId="15B72946" w14:textId="77777777">
      <w:pPr>
        <w:pStyle w:val="ListParagraph"/>
        <w:spacing w:after="0" w:line="240" w:lineRule="auto"/>
        <w:ind w:left="0"/>
        <w:rPr>
          <w:rFonts w:cstheme="minorHAnsi"/>
          <w:b/>
        </w:rPr>
      </w:pPr>
    </w:p>
    <w:p w:rsidRPr="00956195" w:rsidR="00A42C71" w:rsidP="00956195" w:rsidRDefault="00956195" w14:paraId="2E8E7A92" w14:textId="30A16B64">
      <w:pPr>
        <w:spacing w:after="0" w:line="240" w:lineRule="auto"/>
        <w:rPr>
          <w:rFonts w:cstheme="minorHAnsi"/>
          <w:bCs/>
        </w:rPr>
      </w:pPr>
      <w:r w:rsidRPr="00956195">
        <w:rPr>
          <w:rFonts w:cstheme="minorHAnsi"/>
          <w:bCs/>
        </w:rPr>
        <w:t xml:space="preserve">Diane Schilder </w:t>
      </w:r>
    </w:p>
    <w:p w:rsidR="00956195" w:rsidP="00956195" w:rsidRDefault="00956195" w14:paraId="3BA19852" w14:textId="23B145AB">
      <w:pPr>
        <w:spacing w:after="0" w:line="240" w:lineRule="auto"/>
        <w:rPr>
          <w:rFonts w:cstheme="minorHAnsi"/>
          <w:bCs/>
        </w:rPr>
      </w:pPr>
      <w:r w:rsidRPr="00956195">
        <w:rPr>
          <w:rFonts w:cstheme="minorHAnsi"/>
          <w:bCs/>
        </w:rPr>
        <w:t xml:space="preserve">Urban Institute </w:t>
      </w:r>
    </w:p>
    <w:p w:rsidR="00956195" w:rsidP="00956195" w:rsidRDefault="00956195" w14:paraId="367D4FC6" w14:textId="24D41C47">
      <w:pPr>
        <w:spacing w:after="0" w:line="240" w:lineRule="auto"/>
        <w:rPr>
          <w:rFonts w:cstheme="minorHAnsi"/>
          <w:bCs/>
        </w:rPr>
      </w:pPr>
      <w:r>
        <w:t>(</w:t>
      </w:r>
      <w:r w:rsidRPr="00956195">
        <w:t>202</w:t>
      </w:r>
      <w:r>
        <w:t xml:space="preserve">) </w:t>
      </w:r>
      <w:r w:rsidRPr="00956195">
        <w:t>261-5544</w:t>
      </w:r>
      <w:r>
        <w:br/>
      </w:r>
      <w:hyperlink w:history="1" r:id="rId12">
        <w:r w:rsidRPr="001F79FF">
          <w:rPr>
            <w:rStyle w:val="Hyperlink"/>
            <w:rFonts w:cstheme="minorHAnsi"/>
            <w:bCs/>
          </w:rPr>
          <w:t>dschilder@urban.org</w:t>
        </w:r>
      </w:hyperlink>
    </w:p>
    <w:p w:rsidR="00956195" w:rsidP="00956195" w:rsidRDefault="00956195" w14:paraId="49677A61" w14:textId="307FCAE2">
      <w:pPr>
        <w:spacing w:after="0" w:line="240" w:lineRule="auto"/>
        <w:rPr>
          <w:rFonts w:cstheme="minorHAnsi"/>
          <w:bCs/>
        </w:rPr>
      </w:pPr>
    </w:p>
    <w:p w:rsidR="00956195" w:rsidP="00956195" w:rsidRDefault="00956195" w14:paraId="3196FA79" w14:textId="69B82BB1">
      <w:pPr>
        <w:spacing w:after="0" w:line="240" w:lineRule="auto"/>
        <w:rPr>
          <w:rFonts w:cstheme="minorHAnsi"/>
          <w:bCs/>
        </w:rPr>
      </w:pPr>
      <w:r>
        <w:rPr>
          <w:rFonts w:cstheme="minorHAnsi"/>
          <w:bCs/>
        </w:rPr>
        <w:t>Kate Stepleton</w:t>
      </w:r>
    </w:p>
    <w:p w:rsidR="00956195" w:rsidP="00956195" w:rsidRDefault="00956195" w14:paraId="7CBC3FB1" w14:textId="77777777">
      <w:pPr>
        <w:spacing w:after="0" w:line="240" w:lineRule="auto"/>
        <w:rPr>
          <w:rFonts w:cstheme="minorHAnsi"/>
          <w:bCs/>
        </w:rPr>
      </w:pPr>
      <w:r>
        <w:rPr>
          <w:rFonts w:cstheme="minorHAnsi"/>
          <w:bCs/>
        </w:rPr>
        <w:t>MEF Associates</w:t>
      </w:r>
    </w:p>
    <w:p w:rsidRPr="00956195" w:rsidR="00956195" w:rsidP="00956195" w:rsidRDefault="00956195" w14:paraId="59711265" w14:textId="60302616">
      <w:pPr>
        <w:spacing w:after="0" w:line="240" w:lineRule="auto"/>
      </w:pPr>
      <w:r>
        <w:t>(206) 653-0222</w:t>
      </w:r>
      <w:r>
        <w:rPr>
          <w:rFonts w:cstheme="minorHAnsi"/>
          <w:bCs/>
        </w:rPr>
        <w:t xml:space="preserve"> </w:t>
      </w:r>
    </w:p>
    <w:p w:rsidRPr="00956195" w:rsidR="00956195" w:rsidP="00956195" w:rsidRDefault="00956195" w14:paraId="35D72E3E" w14:textId="284CF93F">
      <w:pPr>
        <w:spacing w:after="0" w:line="240" w:lineRule="auto"/>
      </w:pPr>
      <w:r w:rsidRPr="00956195">
        <w:t>kate.stepleton@mefassociates.com</w:t>
      </w:r>
    </w:p>
    <w:p w:rsidRPr="001A59B6" w:rsidR="00956195" w:rsidP="00A42C71" w:rsidRDefault="00956195" w14:paraId="44EA947E" w14:textId="77777777">
      <w:pPr>
        <w:spacing w:after="0" w:line="240" w:lineRule="auto"/>
        <w:rPr>
          <w:rFonts w:cstheme="minorHAnsi"/>
          <w:b/>
        </w:rPr>
      </w:pPr>
    </w:p>
    <w:p w:rsidRPr="001A59B6" w:rsidR="00A42C71" w:rsidP="00A42C71" w:rsidRDefault="00A42C71" w14:paraId="2B00F308" w14:textId="77777777">
      <w:pPr>
        <w:spacing w:after="120" w:line="240" w:lineRule="auto"/>
        <w:rPr>
          <w:rFonts w:cstheme="minorHAnsi"/>
          <w:b/>
        </w:rPr>
      </w:pPr>
      <w:r w:rsidRPr="001A59B6">
        <w:rPr>
          <w:rFonts w:cstheme="minorHAnsi"/>
          <w:b/>
        </w:rPr>
        <w:t>Attachments</w:t>
      </w:r>
    </w:p>
    <w:p w:rsidR="00DB5D42" w:rsidP="00416D4E" w:rsidRDefault="00DB5D42" w14:paraId="57A11367" w14:textId="77777777">
      <w:pPr>
        <w:spacing w:after="0" w:line="240" w:lineRule="auto"/>
      </w:pPr>
      <w:r>
        <w:t xml:space="preserve">Instruments: </w:t>
      </w:r>
    </w:p>
    <w:p w:rsidR="00643266" w:rsidP="00864A9B" w:rsidRDefault="4144F3DF" w14:paraId="3EA5616F" w14:textId="2688189E">
      <w:pPr>
        <w:spacing w:after="0" w:line="240" w:lineRule="auto"/>
        <w:rPr>
          <w:rFonts w:ascii="Calibri" w:hAnsi="Calibri" w:eastAsia="Calibri" w:cs="Calibri"/>
          <w:color w:val="000000" w:themeColor="text1"/>
        </w:rPr>
      </w:pPr>
      <w:r>
        <w:t xml:space="preserve">Instrument </w:t>
      </w:r>
      <w:r w:rsidR="00643266">
        <w:t>1</w:t>
      </w:r>
      <w:r>
        <w:t xml:space="preserve">: </w:t>
      </w:r>
      <w:r w:rsidRPr="4144F3DF">
        <w:rPr>
          <w:rFonts w:ascii="Calibri" w:hAnsi="Calibri" w:eastAsia="Calibri" w:cs="Calibri"/>
          <w:color w:val="000000" w:themeColor="text1"/>
        </w:rPr>
        <w:t>Preparatory Interview with Head Start Directors and Coordinators</w:t>
      </w:r>
    </w:p>
    <w:p w:rsidR="00416D4E" w:rsidP="00643266" w:rsidRDefault="00643266" w14:paraId="7415478B" w14:textId="3095FA6D">
      <w:pPr>
        <w:spacing w:after="0" w:line="240" w:lineRule="auto"/>
      </w:pPr>
      <w:r w:rsidRPr="00DB5D42">
        <w:t xml:space="preserve">Instrument </w:t>
      </w:r>
      <w:r>
        <w:t>2</w:t>
      </w:r>
      <w:r w:rsidRPr="00DB5D42">
        <w:t>: Preparatory Email Request</w:t>
      </w:r>
      <w:r w:rsidR="00416D4E">
        <w:br/>
      </w:r>
      <w:r w:rsidR="4144F3DF">
        <w:t xml:space="preserve">Instrument 3: Full Interview for Head Start Staff </w:t>
      </w:r>
      <w:r w:rsidR="00F4767C">
        <w:t xml:space="preserve">and T/TA Staff </w:t>
      </w:r>
      <w:r>
        <w:t>P</w:t>
      </w:r>
      <w:r w:rsidR="4144F3DF">
        <w:t>rotocol</w:t>
      </w:r>
      <w:r w:rsidR="00416D4E">
        <w:br/>
      </w:r>
      <w:r w:rsidR="4144F3DF">
        <w:t xml:space="preserve">Instrument 4: Full Interview for </w:t>
      </w:r>
      <w:r w:rsidR="00FF7739">
        <w:t>N</w:t>
      </w:r>
      <w:r w:rsidR="4144F3DF">
        <w:t xml:space="preserve">on-Head Start Staff </w:t>
      </w:r>
      <w:r>
        <w:t>P</w:t>
      </w:r>
      <w:r w:rsidR="4144F3DF">
        <w:t>rotocol</w:t>
      </w:r>
    </w:p>
    <w:p w:rsidRPr="00643266" w:rsidR="00643266" w:rsidP="00864A9B" w:rsidRDefault="00643266" w14:paraId="7AFFBF03" w14:textId="77777777">
      <w:pPr>
        <w:spacing w:after="0" w:line="240" w:lineRule="auto"/>
        <w:rPr>
          <w:rFonts w:ascii="Calibri" w:hAnsi="Calibri" w:eastAsia="Calibri" w:cs="Calibri"/>
          <w:color w:val="000000" w:themeColor="text1"/>
        </w:rPr>
      </w:pPr>
    </w:p>
    <w:p w:rsidR="009A098A" w:rsidP="00416D4E" w:rsidRDefault="00DB5D42" w14:paraId="5B5C8E89" w14:textId="2C895CE8">
      <w:pPr>
        <w:spacing w:after="0" w:line="240" w:lineRule="auto"/>
      </w:pPr>
      <w:r>
        <w:t>Appendices:</w:t>
      </w:r>
    </w:p>
    <w:p w:rsidR="009E55C9" w:rsidP="009E55C9" w:rsidRDefault="009E55C9" w14:paraId="581E0F14" w14:textId="77777777">
      <w:pPr>
        <w:spacing w:after="0" w:line="240" w:lineRule="auto"/>
      </w:pPr>
      <w:bookmarkStart w:name="_Hlk99376573" w:id="2"/>
      <w:r>
        <w:t>Appendix A. Study Research Questions</w:t>
      </w:r>
    </w:p>
    <w:p w:rsidR="009E55C9" w:rsidP="009E55C9" w:rsidRDefault="009E55C9" w14:paraId="143558EC" w14:textId="77777777">
      <w:pPr>
        <w:spacing w:after="0" w:line="240" w:lineRule="auto"/>
      </w:pPr>
      <w:r>
        <w:t>Appendix B. Recruitment Letter for Head Start Directors (Project Team will send)</w:t>
      </w:r>
    </w:p>
    <w:p w:rsidR="009E55C9" w:rsidP="009E55C9" w:rsidRDefault="009E55C9" w14:paraId="050AF861" w14:textId="1D7CC934">
      <w:pPr>
        <w:spacing w:after="0"/>
      </w:pPr>
      <w:r>
        <w:t xml:space="preserve">Appendix </w:t>
      </w:r>
      <w:r w:rsidR="00FF7739">
        <w:t>C</w:t>
      </w:r>
      <w:r>
        <w:t xml:space="preserve">. Responses to FAQs  </w:t>
      </w:r>
    </w:p>
    <w:p w:rsidR="009E55C9" w:rsidP="009E55C9" w:rsidRDefault="009E55C9" w14:paraId="10E762CE" w14:textId="573F9E57">
      <w:pPr>
        <w:spacing w:after="0"/>
      </w:pPr>
      <w:r>
        <w:t xml:space="preserve">Appendix </w:t>
      </w:r>
      <w:r w:rsidR="00FF7739">
        <w:t>D</w:t>
      </w:r>
      <w:r>
        <w:t>. Eligibility and Logistics Email to Head Start Directors</w:t>
      </w:r>
      <w:r w:rsidDel="008B71D3">
        <w:t xml:space="preserve"> </w:t>
      </w:r>
    </w:p>
    <w:p w:rsidR="009E55C9" w:rsidP="009E55C9" w:rsidRDefault="009E55C9" w14:paraId="17C629D8" w14:textId="46AAEE63">
      <w:pPr>
        <w:spacing w:after="0"/>
      </w:pPr>
      <w:r>
        <w:t xml:space="preserve">Appendix </w:t>
      </w:r>
      <w:r w:rsidR="00FF7739">
        <w:t>E</w:t>
      </w:r>
      <w:r>
        <w:t>. Recruitment Letter for Coordinator</w:t>
      </w:r>
    </w:p>
    <w:bookmarkEnd w:id="2"/>
    <w:p w:rsidRPr="006B53F1" w:rsidR="00B765F8" w:rsidP="00416D4E" w:rsidRDefault="00B765F8" w14:paraId="2488993C" w14:textId="4005B09D">
      <w:pPr>
        <w:spacing w:after="0"/>
      </w:pPr>
    </w:p>
    <w:sectPr w:rsidRPr="006B53F1" w:rsidR="00B765F8"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A0270" w14:textId="77777777" w:rsidR="00A17170" w:rsidRDefault="00A17170" w:rsidP="0004063C">
      <w:pPr>
        <w:spacing w:after="0" w:line="240" w:lineRule="auto"/>
      </w:pPr>
      <w:r>
        <w:separator/>
      </w:r>
    </w:p>
  </w:endnote>
  <w:endnote w:type="continuationSeparator" w:id="0">
    <w:p w14:paraId="72AB96B7" w14:textId="77777777" w:rsidR="00A17170" w:rsidRDefault="00A1717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CC5167" w:rsidR="00BD702B" w:rsidRDefault="00BD702B">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5663A" w14:textId="77777777" w:rsidR="00A17170" w:rsidRDefault="00A17170" w:rsidP="0004063C">
      <w:pPr>
        <w:spacing w:after="0" w:line="240" w:lineRule="auto"/>
      </w:pPr>
      <w:r>
        <w:separator/>
      </w:r>
    </w:p>
  </w:footnote>
  <w:footnote w:type="continuationSeparator" w:id="0">
    <w:p w14:paraId="2753C480" w14:textId="77777777" w:rsidR="00A17170" w:rsidRDefault="00A17170" w:rsidP="0004063C">
      <w:pPr>
        <w:spacing w:after="0" w:line="240" w:lineRule="auto"/>
      </w:pPr>
      <w:r>
        <w:continuationSeparator/>
      </w:r>
    </w:p>
  </w:footnote>
  <w:footnote w:id="1">
    <w:p w14:paraId="38F01753" w14:textId="5A2AB279" w:rsidR="00E84BA4" w:rsidRDefault="00E84BA4">
      <w:pPr>
        <w:pStyle w:val="FootnoteText"/>
      </w:pPr>
      <w:r>
        <w:rPr>
          <w:rStyle w:val="FootnoteReference"/>
        </w:rPr>
        <w:footnoteRef/>
      </w:r>
      <w:r>
        <w:t xml:space="preserve"> All conversion requests are reviewed at the Regional Office level. The Central Office also reviews when grant</w:t>
      </w:r>
      <w:r w:rsidR="00E70223">
        <w:t xml:space="preserve"> recipient</w:t>
      </w:r>
      <w:r>
        <w:t>s convert more than 10% of funded enrollment slots, more than 1 classroom, more than one home-based caseload (10-12) slots in a program of fewer than 10 caseloads</w:t>
      </w:r>
      <w:r w:rsidR="00146FB8">
        <w:t>, if the grant recipient is planning to offer EHS services for the first time, or if the grant recipient is currently on an underenrollment plan</w:t>
      </w:r>
      <w:r>
        <w:t>.</w:t>
      </w:r>
    </w:p>
  </w:footnote>
  <w:footnote w:id="2">
    <w:p w14:paraId="547242FE" w14:textId="6C3C1B8D" w:rsidR="000164AF" w:rsidRDefault="000164AF">
      <w:pPr>
        <w:pStyle w:val="FootnoteText"/>
      </w:pPr>
      <w:r>
        <w:rPr>
          <w:rStyle w:val="FootnoteReference"/>
        </w:rPr>
        <w:footnoteRef/>
      </w:r>
      <w:r>
        <w:t xml:space="preserve"> Per the 2019 Program Information Report</w:t>
      </w:r>
      <w:r w:rsidR="0041414A">
        <w:t xml:space="preserve"> (OMB #0970-0427)</w:t>
      </w:r>
      <w:r>
        <w:t xml:space="preserve">, four agency types represent 92% of recipients. These agency types are: Community Action Agency, </w:t>
      </w:r>
      <w:r w:rsidR="00A36C3E">
        <w:t xml:space="preserve">School System, </w:t>
      </w:r>
      <w:r w:rsidR="0024155E">
        <w:t xml:space="preserve">Government Agencies, </w:t>
      </w:r>
      <w:r w:rsidR="00A36C3E">
        <w:t>and Private/Public Nonprofit.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76146"/>
    <w:multiLevelType w:val="hybridMultilevel"/>
    <w:tmpl w:val="FCE0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A1196"/>
    <w:multiLevelType w:val="hybridMultilevel"/>
    <w:tmpl w:val="A4447130"/>
    <w:lvl w:ilvl="0" w:tplc="B65A5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36DAC"/>
    <w:multiLevelType w:val="hybridMultilevel"/>
    <w:tmpl w:val="5DF2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A20CD"/>
    <w:multiLevelType w:val="hybridMultilevel"/>
    <w:tmpl w:val="2C5A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CE45B9"/>
    <w:multiLevelType w:val="hybridMultilevel"/>
    <w:tmpl w:val="B4B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6116C"/>
    <w:multiLevelType w:val="hybridMultilevel"/>
    <w:tmpl w:val="2C8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4"/>
  </w:num>
  <w:num w:numId="4">
    <w:abstractNumId w:val="26"/>
  </w:num>
  <w:num w:numId="5">
    <w:abstractNumId w:val="14"/>
  </w:num>
  <w:num w:numId="6">
    <w:abstractNumId w:val="32"/>
  </w:num>
  <w:num w:numId="7">
    <w:abstractNumId w:val="3"/>
  </w:num>
  <w:num w:numId="8">
    <w:abstractNumId w:val="9"/>
  </w:num>
  <w:num w:numId="9">
    <w:abstractNumId w:val="13"/>
  </w:num>
  <w:num w:numId="10">
    <w:abstractNumId w:val="31"/>
  </w:num>
  <w:num w:numId="11">
    <w:abstractNumId w:val="34"/>
  </w:num>
  <w:num w:numId="12">
    <w:abstractNumId w:val="28"/>
  </w:num>
  <w:num w:numId="13">
    <w:abstractNumId w:val="25"/>
  </w:num>
  <w:num w:numId="14">
    <w:abstractNumId w:val="29"/>
  </w:num>
  <w:num w:numId="15">
    <w:abstractNumId w:val="15"/>
  </w:num>
  <w:num w:numId="16">
    <w:abstractNumId w:val="24"/>
  </w:num>
  <w:num w:numId="17">
    <w:abstractNumId w:val="11"/>
  </w:num>
  <w:num w:numId="18">
    <w:abstractNumId w:val="8"/>
  </w:num>
  <w:num w:numId="19">
    <w:abstractNumId w:val="7"/>
  </w:num>
  <w:num w:numId="20">
    <w:abstractNumId w:val="22"/>
  </w:num>
  <w:num w:numId="21">
    <w:abstractNumId w:val="0"/>
  </w:num>
  <w:num w:numId="22">
    <w:abstractNumId w:val="1"/>
  </w:num>
  <w:num w:numId="23">
    <w:abstractNumId w:val="16"/>
  </w:num>
  <w:num w:numId="24">
    <w:abstractNumId w:val="2"/>
  </w:num>
  <w:num w:numId="25">
    <w:abstractNumId w:val="10"/>
  </w:num>
  <w:num w:numId="26">
    <w:abstractNumId w:val="21"/>
  </w:num>
  <w:num w:numId="27">
    <w:abstractNumId w:val="33"/>
  </w:num>
  <w:num w:numId="28">
    <w:abstractNumId w:val="27"/>
  </w:num>
  <w:num w:numId="29">
    <w:abstractNumId w:val="18"/>
  </w:num>
  <w:num w:numId="30">
    <w:abstractNumId w:val="23"/>
  </w:num>
  <w:num w:numId="31">
    <w:abstractNumId w:val="17"/>
  </w:num>
  <w:num w:numId="32">
    <w:abstractNumId w:val="19"/>
  </w:num>
  <w:num w:numId="33">
    <w:abstractNumId w:val="12"/>
  </w:num>
  <w:num w:numId="34">
    <w:abstractNumId w:val="6"/>
  </w:num>
  <w:num w:numId="3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365"/>
    <w:rsid w:val="00003331"/>
    <w:rsid w:val="0001255D"/>
    <w:rsid w:val="000164AF"/>
    <w:rsid w:val="00027E79"/>
    <w:rsid w:val="0003087A"/>
    <w:rsid w:val="0004063C"/>
    <w:rsid w:val="0004247F"/>
    <w:rsid w:val="000561B9"/>
    <w:rsid w:val="00062AFB"/>
    <w:rsid w:val="000655DD"/>
    <w:rsid w:val="00071F79"/>
    <w:rsid w:val="0007251B"/>
    <w:rsid w:val="000733A5"/>
    <w:rsid w:val="00075943"/>
    <w:rsid w:val="00082C5B"/>
    <w:rsid w:val="00083227"/>
    <w:rsid w:val="00086CBE"/>
    <w:rsid w:val="00087117"/>
    <w:rsid w:val="00090812"/>
    <w:rsid w:val="000921F0"/>
    <w:rsid w:val="00093D95"/>
    <w:rsid w:val="00096484"/>
    <w:rsid w:val="00097560"/>
    <w:rsid w:val="000A012A"/>
    <w:rsid w:val="000B6751"/>
    <w:rsid w:val="000C587F"/>
    <w:rsid w:val="000D4E9A"/>
    <w:rsid w:val="000D7D44"/>
    <w:rsid w:val="000F1E4A"/>
    <w:rsid w:val="000F28E1"/>
    <w:rsid w:val="00100D34"/>
    <w:rsid w:val="00103EFD"/>
    <w:rsid w:val="00107D87"/>
    <w:rsid w:val="0011419E"/>
    <w:rsid w:val="001253F4"/>
    <w:rsid w:val="00136B82"/>
    <w:rsid w:val="001409A8"/>
    <w:rsid w:val="00146CDD"/>
    <w:rsid w:val="00146FB8"/>
    <w:rsid w:val="001562D2"/>
    <w:rsid w:val="00157482"/>
    <w:rsid w:val="001707D8"/>
    <w:rsid w:val="00182150"/>
    <w:rsid w:val="001954FA"/>
    <w:rsid w:val="00196A24"/>
    <w:rsid w:val="001A72C9"/>
    <w:rsid w:val="001B0A76"/>
    <w:rsid w:val="001C0938"/>
    <w:rsid w:val="001D4CEA"/>
    <w:rsid w:val="001F57F5"/>
    <w:rsid w:val="00201995"/>
    <w:rsid w:val="0020401C"/>
    <w:rsid w:val="0020629A"/>
    <w:rsid w:val="00206E11"/>
    <w:rsid w:val="00206FE3"/>
    <w:rsid w:val="00207554"/>
    <w:rsid w:val="00207AFF"/>
    <w:rsid w:val="00211261"/>
    <w:rsid w:val="00227EC5"/>
    <w:rsid w:val="0024155E"/>
    <w:rsid w:val="002517BB"/>
    <w:rsid w:val="002538C5"/>
    <w:rsid w:val="00255F8D"/>
    <w:rsid w:val="00256E24"/>
    <w:rsid w:val="00262BC6"/>
    <w:rsid w:val="00265491"/>
    <w:rsid w:val="0026631A"/>
    <w:rsid w:val="00276CE2"/>
    <w:rsid w:val="002874C8"/>
    <w:rsid w:val="00287AF1"/>
    <w:rsid w:val="00292DC3"/>
    <w:rsid w:val="002A41C6"/>
    <w:rsid w:val="002B16AD"/>
    <w:rsid w:val="002B785B"/>
    <w:rsid w:val="002C71A7"/>
    <w:rsid w:val="002D2E67"/>
    <w:rsid w:val="002D3F3F"/>
    <w:rsid w:val="002D480B"/>
    <w:rsid w:val="002E0DBE"/>
    <w:rsid w:val="002E60B5"/>
    <w:rsid w:val="002E6CCF"/>
    <w:rsid w:val="002E7A93"/>
    <w:rsid w:val="002F2A88"/>
    <w:rsid w:val="002F33D0"/>
    <w:rsid w:val="002F4EAF"/>
    <w:rsid w:val="003001BF"/>
    <w:rsid w:val="00300722"/>
    <w:rsid w:val="003020AD"/>
    <w:rsid w:val="0030316D"/>
    <w:rsid w:val="00314BF7"/>
    <w:rsid w:val="00373D2F"/>
    <w:rsid w:val="00380326"/>
    <w:rsid w:val="00390F85"/>
    <w:rsid w:val="00392DA1"/>
    <w:rsid w:val="00394B7D"/>
    <w:rsid w:val="003973D5"/>
    <w:rsid w:val="003A316D"/>
    <w:rsid w:val="003A3DF2"/>
    <w:rsid w:val="003A5FD1"/>
    <w:rsid w:val="003A7774"/>
    <w:rsid w:val="003B4EF6"/>
    <w:rsid w:val="003B7C45"/>
    <w:rsid w:val="003C1D15"/>
    <w:rsid w:val="003C7358"/>
    <w:rsid w:val="003D27EC"/>
    <w:rsid w:val="003E1139"/>
    <w:rsid w:val="003E61F6"/>
    <w:rsid w:val="003F277D"/>
    <w:rsid w:val="00407537"/>
    <w:rsid w:val="0041414A"/>
    <w:rsid w:val="004165BD"/>
    <w:rsid w:val="00416D4E"/>
    <w:rsid w:val="0042220D"/>
    <w:rsid w:val="00431623"/>
    <w:rsid w:val="0043377A"/>
    <w:rsid w:val="00433992"/>
    <w:rsid w:val="00437489"/>
    <w:rsid w:val="004379B6"/>
    <w:rsid w:val="0044428E"/>
    <w:rsid w:val="00446465"/>
    <w:rsid w:val="00455AD8"/>
    <w:rsid w:val="00460D54"/>
    <w:rsid w:val="00461D3E"/>
    <w:rsid w:val="004706CC"/>
    <w:rsid w:val="00477323"/>
    <w:rsid w:val="004A44AD"/>
    <w:rsid w:val="004A6DF2"/>
    <w:rsid w:val="004B75AC"/>
    <w:rsid w:val="004C3644"/>
    <w:rsid w:val="004D12DD"/>
    <w:rsid w:val="004E5778"/>
    <w:rsid w:val="004E7ED8"/>
    <w:rsid w:val="0050376D"/>
    <w:rsid w:val="00512C25"/>
    <w:rsid w:val="005302CB"/>
    <w:rsid w:val="005318D6"/>
    <w:rsid w:val="00533FDB"/>
    <w:rsid w:val="0055434C"/>
    <w:rsid w:val="0058750C"/>
    <w:rsid w:val="00591283"/>
    <w:rsid w:val="005A61CE"/>
    <w:rsid w:val="005A7E5A"/>
    <w:rsid w:val="005B1285"/>
    <w:rsid w:val="005B1410"/>
    <w:rsid w:val="005C0089"/>
    <w:rsid w:val="005C0B7C"/>
    <w:rsid w:val="005C7C9F"/>
    <w:rsid w:val="005D1804"/>
    <w:rsid w:val="005D4A40"/>
    <w:rsid w:val="005E493B"/>
    <w:rsid w:val="005F2951"/>
    <w:rsid w:val="005F3ED7"/>
    <w:rsid w:val="005F4038"/>
    <w:rsid w:val="00624DDC"/>
    <w:rsid w:val="006253B6"/>
    <w:rsid w:val="006257ED"/>
    <w:rsid w:val="0062686E"/>
    <w:rsid w:val="00630B30"/>
    <w:rsid w:val="006339F6"/>
    <w:rsid w:val="00636F8C"/>
    <w:rsid w:val="006416D9"/>
    <w:rsid w:val="00643266"/>
    <w:rsid w:val="00651FF6"/>
    <w:rsid w:val="00665D3A"/>
    <w:rsid w:val="006662B1"/>
    <w:rsid w:val="00671754"/>
    <w:rsid w:val="0068303E"/>
    <w:rsid w:val="0068383E"/>
    <w:rsid w:val="00686A49"/>
    <w:rsid w:val="006A3C79"/>
    <w:rsid w:val="006A4D02"/>
    <w:rsid w:val="006B1BF9"/>
    <w:rsid w:val="006B31DA"/>
    <w:rsid w:val="006B53F1"/>
    <w:rsid w:val="006B6037"/>
    <w:rsid w:val="006B6E12"/>
    <w:rsid w:val="006C0E56"/>
    <w:rsid w:val="006D12A1"/>
    <w:rsid w:val="006E4A9F"/>
    <w:rsid w:val="006E4DEE"/>
    <w:rsid w:val="006E4F82"/>
    <w:rsid w:val="006E7BB2"/>
    <w:rsid w:val="00716419"/>
    <w:rsid w:val="00717BDC"/>
    <w:rsid w:val="00723A28"/>
    <w:rsid w:val="0073224A"/>
    <w:rsid w:val="00736B62"/>
    <w:rsid w:val="0075017E"/>
    <w:rsid w:val="00762384"/>
    <w:rsid w:val="00763D51"/>
    <w:rsid w:val="00763DD7"/>
    <w:rsid w:val="00764579"/>
    <w:rsid w:val="00764C85"/>
    <w:rsid w:val="007733D5"/>
    <w:rsid w:val="00790270"/>
    <w:rsid w:val="00793E3E"/>
    <w:rsid w:val="007979D4"/>
    <w:rsid w:val="007A29C5"/>
    <w:rsid w:val="007A6225"/>
    <w:rsid w:val="007C41DE"/>
    <w:rsid w:val="007C7B4B"/>
    <w:rsid w:val="00811057"/>
    <w:rsid w:val="00816C11"/>
    <w:rsid w:val="00823428"/>
    <w:rsid w:val="008276AE"/>
    <w:rsid w:val="00832101"/>
    <w:rsid w:val="00835D62"/>
    <w:rsid w:val="008369BA"/>
    <w:rsid w:val="00840D32"/>
    <w:rsid w:val="00842481"/>
    <w:rsid w:val="00843933"/>
    <w:rsid w:val="0084670F"/>
    <w:rsid w:val="008509F6"/>
    <w:rsid w:val="00852B72"/>
    <w:rsid w:val="00864A9B"/>
    <w:rsid w:val="00864C1F"/>
    <w:rsid w:val="00870FA1"/>
    <w:rsid w:val="00875220"/>
    <w:rsid w:val="00891CD9"/>
    <w:rsid w:val="008D1384"/>
    <w:rsid w:val="008E0239"/>
    <w:rsid w:val="008E4718"/>
    <w:rsid w:val="008F1198"/>
    <w:rsid w:val="008F21D8"/>
    <w:rsid w:val="008F2446"/>
    <w:rsid w:val="00900735"/>
    <w:rsid w:val="00901040"/>
    <w:rsid w:val="00911AF0"/>
    <w:rsid w:val="00920893"/>
    <w:rsid w:val="00923F25"/>
    <w:rsid w:val="00934028"/>
    <w:rsid w:val="00936310"/>
    <w:rsid w:val="00940CA4"/>
    <w:rsid w:val="00946B8A"/>
    <w:rsid w:val="009472DE"/>
    <w:rsid w:val="009557B9"/>
    <w:rsid w:val="00956195"/>
    <w:rsid w:val="009612FA"/>
    <w:rsid w:val="00963503"/>
    <w:rsid w:val="00964E6A"/>
    <w:rsid w:val="00965DBD"/>
    <w:rsid w:val="00970B1A"/>
    <w:rsid w:val="00971944"/>
    <w:rsid w:val="009815C6"/>
    <w:rsid w:val="00981F8A"/>
    <w:rsid w:val="009845C2"/>
    <w:rsid w:val="00987FCE"/>
    <w:rsid w:val="009912A0"/>
    <w:rsid w:val="00996201"/>
    <w:rsid w:val="009A098A"/>
    <w:rsid w:val="009A39E1"/>
    <w:rsid w:val="009A3AD8"/>
    <w:rsid w:val="009A6EE8"/>
    <w:rsid w:val="009B0F58"/>
    <w:rsid w:val="009B4607"/>
    <w:rsid w:val="009C1884"/>
    <w:rsid w:val="009C3380"/>
    <w:rsid w:val="009E0A7E"/>
    <w:rsid w:val="009E2935"/>
    <w:rsid w:val="009E55C9"/>
    <w:rsid w:val="009E7E38"/>
    <w:rsid w:val="009F265B"/>
    <w:rsid w:val="009F482C"/>
    <w:rsid w:val="009F68DB"/>
    <w:rsid w:val="00A01AD5"/>
    <w:rsid w:val="00A03E3F"/>
    <w:rsid w:val="00A1108E"/>
    <w:rsid w:val="00A17170"/>
    <w:rsid w:val="00A25842"/>
    <w:rsid w:val="00A27CD0"/>
    <w:rsid w:val="00A3190B"/>
    <w:rsid w:val="00A3277E"/>
    <w:rsid w:val="00A362B6"/>
    <w:rsid w:val="00A36C3E"/>
    <w:rsid w:val="00A42C71"/>
    <w:rsid w:val="00A67DFF"/>
    <w:rsid w:val="00A71475"/>
    <w:rsid w:val="00A714DC"/>
    <w:rsid w:val="00A7179C"/>
    <w:rsid w:val="00A73C9E"/>
    <w:rsid w:val="00A761CB"/>
    <w:rsid w:val="00A81C18"/>
    <w:rsid w:val="00A85701"/>
    <w:rsid w:val="00AA0BB4"/>
    <w:rsid w:val="00AC2858"/>
    <w:rsid w:val="00AD00AB"/>
    <w:rsid w:val="00AD3261"/>
    <w:rsid w:val="00AD4355"/>
    <w:rsid w:val="00AD5C04"/>
    <w:rsid w:val="00AE2FBB"/>
    <w:rsid w:val="00AE3F5F"/>
    <w:rsid w:val="00AF1FCC"/>
    <w:rsid w:val="00AF4328"/>
    <w:rsid w:val="00B13DC4"/>
    <w:rsid w:val="00B14475"/>
    <w:rsid w:val="00B17B7C"/>
    <w:rsid w:val="00B21FFA"/>
    <w:rsid w:val="00B23277"/>
    <w:rsid w:val="00B245AD"/>
    <w:rsid w:val="00B349A5"/>
    <w:rsid w:val="00B4182B"/>
    <w:rsid w:val="00B55E54"/>
    <w:rsid w:val="00B56589"/>
    <w:rsid w:val="00B57355"/>
    <w:rsid w:val="00B64D05"/>
    <w:rsid w:val="00B671A4"/>
    <w:rsid w:val="00B70460"/>
    <w:rsid w:val="00B72C64"/>
    <w:rsid w:val="00B765F8"/>
    <w:rsid w:val="00B77C63"/>
    <w:rsid w:val="00B9441B"/>
    <w:rsid w:val="00B95ADD"/>
    <w:rsid w:val="00BA5034"/>
    <w:rsid w:val="00BA6DCF"/>
    <w:rsid w:val="00BB01BD"/>
    <w:rsid w:val="00BB4BF8"/>
    <w:rsid w:val="00BD702B"/>
    <w:rsid w:val="00BD731C"/>
    <w:rsid w:val="00BD7B78"/>
    <w:rsid w:val="00BE1773"/>
    <w:rsid w:val="00BE1BA9"/>
    <w:rsid w:val="00BE45BC"/>
    <w:rsid w:val="00BE773B"/>
    <w:rsid w:val="00C02C78"/>
    <w:rsid w:val="00C05352"/>
    <w:rsid w:val="00C10A9F"/>
    <w:rsid w:val="00C32404"/>
    <w:rsid w:val="00C32C8A"/>
    <w:rsid w:val="00C515F8"/>
    <w:rsid w:val="00C51882"/>
    <w:rsid w:val="00C61D4E"/>
    <w:rsid w:val="00C73360"/>
    <w:rsid w:val="00C8176F"/>
    <w:rsid w:val="00C86CB2"/>
    <w:rsid w:val="00C91C71"/>
    <w:rsid w:val="00C95126"/>
    <w:rsid w:val="00CA686B"/>
    <w:rsid w:val="00CA72A5"/>
    <w:rsid w:val="00CC07BF"/>
    <w:rsid w:val="00CC4651"/>
    <w:rsid w:val="00CC565B"/>
    <w:rsid w:val="00CC6120"/>
    <w:rsid w:val="00CD5D64"/>
    <w:rsid w:val="00CE018E"/>
    <w:rsid w:val="00CE06B6"/>
    <w:rsid w:val="00CE114D"/>
    <w:rsid w:val="00CE7A4A"/>
    <w:rsid w:val="00CF6AD0"/>
    <w:rsid w:val="00D03C4D"/>
    <w:rsid w:val="00D04C57"/>
    <w:rsid w:val="00D1343F"/>
    <w:rsid w:val="00D13AA8"/>
    <w:rsid w:val="00D14BFB"/>
    <w:rsid w:val="00D239B5"/>
    <w:rsid w:val="00D32B72"/>
    <w:rsid w:val="00D3481D"/>
    <w:rsid w:val="00D4033C"/>
    <w:rsid w:val="00D45504"/>
    <w:rsid w:val="00D5346A"/>
    <w:rsid w:val="00D55728"/>
    <w:rsid w:val="00D55767"/>
    <w:rsid w:val="00D71BA0"/>
    <w:rsid w:val="00D749DF"/>
    <w:rsid w:val="00D81DE6"/>
    <w:rsid w:val="00D82755"/>
    <w:rsid w:val="00D82E67"/>
    <w:rsid w:val="00D831AC"/>
    <w:rsid w:val="00D85D7A"/>
    <w:rsid w:val="00D86CD1"/>
    <w:rsid w:val="00D86FD3"/>
    <w:rsid w:val="00D87E56"/>
    <w:rsid w:val="00D95E35"/>
    <w:rsid w:val="00D97926"/>
    <w:rsid w:val="00DA3557"/>
    <w:rsid w:val="00DA3AD8"/>
    <w:rsid w:val="00DA40D0"/>
    <w:rsid w:val="00DA4701"/>
    <w:rsid w:val="00DB5D42"/>
    <w:rsid w:val="00DC2624"/>
    <w:rsid w:val="00DC5501"/>
    <w:rsid w:val="00DC65F2"/>
    <w:rsid w:val="00DC7876"/>
    <w:rsid w:val="00DC7DD5"/>
    <w:rsid w:val="00DD329F"/>
    <w:rsid w:val="00DE3ED7"/>
    <w:rsid w:val="00DF1291"/>
    <w:rsid w:val="00E1392C"/>
    <w:rsid w:val="00E22AC6"/>
    <w:rsid w:val="00E24830"/>
    <w:rsid w:val="00E318A6"/>
    <w:rsid w:val="00E41C62"/>
    <w:rsid w:val="00E41EE9"/>
    <w:rsid w:val="00E461D4"/>
    <w:rsid w:val="00E54A47"/>
    <w:rsid w:val="00E62285"/>
    <w:rsid w:val="00E62819"/>
    <w:rsid w:val="00E70223"/>
    <w:rsid w:val="00E71E25"/>
    <w:rsid w:val="00E8078B"/>
    <w:rsid w:val="00E8099C"/>
    <w:rsid w:val="00E84BA4"/>
    <w:rsid w:val="00E9045F"/>
    <w:rsid w:val="00E94710"/>
    <w:rsid w:val="00E9740B"/>
    <w:rsid w:val="00EA0D4F"/>
    <w:rsid w:val="00EA3933"/>
    <w:rsid w:val="00EA405B"/>
    <w:rsid w:val="00EB1514"/>
    <w:rsid w:val="00EB4C26"/>
    <w:rsid w:val="00EB6134"/>
    <w:rsid w:val="00EC1A6C"/>
    <w:rsid w:val="00EC4A12"/>
    <w:rsid w:val="00ED51B5"/>
    <w:rsid w:val="00ED7509"/>
    <w:rsid w:val="00EE2168"/>
    <w:rsid w:val="00EE25F7"/>
    <w:rsid w:val="00EE38AF"/>
    <w:rsid w:val="00EF254B"/>
    <w:rsid w:val="00EF4FF2"/>
    <w:rsid w:val="00EF5588"/>
    <w:rsid w:val="00F071DE"/>
    <w:rsid w:val="00F120ED"/>
    <w:rsid w:val="00F339AD"/>
    <w:rsid w:val="00F42246"/>
    <w:rsid w:val="00F4767C"/>
    <w:rsid w:val="00F50371"/>
    <w:rsid w:val="00F62A0C"/>
    <w:rsid w:val="00F71D2A"/>
    <w:rsid w:val="00F74630"/>
    <w:rsid w:val="00F9122A"/>
    <w:rsid w:val="00FA6D2C"/>
    <w:rsid w:val="00FB135C"/>
    <w:rsid w:val="00FB5BF6"/>
    <w:rsid w:val="00FC2272"/>
    <w:rsid w:val="00FC69F0"/>
    <w:rsid w:val="00FC779A"/>
    <w:rsid w:val="00FF5C51"/>
    <w:rsid w:val="00FF7739"/>
    <w:rsid w:val="28F8C221"/>
    <w:rsid w:val="4144F3DF"/>
    <w:rsid w:val="5C40FA4D"/>
    <w:rsid w:val="7647A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uiPriority w:val="1"/>
    <w:qFormat/>
    <w:rsid w:val="00DB5D42"/>
    <w:pPr>
      <w:spacing w:after="240" w:line="290" w:lineRule="exact"/>
    </w:pPr>
    <w:rPr>
      <w:rFonts w:eastAsia="Times New Roman" w:cs="Times New Roman"/>
      <w:sz w:val="24"/>
      <w:szCs w:val="20"/>
    </w:rPr>
  </w:style>
  <w:style w:type="character" w:styleId="UnresolvedMention">
    <w:name w:val="Unresolved Mention"/>
    <w:basedOn w:val="DefaultParagraphFont"/>
    <w:uiPriority w:val="99"/>
    <w:semiHidden/>
    <w:unhideWhenUsed/>
    <w:rsid w:val="00956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274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8763243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childer@urb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essa.malin@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2BFAFEDD-7DFE-425B-81F0-44422D89D2A9}">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Kuhns, Catherine</dc:creator>
  <cp:lastModifiedBy>Bichay-Awadalla, Krystal (ACF) (CTR)</cp:lastModifiedBy>
  <cp:revision>6</cp:revision>
  <dcterms:created xsi:type="dcterms:W3CDTF">2022-05-26T17:05:00Z</dcterms:created>
  <dcterms:modified xsi:type="dcterms:W3CDTF">2022-06-08T20:11:00Z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