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800" w:rsidRDefault="006D615E" w14:paraId="71DD56F2" w14:textId="082E8DB1">
      <w:pPr>
        <w:pStyle w:val="Heading2"/>
        <w:tabs>
          <w:tab w:val="left" w:pos="900"/>
        </w:tabs>
        <w:ind w:left="1" w:right="-180" w:hanging="3"/>
      </w:pPr>
      <w:r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="00A91CF8">
        <w:rPr>
          <w:sz w:val="28"/>
          <w:szCs w:val="28"/>
        </w:rPr>
        <w:t>0970-0401</w:t>
      </w:r>
      <w:r>
        <w:rPr>
          <w:sz w:val="28"/>
          <w:szCs w:val="28"/>
        </w:rPr>
        <w:t>)</w:t>
      </w:r>
    </w:p>
    <w:p w:rsidRPr="00D73789" w:rsidR="00381800" w:rsidRDefault="006D615E" w14:paraId="43899F56" w14:textId="0394A417">
      <w:pPr>
        <w:ind w:left="0" w:hanging="2"/>
        <w:rPr>
          <w:b/>
          <w:iCs/>
        </w:rPr>
      </w:pPr>
      <w:r>
        <w:rPr>
          <w:b/>
        </w:rPr>
        <w:t>TITLE OF INFORMATION COLLECTION:</w:t>
      </w:r>
      <w:r>
        <w:t xml:space="preserve"> </w:t>
      </w:r>
      <w:r w:rsidRPr="000C6519">
        <w:rPr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editId="65C426BA" wp14:anchorId="3F8ED66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name="_Hlk98506030" w:id="0"/>
      <w:r w:rsidRPr="000C6519" w:rsidR="000E36AD">
        <w:rPr>
          <w:bCs/>
          <w:iCs/>
        </w:rPr>
        <w:t xml:space="preserve">Feedback on </w:t>
      </w:r>
      <w:bookmarkStart w:name="_Hlk98916602" w:id="1"/>
      <w:r w:rsidRPr="000C6519" w:rsidR="008F7BEB">
        <w:rPr>
          <w:bCs/>
          <w:iCs/>
        </w:rPr>
        <w:t xml:space="preserve">Family Violence Prevention and Services Act </w:t>
      </w:r>
      <w:bookmarkEnd w:id="1"/>
      <w:r w:rsidRPr="000C6519" w:rsidR="008F7BEB">
        <w:rPr>
          <w:bCs/>
          <w:iCs/>
        </w:rPr>
        <w:t xml:space="preserve">(FVPSA) </w:t>
      </w:r>
      <w:bookmarkEnd w:id="0"/>
      <w:r w:rsidRPr="000C6519" w:rsidR="008F7BEB">
        <w:rPr>
          <w:bCs/>
          <w:iCs/>
        </w:rPr>
        <w:t>American Rescue Plan (ARP) Financial Grants Management Training</w:t>
      </w:r>
      <w:r w:rsidRPr="00D73789" w:rsidR="008F7BEB">
        <w:rPr>
          <w:b/>
          <w:iCs/>
        </w:rPr>
        <w:t xml:space="preserve"> </w:t>
      </w:r>
    </w:p>
    <w:p w:rsidR="00381800" w:rsidRDefault="00381800" w14:paraId="11B28DCC" w14:textId="77777777">
      <w:pPr>
        <w:ind w:left="0" w:hanging="2"/>
      </w:pPr>
    </w:p>
    <w:p w:rsidR="00081BC4" w:rsidP="00377434" w:rsidRDefault="006D615E" w14:paraId="6668E049" w14:textId="3D5326E9">
      <w:pPr>
        <w:spacing w:after="60"/>
        <w:ind w:left="0" w:hanging="2"/>
      </w:pPr>
      <w:r>
        <w:rPr>
          <w:b/>
        </w:rPr>
        <w:t>PURPOSE</w:t>
      </w:r>
      <w:r>
        <w:t xml:space="preserve">:  </w:t>
      </w:r>
      <w:r w:rsidR="000C6519">
        <w:t xml:space="preserve">The ACF Family and Youth Services Bureau Division of </w:t>
      </w:r>
      <w:r w:rsidRPr="0047536E" w:rsidR="000C6519">
        <w:t>Family Violence Prevention and Services</w:t>
      </w:r>
      <w:r w:rsidR="000C6519">
        <w:t xml:space="preserve"> is hosting a series of training</w:t>
      </w:r>
      <w:r w:rsidR="00081BC4">
        <w:t xml:space="preserve">s for recipients </w:t>
      </w:r>
      <w:r>
        <w:t>of the</w:t>
      </w:r>
      <w:r w:rsidR="00081BC4">
        <w:t xml:space="preserve"> 2021</w:t>
      </w:r>
      <w:r>
        <w:t xml:space="preserve"> </w:t>
      </w:r>
      <w:r w:rsidRPr="0047536E" w:rsidR="0047536E">
        <w:t xml:space="preserve">Family Violence Prevention and Services Act </w:t>
      </w:r>
      <w:r w:rsidR="0047536E">
        <w:t>(</w:t>
      </w:r>
      <w:r w:rsidR="00B134B8">
        <w:t>FVPSA</w:t>
      </w:r>
      <w:r w:rsidR="0047536E">
        <w:t>)</w:t>
      </w:r>
      <w:r w:rsidR="00B134B8">
        <w:t xml:space="preserve"> A</w:t>
      </w:r>
      <w:r w:rsidR="002419F1">
        <w:t xml:space="preserve">merican </w:t>
      </w:r>
      <w:r w:rsidR="00B134B8">
        <w:t>R</w:t>
      </w:r>
      <w:r w:rsidR="002419F1">
        <w:t xml:space="preserve">escue </w:t>
      </w:r>
      <w:r w:rsidR="00B134B8">
        <w:t>P</w:t>
      </w:r>
      <w:r w:rsidR="002419F1">
        <w:t>lan</w:t>
      </w:r>
      <w:r w:rsidR="00B134B8">
        <w:t xml:space="preserve"> </w:t>
      </w:r>
      <w:r w:rsidR="0047536E">
        <w:t xml:space="preserve">(ARP) </w:t>
      </w:r>
      <w:r w:rsidR="00081BC4">
        <w:t xml:space="preserve">Supplemental Grants. The goal of the training, which includes three modules, is </w:t>
      </w:r>
      <w:r w:rsidRPr="009644BE" w:rsidR="00081BC4">
        <w:t xml:space="preserve">to increase the knowledge and understanding of </w:t>
      </w:r>
      <w:r w:rsidR="00081BC4">
        <w:t>participants’</w:t>
      </w:r>
      <w:r w:rsidRPr="009644BE" w:rsidR="00081BC4">
        <w:t xml:space="preserve"> roles and responsibilities as recipients and sub-recipients of </w:t>
      </w:r>
      <w:r w:rsidR="000C6519">
        <w:t>funding</w:t>
      </w:r>
      <w:r w:rsidR="00081BC4">
        <w:t xml:space="preserve"> and to ensure compliance with the 2 CFR regulations. The module topics are: </w:t>
      </w:r>
    </w:p>
    <w:p w:rsidR="00081BC4" w:rsidP="00081BC4" w:rsidRDefault="00081BC4" w14:paraId="60712AF5" w14:textId="77777777">
      <w:pPr>
        <w:numPr>
          <w:ilvl w:val="0"/>
          <w:numId w:val="1"/>
        </w:numPr>
        <w:ind w:left="0" w:hanging="2"/>
      </w:pPr>
      <w:r>
        <w:t>Module 1: Understanding the Code of Federal Regulations (CFR) and Cost Principles</w:t>
      </w:r>
    </w:p>
    <w:p w:rsidR="00081BC4" w:rsidP="00081BC4" w:rsidRDefault="00081BC4" w14:paraId="7089DC0E" w14:textId="77777777">
      <w:pPr>
        <w:numPr>
          <w:ilvl w:val="0"/>
          <w:numId w:val="1"/>
        </w:numPr>
        <w:ind w:left="0" w:hanging="2"/>
      </w:pPr>
      <w:r>
        <w:t xml:space="preserve">Module 2: Roles and Responsibilities for Pass Through Entities and Subrecipients </w:t>
      </w:r>
    </w:p>
    <w:p w:rsidR="00081BC4" w:rsidP="00081BC4" w:rsidRDefault="00081BC4" w14:paraId="73CC0A3B" w14:textId="77777777">
      <w:pPr>
        <w:numPr>
          <w:ilvl w:val="0"/>
          <w:numId w:val="1"/>
        </w:numPr>
        <w:ind w:left="0" w:hanging="2"/>
      </w:pPr>
      <w:r>
        <w:t xml:space="preserve">Module 3: Internal Controls </w:t>
      </w:r>
    </w:p>
    <w:p w:rsidR="00081BC4" w:rsidP="000C6519" w:rsidRDefault="00081BC4" w14:paraId="2D5AFD0B" w14:textId="75B17117">
      <w:pPr>
        <w:ind w:left="0" w:hanging="2"/>
      </w:pPr>
    </w:p>
    <w:p w:rsidR="00C920CE" w:rsidP="000C6519" w:rsidRDefault="00081BC4" w14:paraId="2655C359" w14:textId="2BA16C63">
      <w:pPr>
        <w:ind w:left="0" w:hanging="2"/>
      </w:pPr>
      <w:r>
        <w:t xml:space="preserve">These pre- and post- </w:t>
      </w:r>
      <w:r w:rsidR="00B134B8">
        <w:t xml:space="preserve">training </w:t>
      </w:r>
      <w:r w:rsidR="006D615E">
        <w:t xml:space="preserve">surveys </w:t>
      </w:r>
      <w:r w:rsidR="00F21AF9">
        <w:t>are</w:t>
      </w:r>
      <w:r w:rsidR="006D615E">
        <w:t xml:space="preserve"> </w:t>
      </w:r>
      <w:r>
        <w:t xml:space="preserve">designed </w:t>
      </w:r>
      <w:r w:rsidR="006D615E">
        <w:t>to</w:t>
      </w:r>
      <w:r>
        <w:t xml:space="preserve"> collect feedback from participants </w:t>
      </w:r>
      <w:r w:rsidR="00482F29">
        <w:t xml:space="preserve">to understand </w:t>
      </w:r>
      <w:r w:rsidRPr="009644BE" w:rsidR="009644BE">
        <w:t>the effectiveness of</w:t>
      </w:r>
      <w:r w:rsidR="00F21AF9">
        <w:t xml:space="preserve"> </w:t>
      </w:r>
      <w:r>
        <w:t xml:space="preserve">each of the </w:t>
      </w:r>
      <w:r w:rsidR="00F21AF9">
        <w:t xml:space="preserve">three Learning </w:t>
      </w:r>
      <w:r w:rsidR="00377434">
        <w:t>M</w:t>
      </w:r>
      <w:r w:rsidRPr="009644BE" w:rsidR="00377434">
        <w:t>odule</w:t>
      </w:r>
      <w:r w:rsidR="00377434">
        <w:t>s.</w:t>
      </w:r>
      <w:r w:rsidRPr="009644BE" w:rsidR="00377434">
        <w:t xml:space="preserve"> The</w:t>
      </w:r>
      <w:r w:rsidRPr="009644BE" w:rsidR="009644BE">
        <w:t xml:space="preserve"> </w:t>
      </w:r>
      <w:r w:rsidR="006802FD">
        <w:t xml:space="preserve">information collected </w:t>
      </w:r>
      <w:r w:rsidRPr="009644BE" w:rsidR="009644BE">
        <w:t xml:space="preserve">will inform </w:t>
      </w:r>
      <w:r w:rsidR="006802FD">
        <w:t xml:space="preserve">future </w:t>
      </w:r>
      <w:r w:rsidRPr="009644BE" w:rsidR="009644BE">
        <w:t xml:space="preserve">training and technical assistance priorities for </w:t>
      </w:r>
      <w:r w:rsidR="00C920CE">
        <w:t xml:space="preserve">the </w:t>
      </w:r>
      <w:r w:rsidRPr="009644BE" w:rsidR="009644BE">
        <w:t>FVPSA</w:t>
      </w:r>
      <w:r w:rsidR="00C920CE">
        <w:t xml:space="preserve"> </w:t>
      </w:r>
      <w:r w:rsidR="002606D4">
        <w:t>program</w:t>
      </w:r>
      <w:r w:rsidR="00E25CA4">
        <w:t xml:space="preserve">. </w:t>
      </w:r>
    </w:p>
    <w:p w:rsidR="00C920CE" w:rsidRDefault="00C920CE" w14:paraId="3932CC23" w14:textId="77777777">
      <w:pPr>
        <w:ind w:left="0" w:hanging="2"/>
      </w:pPr>
    </w:p>
    <w:p w:rsidR="00381800" w:rsidP="00377434" w:rsidRDefault="002B1D4F" w14:paraId="72CFC70E" w14:textId="2991FCCD">
      <w:pPr>
        <w:ind w:left="0" w:hanging="2"/>
      </w:pPr>
      <w:r>
        <w:t xml:space="preserve">The Learning Modules will be </w:t>
      </w:r>
      <w:r w:rsidR="00E25CA4">
        <w:t xml:space="preserve">offered virtually </w:t>
      </w:r>
      <w:r>
        <w:t xml:space="preserve">and will be available on the FVPSA website. Participation will be </w:t>
      </w:r>
      <w:r w:rsidR="00E25CA4">
        <w:t xml:space="preserve">on a voluntary basis and grantees </w:t>
      </w:r>
      <w:r>
        <w:t xml:space="preserve">can </w:t>
      </w:r>
      <w:r w:rsidR="00E25CA4">
        <w:t xml:space="preserve">access </w:t>
      </w:r>
      <w:r>
        <w:t xml:space="preserve">the Learning Modules </w:t>
      </w:r>
      <w:r w:rsidR="00E25CA4">
        <w:t xml:space="preserve">when they need the information. </w:t>
      </w:r>
      <w:r w:rsidR="00081BC4">
        <w:t>Surve</w:t>
      </w:r>
      <w:r w:rsidR="00A92413">
        <w:t xml:space="preserve">ys will be administered at the start and at completion of each module. Each survey is estimated to take about 5 minutes. </w:t>
      </w:r>
    </w:p>
    <w:p w:rsidR="00381800" w:rsidRDefault="00381800" w14:paraId="28144EA3" w14:textId="77777777">
      <w:pPr>
        <w:ind w:left="0" w:hanging="2"/>
      </w:pPr>
    </w:p>
    <w:p w:rsidR="00381800" w:rsidP="009C0910" w:rsidRDefault="00381800" w14:paraId="51514A3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leftChars="0" w:firstLine="0" w:firstLineChars="0"/>
        <w:rPr>
          <w:color w:val="000000"/>
        </w:rPr>
      </w:pPr>
    </w:p>
    <w:p w:rsidR="00381800" w:rsidP="00377434" w:rsidRDefault="006D615E" w14:paraId="581E8CA5" w14:textId="6285426D">
      <w:pPr>
        <w:spacing w:after="120"/>
        <w:ind w:left="0" w:leftChars="0" w:firstLine="0" w:firstLineChars="0"/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</w:t>
      </w:r>
      <w:r>
        <w:t>Respondents are FVPSA federal grant recipients of the 2021 FVPSA ARP Supplemental Grants</w:t>
      </w:r>
      <w:r w:rsidR="002606D4">
        <w:t xml:space="preserve"> which include state administrators, territory administrators, tribes, coalitions, resource centers, and hotlines</w:t>
      </w:r>
      <w:r>
        <w:t>. Grantee programs include:</w:t>
      </w:r>
    </w:p>
    <w:p w:rsidR="00B134B8" w:rsidRDefault="00B134B8" w14:paraId="0EDEED15" w14:textId="3A7C7B28">
      <w:pPr>
        <w:numPr>
          <w:ilvl w:val="0"/>
          <w:numId w:val="2"/>
        </w:numPr>
        <w:ind w:left="0" w:hanging="2"/>
      </w:pPr>
      <w:r>
        <w:t xml:space="preserve">ARP Supplemental Funding </w:t>
      </w:r>
    </w:p>
    <w:p w:rsidR="00381800" w:rsidRDefault="006D615E" w14:paraId="4076353D" w14:textId="3655A670">
      <w:pPr>
        <w:numPr>
          <w:ilvl w:val="0"/>
          <w:numId w:val="2"/>
        </w:numPr>
        <w:ind w:left="0" w:hanging="2"/>
      </w:pPr>
      <w:r>
        <w:t>ARP Grants to Support Survivors of Sexual Assault</w:t>
      </w:r>
    </w:p>
    <w:p w:rsidR="00381800" w:rsidRDefault="006D615E" w14:paraId="11E53304" w14:textId="19AE2055">
      <w:pPr>
        <w:numPr>
          <w:ilvl w:val="0"/>
          <w:numId w:val="2"/>
        </w:numPr>
        <w:ind w:left="0" w:hanging="2"/>
      </w:pPr>
      <w:r>
        <w:t>ARP Suppo</w:t>
      </w:r>
      <w:r w:rsidR="00B134B8">
        <w:t>rt</w:t>
      </w:r>
      <w:r>
        <w:t xml:space="preserve"> for Survivors of Domestic Violence and Sexual Assault from Culturally </w:t>
      </w:r>
      <w:r w:rsidR="002B1D4F">
        <w:tab/>
      </w:r>
      <w:r>
        <w:t>Specific Populations Grant Programs</w:t>
      </w:r>
    </w:p>
    <w:p w:rsidR="00381800" w:rsidRDefault="006D615E" w14:paraId="20E2C95E" w14:textId="77777777">
      <w:pPr>
        <w:numPr>
          <w:ilvl w:val="0"/>
          <w:numId w:val="2"/>
        </w:numPr>
        <w:ind w:left="0" w:hanging="2"/>
      </w:pPr>
      <w:r>
        <w:t>ARP Covid-19 Testing, Vaccines and Mobile Health Units Access</w:t>
      </w:r>
    </w:p>
    <w:p w:rsidR="00381800" w:rsidRDefault="00381800" w14:paraId="3753D55E" w14:textId="77777777">
      <w:pPr>
        <w:ind w:left="0" w:hanging="2"/>
      </w:pPr>
    </w:p>
    <w:p w:rsidR="00381800" w:rsidRDefault="006D615E" w14:paraId="7C6E1687" w14:textId="66A0E856">
      <w:pPr>
        <w:ind w:left="0" w:hanging="2"/>
      </w:pPr>
      <w:r>
        <w:rPr>
          <w:b/>
        </w:rPr>
        <w:t>TYPE OF COLLECTION:</w:t>
      </w:r>
      <w:r>
        <w:t xml:space="preserve"> (Check one)</w:t>
      </w:r>
    </w:p>
    <w:p w:rsidR="00381800" w:rsidRDefault="00381800" w14:paraId="266344B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  <w:sz w:val="16"/>
          <w:szCs w:val="16"/>
        </w:rPr>
      </w:pPr>
    </w:p>
    <w:p w:rsidR="00381800" w:rsidRDefault="006D615E" w14:paraId="494FC3C5" w14:textId="6B49E4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[ ] Customer Comment Card/Complaint Form </w:t>
      </w:r>
      <w:r>
        <w:rPr>
          <w:color w:val="000000"/>
        </w:rPr>
        <w:tab/>
        <w:t xml:space="preserve">[ </w:t>
      </w:r>
      <w:r w:rsidR="00A91CF8">
        <w:rPr>
          <w:color w:val="000000"/>
        </w:rPr>
        <w:t>x</w:t>
      </w:r>
      <w:r>
        <w:rPr>
          <w:color w:val="000000"/>
        </w:rPr>
        <w:t xml:space="preserve">] Customer Satisfaction Survey    </w:t>
      </w:r>
    </w:p>
    <w:p w:rsidR="00381800" w:rsidRDefault="006D615E" w14:paraId="14164B9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[ ] Usability Testing (e.g., Website or Software</w:t>
      </w:r>
      <w:r>
        <w:rPr>
          <w:color w:val="000000"/>
        </w:rPr>
        <w:tab/>
        <w:t>[ ] Small Discussion Group</w:t>
      </w:r>
    </w:p>
    <w:p w:rsidR="00381800" w:rsidRDefault="006D615E" w14:paraId="365F80DB" w14:textId="0D720B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[ ] 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1AF9">
        <w:rPr>
          <w:bCs/>
          <w:color w:val="000000"/>
        </w:rPr>
        <w:t>[ ]</w:t>
      </w:r>
      <w:r>
        <w:rPr>
          <w:color w:val="000000"/>
        </w:rPr>
        <w:t xml:space="preserve"> Other:</w:t>
      </w:r>
      <w:r>
        <w:rPr>
          <w:color w:val="000000"/>
          <w:u w:val="single"/>
        </w:rPr>
        <w:t xml:space="preserve"> </w:t>
      </w:r>
      <w:r w:rsidR="00BF5190">
        <w:rPr>
          <w:color w:val="000000"/>
          <w:u w:val="single"/>
        </w:rPr>
        <w:t xml:space="preserve"> </w:t>
      </w:r>
    </w:p>
    <w:p w:rsidR="00381800" w:rsidRDefault="00381800" w14:paraId="08DF1B9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81800" w:rsidRDefault="006D615E" w14:paraId="72323503" w14:textId="77777777">
      <w:pPr>
        <w:ind w:left="0" w:hanging="2"/>
      </w:pPr>
      <w:r>
        <w:rPr>
          <w:b/>
        </w:rPr>
        <w:t>CERTIFICATION:</w:t>
      </w:r>
    </w:p>
    <w:p w:rsidR="00381800" w:rsidRDefault="00381800" w14:paraId="0B28A709" w14:textId="77777777">
      <w:pPr>
        <w:ind w:left="0" w:hanging="2"/>
        <w:rPr>
          <w:sz w:val="16"/>
          <w:szCs w:val="16"/>
        </w:rPr>
      </w:pPr>
    </w:p>
    <w:p w:rsidR="00381800" w:rsidRDefault="006D615E" w14:paraId="319CA9F6" w14:textId="77777777">
      <w:pPr>
        <w:ind w:left="0" w:hanging="2"/>
      </w:pPr>
      <w:r>
        <w:t xml:space="preserve">I certify the following to be true: </w:t>
      </w:r>
    </w:p>
    <w:p w:rsidR="00381800" w:rsidRDefault="006D615E" w14:paraId="623103D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The collection is voluntary. </w:t>
      </w:r>
    </w:p>
    <w:p w:rsidR="00381800" w:rsidRDefault="006D615E" w14:paraId="0D6DB8F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The collection is low-burden for respondents and low-cost for the Federal Government.</w:t>
      </w:r>
    </w:p>
    <w:p w:rsidR="00381800" w:rsidRDefault="006D615E" w14:paraId="455D6506" w14:textId="5624C3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</w:t>
      </w:r>
      <w:r w:rsidR="00E06AF8">
        <w:rPr>
          <w:color w:val="000000"/>
        </w:rPr>
        <w:tab/>
      </w:r>
      <w:r>
        <w:rPr>
          <w:color w:val="000000"/>
        </w:rPr>
        <w:t>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81800" w:rsidRDefault="006D615E" w14:paraId="2AF95EB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public.</w:t>
      </w:r>
      <w:r>
        <w:rPr>
          <w:color w:val="000000"/>
        </w:rPr>
        <w:tab/>
      </w:r>
      <w:r>
        <w:rPr>
          <w:color w:val="000000"/>
        </w:rPr>
        <w:tab/>
      </w:r>
    </w:p>
    <w:p w:rsidR="00381800" w:rsidRDefault="006D615E" w14:paraId="3BB43E0B" w14:textId="01A282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 w:rsidR="005564BA">
        <w:rPr>
          <w:color w:val="000000"/>
        </w:rPr>
        <w:tab/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:rsidR="00381800" w:rsidRDefault="006D615E" w14:paraId="0CBD0D7B" w14:textId="5283F5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The collection is targeted to the solicitation of opinions from respondents who have </w:t>
      </w:r>
      <w:r w:rsidR="005564BA">
        <w:rPr>
          <w:color w:val="000000"/>
        </w:rPr>
        <w:tab/>
      </w:r>
      <w:r>
        <w:rPr>
          <w:color w:val="000000"/>
        </w:rPr>
        <w:t>experience with the program or may have experience with the program in the future.</w:t>
      </w:r>
    </w:p>
    <w:p w:rsidR="00381800" w:rsidRDefault="00381800" w14:paraId="4BBAE739" w14:textId="77777777">
      <w:pPr>
        <w:ind w:left="0" w:hanging="2"/>
      </w:pPr>
    </w:p>
    <w:p w:rsidRPr="006802FD" w:rsidR="0035122E" w:rsidP="00377434" w:rsidRDefault="006D615E" w14:paraId="6339669E" w14:textId="45FE218E">
      <w:pPr>
        <w:ind w:left="2069" w:hanging="2071" w:hangingChars="863"/>
      </w:pPr>
      <w:r>
        <w:t>Name</w:t>
      </w:r>
      <w:r w:rsidR="00A91CF8">
        <w:t xml:space="preserve"> and affiliation</w:t>
      </w:r>
      <w:r w:rsidR="0035122E">
        <w:t>:</w:t>
      </w:r>
      <w:r w:rsidR="006802FD">
        <w:t xml:space="preserve"> </w:t>
      </w:r>
      <w:r w:rsidRPr="00377434" w:rsidR="0035122E">
        <w:rPr>
          <w:color w:val="000000"/>
          <w:u w:val="single"/>
        </w:rPr>
        <w:t>Shawndell N. Dawson</w:t>
      </w:r>
      <w:r w:rsidRPr="00377434" w:rsidR="006802FD">
        <w:rPr>
          <w:color w:val="000000"/>
          <w:u w:val="single"/>
        </w:rPr>
        <w:t xml:space="preserve">, </w:t>
      </w:r>
      <w:r w:rsidRPr="00377434" w:rsidR="0035122E">
        <w:rPr>
          <w:color w:val="000000"/>
          <w:u w:val="single"/>
        </w:rPr>
        <w:t>Director</w:t>
      </w:r>
      <w:r w:rsidRPr="00377434" w:rsidR="006802FD">
        <w:rPr>
          <w:color w:val="000000"/>
          <w:u w:val="single"/>
        </w:rPr>
        <w:t xml:space="preserve">, </w:t>
      </w:r>
      <w:r w:rsidRPr="00377434" w:rsidR="0035122E">
        <w:rPr>
          <w:color w:val="000000"/>
          <w:u w:val="single"/>
        </w:rPr>
        <w:t>Division of Family Violence Prevention and Services</w:t>
      </w:r>
      <w:r w:rsidRPr="00377434" w:rsidR="006802FD">
        <w:rPr>
          <w:color w:val="000000"/>
          <w:u w:val="single"/>
        </w:rPr>
        <w:t xml:space="preserve">, </w:t>
      </w:r>
      <w:r w:rsidRPr="00377434" w:rsidR="0035122E">
        <w:rPr>
          <w:color w:val="000000"/>
          <w:u w:val="single"/>
        </w:rPr>
        <w:t>Family and Youth Services Bureau</w:t>
      </w:r>
      <w:r w:rsidRPr="00377434" w:rsidR="006802FD">
        <w:rPr>
          <w:color w:val="000000"/>
          <w:u w:val="single"/>
        </w:rPr>
        <w:t xml:space="preserve">, </w:t>
      </w:r>
      <w:r w:rsidRPr="00377434" w:rsidR="0035122E">
        <w:rPr>
          <w:color w:val="000000"/>
          <w:u w:val="single"/>
        </w:rPr>
        <w:t>Administration for Children, Youth and Families</w:t>
      </w:r>
      <w:r w:rsidRPr="00377434" w:rsidR="006802FD">
        <w:rPr>
          <w:color w:val="000000"/>
          <w:u w:val="single"/>
        </w:rPr>
        <w:t xml:space="preserve">, </w:t>
      </w:r>
      <w:r w:rsidRPr="00377434" w:rsidR="0035122E">
        <w:rPr>
          <w:color w:val="000000"/>
          <w:u w:val="single"/>
        </w:rPr>
        <w:t>Administration for Children and Families</w:t>
      </w:r>
    </w:p>
    <w:p w:rsidR="0035122E" w:rsidP="00EF0260" w:rsidRDefault="0035122E" w14:paraId="52742FA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leftChars="0" w:firstLine="0" w:firstLineChars="0"/>
        <w:rPr>
          <w:color w:val="000000"/>
        </w:rPr>
      </w:pPr>
    </w:p>
    <w:p w:rsidR="00381800" w:rsidRDefault="006D615E" w14:paraId="6DD4FC0B" w14:textId="77777777">
      <w:pPr>
        <w:ind w:left="0" w:hanging="2"/>
      </w:pPr>
      <w:r>
        <w:t>To assist review, please provide answers to the following question:</w:t>
      </w:r>
    </w:p>
    <w:p w:rsidR="00381800" w:rsidRDefault="00381800" w14:paraId="1ED62C95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81800" w:rsidRDefault="006D615E" w14:paraId="197909E7" w14:textId="77777777">
      <w:pPr>
        <w:ind w:left="0" w:hanging="2"/>
      </w:pPr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Information:</w:t>
      </w:r>
    </w:p>
    <w:p w:rsidR="00381800" w:rsidRDefault="006D615E" w14:paraId="537D981E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Is personally identifiable information (PII) collected?  [  ] Yes  [</w:t>
      </w:r>
      <w:r w:rsidRPr="00637006">
        <w:rPr>
          <w:bCs/>
          <w:color w:val="000000"/>
        </w:rPr>
        <w:t>X</w:t>
      </w:r>
      <w:r>
        <w:rPr>
          <w:color w:val="000000"/>
        </w:rPr>
        <w:t xml:space="preserve"> ]  No </w:t>
      </w:r>
    </w:p>
    <w:p w:rsidR="00381800" w:rsidRDefault="006D615E" w14:paraId="14418F64" w14:textId="4E2281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If Yes, will any information that is collected be included in records that are subject to the </w:t>
      </w:r>
      <w:r w:rsidR="00F21AF9">
        <w:rPr>
          <w:color w:val="000000"/>
        </w:rPr>
        <w:tab/>
      </w:r>
      <w:r>
        <w:rPr>
          <w:color w:val="000000"/>
        </w:rPr>
        <w:t xml:space="preserve">Privacy Act of 1974?   [  ] Yes [  ] No   </w:t>
      </w:r>
    </w:p>
    <w:p w:rsidR="00381800" w:rsidRDefault="006D615E" w14:paraId="3226B6A9" w14:textId="7158F0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If Yes, has an up-to-date System of Records Notice (SORN) been published?  [  ] Yes  [</w:t>
      </w:r>
      <w:r w:rsidR="00F21AF9">
        <w:rPr>
          <w:color w:val="000000"/>
        </w:rPr>
        <w:t xml:space="preserve"> ]</w:t>
      </w:r>
      <w:r>
        <w:rPr>
          <w:color w:val="000000"/>
        </w:rPr>
        <w:t xml:space="preserve"> </w:t>
      </w:r>
      <w:r w:rsidR="00F21AF9">
        <w:rPr>
          <w:color w:val="000000"/>
        </w:rPr>
        <w:tab/>
      </w:r>
      <w:r>
        <w:rPr>
          <w:color w:val="000000"/>
        </w:rPr>
        <w:t>No</w:t>
      </w:r>
    </w:p>
    <w:p w:rsidR="00381800" w:rsidRDefault="00381800" w14:paraId="123A483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81800" w:rsidRDefault="006D615E" w14:paraId="60F213A4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Gifts or Payments:</w:t>
      </w:r>
    </w:p>
    <w:p w:rsidR="00381800" w:rsidRDefault="006D615E" w14:paraId="41E85F5B" w14:textId="77777777">
      <w:pPr>
        <w:ind w:left="0" w:hanging="2"/>
      </w:pPr>
      <w:r>
        <w:t>Is an incentive (e.g., money or reimbursement of expenses, token of appreciation) provided to participants?  [  ] Yes [</w:t>
      </w:r>
      <w:r>
        <w:rPr>
          <w:b/>
        </w:rPr>
        <w:t xml:space="preserve"> </w:t>
      </w:r>
      <w:r w:rsidRPr="00637006">
        <w:rPr>
          <w:bCs/>
        </w:rPr>
        <w:t xml:space="preserve">X </w:t>
      </w:r>
      <w:r>
        <w:t xml:space="preserve">] No  </w:t>
      </w:r>
    </w:p>
    <w:p w:rsidR="00381800" w:rsidRDefault="00381800" w14:paraId="1B61374C" w14:textId="77777777">
      <w:pPr>
        <w:ind w:left="0" w:hanging="2"/>
      </w:pPr>
    </w:p>
    <w:p w:rsidR="00381800" w:rsidRDefault="006D615E" w14:paraId="557CD867" w14:textId="4A598590">
      <w:pPr>
        <w:ind w:left="0" w:hanging="2"/>
      </w:pPr>
      <w:r>
        <w:rPr>
          <w:b/>
        </w:rPr>
        <w:t>BURDEN HOURS</w:t>
      </w:r>
      <w:r>
        <w:t xml:space="preserve"> </w:t>
      </w:r>
    </w:p>
    <w:p w:rsidR="00A069BD" w:rsidRDefault="00A069BD" w14:paraId="15C920B7" w14:textId="6CB108B1">
      <w:pPr>
        <w:ind w:left="0" w:hanging="2"/>
      </w:pPr>
      <w:r>
        <w:t xml:space="preserve">The survey will be administered at two intervals: before and after the participant completes each of the </w:t>
      </w:r>
      <w:r w:rsidR="006772C5">
        <w:t xml:space="preserve">three </w:t>
      </w:r>
      <w:r>
        <w:t xml:space="preserve">Learning Modules. We anticipate that </w:t>
      </w:r>
      <w:r w:rsidR="00D73789">
        <w:t xml:space="preserve">each </w:t>
      </w:r>
      <w:r>
        <w:t>survey will take 5 minutes to complete. The below table estimates 10 minutes for participants to complete both the pre- and post-surveys</w:t>
      </w:r>
      <w:r w:rsidR="00D73789">
        <w:t xml:space="preserve"> for each of the Learning Modules</w:t>
      </w:r>
      <w:r>
        <w:t xml:space="preserve">. The below burden table estimates reflect the assumption that an average of 324 people will complete each of the </w:t>
      </w:r>
      <w:r w:rsidR="006772C5">
        <w:t>three</w:t>
      </w:r>
      <w:r>
        <w:t xml:space="preserve"> Learning Modules. </w:t>
      </w:r>
    </w:p>
    <w:p w:rsidR="00381800" w:rsidRDefault="00381800" w14:paraId="3186CD3F" w14:textId="77777777">
      <w:pPr>
        <w:keepNext/>
        <w:keepLines/>
        <w:ind w:left="0" w:hanging="2"/>
      </w:pPr>
    </w:p>
    <w:tbl>
      <w:tblPr>
        <w:tblStyle w:val="a"/>
        <w:tblW w:w="10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3150"/>
        <w:gridCol w:w="1530"/>
        <w:gridCol w:w="2160"/>
        <w:gridCol w:w="1350"/>
      </w:tblGrid>
      <w:tr w:rsidR="00A92413" w:rsidTr="00A84AAD" w14:paraId="09CF2824" w14:textId="77777777">
        <w:trPr>
          <w:trHeight w:val="274"/>
        </w:trPr>
        <w:tc>
          <w:tcPr>
            <w:tcW w:w="2065" w:type="dxa"/>
            <w:vAlign w:val="center"/>
          </w:tcPr>
          <w:p w:rsidR="00A92413" w:rsidP="00A84AAD" w:rsidRDefault="00A92413" w14:paraId="279A2B91" w14:textId="633B14A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3150" w:type="dxa"/>
            <w:vAlign w:val="center"/>
          </w:tcPr>
          <w:p w:rsidR="00A92413" w:rsidP="00A84AAD" w:rsidRDefault="00A92413" w14:paraId="1B7CBDF5" w14:textId="281265EE">
            <w:pPr>
              <w:ind w:left="0" w:hanging="2"/>
              <w:jc w:val="center"/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:rsidR="00A92413" w:rsidP="00A84AAD" w:rsidRDefault="00A92413" w14:paraId="1B903234" w14:textId="77777777">
            <w:pPr>
              <w:ind w:left="0" w:hanging="2"/>
              <w:jc w:val="center"/>
            </w:pPr>
            <w:r>
              <w:rPr>
                <w:b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="00482F29" w:rsidP="00A84AAD" w:rsidRDefault="00A92413" w14:paraId="4236C7D2" w14:textId="64DD23FD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Participation Time</w:t>
            </w:r>
          </w:p>
          <w:p w:rsidR="00A92413" w:rsidP="00A84AAD" w:rsidRDefault="00A92413" w14:paraId="05E2B256" w14:textId="121EC9F7">
            <w:pPr>
              <w:ind w:left="0" w:hanging="2"/>
              <w:jc w:val="center"/>
            </w:pPr>
            <w:r>
              <w:rPr>
                <w:b/>
              </w:rPr>
              <w:t>(total pre- and post)</w:t>
            </w:r>
          </w:p>
        </w:tc>
        <w:tc>
          <w:tcPr>
            <w:tcW w:w="1350" w:type="dxa"/>
            <w:vAlign w:val="center"/>
          </w:tcPr>
          <w:p w:rsidR="00A92413" w:rsidP="00A84AAD" w:rsidRDefault="00A92413" w14:paraId="64E03E9E" w14:textId="77777777">
            <w:pPr>
              <w:ind w:left="0" w:hanging="2"/>
              <w:jc w:val="center"/>
            </w:pPr>
            <w:r>
              <w:rPr>
                <w:b/>
              </w:rPr>
              <w:t>Burden</w:t>
            </w:r>
          </w:p>
        </w:tc>
      </w:tr>
      <w:tr w:rsidR="00A92413" w:rsidTr="00A84AAD" w14:paraId="03A1D5E5" w14:textId="77777777">
        <w:trPr>
          <w:trHeight w:val="274"/>
        </w:trPr>
        <w:tc>
          <w:tcPr>
            <w:tcW w:w="2065" w:type="dxa"/>
            <w:vAlign w:val="center"/>
          </w:tcPr>
          <w:p w:rsidR="00A92413" w:rsidP="00A92413" w:rsidRDefault="00A92413" w14:paraId="14F4FD57" w14:textId="08D89826">
            <w:pPr>
              <w:ind w:left="0" w:hanging="2"/>
            </w:pPr>
            <w:r>
              <w:t>Module 1 Pre- and Post-Surveys</w:t>
            </w:r>
          </w:p>
        </w:tc>
        <w:tc>
          <w:tcPr>
            <w:tcW w:w="3150" w:type="dxa"/>
            <w:vMerge w:val="restart"/>
            <w:vAlign w:val="center"/>
          </w:tcPr>
          <w:p w:rsidR="00A92413" w:rsidP="00A84AAD" w:rsidRDefault="00A92413" w14:paraId="6B43A067" w14:textId="34D32FCC">
            <w:pPr>
              <w:ind w:left="-2" w:firstLine="0" w:firstLineChars="0"/>
              <w:jc w:val="center"/>
            </w:pPr>
            <w:r>
              <w:t>State Administrators, Tribes and Tribal Administrators, Coalitions, Territory Government Administrators, and Resource Centers</w:t>
            </w:r>
          </w:p>
        </w:tc>
        <w:tc>
          <w:tcPr>
            <w:tcW w:w="1530" w:type="dxa"/>
            <w:vMerge w:val="restart"/>
            <w:vAlign w:val="center"/>
          </w:tcPr>
          <w:p w:rsidR="00A92413" w:rsidP="00A84AAD" w:rsidRDefault="00A92413" w14:paraId="4849E4A7" w14:textId="77777777">
            <w:pPr>
              <w:ind w:left="0" w:hanging="2"/>
              <w:jc w:val="center"/>
            </w:pPr>
            <w:r>
              <w:t>324</w:t>
            </w:r>
          </w:p>
          <w:p w:rsidR="00A92413" w:rsidP="00A84AAD" w:rsidRDefault="00A92413" w14:paraId="1C6D7985" w14:textId="4AC1105C">
            <w:pPr>
              <w:ind w:left="0" w:hanging="2"/>
              <w:jc w:val="center"/>
            </w:pPr>
          </w:p>
        </w:tc>
        <w:tc>
          <w:tcPr>
            <w:tcW w:w="2160" w:type="dxa"/>
            <w:vAlign w:val="center"/>
          </w:tcPr>
          <w:p w:rsidR="00A92413" w:rsidP="00A84AAD" w:rsidRDefault="00A92413" w14:paraId="66299F5E" w14:textId="3349941D">
            <w:pPr>
              <w:ind w:left="0" w:hanging="2"/>
              <w:jc w:val="center"/>
            </w:pPr>
          </w:p>
          <w:p w:rsidR="00A92413" w:rsidP="00A84AAD" w:rsidRDefault="00377434" w14:paraId="09FC68B5" w14:textId="77777777">
            <w:pPr>
              <w:ind w:left="0" w:hanging="2"/>
              <w:jc w:val="center"/>
            </w:pPr>
            <w:r>
              <w:t>10 minutes</w:t>
            </w:r>
          </w:p>
          <w:p w:rsidR="00377434" w:rsidP="00A84AAD" w:rsidRDefault="00377434" w14:paraId="2EDB9E96" w14:textId="1D20AF93">
            <w:pPr>
              <w:ind w:left="0" w:hanging="2"/>
              <w:jc w:val="center"/>
            </w:pPr>
          </w:p>
        </w:tc>
        <w:tc>
          <w:tcPr>
            <w:tcW w:w="1350" w:type="dxa"/>
            <w:vAlign w:val="center"/>
          </w:tcPr>
          <w:p w:rsidR="00A92413" w:rsidP="00A84AAD" w:rsidRDefault="00A92413" w14:paraId="3A5FADF8" w14:textId="7ABABC08">
            <w:pPr>
              <w:ind w:left="0" w:hanging="2"/>
              <w:jc w:val="center"/>
            </w:pPr>
            <w:r>
              <w:t>54 Hours</w:t>
            </w:r>
          </w:p>
        </w:tc>
      </w:tr>
      <w:tr w:rsidR="00A92413" w:rsidTr="00A84AAD" w14:paraId="4AA0DB1A" w14:textId="77777777">
        <w:trPr>
          <w:trHeight w:val="274"/>
        </w:trPr>
        <w:tc>
          <w:tcPr>
            <w:tcW w:w="2065" w:type="dxa"/>
            <w:vAlign w:val="center"/>
          </w:tcPr>
          <w:p w:rsidR="00A92413" w:rsidP="00A92413" w:rsidRDefault="00A92413" w14:paraId="5AA9D02A" w14:textId="13669E97">
            <w:pPr>
              <w:ind w:left="0" w:hanging="2"/>
            </w:pPr>
            <w:r>
              <w:t>Module 2 Pre- and Post-Surveys</w:t>
            </w:r>
          </w:p>
        </w:tc>
        <w:tc>
          <w:tcPr>
            <w:tcW w:w="3150" w:type="dxa"/>
            <w:vMerge/>
          </w:tcPr>
          <w:p w:rsidR="00A92413" w:rsidRDefault="00A92413" w14:paraId="72975AA6" w14:textId="4A777141">
            <w:pPr>
              <w:ind w:left="0" w:hanging="2"/>
            </w:pPr>
          </w:p>
        </w:tc>
        <w:tc>
          <w:tcPr>
            <w:tcW w:w="1530" w:type="dxa"/>
            <w:vMerge/>
            <w:vAlign w:val="center"/>
          </w:tcPr>
          <w:p w:rsidR="00A92413" w:rsidP="00CB4B36" w:rsidRDefault="00A92413" w14:paraId="337D95CE" w14:textId="2414AD52">
            <w:pPr>
              <w:ind w:left="0" w:hanging="2"/>
              <w:jc w:val="center"/>
            </w:pPr>
          </w:p>
        </w:tc>
        <w:tc>
          <w:tcPr>
            <w:tcW w:w="2160" w:type="dxa"/>
            <w:vAlign w:val="center"/>
          </w:tcPr>
          <w:p w:rsidR="00377434" w:rsidP="00377434" w:rsidRDefault="00377434" w14:paraId="29870929" w14:textId="77777777">
            <w:pPr>
              <w:ind w:left="0" w:hanging="2"/>
              <w:jc w:val="center"/>
            </w:pPr>
          </w:p>
          <w:p w:rsidR="00A92413" w:rsidP="00377434" w:rsidRDefault="00377434" w14:paraId="6F4883D9" w14:textId="62C48DF6">
            <w:pPr>
              <w:ind w:left="0" w:hanging="2"/>
              <w:jc w:val="center"/>
            </w:pPr>
            <w:r>
              <w:t>10 minutes</w:t>
            </w:r>
          </w:p>
          <w:p w:rsidR="00377434" w:rsidP="00377434" w:rsidRDefault="00377434" w14:paraId="73E8D148" w14:textId="1AD4C2F9">
            <w:pPr>
              <w:ind w:left="0" w:hanging="2"/>
              <w:jc w:val="center"/>
            </w:pPr>
          </w:p>
        </w:tc>
        <w:tc>
          <w:tcPr>
            <w:tcW w:w="1350" w:type="dxa"/>
            <w:vAlign w:val="center"/>
          </w:tcPr>
          <w:p w:rsidR="00A92413" w:rsidP="00377434" w:rsidRDefault="00A92413" w14:paraId="45B1A201" w14:textId="1B18DA9A">
            <w:pPr>
              <w:ind w:left="0" w:hanging="2"/>
              <w:jc w:val="center"/>
            </w:pPr>
            <w:r>
              <w:t>54 Hours</w:t>
            </w:r>
          </w:p>
        </w:tc>
      </w:tr>
      <w:tr w:rsidR="00A92413" w:rsidTr="00A84AAD" w14:paraId="7CA74A05" w14:textId="77777777">
        <w:trPr>
          <w:trHeight w:val="274"/>
        </w:trPr>
        <w:tc>
          <w:tcPr>
            <w:tcW w:w="2065" w:type="dxa"/>
            <w:vAlign w:val="center"/>
          </w:tcPr>
          <w:p w:rsidR="00A92413" w:rsidP="00A92413" w:rsidRDefault="00A92413" w14:paraId="067890FB" w14:textId="23BCC4F9">
            <w:pPr>
              <w:ind w:left="0" w:hanging="2"/>
            </w:pPr>
            <w:r>
              <w:t>Module 3 Pre- and Post-Surveys</w:t>
            </w:r>
          </w:p>
        </w:tc>
        <w:tc>
          <w:tcPr>
            <w:tcW w:w="3150" w:type="dxa"/>
            <w:vMerge/>
          </w:tcPr>
          <w:p w:rsidR="00A92413" w:rsidRDefault="00A92413" w14:paraId="18024D03" w14:textId="5D19841A">
            <w:pPr>
              <w:ind w:left="0" w:hanging="2"/>
            </w:pPr>
          </w:p>
        </w:tc>
        <w:tc>
          <w:tcPr>
            <w:tcW w:w="1530" w:type="dxa"/>
            <w:vMerge/>
            <w:vAlign w:val="center"/>
          </w:tcPr>
          <w:p w:rsidR="00A92413" w:rsidP="00CB4B36" w:rsidRDefault="00A92413" w14:paraId="2B513A64" w14:textId="3F116DE1">
            <w:pPr>
              <w:ind w:left="0" w:hanging="2"/>
              <w:jc w:val="center"/>
            </w:pPr>
          </w:p>
        </w:tc>
        <w:tc>
          <w:tcPr>
            <w:tcW w:w="2160" w:type="dxa"/>
            <w:vAlign w:val="center"/>
          </w:tcPr>
          <w:p w:rsidR="00377434" w:rsidRDefault="00377434" w14:paraId="42410514" w14:textId="77777777">
            <w:pPr>
              <w:ind w:left="0" w:hanging="2"/>
              <w:jc w:val="center"/>
            </w:pPr>
          </w:p>
          <w:p w:rsidR="00A92413" w:rsidP="00377434" w:rsidRDefault="00A92413" w14:paraId="19F56CC5" w14:textId="3C7727DC">
            <w:pPr>
              <w:ind w:left="0" w:hanging="2"/>
              <w:jc w:val="center"/>
            </w:pPr>
            <w:r>
              <w:t>10 minutes</w:t>
            </w:r>
          </w:p>
          <w:p w:rsidR="00A92413" w:rsidP="00377434" w:rsidRDefault="00A92413" w14:paraId="6639E10C" w14:textId="1849B6CA">
            <w:pPr>
              <w:ind w:left="0" w:hanging="2"/>
              <w:jc w:val="center"/>
            </w:pPr>
          </w:p>
        </w:tc>
        <w:tc>
          <w:tcPr>
            <w:tcW w:w="1350" w:type="dxa"/>
            <w:vAlign w:val="center"/>
          </w:tcPr>
          <w:p w:rsidR="00A92413" w:rsidP="00377434" w:rsidRDefault="00A92413" w14:paraId="557B7794" w14:textId="2AD07B59">
            <w:pPr>
              <w:ind w:left="0" w:hanging="2"/>
              <w:jc w:val="center"/>
            </w:pPr>
            <w:r>
              <w:t>54 Hours</w:t>
            </w:r>
          </w:p>
        </w:tc>
      </w:tr>
      <w:tr w:rsidR="00482F29" w:rsidTr="00A84AAD" w14:paraId="3C50A271" w14:textId="77777777">
        <w:trPr>
          <w:trHeight w:val="289"/>
        </w:trPr>
        <w:tc>
          <w:tcPr>
            <w:tcW w:w="5215" w:type="dxa"/>
            <w:gridSpan w:val="2"/>
            <w:vAlign w:val="center"/>
          </w:tcPr>
          <w:p w:rsidR="00482F29" w:rsidP="00A84AAD" w:rsidRDefault="00482F29" w14:paraId="38CF992E" w14:textId="5A5EADD8">
            <w:pPr>
              <w:ind w:left="0" w:hanging="2"/>
              <w:jc w:val="right"/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482F29" w:rsidP="00A84AAD" w:rsidRDefault="00482F29" w14:paraId="0F343AD4" w14:textId="265B539B">
            <w:pPr>
              <w:ind w:left="0" w:hanging="2"/>
              <w:jc w:val="center"/>
            </w:pPr>
            <w:r>
              <w:t>324</w:t>
            </w:r>
          </w:p>
        </w:tc>
        <w:tc>
          <w:tcPr>
            <w:tcW w:w="2160" w:type="dxa"/>
            <w:vAlign w:val="center"/>
          </w:tcPr>
          <w:p w:rsidR="00482F29" w:rsidP="00A84AAD" w:rsidRDefault="00482F29" w14:paraId="61C18492" w14:textId="77777777">
            <w:pPr>
              <w:ind w:left="0" w:hanging="2"/>
              <w:jc w:val="center"/>
            </w:pPr>
            <w:r>
              <w:t>30</w:t>
            </w:r>
          </w:p>
        </w:tc>
        <w:tc>
          <w:tcPr>
            <w:tcW w:w="1350" w:type="dxa"/>
            <w:vAlign w:val="center"/>
          </w:tcPr>
          <w:p w:rsidR="00482F29" w:rsidP="00A84AAD" w:rsidRDefault="00482F29" w14:paraId="5807BFA9" w14:textId="18A333A8">
            <w:pPr>
              <w:ind w:left="0" w:hanging="2"/>
              <w:jc w:val="center"/>
            </w:pPr>
            <w:r>
              <w:t>162 Hours</w:t>
            </w:r>
          </w:p>
        </w:tc>
      </w:tr>
    </w:tbl>
    <w:p w:rsidR="00381800" w:rsidRDefault="00381800" w14:paraId="7C74A00A" w14:textId="77777777">
      <w:pPr>
        <w:ind w:left="0" w:hanging="2"/>
      </w:pPr>
    </w:p>
    <w:p w:rsidRPr="00E129FE" w:rsidR="00E129FE" w:rsidRDefault="00A84AAD" w14:paraId="45A2A8E4" w14:textId="77777777">
      <w:pPr>
        <w:ind w:left="0" w:hanging="2"/>
        <w:rPr>
          <w:b/>
          <w:bCs/>
        </w:rPr>
      </w:pPr>
      <w:r w:rsidRPr="00E129FE">
        <w:rPr>
          <w:b/>
          <w:bCs/>
        </w:rPr>
        <w:t>Federal Cost</w:t>
      </w:r>
      <w:r w:rsidRPr="00E129FE" w:rsidR="00E129FE">
        <w:rPr>
          <w:b/>
          <w:bCs/>
        </w:rPr>
        <w:t>:</w:t>
      </w:r>
    </w:p>
    <w:p w:rsidRPr="00A53211" w:rsidR="00A53211" w:rsidP="00A53211" w:rsidRDefault="00E129FE" w14:paraId="6163D8FB" w14:textId="61025C47">
      <w:pPr>
        <w:ind w:left="0" w:hanging="2"/>
        <w:rPr>
          <w:position w:val="0"/>
        </w:rPr>
      </w:pPr>
      <w:r w:rsidRPr="00A53211">
        <w:t xml:space="preserve">The cost to the federal government was calculated using the hourly pay rate for the Grants Management Specialist position contracted by the FVPSA </w:t>
      </w:r>
      <w:r w:rsidR="00477EF0">
        <w:t>Program</w:t>
      </w:r>
      <w:r w:rsidRPr="00A53211">
        <w:t>. It is estimated that each survey will take 3 hours to analyze for a total of 18 hours. The total cost is:</w:t>
      </w:r>
      <w:r w:rsidRPr="00A53211" w:rsidR="00A53211">
        <w:t xml:space="preserve"> $1,885.50</w:t>
      </w:r>
      <w:r w:rsidRPr="00A53211" w:rsidR="00A53211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</w:p>
    <w:p w:rsidR="00A84AAD" w:rsidRDefault="00A84AAD" w14:paraId="15753537" w14:textId="4E880533">
      <w:pPr>
        <w:ind w:left="0" w:hanging="2"/>
        <w:rPr>
          <w:u w:val="single"/>
        </w:rPr>
      </w:pPr>
    </w:p>
    <w:p w:rsidR="00A84AAD" w:rsidRDefault="00A84AAD" w14:paraId="7C36E6B0" w14:textId="613CDACE">
      <w:pPr>
        <w:ind w:left="0" w:hanging="2"/>
        <w:rPr>
          <w:u w:val="single"/>
        </w:rPr>
      </w:pPr>
    </w:p>
    <w:p w:rsidR="00A84AAD" w:rsidRDefault="00A84AAD" w14:paraId="76A30E30" w14:textId="77777777">
      <w:pPr>
        <w:ind w:left="0" w:hanging="2"/>
        <w:rPr>
          <w:u w:val="single"/>
        </w:rPr>
      </w:pPr>
    </w:p>
    <w:p w:rsidR="00381800" w:rsidRDefault="006D615E" w14:paraId="584EA259" w14:textId="77777777">
      <w:pPr>
        <w:ind w:left="0" w:hanging="2"/>
      </w:pPr>
      <w:r>
        <w:rPr>
          <w:b/>
          <w:u w:val="single"/>
        </w:rPr>
        <w:t>If you are conducting a focus group, survey, or plan to employ statistical methods, please  provide answers to the following questions:</w:t>
      </w:r>
    </w:p>
    <w:p w:rsidR="00381800" w:rsidRDefault="00381800" w14:paraId="5BB70ED1" w14:textId="77777777">
      <w:pPr>
        <w:ind w:left="0" w:hanging="2"/>
      </w:pPr>
    </w:p>
    <w:p w:rsidR="00381800" w:rsidRDefault="006D615E" w14:paraId="18C043A4" w14:textId="77777777">
      <w:pPr>
        <w:ind w:left="0" w:hanging="2"/>
      </w:pPr>
      <w:r>
        <w:rPr>
          <w:b/>
        </w:rPr>
        <w:t>The selection of your targeted respondents</w:t>
      </w:r>
    </w:p>
    <w:p w:rsidR="00381800" w:rsidRDefault="006D615E" w14:paraId="22EFAAA5" w14:textId="6B3B9F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Do you have a customer list or something similar that defines the universe of potential </w:t>
      </w:r>
      <w:r w:rsidR="005564BA">
        <w:rPr>
          <w:color w:val="000000"/>
        </w:rPr>
        <w:tab/>
      </w:r>
      <w:r>
        <w:rPr>
          <w:color w:val="000000"/>
        </w:rPr>
        <w:t>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[ </w:t>
      </w:r>
      <w:r w:rsidR="005564BA">
        <w:rPr>
          <w:color w:val="000000"/>
        </w:rPr>
        <w:t>x</w:t>
      </w:r>
      <w:r>
        <w:rPr>
          <w:color w:val="000000"/>
        </w:rPr>
        <w:t>] Yes</w:t>
      </w:r>
      <w:r>
        <w:rPr>
          <w:color w:val="000000"/>
        </w:rPr>
        <w:tab/>
        <w:t>[</w:t>
      </w:r>
      <w:r>
        <w:rPr>
          <w:b/>
          <w:color w:val="000000"/>
        </w:rPr>
        <w:t xml:space="preserve"> </w:t>
      </w:r>
      <w:r>
        <w:rPr>
          <w:color w:val="000000"/>
        </w:rPr>
        <w:t>] No</w:t>
      </w:r>
    </w:p>
    <w:p w:rsidR="00381800" w:rsidRDefault="00381800" w14:paraId="5F723B0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557B3" w:rsidRDefault="00B557B3" w14:paraId="075B42DD" w14:textId="0BE5846C">
      <w:pPr>
        <w:ind w:left="0" w:hanging="2"/>
      </w:pPr>
      <w:r>
        <w:t>Training participants will include the following FVPSA grantees:</w:t>
      </w:r>
    </w:p>
    <w:p w:rsidR="00B557B3" w:rsidP="00B557B3" w:rsidRDefault="00B557B3" w14:paraId="35FEF42F" w14:textId="6098DB6F">
      <w:pPr>
        <w:pStyle w:val="ListParagraph"/>
        <w:numPr>
          <w:ilvl w:val="0"/>
          <w:numId w:val="7"/>
        </w:numPr>
        <w:ind w:leftChars="0" w:firstLineChars="0"/>
      </w:pPr>
      <w:r w:rsidRPr="00B557B3">
        <w:t>State and Territory administrators</w:t>
      </w:r>
      <w:r>
        <w:t xml:space="preserve"> of FVPSA funding</w:t>
      </w:r>
    </w:p>
    <w:p w:rsidR="00EF0260" w:rsidP="00B557B3" w:rsidRDefault="00EF0260" w14:paraId="63271A72" w14:textId="02A44241">
      <w:pPr>
        <w:pStyle w:val="ListParagraph"/>
        <w:numPr>
          <w:ilvl w:val="0"/>
          <w:numId w:val="7"/>
        </w:numPr>
        <w:ind w:leftChars="0" w:firstLineChars="0"/>
      </w:pPr>
      <w:r>
        <w:t>Tribes and tribal organizations</w:t>
      </w:r>
    </w:p>
    <w:p w:rsidR="00EF0260" w:rsidP="00EF0260" w:rsidRDefault="00B557B3" w14:paraId="0AC00B35" w14:textId="77777777">
      <w:pPr>
        <w:pStyle w:val="ListParagraph"/>
        <w:numPr>
          <w:ilvl w:val="0"/>
          <w:numId w:val="7"/>
        </w:numPr>
        <w:ind w:leftChars="0" w:firstLineChars="0"/>
      </w:pPr>
      <w:r>
        <w:t xml:space="preserve">State Domestic Violence </w:t>
      </w:r>
      <w:r w:rsidRPr="00B557B3">
        <w:t>Coalitions</w:t>
      </w:r>
    </w:p>
    <w:p w:rsidR="00EF0260" w:rsidP="00EF0260" w:rsidRDefault="00B557B3" w14:paraId="7F783A08" w14:textId="28251680">
      <w:pPr>
        <w:pStyle w:val="ListParagraph"/>
        <w:numPr>
          <w:ilvl w:val="0"/>
          <w:numId w:val="7"/>
        </w:numPr>
        <w:ind w:leftChars="0" w:firstLineChars="0"/>
      </w:pPr>
      <w:r w:rsidRPr="00B557B3">
        <w:t>Resource Centers</w:t>
      </w:r>
      <w:r w:rsidR="002606D4">
        <w:t xml:space="preserve"> and Hotline</w:t>
      </w:r>
      <w:r w:rsidR="00EF0260">
        <w:t>s</w:t>
      </w:r>
    </w:p>
    <w:p w:rsidR="00B557B3" w:rsidP="00EF0260" w:rsidRDefault="00B557B3" w14:paraId="43ECF6F7" w14:textId="145AEE64">
      <w:pPr>
        <w:pStyle w:val="ListParagraph"/>
        <w:numPr>
          <w:ilvl w:val="0"/>
          <w:numId w:val="7"/>
        </w:numPr>
        <w:ind w:leftChars="0" w:firstLineChars="0"/>
      </w:pPr>
      <w:r>
        <w:t xml:space="preserve">FVPSA </w:t>
      </w:r>
      <w:r w:rsidR="00C920CE">
        <w:t>s</w:t>
      </w:r>
      <w:r>
        <w:t>ub-recipients</w:t>
      </w:r>
      <w:r w:rsidR="00C920CE">
        <w:t xml:space="preserve">, </w:t>
      </w:r>
      <w:r>
        <w:t xml:space="preserve">including culturally specific </w:t>
      </w:r>
      <w:r w:rsidR="00C920CE">
        <w:t xml:space="preserve">domestic violence </w:t>
      </w:r>
      <w:r>
        <w:t xml:space="preserve">and sexual assault </w:t>
      </w:r>
      <w:r w:rsidR="00C920CE">
        <w:t>organizations</w:t>
      </w:r>
    </w:p>
    <w:p w:rsidR="00EF0260" w:rsidP="00EF0260" w:rsidRDefault="00EF0260" w14:paraId="29C23C48" w14:textId="77777777">
      <w:pPr>
        <w:pStyle w:val="ListParagraph"/>
        <w:ind w:left="0" w:leftChars="0" w:firstLine="0" w:firstLineChars="0"/>
      </w:pPr>
    </w:p>
    <w:p w:rsidR="00B557B3" w:rsidP="00EF0260" w:rsidRDefault="0035122E" w14:paraId="69CB8B7B" w14:textId="5A7C1270">
      <w:pPr>
        <w:pStyle w:val="ListParagraph"/>
        <w:ind w:left="0" w:leftChars="0" w:firstLine="0" w:firstLineChars="0"/>
      </w:pPr>
      <w:r>
        <w:t>For each training, p</w:t>
      </w:r>
      <w:r w:rsidR="00C920CE">
        <w:t xml:space="preserve">articipants will receive a </w:t>
      </w:r>
      <w:r>
        <w:t xml:space="preserve">pre-survey </w:t>
      </w:r>
      <w:r w:rsidR="00C920CE">
        <w:t xml:space="preserve">link upon registration, and emailed a link to the post-survey upon completion of the </w:t>
      </w:r>
      <w:r w:rsidR="002419F1">
        <w:t>training</w:t>
      </w:r>
      <w:r w:rsidR="00C920CE">
        <w:t xml:space="preserve">. </w:t>
      </w:r>
      <w:r>
        <w:t>R</w:t>
      </w:r>
      <w:r w:rsidR="00C920CE">
        <w:t>eminder pre</w:t>
      </w:r>
      <w:r w:rsidR="00D73789">
        <w:t>-</w:t>
      </w:r>
      <w:r w:rsidR="00C920CE">
        <w:t xml:space="preserve"> and post</w:t>
      </w:r>
      <w:r w:rsidR="00D73789">
        <w:t>-</w:t>
      </w:r>
      <w:r w:rsidR="00C920CE">
        <w:t xml:space="preserve">survey links </w:t>
      </w:r>
      <w:r>
        <w:t xml:space="preserve">will be emailed to </w:t>
      </w:r>
      <w:r w:rsidR="00C920CE">
        <w:t xml:space="preserve">participants to encourage maximum participation. </w:t>
      </w:r>
    </w:p>
    <w:p w:rsidR="00381800" w:rsidP="00B557B3" w:rsidRDefault="00381800" w14:paraId="4FF4E3F0" w14:textId="77777777">
      <w:pPr>
        <w:ind w:left="0" w:hanging="2"/>
      </w:pPr>
    </w:p>
    <w:p w:rsidR="00381800" w:rsidRDefault="006D615E" w14:paraId="00D9501F" w14:textId="77777777">
      <w:pPr>
        <w:ind w:left="0" w:hanging="2"/>
      </w:pPr>
      <w:r>
        <w:rPr>
          <w:b/>
        </w:rPr>
        <w:t>Administration of the Instrument</w:t>
      </w:r>
    </w:p>
    <w:p w:rsidR="00381800" w:rsidRDefault="006D615E" w14:paraId="2BE37840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How will you collect the information? (Check all that apply)</w:t>
      </w:r>
    </w:p>
    <w:p w:rsidR="00381800" w:rsidRDefault="006D615E" w14:paraId="5088F190" w14:textId="77777777">
      <w:pPr>
        <w:ind w:left="0" w:hanging="2"/>
      </w:pPr>
      <w:r>
        <w:rPr>
          <w:b/>
        </w:rPr>
        <w:t>[</w:t>
      </w:r>
      <w:r w:rsidRPr="00D73789">
        <w:rPr>
          <w:bCs/>
        </w:rPr>
        <w:t>X</w:t>
      </w:r>
      <w:r>
        <w:rPr>
          <w:b/>
        </w:rPr>
        <w:t xml:space="preserve"> </w:t>
      </w:r>
      <w:r>
        <w:t xml:space="preserve"> ] Web-based or other forms of Social Media </w:t>
      </w:r>
    </w:p>
    <w:p w:rsidR="00381800" w:rsidRDefault="006D615E" w14:paraId="30A7FD23" w14:textId="77777777">
      <w:pPr>
        <w:ind w:left="0" w:hanging="2"/>
      </w:pPr>
      <w:r>
        <w:t>[  ] Telephone</w:t>
      </w:r>
      <w:r>
        <w:tab/>
      </w:r>
    </w:p>
    <w:p w:rsidR="00381800" w:rsidRDefault="006D615E" w14:paraId="37A70560" w14:textId="77777777">
      <w:pPr>
        <w:ind w:left="0" w:hanging="2"/>
      </w:pPr>
      <w:r>
        <w:t>[  ] In-person</w:t>
      </w:r>
      <w:r>
        <w:tab/>
      </w:r>
    </w:p>
    <w:p w:rsidR="00381800" w:rsidRDefault="006D615E" w14:paraId="1D860FAA" w14:textId="77777777">
      <w:pPr>
        <w:ind w:left="0" w:hanging="2"/>
      </w:pPr>
      <w:r>
        <w:t xml:space="preserve">[  ] Mail </w:t>
      </w:r>
    </w:p>
    <w:p w:rsidR="00381800" w:rsidRDefault="006D615E" w14:paraId="3B13B3CA" w14:textId="7964371A">
      <w:pPr>
        <w:ind w:left="0" w:hanging="2"/>
      </w:pPr>
      <w:r>
        <w:t>[  ] Other, Explain</w:t>
      </w:r>
    </w:p>
    <w:p w:rsidR="00E06AF8" w:rsidRDefault="00E06AF8" w14:paraId="14A2E3A6" w14:textId="77777777">
      <w:pPr>
        <w:ind w:left="0" w:hanging="2"/>
      </w:pPr>
    </w:p>
    <w:p w:rsidR="00381800" w:rsidRDefault="006D615E" w14:paraId="7DE52DB6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Will interviewers or facilitators be used?  [  ] Yes [</w:t>
      </w:r>
      <w:r>
        <w:rPr>
          <w:b/>
          <w:color w:val="000000"/>
        </w:rPr>
        <w:t xml:space="preserve"> </w:t>
      </w:r>
      <w:r w:rsidRPr="00D73789">
        <w:rPr>
          <w:bCs/>
          <w:color w:val="000000"/>
        </w:rPr>
        <w:t>X</w:t>
      </w:r>
      <w:r>
        <w:rPr>
          <w:color w:val="000000"/>
        </w:rPr>
        <w:t xml:space="preserve"> ] No</w:t>
      </w:r>
    </w:p>
    <w:p w:rsidR="00381800" w:rsidRDefault="006D615E" w14:paraId="5C179D72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:rsidR="00381800" w:rsidRDefault="006D615E" w14:paraId="110001D9" w14:textId="77777777">
      <w:pPr>
        <w:ind w:left="0" w:hanging="2"/>
      </w:pPr>
      <w:r>
        <w:rPr>
          <w:b/>
        </w:rPr>
        <w:t>Please make sure that all instruments, instructions, and scripts are submitted with the request.</w:t>
      </w:r>
    </w:p>
    <w:p w:rsidR="00381800" w:rsidRDefault="00381800" w14:paraId="7BA9E3A3" w14:textId="7B3C68FF">
      <w:pPr>
        <w:ind w:left="0" w:hanging="2"/>
      </w:pPr>
    </w:p>
    <w:sectPr w:rsidR="00381800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DA80B" w14:textId="77777777" w:rsidR="00543196" w:rsidRDefault="00543196">
      <w:pPr>
        <w:spacing w:line="240" w:lineRule="auto"/>
        <w:ind w:left="0" w:hanging="2"/>
      </w:pPr>
      <w:r>
        <w:separator/>
      </w:r>
    </w:p>
  </w:endnote>
  <w:endnote w:type="continuationSeparator" w:id="0">
    <w:p w14:paraId="4CDB2751" w14:textId="77777777" w:rsidR="00543196" w:rsidRDefault="005431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3BF4" w14:textId="77777777" w:rsidR="00381800" w:rsidRDefault="006D615E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134B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9CC11" w14:textId="77777777" w:rsidR="00543196" w:rsidRDefault="00543196">
      <w:pPr>
        <w:spacing w:line="240" w:lineRule="auto"/>
        <w:ind w:left="0" w:hanging="2"/>
      </w:pPr>
      <w:r>
        <w:separator/>
      </w:r>
    </w:p>
  </w:footnote>
  <w:footnote w:type="continuationSeparator" w:id="0">
    <w:p w14:paraId="028CCC72" w14:textId="77777777" w:rsidR="00543196" w:rsidRDefault="005431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6771" w14:textId="77777777" w:rsidR="00381800" w:rsidRDefault="0038180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5156"/>
    <w:multiLevelType w:val="multilevel"/>
    <w:tmpl w:val="4E58EF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A886058"/>
    <w:multiLevelType w:val="multilevel"/>
    <w:tmpl w:val="A67C7C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DA4358B"/>
    <w:multiLevelType w:val="multilevel"/>
    <w:tmpl w:val="A98879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202E0C"/>
    <w:multiLevelType w:val="hybridMultilevel"/>
    <w:tmpl w:val="97368F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BD70F1B"/>
    <w:multiLevelType w:val="multilevel"/>
    <w:tmpl w:val="5F3E5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741D22"/>
    <w:multiLevelType w:val="multilevel"/>
    <w:tmpl w:val="8EA0F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4D787A"/>
    <w:multiLevelType w:val="multilevel"/>
    <w:tmpl w:val="508C91F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00"/>
    <w:rsid w:val="00010BBC"/>
    <w:rsid w:val="000224D5"/>
    <w:rsid w:val="00081BC4"/>
    <w:rsid w:val="000C6519"/>
    <w:rsid w:val="000E36AD"/>
    <w:rsid w:val="00117BEE"/>
    <w:rsid w:val="00122923"/>
    <w:rsid w:val="00130FD6"/>
    <w:rsid w:val="0019142D"/>
    <w:rsid w:val="001F26B3"/>
    <w:rsid w:val="00214088"/>
    <w:rsid w:val="002419F1"/>
    <w:rsid w:val="002606D4"/>
    <w:rsid w:val="002B1D4F"/>
    <w:rsid w:val="002F0786"/>
    <w:rsid w:val="003239A9"/>
    <w:rsid w:val="0035122E"/>
    <w:rsid w:val="0037627C"/>
    <w:rsid w:val="00377434"/>
    <w:rsid w:val="00381800"/>
    <w:rsid w:val="003E6348"/>
    <w:rsid w:val="0047536E"/>
    <w:rsid w:val="00477EF0"/>
    <w:rsid w:val="00482F29"/>
    <w:rsid w:val="004A5E4E"/>
    <w:rsid w:val="004C11B3"/>
    <w:rsid w:val="004C6BFE"/>
    <w:rsid w:val="00543196"/>
    <w:rsid w:val="005564BA"/>
    <w:rsid w:val="00637006"/>
    <w:rsid w:val="006772C5"/>
    <w:rsid w:val="006802FD"/>
    <w:rsid w:val="006D615E"/>
    <w:rsid w:val="007A5C68"/>
    <w:rsid w:val="008F7BEB"/>
    <w:rsid w:val="009644BE"/>
    <w:rsid w:val="009650CB"/>
    <w:rsid w:val="0098519A"/>
    <w:rsid w:val="009C0910"/>
    <w:rsid w:val="00A069BD"/>
    <w:rsid w:val="00A53211"/>
    <w:rsid w:val="00A84AAD"/>
    <w:rsid w:val="00A91CF8"/>
    <w:rsid w:val="00A92413"/>
    <w:rsid w:val="00B134B8"/>
    <w:rsid w:val="00B24C27"/>
    <w:rsid w:val="00B557B3"/>
    <w:rsid w:val="00B6116A"/>
    <w:rsid w:val="00BF5190"/>
    <w:rsid w:val="00C920CE"/>
    <w:rsid w:val="00CB4B36"/>
    <w:rsid w:val="00CE4AEB"/>
    <w:rsid w:val="00D62DDB"/>
    <w:rsid w:val="00D73789"/>
    <w:rsid w:val="00DB7086"/>
    <w:rsid w:val="00DD446B"/>
    <w:rsid w:val="00E06AF8"/>
    <w:rsid w:val="00E129FE"/>
    <w:rsid w:val="00E161B7"/>
    <w:rsid w:val="00E235A9"/>
    <w:rsid w:val="00E25CA4"/>
    <w:rsid w:val="00E51962"/>
    <w:rsid w:val="00EF0260"/>
    <w:rsid w:val="00F21AF9"/>
    <w:rsid w:val="00F26C2F"/>
    <w:rsid w:val="00F92D77"/>
    <w:rsid w:val="00F97A41"/>
    <w:rsid w:val="00FA0A93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1942"/>
  <w15:docId w15:val="{C7FDCAC4-DC27-4055-8A08-B9CFCBB0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right="-36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Cs w:val="20"/>
      <w:u w:val="single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widowControl w:val="0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pPr>
      <w:ind w:left="1440" w:hanging="720"/>
    </w:pPr>
    <w:rPr>
      <w:lang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Pr>
      <w:rFonts w:ascii="Tahoma" w:hAnsi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C09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rbwc6+eHeBK/hcrORzPm5ybYA==">AMUW2mXJ/8dvtJrWc3wDSjPeRcl4zOO6xBWzyUP6Sscd7m0/8WewvgkoQ+Rr+1E21KHEblczM6vuJQMDSmMhF6B8KEzRI6CghN7z/e/dABxOGnYdc3xBGEA=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OMB</dc:creator>
  <cp:lastModifiedBy>Jones, Molly (ACF)</cp:lastModifiedBy>
  <cp:revision>7</cp:revision>
  <dcterms:created xsi:type="dcterms:W3CDTF">2022-04-08T15:43:00Z</dcterms:created>
  <dcterms:modified xsi:type="dcterms:W3CDTF">2022-04-08T17:55:00Z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