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8F570D" w:rsidRDefault="002C4F75" w14:paraId="12EE9856" w14:textId="77777777">
      <w:pPr>
        <w:jc w:val="center"/>
        <w:rPr>
          <w:rFonts w:ascii="Arial" w:hAnsi="Arial" w:cs="Arial"/>
          <w:b/>
        </w:rPr>
      </w:pPr>
    </w:p>
    <w:p w:rsidRPr="000210D2" w:rsidR="002C4F75" w:rsidP="008F570D" w:rsidRDefault="002C4F75" w14:paraId="6656DB4E" w14:textId="77777777">
      <w:pPr>
        <w:pStyle w:val="ReportCover-Title"/>
        <w:rPr>
          <w:rFonts w:ascii="Arial" w:hAnsi="Arial" w:cs="Arial"/>
          <w:color w:val="auto"/>
        </w:rPr>
      </w:pPr>
    </w:p>
    <w:p w:rsidR="000210D2" w:rsidP="006E7ADF" w:rsidRDefault="006E7ADF" w14:paraId="01BCC20C" w14:textId="77777777">
      <w:pPr>
        <w:pStyle w:val="ReportCover-Title"/>
        <w:jc w:val="center"/>
        <w:rPr>
          <w:rFonts w:ascii="Arial" w:hAnsi="Arial" w:eastAsia="Arial Unicode MS" w:cs="Arial"/>
          <w:bCs/>
          <w:noProof/>
          <w:color w:val="auto"/>
        </w:rPr>
      </w:pPr>
      <w:r w:rsidRPr="006E7ADF">
        <w:rPr>
          <w:rFonts w:ascii="Arial" w:hAnsi="Arial" w:eastAsia="Arial Unicode MS" w:cs="Arial"/>
          <w:bCs/>
          <w:noProof/>
          <w:color w:val="auto"/>
        </w:rPr>
        <w:t xml:space="preserve">ACF </w:t>
      </w:r>
      <w:bookmarkStart w:name="_Hlk103179743" w:id="0"/>
      <w:r w:rsidRPr="006E7ADF">
        <w:rPr>
          <w:rFonts w:ascii="Arial" w:hAnsi="Arial" w:eastAsia="Arial Unicode MS" w:cs="Arial"/>
          <w:bCs/>
          <w:noProof/>
          <w:color w:val="auto"/>
        </w:rPr>
        <w:t>American Rescue Plan Tribal Learning Collaborative</w:t>
      </w:r>
      <w:bookmarkEnd w:id="0"/>
      <w:r w:rsidRPr="006E7ADF">
        <w:rPr>
          <w:rFonts w:ascii="Arial" w:hAnsi="Arial" w:eastAsia="Arial Unicode MS" w:cs="Arial"/>
          <w:bCs/>
          <w:noProof/>
          <w:color w:val="auto"/>
        </w:rPr>
        <w:t xml:space="preserve">: </w:t>
      </w:r>
    </w:p>
    <w:p w:rsidRPr="00DE5212" w:rsidR="006E7ADF" w:rsidP="006E7ADF" w:rsidRDefault="006E7ADF" w14:paraId="3F32B81D" w14:textId="6255697D">
      <w:pPr>
        <w:pStyle w:val="ReportCover-Title"/>
        <w:jc w:val="center"/>
        <w:rPr>
          <w:rFonts w:ascii="Arial" w:hAnsi="Arial" w:eastAsia="Arial Unicode MS" w:cs="Arial"/>
          <w:noProof/>
          <w:color w:val="auto"/>
        </w:rPr>
      </w:pPr>
      <w:r w:rsidRPr="00DE5212">
        <w:rPr>
          <w:rFonts w:ascii="Arial" w:hAnsi="Arial" w:eastAsia="Arial Unicode MS" w:cs="Arial"/>
          <w:noProof/>
          <w:color w:val="auto"/>
        </w:rPr>
        <w:t>Leveraging Grant Flexibilities and Promoting Innovation in Pandemic Recovery</w:t>
      </w:r>
    </w:p>
    <w:p w:rsidRPr="002C4F75" w:rsidR="002C4F75" w:rsidP="008F570D" w:rsidRDefault="002C4F75" w14:paraId="781830F9" w14:textId="77777777">
      <w:pPr>
        <w:pStyle w:val="ReportCover-Title"/>
        <w:rPr>
          <w:rFonts w:ascii="Arial" w:hAnsi="Arial" w:cs="Arial"/>
          <w:color w:val="auto"/>
        </w:rPr>
      </w:pPr>
    </w:p>
    <w:p w:rsidRPr="002C4F75" w:rsidR="002C4F75" w:rsidP="008F570D" w:rsidRDefault="002C4F75" w14:paraId="531BA742" w14:textId="77777777">
      <w:pPr>
        <w:pStyle w:val="ReportCover-Title"/>
        <w:rPr>
          <w:rFonts w:ascii="Arial" w:hAnsi="Arial" w:cs="Arial"/>
          <w:color w:val="auto"/>
        </w:rPr>
      </w:pPr>
    </w:p>
    <w:p w:rsidRPr="008F570D" w:rsidR="00984BBF" w:rsidP="008F570D" w:rsidRDefault="00984BBF"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Pr="008F570D" w:rsidR="006D2637" w:rsidP="008F570D" w:rsidRDefault="006D2637" w14:paraId="1F236595" w14:textId="77777777">
      <w:pPr>
        <w:pStyle w:val="ReportCover-Title"/>
        <w:jc w:val="center"/>
        <w:rPr>
          <w:rFonts w:ascii="Arial" w:hAnsi="Arial" w:cs="Arial"/>
          <w:color w:val="auto"/>
          <w:sz w:val="32"/>
          <w:szCs w:val="32"/>
        </w:rPr>
      </w:pPr>
    </w:p>
    <w:p w:rsidRPr="002C4F75" w:rsidR="002C4F75" w:rsidP="008F570D" w:rsidRDefault="002C4F75"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Pr="002C4F75" w:rsidR="002C4F75" w:rsidP="008F570D" w:rsidRDefault="002C4F75" w14:paraId="1D64B464" w14:textId="77777777">
      <w:pPr>
        <w:rPr>
          <w:rFonts w:ascii="Arial" w:hAnsi="Arial" w:cs="Arial"/>
          <w:szCs w:val="22"/>
        </w:rPr>
      </w:pPr>
    </w:p>
    <w:p w:rsidRPr="002C4F75" w:rsidR="002C4F75" w:rsidP="008F570D" w:rsidRDefault="002C4F75" w14:paraId="3B692556" w14:textId="77777777">
      <w:pPr>
        <w:pStyle w:val="ReportCover-Date"/>
        <w:jc w:val="center"/>
        <w:rPr>
          <w:rFonts w:ascii="Arial" w:hAnsi="Arial" w:cs="Arial"/>
          <w:color w:val="auto"/>
        </w:rPr>
      </w:pPr>
    </w:p>
    <w:p w:rsidRPr="002C4F75" w:rsidR="002C4F75" w:rsidP="008F570D"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8F570D"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8F570D" w:rsidRDefault="006E7ADF" w14:paraId="153EDE13" w14:textId="23A1B768">
      <w:pPr>
        <w:pStyle w:val="ReportCover-Date"/>
        <w:jc w:val="center"/>
        <w:rPr>
          <w:rFonts w:ascii="Arial" w:hAnsi="Arial" w:cs="Arial"/>
          <w:color w:val="auto"/>
        </w:rPr>
      </w:pPr>
      <w:r>
        <w:rPr>
          <w:rFonts w:ascii="Arial" w:hAnsi="Arial" w:cs="Arial"/>
          <w:color w:val="auto"/>
        </w:rPr>
        <w:t>May 2022</w:t>
      </w:r>
    </w:p>
    <w:p w:rsidRPr="002C4F75" w:rsidR="002C4F75" w:rsidP="008F570D" w:rsidRDefault="002C4F75" w14:paraId="27DA3839" w14:textId="77777777">
      <w:pPr>
        <w:jc w:val="center"/>
        <w:rPr>
          <w:rFonts w:ascii="Arial" w:hAnsi="Arial" w:cs="Arial"/>
        </w:rPr>
      </w:pPr>
    </w:p>
    <w:p w:rsidRPr="002C4F75" w:rsidR="002C4F75" w:rsidP="008F570D" w:rsidRDefault="002C4F75" w14:paraId="79ABBAD2" w14:textId="77777777">
      <w:pPr>
        <w:jc w:val="center"/>
        <w:rPr>
          <w:rFonts w:ascii="Arial" w:hAnsi="Arial" w:cs="Arial"/>
        </w:rPr>
      </w:pPr>
      <w:r w:rsidRPr="002C4F75">
        <w:rPr>
          <w:rFonts w:ascii="Arial" w:hAnsi="Arial" w:cs="Arial"/>
        </w:rPr>
        <w:t>Submitted By:</w:t>
      </w:r>
    </w:p>
    <w:p w:rsidRPr="002C4F75" w:rsidR="002C4F75" w:rsidP="008F570D" w:rsidRDefault="006E7ADF" w14:paraId="4C2AFB81" w14:textId="4573F69E">
      <w:pPr>
        <w:jc w:val="center"/>
        <w:rPr>
          <w:rFonts w:ascii="Arial" w:hAnsi="Arial" w:cs="Arial"/>
        </w:rPr>
      </w:pPr>
      <w:r>
        <w:rPr>
          <w:rFonts w:ascii="Arial" w:hAnsi="Arial" w:cs="Arial"/>
        </w:rPr>
        <w:t xml:space="preserve">Administration </w:t>
      </w:r>
      <w:proofErr w:type="gramStart"/>
      <w:r>
        <w:rPr>
          <w:rFonts w:ascii="Arial" w:hAnsi="Arial" w:cs="Arial"/>
        </w:rPr>
        <w:t>For</w:t>
      </w:r>
      <w:proofErr w:type="gramEnd"/>
      <w:r>
        <w:rPr>
          <w:rFonts w:ascii="Arial" w:hAnsi="Arial" w:cs="Arial"/>
        </w:rPr>
        <w:t xml:space="preserve"> Native Americans</w:t>
      </w:r>
    </w:p>
    <w:p w:rsidRPr="002C4F75" w:rsidR="002C4F75" w:rsidP="008F570D"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8F570D"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8F570D" w:rsidRDefault="002C4F75" w14:paraId="5BB8A166" w14:textId="77777777">
      <w:pPr>
        <w:jc w:val="center"/>
        <w:rPr>
          <w:rFonts w:ascii="Arial" w:hAnsi="Arial" w:cs="Arial"/>
        </w:rPr>
      </w:pPr>
    </w:p>
    <w:p w:rsidRPr="002C4F75" w:rsidR="002C4F75" w:rsidP="008F570D"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8F570D"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8F570D"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8F570D" w:rsidRDefault="002C4F75" w14:paraId="258A9347" w14:textId="77777777">
      <w:pPr>
        <w:jc w:val="center"/>
        <w:rPr>
          <w:rFonts w:ascii="Arial" w:hAnsi="Arial" w:cs="Arial"/>
        </w:rPr>
      </w:pPr>
    </w:p>
    <w:p w:rsidR="008F570D" w:rsidP="008F570D" w:rsidRDefault="008F570D" w14:paraId="27779EA1" w14:textId="77777777">
      <w:pPr>
        <w:spacing w:after="120"/>
        <w:rPr>
          <w:b/>
        </w:rPr>
      </w:pPr>
    </w:p>
    <w:p w:rsidR="008F570D" w:rsidP="008F570D" w:rsidRDefault="008F570D" w14:paraId="1E1C42E7" w14:textId="77777777">
      <w:pPr>
        <w:spacing w:after="120"/>
        <w:rPr>
          <w:b/>
        </w:rPr>
      </w:pPr>
    </w:p>
    <w:p w:rsidRPr="000D53DF" w:rsidR="00945CD6" w:rsidP="008F570D" w:rsidRDefault="00292B70" w14:paraId="63932BF7" w14:textId="3B3CEA54">
      <w:pPr>
        <w:spacing w:after="120"/>
        <w:rPr>
          <w:b/>
        </w:rPr>
      </w:pPr>
      <w:r w:rsidRPr="000D53DF">
        <w:rPr>
          <w:b/>
        </w:rPr>
        <w:lastRenderedPageBreak/>
        <w:t xml:space="preserve">A1. </w:t>
      </w:r>
      <w:r w:rsidRPr="000D53DF" w:rsidR="00945CD6">
        <w:rPr>
          <w:b/>
        </w:rPr>
        <w:t>Necessity for the Data Collection</w:t>
      </w:r>
    </w:p>
    <w:p w:rsidRPr="000210D2" w:rsidR="00984CA2" w:rsidP="008F570D" w:rsidRDefault="00984CA2" w14:paraId="516D2FC4" w14:textId="78B65474">
      <w:r w:rsidRPr="000210D2">
        <w:t xml:space="preserve">The Administration for Children and Families (ACF) at the U.S. Department of Health and Human Services (HHS) seeks approval </w:t>
      </w:r>
      <w:r w:rsidR="008A7FF7">
        <w:t>to ask</w:t>
      </w:r>
      <w:r w:rsidRPr="000210D2" w:rsidR="006E7ADF">
        <w:t xml:space="preserve"> targeted questions and collect feedback from ACF American Rescue Plan (ARP) grant recipients during</w:t>
      </w:r>
      <w:r w:rsidRPr="000210D2" w:rsidR="000210D2">
        <w:t xml:space="preserve"> virtual Zoom</w:t>
      </w:r>
      <w:r w:rsidRPr="000210D2" w:rsidR="006E7ADF">
        <w:t xml:space="preserve"> breakout sessions as part of the ACF ARP Tribal Learning Collaborative Webinar to inform technical assistance and other </w:t>
      </w:r>
      <w:r w:rsidRPr="000210D2" w:rsidR="00FE0BB8">
        <w:t>support</w:t>
      </w:r>
      <w:r w:rsidR="00FE0BB8">
        <w:t xml:space="preserve"> follow-up</w:t>
      </w:r>
      <w:r w:rsidRPr="000210D2" w:rsidR="00FE0BB8">
        <w:t xml:space="preserve"> </w:t>
      </w:r>
      <w:r w:rsidRPr="000210D2" w:rsidR="000210D2">
        <w:t>for</w:t>
      </w:r>
      <w:r w:rsidRPr="000210D2" w:rsidR="006E7ADF">
        <w:t xml:space="preserve"> ARP Tribal and Native American grant recipients. </w:t>
      </w:r>
    </w:p>
    <w:p w:rsidRPr="000210D2" w:rsidR="00984BBF" w:rsidP="008F570D" w:rsidRDefault="00984BBF" w14:paraId="32F118BE" w14:textId="77777777">
      <w:pPr>
        <w:rPr>
          <w:sz w:val="22"/>
          <w:szCs w:val="22"/>
          <w:highlight w:val="yellow"/>
        </w:rPr>
      </w:pPr>
    </w:p>
    <w:p w:rsidRPr="000210D2" w:rsidR="00984CA2" w:rsidP="008F570D" w:rsidRDefault="00984CA2"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0210D2">
        <w:rPr>
          <w:rFonts w:ascii="Times New Roman" w:hAnsi="Times New Roman"/>
          <w:i/>
          <w:sz w:val="24"/>
          <w:szCs w:val="24"/>
        </w:rPr>
        <w:t xml:space="preserve">Background </w:t>
      </w:r>
    </w:p>
    <w:p w:rsidRPr="000210D2" w:rsidR="006E7ADF" w:rsidP="00DE5212" w:rsidRDefault="006E7ADF" w14:paraId="1221187F" w14:textId="77777777">
      <w:pPr>
        <w:pStyle w:val="Heading4"/>
        <w:numPr>
          <w:ilvl w:val="3"/>
          <w:numId w:val="0"/>
        </w:numPr>
        <w:tabs>
          <w:tab w:val="num" w:pos="180"/>
        </w:tabs>
        <w:spacing w:before="0" w:after="0"/>
        <w:rPr>
          <w:rFonts w:ascii="Times New Roman" w:hAnsi="Times New Roman"/>
          <w:b w:val="0"/>
          <w:bCs w:val="0"/>
          <w:iCs/>
          <w:sz w:val="24"/>
          <w:szCs w:val="24"/>
        </w:rPr>
      </w:pPr>
      <w:r w:rsidRPr="000210D2">
        <w:rPr>
          <w:rFonts w:ascii="Times New Roman" w:hAnsi="Times New Roman"/>
          <w:b w:val="0"/>
          <w:bCs w:val="0"/>
          <w:iCs/>
          <w:sz w:val="22"/>
          <w:szCs w:val="22"/>
        </w:rPr>
        <w:t>T</w:t>
      </w:r>
      <w:r w:rsidRPr="000210D2">
        <w:rPr>
          <w:rFonts w:ascii="Times New Roman" w:hAnsi="Times New Roman"/>
          <w:b w:val="0"/>
          <w:bCs w:val="0"/>
          <w:iCs/>
          <w:sz w:val="24"/>
          <w:szCs w:val="24"/>
        </w:rPr>
        <w:t xml:space="preserve">he Administration for Children and Families (ACF) has issued slightly over $46 billion of the $47.5 billion in relief funds from the American Rescue Plan Act (ARP) to provide critical and unprecedented support to children, families, and communities impacted by the COVID-19 pandemic and the resulting economic downturn. ACF is committed to working with grant recipients to optimize the use of </w:t>
      </w:r>
      <w:proofErr w:type="gramStart"/>
      <w:r w:rsidRPr="000210D2">
        <w:rPr>
          <w:rFonts w:ascii="Times New Roman" w:hAnsi="Times New Roman"/>
          <w:b w:val="0"/>
          <w:bCs w:val="0"/>
          <w:iCs/>
          <w:sz w:val="24"/>
          <w:szCs w:val="24"/>
        </w:rPr>
        <w:t>all of</w:t>
      </w:r>
      <w:proofErr w:type="gramEnd"/>
      <w:r w:rsidRPr="000210D2">
        <w:rPr>
          <w:rFonts w:ascii="Times New Roman" w:hAnsi="Times New Roman"/>
          <w:b w:val="0"/>
          <w:bCs w:val="0"/>
          <w:iCs/>
          <w:sz w:val="24"/>
          <w:szCs w:val="24"/>
        </w:rPr>
        <w:t xml:space="preserve"> their COVID-19 supplemental relief funding based on differing deadlines, flexibilities, and expiration dates. </w:t>
      </w:r>
    </w:p>
    <w:p w:rsidRPr="000210D2" w:rsidR="006E7ADF" w:rsidP="00DE5212" w:rsidRDefault="006E7ADF" w14:paraId="1AB5873F" w14:textId="77777777">
      <w:pPr>
        <w:pStyle w:val="Heading4"/>
        <w:numPr>
          <w:ilvl w:val="3"/>
          <w:numId w:val="0"/>
        </w:numPr>
        <w:tabs>
          <w:tab w:val="num" w:pos="180"/>
        </w:tabs>
        <w:spacing w:before="0" w:after="0"/>
        <w:rPr>
          <w:rFonts w:ascii="Times New Roman" w:hAnsi="Times New Roman"/>
          <w:b w:val="0"/>
          <w:bCs w:val="0"/>
          <w:iCs/>
          <w:sz w:val="24"/>
          <w:szCs w:val="24"/>
        </w:rPr>
      </w:pPr>
    </w:p>
    <w:p w:rsidRPr="000210D2" w:rsidR="006E7ADF" w:rsidP="00DE5212" w:rsidRDefault="006E7ADF" w14:paraId="41123DD3" w14:textId="5C70EF4A">
      <w:pPr>
        <w:pStyle w:val="Heading4"/>
        <w:numPr>
          <w:ilvl w:val="3"/>
          <w:numId w:val="0"/>
        </w:numPr>
        <w:tabs>
          <w:tab w:val="num" w:pos="180"/>
        </w:tabs>
        <w:spacing w:before="0" w:after="0"/>
        <w:rPr>
          <w:rFonts w:ascii="Times New Roman" w:hAnsi="Times New Roman"/>
          <w:b w:val="0"/>
          <w:bCs w:val="0"/>
          <w:iCs/>
          <w:sz w:val="24"/>
          <w:szCs w:val="24"/>
        </w:rPr>
      </w:pPr>
      <w:r w:rsidRPr="000210D2">
        <w:rPr>
          <w:rFonts w:ascii="Times New Roman" w:hAnsi="Times New Roman"/>
          <w:b w:val="0"/>
          <w:bCs w:val="0"/>
          <w:iCs/>
          <w:sz w:val="24"/>
          <w:szCs w:val="24"/>
        </w:rPr>
        <w:t xml:space="preserve">The COVID-19 global pandemic disproportionately impacted Native American communities and has had a devastating effect many times more than the national average with infection and mortality rates. Supporting the well-being of Tribes and Native American communities is a top priority of the Biden Administration, HHS and ACF. As Tribes and Native communities continue to recover from the pandemic, ACF is committed to establishing open lines of communication to listen and learn to ensure that the current and future needs of Native American communities are addressed through ACF’s programs, including those made possible by ARP funding. </w:t>
      </w:r>
    </w:p>
    <w:p w:rsidRPr="000210D2" w:rsidR="00AD4548" w:rsidP="00DE5212" w:rsidRDefault="00AD4548" w14:paraId="7398D1A8" w14:textId="48B009D3"/>
    <w:p w:rsidRPr="000210D2" w:rsidR="00AD4548" w:rsidP="00DE5212" w:rsidRDefault="00AD4548" w14:paraId="2475BDCB" w14:textId="6F3AAFC2">
      <w:bookmarkStart w:name="_Hlk104194170" w:id="1"/>
      <w:r w:rsidRPr="000210D2">
        <w:t>Across ACF, the following program offices awarded and administer ARP funds to Tribal and Native American Grant Recipients: Office of Child Care (OCC), Early Childhood Development</w:t>
      </w:r>
      <w:r w:rsidRPr="000210D2" w:rsidR="00BB063E">
        <w:t xml:space="preserve"> (ECD)</w:t>
      </w:r>
      <w:r w:rsidRPr="000210D2">
        <w:t xml:space="preserve">, Family and Youth Services Bureau </w:t>
      </w:r>
      <w:r w:rsidRPr="000210D2" w:rsidR="00BB063E">
        <w:t xml:space="preserve">(FYSB) </w:t>
      </w:r>
      <w:r w:rsidRPr="000210D2">
        <w:t>(Family Violence Prevention and Services Act</w:t>
      </w:r>
      <w:r w:rsidRPr="000210D2" w:rsidR="00BB063E">
        <w:t xml:space="preserve"> (FVSPA)</w:t>
      </w:r>
      <w:r w:rsidRPr="000210D2">
        <w:t xml:space="preserve">), Office of Head Start (OHS), Office of Community Services (OCS), Office of Family Assistance (OFA), and Administration for Native Americans (ANA). </w:t>
      </w:r>
      <w:r w:rsidRPr="000210D2" w:rsidR="00BB063E">
        <w:t>Representatives from each of t</w:t>
      </w:r>
      <w:r w:rsidRPr="000210D2" w:rsidR="00930BB9">
        <w:t>hese program offices will be present to</w:t>
      </w:r>
      <w:r w:rsidRPr="000210D2" w:rsidR="00BB063E">
        <w:t xml:space="preserve"> hear from the ARP Tribal and Native American grant recipient attendees during the webina</w:t>
      </w:r>
      <w:r w:rsidRPr="000210D2" w:rsidR="000210D2">
        <w:t xml:space="preserve">r. </w:t>
      </w:r>
    </w:p>
    <w:bookmarkEnd w:id="1"/>
    <w:p w:rsidR="008F570D" w:rsidP="00DE5212" w:rsidRDefault="008F570D"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Pr="00177982" w:rsidR="00984CA2" w:rsidP="008F570D" w:rsidRDefault="00984CA2"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Pr="000210D2" w:rsidR="0020382F" w:rsidP="008F570D" w:rsidRDefault="00EA12DE" w14:paraId="7D1B72AE" w14:textId="18540F29">
      <w:pPr>
        <w:rPr>
          <w:sz w:val="28"/>
          <w:szCs w:val="28"/>
        </w:rPr>
      </w:pPr>
      <w:r w:rsidRPr="000210D2">
        <w:t xml:space="preserve">There are no legal or administrative requirements that necessitate the collection. </w:t>
      </w:r>
      <w:r w:rsidRPr="000210D2">
        <w:rPr>
          <w:szCs w:val="28"/>
        </w:rPr>
        <w:t>ACF is undertaking the collection at the discretion of the agency.</w:t>
      </w:r>
    </w:p>
    <w:p w:rsidR="00D90EF6" w:rsidP="008F570D" w:rsidRDefault="00D90EF6" w14:paraId="210B83EF" w14:textId="221C7124"/>
    <w:p w:rsidR="00DE5212" w:rsidP="008F570D" w:rsidRDefault="00DE5212" w14:paraId="382D2C00" w14:textId="77777777"/>
    <w:p w:rsidRPr="0072204D" w:rsidR="00945CD6" w:rsidP="008F570D" w:rsidRDefault="00292B70" w14:paraId="617B0354" w14:textId="77777777">
      <w:pPr>
        <w:spacing w:after="120"/>
        <w:rPr>
          <w:b/>
        </w:rPr>
      </w:pPr>
      <w:r>
        <w:rPr>
          <w:b/>
        </w:rPr>
        <w:t xml:space="preserve">A2. </w:t>
      </w:r>
      <w:r w:rsidRPr="0072204D" w:rsidR="00945CD6">
        <w:rPr>
          <w:b/>
        </w:rPr>
        <w:t>Purpose of Survey and Data Collection Procedures</w:t>
      </w:r>
    </w:p>
    <w:p w:rsidR="008F570D" w:rsidP="008F570D" w:rsidRDefault="00984CA2" w14:paraId="24636DF8" w14:textId="7807669A">
      <w:pPr>
        <w:spacing w:after="60"/>
        <w:rPr>
          <w:b/>
          <w:i/>
        </w:rPr>
      </w:pPr>
      <w:r w:rsidRPr="00177982">
        <w:rPr>
          <w:b/>
          <w:i/>
        </w:rPr>
        <w:t xml:space="preserve">Overview of Purpose and </w:t>
      </w:r>
      <w:r w:rsidR="008F570D">
        <w:rPr>
          <w:b/>
          <w:i/>
        </w:rPr>
        <w:t>Use</w:t>
      </w:r>
    </w:p>
    <w:p w:rsidRPr="004415BB" w:rsidR="004415BB" w:rsidP="00606FD7" w:rsidRDefault="00853B6B" w14:paraId="7276635B" w14:textId="0784D67B">
      <w:pPr>
        <w:pStyle w:val="Heading4"/>
        <w:numPr>
          <w:ilvl w:val="3"/>
          <w:numId w:val="0"/>
        </w:numPr>
        <w:tabs>
          <w:tab w:val="num" w:pos="180"/>
        </w:tabs>
        <w:spacing w:before="0" w:after="0"/>
        <w:rPr>
          <w:rStyle w:val="Strong"/>
          <w:rFonts w:ascii="Times New Roman" w:hAnsi="Times New Roman"/>
          <w:iCs/>
          <w:sz w:val="24"/>
          <w:szCs w:val="24"/>
        </w:rPr>
      </w:pPr>
      <w:r>
        <w:rPr>
          <w:rFonts w:ascii="Times New Roman" w:hAnsi="Times New Roman"/>
          <w:b w:val="0"/>
          <w:bCs w:val="0"/>
          <w:iCs/>
          <w:sz w:val="24"/>
          <w:szCs w:val="24"/>
        </w:rPr>
        <w:t xml:space="preserve">The overall purpose of this information collection is to </w:t>
      </w:r>
      <w:r w:rsidR="00005BD3">
        <w:rPr>
          <w:rFonts w:ascii="Times New Roman" w:hAnsi="Times New Roman"/>
          <w:b w:val="0"/>
          <w:bCs w:val="0"/>
          <w:iCs/>
          <w:sz w:val="24"/>
          <w:szCs w:val="24"/>
        </w:rPr>
        <w:t>support</w:t>
      </w:r>
      <w:r w:rsidRPr="000210D2" w:rsidR="006E7ADF">
        <w:rPr>
          <w:rFonts w:ascii="Times New Roman" w:hAnsi="Times New Roman"/>
          <w:b w:val="0"/>
          <w:bCs w:val="0"/>
          <w:iCs/>
          <w:sz w:val="24"/>
          <w:szCs w:val="24"/>
        </w:rPr>
        <w:t xml:space="preserve"> Tribal and Native American grant recipients with maximizing their ARP funding</w:t>
      </w:r>
      <w:r>
        <w:rPr>
          <w:rFonts w:ascii="Times New Roman" w:hAnsi="Times New Roman"/>
          <w:b w:val="0"/>
          <w:bCs w:val="0"/>
          <w:iCs/>
          <w:sz w:val="24"/>
          <w:szCs w:val="24"/>
        </w:rPr>
        <w:t>.</w:t>
      </w:r>
      <w:r w:rsidRPr="000210D2" w:rsidR="006E7ADF">
        <w:rPr>
          <w:rFonts w:ascii="Times New Roman" w:hAnsi="Times New Roman"/>
          <w:b w:val="0"/>
          <w:bCs w:val="0"/>
          <w:iCs/>
          <w:sz w:val="24"/>
          <w:szCs w:val="24"/>
        </w:rPr>
        <w:t xml:space="preserve"> </w:t>
      </w:r>
      <w:r>
        <w:rPr>
          <w:rFonts w:ascii="Times New Roman" w:hAnsi="Times New Roman"/>
          <w:b w:val="0"/>
          <w:bCs w:val="0"/>
          <w:iCs/>
          <w:sz w:val="24"/>
          <w:szCs w:val="24"/>
        </w:rPr>
        <w:t>During t</w:t>
      </w:r>
      <w:r w:rsidRPr="000210D2">
        <w:rPr>
          <w:rFonts w:ascii="Times New Roman" w:hAnsi="Times New Roman"/>
          <w:b w:val="0"/>
          <w:bCs w:val="0"/>
          <w:iCs/>
          <w:sz w:val="24"/>
          <w:szCs w:val="24"/>
        </w:rPr>
        <w:t>he ACF ARP Tribal Learning Collaborative Webinar</w:t>
      </w:r>
      <w:r>
        <w:rPr>
          <w:rFonts w:ascii="Times New Roman" w:hAnsi="Times New Roman"/>
          <w:b w:val="0"/>
          <w:bCs w:val="0"/>
          <w:iCs/>
          <w:sz w:val="24"/>
          <w:szCs w:val="24"/>
        </w:rPr>
        <w:t>, grant</w:t>
      </w:r>
      <w:r w:rsidR="00814840">
        <w:rPr>
          <w:rFonts w:ascii="Times New Roman" w:hAnsi="Times New Roman"/>
          <w:b w:val="0"/>
          <w:bCs w:val="0"/>
          <w:iCs/>
          <w:sz w:val="24"/>
          <w:szCs w:val="24"/>
        </w:rPr>
        <w:t xml:space="preserve"> recipients </w:t>
      </w:r>
      <w:r>
        <w:rPr>
          <w:rFonts w:ascii="Times New Roman" w:hAnsi="Times New Roman"/>
          <w:b w:val="0"/>
          <w:bCs w:val="0"/>
          <w:iCs/>
          <w:sz w:val="24"/>
          <w:szCs w:val="24"/>
        </w:rPr>
        <w:t>will participate in one of five breakout sessions</w:t>
      </w:r>
      <w:r w:rsidRPr="000210D2">
        <w:rPr>
          <w:rFonts w:ascii="Times New Roman" w:hAnsi="Times New Roman"/>
          <w:b w:val="0"/>
          <w:bCs w:val="0"/>
          <w:iCs/>
          <w:sz w:val="24"/>
          <w:szCs w:val="24"/>
        </w:rPr>
        <w:t xml:space="preserve"> based on </w:t>
      </w:r>
      <w:r w:rsidRPr="000210D2">
        <w:rPr>
          <w:rFonts w:ascii="Times New Roman" w:hAnsi="Times New Roman"/>
          <w:b w:val="0"/>
          <w:bCs w:val="0"/>
          <w:iCs/>
          <w:sz w:val="24"/>
          <w:szCs w:val="24"/>
        </w:rPr>
        <w:lastRenderedPageBreak/>
        <w:t xml:space="preserve">each grant recipient’s geographical location that aligns with the respective ACF regional office coverage area. </w:t>
      </w:r>
      <w:r w:rsidR="00A4561A">
        <w:rPr>
          <w:rFonts w:ascii="Times New Roman" w:hAnsi="Times New Roman"/>
          <w:b w:val="0"/>
          <w:bCs w:val="0"/>
          <w:iCs/>
          <w:sz w:val="24"/>
          <w:szCs w:val="24"/>
        </w:rPr>
        <w:t>Each of the five</w:t>
      </w:r>
      <w:r w:rsidR="00D64CB1">
        <w:rPr>
          <w:rFonts w:ascii="Times New Roman" w:hAnsi="Times New Roman"/>
          <w:b w:val="0"/>
          <w:bCs w:val="0"/>
          <w:iCs/>
          <w:sz w:val="24"/>
          <w:szCs w:val="24"/>
        </w:rPr>
        <w:t xml:space="preserve"> breakout sessions will group two </w:t>
      </w:r>
      <w:r w:rsidR="00A4561A">
        <w:rPr>
          <w:rFonts w:ascii="Times New Roman" w:hAnsi="Times New Roman"/>
          <w:b w:val="0"/>
          <w:bCs w:val="0"/>
          <w:iCs/>
          <w:sz w:val="24"/>
          <w:szCs w:val="24"/>
        </w:rPr>
        <w:t xml:space="preserve">out of the 10 </w:t>
      </w:r>
      <w:r w:rsidR="00D64CB1">
        <w:rPr>
          <w:rFonts w:ascii="Times New Roman" w:hAnsi="Times New Roman"/>
          <w:b w:val="0"/>
          <w:bCs w:val="0"/>
          <w:iCs/>
          <w:sz w:val="24"/>
          <w:szCs w:val="24"/>
        </w:rPr>
        <w:t>regional offices together</w:t>
      </w:r>
      <w:r w:rsidR="00A4561A">
        <w:rPr>
          <w:rFonts w:ascii="Times New Roman" w:hAnsi="Times New Roman"/>
          <w:b w:val="0"/>
          <w:bCs w:val="0"/>
          <w:iCs/>
          <w:sz w:val="24"/>
          <w:szCs w:val="24"/>
        </w:rPr>
        <w:t xml:space="preserve"> based on </w:t>
      </w:r>
      <w:r w:rsidR="00814840">
        <w:rPr>
          <w:rFonts w:ascii="Times New Roman" w:hAnsi="Times New Roman"/>
          <w:b w:val="0"/>
          <w:bCs w:val="0"/>
          <w:iCs/>
          <w:sz w:val="24"/>
          <w:szCs w:val="24"/>
        </w:rPr>
        <w:t xml:space="preserve">their closest </w:t>
      </w:r>
      <w:r w:rsidR="00A4561A">
        <w:rPr>
          <w:rFonts w:ascii="Times New Roman" w:hAnsi="Times New Roman"/>
          <w:b w:val="0"/>
          <w:bCs w:val="0"/>
          <w:iCs/>
          <w:sz w:val="24"/>
          <w:szCs w:val="24"/>
        </w:rPr>
        <w:t>geographic proximity. T</w:t>
      </w:r>
      <w:r w:rsidR="00814840">
        <w:rPr>
          <w:rFonts w:ascii="Times New Roman" w:hAnsi="Times New Roman"/>
          <w:b w:val="0"/>
          <w:bCs w:val="0"/>
          <w:iCs/>
          <w:sz w:val="24"/>
          <w:szCs w:val="24"/>
        </w:rPr>
        <w:t>h</w:t>
      </w:r>
      <w:r w:rsidR="00A4561A">
        <w:rPr>
          <w:rFonts w:ascii="Times New Roman" w:hAnsi="Times New Roman"/>
          <w:b w:val="0"/>
          <w:bCs w:val="0"/>
          <w:iCs/>
          <w:sz w:val="24"/>
          <w:szCs w:val="24"/>
        </w:rPr>
        <w:t xml:space="preserve">is </w:t>
      </w:r>
      <w:r w:rsidR="002B2840">
        <w:rPr>
          <w:rFonts w:ascii="Times New Roman" w:hAnsi="Times New Roman"/>
          <w:b w:val="0"/>
          <w:bCs w:val="0"/>
          <w:iCs/>
          <w:sz w:val="24"/>
          <w:szCs w:val="24"/>
        </w:rPr>
        <w:t xml:space="preserve">is </w:t>
      </w:r>
      <w:r w:rsidR="00A4561A">
        <w:rPr>
          <w:rFonts w:ascii="Times New Roman" w:hAnsi="Times New Roman"/>
          <w:b w:val="0"/>
          <w:bCs w:val="0"/>
          <w:iCs/>
          <w:sz w:val="24"/>
          <w:szCs w:val="24"/>
        </w:rPr>
        <w:t xml:space="preserve">to </w:t>
      </w:r>
      <w:r w:rsidR="00814840">
        <w:rPr>
          <w:rFonts w:ascii="Times New Roman" w:hAnsi="Times New Roman"/>
          <w:b w:val="0"/>
          <w:bCs w:val="0"/>
          <w:iCs/>
          <w:sz w:val="24"/>
          <w:szCs w:val="24"/>
        </w:rPr>
        <w:t xml:space="preserve">gather </w:t>
      </w:r>
      <w:r w:rsidR="00A4561A">
        <w:rPr>
          <w:rFonts w:ascii="Times New Roman" w:hAnsi="Times New Roman"/>
          <w:b w:val="0"/>
          <w:bCs w:val="0"/>
          <w:iCs/>
          <w:sz w:val="24"/>
          <w:szCs w:val="24"/>
        </w:rPr>
        <w:t xml:space="preserve">ARP </w:t>
      </w:r>
      <w:r w:rsidR="00814840">
        <w:rPr>
          <w:rFonts w:ascii="Times New Roman" w:hAnsi="Times New Roman"/>
          <w:b w:val="0"/>
          <w:bCs w:val="0"/>
          <w:iCs/>
          <w:sz w:val="24"/>
          <w:szCs w:val="24"/>
        </w:rPr>
        <w:t xml:space="preserve">Tribal and Native American </w:t>
      </w:r>
      <w:r w:rsidR="00A4561A">
        <w:rPr>
          <w:rFonts w:ascii="Times New Roman" w:hAnsi="Times New Roman"/>
          <w:b w:val="0"/>
          <w:bCs w:val="0"/>
          <w:iCs/>
          <w:sz w:val="24"/>
          <w:szCs w:val="24"/>
        </w:rPr>
        <w:t>grant recipients</w:t>
      </w:r>
      <w:r w:rsidR="00814840">
        <w:rPr>
          <w:rFonts w:ascii="Times New Roman" w:hAnsi="Times New Roman"/>
          <w:b w:val="0"/>
          <w:bCs w:val="0"/>
          <w:iCs/>
          <w:sz w:val="24"/>
          <w:szCs w:val="24"/>
        </w:rPr>
        <w:t xml:space="preserve"> that are based in the same geographic regions together to connect and listen to </w:t>
      </w:r>
      <w:r w:rsidR="003456DF">
        <w:rPr>
          <w:rFonts w:ascii="Times New Roman" w:hAnsi="Times New Roman"/>
          <w:b w:val="0"/>
          <w:bCs w:val="0"/>
          <w:iCs/>
          <w:sz w:val="24"/>
          <w:szCs w:val="24"/>
        </w:rPr>
        <w:t xml:space="preserve">some examples of </w:t>
      </w:r>
      <w:r w:rsidR="00814840">
        <w:rPr>
          <w:rFonts w:ascii="Times New Roman" w:hAnsi="Times New Roman"/>
          <w:b w:val="0"/>
          <w:bCs w:val="0"/>
          <w:iCs/>
          <w:sz w:val="24"/>
          <w:szCs w:val="24"/>
        </w:rPr>
        <w:t>successful implementation strategies for their ARP-funded projects</w:t>
      </w:r>
      <w:r w:rsidR="002B2840">
        <w:rPr>
          <w:rFonts w:ascii="Times New Roman" w:hAnsi="Times New Roman"/>
          <w:b w:val="0"/>
          <w:bCs w:val="0"/>
          <w:iCs/>
          <w:sz w:val="24"/>
          <w:szCs w:val="24"/>
        </w:rPr>
        <w:t xml:space="preserve"> or utilizing their ARP funding</w:t>
      </w:r>
      <w:r w:rsidR="00814840">
        <w:rPr>
          <w:rFonts w:ascii="Times New Roman" w:hAnsi="Times New Roman"/>
          <w:b w:val="0"/>
          <w:bCs w:val="0"/>
          <w:iCs/>
          <w:sz w:val="24"/>
          <w:szCs w:val="24"/>
        </w:rPr>
        <w:t xml:space="preserve">. </w:t>
      </w:r>
      <w:r w:rsidRPr="004415BB" w:rsidR="004415BB">
        <w:rPr>
          <w:rFonts w:ascii="Times New Roman" w:hAnsi="Times New Roman"/>
          <w:b w:val="0"/>
          <w:bCs w:val="0"/>
          <w:sz w:val="24"/>
          <w:szCs w:val="24"/>
        </w:rPr>
        <w:t>The proposed geographical breakdown of the breakout sessions is as follows:</w:t>
      </w:r>
    </w:p>
    <w:p w:rsidRPr="00DE5212" w:rsidR="004415BB" w:rsidP="004415BB" w:rsidRDefault="004415BB" w14:paraId="42CE81E9" w14:textId="31543405">
      <w:pPr>
        <w:pStyle w:val="ListLevel1"/>
        <w:numPr>
          <w:ilvl w:val="1"/>
          <w:numId w:val="22"/>
        </w:numPr>
        <w:rPr>
          <w:rStyle w:val="Strong"/>
          <w:rFonts w:ascii="Times New Roman" w:hAnsi="Times New Roman" w:cs="Times New Roman"/>
          <w:b w:val="0"/>
          <w:sz w:val="24"/>
          <w:szCs w:val="24"/>
          <w:bdr w:val="none" w:color="auto" w:sz="0" w:space="0" w:frame="1"/>
          <w:shd w:val="clear" w:color="auto" w:fill="FFFFFF"/>
        </w:rPr>
      </w:pPr>
      <w:r w:rsidRPr="00DE5212">
        <w:rPr>
          <w:rStyle w:val="Strong"/>
          <w:rFonts w:ascii="Times New Roman" w:hAnsi="Times New Roman" w:cs="Times New Roman"/>
          <w:sz w:val="24"/>
          <w:szCs w:val="24"/>
          <w:bdr w:val="none" w:color="auto" w:sz="0" w:space="0" w:frame="1"/>
          <w:shd w:val="clear" w:color="auto" w:fill="FFFFFF"/>
        </w:rPr>
        <w:t>Region 1 (Boston) &amp; Region 2 (New York)</w:t>
      </w:r>
    </w:p>
    <w:p w:rsidRPr="00DE5212" w:rsidR="004415BB" w:rsidP="004415BB" w:rsidRDefault="004415BB" w14:paraId="075A9832" w14:textId="77777777">
      <w:pPr>
        <w:pStyle w:val="ListLevel1"/>
        <w:numPr>
          <w:ilvl w:val="2"/>
          <w:numId w:val="22"/>
        </w:numPr>
        <w:rPr>
          <w:rFonts w:ascii="Times New Roman" w:hAnsi="Times New Roman" w:cs="Times New Roman"/>
          <w:bCs/>
          <w:sz w:val="24"/>
          <w:szCs w:val="24"/>
          <w:bdr w:val="none" w:color="auto" w:sz="0" w:space="0" w:frame="1"/>
          <w:shd w:val="clear" w:color="auto" w:fill="FFFFFF"/>
        </w:rPr>
      </w:pPr>
      <w:r w:rsidRPr="00DE5212">
        <w:rPr>
          <w:rFonts w:ascii="Times New Roman" w:hAnsi="Times New Roman" w:cs="Times New Roman"/>
          <w:bCs/>
          <w:sz w:val="24"/>
          <w:szCs w:val="24"/>
          <w:bdr w:val="none" w:color="auto" w:sz="0" w:space="0" w:frame="1"/>
          <w:shd w:val="clear" w:color="auto" w:fill="FFFFFF"/>
        </w:rPr>
        <w:t>The Office of Regional Operation’s Boston office serves Connecticut, Maine, Massachusetts, New Hampshire, Rhode Island, and Vermont</w:t>
      </w:r>
    </w:p>
    <w:p w:rsidRPr="00DE5212" w:rsidR="004415BB" w:rsidP="004415BB" w:rsidRDefault="004415BB" w14:paraId="398D73C1" w14:textId="77777777">
      <w:pPr>
        <w:pStyle w:val="ListLevel1"/>
        <w:numPr>
          <w:ilvl w:val="2"/>
          <w:numId w:val="22"/>
        </w:numPr>
        <w:rPr>
          <w:rStyle w:val="Strong"/>
          <w:rFonts w:ascii="Times New Roman" w:hAnsi="Times New Roman" w:cs="Times New Roman"/>
          <w:b w:val="0"/>
          <w:sz w:val="24"/>
          <w:szCs w:val="24"/>
          <w:bdr w:val="none" w:color="auto" w:sz="0" w:space="0" w:frame="1"/>
          <w:shd w:val="clear" w:color="auto" w:fill="FFFFFF"/>
        </w:rPr>
      </w:pPr>
      <w:r w:rsidRPr="00DE5212">
        <w:rPr>
          <w:rStyle w:val="Strong"/>
          <w:rFonts w:ascii="Times New Roman" w:hAnsi="Times New Roman" w:cs="Times New Roman"/>
          <w:b w:val="0"/>
          <w:sz w:val="24"/>
          <w:szCs w:val="24"/>
          <w:bdr w:val="none" w:color="auto" w:sz="0" w:space="0" w:frame="1"/>
          <w:shd w:val="clear" w:color="auto" w:fill="FFFFFF"/>
        </w:rPr>
        <w:t>The Office of Regional Operation's New York City office serves New Jersey, New York, Puerto Rico and the U.S. Virgin Islands.</w:t>
      </w:r>
    </w:p>
    <w:p w:rsidRPr="00DE5212" w:rsidR="004415BB" w:rsidP="004415BB" w:rsidRDefault="004415BB" w14:paraId="029E98CC" w14:textId="2BEE6557">
      <w:pPr>
        <w:pStyle w:val="ListLevel1"/>
        <w:numPr>
          <w:ilvl w:val="1"/>
          <w:numId w:val="22"/>
        </w:numPr>
        <w:rPr>
          <w:rStyle w:val="Strong"/>
          <w:rFonts w:ascii="Times New Roman" w:hAnsi="Times New Roman" w:cs="Times New Roman"/>
          <w:b w:val="0"/>
          <w:sz w:val="24"/>
          <w:szCs w:val="24"/>
          <w:bdr w:val="none" w:color="auto" w:sz="0" w:space="0" w:frame="1"/>
          <w:shd w:val="clear" w:color="auto" w:fill="FFFFFF"/>
        </w:rPr>
      </w:pPr>
      <w:r w:rsidRPr="00DE5212">
        <w:rPr>
          <w:rStyle w:val="Strong"/>
          <w:rFonts w:ascii="Times New Roman" w:hAnsi="Times New Roman" w:cs="Times New Roman"/>
          <w:sz w:val="24"/>
          <w:szCs w:val="24"/>
          <w:bdr w:val="none" w:color="auto" w:sz="0" w:space="0" w:frame="1"/>
          <w:shd w:val="clear" w:color="auto" w:fill="FFFFFF"/>
        </w:rPr>
        <w:t>Region 3 (Philadelphia) &amp; Region 5 (Chicago)</w:t>
      </w:r>
    </w:p>
    <w:p w:rsidRPr="00DE5212" w:rsidR="004415BB" w:rsidP="004415BB" w:rsidRDefault="004415BB" w14:paraId="195869E2" w14:textId="77777777">
      <w:pPr>
        <w:pStyle w:val="ListLevel1"/>
        <w:numPr>
          <w:ilvl w:val="2"/>
          <w:numId w:val="22"/>
        </w:numPr>
        <w:rPr>
          <w:rStyle w:val="Strong"/>
          <w:rFonts w:ascii="Times New Roman" w:hAnsi="Times New Roman" w:cs="Times New Roman"/>
          <w:b w:val="0"/>
          <w:bCs w:val="0"/>
          <w:sz w:val="24"/>
          <w:szCs w:val="24"/>
          <w:bdr w:val="none" w:color="auto" w:sz="0" w:space="0" w:frame="1"/>
          <w:shd w:val="clear" w:color="auto" w:fill="FFFFFF"/>
        </w:rPr>
      </w:pPr>
      <w:r w:rsidRPr="00DE5212">
        <w:rPr>
          <w:rStyle w:val="Strong"/>
          <w:rFonts w:ascii="Times New Roman" w:hAnsi="Times New Roman" w:cs="Times New Roman"/>
          <w:b w:val="0"/>
          <w:bCs w:val="0"/>
          <w:sz w:val="24"/>
          <w:szCs w:val="24"/>
          <w:bdr w:val="none" w:color="auto" w:sz="0" w:space="0" w:frame="1"/>
          <w:shd w:val="clear" w:color="auto" w:fill="FFFFFF"/>
        </w:rPr>
        <w:t>The Office of Regional Operation's Philadelphia office serves Delaware, the District of Columbia, Maryland, Pennsylvania, Virginia, and West Virginia.</w:t>
      </w:r>
    </w:p>
    <w:p w:rsidRPr="00DE5212" w:rsidR="004415BB" w:rsidP="004415BB" w:rsidRDefault="004415BB" w14:paraId="6FE2B72D" w14:textId="77777777">
      <w:pPr>
        <w:pStyle w:val="ListLevel1"/>
        <w:numPr>
          <w:ilvl w:val="2"/>
          <w:numId w:val="22"/>
        </w:numPr>
        <w:rPr>
          <w:rStyle w:val="Strong"/>
          <w:rFonts w:ascii="Times New Roman" w:hAnsi="Times New Roman" w:cs="Times New Roman"/>
          <w:b w:val="0"/>
          <w:bCs w:val="0"/>
          <w:sz w:val="24"/>
          <w:szCs w:val="24"/>
          <w:bdr w:val="none" w:color="auto" w:sz="0" w:space="0" w:frame="1"/>
          <w:shd w:val="clear" w:color="auto" w:fill="FFFFFF"/>
        </w:rPr>
      </w:pPr>
      <w:r w:rsidRPr="00DE5212">
        <w:rPr>
          <w:rStyle w:val="Strong"/>
          <w:rFonts w:ascii="Times New Roman" w:hAnsi="Times New Roman" w:cs="Times New Roman"/>
          <w:b w:val="0"/>
          <w:bCs w:val="0"/>
          <w:sz w:val="24"/>
          <w:szCs w:val="24"/>
          <w:bdr w:val="none" w:color="auto" w:sz="0" w:space="0" w:frame="1"/>
          <w:shd w:val="clear" w:color="auto" w:fill="FFFFFF"/>
        </w:rPr>
        <w:t>The Office of Regional Operation’s Chicago office serves Illinois, Indiana, Michigan, Minnesota, Ohio, and Wisconsin</w:t>
      </w:r>
    </w:p>
    <w:p w:rsidRPr="00DE5212" w:rsidR="004415BB" w:rsidP="004415BB" w:rsidRDefault="004415BB" w14:paraId="679A3367" w14:textId="73B27E6A">
      <w:pPr>
        <w:pStyle w:val="ListLevel1"/>
        <w:numPr>
          <w:ilvl w:val="1"/>
          <w:numId w:val="22"/>
        </w:numPr>
        <w:rPr>
          <w:rStyle w:val="Strong"/>
          <w:rFonts w:ascii="Times New Roman" w:hAnsi="Times New Roman" w:cs="Times New Roman"/>
          <w:b w:val="0"/>
          <w:sz w:val="24"/>
          <w:szCs w:val="24"/>
          <w:bdr w:val="none" w:color="auto" w:sz="0" w:space="0" w:frame="1"/>
          <w:shd w:val="clear" w:color="auto" w:fill="FFFFFF"/>
        </w:rPr>
      </w:pPr>
      <w:r w:rsidRPr="00DE5212">
        <w:rPr>
          <w:rStyle w:val="Strong"/>
          <w:rFonts w:ascii="Times New Roman" w:hAnsi="Times New Roman" w:cs="Times New Roman"/>
          <w:sz w:val="24"/>
          <w:szCs w:val="24"/>
          <w:bdr w:val="none" w:color="auto" w:sz="0" w:space="0" w:frame="1"/>
          <w:shd w:val="clear" w:color="auto" w:fill="FFFFFF"/>
        </w:rPr>
        <w:t>Region 4 (Atlanta) &amp; Region 7 (Kansas City)</w:t>
      </w:r>
    </w:p>
    <w:p w:rsidRPr="00DE5212" w:rsidR="004415BB" w:rsidP="004415BB" w:rsidRDefault="004415BB" w14:paraId="21B2F294" w14:textId="77777777">
      <w:pPr>
        <w:pStyle w:val="ListLevel1"/>
        <w:numPr>
          <w:ilvl w:val="2"/>
          <w:numId w:val="22"/>
        </w:numPr>
        <w:rPr>
          <w:rStyle w:val="Strong"/>
          <w:rFonts w:ascii="Times New Roman" w:hAnsi="Times New Roman" w:cs="Times New Roman"/>
          <w:b w:val="0"/>
          <w:bCs w:val="0"/>
          <w:sz w:val="24"/>
          <w:szCs w:val="24"/>
          <w:bdr w:val="none" w:color="auto" w:sz="0" w:space="0" w:frame="1"/>
          <w:shd w:val="clear" w:color="auto" w:fill="FFFFFF"/>
        </w:rPr>
      </w:pPr>
      <w:r w:rsidRPr="00DE5212">
        <w:rPr>
          <w:rStyle w:val="Strong"/>
          <w:rFonts w:ascii="Times New Roman" w:hAnsi="Times New Roman" w:cs="Times New Roman"/>
          <w:b w:val="0"/>
          <w:bCs w:val="0"/>
          <w:sz w:val="24"/>
          <w:szCs w:val="24"/>
          <w:bdr w:val="none" w:color="auto" w:sz="0" w:space="0" w:frame="1"/>
          <w:shd w:val="clear" w:color="auto" w:fill="FFFFFF"/>
        </w:rPr>
        <w:t>The Office of Regional Operation’s Atlanta office serves Alabama, Florida, Georgia, Kentucky, Mississippi, North Carolina, South Carolina, and Tennessee</w:t>
      </w:r>
    </w:p>
    <w:p w:rsidRPr="00DE5212" w:rsidR="004415BB" w:rsidP="004415BB" w:rsidRDefault="004415BB" w14:paraId="6910CA6A" w14:textId="77777777">
      <w:pPr>
        <w:pStyle w:val="ListLevel1"/>
        <w:numPr>
          <w:ilvl w:val="2"/>
          <w:numId w:val="22"/>
        </w:numPr>
        <w:rPr>
          <w:rStyle w:val="Strong"/>
          <w:rFonts w:ascii="Times New Roman" w:hAnsi="Times New Roman" w:cs="Times New Roman"/>
          <w:b w:val="0"/>
          <w:bCs w:val="0"/>
          <w:sz w:val="24"/>
          <w:szCs w:val="24"/>
          <w:bdr w:val="none" w:color="auto" w:sz="0" w:space="0" w:frame="1"/>
          <w:shd w:val="clear" w:color="auto" w:fill="FFFFFF"/>
        </w:rPr>
      </w:pPr>
      <w:r w:rsidRPr="00DE5212">
        <w:rPr>
          <w:rFonts w:ascii="Times New Roman" w:hAnsi="Times New Roman" w:cs="Times New Roman"/>
          <w:sz w:val="24"/>
          <w:szCs w:val="24"/>
          <w:bdr w:val="none" w:color="auto" w:sz="0" w:space="0" w:frame="1"/>
          <w:shd w:val="clear" w:color="auto" w:fill="FFFFFF"/>
        </w:rPr>
        <w:t>The Office of Regional Operation’s Kanas City office serves Iowa, Kansas, Missouri, and Nebraska.</w:t>
      </w:r>
    </w:p>
    <w:p w:rsidRPr="00DE5212" w:rsidR="004415BB" w:rsidP="004415BB" w:rsidRDefault="004415BB" w14:paraId="44323C9E" w14:textId="06E14F76">
      <w:pPr>
        <w:pStyle w:val="ListLevel1"/>
        <w:numPr>
          <w:ilvl w:val="1"/>
          <w:numId w:val="22"/>
        </w:numPr>
        <w:rPr>
          <w:rStyle w:val="Strong"/>
          <w:rFonts w:ascii="Times New Roman" w:hAnsi="Times New Roman" w:cs="Times New Roman"/>
          <w:b w:val="0"/>
          <w:sz w:val="24"/>
          <w:szCs w:val="24"/>
          <w:bdr w:val="none" w:color="auto" w:sz="0" w:space="0" w:frame="1"/>
          <w:shd w:val="clear" w:color="auto" w:fill="FFFFFF"/>
        </w:rPr>
      </w:pPr>
      <w:r w:rsidRPr="00DE5212">
        <w:rPr>
          <w:rStyle w:val="Strong"/>
          <w:rFonts w:ascii="Times New Roman" w:hAnsi="Times New Roman" w:cs="Times New Roman"/>
          <w:sz w:val="24"/>
          <w:szCs w:val="24"/>
          <w:bdr w:val="none" w:color="auto" w:sz="0" w:space="0" w:frame="1"/>
          <w:shd w:val="clear" w:color="auto" w:fill="FFFFFF"/>
        </w:rPr>
        <w:t xml:space="preserve">Region 6 (Dallas) &amp; Region </w:t>
      </w:r>
      <w:r w:rsidR="002B2840">
        <w:rPr>
          <w:rStyle w:val="Strong"/>
          <w:rFonts w:ascii="Times New Roman" w:hAnsi="Times New Roman" w:cs="Times New Roman"/>
          <w:sz w:val="24"/>
          <w:szCs w:val="24"/>
          <w:bdr w:val="none" w:color="auto" w:sz="0" w:space="0" w:frame="1"/>
          <w:shd w:val="clear" w:color="auto" w:fill="FFFFFF"/>
        </w:rPr>
        <w:t>9</w:t>
      </w:r>
      <w:r w:rsidRPr="00DE5212" w:rsidR="002B2840">
        <w:rPr>
          <w:rStyle w:val="Strong"/>
          <w:rFonts w:ascii="Times New Roman" w:hAnsi="Times New Roman" w:cs="Times New Roman"/>
          <w:sz w:val="24"/>
          <w:szCs w:val="24"/>
          <w:bdr w:val="none" w:color="auto" w:sz="0" w:space="0" w:frame="1"/>
          <w:shd w:val="clear" w:color="auto" w:fill="FFFFFF"/>
        </w:rPr>
        <w:t xml:space="preserve"> </w:t>
      </w:r>
      <w:r w:rsidRPr="00DE5212">
        <w:rPr>
          <w:rStyle w:val="Strong"/>
          <w:rFonts w:ascii="Times New Roman" w:hAnsi="Times New Roman" w:cs="Times New Roman"/>
          <w:sz w:val="24"/>
          <w:szCs w:val="24"/>
          <w:bdr w:val="none" w:color="auto" w:sz="0" w:space="0" w:frame="1"/>
          <w:shd w:val="clear" w:color="auto" w:fill="FFFFFF"/>
        </w:rPr>
        <w:t>(</w:t>
      </w:r>
      <w:r w:rsidR="002B2840">
        <w:rPr>
          <w:rStyle w:val="Strong"/>
          <w:rFonts w:ascii="Times New Roman" w:hAnsi="Times New Roman" w:cs="Times New Roman"/>
          <w:sz w:val="24"/>
          <w:szCs w:val="24"/>
          <w:bdr w:val="none" w:color="auto" w:sz="0" w:space="0" w:frame="1"/>
          <w:shd w:val="clear" w:color="auto" w:fill="FFFFFF"/>
        </w:rPr>
        <w:t>San Francisco</w:t>
      </w:r>
      <w:r w:rsidRPr="00DE5212">
        <w:rPr>
          <w:rStyle w:val="Strong"/>
          <w:rFonts w:ascii="Times New Roman" w:hAnsi="Times New Roman" w:cs="Times New Roman"/>
          <w:sz w:val="24"/>
          <w:szCs w:val="24"/>
          <w:bdr w:val="none" w:color="auto" w:sz="0" w:space="0" w:frame="1"/>
          <w:shd w:val="clear" w:color="auto" w:fill="FFFFFF"/>
        </w:rPr>
        <w:t xml:space="preserve">) </w:t>
      </w:r>
    </w:p>
    <w:p w:rsidRPr="00DE5212" w:rsidR="004415BB" w:rsidP="004415BB" w:rsidRDefault="004415BB" w14:paraId="564C59C1" w14:textId="77777777">
      <w:pPr>
        <w:pStyle w:val="ListLevel1"/>
        <w:numPr>
          <w:ilvl w:val="2"/>
          <w:numId w:val="22"/>
        </w:numPr>
        <w:rPr>
          <w:rFonts w:ascii="Times New Roman" w:hAnsi="Times New Roman" w:cs="Times New Roman"/>
          <w:bCs/>
          <w:sz w:val="24"/>
          <w:szCs w:val="24"/>
          <w:bdr w:val="none" w:color="auto" w:sz="0" w:space="0" w:frame="1"/>
          <w:shd w:val="clear" w:color="auto" w:fill="FFFFFF"/>
        </w:rPr>
      </w:pPr>
      <w:r w:rsidRPr="00DE5212">
        <w:rPr>
          <w:rFonts w:ascii="Times New Roman" w:hAnsi="Times New Roman" w:cs="Times New Roman"/>
          <w:bCs/>
          <w:sz w:val="24"/>
          <w:szCs w:val="24"/>
          <w:bdr w:val="none" w:color="auto" w:sz="0" w:space="0" w:frame="1"/>
          <w:shd w:val="clear" w:color="auto" w:fill="FFFFFF"/>
        </w:rPr>
        <w:t>The Office of Regional Operation’s Dallas office serves Arkansas, Louisiana, New Mexico, Oklahoma, and Texas.</w:t>
      </w:r>
    </w:p>
    <w:p w:rsidRPr="00DE5212" w:rsidR="002B2840" w:rsidP="002B2840" w:rsidRDefault="002B2840" w14:paraId="00521288" w14:textId="77777777">
      <w:pPr>
        <w:pStyle w:val="ListLevel1"/>
        <w:numPr>
          <w:ilvl w:val="2"/>
          <w:numId w:val="22"/>
        </w:numPr>
        <w:rPr>
          <w:rStyle w:val="Strong"/>
          <w:rFonts w:ascii="Times New Roman" w:hAnsi="Times New Roman" w:cs="Times New Roman"/>
          <w:b w:val="0"/>
          <w:bCs w:val="0"/>
          <w:sz w:val="24"/>
          <w:szCs w:val="24"/>
          <w:bdr w:val="none" w:color="auto" w:sz="0" w:space="0" w:frame="1"/>
          <w:shd w:val="clear" w:color="auto" w:fill="FFFFFF"/>
        </w:rPr>
      </w:pPr>
      <w:r w:rsidRPr="00DE5212">
        <w:rPr>
          <w:rStyle w:val="Strong"/>
          <w:rFonts w:ascii="Times New Roman" w:hAnsi="Times New Roman" w:cs="Times New Roman"/>
          <w:b w:val="0"/>
          <w:bCs w:val="0"/>
          <w:sz w:val="24"/>
          <w:szCs w:val="24"/>
          <w:bdr w:val="none" w:color="auto" w:sz="0" w:space="0" w:frame="1"/>
          <w:shd w:val="clear" w:color="auto" w:fill="FFFFFF"/>
        </w:rPr>
        <w:t>The Office of Regional Operations' San Francisco office serves Arizona, California, Hawaii, Nevada, American Samoa, Federated States of Micronesia, Guam, Marshall Islands, Republic of Palau, and Commonwealth of the Northern Mariana Islands.</w:t>
      </w:r>
    </w:p>
    <w:p w:rsidRPr="00DE5212" w:rsidR="004415BB" w:rsidP="004415BB" w:rsidRDefault="004415BB" w14:paraId="36A6ED42" w14:textId="26A7859E">
      <w:pPr>
        <w:pStyle w:val="ListLevel1"/>
        <w:numPr>
          <w:ilvl w:val="1"/>
          <w:numId w:val="22"/>
        </w:numPr>
        <w:rPr>
          <w:rStyle w:val="Strong"/>
          <w:rFonts w:ascii="Times New Roman" w:hAnsi="Times New Roman" w:cs="Times New Roman"/>
          <w:b w:val="0"/>
          <w:sz w:val="24"/>
          <w:szCs w:val="24"/>
          <w:bdr w:val="none" w:color="auto" w:sz="0" w:space="0" w:frame="1"/>
          <w:shd w:val="clear" w:color="auto" w:fill="FFFFFF"/>
        </w:rPr>
      </w:pPr>
      <w:r w:rsidRPr="00DE5212">
        <w:rPr>
          <w:rStyle w:val="Strong"/>
          <w:rFonts w:ascii="Times New Roman" w:hAnsi="Times New Roman" w:cs="Times New Roman"/>
          <w:sz w:val="24"/>
          <w:szCs w:val="24"/>
          <w:bdr w:val="none" w:color="auto" w:sz="0" w:space="0" w:frame="1"/>
          <w:shd w:val="clear" w:color="auto" w:fill="FFFFFF"/>
        </w:rPr>
        <w:t xml:space="preserve">Region </w:t>
      </w:r>
      <w:r w:rsidR="002B2840">
        <w:rPr>
          <w:rStyle w:val="Strong"/>
          <w:rFonts w:ascii="Times New Roman" w:hAnsi="Times New Roman" w:cs="Times New Roman"/>
          <w:sz w:val="24"/>
          <w:szCs w:val="24"/>
          <w:bdr w:val="none" w:color="auto" w:sz="0" w:space="0" w:frame="1"/>
          <w:shd w:val="clear" w:color="auto" w:fill="FFFFFF"/>
        </w:rPr>
        <w:t>8</w:t>
      </w:r>
      <w:r w:rsidRPr="00DE5212" w:rsidR="002B2840">
        <w:rPr>
          <w:rStyle w:val="Strong"/>
          <w:rFonts w:ascii="Times New Roman" w:hAnsi="Times New Roman" w:cs="Times New Roman"/>
          <w:sz w:val="24"/>
          <w:szCs w:val="24"/>
          <w:bdr w:val="none" w:color="auto" w:sz="0" w:space="0" w:frame="1"/>
          <w:shd w:val="clear" w:color="auto" w:fill="FFFFFF"/>
        </w:rPr>
        <w:t xml:space="preserve"> </w:t>
      </w:r>
      <w:r w:rsidRPr="00DE5212">
        <w:rPr>
          <w:rStyle w:val="Strong"/>
          <w:rFonts w:ascii="Times New Roman" w:hAnsi="Times New Roman" w:cs="Times New Roman"/>
          <w:sz w:val="24"/>
          <w:szCs w:val="24"/>
          <w:bdr w:val="none" w:color="auto" w:sz="0" w:space="0" w:frame="1"/>
          <w:shd w:val="clear" w:color="auto" w:fill="FFFFFF"/>
        </w:rPr>
        <w:t>(</w:t>
      </w:r>
      <w:r w:rsidR="002B2840">
        <w:rPr>
          <w:rStyle w:val="Strong"/>
          <w:rFonts w:ascii="Times New Roman" w:hAnsi="Times New Roman" w:cs="Times New Roman"/>
          <w:sz w:val="24"/>
          <w:szCs w:val="24"/>
          <w:bdr w:val="none" w:color="auto" w:sz="0" w:space="0" w:frame="1"/>
          <w:shd w:val="clear" w:color="auto" w:fill="FFFFFF"/>
        </w:rPr>
        <w:t>Denver</w:t>
      </w:r>
      <w:r w:rsidRPr="00DE5212">
        <w:rPr>
          <w:rStyle w:val="Strong"/>
          <w:rFonts w:ascii="Times New Roman" w:hAnsi="Times New Roman" w:cs="Times New Roman"/>
          <w:sz w:val="24"/>
          <w:szCs w:val="24"/>
          <w:bdr w:val="none" w:color="auto" w:sz="0" w:space="0" w:frame="1"/>
          <w:shd w:val="clear" w:color="auto" w:fill="FFFFFF"/>
        </w:rPr>
        <w:t>) &amp; Region 10 (Seattle)</w:t>
      </w:r>
    </w:p>
    <w:p w:rsidRPr="00DE5212" w:rsidR="002B2840" w:rsidP="002B2840" w:rsidRDefault="002B2840" w14:paraId="01D899AB" w14:textId="77777777">
      <w:pPr>
        <w:pStyle w:val="ListLevel1"/>
        <w:numPr>
          <w:ilvl w:val="2"/>
          <w:numId w:val="22"/>
        </w:numPr>
        <w:rPr>
          <w:rStyle w:val="Strong"/>
          <w:rFonts w:ascii="Times New Roman" w:hAnsi="Times New Roman" w:cs="Times New Roman"/>
          <w:b w:val="0"/>
          <w:sz w:val="24"/>
          <w:szCs w:val="24"/>
          <w:bdr w:val="none" w:color="auto" w:sz="0" w:space="0" w:frame="1"/>
          <w:shd w:val="clear" w:color="auto" w:fill="FFFFFF"/>
        </w:rPr>
      </w:pPr>
      <w:r w:rsidRPr="00DE5212">
        <w:rPr>
          <w:rFonts w:ascii="Times New Roman" w:hAnsi="Times New Roman" w:cs="Times New Roman"/>
          <w:bCs/>
          <w:sz w:val="24"/>
          <w:szCs w:val="24"/>
          <w:bdr w:val="none" w:color="auto" w:sz="0" w:space="0" w:frame="1"/>
          <w:shd w:val="clear" w:color="auto" w:fill="FFFFFF"/>
        </w:rPr>
        <w:t>The Office of Regional Operation’s Denver office serves Colorado, Montana, North Dakota, South Dakota, Utah, and Wyoming.</w:t>
      </w:r>
    </w:p>
    <w:p w:rsidRPr="00DE5212" w:rsidR="004415BB" w:rsidP="00DE5212" w:rsidRDefault="004415BB" w14:paraId="48EAFF9A" w14:textId="77777777">
      <w:pPr>
        <w:pStyle w:val="ListLevel1"/>
        <w:numPr>
          <w:ilvl w:val="2"/>
          <w:numId w:val="22"/>
        </w:numPr>
        <w:spacing w:after="0"/>
        <w:rPr>
          <w:rStyle w:val="Strong"/>
          <w:rFonts w:ascii="Times New Roman" w:hAnsi="Times New Roman" w:cs="Times New Roman"/>
          <w:b w:val="0"/>
          <w:bCs w:val="0"/>
          <w:sz w:val="24"/>
          <w:szCs w:val="24"/>
          <w:bdr w:val="none" w:color="auto" w:sz="0" w:space="0" w:frame="1"/>
          <w:shd w:val="clear" w:color="auto" w:fill="FFFFFF"/>
        </w:rPr>
      </w:pPr>
      <w:r w:rsidRPr="00DE5212">
        <w:rPr>
          <w:rStyle w:val="Strong"/>
          <w:rFonts w:ascii="Times New Roman" w:hAnsi="Times New Roman" w:cs="Times New Roman"/>
          <w:b w:val="0"/>
          <w:bCs w:val="0"/>
          <w:sz w:val="24"/>
          <w:szCs w:val="24"/>
          <w:bdr w:val="none" w:color="auto" w:sz="0" w:space="0" w:frame="1"/>
          <w:shd w:val="clear" w:color="auto" w:fill="FFFFFF"/>
        </w:rPr>
        <w:t>The Office of Regional Operation’s Seattle office serves Alaska, Idaho, Oregon, and Washington.</w:t>
      </w:r>
    </w:p>
    <w:p w:rsidRPr="004415BB" w:rsidR="004415BB" w:rsidP="00606FD7" w:rsidRDefault="004415BB" w14:paraId="153A23A6" w14:textId="77777777"/>
    <w:p w:rsidRPr="000210D2" w:rsidR="006E7ADF" w:rsidP="00DE5212" w:rsidRDefault="00853B6B" w14:paraId="76E52951" w14:textId="2A9394CA">
      <w:pPr>
        <w:pStyle w:val="Heading4"/>
        <w:numPr>
          <w:ilvl w:val="3"/>
          <w:numId w:val="0"/>
        </w:numPr>
        <w:tabs>
          <w:tab w:val="num" w:pos="180"/>
        </w:tabs>
        <w:spacing w:before="0" w:after="0"/>
        <w:rPr>
          <w:rFonts w:ascii="Times New Roman" w:hAnsi="Times New Roman"/>
          <w:b w:val="0"/>
          <w:bCs w:val="0"/>
          <w:iCs/>
          <w:sz w:val="24"/>
          <w:szCs w:val="24"/>
        </w:rPr>
      </w:pPr>
      <w:r>
        <w:rPr>
          <w:rFonts w:ascii="Times New Roman" w:hAnsi="Times New Roman"/>
          <w:b w:val="0"/>
          <w:bCs w:val="0"/>
          <w:iCs/>
          <w:sz w:val="24"/>
          <w:szCs w:val="24"/>
        </w:rPr>
        <w:lastRenderedPageBreak/>
        <w:t xml:space="preserve">The feedback </w:t>
      </w:r>
      <w:r w:rsidR="00CA016C">
        <w:rPr>
          <w:rFonts w:ascii="Times New Roman" w:hAnsi="Times New Roman"/>
          <w:b w:val="0"/>
          <w:bCs w:val="0"/>
          <w:iCs/>
          <w:sz w:val="24"/>
          <w:szCs w:val="24"/>
        </w:rPr>
        <w:t xml:space="preserve">collected </w:t>
      </w:r>
      <w:r>
        <w:rPr>
          <w:rFonts w:ascii="Times New Roman" w:hAnsi="Times New Roman"/>
          <w:b w:val="0"/>
          <w:bCs w:val="0"/>
          <w:iCs/>
          <w:sz w:val="24"/>
          <w:szCs w:val="24"/>
        </w:rPr>
        <w:t xml:space="preserve">will </w:t>
      </w:r>
      <w:r w:rsidRPr="000210D2" w:rsidR="006E7ADF">
        <w:rPr>
          <w:rFonts w:ascii="Times New Roman" w:hAnsi="Times New Roman"/>
          <w:b w:val="0"/>
          <w:bCs w:val="0"/>
          <w:iCs/>
          <w:sz w:val="24"/>
          <w:szCs w:val="24"/>
        </w:rPr>
        <w:t xml:space="preserve">help ACF understand </w:t>
      </w:r>
      <w:r w:rsidR="003456DF">
        <w:rPr>
          <w:rFonts w:ascii="Times New Roman" w:hAnsi="Times New Roman"/>
          <w:b w:val="0"/>
          <w:bCs w:val="0"/>
          <w:iCs/>
          <w:sz w:val="24"/>
          <w:szCs w:val="24"/>
        </w:rPr>
        <w:t>some of the</w:t>
      </w:r>
      <w:r w:rsidRPr="000210D2" w:rsidR="008F1D5E">
        <w:rPr>
          <w:rFonts w:ascii="Times New Roman" w:hAnsi="Times New Roman"/>
          <w:b w:val="0"/>
          <w:bCs w:val="0"/>
          <w:iCs/>
          <w:sz w:val="24"/>
          <w:szCs w:val="24"/>
        </w:rPr>
        <w:t xml:space="preserve"> </w:t>
      </w:r>
      <w:r w:rsidRPr="000210D2" w:rsidR="006E7ADF">
        <w:rPr>
          <w:rFonts w:ascii="Times New Roman" w:hAnsi="Times New Roman"/>
          <w:b w:val="0"/>
          <w:bCs w:val="0"/>
          <w:iCs/>
          <w:sz w:val="24"/>
          <w:szCs w:val="24"/>
        </w:rPr>
        <w:t xml:space="preserve">challenges that Tribal and Native American grant recipients face </w:t>
      </w:r>
      <w:r w:rsidR="008F1D5E">
        <w:rPr>
          <w:rFonts w:ascii="Times New Roman" w:hAnsi="Times New Roman"/>
          <w:b w:val="0"/>
          <w:bCs w:val="0"/>
          <w:iCs/>
          <w:sz w:val="24"/>
          <w:szCs w:val="24"/>
        </w:rPr>
        <w:t xml:space="preserve">in implementing their ARP projects or utilizing their ARP funds. </w:t>
      </w:r>
      <w:r w:rsidRPr="000210D2" w:rsidR="0096783D">
        <w:rPr>
          <w:rFonts w:ascii="Times New Roman" w:hAnsi="Times New Roman"/>
          <w:b w:val="0"/>
          <w:bCs w:val="0"/>
          <w:iCs/>
          <w:sz w:val="24"/>
          <w:szCs w:val="24"/>
        </w:rPr>
        <w:t xml:space="preserve"> </w:t>
      </w:r>
      <w:r w:rsidRPr="000210D2" w:rsidR="006E7ADF">
        <w:rPr>
          <w:rFonts w:ascii="Times New Roman" w:hAnsi="Times New Roman"/>
          <w:b w:val="0"/>
          <w:bCs w:val="0"/>
          <w:iCs/>
          <w:sz w:val="24"/>
          <w:szCs w:val="24"/>
        </w:rPr>
        <w:t xml:space="preserve"> ACF will use the</w:t>
      </w:r>
      <w:r w:rsidRPr="000210D2" w:rsidR="006E7ADF">
        <w:rPr>
          <w:rFonts w:ascii="Times New Roman" w:hAnsi="Times New Roman"/>
          <w:i/>
          <w:sz w:val="24"/>
          <w:szCs w:val="24"/>
        </w:rPr>
        <w:t xml:space="preserve"> </w:t>
      </w:r>
      <w:r w:rsidRPr="000210D2" w:rsidR="006E7ADF">
        <w:rPr>
          <w:rFonts w:ascii="Times New Roman" w:hAnsi="Times New Roman"/>
          <w:b w:val="0"/>
          <w:bCs w:val="0"/>
          <w:iCs/>
          <w:sz w:val="24"/>
          <w:szCs w:val="24"/>
        </w:rPr>
        <w:t>information shared to inform future technical assistance</w:t>
      </w:r>
      <w:r>
        <w:rPr>
          <w:rFonts w:ascii="Times New Roman" w:hAnsi="Times New Roman"/>
          <w:b w:val="0"/>
          <w:bCs w:val="0"/>
          <w:iCs/>
          <w:sz w:val="24"/>
          <w:szCs w:val="24"/>
        </w:rPr>
        <w:t>, program support,</w:t>
      </w:r>
      <w:r w:rsidRPr="000210D2" w:rsidR="006E7ADF">
        <w:rPr>
          <w:rFonts w:ascii="Times New Roman" w:hAnsi="Times New Roman"/>
          <w:b w:val="0"/>
          <w:bCs w:val="0"/>
          <w:iCs/>
          <w:sz w:val="24"/>
          <w:szCs w:val="24"/>
        </w:rPr>
        <w:t xml:space="preserve"> and</w:t>
      </w:r>
      <w:r w:rsidR="008A7FF7">
        <w:rPr>
          <w:rFonts w:ascii="Times New Roman" w:hAnsi="Times New Roman"/>
          <w:b w:val="0"/>
          <w:bCs w:val="0"/>
          <w:iCs/>
          <w:sz w:val="24"/>
          <w:szCs w:val="24"/>
        </w:rPr>
        <w:t xml:space="preserve"> resource</w:t>
      </w:r>
      <w:r w:rsidR="00FE0BB8">
        <w:rPr>
          <w:rFonts w:ascii="Times New Roman" w:hAnsi="Times New Roman"/>
          <w:b w:val="0"/>
          <w:bCs w:val="0"/>
          <w:iCs/>
          <w:sz w:val="24"/>
          <w:szCs w:val="24"/>
        </w:rPr>
        <w:t xml:space="preserve"> follow-up</w:t>
      </w:r>
      <w:r w:rsidR="008A7FF7">
        <w:rPr>
          <w:rFonts w:ascii="Times New Roman" w:hAnsi="Times New Roman"/>
          <w:b w:val="0"/>
          <w:bCs w:val="0"/>
          <w:iCs/>
          <w:sz w:val="24"/>
          <w:szCs w:val="24"/>
        </w:rPr>
        <w:t xml:space="preserve"> for </w:t>
      </w:r>
      <w:r>
        <w:rPr>
          <w:rFonts w:ascii="Times New Roman" w:hAnsi="Times New Roman"/>
          <w:b w:val="0"/>
          <w:bCs w:val="0"/>
          <w:iCs/>
          <w:sz w:val="24"/>
          <w:szCs w:val="24"/>
        </w:rPr>
        <w:t>grantee</w:t>
      </w:r>
      <w:r w:rsidR="00CA016C">
        <w:rPr>
          <w:rFonts w:ascii="Times New Roman" w:hAnsi="Times New Roman"/>
          <w:b w:val="0"/>
          <w:bCs w:val="0"/>
          <w:iCs/>
          <w:sz w:val="24"/>
          <w:szCs w:val="24"/>
        </w:rPr>
        <w:t>s.</w:t>
      </w:r>
    </w:p>
    <w:p w:rsidRPr="000210D2" w:rsidR="006E7ADF" w:rsidP="00DE5212" w:rsidRDefault="006E7ADF" w14:paraId="0EE362B8" w14:textId="77777777"/>
    <w:p w:rsidRPr="000210D2" w:rsidR="006E7ADF" w:rsidP="00DE5212" w:rsidRDefault="006E7ADF" w14:paraId="3975A0D2" w14:textId="7ABFE2C5">
      <w:pPr>
        <w:pStyle w:val="Heading4"/>
        <w:numPr>
          <w:ilvl w:val="3"/>
          <w:numId w:val="0"/>
        </w:numPr>
        <w:tabs>
          <w:tab w:val="num" w:pos="180"/>
        </w:tabs>
        <w:spacing w:before="0" w:after="0"/>
        <w:rPr>
          <w:rFonts w:ascii="Times New Roman" w:hAnsi="Times New Roman"/>
          <w:b w:val="0"/>
          <w:bCs w:val="0"/>
          <w:iCs/>
          <w:sz w:val="24"/>
          <w:szCs w:val="24"/>
        </w:rPr>
      </w:pPr>
      <w:r w:rsidRPr="000210D2">
        <w:rPr>
          <w:rFonts w:ascii="Times New Roman" w:hAnsi="Times New Roman"/>
          <w:b w:val="0"/>
          <w:bCs w:val="0"/>
          <w:iCs/>
          <w:sz w:val="24"/>
          <w:szCs w:val="24"/>
        </w:rPr>
        <w:t>These breakout sessions will</w:t>
      </w:r>
      <w:r w:rsidRPr="000210D2" w:rsidR="0096783D">
        <w:rPr>
          <w:rFonts w:ascii="Times New Roman" w:hAnsi="Times New Roman"/>
          <w:b w:val="0"/>
          <w:bCs w:val="0"/>
          <w:iCs/>
          <w:sz w:val="24"/>
          <w:szCs w:val="24"/>
        </w:rPr>
        <w:t xml:space="preserve"> also</w:t>
      </w:r>
      <w:r w:rsidRPr="000210D2">
        <w:rPr>
          <w:rFonts w:ascii="Times New Roman" w:hAnsi="Times New Roman"/>
          <w:b w:val="0"/>
          <w:bCs w:val="0"/>
          <w:iCs/>
          <w:sz w:val="24"/>
          <w:szCs w:val="24"/>
        </w:rPr>
        <w:t xml:space="preserve"> provide an opportunity for ACF ARP grant recipients operating in the same respective ACF region to connect and exchange success stories and ideas on how they are currently using ACF </w:t>
      </w:r>
      <w:r w:rsidR="00FE0BB8">
        <w:rPr>
          <w:rFonts w:ascii="Times New Roman" w:hAnsi="Times New Roman"/>
          <w:b w:val="0"/>
          <w:bCs w:val="0"/>
          <w:iCs/>
          <w:sz w:val="24"/>
          <w:szCs w:val="24"/>
        </w:rPr>
        <w:t>ARP funds</w:t>
      </w:r>
      <w:r w:rsidRPr="000210D2">
        <w:rPr>
          <w:rFonts w:ascii="Times New Roman" w:hAnsi="Times New Roman"/>
          <w:b w:val="0"/>
          <w:bCs w:val="0"/>
          <w:iCs/>
          <w:sz w:val="24"/>
          <w:szCs w:val="24"/>
        </w:rPr>
        <w:t xml:space="preserve"> to support recovery from the pandemic and their communities. </w:t>
      </w:r>
      <w:r w:rsidR="00FE0BB8">
        <w:rPr>
          <w:rFonts w:ascii="Times New Roman" w:hAnsi="Times New Roman"/>
          <w:b w:val="0"/>
          <w:bCs w:val="0"/>
          <w:iCs/>
          <w:sz w:val="24"/>
          <w:szCs w:val="24"/>
        </w:rPr>
        <w:t xml:space="preserve">The strategy for this information exchange is </w:t>
      </w:r>
      <w:r w:rsidRPr="00FE0BB8" w:rsidR="00FE0BB8">
        <w:rPr>
          <w:rFonts w:ascii="Times New Roman" w:hAnsi="Times New Roman"/>
          <w:b w:val="0"/>
          <w:bCs w:val="0"/>
          <w:iCs/>
          <w:sz w:val="24"/>
          <w:szCs w:val="24"/>
        </w:rPr>
        <w:t>to increase the energy</w:t>
      </w:r>
      <w:r w:rsidR="00FE0BB8">
        <w:rPr>
          <w:rFonts w:ascii="Times New Roman" w:hAnsi="Times New Roman"/>
          <w:b w:val="0"/>
          <w:bCs w:val="0"/>
          <w:iCs/>
          <w:sz w:val="24"/>
          <w:szCs w:val="24"/>
        </w:rPr>
        <w:t xml:space="preserve"> </w:t>
      </w:r>
      <w:r w:rsidRPr="00FE0BB8" w:rsidR="008F1D5E">
        <w:rPr>
          <w:rFonts w:ascii="Times New Roman" w:hAnsi="Times New Roman"/>
          <w:b w:val="0"/>
          <w:bCs w:val="0"/>
          <w:iCs/>
          <w:sz w:val="24"/>
          <w:szCs w:val="24"/>
        </w:rPr>
        <w:t>around</w:t>
      </w:r>
      <w:r w:rsidR="008F1D5E">
        <w:rPr>
          <w:rFonts w:ascii="Times New Roman" w:hAnsi="Times New Roman"/>
          <w:b w:val="0"/>
          <w:bCs w:val="0"/>
          <w:iCs/>
          <w:sz w:val="24"/>
          <w:szCs w:val="24"/>
        </w:rPr>
        <w:t xml:space="preserve"> </w:t>
      </w:r>
      <w:r w:rsidR="00FE0BB8">
        <w:rPr>
          <w:rFonts w:ascii="Times New Roman" w:hAnsi="Times New Roman"/>
          <w:b w:val="0"/>
          <w:bCs w:val="0"/>
          <w:iCs/>
          <w:sz w:val="24"/>
          <w:szCs w:val="24"/>
        </w:rPr>
        <w:t>and utilization</w:t>
      </w:r>
      <w:r w:rsidRPr="00FE0BB8" w:rsidR="00FE0BB8">
        <w:rPr>
          <w:rFonts w:ascii="Times New Roman" w:hAnsi="Times New Roman"/>
          <w:b w:val="0"/>
          <w:bCs w:val="0"/>
          <w:iCs/>
          <w:sz w:val="24"/>
          <w:szCs w:val="24"/>
        </w:rPr>
        <w:t xml:space="preserve"> </w:t>
      </w:r>
      <w:r w:rsidR="008F1D5E">
        <w:rPr>
          <w:rFonts w:ascii="Times New Roman" w:hAnsi="Times New Roman"/>
          <w:b w:val="0"/>
          <w:bCs w:val="0"/>
          <w:iCs/>
          <w:sz w:val="24"/>
          <w:szCs w:val="24"/>
        </w:rPr>
        <w:t xml:space="preserve">of </w:t>
      </w:r>
      <w:r w:rsidRPr="00FE0BB8" w:rsidR="00FE0BB8">
        <w:rPr>
          <w:rFonts w:ascii="Times New Roman" w:hAnsi="Times New Roman"/>
          <w:b w:val="0"/>
          <w:bCs w:val="0"/>
          <w:iCs/>
          <w:sz w:val="24"/>
          <w:szCs w:val="24"/>
        </w:rPr>
        <w:t>ARP investments by hearing directly from the grant recipients about the positive impacts the funds have afforded them</w:t>
      </w:r>
      <w:r w:rsidR="008F1D5E">
        <w:rPr>
          <w:rFonts w:ascii="Times New Roman" w:hAnsi="Times New Roman"/>
          <w:b w:val="0"/>
          <w:bCs w:val="0"/>
          <w:iCs/>
          <w:sz w:val="24"/>
          <w:szCs w:val="24"/>
        </w:rPr>
        <w:t xml:space="preserve"> (or will)</w:t>
      </w:r>
      <w:r w:rsidR="00FE0BB8">
        <w:rPr>
          <w:rFonts w:ascii="Times New Roman" w:hAnsi="Times New Roman"/>
          <w:b w:val="0"/>
          <w:bCs w:val="0"/>
          <w:iCs/>
          <w:sz w:val="24"/>
          <w:szCs w:val="24"/>
        </w:rPr>
        <w:t>.</w:t>
      </w:r>
      <w:r w:rsidR="003456DF">
        <w:rPr>
          <w:rFonts w:ascii="Times New Roman" w:hAnsi="Times New Roman"/>
          <w:b w:val="0"/>
          <w:bCs w:val="0"/>
          <w:iCs/>
          <w:sz w:val="24"/>
          <w:szCs w:val="24"/>
        </w:rPr>
        <w:t xml:space="preserve"> The sessions may lead to grantees following up with each other for continued support in this area, as well. </w:t>
      </w:r>
    </w:p>
    <w:p w:rsidRPr="000210D2" w:rsidR="008F570D" w:rsidP="00DE5212" w:rsidRDefault="008F570D" w14:paraId="320194E8" w14:textId="5C8502C1">
      <w:pPr>
        <w:rPr>
          <w:b/>
          <w:i/>
        </w:rPr>
      </w:pPr>
    </w:p>
    <w:p w:rsidRPr="000210D2" w:rsidR="00D964BC" w:rsidP="00DE5212" w:rsidRDefault="00D964BC" w14:paraId="6F5CF4FF" w14:textId="77777777">
      <w:pPr>
        <w:pStyle w:val="Heading4"/>
        <w:numPr>
          <w:ilvl w:val="3"/>
          <w:numId w:val="0"/>
        </w:numPr>
        <w:tabs>
          <w:tab w:val="num" w:pos="180"/>
        </w:tabs>
        <w:spacing w:before="0" w:after="0" w:line="264" w:lineRule="auto"/>
        <w:rPr>
          <w:rFonts w:ascii="Times New Roman" w:hAnsi="Times New Roman"/>
          <w:b w:val="0"/>
          <w:sz w:val="24"/>
          <w:szCs w:val="24"/>
        </w:rPr>
      </w:pPr>
      <w:r w:rsidRPr="000210D2">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0210D2" w:rsidR="00D964BC" w:rsidP="00D964BC" w:rsidRDefault="00D964BC" w14:paraId="5C2FD3D5" w14:textId="4285624B">
      <w:pPr>
        <w:pStyle w:val="ListParagraph"/>
        <w:numPr>
          <w:ilvl w:val="0"/>
          <w:numId w:val="18"/>
        </w:numPr>
        <w:ind w:left="720"/>
        <w:rPr>
          <w:sz w:val="24"/>
          <w:szCs w:val="24"/>
        </w:rPr>
      </w:pPr>
      <w:r w:rsidRPr="000210D2">
        <w:rPr>
          <w:sz w:val="24"/>
          <w:szCs w:val="24"/>
        </w:rPr>
        <w:t xml:space="preserve">Delivery of targeted assistance related to program implementation or the development or refinement of program and grantee processes, </w:t>
      </w:r>
      <w:r w:rsidRPr="000210D2">
        <w:rPr>
          <w:color w:val="000000"/>
          <w:sz w:val="24"/>
          <w:szCs w:val="24"/>
        </w:rPr>
        <w:t>and the development and refinement of communication systems</w:t>
      </w:r>
      <w:r w:rsidRPr="000210D2">
        <w:rPr>
          <w:sz w:val="24"/>
          <w:szCs w:val="24"/>
        </w:rPr>
        <w:t>.</w:t>
      </w:r>
    </w:p>
    <w:p w:rsidRPr="000210D2" w:rsidR="00D964BC" w:rsidP="00D964BC" w:rsidRDefault="00D964BC" w14:paraId="31DE77E8" w14:textId="564901F1">
      <w:pPr>
        <w:pStyle w:val="ListParagraph"/>
        <w:numPr>
          <w:ilvl w:val="0"/>
          <w:numId w:val="18"/>
        </w:numPr>
        <w:ind w:left="720"/>
        <w:rPr>
          <w:sz w:val="24"/>
          <w:szCs w:val="24"/>
        </w:rPr>
      </w:pPr>
      <w:r w:rsidRPr="000210D2">
        <w:rPr>
          <w:sz w:val="24"/>
          <w:szCs w:val="24"/>
        </w:rPr>
        <w:t>Planning for provision of programmatic training or technical assistance (T/TA).</w:t>
      </w:r>
    </w:p>
    <w:p w:rsidRPr="000210D2" w:rsidR="008F570D" w:rsidP="00DE5212" w:rsidRDefault="008F570D" w14:paraId="75C799A6" w14:textId="77777777">
      <w:pPr>
        <w:rPr>
          <w:b/>
          <w:i/>
          <w:sz w:val="22"/>
          <w:szCs w:val="22"/>
        </w:rPr>
      </w:pPr>
    </w:p>
    <w:p w:rsidRPr="00177982" w:rsidR="00984CA2" w:rsidP="008F570D" w:rsidRDefault="008F570D" w14:paraId="473B9418" w14:textId="38A9E22B">
      <w:pPr>
        <w:spacing w:after="60"/>
        <w:rPr>
          <w:b/>
          <w:i/>
        </w:rPr>
      </w:pPr>
      <w:r>
        <w:rPr>
          <w:b/>
          <w:i/>
        </w:rPr>
        <w:t>Process</w:t>
      </w:r>
      <w:r w:rsidR="003277CF">
        <w:rPr>
          <w:b/>
          <w:i/>
        </w:rPr>
        <w:t>es</w:t>
      </w:r>
      <w:r>
        <w:rPr>
          <w:b/>
          <w:i/>
        </w:rPr>
        <w:t xml:space="preserve"> for Information Collection </w:t>
      </w:r>
    </w:p>
    <w:p w:rsidRPr="000210D2" w:rsidR="00D90EF6" w:rsidP="008F570D" w:rsidRDefault="0096783D" w14:paraId="352753BD" w14:textId="11BED4C7">
      <w:r w:rsidRPr="000210D2">
        <w:t xml:space="preserve">During the </w:t>
      </w:r>
      <w:r w:rsidRPr="000210D2">
        <w:rPr>
          <w:iCs/>
        </w:rPr>
        <w:t xml:space="preserve">ACF ARP Tribal Learning Collaborative Webinar, grant recipient attendees will be broken out into five breakout sessions based on their respective geographic location. Each breakout session will include a designated that ACF federal staff member facilitator to discuss questions related to ARP funding. The universe of proposed questions </w:t>
      </w:r>
      <w:r w:rsidRPr="000210D2" w:rsidR="000210D2">
        <w:rPr>
          <w:iCs/>
        </w:rPr>
        <w:t>is</w:t>
      </w:r>
      <w:r w:rsidRPr="000210D2">
        <w:rPr>
          <w:iCs/>
        </w:rPr>
        <w:t xml:space="preserve"> included in Attachment A (ACF ARP Tribal Learning Collaborative Webinar Facilitators Guide). The facilitator will pose each question to initiate responses and sharing between the ARP grant recipient attendees</w:t>
      </w:r>
      <w:r w:rsidRPr="000210D2" w:rsidR="00105A79">
        <w:rPr>
          <w:iCs/>
        </w:rPr>
        <w:t xml:space="preserve"> and ACF staff. </w:t>
      </w:r>
    </w:p>
    <w:p w:rsidRPr="00DE5212" w:rsidR="002338AC" w:rsidP="008F570D" w:rsidRDefault="002338AC" w14:paraId="40C43AD9" w14:textId="1C9A71F7">
      <w:pPr>
        <w:ind w:left="180"/>
        <w:rPr>
          <w:b/>
          <w:i/>
        </w:rPr>
      </w:pPr>
    </w:p>
    <w:p w:rsidRPr="00DE5212" w:rsidR="00DE5212" w:rsidP="008F570D" w:rsidRDefault="00DE5212" w14:paraId="6C12D8CF" w14:textId="77777777">
      <w:pPr>
        <w:ind w:left="180"/>
        <w:rPr>
          <w:b/>
          <w:i/>
        </w:rPr>
      </w:pPr>
    </w:p>
    <w:p w:rsidRPr="0072204D" w:rsidR="00945CD6" w:rsidP="008F570D" w:rsidRDefault="00292B70" w14:paraId="49EEF137" w14:textId="77777777">
      <w:pPr>
        <w:spacing w:after="120"/>
        <w:rPr>
          <w:b/>
        </w:rPr>
      </w:pPr>
      <w:r>
        <w:rPr>
          <w:b/>
        </w:rPr>
        <w:t xml:space="preserve">A3. </w:t>
      </w:r>
      <w:r w:rsidRPr="0072204D" w:rsidR="00945CD6">
        <w:rPr>
          <w:b/>
        </w:rPr>
        <w:t>Improved Information Technology to Reduce Burden</w:t>
      </w:r>
    </w:p>
    <w:p w:rsidRPr="000210D2" w:rsidR="00D90EF6" w:rsidP="008F570D" w:rsidRDefault="0096783D" w14:paraId="5934C206" w14:textId="04C38900">
      <w:r w:rsidRPr="000210D2">
        <w:t xml:space="preserve">Grant recipients will be asked a set number of questions during the virtual breakout sessions. ACF staff will document the information/responses shared by attendees in Word </w:t>
      </w:r>
      <w:r w:rsidRPr="000210D2" w:rsidR="00105A79">
        <w:t xml:space="preserve">document </w:t>
      </w:r>
      <w:r w:rsidRPr="000210D2">
        <w:t xml:space="preserve">format and summarize the general findings during the report out session when all attendees rejoin the main Zoom room. </w:t>
      </w:r>
      <w:bookmarkStart w:name="_Hlk104273691" w:id="2"/>
      <w:r w:rsidR="000D27C1">
        <w:t>The breakout sessions will be recorded</w:t>
      </w:r>
      <w:r w:rsidR="00606FD7">
        <w:t>, with participant approval,</w:t>
      </w:r>
      <w:r w:rsidR="000D27C1">
        <w:t xml:space="preserve"> if allowed by the Zoom platform system to support record management. </w:t>
      </w:r>
      <w:bookmarkEnd w:id="2"/>
    </w:p>
    <w:p w:rsidR="005046F0" w:rsidP="008F570D" w:rsidRDefault="005046F0" w14:paraId="5804584A" w14:textId="2A14735D">
      <w:pPr>
        <w:ind w:left="360"/>
      </w:pPr>
    </w:p>
    <w:p w:rsidR="00DE5212" w:rsidP="008F570D" w:rsidRDefault="00DE5212" w14:paraId="6D9A7B7E" w14:textId="77777777">
      <w:pPr>
        <w:ind w:left="360"/>
      </w:pPr>
    </w:p>
    <w:p w:rsidRPr="0072204D" w:rsidR="00945CD6" w:rsidP="008F570D" w:rsidRDefault="00292B70" w14:paraId="39BBEF3E" w14:textId="77777777">
      <w:pPr>
        <w:spacing w:after="120"/>
        <w:rPr>
          <w:b/>
        </w:rPr>
      </w:pPr>
      <w:r>
        <w:rPr>
          <w:b/>
        </w:rPr>
        <w:t xml:space="preserve">A4. </w:t>
      </w:r>
      <w:r w:rsidRPr="0072204D" w:rsidR="00945CD6">
        <w:rPr>
          <w:b/>
        </w:rPr>
        <w:t>Efforts to Identify Duplication</w:t>
      </w:r>
    </w:p>
    <w:p w:rsidRPr="0096783D" w:rsidR="0096783D" w:rsidP="0096783D" w:rsidRDefault="0096783D" w14:paraId="248A307A" w14:textId="781EA8B0">
      <w:r w:rsidRPr="0096783D">
        <w:t xml:space="preserve">Because this is a new activity for </w:t>
      </w:r>
      <w:r>
        <w:t>all ACF ARP Tribal and Native American grant recipients</w:t>
      </w:r>
      <w:r w:rsidRPr="0096783D">
        <w:t xml:space="preserve">, there is no existing data to provide this information.  </w:t>
      </w:r>
    </w:p>
    <w:p w:rsidR="00436F5E" w:rsidP="00DE5212" w:rsidRDefault="00436F5E" w14:paraId="69A8EDD5" w14:textId="5A808044">
      <w:pPr>
        <w:rPr>
          <w:b/>
        </w:rPr>
      </w:pPr>
    </w:p>
    <w:p w:rsidR="00DE5212" w:rsidP="00DE5212" w:rsidRDefault="00DE5212" w14:paraId="0EC59556" w14:textId="77777777">
      <w:pPr>
        <w:rPr>
          <w:b/>
        </w:rPr>
      </w:pPr>
    </w:p>
    <w:p w:rsidRPr="0072204D" w:rsidR="00945CD6" w:rsidP="008F570D" w:rsidRDefault="00292B70" w14:paraId="10B90123" w14:textId="77777777">
      <w:pPr>
        <w:spacing w:after="120"/>
        <w:rPr>
          <w:b/>
        </w:rPr>
      </w:pPr>
      <w:r>
        <w:rPr>
          <w:b/>
        </w:rPr>
        <w:lastRenderedPageBreak/>
        <w:t xml:space="preserve">A5. </w:t>
      </w:r>
      <w:r w:rsidRPr="0072204D" w:rsidR="00945CD6">
        <w:rPr>
          <w:b/>
        </w:rPr>
        <w:t>Involvement of Small Organizations</w:t>
      </w:r>
    </w:p>
    <w:p w:rsidR="00D90EF6" w:rsidP="008F570D" w:rsidRDefault="0096783D" w14:paraId="12FF1FE5" w14:textId="18419B48">
      <w:r w:rsidRPr="0096783D">
        <w:t>No small businesses will be involved with this information collection.</w:t>
      </w:r>
    </w:p>
    <w:p w:rsidR="008C78B4" w:rsidP="008F570D" w:rsidRDefault="008C78B4" w14:paraId="6077512E" w14:textId="4CFEB58B">
      <w:pPr>
        <w:rPr>
          <w:b/>
        </w:rPr>
      </w:pPr>
    </w:p>
    <w:p w:rsidR="00DE5212" w:rsidP="008F570D" w:rsidRDefault="00DE5212" w14:paraId="62878344" w14:textId="77777777">
      <w:pPr>
        <w:rPr>
          <w:b/>
        </w:rPr>
      </w:pPr>
    </w:p>
    <w:p w:rsidRPr="0072204D" w:rsidR="00945CD6" w:rsidP="008F570D" w:rsidRDefault="00292B70" w14:paraId="5C724C5E" w14:textId="77777777">
      <w:pPr>
        <w:spacing w:after="120"/>
        <w:rPr>
          <w:b/>
        </w:rPr>
      </w:pPr>
      <w:r>
        <w:rPr>
          <w:b/>
        </w:rPr>
        <w:t xml:space="preserve">A6. </w:t>
      </w:r>
      <w:r w:rsidRPr="0072204D" w:rsidR="00945CD6">
        <w:rPr>
          <w:b/>
        </w:rPr>
        <w:t>Consequences of Less Frequent Data Collection</w:t>
      </w:r>
    </w:p>
    <w:p w:rsidRPr="00AD4548" w:rsidR="00AD4548" w:rsidP="00AD4548" w:rsidRDefault="00AD4548" w14:paraId="30D23339" w14:textId="2F3B5A4B">
      <w:r w:rsidRPr="00AD4548">
        <w:t xml:space="preserve">Given the timeframe to </w:t>
      </w:r>
      <w:r>
        <w:t>obligate or draw down ARP</w:t>
      </w:r>
      <w:r w:rsidRPr="00AD4548">
        <w:t xml:space="preserve"> funds by the end of the FY 2022, it is necessary for </w:t>
      </w:r>
      <w:r>
        <w:t xml:space="preserve">ACF </w:t>
      </w:r>
      <w:r w:rsidRPr="00AD4548">
        <w:t xml:space="preserve">to gather this data quickly </w:t>
      </w:r>
      <w:proofErr w:type="gramStart"/>
      <w:r w:rsidRPr="00AD4548">
        <w:t>in order to</w:t>
      </w:r>
      <w:proofErr w:type="gramEnd"/>
      <w:r w:rsidR="00BB063E">
        <w:t xml:space="preserve"> communicate program-specific flexibilities and TA resources </w:t>
      </w:r>
      <w:r>
        <w:t xml:space="preserve">to ACF ARP </w:t>
      </w:r>
      <w:r w:rsidR="00BB063E">
        <w:t>g</w:t>
      </w:r>
      <w:r>
        <w:t xml:space="preserve">rant </w:t>
      </w:r>
      <w:r w:rsidR="00BB063E">
        <w:t>r</w:t>
      </w:r>
      <w:r>
        <w:t>ecipients</w:t>
      </w:r>
      <w:r w:rsidR="00BB063E">
        <w:t xml:space="preserve">. </w:t>
      </w:r>
    </w:p>
    <w:p w:rsidR="005046F0" w:rsidP="00AD4548" w:rsidRDefault="005046F0" w14:paraId="7C36762A" w14:textId="02605479"/>
    <w:p w:rsidR="00DE5212" w:rsidP="00AD4548" w:rsidRDefault="00DE5212" w14:paraId="449551FA" w14:textId="77777777"/>
    <w:p w:rsidRPr="0072204D" w:rsidR="00945CD6" w:rsidP="008F570D" w:rsidRDefault="00292B70" w14:paraId="5060136E" w14:textId="77777777">
      <w:pPr>
        <w:spacing w:after="120"/>
        <w:rPr>
          <w:b/>
        </w:rPr>
      </w:pPr>
      <w:r>
        <w:rPr>
          <w:b/>
        </w:rPr>
        <w:t xml:space="preserve">A7. </w:t>
      </w:r>
      <w:r w:rsidRPr="0072204D" w:rsidR="00945CD6">
        <w:rPr>
          <w:b/>
        </w:rPr>
        <w:t>Special Circumstances</w:t>
      </w:r>
    </w:p>
    <w:p w:rsidR="0020382F" w:rsidP="008F570D" w:rsidRDefault="00D90EF6" w14:paraId="10D64BA4" w14:textId="77777777">
      <w:pPr>
        <w:rPr>
          <w:sz w:val="22"/>
          <w:szCs w:val="22"/>
        </w:rPr>
      </w:pPr>
      <w:r w:rsidRPr="0028451F">
        <w:t>There are no special circumstances for the proposed data collection efforts</w:t>
      </w:r>
      <w:r w:rsidRPr="00AD4548">
        <w:rPr>
          <w:sz w:val="22"/>
          <w:szCs w:val="22"/>
        </w:rPr>
        <w:t>.</w:t>
      </w:r>
    </w:p>
    <w:p w:rsidR="00BE7952" w:rsidP="008F570D" w:rsidRDefault="00BE7952" w14:paraId="08207C8B" w14:textId="77777777"/>
    <w:p w:rsidR="00D90EF6" w:rsidP="008F570D" w:rsidRDefault="00D90EF6" w14:paraId="6156892E" w14:textId="77777777">
      <w:pPr>
        <w:rPr>
          <w:b/>
        </w:rPr>
      </w:pPr>
    </w:p>
    <w:p w:rsidR="00D90EF6" w:rsidP="008F570D"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8F570D" w:rsidRDefault="00B91D97" w14:paraId="6A39001F" w14:textId="77777777">
      <w:pPr>
        <w:spacing w:after="60"/>
        <w:rPr>
          <w:b/>
          <w:i/>
        </w:rPr>
      </w:pPr>
      <w:r w:rsidRPr="004B63ED">
        <w:rPr>
          <w:b/>
          <w:i/>
        </w:rPr>
        <w:t>Federal Register Notice and Comments</w:t>
      </w:r>
    </w:p>
    <w:p w:rsidRPr="00005BD3" w:rsidR="00005BD3" w:rsidP="00005BD3" w:rsidRDefault="008F10A2" w14:paraId="2DF93306" w14:textId="5A6D718A">
      <w:pPr>
        <w:pStyle w:val="Heading4"/>
        <w:spacing w:before="0" w:after="0"/>
        <w:rPr>
          <w:rFonts w:ascii="Times New Roman" w:hAnsi="Times New Roman" w:eastAsiaTheme="minorHAnsi"/>
          <w:b w:val="0"/>
          <w:bCs w:val="0"/>
          <w:sz w:val="24"/>
          <w:szCs w:val="24"/>
        </w:rPr>
      </w:pPr>
      <w:r w:rsidRPr="00005BD3">
        <w:rPr>
          <w:rFonts w:ascii="Times New Roman" w:hAnsi="Times New Roman"/>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005BD3" w:rsidR="00D44EA5">
        <w:rPr>
          <w:rFonts w:ascii="Times New Roman" w:hAnsi="Times New Roman"/>
          <w:b w:val="0"/>
          <w:bCs w:val="0"/>
          <w:sz w:val="24"/>
          <w:szCs w:val="24"/>
        </w:rPr>
        <w:t xml:space="preserve">of the overarching generic clearance for formative information collection. This notice was published on </w:t>
      </w:r>
      <w:r w:rsidRPr="00005BD3" w:rsidR="00680FFE">
        <w:rPr>
          <w:rFonts w:ascii="Times New Roman" w:hAnsi="Times New Roman"/>
          <w:b w:val="0"/>
          <w:bCs w:val="0"/>
          <w:sz w:val="24"/>
          <w:szCs w:val="24"/>
        </w:rPr>
        <w:t>November 3, 2020</w:t>
      </w:r>
      <w:r w:rsidRPr="00005BD3" w:rsidR="00D44EA5">
        <w:rPr>
          <w:rFonts w:ascii="Times New Roman" w:hAnsi="Times New Roman"/>
          <w:b w:val="0"/>
          <w:bCs w:val="0"/>
          <w:sz w:val="24"/>
          <w:szCs w:val="24"/>
        </w:rPr>
        <w:t xml:space="preserve">, </w:t>
      </w:r>
      <w:r w:rsidRPr="00005BD3" w:rsidR="00005BD3">
        <w:rPr>
          <w:rFonts w:ascii="Times New Roman" w:hAnsi="Times New Roman"/>
          <w:b w:val="0"/>
          <w:bCs w:val="0"/>
          <w:sz w:val="24"/>
          <w:szCs w:val="24"/>
        </w:rPr>
        <w:t xml:space="preserve">(85 FR 69627), and provided a sixty-day period for public comment. During the notice and comment period, no substantive comments were received. </w:t>
      </w:r>
      <w:r w:rsidRPr="00005BD3" w:rsidR="00005BD3">
        <w:rPr>
          <w:rFonts w:ascii="Times New Roman" w:hAnsi="Times New Roman" w:eastAsiaTheme="minorHAnsi"/>
          <w:b w:val="0"/>
          <w:bCs w:val="0"/>
          <w:sz w:val="24"/>
          <w:szCs w:val="24"/>
        </w:rPr>
        <w:t>A subsequent notice was published on December 28, 2020 (85 FR 84343) and provided a thirty-day period for public comment. During the notice and comment period, no substantive comments were received.</w:t>
      </w:r>
    </w:p>
    <w:p w:rsidRPr="00005BD3" w:rsidR="00005BD3" w:rsidP="00005BD3" w:rsidRDefault="00005BD3" w14:paraId="4C272959" w14:textId="77777777"/>
    <w:p w:rsidRPr="00005BD3" w:rsidR="00005BD3" w:rsidP="00005BD3" w:rsidRDefault="00005BD3" w14:paraId="156A0FB4" w14:textId="77777777">
      <w:r w:rsidRPr="00005BD3">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8F10A2" w:rsidP="008F570D" w:rsidRDefault="008F10A2" w14:paraId="06B326DA" w14:textId="77777777"/>
    <w:p w:rsidRPr="00B91D97" w:rsidR="00B91D97" w:rsidP="00DE5212" w:rsidRDefault="00B91D97"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Pr="00BB063E" w:rsidR="00436F5E" w:rsidP="008F570D" w:rsidRDefault="00BB063E" w14:paraId="3262E2E8" w14:textId="1964C419">
      <w:r w:rsidRPr="00BB063E">
        <w:t>No consultations have taken place with experts outside of the project team.</w:t>
      </w:r>
    </w:p>
    <w:p w:rsidR="00D90EF6" w:rsidP="008F570D" w:rsidRDefault="00D90EF6" w14:paraId="16A7A923" w14:textId="03C3A584">
      <w:pPr>
        <w:rPr>
          <w:b/>
        </w:rPr>
      </w:pPr>
    </w:p>
    <w:p w:rsidR="00DE5212" w:rsidP="008F570D" w:rsidRDefault="00DE5212" w14:paraId="03B17C51" w14:textId="77777777">
      <w:pPr>
        <w:rPr>
          <w:b/>
        </w:rPr>
      </w:pPr>
    </w:p>
    <w:p w:rsidRPr="00BB063E" w:rsidR="00945CD6" w:rsidP="008F570D" w:rsidRDefault="00292B70" w14:paraId="391068CD" w14:textId="6ECE22DD">
      <w:pPr>
        <w:spacing w:after="120"/>
        <w:rPr>
          <w:b/>
        </w:rPr>
      </w:pPr>
      <w:r w:rsidRPr="00BB063E">
        <w:rPr>
          <w:b/>
        </w:rPr>
        <w:t xml:space="preserve">A9. </w:t>
      </w:r>
      <w:r w:rsidRPr="00BB063E" w:rsidR="00542413">
        <w:rPr>
          <w:b/>
        </w:rPr>
        <w:t xml:space="preserve">Tokens of Appreciation </w:t>
      </w:r>
      <w:r w:rsidRPr="00BB063E" w:rsidR="00B66874">
        <w:rPr>
          <w:b/>
        </w:rPr>
        <w:t>for</w:t>
      </w:r>
      <w:r w:rsidRPr="00BB063E" w:rsidR="00945CD6">
        <w:rPr>
          <w:b/>
        </w:rPr>
        <w:t xml:space="preserve"> Respondents</w:t>
      </w:r>
    </w:p>
    <w:p w:rsidRPr="00BB063E" w:rsidR="00BB063E" w:rsidP="00BB063E" w:rsidRDefault="00BB063E" w14:paraId="55ADBFD2" w14:textId="77777777">
      <w:pPr>
        <w:rPr>
          <w:b/>
        </w:rPr>
      </w:pPr>
      <w:r w:rsidRPr="00BB063E">
        <w:t>No incentives for respondents are proposed for this information collection.</w:t>
      </w:r>
    </w:p>
    <w:p w:rsidR="004222F8" w:rsidP="00DE5212" w:rsidRDefault="004222F8" w14:paraId="7605E87D" w14:textId="4AFAEE37">
      <w:pPr>
        <w:rPr>
          <w:b/>
        </w:rPr>
      </w:pPr>
    </w:p>
    <w:p w:rsidR="00DE5212" w:rsidP="00DE5212" w:rsidRDefault="00DE5212" w14:paraId="17919610" w14:textId="77777777">
      <w:pPr>
        <w:rPr>
          <w:b/>
        </w:rPr>
      </w:pPr>
    </w:p>
    <w:p w:rsidRPr="0072204D" w:rsidR="004222F8" w:rsidP="008F570D" w:rsidRDefault="004222F8" w14:paraId="5BB4F440" w14:textId="77777777">
      <w:pPr>
        <w:spacing w:after="120"/>
        <w:rPr>
          <w:b/>
        </w:rPr>
      </w:pPr>
      <w:r>
        <w:rPr>
          <w:b/>
        </w:rPr>
        <w:t>A10. Privacy</w:t>
      </w:r>
      <w:r w:rsidRPr="0072204D">
        <w:rPr>
          <w:b/>
        </w:rPr>
        <w:t xml:space="preserve"> of Respondents</w:t>
      </w:r>
    </w:p>
    <w:p w:rsidRPr="00436F5E" w:rsidR="004222F8" w:rsidP="008F570D" w:rsidRDefault="00436F5E" w14:paraId="480B2A5E" w14:textId="77777777">
      <w:pPr>
        <w:widowControl w:val="0"/>
        <w:autoSpaceDE w:val="0"/>
        <w:autoSpaceDN w:val="0"/>
        <w:adjustRightInd w:val="0"/>
      </w:pPr>
      <w:r w:rsidRPr="00436F5E">
        <w:t xml:space="preserve">Information collected will be kept private to the extent permitted by law. Respondents will be </w:t>
      </w:r>
      <w:r w:rsidRPr="00436F5E">
        <w:lastRenderedPageBreak/>
        <w:t xml:space="preserve">informed of all planned uses of data, that their participation is voluntary, and that their information will be kept private to the extent permitted by law. </w:t>
      </w:r>
    </w:p>
    <w:p w:rsidRPr="00436F5E" w:rsidR="00436F5E" w:rsidP="008F570D" w:rsidRDefault="00436F5E" w14:paraId="34DFAED3" w14:textId="77777777">
      <w:pPr>
        <w:widowControl w:val="0"/>
        <w:autoSpaceDE w:val="0"/>
        <w:autoSpaceDN w:val="0"/>
        <w:adjustRightInd w:val="0"/>
      </w:pPr>
    </w:p>
    <w:p w:rsidR="00436F5E" w:rsidP="008F570D" w:rsidRDefault="00436F5E" w14:paraId="0442A162" w14:textId="77777777"/>
    <w:p w:rsidRPr="0072204D" w:rsidR="00945CD6" w:rsidP="008F570D" w:rsidRDefault="00292B70" w14:paraId="0B35E015" w14:textId="77777777">
      <w:pPr>
        <w:spacing w:after="120"/>
        <w:rPr>
          <w:b/>
        </w:rPr>
      </w:pPr>
      <w:r>
        <w:rPr>
          <w:b/>
        </w:rPr>
        <w:t xml:space="preserve">A11. </w:t>
      </w:r>
      <w:r w:rsidRPr="0072204D" w:rsidR="00945CD6">
        <w:rPr>
          <w:b/>
        </w:rPr>
        <w:t>Sensitive Questions</w:t>
      </w:r>
    </w:p>
    <w:p w:rsidR="00D90EF6" w:rsidP="008F570D" w:rsidRDefault="00D90EF6" w14:paraId="2CE230F0" w14:textId="77777777">
      <w:r w:rsidRPr="00BB063E">
        <w:t>There are no sensitive questions in this data collection.</w:t>
      </w:r>
    </w:p>
    <w:p w:rsidR="00DE5212" w:rsidP="00DE5212" w:rsidRDefault="00DE5212" w14:paraId="18C070BB" w14:textId="29B18702"/>
    <w:p w:rsidR="00DE5212" w:rsidP="008F570D" w:rsidRDefault="00DE5212" w14:paraId="1A951FBC" w14:textId="77777777">
      <w:pPr>
        <w:ind w:left="360"/>
      </w:pPr>
    </w:p>
    <w:p w:rsidRPr="00542413" w:rsidR="00542413" w:rsidP="00542413" w:rsidRDefault="00292B70" w14:paraId="3ABF848D" w14:textId="604CE552">
      <w:pPr>
        <w:spacing w:after="120"/>
        <w:rPr>
          <w:b/>
        </w:rPr>
      </w:pPr>
      <w:r>
        <w:rPr>
          <w:b/>
        </w:rPr>
        <w:t xml:space="preserve">A12. </w:t>
      </w:r>
      <w:r w:rsidRPr="0072204D" w:rsidR="00945CD6">
        <w:rPr>
          <w:b/>
        </w:rPr>
        <w:t>Estimation of Information Collection Burden</w:t>
      </w:r>
    </w:p>
    <w:p w:rsidR="00542413" w:rsidP="00542413" w:rsidRDefault="00542413" w14:paraId="3786490C" w14:textId="2AA637D8">
      <w:pPr>
        <w:spacing w:after="60"/>
        <w:rPr>
          <w:b/>
          <w:bCs/>
          <w:i/>
          <w:iCs/>
        </w:rPr>
      </w:pPr>
      <w:r w:rsidRPr="00542413">
        <w:rPr>
          <w:b/>
          <w:bCs/>
          <w:i/>
          <w:iCs/>
        </w:rPr>
        <w:t>Burden Estimates</w:t>
      </w:r>
    </w:p>
    <w:p w:rsidRPr="00BB063E" w:rsidR="00542413" w:rsidP="008F570D" w:rsidRDefault="00BB063E" w14:paraId="45B923F3" w14:textId="65EF3820">
      <w:r w:rsidRPr="00BB063E">
        <w:t>Information will be collected from</w:t>
      </w:r>
      <w:r>
        <w:t xml:space="preserve"> ARP </w:t>
      </w:r>
      <w:r w:rsidR="00F25976">
        <w:t>Tribal and Native American g</w:t>
      </w:r>
      <w:r>
        <w:t xml:space="preserve">rant </w:t>
      </w:r>
      <w:r w:rsidR="00F25976">
        <w:t>r</w:t>
      </w:r>
      <w:r>
        <w:t>ecipients</w:t>
      </w:r>
      <w:r w:rsidR="000210D2">
        <w:t xml:space="preserve"> during the breakout sessions</w:t>
      </w:r>
      <w:r w:rsidRPr="00BB063E">
        <w:t xml:space="preserve">. </w:t>
      </w:r>
      <w:r w:rsidR="00DE5212">
        <w:t>A</w:t>
      </w:r>
      <w:r w:rsidR="000210D2">
        <w:t>ttendees will be participating in the breakout sessions for about 30 minutes to collect each of their responses</w:t>
      </w:r>
      <w:r>
        <w:t>.</w:t>
      </w:r>
    </w:p>
    <w:p w:rsidRPr="00542413" w:rsidR="00542413" w:rsidP="008F570D" w:rsidRDefault="00542413" w14:paraId="53AD5D50" w14:textId="77777777">
      <w:pPr>
        <w:rPr>
          <w:b/>
          <w:bCs/>
          <w:i/>
          <w:iCs/>
        </w:rPr>
      </w:pPr>
    </w:p>
    <w:p w:rsidRPr="002F3EDE" w:rsidR="00542413" w:rsidP="00542413" w:rsidRDefault="00542413" w14:paraId="6CBE253C" w14:textId="16147A58">
      <w:pPr>
        <w:spacing w:after="60"/>
        <w:rPr>
          <w:b/>
          <w:i/>
        </w:rPr>
      </w:pPr>
      <w:r w:rsidRPr="002F3EDE">
        <w:rPr>
          <w:b/>
          <w:i/>
        </w:rPr>
        <w:t>Cos</w:t>
      </w:r>
      <w:r>
        <w:rPr>
          <w:b/>
          <w:i/>
        </w:rPr>
        <w:t>t Estimates</w:t>
      </w:r>
    </w:p>
    <w:p w:rsidRPr="00EC26A5" w:rsidR="0033072C" w:rsidP="00DE5212" w:rsidRDefault="00F25976" w14:paraId="255B87E2" w14:textId="254912BF">
      <w:pPr>
        <w:spacing w:after="60"/>
        <w:rPr>
          <w:sz w:val="32"/>
        </w:rPr>
      </w:pPr>
      <w:r w:rsidRPr="00F25976">
        <w:t xml:space="preserve">The cost to respondents was calculated based on using the Bureau of Labor Statistics (BLS) job code for Social and Human Services Assistants [21-1093] and wage data from May 2021, which is $19.45 per hour. To account for the fringe benefits and overhead, the rate was multiplied by two which is $38.90. </w:t>
      </w:r>
      <w:hyperlink w:history="1" r:id="rId11">
        <w:r w:rsidRPr="00EC26A5" w:rsidR="0033072C">
          <w:rPr>
            <w:rStyle w:val="Hyperlink"/>
          </w:rPr>
          <w:t>https://www.bls.gov/oes/current/oes_stru.htm</w:t>
        </w:r>
      </w:hyperlink>
      <w:r w:rsidRPr="00EC26A5" w:rsidR="0033072C">
        <w:t xml:space="preserve"> </w:t>
      </w:r>
    </w:p>
    <w:p w:rsidRPr="00542413" w:rsidR="00542413" w:rsidP="008F570D" w:rsidRDefault="00542413" w14:paraId="26232607" w14:textId="77777777">
      <w:pPr>
        <w:rPr>
          <w:i/>
          <w:iCs/>
        </w:rPr>
      </w:pPr>
    </w:p>
    <w:tbl>
      <w:tblPr>
        <w:tblW w:w="91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89"/>
        <w:gridCol w:w="1239"/>
        <w:gridCol w:w="1161"/>
        <w:gridCol w:w="997"/>
        <w:gridCol w:w="1228"/>
        <w:gridCol w:w="894"/>
        <w:gridCol w:w="1116"/>
      </w:tblGrid>
      <w:tr w:rsidRPr="00BD4CFB" w:rsidR="00542413" w:rsidTr="00DE5212" w14:paraId="3DDE53E5" w14:textId="77777777">
        <w:trPr>
          <w:jc w:val="center"/>
        </w:trPr>
        <w:tc>
          <w:tcPr>
            <w:tcW w:w="2495" w:type="dxa"/>
            <w:shd w:val="clear" w:color="auto" w:fill="BFBFBF"/>
            <w:vAlign w:val="center"/>
          </w:tcPr>
          <w:p w:rsidRPr="00BD4CFB" w:rsidR="00542413" w:rsidP="008F570D" w:rsidRDefault="00542413" w14:paraId="2381BB0C" w14:textId="77777777">
            <w:pPr>
              <w:jc w:val="center"/>
              <w:rPr>
                <w:sz w:val="20"/>
                <w:szCs w:val="20"/>
              </w:rPr>
            </w:pPr>
            <w:r w:rsidRPr="00BD4CFB">
              <w:rPr>
                <w:sz w:val="20"/>
                <w:szCs w:val="20"/>
              </w:rPr>
              <w:t>Instrument</w:t>
            </w:r>
          </w:p>
        </w:tc>
        <w:tc>
          <w:tcPr>
            <w:tcW w:w="1239" w:type="dxa"/>
            <w:shd w:val="clear" w:color="auto" w:fill="BFBFBF"/>
            <w:vAlign w:val="center"/>
          </w:tcPr>
          <w:p w:rsidRPr="00BD4CFB" w:rsidR="00542413" w:rsidP="008F570D" w:rsidRDefault="00542413"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Pr="00BD4CFB" w:rsidR="00542413" w:rsidP="008F570D" w:rsidRDefault="00542413"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97" w:type="dxa"/>
            <w:shd w:val="clear" w:color="auto" w:fill="BFBFBF"/>
            <w:vAlign w:val="center"/>
          </w:tcPr>
          <w:p w:rsidRPr="00BD4CFB" w:rsidR="00542413" w:rsidP="008F570D" w:rsidRDefault="00542413" w14:paraId="05CC723F" w14:textId="77777777">
            <w:pPr>
              <w:jc w:val="center"/>
              <w:rPr>
                <w:sz w:val="20"/>
                <w:szCs w:val="20"/>
              </w:rPr>
            </w:pPr>
            <w:r w:rsidRPr="00BD4CFB">
              <w:rPr>
                <w:sz w:val="20"/>
                <w:szCs w:val="20"/>
              </w:rPr>
              <w:t>Average Burden Hours Per Response</w:t>
            </w:r>
          </w:p>
        </w:tc>
        <w:tc>
          <w:tcPr>
            <w:tcW w:w="1230" w:type="dxa"/>
            <w:shd w:val="clear" w:color="auto" w:fill="BFBFBF"/>
            <w:vAlign w:val="center"/>
          </w:tcPr>
          <w:p w:rsidR="00542413" w:rsidP="00542413" w:rsidRDefault="00542413" w14:paraId="110C4AE5" w14:textId="77777777">
            <w:pPr>
              <w:jc w:val="center"/>
              <w:rPr>
                <w:bCs/>
                <w:sz w:val="20"/>
                <w:szCs w:val="20"/>
              </w:rPr>
            </w:pPr>
            <w:r>
              <w:rPr>
                <w:bCs/>
                <w:sz w:val="20"/>
                <w:szCs w:val="20"/>
              </w:rPr>
              <w:t>Total</w:t>
            </w:r>
          </w:p>
          <w:p w:rsidR="00542413" w:rsidP="00542413" w:rsidRDefault="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Pr="00BD4CFB" w:rsidR="00542413" w:rsidP="008F570D" w:rsidRDefault="00542413" w14:paraId="45DFE675" w14:textId="77777777">
            <w:pPr>
              <w:jc w:val="center"/>
              <w:rPr>
                <w:sz w:val="20"/>
                <w:szCs w:val="20"/>
              </w:rPr>
            </w:pPr>
            <w:r w:rsidRPr="00BD4CFB">
              <w:rPr>
                <w:bCs/>
                <w:sz w:val="20"/>
                <w:szCs w:val="20"/>
              </w:rPr>
              <w:t>Average Hourly Wage</w:t>
            </w:r>
          </w:p>
        </w:tc>
        <w:tc>
          <w:tcPr>
            <w:tcW w:w="1108" w:type="dxa"/>
            <w:shd w:val="clear" w:color="auto" w:fill="BFBFBF"/>
            <w:vAlign w:val="center"/>
          </w:tcPr>
          <w:p w:rsidRPr="00BD4CFB" w:rsidR="00542413" w:rsidP="008F570D" w:rsidRDefault="00542413" w14:paraId="39990194" w14:textId="77777777">
            <w:pPr>
              <w:jc w:val="center"/>
              <w:rPr>
                <w:sz w:val="20"/>
                <w:szCs w:val="20"/>
              </w:rPr>
            </w:pPr>
            <w:r w:rsidRPr="00BD4CFB">
              <w:rPr>
                <w:bCs/>
                <w:sz w:val="20"/>
                <w:szCs w:val="20"/>
              </w:rPr>
              <w:t>Total Annual Cost</w:t>
            </w:r>
          </w:p>
        </w:tc>
      </w:tr>
      <w:tr w:rsidRPr="00BD4CFB" w:rsidR="00542413" w:rsidTr="00DE5212" w14:paraId="7CE63E36" w14:textId="77777777">
        <w:trPr>
          <w:trHeight w:val="432"/>
          <w:jc w:val="center"/>
        </w:trPr>
        <w:tc>
          <w:tcPr>
            <w:tcW w:w="2495" w:type="dxa"/>
            <w:vAlign w:val="center"/>
          </w:tcPr>
          <w:p w:rsidRPr="00BD4CFB" w:rsidR="00542413" w:rsidP="008F570D" w:rsidRDefault="00F25976" w14:paraId="15455CD3" w14:textId="568EE7AE">
            <w:pPr>
              <w:tabs>
                <w:tab w:val="center" w:pos="4320"/>
                <w:tab w:val="right" w:pos="8640"/>
              </w:tabs>
              <w:rPr>
                <w:sz w:val="20"/>
                <w:szCs w:val="20"/>
              </w:rPr>
            </w:pPr>
            <w:r>
              <w:rPr>
                <w:sz w:val="20"/>
                <w:szCs w:val="20"/>
              </w:rPr>
              <w:t>ACF ARP Tribal Learning Collaborative Webinar Facilitator Guide (Tab A)</w:t>
            </w:r>
          </w:p>
        </w:tc>
        <w:tc>
          <w:tcPr>
            <w:tcW w:w="1239" w:type="dxa"/>
            <w:vAlign w:val="center"/>
          </w:tcPr>
          <w:p w:rsidRPr="00BD4CFB" w:rsidR="00542413" w:rsidP="00105A79" w:rsidRDefault="00F25976" w14:paraId="2106BBF5" w14:textId="06B39154">
            <w:pPr>
              <w:tabs>
                <w:tab w:val="center" w:pos="4320"/>
                <w:tab w:val="right" w:pos="8640"/>
              </w:tabs>
              <w:jc w:val="center"/>
              <w:rPr>
                <w:sz w:val="20"/>
                <w:szCs w:val="20"/>
                <w:highlight w:val="yellow"/>
              </w:rPr>
            </w:pPr>
            <w:r w:rsidRPr="0028451F">
              <w:rPr>
                <w:sz w:val="20"/>
                <w:szCs w:val="20"/>
              </w:rPr>
              <w:t>450</w:t>
            </w:r>
          </w:p>
        </w:tc>
        <w:tc>
          <w:tcPr>
            <w:tcW w:w="1161" w:type="dxa"/>
            <w:vAlign w:val="center"/>
          </w:tcPr>
          <w:p w:rsidRPr="00BD4CFB" w:rsidR="00542413" w:rsidP="00105A79" w:rsidRDefault="00F25976" w14:paraId="402332F4" w14:textId="31DB012F">
            <w:pPr>
              <w:tabs>
                <w:tab w:val="center" w:pos="4320"/>
                <w:tab w:val="right" w:pos="8640"/>
              </w:tabs>
              <w:jc w:val="center"/>
              <w:rPr>
                <w:sz w:val="20"/>
                <w:szCs w:val="20"/>
              </w:rPr>
            </w:pPr>
            <w:r>
              <w:rPr>
                <w:sz w:val="20"/>
                <w:szCs w:val="20"/>
              </w:rPr>
              <w:t>1</w:t>
            </w:r>
          </w:p>
        </w:tc>
        <w:tc>
          <w:tcPr>
            <w:tcW w:w="997" w:type="dxa"/>
            <w:vAlign w:val="center"/>
          </w:tcPr>
          <w:p w:rsidRPr="00F25976" w:rsidR="00F25976" w:rsidP="00105A79" w:rsidRDefault="00F25976" w14:paraId="2166A45E" w14:textId="06CCB76C">
            <w:pPr>
              <w:jc w:val="center"/>
              <w:rPr>
                <w:sz w:val="20"/>
                <w:szCs w:val="20"/>
              </w:rPr>
            </w:pPr>
            <w:r>
              <w:rPr>
                <w:sz w:val="20"/>
                <w:szCs w:val="20"/>
              </w:rPr>
              <w:t>.</w:t>
            </w:r>
            <w:r w:rsidR="00E72E54">
              <w:rPr>
                <w:sz w:val="20"/>
                <w:szCs w:val="20"/>
              </w:rPr>
              <w:t>7</w:t>
            </w:r>
            <w:r>
              <w:rPr>
                <w:sz w:val="20"/>
                <w:szCs w:val="20"/>
              </w:rPr>
              <w:t>5</w:t>
            </w:r>
          </w:p>
        </w:tc>
        <w:tc>
          <w:tcPr>
            <w:tcW w:w="1230" w:type="dxa"/>
            <w:vAlign w:val="center"/>
          </w:tcPr>
          <w:p w:rsidRPr="00BD4CFB" w:rsidR="00542413" w:rsidP="00105A79" w:rsidRDefault="002F4E9B" w14:paraId="5A6C5F6C" w14:textId="2E6B9428">
            <w:pPr>
              <w:tabs>
                <w:tab w:val="center" w:pos="4320"/>
                <w:tab w:val="right" w:pos="8640"/>
              </w:tabs>
              <w:jc w:val="center"/>
              <w:rPr>
                <w:sz w:val="20"/>
                <w:szCs w:val="20"/>
              </w:rPr>
            </w:pPr>
            <w:r>
              <w:rPr>
                <w:sz w:val="20"/>
                <w:szCs w:val="20"/>
              </w:rPr>
              <w:t>337.5</w:t>
            </w:r>
          </w:p>
        </w:tc>
        <w:tc>
          <w:tcPr>
            <w:tcW w:w="894" w:type="dxa"/>
            <w:vAlign w:val="center"/>
          </w:tcPr>
          <w:p w:rsidRPr="00BD4CFB" w:rsidR="00542413" w:rsidP="00105A79" w:rsidRDefault="00F25976" w14:paraId="4C12A145" w14:textId="61114E9E">
            <w:pPr>
              <w:tabs>
                <w:tab w:val="center" w:pos="4320"/>
                <w:tab w:val="right" w:pos="8640"/>
              </w:tabs>
              <w:jc w:val="center"/>
              <w:rPr>
                <w:sz w:val="20"/>
                <w:szCs w:val="20"/>
              </w:rPr>
            </w:pPr>
            <w:r w:rsidRPr="00F25976">
              <w:rPr>
                <w:sz w:val="20"/>
                <w:szCs w:val="20"/>
              </w:rPr>
              <w:t>$38.90</w:t>
            </w:r>
          </w:p>
        </w:tc>
        <w:tc>
          <w:tcPr>
            <w:tcW w:w="1108" w:type="dxa"/>
            <w:vAlign w:val="center"/>
          </w:tcPr>
          <w:p w:rsidRPr="00BD4CFB" w:rsidR="00542413" w:rsidP="00105A79" w:rsidRDefault="00F25976" w14:paraId="01C1A511" w14:textId="3F43B32B">
            <w:pPr>
              <w:tabs>
                <w:tab w:val="center" w:pos="4320"/>
                <w:tab w:val="right" w:pos="8640"/>
              </w:tabs>
              <w:jc w:val="center"/>
              <w:rPr>
                <w:sz w:val="20"/>
                <w:szCs w:val="20"/>
              </w:rPr>
            </w:pPr>
            <w:r>
              <w:rPr>
                <w:sz w:val="20"/>
                <w:szCs w:val="20"/>
              </w:rPr>
              <w:t>$</w:t>
            </w:r>
            <w:r w:rsidR="002F4E9B">
              <w:rPr>
                <w:sz w:val="20"/>
                <w:szCs w:val="20"/>
              </w:rPr>
              <w:t>13</w:t>
            </w:r>
            <w:r>
              <w:rPr>
                <w:sz w:val="20"/>
                <w:szCs w:val="20"/>
              </w:rPr>
              <w:t>,</w:t>
            </w:r>
            <w:r w:rsidR="002F4E9B">
              <w:rPr>
                <w:sz w:val="20"/>
                <w:szCs w:val="20"/>
              </w:rPr>
              <w:t>128</w:t>
            </w:r>
            <w:r>
              <w:rPr>
                <w:sz w:val="20"/>
                <w:szCs w:val="20"/>
              </w:rPr>
              <w:t>.</w:t>
            </w:r>
            <w:r w:rsidR="002F4E9B">
              <w:rPr>
                <w:sz w:val="20"/>
                <w:szCs w:val="20"/>
              </w:rPr>
              <w:t>75</w:t>
            </w:r>
          </w:p>
        </w:tc>
      </w:tr>
    </w:tbl>
    <w:p w:rsidR="00436F5E" w:rsidP="008F570D" w:rsidRDefault="00436F5E" w14:paraId="4FC5BEDE" w14:textId="77777777"/>
    <w:p w:rsidR="002338AC" w:rsidP="008F570D" w:rsidRDefault="002338AC" w14:paraId="3C895703" w14:textId="77777777">
      <w:pPr>
        <w:ind w:left="360"/>
      </w:pPr>
    </w:p>
    <w:p w:rsidRPr="0072204D" w:rsidR="00945CD6" w:rsidP="00542413" w:rsidRDefault="00292B70" w14:paraId="7BDBE261" w14:textId="77777777">
      <w:pPr>
        <w:spacing w:after="120"/>
        <w:rPr>
          <w:b/>
        </w:rPr>
      </w:pPr>
      <w:r>
        <w:rPr>
          <w:b/>
        </w:rPr>
        <w:t xml:space="preserve">A13. </w:t>
      </w:r>
      <w:r w:rsidRPr="0072204D" w:rsidR="00945CD6">
        <w:rPr>
          <w:b/>
        </w:rPr>
        <w:t>Cost Burden to Respondents or Record Keepers</w:t>
      </w:r>
    </w:p>
    <w:p w:rsidR="00D90EF6" w:rsidP="008F570D" w:rsidRDefault="00B91D97" w14:paraId="3D88B0B4" w14:textId="77777777">
      <w:r w:rsidRPr="00F25976">
        <w:rPr>
          <w:sz w:val="22"/>
          <w:szCs w:val="22"/>
        </w:rPr>
        <w:t>There are no additional costs to respondents.</w:t>
      </w:r>
    </w:p>
    <w:p w:rsidR="00BE7952" w:rsidP="008F570D" w:rsidRDefault="00BE7952" w14:paraId="6BC5843E" w14:textId="77777777"/>
    <w:p w:rsidR="002338AC" w:rsidP="008F570D" w:rsidRDefault="002338AC" w14:paraId="136F28B3" w14:textId="77777777"/>
    <w:p w:rsidRPr="0072204D" w:rsidR="00945CD6" w:rsidP="008F570D" w:rsidRDefault="00292B70" w14:paraId="2A791D57" w14:textId="77777777">
      <w:pPr>
        <w:spacing w:after="60"/>
        <w:rPr>
          <w:b/>
        </w:rPr>
      </w:pPr>
      <w:r>
        <w:rPr>
          <w:b/>
        </w:rPr>
        <w:t xml:space="preserve">A14. </w:t>
      </w:r>
      <w:r w:rsidRPr="0072204D" w:rsidR="00945CD6">
        <w:rPr>
          <w:b/>
        </w:rPr>
        <w:t>Estimate of Cost to the Federal Government</w:t>
      </w:r>
    </w:p>
    <w:p w:rsidR="002338AC" w:rsidP="008F570D" w:rsidRDefault="00B91D97" w14:paraId="036762EF" w14:textId="247FE63F">
      <w:r w:rsidRPr="00BB2157">
        <w:t>The total cost for the</w:t>
      </w:r>
      <w:r>
        <w:t xml:space="preserve"> data collection activities under this current request </w:t>
      </w:r>
      <w:r w:rsidRPr="00BB2157">
        <w:t xml:space="preserve">will </w:t>
      </w:r>
      <w:r w:rsidRPr="001061C5">
        <w:t>be $</w:t>
      </w:r>
      <w:r w:rsidR="00105A79">
        <w:t>300.00</w:t>
      </w:r>
      <w:r>
        <w:t xml:space="preserve">. </w:t>
      </w:r>
    </w:p>
    <w:p w:rsidR="00436F5E" w:rsidP="008F570D" w:rsidRDefault="00105A79" w14:paraId="304B1383" w14:textId="21548220">
      <w:r w:rsidRPr="00105A79">
        <w:t>This represents the total number of staff hours</w:t>
      </w:r>
      <w:r>
        <w:t xml:space="preserve"> (2 hours x 5 federal staff </w:t>
      </w:r>
      <w:r w:rsidR="000210D2">
        <w:t>facilitating the breakout sessions during the two-hour webinar</w:t>
      </w:r>
      <w:r>
        <w:t xml:space="preserve">) by $30.00 per hour. </w:t>
      </w:r>
    </w:p>
    <w:p w:rsidR="0033072C" w:rsidP="008F570D" w:rsidRDefault="0033072C" w14:paraId="10E2AD7E" w14:textId="7F60EB2C"/>
    <w:p w:rsidR="00DE5212" w:rsidP="008F570D" w:rsidRDefault="00DE5212" w14:paraId="442AE341" w14:textId="77777777"/>
    <w:p w:rsidR="00945CD6" w:rsidP="008F570D" w:rsidRDefault="00292B70" w14:paraId="4B385444" w14:textId="77777777">
      <w:pPr>
        <w:spacing w:after="120"/>
        <w:rPr>
          <w:b/>
        </w:rPr>
      </w:pPr>
      <w:r>
        <w:rPr>
          <w:b/>
        </w:rPr>
        <w:t xml:space="preserve">A15. </w:t>
      </w:r>
      <w:r w:rsidRPr="0072204D" w:rsidR="00945CD6">
        <w:rPr>
          <w:b/>
        </w:rPr>
        <w:t>Change in Burden</w:t>
      </w:r>
    </w:p>
    <w:p w:rsidRPr="003D03DB" w:rsidR="00DE5212" w:rsidP="003D03DB" w:rsidRDefault="00CB2ED6" w14:paraId="76680DAA" w14:textId="2486FAF3">
      <w:pPr>
        <w:rPr>
          <w:sz w:val="22"/>
          <w:szCs w:val="22"/>
        </w:rPr>
      </w:pPr>
      <w:r w:rsidRPr="00CB2ED6">
        <w:rPr>
          <w:sz w:val="22"/>
          <w:szCs w:val="22"/>
        </w:rPr>
        <w:t xml:space="preserve">This is for an individual information collection under the </w:t>
      </w:r>
      <w:r w:rsidRPr="0033072C">
        <w:rPr>
          <w:sz w:val="22"/>
          <w:szCs w:val="22"/>
        </w:rPr>
        <w:t xml:space="preserve">umbrella </w:t>
      </w:r>
      <w:r w:rsidRPr="0033072C" w:rsidR="001140AB">
        <w:rPr>
          <w:sz w:val="22"/>
          <w:szCs w:val="22"/>
        </w:rPr>
        <w:t>formative generic clearance for program support (0970-0531</w:t>
      </w:r>
      <w:r w:rsidRPr="0033072C" w:rsidR="00542413">
        <w:rPr>
          <w:sz w:val="22"/>
          <w:szCs w:val="22"/>
        </w:rPr>
        <w:t>).</w:t>
      </w:r>
    </w:p>
    <w:p w:rsidR="00945CD6" w:rsidP="008F570D" w:rsidRDefault="00292B70" w14:paraId="347FE16D" w14:textId="661AC6A3">
      <w:pPr>
        <w:spacing w:after="60"/>
        <w:rPr>
          <w:b/>
        </w:rPr>
      </w:pPr>
      <w:r w:rsidRPr="005A64C5">
        <w:rPr>
          <w:b/>
        </w:rPr>
        <w:lastRenderedPageBreak/>
        <w:t xml:space="preserve">A16. </w:t>
      </w:r>
      <w:r w:rsidRPr="005A64C5" w:rsidR="00945CD6">
        <w:rPr>
          <w:b/>
        </w:rPr>
        <w:t>Plan and Time Schedule for Information Collection, Tabulation and Publication</w:t>
      </w:r>
    </w:p>
    <w:p w:rsidR="002338AC" w:rsidP="008F570D" w:rsidRDefault="00105A79" w14:paraId="412227CC" w14:textId="313A4DD6">
      <w:r>
        <w:t>ACF plans to collect this information on June 9, 2022, pending OMB approval.</w:t>
      </w:r>
    </w:p>
    <w:p w:rsidR="002338AC" w:rsidP="008F570D" w:rsidRDefault="002338AC" w14:paraId="565D87F6" w14:textId="77777777">
      <w:pPr>
        <w:rPr>
          <w:b/>
        </w:rPr>
      </w:pPr>
    </w:p>
    <w:p w:rsidR="002338AC" w:rsidP="008F570D" w:rsidRDefault="002338AC" w14:paraId="5D35D3D0" w14:textId="77777777">
      <w:pPr>
        <w:rPr>
          <w:b/>
        </w:rPr>
      </w:pPr>
    </w:p>
    <w:p w:rsidRPr="0072204D" w:rsidR="00945CD6" w:rsidP="008F570D" w:rsidRDefault="00292B70" w14:paraId="750BBE88" w14:textId="77777777">
      <w:pPr>
        <w:spacing w:after="120"/>
        <w:rPr>
          <w:b/>
        </w:rPr>
      </w:pPr>
      <w:r>
        <w:rPr>
          <w:b/>
        </w:rPr>
        <w:t xml:space="preserve">A17. </w:t>
      </w:r>
      <w:r w:rsidRPr="0072204D" w:rsidR="00945CD6">
        <w:rPr>
          <w:b/>
        </w:rPr>
        <w:t>Reasons Not to Display OMB Expiration Date</w:t>
      </w:r>
    </w:p>
    <w:p w:rsidRPr="00E6545E" w:rsidR="00105A79" w:rsidP="00105A79" w:rsidRDefault="00105A79" w14:paraId="4877AB00" w14:textId="77777777">
      <w:r w:rsidRPr="00E6545E">
        <w:t>All instruments will display the expiration date for OMB approval.</w:t>
      </w:r>
    </w:p>
    <w:p w:rsidR="005046F0" w:rsidP="008F570D" w:rsidRDefault="005046F0" w14:paraId="3CB00E49" w14:textId="77777777">
      <w:pPr>
        <w:ind w:left="360"/>
      </w:pPr>
    </w:p>
    <w:p w:rsidR="002338AC" w:rsidP="008F570D" w:rsidRDefault="002338AC" w14:paraId="4920E2AE" w14:textId="77777777">
      <w:pPr>
        <w:ind w:left="360"/>
      </w:pPr>
    </w:p>
    <w:p w:rsidRPr="000B5EA8" w:rsidR="00945CD6" w:rsidP="008F570D"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rsidRDefault="00D90EF6" w14:paraId="117373B9" w14:textId="77777777">
      <w:r w:rsidRPr="00105A79">
        <w:rPr>
          <w:szCs w:val="22"/>
        </w:rPr>
        <w:t>No exceptions are necessary for this information collection.</w:t>
      </w:r>
      <w:r w:rsidR="000B5EA8">
        <w:tab/>
      </w:r>
    </w:p>
    <w:p w:rsidR="00D90EF6" w:rsidP="008F570D" w:rsidRDefault="00D90EF6" w14:paraId="152B33B0" w14:textId="77777777"/>
    <w:p w:rsidR="00AA29C0" w:rsidP="008F570D" w:rsidRDefault="00AA29C0" w14:paraId="356A923F" w14:textId="77777777"/>
    <w:p w:rsidR="00D06D5F" w:rsidP="008F570D" w:rsidRDefault="00D06D5F" w14:paraId="54795446" w14:textId="77777777">
      <w:pPr>
        <w:tabs>
          <w:tab w:val="left" w:pos="360"/>
        </w:tabs>
      </w:pPr>
    </w:p>
    <w:p w:rsidRPr="0072204D" w:rsidR="0072204D" w:rsidP="008F570D" w:rsidRDefault="0072204D" w14:paraId="4DA2F605" w14:textId="77777777"/>
    <w:sectPr w:rsidRPr="0072204D" w:rsid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82533" w14:textId="77777777" w:rsidR="00913B71" w:rsidRDefault="00913B71">
      <w:r>
        <w:separator/>
      </w:r>
    </w:p>
  </w:endnote>
  <w:endnote w:type="continuationSeparator" w:id="0">
    <w:p w14:paraId="5B125FA9" w14:textId="77777777" w:rsidR="00913B71" w:rsidRDefault="0091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1BFB" w14:textId="77777777" w:rsidR="00913B71" w:rsidRDefault="00913B71">
      <w:r>
        <w:separator/>
      </w:r>
    </w:p>
  </w:footnote>
  <w:footnote w:type="continuationSeparator" w:id="0">
    <w:p w14:paraId="198AA759" w14:textId="77777777" w:rsidR="00913B71" w:rsidRDefault="00913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F7D55"/>
    <w:multiLevelType w:val="hybridMultilevel"/>
    <w:tmpl w:val="5FF80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7"/>
  </w:num>
  <w:num w:numId="5">
    <w:abstractNumId w:val="9"/>
  </w:num>
  <w:num w:numId="6">
    <w:abstractNumId w:val="15"/>
  </w:num>
  <w:num w:numId="7">
    <w:abstractNumId w:val="14"/>
  </w:num>
  <w:num w:numId="8">
    <w:abstractNumId w:val="10"/>
  </w:num>
  <w:num w:numId="9">
    <w:abstractNumId w:val="11"/>
  </w:num>
  <w:num w:numId="10">
    <w:abstractNumId w:val="2"/>
  </w:num>
  <w:num w:numId="11">
    <w:abstractNumId w:val="0"/>
  </w:num>
  <w:num w:numId="12">
    <w:abstractNumId w:val="3"/>
  </w:num>
  <w:num w:numId="13">
    <w:abstractNumId w:val="16"/>
  </w:num>
  <w:num w:numId="14">
    <w:abstractNumId w:val="5"/>
  </w:num>
  <w:num w:numId="15">
    <w:abstractNumId w:val="6"/>
  </w:num>
  <w:num w:numId="16">
    <w:abstractNumId w:val="20"/>
  </w:num>
  <w:num w:numId="17">
    <w:abstractNumId w:val="21"/>
  </w:num>
  <w:num w:numId="18">
    <w:abstractNumId w:val="18"/>
  </w:num>
  <w:num w:numId="19">
    <w:abstractNumId w:val="17"/>
  </w:num>
  <w:num w:numId="20">
    <w:abstractNumId w:val="12"/>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5BD3"/>
    <w:rsid w:val="000210D2"/>
    <w:rsid w:val="000431B8"/>
    <w:rsid w:val="0008643E"/>
    <w:rsid w:val="00091C59"/>
    <w:rsid w:val="000964A6"/>
    <w:rsid w:val="000B5EA8"/>
    <w:rsid w:val="000C5270"/>
    <w:rsid w:val="000D27C1"/>
    <w:rsid w:val="000D53DF"/>
    <w:rsid w:val="00105A79"/>
    <w:rsid w:val="001140AB"/>
    <w:rsid w:val="00124EBF"/>
    <w:rsid w:val="00130457"/>
    <w:rsid w:val="001305AF"/>
    <w:rsid w:val="0016012E"/>
    <w:rsid w:val="00183C0F"/>
    <w:rsid w:val="001A4570"/>
    <w:rsid w:val="001A5AF9"/>
    <w:rsid w:val="001C4D60"/>
    <w:rsid w:val="0020382F"/>
    <w:rsid w:val="002231FA"/>
    <w:rsid w:val="002338AC"/>
    <w:rsid w:val="00234E8D"/>
    <w:rsid w:val="00235A6D"/>
    <w:rsid w:val="002408DE"/>
    <w:rsid w:val="0025173C"/>
    <w:rsid w:val="00253148"/>
    <w:rsid w:val="00270B74"/>
    <w:rsid w:val="0028451F"/>
    <w:rsid w:val="00292B70"/>
    <w:rsid w:val="002A1F68"/>
    <w:rsid w:val="002A319B"/>
    <w:rsid w:val="002B2840"/>
    <w:rsid w:val="002B4DBE"/>
    <w:rsid w:val="002C4F75"/>
    <w:rsid w:val="002D4B0A"/>
    <w:rsid w:val="002F4E9B"/>
    <w:rsid w:val="003277CF"/>
    <w:rsid w:val="00327B2E"/>
    <w:rsid w:val="0033072C"/>
    <w:rsid w:val="003456DF"/>
    <w:rsid w:val="00374DAB"/>
    <w:rsid w:val="0038291A"/>
    <w:rsid w:val="003D03DB"/>
    <w:rsid w:val="003D5231"/>
    <w:rsid w:val="004222F8"/>
    <w:rsid w:val="00422C1B"/>
    <w:rsid w:val="00436F5E"/>
    <w:rsid w:val="004415BB"/>
    <w:rsid w:val="004522FF"/>
    <w:rsid w:val="004554B1"/>
    <w:rsid w:val="00456E2F"/>
    <w:rsid w:val="00482DDE"/>
    <w:rsid w:val="004A44DD"/>
    <w:rsid w:val="004B587E"/>
    <w:rsid w:val="004C2ADD"/>
    <w:rsid w:val="004D6CA9"/>
    <w:rsid w:val="004F4E1D"/>
    <w:rsid w:val="0050289B"/>
    <w:rsid w:val="005046F0"/>
    <w:rsid w:val="00520737"/>
    <w:rsid w:val="005353B7"/>
    <w:rsid w:val="00541024"/>
    <w:rsid w:val="00542413"/>
    <w:rsid w:val="005A64C5"/>
    <w:rsid w:val="005F2061"/>
    <w:rsid w:val="006010CA"/>
    <w:rsid w:val="00606FD7"/>
    <w:rsid w:val="00607351"/>
    <w:rsid w:val="006228E1"/>
    <w:rsid w:val="00651DBA"/>
    <w:rsid w:val="00657424"/>
    <w:rsid w:val="00680FFE"/>
    <w:rsid w:val="006A7EFA"/>
    <w:rsid w:val="006B6845"/>
    <w:rsid w:val="006C0DE9"/>
    <w:rsid w:val="006D2637"/>
    <w:rsid w:val="006E7ADF"/>
    <w:rsid w:val="006F3EC0"/>
    <w:rsid w:val="00701045"/>
    <w:rsid w:val="00711BC5"/>
    <w:rsid w:val="0072204D"/>
    <w:rsid w:val="007250A3"/>
    <w:rsid w:val="007309FC"/>
    <w:rsid w:val="00736F1D"/>
    <w:rsid w:val="007418F6"/>
    <w:rsid w:val="00772457"/>
    <w:rsid w:val="0077465C"/>
    <w:rsid w:val="00784137"/>
    <w:rsid w:val="007A075B"/>
    <w:rsid w:val="007D295D"/>
    <w:rsid w:val="00806712"/>
    <w:rsid w:val="00814840"/>
    <w:rsid w:val="00853B6B"/>
    <w:rsid w:val="0087234E"/>
    <w:rsid w:val="00877346"/>
    <w:rsid w:val="00887878"/>
    <w:rsid w:val="008A7FF7"/>
    <w:rsid w:val="008B7F2C"/>
    <w:rsid w:val="008C6A6B"/>
    <w:rsid w:val="008C78B4"/>
    <w:rsid w:val="008E7489"/>
    <w:rsid w:val="008F10A2"/>
    <w:rsid w:val="008F1D5E"/>
    <w:rsid w:val="008F570D"/>
    <w:rsid w:val="00913B71"/>
    <w:rsid w:val="00930BB9"/>
    <w:rsid w:val="00932D71"/>
    <w:rsid w:val="00934984"/>
    <w:rsid w:val="00945CD6"/>
    <w:rsid w:val="00946352"/>
    <w:rsid w:val="00957AE3"/>
    <w:rsid w:val="009648CE"/>
    <w:rsid w:val="0096783D"/>
    <w:rsid w:val="00984BBF"/>
    <w:rsid w:val="00984CA2"/>
    <w:rsid w:val="009B1638"/>
    <w:rsid w:val="009D47D2"/>
    <w:rsid w:val="009E28C8"/>
    <w:rsid w:val="009F724F"/>
    <w:rsid w:val="00A020E8"/>
    <w:rsid w:val="00A35B0D"/>
    <w:rsid w:val="00A35E23"/>
    <w:rsid w:val="00A412C5"/>
    <w:rsid w:val="00A44209"/>
    <w:rsid w:val="00A4561A"/>
    <w:rsid w:val="00A45C76"/>
    <w:rsid w:val="00A87F5C"/>
    <w:rsid w:val="00AA29C0"/>
    <w:rsid w:val="00AD4548"/>
    <w:rsid w:val="00B14396"/>
    <w:rsid w:val="00B66874"/>
    <w:rsid w:val="00B73ACF"/>
    <w:rsid w:val="00B84547"/>
    <w:rsid w:val="00B91D97"/>
    <w:rsid w:val="00BA7F99"/>
    <w:rsid w:val="00BB063E"/>
    <w:rsid w:val="00BB13A6"/>
    <w:rsid w:val="00BD4CFB"/>
    <w:rsid w:val="00BE7952"/>
    <w:rsid w:val="00C06A79"/>
    <w:rsid w:val="00C12B95"/>
    <w:rsid w:val="00C1674B"/>
    <w:rsid w:val="00C56EA9"/>
    <w:rsid w:val="00CA016C"/>
    <w:rsid w:val="00CB2ED6"/>
    <w:rsid w:val="00CC2CD1"/>
    <w:rsid w:val="00CE0C2D"/>
    <w:rsid w:val="00CE6EFF"/>
    <w:rsid w:val="00D012A6"/>
    <w:rsid w:val="00D06D5F"/>
    <w:rsid w:val="00D277B1"/>
    <w:rsid w:val="00D44EA5"/>
    <w:rsid w:val="00D519D9"/>
    <w:rsid w:val="00D64CB1"/>
    <w:rsid w:val="00D90EF6"/>
    <w:rsid w:val="00D964BC"/>
    <w:rsid w:val="00DA55DB"/>
    <w:rsid w:val="00DE5212"/>
    <w:rsid w:val="00E00860"/>
    <w:rsid w:val="00E00AA6"/>
    <w:rsid w:val="00E05A0A"/>
    <w:rsid w:val="00E07B51"/>
    <w:rsid w:val="00E41D46"/>
    <w:rsid w:val="00E72E54"/>
    <w:rsid w:val="00E72E9A"/>
    <w:rsid w:val="00E86DB9"/>
    <w:rsid w:val="00EA12DE"/>
    <w:rsid w:val="00EB5B54"/>
    <w:rsid w:val="00EC329F"/>
    <w:rsid w:val="00F25976"/>
    <w:rsid w:val="00F514D1"/>
    <w:rsid w:val="00F73374"/>
    <w:rsid w:val="00F824F8"/>
    <w:rsid w:val="00F84B85"/>
    <w:rsid w:val="00F92F1A"/>
    <w:rsid w:val="00FA05FE"/>
    <w:rsid w:val="00FA0865"/>
    <w:rsid w:val="00FC04C5"/>
    <w:rsid w:val="00FC196A"/>
    <w:rsid w:val="00FD1B70"/>
    <w:rsid w:val="00FD7600"/>
    <w:rsid w:val="00FE0BB8"/>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C5A81112-059E-4931-A2C7-2AC683EB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ListLevel1">
    <w:name w:val="List Level 1"/>
    <w:basedOn w:val="Normal"/>
    <w:qFormat/>
    <w:rsid w:val="004415BB"/>
    <w:pPr>
      <w:spacing w:before="120" w:after="120"/>
    </w:pPr>
    <w:rPr>
      <w:rFonts w:ascii="Arial" w:eastAsia="MS Mincho" w:hAnsi="Arial" w:cs="Arial"/>
      <w:sz w:val="20"/>
      <w:szCs w:val="20"/>
    </w:rPr>
  </w:style>
  <w:style w:type="character" w:styleId="Strong">
    <w:name w:val="Strong"/>
    <w:basedOn w:val="DefaultParagraphFont"/>
    <w:uiPriority w:val="22"/>
    <w:qFormat/>
    <w:rsid w:val="00441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ACF PRA</cp:lastModifiedBy>
  <cp:revision>3</cp:revision>
  <cp:lastPrinted>2009-01-26T16:35:00Z</cp:lastPrinted>
  <dcterms:created xsi:type="dcterms:W3CDTF">2022-06-03T15:50:00Z</dcterms:created>
  <dcterms:modified xsi:type="dcterms:W3CDTF">2022-06-03T15:50:00Z</dcterms:modified>
</cp:coreProperties>
</file>