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478A00D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65E17A7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328C6">
        <w:rPr>
          <w:color w:val="000000"/>
        </w:rPr>
        <w:t>Pooja Gupta Curtin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5362431F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328C6">
        <w:t xml:space="preserve">April </w:t>
      </w:r>
      <w:r w:rsidR="00052CE5">
        <w:t>8</w:t>
      </w:r>
      <w:r w:rsidR="000328C6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B8752B5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F2435B" w:rsidR="000328C6">
        <w:t>Fathers and Continuous Learning in Child Welfare Project (FCL)</w:t>
      </w:r>
      <w:r w:rsidR="000328C6">
        <w:t xml:space="preserve"> </w:t>
      </w:r>
      <w:r>
        <w:t>(OMB #0970-0</w:t>
      </w:r>
      <w:r w:rsidR="000328C6">
        <w:t>531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04102D" w:rsidR="00E525D4" w:rsidP="0005680D" w:rsidRDefault="0005680D" w14:paraId="494EB7FC" w14:textId="1FCCF928">
      <w:r w:rsidRPr="0004102D">
        <w:t xml:space="preserve">This memo requests approval of nonsubstantive changes to the approved information collection, </w:t>
      </w:r>
      <w:r w:rsidRPr="0004102D" w:rsidR="000328C6">
        <w:t>Fathers and Continuous Learning in Child Welfare Project (FCL) (OMB #0970-0531</w:t>
      </w:r>
      <w:r w:rsidRPr="0004102D" w:rsidR="0004102D">
        <w:t xml:space="preserve">, </w:t>
      </w:r>
      <w:r w:rsidRPr="0004102D" w:rsidR="0004102D">
        <w:rPr>
          <w:rFonts w:eastAsiaTheme="minorHAnsi"/>
          <w:kern w:val="0"/>
        </w:rPr>
        <w:t>Formative Data Collections for ACF Program Support</w:t>
      </w:r>
      <w:r w:rsidRPr="0004102D">
        <w:t xml:space="preserve">). </w:t>
      </w:r>
    </w:p>
    <w:p w:rsidRPr="0004102D" w:rsidR="0005680D" w:rsidP="0005680D" w:rsidRDefault="0005680D" w14:paraId="6BF529D8" w14:textId="77777777"/>
    <w:p w:rsidRPr="0004102D" w:rsidR="0005680D" w:rsidP="0005680D" w:rsidRDefault="0005680D" w14:paraId="37532181" w14:textId="77777777">
      <w:pPr>
        <w:spacing w:after="120"/>
      </w:pPr>
      <w:r w:rsidRPr="0004102D">
        <w:rPr>
          <w:b/>
          <w:i/>
        </w:rPr>
        <w:t>Background</w:t>
      </w:r>
    </w:p>
    <w:p w:rsidRPr="0004102D" w:rsidR="0005680D" w:rsidP="0005680D" w:rsidRDefault="000328C6" w14:paraId="0B392A35" w14:textId="601F8FBC">
      <w:pPr>
        <w:rPr>
          <w:color w:val="000000"/>
        </w:rPr>
      </w:pPr>
      <w:r w:rsidRPr="0004102D">
        <w:t xml:space="preserve">The purpose of the FCL project is to identify high-priority father and paternal relative engagement strategies and then conduct </w:t>
      </w:r>
      <w:r w:rsidRPr="0004102D">
        <w:rPr>
          <w:color w:val="000000"/>
        </w:rPr>
        <w:t xml:space="preserve">a </w:t>
      </w:r>
      <w:r w:rsidRPr="0004102D">
        <w:t xml:space="preserve">one-year pilot study in six sites to test the use of a continuous quality improvement methodology called the Breakthrough Series Collaborative (BSC) to strengthen the engagement of fathers and paternal relatives with children involved in the child welfare system.  </w:t>
      </w:r>
      <w:r w:rsidRPr="0004102D">
        <w:rPr>
          <w:color w:val="000000"/>
        </w:rPr>
        <w:t xml:space="preserve">The information collections associated with the FCL project received OMB approval on November 5, 2019 under the overarching generic clearance, </w:t>
      </w:r>
      <w:r w:rsidRPr="0004102D">
        <w:rPr>
          <w:rFonts w:eastAsiaTheme="minorHAnsi"/>
          <w:kern w:val="0"/>
        </w:rPr>
        <w:t>Formative Data Collections for ACF Program Support</w:t>
      </w:r>
      <w:r w:rsidRPr="0004102D">
        <w:rPr>
          <w:color w:val="000000"/>
        </w:rPr>
        <w:t>.</w:t>
      </w:r>
    </w:p>
    <w:p w:rsidRPr="0004102D" w:rsidR="000328C6" w:rsidP="000328C6" w:rsidRDefault="000328C6" w14:paraId="390485AB" w14:textId="77777777">
      <w:pPr>
        <w:pStyle w:val="NormalSS"/>
        <w:ind w:firstLine="0"/>
        <w:jc w:val="left"/>
      </w:pPr>
    </w:p>
    <w:p w:rsidRPr="0004102D" w:rsidR="000328C6" w:rsidP="000328C6" w:rsidRDefault="000328C6" w14:paraId="62FB4377" w14:textId="5C2AC7CC">
      <w:pPr>
        <w:pStyle w:val="NormalSS"/>
        <w:ind w:firstLine="0"/>
        <w:jc w:val="left"/>
      </w:pPr>
      <w:r w:rsidRPr="0004102D">
        <w:t xml:space="preserve">Given the evolving nature of COVID-19, the study team would like to shift the remaining in-person site visits for Wake County, NC and Hartford, CT to virtual site visits. </w:t>
      </w:r>
      <w:r w:rsidRPr="0004102D" w:rsidR="00124786">
        <w:t xml:space="preserve">Site visits in the four other sites are complete. </w:t>
      </w:r>
    </w:p>
    <w:p w:rsidRPr="0004102D" w:rsidR="0005680D" w:rsidP="0005680D" w:rsidRDefault="0005680D" w14:paraId="2B14ECA7" w14:textId="44FC9ED4"/>
    <w:p w:rsidRPr="0004102D" w:rsidR="0005680D" w:rsidP="00124786" w:rsidRDefault="0005680D" w14:paraId="5CC77B63" w14:textId="77777777">
      <w:pPr>
        <w:spacing w:after="120"/>
        <w:rPr>
          <w:b/>
          <w:i/>
        </w:rPr>
      </w:pPr>
      <w:r w:rsidRPr="0004102D">
        <w:rPr>
          <w:b/>
          <w:i/>
        </w:rPr>
        <w:t>Overview of Requested Changes</w:t>
      </w:r>
    </w:p>
    <w:p w:rsidRPr="0004102D" w:rsidR="00124786" w:rsidP="00124786" w:rsidRDefault="00124786" w14:paraId="5B21B2C5" w14:textId="36681E2E">
      <w:pPr>
        <w:pStyle w:val="Paragraph"/>
        <w:spacing w:after="12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For the remaining two sites, the study team proposes to use WebEx Cloud, Mathematica</w:t>
      </w:r>
      <w:r w:rsidRPr="0004102D">
        <w:rPr>
          <w:rStyle w:val="FootnoteReference"/>
          <w:rFonts w:ascii="Times New Roman" w:hAnsi="Times New Roman"/>
          <w:szCs w:val="24"/>
        </w:rPr>
        <w:footnoteReference w:id="1"/>
      </w:r>
      <w:r w:rsidRPr="0004102D">
        <w:rPr>
          <w:rFonts w:ascii="Times New Roman" w:hAnsi="Times New Roman"/>
          <w:szCs w:val="24"/>
        </w:rPr>
        <w:t xml:space="preserve">’s online meeting application, to host and record the following virtual interviews and focus groups: </w:t>
      </w:r>
    </w:p>
    <w:p w:rsidRPr="0004102D" w:rsidR="00124786" w:rsidP="00124786" w:rsidRDefault="00124786" w14:paraId="7EBC88FF" w14:textId="7AF9AB91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Improvement Team interview (</w:t>
      </w:r>
      <w:r w:rsidRPr="0004102D" w:rsidR="006762D4">
        <w:rPr>
          <w:rFonts w:ascii="Times New Roman" w:hAnsi="Times New Roman"/>
          <w:szCs w:val="24"/>
        </w:rPr>
        <w:t>Instrument 1)</w:t>
      </w:r>
    </w:p>
    <w:p w:rsidRPr="0004102D" w:rsidR="006762D4" w:rsidP="006762D4" w:rsidRDefault="006762D4" w14:paraId="5503FB1D" w14:textId="7E4740C8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Focus Group with Engagement Strategy Staff (Instrument 2)</w:t>
      </w:r>
    </w:p>
    <w:p w:rsidRPr="0004102D" w:rsidR="006762D4" w:rsidP="006762D4" w:rsidRDefault="006762D4" w14:paraId="751299F1" w14:textId="77777777">
      <w:pPr>
        <w:pStyle w:val="Paragraph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Senior leader interview (Instrument 3)</w:t>
      </w:r>
    </w:p>
    <w:p w:rsidRPr="0004102D" w:rsidR="00124786" w:rsidP="006762D4" w:rsidRDefault="00124786" w14:paraId="05DA13F8" w14:textId="4D13A655">
      <w:pPr>
        <w:pStyle w:val="Paragraph"/>
        <w:numPr>
          <w:ilvl w:val="0"/>
          <w:numId w:val="3"/>
        </w:numPr>
        <w:spacing w:after="0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 xml:space="preserve">Fathers and paternal relative interview </w:t>
      </w:r>
      <w:r w:rsidRPr="0004102D" w:rsidR="006762D4">
        <w:rPr>
          <w:rFonts w:ascii="Times New Roman" w:hAnsi="Times New Roman"/>
          <w:szCs w:val="24"/>
        </w:rPr>
        <w:t>(Instrument 4)</w:t>
      </w:r>
    </w:p>
    <w:p w:rsidRPr="0004102D" w:rsidR="006762D4" w:rsidP="00124786" w:rsidRDefault="006762D4" w14:paraId="25F4E152" w14:textId="77777777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04102D" w:rsidR="006762D4" w:rsidP="00124786" w:rsidRDefault="00124786" w14:paraId="7E74FD07" w14:textId="2DF8F331">
      <w:pPr>
        <w:pStyle w:val="NormalSS"/>
        <w:tabs>
          <w:tab w:val="clear" w:pos="432"/>
          <w:tab w:val="left" w:pos="0"/>
        </w:tabs>
        <w:ind w:firstLine="0"/>
        <w:jc w:val="left"/>
      </w:pPr>
      <w:r w:rsidRPr="0004102D">
        <w:t>Additionally, based on the completed in-person interviews and focus groups we propose changes to the flow of the instruments and the addition of minor questions to instruments 1 and 3</w:t>
      </w:r>
      <w:r w:rsidR="00CE37FA">
        <w:t xml:space="preserve"> that </w:t>
      </w:r>
      <w:r w:rsidR="00CE37FA">
        <w:lastRenderedPageBreak/>
        <w:t>clarify the information we are interested in learning about and more closely align to the pilot study research questions</w:t>
      </w:r>
      <w:r w:rsidRPr="0004102D">
        <w:t xml:space="preserve">. </w:t>
      </w:r>
    </w:p>
    <w:p w:rsidRPr="0004102D" w:rsidR="006762D4" w:rsidP="00124786" w:rsidRDefault="006762D4" w14:paraId="7202A2DF" w14:textId="77777777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04102D" w:rsidR="006762D4" w:rsidP="006762D4" w:rsidRDefault="006762D4" w14:paraId="1000735A" w14:textId="77777777">
      <w:pPr>
        <w:pStyle w:val="NormalSS"/>
        <w:tabs>
          <w:tab w:val="clear" w:pos="432"/>
          <w:tab w:val="left" w:pos="0"/>
        </w:tabs>
        <w:ind w:firstLine="0"/>
        <w:jc w:val="left"/>
      </w:pPr>
      <w:r w:rsidRPr="0004102D">
        <w:t xml:space="preserve">The described changes do not change the estimated average time to complete the interviews and focus groups. </w:t>
      </w:r>
    </w:p>
    <w:p w:rsidRPr="0004102D" w:rsidR="006762D4" w:rsidP="006762D4" w:rsidRDefault="006762D4" w14:paraId="0C64DD37" w14:textId="77777777">
      <w:pPr>
        <w:pStyle w:val="NormalSS"/>
        <w:tabs>
          <w:tab w:val="clear" w:pos="432"/>
          <w:tab w:val="left" w:pos="0"/>
        </w:tabs>
        <w:ind w:firstLine="0"/>
        <w:jc w:val="left"/>
      </w:pPr>
    </w:p>
    <w:p w:rsidRPr="0004102D" w:rsidR="00124786" w:rsidP="006762D4" w:rsidRDefault="00124786" w14:paraId="7FCAB8AE" w14:textId="6ACD6457">
      <w:pPr>
        <w:pStyle w:val="NormalSS"/>
        <w:tabs>
          <w:tab w:val="clear" w:pos="432"/>
          <w:tab w:val="left" w:pos="0"/>
        </w:tabs>
        <w:ind w:firstLine="0"/>
        <w:jc w:val="left"/>
      </w:pPr>
      <w:r w:rsidRPr="0004102D">
        <w:t>We believe the revised m</w:t>
      </w:r>
      <w:r w:rsidRPr="0004102D" w:rsidR="006762D4">
        <w:t>ode of data collection</w:t>
      </w:r>
      <w:r w:rsidRPr="0004102D">
        <w:t xml:space="preserve"> will have limited effects on the data collected for the study for the following reasons:</w:t>
      </w:r>
    </w:p>
    <w:p w:rsidRPr="0004102D" w:rsidR="00124786" w:rsidP="00124786" w:rsidRDefault="00124786" w14:paraId="1F1BE4D2" w14:textId="77777777">
      <w:pPr>
        <w:pStyle w:val="ListBullet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Online focus groups have been used as a medium for academic research since the late 1990s (e.g. Murray, 1997); and their use has expanded in recent years, particularly in educational and healthcare settings. Online focus groups are particularly well-suited for geographically dispersed participants, well-defined populations, small groups of 6-8 participants, and experienced moderators (Gaiser, 2008).</w:t>
      </w:r>
    </w:p>
    <w:p w:rsidRPr="0004102D" w:rsidR="00124786" w:rsidP="00124786" w:rsidRDefault="00124786" w14:paraId="0C261EA4" w14:textId="77777777">
      <w:pPr>
        <w:pStyle w:val="ListBullet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Studies on the relative effectiveness of online versus in-person focus groups is limited. Research suggests that face-to-face focus groups generally yield more and richer data; but online groups can encourage more spontaneous interaction, are an efficient means of data collection, and generally yield a similar number and quality of distinct ideas (e.g. Bruggen &amp; Willems, 2009; Richard, 2018).</w:t>
      </w:r>
    </w:p>
    <w:p w:rsidRPr="0004102D" w:rsidR="00124786" w:rsidP="00124786" w:rsidRDefault="00124786" w14:paraId="2D721E98" w14:textId="77777777">
      <w:pPr>
        <w:pStyle w:val="ListBullet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Most Improvement Team members including senior leaders and fathers and parental relatives regularly participate in affinity group calls, which use WebEx technology. Respondents are already familiar with calling into WebEx.</w:t>
      </w:r>
    </w:p>
    <w:p w:rsidRPr="0004102D" w:rsidR="00124786" w:rsidP="00124786" w:rsidRDefault="00124786" w14:paraId="0E0C7CB9" w14:textId="77777777">
      <w:pPr>
        <w:pStyle w:val="ListBullet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The FCL study team has provided detailed guidance to respondents about how to best access WebEx and webcams for the interviews and focus groups.</w:t>
      </w:r>
    </w:p>
    <w:p w:rsidRPr="0004102D" w:rsidR="00124786" w:rsidP="00124786" w:rsidRDefault="00124786" w14:paraId="10196DF9" w14:textId="77777777">
      <w:pPr>
        <w:pStyle w:val="NormalSS"/>
        <w:spacing w:after="200"/>
        <w:ind w:left="360" w:firstLine="0"/>
        <w:contextualSpacing/>
        <w:jc w:val="left"/>
      </w:pPr>
    </w:p>
    <w:p w:rsidRPr="0004102D" w:rsidR="00124786" w:rsidP="00124786" w:rsidRDefault="00124786" w14:paraId="3A9C95BE" w14:textId="77777777">
      <w:pPr>
        <w:pStyle w:val="NormalSS"/>
        <w:spacing w:after="200"/>
        <w:ind w:left="360" w:firstLine="0"/>
        <w:contextualSpacing/>
        <w:jc w:val="left"/>
      </w:pPr>
      <w:r w:rsidRPr="0004102D">
        <w:t>We look forward to receiving your response to this non-substantive change request.  In the meantime, please feel free to contact me, if you have any questions about the request.</w:t>
      </w:r>
    </w:p>
    <w:p w:rsidRPr="0004102D" w:rsidR="0005680D" w:rsidP="0005680D" w:rsidRDefault="0005680D" w14:paraId="6BD5720F" w14:textId="77777777"/>
    <w:p w:rsidRPr="0004102D" w:rsidR="0005680D" w:rsidP="0005680D" w:rsidRDefault="0005680D" w14:paraId="76859545" w14:textId="77777777"/>
    <w:p w:rsidRPr="0004102D" w:rsidR="0005680D" w:rsidP="0005680D" w:rsidRDefault="0005680D" w14:paraId="7DBC6097" w14:textId="4B191186">
      <w:pPr>
        <w:rPr>
          <w:b/>
          <w:i/>
        </w:rPr>
      </w:pPr>
      <w:r w:rsidRPr="0004102D">
        <w:rPr>
          <w:b/>
          <w:i/>
        </w:rPr>
        <w:t xml:space="preserve">Time Sensitivities </w:t>
      </w:r>
      <w:bookmarkStart w:name="_GoBack" w:id="0"/>
      <w:bookmarkEnd w:id="0"/>
    </w:p>
    <w:p w:rsidRPr="00F355AE" w:rsidR="006762D4" w:rsidP="0005680D" w:rsidRDefault="00DC6B00" w14:paraId="1BC217ED" w14:textId="47160A67">
      <w:pPr>
        <w:rPr>
          <w:bCs/>
        </w:rPr>
      </w:pPr>
      <w:r>
        <w:rPr>
          <w:bCs/>
        </w:rPr>
        <w:t>Shifting to virtual interviews and focus groups will ensure the pilot study can be completed on schedule. Delaying in-person site visits to Wake County, NC and Hartford, CT until</w:t>
      </w:r>
      <w:r w:rsidR="00F355AE">
        <w:rPr>
          <w:bCs/>
        </w:rPr>
        <w:t xml:space="preserve"> the</w:t>
      </w:r>
      <w:r>
        <w:rPr>
          <w:bCs/>
        </w:rPr>
        <w:t xml:space="preserve"> COVID-19 </w:t>
      </w:r>
      <w:r w:rsidR="00F355AE">
        <w:rPr>
          <w:bCs/>
        </w:rPr>
        <w:t xml:space="preserve">pandemic </w:t>
      </w:r>
      <w:r>
        <w:rPr>
          <w:bCs/>
        </w:rPr>
        <w:t xml:space="preserve">passes could result in delays </w:t>
      </w:r>
      <w:r w:rsidR="00F355AE">
        <w:rPr>
          <w:bCs/>
        </w:rPr>
        <w:t>to project deliverables</w:t>
      </w:r>
      <w:r>
        <w:rPr>
          <w:bCs/>
        </w:rPr>
        <w:t xml:space="preserve">. Because there is no definite timeline for the end of </w:t>
      </w:r>
      <w:r w:rsidR="00F355AE">
        <w:rPr>
          <w:bCs/>
        </w:rPr>
        <w:t>the pandemic</w:t>
      </w:r>
      <w:r>
        <w:rPr>
          <w:bCs/>
        </w:rPr>
        <w:t xml:space="preserve">, virtual data collection will allow the pilot study team to remain on schedule, complete data collection, and report findings back to OPRE to inform future decisions. </w:t>
      </w:r>
    </w:p>
    <w:p w:rsidRPr="0004102D" w:rsidR="0004102D" w:rsidP="0005680D" w:rsidRDefault="0004102D" w14:paraId="4624183D" w14:textId="71C2B0C0">
      <w:pPr>
        <w:rPr>
          <w:b/>
        </w:rPr>
      </w:pPr>
    </w:p>
    <w:p w:rsidRPr="0004102D" w:rsidR="0004102D" w:rsidP="0005680D" w:rsidRDefault="0004102D" w14:paraId="5503B8B9" w14:textId="77777777">
      <w:pPr>
        <w:rPr>
          <w:b/>
        </w:rPr>
      </w:pPr>
    </w:p>
    <w:p w:rsidRPr="0004102D" w:rsidR="006762D4" w:rsidP="006762D4" w:rsidRDefault="006762D4" w14:paraId="52C7A377" w14:textId="77777777">
      <w:pPr>
        <w:pStyle w:val="References"/>
        <w:rPr>
          <w:rStyle w:val="TitleSubtitle"/>
          <w:rFonts w:ascii="Times New Roman" w:hAnsi="Times New Roman"/>
          <w:szCs w:val="24"/>
        </w:rPr>
      </w:pPr>
      <w:r w:rsidRPr="0004102D">
        <w:rPr>
          <w:rStyle w:val="TitleSubtitle"/>
          <w:rFonts w:ascii="Times New Roman" w:hAnsi="Times New Roman"/>
          <w:szCs w:val="24"/>
        </w:rPr>
        <w:t>References</w:t>
      </w:r>
    </w:p>
    <w:p w:rsidRPr="0004102D" w:rsidR="006762D4" w:rsidP="006762D4" w:rsidRDefault="006762D4" w14:paraId="4FD6F5F4" w14:textId="77777777">
      <w:pPr>
        <w:pStyle w:val="References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Brüggen, E., &amp; Willems, P. (2009). A Critical Comparison of Offline Focus Groups, Online Focus Groups and E-Delphi. International Journal of Market Research, 51(3), 1–15.</w:t>
      </w:r>
    </w:p>
    <w:p w:rsidRPr="0004102D" w:rsidR="006762D4" w:rsidP="006762D4" w:rsidRDefault="006762D4" w14:paraId="04A676CC" w14:textId="77777777">
      <w:pPr>
        <w:pStyle w:val="References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Gaiser, T. J. (2008). Online focus groups. The SAGE handbook of online research methods, 290-306.</w:t>
      </w:r>
    </w:p>
    <w:p w:rsidRPr="0004102D" w:rsidR="006762D4" w:rsidP="006762D4" w:rsidRDefault="006762D4" w14:paraId="01282BD5" w14:textId="77777777">
      <w:pPr>
        <w:pStyle w:val="References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lastRenderedPageBreak/>
        <w:t>Murray, P. J. (1997). Using Virtual Focus Groups in Qualitative Research. Qualitative Health Research, 7(4), 542–549.</w:t>
      </w:r>
    </w:p>
    <w:p w:rsidRPr="0004102D" w:rsidR="006762D4" w:rsidP="006762D4" w:rsidRDefault="006762D4" w14:paraId="7D2634EF" w14:textId="77777777">
      <w:pPr>
        <w:pStyle w:val="References"/>
        <w:rPr>
          <w:rFonts w:ascii="Times New Roman" w:hAnsi="Times New Roman"/>
          <w:szCs w:val="24"/>
        </w:rPr>
      </w:pPr>
      <w:r w:rsidRPr="0004102D">
        <w:rPr>
          <w:rFonts w:ascii="Times New Roman" w:hAnsi="Times New Roman"/>
          <w:szCs w:val="24"/>
        </w:rPr>
        <w:t>Richard, B. (2018). Assessing the Effectiveness of Online Focus Groups Versus In-person Focus Groups. Dissertation, University of Central Florida</w:t>
      </w:r>
    </w:p>
    <w:p w:rsidRPr="0004102D" w:rsidR="006762D4" w:rsidP="0005680D" w:rsidRDefault="006762D4" w14:paraId="63947E8C" w14:textId="77777777">
      <w:pPr>
        <w:rPr>
          <w:b/>
          <w:i/>
        </w:rPr>
      </w:pPr>
    </w:p>
    <w:sectPr w:rsidRPr="0004102D" w:rsidR="0067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AAF22F" w16cid:durableId="22318F97"/>
  <w16cid:commentId w16cid:paraId="75813982" w16cid:durableId="2231CF5E"/>
  <w16cid:commentId w16cid:paraId="1F5E2EA9" w16cid:durableId="22318F98"/>
  <w16cid:commentId w16cid:paraId="42966469" w16cid:durableId="2231D015"/>
  <w16cid:commentId w16cid:paraId="120C6B72" w16cid:durableId="22318F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D4D2" w14:textId="77777777" w:rsidR="00124786" w:rsidRDefault="00124786" w:rsidP="00124786">
      <w:r>
        <w:separator/>
      </w:r>
    </w:p>
  </w:endnote>
  <w:endnote w:type="continuationSeparator" w:id="0">
    <w:p w14:paraId="79C45B5C" w14:textId="77777777" w:rsidR="00124786" w:rsidRDefault="00124786" w:rsidP="001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7EF5" w14:textId="77777777" w:rsidR="00124786" w:rsidRDefault="00124786" w:rsidP="00124786">
      <w:r>
        <w:separator/>
      </w:r>
    </w:p>
  </w:footnote>
  <w:footnote w:type="continuationSeparator" w:id="0">
    <w:p w14:paraId="006ACA5B" w14:textId="77777777" w:rsidR="00124786" w:rsidRDefault="00124786" w:rsidP="00124786">
      <w:r>
        <w:continuationSeparator/>
      </w:r>
    </w:p>
  </w:footnote>
  <w:footnote w:id="1">
    <w:p w14:paraId="4074DBFA" w14:textId="514D127A" w:rsidR="00124786" w:rsidRDefault="00124786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F2435B">
        <w:t>he Office of Planning, Research, and Evaluation (OPRE) contracted with Mathematica and the University of Denver</w:t>
      </w:r>
      <w:r>
        <w:t xml:space="preserve"> to complete this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8FB"/>
    <w:multiLevelType w:val="hybridMultilevel"/>
    <w:tmpl w:val="66DEBE32"/>
    <w:lvl w:ilvl="0" w:tplc="09C40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78C"/>
    <w:multiLevelType w:val="hybridMultilevel"/>
    <w:tmpl w:val="26862F5A"/>
    <w:lvl w:ilvl="0" w:tplc="B6882E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328C6"/>
    <w:rsid w:val="0004102D"/>
    <w:rsid w:val="00052CE5"/>
    <w:rsid w:val="0005680D"/>
    <w:rsid w:val="00124786"/>
    <w:rsid w:val="00201D4A"/>
    <w:rsid w:val="00416E1B"/>
    <w:rsid w:val="006762D4"/>
    <w:rsid w:val="00995018"/>
    <w:rsid w:val="009A03DB"/>
    <w:rsid w:val="00A44387"/>
    <w:rsid w:val="00CE37FA"/>
    <w:rsid w:val="00DC6B00"/>
    <w:rsid w:val="00E525D4"/>
    <w:rsid w:val="00E82299"/>
    <w:rsid w:val="00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customStyle="1" w:styleId="NormalSS">
    <w:name w:val="NormalSS"/>
    <w:basedOn w:val="Normal"/>
    <w:link w:val="NormalSSChar"/>
    <w:qFormat/>
    <w:rsid w:val="000328C6"/>
    <w:pPr>
      <w:widowControl/>
      <w:tabs>
        <w:tab w:val="left" w:pos="432"/>
      </w:tabs>
      <w:suppressAutoHyphens w:val="0"/>
      <w:ind w:firstLine="432"/>
      <w:jc w:val="both"/>
    </w:pPr>
    <w:rPr>
      <w:rFonts w:eastAsia="Times New Roman"/>
      <w:kern w:val="0"/>
    </w:rPr>
  </w:style>
  <w:style w:type="character" w:customStyle="1" w:styleId="NormalSSChar">
    <w:name w:val="NormalSS Char"/>
    <w:link w:val="NormalSS"/>
    <w:rsid w:val="000328C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1"/>
    <w:qFormat/>
    <w:rsid w:val="00124786"/>
    <w:pPr>
      <w:widowControl/>
      <w:suppressAutoHyphens w:val="0"/>
      <w:spacing w:after="240" w:line="290" w:lineRule="exact"/>
    </w:pPr>
    <w:rPr>
      <w:rFonts w:asciiTheme="minorHAnsi" w:eastAsia="Times New Roman" w:hAnsiTheme="minorHAnsi"/>
      <w:kern w:val="0"/>
      <w:szCs w:val="20"/>
    </w:rPr>
  </w:style>
  <w:style w:type="paragraph" w:customStyle="1" w:styleId="TableHeaderCenter">
    <w:name w:val="Table Header Center"/>
    <w:basedOn w:val="TableHeaderLeft"/>
    <w:uiPriority w:val="1"/>
    <w:qFormat/>
    <w:rsid w:val="00124786"/>
    <w:pPr>
      <w:jc w:val="center"/>
      <w:textboxTightWrap w:val="allLines"/>
    </w:pPr>
  </w:style>
  <w:style w:type="paragraph" w:customStyle="1" w:styleId="TableHeaderLeft">
    <w:name w:val="Table Header Left"/>
    <w:basedOn w:val="TableTextLeft"/>
    <w:next w:val="TableTextLeft"/>
    <w:uiPriority w:val="1"/>
    <w:qFormat/>
    <w:rsid w:val="00124786"/>
    <w:pPr>
      <w:spacing w:before="120"/>
    </w:pPr>
    <w:rPr>
      <w:b/>
      <w:color w:val="FFFFFF" w:themeColor="background1"/>
    </w:rPr>
  </w:style>
  <w:style w:type="table" w:customStyle="1" w:styleId="MPRBaseTable">
    <w:name w:val="MPR Base Table"/>
    <w:basedOn w:val="TableNormal"/>
    <w:uiPriority w:val="99"/>
    <w:rsid w:val="00124786"/>
    <w:pPr>
      <w:spacing w:before="40" w:after="20" w:line="240" w:lineRule="auto"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  <w:tblHeader/>
      </w:trPr>
      <w:tcPr>
        <w:shd w:val="clear" w:color="auto" w:fill="44546A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44546A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7E6E6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7E6E6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44546A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paragraph" w:styleId="ListBullet">
    <w:name w:val="List Bullet"/>
    <w:basedOn w:val="Normal"/>
    <w:uiPriority w:val="1"/>
    <w:unhideWhenUsed/>
    <w:rsid w:val="00124786"/>
    <w:pPr>
      <w:widowControl/>
      <w:numPr>
        <w:numId w:val="2"/>
      </w:numPr>
      <w:suppressAutoHyphens w:val="0"/>
      <w:spacing w:before="120" w:after="120" w:line="290" w:lineRule="exact"/>
    </w:pPr>
    <w:rPr>
      <w:rFonts w:asciiTheme="minorHAnsi" w:eastAsia="Times New Roman" w:hAnsiTheme="minorHAnsi"/>
      <w:kern w:val="0"/>
      <w:szCs w:val="20"/>
    </w:rPr>
  </w:style>
  <w:style w:type="paragraph" w:customStyle="1" w:styleId="TableFootnote">
    <w:name w:val="Table Footnote"/>
    <w:uiPriority w:val="1"/>
    <w:qFormat/>
    <w:rsid w:val="00124786"/>
    <w:pPr>
      <w:tabs>
        <w:tab w:val="left" w:pos="1080"/>
      </w:tabs>
      <w:spacing w:before="60" w:after="60" w:line="240" w:lineRule="auto"/>
      <w:contextualSpacing/>
    </w:pPr>
    <w:rPr>
      <w:rFonts w:asciiTheme="majorHAnsi" w:eastAsia="Times New Roman" w:hAnsiTheme="majorHAnsi" w:cs="Times New Roman"/>
      <w:sz w:val="18"/>
      <w:szCs w:val="20"/>
    </w:rPr>
  </w:style>
  <w:style w:type="paragraph" w:customStyle="1" w:styleId="TableTextLeft">
    <w:name w:val="Table Text Left"/>
    <w:basedOn w:val="Normal"/>
    <w:uiPriority w:val="1"/>
    <w:qFormat/>
    <w:rsid w:val="00124786"/>
    <w:pPr>
      <w:widowControl/>
      <w:suppressAutoHyphens w:val="0"/>
    </w:pPr>
    <w:rPr>
      <w:rFonts w:asciiTheme="majorHAnsi" w:eastAsia="Times New Roman" w:hAnsiTheme="majorHAnsi"/>
      <w:kern w:val="0"/>
      <w:sz w:val="20"/>
      <w:szCs w:val="20"/>
    </w:rPr>
  </w:style>
  <w:style w:type="paragraph" w:customStyle="1" w:styleId="TableTextCentered">
    <w:name w:val="Table Text Centered"/>
    <w:basedOn w:val="TableTextLeft"/>
    <w:uiPriority w:val="1"/>
    <w:qFormat/>
    <w:rsid w:val="00124786"/>
    <w:pPr>
      <w:jc w:val="center"/>
    </w:pPr>
  </w:style>
  <w:style w:type="paragraph" w:customStyle="1" w:styleId="References">
    <w:name w:val="References"/>
    <w:basedOn w:val="Normal"/>
    <w:uiPriority w:val="1"/>
    <w:qFormat/>
    <w:rsid w:val="00124786"/>
    <w:pPr>
      <w:keepLines/>
      <w:widowControl/>
      <w:suppressAutoHyphens w:val="0"/>
      <w:spacing w:after="60" w:line="290" w:lineRule="exact"/>
      <w:ind w:left="432" w:hanging="432"/>
    </w:pPr>
    <w:rPr>
      <w:rFonts w:asciiTheme="minorHAnsi" w:eastAsia="Times New Roman" w:hAnsiTheme="minorHAnsi"/>
      <w:kern w:val="0"/>
      <w:szCs w:val="20"/>
    </w:rPr>
  </w:style>
  <w:style w:type="character" w:customStyle="1" w:styleId="TitleSubtitle">
    <w:name w:val="Title_Subtitle"/>
    <w:basedOn w:val="DefaultParagraphFont"/>
    <w:uiPriority w:val="1"/>
    <w:qFormat/>
    <w:rsid w:val="00124786"/>
    <w:rPr>
      <w:rFonts w:asciiTheme="majorHAnsi" w:hAnsiTheme="majorHAnsi"/>
      <w:b/>
      <w:color w:val="44546A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7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78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2763-BC92-4BC8-85F9-3421B333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B6659-A407-48F8-82BF-AC2E106B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Curtin, Pooja (ACF)</cp:lastModifiedBy>
  <cp:revision>2</cp:revision>
  <dcterms:created xsi:type="dcterms:W3CDTF">2020-04-08T19:26:00Z</dcterms:created>
  <dcterms:modified xsi:type="dcterms:W3CDTF">2020-04-08T19:26:00Z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