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2A0DD9" w14:paraId="62DEA0B8" w14:textId="553BBBAD">
      <w:pPr>
        <w:pStyle w:val="ReportCover-Title"/>
        <w:jc w:val="center"/>
        <w:rPr>
          <w:rFonts w:ascii="Arial" w:hAnsi="Arial" w:cs="Arial"/>
          <w:color w:val="auto"/>
        </w:rPr>
      </w:pPr>
      <w:r>
        <w:rPr>
          <w:rFonts w:ascii="Arial" w:hAnsi="Arial" w:eastAsia="Arial Unicode MS" w:cs="Arial"/>
          <w:noProof/>
          <w:color w:val="auto"/>
        </w:rPr>
        <w:t>Feedback from</w:t>
      </w:r>
      <w:r w:rsidR="004914E9">
        <w:rPr>
          <w:rFonts w:ascii="Arial" w:hAnsi="Arial" w:eastAsia="Arial Unicode MS" w:cs="Arial"/>
          <w:noProof/>
          <w:color w:val="auto"/>
        </w:rPr>
        <w:t xml:space="preserve"> Head Start (HS) American Indian and Alaska Native (AIAN)</w:t>
      </w:r>
      <w:r>
        <w:rPr>
          <w:rFonts w:ascii="Arial" w:hAnsi="Arial" w:eastAsia="Arial Unicode MS" w:cs="Arial"/>
          <w:noProof/>
          <w:color w:val="auto"/>
        </w:rPr>
        <w:t xml:space="preserve"> Self-Review</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2A0DD9" w14:paraId="782F2D46" w14:textId="5035E162">
      <w:pPr>
        <w:pStyle w:val="ReportCover-Date"/>
        <w:jc w:val="center"/>
        <w:rPr>
          <w:rFonts w:ascii="Arial" w:hAnsi="Arial" w:cs="Arial"/>
          <w:color w:val="auto"/>
        </w:rPr>
      </w:pPr>
      <w:r>
        <w:rPr>
          <w:rFonts w:ascii="Arial" w:hAnsi="Arial" w:cs="Arial"/>
          <w:color w:val="auto"/>
        </w:rPr>
        <w:t>March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17A27B3D">
      <w:pPr>
        <w:spacing w:after="0" w:line="240" w:lineRule="auto"/>
        <w:jc w:val="center"/>
        <w:rPr>
          <w:rFonts w:ascii="Arial" w:hAnsi="Arial" w:cs="Arial"/>
        </w:rPr>
      </w:pPr>
      <w:r w:rsidRPr="00B13297">
        <w:rPr>
          <w:rFonts w:ascii="Arial" w:hAnsi="Arial" w:cs="Arial"/>
        </w:rPr>
        <w:t>Project Officer:</w:t>
      </w:r>
      <w:r w:rsidR="001A330D">
        <w:rPr>
          <w:rFonts w:ascii="Arial" w:hAnsi="Arial" w:cs="Arial"/>
        </w:rPr>
        <w:t xml:space="preserve"> </w:t>
      </w:r>
      <w:r w:rsidR="002A0DD9">
        <w:rPr>
          <w:rFonts w:ascii="Arial" w:hAnsi="Arial" w:cs="Arial"/>
        </w:rPr>
        <w:t>Wendy DeCourcey</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501A2F" w:rsidP="00624DDC" w:rsidRDefault="00501A2F" w14:paraId="69E62A66" w14:textId="77777777">
      <w:pPr>
        <w:spacing w:after="0" w:line="240" w:lineRule="auto"/>
        <w:jc w:val="center"/>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2A0DD9" w:rsidR="00053864" w:rsidP="00053864" w:rsidRDefault="00053864" w14:paraId="185475B6" w14:textId="77777777">
      <w:pPr>
        <w:pStyle w:val="ListParagraph"/>
        <w:spacing w:after="0" w:line="240" w:lineRule="auto"/>
      </w:pPr>
    </w:p>
    <w:p w:rsidRPr="00B04785" w:rsidR="00B04785" w:rsidP="00906F6A" w:rsidRDefault="00B04785" w14:paraId="00321FF0" w14:textId="5293D51B">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906F6A" w:rsidRDefault="00EA405B" w14:paraId="1FD514C1" w14:textId="78D17F26">
      <w:pPr>
        <w:spacing w:after="0" w:line="240" w:lineRule="auto"/>
      </w:pPr>
    </w:p>
    <w:p w:rsidRPr="004914E9" w:rsidR="00B3652D" w:rsidP="008A5302" w:rsidRDefault="00C53AEC" w14:paraId="6D04E0B1" w14:textId="2ADAF032">
      <w:pPr>
        <w:pStyle w:val="ListParagraph"/>
        <w:numPr>
          <w:ilvl w:val="0"/>
          <w:numId w:val="28"/>
        </w:numPr>
        <w:spacing w:after="0" w:line="240" w:lineRule="auto"/>
        <w:rPr>
          <w:rFonts w:cs="Calibri"/>
        </w:rPr>
      </w:pPr>
      <w:r w:rsidRPr="00053864">
        <w:rPr>
          <w:b/>
        </w:rPr>
        <w:t xml:space="preserve">Description of Request: </w:t>
      </w:r>
      <w:r w:rsidR="008A5302">
        <w:rPr>
          <w:bCs/>
        </w:rPr>
        <w:t>This request is t</w:t>
      </w:r>
      <w:r w:rsidRPr="008A5302" w:rsidR="008A5302">
        <w:rPr>
          <w:bCs/>
        </w:rPr>
        <w:t xml:space="preserve">o gather feedback and insights from </w:t>
      </w:r>
      <w:r w:rsidR="00F21904">
        <w:rPr>
          <w:bCs/>
        </w:rPr>
        <w:t xml:space="preserve">16 </w:t>
      </w:r>
      <w:r w:rsidRPr="008A5302" w:rsidR="008A5302">
        <w:rPr>
          <w:bCs/>
        </w:rPr>
        <w:t xml:space="preserve">Head Start (HS) American Indian and Alaskan Native (AIAN) programs who implemented the HS AIAN Classroom Assessment Scoring System (CLASS) self-review process. </w:t>
      </w:r>
      <w:r w:rsidRPr="008A5302" w:rsidR="002A0DD9">
        <w:rPr>
          <w:rFonts w:cs="Calibri"/>
        </w:rPr>
        <w:t xml:space="preserve">The team plans </w:t>
      </w:r>
      <w:r w:rsidR="008A5302">
        <w:rPr>
          <w:rFonts w:cs="Calibri"/>
        </w:rPr>
        <w:t xml:space="preserve">to conduct </w:t>
      </w:r>
      <w:r w:rsidRPr="008A5302" w:rsidR="002A0DD9">
        <w:rPr>
          <w:rFonts w:cs="Calibri"/>
        </w:rPr>
        <w:t xml:space="preserve">group discussions or individual interviews with the </w:t>
      </w:r>
      <w:r w:rsidR="00F21904">
        <w:rPr>
          <w:rFonts w:cs="Calibri"/>
        </w:rPr>
        <w:t xml:space="preserve">48 </w:t>
      </w:r>
      <w:r w:rsidRPr="008A5302" w:rsidR="00053864">
        <w:rPr>
          <w:rFonts w:cs="Calibri"/>
        </w:rPr>
        <w:t xml:space="preserve">program </w:t>
      </w:r>
      <w:r w:rsidR="00F21904">
        <w:rPr>
          <w:rFonts w:cs="Calibri"/>
        </w:rPr>
        <w:t>leader</w:t>
      </w:r>
      <w:r w:rsidRPr="008A5302" w:rsidR="002A0DD9">
        <w:rPr>
          <w:rFonts w:cs="Calibri"/>
        </w:rPr>
        <w:t>s and</w:t>
      </w:r>
      <w:r w:rsidRPr="00D75932" w:rsidR="00053864">
        <w:rPr>
          <w:rFonts w:cs="Calibri"/>
        </w:rPr>
        <w:t xml:space="preserve"> 30</w:t>
      </w:r>
      <w:r w:rsidRPr="00D75932" w:rsidR="002A0DD9">
        <w:rPr>
          <w:rFonts w:cs="Calibri"/>
        </w:rPr>
        <w:t xml:space="preserve"> initial </w:t>
      </w:r>
      <w:r w:rsidRPr="00D75932" w:rsidR="00053864">
        <w:rPr>
          <w:rFonts w:cs="Calibri"/>
        </w:rPr>
        <w:t xml:space="preserve">observers who implemented </w:t>
      </w:r>
      <w:r w:rsidRPr="00D75932" w:rsidR="002A0DD9">
        <w:rPr>
          <w:rFonts w:cs="Calibri"/>
        </w:rPr>
        <w:t>the AIAN self-review process</w:t>
      </w:r>
      <w:r w:rsidRPr="00D75932" w:rsidR="00053864">
        <w:rPr>
          <w:rFonts w:cs="Calibri"/>
        </w:rPr>
        <w:t xml:space="preserve"> in Spring 2022</w:t>
      </w:r>
      <w:r w:rsidRPr="00D75932" w:rsidR="002A0DD9">
        <w:rPr>
          <w:rFonts w:cs="Calibri"/>
        </w:rPr>
        <w:t>. Questions of interest include a) additional professional development and systems support need</w:t>
      </w:r>
      <w:r w:rsidRPr="00AC579F" w:rsidR="00053864">
        <w:rPr>
          <w:rFonts w:cs="Calibri"/>
        </w:rPr>
        <w:t>ed</w:t>
      </w:r>
      <w:r w:rsidRPr="00EB197A" w:rsidR="002A0DD9">
        <w:rPr>
          <w:rFonts w:cs="Calibri"/>
        </w:rPr>
        <w:t xml:space="preserve"> prior to implementing, b) challenges and lessons learned with implementation, and c) recommendations for future implementation.  The information is intended to inform the </w:t>
      </w:r>
      <w:r w:rsidR="008A5302">
        <w:rPr>
          <w:rFonts w:cs="Calibri"/>
        </w:rPr>
        <w:t>Office of Head Start’s</w:t>
      </w:r>
      <w:r w:rsidRPr="004914E9" w:rsidR="002A0DD9">
        <w:rPr>
          <w:rFonts w:cs="Calibri"/>
        </w:rPr>
        <w:t xml:space="preserve"> guidance for possible future self-review</w:t>
      </w:r>
      <w:r w:rsidRPr="004914E9" w:rsidR="00053864">
        <w:rPr>
          <w:rFonts w:cs="Calibri"/>
        </w:rPr>
        <w:t xml:space="preserve">s </w:t>
      </w:r>
      <w:r w:rsidR="00F21904">
        <w:rPr>
          <w:rFonts w:cs="Calibri"/>
        </w:rPr>
        <w:t xml:space="preserve">in AIAN HS programs </w:t>
      </w:r>
      <w:r w:rsidRPr="004914E9" w:rsidR="00053864">
        <w:rPr>
          <w:rFonts w:cs="Calibri"/>
        </w:rPr>
        <w:t>and will not be generalized to a broader population.</w:t>
      </w:r>
      <w:r w:rsidRPr="004914E9" w:rsidR="002A0DD9">
        <w:rPr>
          <w:rFonts w:cs="Calibri"/>
        </w:rPr>
        <w:t xml:space="preserve"> </w:t>
      </w:r>
      <w:r w:rsidRPr="004914E9"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053864" w:rsidR="00906F6A" w:rsidP="00906F6A" w:rsidRDefault="00906F6A" w14:paraId="579C578E" w14:textId="40FECDDD">
      <w:pPr>
        <w:pStyle w:val="ListParagraph"/>
        <w:numPr>
          <w:ilvl w:val="0"/>
          <w:numId w:val="28"/>
        </w:numPr>
        <w:spacing w:after="0" w:line="240" w:lineRule="auto"/>
        <w:rPr>
          <w:bCs/>
        </w:rPr>
      </w:pPr>
      <w:r w:rsidRPr="00906F6A">
        <w:rPr>
          <w:b/>
        </w:rPr>
        <w:t xml:space="preserve">Time Sensitivity: </w:t>
      </w:r>
      <w:r w:rsidRPr="00053864" w:rsidR="00053864">
        <w:rPr>
          <w:bCs/>
        </w:rPr>
        <w:t xml:space="preserve">OHS wants to finalize these conversations by August 2022, to inform the OHS guidance </w:t>
      </w:r>
      <w:r w:rsidR="007830E5">
        <w:rPr>
          <w:bCs/>
        </w:rPr>
        <w:t>over the</w:t>
      </w:r>
      <w:r w:rsidRPr="00053864" w:rsidR="00053864">
        <w:rPr>
          <w:bCs/>
        </w:rPr>
        <w:t xml:space="preserve"> 202</w:t>
      </w:r>
      <w:r w:rsidR="004914E9">
        <w:rPr>
          <w:bCs/>
        </w:rPr>
        <w:t xml:space="preserve">2-2023 </w:t>
      </w:r>
      <w:r w:rsidR="007830E5">
        <w:rPr>
          <w:bCs/>
        </w:rPr>
        <w:t xml:space="preserve">program </w:t>
      </w:r>
      <w:r w:rsidR="004914E9">
        <w:rPr>
          <w:bCs/>
        </w:rPr>
        <w:t>year.</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28494DE9">
      <w:pPr>
        <w:spacing w:after="120" w:line="240" w:lineRule="auto"/>
      </w:pPr>
      <w:r w:rsidRPr="00624DDC">
        <w:rPr>
          <w:b/>
        </w:rPr>
        <w:t>A1</w:t>
      </w:r>
      <w:r>
        <w:t>.</w:t>
      </w:r>
      <w:r>
        <w:tab/>
      </w:r>
      <w:r w:rsidRPr="004328A4" w:rsidR="004E5778">
        <w:rPr>
          <w:b/>
        </w:rPr>
        <w:t>Necessity for Collection</w:t>
      </w:r>
      <w:r w:rsidR="004E5778">
        <w:t xml:space="preserve"> </w:t>
      </w:r>
    </w:p>
    <w:p w:rsidR="00896296" w:rsidP="0095732D" w:rsidRDefault="001A330D" w14:paraId="3D18FA9D" w14:textId="3666185F">
      <w:pPr>
        <w:spacing w:after="0" w:line="240" w:lineRule="auto"/>
        <w:ind w:left="720"/>
        <w:rPr>
          <w:rFonts w:cstheme="minorHAnsi"/>
        </w:rPr>
      </w:pPr>
      <w:r>
        <w:rPr>
          <w:rFonts w:cstheme="minorHAnsi"/>
        </w:rPr>
        <w:t xml:space="preserve">The </w:t>
      </w:r>
      <w:r w:rsidRPr="00D75932">
        <w:rPr>
          <w:rFonts w:cstheme="minorHAnsi"/>
        </w:rPr>
        <w:t>C</w:t>
      </w:r>
      <w:r w:rsidRPr="00D75932">
        <w:rPr>
          <w:rFonts w:cstheme="minorHAnsi"/>
          <w:color w:val="000000"/>
        </w:rPr>
        <w:t>lassroom Assessment Scoring System (</w:t>
      </w:r>
      <w:r w:rsidRPr="00D75932">
        <w:rPr>
          <w:rFonts w:cstheme="minorHAnsi"/>
        </w:rPr>
        <w:t>CLASS)</w:t>
      </w:r>
      <w:r>
        <w:rPr>
          <w:rFonts w:cstheme="minorHAnsi"/>
        </w:rPr>
        <w:t xml:space="preserve"> is </w:t>
      </w:r>
      <w:r w:rsidRPr="00D75932">
        <w:rPr>
          <w:rFonts w:cstheme="minorHAnsi"/>
        </w:rPr>
        <w:t>an observational measure of early childhood classroom and teaching quality</w:t>
      </w:r>
      <w:r>
        <w:rPr>
          <w:rFonts w:cstheme="minorHAnsi"/>
        </w:rPr>
        <w:t xml:space="preserve"> that is usually implemented by </w:t>
      </w:r>
      <w:r w:rsidR="00896296">
        <w:rPr>
          <w:rFonts w:cstheme="minorHAnsi"/>
        </w:rPr>
        <w:t>Office of Head Start (</w:t>
      </w:r>
      <w:r>
        <w:rPr>
          <w:rFonts w:cstheme="minorHAnsi"/>
        </w:rPr>
        <w:t>OHS</w:t>
      </w:r>
      <w:r w:rsidR="00896296">
        <w:rPr>
          <w:rFonts w:cstheme="minorHAnsi"/>
        </w:rPr>
        <w:t>)</w:t>
      </w:r>
      <w:r>
        <w:rPr>
          <w:rFonts w:cstheme="minorHAnsi"/>
        </w:rPr>
        <w:t xml:space="preserve"> observers </w:t>
      </w:r>
      <w:r w:rsidR="00F21904">
        <w:rPr>
          <w:rFonts w:cstheme="minorHAnsi"/>
        </w:rPr>
        <w:t>who are i</w:t>
      </w:r>
      <w:r>
        <w:rPr>
          <w:rFonts w:cstheme="minorHAnsi"/>
        </w:rPr>
        <w:t xml:space="preserve">ndependent from the observed programs. </w:t>
      </w:r>
      <w:r w:rsidR="0095732D">
        <w:rPr>
          <w:rFonts w:cstheme="minorHAnsi"/>
        </w:rPr>
        <w:t>As part of a</w:t>
      </w:r>
      <w:r w:rsidR="00F21904">
        <w:rPr>
          <w:rFonts w:cstheme="minorHAnsi"/>
        </w:rPr>
        <w:t xml:space="preserve"> self-review pilot, 16 </w:t>
      </w:r>
      <w:r w:rsidRPr="008A5302" w:rsidR="0095732D">
        <w:rPr>
          <w:bCs/>
        </w:rPr>
        <w:t xml:space="preserve">Head Start (HS) American Indian and Alaskan Native (AIAN) </w:t>
      </w:r>
      <w:r w:rsidR="00F21904">
        <w:rPr>
          <w:rFonts w:cstheme="minorHAnsi"/>
        </w:rPr>
        <w:t xml:space="preserve">programs trained and certified staff from within their programs to complete the classroom observations, to potentially increase the cultural and community validity of the observations. </w:t>
      </w:r>
      <w:r w:rsidR="00896296">
        <w:rPr>
          <w:rFonts w:cstheme="minorHAnsi"/>
        </w:rPr>
        <w:t xml:space="preserve"> </w:t>
      </w:r>
      <w:r w:rsidRPr="00D75932" w:rsidR="006176DC">
        <w:rPr>
          <w:rFonts w:cstheme="minorHAnsi"/>
        </w:rPr>
        <w:t xml:space="preserve">From </w:t>
      </w:r>
      <w:r w:rsidRPr="00D75932" w:rsidR="0014630A">
        <w:rPr>
          <w:rFonts w:cstheme="minorHAnsi"/>
        </w:rPr>
        <w:t xml:space="preserve">March 2022 </w:t>
      </w:r>
      <w:r w:rsidRPr="00D75932" w:rsidR="006176DC">
        <w:rPr>
          <w:rFonts w:cstheme="minorHAnsi"/>
        </w:rPr>
        <w:t xml:space="preserve">to approximately </w:t>
      </w:r>
      <w:r w:rsidRPr="00D75932" w:rsidR="0014630A">
        <w:rPr>
          <w:rFonts w:cstheme="minorHAnsi"/>
        </w:rPr>
        <w:t xml:space="preserve">July of </w:t>
      </w:r>
      <w:r w:rsidRPr="00D75932" w:rsidR="006176DC">
        <w:rPr>
          <w:rFonts w:cstheme="minorHAnsi"/>
        </w:rPr>
        <w:t xml:space="preserve">2022, </w:t>
      </w:r>
      <w:r w:rsidR="00F21904">
        <w:rPr>
          <w:rFonts w:cstheme="minorHAnsi"/>
        </w:rPr>
        <w:t>the</w:t>
      </w:r>
      <w:r w:rsidRPr="00D75932" w:rsidR="006176DC">
        <w:rPr>
          <w:rFonts w:cstheme="minorHAnsi"/>
        </w:rPr>
        <w:t xml:space="preserve"> group of 16 </w:t>
      </w:r>
      <w:r w:rsidRPr="008A5302" w:rsidR="00D75932">
        <w:rPr>
          <w:bCs/>
        </w:rPr>
        <w:t>HS</w:t>
      </w:r>
      <w:r w:rsidR="00896296">
        <w:rPr>
          <w:bCs/>
        </w:rPr>
        <w:t xml:space="preserve"> </w:t>
      </w:r>
      <w:r w:rsidRPr="008A5302" w:rsidR="00D75932">
        <w:rPr>
          <w:bCs/>
        </w:rPr>
        <w:t xml:space="preserve">AIAN </w:t>
      </w:r>
      <w:r w:rsidRPr="00D75932" w:rsidR="006176DC">
        <w:rPr>
          <w:rFonts w:cstheme="minorHAnsi"/>
        </w:rPr>
        <w:t>programs will implement the</w:t>
      </w:r>
      <w:r w:rsidRPr="00D75932" w:rsidR="009456BB">
        <w:rPr>
          <w:rFonts w:cstheme="minorHAnsi"/>
        </w:rPr>
        <w:t xml:space="preserve"> CLASS</w:t>
      </w:r>
      <w:r w:rsidR="00896296">
        <w:rPr>
          <w:rFonts w:cstheme="minorHAnsi"/>
        </w:rPr>
        <w:t xml:space="preserve"> </w:t>
      </w:r>
      <w:r w:rsidR="00F21904">
        <w:rPr>
          <w:rFonts w:cstheme="minorHAnsi"/>
        </w:rPr>
        <w:t>using</w:t>
      </w:r>
      <w:r w:rsidR="00896296">
        <w:rPr>
          <w:rFonts w:cstheme="minorHAnsi"/>
        </w:rPr>
        <w:t xml:space="preserve"> t</w:t>
      </w:r>
      <w:r w:rsidRPr="00D75932" w:rsidR="006176DC">
        <w:rPr>
          <w:rFonts w:cstheme="minorHAnsi"/>
        </w:rPr>
        <w:t>he observers trained and certified staff from the</w:t>
      </w:r>
      <w:r w:rsidRPr="00D75932" w:rsidR="0098083C">
        <w:rPr>
          <w:rFonts w:cstheme="minorHAnsi"/>
        </w:rPr>
        <w:t>ir respective</w:t>
      </w:r>
      <w:r w:rsidRPr="00D75932" w:rsidR="006176DC">
        <w:rPr>
          <w:rFonts w:cstheme="minorHAnsi"/>
        </w:rPr>
        <w:t xml:space="preserve"> AIAN programs (i.e. </w:t>
      </w:r>
      <w:r w:rsidRPr="00D75932" w:rsidR="0098083C">
        <w:rPr>
          <w:rFonts w:cstheme="minorHAnsi"/>
        </w:rPr>
        <w:t xml:space="preserve">staff from the program will be observing classrooms </w:t>
      </w:r>
      <w:r w:rsidRPr="00D75932" w:rsidR="00354E6B">
        <w:rPr>
          <w:rFonts w:cstheme="minorHAnsi"/>
        </w:rPr>
        <w:t>with</w:t>
      </w:r>
      <w:r w:rsidRPr="00D75932" w:rsidR="0098083C">
        <w:rPr>
          <w:rFonts w:cstheme="minorHAnsi"/>
        </w:rPr>
        <w:t xml:space="preserve">in their </w:t>
      </w:r>
      <w:r w:rsidRPr="00D75932" w:rsidR="00354E6B">
        <w:rPr>
          <w:rFonts w:cstheme="minorHAnsi"/>
        </w:rPr>
        <w:t xml:space="preserve">own </w:t>
      </w:r>
      <w:r w:rsidRPr="00814DF6" w:rsidR="0098083C">
        <w:rPr>
          <w:rFonts w:cstheme="minorHAnsi"/>
        </w:rPr>
        <w:t xml:space="preserve">program; a.k.a. </w:t>
      </w:r>
      <w:r w:rsidRPr="00814DF6" w:rsidR="006176DC">
        <w:rPr>
          <w:rFonts w:cstheme="minorHAnsi"/>
        </w:rPr>
        <w:t>program ‘self-review’).</w:t>
      </w:r>
      <w:r w:rsidRPr="00814DF6" w:rsidR="0098083C">
        <w:rPr>
          <w:rFonts w:cstheme="minorHAnsi"/>
        </w:rPr>
        <w:t xml:space="preserve"> </w:t>
      </w:r>
    </w:p>
    <w:p w:rsidR="00896296" w:rsidP="00896296" w:rsidRDefault="00896296" w14:paraId="4E043F56" w14:textId="77777777">
      <w:pPr>
        <w:spacing w:after="0" w:line="240" w:lineRule="auto"/>
        <w:ind w:left="720"/>
        <w:rPr>
          <w:rFonts w:cstheme="minorHAnsi"/>
        </w:rPr>
      </w:pPr>
    </w:p>
    <w:p w:rsidR="006D6727" w:rsidP="006D6727" w:rsidRDefault="00814DF6" w14:paraId="63167FF7" w14:textId="233D66A1">
      <w:pPr>
        <w:spacing w:after="0" w:line="240" w:lineRule="auto"/>
        <w:ind w:left="720"/>
      </w:pPr>
      <w:r>
        <w:rPr>
          <w:rFonts w:cstheme="minorHAnsi"/>
        </w:rPr>
        <w:t xml:space="preserve">The </w:t>
      </w:r>
      <w:r w:rsidRPr="00D75932" w:rsidR="006176DC">
        <w:rPr>
          <w:rFonts w:cstheme="minorHAnsi"/>
        </w:rPr>
        <w:t>proposed discussions</w:t>
      </w:r>
      <w:r w:rsidRPr="00814DF6" w:rsidR="006176DC">
        <w:t>/i</w:t>
      </w:r>
      <w:r w:rsidRPr="00814DF6" w:rsidR="006176DC">
        <w:rPr>
          <w:rFonts w:cstheme="minorHAnsi"/>
        </w:rPr>
        <w:t>nterviews with the</w:t>
      </w:r>
      <w:r w:rsidRPr="004914E9" w:rsidR="006176DC">
        <w:rPr>
          <w:rFonts w:cstheme="minorHAnsi"/>
        </w:rPr>
        <w:t xml:space="preserve"> self-review implementers </w:t>
      </w:r>
      <w:r w:rsidR="00896296">
        <w:rPr>
          <w:rFonts w:cstheme="minorHAnsi"/>
        </w:rPr>
        <w:t xml:space="preserve">will provide information that </w:t>
      </w:r>
      <w:r>
        <w:rPr>
          <w:rFonts w:cstheme="minorHAnsi"/>
        </w:rPr>
        <w:t xml:space="preserve">is necessary </w:t>
      </w:r>
      <w:r w:rsidR="00896296">
        <w:rPr>
          <w:rFonts w:cstheme="minorHAnsi"/>
        </w:rPr>
        <w:t xml:space="preserve">to inform </w:t>
      </w:r>
      <w:r w:rsidR="004914E9">
        <w:rPr>
          <w:rFonts w:cstheme="minorHAnsi"/>
        </w:rPr>
        <w:t xml:space="preserve">OHS </w:t>
      </w:r>
      <w:r w:rsidR="00896296">
        <w:rPr>
          <w:rFonts w:cstheme="minorHAnsi"/>
        </w:rPr>
        <w:t>the development of</w:t>
      </w:r>
      <w:r>
        <w:rPr>
          <w:rFonts w:cstheme="minorHAnsi"/>
        </w:rPr>
        <w:t xml:space="preserve"> appropriate </w:t>
      </w:r>
      <w:r w:rsidRPr="00D75932" w:rsidR="006176DC">
        <w:rPr>
          <w:rFonts w:cstheme="minorHAnsi"/>
        </w:rPr>
        <w:t>guidance and professional development</w:t>
      </w:r>
      <w:r w:rsidR="00896296">
        <w:rPr>
          <w:rFonts w:cstheme="minorHAnsi"/>
        </w:rPr>
        <w:t>,</w:t>
      </w:r>
      <w:r w:rsidR="001A330D">
        <w:rPr>
          <w:rFonts w:cstheme="minorHAnsi"/>
        </w:rPr>
        <w:t xml:space="preserve"> if </w:t>
      </w:r>
      <w:r w:rsidR="00F21904">
        <w:rPr>
          <w:rFonts w:cstheme="minorHAnsi"/>
        </w:rPr>
        <w:t>OHS pursue</w:t>
      </w:r>
      <w:r w:rsidR="006D6727">
        <w:rPr>
          <w:rFonts w:cstheme="minorHAnsi"/>
        </w:rPr>
        <w:t>s any additional self-reviews in the 2022-2023 program year. The information will not address validity, benefits or accuracy of the observations; it will address implementation experiences and recommendations of the programs.</w:t>
      </w:r>
    </w:p>
    <w:p w:rsidR="004328A4" w:rsidP="006D6727" w:rsidRDefault="004328A4" w14:paraId="778B15CC" w14:textId="2A239C79">
      <w:pPr>
        <w:spacing w:after="0" w:line="240" w:lineRule="auto"/>
        <w:ind w:left="720"/>
      </w:pPr>
    </w:p>
    <w:p w:rsidR="0095732D" w:rsidP="006D6727" w:rsidRDefault="0095732D" w14:paraId="33368541" w14:textId="77777777">
      <w:pPr>
        <w:spacing w:after="0" w:line="240" w:lineRule="auto"/>
        <w:ind w:left="72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4914E9" w:rsidRDefault="004328A4" w14:paraId="6DDDCEC8" w14:textId="2DD3EE30">
      <w:pPr>
        <w:spacing w:after="120" w:line="240" w:lineRule="auto"/>
        <w:ind w:firstLine="720"/>
        <w:rPr>
          <w:i/>
        </w:rPr>
      </w:pPr>
      <w:r w:rsidRPr="004328A4">
        <w:rPr>
          <w:i/>
        </w:rPr>
        <w:t xml:space="preserve">Purpose and Use </w:t>
      </w:r>
    </w:p>
    <w:p w:rsidRPr="00501A2F" w:rsidR="00014EDC" w:rsidP="00C17352" w:rsidRDefault="00014EDC" w14:paraId="0F45500D" w14:textId="74C04757">
      <w:pPr>
        <w:spacing w:after="60"/>
        <w:ind w:left="72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Pr="00501A2F" w:rsidR="00014EDC" w:rsidRDefault="00014EDC" w14:paraId="711CC69B" w14:textId="59BE072A">
      <w:pPr>
        <w:pStyle w:val="ListParagraph"/>
        <w:numPr>
          <w:ilvl w:val="0"/>
          <w:numId w:val="44"/>
        </w:numPr>
        <w:spacing w:after="0" w:line="240" w:lineRule="auto"/>
        <w:contextualSpacing w:val="0"/>
        <w:rPr>
          <w:rFonts w:cstheme="minorHAnsi"/>
        </w:rPr>
      </w:pPr>
      <w:r w:rsidRPr="00501A2F">
        <w:rPr>
          <w:rFonts w:cstheme="minorHAnsi"/>
        </w:rPr>
        <w:t>Delivery of targeted assistance related to program implementation or the development or refinement of program processes.</w:t>
      </w:r>
    </w:p>
    <w:p w:rsidRPr="00501A2F" w:rsidR="00014EDC" w:rsidRDefault="00014EDC" w14:paraId="77FC17E0" w14:textId="6A25AED2">
      <w:pPr>
        <w:pStyle w:val="ListParagraph"/>
        <w:numPr>
          <w:ilvl w:val="0"/>
          <w:numId w:val="44"/>
        </w:numPr>
        <w:spacing w:after="0" w:line="240" w:lineRule="auto"/>
        <w:contextualSpacing w:val="0"/>
        <w:rPr>
          <w:rFonts w:cstheme="minorHAnsi"/>
        </w:rPr>
      </w:pPr>
      <w:r w:rsidRPr="00501A2F">
        <w:rPr>
          <w:rFonts w:cstheme="minorHAnsi"/>
        </w:rPr>
        <w:t>Planning for provision of programmatic training or technical assistance (T/TA).</w:t>
      </w:r>
    </w:p>
    <w:p w:rsidRPr="00501A2F" w:rsidR="00014EDC" w:rsidRDefault="00014EDC" w14:paraId="1D2CD80D" w14:textId="77777777">
      <w:pPr>
        <w:pStyle w:val="ListParagraph"/>
        <w:numPr>
          <w:ilvl w:val="0"/>
          <w:numId w:val="44"/>
        </w:numPr>
        <w:spacing w:after="0" w:line="240" w:lineRule="auto"/>
        <w:contextualSpacing w:val="0"/>
        <w:rPr>
          <w:rFonts w:cstheme="minorHAnsi"/>
        </w:rPr>
      </w:pPr>
      <w:r w:rsidRPr="00501A2F">
        <w:rPr>
          <w:rFonts w:cstheme="minorHAnsi"/>
        </w:rPr>
        <w:t>Obtaining grantee or other stakeholder input on the development of program performance measures.</w:t>
      </w:r>
    </w:p>
    <w:p w:rsidRPr="00014EDC" w:rsidR="004328A4" w:rsidP="00DF1291" w:rsidRDefault="004328A4" w14:paraId="36656807" w14:textId="1CC7EE16">
      <w:pPr>
        <w:spacing w:after="0" w:line="240" w:lineRule="auto"/>
        <w:rPr>
          <w:rFonts w:cstheme="minorHAnsi"/>
          <w:i/>
        </w:rPr>
      </w:pPr>
    </w:p>
    <w:p w:rsidRPr="00014EDC" w:rsidR="00A36134" w:rsidP="00D5719E" w:rsidRDefault="00896296" w14:paraId="12840CC4" w14:textId="5959722A">
      <w:pPr>
        <w:spacing w:after="0" w:line="240" w:lineRule="auto"/>
        <w:ind w:left="720"/>
        <w:rPr>
          <w:rFonts w:cstheme="minorHAnsi"/>
        </w:rPr>
      </w:pPr>
      <w:r>
        <w:rPr>
          <w:rFonts w:cstheme="minorHAnsi"/>
        </w:rPr>
        <w:t>The purpose of t</w:t>
      </w:r>
      <w:r w:rsidR="00D5719E">
        <w:rPr>
          <w:rFonts w:cstheme="minorHAnsi"/>
        </w:rPr>
        <w:t xml:space="preserve">he proposed interviews and group discussions </w:t>
      </w:r>
      <w:r>
        <w:rPr>
          <w:rFonts w:cstheme="minorHAnsi"/>
        </w:rPr>
        <w:t xml:space="preserve">is </w:t>
      </w:r>
      <w:r w:rsidR="00D5719E">
        <w:rPr>
          <w:rFonts w:cstheme="minorHAnsi"/>
        </w:rPr>
        <w:t>to inform OHS guidance</w:t>
      </w:r>
      <w:r w:rsidR="006D6727">
        <w:rPr>
          <w:rFonts w:cstheme="minorHAnsi"/>
        </w:rPr>
        <w:t xml:space="preserve"> and </w:t>
      </w:r>
      <w:r w:rsidR="00D5719E">
        <w:rPr>
          <w:rFonts w:cstheme="minorHAnsi"/>
        </w:rPr>
        <w:t>targeted assistance</w:t>
      </w:r>
      <w:r w:rsidR="006D6727">
        <w:rPr>
          <w:rFonts w:cstheme="minorHAnsi"/>
        </w:rPr>
        <w:t xml:space="preserve"> for self-review</w:t>
      </w:r>
      <w:r w:rsidR="00D5719E">
        <w:rPr>
          <w:rFonts w:cstheme="minorHAnsi"/>
        </w:rPr>
        <w:t xml:space="preserve"> processes</w:t>
      </w:r>
      <w:r>
        <w:rPr>
          <w:rFonts w:cstheme="minorHAnsi"/>
        </w:rPr>
        <w:t xml:space="preserve">. OHS does not have sufficient information about this model of self-review for the use of CLASS. </w:t>
      </w:r>
      <w:r w:rsidR="006D6727">
        <w:rPr>
          <w:rFonts w:cstheme="minorHAnsi"/>
        </w:rPr>
        <w:t>I</w:t>
      </w:r>
      <w:r w:rsidR="0095732D">
        <w:rPr>
          <w:rFonts w:cstheme="minorHAnsi"/>
        </w:rPr>
        <w:t>f</w:t>
      </w:r>
      <w:r w:rsidR="006D6727">
        <w:rPr>
          <w:rFonts w:cstheme="minorHAnsi"/>
        </w:rPr>
        <w:t xml:space="preserve"> </w:t>
      </w:r>
      <w:r w:rsidR="00D5719E">
        <w:rPr>
          <w:rFonts w:cstheme="minorHAnsi"/>
        </w:rPr>
        <w:t>OHS decides to continue with the self-review approach</w:t>
      </w:r>
      <w:r w:rsidR="00D65FDB">
        <w:rPr>
          <w:rFonts w:cstheme="minorHAnsi"/>
        </w:rPr>
        <w:t>, the feedback from the program directors and staff on the self-review approach and the</w:t>
      </w:r>
      <w:r w:rsidR="005E1708">
        <w:rPr>
          <w:rFonts w:cstheme="minorHAnsi"/>
        </w:rPr>
        <w:t xml:space="preserve"> provided</w:t>
      </w:r>
      <w:r w:rsidR="00D65FDB">
        <w:rPr>
          <w:rFonts w:cstheme="minorHAnsi"/>
        </w:rPr>
        <w:t xml:space="preserve"> training and technical assistance will</w:t>
      </w:r>
      <w:r w:rsidR="00D5719E">
        <w:rPr>
          <w:rFonts w:cstheme="minorHAnsi"/>
        </w:rPr>
        <w:t xml:space="preserve"> inform </w:t>
      </w:r>
      <w:r w:rsidR="005E1708">
        <w:rPr>
          <w:rFonts w:cstheme="minorHAnsi"/>
        </w:rPr>
        <w:t>OHS</w:t>
      </w:r>
      <w:r w:rsidR="00D5719E">
        <w:rPr>
          <w:rFonts w:cstheme="minorHAnsi"/>
        </w:rPr>
        <w:t xml:space="preserve"> </w:t>
      </w:r>
      <w:r w:rsidR="00D65FDB">
        <w:rPr>
          <w:rFonts w:cstheme="minorHAnsi"/>
        </w:rPr>
        <w:t xml:space="preserve">guidance, </w:t>
      </w:r>
      <w:r w:rsidR="00D5719E">
        <w:rPr>
          <w:rFonts w:cstheme="minorHAnsi"/>
        </w:rPr>
        <w:t>training</w:t>
      </w:r>
      <w:r w:rsidR="0095732D">
        <w:rPr>
          <w:rFonts w:cstheme="minorHAnsi"/>
        </w:rPr>
        <w:t>,</w:t>
      </w:r>
      <w:r w:rsidR="00D5719E">
        <w:rPr>
          <w:rFonts w:cstheme="minorHAnsi"/>
        </w:rPr>
        <w:t xml:space="preserve"> and technical assistance</w:t>
      </w:r>
      <w:r w:rsidR="00D65FDB">
        <w:rPr>
          <w:rFonts w:cstheme="minorHAnsi"/>
        </w:rPr>
        <w:t xml:space="preserve"> for the upcoming program year (2022-2023). </w:t>
      </w:r>
      <w:r w:rsidR="00D5719E">
        <w:rPr>
          <w:rFonts w:cstheme="minorHAnsi"/>
        </w:rPr>
        <w:t xml:space="preserve"> </w:t>
      </w:r>
    </w:p>
    <w:p w:rsidR="007D0F6E" w:rsidP="00DF1291" w:rsidRDefault="007D0F6E" w14:paraId="3D05813B" w14:textId="0C8A4247">
      <w:pPr>
        <w:spacing w:after="0" w:line="240" w:lineRule="auto"/>
        <w:rPr>
          <w:i/>
        </w:rPr>
      </w:pPr>
    </w:p>
    <w:p w:rsidR="00D5719E" w:rsidP="00D5719E" w:rsidRDefault="00D5719E" w14:paraId="2F1D5A7C" w14:textId="0107687D">
      <w:pPr>
        <w:spacing w:after="0" w:line="240" w:lineRule="auto"/>
        <w:ind w:left="720"/>
        <w:rPr>
          <w:iCs/>
        </w:rPr>
      </w:pPr>
      <w:r>
        <w:rPr>
          <w:iCs/>
        </w:rPr>
        <w:t xml:space="preserve">Themes from the interviews and discussions will be combined in one report for OHS, and </w:t>
      </w:r>
      <w:r w:rsidR="00BF0A5B">
        <w:rPr>
          <w:iCs/>
        </w:rPr>
        <w:t xml:space="preserve">a </w:t>
      </w:r>
      <w:r>
        <w:rPr>
          <w:iCs/>
        </w:rPr>
        <w:t>brief summarizing the themes will be provided to the participating programs.</w:t>
      </w:r>
      <w:r w:rsidR="00D65FDB">
        <w:rPr>
          <w:iCs/>
        </w:rPr>
        <w:t xml:space="preserve"> Information may inform future resources related to the self-review process that may be made public. </w:t>
      </w:r>
    </w:p>
    <w:p w:rsidR="00D65FDB" w:rsidP="00D5719E" w:rsidRDefault="00D65FDB" w14:paraId="0CB27E0C" w14:textId="77777777">
      <w:pPr>
        <w:spacing w:after="0" w:line="240" w:lineRule="auto"/>
        <w:ind w:left="720"/>
        <w:rPr>
          <w:rFonts w:cstheme="minorHAnsi"/>
        </w:rPr>
      </w:pPr>
    </w:p>
    <w:p w:rsidR="00BF0A5B" w:rsidP="00D5719E" w:rsidRDefault="00D65FDB" w14:paraId="626FC87E" w14:textId="017E9943">
      <w:pPr>
        <w:spacing w:after="0" w:line="240" w:lineRule="auto"/>
        <w:ind w:left="720"/>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D65FDB" w:rsidP="00D5719E" w:rsidRDefault="00D65FDB" w14:paraId="58F44336" w14:textId="4DA2EA66">
      <w:pPr>
        <w:spacing w:after="0" w:line="240" w:lineRule="auto"/>
        <w:ind w:left="720"/>
        <w:rPr>
          <w:iCs/>
        </w:rPr>
      </w:pPr>
    </w:p>
    <w:p w:rsidR="0095732D" w:rsidP="00D5719E" w:rsidRDefault="0095732D" w14:paraId="7E073872" w14:textId="760D751B">
      <w:pPr>
        <w:spacing w:after="0" w:line="240" w:lineRule="auto"/>
        <w:ind w:left="720"/>
        <w:rPr>
          <w:iCs/>
        </w:rPr>
      </w:pPr>
    </w:p>
    <w:p w:rsidRPr="00D5719E" w:rsidR="0095732D" w:rsidP="00D5719E" w:rsidRDefault="0095732D" w14:paraId="7D528B36" w14:textId="77777777">
      <w:pPr>
        <w:spacing w:after="0" w:line="240" w:lineRule="auto"/>
        <w:ind w:left="720"/>
        <w:rPr>
          <w:iCs/>
        </w:rPr>
      </w:pPr>
    </w:p>
    <w:p w:rsidR="004328A4" w:rsidP="00D5719E" w:rsidRDefault="004328A4" w14:paraId="5C99A251" w14:textId="79D81A98">
      <w:pPr>
        <w:spacing w:after="120" w:line="240" w:lineRule="auto"/>
        <w:ind w:firstLine="720"/>
        <w:rPr>
          <w:i/>
        </w:rPr>
      </w:pPr>
      <w:r>
        <w:rPr>
          <w:i/>
        </w:rPr>
        <w:lastRenderedPageBreak/>
        <w:t>Study Design</w:t>
      </w:r>
      <w:r w:rsidR="00192938">
        <w:rPr>
          <w:i/>
        </w:rPr>
        <w:t>/Information Collection Procedures and Processes</w:t>
      </w:r>
    </w:p>
    <w:p w:rsidR="0042265D" w:rsidP="0095732D" w:rsidRDefault="0098083C" w14:paraId="5019B676" w14:textId="77777777">
      <w:pPr>
        <w:spacing w:after="120" w:line="240" w:lineRule="auto"/>
        <w:ind w:left="720"/>
        <w:rPr>
          <w:iCs/>
        </w:rPr>
      </w:pPr>
      <w:r>
        <w:rPr>
          <w:iCs/>
        </w:rPr>
        <w:t>On a rolling basis from March 2022 to approximately July 2022, the sixteen programs plan to implement the CLASS self-review. As soon as possible after this implementation, the team will schedule interviews or group discussions</w:t>
      </w:r>
      <w:r w:rsidR="00B7633A">
        <w:rPr>
          <w:iCs/>
        </w:rPr>
        <w:t xml:space="preserve">. </w:t>
      </w:r>
    </w:p>
    <w:p w:rsidR="0042265D" w:rsidP="0095732D" w:rsidRDefault="00814DF6" w14:paraId="4338C3DD" w14:textId="72A43BD2">
      <w:pPr>
        <w:pStyle w:val="ListParagraph"/>
        <w:numPr>
          <w:ilvl w:val="0"/>
          <w:numId w:val="47"/>
        </w:numPr>
        <w:spacing w:after="60" w:line="240" w:lineRule="auto"/>
        <w:rPr>
          <w:iCs/>
        </w:rPr>
      </w:pPr>
      <w:r w:rsidRPr="0042265D">
        <w:rPr>
          <w:iCs/>
        </w:rPr>
        <w:t xml:space="preserve">We will interview </w:t>
      </w:r>
      <w:r w:rsidRPr="00BF0A5B">
        <w:rPr>
          <w:iCs/>
        </w:rPr>
        <w:t>the</w:t>
      </w:r>
      <w:r w:rsidRPr="00BF0A5B" w:rsidR="00A47875">
        <w:rPr>
          <w:iCs/>
        </w:rPr>
        <w:t xml:space="preserve"> program</w:t>
      </w:r>
      <w:r w:rsidRPr="00BF0A5B" w:rsidR="00B7633A">
        <w:rPr>
          <w:iCs/>
        </w:rPr>
        <w:t xml:space="preserve"> directors </w:t>
      </w:r>
      <w:r w:rsidRPr="00BF0A5B" w:rsidR="0014630A">
        <w:rPr>
          <w:iCs/>
        </w:rPr>
        <w:t xml:space="preserve">and relevant leadership </w:t>
      </w:r>
      <w:r w:rsidRPr="00BF0A5B">
        <w:rPr>
          <w:iCs/>
        </w:rPr>
        <w:t xml:space="preserve">from each of the sixteen programs. Relevant leadership will be identified by the program directors and may include </w:t>
      </w:r>
      <w:r w:rsidRPr="00BF0A5B" w:rsidR="0014630A">
        <w:rPr>
          <w:iCs/>
        </w:rPr>
        <w:t>Tribal and administrative leadership for their program</w:t>
      </w:r>
      <w:r w:rsidRPr="00BF0A5B" w:rsidR="00B7633A">
        <w:rPr>
          <w:iCs/>
        </w:rPr>
        <w:t xml:space="preserve">. </w:t>
      </w:r>
    </w:p>
    <w:p w:rsidRPr="0042265D" w:rsidR="00B7633A" w:rsidP="00BF0A5B" w:rsidRDefault="0042265D" w14:paraId="08A4464E" w14:textId="470F2CA5">
      <w:pPr>
        <w:pStyle w:val="ListParagraph"/>
        <w:numPr>
          <w:ilvl w:val="0"/>
          <w:numId w:val="47"/>
        </w:numPr>
        <w:spacing w:after="0" w:line="240" w:lineRule="auto"/>
        <w:rPr>
          <w:iCs/>
        </w:rPr>
      </w:pPr>
      <w:r>
        <w:rPr>
          <w:iCs/>
        </w:rPr>
        <w:t xml:space="preserve">We </w:t>
      </w:r>
      <w:r w:rsidRPr="0042265D" w:rsidR="00B7633A">
        <w:rPr>
          <w:iCs/>
        </w:rPr>
        <w:t>will schedule small group discussions (2 to 8 people</w:t>
      </w:r>
      <w:r w:rsidRPr="0042265D" w:rsidR="0014630A">
        <w:rPr>
          <w:iCs/>
        </w:rPr>
        <w:t xml:space="preserve"> each</w:t>
      </w:r>
      <w:r w:rsidRPr="0042265D" w:rsidR="00B7633A">
        <w:rPr>
          <w:iCs/>
        </w:rPr>
        <w:t xml:space="preserve">) for the program CLASS observers. </w:t>
      </w:r>
      <w:r w:rsidRPr="0042265D" w:rsidR="0014630A">
        <w:rPr>
          <w:iCs/>
        </w:rPr>
        <w:t xml:space="preserve">If </w:t>
      </w:r>
      <w:r w:rsidRPr="0042265D" w:rsidR="00B7633A">
        <w:rPr>
          <w:iCs/>
        </w:rPr>
        <w:t xml:space="preserve">an individual program observer cannot be scheduled for a group discussion, </w:t>
      </w:r>
      <w:r w:rsidRPr="0042265D" w:rsidR="0098083C">
        <w:rPr>
          <w:iCs/>
        </w:rPr>
        <w:t xml:space="preserve">they would be offered </w:t>
      </w:r>
      <w:r w:rsidRPr="0042265D" w:rsidR="00B7633A">
        <w:rPr>
          <w:iCs/>
        </w:rPr>
        <w:t>the opportunity to participate in a one-on-one</w:t>
      </w:r>
      <w:r w:rsidRPr="0042265D" w:rsidR="0098083C">
        <w:rPr>
          <w:iCs/>
        </w:rPr>
        <w:t xml:space="preserve"> interview</w:t>
      </w:r>
      <w:r w:rsidRPr="0042265D" w:rsidR="00B7633A">
        <w:rPr>
          <w:iCs/>
        </w:rPr>
        <w:t>.</w:t>
      </w:r>
    </w:p>
    <w:p w:rsidR="00814DF6" w:rsidP="00BF0A5B" w:rsidRDefault="00814DF6" w14:paraId="14A14EF4" w14:textId="77777777">
      <w:pPr>
        <w:spacing w:after="0" w:line="240" w:lineRule="auto"/>
        <w:rPr>
          <w:iCs/>
        </w:rPr>
      </w:pPr>
    </w:p>
    <w:p w:rsidR="0098083C" w:rsidP="0095732D" w:rsidRDefault="00B7633A" w14:paraId="728120B1" w14:textId="485B895C">
      <w:pPr>
        <w:spacing w:after="0" w:line="240" w:lineRule="auto"/>
        <w:ind w:left="720"/>
        <w:rPr>
          <w:iCs/>
        </w:rPr>
      </w:pPr>
      <w:r>
        <w:rPr>
          <w:iCs/>
        </w:rPr>
        <w:t xml:space="preserve">This qualitative approach is appropriate for gathering community input and feedback on the self-review process, giving each participant an opportunity to provide insights from their experience. </w:t>
      </w:r>
    </w:p>
    <w:p w:rsidR="0095732D" w:rsidP="0095732D" w:rsidRDefault="0095732D" w14:paraId="7AB17824" w14:textId="77777777">
      <w:pPr>
        <w:spacing w:after="0" w:line="240" w:lineRule="auto"/>
        <w:ind w:left="720"/>
        <w:rPr>
          <w:iCs/>
        </w:rPr>
      </w:pPr>
    </w:p>
    <w:p w:rsidRPr="0098083C" w:rsidR="00B7633A" w:rsidP="00BF0A5B" w:rsidRDefault="00B7633A" w14:paraId="5B962F7A" w14:textId="790C10E6">
      <w:pPr>
        <w:spacing w:after="120" w:line="240" w:lineRule="auto"/>
        <w:ind w:firstLine="720"/>
        <w:rPr>
          <w:iCs/>
        </w:rPr>
      </w:pPr>
      <w:r>
        <w:rPr>
          <w:iCs/>
        </w:rPr>
        <w:t>The results are not intended to be generalizable or representative of other groups.</w:t>
      </w:r>
    </w:p>
    <w:tbl>
      <w:tblPr>
        <w:tblStyle w:val="TableGrid"/>
        <w:tblW w:w="9445" w:type="dxa"/>
        <w:tblInd w:w="0" w:type="dxa"/>
        <w:tblLook w:val="04A0" w:firstRow="1" w:lastRow="0" w:firstColumn="1" w:lastColumn="0" w:noHBand="0" w:noVBand="1"/>
      </w:tblPr>
      <w:tblGrid>
        <w:gridCol w:w="1900"/>
        <w:gridCol w:w="1670"/>
        <w:gridCol w:w="3979"/>
        <w:gridCol w:w="1896"/>
      </w:tblGrid>
      <w:tr w:rsidR="00A36134" w:rsidTr="0098083C" w14:paraId="51FF2E50" w14:textId="77777777">
        <w:tc>
          <w:tcPr>
            <w:tcW w:w="1900" w:type="dxa"/>
            <w:shd w:val="clear" w:color="auto" w:fill="D9D9D9" w:themeFill="background1" w:themeFillShade="D9"/>
          </w:tcPr>
          <w:p w:rsidRPr="00BC3401" w:rsidR="00A36134" w:rsidP="005943ED"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0" w:type="dxa"/>
            <w:shd w:val="clear" w:color="auto" w:fill="D9D9D9" w:themeFill="background1" w:themeFillShade="D9"/>
          </w:tcPr>
          <w:p w:rsidRPr="00BC3401" w:rsidR="00A36134" w:rsidP="005943ED" w:rsidRDefault="00A36134" w14:paraId="750C64CA" w14:textId="1B8A7C9A">
            <w:pPr>
              <w:rPr>
                <w:rFonts w:asciiTheme="minorHAnsi" w:hAnsiTheme="minorHAnsi" w:cstheme="minorHAnsi"/>
                <w:i/>
              </w:rPr>
            </w:pPr>
            <w:r w:rsidRPr="00BC3401">
              <w:rPr>
                <w:rFonts w:asciiTheme="minorHAnsi" w:hAnsiTheme="minorHAnsi" w:cstheme="minorHAnsi"/>
                <w:i/>
              </w:rPr>
              <w:t>Instruments</w:t>
            </w:r>
          </w:p>
        </w:tc>
        <w:tc>
          <w:tcPr>
            <w:tcW w:w="3979" w:type="dxa"/>
            <w:shd w:val="clear" w:color="auto" w:fill="D9D9D9" w:themeFill="background1" w:themeFillShade="D9"/>
          </w:tcPr>
          <w:p w:rsidRPr="00BC3401" w:rsidR="00A36134" w:rsidP="005943ED"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96" w:type="dxa"/>
            <w:shd w:val="clear" w:color="auto" w:fill="D9D9D9" w:themeFill="background1" w:themeFillShade="D9"/>
          </w:tcPr>
          <w:p w:rsidRPr="00BC3401" w:rsidR="00A36134" w:rsidP="005943ED"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98083C" w14:paraId="7460439D" w14:textId="77777777">
        <w:tc>
          <w:tcPr>
            <w:tcW w:w="1900" w:type="dxa"/>
          </w:tcPr>
          <w:p w:rsidRPr="00BC3401" w:rsidR="00A36134" w:rsidP="005943ED" w:rsidRDefault="0098083C" w14:paraId="45A0A4CE" w14:textId="577D9F94">
            <w:pPr>
              <w:rPr>
                <w:rFonts w:asciiTheme="minorHAnsi" w:hAnsiTheme="minorHAnsi" w:cstheme="minorHAnsi"/>
              </w:rPr>
            </w:pPr>
            <w:r>
              <w:rPr>
                <w:rFonts w:asciiTheme="minorHAnsi" w:hAnsiTheme="minorHAnsi" w:cstheme="minorHAnsi"/>
              </w:rPr>
              <w:t>AIAN HS D</w:t>
            </w:r>
            <w:r w:rsidR="0095732D">
              <w:rPr>
                <w:rFonts w:asciiTheme="minorHAnsi" w:hAnsiTheme="minorHAnsi" w:cstheme="minorHAnsi"/>
              </w:rPr>
              <w:t>irector</w:t>
            </w:r>
            <w:r>
              <w:rPr>
                <w:rFonts w:asciiTheme="minorHAnsi" w:hAnsiTheme="minorHAnsi" w:cstheme="minorHAnsi"/>
              </w:rPr>
              <w:t xml:space="preserve"> </w:t>
            </w:r>
            <w:r w:rsidR="0014630A">
              <w:rPr>
                <w:rFonts w:asciiTheme="minorHAnsi" w:hAnsiTheme="minorHAnsi" w:cstheme="minorHAnsi"/>
              </w:rPr>
              <w:t xml:space="preserve">and Leadership </w:t>
            </w:r>
            <w:r>
              <w:rPr>
                <w:rFonts w:asciiTheme="minorHAnsi" w:hAnsiTheme="minorHAnsi" w:cstheme="minorHAnsi"/>
              </w:rPr>
              <w:t>Interviews</w:t>
            </w:r>
          </w:p>
        </w:tc>
        <w:tc>
          <w:tcPr>
            <w:tcW w:w="1670" w:type="dxa"/>
          </w:tcPr>
          <w:p w:rsidRPr="00BC3401" w:rsidR="00A36134" w:rsidP="005943ED" w:rsidRDefault="0098083C" w14:paraId="3EDF4256" w14:textId="71BC14B9">
            <w:pPr>
              <w:rPr>
                <w:rFonts w:asciiTheme="minorHAnsi" w:hAnsiTheme="minorHAnsi" w:cstheme="minorHAnsi"/>
              </w:rPr>
            </w:pPr>
            <w:r>
              <w:rPr>
                <w:rFonts w:asciiTheme="minorHAnsi" w:hAnsiTheme="minorHAnsi" w:cstheme="minorHAnsi"/>
              </w:rPr>
              <w:t>Instrument 1: Director</w:t>
            </w:r>
            <w:r w:rsidR="00681D69">
              <w:rPr>
                <w:rFonts w:asciiTheme="minorHAnsi" w:hAnsiTheme="minorHAnsi" w:cstheme="minorHAnsi"/>
              </w:rPr>
              <w:t xml:space="preserve">s </w:t>
            </w:r>
            <w:r w:rsidR="0014630A">
              <w:rPr>
                <w:rFonts w:asciiTheme="minorHAnsi" w:hAnsiTheme="minorHAnsi" w:cstheme="minorHAnsi"/>
              </w:rPr>
              <w:t xml:space="preserve">and Leadership </w:t>
            </w:r>
            <w:r>
              <w:rPr>
                <w:rFonts w:asciiTheme="minorHAnsi" w:hAnsiTheme="minorHAnsi" w:cstheme="minorHAnsi"/>
              </w:rPr>
              <w:t>Interview</w:t>
            </w:r>
          </w:p>
        </w:tc>
        <w:tc>
          <w:tcPr>
            <w:tcW w:w="3979" w:type="dxa"/>
          </w:tcPr>
          <w:p w:rsidRPr="00BC3401" w:rsidR="00A36134" w:rsidP="005943ED" w:rsidRDefault="00A36134" w14:paraId="1600AC5F" w14:textId="58C0A05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8083C">
              <w:rPr>
                <w:rFonts w:asciiTheme="minorHAnsi" w:hAnsiTheme="minorHAnsi" w:cstheme="minorHAnsi"/>
              </w:rPr>
              <w:t xml:space="preserve">16 directors </w:t>
            </w:r>
            <w:r w:rsidR="00BF0A5B">
              <w:rPr>
                <w:rFonts w:asciiTheme="minorHAnsi" w:hAnsiTheme="minorHAnsi" w:cstheme="minorHAnsi"/>
              </w:rPr>
              <w:t>with up to two additional leaders</w:t>
            </w:r>
            <w:r w:rsidR="005E1708">
              <w:rPr>
                <w:rFonts w:asciiTheme="minorHAnsi" w:hAnsiTheme="minorHAnsi" w:cstheme="minorHAnsi"/>
              </w:rPr>
              <w:t xml:space="preserve"> per program</w:t>
            </w:r>
            <w:r w:rsidR="00BF0A5B">
              <w:rPr>
                <w:rFonts w:asciiTheme="minorHAnsi" w:hAnsiTheme="minorHAnsi" w:cstheme="minorHAnsi"/>
              </w:rPr>
              <w:t>; Total: 48</w:t>
            </w:r>
          </w:p>
          <w:p w:rsidRPr="00BC3401" w:rsidR="00A36134" w:rsidP="005943ED" w:rsidRDefault="00A36134" w14:paraId="32E164CC" w14:textId="77777777">
            <w:pPr>
              <w:rPr>
                <w:rFonts w:asciiTheme="minorHAnsi" w:hAnsiTheme="minorHAnsi" w:cstheme="minorHAnsi"/>
              </w:rPr>
            </w:pPr>
          </w:p>
          <w:p w:rsidRPr="00BC3401" w:rsidR="00A36134" w:rsidP="005943ED" w:rsidRDefault="00A36134" w14:paraId="0BE4A700" w14:textId="33B988EC">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98083C">
              <w:rPr>
                <w:rFonts w:asciiTheme="minorHAnsi" w:hAnsiTheme="minorHAnsi" w:cstheme="minorHAnsi"/>
              </w:rPr>
              <w:t>Identifying professional development needs, feedback on professional development provided; challenges and lessons learned from implementing; concerns, recommendations and insights for future implementers.</w:t>
            </w:r>
          </w:p>
          <w:p w:rsidRPr="00BC3401" w:rsidR="00A36134" w:rsidP="005943ED" w:rsidRDefault="00A36134" w14:paraId="5DE76A03" w14:textId="77777777">
            <w:pPr>
              <w:rPr>
                <w:rFonts w:asciiTheme="minorHAnsi" w:hAnsiTheme="minorHAnsi" w:cstheme="minorHAnsi"/>
              </w:rPr>
            </w:pPr>
          </w:p>
          <w:p w:rsidR="00A36134" w:rsidP="005943ED" w:rsidRDefault="00A36134" w14:paraId="08FAD1AC" w14:textId="70D353C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EC1C18">
              <w:rPr>
                <w:rFonts w:asciiTheme="minorHAnsi" w:hAnsiTheme="minorHAnsi" w:cstheme="minorHAnsi"/>
              </w:rPr>
              <w:t xml:space="preserve"> </w:t>
            </w:r>
            <w:r w:rsidR="00BF0A5B">
              <w:rPr>
                <w:rFonts w:asciiTheme="minorHAnsi" w:hAnsiTheme="minorHAnsi" w:cstheme="minorHAnsi"/>
              </w:rPr>
              <w:t>Gather program-level and leadersh</w:t>
            </w:r>
            <w:r w:rsidR="00EC1C18">
              <w:rPr>
                <w:rFonts w:asciiTheme="minorHAnsi" w:hAnsiTheme="minorHAnsi" w:cstheme="minorHAnsi"/>
              </w:rPr>
              <w:t>i</w:t>
            </w:r>
            <w:r w:rsidR="00BF0A5B">
              <w:rPr>
                <w:rFonts w:asciiTheme="minorHAnsi" w:hAnsiTheme="minorHAnsi" w:cstheme="minorHAnsi"/>
              </w:rPr>
              <w:t>p impressions of the training, technical assistance, and quality and features of implementation of the self-review process; Gather recommendations and insights for possible future efforts</w:t>
            </w:r>
          </w:p>
          <w:p w:rsidRPr="00BC3401" w:rsidR="0042265D" w:rsidP="005943ED" w:rsidRDefault="0042265D" w14:paraId="11DAEC14" w14:textId="1A995FBF">
            <w:pPr>
              <w:rPr>
                <w:rFonts w:asciiTheme="minorHAnsi" w:hAnsiTheme="minorHAnsi" w:cstheme="minorHAnsi"/>
              </w:rPr>
            </w:pPr>
          </w:p>
        </w:tc>
        <w:tc>
          <w:tcPr>
            <w:tcW w:w="1896" w:type="dxa"/>
          </w:tcPr>
          <w:p w:rsidRPr="00BC3401" w:rsidR="00A36134" w:rsidP="005943ED" w:rsidRDefault="00A36134" w14:paraId="169F7FD4" w14:textId="0E5E53D2">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98083C">
              <w:rPr>
                <w:rFonts w:asciiTheme="minorHAnsi" w:hAnsiTheme="minorHAnsi" w:cstheme="minorHAnsi"/>
              </w:rPr>
              <w:t>Interview</w:t>
            </w:r>
          </w:p>
          <w:p w:rsidRPr="00BC3401" w:rsidR="00A36134" w:rsidP="005943ED" w:rsidRDefault="00A36134" w14:paraId="7FF7A335" w14:textId="77777777">
            <w:pPr>
              <w:rPr>
                <w:rFonts w:asciiTheme="minorHAnsi" w:hAnsiTheme="minorHAnsi" w:cstheme="minorHAnsi"/>
              </w:rPr>
            </w:pPr>
          </w:p>
          <w:p w:rsidRPr="00BC3401" w:rsidR="00A36134" w:rsidP="005943ED" w:rsidRDefault="00A36134" w14:paraId="5A3D1520" w14:textId="3DEB237F">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98083C">
              <w:rPr>
                <w:rFonts w:asciiTheme="minorHAnsi" w:hAnsiTheme="minorHAnsi" w:cstheme="minorHAnsi"/>
              </w:rPr>
              <w:t xml:space="preserve"> 4</w:t>
            </w:r>
            <w:r w:rsidR="0014630A">
              <w:rPr>
                <w:rFonts w:asciiTheme="minorHAnsi" w:hAnsiTheme="minorHAnsi" w:cstheme="minorHAnsi"/>
              </w:rPr>
              <w:t>5</w:t>
            </w:r>
            <w:r w:rsidR="0098083C">
              <w:rPr>
                <w:rFonts w:asciiTheme="minorHAnsi" w:hAnsiTheme="minorHAnsi" w:cstheme="minorHAnsi"/>
              </w:rPr>
              <w:t xml:space="preserve"> minutes</w:t>
            </w:r>
          </w:p>
        </w:tc>
      </w:tr>
      <w:tr w:rsidR="00A36134" w:rsidTr="0098083C" w14:paraId="1073E5DB" w14:textId="77777777">
        <w:tc>
          <w:tcPr>
            <w:tcW w:w="1900" w:type="dxa"/>
          </w:tcPr>
          <w:p w:rsidRPr="00BC3401" w:rsidR="00A36134" w:rsidP="005943ED" w:rsidRDefault="0098083C" w14:paraId="2C0ED9D1" w14:textId="72013AEF">
            <w:pPr>
              <w:rPr>
                <w:rFonts w:asciiTheme="minorHAnsi" w:hAnsiTheme="minorHAnsi" w:cstheme="minorHAnsi"/>
              </w:rPr>
            </w:pPr>
            <w:r>
              <w:rPr>
                <w:rFonts w:asciiTheme="minorHAnsi" w:hAnsiTheme="minorHAnsi" w:cstheme="minorHAnsi"/>
              </w:rPr>
              <w:t>AIAN Staff CLASS Observers Group Discussion</w:t>
            </w:r>
            <w:r w:rsidR="0014630A">
              <w:rPr>
                <w:rFonts w:asciiTheme="minorHAnsi" w:hAnsiTheme="minorHAnsi" w:cstheme="minorHAnsi"/>
              </w:rPr>
              <w:t xml:space="preserve"> Questions</w:t>
            </w:r>
          </w:p>
        </w:tc>
        <w:tc>
          <w:tcPr>
            <w:tcW w:w="1670" w:type="dxa"/>
          </w:tcPr>
          <w:p w:rsidR="00A36134" w:rsidP="005943ED" w:rsidRDefault="0098083C" w14:paraId="39DE28B6" w14:textId="77777777">
            <w:pPr>
              <w:rPr>
                <w:rFonts w:asciiTheme="minorHAnsi" w:hAnsiTheme="minorHAnsi" w:cstheme="minorHAnsi"/>
              </w:rPr>
            </w:pPr>
            <w:r>
              <w:rPr>
                <w:rFonts w:asciiTheme="minorHAnsi" w:hAnsiTheme="minorHAnsi" w:cstheme="minorHAnsi"/>
              </w:rPr>
              <w:t>Instrument 2:</w:t>
            </w:r>
          </w:p>
          <w:p w:rsidRPr="00BC3401" w:rsidR="0098083C" w:rsidP="005943ED" w:rsidRDefault="00681D69" w14:paraId="50C70376" w14:textId="3AF82BF9">
            <w:pPr>
              <w:rPr>
                <w:rFonts w:asciiTheme="minorHAnsi" w:hAnsiTheme="minorHAnsi" w:cstheme="minorHAnsi"/>
              </w:rPr>
            </w:pPr>
            <w:r>
              <w:rPr>
                <w:rFonts w:asciiTheme="minorHAnsi" w:hAnsiTheme="minorHAnsi" w:cstheme="minorHAnsi"/>
              </w:rPr>
              <w:t xml:space="preserve">HS AIAN </w:t>
            </w:r>
            <w:r w:rsidR="0098083C">
              <w:rPr>
                <w:rFonts w:asciiTheme="minorHAnsi" w:hAnsiTheme="minorHAnsi" w:cstheme="minorHAnsi"/>
              </w:rPr>
              <w:t xml:space="preserve">Observer </w:t>
            </w:r>
            <w:r w:rsidR="0014630A">
              <w:rPr>
                <w:rFonts w:asciiTheme="minorHAnsi" w:hAnsiTheme="minorHAnsi" w:cstheme="minorHAnsi"/>
              </w:rPr>
              <w:t xml:space="preserve">Group </w:t>
            </w:r>
            <w:r w:rsidR="0098083C">
              <w:rPr>
                <w:rFonts w:asciiTheme="minorHAnsi" w:hAnsiTheme="minorHAnsi" w:cstheme="minorHAnsi"/>
              </w:rPr>
              <w:t>Discussion</w:t>
            </w:r>
            <w:r>
              <w:rPr>
                <w:rFonts w:asciiTheme="minorHAnsi" w:hAnsiTheme="minorHAnsi" w:cstheme="minorHAnsi"/>
              </w:rPr>
              <w:t xml:space="preserve"> Questions</w:t>
            </w:r>
          </w:p>
        </w:tc>
        <w:tc>
          <w:tcPr>
            <w:tcW w:w="3979" w:type="dxa"/>
          </w:tcPr>
          <w:p w:rsidRPr="00BC3401" w:rsidR="00A36134" w:rsidP="005943ED" w:rsidRDefault="00A36134" w14:paraId="7DDCAC37" w14:textId="0A2ADBD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98083C">
              <w:rPr>
                <w:rFonts w:asciiTheme="minorHAnsi" w:hAnsiTheme="minorHAnsi" w:cstheme="minorHAnsi"/>
              </w:rPr>
              <w:t>3</w:t>
            </w:r>
            <w:r w:rsidR="005E1708">
              <w:rPr>
                <w:rFonts w:asciiTheme="minorHAnsi" w:hAnsiTheme="minorHAnsi" w:cstheme="minorHAnsi"/>
              </w:rPr>
              <w:t>0</w:t>
            </w:r>
            <w:r w:rsidR="0098083C">
              <w:rPr>
                <w:rFonts w:asciiTheme="minorHAnsi" w:hAnsiTheme="minorHAnsi" w:cstheme="minorHAnsi"/>
              </w:rPr>
              <w:t xml:space="preserve"> Observers</w:t>
            </w:r>
          </w:p>
          <w:p w:rsidRPr="00BC3401" w:rsidR="00A36134" w:rsidP="005943ED" w:rsidRDefault="00A36134" w14:paraId="15C7BED5" w14:textId="77777777">
            <w:pPr>
              <w:rPr>
                <w:rFonts w:asciiTheme="minorHAnsi" w:hAnsiTheme="minorHAnsi" w:cstheme="minorHAnsi"/>
              </w:rPr>
            </w:pPr>
          </w:p>
          <w:p w:rsidRPr="00BC3401" w:rsidR="00A36134" w:rsidP="005943ED" w:rsidRDefault="00A36134" w14:paraId="2AF0A6CE" w14:textId="5396F4D4">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98083C">
              <w:rPr>
                <w:rFonts w:asciiTheme="minorHAnsi" w:hAnsiTheme="minorHAnsi" w:cstheme="minorHAnsi"/>
              </w:rPr>
              <w:t>Identifying professional development needs, feedback on professional development provided; challenges and lessons learned from implementing; concerns, recommendations and insights for future implementers.</w:t>
            </w:r>
          </w:p>
          <w:p w:rsidRPr="00BC3401" w:rsidR="00A36134" w:rsidP="005943ED" w:rsidRDefault="00A36134" w14:paraId="6D3BF3DE" w14:textId="77777777">
            <w:pPr>
              <w:rPr>
                <w:rFonts w:asciiTheme="minorHAnsi" w:hAnsiTheme="minorHAnsi" w:cstheme="minorHAnsi"/>
              </w:rPr>
            </w:pPr>
          </w:p>
          <w:p w:rsidRPr="00BC3401" w:rsidR="0042265D" w:rsidP="005943ED" w:rsidRDefault="00A36134" w14:paraId="30076CFB" w14:textId="1B666DCD">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BF0A5B">
              <w:rPr>
                <w:rFonts w:asciiTheme="minorHAnsi" w:hAnsiTheme="minorHAnsi" w:cstheme="minorHAnsi"/>
              </w:rPr>
              <w:t xml:space="preserve"> Gather observer-level impressions of the training, technical assistance, and quality and features of implementation of the self-review process; Gather recommendations and insights for possible future efforts</w:t>
            </w:r>
            <w:r w:rsidR="0095732D">
              <w:rPr>
                <w:rFonts w:asciiTheme="minorHAnsi" w:hAnsiTheme="minorHAnsi" w:cstheme="minorHAnsi"/>
              </w:rPr>
              <w:t>.</w:t>
            </w:r>
          </w:p>
        </w:tc>
        <w:tc>
          <w:tcPr>
            <w:tcW w:w="1896" w:type="dxa"/>
          </w:tcPr>
          <w:p w:rsidRPr="00BC3401" w:rsidR="00A36134" w:rsidP="005943ED" w:rsidRDefault="00A36134" w14:paraId="27ECB13A"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p>
          <w:p w:rsidRPr="00BC3401" w:rsidR="00A36134" w:rsidP="005943ED" w:rsidRDefault="0098083C" w14:paraId="3E57C1F5" w14:textId="4F9E1975">
            <w:pPr>
              <w:rPr>
                <w:rFonts w:asciiTheme="minorHAnsi" w:hAnsiTheme="minorHAnsi" w:cstheme="minorHAnsi"/>
              </w:rPr>
            </w:pPr>
            <w:r>
              <w:rPr>
                <w:rFonts w:asciiTheme="minorHAnsi" w:hAnsiTheme="minorHAnsi" w:cstheme="minorHAnsi"/>
              </w:rPr>
              <w:t>Group discussion/Interview</w:t>
            </w:r>
          </w:p>
          <w:p w:rsidR="0042265D" w:rsidP="005943ED" w:rsidRDefault="0042265D" w14:paraId="54267684" w14:textId="77777777">
            <w:pPr>
              <w:rPr>
                <w:rFonts w:asciiTheme="minorHAnsi" w:hAnsiTheme="minorHAnsi" w:cstheme="minorHAnsi"/>
                <w:b/>
              </w:rPr>
            </w:pPr>
          </w:p>
          <w:p w:rsidR="00A36134" w:rsidP="005943ED" w:rsidRDefault="00A36134" w14:paraId="5B181333" w14:textId="194A5834">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p>
          <w:p w:rsidRPr="00BC3401" w:rsidR="0098083C" w:rsidP="005943ED" w:rsidRDefault="0014630A" w14:paraId="47B89D35" w14:textId="03BBBD6A">
            <w:pPr>
              <w:rPr>
                <w:rFonts w:asciiTheme="minorHAnsi" w:hAnsiTheme="minorHAnsi" w:cstheme="minorHAnsi"/>
              </w:rPr>
            </w:pPr>
            <w:r>
              <w:rPr>
                <w:rFonts w:asciiTheme="minorHAnsi" w:hAnsiTheme="minorHAnsi" w:cstheme="minorHAnsi"/>
              </w:rPr>
              <w:t>75 minutes</w:t>
            </w:r>
          </w:p>
        </w:tc>
      </w:tr>
    </w:tbl>
    <w:p w:rsidR="007D0F6E" w:rsidP="007D0F6E" w:rsidRDefault="00BD702B" w14:paraId="14276DBE" w14:textId="517D48DC">
      <w:pPr>
        <w:spacing w:after="120" w:line="240" w:lineRule="auto"/>
        <w:rPr>
          <w:b/>
        </w:rPr>
      </w:pPr>
      <w:r w:rsidRPr="00624DDC">
        <w:rPr>
          <w:b/>
        </w:rPr>
        <w:lastRenderedPageBreak/>
        <w:t>A3</w:t>
      </w:r>
      <w:r w:rsidR="007D0F6E">
        <w:t>.</w:t>
      </w:r>
      <w:r w:rsidR="007D0F6E">
        <w:tab/>
      </w:r>
      <w:r w:rsidRPr="007D0F6E" w:rsidR="004E5778">
        <w:rPr>
          <w:b/>
        </w:rPr>
        <w:t>Use of Information Technology to Reduce Burden</w:t>
      </w:r>
    </w:p>
    <w:p w:rsidR="00721395" w:rsidP="00BF0A5B" w:rsidRDefault="00AB7205" w14:paraId="2D524AAA" w14:textId="10D35CDE">
      <w:pPr>
        <w:pStyle w:val="ListParagraph"/>
        <w:spacing w:after="0" w:line="240" w:lineRule="auto"/>
      </w:pPr>
      <w:r>
        <w:t>Interviews and group discussions will occur by phone and by phone conferencing tools, when respondents have access to internet.</w:t>
      </w:r>
    </w:p>
    <w:p w:rsidR="00CB1F9B" w:rsidP="00DF1291" w:rsidRDefault="00CB1F9B" w14:paraId="04F89FCB" w14:textId="604334D5">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179E655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Pr="00AB7205" w:rsidR="00AB7205" w:rsidP="0095732D" w:rsidRDefault="00AB7205" w14:paraId="32A1EF3B" w14:textId="6E01A601">
      <w:pPr>
        <w:spacing w:after="0" w:line="240" w:lineRule="auto"/>
        <w:ind w:left="720"/>
        <w:rPr>
          <w:bCs/>
        </w:rPr>
      </w:pPr>
      <w:r>
        <w:rPr>
          <w:bCs/>
        </w:rPr>
        <w:t>As this information collection is gathering feedback about a novel approach to HS AIAN program observation, there is not existing data that could inform OHS guidance for 2022-2023.</w:t>
      </w:r>
    </w:p>
    <w:p w:rsidR="007D0F6E" w:rsidP="007D0F6E" w:rsidRDefault="007D0F6E" w14:paraId="0A29ED08" w14:textId="438F198E">
      <w:pPr>
        <w:spacing w:after="0" w:line="240" w:lineRule="auto"/>
        <w:ind w:left="720" w:hanging="720"/>
      </w:pPr>
    </w:p>
    <w:p w:rsidR="0095732D" w:rsidP="007D0F6E" w:rsidRDefault="0095732D" w14:paraId="63D42C62" w14:textId="77777777">
      <w:pPr>
        <w:spacing w:after="0" w:line="240" w:lineRule="auto"/>
        <w:ind w:left="720" w:hanging="720"/>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BF0A5B" w:rsidRDefault="00AB7205" w14:paraId="111749C1" w14:textId="00BD93BC">
      <w:pPr>
        <w:spacing w:after="0" w:line="240" w:lineRule="auto"/>
        <w:ind w:left="720"/>
      </w:pPr>
      <w:r>
        <w:t xml:space="preserve">Respondents will be employees of community organizations/Tribal government </w:t>
      </w:r>
      <w:r w:rsidR="00A47875">
        <w:t>organizations</w:t>
      </w:r>
      <w:r>
        <w:t xml:space="preserve"> who administer HS AIAN programs. Scheduling will occur at the convenience of the respondents; if a respondent is not available for a group discussion time, they will be offered a one-on-one interview option. </w:t>
      </w:r>
    </w:p>
    <w:p w:rsidR="005B5FCC" w:rsidP="00DF1291" w:rsidRDefault="005B5FCC" w14:paraId="373D68B1" w14:textId="5DB79699">
      <w:pPr>
        <w:spacing w:after="0" w:line="240" w:lineRule="auto"/>
      </w:pPr>
    </w:p>
    <w:p w:rsidR="0095732D" w:rsidP="00DF1291" w:rsidRDefault="0095732D" w14:paraId="6719541B"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BF0A5B" w:rsidRDefault="00AB7205" w14:paraId="12F9F55B" w14:textId="69A793E9">
      <w:pPr>
        <w:spacing w:after="0"/>
        <w:ind w:firstLine="720"/>
      </w:pPr>
      <w:r>
        <w:t>This is a one</w:t>
      </w:r>
      <w:r w:rsidR="0042265D">
        <w:t>-</w:t>
      </w:r>
      <w:r>
        <w:t>time data collection.</w:t>
      </w:r>
    </w:p>
    <w:p w:rsidR="005B5FCC" w:rsidP="00060B30" w:rsidRDefault="005B5FCC" w14:paraId="2F68FCB2" w14:textId="637F2A9E">
      <w:pPr>
        <w:spacing w:after="0"/>
      </w:pP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EC1C18" w:rsidR="00060B30" w:rsidP="00EC1C18" w:rsidRDefault="00060B30" w14:paraId="2F3836D2" w14:textId="77777777">
      <w:pPr>
        <w:spacing w:after="60"/>
        <w:ind w:firstLine="720"/>
        <w:rPr>
          <w:i/>
        </w:rPr>
      </w:pPr>
      <w:r w:rsidRPr="00EC1C18">
        <w:rPr>
          <w:i/>
        </w:rPr>
        <w:t>Federal Register Notice and Comments</w:t>
      </w:r>
    </w:p>
    <w:p w:rsidRPr="00EC1C18" w:rsidR="00014EDC" w:rsidP="00EC1C18" w:rsidRDefault="00014EDC" w14:paraId="59ED9214" w14:textId="0A910074">
      <w:pPr>
        <w:ind w:left="720"/>
      </w:pPr>
      <w:r w:rsidRPr="00EC1C18">
        <w:t xml:space="preserve">In accordance with the Paperwork Reduction Act of 1995 (Pub. L. 104-13) and Office of Management and Budget (OMB) regulations at 5 CFR Part 1320 (60 FR 44978, August 29, 1995), ACF published </w:t>
      </w:r>
      <w:r w:rsidRPr="00EC1C18" w:rsidR="00405075">
        <w:t xml:space="preserve">two </w:t>
      </w:r>
      <w:r w:rsidRPr="00EC1C18">
        <w:t>notice</w:t>
      </w:r>
      <w:r w:rsidRPr="00EC1C18" w:rsidR="00405075">
        <w:t>s</w:t>
      </w:r>
      <w:r w:rsidRPr="00EC1C18">
        <w:t xml:space="preserve"> in the Federal Register announcing the agency’s intention to request an OMB review of the overarching generic clearance for formative information collection. </w:t>
      </w:r>
      <w:r w:rsidRPr="00EC1C18" w:rsidR="00405075">
        <w:t>The first notice was published on October 13, 2020, Volume 85, Number 198, page 64480, and provided a sixty-day period for public comment. The second notice published on December 28, 2020, Volume 85, Number 248, page 84343, and provided a thirty-day period for public comment. ACF did not receive any substantive comments</w:t>
      </w:r>
      <w:r w:rsidRPr="00EC1C18">
        <w:t xml:space="preserve">. </w:t>
      </w:r>
      <w:r w:rsidRPr="00EC1C18" w:rsidR="00AC60B5">
        <w:t xml:space="preserve"> </w:t>
      </w:r>
    </w:p>
    <w:p w:rsidRPr="00EC1C18" w:rsidR="00060B30" w:rsidP="00EC1C18" w:rsidRDefault="00060B30" w14:paraId="678F3F3E" w14:textId="2A6B4052">
      <w:pPr>
        <w:pStyle w:val="Heading4"/>
        <w:spacing w:before="0" w:after="120"/>
        <w:ind w:firstLine="720"/>
        <w:rPr>
          <w:rFonts w:asciiTheme="minorHAnsi" w:hAnsiTheme="minorHAnsi" w:cstheme="minorHAnsi"/>
          <w:b w:val="0"/>
          <w:i/>
          <w:sz w:val="22"/>
          <w:szCs w:val="22"/>
        </w:rPr>
      </w:pPr>
      <w:r w:rsidRPr="00EC1C18">
        <w:rPr>
          <w:rFonts w:asciiTheme="minorHAnsi" w:hAnsiTheme="minorHAnsi" w:cstheme="minorHAnsi"/>
          <w:b w:val="0"/>
          <w:i/>
          <w:sz w:val="22"/>
          <w:szCs w:val="22"/>
        </w:rPr>
        <w:t>Consultation with Experts</w:t>
      </w:r>
    </w:p>
    <w:p w:rsidRPr="00EC1C18" w:rsidR="00060B30" w:rsidP="00EC1C18" w:rsidRDefault="00AB7205" w14:paraId="4E901FE9" w14:textId="597EA034">
      <w:pPr>
        <w:spacing w:after="0"/>
        <w:ind w:left="720"/>
      </w:pPr>
      <w:r w:rsidRPr="00EC1C18">
        <w:t xml:space="preserve">Feedback </w:t>
      </w:r>
      <w:r w:rsidRPr="00EC1C18" w:rsidR="005053F6">
        <w:t xml:space="preserve">on the proposed instruments </w:t>
      </w:r>
      <w:r w:rsidRPr="00EC1C18">
        <w:t xml:space="preserve">was gathered from staff providing professional development to the </w:t>
      </w:r>
      <w:r w:rsidRPr="00EC1C18" w:rsidR="00353D09">
        <w:t>HS</w:t>
      </w:r>
      <w:r w:rsidRPr="00EC1C18">
        <w:t xml:space="preserve"> AIAN CLASS observers.</w:t>
      </w:r>
    </w:p>
    <w:p w:rsidR="00EA0D4F" w:rsidP="002560D7" w:rsidRDefault="00EA0D4F" w14:paraId="42BF95B5" w14:textId="225C6FFF">
      <w:pPr>
        <w:spacing w:after="0" w:line="240" w:lineRule="auto"/>
      </w:pPr>
    </w:p>
    <w:p w:rsidR="002560D7" w:rsidP="002560D7" w:rsidRDefault="002560D7" w14:paraId="4F415BD5" w14:textId="51BC788F">
      <w:pPr>
        <w:spacing w:after="0" w:line="240" w:lineRule="auto"/>
      </w:pPr>
    </w:p>
    <w:p w:rsidR="0095732D" w:rsidP="002560D7" w:rsidRDefault="0095732D" w14:paraId="4669DD3E" w14:textId="77777777">
      <w:pPr>
        <w:spacing w:after="0" w:line="240" w:lineRule="auto"/>
      </w:pPr>
    </w:p>
    <w:p w:rsidR="009A39E1" w:rsidP="002560D7" w:rsidRDefault="00BD702B" w14:paraId="4ADF0CCE" w14:textId="50F60419">
      <w:pPr>
        <w:spacing w:after="120" w:line="240" w:lineRule="auto"/>
      </w:pPr>
      <w:r w:rsidRPr="00624DDC">
        <w:rPr>
          <w:b/>
        </w:rPr>
        <w:lastRenderedPageBreak/>
        <w:t>A9</w:t>
      </w:r>
      <w:r>
        <w:t>.</w:t>
      </w:r>
      <w:r>
        <w:tab/>
      </w:r>
      <w:r w:rsidRPr="005B5FCC" w:rsidR="009A39E1">
        <w:rPr>
          <w:b/>
        </w:rPr>
        <w:t>Tokens of App</w:t>
      </w:r>
      <w:r w:rsidRPr="005B5FCC" w:rsidR="005B5FCC">
        <w:rPr>
          <w:b/>
        </w:rPr>
        <w:t>reciation</w:t>
      </w:r>
    </w:p>
    <w:p w:rsidR="009A39E1" w:rsidP="00EC1C18" w:rsidRDefault="00257185" w14:paraId="3B4604AB" w14:textId="0761C625">
      <w:pPr>
        <w:spacing w:after="0"/>
        <w:ind w:firstLine="720"/>
      </w:pPr>
      <w:r>
        <w:t>No tokens of appreciation will be provided to participants.</w:t>
      </w:r>
    </w:p>
    <w:p w:rsidR="002560D7" w:rsidP="002560D7" w:rsidRDefault="002560D7" w14:paraId="144C58E3" w14:textId="6BD5E76E">
      <w:pPr>
        <w:spacing w:after="0"/>
      </w:pP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EC1C18" w:rsidRDefault="00CB57CE" w14:paraId="6433E3BC" w14:textId="584A6F56">
      <w:pPr>
        <w:spacing w:after="60" w:line="240" w:lineRule="auto"/>
        <w:ind w:firstLine="720"/>
        <w:rPr>
          <w:i/>
        </w:rPr>
      </w:pPr>
      <w:r>
        <w:rPr>
          <w:i/>
        </w:rPr>
        <w:t>Personally Identifiable Information</w:t>
      </w:r>
    </w:p>
    <w:p w:rsidR="008267B4" w:rsidP="00EC1C18" w:rsidRDefault="00BF0A5B" w14:paraId="6E09F31B" w14:textId="0DE9B77F">
      <w:pPr>
        <w:spacing w:after="0" w:line="240" w:lineRule="auto"/>
        <w:ind w:firstLine="720"/>
        <w:rPr>
          <w:rFonts w:cstheme="minorHAnsi"/>
        </w:rPr>
      </w:pPr>
      <w:r>
        <w:rPr>
          <w:rFonts w:cstheme="minorHAnsi"/>
        </w:rPr>
        <w:t xml:space="preserve">No </w:t>
      </w:r>
      <w:r w:rsidR="00EC1C18">
        <w:rPr>
          <w:rFonts w:cstheme="minorHAnsi"/>
        </w:rPr>
        <w:t>personally identifiable information</w:t>
      </w:r>
      <w:r>
        <w:rPr>
          <w:rFonts w:cstheme="minorHAnsi"/>
        </w:rPr>
        <w:t xml:space="preserve"> will be collected.</w:t>
      </w:r>
    </w:p>
    <w:p w:rsidRPr="009139B3" w:rsidR="00BF0A5B" w:rsidP="008267B4" w:rsidRDefault="00BF0A5B" w14:paraId="57DC2A16" w14:textId="77777777">
      <w:pPr>
        <w:spacing w:after="0" w:line="240" w:lineRule="auto"/>
        <w:rPr>
          <w:i/>
        </w:rPr>
      </w:pPr>
    </w:p>
    <w:p w:rsidR="002560D7" w:rsidP="00EC1C18" w:rsidRDefault="002560D7" w14:paraId="28D37A40" w14:textId="7557B9D2">
      <w:pPr>
        <w:spacing w:after="60" w:line="240" w:lineRule="auto"/>
        <w:ind w:firstLine="720"/>
        <w:rPr>
          <w:i/>
        </w:rPr>
      </w:pPr>
      <w:r>
        <w:rPr>
          <w:i/>
        </w:rPr>
        <w:t>Assurances of Privacy</w:t>
      </w:r>
    </w:p>
    <w:p w:rsidR="00257185" w:rsidP="00EC1C18" w:rsidRDefault="00257185" w14:paraId="7663330D" w14:textId="7314AA27">
      <w:pPr>
        <w:spacing w:after="0" w:line="240" w:lineRule="auto"/>
        <w:ind w:left="720"/>
      </w:pPr>
      <w:r>
        <w:t xml:space="preserve">Interviews and group discussions will be recorded, and respondents will be informed of this prior to starting recording. If participants decline to be recorded, note taking will be used to gather information. </w:t>
      </w:r>
    </w:p>
    <w:p w:rsidR="005053F6" w:rsidP="00BF0A5B" w:rsidRDefault="005053F6" w14:paraId="7AD0A1DC" w14:textId="77777777">
      <w:pPr>
        <w:spacing w:after="0" w:line="240" w:lineRule="auto"/>
      </w:pPr>
    </w:p>
    <w:p w:rsidR="00BA1CBD" w:rsidP="00EC1C18" w:rsidRDefault="00257185" w14:paraId="7C511079" w14:textId="7A96454E">
      <w:pPr>
        <w:spacing w:after="0" w:line="240" w:lineRule="auto"/>
        <w:ind w:left="720"/>
      </w:pPr>
      <w:r>
        <w:t xml:space="preserve">Participants will be informed that their names </w:t>
      </w:r>
      <w:r w:rsidR="005053F6">
        <w:t xml:space="preserve">and </w:t>
      </w:r>
      <w:r>
        <w:t xml:space="preserve">program names will not be included in the </w:t>
      </w:r>
      <w:r w:rsidR="005053F6">
        <w:t>information provided</w:t>
      </w:r>
      <w:r>
        <w:t xml:space="preserve"> to OHS and that their funding will not be impacted based on their responses. Participants will be informed that quotes from the conversations may be used in reports to OHS to represent themes represented in the interviews and group discussions. Quotes will not be used that would allow for identification of programs or staff.</w:t>
      </w:r>
    </w:p>
    <w:p w:rsidR="002560D7" w:rsidP="002560D7" w:rsidRDefault="002560D7" w14:paraId="6E979ED9" w14:textId="06763008">
      <w:pPr>
        <w:spacing w:after="0" w:line="240" w:lineRule="auto"/>
      </w:pPr>
    </w:p>
    <w:p w:rsidR="00681D69" w:rsidP="00EC1C18" w:rsidRDefault="00681D69" w14:paraId="35891ACD" w14:textId="77777777">
      <w:pPr>
        <w:spacing w:after="60"/>
        <w:ind w:firstLine="720"/>
        <w:rPr>
          <w:rFonts w:ascii="Calibri" w:hAnsi="Calibri" w:eastAsia="Times New Roman" w:cs="Calibri"/>
          <w:color w:val="000000"/>
        </w:rPr>
      </w:pPr>
      <w:r>
        <w:rPr>
          <w:rFonts w:ascii="Calibri" w:hAnsi="Calibri" w:eastAsia="Times New Roman" w:cs="Calibri"/>
          <w:i/>
          <w:iCs/>
          <w:color w:val="000000"/>
        </w:rPr>
        <w:t>Data Security and Monitoring</w:t>
      </w:r>
    </w:p>
    <w:p w:rsidR="00681D69" w:rsidP="00EC1C18" w:rsidRDefault="00681D69" w14:paraId="67D5EB0F" w14:textId="301C9346">
      <w:pPr>
        <w:spacing w:after="0"/>
        <w:ind w:left="720"/>
        <w:rPr>
          <w:rFonts w:ascii="Calibri" w:hAnsi="Calibri" w:eastAsia="Times New Roman" w:cs="Calibri"/>
          <w:color w:val="000000"/>
        </w:rPr>
      </w:pPr>
      <w:r>
        <w:rPr>
          <w:rFonts w:ascii="Calibri" w:hAnsi="Calibri" w:eastAsia="Times New Roman" w:cs="Calibri"/>
          <w:color w:val="000000"/>
        </w:rPr>
        <w:t xml:space="preserve">The </w:t>
      </w:r>
      <w:r w:rsidR="00D9025C">
        <w:rPr>
          <w:rFonts w:ascii="Calibri" w:hAnsi="Calibri" w:eastAsia="Times New Roman" w:cs="Calibri"/>
          <w:color w:val="000000"/>
        </w:rPr>
        <w:t>research team</w:t>
      </w:r>
      <w:r>
        <w:rPr>
          <w:rFonts w:ascii="Calibri" w:hAnsi="Calibri" w:eastAsia="Times New Roman" w:cs="Calibri"/>
          <w:color w:val="000000"/>
        </w:rPr>
        <w:t xml:space="preserve">will be the only individuals with access to the data, using password protection. All members of the research team have completed IRB training, and they will </w:t>
      </w:r>
      <w:r w:rsidR="005053F6">
        <w:rPr>
          <w:rFonts w:ascii="Calibri" w:hAnsi="Calibri" w:eastAsia="Times New Roman" w:cs="Calibri"/>
          <w:color w:val="000000"/>
        </w:rPr>
        <w:t xml:space="preserve">receive instruction on </w:t>
      </w:r>
      <w:r>
        <w:rPr>
          <w:rFonts w:ascii="Calibri" w:hAnsi="Calibri" w:eastAsia="Times New Roman" w:cs="Calibri"/>
          <w:color w:val="000000"/>
        </w:rPr>
        <w:t xml:space="preserve">be instructed by the </w:t>
      </w:r>
      <w:r w:rsidR="00D9025C">
        <w:rPr>
          <w:rFonts w:ascii="Calibri" w:hAnsi="Calibri" w:eastAsia="Times New Roman" w:cs="Calibri"/>
          <w:color w:val="000000"/>
        </w:rPr>
        <w:t>lead researcher</w:t>
      </w:r>
      <w:r>
        <w:rPr>
          <w:rFonts w:ascii="Calibri" w:hAnsi="Calibri" w:eastAsia="Times New Roman" w:cs="Calibri"/>
          <w:color w:val="000000"/>
        </w:rPr>
        <w:t xml:space="preserve"> regarding the data security plan, access methods, points of risk for disclosure, and required plan for reporting any potential breaches. The </w:t>
      </w:r>
      <w:r w:rsidR="00D9025C">
        <w:rPr>
          <w:rFonts w:ascii="Calibri" w:hAnsi="Calibri" w:eastAsia="Times New Roman" w:cs="Calibri"/>
          <w:color w:val="000000"/>
        </w:rPr>
        <w:t xml:space="preserve">leader of the research team </w:t>
      </w:r>
      <w:r>
        <w:rPr>
          <w:rFonts w:ascii="Calibri" w:hAnsi="Calibri" w:eastAsia="Times New Roman" w:cs="Calibri"/>
          <w:color w:val="000000"/>
        </w:rPr>
        <w:t xml:space="preserve">shall securely generate and manage passwords to prevent unauthorized access to information. </w:t>
      </w:r>
    </w:p>
    <w:p w:rsidR="00D92CC3" w:rsidP="00EC1C18" w:rsidRDefault="00D92CC3" w14:paraId="010803E7" w14:textId="77777777">
      <w:pPr>
        <w:spacing w:after="0"/>
        <w:ind w:left="720"/>
        <w:rPr>
          <w:rFonts w:ascii="Calibri" w:hAnsi="Calibri" w:eastAsia="Times New Roman" w:cs="Calibri"/>
          <w:color w:val="000000"/>
        </w:rPr>
      </w:pPr>
    </w:p>
    <w:p w:rsidR="00681D69" w:rsidP="00EC1C18" w:rsidRDefault="00681D69" w14:paraId="7B0B9A88" w14:textId="2B8A786E">
      <w:pPr>
        <w:spacing w:after="0"/>
        <w:ind w:left="720"/>
        <w:rPr>
          <w:rFonts w:ascii="Calibri" w:hAnsi="Calibri" w:eastAsia="Times New Roman" w:cs="Calibri"/>
          <w:color w:val="000000"/>
        </w:rPr>
      </w:pPr>
      <w:r>
        <w:rPr>
          <w:rFonts w:ascii="Calibri" w:hAnsi="Calibri" w:eastAsia="Times New Roman" w:cs="Calibri"/>
          <w:color w:val="000000"/>
        </w:rPr>
        <w:t>Participant, program, and community names will not be used during the sessions, and video recordings of the sessions will only be stored on a password protected external drive in a locked security box until the project is completed. This file will only be used if clarification is needed while finalizing the transcriptions, and it will only be used on a password protected and encrypted computer that is disconnected from the Internet. The video files will be destroyed upon completion of the project.</w:t>
      </w:r>
    </w:p>
    <w:p w:rsidR="00D92CC3" w:rsidP="00EC1C18" w:rsidRDefault="00D92CC3" w14:paraId="7A3AE0AF" w14:textId="77777777">
      <w:pPr>
        <w:spacing w:after="0"/>
        <w:ind w:left="720"/>
        <w:rPr>
          <w:rFonts w:ascii="Calibri" w:hAnsi="Calibri" w:eastAsia="Times New Roman" w:cs="Calibri"/>
          <w:color w:val="000000"/>
        </w:rPr>
      </w:pPr>
    </w:p>
    <w:p w:rsidR="00681D69" w:rsidP="00EC1C18" w:rsidRDefault="00681D69" w14:paraId="7A0E80BB" w14:textId="3FCAA547">
      <w:pPr>
        <w:spacing w:after="0"/>
        <w:ind w:left="720"/>
        <w:rPr>
          <w:rFonts w:ascii="Calibri" w:hAnsi="Calibri" w:eastAsia="Times New Roman" w:cs="Calibri"/>
          <w:color w:val="000000"/>
        </w:rPr>
      </w:pPr>
      <w:r>
        <w:rPr>
          <w:rFonts w:ascii="Calibri" w:hAnsi="Calibri" w:eastAsia="Times New Roman" w:cs="Calibri"/>
          <w:color w:val="000000"/>
        </w:rPr>
        <w:t>Audio files of recordings will not contain any participant, program, or community identifiers, and these files will be used to develop transcriptions while working on a password protected and encrypted computer. Once transcription is complete, the audio files will be removed from the computer and stored on the password protected external hard drive in a locked security box for the duration of the project. The audio files will be destroyed upon completion of the project.</w:t>
      </w:r>
    </w:p>
    <w:p w:rsidR="00D92CC3" w:rsidP="00EC1C18" w:rsidRDefault="00D92CC3" w14:paraId="5C337539" w14:textId="77777777">
      <w:pPr>
        <w:spacing w:after="0"/>
        <w:ind w:left="720"/>
        <w:rPr>
          <w:rFonts w:ascii="Calibri" w:hAnsi="Calibri" w:eastAsia="Times New Roman" w:cs="Calibri"/>
          <w:color w:val="000000"/>
        </w:rPr>
      </w:pPr>
    </w:p>
    <w:p w:rsidR="00681D69" w:rsidP="00EC1C18" w:rsidRDefault="00681D69" w14:paraId="18BFEA0D" w14:textId="3D250325">
      <w:pPr>
        <w:spacing w:after="0"/>
        <w:ind w:left="720"/>
        <w:rPr>
          <w:rFonts w:ascii="Calibri" w:hAnsi="Calibri" w:eastAsia="Times New Roman" w:cs="Calibri"/>
          <w:color w:val="000000"/>
        </w:rPr>
      </w:pPr>
      <w:r>
        <w:rPr>
          <w:rFonts w:ascii="Calibri" w:hAnsi="Calibri" w:eastAsia="Times New Roman" w:cs="Calibri"/>
          <w:color w:val="000000"/>
        </w:rPr>
        <w:lastRenderedPageBreak/>
        <w:t>Transcriptions will not contain any identifiers, and these files will be stored on a password protected and encrypted computer. Transcriptions will be stored for 3 years after the project is completed.</w:t>
      </w:r>
    </w:p>
    <w:p w:rsidR="00D92CC3" w:rsidP="00EC1C18" w:rsidRDefault="00D92CC3" w14:paraId="4FF66A72" w14:textId="77777777">
      <w:pPr>
        <w:spacing w:after="0"/>
        <w:ind w:left="720"/>
        <w:rPr>
          <w:rFonts w:ascii="Calibri" w:hAnsi="Calibri" w:eastAsia="Times New Roman" w:cs="Calibri"/>
          <w:color w:val="000000"/>
        </w:rPr>
      </w:pPr>
    </w:p>
    <w:p w:rsidR="00681D69" w:rsidP="00EC1C18" w:rsidRDefault="00681D69" w14:paraId="4FFA2405" w14:textId="3B5E869C">
      <w:pPr>
        <w:spacing w:after="0"/>
        <w:ind w:left="720"/>
        <w:rPr>
          <w:rFonts w:ascii="Calibri" w:hAnsi="Calibri" w:eastAsia="Times New Roman" w:cs="Calibri"/>
          <w:color w:val="000000"/>
        </w:rPr>
      </w:pPr>
      <w:r>
        <w:rPr>
          <w:rFonts w:ascii="Calibri" w:hAnsi="Calibri" w:eastAsia="Times New Roman" w:cs="Calibri"/>
          <w:color w:val="000000"/>
        </w:rPr>
        <w:t>Data (e.g., transcript, coding) will be kept in electronic format only. All reports from the data will be presenting qualitative findings (e.g. summary themes) and will be reviewed to ensure that individuals and programs cannot be identified.</w:t>
      </w:r>
    </w:p>
    <w:p w:rsidR="00D92CC3" w:rsidP="00D9025C" w:rsidRDefault="00D92CC3" w14:paraId="345ED76E" w14:textId="77777777">
      <w:pPr>
        <w:spacing w:after="0"/>
        <w:rPr>
          <w:rFonts w:ascii="Calibri" w:hAnsi="Calibri" w:eastAsia="Times New Roman" w:cs="Calibri"/>
          <w:color w:val="000000"/>
        </w:rPr>
      </w:pPr>
    </w:p>
    <w:p w:rsidR="002560D7" w:rsidP="002560D7" w:rsidRDefault="002560D7" w14:paraId="249BE1A4" w14:textId="77777777">
      <w:pPr>
        <w:spacing w:after="0" w:line="240" w:lineRule="auto"/>
      </w:pPr>
    </w:p>
    <w:p w:rsidR="00717BDC" w:rsidP="00D32E6D" w:rsidRDefault="00B23277" w14:paraId="38C28436" w14:textId="7D31812C">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5319DA" w:rsidP="005E1708" w:rsidRDefault="005319DA" w14:paraId="6F356AD8" w14:textId="357B58C0">
      <w:pPr>
        <w:spacing w:after="0" w:line="240" w:lineRule="auto"/>
        <w:ind w:firstLine="720"/>
      </w:pPr>
      <w:r>
        <w:t>No sensitive information will be collected.</w:t>
      </w:r>
    </w:p>
    <w:p w:rsidR="00D92CC3" w:rsidP="00D9025C" w:rsidRDefault="00D92CC3" w14:paraId="580883A8" w14:textId="77777777">
      <w:pPr>
        <w:spacing w:after="0" w:line="240" w:lineRule="auto"/>
      </w:pPr>
    </w:p>
    <w:p w:rsidR="0042220D" w:rsidP="00D32E6D" w:rsidRDefault="0042220D" w14:paraId="2D73F51E" w14:textId="5DD8F79E">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107A07" w:rsidP="005E1708" w:rsidRDefault="00AC579F" w14:paraId="2FDFA4B1" w14:textId="76E27F87">
      <w:pPr>
        <w:spacing w:after="0" w:line="240" w:lineRule="auto"/>
        <w:ind w:left="720"/>
        <w:rPr>
          <w:iCs/>
        </w:rPr>
      </w:pPr>
      <w:r w:rsidRPr="00D9025C">
        <w:rPr>
          <w:iCs/>
        </w:rPr>
        <w:t xml:space="preserve">The </w:t>
      </w:r>
      <w:r w:rsidR="005319DA">
        <w:rPr>
          <w:i/>
        </w:rPr>
        <w:t xml:space="preserve">Director </w:t>
      </w:r>
      <w:r w:rsidR="00EA3823">
        <w:rPr>
          <w:i/>
        </w:rPr>
        <w:t>and Leadership I</w:t>
      </w:r>
      <w:r w:rsidR="005319DA">
        <w:rPr>
          <w:i/>
        </w:rPr>
        <w:t xml:space="preserve">nterview </w:t>
      </w:r>
      <w:r w:rsidRPr="00D9025C" w:rsidR="002B7971">
        <w:rPr>
          <w:iCs/>
        </w:rPr>
        <w:t>(</w:t>
      </w:r>
      <w:r w:rsidRPr="00D9025C">
        <w:rPr>
          <w:iCs/>
        </w:rPr>
        <w:t>Instrument 1</w:t>
      </w:r>
      <w:r w:rsidRPr="00AC579F" w:rsidR="002B7971">
        <w:rPr>
          <w:iCs/>
        </w:rPr>
        <w:t>)</w:t>
      </w:r>
      <w:r w:rsidR="002B7971">
        <w:rPr>
          <w:iCs/>
        </w:rPr>
        <w:t xml:space="preserve"> </w:t>
      </w:r>
      <w:r w:rsidR="00107A07">
        <w:rPr>
          <w:iCs/>
        </w:rPr>
        <w:t xml:space="preserve">is expected </w:t>
      </w:r>
      <w:r>
        <w:rPr>
          <w:iCs/>
        </w:rPr>
        <w:t>to</w:t>
      </w:r>
      <w:r w:rsidR="00107A07">
        <w:rPr>
          <w:iCs/>
        </w:rPr>
        <w:t xml:space="preserve"> take an average of 45 minutes per interview.</w:t>
      </w:r>
      <w:r w:rsidR="0014630A">
        <w:rPr>
          <w:iCs/>
        </w:rPr>
        <w:t xml:space="preserve"> We will encourage the </w:t>
      </w:r>
      <w:r>
        <w:rPr>
          <w:iCs/>
        </w:rPr>
        <w:t>program d</w:t>
      </w:r>
      <w:r w:rsidR="0014630A">
        <w:rPr>
          <w:iCs/>
        </w:rPr>
        <w:t>irectors to also invite a Tribal representative and/or the administrative program staff that is most knowledgeable about the self-review implementation. This means each of the 16 program interview</w:t>
      </w:r>
      <w:r w:rsidR="00EA3823">
        <w:rPr>
          <w:iCs/>
        </w:rPr>
        <w:t xml:space="preserve">s </w:t>
      </w:r>
      <w:r w:rsidR="0014630A">
        <w:rPr>
          <w:iCs/>
        </w:rPr>
        <w:t>may include up to 3 people (total possible</w:t>
      </w:r>
      <w:r w:rsidR="00EA3823">
        <w:rPr>
          <w:iCs/>
        </w:rPr>
        <w:t xml:space="preserve"> 48).</w:t>
      </w:r>
    </w:p>
    <w:p w:rsidR="00AC579F" w:rsidP="00D9025C" w:rsidRDefault="00AC579F" w14:paraId="7508E02C" w14:textId="77777777">
      <w:pPr>
        <w:spacing w:after="0" w:line="240" w:lineRule="auto"/>
        <w:rPr>
          <w:iCs/>
        </w:rPr>
      </w:pPr>
    </w:p>
    <w:p w:rsidR="001F0446" w:rsidP="005E1708" w:rsidRDefault="00AC579F" w14:paraId="1B989E87" w14:textId="534AAD2F">
      <w:pPr>
        <w:spacing w:after="0" w:line="240" w:lineRule="auto"/>
        <w:ind w:left="720"/>
        <w:rPr>
          <w:iCs/>
        </w:rPr>
      </w:pPr>
      <w:r w:rsidRPr="00D9025C">
        <w:rPr>
          <w:iCs/>
        </w:rPr>
        <w:t>The</w:t>
      </w:r>
      <w:r w:rsidRPr="00D9025C" w:rsidR="00107A07">
        <w:rPr>
          <w:iCs/>
        </w:rPr>
        <w:t xml:space="preserve"> </w:t>
      </w:r>
      <w:r w:rsidRPr="00107A07" w:rsidR="00107A07">
        <w:rPr>
          <w:i/>
        </w:rPr>
        <w:t xml:space="preserve">AIAN Program Observer </w:t>
      </w:r>
      <w:r w:rsidR="00EA3823">
        <w:rPr>
          <w:i/>
        </w:rPr>
        <w:t xml:space="preserve">Group </w:t>
      </w:r>
      <w:r w:rsidRPr="00107A07" w:rsidR="00107A07">
        <w:rPr>
          <w:i/>
        </w:rPr>
        <w:t>Discussion</w:t>
      </w:r>
      <w:r>
        <w:rPr>
          <w:i/>
        </w:rPr>
        <w:t>s</w:t>
      </w:r>
      <w:r w:rsidR="00EC1C18">
        <w:rPr>
          <w:i/>
        </w:rPr>
        <w:t xml:space="preserve"> </w:t>
      </w:r>
      <w:r w:rsidR="002B7971">
        <w:rPr>
          <w:iCs/>
        </w:rPr>
        <w:t>(</w:t>
      </w:r>
      <w:r w:rsidRPr="00912655">
        <w:rPr>
          <w:iCs/>
        </w:rPr>
        <w:t>Instrument 2</w:t>
      </w:r>
      <w:r w:rsidR="002B7971">
        <w:rPr>
          <w:iCs/>
        </w:rPr>
        <w:t xml:space="preserve">) </w:t>
      </w:r>
      <w:r>
        <w:rPr>
          <w:iCs/>
        </w:rPr>
        <w:t xml:space="preserve">are </w:t>
      </w:r>
      <w:r w:rsidR="00107A07">
        <w:rPr>
          <w:iCs/>
        </w:rPr>
        <w:t xml:space="preserve">expected </w:t>
      </w:r>
      <w:r>
        <w:rPr>
          <w:iCs/>
        </w:rPr>
        <w:t>to</w:t>
      </w:r>
      <w:r w:rsidR="00107A07">
        <w:rPr>
          <w:iCs/>
        </w:rPr>
        <w:t xml:space="preserve"> take an average of 1 hour and 15 min.</w:t>
      </w:r>
      <w:r w:rsidR="00EA3823">
        <w:rPr>
          <w:iCs/>
        </w:rPr>
        <w:t xml:space="preserve"> There are a total of 30 observers across the 16 programs.</w:t>
      </w:r>
    </w:p>
    <w:p w:rsidR="00AC579F" w:rsidP="00D9025C" w:rsidRDefault="00AC579F" w14:paraId="69E3A926" w14:textId="77777777">
      <w:pPr>
        <w:spacing w:after="0" w:line="240" w:lineRule="auto"/>
        <w:rPr>
          <w:iCs/>
        </w:rPr>
      </w:pPr>
    </w:p>
    <w:p w:rsidR="001F0446" w:rsidP="005E1708" w:rsidRDefault="001F0446" w14:paraId="2DFBEA9F" w14:textId="4B094BBE">
      <w:pPr>
        <w:spacing w:after="120" w:line="240" w:lineRule="auto"/>
        <w:ind w:firstLine="720"/>
        <w:rPr>
          <w:i/>
        </w:rPr>
      </w:pPr>
      <w:r>
        <w:rPr>
          <w:i/>
        </w:rPr>
        <w:t>Estimated Annualized Cost to Respondents</w:t>
      </w:r>
    </w:p>
    <w:p w:rsidR="00AA03F9" w:rsidP="005E1708" w:rsidRDefault="00AA03F9" w14:paraId="31E5A1B1" w14:textId="3078100F">
      <w:pPr>
        <w:ind w:left="720"/>
        <w:rPr>
          <w:b/>
          <w:bCs/>
        </w:rPr>
      </w:pPr>
      <w:r>
        <w:t xml:space="preserve">The wage rates are from the May 2020 National Occupational Employment and Wage Estimates from the U.S. Bureau of Labor Statistics. </w:t>
      </w:r>
      <w:r>
        <w:rPr>
          <w:u w:val="single"/>
        </w:rPr>
        <w:t>For Program Directors</w:t>
      </w:r>
      <w:r>
        <w:t xml:space="preserve"> we utilized 11-9030 Education and Childcare Administrators rates and for </w:t>
      </w:r>
      <w:r>
        <w:rPr>
          <w:u w:val="single"/>
        </w:rPr>
        <w:t xml:space="preserve">AIAN Observers </w:t>
      </w:r>
      <w:r>
        <w:t>we utilized 11-9031 Education and Childcare Administrators, Preschool and Daycare.</w:t>
      </w:r>
    </w:p>
    <w:tbl>
      <w:tblPr>
        <w:tblStyle w:val="TableGrid"/>
        <w:tblW w:w="9270" w:type="dxa"/>
        <w:tblInd w:w="-5" w:type="dxa"/>
        <w:tblLayout w:type="fixed"/>
        <w:tblLook w:val="01E0" w:firstRow="1" w:lastRow="1" w:firstColumn="1" w:lastColumn="1" w:noHBand="0" w:noVBand="0"/>
      </w:tblPr>
      <w:tblGrid>
        <w:gridCol w:w="2070"/>
        <w:gridCol w:w="1350"/>
        <w:gridCol w:w="1530"/>
        <w:gridCol w:w="1080"/>
        <w:gridCol w:w="990"/>
        <w:gridCol w:w="900"/>
        <w:gridCol w:w="1350"/>
      </w:tblGrid>
      <w:tr w:rsidRPr="00EC1C18" w:rsidR="00D9025C" w:rsidTr="0095732D" w14:paraId="7D55C4BB" w14:textId="77777777">
        <w:tc>
          <w:tcPr>
            <w:tcW w:w="2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75DF6A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EC1C18">
              <w:rPr>
                <w:rFonts w:asciiTheme="minorHAnsi" w:hAnsiTheme="minorHAnsi" w:cstheme="minorHAnsi"/>
                <w:b/>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6FB09F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65EB17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06E6E2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Avg. Burden per Response</w:t>
            </w:r>
          </w:p>
          <w:p w:rsidRPr="00EC1C18" w:rsidR="00D9025C" w:rsidRDefault="00D9025C" w14:paraId="6284F3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 xml:space="preserve"> (in hours)</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217F3B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74CE5F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Average Hourly Wage Rate</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EC1C18" w:rsidR="00D9025C" w:rsidRDefault="00D9025C" w14:paraId="2C275E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EC1C18">
              <w:rPr>
                <w:rFonts w:asciiTheme="minorHAnsi" w:hAnsiTheme="minorHAnsi" w:cstheme="minorHAnsi"/>
                <w:b/>
                <w:bCs/>
              </w:rPr>
              <w:t>Total Annual Respondent Cost</w:t>
            </w:r>
          </w:p>
        </w:tc>
      </w:tr>
      <w:tr w:rsidRPr="00EC1C18" w:rsidR="00D9025C" w:rsidTr="0095732D" w14:paraId="30F8EDA4" w14:textId="77777777">
        <w:trPr>
          <w:trHeight w:val="728"/>
        </w:trPr>
        <w:tc>
          <w:tcPr>
            <w:tcW w:w="2070" w:type="dxa"/>
            <w:tcBorders>
              <w:top w:val="single" w:color="auto" w:sz="4" w:space="0"/>
              <w:left w:val="single" w:color="auto" w:sz="4" w:space="0"/>
              <w:bottom w:val="single" w:color="auto" w:sz="4" w:space="0"/>
              <w:right w:val="single" w:color="auto" w:sz="4" w:space="0"/>
            </w:tcBorders>
            <w:vAlign w:val="center"/>
            <w:hideMark/>
          </w:tcPr>
          <w:p w:rsidRPr="00EC1C18" w:rsidR="00D9025C" w:rsidRDefault="00D9025C" w14:paraId="5E6943F3" w14:textId="7601DE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EC1C18">
              <w:rPr>
                <w:rFonts w:asciiTheme="minorHAnsi" w:hAnsiTheme="minorHAnsi" w:cstheme="minorHAnsi"/>
              </w:rPr>
              <w:t>Instrument 1: Director Interview</w:t>
            </w:r>
          </w:p>
        </w:tc>
        <w:tc>
          <w:tcPr>
            <w:tcW w:w="1350" w:type="dxa"/>
            <w:tcBorders>
              <w:top w:val="single" w:color="auto" w:sz="4" w:space="0"/>
              <w:left w:val="single" w:color="auto" w:sz="4" w:space="0"/>
              <w:right w:val="single" w:color="auto" w:sz="4" w:space="0"/>
            </w:tcBorders>
            <w:vAlign w:val="center"/>
            <w:hideMark/>
          </w:tcPr>
          <w:p w:rsidRPr="00EC1C18" w:rsidR="00D9025C" w:rsidP="00EA3823" w:rsidRDefault="00D9025C" w14:paraId="2389F8C6" w14:textId="4F9E4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C1C18">
              <w:rPr>
                <w:rFonts w:asciiTheme="minorHAnsi" w:hAnsiTheme="minorHAnsi" w:cstheme="minorHAnsi"/>
              </w:rPr>
              <w:t>48</w:t>
            </w:r>
          </w:p>
        </w:tc>
        <w:tc>
          <w:tcPr>
            <w:tcW w:w="1530" w:type="dxa"/>
            <w:tcBorders>
              <w:top w:val="single" w:color="auto" w:sz="4" w:space="0"/>
              <w:left w:val="single" w:color="auto" w:sz="4" w:space="0"/>
              <w:right w:val="single" w:color="auto" w:sz="4" w:space="0"/>
            </w:tcBorders>
            <w:vAlign w:val="center"/>
            <w:hideMark/>
          </w:tcPr>
          <w:p w:rsidRPr="00EC1C18" w:rsidR="00D9025C" w:rsidP="00EA3823" w:rsidRDefault="00D9025C" w14:paraId="7F1994A0" w14:textId="13E56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C1C18">
              <w:rPr>
                <w:rFonts w:asciiTheme="minorHAnsi" w:hAnsiTheme="minorHAnsi" w:cstheme="minorHAnsi"/>
              </w:rPr>
              <w:t>1</w:t>
            </w:r>
          </w:p>
        </w:tc>
        <w:tc>
          <w:tcPr>
            <w:tcW w:w="1080" w:type="dxa"/>
            <w:tcBorders>
              <w:top w:val="single" w:color="auto" w:sz="4" w:space="0"/>
              <w:left w:val="single" w:color="auto" w:sz="4" w:space="0"/>
              <w:right w:val="single" w:color="auto" w:sz="4" w:space="0"/>
            </w:tcBorders>
            <w:vAlign w:val="center"/>
            <w:hideMark/>
          </w:tcPr>
          <w:p w:rsidRPr="00EC1C18" w:rsidR="00D9025C" w:rsidP="00EA3823" w:rsidRDefault="00D9025C" w14:paraId="1367B005" w14:textId="3710C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C1C18">
              <w:rPr>
                <w:rFonts w:asciiTheme="minorHAnsi" w:hAnsiTheme="minorHAnsi" w:cstheme="minorHAnsi"/>
              </w:rPr>
              <w:t>.75</w:t>
            </w:r>
          </w:p>
        </w:tc>
        <w:tc>
          <w:tcPr>
            <w:tcW w:w="990" w:type="dxa"/>
            <w:tcBorders>
              <w:top w:val="single" w:color="auto" w:sz="4" w:space="0"/>
              <w:left w:val="single" w:color="auto" w:sz="4" w:space="0"/>
              <w:right w:val="single" w:color="auto" w:sz="4" w:space="0"/>
            </w:tcBorders>
            <w:vAlign w:val="center"/>
            <w:hideMark/>
          </w:tcPr>
          <w:p w:rsidRPr="00EC1C18" w:rsidR="00D9025C" w:rsidP="00EC1C18" w:rsidRDefault="00D9025C" w14:paraId="0BD866E4" w14:textId="6BA4EF07">
            <w:pPr>
              <w:jc w:val="center"/>
              <w:rPr>
                <w:rFonts w:asciiTheme="minorHAnsi" w:hAnsiTheme="minorHAnsi" w:cstheme="minorHAnsi"/>
                <w:bCs/>
              </w:rPr>
            </w:pPr>
            <w:r w:rsidRPr="00EC1C18">
              <w:rPr>
                <w:rFonts w:asciiTheme="minorHAnsi" w:hAnsiTheme="minorHAnsi" w:cstheme="minorHAnsi"/>
                <w:bCs/>
              </w:rPr>
              <w:t>36</w:t>
            </w:r>
          </w:p>
        </w:tc>
        <w:tc>
          <w:tcPr>
            <w:tcW w:w="900" w:type="dxa"/>
            <w:tcBorders>
              <w:top w:val="single" w:color="auto" w:sz="4" w:space="0"/>
              <w:left w:val="single" w:color="auto" w:sz="4" w:space="0"/>
              <w:right w:val="single" w:color="auto" w:sz="4" w:space="0"/>
            </w:tcBorders>
            <w:vAlign w:val="center"/>
            <w:hideMark/>
          </w:tcPr>
          <w:p w:rsidRPr="00EC1C18" w:rsidR="00D9025C" w:rsidP="00EC1C18" w:rsidRDefault="00D9025C" w14:paraId="1D31BC84" w14:textId="3172C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1C18">
              <w:rPr>
                <w:rFonts w:asciiTheme="minorHAnsi" w:hAnsiTheme="minorHAnsi" w:cstheme="minorHAnsi"/>
                <w:bCs/>
              </w:rPr>
              <w:t>$47.25</w:t>
            </w:r>
          </w:p>
        </w:tc>
        <w:tc>
          <w:tcPr>
            <w:tcW w:w="1350" w:type="dxa"/>
            <w:tcBorders>
              <w:top w:val="single" w:color="auto" w:sz="4" w:space="0"/>
              <w:left w:val="single" w:color="auto" w:sz="4" w:space="0"/>
              <w:right w:val="single" w:color="auto" w:sz="4" w:space="0"/>
            </w:tcBorders>
            <w:vAlign w:val="center"/>
            <w:hideMark/>
          </w:tcPr>
          <w:p w:rsidRPr="00EC1C18" w:rsidR="00D9025C" w:rsidP="00EA3823" w:rsidRDefault="00D9025C" w14:paraId="1819CDCD" w14:textId="34D22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C1C18">
              <w:rPr>
                <w:rFonts w:asciiTheme="minorHAnsi" w:hAnsiTheme="minorHAnsi" w:cstheme="minorHAnsi"/>
                <w:color w:val="000000"/>
              </w:rPr>
              <w:t>$1,701.00</w:t>
            </w:r>
          </w:p>
        </w:tc>
      </w:tr>
      <w:tr w:rsidRPr="00EC1C18" w:rsidR="00D9025C" w:rsidTr="0095732D" w14:paraId="00766402" w14:textId="77777777">
        <w:trPr>
          <w:trHeight w:val="1157"/>
        </w:trPr>
        <w:tc>
          <w:tcPr>
            <w:tcW w:w="2070" w:type="dxa"/>
            <w:tcBorders>
              <w:top w:val="single" w:color="auto" w:sz="4" w:space="0"/>
              <w:left w:val="single" w:color="auto" w:sz="4" w:space="0"/>
              <w:bottom w:val="single" w:color="auto" w:sz="4" w:space="0"/>
              <w:right w:val="single" w:color="auto" w:sz="4" w:space="0"/>
            </w:tcBorders>
            <w:vAlign w:val="center"/>
            <w:hideMark/>
          </w:tcPr>
          <w:p w:rsidRPr="00EC1C18" w:rsidR="00D9025C" w:rsidP="0095732D" w:rsidRDefault="00D9025C" w14:paraId="157E9C47" w14:textId="5C1CC2C9">
            <w:pPr>
              <w:spacing w:before="60" w:after="60"/>
              <w:rPr>
                <w:rFonts w:asciiTheme="minorHAnsi" w:hAnsiTheme="minorHAnsi" w:cstheme="minorHAnsi"/>
              </w:rPr>
            </w:pPr>
            <w:r w:rsidRPr="00EC1C18">
              <w:rPr>
                <w:rFonts w:asciiTheme="minorHAnsi" w:hAnsiTheme="minorHAnsi" w:cstheme="minorHAnsi"/>
              </w:rPr>
              <w:t>Instrument 2:</w:t>
            </w:r>
            <w:r w:rsidR="0095732D">
              <w:rPr>
                <w:rFonts w:asciiTheme="minorHAnsi" w:hAnsiTheme="minorHAnsi" w:cstheme="minorHAnsi"/>
              </w:rPr>
              <w:t xml:space="preserve"> </w:t>
            </w:r>
            <w:r w:rsidRPr="00EC1C18">
              <w:rPr>
                <w:rFonts w:asciiTheme="minorHAnsi" w:hAnsiTheme="minorHAnsi" w:cstheme="minorHAnsi"/>
              </w:rPr>
              <w:t>AIAN Observers Discussion Questions</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EC1C18" w:rsidR="00D9025C" w:rsidP="00EA3823" w:rsidRDefault="00D9025C" w14:paraId="293826E9" w14:textId="08FEB44D">
            <w:pPr>
              <w:jc w:val="center"/>
              <w:rPr>
                <w:rFonts w:asciiTheme="minorHAnsi" w:hAnsiTheme="minorHAnsi" w:cstheme="minorHAnsi"/>
              </w:rPr>
            </w:pPr>
            <w:r w:rsidRPr="00EC1C18">
              <w:rPr>
                <w:rFonts w:asciiTheme="minorHAnsi" w:hAnsiTheme="minorHAnsi" w:cstheme="minorHAnsi"/>
              </w:rPr>
              <w:t>30</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EC1C18" w:rsidR="00D9025C" w:rsidP="00EC1C18" w:rsidRDefault="00D9025C" w14:paraId="6A397A0E" w14:textId="01AA48FC">
            <w:pPr>
              <w:jc w:val="center"/>
              <w:rPr>
                <w:rFonts w:asciiTheme="minorHAnsi" w:hAnsiTheme="minorHAnsi" w:cstheme="minorHAnsi"/>
              </w:rPr>
            </w:pPr>
            <w:r w:rsidRPr="00EC1C18">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EC1C18" w:rsidR="00D9025C" w:rsidP="00EA3823" w:rsidRDefault="00D9025C" w14:paraId="3A0C5AE1" w14:textId="6CAF99AF">
            <w:pPr>
              <w:jc w:val="center"/>
              <w:rPr>
                <w:rFonts w:asciiTheme="minorHAnsi" w:hAnsiTheme="minorHAnsi" w:cstheme="minorHAnsi"/>
              </w:rPr>
            </w:pPr>
            <w:r w:rsidRPr="00EC1C18">
              <w:rPr>
                <w:rFonts w:asciiTheme="minorHAnsi" w:hAnsiTheme="minorHAnsi" w:cstheme="minorHAnsi"/>
              </w:rPr>
              <w:t>1.25</w:t>
            </w:r>
          </w:p>
        </w:tc>
        <w:tc>
          <w:tcPr>
            <w:tcW w:w="990" w:type="dxa"/>
            <w:tcBorders>
              <w:top w:val="single" w:color="auto" w:sz="4" w:space="0"/>
              <w:left w:val="single" w:color="auto" w:sz="4" w:space="0"/>
              <w:bottom w:val="single" w:color="auto" w:sz="4" w:space="0"/>
              <w:right w:val="single" w:color="auto" w:sz="4" w:space="0"/>
            </w:tcBorders>
            <w:vAlign w:val="center"/>
            <w:hideMark/>
          </w:tcPr>
          <w:p w:rsidRPr="00EC1C18" w:rsidR="00D9025C" w:rsidP="00EA3823" w:rsidRDefault="00D9025C" w14:paraId="070743E1" w14:textId="03729B13">
            <w:pPr>
              <w:jc w:val="center"/>
              <w:rPr>
                <w:rFonts w:asciiTheme="minorHAnsi" w:hAnsiTheme="minorHAnsi" w:cstheme="minorHAnsi"/>
              </w:rPr>
            </w:pPr>
            <w:r w:rsidRPr="00EC1C18">
              <w:rPr>
                <w:rFonts w:asciiTheme="minorHAnsi" w:hAnsiTheme="minorHAnsi" w:cstheme="minorHAnsi"/>
              </w:rPr>
              <w:t>38</w:t>
            </w:r>
          </w:p>
        </w:tc>
        <w:tc>
          <w:tcPr>
            <w:tcW w:w="900" w:type="dxa"/>
            <w:tcBorders>
              <w:top w:val="single" w:color="auto" w:sz="4" w:space="0"/>
              <w:left w:val="single" w:color="auto" w:sz="4" w:space="0"/>
              <w:bottom w:val="single" w:color="auto" w:sz="4" w:space="0"/>
              <w:right w:val="single" w:color="auto" w:sz="4" w:space="0"/>
            </w:tcBorders>
            <w:vAlign w:val="center"/>
            <w:hideMark/>
          </w:tcPr>
          <w:p w:rsidRPr="00EC1C18" w:rsidR="00D9025C" w:rsidP="00EC1C18" w:rsidRDefault="00D9025C" w14:paraId="3FF287A4" w14:textId="1C8050D9">
            <w:pPr>
              <w:jc w:val="center"/>
              <w:rPr>
                <w:rFonts w:asciiTheme="minorHAnsi" w:hAnsiTheme="minorHAnsi" w:cstheme="minorHAnsi"/>
              </w:rPr>
            </w:pPr>
            <w:r w:rsidRPr="00EC1C18">
              <w:rPr>
                <w:rFonts w:asciiTheme="minorHAnsi" w:hAnsiTheme="minorHAnsi" w:cstheme="minorHAnsi"/>
                <w:bCs/>
              </w:rPr>
              <w:t>$25.81</w:t>
            </w:r>
          </w:p>
        </w:tc>
        <w:tc>
          <w:tcPr>
            <w:tcW w:w="1350" w:type="dxa"/>
            <w:tcBorders>
              <w:top w:val="single" w:color="auto" w:sz="4" w:space="0"/>
              <w:left w:val="single" w:color="auto" w:sz="4" w:space="0"/>
              <w:bottom w:val="single" w:color="auto" w:sz="4" w:space="0"/>
              <w:right w:val="single" w:color="auto" w:sz="4" w:space="0"/>
            </w:tcBorders>
            <w:vAlign w:val="center"/>
          </w:tcPr>
          <w:p w:rsidRPr="00EC1C18" w:rsidR="00D9025C" w:rsidP="00EA3823" w:rsidRDefault="00D9025C" w14:paraId="564A6E4D" w14:textId="5EB3CCC4">
            <w:pPr>
              <w:jc w:val="center"/>
              <w:rPr>
                <w:rFonts w:asciiTheme="minorHAnsi" w:hAnsiTheme="minorHAnsi" w:cstheme="minorHAnsi"/>
              </w:rPr>
            </w:pPr>
            <w:r w:rsidRPr="00EC1C18">
              <w:rPr>
                <w:rFonts w:asciiTheme="minorHAnsi" w:hAnsiTheme="minorHAnsi" w:cstheme="minorHAnsi"/>
              </w:rPr>
              <w:t>$980.78</w:t>
            </w:r>
          </w:p>
        </w:tc>
      </w:tr>
      <w:tr w:rsidRPr="00EC1C18" w:rsidR="00D9025C" w:rsidTr="0095732D" w14:paraId="7A1BD590" w14:textId="77777777">
        <w:trPr>
          <w:trHeight w:val="530"/>
        </w:trPr>
        <w:tc>
          <w:tcPr>
            <w:tcW w:w="2070" w:type="dxa"/>
            <w:tcBorders>
              <w:top w:val="single" w:color="auto" w:sz="4" w:space="0"/>
              <w:left w:val="single" w:color="auto" w:sz="4" w:space="0"/>
              <w:bottom w:val="single" w:color="auto" w:sz="4" w:space="0"/>
              <w:right w:val="single" w:color="auto" w:sz="4" w:space="0"/>
            </w:tcBorders>
            <w:vAlign w:val="center"/>
          </w:tcPr>
          <w:p w:rsidRPr="00EC1C18" w:rsidR="00D9025C" w:rsidP="00D9025C" w:rsidRDefault="00D9025C" w14:paraId="6F3FB828" w14:textId="485A3E33">
            <w:pPr>
              <w:spacing w:before="60" w:after="60"/>
              <w:jc w:val="right"/>
              <w:rPr>
                <w:rFonts w:asciiTheme="minorHAnsi" w:hAnsiTheme="minorHAnsi" w:cstheme="minorHAnsi"/>
              </w:rPr>
            </w:pPr>
            <w:r w:rsidRPr="00EC1C18">
              <w:rPr>
                <w:rFonts w:asciiTheme="minorHAnsi" w:hAnsiTheme="minorHAnsi" w:cstheme="minorHAnsi"/>
              </w:rPr>
              <w:t>Totals</w:t>
            </w:r>
          </w:p>
        </w:tc>
        <w:tc>
          <w:tcPr>
            <w:tcW w:w="1350" w:type="dxa"/>
            <w:tcBorders>
              <w:top w:val="single" w:color="auto" w:sz="4" w:space="0"/>
              <w:left w:val="single" w:color="auto" w:sz="4" w:space="0"/>
              <w:right w:val="single" w:color="auto" w:sz="4" w:space="0"/>
            </w:tcBorders>
            <w:vAlign w:val="center"/>
          </w:tcPr>
          <w:p w:rsidRPr="00EC1C18" w:rsidR="00D9025C" w:rsidP="00EA3823" w:rsidRDefault="00D9025C" w14:paraId="7A88D289" w14:textId="088CB138">
            <w:pPr>
              <w:jc w:val="center"/>
              <w:rPr>
                <w:rFonts w:asciiTheme="minorHAnsi" w:hAnsiTheme="minorHAnsi" w:cstheme="minorHAnsi"/>
              </w:rPr>
            </w:pPr>
            <w:r w:rsidRPr="00EC1C18">
              <w:rPr>
                <w:rFonts w:asciiTheme="minorHAnsi" w:hAnsiTheme="minorHAnsi" w:cstheme="minorHAnsi"/>
              </w:rPr>
              <w:t>78</w:t>
            </w:r>
          </w:p>
        </w:tc>
        <w:tc>
          <w:tcPr>
            <w:tcW w:w="1530" w:type="dxa"/>
            <w:tcBorders>
              <w:top w:val="single" w:color="auto" w:sz="4" w:space="0"/>
              <w:left w:val="single" w:color="auto" w:sz="4" w:space="0"/>
              <w:right w:val="single" w:color="auto" w:sz="4" w:space="0"/>
            </w:tcBorders>
            <w:vAlign w:val="center"/>
          </w:tcPr>
          <w:p w:rsidRPr="00EC1C18" w:rsidR="00D9025C" w:rsidP="00EA3823" w:rsidRDefault="00D9025C" w14:paraId="6E01C349" w14:textId="64D996EB">
            <w:pPr>
              <w:jc w:val="center"/>
              <w:rPr>
                <w:rFonts w:asciiTheme="minorHAnsi" w:hAnsiTheme="minorHAnsi" w:cstheme="minorHAnsi"/>
              </w:rPr>
            </w:pPr>
            <w:r w:rsidRPr="00EC1C18">
              <w:rPr>
                <w:rFonts w:asciiTheme="minorHAnsi" w:hAnsiTheme="minorHAnsi" w:cstheme="minorHAnsi"/>
              </w:rPr>
              <w:t>1</w:t>
            </w:r>
          </w:p>
        </w:tc>
        <w:tc>
          <w:tcPr>
            <w:tcW w:w="1080" w:type="dxa"/>
            <w:tcBorders>
              <w:top w:val="single" w:color="auto" w:sz="4" w:space="0"/>
              <w:left w:val="single" w:color="auto" w:sz="4" w:space="0"/>
              <w:right w:val="single" w:color="auto" w:sz="4" w:space="0"/>
            </w:tcBorders>
            <w:vAlign w:val="center"/>
          </w:tcPr>
          <w:p w:rsidRPr="00EC1C18" w:rsidR="00D9025C" w:rsidP="00EA3823" w:rsidRDefault="00D9025C" w14:paraId="54ADA88D" w14:textId="77777777">
            <w:pPr>
              <w:jc w:val="center"/>
              <w:rPr>
                <w:rFonts w:asciiTheme="minorHAnsi" w:hAnsiTheme="minorHAnsi" w:cstheme="minorHAnsi"/>
              </w:rPr>
            </w:pPr>
          </w:p>
        </w:tc>
        <w:tc>
          <w:tcPr>
            <w:tcW w:w="990" w:type="dxa"/>
            <w:tcBorders>
              <w:top w:val="single" w:color="auto" w:sz="4" w:space="0"/>
              <w:left w:val="single" w:color="auto" w:sz="4" w:space="0"/>
              <w:right w:val="single" w:color="auto" w:sz="4" w:space="0"/>
            </w:tcBorders>
            <w:vAlign w:val="center"/>
          </w:tcPr>
          <w:p w:rsidRPr="00EC1C18" w:rsidR="00D9025C" w:rsidP="00EA3823" w:rsidRDefault="00D9025C" w14:paraId="25280BC1" w14:textId="2BFB662B">
            <w:pPr>
              <w:jc w:val="center"/>
              <w:rPr>
                <w:rFonts w:asciiTheme="minorHAnsi" w:hAnsiTheme="minorHAnsi" w:cstheme="minorHAnsi"/>
              </w:rPr>
            </w:pPr>
            <w:r w:rsidRPr="00EC1C18">
              <w:rPr>
                <w:rFonts w:asciiTheme="minorHAnsi" w:hAnsiTheme="minorHAnsi" w:cstheme="minorHAnsi"/>
              </w:rPr>
              <w:t>74</w:t>
            </w:r>
          </w:p>
        </w:tc>
        <w:tc>
          <w:tcPr>
            <w:tcW w:w="900" w:type="dxa"/>
            <w:tcBorders>
              <w:top w:val="single" w:color="auto" w:sz="4" w:space="0"/>
              <w:left w:val="single" w:color="auto" w:sz="4" w:space="0"/>
              <w:right w:val="single" w:color="auto" w:sz="4" w:space="0"/>
            </w:tcBorders>
            <w:vAlign w:val="center"/>
          </w:tcPr>
          <w:p w:rsidRPr="00EC1C18" w:rsidR="00D9025C" w:rsidP="00EA3823" w:rsidRDefault="00D9025C" w14:paraId="1D59BFC1" w14:textId="32C36321">
            <w:pPr>
              <w:jc w:val="center"/>
              <w:rPr>
                <w:rFonts w:asciiTheme="minorHAnsi" w:hAnsiTheme="minorHAnsi" w:cstheme="minorHAnsi"/>
                <w:b/>
              </w:rPr>
            </w:pPr>
          </w:p>
        </w:tc>
        <w:tc>
          <w:tcPr>
            <w:tcW w:w="1350" w:type="dxa"/>
            <w:tcBorders>
              <w:top w:val="single" w:color="auto" w:sz="4" w:space="0"/>
              <w:left w:val="single" w:color="auto" w:sz="4" w:space="0"/>
              <w:right w:val="single" w:color="auto" w:sz="4" w:space="0"/>
            </w:tcBorders>
            <w:vAlign w:val="center"/>
          </w:tcPr>
          <w:p w:rsidRPr="00EC1C18" w:rsidR="00D9025C" w:rsidP="00EA3823" w:rsidRDefault="00D9025C" w14:paraId="171E2270" w14:textId="0CBEC05C">
            <w:pPr>
              <w:jc w:val="center"/>
              <w:rPr>
                <w:rFonts w:asciiTheme="minorHAnsi" w:hAnsiTheme="minorHAnsi" w:cstheme="minorHAnsi"/>
                <w:b/>
              </w:rPr>
            </w:pPr>
            <w:r w:rsidRPr="00EC1C18">
              <w:rPr>
                <w:rFonts w:asciiTheme="minorHAnsi" w:hAnsiTheme="minorHAnsi" w:cstheme="minorHAnsi"/>
                <w:b/>
              </w:rPr>
              <w:t>$2,681.78</w:t>
            </w:r>
          </w:p>
        </w:tc>
      </w:tr>
    </w:tbl>
    <w:p w:rsidR="00373D2F" w:rsidP="00577243" w:rsidRDefault="00B23277" w14:paraId="3D55F30E" w14:textId="6FA9E78B">
      <w:pPr>
        <w:spacing w:after="120" w:line="240" w:lineRule="auto"/>
        <w:rPr>
          <w:rFonts w:cstheme="minorHAnsi"/>
          <w:b/>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B524AD" w:rsidP="00EC1C18" w:rsidRDefault="00B524AD" w14:paraId="6424B3A2" w14:textId="7CBEAF34">
      <w:pPr>
        <w:spacing w:after="0" w:line="240" w:lineRule="auto"/>
        <w:rPr>
          <w:rFonts w:cstheme="minorHAnsi"/>
          <w:bCs/>
        </w:rPr>
      </w:pPr>
      <w:r w:rsidRPr="00B524AD">
        <w:rPr>
          <w:rFonts w:cstheme="minorHAnsi"/>
          <w:bCs/>
        </w:rPr>
        <w:t>There are no additional costs to respondents.</w:t>
      </w:r>
    </w:p>
    <w:p w:rsidRPr="00B524AD" w:rsidR="00EC1C18" w:rsidP="00EC1C18" w:rsidRDefault="00EC1C18" w14:paraId="3A545EEB" w14:textId="77777777">
      <w:pPr>
        <w:spacing w:after="0" w:line="240" w:lineRule="auto"/>
        <w:rPr>
          <w:rFonts w:cstheme="minorHAnsi"/>
          <w:bCs/>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00373D2F" w:rsidP="00577243" w:rsidRDefault="00B23277" w14:paraId="6D7CE77A" w14:textId="1D7110B9">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373D2F" w:rsidP="00EC1C18" w:rsidRDefault="00B524AD" w14:paraId="6BC921C3" w14:textId="51CA3A82">
      <w:pPr>
        <w:spacing w:after="0"/>
        <w:rPr>
          <w:rFonts w:ascii="Calibri" w:hAnsi="Calibri" w:eastAsia="Times New Roman" w:cs="Calibri"/>
          <w:b/>
          <w:bCs/>
          <w:color w:val="000000"/>
        </w:rPr>
      </w:pPr>
      <w:r>
        <w:rPr>
          <w:rFonts w:cstheme="minorHAnsi"/>
        </w:rPr>
        <w:t xml:space="preserve">Field </w:t>
      </w:r>
      <w:r w:rsidR="00AC579F">
        <w:rPr>
          <w:rFonts w:cstheme="minorHAnsi"/>
        </w:rPr>
        <w:t>w</w:t>
      </w:r>
      <w:r>
        <w:rPr>
          <w:rFonts w:cstheme="minorHAnsi"/>
        </w:rPr>
        <w:t xml:space="preserve">ork and </w:t>
      </w:r>
      <w:r w:rsidR="00AC579F">
        <w:rPr>
          <w:rFonts w:cstheme="minorHAnsi"/>
        </w:rPr>
        <w:t>development of internal reporting</w:t>
      </w:r>
      <w:r>
        <w:rPr>
          <w:rFonts w:cstheme="minorHAnsi"/>
        </w:rPr>
        <w:t xml:space="preserve"> is estimated to </w:t>
      </w:r>
      <w:r w:rsidR="00D9025C">
        <w:rPr>
          <w:rFonts w:cstheme="minorHAnsi"/>
        </w:rPr>
        <w:t>use .15 FTE for the</w:t>
      </w:r>
      <w:r>
        <w:rPr>
          <w:rFonts w:cstheme="minorHAnsi"/>
        </w:rPr>
        <w:t xml:space="preserve"> </w:t>
      </w:r>
      <w:r w:rsidR="00D9025C">
        <w:rPr>
          <w:rFonts w:cstheme="minorHAnsi"/>
        </w:rPr>
        <w:t>research team leader</w:t>
      </w:r>
      <w:r>
        <w:rPr>
          <w:rFonts w:cstheme="minorHAnsi"/>
        </w:rPr>
        <w:t xml:space="preserve">. It is estimated it will take the assistants .50 FTE total. With fringe and benefits, and administrative costs, the total costs for information collection is </w:t>
      </w:r>
      <w:r w:rsidRPr="00B524AD">
        <w:rPr>
          <w:rFonts w:ascii="Calibri" w:hAnsi="Calibri" w:eastAsia="Times New Roman" w:cs="Calibri"/>
          <w:color w:val="000000"/>
        </w:rPr>
        <w:t>$31,171.48</w:t>
      </w:r>
      <w:r>
        <w:rPr>
          <w:rFonts w:ascii="Calibri" w:hAnsi="Calibri" w:eastAsia="Times New Roman" w:cs="Calibri"/>
          <w:b/>
          <w:bCs/>
          <w:color w:val="000000"/>
        </w:rPr>
        <w:t>.</w:t>
      </w:r>
    </w:p>
    <w:p w:rsidR="00EC1C18" w:rsidP="00EC1C18" w:rsidRDefault="00EC1C18" w14:paraId="56335E99" w14:textId="0BC0F777">
      <w:pPr>
        <w:spacing w:after="0"/>
        <w:rPr>
          <w:rFonts w:ascii="Calibri" w:hAnsi="Calibri" w:eastAsia="Times New Roman" w:cs="Calibri"/>
          <w:b/>
          <w:bCs/>
          <w:color w:val="000000"/>
        </w:rPr>
      </w:pPr>
    </w:p>
    <w:p w:rsidR="00EC1C18" w:rsidP="00EC1C18" w:rsidRDefault="00EC1C18" w14:paraId="04E24895" w14:textId="77777777">
      <w:pPr>
        <w:spacing w:after="0"/>
        <w:rPr>
          <w:rFonts w:cstheme="minorHAns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EB197A" w:rsidRDefault="00014EDC" w14:paraId="08700A1E" w14:textId="0BDA1617">
      <w:pPr>
        <w:spacing w:after="0"/>
      </w:pPr>
      <w:r w:rsidRPr="00AC60B5">
        <w:t>This is for an individual information collection under the umbrella formative generic clearance for program support (0970-0531)</w:t>
      </w:r>
      <w:r w:rsidRPr="00AC60B5" w:rsidR="00AC60B5">
        <w:t>.</w:t>
      </w:r>
    </w:p>
    <w:p w:rsidR="00EB197A" w:rsidP="00EB197A" w:rsidRDefault="00EB197A" w14:paraId="488E2CE6" w14:textId="115D4468">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5758A3" w14:paraId="48FD0E51" w14:textId="13ECF381">
      <w:pPr>
        <w:spacing w:after="0" w:line="240" w:lineRule="auto"/>
        <w:rPr>
          <w:rFonts w:cstheme="minorHAnsi"/>
        </w:rPr>
      </w:pPr>
      <w:r>
        <w:rPr>
          <w:rFonts w:cstheme="minorHAnsi"/>
        </w:rPr>
        <w:t>The HS AIAN CLASS self-review process will be implemented by participating programs from March 2022 to July 2022. Interview</w:t>
      </w:r>
      <w:r w:rsidR="00EB197A">
        <w:rPr>
          <w:rFonts w:cstheme="minorHAnsi"/>
        </w:rPr>
        <w:t>s</w:t>
      </w:r>
      <w:r>
        <w:rPr>
          <w:rFonts w:cstheme="minorHAnsi"/>
        </w:rPr>
        <w:t xml:space="preserve"> with </w:t>
      </w:r>
      <w:r w:rsidR="00EB197A">
        <w:rPr>
          <w:rFonts w:cstheme="minorHAnsi"/>
        </w:rPr>
        <w:t xml:space="preserve">program </w:t>
      </w:r>
      <w:r>
        <w:rPr>
          <w:rFonts w:cstheme="minorHAnsi"/>
        </w:rPr>
        <w:t xml:space="preserve">directors and group discussions with observers will occur on a rolling basis over the course of this period. The </w:t>
      </w:r>
      <w:r w:rsidR="00EB197A">
        <w:rPr>
          <w:rFonts w:cstheme="minorHAnsi"/>
        </w:rPr>
        <w:t xml:space="preserve">internal </w:t>
      </w:r>
      <w:r>
        <w:rPr>
          <w:rFonts w:cstheme="minorHAnsi"/>
        </w:rPr>
        <w:t xml:space="preserve">report will be completed August 2022. It is expected that </w:t>
      </w:r>
      <w:r w:rsidR="00EB197A">
        <w:rPr>
          <w:rFonts w:cstheme="minorHAnsi"/>
        </w:rPr>
        <w:t xml:space="preserve">a </w:t>
      </w:r>
      <w:r>
        <w:rPr>
          <w:rFonts w:cstheme="minorHAnsi"/>
        </w:rPr>
        <w:t>short brief summarizing themes will be provided to participating programs in August 2022.</w:t>
      </w:r>
    </w:p>
    <w:p w:rsidR="00EB197A" w:rsidP="00CB4358" w:rsidRDefault="00EB197A" w14:paraId="0BF00E3F" w14:textId="77777777">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7830E5" w:rsidRDefault="00306028" w14:paraId="503603E8" w14:textId="67A95697">
      <w:pPr>
        <w:spacing w:after="120" w:line="240" w:lineRule="auto"/>
        <w:rPr>
          <w:b/>
        </w:rPr>
      </w:pPr>
      <w:r>
        <w:rPr>
          <w:b/>
        </w:rPr>
        <w:t>Attachments</w:t>
      </w:r>
    </w:p>
    <w:p w:rsidR="005758A3" w:rsidP="007830E5" w:rsidRDefault="005758A3" w14:paraId="666BD012" w14:textId="09770D9D">
      <w:pPr>
        <w:spacing w:after="60" w:line="240" w:lineRule="auto"/>
        <w:rPr>
          <w:b/>
        </w:rPr>
      </w:pPr>
      <w:bookmarkStart w:name="_Hlk97559707" w:id="0"/>
      <w:r>
        <w:rPr>
          <w:b/>
        </w:rPr>
        <w:t>Instrument 1</w:t>
      </w:r>
      <w:r w:rsidR="00EB197A">
        <w:rPr>
          <w:b/>
        </w:rPr>
        <w:t>:</w:t>
      </w:r>
      <w:r>
        <w:rPr>
          <w:b/>
        </w:rPr>
        <w:t xml:space="preserve"> </w:t>
      </w:r>
      <w:r w:rsidRPr="007830E5">
        <w:rPr>
          <w:bCs/>
        </w:rPr>
        <w:t>Director</w:t>
      </w:r>
      <w:r w:rsidRPr="007830E5" w:rsidR="00EA3823">
        <w:rPr>
          <w:bCs/>
        </w:rPr>
        <w:t xml:space="preserve"> and Leadership</w:t>
      </w:r>
      <w:r w:rsidRPr="007830E5">
        <w:rPr>
          <w:bCs/>
        </w:rPr>
        <w:t xml:space="preserve"> Interview</w:t>
      </w:r>
    </w:p>
    <w:p w:rsidR="005758A3" w:rsidP="007830E5" w:rsidRDefault="005758A3" w14:paraId="45C2BE0C" w14:textId="3751EE91">
      <w:pPr>
        <w:spacing w:after="60" w:line="240" w:lineRule="auto"/>
        <w:rPr>
          <w:b/>
        </w:rPr>
      </w:pPr>
      <w:r>
        <w:rPr>
          <w:b/>
        </w:rPr>
        <w:t>Instrument 2</w:t>
      </w:r>
      <w:r w:rsidR="00EB197A">
        <w:rPr>
          <w:b/>
        </w:rPr>
        <w:t>:</w:t>
      </w:r>
      <w:r>
        <w:rPr>
          <w:b/>
        </w:rPr>
        <w:t xml:space="preserve"> </w:t>
      </w:r>
      <w:r w:rsidRPr="007830E5">
        <w:rPr>
          <w:bCs/>
        </w:rPr>
        <w:t xml:space="preserve">HS AIAN Observers </w:t>
      </w:r>
      <w:r w:rsidRPr="007830E5" w:rsidR="00EA3823">
        <w:rPr>
          <w:bCs/>
        </w:rPr>
        <w:t xml:space="preserve">Group </w:t>
      </w:r>
      <w:r w:rsidRPr="007830E5">
        <w:rPr>
          <w:bCs/>
        </w:rPr>
        <w:t>Discussion Questions</w:t>
      </w:r>
    </w:p>
    <w:p w:rsidR="00EA3823" w:rsidP="00306028" w:rsidRDefault="00EA3823" w14:paraId="17F439C9" w14:textId="5D3A02CC">
      <w:pPr>
        <w:spacing w:after="0" w:line="240" w:lineRule="auto"/>
        <w:rPr>
          <w:b/>
        </w:rPr>
      </w:pPr>
      <w:r>
        <w:rPr>
          <w:b/>
        </w:rPr>
        <w:t xml:space="preserve">Appendix </w:t>
      </w:r>
      <w:r w:rsidR="00EB197A">
        <w:rPr>
          <w:b/>
        </w:rPr>
        <w:t>1:</w:t>
      </w:r>
      <w:r>
        <w:rPr>
          <w:b/>
        </w:rPr>
        <w:t xml:space="preserve"> </w:t>
      </w:r>
      <w:r w:rsidRPr="007830E5">
        <w:rPr>
          <w:bCs/>
        </w:rPr>
        <w:t>Outreach Emails</w:t>
      </w:r>
    </w:p>
    <w:bookmarkEnd w:id="0"/>
    <w:p w:rsidRPr="006B53F1" w:rsidR="00306028" w:rsidP="00B13297" w:rsidRDefault="00306028" w14:paraId="08BDA7B5" w14:textId="77777777"/>
    <w:sectPr w:rsidRPr="006B53F1" w:rsidR="0030602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4B76A" w14:textId="77777777" w:rsidR="00841DA8" w:rsidRDefault="00841DA8" w:rsidP="0004063C">
      <w:pPr>
        <w:spacing w:after="0" w:line="240" w:lineRule="auto"/>
      </w:pPr>
      <w:r>
        <w:separator/>
      </w:r>
    </w:p>
  </w:endnote>
  <w:endnote w:type="continuationSeparator" w:id="0">
    <w:p w14:paraId="0B6B8460" w14:textId="77777777" w:rsidR="00841DA8" w:rsidRDefault="00841DA8"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5F8F3" w14:textId="77777777" w:rsidR="00841DA8" w:rsidRDefault="00841DA8" w:rsidP="0004063C">
      <w:pPr>
        <w:spacing w:after="0" w:line="240" w:lineRule="auto"/>
      </w:pPr>
      <w:r>
        <w:separator/>
      </w:r>
    </w:p>
  </w:footnote>
  <w:footnote w:type="continuationSeparator" w:id="0">
    <w:p w14:paraId="210168A8" w14:textId="77777777" w:rsidR="00841DA8" w:rsidRDefault="00841DA8" w:rsidP="0004063C">
      <w:pPr>
        <w:spacing w:after="0" w:line="240" w:lineRule="auto"/>
      </w:pPr>
      <w:r>
        <w:continuationSeparator/>
      </w:r>
    </w:p>
  </w:footnote>
  <w:footnote w:id="1">
    <w:p w14:paraId="4F110D3D" w14:textId="090CD5E3" w:rsidR="002560D7" w:rsidRPr="0095732D" w:rsidRDefault="002560D7" w:rsidP="009573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2B55"/>
    <w:multiLevelType w:val="hybridMultilevel"/>
    <w:tmpl w:val="0CF69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6"/>
  </w:num>
  <w:num w:numId="4">
    <w:abstractNumId w:val="32"/>
  </w:num>
  <w:num w:numId="5">
    <w:abstractNumId w:val="22"/>
  </w:num>
  <w:num w:numId="6">
    <w:abstractNumId w:val="43"/>
  </w:num>
  <w:num w:numId="7">
    <w:abstractNumId w:val="5"/>
  </w:num>
  <w:num w:numId="8">
    <w:abstractNumId w:val="14"/>
  </w:num>
  <w:num w:numId="9">
    <w:abstractNumId w:val="21"/>
  </w:num>
  <w:num w:numId="10">
    <w:abstractNumId w:val="41"/>
  </w:num>
  <w:num w:numId="11">
    <w:abstractNumId w:val="46"/>
  </w:num>
  <w:num w:numId="12">
    <w:abstractNumId w:val="37"/>
  </w:num>
  <w:num w:numId="13">
    <w:abstractNumId w:val="31"/>
  </w:num>
  <w:num w:numId="14">
    <w:abstractNumId w:val="39"/>
  </w:num>
  <w:num w:numId="15">
    <w:abstractNumId w:val="24"/>
  </w:num>
  <w:num w:numId="16">
    <w:abstractNumId w:val="30"/>
  </w:num>
  <w:num w:numId="17">
    <w:abstractNumId w:val="20"/>
  </w:num>
  <w:num w:numId="18">
    <w:abstractNumId w:val="11"/>
  </w:num>
  <w:num w:numId="19">
    <w:abstractNumId w:val="10"/>
  </w:num>
  <w:num w:numId="20">
    <w:abstractNumId w:val="29"/>
  </w:num>
  <w:num w:numId="21">
    <w:abstractNumId w:val="0"/>
  </w:num>
  <w:num w:numId="22">
    <w:abstractNumId w:val="2"/>
  </w:num>
  <w:num w:numId="23">
    <w:abstractNumId w:val="25"/>
  </w:num>
  <w:num w:numId="24">
    <w:abstractNumId w:val="3"/>
  </w:num>
  <w:num w:numId="25">
    <w:abstractNumId w:val="16"/>
  </w:num>
  <w:num w:numId="26">
    <w:abstractNumId w:val="45"/>
  </w:num>
  <w:num w:numId="27">
    <w:abstractNumId w:val="38"/>
  </w:num>
  <w:num w:numId="28">
    <w:abstractNumId w:val="18"/>
  </w:num>
  <w:num w:numId="29">
    <w:abstractNumId w:val="17"/>
  </w:num>
  <w:num w:numId="30">
    <w:abstractNumId w:val="4"/>
  </w:num>
  <w:num w:numId="31">
    <w:abstractNumId w:val="12"/>
  </w:num>
  <w:num w:numId="32">
    <w:abstractNumId w:val="26"/>
  </w:num>
  <w:num w:numId="33">
    <w:abstractNumId w:val="33"/>
  </w:num>
  <w:num w:numId="34">
    <w:abstractNumId w:val="15"/>
  </w:num>
  <w:num w:numId="35">
    <w:abstractNumId w:val="23"/>
  </w:num>
  <w:num w:numId="36">
    <w:abstractNumId w:val="19"/>
  </w:num>
  <w:num w:numId="37">
    <w:abstractNumId w:val="34"/>
  </w:num>
  <w:num w:numId="38">
    <w:abstractNumId w:val="27"/>
  </w:num>
  <w:num w:numId="39">
    <w:abstractNumId w:val="9"/>
  </w:num>
  <w:num w:numId="40">
    <w:abstractNumId w:val="42"/>
  </w:num>
  <w:num w:numId="41">
    <w:abstractNumId w:val="35"/>
  </w:num>
  <w:num w:numId="42">
    <w:abstractNumId w:val="8"/>
  </w:num>
  <w:num w:numId="43">
    <w:abstractNumId w:val="44"/>
  </w:num>
  <w:num w:numId="44">
    <w:abstractNumId w:val="36"/>
  </w:num>
  <w:num w:numId="45">
    <w:abstractNumId w:val="13"/>
  </w:num>
  <w:num w:numId="46">
    <w:abstractNumId w:val="40"/>
  </w:num>
  <w:num w:numId="4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4063C"/>
    <w:rsid w:val="0004247F"/>
    <w:rsid w:val="00053864"/>
    <w:rsid w:val="00060B30"/>
    <w:rsid w:val="00060C59"/>
    <w:rsid w:val="00062AFB"/>
    <w:rsid w:val="000655DD"/>
    <w:rsid w:val="00071F79"/>
    <w:rsid w:val="0007251B"/>
    <w:rsid w:val="000733A5"/>
    <w:rsid w:val="00082C5B"/>
    <w:rsid w:val="00083227"/>
    <w:rsid w:val="00086CBE"/>
    <w:rsid w:val="00090812"/>
    <w:rsid w:val="000921F0"/>
    <w:rsid w:val="000A012A"/>
    <w:rsid w:val="000D4E9A"/>
    <w:rsid w:val="000D7D44"/>
    <w:rsid w:val="000F1E4A"/>
    <w:rsid w:val="00100D34"/>
    <w:rsid w:val="00103EFD"/>
    <w:rsid w:val="00107A07"/>
    <w:rsid w:val="00107D87"/>
    <w:rsid w:val="00115818"/>
    <w:rsid w:val="001253F4"/>
    <w:rsid w:val="0014630A"/>
    <w:rsid w:val="00157482"/>
    <w:rsid w:val="001707D8"/>
    <w:rsid w:val="00192938"/>
    <w:rsid w:val="001A330D"/>
    <w:rsid w:val="001A38FD"/>
    <w:rsid w:val="001B0A76"/>
    <w:rsid w:val="001B6E1A"/>
    <w:rsid w:val="001D3D75"/>
    <w:rsid w:val="001D7761"/>
    <w:rsid w:val="001F0446"/>
    <w:rsid w:val="001F57F5"/>
    <w:rsid w:val="0020401C"/>
    <w:rsid w:val="0020629A"/>
    <w:rsid w:val="00206E11"/>
    <w:rsid w:val="00206FE3"/>
    <w:rsid w:val="00207554"/>
    <w:rsid w:val="00211261"/>
    <w:rsid w:val="00230CAA"/>
    <w:rsid w:val="002517BB"/>
    <w:rsid w:val="002560D7"/>
    <w:rsid w:val="00256E24"/>
    <w:rsid w:val="00257185"/>
    <w:rsid w:val="00265491"/>
    <w:rsid w:val="002669A8"/>
    <w:rsid w:val="00276CE2"/>
    <w:rsid w:val="00287AF1"/>
    <w:rsid w:val="002A0DD9"/>
    <w:rsid w:val="002A41C6"/>
    <w:rsid w:val="002B5DBE"/>
    <w:rsid w:val="002B785B"/>
    <w:rsid w:val="002B7971"/>
    <w:rsid w:val="002D186D"/>
    <w:rsid w:val="002E6CCF"/>
    <w:rsid w:val="002F33D0"/>
    <w:rsid w:val="00300722"/>
    <w:rsid w:val="0030316D"/>
    <w:rsid w:val="00306028"/>
    <w:rsid w:val="00353D09"/>
    <w:rsid w:val="00354E6B"/>
    <w:rsid w:val="003561AB"/>
    <w:rsid w:val="003664F6"/>
    <w:rsid w:val="00373D2F"/>
    <w:rsid w:val="003A1C3E"/>
    <w:rsid w:val="003A7774"/>
    <w:rsid w:val="003B4114"/>
    <w:rsid w:val="003C7358"/>
    <w:rsid w:val="003E61F6"/>
    <w:rsid w:val="00401D0C"/>
    <w:rsid w:val="00405075"/>
    <w:rsid w:val="00407537"/>
    <w:rsid w:val="004165BD"/>
    <w:rsid w:val="0042220D"/>
    <w:rsid w:val="0042265D"/>
    <w:rsid w:val="004328A4"/>
    <w:rsid w:val="0043377A"/>
    <w:rsid w:val="004379B6"/>
    <w:rsid w:val="0044428E"/>
    <w:rsid w:val="00446465"/>
    <w:rsid w:val="00460D54"/>
    <w:rsid w:val="00461D3E"/>
    <w:rsid w:val="004706CC"/>
    <w:rsid w:val="004914E9"/>
    <w:rsid w:val="004B4839"/>
    <w:rsid w:val="004B75AC"/>
    <w:rsid w:val="004C3644"/>
    <w:rsid w:val="004D12DD"/>
    <w:rsid w:val="004E5778"/>
    <w:rsid w:val="004E7ED8"/>
    <w:rsid w:val="00501A2F"/>
    <w:rsid w:val="0050376D"/>
    <w:rsid w:val="005053F6"/>
    <w:rsid w:val="00512C25"/>
    <w:rsid w:val="005302CB"/>
    <w:rsid w:val="005319DA"/>
    <w:rsid w:val="0054255A"/>
    <w:rsid w:val="0055434C"/>
    <w:rsid w:val="005758A3"/>
    <w:rsid w:val="00577243"/>
    <w:rsid w:val="00586A7F"/>
    <w:rsid w:val="00591283"/>
    <w:rsid w:val="005A61CE"/>
    <w:rsid w:val="005A7E5A"/>
    <w:rsid w:val="005B1285"/>
    <w:rsid w:val="005B1410"/>
    <w:rsid w:val="005B5FCC"/>
    <w:rsid w:val="005D4A40"/>
    <w:rsid w:val="005E1708"/>
    <w:rsid w:val="005E3F36"/>
    <w:rsid w:val="005E493B"/>
    <w:rsid w:val="005F2951"/>
    <w:rsid w:val="005F4302"/>
    <w:rsid w:val="006176DC"/>
    <w:rsid w:val="00620841"/>
    <w:rsid w:val="00624DDC"/>
    <w:rsid w:val="006253B6"/>
    <w:rsid w:val="006257ED"/>
    <w:rsid w:val="0062686E"/>
    <w:rsid w:val="00630B30"/>
    <w:rsid w:val="00651FF6"/>
    <w:rsid w:val="00681D69"/>
    <w:rsid w:val="0068303E"/>
    <w:rsid w:val="0068383E"/>
    <w:rsid w:val="006A2B00"/>
    <w:rsid w:val="006A4D02"/>
    <w:rsid w:val="006B1BF9"/>
    <w:rsid w:val="006B31DA"/>
    <w:rsid w:val="006B53F1"/>
    <w:rsid w:val="006B6037"/>
    <w:rsid w:val="006C0E56"/>
    <w:rsid w:val="006D6727"/>
    <w:rsid w:val="006E4F82"/>
    <w:rsid w:val="00717BDC"/>
    <w:rsid w:val="00721395"/>
    <w:rsid w:val="00723A28"/>
    <w:rsid w:val="00736B62"/>
    <w:rsid w:val="00764C85"/>
    <w:rsid w:val="00782D0D"/>
    <w:rsid w:val="007830E5"/>
    <w:rsid w:val="00793E3E"/>
    <w:rsid w:val="007A29C5"/>
    <w:rsid w:val="007C7B4B"/>
    <w:rsid w:val="007D0F6E"/>
    <w:rsid w:val="007F265B"/>
    <w:rsid w:val="00814DF6"/>
    <w:rsid w:val="00823428"/>
    <w:rsid w:val="008267B4"/>
    <w:rsid w:val="00834C54"/>
    <w:rsid w:val="008369BA"/>
    <w:rsid w:val="00840D32"/>
    <w:rsid w:val="00841DA8"/>
    <w:rsid w:val="00843933"/>
    <w:rsid w:val="008502D9"/>
    <w:rsid w:val="00850F4C"/>
    <w:rsid w:val="00864C1F"/>
    <w:rsid w:val="00870FA1"/>
    <w:rsid w:val="00875220"/>
    <w:rsid w:val="00891CD9"/>
    <w:rsid w:val="00896296"/>
    <w:rsid w:val="008A5302"/>
    <w:rsid w:val="008C7CA9"/>
    <w:rsid w:val="008E0239"/>
    <w:rsid w:val="008E4718"/>
    <w:rsid w:val="008F2446"/>
    <w:rsid w:val="00901040"/>
    <w:rsid w:val="00906F6A"/>
    <w:rsid w:val="00923F25"/>
    <w:rsid w:val="009456BB"/>
    <w:rsid w:val="0095732D"/>
    <w:rsid w:val="00963503"/>
    <w:rsid w:val="00965DBD"/>
    <w:rsid w:val="00971944"/>
    <w:rsid w:val="0098083C"/>
    <w:rsid w:val="009815C6"/>
    <w:rsid w:val="00996201"/>
    <w:rsid w:val="009A39E1"/>
    <w:rsid w:val="009A3AD8"/>
    <w:rsid w:val="009A6EE8"/>
    <w:rsid w:val="009B0F58"/>
    <w:rsid w:val="009C3380"/>
    <w:rsid w:val="009C4583"/>
    <w:rsid w:val="009E7E38"/>
    <w:rsid w:val="009F265B"/>
    <w:rsid w:val="009F482C"/>
    <w:rsid w:val="009F68DB"/>
    <w:rsid w:val="00A03E3F"/>
    <w:rsid w:val="00A1108E"/>
    <w:rsid w:val="00A27CD0"/>
    <w:rsid w:val="00A36134"/>
    <w:rsid w:val="00A362B6"/>
    <w:rsid w:val="00A47875"/>
    <w:rsid w:val="00A67DFF"/>
    <w:rsid w:val="00A71475"/>
    <w:rsid w:val="00A714DC"/>
    <w:rsid w:val="00A7179C"/>
    <w:rsid w:val="00A71D77"/>
    <w:rsid w:val="00A761CB"/>
    <w:rsid w:val="00A85701"/>
    <w:rsid w:val="00AA03F9"/>
    <w:rsid w:val="00AB7205"/>
    <w:rsid w:val="00AC579F"/>
    <w:rsid w:val="00AC60B5"/>
    <w:rsid w:val="00AD0344"/>
    <w:rsid w:val="00AD3261"/>
    <w:rsid w:val="00AD4355"/>
    <w:rsid w:val="00AE0A37"/>
    <w:rsid w:val="00AE3F5F"/>
    <w:rsid w:val="00B026D1"/>
    <w:rsid w:val="00B04785"/>
    <w:rsid w:val="00B13297"/>
    <w:rsid w:val="00B13DC4"/>
    <w:rsid w:val="00B17B7C"/>
    <w:rsid w:val="00B23277"/>
    <w:rsid w:val="00B245AD"/>
    <w:rsid w:val="00B3652D"/>
    <w:rsid w:val="00B4182B"/>
    <w:rsid w:val="00B524AD"/>
    <w:rsid w:val="00B55E54"/>
    <w:rsid w:val="00B56589"/>
    <w:rsid w:val="00B64D05"/>
    <w:rsid w:val="00B70460"/>
    <w:rsid w:val="00B7633A"/>
    <w:rsid w:val="00B9441B"/>
    <w:rsid w:val="00BA1CBD"/>
    <w:rsid w:val="00BB4BF8"/>
    <w:rsid w:val="00BD24BE"/>
    <w:rsid w:val="00BD702B"/>
    <w:rsid w:val="00BD7963"/>
    <w:rsid w:val="00BD7B78"/>
    <w:rsid w:val="00BE371B"/>
    <w:rsid w:val="00BE4FEE"/>
    <w:rsid w:val="00BE773B"/>
    <w:rsid w:val="00BF0A5B"/>
    <w:rsid w:val="00C05352"/>
    <w:rsid w:val="00C17352"/>
    <w:rsid w:val="00C32404"/>
    <w:rsid w:val="00C504B5"/>
    <w:rsid w:val="00C53AEC"/>
    <w:rsid w:val="00C624AA"/>
    <w:rsid w:val="00C7152E"/>
    <w:rsid w:val="00C73360"/>
    <w:rsid w:val="00C86CB2"/>
    <w:rsid w:val="00C91C71"/>
    <w:rsid w:val="00C95126"/>
    <w:rsid w:val="00CA72A5"/>
    <w:rsid w:val="00CB1F9B"/>
    <w:rsid w:val="00CB4358"/>
    <w:rsid w:val="00CB57CE"/>
    <w:rsid w:val="00CC07BF"/>
    <w:rsid w:val="00CC3A0A"/>
    <w:rsid w:val="00CC4651"/>
    <w:rsid w:val="00CC7328"/>
    <w:rsid w:val="00CE018E"/>
    <w:rsid w:val="00CE7A4A"/>
    <w:rsid w:val="00CF315D"/>
    <w:rsid w:val="00D1343F"/>
    <w:rsid w:val="00D13AA8"/>
    <w:rsid w:val="00D239B5"/>
    <w:rsid w:val="00D30B6F"/>
    <w:rsid w:val="00D32B72"/>
    <w:rsid w:val="00D32E6D"/>
    <w:rsid w:val="00D4033C"/>
    <w:rsid w:val="00D45504"/>
    <w:rsid w:val="00D5346A"/>
    <w:rsid w:val="00D55767"/>
    <w:rsid w:val="00D5719E"/>
    <w:rsid w:val="00D57C24"/>
    <w:rsid w:val="00D65FDB"/>
    <w:rsid w:val="00D71BA0"/>
    <w:rsid w:val="00D749DF"/>
    <w:rsid w:val="00D75932"/>
    <w:rsid w:val="00D82755"/>
    <w:rsid w:val="00D82E67"/>
    <w:rsid w:val="00D831AC"/>
    <w:rsid w:val="00D87B09"/>
    <w:rsid w:val="00D9025C"/>
    <w:rsid w:val="00D92CC3"/>
    <w:rsid w:val="00D97926"/>
    <w:rsid w:val="00DA3557"/>
    <w:rsid w:val="00DA4701"/>
    <w:rsid w:val="00DC4A3B"/>
    <w:rsid w:val="00DC65F2"/>
    <w:rsid w:val="00DC7876"/>
    <w:rsid w:val="00DC7DD5"/>
    <w:rsid w:val="00DE3ED7"/>
    <w:rsid w:val="00DF1291"/>
    <w:rsid w:val="00E01319"/>
    <w:rsid w:val="00E1392C"/>
    <w:rsid w:val="00E218C4"/>
    <w:rsid w:val="00E22AC6"/>
    <w:rsid w:val="00E24830"/>
    <w:rsid w:val="00E271B3"/>
    <w:rsid w:val="00E318A6"/>
    <w:rsid w:val="00E41C62"/>
    <w:rsid w:val="00E41EE9"/>
    <w:rsid w:val="00E44AB6"/>
    <w:rsid w:val="00E461D4"/>
    <w:rsid w:val="00E62285"/>
    <w:rsid w:val="00E62819"/>
    <w:rsid w:val="00E71E25"/>
    <w:rsid w:val="00E9045F"/>
    <w:rsid w:val="00EA0D4F"/>
    <w:rsid w:val="00EA1C9B"/>
    <w:rsid w:val="00EA3823"/>
    <w:rsid w:val="00EA405B"/>
    <w:rsid w:val="00EB197A"/>
    <w:rsid w:val="00EB4C26"/>
    <w:rsid w:val="00EB6134"/>
    <w:rsid w:val="00EC1A6C"/>
    <w:rsid w:val="00EC1C18"/>
    <w:rsid w:val="00EC282C"/>
    <w:rsid w:val="00EC4339"/>
    <w:rsid w:val="00EC46E1"/>
    <w:rsid w:val="00ED7509"/>
    <w:rsid w:val="00EE38AF"/>
    <w:rsid w:val="00EF254B"/>
    <w:rsid w:val="00EF4FF2"/>
    <w:rsid w:val="00F071DE"/>
    <w:rsid w:val="00F21904"/>
    <w:rsid w:val="00F4057A"/>
    <w:rsid w:val="00F42246"/>
    <w:rsid w:val="00F74630"/>
    <w:rsid w:val="00F87CA1"/>
    <w:rsid w:val="00F9122A"/>
    <w:rsid w:val="00FA6D2C"/>
    <w:rsid w:val="00FB5BF6"/>
    <w:rsid w:val="00FC66B5"/>
    <w:rsid w:val="00FC779A"/>
    <w:rsid w:val="00FD3BC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5948">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76997486">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68641206">
      <w:bodyDiv w:val="1"/>
      <w:marLeft w:val="0"/>
      <w:marRight w:val="0"/>
      <w:marTop w:val="0"/>
      <w:marBottom w:val="0"/>
      <w:divBdr>
        <w:top w:val="none" w:sz="0" w:space="0" w:color="auto"/>
        <w:left w:val="none" w:sz="0" w:space="0" w:color="auto"/>
        <w:bottom w:val="none" w:sz="0" w:space="0" w:color="auto"/>
        <w:right w:val="none" w:sz="0" w:space="0" w:color="auto"/>
      </w:divBdr>
    </w:div>
    <w:div w:id="1347904056">
      <w:bodyDiv w:val="1"/>
      <w:marLeft w:val="0"/>
      <w:marRight w:val="0"/>
      <w:marTop w:val="0"/>
      <w:marBottom w:val="0"/>
      <w:divBdr>
        <w:top w:val="none" w:sz="0" w:space="0" w:color="auto"/>
        <w:left w:val="none" w:sz="0" w:space="0" w:color="auto"/>
        <w:bottom w:val="none" w:sz="0" w:space="0" w:color="auto"/>
        <w:right w:val="none" w:sz="0" w:space="0" w:color="auto"/>
      </w:divBdr>
    </w:div>
    <w:div w:id="184701306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29053CC-9A64-46B5-8C1C-0C75FD518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DeCourcey, Wendy (ACF)</dc:creator>
  <cp:lastModifiedBy>Jones, Molly (ACF)</cp:lastModifiedBy>
  <cp:revision>3</cp:revision>
  <dcterms:created xsi:type="dcterms:W3CDTF">2022-03-08T17:35:00Z</dcterms:created>
  <dcterms:modified xsi:type="dcterms:W3CDTF">2022-03-08T17:35:00Z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