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Pr="00000000" w:rsidR="00000000" w:rsidDel="00000000" w:rsidP="00000000" w:rsidRDefault="00000000" w14:paraId="00000001">
      <w:pPr>
        <w:pStyle w:val="Title"/>
        <w:rPr>
          <w:color w:val="555559"/>
          <w:sz w:val="54"/>
          <w:szCs w:val="54"/>
        </w:rPr>
      </w:pPr>
      <w:bookmarkStart w:name="_heading=h.gjdgxs" w:colFirst="0" w:colLast="0" w:id="0"/>
      <w:bookmarkEnd w:id="0"/>
      <w:r w:rsidRPr="00000000" w:rsidDel="00000000" w:rsidR="00000000">
        <w:rPr>
          <w:color w:val="555559"/>
          <w:sz w:val="54"/>
          <w:szCs w:val="54"/>
          <w:rtl w:val="0"/>
        </w:rPr>
        <w:t xml:space="preserve">HRSA </w:t>
      </w:r>
      <w:r w:rsidRPr="00000000" w:rsidDel="00000000" w:rsidR="00000000">
        <w:rPr>
          <w:rtl w:val="0"/>
        </w:rPr>
        <w:t xml:space="preserve">HIV/AIDS Bureau </w:t>
      </w:r>
      <w:r w:rsidRPr="00000000" w:rsidDel="00000000" w:rsidR="00000000">
        <w:rPr>
          <w:color w:val="555559"/>
          <w:sz w:val="54"/>
          <w:szCs w:val="54"/>
          <w:rtl w:val="0"/>
        </w:rPr>
        <w:t xml:space="preserve">Website</w:t>
      </w:r>
    </w:p>
    <w:p w:rsidRPr="00000000" w:rsidR="00000000" w:rsidDel="00000000" w:rsidP="00000000" w:rsidRDefault="00000000" w14:paraId="00000002">
      <w:pPr>
        <w:pStyle w:val="Title"/>
        <w:rPr>
          <w:color w:val="555559"/>
        </w:rPr>
      </w:pPr>
      <w:bookmarkStart w:name="_heading=h.30j0zll" w:colFirst="0" w:colLast="0" w:id="1"/>
      <w:bookmarkEnd w:id="1"/>
      <w:r w:rsidRPr="00000000" w:rsidDel="00000000" w:rsidR="00000000">
        <w:rPr>
          <w:b w:val="0"/>
          <w:rtl w:val="0"/>
        </w:rPr>
        <w:t xml:space="preserve">Card Sort Plan</w:t>
      </w:r>
      <w:r w:rsidRPr="00000000" w:rsidDel="00000000" w:rsidR="00000000">
        <w:rPr>
          <w:rtl w:val="0"/>
        </w:rPr>
      </w:r>
    </w:p>
    <w:p w:rsidRPr="00000000" w:rsidR="00000000" w:rsidDel="00000000" w:rsidP="00000000" w:rsidRDefault="00000000" w14:paraId="00000003">
      <w:pPr>
        <w:pStyle w:val="Heading1"/>
        <w:rPr/>
      </w:pPr>
      <w:bookmarkStart w:name="_heading=h.3znysh7" w:colFirst="0" w:colLast="0" w:id="2"/>
      <w:bookmarkEnd w:id="2"/>
      <w:r w:rsidRPr="00000000" w:rsidDel="00000000" w:rsidR="00000000">
        <w:rPr>
          <w:rtl w:val="0"/>
        </w:rPr>
        <w:t xml:space="preserve">About</w:t>
      </w:r>
    </w:p>
    <w:p w:rsidRPr="00000000" w:rsidR="00000000" w:rsidDel="00000000" w:rsidP="00000000" w:rsidRDefault="00000000" w14:paraId="00000004">
      <w:pPr>
        <w:rPr/>
      </w:pPr>
      <w:r w:rsidRPr="00000000" w:rsidDel="00000000" w:rsidR="00000000">
        <w:rPr>
          <w:rtl w:val="0"/>
        </w:rPr>
        <w:t xml:space="preserve">This card sort plan outlines our approach for conducting generative audience research for the HRSA HIV/AIDS Bureau (HAB) website. This will inform the updated information architecture for our redesign of the HAB website. The survey instrument, including text of the script and screenshots from the survey tool, are included in a separate attached document.</w:t>
      </w:r>
    </w:p>
    <w:p w:rsidRPr="00000000" w:rsidR="00000000" w:rsidDel="00000000" w:rsidP="00000000" w:rsidRDefault="00000000" w14:paraId="00000005">
      <w:pPr>
        <w:pStyle w:val="Heading1"/>
        <w:spacing w:before="300" w:lineRule="auto"/>
        <w:rPr/>
      </w:pPr>
      <w:bookmarkStart w:name="_heading=h.2et92p0" w:colFirst="0" w:colLast="0" w:id="3"/>
      <w:bookmarkEnd w:id="3"/>
      <w:r w:rsidRPr="00000000" w:rsidDel="00000000" w:rsidR="00000000">
        <w:rPr>
          <w:rtl w:val="0"/>
        </w:rPr>
        <w:t xml:space="preserve">Objectives</w:t>
      </w:r>
    </w:p>
    <w:p w:rsidRPr="00000000" w:rsidR="00000000" w:rsidDel="00000000" w:rsidP="00000000" w:rsidRDefault="00000000" w14:paraId="00000006">
      <w:pPr>
        <w:numPr>
          <w:ilvl w:val="0"/>
          <w:numId w:val="2"/>
        </w:numPr>
        <w:ind w:left="720" w:hanging="360"/>
        <w:rPr>
          <w:rFonts w:ascii="Source Sans Pro" w:hAnsi="Source Sans Pro" w:eastAsia="Source Sans Pro" w:cs="Source Sans Pro"/>
          <w:color w:val="555559"/>
          <w:sz w:val="22"/>
          <w:szCs w:val="22"/>
        </w:rPr>
      </w:pPr>
      <w:r w:rsidRPr="00000000" w:rsidDel="00000000" w:rsidR="00000000">
        <w:rPr>
          <w:rtl w:val="0"/>
        </w:rPr>
        <w:t xml:space="preserve">Learn how audience members organize the content on the HAB website.</w:t>
      </w:r>
      <w:r w:rsidRPr="00000000" w:rsidDel="00000000" w:rsidR="00000000">
        <w:rPr>
          <w:rtl w:val="0"/>
        </w:rPr>
      </w:r>
    </w:p>
    <w:p w:rsidRPr="00000000" w:rsidR="00000000" w:rsidDel="00000000" w:rsidP="00000000" w:rsidRDefault="00000000" w14:paraId="00000007">
      <w:pPr>
        <w:numPr>
          <w:ilvl w:val="0"/>
          <w:numId w:val="2"/>
        </w:numPr>
        <w:ind w:left="720" w:hanging="360"/>
        <w:rPr>
          <w:rFonts w:ascii="Source Sans Pro" w:hAnsi="Source Sans Pro" w:eastAsia="Source Sans Pro" w:cs="Source Sans Pro"/>
          <w:color w:val="555559"/>
          <w:sz w:val="22"/>
          <w:szCs w:val="22"/>
        </w:rPr>
      </w:pPr>
      <w:r w:rsidRPr="00000000" w:rsidDel="00000000" w:rsidR="00000000">
        <w:rPr>
          <w:rtl w:val="0"/>
        </w:rPr>
        <w:t xml:space="preserve">Determine what terms or labels audiences prefer to give categories for the HAB website.</w:t>
      </w:r>
      <w:r w:rsidRPr="00000000" w:rsidDel="00000000" w:rsidR="00000000">
        <w:rPr>
          <w:rtl w:val="0"/>
        </w:rPr>
      </w:r>
    </w:p>
    <w:p w:rsidRPr="00000000" w:rsidR="00000000" w:rsidDel="00000000" w:rsidP="00000000" w:rsidRDefault="00000000" w14:paraId="00000008">
      <w:pPr>
        <w:pStyle w:val="Heading1"/>
        <w:widowControl w:val="1"/>
        <w:spacing w:before="300" w:after="200" w:lineRule="auto"/>
        <w:rPr/>
      </w:pPr>
      <w:bookmarkStart w:name="_heading=h.tyjcwt" w:colFirst="0" w:colLast="0" w:id="4"/>
      <w:bookmarkEnd w:id="4"/>
      <w:r w:rsidRPr="00000000" w:rsidDel="00000000" w:rsidR="00000000">
        <w:rPr>
          <w:rtl w:val="0"/>
        </w:rPr>
        <w:t xml:space="preserve">Assumptions</w:t>
      </w:r>
    </w:p>
    <w:p w:rsidRPr="00000000" w:rsidR="00000000" w:rsidDel="00000000" w:rsidP="00000000" w:rsidRDefault="00000000" w14:paraId="00000009">
      <w:pPr>
        <w:numPr>
          <w:ilvl w:val="0"/>
          <w:numId w:val="1"/>
        </w:numPr>
        <w:ind w:left="720" w:hanging="360"/>
        <w:rPr/>
      </w:pPr>
      <w:r w:rsidRPr="00000000" w:rsidDel="00000000" w:rsidR="00000000">
        <w:rPr>
          <w:rtl w:val="0"/>
        </w:rPr>
        <w:t xml:space="preserve">Users will group information topically.</w:t>
      </w:r>
    </w:p>
    <w:p w:rsidRPr="00000000" w:rsidR="00000000" w:rsidDel="00000000" w:rsidP="00000000" w:rsidRDefault="00000000" w14:paraId="0000000A">
      <w:pPr>
        <w:numPr>
          <w:ilvl w:val="0"/>
          <w:numId w:val="1"/>
        </w:numPr>
        <w:ind w:left="720" w:hanging="360"/>
        <w:rPr/>
      </w:pPr>
      <w:r w:rsidRPr="00000000" w:rsidDel="00000000" w:rsidR="00000000">
        <w:rPr>
          <w:rtl w:val="0"/>
        </w:rPr>
        <w:t xml:space="preserve">Information is not organized intuitively to external audiences.</w:t>
      </w:r>
      <w:r w:rsidRPr="00000000" w:rsidDel="00000000" w:rsidR="00000000">
        <w:rPr>
          <w:rtl w:val="0"/>
        </w:rPr>
      </w:r>
    </w:p>
    <w:p w:rsidRPr="00000000" w:rsidR="00000000" w:rsidDel="00000000" w:rsidP="00000000" w:rsidRDefault="00000000" w14:paraId="0000000B">
      <w:pPr>
        <w:pStyle w:val="Heading1"/>
        <w:widowControl w:val="1"/>
        <w:spacing w:before="300" w:after="200" w:lineRule="auto"/>
        <w:rPr/>
      </w:pPr>
      <w:bookmarkStart w:name="_heading=h.3dy6vkm" w:colFirst="0" w:colLast="0" w:id="5"/>
      <w:bookmarkEnd w:id="5"/>
      <w:r w:rsidRPr="00000000" w:rsidDel="00000000" w:rsidR="00000000">
        <w:rPr>
          <w:rtl w:val="0"/>
        </w:rPr>
        <w:t xml:space="preserve">Participants</w:t>
      </w:r>
    </w:p>
    <w:p w:rsidRPr="00000000" w:rsidR="00000000" w:rsidDel="00000000" w:rsidP="00000000" w:rsidRDefault="00000000" w14:paraId="0000000C">
      <w:pPr>
        <w:numPr>
          <w:ilvl w:val="0"/>
          <w:numId w:val="3"/>
        </w:numPr>
        <w:ind w:left="720" w:hanging="360"/>
        <w:rPr>
          <w:u w:val="none"/>
        </w:rPr>
      </w:pPr>
      <w:r w:rsidRPr="00000000" w:rsidDel="00000000" w:rsidR="00000000">
        <w:rPr>
          <w:rtl w:val="0"/>
        </w:rPr>
        <w:t xml:space="preserve">Test with up to 30 members of HAB’s primary audiences, including:</w:t>
      </w:r>
      <w:r w:rsidRPr="00000000" w:rsidDel="00000000" w:rsidR="00000000">
        <w:rPr>
          <w:rtl w:val="0"/>
        </w:rPr>
      </w:r>
    </w:p>
    <w:p w:rsidRPr="00000000" w:rsidR="00000000" w:rsidDel="00000000" w:rsidP="00000000" w:rsidRDefault="00000000" w14:paraId="0000000D">
      <w:pPr>
        <w:numPr>
          <w:ilvl w:val="1"/>
          <w:numId w:val="3"/>
        </w:numPr>
        <w:ind w:left="1440" w:hanging="360"/>
        <w:rPr>
          <w:u w:val="none"/>
        </w:rPr>
      </w:pPr>
      <w:r w:rsidRPr="00000000" w:rsidDel="00000000" w:rsidR="00000000">
        <w:rPr>
          <w:rtl w:val="0"/>
        </w:rPr>
        <w:t xml:space="preserve">Grant and cooperative agreement recipients</w:t>
      </w:r>
      <w:r w:rsidRPr="00000000" w:rsidDel="00000000" w:rsidR="00000000">
        <w:rPr>
          <w:rtl w:val="0"/>
        </w:rPr>
      </w:r>
    </w:p>
    <w:p w:rsidRPr="00000000" w:rsidR="00000000" w:rsidDel="00000000" w:rsidP="00000000" w:rsidRDefault="00000000" w14:paraId="0000000E">
      <w:pPr>
        <w:numPr>
          <w:ilvl w:val="1"/>
          <w:numId w:val="3"/>
        </w:numPr>
        <w:ind w:left="1440" w:hanging="360"/>
        <w:rPr>
          <w:u w:val="none"/>
        </w:rPr>
      </w:pPr>
      <w:r w:rsidRPr="00000000" w:rsidDel="00000000" w:rsidR="00000000">
        <w:rPr>
          <w:rtl w:val="0"/>
        </w:rPr>
        <w:t xml:space="preserve">Partner and stakeholder organizations</w:t>
      </w:r>
      <w:r w:rsidRPr="00000000" w:rsidDel="00000000" w:rsidR="00000000">
        <w:rPr>
          <w:rtl w:val="0"/>
        </w:rPr>
      </w:r>
    </w:p>
    <w:p w:rsidRPr="00000000" w:rsidR="00000000" w:rsidDel="00000000" w:rsidP="00000000" w:rsidRDefault="00000000" w14:paraId="0000000F">
      <w:pPr>
        <w:numPr>
          <w:ilvl w:val="0"/>
          <w:numId w:val="3"/>
        </w:numPr>
        <w:ind w:left="720" w:hanging="360"/>
        <w:rPr>
          <w:u w:val="none"/>
        </w:rPr>
      </w:pPr>
      <w:r w:rsidRPr="00000000" w:rsidDel="00000000" w:rsidR="00000000">
        <w:rPr>
          <w:rtl w:val="0"/>
        </w:rPr>
        <w:t xml:space="preserve">HAB will recruit testing participants.</w:t>
      </w:r>
      <w:r w:rsidRPr="00000000" w:rsidDel="00000000" w:rsidR="00000000">
        <w:rPr>
          <w:rtl w:val="0"/>
        </w:rPr>
      </w:r>
    </w:p>
    <w:p w:rsidRPr="00000000" w:rsidR="00000000" w:rsidDel="00000000" w:rsidP="00000000" w:rsidRDefault="00000000" w14:paraId="00000010">
      <w:pPr>
        <w:pStyle w:val="Heading1"/>
        <w:rPr/>
      </w:pPr>
      <w:bookmarkStart w:name="_heading=h.1t3h5sf" w:colFirst="0" w:colLast="0" w:id="6"/>
      <w:bookmarkEnd w:id="6"/>
      <w:r w:rsidRPr="00000000" w:rsidDel="00000000" w:rsidR="00000000">
        <w:rPr>
          <w:rtl w:val="0"/>
        </w:rPr>
        <w:t xml:space="preserve">Approach</w:t>
      </w:r>
    </w:p>
    <w:p w:rsidRPr="00000000" w:rsidR="00000000" w:rsidDel="00000000" w:rsidP="00000000" w:rsidRDefault="00000000" w14:paraId="00000011">
      <w:pPr>
        <w:numPr>
          <w:ilvl w:val="0"/>
          <w:numId w:val="4"/>
        </w:numPr>
        <w:ind w:left="720" w:hanging="360"/>
        <w:rPr/>
      </w:pPr>
      <w:r w:rsidRPr="00000000" w:rsidDel="00000000" w:rsidR="00000000">
        <w:rPr>
          <w:rtl w:val="0"/>
        </w:rPr>
        <w:t xml:space="preserve">Sessions will last between 15-20 minutes. We will conduct them remotely using </w:t>
      </w:r>
      <w:hyperlink r:id="rId7">
        <w:r w:rsidRPr="00000000" w:rsidDel="00000000" w:rsidR="00000000">
          <w:rPr>
            <w:color w:val="1155cc"/>
            <w:u w:val="single"/>
            <w:rtl w:val="0"/>
          </w:rPr>
          <w:t xml:space="preserve">OptimalSort</w:t>
        </w:r>
      </w:hyperlink>
      <w:r w:rsidRPr="00000000" w:rsidDel="00000000" w:rsidR="00000000">
        <w:rPr>
          <w:rtl w:val="0"/>
        </w:rPr>
        <w:t xml:space="preserve">.</w:t>
      </w:r>
    </w:p>
    <w:p w:rsidRPr="00000000" w:rsidR="00000000" w:rsidDel="00000000" w:rsidP="00000000" w:rsidRDefault="00000000" w14:paraId="00000012">
      <w:pPr>
        <w:numPr>
          <w:ilvl w:val="0"/>
          <w:numId w:val="4"/>
        </w:numPr>
        <w:ind w:left="720" w:hanging="360"/>
        <w:rPr/>
      </w:pPr>
      <w:r w:rsidRPr="00000000" w:rsidDel="00000000" w:rsidR="00000000">
        <w:rPr>
          <w:rtl w:val="0"/>
        </w:rPr>
        <w:t xml:space="preserve">When the study begins, participants will receive an email with a link asking them to complete on their own time. After we collect the responses, we’ll screen survey responses to remove surveys that are less than 75% complete.</w:t>
      </w:r>
    </w:p>
    <w:p w:rsidRPr="00000000" w:rsidR="00000000" w:rsidDel="00000000" w:rsidP="00000000" w:rsidRDefault="00000000" w14:paraId="00000013">
      <w:pPr>
        <w:numPr>
          <w:ilvl w:val="0"/>
          <w:numId w:val="4"/>
        </w:numPr>
        <w:ind w:left="720" w:hanging="360"/>
        <w:rPr/>
      </w:pPr>
      <w:r w:rsidRPr="00000000" w:rsidDel="00000000" w:rsidR="00000000">
        <w:rPr>
          <w:rtl w:val="0"/>
        </w:rPr>
        <w:t xml:space="preserve">This is an open card sort, which means participants will sort cards into groups, and then label the groups themselves.</w:t>
      </w:r>
    </w:p>
    <w:sectPr>
      <w:footerReference w:type="default" r:id="rId8"/>
      <w:pgSz w:w="12240" w:h="15840" w:orient="portrait"/>
      <w:pgMar w:top="1440" w:right="1440" w:bottom="1440" w:lef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Source Sans Pro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Source Sans Pro SemiBol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Lora">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 w:name="Source Sans Pro">
    <w:embedRegular w:fontKey="{00000000-0000-0000-0000-000000000000}" r:id="rId13" w:subsetted="0"/>
    <w:embedBold w:fontKey="{00000000-0000-0000-0000-000000000000}" r:id="rId14" w:subsetted="0"/>
    <w:embedItalic w:fontKey="{00000000-0000-0000-0000-000000000000}" r:id="rId15" w:subsetted="0"/>
    <w:embedBoldItalic w:fontKey="{00000000-0000-0000-0000-000000000000}" r:id="rId1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jc w:val="center"/>
      <w:rPr>
        <w:rFonts w:ascii="Source Sans Pro" w:cs="Source Sans Pro" w:eastAsia="Source Sans Pro" w:hAnsi="Source Sans Pro"/>
        <w:color w:val="666666"/>
        <w:sz w:val="18"/>
        <w:szCs w:val="18"/>
      </w:rPr>
    </w:pPr>
    <w:r w:rsidDel="00000000" w:rsidR="00000000" w:rsidRPr="00000000">
      <w:rPr>
        <w:rFonts w:ascii="Source Sans Pro" w:cs="Source Sans Pro" w:eastAsia="Source Sans Pro" w:hAnsi="Source Sans Pro"/>
        <w:color w:val="666666"/>
        <w:sz w:val="18"/>
        <w:szCs w:val="18"/>
        <w:rtl w:val="0"/>
      </w:rPr>
      <w:t xml:space="preserve">Page </w:t>
    </w:r>
    <w:r w:rsidDel="00000000" w:rsidR="00000000" w:rsidRPr="00000000">
      <w:rPr>
        <w:rFonts w:ascii="Source Sans Pro" w:cs="Source Sans Pro" w:eastAsia="Source Sans Pro" w:hAnsi="Source Sans Pro"/>
        <w:color w:val="666666"/>
        <w:sz w:val="18"/>
        <w:szCs w:val="18"/>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Source Sans Pro" w:cs="Source Sans Pro" w:eastAsia="Source Sans Pro" w:hAnsi="Source Sans Pro"/>
        <w:color w:val="555559"/>
        <w:sz w:val="24"/>
        <w:szCs w:val="24"/>
        <w:lang w:val="en"/>
      </w:rPr>
    </w:rPrDefault>
    <w:pPrDefault>
      <w:pPr>
        <w:widowControl w:val="0"/>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276" w:lineRule="auto"/>
    </w:pPr>
    <w:rPr>
      <w:rFonts w:ascii="Lora" w:cs="Lora" w:eastAsia="Lora" w:hAnsi="Lora"/>
      <w:color w:val="003a54"/>
      <w:sz w:val="52"/>
      <w:szCs w:val="52"/>
    </w:rPr>
  </w:style>
  <w:style w:type="paragraph" w:styleId="Heading2">
    <w:name w:val="heading 2"/>
    <w:basedOn w:val="Normal"/>
    <w:next w:val="Normal"/>
    <w:pPr>
      <w:keepNext w:val="1"/>
      <w:keepLines w:val="1"/>
      <w:spacing w:after="120" w:before="360" w:line="276" w:lineRule="auto"/>
    </w:pPr>
    <w:rPr>
      <w:rFonts w:ascii="Lora" w:cs="Lora" w:eastAsia="Lora" w:hAnsi="Lora"/>
      <w:color w:val="003a54"/>
      <w:sz w:val="38"/>
      <w:szCs w:val="38"/>
    </w:rPr>
  </w:style>
  <w:style w:type="paragraph" w:styleId="Heading3">
    <w:name w:val="heading 3"/>
    <w:basedOn w:val="Normal"/>
    <w:next w:val="Normal"/>
    <w:pPr>
      <w:keepNext w:val="1"/>
      <w:keepLines w:val="1"/>
      <w:spacing w:after="120" w:before="240" w:lineRule="auto"/>
    </w:pPr>
    <w:rPr>
      <w:b w:val="1"/>
      <w:color w:val="003a54"/>
      <w:sz w:val="28"/>
      <w:szCs w:val="28"/>
    </w:rPr>
  </w:style>
  <w:style w:type="paragraph" w:styleId="Heading4">
    <w:name w:val="heading 4"/>
    <w:basedOn w:val="Normal"/>
    <w:next w:val="Normal"/>
    <w:pPr>
      <w:keepNext w:val="1"/>
      <w:keepLines w:val="1"/>
      <w:spacing w:after="120" w:before="300" w:lineRule="auto"/>
    </w:pPr>
    <w:rPr>
      <w:rFonts w:ascii="Source Sans Pro SemiBold" w:cs="Source Sans Pro SemiBold" w:eastAsia="Source Sans Pro SemiBold" w:hAnsi="Source Sans Pro SemiBold"/>
      <w:color w:val="e71324"/>
      <w:sz w:val="28"/>
      <w:szCs w:val="28"/>
    </w:rPr>
  </w:style>
  <w:style w:type="paragraph" w:styleId="Heading5">
    <w:name w:val="heading 5"/>
    <w:basedOn w:val="Normal"/>
    <w:next w:val="Normal"/>
    <w:pPr>
      <w:keepNext w:val="1"/>
      <w:keepLines w:val="1"/>
      <w:spacing w:before="160" w:lineRule="auto"/>
    </w:pPr>
    <w:rPr>
      <w:b w:val="1"/>
      <w:color w:val="000000"/>
      <w:sz w:val="24"/>
      <w:szCs w:val="24"/>
    </w:rPr>
  </w:style>
  <w:style w:type="paragraph" w:styleId="Heading6">
    <w:name w:val="heading 6"/>
    <w:basedOn w:val="Normal"/>
    <w:next w:val="Normal"/>
    <w:pPr>
      <w:keepNext w:val="1"/>
      <w:keepLines w:val="1"/>
    </w:pPr>
    <w:rPr>
      <w:b w:val="1"/>
      <w:i w:val="1"/>
      <w:color w:val="000000"/>
    </w:rPr>
  </w:style>
  <w:style w:type="paragraph" w:styleId="Title">
    <w:name w:val="Title"/>
    <w:basedOn w:val="Normal"/>
    <w:next w:val="Normal"/>
    <w:pPr>
      <w:keepNext w:val="1"/>
      <w:keepLines w:val="1"/>
      <w:spacing w:after="120" w:line="240" w:lineRule="auto"/>
    </w:pPr>
    <w:rPr>
      <w:rFonts w:ascii="Lora" w:cs="Lora" w:eastAsia="Lora" w:hAnsi="Lora"/>
      <w:b w:val="1"/>
      <w:color w:val="555559"/>
      <w:sz w:val="54"/>
      <w:szCs w:val="54"/>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276" w:lineRule="auto"/>
    </w:pPr>
    <w:rPr>
      <w:rFonts w:ascii="Lora" w:cs="Lora" w:eastAsia="Lora" w:hAnsi="Lora"/>
      <w:color w:val="003a54"/>
      <w:sz w:val="52"/>
      <w:szCs w:val="52"/>
    </w:rPr>
  </w:style>
  <w:style w:type="paragraph" w:styleId="Heading2">
    <w:name w:val="heading 2"/>
    <w:basedOn w:val="Normal"/>
    <w:next w:val="Normal"/>
    <w:pPr>
      <w:keepNext w:val="1"/>
      <w:keepLines w:val="1"/>
      <w:spacing w:after="120" w:before="360" w:line="276" w:lineRule="auto"/>
    </w:pPr>
    <w:rPr>
      <w:rFonts w:ascii="Lora" w:cs="Lora" w:eastAsia="Lora" w:hAnsi="Lora"/>
      <w:color w:val="003a54"/>
      <w:sz w:val="38"/>
      <w:szCs w:val="38"/>
    </w:rPr>
  </w:style>
  <w:style w:type="paragraph" w:styleId="Heading3">
    <w:name w:val="heading 3"/>
    <w:basedOn w:val="Normal"/>
    <w:next w:val="Normal"/>
    <w:pPr>
      <w:keepNext w:val="1"/>
      <w:keepLines w:val="1"/>
      <w:spacing w:after="120" w:before="240" w:lineRule="auto"/>
    </w:pPr>
    <w:rPr>
      <w:b w:val="1"/>
      <w:color w:val="003a54"/>
      <w:sz w:val="28"/>
      <w:szCs w:val="28"/>
    </w:rPr>
  </w:style>
  <w:style w:type="paragraph" w:styleId="Heading4">
    <w:name w:val="heading 4"/>
    <w:basedOn w:val="Normal"/>
    <w:next w:val="Normal"/>
    <w:pPr>
      <w:keepNext w:val="1"/>
      <w:keepLines w:val="1"/>
      <w:spacing w:after="120" w:before="300" w:lineRule="auto"/>
    </w:pPr>
    <w:rPr>
      <w:rFonts w:ascii="Source Sans Pro SemiBold" w:cs="Source Sans Pro SemiBold" w:eastAsia="Source Sans Pro SemiBold" w:hAnsi="Source Sans Pro SemiBold"/>
      <w:color w:val="e71324"/>
      <w:sz w:val="28"/>
      <w:szCs w:val="28"/>
    </w:rPr>
  </w:style>
  <w:style w:type="paragraph" w:styleId="Heading5">
    <w:name w:val="heading 5"/>
    <w:basedOn w:val="Normal"/>
    <w:next w:val="Normal"/>
    <w:pPr>
      <w:keepNext w:val="1"/>
      <w:keepLines w:val="1"/>
      <w:spacing w:before="160" w:lineRule="auto"/>
    </w:pPr>
    <w:rPr>
      <w:b w:val="1"/>
      <w:color w:val="000000"/>
      <w:sz w:val="24"/>
      <w:szCs w:val="24"/>
    </w:rPr>
  </w:style>
  <w:style w:type="paragraph" w:styleId="Heading6">
    <w:name w:val="heading 6"/>
    <w:basedOn w:val="Normal"/>
    <w:next w:val="Normal"/>
    <w:pPr>
      <w:keepNext w:val="1"/>
      <w:keepLines w:val="1"/>
    </w:pPr>
    <w:rPr>
      <w:b w:val="1"/>
      <w:i w:val="1"/>
      <w:color w:val="000000"/>
    </w:rPr>
  </w:style>
  <w:style w:type="paragraph" w:styleId="Title">
    <w:name w:val="Title"/>
    <w:basedOn w:val="Normal"/>
    <w:next w:val="Normal"/>
    <w:pPr>
      <w:keepNext w:val="1"/>
      <w:keepLines w:val="1"/>
      <w:spacing w:after="120" w:line="240" w:lineRule="auto"/>
    </w:pPr>
    <w:rPr>
      <w:rFonts w:ascii="Lora" w:cs="Lora" w:eastAsia="Lora" w:hAnsi="Lora"/>
      <w:b w:val="1"/>
      <w:color w:val="555559"/>
      <w:sz w:val="54"/>
      <w:szCs w:val="54"/>
    </w:rPr>
  </w:style>
  <w:style w:type="paragraph" w:styleId="Subtitle">
    <w:name w:val="Subtitle"/>
    <w:basedOn w:val="Normal"/>
    <w:next w:val="Normal"/>
    <w:pPr>
      <w:keepNext w:val="1"/>
      <w:keepLines w:val="1"/>
      <w:spacing w:line="276" w:lineRule="auto"/>
    </w:pPr>
    <w:rPr>
      <w:rFonts w:ascii="Source Sans Pro Light" w:cs="Source Sans Pro Light" w:eastAsia="Source Sans Pro Light" w:hAnsi="Source Sans Pro Light"/>
      <w:color w:val="555559"/>
      <w:sz w:val="32"/>
      <w:szCs w:val="32"/>
    </w:rPr>
  </w:style>
  <w:style w:type="paragraph" w:styleId="Subtitle">
    <w:name w:val="Subtitle"/>
    <w:basedOn w:val="Normal"/>
    <w:next w:val="Normal"/>
    <w:pPr>
      <w:keepNext w:val="1"/>
      <w:keepLines w:val="1"/>
      <w:spacing w:line="276" w:lineRule="auto"/>
    </w:pPr>
    <w:rPr>
      <w:rFonts w:ascii="Source Sans Pro Light" w:cs="Source Sans Pro Light" w:eastAsia="Source Sans Pro Light" w:hAnsi="Source Sans Pro Light"/>
      <w:color w:val="555559"/>
      <w:sz w:val="32"/>
      <w:szCs w:val="32"/>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optimalworkshop.com/optimalsort/"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1" Type="http://schemas.openxmlformats.org/officeDocument/2006/relationships/font" Target="fonts/Lora-italic.ttf"/><Relationship Id="rId10" Type="http://schemas.openxmlformats.org/officeDocument/2006/relationships/font" Target="fonts/Lora-bold.ttf"/><Relationship Id="rId13" Type="http://schemas.openxmlformats.org/officeDocument/2006/relationships/font" Target="fonts/SourceSansPro-regular.ttf"/><Relationship Id="rId12" Type="http://schemas.openxmlformats.org/officeDocument/2006/relationships/font" Target="fonts/Lora-boldItalic.ttf"/><Relationship Id="rId1" Type="http://schemas.openxmlformats.org/officeDocument/2006/relationships/font" Target="fonts/SourceSansProLight-regular.ttf"/><Relationship Id="rId2" Type="http://schemas.openxmlformats.org/officeDocument/2006/relationships/font" Target="fonts/SourceSansProLight-bold.ttf"/><Relationship Id="rId3" Type="http://schemas.openxmlformats.org/officeDocument/2006/relationships/font" Target="fonts/SourceSansProLight-italic.ttf"/><Relationship Id="rId4" Type="http://schemas.openxmlformats.org/officeDocument/2006/relationships/font" Target="fonts/SourceSansProLight-boldItalic.ttf"/><Relationship Id="rId9" Type="http://schemas.openxmlformats.org/officeDocument/2006/relationships/font" Target="fonts/Lora-regular.ttf"/><Relationship Id="rId15" Type="http://schemas.openxmlformats.org/officeDocument/2006/relationships/font" Target="fonts/SourceSansPro-italic.ttf"/><Relationship Id="rId14" Type="http://schemas.openxmlformats.org/officeDocument/2006/relationships/font" Target="fonts/SourceSansPro-bold.ttf"/><Relationship Id="rId16" Type="http://schemas.openxmlformats.org/officeDocument/2006/relationships/font" Target="fonts/SourceSansPro-boldItalic.ttf"/><Relationship Id="rId5" Type="http://schemas.openxmlformats.org/officeDocument/2006/relationships/font" Target="fonts/SourceSansProSemiBold-regular.ttf"/><Relationship Id="rId6" Type="http://schemas.openxmlformats.org/officeDocument/2006/relationships/font" Target="fonts/SourceSansProSemiBold-bold.ttf"/><Relationship Id="rId7" Type="http://schemas.openxmlformats.org/officeDocument/2006/relationships/font" Target="fonts/SourceSansProSemiBold-italic.ttf"/><Relationship Id="rId8" Type="http://schemas.openxmlformats.org/officeDocument/2006/relationships/font" Target="fonts/SourceSansProSemiBol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uBnAv1X1h8HbVxdk7MyvavWvhA==">AMUW2mUx1DoWOpxBvAxSfAMo5GuoOJOUpPQerb66QK4SXOsdxCmWqC6JpKGqlxl8SLhXe/oh7Ez3Qj1v4Stk9xMrrzVKH3yXvOULVekcqtJB+eYTJ63plWxoKDnjpwAfnYraAWW9LwzrkUtj4foJzdyYCFwERq9+Arek1V5eEZGT1QzA1uMpFmPMXGA/TSH9SzUstC/YXBO3ycXpnbrSR5IRU08wMJ/wtg==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