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478C" w:rsidP="005B65E0" w:rsidRDefault="0029478C" w14:paraId="402D52C5" w14:textId="010FB2EE">
      <w:pPr>
        <w:jc w:val="center"/>
        <w:rPr>
          <w:b/>
        </w:rPr>
      </w:pPr>
      <w:r w:rsidRPr="00041787">
        <w:rPr>
          <w:b/>
        </w:rPr>
        <w:t>SUPPORTING STATEMENT</w:t>
      </w:r>
    </w:p>
    <w:p w:rsidR="00493E0C" w:rsidP="005B65E0" w:rsidRDefault="009B38A9" w14:paraId="49E031B4" w14:textId="77777777">
      <w:pPr>
        <w:pBdr>
          <w:bottom w:val="single" w:color="auto" w:sz="12" w:space="1"/>
        </w:pBdr>
        <w:autoSpaceDE w:val="0"/>
        <w:autoSpaceDN w:val="0"/>
        <w:adjustRightInd w:val="0"/>
        <w:jc w:val="center"/>
        <w:rPr>
          <w:b/>
          <w:bCs/>
        </w:rPr>
      </w:pPr>
      <w:r>
        <w:rPr>
          <w:b/>
        </w:rPr>
        <w:t xml:space="preserve">H-2A </w:t>
      </w:r>
      <w:r w:rsidR="002100BB">
        <w:rPr>
          <w:b/>
        </w:rPr>
        <w:t xml:space="preserve">TEMPORARY </w:t>
      </w:r>
      <w:r w:rsidR="0051090D">
        <w:rPr>
          <w:b/>
        </w:rPr>
        <w:t>AGRICULTURAL</w:t>
      </w:r>
      <w:r>
        <w:rPr>
          <w:b/>
        </w:rPr>
        <w:t xml:space="preserve"> LABOR CERTIFICATION PROGRAM</w:t>
      </w:r>
    </w:p>
    <w:p w:rsidR="00BA6848" w:rsidP="005B65E0" w:rsidRDefault="00BA6848" w14:paraId="49391DC8" w14:textId="2D4BA405">
      <w:pPr>
        <w:pBdr>
          <w:bottom w:val="single" w:color="auto" w:sz="12" w:space="1"/>
        </w:pBdr>
        <w:autoSpaceDE w:val="0"/>
        <w:autoSpaceDN w:val="0"/>
        <w:adjustRightInd w:val="0"/>
        <w:jc w:val="center"/>
        <w:rPr>
          <w:b/>
        </w:rPr>
      </w:pPr>
      <w:r w:rsidRPr="00BA6848">
        <w:rPr>
          <w:b/>
        </w:rPr>
        <w:t>OM</w:t>
      </w:r>
      <w:r w:rsidR="00985E73">
        <w:rPr>
          <w:b/>
        </w:rPr>
        <w:t>B Control Number</w:t>
      </w:r>
      <w:r w:rsidR="00FE7151">
        <w:rPr>
          <w:b/>
        </w:rPr>
        <w:t xml:space="preserve"> 1205-04</w:t>
      </w:r>
      <w:r w:rsidR="007678BA">
        <w:rPr>
          <w:b/>
        </w:rPr>
        <w:t>66</w:t>
      </w:r>
    </w:p>
    <w:p w:rsidRPr="008A5E10" w:rsidR="000B2953" w:rsidP="005B65E0" w:rsidRDefault="000B2953" w14:paraId="00CE5712" w14:textId="77777777">
      <w:pPr>
        <w:pBdr>
          <w:bottom w:val="single" w:color="auto" w:sz="12" w:space="1"/>
        </w:pBdr>
        <w:autoSpaceDE w:val="0"/>
        <w:autoSpaceDN w:val="0"/>
        <w:adjustRightInd w:val="0"/>
        <w:jc w:val="center"/>
      </w:pPr>
    </w:p>
    <w:p w:rsidR="00985E73" w:rsidP="00BA6848" w:rsidRDefault="00985E73" w14:paraId="2F386A2F" w14:textId="1D883847">
      <w:pPr>
        <w:autoSpaceDE w:val="0"/>
        <w:autoSpaceDN w:val="0"/>
        <w:adjustRightInd w:val="0"/>
        <w:jc w:val="center"/>
      </w:pPr>
    </w:p>
    <w:p w:rsidRPr="008A5E10" w:rsidR="00117B93" w:rsidP="005C5285" w:rsidRDefault="005C5285" w14:paraId="0DE3C777" w14:textId="09B18DE5">
      <w:pPr>
        <w:autoSpaceDE w:val="0"/>
        <w:autoSpaceDN w:val="0"/>
        <w:adjustRightInd w:val="0"/>
      </w:pPr>
      <w:r>
        <w:t>This ICR seeks an Extension of a currently approve</w:t>
      </w:r>
      <w:r w:rsidR="00046BA6">
        <w:t>d</w:t>
      </w:r>
      <w:r>
        <w:t xml:space="preserve"> ICR.</w:t>
      </w:r>
    </w:p>
    <w:p w:rsidR="00117B93" w:rsidP="00EA78D2" w:rsidRDefault="00117B93" w14:paraId="08A0D7EC" w14:textId="77777777">
      <w:pPr>
        <w:autoSpaceDE w:val="0"/>
        <w:autoSpaceDN w:val="0"/>
        <w:adjustRightInd w:val="0"/>
        <w:rPr>
          <w:bCs/>
        </w:rPr>
      </w:pPr>
    </w:p>
    <w:p w:rsidR="00AB0B1C" w:rsidP="00EA78D2" w:rsidRDefault="00B06774" w14:paraId="33D21C27" w14:textId="02C98931">
      <w:pPr>
        <w:autoSpaceDE w:val="0"/>
        <w:autoSpaceDN w:val="0"/>
        <w:adjustRightInd w:val="0"/>
        <w:rPr>
          <w:bCs/>
        </w:rPr>
      </w:pPr>
      <w:r w:rsidRPr="00B06774">
        <w:rPr>
          <w:bCs/>
        </w:rPr>
        <w:t xml:space="preserve">The Department of Labor (Department or DOL) is requesting three-year approval for this Information Collection Request (ICR) </w:t>
      </w:r>
      <w:r w:rsidR="00517D30">
        <w:rPr>
          <w:bCs/>
        </w:rPr>
        <w:t xml:space="preserve">extension </w:t>
      </w:r>
      <w:r w:rsidRPr="00B06774">
        <w:rPr>
          <w:bCs/>
        </w:rPr>
        <w:t xml:space="preserve">for </w:t>
      </w:r>
      <w:r>
        <w:t>all information collection activities covered under OMB Control N</w:t>
      </w:r>
      <w:r w:rsidR="00B00EB7">
        <w:t>o.</w:t>
      </w:r>
      <w:r>
        <w:t xml:space="preserve"> 1205-0466, including </w:t>
      </w:r>
      <w:r w:rsidR="00D7725F">
        <w:t>all</w:t>
      </w:r>
      <w:r>
        <w:t xml:space="preserve"> </w:t>
      </w:r>
      <w:r w:rsidRPr="00B06774">
        <w:rPr>
          <w:bCs/>
        </w:rPr>
        <w:t>forms the Department uses to administer its H-2</w:t>
      </w:r>
      <w:r>
        <w:rPr>
          <w:bCs/>
        </w:rPr>
        <w:t>A</w:t>
      </w:r>
      <w:r w:rsidRPr="00B06774">
        <w:rPr>
          <w:bCs/>
        </w:rPr>
        <w:t xml:space="preserve"> temporary agricultural program.  This ICR </w:t>
      </w:r>
      <w:proofErr w:type="gramStart"/>
      <w:r w:rsidRPr="00B06774">
        <w:rPr>
          <w:bCs/>
        </w:rPr>
        <w:t>includes:</w:t>
      </w:r>
      <w:proofErr w:type="gramEnd"/>
      <w:r w:rsidRPr="00B06774">
        <w:rPr>
          <w:bCs/>
        </w:rPr>
        <w:t xml:space="preserve"> </w:t>
      </w:r>
      <w:r w:rsidR="00151B40">
        <w:rPr>
          <w:bCs/>
        </w:rPr>
        <w:t xml:space="preserve">Form </w:t>
      </w:r>
      <w:r w:rsidRPr="00AB0B1C" w:rsidR="00AB0B1C">
        <w:rPr>
          <w:bCs/>
        </w:rPr>
        <w:t xml:space="preserve">ETA-9142A, </w:t>
      </w:r>
      <w:r w:rsidRPr="008A5E10" w:rsidR="00AB0B1C">
        <w:rPr>
          <w:i/>
        </w:rPr>
        <w:t>Application for Temporary Employment Certification</w:t>
      </w:r>
      <w:r w:rsidR="00D7292F">
        <w:rPr>
          <w:bCs/>
        </w:rPr>
        <w:t xml:space="preserve">; Form </w:t>
      </w:r>
      <w:r w:rsidRPr="00AB0B1C" w:rsidR="00AB0B1C">
        <w:rPr>
          <w:bCs/>
        </w:rPr>
        <w:t>ETA-9142A</w:t>
      </w:r>
      <w:r w:rsidR="00615BB8">
        <w:rPr>
          <w:bCs/>
        </w:rPr>
        <w:t>,</w:t>
      </w:r>
      <w:r w:rsidRPr="00AB0B1C" w:rsidR="00AB0B1C">
        <w:rPr>
          <w:bCs/>
        </w:rPr>
        <w:t xml:space="preserve"> Appendix A, </w:t>
      </w:r>
      <w:r w:rsidRPr="008A5E10" w:rsidR="00AB0B1C">
        <w:rPr>
          <w:i/>
        </w:rPr>
        <w:t>H-2A Assurances and Obligations</w:t>
      </w:r>
      <w:r w:rsidR="00D7292F">
        <w:rPr>
          <w:bCs/>
        </w:rPr>
        <w:t xml:space="preserve">; </w:t>
      </w:r>
      <w:r w:rsidR="008A5E10">
        <w:rPr>
          <w:bCs/>
        </w:rPr>
        <w:t xml:space="preserve">and </w:t>
      </w:r>
      <w:r w:rsidR="00D7292F">
        <w:rPr>
          <w:bCs/>
        </w:rPr>
        <w:t xml:space="preserve">Form </w:t>
      </w:r>
      <w:r w:rsidRPr="00AB0B1C" w:rsidR="00AB0B1C">
        <w:rPr>
          <w:bCs/>
        </w:rPr>
        <w:t xml:space="preserve">ETA-790/790A, </w:t>
      </w:r>
      <w:r w:rsidRPr="008A5E10" w:rsidR="00AB0B1C">
        <w:rPr>
          <w:i/>
        </w:rPr>
        <w:t>H-2A Agricultural Clearance Order</w:t>
      </w:r>
      <w:r w:rsidRPr="00AB0B1C" w:rsidR="00AB0B1C">
        <w:rPr>
          <w:bCs/>
        </w:rPr>
        <w:t>.</w:t>
      </w:r>
    </w:p>
    <w:p w:rsidR="00AB0B1C" w:rsidP="00EA78D2" w:rsidRDefault="00AB0B1C" w14:paraId="66053125" w14:textId="77777777">
      <w:pPr>
        <w:autoSpaceDE w:val="0"/>
        <w:autoSpaceDN w:val="0"/>
        <w:adjustRightInd w:val="0"/>
        <w:rPr>
          <w:bCs/>
        </w:rPr>
      </w:pPr>
    </w:p>
    <w:p w:rsidR="00B06774" w:rsidP="00EA78D2" w:rsidRDefault="00352A3C" w14:paraId="623EB8E2" w14:textId="350CF647">
      <w:pPr>
        <w:autoSpaceDE w:val="0"/>
        <w:autoSpaceDN w:val="0"/>
        <w:adjustRightInd w:val="0"/>
        <w:rPr>
          <w:bCs/>
        </w:rPr>
      </w:pPr>
      <w:r w:rsidRPr="00352A3C">
        <w:rPr>
          <w:bCs/>
        </w:rPr>
        <w:t>The Department requests approval without substantive changes to the following</w:t>
      </w:r>
      <w:r w:rsidR="00CA25ED">
        <w:rPr>
          <w:bCs/>
        </w:rPr>
        <w:t>:</w:t>
      </w:r>
      <w:r w:rsidRPr="00352A3C">
        <w:t xml:space="preserve"> </w:t>
      </w:r>
      <w:r w:rsidRPr="00352A3C">
        <w:rPr>
          <w:bCs/>
        </w:rPr>
        <w:t>Form ETA-9142A, Application for Temporary Employment Certification; Form ETA-9142A Appendix A, H-2A Assurances and Obligations; Form ETA-790/790A, H-2A Agricultural Clearance Order</w:t>
      </w:r>
      <w:r>
        <w:rPr>
          <w:bCs/>
        </w:rPr>
        <w:t>.</w:t>
      </w:r>
      <w:r w:rsidRPr="00352A3C">
        <w:rPr>
          <w:bCs/>
        </w:rPr>
        <w:t xml:space="preserve">  For these forms, the Department has made only minor changes to </w:t>
      </w:r>
      <w:r w:rsidRPr="008A63E6" w:rsidR="008A63E6">
        <w:rPr>
          <w:bCs/>
        </w:rPr>
        <w:t xml:space="preserve">update relevant website and mailing </w:t>
      </w:r>
      <w:proofErr w:type="gramStart"/>
      <w:r w:rsidRPr="008A63E6" w:rsidR="008A63E6">
        <w:rPr>
          <w:bCs/>
        </w:rPr>
        <w:t>addresses</w:t>
      </w:r>
      <w:r w:rsidR="00054F95">
        <w:rPr>
          <w:bCs/>
        </w:rPr>
        <w:t>,</w:t>
      </w:r>
      <w:r w:rsidR="008A63E6">
        <w:rPr>
          <w:bCs/>
        </w:rPr>
        <w:t xml:space="preserve"> and</w:t>
      </w:r>
      <w:proofErr w:type="gramEnd"/>
      <w:r w:rsidR="008A63E6">
        <w:rPr>
          <w:bCs/>
        </w:rPr>
        <w:t xml:space="preserve"> </w:t>
      </w:r>
      <w:r w:rsidRPr="00352A3C">
        <w:rPr>
          <w:bCs/>
        </w:rPr>
        <w:t>move the PRA Public Burden Statement from the forms to the respective form instructions</w:t>
      </w:r>
      <w:r w:rsidR="008A63E6">
        <w:rPr>
          <w:bCs/>
        </w:rPr>
        <w:t>.</w:t>
      </w:r>
    </w:p>
    <w:p w:rsidRPr="008A63E6" w:rsidR="00352A3C" w:rsidP="00EA78D2" w:rsidRDefault="00352A3C" w14:paraId="0104924A" w14:textId="77777777">
      <w:pPr>
        <w:autoSpaceDE w:val="0"/>
        <w:autoSpaceDN w:val="0"/>
        <w:adjustRightInd w:val="0"/>
        <w:rPr>
          <w:bCs/>
        </w:rPr>
      </w:pPr>
    </w:p>
    <w:p w:rsidRPr="00D057AC" w:rsidR="00EA78D2" w:rsidP="00D057AC" w:rsidRDefault="00EA78D2" w14:paraId="314B3929" w14:textId="21B68C9F">
      <w:pPr>
        <w:pStyle w:val="ListParagraph"/>
        <w:numPr>
          <w:ilvl w:val="0"/>
          <w:numId w:val="28"/>
        </w:numPr>
        <w:autoSpaceDE w:val="0"/>
        <w:autoSpaceDN w:val="0"/>
        <w:adjustRightInd w:val="0"/>
        <w:ind w:hanging="720"/>
        <w:rPr>
          <w:b/>
        </w:rPr>
      </w:pPr>
      <w:r w:rsidRPr="00D057AC">
        <w:rPr>
          <w:b/>
          <w:u w:val="single"/>
        </w:rPr>
        <w:t>Justification</w:t>
      </w:r>
    </w:p>
    <w:p w:rsidRPr="00CE3C52" w:rsidR="00EA78D2" w:rsidP="00EA78D2" w:rsidRDefault="00EA78D2" w14:paraId="2DDCA4D3" w14:textId="77777777">
      <w:pPr>
        <w:autoSpaceDE w:val="0"/>
        <w:autoSpaceDN w:val="0"/>
        <w:adjustRightInd w:val="0"/>
      </w:pPr>
    </w:p>
    <w:p w:rsidRPr="00B10FD7" w:rsidR="00EA78D2" w:rsidP="00D057AC" w:rsidRDefault="009D2A30" w14:paraId="04ABFEB5" w14:textId="733D8181">
      <w:pPr>
        <w:tabs>
          <w:tab w:val="right" w:pos="360"/>
        </w:tabs>
        <w:autoSpaceDE w:val="0"/>
        <w:autoSpaceDN w:val="0"/>
        <w:adjustRightInd w:val="0"/>
        <w:rPr>
          <w:i/>
        </w:rPr>
      </w:pPr>
      <w:r w:rsidRPr="00B10FD7">
        <w:rPr>
          <w:i/>
        </w:rPr>
        <w:tab/>
      </w:r>
      <w:r w:rsidR="00985E73">
        <w:rPr>
          <w:i/>
        </w:rPr>
        <w:t>A</w:t>
      </w:r>
      <w:r w:rsidRPr="00B10FD7">
        <w:rPr>
          <w:i/>
        </w:rPr>
        <w:t>1.</w:t>
      </w:r>
      <w:r w:rsidR="005516F7">
        <w:rPr>
          <w:i/>
        </w:rPr>
        <w:t xml:space="preserve">  </w:t>
      </w:r>
      <w:r w:rsidRPr="00B10FD7" w:rsidR="00EA78D2">
        <w:rPr>
          <w:i/>
        </w:rPr>
        <w:t>Explain the circumstances that make the collection of information necessary</w:t>
      </w:r>
      <w:r w:rsidRPr="00B10FD7" w:rsidR="00F25EFF">
        <w:rPr>
          <w:i/>
        </w:rPr>
        <w:t xml:space="preserve">.  </w:t>
      </w:r>
      <w:r w:rsidRPr="00B10FD7" w:rsidR="00EA78D2">
        <w:rPr>
          <w:i/>
        </w:rPr>
        <w:t xml:space="preserve">Identify any legal or administrative requirements that necessitate the collection. </w:t>
      </w:r>
      <w:r w:rsidR="001C050B">
        <w:rPr>
          <w:i/>
        </w:rPr>
        <w:t xml:space="preserve"> </w:t>
      </w:r>
      <w:r w:rsidRPr="00B10FD7" w:rsidR="00EA78D2">
        <w:rPr>
          <w:i/>
        </w:rPr>
        <w:t>Attach a copy of the appropriate section of each statute and regulation mandating or authorizing the collection of information.</w:t>
      </w:r>
    </w:p>
    <w:p w:rsidR="00EA78D2" w:rsidP="00EA78D2" w:rsidRDefault="00EA78D2" w14:paraId="5557273E" w14:textId="77777777">
      <w:pPr>
        <w:autoSpaceDE w:val="0"/>
        <w:autoSpaceDN w:val="0"/>
        <w:adjustRightInd w:val="0"/>
      </w:pPr>
    </w:p>
    <w:p w:rsidRPr="00673715" w:rsidR="00673715" w:rsidP="00673715" w:rsidRDefault="00673715" w14:paraId="0B8945ED" w14:textId="199E3896">
      <w:pPr>
        <w:autoSpaceDE w:val="0"/>
        <w:autoSpaceDN w:val="0"/>
        <w:adjustRightInd w:val="0"/>
      </w:pPr>
      <w:r w:rsidRPr="00673715">
        <w:t xml:space="preserve">The Immigration and Nationality Act (INA) establishes the H-2A nonimmigrant visa classification for a worker “having a residence in a foreign country which he has no intention of abandoning who is coming temporarily to the United States to perform agricultural labor or services…of a temporary or seasonal nature.”  INA section 101(a)(15)(H)(ii)(a), </w:t>
      </w:r>
      <w:r w:rsidRPr="00F74EBC" w:rsidR="00F74EBC">
        <w:t>8 U.S.C. § 1101</w:t>
      </w:r>
      <w:r w:rsidRPr="00673715">
        <w:t xml:space="preserve"> (a)(15)(H)(ii)(a). </w:t>
      </w:r>
      <w:r w:rsidR="00D5701D">
        <w:t xml:space="preserve"> </w:t>
      </w:r>
      <w:r w:rsidRPr="00673715">
        <w:t xml:space="preserve">Employers must petition the Department of Homeland Security (DHS) </w:t>
      </w:r>
      <w:r w:rsidR="00F127F2">
        <w:t xml:space="preserve">to </w:t>
      </w:r>
      <w:r w:rsidR="00EC666F">
        <w:t>employ</w:t>
      </w:r>
      <w:r w:rsidRPr="00673715">
        <w:t xml:space="preserve"> temporary workers as H-2A nonimmigrants.  </w:t>
      </w:r>
      <w:r w:rsidR="0051175B">
        <w:rPr>
          <w:i/>
          <w:iCs/>
        </w:rPr>
        <w:t xml:space="preserve">See </w:t>
      </w:r>
      <w:r w:rsidRPr="00F74EBC" w:rsidR="00F74EBC">
        <w:t>8 U.S.C. § 1184</w:t>
      </w:r>
      <w:r w:rsidRPr="00673715">
        <w:t xml:space="preserve">(c)(1).  The INA authorizes DHS to permit employers to import nonimmigrant workers to perform agricultural labor or services of a temporary or seasonal nature under the H-2A visa classification </w:t>
      </w:r>
      <w:r w:rsidR="00F127F2">
        <w:t xml:space="preserve">only after the employer has applied to </w:t>
      </w:r>
      <w:r w:rsidRPr="00673715">
        <w:t xml:space="preserve">the Department of Labor (DOL or Department) </w:t>
      </w:r>
      <w:r w:rsidR="00F127F2">
        <w:t xml:space="preserve">for a certification </w:t>
      </w:r>
      <w:r w:rsidRPr="00673715">
        <w:t>that:</w:t>
      </w:r>
    </w:p>
    <w:p w:rsidRPr="00673715" w:rsidR="00673715" w:rsidP="00673715" w:rsidRDefault="00673715" w14:paraId="2C4C44C1" w14:textId="77777777">
      <w:pPr>
        <w:autoSpaceDE w:val="0"/>
        <w:autoSpaceDN w:val="0"/>
        <w:adjustRightInd w:val="0"/>
      </w:pPr>
    </w:p>
    <w:p w:rsidRPr="00673715" w:rsidR="00673715" w:rsidP="00F74EBC" w:rsidRDefault="00673715" w14:paraId="04F667AC" w14:textId="77777777">
      <w:pPr>
        <w:numPr>
          <w:ilvl w:val="0"/>
          <w:numId w:val="1"/>
        </w:numPr>
        <w:autoSpaceDE w:val="0"/>
        <w:autoSpaceDN w:val="0"/>
        <w:adjustRightInd w:val="0"/>
      </w:pPr>
      <w:r w:rsidRPr="00673715">
        <w:t>There are not sufficient U.S. workers who are able, willing, and qualified, and who will be available at the time and place needed to perform the labor or services involved in the petition; and</w:t>
      </w:r>
    </w:p>
    <w:p w:rsidRPr="00673715" w:rsidR="00673715" w:rsidP="00673715" w:rsidRDefault="00673715" w14:paraId="7BF3F6DD" w14:textId="77777777">
      <w:pPr>
        <w:autoSpaceDE w:val="0"/>
        <w:autoSpaceDN w:val="0"/>
        <w:adjustRightInd w:val="0"/>
      </w:pPr>
    </w:p>
    <w:p w:rsidR="00F127F2" w:rsidP="00F74EBC" w:rsidRDefault="00673715" w14:paraId="59528421" w14:textId="65ED9CBE">
      <w:pPr>
        <w:numPr>
          <w:ilvl w:val="0"/>
          <w:numId w:val="1"/>
        </w:numPr>
        <w:autoSpaceDE w:val="0"/>
        <w:autoSpaceDN w:val="0"/>
        <w:adjustRightInd w:val="0"/>
      </w:pPr>
      <w:r w:rsidRPr="00673715">
        <w:t>The employment of the alien in such labor or services will not adversely affect the wages and working conditions of workers in the United States similarly employed.</w:t>
      </w:r>
    </w:p>
    <w:p w:rsidR="00F127F2" w:rsidP="007E00A3" w:rsidRDefault="00F127F2" w14:paraId="4DA3CBF7" w14:textId="77777777">
      <w:pPr>
        <w:pStyle w:val="ListParagraph"/>
      </w:pPr>
    </w:p>
    <w:p w:rsidRPr="00673715" w:rsidR="00673715" w:rsidP="007E00A3" w:rsidRDefault="00673715" w14:paraId="1FD4A4BD" w14:textId="67A32573">
      <w:pPr>
        <w:autoSpaceDE w:val="0"/>
        <w:autoSpaceDN w:val="0"/>
        <w:adjustRightInd w:val="0"/>
      </w:pPr>
      <w:r w:rsidRPr="00673715">
        <w:t>8 U.S.C.</w:t>
      </w:r>
      <w:r w:rsidR="00A817BB">
        <w:t xml:space="preserve"> </w:t>
      </w:r>
      <w:r w:rsidRPr="00673715">
        <w:t>1188(a)(1).</w:t>
      </w:r>
      <w:r w:rsidR="001C3DF9">
        <w:t xml:space="preserve">  Under the INA, DOL is also authorized to enforce “employer compliance with terms and conditions of employment” in the H-2A program.  8 U.S.C.</w:t>
      </w:r>
      <w:r w:rsidR="00C648CE">
        <w:t xml:space="preserve"> </w:t>
      </w:r>
      <w:r w:rsidR="0050216E">
        <w:t xml:space="preserve">§ </w:t>
      </w:r>
      <w:r w:rsidR="001C3DF9">
        <w:t>1188(g)(2).</w:t>
      </w:r>
    </w:p>
    <w:p w:rsidRPr="00673715" w:rsidR="00673715" w:rsidP="00673715" w:rsidRDefault="00673715" w14:paraId="3BC0B09D" w14:textId="77777777">
      <w:pPr>
        <w:autoSpaceDE w:val="0"/>
        <w:autoSpaceDN w:val="0"/>
        <w:adjustRightInd w:val="0"/>
      </w:pPr>
    </w:p>
    <w:p w:rsidRPr="00673715" w:rsidR="00673715" w:rsidP="00673715" w:rsidRDefault="00673715" w14:paraId="6A445B96" w14:textId="3003A74B">
      <w:pPr>
        <w:autoSpaceDE w:val="0"/>
        <w:autoSpaceDN w:val="0"/>
        <w:adjustRightInd w:val="0"/>
      </w:pPr>
      <w:r w:rsidRPr="00673715">
        <w:t>The Secretary of Labor</w:t>
      </w:r>
      <w:r w:rsidR="001C3DF9">
        <w:t xml:space="preserve"> (Secretary)</w:t>
      </w:r>
      <w:r w:rsidRPr="00673715">
        <w:t xml:space="preserve"> has delegated the responsibility of issuing temporary labor certifications, through the Assistant Secretary, Employment and Training Administration (ETA), to ETA’s Office of Foreign Labor Certification (OFLC).</w:t>
      </w:r>
      <w:r w:rsidR="008F5E8B">
        <w:t xml:space="preserve"> </w:t>
      </w:r>
      <w:r w:rsidRPr="00673715">
        <w:t xml:space="preserve"> </w:t>
      </w:r>
      <w:r w:rsidR="0050216E">
        <w:rPr>
          <w:i/>
        </w:rPr>
        <w:t xml:space="preserve">See </w:t>
      </w:r>
      <w:r w:rsidR="00A348F2">
        <w:t>Secretary’s Order 06-2010.</w:t>
      </w:r>
      <w:r w:rsidR="001C3DF9">
        <w:t xml:space="preserve">  </w:t>
      </w:r>
      <w:r w:rsidRPr="00673715">
        <w:t xml:space="preserve">The Secretary has also delegated responsibility for enforcement of the worker protections to the Administrator of the Wage and Hour Division (WHD).  </w:t>
      </w:r>
      <w:r w:rsidR="0050216E">
        <w:rPr>
          <w:i/>
        </w:rPr>
        <w:t xml:space="preserve">See </w:t>
      </w:r>
      <w:r w:rsidR="00A348F2">
        <w:t>Secretary’s Order 01-2014</w:t>
      </w:r>
      <w:r w:rsidR="001C3DF9">
        <w:t xml:space="preserve">.  </w:t>
      </w:r>
      <w:r w:rsidRPr="00673715">
        <w:t xml:space="preserve">This </w:t>
      </w:r>
      <w:r>
        <w:t>information c</w:t>
      </w:r>
      <w:r w:rsidRPr="00673715">
        <w:t>ollection, OMB Control No. 1205-0466, includes the collection of information related to an employer’s request for nonimmigrant workers</w:t>
      </w:r>
      <w:r w:rsidR="00AE4FD5">
        <w:t>,</w:t>
      </w:r>
      <w:r w:rsidRPr="00673715">
        <w:t xml:space="preserve"> as well as the material terms, wages</w:t>
      </w:r>
      <w:r w:rsidR="001240AA">
        <w:t>,</w:t>
      </w:r>
      <w:r w:rsidRPr="00673715">
        <w:t xml:space="preserve"> and conditions of employment that facilitate the recruitment of U.S. workers and issuance of temporary labor certifications in the H-2A program.</w:t>
      </w:r>
    </w:p>
    <w:p w:rsidRPr="00673715" w:rsidR="00054FBB" w:rsidP="00673715" w:rsidRDefault="00054FBB" w14:paraId="136DDDAB" w14:textId="77777777">
      <w:pPr>
        <w:autoSpaceDE w:val="0"/>
        <w:autoSpaceDN w:val="0"/>
        <w:adjustRightInd w:val="0"/>
      </w:pPr>
    </w:p>
    <w:p w:rsidRPr="00673715" w:rsidR="00673715" w:rsidP="00673715" w:rsidRDefault="00673715" w14:paraId="05A2931E" w14:textId="493A7CEB">
      <w:pPr>
        <w:autoSpaceDE w:val="0"/>
        <w:autoSpaceDN w:val="0"/>
        <w:adjustRightInd w:val="0"/>
      </w:pPr>
      <w:r w:rsidRPr="00673715">
        <w:t xml:space="preserve">As provided in the Department’s regulations at 20 </w:t>
      </w:r>
      <w:r w:rsidR="00C648CE">
        <w:t>CFR</w:t>
      </w:r>
      <w:r w:rsidRPr="00673715">
        <w:t xml:space="preserve"> </w:t>
      </w:r>
      <w:r w:rsidR="00D47C24">
        <w:t xml:space="preserve">part </w:t>
      </w:r>
      <w:r w:rsidRPr="00673715">
        <w:t xml:space="preserve">655, </w:t>
      </w:r>
      <w:r w:rsidR="0092386C">
        <w:t>subpart</w:t>
      </w:r>
      <w:r w:rsidRPr="00673715">
        <w:t xml:space="preserve"> B, the information contained in Form ETA-9142A, </w:t>
      </w:r>
      <w:r w:rsidRPr="00673715">
        <w:rPr>
          <w:i/>
        </w:rPr>
        <w:t>H-2A Application for Temporary Employment Certification</w:t>
      </w:r>
      <w:r w:rsidR="009A32E4">
        <w:rPr>
          <w:i/>
        </w:rPr>
        <w:t xml:space="preserve"> </w:t>
      </w:r>
      <w:r w:rsidR="009A32E4">
        <w:t>(H-2A Application)</w:t>
      </w:r>
      <w:r w:rsidR="00A348F2">
        <w:t>,</w:t>
      </w:r>
      <w:r w:rsidRPr="00673715">
        <w:rPr>
          <w:i/>
        </w:rPr>
        <w:t xml:space="preserve"> </w:t>
      </w:r>
      <w:r w:rsidRPr="00673715">
        <w:t>and all supporting documentation, constitute</w:t>
      </w:r>
      <w:r w:rsidR="00A348F2">
        <w:t>s</w:t>
      </w:r>
      <w:r w:rsidRPr="00673715">
        <w:t xml:space="preserve"> the basis for DOL’s determination that an insufficient number of qualified U.S. workers are available to fill the employer’s job opportunity and</w:t>
      </w:r>
      <w:r w:rsidR="004751AA">
        <w:t xml:space="preserve"> that</w:t>
      </w:r>
      <w:r w:rsidRPr="00673715">
        <w:t xml:space="preserve"> the wages and working conditions of similarly employed workers </w:t>
      </w:r>
      <w:r w:rsidR="365D0E81">
        <w:t xml:space="preserve">in the United States </w:t>
      </w:r>
      <w:r w:rsidRPr="00673715">
        <w:t>will not be adversely affected by the employment of H-2A workers</w:t>
      </w:r>
      <w:r w:rsidR="004751AA">
        <w:t>.  This determination is required</w:t>
      </w:r>
      <w:r w:rsidRPr="00673715">
        <w:t xml:space="preserve"> before a petition can be approved by DHS.</w:t>
      </w:r>
    </w:p>
    <w:p w:rsidR="00673715" w:rsidP="00FE7151" w:rsidRDefault="00673715" w14:paraId="48F29CF8" w14:textId="77777777">
      <w:pPr>
        <w:autoSpaceDE w:val="0"/>
        <w:autoSpaceDN w:val="0"/>
        <w:adjustRightInd w:val="0"/>
      </w:pPr>
      <w:bookmarkStart w:name="0-0-0-681" w:id="0"/>
      <w:bookmarkEnd w:id="0"/>
    </w:p>
    <w:p w:rsidR="00583BAB" w:rsidP="00FE7151" w:rsidRDefault="00276D64" w14:paraId="1E7CC357" w14:textId="518E0F31">
      <w:pPr>
        <w:autoSpaceDE w:val="0"/>
        <w:autoSpaceDN w:val="0"/>
        <w:adjustRightInd w:val="0"/>
      </w:pPr>
      <w:r>
        <w:t xml:space="preserve">As required by the INA, the Department may not issue a temporary labor certification </w:t>
      </w:r>
      <w:r w:rsidR="00EC207B">
        <w:t>unless</w:t>
      </w:r>
      <w:r>
        <w:t xml:space="preserve"> the employer has </w:t>
      </w:r>
      <w:r w:rsidR="00EC207B">
        <w:t>conducted required</w:t>
      </w:r>
      <w:r w:rsidR="004F05A9">
        <w:t xml:space="preserve"> </w:t>
      </w:r>
      <w:r>
        <w:t>recruitment “in addition to</w:t>
      </w:r>
      <w:r w:rsidR="006A219F">
        <w:t>, and</w:t>
      </w:r>
      <w:r>
        <w:t>…within the same time period as, the circulation through the interstate employment service system of the employer’s job offer.”</w:t>
      </w:r>
      <w:r w:rsidR="00583BAB">
        <w:t xml:space="preserve">  </w:t>
      </w:r>
      <w:r w:rsidR="006A219F">
        <w:t xml:space="preserve">8 U.S.C. </w:t>
      </w:r>
      <w:r w:rsidR="00DD21E0">
        <w:t xml:space="preserve">§ </w:t>
      </w:r>
      <w:r w:rsidR="006A219F">
        <w:t xml:space="preserve">1188(b)(4).  </w:t>
      </w:r>
      <w:r w:rsidR="00583BAB">
        <w:t>In accordance with the Wagner-</w:t>
      </w:r>
      <w:proofErr w:type="spellStart"/>
      <w:r w:rsidR="00583BAB">
        <w:t>Peyser</w:t>
      </w:r>
      <w:proofErr w:type="spellEnd"/>
      <w:r w:rsidR="00583BAB">
        <w:t xml:space="preserve"> Act</w:t>
      </w:r>
      <w:r w:rsidR="009F11A6">
        <w:t xml:space="preserve"> of 1933</w:t>
      </w:r>
      <w:r w:rsidR="00583BAB">
        <w:t>,</w:t>
      </w:r>
      <w:r w:rsidR="004F05A9">
        <w:t xml:space="preserve"> as amended by Title III of the Workforce Innovation and Opportunity Act (Pub</w:t>
      </w:r>
      <w:r w:rsidR="002049B5">
        <w:t>.</w:t>
      </w:r>
      <w:r w:rsidR="004F05A9">
        <w:t xml:space="preserve"> L</w:t>
      </w:r>
      <w:r w:rsidR="002049B5">
        <w:t>.</w:t>
      </w:r>
      <w:r w:rsidR="004F05A9">
        <w:t xml:space="preserve"> 113-128</w:t>
      </w:r>
      <w:r w:rsidR="002049B5">
        <w:t xml:space="preserve"> (Jul. 22, 2014)</w:t>
      </w:r>
      <w:r w:rsidR="004F05A9">
        <w:t>),</w:t>
      </w:r>
      <w:r w:rsidR="00583BAB">
        <w:t xml:space="preserve"> the Department has established regulatory standards and procedures governing the Agricultural Recruitment System (ARS)</w:t>
      </w:r>
      <w:r w:rsidR="00EC207B">
        <w:t>,</w:t>
      </w:r>
      <w:r w:rsidR="00583BAB">
        <w:t xml:space="preserve"> a system administered by State Workforce Agencies (SWA) facilitating the intrastate and interstate </w:t>
      </w:r>
      <w:r w:rsidR="004F05A9">
        <w:t xml:space="preserve">clearance </w:t>
      </w:r>
      <w:r w:rsidR="00583BAB">
        <w:t>recruitment of U.S. workers for temporar</w:t>
      </w:r>
      <w:r w:rsidR="008F5E8B">
        <w:t xml:space="preserve">y agricultural employment.  </w:t>
      </w:r>
      <w:r w:rsidR="00EA5464">
        <w:rPr>
          <w:i/>
          <w:iCs/>
        </w:rPr>
        <w:t xml:space="preserve">See </w:t>
      </w:r>
      <w:r w:rsidR="00583BAB">
        <w:t xml:space="preserve">20 </w:t>
      </w:r>
      <w:r w:rsidR="00C648CE">
        <w:t>CFR</w:t>
      </w:r>
      <w:r w:rsidR="00583BAB">
        <w:t xml:space="preserve"> </w:t>
      </w:r>
      <w:r w:rsidR="00DD21E0">
        <w:t>part</w:t>
      </w:r>
      <w:r w:rsidR="00583BAB">
        <w:t xml:space="preserve"> 653, </w:t>
      </w:r>
      <w:r w:rsidR="0092386C">
        <w:t>subpart</w:t>
      </w:r>
      <w:r w:rsidR="00583BAB">
        <w:t>s B and F</w:t>
      </w:r>
      <w:r w:rsidR="001D6311">
        <w:t>.</w:t>
      </w:r>
      <w:r w:rsidR="000916B2">
        <w:t xml:space="preserve">  </w:t>
      </w:r>
      <w:r w:rsidR="002B0F71">
        <w:t>T</w:t>
      </w:r>
      <w:r w:rsidR="000916B2">
        <w:t>o access the ARS, the employer must prepare and submit a job order (Form ETA-790/790A) to the SWA serving the area of intended employment describing all the material terms and conditions of employment, including those relating to wages, working conditions, and other benefits that will be offered to prospective workers</w:t>
      </w:r>
      <w:r w:rsidR="004F05A9">
        <w:t>.</w:t>
      </w:r>
    </w:p>
    <w:p w:rsidR="004F05A9" w:rsidP="00FE7151" w:rsidRDefault="004F05A9" w14:paraId="335EB400" w14:textId="77777777">
      <w:pPr>
        <w:autoSpaceDE w:val="0"/>
        <w:autoSpaceDN w:val="0"/>
        <w:adjustRightInd w:val="0"/>
      </w:pPr>
    </w:p>
    <w:p w:rsidR="00A61A70" w:rsidDel="00AC0E03" w:rsidP="00FE7151" w:rsidRDefault="00652FA7" w14:paraId="644187C8" w14:textId="6CC80C55">
      <w:pPr>
        <w:autoSpaceDE w:val="0"/>
        <w:autoSpaceDN w:val="0"/>
        <w:adjustRightInd w:val="0"/>
      </w:pPr>
      <w:r>
        <w:t>Recruitment for the employer’s job offer through the ARS</w:t>
      </w:r>
      <w:r w:rsidR="00F00194">
        <w:t>,</w:t>
      </w:r>
      <w:r>
        <w:t xml:space="preserve"> and, therefore, </w:t>
      </w:r>
      <w:r w:rsidR="000B04C8">
        <w:t>using</w:t>
      </w:r>
      <w:r>
        <w:t xml:space="preserve"> Form ETA-790</w:t>
      </w:r>
      <w:r w:rsidR="003149D2">
        <w:t>/790A</w:t>
      </w:r>
      <w:r>
        <w:t xml:space="preserve"> is an essential component of the Department’s H-2A temporary labor certification review.</w:t>
      </w:r>
      <w:r w:rsidR="002049B5">
        <w:t xml:space="preserve"> </w:t>
      </w:r>
      <w:r>
        <w:t xml:space="preserve"> </w:t>
      </w:r>
      <w:r w:rsidR="002049B5">
        <w:t>The employer must submit Form ETA-790</w:t>
      </w:r>
      <w:r w:rsidR="003149D2">
        <w:t>/790A</w:t>
      </w:r>
      <w:r w:rsidR="002049B5">
        <w:t xml:space="preserve"> and all supporting documentation to both the SWA and OFLC, and that form and supporting documentation must satisfy both the requirements for agricultural clearance orders in 20 </w:t>
      </w:r>
      <w:r w:rsidR="00C648CE">
        <w:t>CFR</w:t>
      </w:r>
      <w:r w:rsidR="002049B5">
        <w:t xml:space="preserve"> </w:t>
      </w:r>
      <w:r w:rsidR="00D47C24">
        <w:t xml:space="preserve">part </w:t>
      </w:r>
      <w:r w:rsidR="002049B5">
        <w:t xml:space="preserve">653, </w:t>
      </w:r>
      <w:r w:rsidR="0092386C">
        <w:t>subpart</w:t>
      </w:r>
      <w:r w:rsidR="002049B5">
        <w:t xml:space="preserve"> F and 20 </w:t>
      </w:r>
      <w:r w:rsidR="00C648CE">
        <w:t>CFR</w:t>
      </w:r>
      <w:r w:rsidR="00391A0C">
        <w:t xml:space="preserve"> </w:t>
      </w:r>
      <w:r w:rsidR="00EA5464">
        <w:t xml:space="preserve">part </w:t>
      </w:r>
      <w:r w:rsidR="002049B5">
        <w:t>655</w:t>
      </w:r>
      <w:r w:rsidR="0085033A">
        <w:t>, subpart B</w:t>
      </w:r>
      <w:r w:rsidR="007E00A3">
        <w:t>.</w:t>
      </w:r>
      <w:r w:rsidR="002049B5">
        <w:t xml:space="preserve">  </w:t>
      </w:r>
      <w:r w:rsidR="004F05A9">
        <w:t xml:space="preserve">In </w:t>
      </w:r>
      <w:r>
        <w:t xml:space="preserve">all cases, </w:t>
      </w:r>
      <w:r w:rsidR="00056EEF">
        <w:t xml:space="preserve">OFLC </w:t>
      </w:r>
      <w:r>
        <w:t>reviews the content of Form ETA-790</w:t>
      </w:r>
      <w:r w:rsidR="003149D2">
        <w:t>/790A</w:t>
      </w:r>
      <w:r>
        <w:t xml:space="preserve"> </w:t>
      </w:r>
      <w:r w:rsidR="00DB0129">
        <w:t xml:space="preserve">in conjunction </w:t>
      </w:r>
      <w:r>
        <w:t>with the content of</w:t>
      </w:r>
      <w:r w:rsidR="007413AE">
        <w:t xml:space="preserve"> </w:t>
      </w:r>
      <w:r w:rsidRPr="00673715" w:rsidR="004F05A9">
        <w:t xml:space="preserve">Form ETA-9142A, </w:t>
      </w:r>
      <w:r w:rsidRPr="00673715" w:rsidR="004F05A9">
        <w:rPr>
          <w:i/>
        </w:rPr>
        <w:t>H-2A Application for Temporary Employment Certification</w:t>
      </w:r>
      <w:r w:rsidR="00056EEF">
        <w:t xml:space="preserve"> before issuing a</w:t>
      </w:r>
      <w:r w:rsidR="0093172D">
        <w:t>n H-2A temporary labor</w:t>
      </w:r>
      <w:r w:rsidR="00056EEF">
        <w:t xml:space="preserve"> certification</w:t>
      </w:r>
      <w:r>
        <w:t>.</w:t>
      </w:r>
    </w:p>
    <w:p w:rsidR="006717DE" w:rsidP="048EFB66" w:rsidRDefault="006717DE" w14:paraId="4D2391E1" w14:textId="77777777">
      <w:pPr>
        <w:ind w:left="720"/>
        <w:rPr>
          <w:b/>
          <w:bCs/>
        </w:rPr>
      </w:pPr>
    </w:p>
    <w:p w:rsidR="00054FBB" w:rsidP="048EFB66" w:rsidRDefault="00054FBB" w14:paraId="3F0F6A7D" w14:textId="0B9EC391">
      <w:pPr>
        <w:ind w:left="720"/>
      </w:pPr>
      <w:r w:rsidRPr="048EFB66">
        <w:rPr>
          <w:b/>
          <w:bCs/>
        </w:rPr>
        <w:t>Statutory Authority</w:t>
      </w:r>
      <w:r>
        <w:t>:</w:t>
      </w:r>
      <w:r>
        <w:tab/>
      </w:r>
      <w:r>
        <w:tab/>
      </w:r>
      <w:r>
        <w:t>Immigration and Nationality Act, 101(a)(15)(H)(ii)(a),</w:t>
      </w:r>
    </w:p>
    <w:p w:rsidR="00054FBB" w:rsidP="048EFB66" w:rsidRDefault="00054FBB" w14:paraId="78FC0BD0" w14:textId="24240D3E">
      <w:pPr>
        <w:ind w:left="2880" w:firstLine="720"/>
      </w:pPr>
      <w:r>
        <w:lastRenderedPageBreak/>
        <w:t>8</w:t>
      </w:r>
      <w:r w:rsidR="00944A24">
        <w:t xml:space="preserve"> </w:t>
      </w:r>
      <w:r>
        <w:t>U.S.C. §§ 1101(a)(15)(H)(ii)(a), 1184(c), and 1188</w:t>
      </w:r>
    </w:p>
    <w:p w:rsidR="048EFB66" w:rsidP="048EFB66" w:rsidRDefault="048EFB66" w14:paraId="2F367CC7" w14:textId="77777777">
      <w:pPr>
        <w:ind w:hanging="720"/>
      </w:pPr>
    </w:p>
    <w:p w:rsidR="00583BAB" w:rsidP="006717DE" w:rsidRDefault="00054FBB" w14:paraId="561BCE97" w14:textId="76AF4E06">
      <w:pPr>
        <w:autoSpaceDE w:val="0"/>
        <w:autoSpaceDN w:val="0"/>
        <w:adjustRightInd w:val="0"/>
        <w:ind w:left="3600" w:hanging="2880"/>
      </w:pPr>
      <w:r w:rsidRPr="048EFB66">
        <w:rPr>
          <w:b/>
          <w:bCs/>
        </w:rPr>
        <w:t>Regulatory Authority</w:t>
      </w:r>
      <w:r>
        <w:t>:</w:t>
      </w:r>
      <w:r>
        <w:tab/>
      </w:r>
      <w:r>
        <w:t>20 CFR part 653, subparts B and F, and 20 CFR part 655, subpart B</w:t>
      </w:r>
    </w:p>
    <w:p w:rsidR="00AA572C" w:rsidP="006C133A" w:rsidRDefault="00AA572C" w14:paraId="03D15019" w14:textId="77777777">
      <w:pPr>
        <w:tabs>
          <w:tab w:val="right" w:pos="360"/>
        </w:tabs>
        <w:autoSpaceDE w:val="0"/>
        <w:autoSpaceDN w:val="0"/>
        <w:adjustRightInd w:val="0"/>
        <w:ind w:left="540" w:hanging="540"/>
        <w:rPr>
          <w:i/>
        </w:rPr>
      </w:pPr>
    </w:p>
    <w:p w:rsidRPr="00B10FD7" w:rsidR="00EA78D2" w:rsidP="00795EB7" w:rsidRDefault="00985E73" w14:paraId="0FFA8F60" w14:textId="06147309">
      <w:pPr>
        <w:tabs>
          <w:tab w:val="right" w:pos="360"/>
        </w:tabs>
        <w:autoSpaceDE w:val="0"/>
        <w:autoSpaceDN w:val="0"/>
        <w:adjustRightInd w:val="0"/>
        <w:rPr>
          <w:i/>
        </w:rPr>
      </w:pPr>
      <w:r>
        <w:rPr>
          <w:i/>
        </w:rPr>
        <w:t>A</w:t>
      </w:r>
      <w:r w:rsidRPr="00B10FD7" w:rsidR="00EA78D2">
        <w:rPr>
          <w:i/>
        </w:rPr>
        <w:t>2.</w:t>
      </w:r>
      <w:r w:rsidR="00E162A7">
        <w:rPr>
          <w:i/>
        </w:rPr>
        <w:t xml:space="preserve">  </w:t>
      </w:r>
      <w:r w:rsidRPr="00B10FD7" w:rsidR="00EA78D2">
        <w:rPr>
          <w:i/>
        </w:rPr>
        <w:t xml:space="preserve">Indicate how, by whom, and for what purpose the information is to be used. </w:t>
      </w:r>
      <w:r w:rsidRPr="00B10FD7" w:rsidR="00B10FD7">
        <w:rPr>
          <w:i/>
        </w:rPr>
        <w:t xml:space="preserve"> </w:t>
      </w:r>
      <w:r w:rsidRPr="00B10FD7" w:rsidR="00EA78D2">
        <w:rPr>
          <w:i/>
        </w:rPr>
        <w:t>Except for a new collection, indicate the actual use the agency has made of the information received from the current collection.</w:t>
      </w:r>
    </w:p>
    <w:p w:rsidR="0098117E" w:rsidP="00EA78D2" w:rsidRDefault="0098117E" w14:paraId="1A5B0382" w14:textId="77777777">
      <w:pPr>
        <w:autoSpaceDE w:val="0"/>
        <w:autoSpaceDN w:val="0"/>
        <w:adjustRightInd w:val="0"/>
      </w:pPr>
    </w:p>
    <w:p w:rsidRPr="00F77510" w:rsidR="00F77510" w:rsidP="00F77510" w:rsidRDefault="00F77510" w14:paraId="30A25D75" w14:textId="1DDBCC34">
      <w:pPr>
        <w:tabs>
          <w:tab w:val="left" w:pos="-1440"/>
        </w:tabs>
      </w:pPr>
      <w:r w:rsidRPr="00F77510">
        <w:t>ETA us</w:t>
      </w:r>
      <w:r>
        <w:t>es th</w:t>
      </w:r>
      <w:r w:rsidR="009A32E4">
        <w:t>is</w:t>
      </w:r>
      <w:r>
        <w:t xml:space="preserve"> information collection</w:t>
      </w:r>
      <w:r w:rsidR="00A20BC5">
        <w:t xml:space="preserve"> </w:t>
      </w:r>
      <w:r w:rsidRPr="00F77510">
        <w:t>to meet its statutory and regulatory responsibilities for administering the H-2A program.  An employer seeking to employ H-2A workers must file a completed Form ETA-9142A (including all supporting documentation) and, unless a specific exemption applies, a copy of the job order (also known as the agricultural clearance order, Form ETA-790</w:t>
      </w:r>
      <w:r w:rsidR="00E049A3">
        <w:t>/790A</w:t>
      </w:r>
      <w:r w:rsidRPr="00F77510">
        <w:t xml:space="preserve">) </w:t>
      </w:r>
      <w:r w:rsidR="000B04C8">
        <w:t xml:space="preserve">must be </w:t>
      </w:r>
      <w:r w:rsidRPr="00F77510">
        <w:t>submitted to the SWA serving the area of intended employment.  These forms and all supporting documentation constitute the H-2A application.</w:t>
      </w:r>
    </w:p>
    <w:p w:rsidRPr="00F77510" w:rsidR="00F77510" w:rsidP="00F77510" w:rsidRDefault="00F77510" w14:paraId="5FE81311" w14:textId="77777777">
      <w:pPr>
        <w:tabs>
          <w:tab w:val="left" w:pos="-1440"/>
        </w:tabs>
      </w:pPr>
    </w:p>
    <w:p w:rsidRPr="00F77510" w:rsidR="00F77510" w:rsidP="00F77510" w:rsidRDefault="00A87A22" w14:paraId="65304A8A" w14:textId="433D2FE9">
      <w:pPr>
        <w:tabs>
          <w:tab w:val="left" w:pos="-1440"/>
        </w:tabs>
      </w:pPr>
      <w:r>
        <w:t xml:space="preserve">OFLC reviews </w:t>
      </w:r>
      <w:r w:rsidRPr="00F77510" w:rsidR="00F77510">
        <w:t>H-2A application</w:t>
      </w:r>
      <w:r w:rsidR="00084B38">
        <w:t>s</w:t>
      </w:r>
      <w:r w:rsidRPr="00F77510" w:rsidR="00F77510">
        <w:t xml:space="preserve"> submitted by employers for compliance with all applicable program requirements</w:t>
      </w:r>
      <w:r w:rsidR="00735D6F">
        <w:t>.  Upon re</w:t>
      </w:r>
      <w:r>
        <w:t>ceiving an application</w:t>
      </w:r>
      <w:r w:rsidR="00735D6F">
        <w:t>, OFLC issue</w:t>
      </w:r>
      <w:r>
        <w:t>s</w:t>
      </w:r>
      <w:r w:rsidRPr="00F77510" w:rsidR="00F77510">
        <w:t xml:space="preserve"> either a Notice of Deficiency (NOD) or Notice of Acceptance (NOA).  Where deficiencies in the application are discovered, the NOD provides the employer with </w:t>
      </w:r>
      <w:r w:rsidR="00735D6F">
        <w:t xml:space="preserve">an opportunity </w:t>
      </w:r>
      <w:r w:rsidRPr="00F77510" w:rsidR="00F77510">
        <w:t>to correct the deficiencies or file an appeal with</w:t>
      </w:r>
      <w:r w:rsidR="00A20BC5">
        <w:t xml:space="preserve"> the Department’s</w:t>
      </w:r>
      <w:r w:rsidRPr="00F77510" w:rsidR="00F77510">
        <w:t xml:space="preserve"> Administrative Law Judge</w:t>
      </w:r>
      <w:r w:rsidR="00FC1182">
        <w:t>s</w:t>
      </w:r>
      <w:r w:rsidRPr="00F77510" w:rsidR="00F77510">
        <w:t>.  Where all program requirements are met, the NOA direct</w:t>
      </w:r>
      <w:r w:rsidR="00BC22C8">
        <w:t>s</w:t>
      </w:r>
      <w:r w:rsidRPr="00F77510" w:rsidR="00F77510">
        <w:t xml:space="preserve"> the employer to engage in positive recruitment of U.S. workers, authorize the SWA to circulate a copy of the approved job order (Form ETA-790</w:t>
      </w:r>
      <w:r w:rsidR="00E049A3">
        <w:t>/790A</w:t>
      </w:r>
      <w:r w:rsidRPr="00F77510" w:rsidR="00F77510">
        <w:t>) through the interstate clearance system for recruitment of U.S. workers, and specify a date on which the employer must provide an initial written report of its recruitment efforts such that a temporary labor certification may be granted</w:t>
      </w:r>
      <w:r w:rsidRPr="00F77510" w:rsidR="00F77510">
        <w:rPr>
          <w:shd w:val="clear" w:color="auto" w:fill="FFFFFF"/>
        </w:rPr>
        <w:t>.</w:t>
      </w:r>
      <w:r w:rsidR="009A32E4">
        <w:rPr>
          <w:shd w:val="clear" w:color="auto" w:fill="FFFFFF"/>
        </w:rPr>
        <w:t xml:space="preserve"> </w:t>
      </w:r>
      <w:r w:rsidR="008C31CC">
        <w:rPr>
          <w:shd w:val="clear" w:color="auto" w:fill="FFFFFF"/>
        </w:rPr>
        <w:t xml:space="preserve"> </w:t>
      </w:r>
      <w:r w:rsidR="00ED6DEF">
        <w:rPr>
          <w:i/>
          <w:iCs/>
          <w:shd w:val="clear" w:color="auto" w:fill="FFFFFF"/>
        </w:rPr>
        <w:t xml:space="preserve">See </w:t>
      </w:r>
      <w:r w:rsidR="009A32E4">
        <w:rPr>
          <w:shd w:val="clear" w:color="auto" w:fill="FFFFFF"/>
        </w:rPr>
        <w:t>8 U.S.C.</w:t>
      </w:r>
      <w:r w:rsidR="004E3E4C">
        <w:rPr>
          <w:shd w:val="clear" w:color="auto" w:fill="FFFFFF"/>
        </w:rPr>
        <w:t xml:space="preserve"> </w:t>
      </w:r>
      <w:r w:rsidR="003B1E60">
        <w:rPr>
          <w:shd w:val="clear" w:color="auto" w:fill="FFFFFF"/>
        </w:rPr>
        <w:t>§</w:t>
      </w:r>
      <w:r w:rsidR="004E3E4C">
        <w:rPr>
          <w:shd w:val="clear" w:color="auto" w:fill="FFFFFF"/>
        </w:rPr>
        <w:t xml:space="preserve"> 1188(b)(4).</w:t>
      </w:r>
    </w:p>
    <w:p w:rsidRPr="00F77510" w:rsidR="00F77510" w:rsidP="00F77510" w:rsidRDefault="00F77510" w14:paraId="08A88865" w14:textId="77777777">
      <w:pPr>
        <w:tabs>
          <w:tab w:val="left" w:pos="-1440"/>
        </w:tabs>
      </w:pPr>
    </w:p>
    <w:p w:rsidRPr="00F77510" w:rsidR="00F77510" w:rsidP="00F77510" w:rsidRDefault="00F77510" w14:paraId="4485529F" w14:textId="77777777">
      <w:pPr>
        <w:tabs>
          <w:tab w:val="left" w:pos="-1440"/>
        </w:tabs>
        <w:rPr>
          <w:shd w:val="clear" w:color="auto" w:fill="FFFFFF"/>
        </w:rPr>
      </w:pPr>
      <w:r w:rsidRPr="00F77510">
        <w:t>Upon review of the recruitment report and any other supporting documentation (e.g., workers’ compensation insurance cover</w:t>
      </w:r>
      <w:r w:rsidR="00EF7C28">
        <w:t>age</w:t>
      </w:r>
      <w:r w:rsidRPr="00F77510">
        <w:t xml:space="preserve">, inspection of housing for workers), OFLC may grant a full or partial temporary labor certification determination or deny the employer’s H-2A application.  </w:t>
      </w:r>
      <w:r w:rsidRPr="00F77510">
        <w:rPr>
          <w:shd w:val="clear" w:color="auto" w:fill="FFFFFF"/>
        </w:rPr>
        <w:t>In accordance with regulatory requirements, OFLC sends all certified H-2A applications (including the applicable certification fee</w:t>
      </w:r>
      <w:r w:rsidR="001E5EDB">
        <w:rPr>
          <w:shd w:val="clear" w:color="auto" w:fill="FFFFFF"/>
        </w:rPr>
        <w:t xml:space="preserve"> invoice</w:t>
      </w:r>
      <w:r w:rsidRPr="00F77510">
        <w:rPr>
          <w:shd w:val="clear" w:color="auto" w:fill="FFFFFF"/>
        </w:rPr>
        <w:t xml:space="preserve">s under 20 </w:t>
      </w:r>
      <w:r w:rsidR="00C648CE">
        <w:rPr>
          <w:shd w:val="clear" w:color="auto" w:fill="FFFFFF"/>
        </w:rPr>
        <w:t>CFR</w:t>
      </w:r>
      <w:r w:rsidRPr="00F77510">
        <w:rPr>
          <w:shd w:val="clear" w:color="auto" w:fill="FFFFFF"/>
        </w:rPr>
        <w:t xml:space="preserve"> 655.163) to the employer or the employer's authorized attorney or agent</w:t>
      </w:r>
      <w:r w:rsidR="00EF7C28">
        <w:rPr>
          <w:shd w:val="clear" w:color="auto" w:fill="FFFFFF"/>
        </w:rPr>
        <w:t>.</w:t>
      </w:r>
    </w:p>
    <w:p w:rsidRPr="00F77510" w:rsidR="00F77510" w:rsidP="00F77510" w:rsidRDefault="00F77510" w14:paraId="49BF85FD" w14:textId="77777777">
      <w:pPr>
        <w:tabs>
          <w:tab w:val="left" w:pos="-1440"/>
        </w:tabs>
        <w:rPr>
          <w:shd w:val="clear" w:color="auto" w:fill="FFFFFF"/>
        </w:rPr>
      </w:pPr>
    </w:p>
    <w:p w:rsidRPr="00F77510" w:rsidR="00F77510" w:rsidP="00F77510" w:rsidRDefault="00F77510" w14:paraId="538407C9" w14:textId="01CB958B">
      <w:pPr>
        <w:widowControl w:val="0"/>
        <w:autoSpaceDE w:val="0"/>
        <w:autoSpaceDN w:val="0"/>
        <w:adjustRightInd w:val="0"/>
      </w:pPr>
      <w:r w:rsidRPr="00F77510">
        <w:t xml:space="preserve">The </w:t>
      </w:r>
      <w:r w:rsidR="009A32E4">
        <w:t xml:space="preserve">employer must retain the </w:t>
      </w:r>
      <w:r w:rsidRPr="00F77510">
        <w:t xml:space="preserve">H-2A </w:t>
      </w:r>
      <w:r w:rsidR="00B61EFC">
        <w:t>a</w:t>
      </w:r>
      <w:r w:rsidRPr="00F77510">
        <w:t>pplication and all supporting documentation for three years from the date of certification (for approved applications) or date of determination if the application is denied or withdrawn.</w:t>
      </w:r>
      <w:r w:rsidR="008C31CC">
        <w:t xml:space="preserve"> </w:t>
      </w:r>
      <w:r w:rsidRPr="00F77510">
        <w:t xml:space="preserve"> </w:t>
      </w:r>
      <w:r w:rsidR="003B1E60">
        <w:rPr>
          <w:i/>
          <w:iCs/>
        </w:rPr>
        <w:t xml:space="preserve">See </w:t>
      </w:r>
      <w:r w:rsidR="001E5EDB">
        <w:t xml:space="preserve">20 </w:t>
      </w:r>
      <w:r w:rsidR="00C648CE">
        <w:t>CFR</w:t>
      </w:r>
      <w:r w:rsidR="001E5EDB">
        <w:t xml:space="preserve"> 655.167(b).  </w:t>
      </w:r>
      <w:r w:rsidRPr="00F77510">
        <w:t xml:space="preserve">Employers must be prepared to produce all information and records contained in this </w:t>
      </w:r>
      <w:r w:rsidR="007F404F">
        <w:t>information collection</w:t>
      </w:r>
      <w:r w:rsidRPr="00F77510" w:rsidR="007F404F">
        <w:t xml:space="preserve"> </w:t>
      </w:r>
      <w:r w:rsidRPr="00F77510">
        <w:t>for DOL or other federal agencies in the event of an audit examination, investigation, or other enforcement proceedings in the H-2A program.</w:t>
      </w:r>
    </w:p>
    <w:p w:rsidRPr="00F77510" w:rsidR="00F77510" w:rsidP="00F77510" w:rsidRDefault="00F77510" w14:paraId="0B2B91CC" w14:textId="77777777">
      <w:pPr>
        <w:widowControl w:val="0"/>
        <w:autoSpaceDE w:val="0"/>
        <w:autoSpaceDN w:val="0"/>
        <w:adjustRightInd w:val="0"/>
      </w:pPr>
    </w:p>
    <w:p w:rsidRPr="00F77510" w:rsidR="00F77510" w:rsidP="00F77510" w:rsidRDefault="00F77510" w14:paraId="2185088B" w14:textId="77777777">
      <w:pPr>
        <w:widowControl w:val="0"/>
        <w:autoSpaceDE w:val="0"/>
        <w:autoSpaceDN w:val="0"/>
        <w:adjustRightInd w:val="0"/>
      </w:pPr>
      <w:r w:rsidRPr="00F77510">
        <w:t xml:space="preserve">Specifically, the </w:t>
      </w:r>
      <w:r w:rsidR="00F31A64">
        <w:t>information collected</w:t>
      </w:r>
      <w:r w:rsidRPr="00F77510" w:rsidR="00F31A64">
        <w:t xml:space="preserve"> </w:t>
      </w:r>
      <w:r w:rsidR="00F31A64">
        <w:t>is</w:t>
      </w:r>
      <w:r w:rsidRPr="00F77510">
        <w:t xml:space="preserve"> used by OFLC in the manner described below:</w:t>
      </w:r>
    </w:p>
    <w:p w:rsidRPr="00F77510" w:rsidR="00F77510" w:rsidP="00F77510" w:rsidRDefault="00F77510" w14:paraId="07A57046" w14:textId="77777777"/>
    <w:p w:rsidRPr="00F77510" w:rsidR="00F77510" w:rsidP="00F77510" w:rsidRDefault="00F77510" w14:paraId="70D0F49C" w14:textId="77777777">
      <w:pPr>
        <w:rPr>
          <w:u w:val="single"/>
        </w:rPr>
      </w:pPr>
      <w:r w:rsidRPr="00F77510">
        <w:rPr>
          <w:u w:val="single"/>
        </w:rPr>
        <w:t xml:space="preserve">Form ETA-9142A, </w:t>
      </w:r>
      <w:r w:rsidRPr="00F77510">
        <w:rPr>
          <w:i/>
          <w:u w:val="single"/>
        </w:rPr>
        <w:t xml:space="preserve">H-2A Application for Temporary Employment Certification </w:t>
      </w:r>
    </w:p>
    <w:p w:rsidRPr="00F77510" w:rsidR="00F77510" w:rsidP="00F77510" w:rsidRDefault="00F77510" w14:paraId="1B44F3F1" w14:textId="77777777">
      <w:pPr>
        <w:tabs>
          <w:tab w:val="left" w:pos="-1440"/>
        </w:tabs>
      </w:pPr>
    </w:p>
    <w:p w:rsidRPr="00F77510" w:rsidR="00F77510" w:rsidP="00F77510" w:rsidRDefault="00F77510" w14:paraId="3F4F345A" w14:textId="463B63B7">
      <w:pPr>
        <w:tabs>
          <w:tab w:val="left" w:pos="-1440"/>
        </w:tabs>
      </w:pPr>
      <w:r w:rsidRPr="00F77510">
        <w:lastRenderedPageBreak/>
        <w:t>An employer must include on the main Form ETA</w:t>
      </w:r>
      <w:r w:rsidR="008F5E8B">
        <w:t xml:space="preserve">-9142A </w:t>
      </w:r>
      <w:r w:rsidRPr="00F77510">
        <w:t xml:space="preserve">information related to its business for the purpose of determining whether the establishment operating in the United States is </w:t>
      </w:r>
      <w:r w:rsidRPr="00897F4F">
        <w:rPr>
          <w:i/>
        </w:rPr>
        <w:t>bona fide</w:t>
      </w:r>
      <w:r w:rsidR="00D31268">
        <w:t>,</w:t>
      </w:r>
      <w:r w:rsidRPr="00F77510" w:rsidR="00D31268">
        <w:t xml:space="preserve"> </w:t>
      </w:r>
      <w:r w:rsidRPr="00F77510">
        <w:t xml:space="preserve">the type of application being submitted for processing </w:t>
      </w:r>
      <w:r w:rsidRPr="00F77510" w:rsidR="00897F4F">
        <w:t>(e.g., individual employer</w:t>
      </w:r>
      <w:r w:rsidR="0060466E">
        <w:t xml:space="preserve"> or</w:t>
      </w:r>
      <w:r w:rsidRPr="00F77510" w:rsidR="00897F4F">
        <w:t xml:space="preserve"> agricultural association filing as a joint employer)</w:t>
      </w:r>
      <w:r w:rsidR="0060466E">
        <w:t>,</w:t>
      </w:r>
      <w:r w:rsidRPr="00F77510">
        <w:t xml:space="preserve"> nature of temporary need</w:t>
      </w:r>
      <w:r w:rsidR="0060466E">
        <w:t>,</w:t>
      </w:r>
      <w:r w:rsidRPr="00F77510">
        <w:t xml:space="preserve"> </w:t>
      </w:r>
      <w:r w:rsidR="00897F4F">
        <w:t xml:space="preserve">and </w:t>
      </w:r>
      <w:r w:rsidRPr="00F77510">
        <w:t xml:space="preserve">contact information </w:t>
      </w:r>
      <w:r w:rsidR="00897F4F">
        <w:t>for purposes of</w:t>
      </w:r>
      <w:r w:rsidRPr="00F77510">
        <w:t xml:space="preserve"> </w:t>
      </w:r>
      <w:r w:rsidRPr="00F77510" w:rsidR="00897F4F">
        <w:t>send</w:t>
      </w:r>
      <w:r w:rsidR="00897F4F">
        <w:t>ing</w:t>
      </w:r>
      <w:r w:rsidRPr="00F77510" w:rsidR="00897F4F">
        <w:t xml:space="preserve"> </w:t>
      </w:r>
      <w:r w:rsidRPr="00F77510">
        <w:t xml:space="preserve">and </w:t>
      </w:r>
      <w:r w:rsidRPr="00F77510" w:rsidR="00897F4F">
        <w:t>receiv</w:t>
      </w:r>
      <w:r w:rsidR="00897F4F">
        <w:t>ing</w:t>
      </w:r>
      <w:r w:rsidRPr="00F77510" w:rsidR="00897F4F">
        <w:t xml:space="preserve"> </w:t>
      </w:r>
      <w:r w:rsidRPr="00F77510">
        <w:t xml:space="preserve">communications during the course of processing an employer’s H-2A application.  For an employer represented by an </w:t>
      </w:r>
      <w:r w:rsidR="001B2D72">
        <w:t>attorney or</w:t>
      </w:r>
      <w:r w:rsidRPr="00F77510">
        <w:t xml:space="preserve"> agent, the form also collects </w:t>
      </w:r>
      <w:r w:rsidR="008B5706">
        <w:t xml:space="preserve">required </w:t>
      </w:r>
      <w:r w:rsidRPr="00F77510">
        <w:t xml:space="preserve">compliance </w:t>
      </w:r>
      <w:r w:rsidR="008B5706">
        <w:t>documentation for</w:t>
      </w:r>
      <w:r w:rsidRPr="00F77510">
        <w:t xml:space="preserve"> the </w:t>
      </w:r>
      <w:r w:rsidR="00E72528">
        <w:t xml:space="preserve">attorney or </w:t>
      </w:r>
      <w:r w:rsidRPr="00F77510">
        <w:t>agent</w:t>
      </w:r>
      <w:r w:rsidR="008B5706">
        <w:t>, such as</w:t>
      </w:r>
      <w:r w:rsidRPr="00F77510">
        <w:t xml:space="preserve"> a current agreement or other documentation demonstrating the agent’s authority to represent the employer</w:t>
      </w:r>
      <w:r w:rsidR="00AD04D5">
        <w:t xml:space="preserve">, and </w:t>
      </w:r>
      <w:r w:rsidRPr="00F77510">
        <w:t xml:space="preserve">a current Migrant and Seasonal Agricultural Worker Protection Act (MSPA) Certificate of Registration identifying the farm labor contracting activities the agent </w:t>
      </w:r>
      <w:r w:rsidR="008B5706">
        <w:t>has</w:t>
      </w:r>
      <w:r w:rsidRPr="00F77510" w:rsidR="008B5706">
        <w:t xml:space="preserve"> </w:t>
      </w:r>
      <w:r w:rsidRPr="00F77510">
        <w:t xml:space="preserve">authority to perform under </w:t>
      </w:r>
      <w:r w:rsidRPr="00F77510" w:rsidR="008B5706">
        <w:t>th</w:t>
      </w:r>
      <w:r w:rsidR="008B5706">
        <w:t>e</w:t>
      </w:r>
      <w:r w:rsidRPr="00F77510" w:rsidR="008B5706">
        <w:t xml:space="preserve"> </w:t>
      </w:r>
      <w:r w:rsidRPr="00F77510">
        <w:t>application</w:t>
      </w:r>
      <w:r w:rsidR="00AD04D5">
        <w:t>, if applicable</w:t>
      </w:r>
      <w:r w:rsidRPr="00F77510">
        <w:t>.</w:t>
      </w:r>
    </w:p>
    <w:p w:rsidRPr="00F77510" w:rsidR="00F77510" w:rsidP="00F77510" w:rsidRDefault="00F77510" w14:paraId="5C982554" w14:textId="073C8659">
      <w:pPr>
        <w:tabs>
          <w:tab w:val="left" w:pos="-1440"/>
        </w:tabs>
      </w:pPr>
    </w:p>
    <w:p w:rsidRPr="00F77510" w:rsidR="00F77510" w:rsidP="00F77510" w:rsidRDefault="00762A60" w14:paraId="53DCF00A" w14:textId="6F6D427D">
      <w:pPr>
        <w:widowControl w:val="0"/>
        <w:autoSpaceDE w:val="0"/>
        <w:autoSpaceDN w:val="0"/>
        <w:adjustRightInd w:val="0"/>
      </w:pPr>
      <w:r>
        <w:t>F</w:t>
      </w:r>
      <w:r w:rsidR="008B5706">
        <w:t>o</w:t>
      </w:r>
      <w:r w:rsidRPr="00F77510" w:rsidR="008B5706">
        <w:t xml:space="preserve">r </w:t>
      </w:r>
      <w:r w:rsidRPr="00F77510" w:rsidR="00F77510">
        <w:t>employers operating as H-2A Labor Contractors (H-2ALCs), the form collects additional information</w:t>
      </w:r>
      <w:r w:rsidR="00A36A5C">
        <w:t>, such as</w:t>
      </w:r>
      <w:r w:rsidRPr="00F77510" w:rsidR="00F77510">
        <w:t xml:space="preserve"> the names of fixed-site agricultural businesses where the workers will be placed, </w:t>
      </w:r>
      <w:r w:rsidR="00A36A5C">
        <w:t xml:space="preserve">and </w:t>
      </w:r>
      <w:proofErr w:type="gramStart"/>
      <w:r w:rsidRPr="00F77510" w:rsidR="00F77510">
        <w:t>fully-executed</w:t>
      </w:r>
      <w:proofErr w:type="gramEnd"/>
      <w:r w:rsidRPr="00F77510" w:rsidR="00F77510">
        <w:t xml:space="preserve"> work contract(s) with each fixed-site agricultural business, </w:t>
      </w:r>
      <w:r>
        <w:t xml:space="preserve">which </w:t>
      </w:r>
      <w:r w:rsidRPr="00F77510" w:rsidR="00F77510">
        <w:t>assist</w:t>
      </w:r>
      <w:r>
        <w:t>s</w:t>
      </w:r>
      <w:r w:rsidRPr="00F77510" w:rsidR="00F77510">
        <w:t xml:space="preserve"> OFLC in determining compliance with all application filing requirements for H-2ALCs under 20 CFR 655.132.</w:t>
      </w:r>
    </w:p>
    <w:p w:rsidRPr="00F77510" w:rsidR="00F77510" w:rsidP="00F77510" w:rsidRDefault="00F77510" w14:paraId="5DF19862" w14:textId="77777777">
      <w:pPr>
        <w:widowControl w:val="0"/>
        <w:autoSpaceDE w:val="0"/>
        <w:autoSpaceDN w:val="0"/>
        <w:adjustRightInd w:val="0"/>
      </w:pPr>
    </w:p>
    <w:p w:rsidR="00B347FE" w:rsidP="00F77510" w:rsidRDefault="00B61EFC" w14:paraId="186FBEE5" w14:textId="0C07C6CA">
      <w:pPr>
        <w:widowControl w:val="0"/>
        <w:autoSpaceDE w:val="0"/>
        <w:autoSpaceDN w:val="0"/>
        <w:adjustRightInd w:val="0"/>
      </w:pPr>
      <w:r>
        <w:t>F</w:t>
      </w:r>
      <w:r w:rsidRPr="00F77510" w:rsidR="00F77510">
        <w:t>inally, the employer identif</w:t>
      </w:r>
      <w:r w:rsidR="00F31A64">
        <w:t>ies</w:t>
      </w:r>
      <w:r w:rsidRPr="00F77510" w:rsidR="00F77510">
        <w:t xml:space="preserve"> the Standard Occupational Classification code and title that most clearly corresponds to the agricultural services or labor to be performed and attach</w:t>
      </w:r>
      <w:r w:rsidR="00F31A64">
        <w:t>es</w:t>
      </w:r>
      <w:r w:rsidRPr="00F77510" w:rsidR="00F77510">
        <w:t xml:space="preserve"> the Form ETA-</w:t>
      </w:r>
      <w:r w:rsidR="008F5E8B">
        <w:t>790/</w:t>
      </w:r>
      <w:r w:rsidRPr="00F77510" w:rsidR="00F77510">
        <w:t>790A containing all the material terms, wages</w:t>
      </w:r>
      <w:r w:rsidR="00762A60">
        <w:t>,</w:t>
      </w:r>
      <w:r w:rsidRPr="00F77510" w:rsidR="00F77510">
        <w:t xml:space="preserve"> and working conditions of employment that will be used for recruiting U.S. workers</w:t>
      </w:r>
      <w:r w:rsidR="00F31A64">
        <w:t>.</w:t>
      </w:r>
    </w:p>
    <w:p w:rsidR="00B347FE" w:rsidP="00F77510" w:rsidRDefault="00B347FE" w14:paraId="11FB221F" w14:textId="77777777">
      <w:pPr>
        <w:widowControl w:val="0"/>
        <w:autoSpaceDE w:val="0"/>
        <w:autoSpaceDN w:val="0"/>
        <w:adjustRightInd w:val="0"/>
      </w:pPr>
    </w:p>
    <w:p w:rsidRPr="00F77510" w:rsidR="00AD04D5" w:rsidP="00F77510" w:rsidRDefault="00B347FE" w14:paraId="6A58CB50" w14:textId="7A34A167">
      <w:pPr>
        <w:widowControl w:val="0"/>
        <w:autoSpaceDE w:val="0"/>
        <w:autoSpaceDN w:val="0"/>
        <w:adjustRightInd w:val="0"/>
      </w:pPr>
      <w:r>
        <w:t>This</w:t>
      </w:r>
      <w:r w:rsidR="00AD04D5">
        <w:t xml:space="preserve"> information</w:t>
      </w:r>
      <w:r w:rsidRPr="00F77510" w:rsidR="00AD04D5">
        <w:t xml:space="preserve"> collection </w:t>
      </w:r>
      <w:r>
        <w:t>is</w:t>
      </w:r>
      <w:r w:rsidRPr="00F77510">
        <w:t xml:space="preserve"> </w:t>
      </w:r>
      <w:r w:rsidRPr="00F77510" w:rsidR="00AD04D5">
        <w:t xml:space="preserve">also used in post-adjudication audit examinations and/or program integrity proceedings (e.g., revocation or debarment actions) and </w:t>
      </w:r>
      <w:r>
        <w:t xml:space="preserve">is </w:t>
      </w:r>
      <w:r w:rsidRPr="00F77510" w:rsidR="00AD04D5">
        <w:t xml:space="preserve">requested by the Department’s </w:t>
      </w:r>
      <w:r w:rsidR="008C31CC">
        <w:t>WHD</w:t>
      </w:r>
      <w:r w:rsidRPr="00F77510" w:rsidR="00AD04D5">
        <w:t xml:space="preserve"> during an investigation or enforcement proceeding</w:t>
      </w:r>
      <w:r>
        <w:t>s</w:t>
      </w:r>
      <w:r w:rsidRPr="00F77510" w:rsidR="00AD04D5">
        <w:t>.</w:t>
      </w:r>
    </w:p>
    <w:p w:rsidRPr="00F77510" w:rsidR="00F77510" w:rsidP="00F77510" w:rsidRDefault="00F77510" w14:paraId="6B7CA3E9" w14:textId="77777777">
      <w:pPr>
        <w:tabs>
          <w:tab w:val="left" w:pos="-1440"/>
        </w:tabs>
      </w:pPr>
    </w:p>
    <w:p w:rsidRPr="00F77510" w:rsidR="00F77510" w:rsidP="00F77510" w:rsidRDefault="00F77510" w14:paraId="27A91868" w14:textId="77777777">
      <w:pPr>
        <w:rPr>
          <w:i/>
          <w:u w:val="single"/>
        </w:rPr>
      </w:pPr>
      <w:r w:rsidRPr="00F77510">
        <w:rPr>
          <w:u w:val="single"/>
        </w:rPr>
        <w:t xml:space="preserve">Form ETA-9142A, </w:t>
      </w:r>
      <w:r w:rsidRPr="00F77510">
        <w:rPr>
          <w:i/>
          <w:u w:val="single"/>
        </w:rPr>
        <w:t>Appendix A - Attorney/Agent/Employer Declarations</w:t>
      </w:r>
    </w:p>
    <w:p w:rsidRPr="00F77510" w:rsidR="00F77510" w:rsidP="00F77510" w:rsidRDefault="00F77510" w14:paraId="1D1A23E0" w14:textId="77777777">
      <w:pPr>
        <w:widowControl w:val="0"/>
        <w:autoSpaceDE w:val="0"/>
        <w:autoSpaceDN w:val="0"/>
        <w:adjustRightInd w:val="0"/>
      </w:pPr>
    </w:p>
    <w:p w:rsidRPr="00F77510" w:rsidR="00F77510" w:rsidP="00F77510" w:rsidRDefault="00F77510" w14:paraId="0EDF16E7" w14:textId="4FD4D2CE">
      <w:pPr>
        <w:widowControl w:val="0"/>
        <w:autoSpaceDE w:val="0"/>
        <w:autoSpaceDN w:val="0"/>
        <w:adjustRightInd w:val="0"/>
      </w:pPr>
      <w:r w:rsidRPr="00F77510">
        <w:t>The Department’s regulation</w:t>
      </w:r>
      <w:r w:rsidR="00B347FE">
        <w:t>s</w:t>
      </w:r>
      <w:r w:rsidRPr="00F77510">
        <w:t xml:space="preserve"> </w:t>
      </w:r>
      <w:r w:rsidR="001E45A6">
        <w:t xml:space="preserve">at 20 </w:t>
      </w:r>
      <w:r w:rsidR="00C648CE">
        <w:t xml:space="preserve">CFR </w:t>
      </w:r>
      <w:r w:rsidR="001E45A6">
        <w:t>65</w:t>
      </w:r>
      <w:r w:rsidR="00EE7CA6">
        <w:t>5.130(a)</w:t>
      </w:r>
      <w:r w:rsidR="00B347FE">
        <w:t xml:space="preserve"> and</w:t>
      </w:r>
      <w:r w:rsidR="00EE7CA6">
        <w:t xml:space="preserve"> (d) and </w:t>
      </w:r>
      <w:r w:rsidR="00B347FE">
        <w:t>655</w:t>
      </w:r>
      <w:r w:rsidR="00EE7CA6">
        <w:t>.135</w:t>
      </w:r>
      <w:r w:rsidR="001E45A6">
        <w:t xml:space="preserve"> </w:t>
      </w:r>
      <w:r w:rsidRPr="00F77510">
        <w:t>also require an employer</w:t>
      </w:r>
      <w:r w:rsidR="00B3054A">
        <w:t>,</w:t>
      </w:r>
      <w:r w:rsidRPr="00F77510">
        <w:t xml:space="preserve"> and, if applicable, their attorneys or agents</w:t>
      </w:r>
      <w:r w:rsidR="00B3054A">
        <w:t>, to</w:t>
      </w:r>
      <w:r w:rsidRPr="00F77510">
        <w:t xml:space="preserve"> submit a completed </w:t>
      </w:r>
      <w:r w:rsidRPr="00F77510">
        <w:rPr>
          <w:i/>
        </w:rPr>
        <w:t>Appendix A</w:t>
      </w:r>
      <w:r w:rsidRPr="00F77510">
        <w:t xml:space="preserve"> attesting to compliance with </w:t>
      </w:r>
      <w:proofErr w:type="gramStart"/>
      <w:r w:rsidRPr="00F77510">
        <w:t>all of</w:t>
      </w:r>
      <w:proofErr w:type="gramEnd"/>
      <w:r w:rsidRPr="00F77510">
        <w:t xml:space="preserve"> the terms, assurances, and obligations of the H-2A program in order to obtain a temporary labor certification.  For two or more employers operating as joint employers of a worker seeking temporary labor certification, the Form ETA-9142A requires disclosure and submission of a signed and dated </w:t>
      </w:r>
      <w:r w:rsidRPr="00F77510">
        <w:rPr>
          <w:i/>
        </w:rPr>
        <w:t>Appendix A</w:t>
      </w:r>
      <w:r w:rsidRPr="00F77510">
        <w:t xml:space="preserve"> completed by each employer in the joint employment relationship.  However, if the application is being filed by an agricultural association operating as a joint employer with its employer-members, the agricultural association is responsible for providing a signed and dated </w:t>
      </w:r>
      <w:r w:rsidRPr="00F77510">
        <w:rPr>
          <w:i/>
        </w:rPr>
        <w:t>Appendix A</w:t>
      </w:r>
      <w:r w:rsidRPr="00F77510">
        <w:t xml:space="preserve"> on behalf </w:t>
      </w:r>
      <w:r w:rsidR="008F5E8B">
        <w:t xml:space="preserve">of its employer-members.  </w:t>
      </w:r>
      <w:r w:rsidR="009E50F4">
        <w:rPr>
          <w:i/>
          <w:iCs/>
        </w:rPr>
        <w:t xml:space="preserve">See </w:t>
      </w:r>
      <w:r w:rsidR="00B347FE">
        <w:t xml:space="preserve">20 </w:t>
      </w:r>
      <w:r w:rsidR="00C648CE">
        <w:t xml:space="preserve">CFR </w:t>
      </w:r>
      <w:r w:rsidR="00B347FE">
        <w:t>655.131.</w:t>
      </w:r>
    </w:p>
    <w:p w:rsidRPr="00F77510" w:rsidR="00F77510" w:rsidP="00F77510" w:rsidRDefault="00F77510" w14:paraId="1F7E5D2F" w14:textId="77777777">
      <w:pPr>
        <w:rPr>
          <w:u w:val="single"/>
        </w:rPr>
      </w:pPr>
    </w:p>
    <w:p w:rsidRPr="008F5E8B" w:rsidR="00F77510" w:rsidP="00F77510" w:rsidRDefault="00F77510" w14:paraId="4DC98F91" w14:textId="77777777">
      <w:pPr>
        <w:rPr>
          <w:i/>
          <w:u w:val="single"/>
        </w:rPr>
      </w:pPr>
      <w:r w:rsidRPr="008F5E8B">
        <w:rPr>
          <w:u w:val="single"/>
        </w:rPr>
        <w:t xml:space="preserve">Form ETA-9142A, </w:t>
      </w:r>
      <w:r w:rsidRPr="008F5E8B" w:rsidR="00CE56FE">
        <w:rPr>
          <w:i/>
          <w:u w:val="single"/>
        </w:rPr>
        <w:t>Final Determination: H-2A Temporary Labor Certification Approval</w:t>
      </w:r>
    </w:p>
    <w:p w:rsidRPr="00F77510" w:rsidR="00F77510" w:rsidP="00F77510" w:rsidRDefault="00F77510" w14:paraId="4895900E" w14:textId="77777777">
      <w:pPr>
        <w:rPr>
          <w:u w:val="single"/>
        </w:rPr>
      </w:pPr>
    </w:p>
    <w:p w:rsidR="008B5706" w:rsidP="4614B235" w:rsidRDefault="00F77510" w14:paraId="2CC455E2" w14:textId="265B2E48">
      <w:r w:rsidRPr="00F77510">
        <w:t xml:space="preserve">Where the employer’s application has met all the regulatory requirements, including the criteria for certification in 20 </w:t>
      </w:r>
      <w:r w:rsidR="00C648CE">
        <w:t xml:space="preserve">CFR </w:t>
      </w:r>
      <w:r w:rsidRPr="00F77510">
        <w:t>655.161, the Department complete</w:t>
      </w:r>
      <w:r w:rsidR="00BC22C8">
        <w:t>s</w:t>
      </w:r>
      <w:r w:rsidRPr="00F77510">
        <w:t xml:space="preserve"> and electronically send</w:t>
      </w:r>
      <w:r w:rsidR="00BC22C8">
        <w:t>s</w:t>
      </w:r>
      <w:r w:rsidRPr="00F77510">
        <w:t xml:space="preserve"> Form ETA-9142A, </w:t>
      </w:r>
      <w:r w:rsidRPr="00184B26" w:rsidR="00CE56FE">
        <w:rPr>
          <w:i/>
        </w:rPr>
        <w:t>Final Determination: H-2A Tempora</w:t>
      </w:r>
      <w:r w:rsidR="00CE56FE">
        <w:rPr>
          <w:i/>
        </w:rPr>
        <w:t>ry Labor Certification Approval</w:t>
      </w:r>
      <w:r w:rsidRPr="009558D3" w:rsidR="009558D3">
        <w:t xml:space="preserve"> </w:t>
      </w:r>
      <w:r w:rsidRPr="00F77510" w:rsidR="009558D3">
        <w:t>to the employer and, if applicable, the employer’s authorized attorney or agent</w:t>
      </w:r>
      <w:r w:rsidRPr="00F77510">
        <w:t xml:space="preserve">.  This one-page </w:t>
      </w:r>
      <w:r w:rsidRPr="00F77510">
        <w:lastRenderedPageBreak/>
        <w:t xml:space="preserve">certification form provides the official determination that </w:t>
      </w:r>
      <w:proofErr w:type="gramStart"/>
      <w:r w:rsidRPr="00F77510">
        <w:t>a sufficient number of</w:t>
      </w:r>
      <w:proofErr w:type="gramEnd"/>
      <w:r w:rsidRPr="00F77510">
        <w:t xml:space="preserve"> qualified U.S. workers have not been identified as being available at the time and place needed to fill the job opportunities for which certification is sought, and the employment of the H-2A temporary workers in such labor or services will not adversely affect the wages and working conditions of workers </w:t>
      </w:r>
      <w:r w:rsidR="03FEAF05">
        <w:t xml:space="preserve">in the United States </w:t>
      </w:r>
      <w:r w:rsidRPr="00F77510">
        <w:t xml:space="preserve">similarly employed.  The employer </w:t>
      </w:r>
      <w:r w:rsidR="00F74EBC">
        <w:t>u</w:t>
      </w:r>
      <w:r w:rsidRPr="00F77510">
        <w:t>se</w:t>
      </w:r>
      <w:r w:rsidR="00F74EBC">
        <w:t>s</w:t>
      </w:r>
      <w:r w:rsidRPr="00F77510">
        <w:t xml:space="preserve"> the Form ETA-9142A, </w:t>
      </w:r>
      <w:r w:rsidRPr="00184B26" w:rsidR="00CE56FE">
        <w:rPr>
          <w:i/>
        </w:rPr>
        <w:t>Final Determination: H-2A Tempora</w:t>
      </w:r>
      <w:r w:rsidR="00CE56FE">
        <w:rPr>
          <w:i/>
        </w:rPr>
        <w:t>ry Labor Certification Approval</w:t>
      </w:r>
      <w:r w:rsidRPr="00F77510">
        <w:t>, as well as any other required documentation to support the fili</w:t>
      </w:r>
      <w:r w:rsidR="008C31CC">
        <w:t xml:space="preserve">ng of an H-2A petition with </w:t>
      </w:r>
      <w:r w:rsidRPr="00F77510">
        <w:t xml:space="preserve">DHS’s </w:t>
      </w:r>
      <w:r w:rsidR="008C31CC">
        <w:t>U.S.</w:t>
      </w:r>
      <w:r w:rsidRPr="00F77510">
        <w:t xml:space="preserve"> Citizenship and Immigration Services (USCIS).</w:t>
      </w:r>
    </w:p>
    <w:p w:rsidRPr="00F77510" w:rsidR="00F77510" w:rsidP="00F77510" w:rsidRDefault="00F77510" w14:paraId="6CBFB84B" w14:textId="287161A7">
      <w:pPr>
        <w:tabs>
          <w:tab w:val="left" w:pos="-1440"/>
        </w:tabs>
      </w:pPr>
      <w:r w:rsidRPr="00F77510">
        <w:tab/>
      </w:r>
    </w:p>
    <w:p w:rsidRPr="00F77510" w:rsidR="00F77510" w:rsidP="00F77510" w:rsidRDefault="00F77510" w14:paraId="120DF589" w14:textId="77777777">
      <w:pPr>
        <w:rPr>
          <w:i/>
          <w:u w:val="single"/>
        </w:rPr>
      </w:pPr>
      <w:r w:rsidRPr="00F77510">
        <w:rPr>
          <w:u w:val="single"/>
        </w:rPr>
        <w:t xml:space="preserve">Form ETA-790/790A, </w:t>
      </w:r>
      <w:r w:rsidRPr="00F77510">
        <w:rPr>
          <w:i/>
          <w:u w:val="single"/>
        </w:rPr>
        <w:t>H-2A Agricultural Clearance Order</w:t>
      </w:r>
    </w:p>
    <w:p w:rsidRPr="00F77510" w:rsidR="00F77510" w:rsidP="00F77510" w:rsidRDefault="00F77510" w14:paraId="3C913C8C" w14:textId="77777777">
      <w:pPr>
        <w:tabs>
          <w:tab w:val="left" w:pos="-1440"/>
        </w:tabs>
      </w:pPr>
    </w:p>
    <w:p w:rsidR="002737C3" w:rsidP="00F77510" w:rsidRDefault="00F77510" w14:paraId="2ACC8E0B" w14:textId="600EE0E7">
      <w:pPr>
        <w:ind w:right="-180"/>
      </w:pPr>
      <w:r w:rsidRPr="00F77510">
        <w:t>All employers seeking to employ U.S. workers to perform agricultural services or labor on a temporary, less than year-round basis must submit a completed agricultural clearance order (Form ETA-790</w:t>
      </w:r>
      <w:r w:rsidR="00F61D62">
        <w:t>/790A</w:t>
      </w:r>
      <w:r w:rsidRPr="00F77510">
        <w:t xml:space="preserve">) to the SWA for placement on its intrastate and interstate job clearance systems, as set forth in 20 </w:t>
      </w:r>
      <w:r w:rsidR="00C648CE">
        <w:t xml:space="preserve">CFR </w:t>
      </w:r>
      <w:r w:rsidRPr="00F77510">
        <w:t>653.500.  An employer filing the Form ETA-9142A must submit to the Department a copy of the Form ETA-790</w:t>
      </w:r>
      <w:r w:rsidR="00F61D62">
        <w:t>/790A</w:t>
      </w:r>
      <w:r w:rsidRPr="00F77510">
        <w:t xml:space="preserve"> submitted to the SWA for review. </w:t>
      </w:r>
      <w:r w:rsidR="008F5E8B">
        <w:t xml:space="preserve"> </w:t>
      </w:r>
      <w:r w:rsidR="004456EF">
        <w:rPr>
          <w:i/>
          <w:iCs/>
        </w:rPr>
        <w:t xml:space="preserve">See </w:t>
      </w:r>
      <w:r w:rsidR="000609AE">
        <w:t xml:space="preserve">20 </w:t>
      </w:r>
      <w:r w:rsidR="00C648CE">
        <w:t xml:space="preserve">CFR </w:t>
      </w:r>
      <w:r w:rsidR="000609AE">
        <w:t>655.121.</w:t>
      </w:r>
    </w:p>
    <w:p w:rsidR="00302A76" w:rsidP="00F77510" w:rsidRDefault="00302A76" w14:paraId="047204E8" w14:textId="77777777">
      <w:pPr>
        <w:ind w:right="-180"/>
      </w:pPr>
    </w:p>
    <w:p w:rsidRPr="00F77510" w:rsidR="00F77510" w:rsidP="00F77510" w:rsidRDefault="00F77510" w14:paraId="2532E1A5" w14:textId="1C89E026">
      <w:pPr>
        <w:ind w:right="-180"/>
      </w:pPr>
      <w:r w:rsidRPr="00F77510">
        <w:t xml:space="preserve">The Form ETA-790/790A </w:t>
      </w:r>
      <w:r w:rsidR="00C128F9">
        <w:t xml:space="preserve">consists of </w:t>
      </w:r>
      <w:r w:rsidRPr="00F77510">
        <w:t xml:space="preserve">two parts.  First, the form has a one-page coversheet (Form ETA-790) that </w:t>
      </w:r>
      <w:r w:rsidR="00BC22C8">
        <w:t xml:space="preserve">is </w:t>
      </w:r>
      <w:r w:rsidRPr="00F77510">
        <w:t xml:space="preserve">completed, in part, by the employer and </w:t>
      </w:r>
      <w:r w:rsidR="000609AE">
        <w:t xml:space="preserve">is </w:t>
      </w:r>
      <w:r w:rsidRPr="00F77510">
        <w:t>designed to (1) facilitate the</w:t>
      </w:r>
      <w:r w:rsidR="00C648CE">
        <w:t xml:space="preserve"> SWA’s</w:t>
      </w:r>
      <w:r w:rsidRPr="00F77510">
        <w:t xml:space="preserve"> receipt and processing of the job order through its intrastate and interstate job clearance systems, (2) identify the primary employer of the worker(s) sought for the job opportunity, and (3) designate that the job order will be used in connection with a future Form ETA-9142A for H-2A workers.  Second, the employer</w:t>
      </w:r>
      <w:r w:rsidRPr="00F77510" w:rsidDel="00BC22C8">
        <w:t xml:space="preserve"> </w:t>
      </w:r>
      <w:r w:rsidRPr="00F77510">
        <w:t>complete</w:t>
      </w:r>
      <w:r w:rsidR="00BC22C8">
        <w:t>s</w:t>
      </w:r>
      <w:r w:rsidRPr="00F77510">
        <w:t xml:space="preserve"> the Form ETA-790A requiring the disclosure of all the material terms and conditions of employment that satisfy the requirements for agricultural clearance orders in 20 </w:t>
      </w:r>
      <w:r w:rsidR="00C648CE">
        <w:t>CFR</w:t>
      </w:r>
      <w:r w:rsidRPr="00F77510">
        <w:t xml:space="preserve"> part 653, </w:t>
      </w:r>
      <w:r w:rsidR="0092386C">
        <w:t>subpart</w:t>
      </w:r>
      <w:r w:rsidRPr="00F77510">
        <w:t xml:space="preserve"> F and the job order content requirements set forth in 20 </w:t>
      </w:r>
      <w:r w:rsidR="00C648CE">
        <w:t xml:space="preserve">CFR </w:t>
      </w:r>
      <w:r w:rsidRPr="00F77510">
        <w:t xml:space="preserve">655.122.  The </w:t>
      </w:r>
      <w:r w:rsidR="00C648CE">
        <w:t>employer</w:t>
      </w:r>
      <w:r w:rsidDel="00BC22C8" w:rsidR="00C648CE">
        <w:t xml:space="preserve"> </w:t>
      </w:r>
      <w:r w:rsidR="00C648CE">
        <w:t>submit</w:t>
      </w:r>
      <w:r w:rsidR="00BC22C8">
        <w:t>s</w:t>
      </w:r>
      <w:r w:rsidR="00C648CE">
        <w:t xml:space="preserve"> the </w:t>
      </w:r>
      <w:r w:rsidRPr="00F77510">
        <w:t>Form ETA-790/</w:t>
      </w:r>
      <w:r w:rsidRPr="00F77510" w:rsidR="007E00A3">
        <w:t>790A to</w:t>
      </w:r>
      <w:r w:rsidRPr="00F77510">
        <w:t xml:space="preserve"> the SWA</w:t>
      </w:r>
      <w:r w:rsidR="00CD4580">
        <w:t>,</w:t>
      </w:r>
      <w:r w:rsidRPr="00F77510">
        <w:t xml:space="preserve"> and, at the time of filing the Form ETA-9142A with the Department, the employer</w:t>
      </w:r>
      <w:r w:rsidRPr="00F77510" w:rsidDel="00BC22C8">
        <w:t xml:space="preserve"> </w:t>
      </w:r>
      <w:r w:rsidRPr="00F77510">
        <w:t>attach</w:t>
      </w:r>
      <w:r w:rsidR="00BC22C8">
        <w:t>es</w:t>
      </w:r>
      <w:r w:rsidRPr="00F77510">
        <w:t xml:space="preserve"> the Form ETA-</w:t>
      </w:r>
      <w:r w:rsidR="00C648CE">
        <w:t>790/</w:t>
      </w:r>
      <w:r w:rsidRPr="00F77510">
        <w:t>790A along with any other supporting documentation.</w:t>
      </w:r>
    </w:p>
    <w:p w:rsidRPr="00F77510" w:rsidR="00F77510" w:rsidP="00F77510" w:rsidRDefault="00F77510" w14:paraId="2C07349C" w14:textId="77777777">
      <w:pPr>
        <w:ind w:right="-180"/>
      </w:pPr>
    </w:p>
    <w:p w:rsidRPr="00F77510" w:rsidR="00F77510" w:rsidP="00F77510" w:rsidRDefault="00F77510" w14:paraId="2B7A0AF5" w14:textId="130B5341">
      <w:pPr>
        <w:ind w:right="-180"/>
      </w:pPr>
      <w:r w:rsidRPr="00F77510">
        <w:t>To summarize, the Form ETA-790A collect</w:t>
      </w:r>
      <w:r w:rsidR="009C1F92">
        <w:t>s</w:t>
      </w:r>
      <w:r w:rsidRPr="00F77510">
        <w:t xml:space="preserve"> information related to the employer’s job opportunity, including the job title, number of workers needed, period of intended employment, and a description of the agricultural services or labor to be performed.  This information permit</w:t>
      </w:r>
      <w:r w:rsidR="009C1F92">
        <w:t>s</w:t>
      </w:r>
      <w:r w:rsidRPr="00F77510">
        <w:t xml:space="preserve"> OFLC to evaluate whether the employer has a bona fide need for temporary labor and</w:t>
      </w:r>
      <w:r w:rsidR="00C648CE">
        <w:t xml:space="preserve"> whether</w:t>
      </w:r>
      <w:r w:rsidRPr="00F77510">
        <w:t xml:space="preserve"> the duties to be performed qualify as agricultural services or labor under the H-2A program.  To ensure no adverse effect on the wages of similarly employed workers in the area(s) of intended employment, the form collect</w:t>
      </w:r>
      <w:r w:rsidR="009C1F92">
        <w:t>s</w:t>
      </w:r>
      <w:r w:rsidRPr="00F77510">
        <w:t xml:space="preserve"> information on specific crops or agricultural activities, the places of intended employment (i.e., worksites), and the wage rate(s) that will be paid to workers in each crop or agricultural activity</w:t>
      </w:r>
      <w:r w:rsidR="000609AE">
        <w:t>,</w:t>
      </w:r>
      <w:r w:rsidRPr="00F77510">
        <w:t xml:space="preserve"> as well as any other conditions or deductions from pay not required by law.  In addition, employers </w:t>
      </w:r>
      <w:r w:rsidR="009C1F92">
        <w:t>are</w:t>
      </w:r>
      <w:r w:rsidR="0050216E">
        <w:t xml:space="preserve"> </w:t>
      </w:r>
      <w:r w:rsidRPr="00F77510">
        <w:t xml:space="preserve">required to disclose the actual minimum qualifications or requirements of the job, including education, training, experience, and any other special requirements.  This information </w:t>
      </w:r>
      <w:r w:rsidR="009C1F92">
        <w:t>is</w:t>
      </w:r>
      <w:r w:rsidRPr="00F77510" w:rsidR="002737C3">
        <w:t xml:space="preserve"> </w:t>
      </w:r>
      <w:r w:rsidRPr="00F77510">
        <w:t xml:space="preserve">used by the Department to determine whether the job qualifications or requirements are </w:t>
      </w:r>
      <w:r w:rsidR="00D266F2">
        <w:t xml:space="preserve">consistent with the </w:t>
      </w:r>
      <w:r w:rsidRPr="00F77510">
        <w:t xml:space="preserve">normal and accepted </w:t>
      </w:r>
      <w:r w:rsidR="00D266F2">
        <w:t xml:space="preserve">qualifications required </w:t>
      </w:r>
      <w:r w:rsidR="00C648CE">
        <w:t>by</w:t>
      </w:r>
      <w:r w:rsidRPr="00F77510">
        <w:t xml:space="preserve"> U.S. employers who do not use the H-2A program. </w:t>
      </w:r>
      <w:r w:rsidR="00D266F2">
        <w:t xml:space="preserve"> </w:t>
      </w:r>
      <w:r w:rsidR="00586356">
        <w:rPr>
          <w:i/>
          <w:iCs/>
        </w:rPr>
        <w:t xml:space="preserve">See </w:t>
      </w:r>
      <w:r w:rsidR="00D266F2">
        <w:t>20 CFR 655.122(b).</w:t>
      </w:r>
    </w:p>
    <w:p w:rsidRPr="00F77510" w:rsidR="00F77510" w:rsidP="00F77510" w:rsidRDefault="00F77510" w14:paraId="04031B05" w14:textId="77777777">
      <w:pPr>
        <w:ind w:right="-180"/>
      </w:pPr>
    </w:p>
    <w:p w:rsidR="00F77510" w:rsidP="008B5706" w:rsidRDefault="00F77510" w14:paraId="06304345" w14:textId="51D019F5">
      <w:pPr>
        <w:ind w:right="-180"/>
      </w:pPr>
      <w:r w:rsidRPr="00F77510">
        <w:lastRenderedPageBreak/>
        <w:t xml:space="preserve">Because the INA mandates that employers participating in the H-2A program provide housing to workers that meets applicable housing standards prior to occupancy, the form </w:t>
      </w:r>
      <w:r w:rsidR="002737C3">
        <w:t xml:space="preserve">also </w:t>
      </w:r>
      <w:r w:rsidRPr="00F77510">
        <w:t>collect</w:t>
      </w:r>
      <w:r w:rsidR="009C1F92">
        <w:t>s</w:t>
      </w:r>
      <w:r w:rsidRPr="00F77510">
        <w:t xml:space="preserve"> basic information regarding the geographic location, type, capacity, and the applicable inspection standards (i.e., local, state, federal) of the housing for workers who are employed under the agricultural clearance order.  </w:t>
      </w:r>
      <w:r w:rsidR="008E7181">
        <w:rPr>
          <w:i/>
          <w:iCs/>
        </w:rPr>
        <w:t xml:space="preserve">See </w:t>
      </w:r>
      <w:r w:rsidR="00D266F2">
        <w:t xml:space="preserve">8 U.S.C. </w:t>
      </w:r>
      <w:r w:rsidR="00F94BB2">
        <w:t xml:space="preserve">§ </w:t>
      </w:r>
      <w:r w:rsidR="00D266F2">
        <w:t xml:space="preserve">1188(c)(4).  </w:t>
      </w:r>
      <w:r w:rsidR="00C04852">
        <w:t>F</w:t>
      </w:r>
      <w:r w:rsidRPr="00F77510">
        <w:t>inally, the employer provide</w:t>
      </w:r>
      <w:r w:rsidR="009C1F92">
        <w:t>s</w:t>
      </w:r>
      <w:r w:rsidRPr="00F77510">
        <w:t xml:space="preserve"> other disclosures required by regulation related to the provision of meals, transportation</w:t>
      </w:r>
      <w:r w:rsidR="00CD4580">
        <w:t>,</w:t>
      </w:r>
      <w:r w:rsidRPr="00F77510">
        <w:t xml:space="preserve"> and daily subsistence, and any other material terms and conditions of the job offer</w:t>
      </w:r>
      <w:r w:rsidR="0092386C">
        <w:t>, as well as</w:t>
      </w:r>
      <w:r w:rsidRPr="0092386C" w:rsidR="0092386C">
        <w:t xml:space="preserve"> </w:t>
      </w:r>
      <w:r w:rsidRPr="00F77510" w:rsidR="0092386C">
        <w:t>referral and hiring instructions</w:t>
      </w:r>
      <w:r w:rsidRPr="00F77510">
        <w:t xml:space="preserve">.  Employers complete Form ETA-790A by reading and then attesting (i.e., sign and date) to compliance with the required conditions of employment and assurances for H-2A agricultural clearance orders, as set forth under 20 </w:t>
      </w:r>
      <w:r w:rsidR="00C648CE">
        <w:t xml:space="preserve">CFR </w:t>
      </w:r>
      <w:r w:rsidR="00F94BB2">
        <w:t xml:space="preserve">part </w:t>
      </w:r>
      <w:r w:rsidRPr="00F77510">
        <w:t xml:space="preserve">653, </w:t>
      </w:r>
      <w:r w:rsidR="00030A16">
        <w:t>s</w:t>
      </w:r>
      <w:r w:rsidR="0092386C">
        <w:t>ubpart</w:t>
      </w:r>
      <w:r w:rsidRPr="00F77510">
        <w:t xml:space="preserve"> F, and 20 </w:t>
      </w:r>
      <w:r w:rsidR="00C648CE">
        <w:t xml:space="preserve">CFR </w:t>
      </w:r>
      <w:r w:rsidR="00F94BB2">
        <w:t>part</w:t>
      </w:r>
      <w:r w:rsidR="00C648CE">
        <w:t xml:space="preserve"> </w:t>
      </w:r>
      <w:r w:rsidRPr="00F77510">
        <w:t xml:space="preserve">655, </w:t>
      </w:r>
      <w:r w:rsidR="00030A16">
        <w:t>s</w:t>
      </w:r>
      <w:r w:rsidR="0092386C">
        <w:t>ubpart</w:t>
      </w:r>
      <w:r w:rsidRPr="00F77510">
        <w:t xml:space="preserve"> B.</w:t>
      </w:r>
    </w:p>
    <w:p w:rsidRPr="00F77510" w:rsidR="008B5706" w:rsidP="008B5706" w:rsidRDefault="008B5706" w14:paraId="0491673E" w14:textId="77777777">
      <w:pPr>
        <w:ind w:right="-180"/>
      </w:pPr>
    </w:p>
    <w:p w:rsidRPr="00F77510" w:rsidR="00F77510" w:rsidP="00F77510" w:rsidRDefault="00F77510" w14:paraId="59325957" w14:textId="77777777">
      <w:pPr>
        <w:rPr>
          <w:u w:val="single"/>
        </w:rPr>
      </w:pPr>
      <w:r w:rsidRPr="00F77510">
        <w:rPr>
          <w:u w:val="single"/>
        </w:rPr>
        <w:t xml:space="preserve">Form ETA-790A, </w:t>
      </w:r>
      <w:r w:rsidRPr="00F77510">
        <w:rPr>
          <w:i/>
          <w:u w:val="single"/>
        </w:rPr>
        <w:t>Addendum A</w:t>
      </w:r>
      <w:r w:rsidRPr="00F77510">
        <w:rPr>
          <w:u w:val="single"/>
        </w:rPr>
        <w:t xml:space="preserve"> - </w:t>
      </w:r>
      <w:r w:rsidRPr="00F77510">
        <w:rPr>
          <w:i/>
          <w:u w:val="single"/>
        </w:rPr>
        <w:t>Additional Crops or Agricultural Activities</w:t>
      </w:r>
    </w:p>
    <w:p w:rsidRPr="00F77510" w:rsidR="00F77510" w:rsidP="00F77510" w:rsidRDefault="00F77510" w14:paraId="7B9A31B3" w14:textId="77777777">
      <w:pPr>
        <w:ind w:right="460"/>
      </w:pPr>
    </w:p>
    <w:p w:rsidRPr="00F77510" w:rsidR="00F77510" w:rsidP="00F77510" w:rsidRDefault="00F77510" w14:paraId="65718AB9" w14:textId="3485A8F3">
      <w:pPr>
        <w:ind w:right="460"/>
      </w:pPr>
      <w:r w:rsidRPr="00F77510">
        <w:t>In circumstances where work is expected to be performed in different agricultural activities, crops, and/or varieties within a single crop other than what is disclosed on the main Form ETA-790A, the employer complete</w:t>
      </w:r>
      <w:r w:rsidR="008E40A8">
        <w:t>s</w:t>
      </w:r>
      <w:r w:rsidRPr="00F77510">
        <w:t xml:space="preserve"> the </w:t>
      </w:r>
      <w:r w:rsidRPr="00F77510">
        <w:rPr>
          <w:i/>
        </w:rPr>
        <w:t>Addendum A</w:t>
      </w:r>
      <w:r w:rsidRPr="00F77510">
        <w:t xml:space="preserve"> identifying all crops or agricultural activities for</w:t>
      </w:r>
      <w:r w:rsidR="006566F3">
        <w:t xml:space="preserve"> the</w:t>
      </w:r>
      <w:r w:rsidRPr="00F77510">
        <w:t xml:space="preserve"> job opportunity</w:t>
      </w:r>
      <w:r w:rsidR="006566F3">
        <w:t>,</w:t>
      </w:r>
      <w:r w:rsidRPr="00F77510">
        <w:t xml:space="preserve"> as well as details about the wages that will be offered, advertised, and paid to workers.  Employers submit information related to the different crops or agricultural activities that workers are expected to perform, including appropriate wage offer(s), in a variety of paper-based formats, and this </w:t>
      </w:r>
      <w:r w:rsidRPr="00F77510">
        <w:rPr>
          <w:i/>
        </w:rPr>
        <w:t>Addendum A</w:t>
      </w:r>
      <w:r w:rsidRPr="00F77510">
        <w:t xml:space="preserve"> </w:t>
      </w:r>
      <w:r w:rsidR="002737C3">
        <w:t>provide</w:t>
      </w:r>
      <w:r w:rsidR="008E40A8">
        <w:t>s</w:t>
      </w:r>
      <w:r w:rsidR="002737C3">
        <w:t xml:space="preserve"> an </w:t>
      </w:r>
      <w:r w:rsidRPr="00F77510">
        <w:t xml:space="preserve">electronic format for collecting this </w:t>
      </w:r>
      <w:r w:rsidR="002737C3">
        <w:t>type of</w:t>
      </w:r>
      <w:r w:rsidRPr="00F77510" w:rsidR="002737C3">
        <w:t xml:space="preserve"> </w:t>
      </w:r>
      <w:r w:rsidRPr="00F77510">
        <w:t>information.  OFLC use</w:t>
      </w:r>
      <w:r w:rsidR="008E40A8">
        <w:t>s</w:t>
      </w:r>
      <w:r w:rsidRPr="00F77510">
        <w:t xml:space="preserve"> this information to ensure that</w:t>
      </w:r>
      <w:r w:rsidR="00BD6A95">
        <w:t>:</w:t>
      </w:r>
      <w:r w:rsidRPr="00F77510">
        <w:t xml:space="preserve"> (1) all duties to be performed in the crops or agricultural activities qualify under the H-2A program</w:t>
      </w:r>
      <w:r w:rsidR="00BD6A95">
        <w:t>;</w:t>
      </w:r>
      <w:r w:rsidRPr="00F77510">
        <w:t xml:space="preserve"> (2) all crops and/or agricultural activities cover the same occupation or represent comparable work</w:t>
      </w:r>
      <w:r w:rsidR="00BD6A95">
        <w:t>;</w:t>
      </w:r>
      <w:r w:rsidRPr="00F77510">
        <w:t xml:space="preserve"> and (3) the employer is offering wages that will not create adverse effect on the wages of workers </w:t>
      </w:r>
      <w:r w:rsidR="03FEAF05">
        <w:t xml:space="preserve">in the United States </w:t>
      </w:r>
      <w:r w:rsidR="00067E7F">
        <w:t xml:space="preserve">who are </w:t>
      </w:r>
      <w:r w:rsidRPr="00F77510">
        <w:t>similarly employed.</w:t>
      </w:r>
    </w:p>
    <w:p w:rsidRPr="00F77510" w:rsidR="00F77510" w:rsidP="00F77510" w:rsidRDefault="00F77510" w14:paraId="4FE3CE39" w14:textId="77777777">
      <w:pPr>
        <w:tabs>
          <w:tab w:val="left" w:pos="-1440"/>
        </w:tabs>
      </w:pPr>
    </w:p>
    <w:p w:rsidRPr="00F77510" w:rsidR="00F77510" w:rsidP="00F77510" w:rsidRDefault="00F77510" w14:paraId="716B3393" w14:textId="77777777">
      <w:pPr>
        <w:rPr>
          <w:u w:val="single"/>
        </w:rPr>
      </w:pPr>
      <w:r w:rsidRPr="00F77510">
        <w:rPr>
          <w:u w:val="single"/>
        </w:rPr>
        <w:t xml:space="preserve">Form ETA-790A, </w:t>
      </w:r>
      <w:r w:rsidRPr="00F77510">
        <w:rPr>
          <w:i/>
          <w:u w:val="single"/>
        </w:rPr>
        <w:t>Addendum B</w:t>
      </w:r>
      <w:r w:rsidRPr="00F77510">
        <w:rPr>
          <w:u w:val="single"/>
        </w:rPr>
        <w:t xml:space="preserve"> - </w:t>
      </w:r>
      <w:r w:rsidRPr="00F77510">
        <w:rPr>
          <w:i/>
          <w:u w:val="single"/>
        </w:rPr>
        <w:t>Additional Worksite and/or Housing Information</w:t>
      </w:r>
    </w:p>
    <w:p w:rsidRPr="00F77510" w:rsidR="00F77510" w:rsidP="00F77510" w:rsidRDefault="00F77510" w14:paraId="38A68A8F" w14:textId="77777777">
      <w:pPr>
        <w:ind w:right="460"/>
      </w:pPr>
    </w:p>
    <w:p w:rsidRPr="00F77510" w:rsidR="00F77510" w:rsidP="00F77510" w:rsidRDefault="00F77510" w14:paraId="681E6909" w14:textId="378C38A0">
      <w:pPr>
        <w:ind w:right="460"/>
      </w:pPr>
      <w:r w:rsidRPr="00F77510">
        <w:t>In circumstances where the employer needs workers to perform the services or labor at worksites other than the primary one identified on the main Form ETA-</w:t>
      </w:r>
      <w:r w:rsidR="00D22FA1">
        <w:t>790A</w:t>
      </w:r>
      <w:r w:rsidRPr="00F77510">
        <w:t xml:space="preserve"> and/or additional housing is needed to accommodate all workers under the job order at the worksite location(s), the employer must complete the </w:t>
      </w:r>
      <w:r w:rsidRPr="00F77510">
        <w:rPr>
          <w:i/>
        </w:rPr>
        <w:t xml:space="preserve">Addendum B.  </w:t>
      </w:r>
      <w:r w:rsidRPr="00F77510">
        <w:t xml:space="preserve">Employers submit information disclosing all worksites and housing for workers in a variety of paper-based formats, and </w:t>
      </w:r>
      <w:r w:rsidRPr="00F77510">
        <w:rPr>
          <w:i/>
        </w:rPr>
        <w:t>Addendum B</w:t>
      </w:r>
      <w:r w:rsidRPr="00F77510">
        <w:t xml:space="preserve"> </w:t>
      </w:r>
      <w:r w:rsidR="002737C3">
        <w:t>provide</w:t>
      </w:r>
      <w:r w:rsidR="008E40A8">
        <w:t>s</w:t>
      </w:r>
      <w:r w:rsidR="002737C3">
        <w:t xml:space="preserve"> an </w:t>
      </w:r>
      <w:r w:rsidRPr="00F77510">
        <w:t>electronic format for collecting this existing information.  OFLC use</w:t>
      </w:r>
      <w:r w:rsidR="008E40A8">
        <w:t>s</w:t>
      </w:r>
      <w:r w:rsidRPr="00F77510">
        <w:t xml:space="preserve"> this information to ensure that</w:t>
      </w:r>
      <w:r w:rsidR="00166B38">
        <w:t>:</w:t>
      </w:r>
      <w:r w:rsidRPr="00F77510">
        <w:t xml:space="preserve"> (1) all worksite locations are compliant with applicable regulatory requirements regarding an area of intended employment</w:t>
      </w:r>
      <w:r w:rsidR="00166B38">
        <w:t>;</w:t>
      </w:r>
      <w:r w:rsidRPr="00F77510">
        <w:t xml:space="preserve"> (2) employers filing as H-2ALCs and joint employers (i.e., two or more individual employers, agricultural associations) properly disclose the name(s) and location(s) of all fixed-site agricultural business or association members</w:t>
      </w:r>
      <w:r w:rsidR="00166B38">
        <w:t>;</w:t>
      </w:r>
      <w:r w:rsidRPr="00F77510">
        <w:t xml:space="preserve"> and (3) the housing employers will provide is sufficient to accommodate all workers under the job order and meets applicable standards.</w:t>
      </w:r>
    </w:p>
    <w:p w:rsidRPr="00F77510" w:rsidR="00F77510" w:rsidP="006C133A" w:rsidRDefault="00F77510" w14:paraId="71B07D58" w14:textId="77777777">
      <w:pPr>
        <w:tabs>
          <w:tab w:val="right" w:pos="360"/>
        </w:tabs>
        <w:autoSpaceDE w:val="0"/>
        <w:autoSpaceDN w:val="0"/>
        <w:adjustRightInd w:val="0"/>
        <w:ind w:left="540" w:hanging="540"/>
      </w:pPr>
    </w:p>
    <w:p w:rsidR="00EA78D2" w:rsidP="00FF74FA" w:rsidRDefault="00985E73" w14:paraId="1AC59B92" w14:textId="3AFECCF1">
      <w:pPr>
        <w:tabs>
          <w:tab w:val="right" w:pos="360"/>
        </w:tabs>
        <w:autoSpaceDE w:val="0"/>
        <w:autoSpaceDN w:val="0"/>
        <w:adjustRightInd w:val="0"/>
        <w:rPr>
          <w:i/>
        </w:rPr>
      </w:pPr>
      <w:r>
        <w:rPr>
          <w:i/>
        </w:rPr>
        <w:t>A</w:t>
      </w:r>
      <w:r w:rsidRPr="002221A7" w:rsidR="00EA78D2">
        <w:rPr>
          <w:i/>
        </w:rPr>
        <w:t>3.</w:t>
      </w:r>
      <w:r w:rsidR="00F34541">
        <w:rPr>
          <w:i/>
        </w:rPr>
        <w:t xml:space="preserve">  </w:t>
      </w:r>
      <w:r w:rsidRPr="002221A7" w:rsidR="00EA78D2">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w:t>
      </w:r>
      <w:r w:rsidRPr="002221A7" w:rsidR="00EA78D2">
        <w:rPr>
          <w:i/>
        </w:rPr>
        <w:lastRenderedPageBreak/>
        <w:t xml:space="preserve">the decision for adopting this means of collection. </w:t>
      </w:r>
      <w:r w:rsidR="00910252">
        <w:rPr>
          <w:i/>
        </w:rPr>
        <w:t xml:space="preserve"> </w:t>
      </w:r>
      <w:r w:rsidRPr="002221A7" w:rsidR="00EA78D2">
        <w:rPr>
          <w:i/>
        </w:rPr>
        <w:t>Also</w:t>
      </w:r>
      <w:r w:rsidR="00910252">
        <w:rPr>
          <w:i/>
        </w:rPr>
        <w:t>,</w:t>
      </w:r>
      <w:r w:rsidRPr="002221A7" w:rsidR="00EA78D2">
        <w:rPr>
          <w:i/>
        </w:rPr>
        <w:t xml:space="preserve"> describe any consideration of using information technology to reduce burden.</w:t>
      </w:r>
    </w:p>
    <w:p w:rsidR="00CF6C2E" w:rsidP="00CF6C2E" w:rsidRDefault="00CF6C2E" w14:paraId="307973A2" w14:textId="77777777">
      <w:pPr>
        <w:tabs>
          <w:tab w:val="right" w:pos="360"/>
        </w:tabs>
        <w:autoSpaceDE w:val="0"/>
        <w:autoSpaceDN w:val="0"/>
        <w:adjustRightInd w:val="0"/>
        <w:ind w:left="540" w:hanging="540"/>
      </w:pPr>
    </w:p>
    <w:p w:rsidRPr="00590B0D" w:rsidR="00590B0D" w:rsidP="00A2346B" w:rsidRDefault="00590B0D" w14:paraId="29EDFA98" w14:textId="72FBF3FF">
      <w:pPr>
        <w:pStyle w:val="NormalWeb"/>
        <w:spacing w:before="0" w:beforeAutospacing="0" w:after="0" w:afterAutospacing="0"/>
        <w:rPr>
          <w:color w:val="000000"/>
        </w:rPr>
      </w:pPr>
      <w:r w:rsidRPr="00590B0D">
        <w:rPr>
          <w:color w:val="000000"/>
        </w:rPr>
        <w:t>In accordance with 20 CFR 655.130(c) and 77 Fed. Reg. 59670, 59570 (Sept. 28, 2012), an employer or, if applicable, its authorized attorney or agent, seeking temporary labor certification must submit the Form ETA-9142A and all documentation supporting the application to OFLC either electronically or by U.S. mail.</w:t>
      </w:r>
      <w:r w:rsidRPr="008A5E10" w:rsidR="004F39DF">
        <w:rPr>
          <w:rStyle w:val="FootnoteReference"/>
          <w:color w:val="000000"/>
          <w:vertAlign w:val="superscript"/>
        </w:rPr>
        <w:footnoteReference w:id="2"/>
      </w:r>
      <w:r w:rsidRPr="00590B0D">
        <w:rPr>
          <w:color w:val="000000"/>
        </w:rPr>
        <w:t xml:space="preserve">  The filing of the H-2A </w:t>
      </w:r>
      <w:r w:rsidRPr="00590B0D">
        <w:rPr>
          <w:i/>
          <w:color w:val="000000"/>
        </w:rPr>
        <w:t>Application for Temporary Employment Certification</w:t>
      </w:r>
      <w:r w:rsidRPr="00590B0D">
        <w:rPr>
          <w:color w:val="000000"/>
        </w:rPr>
        <w:t xml:space="preserve"> and all supporting documentation is supported by the Department’s electronic filing system, the Foreign Labor Application Gateway (FLAG system) at </w:t>
      </w:r>
      <w:hyperlink w:history="1" r:id="rId12">
        <w:r w:rsidRPr="007717D2" w:rsidR="00AF7CBB">
          <w:rPr>
            <w:rStyle w:val="Hyperlink"/>
          </w:rPr>
          <w:t>https://flag.dol.gov/</w:t>
        </w:r>
      </w:hyperlink>
      <w:r w:rsidRPr="00590B0D">
        <w:rPr>
          <w:color w:val="000000"/>
        </w:rPr>
        <w:t>.  In circumstances where the application is filed using the traditional paper-based method, OFLC staff manually enters the data and information contained on the paper application into the FLAG system’s internal case management system for processing in a similar manner as those filed electronically.</w:t>
      </w:r>
    </w:p>
    <w:p w:rsidR="00CF6C2E" w:rsidP="00CF6C2E" w:rsidRDefault="00CF6C2E" w14:paraId="0964AFED" w14:textId="77777777">
      <w:pPr>
        <w:pStyle w:val="NormalWeb"/>
        <w:spacing w:before="0" w:beforeAutospacing="0" w:after="0" w:afterAutospacing="0"/>
        <w:rPr>
          <w:color w:val="000000"/>
        </w:rPr>
      </w:pPr>
    </w:p>
    <w:p w:rsidRPr="00590B0D" w:rsidR="00590B0D" w:rsidP="00CF6C2E" w:rsidRDefault="00590B0D" w14:paraId="29B368CB" w14:textId="72A58698">
      <w:pPr>
        <w:pStyle w:val="NormalWeb"/>
        <w:spacing w:before="0" w:beforeAutospacing="0" w:after="0" w:afterAutospacing="0"/>
        <w:rPr>
          <w:color w:val="000000"/>
        </w:rPr>
      </w:pPr>
      <w:r w:rsidRPr="00590B0D">
        <w:rPr>
          <w:color w:val="000000"/>
        </w:rPr>
        <w:t xml:space="preserve">The FLAG system permits an employer or, if applicable, its authorized attorney or agent to efficiently prepare and submit H-2A applications for processing by OFLC. </w:t>
      </w:r>
      <w:r w:rsidR="00625662">
        <w:rPr>
          <w:color w:val="000000"/>
        </w:rPr>
        <w:t xml:space="preserve"> </w:t>
      </w:r>
      <w:r w:rsidRPr="00590B0D">
        <w:rPr>
          <w:color w:val="000000"/>
        </w:rPr>
        <w:t xml:space="preserve">During the preparation of applications, the FLAG system provides employers with a series of electronic data checks and prompts to ensure each required field is completed and values entered on the form are valid and consistent with regulatory requirements. </w:t>
      </w:r>
      <w:r w:rsidR="00625662">
        <w:rPr>
          <w:color w:val="000000"/>
        </w:rPr>
        <w:t xml:space="preserve"> </w:t>
      </w:r>
      <w:r w:rsidRPr="00590B0D">
        <w:rPr>
          <w:color w:val="000000"/>
        </w:rPr>
        <w:t xml:space="preserve">The OFLC website and the FLAG system’s H-2A Case Preparation Module include detailed instructions designed to help employers understand the form collection items and the kinds of entries that are required. </w:t>
      </w:r>
      <w:r w:rsidR="00625662">
        <w:rPr>
          <w:color w:val="000000"/>
        </w:rPr>
        <w:t xml:space="preserve"> </w:t>
      </w:r>
      <w:r w:rsidRPr="00590B0D">
        <w:rPr>
          <w:color w:val="000000"/>
        </w:rPr>
        <w:t>Where it is not practical to collect supporting documentation using a standard OMB-approved appendix</w:t>
      </w:r>
      <w:r w:rsidR="00A540A2">
        <w:rPr>
          <w:color w:val="000000"/>
        </w:rPr>
        <w:t xml:space="preserve"> (</w:t>
      </w:r>
      <w:r w:rsidR="008D25E6">
        <w:rPr>
          <w:color w:val="000000"/>
        </w:rPr>
        <w:t>e.g., contracts with growers; evidence of farm labor contractor registration)</w:t>
      </w:r>
      <w:r w:rsidRPr="00590B0D">
        <w:rPr>
          <w:color w:val="000000"/>
        </w:rPr>
        <w:t>, the FLAG system permits an employer to upload documentation supporting the application in an acceptable digitized format (e.g., Adobe PDF, Microsoft Word, .TXT).</w:t>
      </w:r>
    </w:p>
    <w:p w:rsidR="00CF6C2E" w:rsidP="00CF6C2E" w:rsidRDefault="00CF6C2E" w14:paraId="7EB8F9E2" w14:textId="77777777">
      <w:pPr>
        <w:pStyle w:val="NormalWeb"/>
        <w:spacing w:before="0" w:beforeAutospacing="0" w:after="0" w:afterAutospacing="0"/>
        <w:rPr>
          <w:color w:val="000000"/>
        </w:rPr>
      </w:pPr>
    </w:p>
    <w:p w:rsidR="00CF6C2E" w:rsidP="00CF6C2E" w:rsidRDefault="00590B0D" w14:paraId="38F4153D" w14:textId="367FAFE6">
      <w:pPr>
        <w:pStyle w:val="NormalWeb"/>
        <w:spacing w:before="0" w:beforeAutospacing="0" w:after="0" w:afterAutospacing="0"/>
        <w:rPr>
          <w:color w:val="000000"/>
        </w:rPr>
      </w:pPr>
      <w:r w:rsidRPr="00590B0D">
        <w:rPr>
          <w:color w:val="000000"/>
        </w:rPr>
        <w:t xml:space="preserve">When the employer or, if applicable, its authorized attorney or agent initially enters contact information and establishes a FLAG system account, the H-2A Case Preparation Module automatically pre-populates all contact information on the draft Form ETA-9142A, significantly reducing the time and burden for repeated online data entry. </w:t>
      </w:r>
      <w:r w:rsidR="00625662">
        <w:rPr>
          <w:color w:val="000000"/>
        </w:rPr>
        <w:t xml:space="preserve"> </w:t>
      </w:r>
      <w:r w:rsidRPr="00590B0D">
        <w:rPr>
          <w:color w:val="000000"/>
        </w:rPr>
        <w:t xml:space="preserve">Additionally, the H-2A Case Preparation Module provides employers with an option to “reuse” previously filed applications, which automatically copies information into a new draft Form ETA-9142A. </w:t>
      </w:r>
      <w:r w:rsidR="00625662">
        <w:rPr>
          <w:color w:val="000000"/>
        </w:rPr>
        <w:t xml:space="preserve"> </w:t>
      </w:r>
      <w:r w:rsidRPr="00590B0D">
        <w:rPr>
          <w:color w:val="000000"/>
        </w:rPr>
        <w:t xml:space="preserve">Under this option, employers only change a limited set of information on the new application to accommodate the job opportunity, such as the number of workers being requested for certification, period of employment, the intended place(s) of employment, and wage information.  </w:t>
      </w:r>
    </w:p>
    <w:p w:rsidR="00CF6C2E" w:rsidP="00CF6C2E" w:rsidRDefault="00CF6C2E" w14:paraId="53681813" w14:textId="77777777">
      <w:pPr>
        <w:pStyle w:val="NormalWeb"/>
        <w:spacing w:before="0" w:beforeAutospacing="0" w:after="0" w:afterAutospacing="0"/>
        <w:rPr>
          <w:color w:val="000000"/>
        </w:rPr>
      </w:pPr>
    </w:p>
    <w:p w:rsidRPr="00590B0D" w:rsidR="00590B0D" w:rsidP="00CF6C2E" w:rsidRDefault="00590B0D" w14:paraId="62C809D6" w14:textId="7B0D9708">
      <w:pPr>
        <w:pStyle w:val="NormalWeb"/>
        <w:spacing w:before="0" w:beforeAutospacing="0" w:after="0" w:afterAutospacing="0"/>
        <w:rPr>
          <w:color w:val="000000"/>
        </w:rPr>
      </w:pPr>
      <w:r w:rsidRPr="00590B0D">
        <w:rPr>
          <w:color w:val="000000"/>
        </w:rPr>
        <w:t xml:space="preserve">This option significantly reduces the time and burden for online data entry, particularly for those employers who need to access the program to hire nonimmigrant workers for jobs that predictably recur each year. </w:t>
      </w:r>
      <w:r w:rsidR="00625662">
        <w:rPr>
          <w:color w:val="000000"/>
        </w:rPr>
        <w:t xml:space="preserve"> </w:t>
      </w:r>
      <w:r w:rsidRPr="00590B0D">
        <w:rPr>
          <w:color w:val="000000"/>
        </w:rPr>
        <w:t>OFLC’s experience is that the submission of all required documentation, at the time of filing the application, facilitates a more efficient and consistent review of the employer’s application, and reduces the incidence of OFLC returning the incomplete application without further review or issuing a NOD to request missing documentation or corrections for obvious errors or inaccuracies.</w:t>
      </w:r>
    </w:p>
    <w:p w:rsidR="00CF6C2E" w:rsidP="00CF6C2E" w:rsidRDefault="00CF6C2E" w14:paraId="77FCD307" w14:textId="77777777">
      <w:pPr>
        <w:pStyle w:val="NormalWeb"/>
        <w:spacing w:before="0" w:beforeAutospacing="0" w:after="0" w:afterAutospacing="0"/>
        <w:rPr>
          <w:color w:val="000000"/>
        </w:rPr>
      </w:pPr>
    </w:p>
    <w:p w:rsidRPr="004F7533" w:rsidR="009364AB" w:rsidDel="00590B0D" w:rsidP="00CF6C2E" w:rsidRDefault="00590B0D" w14:paraId="5CE21725" w14:textId="3CB76D7C">
      <w:pPr>
        <w:pStyle w:val="NormalWeb"/>
        <w:spacing w:before="0" w:beforeAutospacing="0" w:after="0" w:afterAutospacing="0"/>
        <w:rPr>
          <w:color w:val="000000"/>
        </w:rPr>
      </w:pPr>
      <w:r w:rsidRPr="58C618E7">
        <w:rPr>
          <w:color w:val="000000" w:themeColor="text1"/>
        </w:rPr>
        <w:lastRenderedPageBreak/>
        <w:t xml:space="preserve">In compliance with the Government Paperwork Elimination Act, ETA will continue to make all forms and appendices approved under this ICR easily accessible on both the FLAG </w:t>
      </w:r>
      <w:r w:rsidRPr="58C618E7" w:rsidR="005B2555">
        <w:rPr>
          <w:color w:val="000000" w:themeColor="text1"/>
        </w:rPr>
        <w:t xml:space="preserve">system </w:t>
      </w:r>
      <w:r w:rsidRPr="58C618E7">
        <w:rPr>
          <w:color w:val="000000" w:themeColor="text1"/>
        </w:rPr>
        <w:t>and OFLC website (</w:t>
      </w:r>
      <w:hyperlink r:id="rId13">
        <w:r w:rsidRPr="58C618E7" w:rsidR="0CA2744A">
          <w:rPr>
            <w:rStyle w:val="Hyperlink"/>
          </w:rPr>
          <w:t>https://www.dol.gov/agencies/eta/foreign-labor/forms</w:t>
        </w:r>
      </w:hyperlink>
      <w:r w:rsidRPr="58C618E7" w:rsidR="214E214A">
        <w:rPr>
          <w:color w:val="000000" w:themeColor="text1"/>
        </w:rPr>
        <w:t>) and electronically fillable and fileable.</w:t>
      </w:r>
      <w:r w:rsidRPr="58C618E7">
        <w:rPr>
          <w:color w:val="000000" w:themeColor="text1"/>
        </w:rPr>
        <w:t xml:space="preserve"> The Department seeks OMB approval of the electronically fileable Form ETA-9142A and its appendices. The Form ETA-9142A, </w:t>
      </w:r>
      <w:r w:rsidRPr="58C618E7">
        <w:rPr>
          <w:i/>
          <w:color w:val="000000" w:themeColor="text1"/>
        </w:rPr>
        <w:t>Final Determination</w:t>
      </w:r>
      <w:r w:rsidRPr="58C618E7">
        <w:rPr>
          <w:color w:val="000000" w:themeColor="text1"/>
        </w:rPr>
        <w:t xml:space="preserve">: </w:t>
      </w:r>
      <w:r w:rsidRPr="58C618E7">
        <w:rPr>
          <w:i/>
          <w:color w:val="000000" w:themeColor="text1"/>
        </w:rPr>
        <w:t>H-2A Temporary Labor Certification Approval</w:t>
      </w:r>
      <w:r w:rsidRPr="58C618E7">
        <w:rPr>
          <w:color w:val="000000" w:themeColor="text1"/>
        </w:rPr>
        <w:t xml:space="preserve"> (“Final Determination”), is not made available in an electronically fillable format, because it is for the Department’s use only and is not completed by the employer, or its authorized attorney or agent, if applicable. </w:t>
      </w:r>
      <w:r w:rsidR="00B27EE4">
        <w:rPr>
          <w:color w:val="000000" w:themeColor="text1"/>
        </w:rPr>
        <w:t xml:space="preserve"> </w:t>
      </w:r>
      <w:r w:rsidRPr="58C618E7">
        <w:rPr>
          <w:color w:val="000000" w:themeColor="text1"/>
        </w:rPr>
        <w:t xml:space="preserve">Where the employer’s application has met all regulatory requirements, the FLAG system sends the one-page Final Determination, to the employer and, if applicable, its authorized attorney or agent using email (as available) and pre-populates it with key information reflecting OFLC’s decision to grant approval of the employer’s request for temporary labor certification. </w:t>
      </w:r>
      <w:r w:rsidR="0090243B">
        <w:rPr>
          <w:color w:val="000000" w:themeColor="text1"/>
        </w:rPr>
        <w:t xml:space="preserve"> </w:t>
      </w:r>
      <w:r w:rsidRPr="58C618E7">
        <w:rPr>
          <w:color w:val="000000" w:themeColor="text1"/>
        </w:rPr>
        <w:t>The employer downloads, prints, and submits the Final Determination, along with any other required documentation to support the filing of an H-2A petition to the USCIS for processing.</w:t>
      </w:r>
    </w:p>
    <w:p w:rsidRPr="00CE3C52" w:rsidR="00332510" w:rsidP="004F7533" w:rsidRDefault="00332510" w14:paraId="7BFD27A3" w14:textId="77777777">
      <w:pPr>
        <w:pStyle w:val="NormalWeb"/>
        <w:spacing w:before="0" w:beforeAutospacing="0" w:after="0" w:afterAutospacing="0"/>
      </w:pPr>
    </w:p>
    <w:p w:rsidRPr="002221A7" w:rsidR="00EA78D2" w:rsidP="00795EB7" w:rsidRDefault="00985E73" w14:paraId="354F8ADF" w14:textId="20BC0FB9">
      <w:pPr>
        <w:tabs>
          <w:tab w:val="right" w:pos="360"/>
        </w:tabs>
        <w:autoSpaceDE w:val="0"/>
        <w:autoSpaceDN w:val="0"/>
        <w:adjustRightInd w:val="0"/>
        <w:rPr>
          <w:i/>
        </w:rPr>
      </w:pPr>
      <w:r>
        <w:rPr>
          <w:i/>
        </w:rPr>
        <w:t>A</w:t>
      </w:r>
      <w:r w:rsidRPr="002221A7" w:rsidR="00EA78D2">
        <w:rPr>
          <w:i/>
        </w:rPr>
        <w:t>4.</w:t>
      </w:r>
      <w:r w:rsidRPr="002221A7" w:rsidR="008A07F2">
        <w:rPr>
          <w:i/>
        </w:rPr>
        <w:tab/>
      </w:r>
      <w:r w:rsidR="004B101D">
        <w:rPr>
          <w:i/>
        </w:rPr>
        <w:t xml:space="preserve">  </w:t>
      </w:r>
      <w:r w:rsidRPr="002221A7" w:rsidR="00EA78D2">
        <w:rPr>
          <w:i/>
        </w:rPr>
        <w:t xml:space="preserve">Describe efforts to identify duplication. </w:t>
      </w:r>
      <w:r w:rsidR="00910252">
        <w:rPr>
          <w:i/>
        </w:rPr>
        <w:t xml:space="preserve"> </w:t>
      </w:r>
      <w:r w:rsidRPr="002221A7" w:rsidR="00EA78D2">
        <w:rPr>
          <w:i/>
        </w:rPr>
        <w:t>Show specifically why any similar information already available cannot be used or modified for use for the purposes described in Item 2 above.</w:t>
      </w:r>
    </w:p>
    <w:p w:rsidR="00EA78D2" w:rsidP="00EA78D2" w:rsidRDefault="00EA78D2" w14:paraId="478F4F2C" w14:textId="77777777">
      <w:pPr>
        <w:autoSpaceDE w:val="0"/>
        <w:autoSpaceDN w:val="0"/>
        <w:adjustRightInd w:val="0"/>
      </w:pPr>
    </w:p>
    <w:p w:rsidRPr="00FE7151" w:rsidR="00FE7151" w:rsidP="00FE7151" w:rsidRDefault="00FE7151" w14:paraId="5FDD33BC" w14:textId="77777777">
      <w:pPr>
        <w:autoSpaceDE w:val="0"/>
        <w:autoSpaceDN w:val="0"/>
        <w:adjustRightInd w:val="0"/>
      </w:pPr>
      <w:r w:rsidRPr="00FE7151">
        <w:t>The procedures and documentation requirements are sufficiently specific to avoid duplication of activities.  No other government agency collects similar information to adjudicate this type of application.</w:t>
      </w:r>
    </w:p>
    <w:p w:rsidR="00EA78D2" w:rsidP="00EA78D2" w:rsidRDefault="00EA78D2" w14:paraId="44168A97" w14:textId="77777777">
      <w:pPr>
        <w:autoSpaceDE w:val="0"/>
        <w:autoSpaceDN w:val="0"/>
        <w:adjustRightInd w:val="0"/>
      </w:pPr>
    </w:p>
    <w:p w:rsidRPr="00905AD2" w:rsidR="00905AD2" w:rsidP="00905AD2" w:rsidRDefault="009364AB" w14:paraId="2FCF8DC9" w14:textId="16EC5D6D">
      <w:pPr>
        <w:autoSpaceDE w:val="0"/>
        <w:autoSpaceDN w:val="0"/>
        <w:adjustRightInd w:val="0"/>
      </w:pPr>
      <w:r>
        <w:t>T</w:t>
      </w:r>
      <w:r w:rsidR="00905AD2">
        <w:t>o provide employers with a more efficient means of filing H-2A job orders and applications using the Form ETA-790/790A, ETA</w:t>
      </w:r>
      <w:r w:rsidDel="00A619F6">
        <w:t xml:space="preserve"> </w:t>
      </w:r>
      <w:r w:rsidR="00905AD2">
        <w:t>eliminate</w:t>
      </w:r>
      <w:r w:rsidR="0029264E">
        <w:t>d</w:t>
      </w:r>
      <w:r w:rsidR="00905AD2">
        <w:t xml:space="preserve"> duplicative collection </w:t>
      </w:r>
      <w:r w:rsidR="00A43797">
        <w:t>of information during the previous PRA renewal cycle for</w:t>
      </w:r>
      <w:r w:rsidR="00905AD2">
        <w:t xml:space="preserve"> Form ETA-9142A</w:t>
      </w:r>
      <w:r w:rsidR="008406D4">
        <w:t>,</w:t>
      </w:r>
      <w:r w:rsidR="00905AD2">
        <w:t xml:space="preserve"> including all fields related to the employer’s need for temporary workers, job opportunity and requirements, worksite locations (including names of fixed-site agricultural businesses), and wage offer information.  </w:t>
      </w:r>
      <w:r w:rsidR="00A43797">
        <w:t>As a result of the previous updates</w:t>
      </w:r>
      <w:r w:rsidR="00905AD2">
        <w:t xml:space="preserve">, this information </w:t>
      </w:r>
      <w:r w:rsidR="0029264E">
        <w:t>is</w:t>
      </w:r>
      <w:r w:rsidRPr="00905AD2" w:rsidR="00905AD2">
        <w:t xml:space="preserve"> </w:t>
      </w:r>
      <w:r w:rsidR="00905AD2">
        <w:t xml:space="preserve">collected solely through the Form ETA-790/790A without the need for employers to repeat the same information on Form ETA-9142A.  </w:t>
      </w:r>
      <w:r w:rsidR="0029264E">
        <w:t>I</w:t>
      </w:r>
      <w:r w:rsidRPr="00905AD2" w:rsidR="00905AD2">
        <w:t>nformation</w:t>
      </w:r>
      <w:r w:rsidR="00905AD2">
        <w:t xml:space="preserve"> requested on the Form ETA-9142A and accompanying </w:t>
      </w:r>
      <w:r w:rsidRPr="222FE1AD" w:rsidR="00905AD2">
        <w:rPr>
          <w:i/>
          <w:iCs/>
        </w:rPr>
        <w:t>Appendix A</w:t>
      </w:r>
      <w:r w:rsidR="00905AD2">
        <w:t xml:space="preserve"> is sufficiently diverse to avoid duplication of activities within the Department for the H-2A program.  </w:t>
      </w:r>
      <w:r w:rsidR="00A619F6">
        <w:t>T</w:t>
      </w:r>
      <w:r w:rsidR="00905AD2">
        <w:t xml:space="preserve">he procedures and documentation requirements are sufficiently specific to avoid duplication of activities.  The information collections covered </w:t>
      </w:r>
      <w:r w:rsidR="00A619F6">
        <w:t>under OMB Control No. 1205-0466</w:t>
      </w:r>
      <w:r w:rsidR="00905AD2">
        <w:t xml:space="preserve"> only apply to entities seeking H-2A workers; consequently, there is no duplication of information collection requirements.</w:t>
      </w:r>
    </w:p>
    <w:p w:rsidRPr="00CE3C52" w:rsidR="00905AD2" w:rsidP="00EA78D2" w:rsidRDefault="00905AD2" w14:paraId="487F2412" w14:textId="77777777">
      <w:pPr>
        <w:autoSpaceDE w:val="0"/>
        <w:autoSpaceDN w:val="0"/>
        <w:adjustRightInd w:val="0"/>
      </w:pPr>
    </w:p>
    <w:p w:rsidRPr="002221A7" w:rsidR="00EA78D2" w:rsidP="00B27EE4" w:rsidRDefault="00985E73" w14:paraId="5097AE64" w14:textId="088876DE">
      <w:pPr>
        <w:tabs>
          <w:tab w:val="right" w:pos="360"/>
        </w:tabs>
        <w:autoSpaceDE w:val="0"/>
        <w:autoSpaceDN w:val="0"/>
        <w:adjustRightInd w:val="0"/>
        <w:rPr>
          <w:i/>
        </w:rPr>
      </w:pPr>
      <w:r>
        <w:rPr>
          <w:i/>
        </w:rPr>
        <w:t>A</w:t>
      </w:r>
      <w:r w:rsidRPr="002221A7" w:rsidR="00EA78D2">
        <w:rPr>
          <w:i/>
        </w:rPr>
        <w:t>5.</w:t>
      </w:r>
      <w:r w:rsidR="004B101D">
        <w:rPr>
          <w:i/>
        </w:rPr>
        <w:t xml:space="preserve">  </w:t>
      </w:r>
      <w:r w:rsidRPr="002221A7" w:rsidR="00EA78D2">
        <w:rPr>
          <w:i/>
        </w:rPr>
        <w:t>If the collection of information impacts small businesses or other small entities, describe any methods used to minimize burden.</w:t>
      </w:r>
    </w:p>
    <w:p w:rsidR="00EA78D2" w:rsidP="00EA78D2" w:rsidRDefault="00EA78D2" w14:paraId="660A02B9" w14:textId="77777777">
      <w:pPr>
        <w:autoSpaceDE w:val="0"/>
        <w:autoSpaceDN w:val="0"/>
        <w:adjustRightInd w:val="0"/>
      </w:pPr>
    </w:p>
    <w:p w:rsidR="009364AB" w:rsidP="009364AB" w:rsidRDefault="009364AB" w14:paraId="29176F97" w14:textId="04C8E449">
      <w:r w:rsidRPr="009364AB">
        <w:t xml:space="preserve">The information collected under this </w:t>
      </w:r>
      <w:r>
        <w:t>information collection</w:t>
      </w:r>
      <w:r w:rsidRPr="009364AB">
        <w:t xml:space="preserve"> is required of small businesses </w:t>
      </w:r>
      <w:r w:rsidRPr="009364AB" w:rsidR="00C2203A">
        <w:t>that</w:t>
      </w:r>
      <w:r w:rsidRPr="009364AB">
        <w:t xml:space="preserve"> </w:t>
      </w:r>
      <w:r w:rsidR="009F77AC">
        <w:t>seek to employ</w:t>
      </w:r>
      <w:r w:rsidRPr="009364AB">
        <w:t xml:space="preserve"> temporary nonimmigrant workers under the H-2A visa classification of the INA.  </w:t>
      </w:r>
      <w:r w:rsidR="006B17FD">
        <w:t xml:space="preserve">Approximately 98 percent of the employers who request H-2A certification are small businesses.  </w:t>
      </w:r>
      <w:r w:rsidRPr="009364AB">
        <w:t xml:space="preserve">The Department cannot make any exemptions or eliminate forms for small businesses, because the statute and regulations require all employers seeking temporary labor certification to make the necessary attestations and provide the information requested.  </w:t>
      </w:r>
      <w:r>
        <w:t xml:space="preserve">These forms ensure that the </w:t>
      </w:r>
      <w:r>
        <w:lastRenderedPageBreak/>
        <w:t xml:space="preserve">Department relies </w:t>
      </w:r>
      <w:r w:rsidR="00873533">
        <w:t>on a</w:t>
      </w:r>
      <w:r>
        <w:t xml:space="preserve"> uniform system that allows for these employers to provide the information that is necessary to process their requests for temporary labor certifications.</w:t>
      </w:r>
    </w:p>
    <w:p w:rsidR="009364AB" w:rsidP="009364AB" w:rsidRDefault="009364AB" w14:paraId="0320BB6B" w14:textId="77777777"/>
    <w:p w:rsidR="00C2203A" w:rsidP="009364AB" w:rsidRDefault="009364AB" w14:paraId="19C296E5" w14:textId="29EA7526">
      <w:r w:rsidRPr="009364AB">
        <w:t xml:space="preserve">This </w:t>
      </w:r>
      <w:r>
        <w:t xml:space="preserve">information </w:t>
      </w:r>
      <w:r w:rsidRPr="009364AB" w:rsidR="00A125EA">
        <w:t>collection</w:t>
      </w:r>
      <w:r>
        <w:t xml:space="preserve"> </w:t>
      </w:r>
      <w:r w:rsidRPr="009364AB">
        <w:t xml:space="preserve">is not disproportionately more burdensome for small entities than </w:t>
      </w:r>
      <w:r w:rsidR="00746731">
        <w:t xml:space="preserve">it is for </w:t>
      </w:r>
      <w:r w:rsidRPr="009364AB">
        <w:t>large ones</w:t>
      </w:r>
      <w:r w:rsidR="001049DE">
        <w:t>,</w:t>
      </w:r>
      <w:r w:rsidRPr="009364AB">
        <w:t xml:space="preserve"> because the forms and accompanying appendices are easy to understand and provide </w:t>
      </w:r>
      <w:proofErr w:type="gramStart"/>
      <w:r w:rsidRPr="009364AB">
        <w:t>all of</w:t>
      </w:r>
      <w:proofErr w:type="gramEnd"/>
      <w:r w:rsidRPr="009364AB">
        <w:t xml:space="preserve"> the necessary attestations and assurances </w:t>
      </w:r>
      <w:r w:rsidR="009832A7">
        <w:t>to minimize the need for</w:t>
      </w:r>
      <w:r w:rsidRPr="009364AB">
        <w:t xml:space="preserve"> the </w:t>
      </w:r>
      <w:r w:rsidR="00746731">
        <w:t xml:space="preserve">filing </w:t>
      </w:r>
      <w:r w:rsidRPr="009364AB">
        <w:t>employer to find the appropriate law or regulation to know how to request a temporary labor certification.</w:t>
      </w:r>
    </w:p>
    <w:p w:rsidR="00C2203A" w:rsidP="009364AB" w:rsidRDefault="00C2203A" w14:paraId="59238A50" w14:textId="77777777"/>
    <w:p w:rsidRPr="009364AB" w:rsidR="009364AB" w:rsidP="009364AB" w:rsidRDefault="00873533" w14:paraId="437DF59B" w14:textId="229D083A">
      <w:r>
        <w:t>This information collection does not impose any extra requirements on small entities; t</w:t>
      </w:r>
      <w:r w:rsidRPr="009364AB" w:rsidR="009364AB">
        <w:t>he</w:t>
      </w:r>
      <w:r w:rsidR="00C2203A">
        <w:t xml:space="preserve">se </w:t>
      </w:r>
      <w:r w:rsidRPr="009364AB" w:rsidR="009364AB">
        <w:t xml:space="preserve">forms collect from all </w:t>
      </w:r>
      <w:r w:rsidR="00746731">
        <w:t xml:space="preserve">H-2A </w:t>
      </w:r>
      <w:r w:rsidRPr="009364AB" w:rsidR="009364AB">
        <w:t xml:space="preserve">employers the </w:t>
      </w:r>
      <w:r w:rsidRPr="009364AB" w:rsidR="00C2203A">
        <w:t>minim</w:t>
      </w:r>
      <w:r w:rsidR="00C2203A">
        <w:t>ally required</w:t>
      </w:r>
      <w:r w:rsidRPr="009364AB" w:rsidR="00C2203A">
        <w:t xml:space="preserve"> </w:t>
      </w:r>
      <w:r w:rsidRPr="009364AB" w:rsidR="009364AB">
        <w:t xml:space="preserve">information to determine program eligibility and </w:t>
      </w:r>
      <w:r w:rsidR="00746731">
        <w:t xml:space="preserve">allow DOL to </w:t>
      </w:r>
      <w:r w:rsidRPr="009364AB" w:rsidR="009364AB">
        <w:t>issue a labor certification determination.</w:t>
      </w:r>
    </w:p>
    <w:p w:rsidRPr="00A3660B" w:rsidR="00EB546C" w:rsidP="00FE7151" w:rsidRDefault="00EB546C" w14:paraId="52440D48" w14:textId="77777777">
      <w:pPr>
        <w:autoSpaceDE w:val="0"/>
        <w:autoSpaceDN w:val="0"/>
        <w:adjustRightInd w:val="0"/>
      </w:pPr>
    </w:p>
    <w:p w:rsidRPr="002221A7" w:rsidR="00EA78D2" w:rsidP="00B27EE4" w:rsidRDefault="00985E73" w14:paraId="17BE520F" w14:textId="26C9BE08">
      <w:pPr>
        <w:tabs>
          <w:tab w:val="right" w:pos="360"/>
        </w:tabs>
        <w:autoSpaceDE w:val="0"/>
        <w:autoSpaceDN w:val="0"/>
        <w:adjustRightInd w:val="0"/>
        <w:rPr>
          <w:i/>
        </w:rPr>
      </w:pPr>
      <w:r>
        <w:rPr>
          <w:i/>
        </w:rPr>
        <w:t>A</w:t>
      </w:r>
      <w:r w:rsidRPr="002221A7" w:rsidR="00EA78D2">
        <w:rPr>
          <w:i/>
        </w:rPr>
        <w:t>6.</w:t>
      </w:r>
      <w:r w:rsidRPr="002221A7" w:rsidR="008A07F2">
        <w:rPr>
          <w:i/>
        </w:rPr>
        <w:tab/>
      </w:r>
      <w:r w:rsidR="004B101D">
        <w:rPr>
          <w:i/>
        </w:rPr>
        <w:t xml:space="preserve">  </w:t>
      </w:r>
      <w:r w:rsidRPr="002221A7" w:rsidR="00EA78D2">
        <w:rPr>
          <w:i/>
        </w:rPr>
        <w:t>Describe the consequence to Federal program or policy activities if the collection is not conducted or is conducted less frequently, as well as any technical or legal obstacles to reducing burden.</w:t>
      </w:r>
    </w:p>
    <w:p w:rsidR="00FE7151" w:rsidP="00FE7151" w:rsidRDefault="00FE7151" w14:paraId="7B5EC730" w14:textId="77777777">
      <w:pPr>
        <w:autoSpaceDE w:val="0"/>
        <w:autoSpaceDN w:val="0"/>
        <w:adjustRightInd w:val="0"/>
      </w:pPr>
    </w:p>
    <w:p w:rsidR="00C2203A" w:rsidP="00C2203A" w:rsidRDefault="00C2203A" w14:paraId="7E0C700C" w14:textId="7D514F3D">
      <w:pPr>
        <w:autoSpaceDE w:val="0"/>
        <w:autoSpaceDN w:val="0"/>
        <w:adjustRightInd w:val="0"/>
      </w:pPr>
      <w:r w:rsidRPr="00C2203A">
        <w:t xml:space="preserve">The information collected under this </w:t>
      </w:r>
      <w:r>
        <w:t>information collection</w:t>
      </w:r>
      <w:r w:rsidRPr="00C2203A">
        <w:t xml:space="preserve"> </w:t>
      </w:r>
      <w:r w:rsidR="00746731">
        <w:t>will need to be</w:t>
      </w:r>
      <w:r w:rsidRPr="00C2203A">
        <w:t xml:space="preserve"> provided at the time an employer needs to submit a job order to the SWA serving the area of intended employment (i.e., Form ETA-790/790A) and temporary labor certification to employ nonimmigrant workers under the H-2A visa classification.</w:t>
      </w:r>
    </w:p>
    <w:p w:rsidR="00C2203A" w:rsidP="00C2203A" w:rsidRDefault="00C2203A" w14:paraId="3E33870D" w14:textId="77777777">
      <w:pPr>
        <w:autoSpaceDE w:val="0"/>
        <w:autoSpaceDN w:val="0"/>
        <w:adjustRightInd w:val="0"/>
      </w:pPr>
    </w:p>
    <w:p w:rsidRPr="00C2203A" w:rsidR="00C2203A" w:rsidP="00C2203A" w:rsidRDefault="00C2203A" w14:paraId="59D0DFF4" w14:textId="06AF3EEF">
      <w:pPr>
        <w:autoSpaceDE w:val="0"/>
        <w:autoSpaceDN w:val="0"/>
        <w:adjustRightInd w:val="0"/>
      </w:pPr>
      <w:r w:rsidRPr="00C2203A">
        <w:t xml:space="preserve">The Department would be in direct violation of its statutory and regulatory mandates if this information was not collected.  The information must be collected to enable the Department to meet its obligation to determine whether an insufficient number of qualified U.S. workers are available to fill the employer’s job opportunity and the wages and working conditions of similarly employed workers </w:t>
      </w:r>
      <w:r w:rsidR="4C1859E5">
        <w:t xml:space="preserve">in the United States </w:t>
      </w:r>
      <w:r w:rsidRPr="00C2203A">
        <w:t xml:space="preserve">will not be adversely affected by the employment of H-2A workers.  Additionally, in the absence of this information collection, the Department would be unable to </w:t>
      </w:r>
      <w:r w:rsidR="00746731">
        <w:t xml:space="preserve">efficiently </w:t>
      </w:r>
      <w:r w:rsidRPr="00C2203A">
        <w:t>enforce the rights and obligations of workers and employers under the H-2A program.</w:t>
      </w:r>
    </w:p>
    <w:p w:rsidRPr="00CE3C52" w:rsidR="00EA78D2" w:rsidP="00EA78D2" w:rsidRDefault="00EA78D2" w14:paraId="3D2C7280" w14:textId="77777777">
      <w:pPr>
        <w:autoSpaceDE w:val="0"/>
        <w:autoSpaceDN w:val="0"/>
        <w:adjustRightInd w:val="0"/>
      </w:pPr>
    </w:p>
    <w:p w:rsidRPr="002221A7" w:rsidR="00EA78D2" w:rsidP="00B27EE4" w:rsidRDefault="00985E73" w14:paraId="6D3170B0" w14:textId="2BFD2377">
      <w:pPr>
        <w:tabs>
          <w:tab w:val="right" w:pos="360"/>
        </w:tabs>
        <w:autoSpaceDE w:val="0"/>
        <w:autoSpaceDN w:val="0"/>
        <w:adjustRightInd w:val="0"/>
        <w:rPr>
          <w:i/>
        </w:rPr>
      </w:pPr>
      <w:r>
        <w:rPr>
          <w:i/>
        </w:rPr>
        <w:t>A</w:t>
      </w:r>
      <w:r w:rsidRPr="002221A7" w:rsidR="00EA78D2">
        <w:rPr>
          <w:i/>
        </w:rPr>
        <w:t>7.</w:t>
      </w:r>
      <w:r w:rsidRPr="002221A7" w:rsidR="001A7B43">
        <w:rPr>
          <w:i/>
        </w:rPr>
        <w:tab/>
      </w:r>
      <w:r w:rsidR="004B101D">
        <w:rPr>
          <w:i/>
        </w:rPr>
        <w:t xml:space="preserve">  </w:t>
      </w:r>
      <w:r w:rsidRPr="002221A7" w:rsidR="00EA78D2">
        <w:rPr>
          <w:i/>
        </w:rPr>
        <w:t>Explain any special circumstances that would cause an information collecti</w:t>
      </w:r>
      <w:r w:rsidR="005B65E0">
        <w:rPr>
          <w:i/>
        </w:rPr>
        <w:t xml:space="preserve">on to be conducted in a manner </w:t>
      </w:r>
      <w:r w:rsidRPr="005B65E0" w:rsidR="005B65E0">
        <w:rPr>
          <w:i/>
        </w:rPr>
        <w:t>that requires further explanation pursuant to regulations 5 CFR 1320.5</w:t>
      </w:r>
      <w:r w:rsidR="005B65E0">
        <w:rPr>
          <w:i/>
        </w:rPr>
        <w:t>.</w:t>
      </w:r>
    </w:p>
    <w:p w:rsidR="00EA78D2" w:rsidP="00EA78D2" w:rsidRDefault="00EA78D2" w14:paraId="1CBD0820" w14:textId="77777777">
      <w:pPr>
        <w:autoSpaceDE w:val="0"/>
        <w:autoSpaceDN w:val="0"/>
        <w:adjustRightInd w:val="0"/>
      </w:pPr>
    </w:p>
    <w:p w:rsidRPr="006E0FAC" w:rsidR="00FE7151" w:rsidP="006E0FAC" w:rsidRDefault="00C2203A" w14:paraId="1AED7497" w14:textId="5CAECDFB">
      <w:r w:rsidRPr="00C2203A">
        <w:t xml:space="preserve">There are no special circumstances that would require the information to be collected or kept in a manner that requires further explanation pursuant to the regulations set forth at 5 </w:t>
      </w:r>
      <w:r w:rsidR="00C648CE">
        <w:t>CFR</w:t>
      </w:r>
      <w:r w:rsidRPr="00C2203A">
        <w:t xml:space="preserve"> 1320.5(d)(2)</w:t>
      </w:r>
      <w:r>
        <w:t xml:space="preserve">. </w:t>
      </w:r>
      <w:r w:rsidR="008C31CC">
        <w:t xml:space="preserve"> </w:t>
      </w:r>
      <w:r>
        <w:t>The</w:t>
      </w:r>
      <w:r w:rsidRPr="00FE7151" w:rsidR="00FE7151">
        <w:t xml:space="preserve"> Department’s regulations</w:t>
      </w:r>
      <w:r>
        <w:t>, however,</w:t>
      </w:r>
      <w:r w:rsidRPr="00FE7151" w:rsidR="00FE7151">
        <w:t xml:space="preserve"> require that employers retain applications for </w:t>
      </w:r>
      <w:r>
        <w:t>tem</w:t>
      </w:r>
      <w:r w:rsidRPr="006E0FAC">
        <w:t xml:space="preserve">porary </w:t>
      </w:r>
      <w:r w:rsidRPr="006E0FAC" w:rsidR="00FE7151">
        <w:t xml:space="preserve">employment certifications and all supporting documentation for </w:t>
      </w:r>
      <w:r w:rsidRPr="006E0FAC" w:rsidR="005F6E2A">
        <w:t xml:space="preserve">three </w:t>
      </w:r>
      <w:r w:rsidRPr="006E0FAC" w:rsidR="00FE7151">
        <w:t xml:space="preserve">years </w:t>
      </w:r>
      <w:r w:rsidRPr="006E0FAC" w:rsidR="005F6E2A">
        <w:t>from the date of certification (for approved applications) or date of determination if the application is denied or withdrawn</w:t>
      </w:r>
      <w:r w:rsidRPr="006E0FAC" w:rsidR="00FE7151">
        <w:t xml:space="preserve">.  </w:t>
      </w:r>
      <w:r w:rsidR="000C77F2">
        <w:rPr>
          <w:i/>
          <w:iCs/>
        </w:rPr>
        <w:t xml:space="preserve">See </w:t>
      </w:r>
      <w:r w:rsidRPr="006E0FAC" w:rsidR="00FE7151">
        <w:t>20 CFR 65</w:t>
      </w:r>
      <w:r w:rsidRPr="006E0FAC" w:rsidR="005F6E2A">
        <w:t>5.167(b)</w:t>
      </w:r>
      <w:r w:rsidR="001329C2">
        <w:t xml:space="preserve">.  </w:t>
      </w:r>
      <w:r w:rsidRPr="006E0FAC" w:rsidR="00FE7151">
        <w:t xml:space="preserve">The Department requires that employers </w:t>
      </w:r>
      <w:r w:rsidRPr="006E0FAC" w:rsidR="00AD26FF">
        <w:t xml:space="preserve">retain and </w:t>
      </w:r>
      <w:r w:rsidRPr="006E0FAC" w:rsidR="00FE7151">
        <w:t>maintain supporting documentation</w:t>
      </w:r>
      <w:r w:rsidR="004D0A14">
        <w:t>,</w:t>
      </w:r>
      <w:r w:rsidRPr="006E0FAC" w:rsidR="00FE7151">
        <w:t xml:space="preserve"> because </w:t>
      </w:r>
      <w:r w:rsidRPr="001329C2" w:rsidR="005F6E2A">
        <w:t>it is essential information in post-adjudication audit examinations and/or program integrity proceedings (e.g., revocation or debarment actio</w:t>
      </w:r>
      <w:r w:rsidRPr="001329C2" w:rsidR="006E0FAC">
        <w:t>n</w:t>
      </w:r>
      <w:r w:rsidRPr="001329C2" w:rsidR="005F6E2A">
        <w:t xml:space="preserve">s) and in the Department’s </w:t>
      </w:r>
      <w:r w:rsidR="008C31CC">
        <w:t>WHD</w:t>
      </w:r>
      <w:r w:rsidRPr="001329C2" w:rsidR="005F6E2A">
        <w:t xml:space="preserve"> investigations or enforcement proceedings.</w:t>
      </w:r>
    </w:p>
    <w:p w:rsidRPr="001329C2" w:rsidR="00EA78D2" w:rsidP="00EA78D2" w:rsidRDefault="00EA78D2" w14:paraId="229E8AD7" w14:textId="77777777">
      <w:pPr>
        <w:autoSpaceDE w:val="0"/>
        <w:autoSpaceDN w:val="0"/>
        <w:adjustRightInd w:val="0"/>
      </w:pPr>
    </w:p>
    <w:p w:rsidRPr="002221A7" w:rsidR="00EA78D2" w:rsidP="00B27EE4" w:rsidRDefault="00985E73" w14:paraId="3741269C" w14:textId="0C9B7427">
      <w:pPr>
        <w:tabs>
          <w:tab w:val="right" w:pos="360"/>
        </w:tabs>
        <w:autoSpaceDE w:val="0"/>
        <w:autoSpaceDN w:val="0"/>
        <w:adjustRightInd w:val="0"/>
        <w:rPr>
          <w:i/>
        </w:rPr>
      </w:pPr>
      <w:r>
        <w:rPr>
          <w:i/>
        </w:rPr>
        <w:t>A</w:t>
      </w:r>
      <w:r w:rsidRPr="002221A7" w:rsidR="00EA78D2">
        <w:rPr>
          <w:i/>
        </w:rPr>
        <w:t>8.</w:t>
      </w:r>
      <w:r w:rsidRPr="002221A7" w:rsidR="00DC5B18">
        <w:rPr>
          <w:i/>
        </w:rPr>
        <w:tab/>
      </w:r>
      <w:r w:rsidR="004B101D">
        <w:rPr>
          <w:i/>
        </w:rPr>
        <w:t xml:space="preserve">  </w:t>
      </w:r>
      <w:r w:rsidRPr="002221A7" w:rsidR="00EA78D2">
        <w:rPr>
          <w:i/>
        </w:rPr>
        <w:t xml:space="preserve">If applicable, provide a copy and identify the date and page number of </w:t>
      </w:r>
      <w:proofErr w:type="gramStart"/>
      <w:r w:rsidRPr="002221A7" w:rsidR="00EA78D2">
        <w:rPr>
          <w:i/>
        </w:rPr>
        <w:t>publication</w:t>
      </w:r>
      <w:proofErr w:type="gramEnd"/>
      <w:r w:rsidRPr="002221A7" w:rsidR="00EA78D2">
        <w:rPr>
          <w:i/>
        </w:rPr>
        <w:t xml:space="preserve"> in the Federal Register of the agency's notice, required by 5 CFR 1320.8(d), soliciting comments on </w:t>
      </w:r>
      <w:r w:rsidRPr="002221A7" w:rsidR="00EA78D2">
        <w:rPr>
          <w:i/>
        </w:rPr>
        <w:lastRenderedPageBreak/>
        <w:t xml:space="preserve">the information collection prior to submission to OMB. </w:t>
      </w:r>
      <w:r w:rsidR="001C050B">
        <w:rPr>
          <w:i/>
        </w:rPr>
        <w:t xml:space="preserve"> </w:t>
      </w:r>
      <w:r w:rsidRPr="002221A7" w:rsidR="00EA78D2">
        <w:rPr>
          <w:i/>
        </w:rPr>
        <w:t>Summarize public comments received in response to that notice and describe actions taken by the agency in response to these comments</w:t>
      </w:r>
      <w:r w:rsidRPr="002221A7" w:rsidR="00F25EFF">
        <w:rPr>
          <w:i/>
        </w:rPr>
        <w:t xml:space="preserve">.  </w:t>
      </w:r>
      <w:r w:rsidRPr="002221A7" w:rsidR="00EA78D2">
        <w:rPr>
          <w:i/>
        </w:rPr>
        <w:t>Specifically address comments received on cost and hour burden.</w:t>
      </w:r>
    </w:p>
    <w:p w:rsidR="004F6CEA" w:rsidP="00973CD5" w:rsidRDefault="004F6CEA" w14:paraId="5972F39B" w14:textId="77777777">
      <w:pPr>
        <w:autoSpaceDE w:val="0"/>
        <w:autoSpaceDN w:val="0"/>
        <w:adjustRightInd w:val="0"/>
        <w:ind w:left="540"/>
        <w:rPr>
          <w:i/>
        </w:rPr>
      </w:pPr>
    </w:p>
    <w:p w:rsidRPr="002221A7" w:rsidR="00EA78D2" w:rsidP="00973CD5" w:rsidRDefault="00EA78D2" w14:paraId="29F85F58" w14:textId="77777777">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rsidR="00904938" w:rsidP="00973CD5" w:rsidRDefault="00904938" w14:paraId="386E8B3C" w14:textId="77777777">
      <w:pPr>
        <w:autoSpaceDE w:val="0"/>
        <w:autoSpaceDN w:val="0"/>
        <w:adjustRightInd w:val="0"/>
        <w:ind w:left="540"/>
        <w:rPr>
          <w:i/>
        </w:rPr>
      </w:pPr>
    </w:p>
    <w:p w:rsidRPr="002221A7" w:rsidR="00EA78D2" w:rsidP="00973CD5" w:rsidRDefault="00EA78D2" w14:paraId="03E05597" w14:textId="77777777">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Pr="002221A7" w:rsidR="00DC5B18">
        <w:rPr>
          <w:i/>
        </w:rPr>
        <w:t xml:space="preserve"> </w:t>
      </w:r>
      <w:r w:rsidRPr="002221A7">
        <w:rPr>
          <w:i/>
        </w:rPr>
        <w:t xml:space="preserve">There may be circumstances that may preclude consultation in a specific situation. </w:t>
      </w:r>
      <w:r w:rsidRPr="002221A7" w:rsidR="00DC5B18">
        <w:rPr>
          <w:i/>
        </w:rPr>
        <w:t xml:space="preserve"> </w:t>
      </w:r>
      <w:r w:rsidRPr="002221A7">
        <w:rPr>
          <w:i/>
        </w:rPr>
        <w:t>These circumstances should be explained.</w:t>
      </w:r>
    </w:p>
    <w:p w:rsidR="00EA78D2" w:rsidP="00EA78D2" w:rsidRDefault="00EA78D2" w14:paraId="50403EB2" w14:textId="77777777">
      <w:pPr>
        <w:autoSpaceDE w:val="0"/>
        <w:autoSpaceDN w:val="0"/>
        <w:adjustRightInd w:val="0"/>
      </w:pPr>
    </w:p>
    <w:p w:rsidR="00A32C83" w:rsidP="00673715" w:rsidRDefault="00673715" w14:paraId="035469B9" w14:textId="22B34E3A">
      <w:pPr>
        <w:autoSpaceDE w:val="0"/>
        <w:autoSpaceDN w:val="0"/>
        <w:adjustRightInd w:val="0"/>
      </w:pPr>
      <w:r>
        <w:t>In accordance with the Paperwork Reduction Act</w:t>
      </w:r>
      <w:r w:rsidR="00A8082C">
        <w:t xml:space="preserve"> </w:t>
      </w:r>
      <w:r>
        <w:t>of 1995, the Department</w:t>
      </w:r>
      <w:r w:rsidR="00373444">
        <w:t xml:space="preserve"> solicited comments</w:t>
      </w:r>
      <w:r w:rsidR="00AC1B52">
        <w:t xml:space="preserve"> on this </w:t>
      </w:r>
      <w:r w:rsidR="00F766B3">
        <w:t xml:space="preserve">information </w:t>
      </w:r>
      <w:r w:rsidR="00AC1B52">
        <w:t>collection for</w:t>
      </w:r>
      <w:r>
        <w:t xml:space="preserve"> 60 </w:t>
      </w:r>
      <w:r w:rsidR="00277993">
        <w:t>days</w:t>
      </w:r>
      <w:r>
        <w:t xml:space="preserve">.  The Department </w:t>
      </w:r>
      <w:r w:rsidR="0040191F">
        <w:t xml:space="preserve">published </w:t>
      </w:r>
      <w:r w:rsidR="00EB1BE4">
        <w:t>the 60-day notice on March 10, 2022 (</w:t>
      </w:r>
      <w:r w:rsidR="002D2E06">
        <w:t xml:space="preserve">87 FR 13760), and the comment period expired on May 9, 2022. </w:t>
      </w:r>
      <w:r w:rsidR="00BB7437">
        <w:t xml:space="preserve"> </w:t>
      </w:r>
      <w:r w:rsidR="00733E7D">
        <w:t xml:space="preserve">The Department did not propose any substantive changes </w:t>
      </w:r>
      <w:r w:rsidR="00D3379F">
        <w:t>to the information collection in the 60-</w:t>
      </w:r>
      <w:r w:rsidR="00A14924">
        <w:t>d</w:t>
      </w:r>
      <w:r w:rsidR="00D3379F">
        <w:t>ay FRN</w:t>
      </w:r>
      <w:r w:rsidR="007B67EB">
        <w:t xml:space="preserve">. </w:t>
      </w:r>
      <w:r w:rsidR="00BB7437">
        <w:t xml:space="preserve"> </w:t>
      </w:r>
      <w:r w:rsidR="007B67EB">
        <w:t xml:space="preserve">Rather, </w:t>
      </w:r>
      <w:r w:rsidR="00AD68C1">
        <w:t>the Department</w:t>
      </w:r>
      <w:r w:rsidR="007B67EB">
        <w:t xml:space="preserve"> only </w:t>
      </w:r>
      <w:r w:rsidR="00970D9F">
        <w:t xml:space="preserve">proposed non-substantive </w:t>
      </w:r>
      <w:r w:rsidR="0046269D">
        <w:t>changes</w:t>
      </w:r>
      <w:r w:rsidR="00355919">
        <w:t>; specifically</w:t>
      </w:r>
      <w:r w:rsidR="00001286">
        <w:t>,</w:t>
      </w:r>
      <w:r w:rsidR="00355919">
        <w:t xml:space="preserve"> it notified the public</w:t>
      </w:r>
      <w:r w:rsidR="009902A0">
        <w:t xml:space="preserve"> that it</w:t>
      </w:r>
      <w:r w:rsidR="00D41D79">
        <w:t xml:space="preserve"> </w:t>
      </w:r>
      <w:r w:rsidR="00FE1053">
        <w:t>was proposing</w:t>
      </w:r>
      <w:r w:rsidR="0046269D">
        <w:t xml:space="preserve"> </w:t>
      </w:r>
      <w:r w:rsidR="006D47D6">
        <w:t>to update e-mail</w:t>
      </w:r>
      <w:r w:rsidR="00911049">
        <w:t xml:space="preserve">, mailing, and website address information, transferring </w:t>
      </w:r>
      <w:r w:rsidR="00131BED">
        <w:t xml:space="preserve">the burden statements from the </w:t>
      </w:r>
      <w:r w:rsidR="00AD7787">
        <w:t>form to the instructions</w:t>
      </w:r>
      <w:r w:rsidR="00295A8F">
        <w:t xml:space="preserve">, </w:t>
      </w:r>
      <w:r w:rsidR="00AC7C70">
        <w:t xml:space="preserve">and similar </w:t>
      </w:r>
      <w:r w:rsidR="001A612D">
        <w:t>non-substantive changes.</w:t>
      </w:r>
      <w:r w:rsidR="00BB7437">
        <w:t xml:space="preserve">  </w:t>
      </w:r>
      <w:r w:rsidR="00B46D09">
        <w:t xml:space="preserve">Therefore, any </w:t>
      </w:r>
      <w:r w:rsidR="005F63EA">
        <w:t xml:space="preserve">comments </w:t>
      </w:r>
      <w:r w:rsidR="00B4679C">
        <w:t>suggesting or proposing changes beyond that subject matter</w:t>
      </w:r>
      <w:r w:rsidR="0096382F">
        <w:t xml:space="preserve"> </w:t>
      </w:r>
      <w:r w:rsidR="00ED34CF">
        <w:t>are</w:t>
      </w:r>
      <w:r w:rsidR="007A1401">
        <w:t xml:space="preserve"> beyond the scope of the FRN.</w:t>
      </w:r>
    </w:p>
    <w:p w:rsidR="00A32C83" w:rsidP="00673715" w:rsidRDefault="00A32C83" w14:paraId="6318A17E" w14:textId="77777777">
      <w:pPr>
        <w:autoSpaceDE w:val="0"/>
        <w:autoSpaceDN w:val="0"/>
        <w:adjustRightInd w:val="0"/>
      </w:pPr>
    </w:p>
    <w:p w:rsidR="00AD76C5" w:rsidP="00673715" w:rsidRDefault="00010905" w14:paraId="22483CA6" w14:textId="5DF8ABA6">
      <w:pPr>
        <w:autoSpaceDE w:val="0"/>
        <w:autoSpaceDN w:val="0"/>
        <w:adjustRightInd w:val="0"/>
      </w:pPr>
      <w:r>
        <w:t>In response to the 60-day FRN, t</w:t>
      </w:r>
      <w:r w:rsidR="002D2E06">
        <w:t>he Department received three comments from the public.</w:t>
      </w:r>
      <w:r w:rsidR="00BB7437">
        <w:t xml:space="preserve">  </w:t>
      </w:r>
      <w:r w:rsidR="002D2E06">
        <w:t xml:space="preserve">All three comment submissions are out of scope for the Department’s consideration </w:t>
      </w:r>
      <w:r w:rsidR="009E7E6B">
        <w:t>as it relates to th</w:t>
      </w:r>
      <w:r w:rsidR="00806BE7">
        <w:t>e</w:t>
      </w:r>
      <w:r w:rsidR="002D2E06">
        <w:t xml:space="preserve"> form renewal proposal. </w:t>
      </w:r>
      <w:r w:rsidR="00BB7437">
        <w:t xml:space="preserve"> </w:t>
      </w:r>
      <w:r w:rsidR="00F2248F">
        <w:t>As it is required, t</w:t>
      </w:r>
      <w:r w:rsidR="002D2E06">
        <w:t xml:space="preserve">he </w:t>
      </w:r>
      <w:r w:rsidR="00717D14">
        <w:t>D</w:t>
      </w:r>
      <w:r w:rsidR="002D2E06">
        <w:t xml:space="preserve">epartment is issuing this 30-day FRN to </w:t>
      </w:r>
      <w:r w:rsidR="00F2248F">
        <w:t xml:space="preserve">allow the public an additional </w:t>
      </w:r>
      <w:r w:rsidR="00BF38C4">
        <w:t xml:space="preserve">30 days to submit comments to OMB </w:t>
      </w:r>
      <w:r w:rsidR="007E1514">
        <w:t xml:space="preserve">concerning the Department’s </w:t>
      </w:r>
      <w:r w:rsidR="00EB039C">
        <w:t xml:space="preserve">request </w:t>
      </w:r>
      <w:r w:rsidR="002D2E06">
        <w:t xml:space="preserve">to </w:t>
      </w:r>
      <w:r w:rsidR="00EB039C">
        <w:t xml:space="preserve">renew </w:t>
      </w:r>
      <w:r w:rsidR="002D2E06">
        <w:t xml:space="preserve">the information collection </w:t>
      </w:r>
      <w:r w:rsidR="00F162C3">
        <w:t xml:space="preserve">covered under OMB 1205-0466 </w:t>
      </w:r>
      <w:r w:rsidR="002D2E06">
        <w:t xml:space="preserve">and to prevent its expiration, which is </w:t>
      </w:r>
      <w:r w:rsidR="00B0320D">
        <w:t xml:space="preserve">how </w:t>
      </w:r>
      <w:r w:rsidR="002D2E06">
        <w:t xml:space="preserve">the </w:t>
      </w:r>
      <w:r w:rsidR="00E01655">
        <w:t>D</w:t>
      </w:r>
      <w:r w:rsidR="002D2E06">
        <w:t xml:space="preserve">epartment </w:t>
      </w:r>
      <w:r w:rsidR="00B0320D">
        <w:t>has</w:t>
      </w:r>
      <w:r w:rsidR="002D2E06">
        <w:t xml:space="preserve"> decided </w:t>
      </w:r>
      <w:r w:rsidR="00B0320D">
        <w:t xml:space="preserve">to proceed </w:t>
      </w:r>
      <w:proofErr w:type="gramStart"/>
      <w:r w:rsidR="00B0320D">
        <w:t>at the moment</w:t>
      </w:r>
      <w:proofErr w:type="gramEnd"/>
      <w:r w:rsidR="00BF68CF">
        <w:t>.</w:t>
      </w:r>
      <w:r w:rsidR="009C16CC">
        <w:t xml:space="preserve"> </w:t>
      </w:r>
      <w:r w:rsidR="00BB7437">
        <w:t xml:space="preserve"> </w:t>
      </w:r>
    </w:p>
    <w:p w:rsidR="00AD76C5" w:rsidP="00673715" w:rsidRDefault="00AD76C5" w14:paraId="13F5F029" w14:textId="77777777">
      <w:pPr>
        <w:autoSpaceDE w:val="0"/>
        <w:autoSpaceDN w:val="0"/>
        <w:adjustRightInd w:val="0"/>
      </w:pPr>
    </w:p>
    <w:p w:rsidR="00673715" w:rsidP="00673715" w:rsidRDefault="003823B5" w14:paraId="4BB21F62" w14:textId="7CB305E8">
      <w:pPr>
        <w:autoSpaceDE w:val="0"/>
        <w:autoSpaceDN w:val="0"/>
        <w:adjustRightInd w:val="0"/>
      </w:pPr>
      <w:r>
        <w:t>Of note, t</w:t>
      </w:r>
      <w:r w:rsidR="009C16CC">
        <w:t xml:space="preserve">he Department </w:t>
      </w:r>
      <w:r w:rsidR="00FD6CFD">
        <w:t xml:space="preserve">is </w:t>
      </w:r>
      <w:r w:rsidR="009C16CC">
        <w:t xml:space="preserve">still </w:t>
      </w:r>
      <w:r w:rsidR="00631DEC">
        <w:t xml:space="preserve">considering </w:t>
      </w:r>
      <w:r w:rsidR="004463F7">
        <w:t xml:space="preserve">changes </w:t>
      </w:r>
      <w:r w:rsidR="00612318">
        <w:t>to the information collection</w:t>
      </w:r>
      <w:r w:rsidR="003D6EA3">
        <w:t xml:space="preserve"> in association with </w:t>
      </w:r>
      <w:r w:rsidR="009D3EEA">
        <w:t>its</w:t>
      </w:r>
      <w:r w:rsidR="003D6EA3">
        <w:t xml:space="preserve"> </w:t>
      </w:r>
      <w:r w:rsidR="007765A4">
        <w:t xml:space="preserve">2019 H-2A </w:t>
      </w:r>
      <w:r w:rsidR="006C0B5B">
        <w:t>Notice of Proposed Rule</w:t>
      </w:r>
      <w:r w:rsidR="00415747">
        <w:t>m</w:t>
      </w:r>
      <w:r w:rsidR="006C0B5B">
        <w:t>aking</w:t>
      </w:r>
      <w:r w:rsidR="00693141">
        <w:t>.</w:t>
      </w:r>
      <w:r w:rsidRPr="000B7A8E" w:rsidR="0060546E">
        <w:rPr>
          <w:rStyle w:val="FootnoteReference"/>
          <w:vertAlign w:val="superscript"/>
        </w:rPr>
        <w:footnoteReference w:id="3"/>
      </w:r>
      <w:r w:rsidR="006C52FF">
        <w:t xml:space="preserve"> </w:t>
      </w:r>
      <w:r w:rsidR="005C5B23">
        <w:t xml:space="preserve"> </w:t>
      </w:r>
      <w:r w:rsidR="006C52FF">
        <w:t xml:space="preserve">Any </w:t>
      </w:r>
      <w:r w:rsidR="006F0DA5">
        <w:t xml:space="preserve">changes to </w:t>
      </w:r>
      <w:r w:rsidR="005E6AFB">
        <w:t>the forms, appendices, instruction, etc</w:t>
      </w:r>
      <w:r w:rsidR="00D64115">
        <w:t>., associated with that rulemaking</w:t>
      </w:r>
      <w:r w:rsidR="004E500D">
        <w:t xml:space="preserve"> will be addressed </w:t>
      </w:r>
      <w:r w:rsidR="00723F48">
        <w:t xml:space="preserve">separately and the public will be notified </w:t>
      </w:r>
      <w:r w:rsidR="004E500D">
        <w:t xml:space="preserve">through </w:t>
      </w:r>
      <w:r w:rsidR="00AF663A">
        <w:t xml:space="preserve">a </w:t>
      </w:r>
      <w:r w:rsidR="009819F1">
        <w:t>notice</w:t>
      </w:r>
      <w:r w:rsidR="00CE66BE">
        <w:t xml:space="preserve"> or final rule</w:t>
      </w:r>
      <w:r w:rsidR="00A32C83">
        <w:t>.</w:t>
      </w:r>
    </w:p>
    <w:p w:rsidRPr="00CE3C52" w:rsidR="00565BC7" w:rsidP="00EA78D2" w:rsidRDefault="00565BC7" w14:paraId="51BBEFDF" w14:textId="77777777">
      <w:pPr>
        <w:autoSpaceDE w:val="0"/>
        <w:autoSpaceDN w:val="0"/>
        <w:adjustRightInd w:val="0"/>
      </w:pPr>
    </w:p>
    <w:p w:rsidRPr="008F4D44" w:rsidR="00EA78D2" w:rsidP="0081356D" w:rsidRDefault="00985E73" w14:paraId="31EE2B09" w14:textId="4F7081BC">
      <w:pPr>
        <w:tabs>
          <w:tab w:val="right" w:pos="360"/>
        </w:tabs>
        <w:autoSpaceDE w:val="0"/>
        <w:autoSpaceDN w:val="0"/>
        <w:adjustRightInd w:val="0"/>
        <w:rPr>
          <w:i/>
        </w:rPr>
      </w:pPr>
      <w:r>
        <w:rPr>
          <w:i/>
        </w:rPr>
        <w:t>A</w:t>
      </w:r>
      <w:r w:rsidRPr="008F4D44" w:rsidR="00EA78D2">
        <w:rPr>
          <w:i/>
        </w:rPr>
        <w:t>9.</w:t>
      </w:r>
      <w:r w:rsidRPr="008F4D44" w:rsidR="00F52F68">
        <w:rPr>
          <w:i/>
        </w:rPr>
        <w:tab/>
      </w:r>
      <w:r w:rsidR="00381DD9">
        <w:rPr>
          <w:i/>
        </w:rPr>
        <w:t xml:space="preserve">  </w:t>
      </w:r>
      <w:r w:rsidRPr="008F4D44" w:rsidR="00EA78D2">
        <w:rPr>
          <w:i/>
        </w:rPr>
        <w:t>Explain any decision to provide any payment or gift to respondents, other than remuneration of contractors or grantees.</w:t>
      </w:r>
    </w:p>
    <w:p w:rsidR="00EA78D2" w:rsidP="00EA78D2" w:rsidRDefault="00EA78D2" w14:paraId="18F5B6C3" w14:textId="77777777">
      <w:pPr>
        <w:autoSpaceDE w:val="0"/>
        <w:autoSpaceDN w:val="0"/>
        <w:adjustRightInd w:val="0"/>
      </w:pPr>
    </w:p>
    <w:p w:rsidRPr="006B6C3D" w:rsidR="006B6C3D" w:rsidP="006B6C3D" w:rsidRDefault="006B6C3D" w14:paraId="25711D0D" w14:textId="00D77364">
      <w:pPr>
        <w:autoSpaceDE w:val="0"/>
        <w:autoSpaceDN w:val="0"/>
        <w:adjustRightInd w:val="0"/>
      </w:pPr>
      <w:r w:rsidRPr="006B6C3D">
        <w:t>No payments or gifts will be made to respondents in exchange for the information provided in response to this information collection.</w:t>
      </w:r>
    </w:p>
    <w:p w:rsidRPr="00CE3C52" w:rsidR="00F52F68" w:rsidP="00EA78D2" w:rsidRDefault="00F52F68" w14:paraId="7F7436C3" w14:textId="77777777">
      <w:pPr>
        <w:autoSpaceDE w:val="0"/>
        <w:autoSpaceDN w:val="0"/>
        <w:adjustRightInd w:val="0"/>
      </w:pPr>
    </w:p>
    <w:p w:rsidRPr="008F4D44" w:rsidR="00EA78D2" w:rsidP="0081356D" w:rsidRDefault="00F52F68" w14:paraId="2865DC24" w14:textId="3ECE379C">
      <w:pPr>
        <w:tabs>
          <w:tab w:val="right" w:pos="360"/>
        </w:tabs>
        <w:autoSpaceDE w:val="0"/>
        <w:autoSpaceDN w:val="0"/>
        <w:adjustRightInd w:val="0"/>
        <w:rPr>
          <w:i/>
        </w:rPr>
      </w:pPr>
      <w:r w:rsidRPr="008F4D44">
        <w:rPr>
          <w:i/>
        </w:rPr>
        <w:tab/>
      </w:r>
      <w:r w:rsidR="00985E73">
        <w:rPr>
          <w:i/>
        </w:rPr>
        <w:t>A</w:t>
      </w:r>
      <w:r w:rsidRPr="008F4D44" w:rsidR="00EA78D2">
        <w:rPr>
          <w:i/>
        </w:rPr>
        <w:t>10.</w:t>
      </w:r>
      <w:r w:rsidR="00381DD9">
        <w:rPr>
          <w:i/>
        </w:rPr>
        <w:t xml:space="preserve">  </w:t>
      </w:r>
      <w:r w:rsidRPr="008F4D44" w:rsidR="00EA78D2">
        <w:rPr>
          <w:i/>
        </w:rPr>
        <w:t>Describe any assurance of confidentiality provided to respondents and the basis for the assurance in statute, regulation, or agency policy.</w:t>
      </w:r>
    </w:p>
    <w:p w:rsidR="00EA78D2" w:rsidP="00EA78D2" w:rsidRDefault="00EA78D2" w14:paraId="66BB09F2" w14:textId="77777777">
      <w:pPr>
        <w:autoSpaceDE w:val="0"/>
        <w:autoSpaceDN w:val="0"/>
        <w:adjustRightInd w:val="0"/>
      </w:pPr>
    </w:p>
    <w:p w:rsidRPr="006B6C3D" w:rsidR="006B6C3D" w:rsidP="006B6C3D" w:rsidRDefault="006B6C3D" w14:paraId="307983F3" w14:textId="08383105">
      <w:pPr>
        <w:autoSpaceDE w:val="0"/>
        <w:autoSpaceDN w:val="0"/>
        <w:adjustRightInd w:val="0"/>
      </w:pPr>
      <w:r w:rsidRPr="006B6C3D">
        <w:t>The documents provided are subject to the provisions of the Freedom of Information Act</w:t>
      </w:r>
      <w:r w:rsidR="00C81AB0">
        <w:t xml:space="preserve"> (FOIA)</w:t>
      </w:r>
      <w:r w:rsidRPr="006B6C3D">
        <w:t xml:space="preserve"> and</w:t>
      </w:r>
      <w:r w:rsidR="005D198A">
        <w:t>,</w:t>
      </w:r>
      <w:r w:rsidRPr="006B6C3D">
        <w:t xml:space="preserve"> if requested, could be disclosed under that statute if not found to be exempt from disclosure under one of the nine FOIA exemptions.</w:t>
      </w:r>
    </w:p>
    <w:p w:rsidRPr="006B6C3D" w:rsidR="006B6C3D" w:rsidP="006B6C3D" w:rsidRDefault="006B6C3D" w14:paraId="40C7BE7E" w14:textId="77777777">
      <w:pPr>
        <w:autoSpaceDE w:val="0"/>
        <w:autoSpaceDN w:val="0"/>
        <w:adjustRightInd w:val="0"/>
      </w:pPr>
    </w:p>
    <w:p w:rsidR="006B6C3D" w:rsidP="00C00EDE" w:rsidRDefault="006B6C3D" w14:paraId="49E3D0F9" w14:textId="6EBD3C05">
      <w:pPr>
        <w:autoSpaceDE w:val="0"/>
        <w:autoSpaceDN w:val="0"/>
        <w:adjustRightInd w:val="0"/>
      </w:pPr>
      <w:r w:rsidRPr="006B6C3D">
        <w:t>In accordance with the Privacy Act of 1974, as amended (5 U.S.C.</w:t>
      </w:r>
      <w:r w:rsidR="00C648CE">
        <w:t xml:space="preserve"> </w:t>
      </w:r>
      <w:r w:rsidRPr="006B6C3D">
        <w:t>552a), the information provided is protected under the Privacy Act.</w:t>
      </w:r>
    </w:p>
    <w:p w:rsidR="00C00EDE" w:rsidP="00C00EDE" w:rsidRDefault="00C00EDE" w14:paraId="43D4BB32" w14:textId="77777777">
      <w:pPr>
        <w:autoSpaceDE w:val="0"/>
        <w:autoSpaceDN w:val="0"/>
        <w:adjustRightInd w:val="0"/>
      </w:pPr>
    </w:p>
    <w:p w:rsidRPr="002F195D" w:rsidR="00C00EDE" w:rsidP="00C00EDE" w:rsidRDefault="00D5246A" w14:paraId="531E45BA" w14:textId="524D64BA">
      <w:pPr>
        <w:pStyle w:val="NormalWeb"/>
        <w:spacing w:before="0" w:beforeAutospacing="0" w:after="0" w:afterAutospacing="0"/>
        <w:rPr>
          <w:shd w:val="clear" w:color="auto" w:fill="FFFFFF"/>
        </w:rPr>
      </w:pPr>
      <w:r w:rsidRPr="00D5246A">
        <w:t xml:space="preserve">The collection of data and information under this ICR are incorporated into the Department’s System of Records Notice Foreign Labor Certification System and Employer Application Case Files, DOL/ETA-7.  </w:t>
      </w:r>
      <w:r w:rsidRPr="000B7A8E">
        <w:rPr>
          <w:i/>
        </w:rPr>
        <w:t>See</w:t>
      </w:r>
      <w:r w:rsidRPr="00D5246A">
        <w:t xml:space="preserve"> 87 FR 8292.  </w:t>
      </w:r>
      <w:r w:rsidRPr="002F195D" w:rsidR="00C00EDE">
        <w:t xml:space="preserve">The categories of records in this collection include information </w:t>
      </w:r>
      <w:r w:rsidRPr="002F195D" w:rsidR="004D0A14">
        <w:rPr>
          <w:shd w:val="clear" w:color="auto" w:fill="FFFFFF"/>
        </w:rPr>
        <w:t>on employers and their authorized attorneys and agents</w:t>
      </w:r>
      <w:r w:rsidR="004D0A14">
        <w:rPr>
          <w:shd w:val="clear" w:color="auto" w:fill="FFFFFF"/>
        </w:rPr>
        <w:t>,</w:t>
      </w:r>
      <w:r w:rsidRPr="002F195D" w:rsidR="004D0A14">
        <w:t xml:space="preserve"> </w:t>
      </w:r>
      <w:r w:rsidRPr="002F195D" w:rsidR="00C00EDE">
        <w:t xml:space="preserve">such as the </w:t>
      </w:r>
      <w:r w:rsidRPr="002F195D" w:rsidR="00C00EDE">
        <w:rPr>
          <w:shd w:val="clear" w:color="auto" w:fill="FFFFFF"/>
        </w:rPr>
        <w:t xml:space="preserve">names, addresses, and types of businesses; material terms and conditions of employment to be offered to unknown numbers of U.S. and nonimmigrant workers; and all obligations and assurances related to an employer being granted temporary labor certification by the Department.  </w:t>
      </w:r>
      <w:r w:rsidRPr="002F195D" w:rsidR="00C00EDE">
        <w:t>The laws authorizing this program and collection of information provide for compliance with the Privacy Act in all its aspects.</w:t>
      </w:r>
    </w:p>
    <w:p w:rsidRPr="002F195D" w:rsidR="00C00EDE" w:rsidP="00C00EDE" w:rsidRDefault="00C00EDE" w14:paraId="4B65E53C" w14:textId="77777777">
      <w:pPr>
        <w:pStyle w:val="NormalWeb"/>
        <w:spacing w:before="0" w:beforeAutospacing="0" w:after="0" w:afterAutospacing="0"/>
      </w:pPr>
    </w:p>
    <w:p w:rsidR="00F53211" w:rsidP="00F53211" w:rsidRDefault="00F53211" w14:paraId="1F180185" w14:textId="6CB4764A">
      <w:pPr>
        <w:autoSpaceDE w:val="0"/>
        <w:autoSpaceDN w:val="0"/>
        <w:adjustRightInd w:val="0"/>
      </w:pPr>
      <w:r w:rsidRPr="006B6C3D">
        <w:t>Under routine uses for this system of records, case files developed in processing labor certification applications, labor condition applications, or labor attestations may be released as follows: in connection with appeals of denials before DOL Office of Administrative Law Judges and Federal courts, records may be released to the employers that filed such applications, their representatives, to named foreign workers or t</w:t>
      </w:r>
      <w:r w:rsidR="008C31CC">
        <w:t>heir representatives, and to</w:t>
      </w:r>
      <w:r w:rsidRPr="006B6C3D">
        <w:t xml:space="preserve"> DOL Office of Administrative Law Judges and Federal courts; and in connection with adminis</w:t>
      </w:r>
      <w:r w:rsidR="00A37F48">
        <w:t>tration</w:t>
      </w:r>
      <w:r w:rsidRPr="006B6C3D">
        <w:t xml:space="preserve"> and enforc</w:t>
      </w:r>
      <w:r w:rsidR="00A37F48">
        <w:t>ement of</w:t>
      </w:r>
      <w:r w:rsidRPr="006B6C3D">
        <w:t xml:space="preserve"> immigration laws and regulations, records may be released to such agencies as the DOL Office of Inspector General, </w:t>
      </w:r>
      <w:r>
        <w:t xml:space="preserve">Department of Justice, DOL </w:t>
      </w:r>
      <w:r w:rsidR="008C31CC">
        <w:t>WHD</w:t>
      </w:r>
      <w:r w:rsidRPr="006B6C3D">
        <w:t>, D</w:t>
      </w:r>
      <w:r>
        <w:t>HS</w:t>
      </w:r>
      <w:r w:rsidRPr="006B6C3D">
        <w:t>, and the Department of State</w:t>
      </w:r>
      <w:r>
        <w:t>.</w:t>
      </w:r>
    </w:p>
    <w:p w:rsidRPr="00CE3C52" w:rsidR="00EA78D2" w:rsidP="0081356D" w:rsidRDefault="00EA78D2" w14:paraId="328F603E" w14:textId="77777777">
      <w:pPr>
        <w:autoSpaceDE w:val="0"/>
        <w:autoSpaceDN w:val="0"/>
        <w:adjustRightInd w:val="0"/>
      </w:pPr>
    </w:p>
    <w:p w:rsidRPr="008F4D44" w:rsidR="00EA78D2" w:rsidP="0081356D" w:rsidRDefault="00973CD5" w14:paraId="416BFBAC" w14:textId="590D4EA8">
      <w:pPr>
        <w:tabs>
          <w:tab w:val="right" w:pos="360"/>
        </w:tabs>
        <w:autoSpaceDE w:val="0"/>
        <w:autoSpaceDN w:val="0"/>
        <w:adjustRightInd w:val="0"/>
        <w:rPr>
          <w:i/>
        </w:rPr>
      </w:pPr>
      <w:r w:rsidRPr="008F4D44">
        <w:rPr>
          <w:i/>
        </w:rPr>
        <w:tab/>
      </w:r>
      <w:r w:rsidR="00985E73">
        <w:rPr>
          <w:i/>
        </w:rPr>
        <w:t>A</w:t>
      </w:r>
      <w:r w:rsidRPr="008F4D44" w:rsidR="00EA78D2">
        <w:rPr>
          <w:i/>
        </w:rPr>
        <w:t>11.</w:t>
      </w:r>
      <w:r w:rsidR="00272038">
        <w:rPr>
          <w:i/>
        </w:rPr>
        <w:t xml:space="preserve">  </w:t>
      </w:r>
      <w:r w:rsidRPr="008F4D44" w:rsidR="00EA78D2">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Pr="008F4D44" w:rsidR="00EA78D2">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P="00EA78D2" w:rsidRDefault="00EA78D2" w14:paraId="66A2C475" w14:textId="77777777">
      <w:pPr>
        <w:autoSpaceDE w:val="0"/>
        <w:autoSpaceDN w:val="0"/>
        <w:adjustRightInd w:val="0"/>
      </w:pPr>
    </w:p>
    <w:p w:rsidRPr="006B6C3D" w:rsidR="006B6C3D" w:rsidP="006B6C3D" w:rsidRDefault="006B6C3D" w14:paraId="0D57A794" w14:textId="6472626C">
      <w:pPr>
        <w:autoSpaceDE w:val="0"/>
        <w:autoSpaceDN w:val="0"/>
        <w:adjustRightInd w:val="0"/>
      </w:pPr>
      <w:r w:rsidRPr="006B6C3D">
        <w:t xml:space="preserve">The information collections </w:t>
      </w:r>
      <w:r w:rsidR="00740738">
        <w:t xml:space="preserve">covered under </w:t>
      </w:r>
      <w:r w:rsidRPr="006B6C3D">
        <w:t>do not involve sensitive matters.</w:t>
      </w:r>
    </w:p>
    <w:p w:rsidRPr="00CE3C52" w:rsidR="00EA78D2" w:rsidP="00EA78D2" w:rsidRDefault="00EA78D2" w14:paraId="76C4A1E5" w14:textId="77777777">
      <w:pPr>
        <w:autoSpaceDE w:val="0"/>
        <w:autoSpaceDN w:val="0"/>
        <w:adjustRightInd w:val="0"/>
      </w:pPr>
    </w:p>
    <w:p w:rsidRPr="008F4D44" w:rsidR="00EA78D2" w:rsidP="0081356D" w:rsidRDefault="00996590" w14:paraId="7083B2D1" w14:textId="073413EC">
      <w:pPr>
        <w:tabs>
          <w:tab w:val="right" w:pos="360"/>
        </w:tabs>
        <w:autoSpaceDE w:val="0"/>
        <w:autoSpaceDN w:val="0"/>
        <w:adjustRightInd w:val="0"/>
        <w:rPr>
          <w:i/>
        </w:rPr>
      </w:pPr>
      <w:r w:rsidRPr="008F4D44">
        <w:rPr>
          <w:i/>
        </w:rPr>
        <w:tab/>
      </w:r>
      <w:r w:rsidRPr="00D20D35" w:rsidR="00985E73">
        <w:rPr>
          <w:i/>
        </w:rPr>
        <w:t>A</w:t>
      </w:r>
      <w:r w:rsidRPr="00D20D35" w:rsidR="00EA78D2">
        <w:rPr>
          <w:i/>
        </w:rPr>
        <w:t>12.</w:t>
      </w:r>
      <w:r w:rsidR="00272038">
        <w:rPr>
          <w:i/>
        </w:rPr>
        <w:t xml:space="preserve">  </w:t>
      </w:r>
      <w:r w:rsidRPr="00D20D35" w:rsidR="00EA78D2">
        <w:rPr>
          <w:i/>
        </w:rPr>
        <w:t>Provide estimates of the hour burden of the collection of information</w:t>
      </w:r>
      <w:r w:rsidRPr="008F4D44" w:rsidR="00EA78D2">
        <w:rPr>
          <w:i/>
        </w:rPr>
        <w:t>.</w:t>
      </w:r>
    </w:p>
    <w:p w:rsidR="00EA78D2" w:rsidP="00EA78D2" w:rsidRDefault="00EA78D2" w14:paraId="076FFA09" w14:textId="77777777">
      <w:pPr>
        <w:autoSpaceDE w:val="0"/>
        <w:autoSpaceDN w:val="0"/>
        <w:adjustRightInd w:val="0"/>
      </w:pPr>
    </w:p>
    <w:p w:rsidRPr="006B6C3D" w:rsidR="006B6C3D" w:rsidP="006B6C3D" w:rsidRDefault="00AA48B7" w14:paraId="6DD7D35B" w14:textId="1336B1B0">
      <w:pPr>
        <w:autoSpaceDE w:val="0"/>
        <w:autoSpaceDN w:val="0"/>
        <w:adjustRightInd w:val="0"/>
      </w:pPr>
      <w:r>
        <w:t>The Department is adjusting</w:t>
      </w:r>
      <w:r w:rsidRPr="006B6C3D" w:rsidR="006B6C3D">
        <w:t xml:space="preserve"> the hourly burden estimates for this information collection</w:t>
      </w:r>
      <w:r w:rsidR="00DA5765">
        <w:t xml:space="preserve"> due to its updated reporting estimates for </w:t>
      </w:r>
      <w:r w:rsidR="00740738">
        <w:t xml:space="preserve">the estimated </w:t>
      </w:r>
      <w:r w:rsidR="00DA5765">
        <w:t xml:space="preserve">number of respondents and a general improvement of the methodology for estimating the time burden hours associated with </w:t>
      </w:r>
      <w:r w:rsidR="008A7DFC">
        <w:t>collection tools covered under OMB Control N</w:t>
      </w:r>
      <w:r w:rsidR="000E2474">
        <w:t>o.</w:t>
      </w:r>
      <w:r w:rsidR="008A7DFC">
        <w:t xml:space="preserve"> 1205-0466</w:t>
      </w:r>
      <w:r w:rsidRPr="006B6C3D" w:rsidR="006B6C3D">
        <w:t>.</w:t>
      </w:r>
    </w:p>
    <w:p w:rsidR="00EA7B50" w:rsidP="00C00EDE" w:rsidRDefault="00EA7B50" w14:paraId="0BD42AB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00EDE" w:rsidR="00C00EDE" w:rsidP="0DE1A6F4" w:rsidRDefault="00C00EDE" w14:paraId="6577949B" w14:textId="0B1FED1C">
      <w:pPr>
        <w:tabs>
          <w:tab w:val="left" w:pos="1440"/>
          <w:tab w:val="left" w:pos="2160"/>
          <w:tab w:val="left" w:pos="2880"/>
          <w:tab w:val="left" w:pos="3600"/>
          <w:tab w:val="left" w:pos="4320"/>
          <w:tab w:val="left" w:pos="5040"/>
          <w:tab w:val="left" w:pos="5760"/>
          <w:tab w:val="left" w:pos="6480"/>
          <w:tab w:val="left" w:pos="7200"/>
          <w:tab w:val="left" w:pos="7920"/>
          <w:tab w:val="left" w:pos="8640"/>
        </w:tabs>
      </w:pPr>
      <w:r w:rsidRPr="00C00EDE">
        <w:lastRenderedPageBreak/>
        <w:t xml:space="preserve">Based on </w:t>
      </w:r>
      <w:r w:rsidR="008A7DFC">
        <w:t>recent</w:t>
      </w:r>
      <w:r w:rsidRPr="00C00EDE" w:rsidR="008A7DFC">
        <w:t xml:space="preserve"> </w:t>
      </w:r>
      <w:r w:rsidRPr="00C00EDE">
        <w:t>program experience, the Department estimates it will receive</w:t>
      </w:r>
      <w:r w:rsidR="008A7DFC">
        <w:t>, on average,</w:t>
      </w:r>
      <w:r w:rsidRPr="00C00EDE">
        <w:t xml:space="preserve"> approximately </w:t>
      </w:r>
      <w:r w:rsidR="004F0717">
        <w:t>14,586</w:t>
      </w:r>
      <w:r w:rsidRPr="00A8624D" w:rsidR="00A8624D">
        <w:t xml:space="preserve"> </w:t>
      </w:r>
      <w:r w:rsidRPr="00C00EDE" w:rsidR="00A8624D">
        <w:t>Form ETA-9142A submissions and 14,586 Form ETA-790/790A submissions for the H-2A program</w:t>
      </w:r>
      <w:r w:rsidR="00A8624D">
        <w:t>.</w:t>
      </w:r>
      <w:r w:rsidRPr="00C00EDE">
        <w:rPr>
          <w:vertAlign w:val="superscript"/>
        </w:rPr>
        <w:footnoteReference w:id="4"/>
      </w:r>
      <w:r w:rsidRPr="00D20D35">
        <w:t xml:space="preserve"> </w:t>
      </w:r>
      <w:r w:rsidRPr="00C00EDE">
        <w:t xml:space="preserve"> All actions associated with the collection vary depending on nature and complexity of the employer’s job opportunity and need for temporary nonimmigrant workers</w:t>
      </w:r>
      <w:r w:rsidR="00BB138F">
        <w:t>, as well as the employer’s familiarity with the program</w:t>
      </w:r>
      <w:r w:rsidRPr="00C00EDE">
        <w:t xml:space="preserve">.  The estimated reporting burden </w:t>
      </w:r>
      <w:r w:rsidR="003C05B0">
        <w:t>is calculated using</w:t>
      </w:r>
      <w:r w:rsidRPr="00C00EDE">
        <w:t xml:space="preserve"> </w:t>
      </w:r>
      <w:r w:rsidR="003C05B0">
        <w:t>the number of expected responses to each element and the estimated time to complete each element</w:t>
      </w:r>
      <w:r w:rsidRPr="00C00EDE">
        <w:t xml:space="preserve">. </w:t>
      </w:r>
      <w:r w:rsidR="008C31CC">
        <w:t xml:space="preserve"> </w:t>
      </w:r>
      <w:r w:rsidR="004E7E4A">
        <w:t xml:space="preserve">Please see the </w:t>
      </w:r>
      <w:r w:rsidR="00865E4D">
        <w:t>Supporting Statement,</w:t>
      </w:r>
      <w:r w:rsidR="004E7E4A">
        <w:t xml:space="preserve"> Appendix</w:t>
      </w:r>
      <w:r w:rsidR="00865E4D">
        <w:t>,</w:t>
      </w:r>
      <w:r w:rsidR="004E7E4A">
        <w:t xml:space="preserve"> for a detailed breakdown of time reporting burden estimates.</w:t>
      </w:r>
    </w:p>
    <w:p w:rsidRPr="00C00EDE" w:rsidR="00C00EDE" w:rsidP="00C00EDE" w:rsidRDefault="00C00EDE" w14:paraId="378CEE41" w14:textId="6EC819A2">
      <w:pPr>
        <w:tabs>
          <w:tab w:val="left" w:pos="-1440"/>
        </w:tabs>
      </w:pPr>
    </w:p>
    <w:p w:rsidRPr="001329C2" w:rsidR="00C00EDE" w:rsidP="00815607" w:rsidRDefault="00C00EDE" w14:paraId="349CF554" w14:textId="77777777">
      <w:pPr>
        <w:rPr>
          <w:b/>
        </w:rPr>
      </w:pPr>
      <w:r w:rsidRPr="001329C2">
        <w:rPr>
          <w:b/>
        </w:rPr>
        <w:t>Total Annual Burden Hours for the H-2A Information Collection:</w:t>
      </w:r>
    </w:p>
    <w:p w:rsidRPr="00C00EDE" w:rsidR="008A7DFC" w:rsidP="001329C2" w:rsidRDefault="008A7DFC" w14:paraId="047C5676" w14:textId="77777777">
      <w:pPr>
        <w:ind w:left="720"/>
        <w:jc w:val="cente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1530"/>
      </w:tblGrid>
      <w:tr w:rsidRPr="00FD1606" w:rsidR="008A7DFC" w:rsidTr="222FE1AD" w14:paraId="37271196" w14:textId="77777777">
        <w:tc>
          <w:tcPr>
            <w:tcW w:w="2340" w:type="dxa"/>
            <w:shd w:val="clear" w:color="auto" w:fill="auto"/>
          </w:tcPr>
          <w:p w:rsidRPr="00FD1606" w:rsidR="008A7DFC" w:rsidP="003214DF" w:rsidRDefault="008A7DFC" w14:paraId="310D9029" w14:textId="77777777">
            <w:r w:rsidRPr="00FD1606">
              <w:t>Total Burden Hours</w:t>
            </w:r>
          </w:p>
        </w:tc>
        <w:tc>
          <w:tcPr>
            <w:tcW w:w="1530" w:type="dxa"/>
            <w:shd w:val="clear" w:color="auto" w:fill="auto"/>
          </w:tcPr>
          <w:p w:rsidRPr="00FD1606" w:rsidR="008A7DFC" w:rsidP="003214DF" w:rsidRDefault="58CED963" w14:paraId="70603D93" w14:textId="24E98F8C">
            <w:bookmarkStart w:name="_Hlk103850896" w:id="1"/>
            <w:r>
              <w:t>8</w:t>
            </w:r>
            <w:r w:rsidR="58FA6064">
              <w:t>8,</w:t>
            </w:r>
            <w:r w:rsidR="00E410D0">
              <w:t>268</w:t>
            </w:r>
            <w:bookmarkEnd w:id="1"/>
            <w:r w:rsidR="0078016C">
              <w:t>.23</w:t>
            </w:r>
          </w:p>
        </w:tc>
      </w:tr>
      <w:tr w:rsidRPr="00FD1606" w:rsidR="004E7E4A" w:rsidTr="222FE1AD" w14:paraId="7487FC92" w14:textId="77777777">
        <w:tc>
          <w:tcPr>
            <w:tcW w:w="2340" w:type="dxa"/>
            <w:shd w:val="clear" w:color="auto" w:fill="auto"/>
          </w:tcPr>
          <w:p w:rsidRPr="00FD1606" w:rsidR="004E7E4A" w:rsidP="003214DF" w:rsidRDefault="004E7E4A" w14:paraId="70DA7198" w14:textId="77777777">
            <w:r w:rsidRPr="00FD1606">
              <w:t>Total Responses</w:t>
            </w:r>
          </w:p>
        </w:tc>
        <w:tc>
          <w:tcPr>
            <w:tcW w:w="1530" w:type="dxa"/>
            <w:shd w:val="clear" w:color="auto" w:fill="auto"/>
          </w:tcPr>
          <w:p w:rsidRPr="00FD1606" w:rsidR="004E7E4A" w:rsidP="003214DF" w:rsidRDefault="4AF24E13" w14:paraId="0744C6B7" w14:textId="4CCA1358">
            <w:r>
              <w:t>45</w:t>
            </w:r>
            <w:r w:rsidR="00C04151">
              <w:t>8,114</w:t>
            </w:r>
          </w:p>
        </w:tc>
      </w:tr>
      <w:tr w:rsidRPr="00FD1606" w:rsidR="004E7E4A" w:rsidTr="222FE1AD" w14:paraId="6788FA15" w14:textId="77777777">
        <w:tc>
          <w:tcPr>
            <w:tcW w:w="2340" w:type="dxa"/>
            <w:shd w:val="clear" w:color="auto" w:fill="auto"/>
          </w:tcPr>
          <w:p w:rsidRPr="00FD1606" w:rsidR="004E7E4A" w:rsidP="003214DF" w:rsidRDefault="004E7E4A" w14:paraId="1FF15FAF" w14:textId="77777777">
            <w:r w:rsidRPr="00FD1606">
              <w:t>Total Respondents</w:t>
            </w:r>
          </w:p>
        </w:tc>
        <w:tc>
          <w:tcPr>
            <w:tcW w:w="1530" w:type="dxa"/>
            <w:shd w:val="clear" w:color="auto" w:fill="auto"/>
          </w:tcPr>
          <w:p w:rsidRPr="00FD1606" w:rsidR="004E7E4A" w:rsidP="003214DF" w:rsidRDefault="58CED963" w14:paraId="09F06CC2" w14:textId="6D3A64A5">
            <w:r>
              <w:t>14,586</w:t>
            </w:r>
          </w:p>
        </w:tc>
      </w:tr>
    </w:tbl>
    <w:p w:rsidR="00C45ECD" w:rsidP="00815607" w:rsidRDefault="00C45ECD" w14:paraId="3DC5BFC3" w14:textId="77777777">
      <w:pPr>
        <w:tabs>
          <w:tab w:val="left" w:pos="-1440"/>
        </w:tabs>
        <w:rPr>
          <w:b/>
        </w:rPr>
      </w:pPr>
    </w:p>
    <w:p w:rsidRPr="00C00EDE" w:rsidR="00C00EDE" w:rsidP="00815607" w:rsidRDefault="00C00EDE" w14:paraId="4502CAEF" w14:textId="5E27F3ED">
      <w:pPr>
        <w:tabs>
          <w:tab w:val="left" w:pos="-1440"/>
        </w:tabs>
        <w:rPr>
          <w:b/>
        </w:rPr>
      </w:pPr>
      <w:r w:rsidRPr="00C00EDE">
        <w:rPr>
          <w:b/>
        </w:rPr>
        <w:t>Total Hourly Cost Estimates</w:t>
      </w:r>
    </w:p>
    <w:p w:rsidRPr="00C00EDE" w:rsidR="00C00EDE" w:rsidP="00C00EDE" w:rsidRDefault="00C00EDE" w14:paraId="17300014" w14:textId="77777777">
      <w:pPr>
        <w:ind w:left="720"/>
      </w:pPr>
    </w:p>
    <w:p w:rsidRPr="00536A88" w:rsidR="00C00EDE" w:rsidP="00021FC1" w:rsidRDefault="00C00EDE" w14:paraId="277FBD29" w14:textId="0B6CA47D">
      <w:pPr>
        <w:rPr>
          <w:color w:val="000000"/>
        </w:rPr>
      </w:pPr>
      <w:r w:rsidRPr="00C00EDE">
        <w:t xml:space="preserve">The Department receives applications requesting temporary labor certification under the H-2A visa program from employers operating across a wide spectrum of agricultural activities and commodities in the U.S. economy.  </w:t>
      </w:r>
      <w:r w:rsidR="00021FC1">
        <w:t xml:space="preserve">While it is difficult to estimate the costs involved, </w:t>
      </w:r>
      <w:r w:rsidRPr="00C00EDE">
        <w:t>the Department believes that in most companies</w:t>
      </w:r>
      <w:r w:rsidR="00CA7A9E">
        <w:t>,</w:t>
      </w:r>
      <w:r w:rsidRPr="00C00EDE">
        <w:t xml:space="preserve"> a Human Resources Manager will perform these activities.  </w:t>
      </w:r>
      <w:r w:rsidRPr="00021FC1" w:rsidR="00021FC1">
        <w:rPr>
          <w:color w:val="000000"/>
        </w:rPr>
        <w:t xml:space="preserve">In estimating employer staff time costs, </w:t>
      </w:r>
      <w:r w:rsidR="00021FC1">
        <w:rPr>
          <w:color w:val="000000"/>
        </w:rPr>
        <w:t xml:space="preserve">the Department </w:t>
      </w:r>
      <w:r w:rsidRPr="00021FC1" w:rsidR="00021FC1">
        <w:rPr>
          <w:color w:val="000000"/>
        </w:rPr>
        <w:t>used the national cross-industry mean hourly wage rate for a Human Resources Manager ($</w:t>
      </w:r>
      <w:r w:rsidRPr="222FE1AD" w:rsidR="606AB339">
        <w:rPr>
          <w:color w:val="000000" w:themeColor="text1"/>
        </w:rPr>
        <w:t>6</w:t>
      </w:r>
      <w:r w:rsidR="00155EAC">
        <w:rPr>
          <w:color w:val="000000" w:themeColor="text1"/>
        </w:rPr>
        <w:t>5</w:t>
      </w:r>
      <w:r w:rsidRPr="222FE1AD" w:rsidR="606AB339">
        <w:rPr>
          <w:color w:val="000000" w:themeColor="text1"/>
        </w:rPr>
        <w:t>.</w:t>
      </w:r>
      <w:r w:rsidR="00155EAC">
        <w:rPr>
          <w:color w:val="000000" w:themeColor="text1"/>
        </w:rPr>
        <w:t>67</w:t>
      </w:r>
      <w:r w:rsidRPr="00021FC1" w:rsidR="00021FC1">
        <w:rPr>
          <w:color w:val="000000"/>
        </w:rPr>
        <w:t xml:space="preserve">), as published by </w:t>
      </w:r>
      <w:r w:rsidR="00021FC1">
        <w:rPr>
          <w:color w:val="000000"/>
        </w:rPr>
        <w:t xml:space="preserve">the </w:t>
      </w:r>
      <w:r w:rsidR="001F7B9A">
        <w:rPr>
          <w:color w:val="000000"/>
        </w:rPr>
        <w:t>Department’s</w:t>
      </w:r>
      <w:r w:rsidRPr="00021FC1" w:rsidR="00021FC1">
        <w:rPr>
          <w:color w:val="000000"/>
        </w:rPr>
        <w:t xml:space="preserve"> Occupational Employment Statistics survey,</w:t>
      </w:r>
      <w:r w:rsidRPr="00021FC1" w:rsidR="00021FC1">
        <w:rPr>
          <w:color w:val="000000"/>
          <w:vertAlign w:val="superscript"/>
        </w:rPr>
        <w:footnoteReference w:id="5"/>
      </w:r>
      <w:r w:rsidRPr="00021FC1" w:rsidR="00021FC1">
        <w:rPr>
          <w:color w:val="000000"/>
          <w:vertAlign w:val="superscript"/>
        </w:rPr>
        <w:t xml:space="preserve"> </w:t>
      </w:r>
      <w:r w:rsidRPr="00021FC1" w:rsidR="00021FC1">
        <w:rPr>
          <w:color w:val="000000"/>
        </w:rPr>
        <w:t>and increased it by a factor of 1.</w:t>
      </w:r>
      <w:r w:rsidRPr="222FE1AD" w:rsidR="2BC75BBB">
        <w:rPr>
          <w:color w:val="000000" w:themeColor="text1"/>
        </w:rPr>
        <w:t>29</w:t>
      </w:r>
      <w:r w:rsidR="00CA458C">
        <w:rPr>
          <w:color w:val="000000" w:themeColor="text1"/>
        </w:rPr>
        <w:t>5</w:t>
      </w:r>
      <w:r w:rsidRPr="00021FC1" w:rsidR="00021FC1">
        <w:rPr>
          <w:color w:val="000000"/>
        </w:rPr>
        <w:t xml:space="preserve"> to account for employee benefits and other compensation for a total hourly cost of $</w:t>
      </w:r>
      <w:r w:rsidR="00CE3ECA">
        <w:rPr>
          <w:color w:val="000000"/>
        </w:rPr>
        <w:t>8</w:t>
      </w:r>
      <w:r w:rsidR="001328CE">
        <w:rPr>
          <w:color w:val="000000" w:themeColor="text1"/>
        </w:rPr>
        <w:t>5</w:t>
      </w:r>
      <w:r w:rsidRPr="222FE1AD" w:rsidR="2ABAB76F">
        <w:rPr>
          <w:color w:val="000000" w:themeColor="text1"/>
        </w:rPr>
        <w:t>.</w:t>
      </w:r>
      <w:r w:rsidR="001328CE">
        <w:rPr>
          <w:color w:val="000000" w:themeColor="text1"/>
        </w:rPr>
        <w:t>04</w:t>
      </w:r>
      <w:r w:rsidR="00B13024">
        <w:rPr>
          <w:color w:val="000000"/>
        </w:rPr>
        <w:t>.</w:t>
      </w:r>
      <w:r w:rsidRPr="00021FC1" w:rsidR="00021FC1">
        <w:rPr>
          <w:rStyle w:val="FootnoteReference"/>
          <w:color w:val="000000"/>
          <w:vertAlign w:val="superscript"/>
        </w:rPr>
        <w:footnoteReference w:id="6"/>
      </w:r>
      <w:r w:rsidR="00B13024">
        <w:t xml:space="preserve">  </w:t>
      </w:r>
      <w:r w:rsidRPr="00C00EDE">
        <w:t>The total compensation is $</w:t>
      </w:r>
      <w:r w:rsidR="00CE3ECA">
        <w:t>8</w:t>
      </w:r>
      <w:r w:rsidR="001328CE">
        <w:t>5</w:t>
      </w:r>
      <w:r w:rsidR="3DF2BAA3">
        <w:t>.</w:t>
      </w:r>
      <w:r w:rsidR="001328CE">
        <w:t>04</w:t>
      </w:r>
      <w:r w:rsidRPr="00C00EDE">
        <w:t xml:space="preserve"> (</w:t>
      </w:r>
      <w:r w:rsidR="00CE3ECA">
        <w:t>$</w:t>
      </w:r>
      <w:r w:rsidR="5D92C3BB">
        <w:t>6</w:t>
      </w:r>
      <w:r w:rsidR="00155EAC">
        <w:t>5</w:t>
      </w:r>
      <w:r w:rsidR="5D92C3BB">
        <w:t>.</w:t>
      </w:r>
      <w:r w:rsidR="00155EAC">
        <w:t>67</w:t>
      </w:r>
      <w:r w:rsidRPr="00C00EDE">
        <w:t xml:space="preserve"> × </w:t>
      </w:r>
      <w:r w:rsidR="394BA08A">
        <w:t>1.29</w:t>
      </w:r>
      <w:r w:rsidR="00A912CA">
        <w:t>5</w:t>
      </w:r>
      <w:r w:rsidRPr="00C00EDE">
        <w:t xml:space="preserve">) for a Human Resources manager.  </w:t>
      </w:r>
      <w:r w:rsidRPr="0DE1A6F4">
        <w:t xml:space="preserve">The Department estimates </w:t>
      </w:r>
      <w:r w:rsidRPr="0DE1A6F4" w:rsidR="003C05B0">
        <w:t>the total cost by multiplying the compensation for</w:t>
      </w:r>
      <w:r w:rsidRPr="0DE1A6F4">
        <w:t xml:space="preserve"> a</w:t>
      </w:r>
      <w:r w:rsidRPr="00C00EDE">
        <w:t xml:space="preserve"> Human Resources manager </w:t>
      </w:r>
      <w:r w:rsidR="003C05B0">
        <w:t xml:space="preserve">by the total </w:t>
      </w:r>
      <w:r w:rsidRPr="00C00EDE">
        <w:t xml:space="preserve">time to complete and retain the forms and supporting documentation in the amount of </w:t>
      </w:r>
      <w:r w:rsidR="001B599C">
        <w:t>8</w:t>
      </w:r>
      <w:r w:rsidR="3231BE0D">
        <w:t>8,</w:t>
      </w:r>
      <w:r w:rsidR="00E9291F">
        <w:t>268.23</w:t>
      </w:r>
      <w:r w:rsidRPr="00C00EDE">
        <w:rPr>
          <w:vertAlign w:val="superscript"/>
        </w:rPr>
        <w:footnoteReference w:id="7"/>
      </w:r>
      <w:r w:rsidRPr="00C00EDE">
        <w:t xml:space="preserve"> hours.</w:t>
      </w:r>
    </w:p>
    <w:p w:rsidR="00C00EDE" w:rsidP="00C00EDE" w:rsidRDefault="00C00EDE" w14:paraId="6A8882B7" w14:textId="77777777">
      <w:pPr>
        <w:ind w:left="360"/>
      </w:pPr>
    </w:p>
    <w:p w:rsidRPr="00FE056E" w:rsidR="00FE056E" w:rsidP="00815607" w:rsidRDefault="00FE056E" w14:paraId="120BA8DC" w14:textId="0D75A721">
      <w:r w:rsidRPr="007E00A3">
        <w:t>The Department has prepared</w:t>
      </w:r>
      <w:r w:rsidR="00094CA5">
        <w:t>,</w:t>
      </w:r>
      <w:r w:rsidRPr="007E00A3">
        <w:t xml:space="preserve"> and will be submitting to OMB for review</w:t>
      </w:r>
      <w:r w:rsidR="00094CA5">
        <w:t>,</w:t>
      </w:r>
      <w:r w:rsidRPr="007E00A3">
        <w:t xml:space="preserve"> an </w:t>
      </w:r>
      <w:r w:rsidRPr="007E00A3">
        <w:rPr>
          <w:b/>
        </w:rPr>
        <w:t>Appendix</w:t>
      </w:r>
      <w:r w:rsidRPr="007E00A3">
        <w:t xml:space="preserve"> to </w:t>
      </w:r>
      <w:r w:rsidRPr="007E00A3" w:rsidR="00740738">
        <w:t xml:space="preserve">its response to Question 12 of </w:t>
      </w:r>
      <w:r w:rsidRPr="007E00A3">
        <w:t>this supporting statement</w:t>
      </w:r>
      <w:r w:rsidR="00094CA5">
        <w:t>.</w:t>
      </w:r>
      <w:r w:rsidRPr="007E00A3">
        <w:t xml:space="preserve"> </w:t>
      </w:r>
      <w:r w:rsidR="00E9342F">
        <w:t xml:space="preserve"> </w:t>
      </w:r>
      <w:r w:rsidR="00094CA5">
        <w:t>This will detail</w:t>
      </w:r>
      <w:r w:rsidRPr="007E00A3">
        <w:t xml:space="preserve"> a specific breakdown of </w:t>
      </w:r>
      <w:r w:rsidRPr="007E00A3" w:rsidR="00D20D35">
        <w:t xml:space="preserve">the </w:t>
      </w:r>
      <w:r w:rsidRPr="007E00A3" w:rsidR="00796BFE">
        <w:t xml:space="preserve">number of responses </w:t>
      </w:r>
      <w:r w:rsidRPr="007E00A3" w:rsidR="00D20D35">
        <w:t xml:space="preserve">and </w:t>
      </w:r>
      <w:r w:rsidRPr="007E00A3">
        <w:t>the annual burden hours</w:t>
      </w:r>
      <w:r w:rsidR="00F0495F">
        <w:t>,</w:t>
      </w:r>
      <w:r w:rsidRPr="007E00A3" w:rsidR="00796BFE">
        <w:t xml:space="preserve"> as well as the cost</w:t>
      </w:r>
      <w:r w:rsidRPr="007E00A3">
        <w:t xml:space="preserve"> associated with each collection activity conducted in connection with this program.</w:t>
      </w:r>
      <w:r w:rsidRPr="00FE056E">
        <w:t xml:space="preserve">  The Appendix offers information regarding the specific activity that causes a burden on the public when collecting information or imposing a requirement, the type of respondents and the volume, and the number of responses received from those respondents, in addition to the reporting hours per form or collection tool and the cost associated with each activity.</w:t>
      </w:r>
    </w:p>
    <w:p w:rsidR="00EA78D2" w:rsidP="00EA78D2" w:rsidRDefault="00EA78D2" w14:paraId="6459B57E" w14:textId="77777777">
      <w:pPr>
        <w:autoSpaceDE w:val="0"/>
        <w:autoSpaceDN w:val="0"/>
        <w:adjustRightInd w:val="0"/>
      </w:pPr>
    </w:p>
    <w:p w:rsidRPr="008F4D44" w:rsidR="00EA78D2" w:rsidP="00D7686E" w:rsidRDefault="00A705A4" w14:paraId="60949E1B" w14:textId="22B28928">
      <w:pPr>
        <w:tabs>
          <w:tab w:val="right" w:pos="360"/>
        </w:tabs>
        <w:autoSpaceDE w:val="0"/>
        <w:autoSpaceDN w:val="0"/>
        <w:adjustRightInd w:val="0"/>
        <w:rPr>
          <w:i/>
        </w:rPr>
      </w:pPr>
      <w:r w:rsidRPr="008F4D44">
        <w:rPr>
          <w:i/>
        </w:rPr>
        <w:tab/>
      </w:r>
      <w:r w:rsidR="00985E73">
        <w:rPr>
          <w:i/>
        </w:rPr>
        <w:t>A</w:t>
      </w:r>
      <w:r w:rsidRPr="008F4D44" w:rsidR="00EA78D2">
        <w:rPr>
          <w:i/>
        </w:rPr>
        <w:t>13.</w:t>
      </w:r>
      <w:r w:rsidR="00272038">
        <w:rPr>
          <w:i/>
        </w:rPr>
        <w:t xml:space="preserve">  </w:t>
      </w:r>
      <w:r w:rsidRPr="008F4D44" w:rsidR="00EA78D2">
        <w:rPr>
          <w:i/>
        </w:rPr>
        <w:t>Provide an estimate for the total annual cost burden to respondents or record keepers resulting from the collection of information.</w:t>
      </w:r>
      <w:r w:rsidRPr="008F4D44">
        <w:rPr>
          <w:i/>
        </w:rPr>
        <w:t xml:space="preserve"> </w:t>
      </w:r>
      <w:r w:rsidRPr="008F4D44" w:rsidR="00EA78D2">
        <w:rPr>
          <w:i/>
        </w:rPr>
        <w:t xml:space="preserve"> (Do not include the cost of any hour burden already reflected on the burden worksheet).</w:t>
      </w:r>
    </w:p>
    <w:p w:rsidR="00EA78D2" w:rsidP="00EA78D2" w:rsidRDefault="00EA78D2" w14:paraId="40824AE6" w14:textId="77777777">
      <w:pPr>
        <w:autoSpaceDE w:val="0"/>
        <w:autoSpaceDN w:val="0"/>
        <w:adjustRightInd w:val="0"/>
      </w:pPr>
    </w:p>
    <w:p w:rsidR="000A10D6" w:rsidP="004155C5" w:rsidRDefault="00E14403" w14:paraId="31716B05" w14:textId="5FF5A1DC">
      <w:pPr>
        <w:numPr>
          <w:ilvl w:val="0"/>
          <w:numId w:val="3"/>
        </w:numPr>
        <w:ind w:left="360"/>
      </w:pPr>
      <w:r w:rsidRPr="0DE1A6F4">
        <w:rPr>
          <w:i/>
          <w:iCs/>
          <w:u w:val="single"/>
        </w:rPr>
        <w:t>Start-up/Capital Costs</w:t>
      </w:r>
      <w:r>
        <w:t xml:space="preserve">:  There are no start-up costs.  There is no obligation to own a computer to participate in the program.  Anyone without computer access can request the form from OFLC </w:t>
      </w:r>
      <w:proofErr w:type="gramStart"/>
      <w:r>
        <w:t>in order to</w:t>
      </w:r>
      <w:proofErr w:type="gramEnd"/>
      <w:r>
        <w:t xml:space="preserve"> file an application.  To participate in the program</w:t>
      </w:r>
      <w:r w:rsidR="00F071A6">
        <w:t>,</w:t>
      </w:r>
      <w:r>
        <w:t xml:space="preserve"> the employer is required to generate records and retain them. </w:t>
      </w:r>
      <w:r w:rsidR="00684711">
        <w:t xml:space="preserve"> </w:t>
      </w:r>
      <w:r w:rsidR="00C04959">
        <w:t>Employers may retain these records in the manner they regularly choose to retain employment records</w:t>
      </w:r>
      <w:r>
        <w:t>, in</w:t>
      </w:r>
      <w:r w:rsidR="00C04959">
        <w:t>cluding</w:t>
      </w:r>
      <w:r>
        <w:t xml:space="preserve"> electronic format.  The Department estimates that the initial cost to employers is minimal because it is a customary and usual business practice for businesses to have storage space whether physical or electronic.</w:t>
      </w:r>
    </w:p>
    <w:p w:rsidR="006763F2" w:rsidP="00962D1A" w:rsidRDefault="006763F2" w14:paraId="198ADD47" w14:textId="77777777"/>
    <w:p w:rsidR="00FA4158" w:rsidP="00FA4158" w:rsidRDefault="00FA4158" w14:paraId="6247C01C" w14:textId="058327EA">
      <w:pPr>
        <w:numPr>
          <w:ilvl w:val="0"/>
          <w:numId w:val="3"/>
        </w:numPr>
        <w:ind w:left="360"/>
      </w:pPr>
      <w:r w:rsidRPr="00FA4158">
        <w:rPr>
          <w:i/>
          <w:iCs/>
          <w:u w:val="single"/>
        </w:rPr>
        <w:t>Maintenance and Operation Costs</w:t>
      </w:r>
      <w:r>
        <w:t>:  For transparency purposes only, the Department discloses in this supporting statement that there is a fee that employers are assessed when the Form ETA-9142A is certified by the Department.  In accordance with 20 CFR 655.163, the fee is comprised of $100 plus $10 for each H-2A worker position certified under the Form ETA-9142A, with an overall cap of $1,000.  In the case of an agricultural association acting as a joint employer applying on behalf of its employer-members, there is no additional fee to the agricultural association filing the Form ETA-9142A, and the aggregate fees for all employer-members of H-2A workers under the certified Form ETA-9142A must be paid by one check or money order.  All fees must be received by OFLC no more than 30 days after the date of certification.  Those fees are deposited into the General Treasury and not available to the Department to offset any Federal Government costs for administering the H-2A program.</w:t>
      </w:r>
    </w:p>
    <w:p w:rsidR="00FA4158" w:rsidP="00FA4158" w:rsidRDefault="00FA4158" w14:paraId="75A1E8B5" w14:textId="77777777">
      <w:pPr>
        <w:ind w:left="360"/>
      </w:pPr>
    </w:p>
    <w:p w:rsidR="006763F2" w:rsidP="00FA4158" w:rsidRDefault="00FA4158" w14:paraId="39EECF13" w14:textId="5F694F3A">
      <w:pPr>
        <w:ind w:left="360"/>
      </w:pPr>
      <w:r>
        <w:t>Based on program data over the last three fiscal years, the Department estimates that 96 percent of all employers’ requests for temporary labor certification will be certified for the full number of H-2A worker positions requested.  We estimate that the aggregate annual fee costs to employers will be approximately $3,692,705 (average of the three most recently completed fiscal years’ collections; FY 2019 – FY 2021).</w:t>
      </w:r>
    </w:p>
    <w:p w:rsidR="000A10D6" w:rsidP="007F12A0" w:rsidRDefault="000A10D6" w14:paraId="4C9B7188" w14:textId="77777777">
      <w:pPr>
        <w:tabs>
          <w:tab w:val="right" w:pos="360"/>
        </w:tabs>
        <w:autoSpaceDE w:val="0"/>
        <w:autoSpaceDN w:val="0"/>
        <w:adjustRightInd w:val="0"/>
        <w:ind w:left="540" w:hanging="540"/>
        <w:rPr>
          <w:i/>
        </w:rPr>
      </w:pPr>
    </w:p>
    <w:p w:rsidRPr="008F4D44" w:rsidR="00EA78D2" w:rsidP="00565F7D" w:rsidRDefault="00C239F6" w14:paraId="025F48A0" w14:textId="187F5693">
      <w:pPr>
        <w:tabs>
          <w:tab w:val="right" w:pos="360"/>
        </w:tabs>
        <w:autoSpaceDE w:val="0"/>
        <w:autoSpaceDN w:val="0"/>
        <w:adjustRightInd w:val="0"/>
        <w:rPr>
          <w:i/>
        </w:rPr>
      </w:pPr>
      <w:r w:rsidRPr="008F4D44">
        <w:rPr>
          <w:i/>
        </w:rPr>
        <w:tab/>
      </w:r>
      <w:r w:rsidR="00985E73">
        <w:rPr>
          <w:i/>
        </w:rPr>
        <w:t>A</w:t>
      </w:r>
      <w:r w:rsidRPr="008F4D44" w:rsidR="00EA78D2">
        <w:rPr>
          <w:i/>
        </w:rPr>
        <w:t>14.</w:t>
      </w:r>
      <w:r w:rsidR="00272038">
        <w:rPr>
          <w:i/>
        </w:rPr>
        <w:t xml:space="preserve">  </w:t>
      </w:r>
      <w:r w:rsidRPr="008F4D44" w:rsidR="00EA78D2">
        <w:rPr>
          <w:i/>
        </w:rPr>
        <w:t xml:space="preserve">Provide estimates of annualized costs to the Federal government. </w:t>
      </w:r>
      <w:r w:rsidRPr="008F4D44" w:rsidR="007F12A0">
        <w:rPr>
          <w:i/>
        </w:rPr>
        <w:t xml:space="preserve"> </w:t>
      </w:r>
      <w:r w:rsidRPr="008F4D44" w:rsidR="00EA78D2">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8F4D44" w:rsidR="007F12A0">
        <w:rPr>
          <w:i/>
        </w:rPr>
        <w:t xml:space="preserve">  </w:t>
      </w:r>
      <w:r w:rsidRPr="008F4D44" w:rsidR="00EA78D2">
        <w:rPr>
          <w:i/>
        </w:rPr>
        <w:t>Agencies may also aggregate cost estimates from Items 12, 13, and 14 in a single table.</w:t>
      </w:r>
    </w:p>
    <w:p w:rsidR="00EA78D2" w:rsidP="00EA78D2" w:rsidRDefault="00EA78D2" w14:paraId="1C71C9EA" w14:textId="77777777">
      <w:pPr>
        <w:autoSpaceDE w:val="0"/>
        <w:autoSpaceDN w:val="0"/>
        <w:adjustRightInd w:val="0"/>
      </w:pPr>
    </w:p>
    <w:p w:rsidRPr="00271976" w:rsidR="00271976" w:rsidP="00271976" w:rsidRDefault="00271976" w14:paraId="545BDACB" w14:textId="07A4189F">
      <w:pPr>
        <w:rPr>
          <w:rFonts w:eastAsia="Calibri"/>
        </w:rPr>
      </w:pPr>
      <w:r w:rsidRPr="00495F41">
        <w:rPr>
          <w:rFonts w:eastAsia="Calibri"/>
        </w:rPr>
        <w:t>The Department estimates that the annual costs to administer the H-2A program amount are $</w:t>
      </w:r>
      <w:r w:rsidRPr="00495F41" w:rsidR="009F1057">
        <w:rPr>
          <w:rFonts w:eastAsia="Calibri"/>
        </w:rPr>
        <w:t>26,432,198</w:t>
      </w:r>
      <w:r w:rsidRPr="009C494A">
        <w:rPr>
          <w:rFonts w:eastAsia="Calibri"/>
        </w:rPr>
        <w:t>.</w:t>
      </w:r>
      <w:r w:rsidR="00272038">
        <w:rPr>
          <w:rFonts w:eastAsia="Calibri"/>
        </w:rPr>
        <w:t xml:space="preserve"> </w:t>
      </w:r>
      <w:r w:rsidRPr="00271976">
        <w:rPr>
          <w:rFonts w:eastAsia="Calibri"/>
        </w:rPr>
        <w:t xml:space="preserve"> This total is comprised of $</w:t>
      </w:r>
      <w:r w:rsidR="00585FDE">
        <w:rPr>
          <w:rFonts w:eastAsia="Calibri"/>
        </w:rPr>
        <w:t>10,206,598</w:t>
      </w:r>
      <w:r w:rsidRPr="00271976">
        <w:rPr>
          <w:rFonts w:eastAsia="Calibri"/>
        </w:rPr>
        <w:t xml:space="preserve"> in federal administration costs and $16,225,600 in state-level costs funded by federal grants.</w:t>
      </w:r>
    </w:p>
    <w:p w:rsidRPr="00271976" w:rsidR="00271976" w:rsidP="00271976" w:rsidRDefault="00271976" w14:paraId="62E584D8" w14:textId="77777777">
      <w:pPr>
        <w:autoSpaceDE w:val="0"/>
        <w:autoSpaceDN w:val="0"/>
        <w:rPr>
          <w:rFonts w:eastAsia="Calibri"/>
        </w:rPr>
      </w:pPr>
    </w:p>
    <w:p w:rsidRPr="00271976" w:rsidR="00271976" w:rsidP="00271976" w:rsidRDefault="00271976" w14:paraId="4AE2664B" w14:textId="3B7FE200">
      <w:pPr>
        <w:autoSpaceDE w:val="0"/>
        <w:autoSpaceDN w:val="0"/>
        <w:rPr>
          <w:rFonts w:eastAsia="Calibri"/>
        </w:rPr>
      </w:pPr>
      <w:r w:rsidRPr="00271976">
        <w:rPr>
          <w:rFonts w:eastAsia="Calibri"/>
        </w:rPr>
        <w:t xml:space="preserve">Federal administrative costs include expenses for the staff who process H-2A applications; IT systems that support application-filing and case-processing operations; rent; supplies; equipment; and agency indirect costs, which include support for human resources, financial and </w:t>
      </w:r>
      <w:r w:rsidRPr="00271976">
        <w:rPr>
          <w:rFonts w:eastAsia="Calibri"/>
        </w:rPr>
        <w:lastRenderedPageBreak/>
        <w:t>administrative oversight, and grants and contracts management.  Estimated annual costs for the federal administration of the H-2A program are $1</w:t>
      </w:r>
      <w:r w:rsidR="000A73D1">
        <w:rPr>
          <w:rFonts w:eastAsia="Calibri"/>
        </w:rPr>
        <w:t>0,206,598</w:t>
      </w:r>
      <w:r w:rsidRPr="00271976">
        <w:rPr>
          <w:rFonts w:eastAsia="Calibri"/>
        </w:rPr>
        <w:t>.  This estimate is based on recurring annual costs to administer the program in recent fiscal years and does not include costs associated with funding appropriated on a one-time occurrence basis.  Based on past obligations and expenditures, the table below provides a detailed breakdown of the annualized costs associated with federal administration of the H-2A program by major cost category.</w:t>
      </w:r>
    </w:p>
    <w:p w:rsidR="00D67636" w:rsidP="00271976" w:rsidRDefault="00D67636" w14:paraId="36835493" w14:textId="745FC576">
      <w:pPr>
        <w:autoSpaceDE w:val="0"/>
        <w:autoSpaceDN w:val="0"/>
        <w:rPr>
          <w:rFonts w:eastAsia="Calibri"/>
        </w:rPr>
      </w:pPr>
    </w:p>
    <w:p w:rsidRPr="00271976" w:rsidR="00D67636" w:rsidP="00271976" w:rsidRDefault="00D67636" w14:paraId="19273475" w14:textId="77777777">
      <w:pPr>
        <w:autoSpaceDE w:val="0"/>
        <w:autoSpaceDN w:val="0"/>
        <w:rPr>
          <w:rFonts w:eastAsia="Calibri"/>
        </w:rPr>
      </w:pPr>
    </w:p>
    <w:tbl>
      <w:tblPr>
        <w:tblW w:w="10170" w:type="dxa"/>
        <w:tblInd w:w="-10" w:type="dxa"/>
        <w:tblCellMar>
          <w:left w:w="0" w:type="dxa"/>
          <w:right w:w="0" w:type="dxa"/>
        </w:tblCellMar>
        <w:tblLook w:val="04A0" w:firstRow="1" w:lastRow="0" w:firstColumn="1" w:lastColumn="0" w:noHBand="0" w:noVBand="1"/>
      </w:tblPr>
      <w:tblGrid>
        <w:gridCol w:w="3330"/>
        <w:gridCol w:w="5400"/>
        <w:gridCol w:w="1440"/>
      </w:tblGrid>
      <w:tr w:rsidRPr="00271976" w:rsidR="00271976" w:rsidTr="00E33768" w14:paraId="1A895731" w14:textId="77777777">
        <w:trPr>
          <w:trHeight w:val="504"/>
        </w:trPr>
        <w:tc>
          <w:tcPr>
            <w:tcW w:w="3330" w:type="dxa"/>
            <w:tcBorders>
              <w:top w:val="single" w:color="auto" w:sz="8" w:space="0"/>
              <w:left w:val="single" w:color="auto" w:sz="8" w:space="0"/>
              <w:bottom w:val="single" w:color="auto" w:sz="8" w:space="0"/>
              <w:right w:val="single" w:color="auto" w:sz="8" w:space="0"/>
            </w:tcBorders>
            <w:shd w:val="clear" w:color="auto" w:fill="8DB3E2"/>
            <w:noWrap/>
            <w:tcMar>
              <w:top w:w="0" w:type="dxa"/>
              <w:left w:w="108" w:type="dxa"/>
              <w:bottom w:w="0" w:type="dxa"/>
              <w:right w:w="108" w:type="dxa"/>
            </w:tcMar>
            <w:vAlign w:val="center"/>
            <w:hideMark/>
          </w:tcPr>
          <w:p w:rsidRPr="00271976" w:rsidR="00271976" w:rsidP="00271976" w:rsidRDefault="00271976" w14:paraId="7D80D619" w14:textId="77777777">
            <w:pPr>
              <w:spacing w:line="252" w:lineRule="auto"/>
              <w:jc w:val="center"/>
              <w:rPr>
                <w:rFonts w:eastAsia="Calibri"/>
                <w:b/>
                <w:bCs/>
                <w:sz w:val="18"/>
                <w:szCs w:val="18"/>
              </w:rPr>
            </w:pPr>
            <w:r w:rsidRPr="00271976">
              <w:rPr>
                <w:rFonts w:eastAsia="Calibri"/>
                <w:b/>
                <w:bCs/>
                <w:sz w:val="18"/>
                <w:szCs w:val="18"/>
              </w:rPr>
              <w:t>Major Cost Category</w:t>
            </w:r>
          </w:p>
        </w:tc>
        <w:tc>
          <w:tcPr>
            <w:tcW w:w="5400" w:type="dxa"/>
            <w:tcBorders>
              <w:top w:val="single" w:color="auto" w:sz="8" w:space="0"/>
              <w:left w:val="nil"/>
              <w:bottom w:val="single" w:color="auto" w:sz="8" w:space="0"/>
              <w:right w:val="single" w:color="auto" w:sz="8" w:space="0"/>
            </w:tcBorders>
            <w:shd w:val="clear" w:color="auto" w:fill="8DB3E2"/>
            <w:noWrap/>
            <w:tcMar>
              <w:top w:w="0" w:type="dxa"/>
              <w:left w:w="108" w:type="dxa"/>
              <w:bottom w:w="0" w:type="dxa"/>
              <w:right w:w="108" w:type="dxa"/>
            </w:tcMar>
            <w:vAlign w:val="center"/>
            <w:hideMark/>
          </w:tcPr>
          <w:p w:rsidRPr="00271976" w:rsidR="00271976" w:rsidP="00271976" w:rsidRDefault="00271976" w14:paraId="52A26BFA" w14:textId="77777777">
            <w:pPr>
              <w:spacing w:line="252" w:lineRule="auto"/>
              <w:jc w:val="center"/>
              <w:rPr>
                <w:rFonts w:eastAsia="Calibri"/>
                <w:b/>
                <w:bCs/>
                <w:sz w:val="18"/>
                <w:szCs w:val="18"/>
              </w:rPr>
            </w:pPr>
            <w:r w:rsidRPr="00271976">
              <w:rPr>
                <w:rFonts w:eastAsia="Calibri"/>
                <w:b/>
                <w:bCs/>
                <w:sz w:val="18"/>
                <w:szCs w:val="18"/>
              </w:rPr>
              <w:t>Cost Activities</w:t>
            </w:r>
          </w:p>
        </w:tc>
        <w:tc>
          <w:tcPr>
            <w:tcW w:w="1440" w:type="dxa"/>
            <w:tcBorders>
              <w:top w:val="single" w:color="auto" w:sz="8" w:space="0"/>
              <w:left w:val="nil"/>
              <w:bottom w:val="single" w:color="auto" w:sz="8" w:space="0"/>
              <w:right w:val="single" w:color="auto" w:sz="8" w:space="0"/>
            </w:tcBorders>
            <w:shd w:val="clear" w:color="auto" w:fill="8DB3E2"/>
            <w:noWrap/>
            <w:tcMar>
              <w:top w:w="0" w:type="dxa"/>
              <w:left w:w="108" w:type="dxa"/>
              <w:bottom w:w="0" w:type="dxa"/>
              <w:right w:w="108" w:type="dxa"/>
            </w:tcMar>
            <w:vAlign w:val="center"/>
            <w:hideMark/>
          </w:tcPr>
          <w:p w:rsidRPr="00271976" w:rsidR="00271976" w:rsidP="00271976" w:rsidRDefault="00271976" w14:paraId="3C152911" w14:textId="77777777">
            <w:pPr>
              <w:spacing w:line="252" w:lineRule="auto"/>
              <w:jc w:val="center"/>
              <w:rPr>
                <w:rFonts w:eastAsia="Calibri"/>
                <w:b/>
                <w:bCs/>
                <w:sz w:val="18"/>
                <w:szCs w:val="18"/>
              </w:rPr>
            </w:pPr>
            <w:r w:rsidRPr="00271976">
              <w:rPr>
                <w:rFonts w:eastAsia="Calibri"/>
                <w:b/>
                <w:bCs/>
                <w:sz w:val="18"/>
                <w:szCs w:val="18"/>
              </w:rPr>
              <w:t>Annualized Costs</w:t>
            </w:r>
          </w:p>
          <w:p w:rsidRPr="00271976" w:rsidR="00271976" w:rsidP="00271976" w:rsidRDefault="00271976" w14:paraId="12D54373" w14:textId="6C482B5C">
            <w:pPr>
              <w:spacing w:line="252" w:lineRule="auto"/>
              <w:jc w:val="center"/>
              <w:rPr>
                <w:rFonts w:eastAsia="Calibri"/>
                <w:b/>
                <w:bCs/>
                <w:sz w:val="18"/>
                <w:szCs w:val="18"/>
              </w:rPr>
            </w:pPr>
            <w:r w:rsidRPr="00271976">
              <w:rPr>
                <w:rFonts w:eastAsia="Calibri"/>
                <w:i/>
                <w:iCs/>
                <w:sz w:val="18"/>
                <w:szCs w:val="18"/>
              </w:rPr>
              <w:t>(estimated)</w:t>
            </w:r>
          </w:p>
        </w:tc>
      </w:tr>
      <w:tr w:rsidRPr="00271976" w:rsidR="00271976" w:rsidTr="00E33768" w14:paraId="5688199B" w14:textId="77777777">
        <w:trPr>
          <w:trHeight w:val="504"/>
        </w:trPr>
        <w:tc>
          <w:tcPr>
            <w:tcW w:w="3330" w:type="dxa"/>
            <w:tcBorders>
              <w:top w:val="nil"/>
              <w:left w:val="single" w:color="auto" w:sz="8" w:space="0"/>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center"/>
            <w:hideMark/>
          </w:tcPr>
          <w:p w:rsidRPr="00271976" w:rsidR="00271976" w:rsidP="00271976" w:rsidRDefault="00271976" w14:paraId="2705C79B" w14:textId="77777777">
            <w:pPr>
              <w:spacing w:line="252" w:lineRule="auto"/>
              <w:rPr>
                <w:rFonts w:eastAsia="Calibri"/>
                <w:sz w:val="18"/>
                <w:szCs w:val="18"/>
              </w:rPr>
            </w:pPr>
            <w:r w:rsidRPr="00271976">
              <w:rPr>
                <w:rFonts w:eastAsia="Calibri"/>
                <w:sz w:val="18"/>
                <w:szCs w:val="18"/>
              </w:rPr>
              <w:t>Contracts for Services</w:t>
            </w:r>
          </w:p>
          <w:p w:rsidRPr="00271976" w:rsidR="00271976" w:rsidP="00271976" w:rsidRDefault="00271976" w14:paraId="23C75735" w14:textId="77777777">
            <w:pPr>
              <w:spacing w:line="252" w:lineRule="auto"/>
              <w:rPr>
                <w:rFonts w:eastAsia="Calibri"/>
                <w:sz w:val="18"/>
                <w:szCs w:val="18"/>
              </w:rPr>
            </w:pPr>
            <w:r w:rsidRPr="00271976">
              <w:rPr>
                <w:rFonts w:eastAsia="Calibri"/>
                <w:i/>
                <w:iCs/>
                <w:sz w:val="18"/>
                <w:szCs w:val="18"/>
              </w:rPr>
              <w:t>(</w:t>
            </w:r>
            <w:proofErr w:type="gramStart"/>
            <w:r w:rsidRPr="00271976">
              <w:rPr>
                <w:rFonts w:eastAsia="Calibri"/>
                <w:i/>
                <w:iCs/>
                <w:sz w:val="18"/>
                <w:szCs w:val="18"/>
              </w:rPr>
              <w:t>not</w:t>
            </w:r>
            <w:proofErr w:type="gramEnd"/>
            <w:r w:rsidRPr="00271976">
              <w:rPr>
                <w:rFonts w:eastAsia="Calibri"/>
                <w:i/>
                <w:iCs/>
                <w:sz w:val="18"/>
                <w:szCs w:val="18"/>
              </w:rPr>
              <w:t xml:space="preserve"> technology related)</w:t>
            </w:r>
          </w:p>
        </w:tc>
        <w:tc>
          <w:tcPr>
            <w:tcW w:w="540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271976" w:rsidR="00271976" w:rsidP="00E33768" w:rsidRDefault="00271976" w14:paraId="31695430" w14:textId="77777777">
            <w:pPr>
              <w:numPr>
                <w:ilvl w:val="0"/>
                <w:numId w:val="8"/>
              </w:numPr>
              <w:spacing w:line="252" w:lineRule="auto"/>
              <w:ind w:left="162" w:hanging="162"/>
              <w:rPr>
                <w:rFonts w:eastAsia="Calibri"/>
                <w:sz w:val="18"/>
                <w:szCs w:val="18"/>
              </w:rPr>
            </w:pPr>
            <w:r w:rsidRPr="00271976">
              <w:rPr>
                <w:rFonts w:eastAsia="Calibri"/>
                <w:sz w:val="18"/>
                <w:szCs w:val="18"/>
              </w:rPr>
              <w:t>Mail, data entry, and other clerical support services</w:t>
            </w:r>
          </w:p>
          <w:p w:rsidRPr="00271976" w:rsidR="00271976" w:rsidP="00E33768" w:rsidRDefault="00271976" w14:paraId="30CF774D" w14:textId="77777777">
            <w:pPr>
              <w:numPr>
                <w:ilvl w:val="0"/>
                <w:numId w:val="8"/>
              </w:numPr>
              <w:spacing w:line="252" w:lineRule="auto"/>
              <w:ind w:left="162" w:hanging="162"/>
              <w:rPr>
                <w:rFonts w:eastAsia="Calibri"/>
                <w:sz w:val="18"/>
                <w:szCs w:val="18"/>
              </w:rPr>
            </w:pPr>
            <w:r w:rsidRPr="00271976">
              <w:rPr>
                <w:rFonts w:eastAsia="Calibri"/>
                <w:sz w:val="18"/>
                <w:szCs w:val="18"/>
              </w:rPr>
              <w:t>Case processing and administrative support for operations</w:t>
            </w:r>
          </w:p>
        </w:tc>
        <w:tc>
          <w:tcPr>
            <w:tcW w:w="144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271976" w:rsidR="00271976" w:rsidP="00271976" w:rsidRDefault="00271976" w14:paraId="222091DA" w14:textId="77777777">
            <w:pPr>
              <w:spacing w:line="252" w:lineRule="auto"/>
              <w:jc w:val="center"/>
              <w:rPr>
                <w:rFonts w:eastAsia="Calibri"/>
                <w:sz w:val="18"/>
                <w:szCs w:val="18"/>
              </w:rPr>
            </w:pPr>
            <w:r w:rsidRPr="00271976">
              <w:rPr>
                <w:rFonts w:eastAsia="Calibri"/>
                <w:sz w:val="18"/>
                <w:szCs w:val="18"/>
              </w:rPr>
              <w:t>$4,997,849</w:t>
            </w:r>
          </w:p>
        </w:tc>
      </w:tr>
      <w:tr w:rsidRPr="00271976" w:rsidR="00271976" w:rsidTr="00E33768" w14:paraId="1715AFD7" w14:textId="77777777">
        <w:trPr>
          <w:trHeight w:val="504"/>
        </w:trPr>
        <w:tc>
          <w:tcPr>
            <w:tcW w:w="3330" w:type="dxa"/>
            <w:tcBorders>
              <w:top w:val="nil"/>
              <w:left w:val="single" w:color="auto" w:sz="8" w:space="0"/>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center"/>
            <w:hideMark/>
          </w:tcPr>
          <w:p w:rsidRPr="00271976" w:rsidR="00271976" w:rsidP="00271976" w:rsidRDefault="00271976" w14:paraId="3E4B3F1A" w14:textId="77777777">
            <w:pPr>
              <w:spacing w:line="252" w:lineRule="auto"/>
              <w:rPr>
                <w:rFonts w:eastAsia="Calibri"/>
                <w:sz w:val="18"/>
                <w:szCs w:val="18"/>
              </w:rPr>
            </w:pPr>
            <w:r w:rsidRPr="00271976">
              <w:rPr>
                <w:rFonts w:eastAsia="Calibri"/>
                <w:sz w:val="18"/>
                <w:szCs w:val="18"/>
              </w:rPr>
              <w:t>Information Technology Contracts</w:t>
            </w:r>
          </w:p>
        </w:tc>
        <w:tc>
          <w:tcPr>
            <w:tcW w:w="540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271976" w:rsidR="00271976" w:rsidP="00E33768" w:rsidRDefault="00271976" w14:paraId="67C0A295" w14:textId="77777777">
            <w:pPr>
              <w:numPr>
                <w:ilvl w:val="0"/>
                <w:numId w:val="10"/>
              </w:numPr>
              <w:spacing w:line="252" w:lineRule="auto"/>
              <w:ind w:left="162" w:hanging="162"/>
              <w:rPr>
                <w:rFonts w:eastAsia="Calibri"/>
                <w:sz w:val="18"/>
                <w:szCs w:val="18"/>
              </w:rPr>
            </w:pPr>
            <w:r w:rsidRPr="00271976">
              <w:rPr>
                <w:rFonts w:eastAsia="Calibri"/>
                <w:sz w:val="18"/>
                <w:szCs w:val="18"/>
              </w:rPr>
              <w:t>Application development services &amp; network infrastructure support</w:t>
            </w:r>
          </w:p>
          <w:p w:rsidRPr="00271976" w:rsidR="00271976" w:rsidP="00E33768" w:rsidRDefault="00271976" w14:paraId="642A1BAC" w14:textId="77777777">
            <w:pPr>
              <w:numPr>
                <w:ilvl w:val="0"/>
                <w:numId w:val="10"/>
              </w:numPr>
              <w:spacing w:line="252" w:lineRule="auto"/>
              <w:ind w:left="162" w:hanging="162"/>
              <w:rPr>
                <w:rFonts w:eastAsia="Calibri"/>
                <w:sz w:val="18"/>
                <w:szCs w:val="18"/>
              </w:rPr>
            </w:pPr>
            <w:r w:rsidRPr="00271976">
              <w:rPr>
                <w:rFonts w:eastAsia="Calibri"/>
                <w:sz w:val="18"/>
                <w:szCs w:val="18"/>
              </w:rPr>
              <w:t>Hardware &amp; software updates</w:t>
            </w:r>
          </w:p>
        </w:tc>
        <w:tc>
          <w:tcPr>
            <w:tcW w:w="144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271976" w:rsidR="00271976" w:rsidP="00271976" w:rsidRDefault="00271976" w14:paraId="3E7484C1" w14:textId="77777777">
            <w:pPr>
              <w:spacing w:line="252" w:lineRule="auto"/>
              <w:jc w:val="center"/>
              <w:rPr>
                <w:rFonts w:eastAsia="Calibri"/>
                <w:sz w:val="18"/>
                <w:szCs w:val="18"/>
              </w:rPr>
            </w:pPr>
            <w:r w:rsidRPr="00271976">
              <w:rPr>
                <w:rFonts w:eastAsia="Calibri"/>
                <w:sz w:val="18"/>
                <w:szCs w:val="18"/>
              </w:rPr>
              <w:t>$1,117,341</w:t>
            </w:r>
          </w:p>
        </w:tc>
      </w:tr>
      <w:tr w:rsidRPr="00271976" w:rsidR="00271976" w:rsidTr="00E33768" w14:paraId="5AF30386" w14:textId="77777777">
        <w:trPr>
          <w:trHeight w:val="504"/>
        </w:trPr>
        <w:tc>
          <w:tcPr>
            <w:tcW w:w="3330" w:type="dxa"/>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center"/>
            <w:hideMark/>
          </w:tcPr>
          <w:p w:rsidRPr="00271976" w:rsidR="00271976" w:rsidP="00271976" w:rsidRDefault="00271976" w14:paraId="360788C6" w14:textId="77777777">
            <w:pPr>
              <w:spacing w:line="252" w:lineRule="auto"/>
              <w:rPr>
                <w:rFonts w:eastAsia="Calibri"/>
                <w:sz w:val="18"/>
                <w:szCs w:val="18"/>
              </w:rPr>
            </w:pPr>
            <w:r w:rsidRPr="00271976">
              <w:rPr>
                <w:rFonts w:eastAsia="Calibri"/>
                <w:sz w:val="18"/>
                <w:szCs w:val="18"/>
              </w:rPr>
              <w:t>GSA &amp; DHS Services</w:t>
            </w:r>
          </w:p>
        </w:tc>
        <w:tc>
          <w:tcPr>
            <w:tcW w:w="540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271976" w:rsidR="00271976" w:rsidP="00E33768" w:rsidRDefault="00271976" w14:paraId="5A16DA36" w14:textId="77777777">
            <w:pPr>
              <w:numPr>
                <w:ilvl w:val="0"/>
                <w:numId w:val="11"/>
              </w:numPr>
              <w:spacing w:line="252" w:lineRule="auto"/>
              <w:ind w:left="162" w:hanging="162"/>
              <w:rPr>
                <w:rFonts w:eastAsia="Calibri"/>
                <w:sz w:val="18"/>
                <w:szCs w:val="18"/>
              </w:rPr>
            </w:pPr>
            <w:r w:rsidRPr="00271976">
              <w:rPr>
                <w:rFonts w:eastAsia="Calibri"/>
                <w:sz w:val="18"/>
                <w:szCs w:val="18"/>
              </w:rPr>
              <w:t>Rent payments for office space</w:t>
            </w:r>
          </w:p>
          <w:p w:rsidRPr="00271976" w:rsidR="00271976" w:rsidP="00E33768" w:rsidRDefault="00271976" w14:paraId="39BE31FE" w14:textId="77777777">
            <w:pPr>
              <w:numPr>
                <w:ilvl w:val="0"/>
                <w:numId w:val="11"/>
              </w:numPr>
              <w:spacing w:line="252" w:lineRule="auto"/>
              <w:ind w:left="162" w:hanging="162"/>
              <w:rPr>
                <w:rFonts w:eastAsia="Calibri"/>
                <w:sz w:val="18"/>
                <w:szCs w:val="18"/>
              </w:rPr>
            </w:pPr>
            <w:r w:rsidRPr="00271976">
              <w:rPr>
                <w:rFonts w:eastAsia="Calibri"/>
                <w:sz w:val="18"/>
                <w:szCs w:val="18"/>
              </w:rPr>
              <w:t>Security clearance services</w:t>
            </w:r>
          </w:p>
        </w:tc>
        <w:tc>
          <w:tcPr>
            <w:tcW w:w="144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271976" w:rsidR="00271976" w:rsidP="00271976" w:rsidRDefault="00271976" w14:paraId="5090B816" w14:textId="77777777">
            <w:pPr>
              <w:spacing w:line="252" w:lineRule="auto"/>
              <w:jc w:val="center"/>
              <w:rPr>
                <w:rFonts w:eastAsia="Calibri"/>
                <w:sz w:val="18"/>
                <w:szCs w:val="18"/>
              </w:rPr>
            </w:pPr>
            <w:r w:rsidRPr="00271976">
              <w:rPr>
                <w:rFonts w:eastAsia="Calibri"/>
                <w:sz w:val="18"/>
                <w:szCs w:val="18"/>
              </w:rPr>
              <w:t>$927,952</w:t>
            </w:r>
          </w:p>
        </w:tc>
      </w:tr>
      <w:tr w:rsidRPr="00271976" w:rsidR="00271976" w:rsidTr="00E33768" w14:paraId="39B62CA3" w14:textId="77777777">
        <w:trPr>
          <w:trHeight w:val="504"/>
        </w:trPr>
        <w:tc>
          <w:tcPr>
            <w:tcW w:w="3330" w:type="dxa"/>
            <w:tcBorders>
              <w:top w:val="nil"/>
              <w:left w:val="single" w:color="auto" w:sz="8" w:space="0"/>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center"/>
            <w:hideMark/>
          </w:tcPr>
          <w:p w:rsidRPr="00271976" w:rsidR="00271976" w:rsidP="00271976" w:rsidRDefault="00271976" w14:paraId="37DB1C39" w14:textId="77777777">
            <w:pPr>
              <w:spacing w:line="252" w:lineRule="auto"/>
              <w:rPr>
                <w:rFonts w:eastAsia="Calibri"/>
                <w:sz w:val="18"/>
                <w:szCs w:val="18"/>
              </w:rPr>
            </w:pPr>
            <w:r w:rsidRPr="00271976">
              <w:rPr>
                <w:rFonts w:eastAsia="Calibri"/>
                <w:sz w:val="18"/>
                <w:szCs w:val="18"/>
              </w:rPr>
              <w:t>DOL Working Capital Assessment</w:t>
            </w:r>
          </w:p>
        </w:tc>
        <w:tc>
          <w:tcPr>
            <w:tcW w:w="540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271976" w:rsidR="00271976" w:rsidP="00E33768" w:rsidRDefault="00271976" w14:paraId="6BD689CD" w14:textId="77777777">
            <w:pPr>
              <w:numPr>
                <w:ilvl w:val="0"/>
                <w:numId w:val="11"/>
              </w:numPr>
              <w:spacing w:line="252" w:lineRule="auto"/>
              <w:ind w:left="162" w:hanging="162"/>
              <w:rPr>
                <w:rFonts w:eastAsia="Calibri"/>
                <w:sz w:val="18"/>
                <w:szCs w:val="18"/>
              </w:rPr>
            </w:pPr>
            <w:r w:rsidRPr="00271976">
              <w:rPr>
                <w:rFonts w:eastAsia="Calibri"/>
                <w:sz w:val="18"/>
                <w:szCs w:val="18"/>
              </w:rPr>
              <w:t>Indirect costs associated with ETA and DOL administrative and executive management services</w:t>
            </w:r>
          </w:p>
        </w:tc>
        <w:tc>
          <w:tcPr>
            <w:tcW w:w="144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271976" w:rsidR="00271976" w:rsidP="00271976" w:rsidRDefault="00271976" w14:paraId="2071682C" w14:textId="77777777">
            <w:pPr>
              <w:spacing w:line="252" w:lineRule="auto"/>
              <w:jc w:val="center"/>
              <w:rPr>
                <w:rFonts w:eastAsia="Calibri"/>
                <w:sz w:val="18"/>
                <w:szCs w:val="18"/>
              </w:rPr>
            </w:pPr>
            <w:r w:rsidRPr="00271976">
              <w:rPr>
                <w:rFonts w:eastAsia="Calibri"/>
                <w:sz w:val="18"/>
                <w:szCs w:val="18"/>
              </w:rPr>
              <w:t>$3,115,302</w:t>
            </w:r>
          </w:p>
        </w:tc>
      </w:tr>
      <w:tr w:rsidRPr="00271976" w:rsidR="00271976" w:rsidTr="00E33768" w14:paraId="37A271D0" w14:textId="77777777">
        <w:trPr>
          <w:trHeight w:val="504"/>
        </w:trPr>
        <w:tc>
          <w:tcPr>
            <w:tcW w:w="3330" w:type="dxa"/>
            <w:tcBorders>
              <w:top w:val="nil"/>
              <w:left w:val="single" w:color="auto" w:sz="8" w:space="0"/>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center"/>
            <w:hideMark/>
          </w:tcPr>
          <w:p w:rsidRPr="00271976" w:rsidR="00271976" w:rsidP="00271976" w:rsidRDefault="00271976" w14:paraId="1CDB3C17" w14:textId="77777777">
            <w:pPr>
              <w:spacing w:line="252" w:lineRule="auto"/>
              <w:rPr>
                <w:rFonts w:eastAsia="Calibri"/>
                <w:sz w:val="18"/>
                <w:szCs w:val="18"/>
              </w:rPr>
            </w:pPr>
            <w:r w:rsidRPr="00271976">
              <w:rPr>
                <w:rFonts w:eastAsia="Calibri"/>
                <w:sz w:val="18"/>
                <w:szCs w:val="18"/>
              </w:rPr>
              <w:t>Supplies &amp; Equipment</w:t>
            </w:r>
          </w:p>
        </w:tc>
        <w:tc>
          <w:tcPr>
            <w:tcW w:w="540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271976" w:rsidR="00271976" w:rsidP="00E33768" w:rsidRDefault="00271976" w14:paraId="219CEDCA" w14:textId="77777777">
            <w:pPr>
              <w:numPr>
                <w:ilvl w:val="0"/>
                <w:numId w:val="11"/>
              </w:numPr>
              <w:spacing w:line="252" w:lineRule="auto"/>
              <w:ind w:left="162" w:hanging="162"/>
              <w:rPr>
                <w:rFonts w:eastAsia="Calibri"/>
                <w:sz w:val="18"/>
                <w:szCs w:val="18"/>
              </w:rPr>
            </w:pPr>
            <w:r w:rsidRPr="00271976">
              <w:rPr>
                <w:rFonts w:eastAsia="Calibri"/>
                <w:sz w:val="18"/>
                <w:szCs w:val="18"/>
              </w:rPr>
              <w:t>General office supplies</w:t>
            </w:r>
          </w:p>
          <w:p w:rsidRPr="00271976" w:rsidR="00271976" w:rsidP="00E33768" w:rsidRDefault="00271976" w14:paraId="1C5B1109" w14:textId="77777777">
            <w:pPr>
              <w:numPr>
                <w:ilvl w:val="0"/>
                <w:numId w:val="11"/>
              </w:numPr>
              <w:spacing w:line="252" w:lineRule="auto"/>
              <w:ind w:left="162" w:hanging="162"/>
              <w:rPr>
                <w:rFonts w:eastAsia="Calibri"/>
                <w:sz w:val="18"/>
                <w:szCs w:val="18"/>
              </w:rPr>
            </w:pPr>
            <w:r w:rsidRPr="00271976">
              <w:rPr>
                <w:rFonts w:eastAsia="Calibri"/>
                <w:sz w:val="18"/>
                <w:szCs w:val="18"/>
              </w:rPr>
              <w:t>Computers, printers, and other office related equipment</w:t>
            </w:r>
          </w:p>
        </w:tc>
        <w:tc>
          <w:tcPr>
            <w:tcW w:w="144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271976" w:rsidR="00271976" w:rsidP="00271976" w:rsidRDefault="00271976" w14:paraId="6CA95804" w14:textId="77777777">
            <w:pPr>
              <w:spacing w:line="252" w:lineRule="auto"/>
              <w:jc w:val="center"/>
              <w:rPr>
                <w:rFonts w:eastAsia="Calibri"/>
                <w:sz w:val="18"/>
                <w:szCs w:val="18"/>
              </w:rPr>
            </w:pPr>
            <w:r w:rsidRPr="00271976">
              <w:rPr>
                <w:rFonts w:eastAsia="Calibri"/>
                <w:sz w:val="18"/>
                <w:szCs w:val="18"/>
              </w:rPr>
              <w:t>$1,980</w:t>
            </w:r>
          </w:p>
        </w:tc>
      </w:tr>
      <w:tr w:rsidRPr="00271976" w:rsidR="00271976" w:rsidTr="00E33768" w14:paraId="22107CB1" w14:textId="77777777">
        <w:trPr>
          <w:trHeight w:val="504"/>
        </w:trPr>
        <w:tc>
          <w:tcPr>
            <w:tcW w:w="3330" w:type="dxa"/>
            <w:tcBorders>
              <w:top w:val="nil"/>
              <w:left w:val="single" w:color="auto" w:sz="8" w:space="0"/>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center"/>
            <w:hideMark/>
          </w:tcPr>
          <w:p w:rsidRPr="00271976" w:rsidR="00271976" w:rsidP="00271976" w:rsidRDefault="00271976" w14:paraId="6DF502D0" w14:textId="77777777">
            <w:pPr>
              <w:spacing w:line="252" w:lineRule="auto"/>
              <w:rPr>
                <w:rFonts w:eastAsia="Calibri"/>
                <w:sz w:val="18"/>
                <w:szCs w:val="18"/>
              </w:rPr>
            </w:pPr>
            <w:r w:rsidRPr="00271976">
              <w:rPr>
                <w:rFonts w:eastAsia="Calibri"/>
                <w:sz w:val="18"/>
                <w:szCs w:val="18"/>
              </w:rPr>
              <w:t>Mail &amp; Telecommunications</w:t>
            </w:r>
          </w:p>
        </w:tc>
        <w:tc>
          <w:tcPr>
            <w:tcW w:w="540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271976" w:rsidR="00271976" w:rsidP="00E33768" w:rsidRDefault="00271976" w14:paraId="6B79E5FD" w14:textId="77777777">
            <w:pPr>
              <w:numPr>
                <w:ilvl w:val="0"/>
                <w:numId w:val="11"/>
              </w:numPr>
              <w:spacing w:line="252" w:lineRule="auto"/>
              <w:ind w:left="162" w:hanging="162"/>
              <w:rPr>
                <w:rFonts w:eastAsia="Calibri"/>
                <w:sz w:val="18"/>
                <w:szCs w:val="18"/>
              </w:rPr>
            </w:pPr>
            <w:r w:rsidRPr="00271976">
              <w:rPr>
                <w:rFonts w:eastAsia="Calibri"/>
                <w:sz w:val="18"/>
                <w:szCs w:val="18"/>
              </w:rPr>
              <w:t>Mail or overnight delivery services</w:t>
            </w:r>
          </w:p>
          <w:p w:rsidRPr="00271976" w:rsidR="00271976" w:rsidP="00E33768" w:rsidRDefault="00271976" w14:paraId="3E7901A3" w14:textId="77777777">
            <w:pPr>
              <w:numPr>
                <w:ilvl w:val="0"/>
                <w:numId w:val="11"/>
              </w:numPr>
              <w:spacing w:line="252" w:lineRule="auto"/>
              <w:ind w:left="162" w:hanging="162"/>
              <w:rPr>
                <w:rFonts w:eastAsia="Calibri"/>
                <w:sz w:val="18"/>
                <w:szCs w:val="18"/>
              </w:rPr>
            </w:pPr>
            <w:r w:rsidRPr="00271976">
              <w:rPr>
                <w:rFonts w:eastAsia="Calibri"/>
                <w:sz w:val="18"/>
                <w:szCs w:val="18"/>
              </w:rPr>
              <w:t>Phone and other telecommunication related charges</w:t>
            </w:r>
          </w:p>
        </w:tc>
        <w:tc>
          <w:tcPr>
            <w:tcW w:w="144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271976" w:rsidR="00271976" w:rsidP="00271976" w:rsidRDefault="00271976" w14:paraId="4340A541" w14:textId="77777777">
            <w:pPr>
              <w:spacing w:line="252" w:lineRule="auto"/>
              <w:jc w:val="center"/>
              <w:rPr>
                <w:rFonts w:eastAsia="Calibri"/>
                <w:sz w:val="18"/>
                <w:szCs w:val="18"/>
              </w:rPr>
            </w:pPr>
            <w:r w:rsidRPr="00271976">
              <w:rPr>
                <w:rFonts w:eastAsia="Calibri"/>
                <w:sz w:val="18"/>
                <w:szCs w:val="18"/>
              </w:rPr>
              <w:t>$12,828</w:t>
            </w:r>
          </w:p>
        </w:tc>
      </w:tr>
      <w:tr w:rsidRPr="00271976" w:rsidR="00271976" w:rsidTr="00E33768" w14:paraId="57007015" w14:textId="77777777">
        <w:trPr>
          <w:trHeight w:val="504"/>
        </w:trPr>
        <w:tc>
          <w:tcPr>
            <w:tcW w:w="3330" w:type="dxa"/>
            <w:tcBorders>
              <w:top w:val="nil"/>
              <w:left w:val="single" w:color="auto" w:sz="8" w:space="0"/>
              <w:bottom w:val="single" w:color="auto" w:sz="8" w:space="0"/>
              <w:right w:val="single" w:color="auto" w:sz="8" w:space="0"/>
            </w:tcBorders>
            <w:shd w:val="clear" w:color="auto" w:fill="D9D9D9" w:themeFill="background1" w:themeFillShade="D9"/>
            <w:noWrap/>
            <w:tcMar>
              <w:top w:w="0" w:type="dxa"/>
              <w:left w:w="108" w:type="dxa"/>
              <w:bottom w:w="0" w:type="dxa"/>
              <w:right w:w="108" w:type="dxa"/>
            </w:tcMar>
            <w:vAlign w:val="center"/>
            <w:hideMark/>
          </w:tcPr>
          <w:p w:rsidRPr="00271976" w:rsidR="00271976" w:rsidP="00271976" w:rsidRDefault="00271976" w14:paraId="6D8C501D" w14:textId="77777777">
            <w:pPr>
              <w:spacing w:line="252" w:lineRule="auto"/>
              <w:rPr>
                <w:rFonts w:eastAsia="Calibri"/>
                <w:sz w:val="18"/>
                <w:szCs w:val="18"/>
              </w:rPr>
            </w:pPr>
            <w:r w:rsidRPr="00271976">
              <w:rPr>
                <w:rFonts w:eastAsia="Calibri"/>
                <w:sz w:val="18"/>
                <w:szCs w:val="18"/>
              </w:rPr>
              <w:t>Other Costs</w:t>
            </w:r>
          </w:p>
        </w:tc>
        <w:tc>
          <w:tcPr>
            <w:tcW w:w="540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271976" w:rsidR="00271976" w:rsidP="00E33768" w:rsidRDefault="00271976" w14:paraId="3AEA631E" w14:textId="77777777">
            <w:pPr>
              <w:numPr>
                <w:ilvl w:val="0"/>
                <w:numId w:val="11"/>
              </w:numPr>
              <w:spacing w:line="252" w:lineRule="auto"/>
              <w:ind w:left="162" w:hanging="162"/>
              <w:rPr>
                <w:rFonts w:eastAsia="Calibri"/>
                <w:sz w:val="18"/>
                <w:szCs w:val="18"/>
              </w:rPr>
            </w:pPr>
            <w:r w:rsidRPr="00271976">
              <w:rPr>
                <w:rFonts w:eastAsia="Calibri"/>
                <w:sz w:val="18"/>
                <w:szCs w:val="18"/>
              </w:rPr>
              <w:t>Travel</w:t>
            </w:r>
          </w:p>
          <w:p w:rsidRPr="00271976" w:rsidR="00271976" w:rsidP="00E33768" w:rsidRDefault="00271976" w14:paraId="4CE95608" w14:textId="77777777">
            <w:pPr>
              <w:numPr>
                <w:ilvl w:val="0"/>
                <w:numId w:val="11"/>
              </w:numPr>
              <w:spacing w:line="252" w:lineRule="auto"/>
              <w:ind w:left="162" w:hanging="162"/>
              <w:rPr>
                <w:rFonts w:eastAsia="Calibri"/>
                <w:sz w:val="18"/>
                <w:szCs w:val="18"/>
              </w:rPr>
            </w:pPr>
            <w:r w:rsidRPr="00271976">
              <w:rPr>
                <w:rFonts w:eastAsia="Calibri"/>
                <w:sz w:val="18"/>
                <w:szCs w:val="18"/>
              </w:rPr>
              <w:t>Printing and other Government Agency Services</w:t>
            </w:r>
          </w:p>
        </w:tc>
        <w:tc>
          <w:tcPr>
            <w:tcW w:w="1440"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center"/>
            <w:hideMark/>
          </w:tcPr>
          <w:p w:rsidRPr="00271976" w:rsidR="00271976" w:rsidP="00271976" w:rsidRDefault="00271976" w14:paraId="2E964C78" w14:textId="77777777">
            <w:pPr>
              <w:spacing w:line="252" w:lineRule="auto"/>
              <w:jc w:val="center"/>
              <w:rPr>
                <w:rFonts w:eastAsia="Calibri"/>
                <w:sz w:val="18"/>
                <w:szCs w:val="18"/>
              </w:rPr>
            </w:pPr>
            <w:r w:rsidRPr="00271976">
              <w:rPr>
                <w:rFonts w:eastAsia="Calibri"/>
                <w:sz w:val="18"/>
                <w:szCs w:val="18"/>
              </w:rPr>
              <w:t>$33,346</w:t>
            </w:r>
          </w:p>
        </w:tc>
      </w:tr>
      <w:tr w:rsidRPr="00271976" w:rsidR="00271976" w:rsidTr="00E33768" w14:paraId="58ED871E" w14:textId="77777777">
        <w:trPr>
          <w:trHeight w:val="504"/>
        </w:trPr>
        <w:tc>
          <w:tcPr>
            <w:tcW w:w="8730" w:type="dxa"/>
            <w:gridSpan w:val="2"/>
            <w:tcBorders>
              <w:top w:val="nil"/>
              <w:left w:val="single" w:color="auto" w:sz="8" w:space="0"/>
              <w:bottom w:val="single" w:color="auto" w:sz="8" w:space="0"/>
              <w:right w:val="single" w:color="auto" w:sz="8" w:space="0"/>
            </w:tcBorders>
            <w:shd w:val="clear" w:color="auto" w:fill="8DB3E2"/>
            <w:noWrap/>
            <w:tcMar>
              <w:top w:w="0" w:type="dxa"/>
              <w:left w:w="108" w:type="dxa"/>
              <w:bottom w:w="0" w:type="dxa"/>
              <w:right w:w="108" w:type="dxa"/>
            </w:tcMar>
            <w:vAlign w:val="center"/>
            <w:hideMark/>
          </w:tcPr>
          <w:p w:rsidRPr="00271976" w:rsidR="00271976" w:rsidP="00271976" w:rsidRDefault="00271976" w14:paraId="46D8C353" w14:textId="77777777">
            <w:pPr>
              <w:spacing w:line="252" w:lineRule="auto"/>
              <w:rPr>
                <w:rFonts w:eastAsia="Calibri"/>
                <w:b/>
                <w:bCs/>
                <w:sz w:val="18"/>
                <w:szCs w:val="18"/>
              </w:rPr>
            </w:pPr>
            <w:r w:rsidRPr="00271976">
              <w:rPr>
                <w:rFonts w:eastAsia="Calibri"/>
                <w:b/>
                <w:bCs/>
                <w:sz w:val="18"/>
                <w:szCs w:val="18"/>
              </w:rPr>
              <w:t>TOTAL COSTS - FEDERAL ADMINISTRATION</w:t>
            </w:r>
          </w:p>
        </w:tc>
        <w:tc>
          <w:tcPr>
            <w:tcW w:w="1440" w:type="dxa"/>
            <w:tcBorders>
              <w:top w:val="nil"/>
              <w:left w:val="nil"/>
              <w:bottom w:val="single" w:color="auto" w:sz="8" w:space="0"/>
              <w:right w:val="single" w:color="auto" w:sz="8" w:space="0"/>
            </w:tcBorders>
            <w:shd w:val="clear" w:color="auto" w:fill="8DB3E2"/>
            <w:noWrap/>
            <w:tcMar>
              <w:top w:w="0" w:type="dxa"/>
              <w:left w:w="108" w:type="dxa"/>
              <w:bottom w:w="0" w:type="dxa"/>
              <w:right w:w="108" w:type="dxa"/>
            </w:tcMar>
            <w:vAlign w:val="center"/>
            <w:hideMark/>
          </w:tcPr>
          <w:p w:rsidRPr="00271976" w:rsidR="00271976" w:rsidP="00271976" w:rsidRDefault="00271976" w14:paraId="04CA1E00" w14:textId="712F0451">
            <w:pPr>
              <w:spacing w:line="252" w:lineRule="auto"/>
              <w:jc w:val="center"/>
              <w:rPr>
                <w:rFonts w:eastAsia="Calibri"/>
                <w:b/>
                <w:bCs/>
                <w:sz w:val="18"/>
                <w:szCs w:val="18"/>
              </w:rPr>
            </w:pPr>
            <w:r w:rsidRPr="00271976">
              <w:rPr>
                <w:rFonts w:eastAsia="Calibri"/>
                <w:b/>
                <w:bCs/>
                <w:sz w:val="18"/>
                <w:szCs w:val="18"/>
              </w:rPr>
              <w:t>$</w:t>
            </w:r>
            <w:r w:rsidR="006476E5">
              <w:rPr>
                <w:rFonts w:eastAsia="Calibri"/>
                <w:b/>
                <w:bCs/>
                <w:sz w:val="18"/>
                <w:szCs w:val="18"/>
              </w:rPr>
              <w:t>10,206,598</w:t>
            </w:r>
          </w:p>
        </w:tc>
      </w:tr>
    </w:tbl>
    <w:p w:rsidRPr="00271976" w:rsidR="00271976" w:rsidP="00565F7D" w:rsidRDefault="00271976" w14:paraId="2B656EAE" w14:textId="77777777">
      <w:pPr>
        <w:autoSpaceDE w:val="0"/>
        <w:autoSpaceDN w:val="0"/>
        <w:rPr>
          <w:rFonts w:eastAsia="Calibri"/>
        </w:rPr>
      </w:pPr>
    </w:p>
    <w:p w:rsidRPr="00271976" w:rsidR="00271976" w:rsidP="00271976" w:rsidRDefault="307545E6" w14:paraId="6D53C873" w14:textId="620A5F86">
      <w:pPr>
        <w:autoSpaceDE w:val="0"/>
        <w:autoSpaceDN w:val="0"/>
        <w:rPr>
          <w:rFonts w:eastAsia="Calibri"/>
        </w:rPr>
      </w:pPr>
      <w:r w:rsidRPr="37554BA7">
        <w:rPr>
          <w:color w:val="000000" w:themeColor="text1"/>
        </w:rPr>
        <w:t>There are 54 SWA respondents, including the 50</w:t>
      </w:r>
      <w:r w:rsidRPr="37554BA7">
        <w:rPr>
          <w:rFonts w:eastAsia="Calibri"/>
          <w:color w:val="000000" w:themeColor="text1"/>
        </w:rPr>
        <w:t xml:space="preserve"> states</w:t>
      </w:r>
      <w:r w:rsidRPr="37554BA7">
        <w:rPr>
          <w:color w:val="000000" w:themeColor="text1"/>
        </w:rPr>
        <w:t>, the District of Columbia, Puerto Rico, Guam,</w:t>
      </w:r>
      <w:r w:rsidRPr="37554BA7">
        <w:rPr>
          <w:rFonts w:eastAsia="Calibri"/>
          <w:color w:val="000000" w:themeColor="text1"/>
        </w:rPr>
        <w:t xml:space="preserve"> and </w:t>
      </w:r>
      <w:r w:rsidRPr="37554BA7">
        <w:rPr>
          <w:color w:val="000000" w:themeColor="text1"/>
        </w:rPr>
        <w:t xml:space="preserve">the </w:t>
      </w:r>
      <w:r w:rsidRPr="37554BA7">
        <w:rPr>
          <w:rFonts w:eastAsia="Calibri"/>
          <w:color w:val="000000" w:themeColor="text1"/>
        </w:rPr>
        <w:t xml:space="preserve">U.S. </w:t>
      </w:r>
      <w:r w:rsidRPr="37554BA7">
        <w:rPr>
          <w:color w:val="000000" w:themeColor="text1"/>
        </w:rPr>
        <w:t>Virgin Islands</w:t>
      </w:r>
      <w:r w:rsidRPr="007371EC" w:rsidR="00271976">
        <w:rPr>
          <w:rFonts w:eastAsia="Calibri"/>
        </w:rPr>
        <w:t>.</w:t>
      </w:r>
      <w:r w:rsidRPr="008D5938" w:rsidR="00271976">
        <w:rPr>
          <w:rStyle w:val="FootnoteReference"/>
          <w:rFonts w:eastAsia="Calibri"/>
          <w:vertAlign w:val="superscript"/>
        </w:rPr>
        <w:footnoteReference w:id="8"/>
      </w:r>
      <w:r w:rsidRPr="007371EC" w:rsidR="00271976">
        <w:rPr>
          <w:rFonts w:eastAsia="Calibri"/>
        </w:rPr>
        <w:t> </w:t>
      </w:r>
      <w:r w:rsidRPr="00271976" w:rsidR="00271976">
        <w:rPr>
          <w:rFonts w:eastAsia="Calibri"/>
        </w:rPr>
        <w:t xml:space="preserve"> Funding for these grants is provided through annual appropriations. The estimated annual cost for the H-2A portion of these activities is $16,225,600. State-level H-2A activities include, but are not limited to: reviewing and placing job orders to recruit U.S. workers; receiving and processing required notifications from employers and the Department; providing assistance to employers in the effective recruitment of U.S. workers; conducting safety inspections of employer-provided housing for H-2A agricultural workers; and performing prevailing practice and wage surveys used to set the wages and working standards for a number of occupations within the state.</w:t>
      </w:r>
    </w:p>
    <w:p w:rsidRPr="00271976" w:rsidR="00271976" w:rsidP="00271976" w:rsidRDefault="00271976" w14:paraId="423DC94E" w14:textId="77777777">
      <w:pPr>
        <w:autoSpaceDE w:val="0"/>
        <w:autoSpaceDN w:val="0"/>
        <w:rPr>
          <w:rFonts w:eastAsia="Calibri"/>
        </w:rPr>
      </w:pPr>
    </w:p>
    <w:p w:rsidRPr="00565F7D" w:rsidR="00904938" w:rsidP="00565F7D" w:rsidRDefault="00271976" w14:paraId="2A44E2BE" w14:textId="36974356">
      <w:pPr>
        <w:autoSpaceDE w:val="0"/>
        <w:autoSpaceDN w:val="0"/>
        <w:rPr>
          <w:rFonts w:eastAsia="Calibri"/>
        </w:rPr>
      </w:pPr>
      <w:r w:rsidRPr="00271976">
        <w:rPr>
          <w:rFonts w:eastAsia="Calibri"/>
        </w:rPr>
        <w:t>SWAs submit annual work plans to OFLC to establish continued eligibility for these grants.  These work plans describe the specific activities and workload expectations of each SWA during the upcoming year.</w:t>
      </w:r>
    </w:p>
    <w:p w:rsidRPr="00CE3C52" w:rsidR="00887E88" w:rsidP="00EA78D2" w:rsidRDefault="00887E88" w14:paraId="5870EB1D" w14:textId="77777777">
      <w:pPr>
        <w:autoSpaceDE w:val="0"/>
        <w:autoSpaceDN w:val="0"/>
        <w:adjustRightInd w:val="0"/>
      </w:pPr>
    </w:p>
    <w:p w:rsidRPr="008F4D44" w:rsidR="00EA78D2" w:rsidP="00565F7D" w:rsidRDefault="007F12A0" w14:paraId="2FBB514A" w14:textId="63FF18CD">
      <w:pPr>
        <w:tabs>
          <w:tab w:val="right" w:pos="360"/>
        </w:tabs>
        <w:autoSpaceDE w:val="0"/>
        <w:autoSpaceDN w:val="0"/>
        <w:adjustRightInd w:val="0"/>
        <w:rPr>
          <w:i/>
        </w:rPr>
      </w:pPr>
      <w:r w:rsidRPr="008F4D44">
        <w:rPr>
          <w:i/>
        </w:rPr>
        <w:tab/>
      </w:r>
      <w:r w:rsidR="00985E73">
        <w:rPr>
          <w:i/>
        </w:rPr>
        <w:t>A</w:t>
      </w:r>
      <w:r w:rsidRPr="008F4D44" w:rsidR="00EA78D2">
        <w:rPr>
          <w:i/>
        </w:rPr>
        <w:t>15.</w:t>
      </w:r>
      <w:r w:rsidR="00D85F67">
        <w:rPr>
          <w:i/>
        </w:rPr>
        <w:t xml:space="preserve">  </w:t>
      </w:r>
      <w:r w:rsidRPr="008F4D44" w:rsidR="00EA78D2">
        <w:rPr>
          <w:i/>
        </w:rPr>
        <w:t>Explain the reasons for any program changes or adjustments reported on the burden worksheet.</w:t>
      </w:r>
    </w:p>
    <w:p w:rsidRPr="006B6C3D" w:rsidR="006B6C3D" w:rsidP="006B6C3D" w:rsidRDefault="006B6C3D" w14:paraId="402A5B8D" w14:textId="77777777">
      <w:pPr>
        <w:autoSpaceDE w:val="0"/>
        <w:autoSpaceDN w:val="0"/>
        <w:adjustRightInd w:val="0"/>
      </w:pPr>
    </w:p>
    <w:p w:rsidR="00BA6054" w:rsidP="0052138F" w:rsidRDefault="00BA6054" w14:paraId="10893279" w14:textId="704B8113">
      <w:pPr>
        <w:autoSpaceDE w:val="0"/>
        <w:autoSpaceDN w:val="0"/>
        <w:adjustRightInd w:val="0"/>
      </w:pPr>
      <w:r>
        <w:t>T</w:t>
      </w:r>
      <w:r w:rsidRPr="00BA6054">
        <w:t>he Department only proposed non-substantive changes; specifically, it notified the public that it was proposing to update e-mail, mailing, and website address information,</w:t>
      </w:r>
      <w:r w:rsidR="003364F7">
        <w:t xml:space="preserve"> and</w:t>
      </w:r>
      <w:r w:rsidRPr="00BA6054">
        <w:t xml:space="preserve"> transferring the burden statements from the form to the instructions</w:t>
      </w:r>
      <w:r w:rsidR="003364F7">
        <w:t>.</w:t>
      </w:r>
      <w:r w:rsidRPr="00BA6054">
        <w:t xml:space="preserve">  </w:t>
      </w:r>
      <w:r w:rsidR="00AA49AD">
        <w:t xml:space="preserve">These non-substantive changes did not impact or result in any change </w:t>
      </w:r>
      <w:r w:rsidR="00F30BE5">
        <w:t>to the estimated burdens or costs.</w:t>
      </w:r>
    </w:p>
    <w:p w:rsidR="00BA6054" w:rsidP="0052138F" w:rsidRDefault="00BA6054" w14:paraId="218DE842" w14:textId="77777777">
      <w:pPr>
        <w:autoSpaceDE w:val="0"/>
        <w:autoSpaceDN w:val="0"/>
        <w:adjustRightInd w:val="0"/>
      </w:pPr>
    </w:p>
    <w:p w:rsidRPr="00165C76" w:rsidR="00165C76" w:rsidP="0052138F" w:rsidRDefault="00165C76" w14:paraId="3406F7A1" w14:textId="32FCA68B">
      <w:pPr>
        <w:autoSpaceDE w:val="0"/>
        <w:autoSpaceDN w:val="0"/>
        <w:adjustRightInd w:val="0"/>
      </w:pPr>
      <w:r w:rsidRPr="00165C76">
        <w:t xml:space="preserve">The total number of responses, burden hours, and monetized costs associated with all collections under this ICR differ from previous estimates.  </w:t>
      </w:r>
      <w:r w:rsidRPr="006B6C3D">
        <w:t>The answer provided to A.12 provides more information regarding this burden increase.</w:t>
      </w:r>
      <w:r>
        <w:t xml:space="preserve"> </w:t>
      </w:r>
      <w:r w:rsidR="008C31CC">
        <w:t xml:space="preserve"> </w:t>
      </w:r>
      <w:r w:rsidRPr="00165C76">
        <w:t>The chart below shows the changes being requested under this ICR.  All estimates have been rounded</w:t>
      </w:r>
      <w:r w:rsidR="00CF4AE3">
        <w:t xml:space="preserve"> up to the nearest dollar</w:t>
      </w:r>
      <w:r w:rsidRPr="00165C76">
        <w:t>.</w:t>
      </w:r>
    </w:p>
    <w:p w:rsidRPr="00165C76" w:rsidR="00165C76" w:rsidP="00165C76" w:rsidRDefault="00165C76" w14:paraId="0A56B94D" w14:textId="77777777">
      <w:pPr>
        <w:tabs>
          <w:tab w:val="left" w:pos="-1440"/>
        </w:tabs>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37"/>
        <w:gridCol w:w="1710"/>
        <w:gridCol w:w="3624"/>
        <w:gridCol w:w="2671"/>
      </w:tblGrid>
      <w:tr w:rsidRPr="00165C76" w:rsidR="00165C76" w:rsidTr="00EC2682" w14:paraId="59014189" w14:textId="77777777">
        <w:tc>
          <w:tcPr>
            <w:tcW w:w="1237" w:type="dxa"/>
            <w:vAlign w:val="center"/>
          </w:tcPr>
          <w:p w:rsidRPr="00165C76" w:rsidR="00165C76" w:rsidP="00165C76" w:rsidRDefault="00165C76" w14:paraId="3C0F8255" w14:textId="77777777">
            <w:pPr>
              <w:tabs>
                <w:tab w:val="left" w:pos="-1440"/>
              </w:tabs>
              <w:jc w:val="center"/>
            </w:pPr>
            <w:r w:rsidRPr="00165C76">
              <w:t>OMB Control Number</w:t>
            </w:r>
          </w:p>
          <w:p w:rsidRPr="00165C76" w:rsidR="00165C76" w:rsidP="00165C76" w:rsidRDefault="00165C76" w14:paraId="3A07DC08" w14:textId="77777777">
            <w:pPr>
              <w:tabs>
                <w:tab w:val="left" w:pos="-1440"/>
              </w:tabs>
              <w:jc w:val="center"/>
              <w:rPr>
                <w:i/>
                <w:sz w:val="18"/>
                <w:szCs w:val="18"/>
              </w:rPr>
            </w:pPr>
            <w:r w:rsidRPr="00165C76">
              <w:rPr>
                <w:i/>
                <w:sz w:val="18"/>
                <w:szCs w:val="18"/>
              </w:rPr>
              <w:t>(1205-0466)</w:t>
            </w:r>
          </w:p>
        </w:tc>
        <w:tc>
          <w:tcPr>
            <w:tcW w:w="1710" w:type="dxa"/>
            <w:vAlign w:val="center"/>
          </w:tcPr>
          <w:p w:rsidRPr="00165C76" w:rsidR="00165C76" w:rsidP="00165C76" w:rsidRDefault="00165C76" w14:paraId="5A9100FC" w14:textId="32EDE17A">
            <w:pPr>
              <w:tabs>
                <w:tab w:val="left" w:pos="-1440"/>
              </w:tabs>
              <w:jc w:val="center"/>
            </w:pPr>
            <w:r w:rsidRPr="00165C76">
              <w:t>Previous</w:t>
            </w:r>
          </w:p>
          <w:p w:rsidRPr="00165C76" w:rsidR="00165C76" w:rsidP="00165C76" w:rsidRDefault="00165C76" w14:paraId="07DFBAD6" w14:textId="77777777">
            <w:pPr>
              <w:tabs>
                <w:tab w:val="left" w:pos="-1440"/>
              </w:tabs>
              <w:jc w:val="center"/>
            </w:pPr>
            <w:r w:rsidRPr="00165C76">
              <w:t>Estimates</w:t>
            </w:r>
          </w:p>
        </w:tc>
        <w:tc>
          <w:tcPr>
            <w:tcW w:w="3624" w:type="dxa"/>
            <w:vAlign w:val="center"/>
          </w:tcPr>
          <w:p w:rsidRPr="00165C76" w:rsidR="00165C76" w:rsidP="00165C76" w:rsidRDefault="00165C76" w14:paraId="2D0F5DD0" w14:textId="6AEFC4C8">
            <w:pPr>
              <w:tabs>
                <w:tab w:val="left" w:pos="-1440"/>
              </w:tabs>
              <w:jc w:val="center"/>
            </w:pPr>
            <w:r w:rsidRPr="00165C76">
              <w:t>Current</w:t>
            </w:r>
          </w:p>
          <w:p w:rsidRPr="00165C76" w:rsidR="00165C76" w:rsidP="00165C76" w:rsidRDefault="00165C76" w14:paraId="418EC5A3" w14:textId="77777777">
            <w:pPr>
              <w:tabs>
                <w:tab w:val="left" w:pos="-1440"/>
              </w:tabs>
              <w:jc w:val="center"/>
            </w:pPr>
            <w:r w:rsidRPr="00165C76">
              <w:t>Estimates</w:t>
            </w:r>
          </w:p>
        </w:tc>
        <w:tc>
          <w:tcPr>
            <w:tcW w:w="2671" w:type="dxa"/>
            <w:vAlign w:val="center"/>
          </w:tcPr>
          <w:p w:rsidRPr="00165C76" w:rsidR="00165C76" w:rsidP="00165C76" w:rsidRDefault="00165C76" w14:paraId="1D40C639" w14:textId="77777777">
            <w:pPr>
              <w:tabs>
                <w:tab w:val="left" w:pos="-1440"/>
              </w:tabs>
              <w:jc w:val="center"/>
            </w:pPr>
            <w:r w:rsidRPr="00165C76">
              <w:t>Change</w:t>
            </w:r>
          </w:p>
        </w:tc>
      </w:tr>
      <w:tr w:rsidRPr="00165C76" w:rsidR="00165C76" w:rsidTr="00EC2682" w14:paraId="30AEDCDA" w14:textId="77777777">
        <w:trPr>
          <w:trHeight w:val="360"/>
        </w:trPr>
        <w:tc>
          <w:tcPr>
            <w:tcW w:w="1237" w:type="dxa"/>
            <w:vAlign w:val="center"/>
          </w:tcPr>
          <w:p w:rsidRPr="00165C76" w:rsidR="00165C76" w:rsidP="00165C76" w:rsidRDefault="00165C76" w14:paraId="203C13E4" w14:textId="77777777">
            <w:pPr>
              <w:tabs>
                <w:tab w:val="left" w:pos="-1440"/>
              </w:tabs>
            </w:pPr>
            <w:r w:rsidRPr="00165C76">
              <w:t>Annual Responses</w:t>
            </w:r>
          </w:p>
        </w:tc>
        <w:tc>
          <w:tcPr>
            <w:tcW w:w="1710" w:type="dxa"/>
            <w:vAlign w:val="center"/>
          </w:tcPr>
          <w:p w:rsidRPr="00165C76" w:rsidR="00165C76" w:rsidP="0077524C" w:rsidRDefault="7BB86D5F" w14:paraId="3BD3D39E" w14:textId="4F391BD1">
            <w:pPr>
              <w:jc w:val="right"/>
            </w:pPr>
            <w:r>
              <w:t>273,537</w:t>
            </w:r>
          </w:p>
        </w:tc>
        <w:tc>
          <w:tcPr>
            <w:tcW w:w="3624" w:type="dxa"/>
            <w:vAlign w:val="center"/>
          </w:tcPr>
          <w:p w:rsidRPr="00165C76" w:rsidR="00165C76" w:rsidP="0DE1A6F4" w:rsidRDefault="0190CE88" w14:paraId="486A1A4E" w14:textId="2B6BF501">
            <w:pPr>
              <w:jc w:val="right"/>
            </w:pPr>
            <w:r>
              <w:t>45</w:t>
            </w:r>
            <w:r w:rsidR="008D5938">
              <w:t>8,114</w:t>
            </w:r>
          </w:p>
        </w:tc>
        <w:tc>
          <w:tcPr>
            <w:tcW w:w="2671" w:type="dxa"/>
            <w:vAlign w:val="center"/>
          </w:tcPr>
          <w:p w:rsidRPr="00165C76" w:rsidR="00165C76" w:rsidP="0DE1A6F4" w:rsidRDefault="00165C76" w14:paraId="29800E3C" w14:textId="271FC85D">
            <w:pPr>
              <w:jc w:val="right"/>
            </w:pPr>
            <w:r>
              <w:t xml:space="preserve">+ </w:t>
            </w:r>
            <w:r w:rsidR="00CF7883">
              <w:t>184,577</w:t>
            </w:r>
          </w:p>
        </w:tc>
      </w:tr>
      <w:tr w:rsidRPr="00165C76" w:rsidR="00165C76" w:rsidTr="00EC2682" w14:paraId="74211DDD" w14:textId="77777777">
        <w:trPr>
          <w:trHeight w:val="360"/>
        </w:trPr>
        <w:tc>
          <w:tcPr>
            <w:tcW w:w="1237" w:type="dxa"/>
            <w:vAlign w:val="center"/>
          </w:tcPr>
          <w:p w:rsidRPr="00165C76" w:rsidR="00165C76" w:rsidP="00165C76" w:rsidRDefault="00165C76" w14:paraId="3F5B74DB" w14:textId="77777777">
            <w:pPr>
              <w:tabs>
                <w:tab w:val="left" w:pos="-1440"/>
              </w:tabs>
            </w:pPr>
            <w:r w:rsidRPr="00165C76">
              <w:t>Burden Hours</w:t>
            </w:r>
          </w:p>
        </w:tc>
        <w:tc>
          <w:tcPr>
            <w:tcW w:w="1710" w:type="dxa"/>
            <w:vAlign w:val="center"/>
          </w:tcPr>
          <w:p w:rsidRPr="00165C76" w:rsidR="00165C76" w:rsidP="0077524C" w:rsidRDefault="1CA88691" w14:paraId="329ED159" w14:textId="79F9ADDC">
            <w:pPr>
              <w:jc w:val="right"/>
            </w:pPr>
            <w:r>
              <w:t>52,385</w:t>
            </w:r>
          </w:p>
        </w:tc>
        <w:tc>
          <w:tcPr>
            <w:tcW w:w="3624" w:type="dxa"/>
            <w:vAlign w:val="center"/>
          </w:tcPr>
          <w:p w:rsidRPr="00165C76" w:rsidR="00165C76" w:rsidP="0DE1A6F4" w:rsidRDefault="29C94387" w14:paraId="11D20A5E" w14:textId="405532E1">
            <w:pPr>
              <w:jc w:val="right"/>
            </w:pPr>
            <w:r>
              <w:t>8</w:t>
            </w:r>
            <w:r w:rsidR="4EBDEEA0">
              <w:t>8,</w:t>
            </w:r>
            <w:r w:rsidR="008D5938">
              <w:t>268.23</w:t>
            </w:r>
          </w:p>
        </w:tc>
        <w:tc>
          <w:tcPr>
            <w:tcW w:w="2671" w:type="dxa"/>
            <w:vAlign w:val="center"/>
          </w:tcPr>
          <w:p w:rsidRPr="00165C76" w:rsidR="00165C76" w:rsidP="0DE1A6F4" w:rsidRDefault="00165C76" w14:paraId="41E4731E" w14:textId="164DBF0E">
            <w:pPr>
              <w:jc w:val="right"/>
            </w:pPr>
            <w:r>
              <w:t xml:space="preserve">+ </w:t>
            </w:r>
            <w:r w:rsidR="00D73B4B">
              <w:t>35,883.23</w:t>
            </w:r>
          </w:p>
        </w:tc>
      </w:tr>
      <w:tr w:rsidRPr="00165C76" w:rsidR="00165C76" w:rsidTr="00EC2682" w14:paraId="341AEA85" w14:textId="77777777">
        <w:trPr>
          <w:trHeight w:val="360"/>
        </w:trPr>
        <w:tc>
          <w:tcPr>
            <w:tcW w:w="1237" w:type="dxa"/>
            <w:vAlign w:val="center"/>
          </w:tcPr>
          <w:p w:rsidRPr="00165C76" w:rsidR="00165C76" w:rsidP="00165C76" w:rsidRDefault="00165C76" w14:paraId="35838A91" w14:textId="0F8741A6">
            <w:pPr>
              <w:tabs>
                <w:tab w:val="left" w:pos="-1440"/>
              </w:tabs>
            </w:pPr>
            <w:r w:rsidRPr="00165C76">
              <w:t>Cost of Time</w:t>
            </w:r>
          </w:p>
        </w:tc>
        <w:tc>
          <w:tcPr>
            <w:tcW w:w="1710" w:type="dxa"/>
            <w:vAlign w:val="center"/>
          </w:tcPr>
          <w:p w:rsidRPr="00165C76" w:rsidR="00165C76" w:rsidP="0077524C" w:rsidRDefault="6BE505E0" w14:paraId="1267AA14" w14:textId="5EF216F8">
            <w:pPr>
              <w:jc w:val="right"/>
            </w:pPr>
            <w:r>
              <w:t>$4,447,994.22</w:t>
            </w:r>
          </w:p>
        </w:tc>
        <w:tc>
          <w:tcPr>
            <w:tcW w:w="3624" w:type="dxa"/>
            <w:vAlign w:val="center"/>
          </w:tcPr>
          <w:p w:rsidRPr="00165C76" w:rsidR="00165C76" w:rsidP="0DE1A6F4" w:rsidRDefault="4C6311E6" w14:paraId="2DF48D18" w14:textId="14575C93">
            <w:pPr>
              <w:jc w:val="right"/>
            </w:pPr>
            <w:r>
              <w:t>$</w:t>
            </w:r>
            <w:r w:rsidR="00F65E4C">
              <w:t>7,506,330.56</w:t>
            </w:r>
          </w:p>
        </w:tc>
        <w:tc>
          <w:tcPr>
            <w:tcW w:w="2671" w:type="dxa"/>
            <w:vAlign w:val="center"/>
          </w:tcPr>
          <w:p w:rsidRPr="00165C76" w:rsidR="00165C76" w:rsidP="0DE1A6F4" w:rsidRDefault="00165C76" w14:paraId="19D5A4AB" w14:textId="768740F3">
            <w:pPr>
              <w:jc w:val="right"/>
            </w:pPr>
            <w:r>
              <w:t xml:space="preserve">+ </w:t>
            </w:r>
            <w:r w:rsidR="7E2C36ED">
              <w:t>$</w:t>
            </w:r>
            <w:r w:rsidR="00251EBA">
              <w:t>3,058,336.34</w:t>
            </w:r>
          </w:p>
        </w:tc>
      </w:tr>
    </w:tbl>
    <w:p w:rsidR="00930B2B" w:rsidP="00930B2B" w:rsidRDefault="00930B2B" w14:paraId="07A3C537" w14:textId="77777777">
      <w:pPr>
        <w:tabs>
          <w:tab w:val="left" w:pos="-1440"/>
        </w:tabs>
      </w:pPr>
    </w:p>
    <w:p w:rsidR="003C05B0" w:rsidP="005F281F" w:rsidRDefault="00165C76" w14:paraId="30D17ABD" w14:textId="4DA712AF">
      <w:pPr>
        <w:tabs>
          <w:tab w:val="left" w:pos="4680"/>
        </w:tabs>
      </w:pPr>
      <w:r w:rsidRPr="00165C76">
        <w:t xml:space="preserve">There </w:t>
      </w:r>
      <w:r w:rsidR="008302B4">
        <w:t xml:space="preserve">has been an increase of total burden hours.  </w:t>
      </w:r>
      <w:r w:rsidR="008E20C1">
        <w:t xml:space="preserve">The </w:t>
      </w:r>
      <w:r w:rsidRPr="00165C76">
        <w:t xml:space="preserve">estimated number of annual responses, burden hours, and monetized cost of respondent time associated with this ICR have increased from previous estimates.  </w:t>
      </w:r>
      <w:r w:rsidR="009F0219">
        <w:t>E</w:t>
      </w:r>
      <w:r w:rsidRPr="00165C76">
        <w:t>mployer use of the H-2A program has significantly increased over the last three fiscal years.  In FY 20</w:t>
      </w:r>
      <w:r w:rsidR="2D9F3FDB">
        <w:t>21</w:t>
      </w:r>
      <w:r w:rsidRPr="00165C76">
        <w:t>, the Department received approximately 1</w:t>
      </w:r>
      <w:r w:rsidR="36ADD2C2">
        <w:t>6,546</w:t>
      </w:r>
      <w:r w:rsidRPr="00165C76">
        <w:t xml:space="preserve"> employer applications requesting temporary labor certification</w:t>
      </w:r>
      <w:r w:rsidR="00147ACD">
        <w:t>,</w:t>
      </w:r>
      <w:r w:rsidRPr="00165C76" w:rsidR="00147ACD">
        <w:t xml:space="preserve"> </w:t>
      </w:r>
      <w:r w:rsidRPr="00165C76">
        <w:t xml:space="preserve">a </w:t>
      </w:r>
      <w:r w:rsidR="1001AA82">
        <w:t>26.5</w:t>
      </w:r>
      <w:r w:rsidRPr="00165C76">
        <w:t xml:space="preserve"> percent increase over the workload received during FY 201</w:t>
      </w:r>
      <w:r w:rsidR="4B9697A5">
        <w:t>9</w:t>
      </w:r>
      <w:r w:rsidRPr="00165C76">
        <w:t>.</w:t>
      </w:r>
      <w:r w:rsidRPr="00B97EE7" w:rsidR="00B97EE7">
        <w:rPr>
          <w:rStyle w:val="FootnoteReference"/>
          <w:vertAlign w:val="superscript"/>
        </w:rPr>
        <w:footnoteReference w:id="9"/>
      </w:r>
      <w:r w:rsidRPr="00165C76">
        <w:t xml:space="preserve">  To more accurately estimate </w:t>
      </w:r>
      <w:r w:rsidR="003C05B0">
        <w:t xml:space="preserve">the annual </w:t>
      </w:r>
      <w:r w:rsidRPr="00165C76">
        <w:t xml:space="preserve">burden </w:t>
      </w:r>
      <w:r w:rsidR="003C05B0">
        <w:t xml:space="preserve">hours </w:t>
      </w:r>
      <w:r w:rsidRPr="00165C76">
        <w:t xml:space="preserve">under this ICR, the Department utilized a three-year average </w:t>
      </w:r>
      <w:r w:rsidR="003C05B0">
        <w:t>of the total number of respondents that file applications during the three precedent fiscal years (</w:t>
      </w:r>
      <w:r w:rsidR="04BCBA9C">
        <w:t>14,586</w:t>
      </w:r>
      <w:r w:rsidR="008A13AE">
        <w:t>,</w:t>
      </w:r>
      <w:r w:rsidRPr="00165C76">
        <w:t xml:space="preserve"> compared to the previous estimate of </w:t>
      </w:r>
      <w:r w:rsidR="13DE8EB8">
        <w:t>8,783</w:t>
      </w:r>
      <w:r w:rsidRPr="00165C76">
        <w:t xml:space="preserve"> </w:t>
      </w:r>
      <w:r w:rsidR="003C05B0">
        <w:t>respondents provided during the last renewal cycle)</w:t>
      </w:r>
      <w:r w:rsidRPr="00165C76">
        <w:t xml:space="preserve">.  This increase </w:t>
      </w:r>
      <w:r w:rsidR="008302B4">
        <w:t xml:space="preserve">in filings </w:t>
      </w:r>
      <w:r w:rsidRPr="00165C76">
        <w:t>is outside the control of the Department</w:t>
      </w:r>
      <w:r w:rsidR="008302B4">
        <w:t>.</w:t>
      </w:r>
      <w:r w:rsidR="00474D64">
        <w:t xml:space="preserve">  </w:t>
      </w:r>
      <w:r w:rsidR="003C05B0">
        <w:t xml:space="preserve">As a result, the Department estimates based on this increase on the number of respondents that the total annual burden hours will increase from the previously </w:t>
      </w:r>
      <w:r w:rsidRPr="003C05B0" w:rsidR="003C05B0">
        <w:t xml:space="preserve">approved </w:t>
      </w:r>
      <w:r w:rsidR="3E02D027">
        <w:t>273,537</w:t>
      </w:r>
      <w:r w:rsidRPr="003C05B0" w:rsidR="003C05B0">
        <w:t xml:space="preserve"> annual burden hours to </w:t>
      </w:r>
      <w:r w:rsidR="2D8F8F21">
        <w:t>45</w:t>
      </w:r>
      <w:r w:rsidR="00D2560A">
        <w:t>8,114</w:t>
      </w:r>
      <w:r w:rsidRPr="003C05B0" w:rsidR="003C05B0">
        <w:t xml:space="preserve"> annual burden hours</w:t>
      </w:r>
      <w:r w:rsidR="005F281F">
        <w:t>.  This</w:t>
      </w:r>
      <w:r w:rsidRPr="003C05B0" w:rsidR="003C05B0">
        <w:t xml:space="preserve"> shows an increment of </w:t>
      </w:r>
      <w:r w:rsidR="4469668B">
        <w:t>1</w:t>
      </w:r>
      <w:r w:rsidR="00417E4A">
        <w:t>84,577</w:t>
      </w:r>
      <w:r w:rsidRPr="003C05B0" w:rsidR="003C05B0">
        <w:t xml:space="preserve"> estimated burden hours per year for the next validity period</w:t>
      </w:r>
      <w:r w:rsidR="003C05B0">
        <w:t>.</w:t>
      </w:r>
      <w:r w:rsidR="00A14ED7">
        <w:t xml:space="preserve">  T</w:t>
      </w:r>
      <w:r w:rsidRPr="00A14ED7" w:rsidR="00A14ED7">
        <w:t>he total annual cost estimates have also increased</w:t>
      </w:r>
      <w:r w:rsidR="00E6199B">
        <w:t>.</w:t>
      </w:r>
      <w:r w:rsidRPr="00A14ED7" w:rsidR="00A14ED7">
        <w:t xml:space="preserve"> </w:t>
      </w:r>
      <w:r w:rsidR="00E6199B">
        <w:t>T</w:t>
      </w:r>
      <w:r w:rsidRPr="00A14ED7" w:rsidR="00A14ED7">
        <w:t xml:space="preserve">he cost increases for this Supporting Statement are based on a </w:t>
      </w:r>
      <w:r w:rsidR="00387051">
        <w:t>higher</w:t>
      </w:r>
      <w:r w:rsidRPr="00A14ED7" w:rsidR="00A14ED7">
        <w:t xml:space="preserve"> HR manager rate than the previous estimate.  This is due to a</w:t>
      </w:r>
      <w:r w:rsidR="00387051">
        <w:t>n</w:t>
      </w:r>
      <w:r w:rsidRPr="00A14ED7" w:rsidR="00A14ED7">
        <w:t xml:space="preserve"> </w:t>
      </w:r>
      <w:r w:rsidR="00387051">
        <w:t>increase</w:t>
      </w:r>
      <w:r w:rsidRPr="00A14ED7" w:rsidR="00A14ED7">
        <w:t xml:space="preserve"> in the BLS cost adjustment factor used to calculate benefits and other compensation for HR managers.  The HR manager rate used for the </w:t>
      </w:r>
      <w:r w:rsidR="00600895">
        <w:t xml:space="preserve">2019 </w:t>
      </w:r>
      <w:r w:rsidR="00340EE1">
        <w:t xml:space="preserve">information collection renewal was </w:t>
      </w:r>
      <w:r w:rsidR="00887E88">
        <w:t>$</w:t>
      </w:r>
      <w:r w:rsidR="00340EE1">
        <w:t xml:space="preserve">84.91, </w:t>
      </w:r>
      <w:r w:rsidR="00FD2ACC">
        <w:t>the</w:t>
      </w:r>
      <w:r w:rsidR="00340EE1">
        <w:t xml:space="preserve"> 60-day FRN</w:t>
      </w:r>
      <w:r w:rsidR="00490824">
        <w:t xml:space="preserve"> </w:t>
      </w:r>
      <w:r w:rsidR="003C4A88">
        <w:t xml:space="preserve">the rate </w:t>
      </w:r>
      <w:r w:rsidR="000C533D">
        <w:t xml:space="preserve">was </w:t>
      </w:r>
      <w:r w:rsidR="00887E88">
        <w:t>$</w:t>
      </w:r>
      <w:r w:rsidR="00677A64">
        <w:t>83.59,</w:t>
      </w:r>
      <w:r w:rsidR="00DC6A69">
        <w:t xml:space="preserve"> </w:t>
      </w:r>
      <w:r w:rsidRPr="00A14ED7" w:rsidR="00A14ED7">
        <w:t>and for this Supporting Statement</w:t>
      </w:r>
      <w:r w:rsidR="003C4A88">
        <w:t xml:space="preserve"> the rate</w:t>
      </w:r>
      <w:r w:rsidRPr="00A14ED7" w:rsidR="00A14ED7">
        <w:t xml:space="preserve"> is $8</w:t>
      </w:r>
      <w:r w:rsidR="009A53D5">
        <w:t>5</w:t>
      </w:r>
      <w:r w:rsidRPr="00A14ED7" w:rsidR="00A14ED7">
        <w:t>.</w:t>
      </w:r>
      <w:r w:rsidR="009A53D5">
        <w:t>04</w:t>
      </w:r>
      <w:r w:rsidRPr="00A14ED7" w:rsidR="00A14ED7">
        <w:t xml:space="preserve">.  For the HR </w:t>
      </w:r>
      <w:r w:rsidRPr="00A14ED7" w:rsidR="00A14ED7">
        <w:lastRenderedPageBreak/>
        <w:t xml:space="preserve">manager calculations, the benefits factor </w:t>
      </w:r>
      <w:r w:rsidR="00FD2ACC">
        <w:t xml:space="preserve">decreased since the </w:t>
      </w:r>
      <w:r w:rsidR="002B7E01">
        <w:t xml:space="preserve">2019 information collection renewal </w:t>
      </w:r>
      <w:r w:rsidRPr="00A14ED7" w:rsidR="00A14ED7">
        <w:t xml:space="preserve">from a factor of </w:t>
      </w:r>
      <w:r w:rsidR="000B3F8C">
        <w:t>1.43</w:t>
      </w:r>
      <w:r w:rsidR="00C97966">
        <w:t xml:space="preserve">, </w:t>
      </w:r>
      <w:r w:rsidR="00FE3116">
        <w:t>to</w:t>
      </w:r>
      <w:r w:rsidR="00804199">
        <w:t xml:space="preserve"> the 60-day FRN</w:t>
      </w:r>
      <w:r w:rsidR="00C97966">
        <w:t xml:space="preserve"> </w:t>
      </w:r>
      <w:r w:rsidR="00E219B7">
        <w:t>a factor of</w:t>
      </w:r>
      <w:r w:rsidR="00804199">
        <w:t xml:space="preserve"> </w:t>
      </w:r>
      <w:r w:rsidRPr="00A14ED7" w:rsidR="00A14ED7">
        <w:t>1.</w:t>
      </w:r>
      <w:r w:rsidR="009A53D5">
        <w:t>292</w:t>
      </w:r>
      <w:r w:rsidR="00804199">
        <w:t>,</w:t>
      </w:r>
      <w:r w:rsidRPr="003D4025" w:rsidR="0027652A">
        <w:rPr>
          <w:rStyle w:val="FootnoteReference"/>
          <w:vertAlign w:val="superscript"/>
        </w:rPr>
        <w:footnoteReference w:id="10"/>
      </w:r>
      <w:r w:rsidR="000B3F8C">
        <w:t xml:space="preserve"> and</w:t>
      </w:r>
      <w:r w:rsidR="00025BC7">
        <w:t xml:space="preserve"> </w:t>
      </w:r>
      <w:r w:rsidRPr="00A14ED7" w:rsidR="00A14ED7">
        <w:t>current</w:t>
      </w:r>
      <w:r w:rsidR="00025BC7">
        <w:t>ly to a</w:t>
      </w:r>
      <w:r w:rsidRPr="00A14ED7" w:rsidR="00A14ED7">
        <w:t xml:space="preserve"> factor of 1.29</w:t>
      </w:r>
      <w:r w:rsidR="009A53D5">
        <w:t>5</w:t>
      </w:r>
      <w:r w:rsidRPr="00A14ED7" w:rsidR="00A14ED7">
        <w:t>.</w:t>
      </w:r>
      <w:r w:rsidRPr="003D4025" w:rsidR="0027652A">
        <w:rPr>
          <w:rStyle w:val="FootnoteReference"/>
          <w:vertAlign w:val="superscript"/>
        </w:rPr>
        <w:footnoteReference w:id="11"/>
      </w:r>
    </w:p>
    <w:p w:rsidRPr="00CE3C52" w:rsidR="004A1161" w:rsidP="00EA78D2" w:rsidRDefault="004A1161" w14:paraId="070D8FBE" w14:textId="77777777">
      <w:pPr>
        <w:autoSpaceDE w:val="0"/>
        <w:autoSpaceDN w:val="0"/>
        <w:adjustRightInd w:val="0"/>
      </w:pPr>
    </w:p>
    <w:p w:rsidRPr="00030FA0" w:rsidR="00EA78D2" w:rsidP="00565F7D" w:rsidRDefault="00030FA0" w14:paraId="2E50262B" w14:textId="0B5D2718">
      <w:pPr>
        <w:tabs>
          <w:tab w:val="right" w:pos="360"/>
        </w:tabs>
        <w:autoSpaceDE w:val="0"/>
        <w:autoSpaceDN w:val="0"/>
        <w:adjustRightInd w:val="0"/>
        <w:rPr>
          <w:i/>
        </w:rPr>
      </w:pPr>
      <w:r>
        <w:rPr>
          <w:i/>
        </w:rPr>
        <w:tab/>
      </w:r>
      <w:r w:rsidR="00985E73">
        <w:rPr>
          <w:i/>
        </w:rPr>
        <w:t>A</w:t>
      </w:r>
      <w:r w:rsidRPr="00030FA0" w:rsidR="00EA78D2">
        <w:rPr>
          <w:i/>
        </w:rPr>
        <w:t>16.</w:t>
      </w:r>
      <w:r w:rsidR="00D85F67">
        <w:rPr>
          <w:i/>
        </w:rPr>
        <w:t xml:space="preserve">  </w:t>
      </w:r>
      <w:r w:rsidRPr="00030FA0" w:rsidR="00EA78D2">
        <w:rPr>
          <w:i/>
        </w:rPr>
        <w:t>For collections of information whose results will be published, outline plans for tabulation and publication</w:t>
      </w:r>
      <w:r w:rsidRPr="00030FA0" w:rsidR="00F25EFF">
        <w:rPr>
          <w:i/>
        </w:rPr>
        <w:t xml:space="preserve">.  </w:t>
      </w:r>
      <w:r w:rsidRPr="00030FA0" w:rsidR="00EA78D2">
        <w:rPr>
          <w:i/>
        </w:rPr>
        <w:t xml:space="preserve">Address any complex analytical techniques that will be used. </w:t>
      </w:r>
      <w:r w:rsidR="00216406">
        <w:rPr>
          <w:i/>
        </w:rPr>
        <w:t xml:space="preserve"> </w:t>
      </w:r>
      <w:r w:rsidRPr="00030FA0" w:rsidR="00EA78D2">
        <w:rPr>
          <w:i/>
        </w:rPr>
        <w:t>Provide the time schedule for the entire project, including beginning and ending dates of the collection of information, completion of report, publication dates, and other actions.</w:t>
      </w:r>
    </w:p>
    <w:p w:rsidR="00EA78D2" w:rsidP="00EA78D2" w:rsidRDefault="00EA78D2" w14:paraId="53D517A9" w14:textId="77777777">
      <w:pPr>
        <w:autoSpaceDE w:val="0"/>
        <w:autoSpaceDN w:val="0"/>
        <w:adjustRightInd w:val="0"/>
      </w:pPr>
    </w:p>
    <w:p w:rsidRPr="006B6C3D" w:rsidR="006B6C3D" w:rsidP="006B6C3D" w:rsidRDefault="006B6C3D" w14:paraId="30F998A5" w14:textId="77777777">
      <w:pPr>
        <w:autoSpaceDE w:val="0"/>
        <w:autoSpaceDN w:val="0"/>
        <w:adjustRightInd w:val="0"/>
      </w:pPr>
      <w:r w:rsidRPr="006B6C3D">
        <w:t>No collection of information will be published.</w:t>
      </w:r>
    </w:p>
    <w:p w:rsidRPr="00CE3C52" w:rsidR="004A1161" w:rsidP="00EA78D2" w:rsidRDefault="004A1161" w14:paraId="7261BB25" w14:textId="77777777">
      <w:pPr>
        <w:autoSpaceDE w:val="0"/>
        <w:autoSpaceDN w:val="0"/>
        <w:adjustRightInd w:val="0"/>
      </w:pPr>
    </w:p>
    <w:p w:rsidRPr="00030FA0" w:rsidR="00EA78D2" w:rsidP="00565F7D" w:rsidRDefault="004B774D" w14:paraId="2A55660A" w14:textId="251717C5">
      <w:pPr>
        <w:tabs>
          <w:tab w:val="right" w:pos="360"/>
        </w:tabs>
        <w:autoSpaceDE w:val="0"/>
        <w:autoSpaceDN w:val="0"/>
        <w:adjustRightInd w:val="0"/>
        <w:rPr>
          <w:i/>
        </w:rPr>
      </w:pPr>
      <w:r w:rsidRPr="00030FA0">
        <w:rPr>
          <w:i/>
        </w:rPr>
        <w:tab/>
      </w:r>
      <w:r w:rsidR="00985E73">
        <w:rPr>
          <w:i/>
        </w:rPr>
        <w:t>A</w:t>
      </w:r>
      <w:r w:rsidRPr="00030FA0" w:rsidR="00EA78D2">
        <w:rPr>
          <w:i/>
        </w:rPr>
        <w:t>17.</w:t>
      </w:r>
      <w:r w:rsidR="00D85F67">
        <w:rPr>
          <w:i/>
        </w:rPr>
        <w:t xml:space="preserve">  </w:t>
      </w:r>
      <w:r w:rsidRPr="00030FA0" w:rsidR="00EA78D2">
        <w:rPr>
          <w:i/>
        </w:rPr>
        <w:t xml:space="preserve">If seeking approval </w:t>
      </w:r>
      <w:r w:rsidR="00F25EFF">
        <w:rPr>
          <w:i/>
        </w:rPr>
        <w:t xml:space="preserve">not </w:t>
      </w:r>
      <w:r w:rsidRPr="00030FA0" w:rsidR="00EA78D2">
        <w:rPr>
          <w:i/>
        </w:rPr>
        <w:t>to display the expiration date for OMB approval of the information collection, explain the reasons that display would be inappropriate.</w:t>
      </w:r>
    </w:p>
    <w:p w:rsidR="00EA78D2" w:rsidP="00EA78D2" w:rsidRDefault="00EA78D2" w14:paraId="2938612E" w14:textId="77777777">
      <w:pPr>
        <w:autoSpaceDE w:val="0"/>
        <w:autoSpaceDN w:val="0"/>
        <w:adjustRightInd w:val="0"/>
      </w:pPr>
    </w:p>
    <w:p w:rsidRPr="006B6C3D" w:rsidR="006B6C3D" w:rsidP="006B6C3D" w:rsidRDefault="00B00C92" w14:paraId="72F4E97D" w14:textId="01F7B012">
      <w:pPr>
        <w:autoSpaceDE w:val="0"/>
        <w:autoSpaceDN w:val="0"/>
        <w:adjustRightInd w:val="0"/>
      </w:pPr>
      <w:r>
        <w:t xml:space="preserve">The Department </w:t>
      </w:r>
      <w:r w:rsidRPr="006B6C3D" w:rsidR="006B6C3D">
        <w:t>display</w:t>
      </w:r>
      <w:r>
        <w:t>s</w:t>
      </w:r>
      <w:r w:rsidRPr="006B6C3D" w:rsidR="006B6C3D">
        <w:t xml:space="preserve"> the expiration date for OMB approval on the form and instructions.</w:t>
      </w:r>
    </w:p>
    <w:p w:rsidRPr="00CE3C52" w:rsidR="004A1161" w:rsidP="00EA78D2" w:rsidRDefault="004A1161" w14:paraId="38AE6110" w14:textId="77777777">
      <w:pPr>
        <w:autoSpaceDE w:val="0"/>
        <w:autoSpaceDN w:val="0"/>
        <w:adjustRightInd w:val="0"/>
      </w:pPr>
    </w:p>
    <w:p w:rsidR="003F4C38" w:rsidP="00565F7D" w:rsidRDefault="004B774D" w14:paraId="14CE7802" w14:textId="162A4B4E">
      <w:pPr>
        <w:tabs>
          <w:tab w:val="right" w:pos="360"/>
        </w:tabs>
        <w:rPr>
          <w:i/>
        </w:rPr>
      </w:pPr>
      <w:r w:rsidRPr="00030FA0">
        <w:rPr>
          <w:i/>
        </w:rPr>
        <w:tab/>
      </w:r>
      <w:r w:rsidR="00985E73">
        <w:rPr>
          <w:i/>
        </w:rPr>
        <w:t>A</w:t>
      </w:r>
      <w:r w:rsidRPr="00030FA0" w:rsidR="00EA78D2">
        <w:rPr>
          <w:i/>
        </w:rPr>
        <w:t>18.</w:t>
      </w:r>
      <w:r w:rsidR="00D85F67">
        <w:rPr>
          <w:i/>
        </w:rPr>
        <w:t xml:space="preserve">  </w:t>
      </w:r>
      <w:r w:rsidRPr="00030FA0" w:rsidR="00EA78D2">
        <w:rPr>
          <w:i/>
        </w:rPr>
        <w:t>Explain each exception to the topics of the certification statement identified in “Certification for Pape</w:t>
      </w:r>
      <w:r w:rsidR="00B00C92">
        <w:rPr>
          <w:i/>
        </w:rPr>
        <w:t>rwork Reduction Act Submissions.</w:t>
      </w:r>
      <w:r w:rsidRPr="00030FA0" w:rsidR="00EA78D2">
        <w:rPr>
          <w:i/>
        </w:rPr>
        <w:t>”</w:t>
      </w:r>
    </w:p>
    <w:p w:rsidR="006B6C3D" w:rsidP="006B6C3D" w:rsidRDefault="006B6C3D" w14:paraId="4FDEAC5B" w14:textId="77777777">
      <w:pPr>
        <w:tabs>
          <w:tab w:val="right" w:pos="360"/>
        </w:tabs>
        <w:ind w:left="540" w:hanging="540"/>
      </w:pPr>
    </w:p>
    <w:p w:rsidRPr="006B6C3D" w:rsidR="006B6C3D" w:rsidP="006B6C3D" w:rsidRDefault="006B6C3D" w14:paraId="2C8711C6" w14:textId="77777777">
      <w:pPr>
        <w:tabs>
          <w:tab w:val="right" w:pos="360"/>
        </w:tabs>
        <w:ind w:left="540" w:hanging="540"/>
      </w:pPr>
      <w:r w:rsidRPr="006B6C3D">
        <w:t>The Department is not seeking any exception to the certification requirements.</w:t>
      </w:r>
    </w:p>
    <w:p w:rsidRPr="006B6C3D" w:rsidR="00B00C92" w:rsidP="00B00C92" w:rsidRDefault="00B00C92" w14:paraId="54C1B64A" w14:textId="77777777">
      <w:pPr>
        <w:tabs>
          <w:tab w:val="right" w:pos="360"/>
        </w:tabs>
      </w:pPr>
    </w:p>
    <w:p w:rsidRPr="003F4C38" w:rsidR="003F4C38" w:rsidP="003F4C38" w:rsidRDefault="003F4C38" w14:paraId="267B1B29" w14:textId="77777777">
      <w:pPr>
        <w:tabs>
          <w:tab w:val="right" w:pos="360"/>
        </w:tabs>
        <w:ind w:left="540" w:hanging="540"/>
        <w:rPr>
          <w:i/>
        </w:rPr>
      </w:pPr>
      <w:r>
        <w:rPr>
          <w:b/>
        </w:rPr>
        <w:t>B</w:t>
      </w:r>
      <w:r w:rsidRPr="00CE3C52">
        <w:rPr>
          <w:b/>
        </w:rPr>
        <w:t xml:space="preserve">. </w:t>
      </w:r>
      <w:r>
        <w:rPr>
          <w:b/>
        </w:rPr>
        <w:tab/>
      </w:r>
      <w:r w:rsidR="00C45047">
        <w:rPr>
          <w:b/>
        </w:rPr>
        <w:t>Collections of Information Employing Statistical Methods</w:t>
      </w:r>
    </w:p>
    <w:p w:rsidR="004A1161" w:rsidP="00EA78D2" w:rsidRDefault="004A1161" w14:paraId="5BCDCB69" w14:textId="77777777"/>
    <w:p w:rsidR="004A1161" w:rsidP="00EA78D2" w:rsidRDefault="004A1161" w14:paraId="01015AFB" w14:textId="1D84A3C9">
      <w:r>
        <w:t>This information collection does not employ statistical methods.</w:t>
      </w:r>
    </w:p>
    <w:sectPr w:rsidR="004A1161" w:rsidSect="0099381C">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34DC" w:rsidP="00910252" w:rsidRDefault="00C134DC" w14:paraId="1FB1CFAD" w14:textId="77777777">
      <w:r>
        <w:separator/>
      </w:r>
    </w:p>
  </w:endnote>
  <w:endnote w:type="continuationSeparator" w:id="0">
    <w:p w:rsidR="00C134DC" w:rsidP="00910252" w:rsidRDefault="00C134DC" w14:paraId="5046C6AE" w14:textId="77777777">
      <w:r>
        <w:continuationSeparator/>
      </w:r>
    </w:p>
  </w:endnote>
  <w:endnote w:type="continuationNotice" w:id="1">
    <w:p w:rsidR="00C134DC" w:rsidRDefault="00C134DC" w14:paraId="44BDE9C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7F92" w:rsidRDefault="00DF7F92" w14:paraId="5E54746E" w14:textId="77777777">
    <w:pPr>
      <w:pStyle w:val="Footer"/>
      <w:jc w:val="center"/>
    </w:pPr>
    <w:r>
      <w:fldChar w:fldCharType="begin"/>
    </w:r>
    <w:r>
      <w:instrText xml:space="preserve"> PAGE   \* MERGEFORMAT </w:instrText>
    </w:r>
    <w:r>
      <w:fldChar w:fldCharType="separate"/>
    </w:r>
    <w:r w:rsidR="007A49EF">
      <w:rPr>
        <w:noProof/>
      </w:rPr>
      <w:t>14</w:t>
    </w:r>
    <w:r>
      <w:rPr>
        <w:noProof/>
      </w:rPr>
      <w:fldChar w:fldCharType="end"/>
    </w:r>
  </w:p>
  <w:p w:rsidR="00DF7F92" w:rsidRDefault="00DF7F92" w14:paraId="69038B7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34DC" w:rsidP="00910252" w:rsidRDefault="00C134DC" w14:paraId="1D9848B4" w14:textId="77777777">
      <w:r>
        <w:separator/>
      </w:r>
    </w:p>
  </w:footnote>
  <w:footnote w:type="continuationSeparator" w:id="0">
    <w:p w:rsidR="00C134DC" w:rsidP="00910252" w:rsidRDefault="00C134DC" w14:paraId="4002E15C" w14:textId="77777777">
      <w:r>
        <w:continuationSeparator/>
      </w:r>
    </w:p>
  </w:footnote>
  <w:footnote w:type="continuationNotice" w:id="1">
    <w:p w:rsidR="00C134DC" w:rsidRDefault="00C134DC" w14:paraId="2AD12AF1" w14:textId="77777777"/>
  </w:footnote>
  <w:footnote w:id="2">
    <w:p w:rsidR="004F39DF" w:rsidRDefault="004F39DF" w14:paraId="46CC63EA" w14:textId="18D5C1CC">
      <w:pPr>
        <w:pStyle w:val="FootnoteText"/>
      </w:pPr>
      <w:r w:rsidRPr="00297F80">
        <w:rPr>
          <w:rStyle w:val="FootnoteReference"/>
          <w:vertAlign w:val="superscript"/>
        </w:rPr>
        <w:footnoteRef/>
      </w:r>
      <w:r>
        <w:t xml:space="preserve"> </w:t>
      </w:r>
      <w:r w:rsidRPr="00A7624D" w:rsidR="00A7624D">
        <w:t>In Fiscal Year 202</w:t>
      </w:r>
      <w:r w:rsidR="00A7624D">
        <w:t>1</w:t>
      </w:r>
      <w:r w:rsidRPr="00A7624D" w:rsidR="00A7624D">
        <w:t xml:space="preserve">, </w:t>
      </w:r>
      <w:r w:rsidR="00A7624D">
        <w:t>100</w:t>
      </w:r>
      <w:r w:rsidRPr="00A7624D" w:rsidR="00A7624D">
        <w:t>% of respondents filed H-2</w:t>
      </w:r>
      <w:r w:rsidR="00A7624D">
        <w:t>A</w:t>
      </w:r>
      <w:r w:rsidRPr="00A7624D" w:rsidR="00A7624D">
        <w:t xml:space="preserve"> applications electronically, rather than by mail.</w:t>
      </w:r>
    </w:p>
  </w:footnote>
  <w:footnote w:id="3">
    <w:p w:rsidR="0060546E" w:rsidRDefault="0060546E" w14:paraId="06654734" w14:textId="0B10E921">
      <w:pPr>
        <w:pStyle w:val="FootnoteText"/>
      </w:pPr>
      <w:r w:rsidRPr="000B7A8E">
        <w:rPr>
          <w:rStyle w:val="FootnoteReference"/>
          <w:vertAlign w:val="superscript"/>
        </w:rPr>
        <w:footnoteRef/>
      </w:r>
      <w:r>
        <w:t xml:space="preserve"> </w:t>
      </w:r>
      <w:r w:rsidR="000B7A8E">
        <w:rPr>
          <w:i/>
          <w:iCs/>
        </w:rPr>
        <w:t>See</w:t>
      </w:r>
      <w:r w:rsidR="009D3EEA">
        <w:rPr>
          <w:i/>
          <w:iCs/>
        </w:rPr>
        <w:t xml:space="preserve"> </w:t>
      </w:r>
      <w:r w:rsidR="009D3EEA">
        <w:t xml:space="preserve">Notice of Proposed Rulemaking, </w:t>
      </w:r>
      <w:r w:rsidR="009D3EEA">
        <w:rPr>
          <w:i/>
          <w:iCs/>
        </w:rPr>
        <w:t>Tem</w:t>
      </w:r>
      <w:r w:rsidR="007D6175">
        <w:rPr>
          <w:i/>
          <w:iCs/>
        </w:rPr>
        <w:t xml:space="preserve">porary Agricultural Employment of H-2A Nonimmigrants in the United </w:t>
      </w:r>
      <w:r w:rsidRPr="007D6175" w:rsidR="007D6175">
        <w:rPr>
          <w:i/>
          <w:iCs/>
        </w:rPr>
        <w:t>States</w:t>
      </w:r>
      <w:r w:rsidR="007D6175">
        <w:t xml:space="preserve">, </w:t>
      </w:r>
      <w:r w:rsidRPr="007D6175" w:rsidR="00DA13A2">
        <w:t>84</w:t>
      </w:r>
      <w:r w:rsidR="00DA13A2">
        <w:t xml:space="preserve"> </w:t>
      </w:r>
      <w:r w:rsidRPr="007D6175" w:rsidR="00DA13A2">
        <w:t>FR</w:t>
      </w:r>
      <w:r w:rsidR="00DA13A2">
        <w:t xml:space="preserve"> </w:t>
      </w:r>
      <w:r w:rsidR="00652CF8">
        <w:t xml:space="preserve">36168 (Jul. 26, 2019), </w:t>
      </w:r>
      <w:r w:rsidR="00652CF8">
        <w:rPr>
          <w:i/>
          <w:iCs/>
        </w:rPr>
        <w:t>available at</w:t>
      </w:r>
      <w:r w:rsidR="00652CF8">
        <w:t xml:space="preserve"> </w:t>
      </w:r>
      <w:hyperlink w:history="1" r:id="rId1">
        <w:r w:rsidRPr="00CD6BF2" w:rsidR="00892D37">
          <w:rPr>
            <w:rStyle w:val="Hyperlink"/>
          </w:rPr>
          <w:t>https://www.govinfo.gov/content/pkg/FR-2019-07-26/pdf/2019-15307.pdf</w:t>
        </w:r>
      </w:hyperlink>
      <w:r w:rsidR="00892D37">
        <w:t xml:space="preserve">. </w:t>
      </w:r>
    </w:p>
  </w:footnote>
  <w:footnote w:id="4">
    <w:p w:rsidRPr="00824619" w:rsidR="00DF7F92" w:rsidP="00C00EDE" w:rsidRDefault="00DF7F92" w14:paraId="24B7B475" w14:textId="03AB416F">
      <w:pPr>
        <w:pStyle w:val="FootnoteText"/>
        <w:rPr>
          <w:highlight w:val="yellow"/>
        </w:rPr>
      </w:pPr>
      <w:r w:rsidRPr="00824619">
        <w:rPr>
          <w:rStyle w:val="FootnoteReference"/>
          <w:sz w:val="18"/>
          <w:szCs w:val="18"/>
          <w:vertAlign w:val="superscript"/>
        </w:rPr>
        <w:footnoteRef/>
      </w:r>
      <w:r w:rsidRPr="00C04151" w:rsidR="0DE1A6F4">
        <w:rPr>
          <w:sz w:val="18"/>
          <w:szCs w:val="18"/>
        </w:rPr>
        <w:t xml:space="preserve"> The numerical estimation of </w:t>
      </w:r>
      <w:r w:rsidRPr="00824619" w:rsidR="0DE1A6F4">
        <w:rPr>
          <w:sz w:val="18"/>
          <w:szCs w:val="18"/>
        </w:rPr>
        <w:t>14,586</w:t>
      </w:r>
      <w:r w:rsidRPr="00C04151" w:rsidR="0DE1A6F4">
        <w:rPr>
          <w:sz w:val="18"/>
          <w:szCs w:val="18"/>
        </w:rPr>
        <w:t xml:space="preserve"> is derived from the average submissions of H-2A applications from three previous </w:t>
      </w:r>
      <w:r w:rsidR="00385EA6">
        <w:rPr>
          <w:sz w:val="18"/>
          <w:szCs w:val="18"/>
        </w:rPr>
        <w:t xml:space="preserve">full </w:t>
      </w:r>
      <w:r w:rsidRPr="00C04151" w:rsidR="0DE1A6F4">
        <w:rPr>
          <w:sz w:val="18"/>
          <w:szCs w:val="18"/>
        </w:rPr>
        <w:t>fiscal years based on the Department’s experience implementing the 2010 H-2A Final Rule.  (FY 20</w:t>
      </w:r>
      <w:r w:rsidRPr="00824619" w:rsidR="0DE1A6F4">
        <w:rPr>
          <w:sz w:val="18"/>
          <w:szCs w:val="18"/>
        </w:rPr>
        <w:t>19</w:t>
      </w:r>
      <w:r w:rsidRPr="00C04151" w:rsidR="0DE1A6F4">
        <w:rPr>
          <w:sz w:val="18"/>
          <w:szCs w:val="18"/>
        </w:rPr>
        <w:t xml:space="preserve">: </w:t>
      </w:r>
      <w:r w:rsidRPr="00824619" w:rsidR="0DE1A6F4">
        <w:rPr>
          <w:sz w:val="18"/>
          <w:szCs w:val="18"/>
        </w:rPr>
        <w:t>13,081</w:t>
      </w:r>
      <w:r w:rsidRPr="00C04151" w:rsidR="0DE1A6F4">
        <w:rPr>
          <w:sz w:val="18"/>
          <w:szCs w:val="18"/>
        </w:rPr>
        <w:t>; FY 20</w:t>
      </w:r>
      <w:r w:rsidRPr="00824619" w:rsidR="0DE1A6F4">
        <w:rPr>
          <w:sz w:val="18"/>
          <w:szCs w:val="18"/>
        </w:rPr>
        <w:t>20</w:t>
      </w:r>
      <w:r w:rsidRPr="00C04151" w:rsidR="0DE1A6F4">
        <w:rPr>
          <w:sz w:val="18"/>
          <w:szCs w:val="18"/>
        </w:rPr>
        <w:t xml:space="preserve">: </w:t>
      </w:r>
      <w:r w:rsidRPr="00824619" w:rsidR="0DE1A6F4">
        <w:rPr>
          <w:sz w:val="18"/>
          <w:szCs w:val="18"/>
        </w:rPr>
        <w:t>14,131</w:t>
      </w:r>
      <w:r w:rsidRPr="00C04151" w:rsidR="0DE1A6F4">
        <w:rPr>
          <w:sz w:val="18"/>
          <w:szCs w:val="18"/>
        </w:rPr>
        <w:t>; and FY 20</w:t>
      </w:r>
      <w:r w:rsidRPr="00824619" w:rsidR="0DE1A6F4">
        <w:rPr>
          <w:sz w:val="18"/>
          <w:szCs w:val="18"/>
        </w:rPr>
        <w:t>21</w:t>
      </w:r>
      <w:r w:rsidRPr="00C04151" w:rsidR="0DE1A6F4">
        <w:rPr>
          <w:sz w:val="18"/>
          <w:szCs w:val="18"/>
        </w:rPr>
        <w:t xml:space="preserve">: </w:t>
      </w:r>
      <w:r w:rsidRPr="00824619" w:rsidR="0DE1A6F4">
        <w:rPr>
          <w:sz w:val="18"/>
          <w:szCs w:val="18"/>
        </w:rPr>
        <w:t>16,546</w:t>
      </w:r>
      <w:r w:rsidRPr="00C04151" w:rsidR="0DE1A6F4">
        <w:rPr>
          <w:sz w:val="18"/>
          <w:szCs w:val="18"/>
        </w:rPr>
        <w:t xml:space="preserve">).  The Department estimates that </w:t>
      </w:r>
      <w:r w:rsidRPr="00824619" w:rsidR="0DE1A6F4">
        <w:rPr>
          <w:sz w:val="18"/>
          <w:szCs w:val="18"/>
        </w:rPr>
        <w:t>14,586</w:t>
      </w:r>
      <w:r w:rsidRPr="00C04151" w:rsidR="0DE1A6F4">
        <w:rPr>
          <w:sz w:val="18"/>
          <w:szCs w:val="18"/>
        </w:rPr>
        <w:t xml:space="preserve"> respondents will submit, on average, </w:t>
      </w:r>
      <w:r w:rsidR="00032EC6">
        <w:rPr>
          <w:sz w:val="18"/>
          <w:szCs w:val="18"/>
        </w:rPr>
        <w:t>458</w:t>
      </w:r>
      <w:r w:rsidR="006E7A14">
        <w:rPr>
          <w:sz w:val="18"/>
          <w:szCs w:val="18"/>
        </w:rPr>
        <w:t>,114</w:t>
      </w:r>
      <w:r w:rsidRPr="00C04151" w:rsidR="0DE1A6F4">
        <w:t xml:space="preserve"> responses.</w:t>
      </w:r>
    </w:p>
  </w:footnote>
  <w:footnote w:id="5">
    <w:p w:rsidRPr="00CF0FD3" w:rsidR="00DF7F92" w:rsidP="0DE1A6F4" w:rsidRDefault="00DF7F92" w14:paraId="3692C525" w14:textId="55C75080">
      <w:pPr>
        <w:pStyle w:val="FootnoteText"/>
        <w:rPr>
          <w:i/>
          <w:iCs/>
          <w:sz w:val="18"/>
          <w:szCs w:val="18"/>
          <w:highlight w:val="yellow"/>
        </w:rPr>
      </w:pPr>
      <w:r w:rsidRPr="00CF0FD3">
        <w:rPr>
          <w:rStyle w:val="FootnoteReference"/>
          <w:sz w:val="18"/>
          <w:szCs w:val="18"/>
          <w:vertAlign w:val="superscript"/>
        </w:rPr>
        <w:footnoteRef/>
      </w:r>
      <w:r w:rsidRPr="00CF0FD3" w:rsidR="0DE1A6F4">
        <w:rPr>
          <w:sz w:val="18"/>
          <w:szCs w:val="18"/>
        </w:rPr>
        <w:t xml:space="preserve"> </w:t>
      </w:r>
      <w:r w:rsidRPr="006A771A" w:rsidR="0DE1A6F4">
        <w:rPr>
          <w:sz w:val="18"/>
          <w:szCs w:val="18"/>
        </w:rPr>
        <w:t xml:space="preserve">Source: </w:t>
      </w:r>
      <w:r w:rsidRPr="006A771A" w:rsidR="0DE1A6F4">
        <w:rPr>
          <w:i/>
          <w:iCs/>
          <w:sz w:val="18"/>
          <w:szCs w:val="18"/>
        </w:rPr>
        <w:t>Bureau of Labor Statistics May 202</w:t>
      </w:r>
      <w:r w:rsidRPr="006A771A" w:rsidR="006C3D4B">
        <w:rPr>
          <w:i/>
          <w:iCs/>
          <w:sz w:val="18"/>
          <w:szCs w:val="18"/>
        </w:rPr>
        <w:t>1</w:t>
      </w:r>
      <w:r w:rsidRPr="006A771A" w:rsidR="0DE1A6F4">
        <w:rPr>
          <w:i/>
          <w:iCs/>
          <w:sz w:val="18"/>
          <w:szCs w:val="18"/>
        </w:rPr>
        <w:t xml:space="preserve"> National Occupational Employment and Wage Estimates; Management Occupations.</w:t>
      </w:r>
      <w:r w:rsidRPr="00C812EC" w:rsidR="00CF0FD3">
        <w:rPr>
          <w:sz w:val="18"/>
          <w:szCs w:val="18"/>
        </w:rPr>
        <w:t xml:space="preserve"> </w:t>
      </w:r>
      <w:hyperlink w:history="1" r:id="rId2">
        <w:r w:rsidRPr="00C812EC" w:rsidR="00392346">
          <w:rPr>
            <w:rStyle w:val="Hyperlink"/>
            <w:sz w:val="18"/>
            <w:szCs w:val="18"/>
          </w:rPr>
          <w:t>https://www.bls.gov/oes/current/oes113121.htm</w:t>
        </w:r>
      </w:hyperlink>
      <w:r w:rsidRPr="00C812EC" w:rsidR="00392346">
        <w:rPr>
          <w:sz w:val="18"/>
          <w:szCs w:val="18"/>
        </w:rPr>
        <w:t>.</w:t>
      </w:r>
    </w:p>
  </w:footnote>
  <w:footnote w:id="6">
    <w:p w:rsidRPr="00707A6C" w:rsidR="00DF7F92" w:rsidRDefault="00DF7F92" w14:paraId="37A1F1B6" w14:textId="12322A10">
      <w:pPr>
        <w:pStyle w:val="FootnoteText"/>
        <w:rPr>
          <w:sz w:val="18"/>
          <w:szCs w:val="18"/>
        </w:rPr>
      </w:pPr>
      <w:r w:rsidRPr="00C812EC">
        <w:rPr>
          <w:rStyle w:val="FootnoteReference"/>
          <w:i/>
          <w:iCs/>
          <w:sz w:val="18"/>
          <w:szCs w:val="18"/>
          <w:vertAlign w:val="superscript"/>
        </w:rPr>
        <w:footnoteRef/>
      </w:r>
      <w:r w:rsidRPr="00C812EC" w:rsidR="0DE1A6F4">
        <w:rPr>
          <w:i/>
          <w:iCs/>
          <w:sz w:val="18"/>
          <w:szCs w:val="18"/>
        </w:rPr>
        <w:t xml:space="preserve"> </w:t>
      </w:r>
      <w:bookmarkStart w:name="_Hlk103768126" w:id="2"/>
      <w:r w:rsidRPr="00C812EC" w:rsidR="00962DF4">
        <w:rPr>
          <w:i/>
          <w:iCs/>
          <w:sz w:val="18"/>
          <w:szCs w:val="18"/>
        </w:rPr>
        <w:t>Employer Costs for Employee Compensation</w:t>
      </w:r>
      <w:r w:rsidRPr="006A771A" w:rsidR="00962DF4">
        <w:rPr>
          <w:sz w:val="18"/>
          <w:szCs w:val="18"/>
        </w:rPr>
        <w:t xml:space="preserve"> </w:t>
      </w:r>
      <w:r w:rsidRPr="00C812EC" w:rsidR="000C739E">
        <w:rPr>
          <w:i/>
          <w:iCs/>
          <w:color w:val="000000" w:themeColor="text1"/>
          <w:sz w:val="18"/>
          <w:szCs w:val="18"/>
        </w:rPr>
        <w:t>– December 2021</w:t>
      </w:r>
      <w:r w:rsidRPr="00C812EC" w:rsidR="000C739E">
        <w:rPr>
          <w:color w:val="000000" w:themeColor="text1"/>
          <w:sz w:val="18"/>
          <w:szCs w:val="18"/>
        </w:rPr>
        <w:t>, DOL, BLS,</w:t>
      </w:r>
      <w:r w:rsidRPr="00C812EC" w:rsidR="00B64BF5">
        <w:rPr>
          <w:sz w:val="18"/>
          <w:szCs w:val="18"/>
        </w:rPr>
        <w:t xml:space="preserve"> </w:t>
      </w:r>
      <w:hyperlink w:history="1" r:id="rId3">
        <w:r w:rsidRPr="00C812EC" w:rsidR="007705BA">
          <w:rPr>
            <w:rStyle w:val="Hyperlink"/>
            <w:sz w:val="18"/>
            <w:szCs w:val="18"/>
          </w:rPr>
          <w:t>https://www.bls.gov/news.release/archives/ecec_03182022.pdf</w:t>
        </w:r>
      </w:hyperlink>
      <w:bookmarkEnd w:id="2"/>
      <w:r w:rsidRPr="00C812EC" w:rsidR="007705BA">
        <w:rPr>
          <w:sz w:val="18"/>
          <w:szCs w:val="18"/>
        </w:rPr>
        <w:t>.</w:t>
      </w:r>
    </w:p>
  </w:footnote>
  <w:footnote w:id="7">
    <w:p w:rsidRPr="00E13CD0" w:rsidR="00DF7F92" w:rsidP="00C00EDE" w:rsidRDefault="00DF7F92" w14:paraId="5AC2A1B7" w14:textId="77777777">
      <w:pPr>
        <w:pStyle w:val="FootnoteText"/>
        <w:rPr>
          <w:sz w:val="18"/>
          <w:szCs w:val="18"/>
        </w:rPr>
      </w:pPr>
      <w:r w:rsidRPr="00707A6C">
        <w:rPr>
          <w:rStyle w:val="FootnoteReference"/>
          <w:sz w:val="18"/>
          <w:szCs w:val="18"/>
          <w:vertAlign w:val="superscript"/>
        </w:rPr>
        <w:footnoteRef/>
      </w:r>
      <w:r w:rsidRPr="00707A6C">
        <w:rPr>
          <w:sz w:val="18"/>
          <w:szCs w:val="18"/>
        </w:rPr>
        <w:t xml:space="preserve"> Total estimate number is rounded.</w:t>
      </w:r>
      <w:r w:rsidRPr="00E13CD0">
        <w:rPr>
          <w:sz w:val="18"/>
          <w:szCs w:val="18"/>
        </w:rPr>
        <w:t xml:space="preserve">  </w:t>
      </w:r>
    </w:p>
  </w:footnote>
  <w:footnote w:id="8">
    <w:p w:rsidR="18CF1EDF" w:rsidP="00417E4A" w:rsidRDefault="18CF1EDF" w14:paraId="5F4B10AC" w14:textId="40AAC578">
      <w:pPr>
        <w:pStyle w:val="FootnoteText"/>
        <w:rPr>
          <w:color w:val="000000" w:themeColor="text1"/>
        </w:rPr>
      </w:pPr>
      <w:r w:rsidRPr="00051572">
        <w:rPr>
          <w:rStyle w:val="FootnoteReference"/>
          <w:vertAlign w:val="superscript"/>
        </w:rPr>
        <w:footnoteRef/>
      </w:r>
      <w:r w:rsidRPr="4CA0964D" w:rsidR="4CA0964D">
        <w:t xml:space="preserve"> </w:t>
      </w:r>
      <w:r w:rsidRPr="4CA0964D" w:rsidR="4CA0964D">
        <w:rPr>
          <w:color w:val="000000" w:themeColor="text1"/>
          <w:sz w:val="19"/>
          <w:szCs w:val="19"/>
        </w:rPr>
        <w:t>These 54 respondents receive funding under the Wagner-</w:t>
      </w:r>
      <w:proofErr w:type="spellStart"/>
      <w:r w:rsidRPr="4CA0964D" w:rsidR="4CA0964D">
        <w:rPr>
          <w:color w:val="000000" w:themeColor="text1"/>
          <w:sz w:val="19"/>
          <w:szCs w:val="19"/>
        </w:rPr>
        <w:t>Peyser</w:t>
      </w:r>
      <w:proofErr w:type="spellEnd"/>
      <w:r w:rsidRPr="4CA0964D" w:rsidR="4CA0964D">
        <w:rPr>
          <w:color w:val="000000" w:themeColor="text1"/>
          <w:sz w:val="19"/>
          <w:szCs w:val="19"/>
        </w:rPr>
        <w:t xml:space="preserve"> Act. The Commonwealth of the Northern Mariana Islands is not covered by the Act.</w:t>
      </w:r>
    </w:p>
  </w:footnote>
  <w:footnote w:id="9">
    <w:p w:rsidR="00B97EE7" w:rsidP="00B97EE7" w:rsidRDefault="00B97EE7" w14:paraId="77C2D812" w14:textId="77777777">
      <w:pPr>
        <w:pStyle w:val="FootnoteText"/>
      </w:pPr>
      <w:r w:rsidRPr="00B97EE7">
        <w:rPr>
          <w:rStyle w:val="FootnoteReference"/>
          <w:vertAlign w:val="superscript"/>
        </w:rPr>
        <w:footnoteRef/>
      </w:r>
      <w:r>
        <w:t xml:space="preserve"> The number of workers requested by respondents is provided only for informational purposes about the scope of the program.  Although respondents requesting large numbers of workers are more likely to have more complicated collections, </w:t>
      </w:r>
      <w:r w:rsidR="00D9590D">
        <w:t xml:space="preserve">only a few collection steps are significantly increased for respondents with requesting </w:t>
      </w:r>
      <w:proofErr w:type="gramStart"/>
      <w:r w:rsidR="00D9590D">
        <w:t>a large number of</w:t>
      </w:r>
      <w:proofErr w:type="gramEnd"/>
      <w:r w:rsidR="00D9590D">
        <w:t xml:space="preserve"> workers (e.g., providing each worker with a copy of the job order) and those may be minimized (e.g., group distribution)</w:t>
      </w:r>
      <w:r>
        <w:t>.</w:t>
      </w:r>
    </w:p>
  </w:footnote>
  <w:footnote w:id="10">
    <w:p w:rsidR="0027652A" w:rsidRDefault="0027652A" w14:paraId="4E5886C6" w14:textId="425EFC0F">
      <w:pPr>
        <w:pStyle w:val="FootnoteText"/>
      </w:pPr>
      <w:r w:rsidRPr="00F0670D">
        <w:rPr>
          <w:rStyle w:val="FootnoteReference"/>
          <w:vertAlign w:val="superscript"/>
        </w:rPr>
        <w:footnoteRef/>
      </w:r>
      <w:r>
        <w:t xml:space="preserve"> </w:t>
      </w:r>
      <w:r w:rsidRPr="00AA65DD" w:rsidR="0087725E">
        <w:rPr>
          <w:i/>
          <w:iCs/>
          <w:sz w:val="18"/>
          <w:szCs w:val="18"/>
        </w:rPr>
        <w:t>Employer Costs for Employee Compensation</w:t>
      </w:r>
      <w:r w:rsidRPr="00AA65DD" w:rsidR="0087725E">
        <w:rPr>
          <w:sz w:val="18"/>
          <w:szCs w:val="18"/>
        </w:rPr>
        <w:t xml:space="preserve"> </w:t>
      </w:r>
      <w:r w:rsidRPr="00AA65DD" w:rsidR="0087725E">
        <w:rPr>
          <w:i/>
          <w:iCs/>
          <w:color w:val="000000" w:themeColor="text1"/>
          <w:sz w:val="18"/>
          <w:szCs w:val="18"/>
        </w:rPr>
        <w:t xml:space="preserve">– </w:t>
      </w:r>
      <w:r w:rsidR="00047C81">
        <w:rPr>
          <w:i/>
          <w:iCs/>
          <w:color w:val="000000" w:themeColor="text1"/>
          <w:sz w:val="18"/>
          <w:szCs w:val="18"/>
        </w:rPr>
        <w:t>September</w:t>
      </w:r>
      <w:r w:rsidRPr="00AA65DD" w:rsidR="0087725E">
        <w:rPr>
          <w:i/>
          <w:iCs/>
          <w:color w:val="000000" w:themeColor="text1"/>
          <w:sz w:val="18"/>
          <w:szCs w:val="18"/>
        </w:rPr>
        <w:t xml:space="preserve"> 2021</w:t>
      </w:r>
      <w:r w:rsidRPr="00AA65DD" w:rsidR="0087725E">
        <w:rPr>
          <w:color w:val="000000" w:themeColor="text1"/>
          <w:sz w:val="18"/>
          <w:szCs w:val="18"/>
        </w:rPr>
        <w:t>, DOL, BLS,</w:t>
      </w:r>
      <w:r w:rsidRPr="00AA65DD" w:rsidR="0087725E">
        <w:rPr>
          <w:sz w:val="18"/>
          <w:szCs w:val="18"/>
        </w:rPr>
        <w:t xml:space="preserve"> </w:t>
      </w:r>
      <w:hyperlink w:history="1" r:id="rId4">
        <w:r w:rsidRPr="00047C81" w:rsidR="00047C81">
          <w:rPr>
            <w:rStyle w:val="Hyperlink"/>
            <w:sz w:val="18"/>
            <w:szCs w:val="18"/>
          </w:rPr>
          <w:t>https://www.bls.gov/news.release/archives/ecec_12162021.pdf</w:t>
        </w:r>
      </w:hyperlink>
      <w:r w:rsidR="00047C81">
        <w:rPr>
          <w:sz w:val="18"/>
          <w:szCs w:val="18"/>
        </w:rPr>
        <w:t>.</w:t>
      </w:r>
    </w:p>
  </w:footnote>
  <w:footnote w:id="11">
    <w:p w:rsidR="0027652A" w:rsidRDefault="0027652A" w14:paraId="072EE4BD" w14:textId="5814EE98">
      <w:pPr>
        <w:pStyle w:val="FootnoteText"/>
      </w:pPr>
      <w:r w:rsidRPr="00F0670D">
        <w:rPr>
          <w:rStyle w:val="FootnoteReference"/>
          <w:vertAlign w:val="superscript"/>
        </w:rPr>
        <w:footnoteRef/>
      </w:r>
      <w:r>
        <w:t xml:space="preserve"> </w:t>
      </w:r>
      <w:r w:rsidRPr="00AA65DD" w:rsidR="00740A7A">
        <w:rPr>
          <w:i/>
          <w:iCs/>
          <w:sz w:val="18"/>
          <w:szCs w:val="18"/>
        </w:rPr>
        <w:t>Employer Costs for Employee Compensation</w:t>
      </w:r>
      <w:r w:rsidRPr="00AA65DD" w:rsidR="00740A7A">
        <w:rPr>
          <w:sz w:val="18"/>
          <w:szCs w:val="18"/>
        </w:rPr>
        <w:t xml:space="preserve"> </w:t>
      </w:r>
      <w:r w:rsidRPr="00AA65DD" w:rsidR="00740A7A">
        <w:rPr>
          <w:i/>
          <w:iCs/>
          <w:color w:val="000000" w:themeColor="text1"/>
          <w:sz w:val="18"/>
          <w:szCs w:val="18"/>
        </w:rPr>
        <w:t>– December 2021</w:t>
      </w:r>
      <w:r w:rsidRPr="00AA65DD" w:rsidR="00740A7A">
        <w:rPr>
          <w:color w:val="000000" w:themeColor="text1"/>
          <w:sz w:val="18"/>
          <w:szCs w:val="18"/>
        </w:rPr>
        <w:t>, DOL, BLS,</w:t>
      </w:r>
      <w:r w:rsidRPr="00AA65DD" w:rsidR="00740A7A">
        <w:rPr>
          <w:sz w:val="18"/>
          <w:szCs w:val="18"/>
        </w:rPr>
        <w:t xml:space="preserve"> </w:t>
      </w:r>
      <w:hyperlink w:history="1" r:id="rId5">
        <w:r w:rsidRPr="00AA65DD" w:rsidR="00740A7A">
          <w:rPr>
            <w:rStyle w:val="Hyperlink"/>
            <w:sz w:val="18"/>
            <w:szCs w:val="18"/>
          </w:rPr>
          <w:t>https://www.bls.gov/news.release/archives/ecec_03182022.pdf</w:t>
        </w:r>
      </w:hyperlink>
      <w:r w:rsidRPr="00AA65DD" w:rsidR="00740A7A">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45FEA" w:rsidR="00DF7F92" w:rsidP="00D45FEA" w:rsidRDefault="00DF7F92" w14:paraId="4E1E8FC0" w14:textId="77777777">
    <w:pPr>
      <w:pStyle w:val="Header"/>
      <w:tabs>
        <w:tab w:val="clear" w:pos="4680"/>
      </w:tabs>
      <w:jc w:val="both"/>
      <w:rPr>
        <w:sz w:val="20"/>
        <w:szCs w:val="20"/>
      </w:rPr>
    </w:pPr>
    <w:r>
      <w:rPr>
        <w:sz w:val="20"/>
        <w:szCs w:val="20"/>
      </w:rPr>
      <w:t>Application for Temporary Employment Certification</w:t>
    </w:r>
  </w:p>
  <w:p w:rsidRPr="00D45FEA" w:rsidR="00DF7F92" w:rsidP="00D45FEA" w:rsidRDefault="00DF7F92" w14:paraId="057D9E0F" w14:textId="77777777">
    <w:pPr>
      <w:pStyle w:val="Header"/>
      <w:tabs>
        <w:tab w:val="clear" w:pos="4680"/>
      </w:tabs>
      <w:jc w:val="both"/>
      <w:rPr>
        <w:sz w:val="20"/>
        <w:szCs w:val="20"/>
      </w:rPr>
    </w:pPr>
    <w:r>
      <w:rPr>
        <w:sz w:val="20"/>
        <w:szCs w:val="20"/>
      </w:rPr>
      <w:t>OMB Control No. 1205-</w:t>
    </w:r>
    <w:r w:rsidRPr="00D33F24">
      <w:rPr>
        <w:sz w:val="20"/>
        <w:szCs w:val="20"/>
      </w:rPr>
      <w:t>0466</w:t>
    </w:r>
  </w:p>
  <w:p w:rsidR="00DF7F92" w:rsidP="00D45FEA" w:rsidRDefault="006F1F87" w14:paraId="3F2548BE" w14:textId="61A67739">
    <w:pPr>
      <w:pStyle w:val="Header"/>
      <w:tabs>
        <w:tab w:val="clear" w:pos="4680"/>
      </w:tabs>
      <w:jc w:val="both"/>
      <w:rPr>
        <w:sz w:val="20"/>
        <w:szCs w:val="20"/>
      </w:rPr>
    </w:pPr>
    <w:r>
      <w:rPr>
        <w:sz w:val="20"/>
        <w:szCs w:val="20"/>
      </w:rPr>
      <w:t xml:space="preserve">Expiration Date: </w:t>
    </w:r>
    <w:r w:rsidR="002C7C46">
      <w:rPr>
        <w:sz w:val="20"/>
        <w:szCs w:val="20"/>
      </w:rPr>
      <w:t xml:space="preserve"> </w:t>
    </w:r>
    <w:r>
      <w:rPr>
        <w:sz w:val="20"/>
        <w:szCs w:val="20"/>
      </w:rPr>
      <w:t>08/31/2022</w:t>
    </w:r>
  </w:p>
  <w:p w:rsidR="00DF7F92" w:rsidP="008A5E10" w:rsidRDefault="00DF7F92" w14:paraId="146469B5" w14:textId="76703AE6">
    <w:pPr>
      <w:pStyle w:val="Header"/>
      <w:tabs>
        <w:tab w:val="clear" w:pos="4680"/>
        <w:tab w:val="left" w:pos="101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56DA"/>
    <w:multiLevelType w:val="hybridMultilevel"/>
    <w:tmpl w:val="722C93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F360F44"/>
    <w:multiLevelType w:val="multilevel"/>
    <w:tmpl w:val="CB58A4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01454D6"/>
    <w:multiLevelType w:val="hybridMultilevel"/>
    <w:tmpl w:val="D032B0DC"/>
    <w:lvl w:ilvl="0" w:tplc="5308E78E">
      <w:start w:val="1"/>
      <w:numFmt w:val="bullet"/>
      <w:lvlText w:val=""/>
      <w:lvlJc w:val="left"/>
      <w:pPr>
        <w:ind w:left="720" w:hanging="360"/>
      </w:pPr>
      <w:rPr>
        <w:rFonts w:hint="default" w:ascii="Wingdings" w:hAnsi="Wingdings"/>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9916B81"/>
    <w:multiLevelType w:val="hybridMultilevel"/>
    <w:tmpl w:val="1A22D6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6B6807"/>
    <w:multiLevelType w:val="hybridMultilevel"/>
    <w:tmpl w:val="94DE96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7B17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F231D9B"/>
    <w:multiLevelType w:val="hybridMultilevel"/>
    <w:tmpl w:val="10723C7E"/>
    <w:lvl w:ilvl="0" w:tplc="FFFFFFFF">
      <w:start w:val="1"/>
      <w:numFmt w:val="bullet"/>
      <w:lvlText w:val=""/>
      <w:lvlJc w:val="left"/>
      <w:pPr>
        <w:ind w:left="720" w:hanging="360"/>
      </w:pPr>
      <w:rPr>
        <w:rFonts w:hint="default" w:ascii="Wingdings" w:hAnsi="Wingdings"/>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5FC36A0"/>
    <w:multiLevelType w:val="hybridMultilevel"/>
    <w:tmpl w:val="BA140584"/>
    <w:lvl w:ilvl="0" w:tplc="FFFFFFFF">
      <w:start w:val="1"/>
      <w:numFmt w:val="bullet"/>
      <w:lvlText w:val=""/>
      <w:lvlJc w:val="left"/>
      <w:pPr>
        <w:ind w:left="720" w:hanging="360"/>
      </w:pPr>
      <w:rPr>
        <w:rFonts w:hint="default" w:ascii="Wingdings" w:hAnsi="Wingdings"/>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A48193D"/>
    <w:multiLevelType w:val="hybridMultilevel"/>
    <w:tmpl w:val="DBAAC7F2"/>
    <w:lvl w:ilvl="0" w:tplc="5308E78E">
      <w:start w:val="1"/>
      <w:numFmt w:val="bullet"/>
      <w:lvlText w:val=""/>
      <w:lvlJc w:val="left"/>
      <w:pPr>
        <w:ind w:left="720" w:hanging="360"/>
      </w:pPr>
      <w:rPr>
        <w:rFonts w:hint="default" w:ascii="Wingdings" w:hAnsi="Wingdings"/>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E35240F"/>
    <w:multiLevelType w:val="hybridMultilevel"/>
    <w:tmpl w:val="30186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6195694">
    <w:abstractNumId w:val="4"/>
  </w:num>
  <w:num w:numId="2" w16cid:durableId="1810585776">
    <w:abstractNumId w:val="0"/>
  </w:num>
  <w:num w:numId="3" w16cid:durableId="1469130809">
    <w:abstractNumId w:val="3"/>
  </w:num>
  <w:num w:numId="4" w16cid:durableId="641814959">
    <w:abstractNumId w:val="6"/>
  </w:num>
  <w:num w:numId="5" w16cid:durableId="1123186972">
    <w:abstractNumId w:val="8"/>
  </w:num>
  <w:num w:numId="6" w16cid:durableId="1284533293">
    <w:abstractNumId w:val="7"/>
  </w:num>
  <w:num w:numId="7" w16cid:durableId="203491103">
    <w:abstractNumId w:val="2"/>
  </w:num>
  <w:num w:numId="8" w16cid:durableId="2071727166">
    <w:abstractNumId w:val="6"/>
  </w:num>
  <w:num w:numId="9" w16cid:durableId="1861771543">
    <w:abstractNumId w:val="7"/>
  </w:num>
  <w:num w:numId="10" w16cid:durableId="902447429">
    <w:abstractNumId w:val="8"/>
  </w:num>
  <w:num w:numId="11" w16cid:durableId="172570772">
    <w:abstractNumId w:val="2"/>
  </w:num>
  <w:num w:numId="12" w16cid:durableId="404691881">
    <w:abstractNumId w:val="1"/>
  </w:num>
  <w:num w:numId="13" w16cid:durableId="1245455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4877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93163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3125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8201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6735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3196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8687380">
    <w:abstractNumId w:val="5"/>
  </w:num>
  <w:num w:numId="21" w16cid:durableId="12266029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75323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442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0851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8855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53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65910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282177">
    <w:abstractNumId w:val="9"/>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D2"/>
    <w:rsid w:val="00001286"/>
    <w:rsid w:val="00002BF7"/>
    <w:rsid w:val="00003D3D"/>
    <w:rsid w:val="0000485A"/>
    <w:rsid w:val="00004905"/>
    <w:rsid w:val="00005A64"/>
    <w:rsid w:val="00006821"/>
    <w:rsid w:val="000077F3"/>
    <w:rsid w:val="00010905"/>
    <w:rsid w:val="00011700"/>
    <w:rsid w:val="0001200B"/>
    <w:rsid w:val="000158B3"/>
    <w:rsid w:val="00021FC1"/>
    <w:rsid w:val="00023A40"/>
    <w:rsid w:val="00025BC7"/>
    <w:rsid w:val="0002638B"/>
    <w:rsid w:val="00027F7B"/>
    <w:rsid w:val="00030355"/>
    <w:rsid w:val="00030A16"/>
    <w:rsid w:val="00030FA0"/>
    <w:rsid w:val="00031BFD"/>
    <w:rsid w:val="000325E6"/>
    <w:rsid w:val="00032EC6"/>
    <w:rsid w:val="00032EFB"/>
    <w:rsid w:val="000330EF"/>
    <w:rsid w:val="00034713"/>
    <w:rsid w:val="000350E8"/>
    <w:rsid w:val="00036BCD"/>
    <w:rsid w:val="00040405"/>
    <w:rsid w:val="00040AF3"/>
    <w:rsid w:val="0004202A"/>
    <w:rsid w:val="0004283C"/>
    <w:rsid w:val="0004452B"/>
    <w:rsid w:val="00046281"/>
    <w:rsid w:val="0004640C"/>
    <w:rsid w:val="000467FF"/>
    <w:rsid w:val="00046BA6"/>
    <w:rsid w:val="00047228"/>
    <w:rsid w:val="00047C81"/>
    <w:rsid w:val="00047D4A"/>
    <w:rsid w:val="00051572"/>
    <w:rsid w:val="00052EB8"/>
    <w:rsid w:val="00054F95"/>
    <w:rsid w:val="00054FBB"/>
    <w:rsid w:val="000558D7"/>
    <w:rsid w:val="000561ED"/>
    <w:rsid w:val="00056EEF"/>
    <w:rsid w:val="000609AE"/>
    <w:rsid w:val="00061127"/>
    <w:rsid w:val="00061470"/>
    <w:rsid w:val="000614BE"/>
    <w:rsid w:val="000620E6"/>
    <w:rsid w:val="00062D48"/>
    <w:rsid w:val="00062EF8"/>
    <w:rsid w:val="0006314C"/>
    <w:rsid w:val="00065808"/>
    <w:rsid w:val="00067E7F"/>
    <w:rsid w:val="00071900"/>
    <w:rsid w:val="0007283A"/>
    <w:rsid w:val="00072AC0"/>
    <w:rsid w:val="0007538C"/>
    <w:rsid w:val="00075DAF"/>
    <w:rsid w:val="000809FD"/>
    <w:rsid w:val="00082A8A"/>
    <w:rsid w:val="000833A3"/>
    <w:rsid w:val="00083C16"/>
    <w:rsid w:val="00084B38"/>
    <w:rsid w:val="0008733A"/>
    <w:rsid w:val="00090F57"/>
    <w:rsid w:val="000916B2"/>
    <w:rsid w:val="00094CA5"/>
    <w:rsid w:val="000955FB"/>
    <w:rsid w:val="000A0C48"/>
    <w:rsid w:val="000A10D6"/>
    <w:rsid w:val="000A2709"/>
    <w:rsid w:val="000A3A51"/>
    <w:rsid w:val="000A4047"/>
    <w:rsid w:val="000A40A1"/>
    <w:rsid w:val="000A73D1"/>
    <w:rsid w:val="000B04C8"/>
    <w:rsid w:val="000B0FE7"/>
    <w:rsid w:val="000B2953"/>
    <w:rsid w:val="000B2A12"/>
    <w:rsid w:val="000B34E0"/>
    <w:rsid w:val="000B3F8C"/>
    <w:rsid w:val="000B47DA"/>
    <w:rsid w:val="000B7112"/>
    <w:rsid w:val="000B7935"/>
    <w:rsid w:val="000B7A8E"/>
    <w:rsid w:val="000C1D54"/>
    <w:rsid w:val="000C2A69"/>
    <w:rsid w:val="000C3D00"/>
    <w:rsid w:val="000C4D44"/>
    <w:rsid w:val="000C533D"/>
    <w:rsid w:val="000C6F25"/>
    <w:rsid w:val="000C739E"/>
    <w:rsid w:val="000C77F2"/>
    <w:rsid w:val="000D1207"/>
    <w:rsid w:val="000D3AC9"/>
    <w:rsid w:val="000D5DF7"/>
    <w:rsid w:val="000E2474"/>
    <w:rsid w:val="000E28ED"/>
    <w:rsid w:val="000E3A23"/>
    <w:rsid w:val="000E4006"/>
    <w:rsid w:val="000E58AC"/>
    <w:rsid w:val="000F0BAD"/>
    <w:rsid w:val="000F1D4B"/>
    <w:rsid w:val="000F7C44"/>
    <w:rsid w:val="00101777"/>
    <w:rsid w:val="00102834"/>
    <w:rsid w:val="001049DE"/>
    <w:rsid w:val="001060E3"/>
    <w:rsid w:val="001113D6"/>
    <w:rsid w:val="00113426"/>
    <w:rsid w:val="00113459"/>
    <w:rsid w:val="00114427"/>
    <w:rsid w:val="00114E7F"/>
    <w:rsid w:val="00115B68"/>
    <w:rsid w:val="00115C76"/>
    <w:rsid w:val="001171AD"/>
    <w:rsid w:val="00117B93"/>
    <w:rsid w:val="00121629"/>
    <w:rsid w:val="00121EC8"/>
    <w:rsid w:val="00122D0E"/>
    <w:rsid w:val="00123C1C"/>
    <w:rsid w:val="001240AA"/>
    <w:rsid w:val="00125516"/>
    <w:rsid w:val="0012676C"/>
    <w:rsid w:val="00127FFE"/>
    <w:rsid w:val="001311BA"/>
    <w:rsid w:val="00131BED"/>
    <w:rsid w:val="001328CE"/>
    <w:rsid w:val="001329C2"/>
    <w:rsid w:val="0013300C"/>
    <w:rsid w:val="00135A52"/>
    <w:rsid w:val="0014004E"/>
    <w:rsid w:val="001420D6"/>
    <w:rsid w:val="0014224F"/>
    <w:rsid w:val="0014516A"/>
    <w:rsid w:val="00145306"/>
    <w:rsid w:val="00147ACD"/>
    <w:rsid w:val="001503D9"/>
    <w:rsid w:val="0015156C"/>
    <w:rsid w:val="00151896"/>
    <w:rsid w:val="00151B40"/>
    <w:rsid w:val="00155EAC"/>
    <w:rsid w:val="00157291"/>
    <w:rsid w:val="001579B5"/>
    <w:rsid w:val="00157FB8"/>
    <w:rsid w:val="001600BE"/>
    <w:rsid w:val="001614BA"/>
    <w:rsid w:val="00162DF1"/>
    <w:rsid w:val="00165C76"/>
    <w:rsid w:val="00166B38"/>
    <w:rsid w:val="00171AC4"/>
    <w:rsid w:val="00171FB3"/>
    <w:rsid w:val="00172F99"/>
    <w:rsid w:val="00174785"/>
    <w:rsid w:val="00174EFC"/>
    <w:rsid w:val="00176363"/>
    <w:rsid w:val="0018025D"/>
    <w:rsid w:val="00181FA4"/>
    <w:rsid w:val="00191DBE"/>
    <w:rsid w:val="00195370"/>
    <w:rsid w:val="00196F19"/>
    <w:rsid w:val="00196F4B"/>
    <w:rsid w:val="001A4B42"/>
    <w:rsid w:val="001A507F"/>
    <w:rsid w:val="001A612D"/>
    <w:rsid w:val="001A7B43"/>
    <w:rsid w:val="001B0572"/>
    <w:rsid w:val="001B074A"/>
    <w:rsid w:val="001B2D72"/>
    <w:rsid w:val="001B4953"/>
    <w:rsid w:val="001B599C"/>
    <w:rsid w:val="001B5B96"/>
    <w:rsid w:val="001B5FF5"/>
    <w:rsid w:val="001B6922"/>
    <w:rsid w:val="001B761E"/>
    <w:rsid w:val="001C050B"/>
    <w:rsid w:val="001C1A46"/>
    <w:rsid w:val="001C20B3"/>
    <w:rsid w:val="001C3DF9"/>
    <w:rsid w:val="001C6F62"/>
    <w:rsid w:val="001C795C"/>
    <w:rsid w:val="001D2A79"/>
    <w:rsid w:val="001D6311"/>
    <w:rsid w:val="001E0600"/>
    <w:rsid w:val="001E0D4D"/>
    <w:rsid w:val="001E2083"/>
    <w:rsid w:val="001E45A6"/>
    <w:rsid w:val="001E5671"/>
    <w:rsid w:val="001E5EDB"/>
    <w:rsid w:val="001E613E"/>
    <w:rsid w:val="001E721D"/>
    <w:rsid w:val="001E7A91"/>
    <w:rsid w:val="001F0653"/>
    <w:rsid w:val="001F52A4"/>
    <w:rsid w:val="001F7B9A"/>
    <w:rsid w:val="00200282"/>
    <w:rsid w:val="00200A3C"/>
    <w:rsid w:val="00201AF9"/>
    <w:rsid w:val="00202C93"/>
    <w:rsid w:val="002049B5"/>
    <w:rsid w:val="00205782"/>
    <w:rsid w:val="00205DBE"/>
    <w:rsid w:val="00205E4F"/>
    <w:rsid w:val="00207B21"/>
    <w:rsid w:val="002100BB"/>
    <w:rsid w:val="00212293"/>
    <w:rsid w:val="00216406"/>
    <w:rsid w:val="002179CA"/>
    <w:rsid w:val="002218ED"/>
    <w:rsid w:val="002221A7"/>
    <w:rsid w:val="0022232C"/>
    <w:rsid w:val="002236AA"/>
    <w:rsid w:val="00223C50"/>
    <w:rsid w:val="0022507E"/>
    <w:rsid w:val="0023120D"/>
    <w:rsid w:val="00241F0F"/>
    <w:rsid w:val="00243ADB"/>
    <w:rsid w:val="00244DA4"/>
    <w:rsid w:val="00245058"/>
    <w:rsid w:val="00245362"/>
    <w:rsid w:val="002476CD"/>
    <w:rsid w:val="002500FD"/>
    <w:rsid w:val="00250C9E"/>
    <w:rsid w:val="00251C64"/>
    <w:rsid w:val="00251EBA"/>
    <w:rsid w:val="00260315"/>
    <w:rsid w:val="00260CFD"/>
    <w:rsid w:val="0026540A"/>
    <w:rsid w:val="00271976"/>
    <w:rsid w:val="00272038"/>
    <w:rsid w:val="00272308"/>
    <w:rsid w:val="002737C3"/>
    <w:rsid w:val="002750BD"/>
    <w:rsid w:val="0027652A"/>
    <w:rsid w:val="00276D64"/>
    <w:rsid w:val="0027736F"/>
    <w:rsid w:val="00277993"/>
    <w:rsid w:val="00281F43"/>
    <w:rsid w:val="002852E2"/>
    <w:rsid w:val="00286E4A"/>
    <w:rsid w:val="0029264E"/>
    <w:rsid w:val="0029395A"/>
    <w:rsid w:val="0029478C"/>
    <w:rsid w:val="00295A8F"/>
    <w:rsid w:val="00295BB9"/>
    <w:rsid w:val="00297346"/>
    <w:rsid w:val="00297F80"/>
    <w:rsid w:val="002A02DE"/>
    <w:rsid w:val="002A09E5"/>
    <w:rsid w:val="002B0F71"/>
    <w:rsid w:val="002B5249"/>
    <w:rsid w:val="002B55ED"/>
    <w:rsid w:val="002B7E01"/>
    <w:rsid w:val="002C7C46"/>
    <w:rsid w:val="002D2E06"/>
    <w:rsid w:val="002D414C"/>
    <w:rsid w:val="002D69EB"/>
    <w:rsid w:val="002D747A"/>
    <w:rsid w:val="002E3BEA"/>
    <w:rsid w:val="002F0518"/>
    <w:rsid w:val="002F34FA"/>
    <w:rsid w:val="002F6F7A"/>
    <w:rsid w:val="00302763"/>
    <w:rsid w:val="00302A76"/>
    <w:rsid w:val="00302D3E"/>
    <w:rsid w:val="00304039"/>
    <w:rsid w:val="0030738C"/>
    <w:rsid w:val="0030761B"/>
    <w:rsid w:val="00311616"/>
    <w:rsid w:val="003137BA"/>
    <w:rsid w:val="003149D2"/>
    <w:rsid w:val="00314CBB"/>
    <w:rsid w:val="00316A29"/>
    <w:rsid w:val="00316B18"/>
    <w:rsid w:val="00317AA5"/>
    <w:rsid w:val="003214DF"/>
    <w:rsid w:val="0032203D"/>
    <w:rsid w:val="003238BB"/>
    <w:rsid w:val="00331CB8"/>
    <w:rsid w:val="00332510"/>
    <w:rsid w:val="003364F7"/>
    <w:rsid w:val="0033665A"/>
    <w:rsid w:val="00340EE1"/>
    <w:rsid w:val="003422FB"/>
    <w:rsid w:val="00344599"/>
    <w:rsid w:val="003478CA"/>
    <w:rsid w:val="00347E2C"/>
    <w:rsid w:val="00350461"/>
    <w:rsid w:val="00352A3C"/>
    <w:rsid w:val="003543AA"/>
    <w:rsid w:val="00355919"/>
    <w:rsid w:val="00355F12"/>
    <w:rsid w:val="00356433"/>
    <w:rsid w:val="00364467"/>
    <w:rsid w:val="00365B61"/>
    <w:rsid w:val="003669DA"/>
    <w:rsid w:val="00370F5E"/>
    <w:rsid w:val="00371787"/>
    <w:rsid w:val="00373444"/>
    <w:rsid w:val="003761A1"/>
    <w:rsid w:val="003764F8"/>
    <w:rsid w:val="00381DD9"/>
    <w:rsid w:val="003823B5"/>
    <w:rsid w:val="0038586B"/>
    <w:rsid w:val="00385EA6"/>
    <w:rsid w:val="00387051"/>
    <w:rsid w:val="00391A0C"/>
    <w:rsid w:val="00391F6A"/>
    <w:rsid w:val="00392346"/>
    <w:rsid w:val="00394351"/>
    <w:rsid w:val="00397056"/>
    <w:rsid w:val="003A71CE"/>
    <w:rsid w:val="003A760F"/>
    <w:rsid w:val="003A7CCE"/>
    <w:rsid w:val="003B1AC9"/>
    <w:rsid w:val="003B1E60"/>
    <w:rsid w:val="003C05B0"/>
    <w:rsid w:val="003C4943"/>
    <w:rsid w:val="003C4A88"/>
    <w:rsid w:val="003C5D69"/>
    <w:rsid w:val="003C6411"/>
    <w:rsid w:val="003D08D8"/>
    <w:rsid w:val="003D4025"/>
    <w:rsid w:val="003D4EF5"/>
    <w:rsid w:val="003D6EA3"/>
    <w:rsid w:val="003D6EC4"/>
    <w:rsid w:val="003E1349"/>
    <w:rsid w:val="003E2020"/>
    <w:rsid w:val="003E233B"/>
    <w:rsid w:val="003E3137"/>
    <w:rsid w:val="003E4C09"/>
    <w:rsid w:val="003E6665"/>
    <w:rsid w:val="003F4C38"/>
    <w:rsid w:val="003F52D1"/>
    <w:rsid w:val="003F6713"/>
    <w:rsid w:val="003F7045"/>
    <w:rsid w:val="004008E8"/>
    <w:rsid w:val="004016A5"/>
    <w:rsid w:val="0040191F"/>
    <w:rsid w:val="00410CFB"/>
    <w:rsid w:val="00410DEB"/>
    <w:rsid w:val="00411086"/>
    <w:rsid w:val="004136C2"/>
    <w:rsid w:val="004155C5"/>
    <w:rsid w:val="00415747"/>
    <w:rsid w:val="00417E4A"/>
    <w:rsid w:val="004204FF"/>
    <w:rsid w:val="00421C7D"/>
    <w:rsid w:val="004246E5"/>
    <w:rsid w:val="00424795"/>
    <w:rsid w:val="0042766C"/>
    <w:rsid w:val="00433875"/>
    <w:rsid w:val="004354EE"/>
    <w:rsid w:val="00435E2B"/>
    <w:rsid w:val="00437F11"/>
    <w:rsid w:val="0044075E"/>
    <w:rsid w:val="00440B03"/>
    <w:rsid w:val="0044312A"/>
    <w:rsid w:val="004456EF"/>
    <w:rsid w:val="004463F7"/>
    <w:rsid w:val="00446749"/>
    <w:rsid w:val="00447027"/>
    <w:rsid w:val="004471E3"/>
    <w:rsid w:val="00451051"/>
    <w:rsid w:val="0045156D"/>
    <w:rsid w:val="004534A8"/>
    <w:rsid w:val="00453B7B"/>
    <w:rsid w:val="0045599A"/>
    <w:rsid w:val="0046269D"/>
    <w:rsid w:val="00465648"/>
    <w:rsid w:val="00466CE6"/>
    <w:rsid w:val="00467712"/>
    <w:rsid w:val="00467E1D"/>
    <w:rsid w:val="00472F16"/>
    <w:rsid w:val="00474D64"/>
    <w:rsid w:val="004751AA"/>
    <w:rsid w:val="00476FBD"/>
    <w:rsid w:val="0047766B"/>
    <w:rsid w:val="00477C4B"/>
    <w:rsid w:val="004853F1"/>
    <w:rsid w:val="00485DBB"/>
    <w:rsid w:val="00487F25"/>
    <w:rsid w:val="00490824"/>
    <w:rsid w:val="00491D19"/>
    <w:rsid w:val="00493E0C"/>
    <w:rsid w:val="00493F12"/>
    <w:rsid w:val="0049561E"/>
    <w:rsid w:val="00495F41"/>
    <w:rsid w:val="00495F7A"/>
    <w:rsid w:val="004971B3"/>
    <w:rsid w:val="004A1161"/>
    <w:rsid w:val="004A293B"/>
    <w:rsid w:val="004A39E6"/>
    <w:rsid w:val="004A3EC6"/>
    <w:rsid w:val="004A4D34"/>
    <w:rsid w:val="004A5319"/>
    <w:rsid w:val="004B101D"/>
    <w:rsid w:val="004B59CA"/>
    <w:rsid w:val="004B5A67"/>
    <w:rsid w:val="004B774D"/>
    <w:rsid w:val="004C3A85"/>
    <w:rsid w:val="004C3CF1"/>
    <w:rsid w:val="004C70AF"/>
    <w:rsid w:val="004D0237"/>
    <w:rsid w:val="004D0A14"/>
    <w:rsid w:val="004D10CC"/>
    <w:rsid w:val="004D1555"/>
    <w:rsid w:val="004D5EA0"/>
    <w:rsid w:val="004E04DB"/>
    <w:rsid w:val="004E2414"/>
    <w:rsid w:val="004E3C16"/>
    <w:rsid w:val="004E3E4C"/>
    <w:rsid w:val="004E500D"/>
    <w:rsid w:val="004E76B1"/>
    <w:rsid w:val="004E7E4A"/>
    <w:rsid w:val="004F05A9"/>
    <w:rsid w:val="004F0717"/>
    <w:rsid w:val="004F0ABB"/>
    <w:rsid w:val="004F0CA5"/>
    <w:rsid w:val="004F196C"/>
    <w:rsid w:val="004F2705"/>
    <w:rsid w:val="004F35D1"/>
    <w:rsid w:val="004F39DF"/>
    <w:rsid w:val="004F6741"/>
    <w:rsid w:val="004F6CEA"/>
    <w:rsid w:val="004F7533"/>
    <w:rsid w:val="00500570"/>
    <w:rsid w:val="0050216E"/>
    <w:rsid w:val="005056B9"/>
    <w:rsid w:val="00507B5B"/>
    <w:rsid w:val="0051090D"/>
    <w:rsid w:val="00511450"/>
    <w:rsid w:val="0051175B"/>
    <w:rsid w:val="00512AD2"/>
    <w:rsid w:val="00512E56"/>
    <w:rsid w:val="00514481"/>
    <w:rsid w:val="00514FEF"/>
    <w:rsid w:val="0051779B"/>
    <w:rsid w:val="00517D30"/>
    <w:rsid w:val="0052138F"/>
    <w:rsid w:val="0052176B"/>
    <w:rsid w:val="0052289E"/>
    <w:rsid w:val="00522E25"/>
    <w:rsid w:val="005234D5"/>
    <w:rsid w:val="0052496A"/>
    <w:rsid w:val="00524B73"/>
    <w:rsid w:val="00525329"/>
    <w:rsid w:val="00525BE8"/>
    <w:rsid w:val="00530464"/>
    <w:rsid w:val="00530518"/>
    <w:rsid w:val="005356EF"/>
    <w:rsid w:val="00535F27"/>
    <w:rsid w:val="005365EB"/>
    <w:rsid w:val="0053662E"/>
    <w:rsid w:val="00536A88"/>
    <w:rsid w:val="00544AED"/>
    <w:rsid w:val="005452C7"/>
    <w:rsid w:val="005512E8"/>
    <w:rsid w:val="005514C8"/>
    <w:rsid w:val="005516F7"/>
    <w:rsid w:val="00551F73"/>
    <w:rsid w:val="00555718"/>
    <w:rsid w:val="0055575F"/>
    <w:rsid w:val="00557EE7"/>
    <w:rsid w:val="0056199A"/>
    <w:rsid w:val="00562E26"/>
    <w:rsid w:val="005634C8"/>
    <w:rsid w:val="00565BC7"/>
    <w:rsid w:val="00565F7D"/>
    <w:rsid w:val="00573205"/>
    <w:rsid w:val="00573D94"/>
    <w:rsid w:val="005749F8"/>
    <w:rsid w:val="005774BE"/>
    <w:rsid w:val="00577CD7"/>
    <w:rsid w:val="00583BAB"/>
    <w:rsid w:val="00585FDE"/>
    <w:rsid w:val="00586356"/>
    <w:rsid w:val="0058705E"/>
    <w:rsid w:val="00590485"/>
    <w:rsid w:val="00590B0D"/>
    <w:rsid w:val="00590EFA"/>
    <w:rsid w:val="00591843"/>
    <w:rsid w:val="005932C2"/>
    <w:rsid w:val="00594AC9"/>
    <w:rsid w:val="00597D94"/>
    <w:rsid w:val="005A06B7"/>
    <w:rsid w:val="005A428B"/>
    <w:rsid w:val="005A468D"/>
    <w:rsid w:val="005A58EE"/>
    <w:rsid w:val="005A71C8"/>
    <w:rsid w:val="005B00A7"/>
    <w:rsid w:val="005B0E07"/>
    <w:rsid w:val="005B2555"/>
    <w:rsid w:val="005B3AAE"/>
    <w:rsid w:val="005B3BB5"/>
    <w:rsid w:val="005B5976"/>
    <w:rsid w:val="005B65E0"/>
    <w:rsid w:val="005B68EF"/>
    <w:rsid w:val="005B6BA5"/>
    <w:rsid w:val="005C157A"/>
    <w:rsid w:val="005C430F"/>
    <w:rsid w:val="005C5285"/>
    <w:rsid w:val="005C5B23"/>
    <w:rsid w:val="005D198A"/>
    <w:rsid w:val="005D2C01"/>
    <w:rsid w:val="005D5EBA"/>
    <w:rsid w:val="005D653E"/>
    <w:rsid w:val="005E027B"/>
    <w:rsid w:val="005E1EFF"/>
    <w:rsid w:val="005E5634"/>
    <w:rsid w:val="005E6AFB"/>
    <w:rsid w:val="005F1891"/>
    <w:rsid w:val="005F1944"/>
    <w:rsid w:val="005F281F"/>
    <w:rsid w:val="005F2D73"/>
    <w:rsid w:val="005F38B9"/>
    <w:rsid w:val="005F49E8"/>
    <w:rsid w:val="005F567A"/>
    <w:rsid w:val="005F63EA"/>
    <w:rsid w:val="005F6E2A"/>
    <w:rsid w:val="00600895"/>
    <w:rsid w:val="0060466E"/>
    <w:rsid w:val="0060546E"/>
    <w:rsid w:val="00605DD8"/>
    <w:rsid w:val="0060791D"/>
    <w:rsid w:val="00612318"/>
    <w:rsid w:val="00613AA0"/>
    <w:rsid w:val="00614D31"/>
    <w:rsid w:val="006153C4"/>
    <w:rsid w:val="00615BB8"/>
    <w:rsid w:val="00615C28"/>
    <w:rsid w:val="00617328"/>
    <w:rsid w:val="00617509"/>
    <w:rsid w:val="006206EF"/>
    <w:rsid w:val="006207DA"/>
    <w:rsid w:val="00623F9A"/>
    <w:rsid w:val="00625662"/>
    <w:rsid w:val="00631DEC"/>
    <w:rsid w:val="0063624B"/>
    <w:rsid w:val="00636998"/>
    <w:rsid w:val="006406E8"/>
    <w:rsid w:val="00641E41"/>
    <w:rsid w:val="00644823"/>
    <w:rsid w:val="006476E5"/>
    <w:rsid w:val="00651054"/>
    <w:rsid w:val="00652CF8"/>
    <w:rsid w:val="00652FA7"/>
    <w:rsid w:val="00654A5A"/>
    <w:rsid w:val="00656293"/>
    <w:rsid w:val="006566F3"/>
    <w:rsid w:val="00656E42"/>
    <w:rsid w:val="00661672"/>
    <w:rsid w:val="0066182C"/>
    <w:rsid w:val="006618F1"/>
    <w:rsid w:val="00662566"/>
    <w:rsid w:val="00665676"/>
    <w:rsid w:val="00666299"/>
    <w:rsid w:val="00670EFD"/>
    <w:rsid w:val="006717DE"/>
    <w:rsid w:val="00673715"/>
    <w:rsid w:val="006763F2"/>
    <w:rsid w:val="00677A64"/>
    <w:rsid w:val="00684711"/>
    <w:rsid w:val="00685F48"/>
    <w:rsid w:val="00686A07"/>
    <w:rsid w:val="00692156"/>
    <w:rsid w:val="0069256F"/>
    <w:rsid w:val="006926CA"/>
    <w:rsid w:val="00693141"/>
    <w:rsid w:val="00693AA5"/>
    <w:rsid w:val="00694599"/>
    <w:rsid w:val="00696109"/>
    <w:rsid w:val="0069702E"/>
    <w:rsid w:val="006A1E25"/>
    <w:rsid w:val="006A219F"/>
    <w:rsid w:val="006A2B51"/>
    <w:rsid w:val="006A771A"/>
    <w:rsid w:val="006B10BD"/>
    <w:rsid w:val="006B17FD"/>
    <w:rsid w:val="006B6230"/>
    <w:rsid w:val="006B6C3D"/>
    <w:rsid w:val="006C0B5B"/>
    <w:rsid w:val="006C133A"/>
    <w:rsid w:val="006C3D4B"/>
    <w:rsid w:val="006C52FF"/>
    <w:rsid w:val="006C64D0"/>
    <w:rsid w:val="006D19D2"/>
    <w:rsid w:val="006D47D6"/>
    <w:rsid w:val="006D4D5F"/>
    <w:rsid w:val="006D5CE8"/>
    <w:rsid w:val="006D7141"/>
    <w:rsid w:val="006D75D8"/>
    <w:rsid w:val="006E0FAC"/>
    <w:rsid w:val="006E1D64"/>
    <w:rsid w:val="006E387F"/>
    <w:rsid w:val="006E5534"/>
    <w:rsid w:val="006E6F17"/>
    <w:rsid w:val="006E7A14"/>
    <w:rsid w:val="006F0DA5"/>
    <w:rsid w:val="006F1A3D"/>
    <w:rsid w:val="006F1F87"/>
    <w:rsid w:val="006F6109"/>
    <w:rsid w:val="0070332B"/>
    <w:rsid w:val="00707A6C"/>
    <w:rsid w:val="00707DEB"/>
    <w:rsid w:val="00710E84"/>
    <w:rsid w:val="00716B17"/>
    <w:rsid w:val="0071708C"/>
    <w:rsid w:val="007177E0"/>
    <w:rsid w:val="00717D14"/>
    <w:rsid w:val="00721A81"/>
    <w:rsid w:val="00723F48"/>
    <w:rsid w:val="007242B5"/>
    <w:rsid w:val="0072510B"/>
    <w:rsid w:val="00733E7D"/>
    <w:rsid w:val="00735D6F"/>
    <w:rsid w:val="00736C88"/>
    <w:rsid w:val="007371EC"/>
    <w:rsid w:val="00737AEA"/>
    <w:rsid w:val="00740738"/>
    <w:rsid w:val="00740A7A"/>
    <w:rsid w:val="007413AE"/>
    <w:rsid w:val="00741D87"/>
    <w:rsid w:val="00746731"/>
    <w:rsid w:val="00746A4A"/>
    <w:rsid w:val="00750747"/>
    <w:rsid w:val="00752355"/>
    <w:rsid w:val="007528E3"/>
    <w:rsid w:val="00754663"/>
    <w:rsid w:val="00756753"/>
    <w:rsid w:val="00756FD7"/>
    <w:rsid w:val="00761134"/>
    <w:rsid w:val="007614A5"/>
    <w:rsid w:val="00761CFE"/>
    <w:rsid w:val="00762A60"/>
    <w:rsid w:val="007678BA"/>
    <w:rsid w:val="007705BA"/>
    <w:rsid w:val="00771B27"/>
    <w:rsid w:val="00773FE5"/>
    <w:rsid w:val="0077524C"/>
    <w:rsid w:val="00775D30"/>
    <w:rsid w:val="007765A4"/>
    <w:rsid w:val="0078016C"/>
    <w:rsid w:val="0078130E"/>
    <w:rsid w:val="00793430"/>
    <w:rsid w:val="007959CF"/>
    <w:rsid w:val="00795C86"/>
    <w:rsid w:val="00795EB7"/>
    <w:rsid w:val="00796BFE"/>
    <w:rsid w:val="007A11DC"/>
    <w:rsid w:val="007A1401"/>
    <w:rsid w:val="007A422E"/>
    <w:rsid w:val="007A49EF"/>
    <w:rsid w:val="007A58E5"/>
    <w:rsid w:val="007A61F5"/>
    <w:rsid w:val="007B0966"/>
    <w:rsid w:val="007B2ECA"/>
    <w:rsid w:val="007B3E88"/>
    <w:rsid w:val="007B5F4B"/>
    <w:rsid w:val="007B67EB"/>
    <w:rsid w:val="007B6B39"/>
    <w:rsid w:val="007B7DBA"/>
    <w:rsid w:val="007C05E1"/>
    <w:rsid w:val="007C0A8B"/>
    <w:rsid w:val="007C21F2"/>
    <w:rsid w:val="007C2863"/>
    <w:rsid w:val="007C3930"/>
    <w:rsid w:val="007C41CE"/>
    <w:rsid w:val="007C5C14"/>
    <w:rsid w:val="007D01AD"/>
    <w:rsid w:val="007D0866"/>
    <w:rsid w:val="007D2CCD"/>
    <w:rsid w:val="007D6175"/>
    <w:rsid w:val="007D6C60"/>
    <w:rsid w:val="007E00A3"/>
    <w:rsid w:val="007E1514"/>
    <w:rsid w:val="007E19C2"/>
    <w:rsid w:val="007E5268"/>
    <w:rsid w:val="007E5508"/>
    <w:rsid w:val="007E65E1"/>
    <w:rsid w:val="007F0D1C"/>
    <w:rsid w:val="007F12A0"/>
    <w:rsid w:val="007F1F56"/>
    <w:rsid w:val="007F2193"/>
    <w:rsid w:val="007F23C9"/>
    <w:rsid w:val="007F26C9"/>
    <w:rsid w:val="007F34AC"/>
    <w:rsid w:val="007F404F"/>
    <w:rsid w:val="007F52EA"/>
    <w:rsid w:val="007F7292"/>
    <w:rsid w:val="007F7B54"/>
    <w:rsid w:val="008008C1"/>
    <w:rsid w:val="00801E42"/>
    <w:rsid w:val="00804199"/>
    <w:rsid w:val="00806BE7"/>
    <w:rsid w:val="0081356D"/>
    <w:rsid w:val="008144CE"/>
    <w:rsid w:val="00814853"/>
    <w:rsid w:val="00815607"/>
    <w:rsid w:val="008212F8"/>
    <w:rsid w:val="0082326C"/>
    <w:rsid w:val="008243A8"/>
    <w:rsid w:val="00824619"/>
    <w:rsid w:val="008259F4"/>
    <w:rsid w:val="008302B4"/>
    <w:rsid w:val="0083326C"/>
    <w:rsid w:val="00837ED2"/>
    <w:rsid w:val="00840439"/>
    <w:rsid w:val="008406D4"/>
    <w:rsid w:val="00845DBD"/>
    <w:rsid w:val="0085033A"/>
    <w:rsid w:val="0085066E"/>
    <w:rsid w:val="0085162A"/>
    <w:rsid w:val="008541B7"/>
    <w:rsid w:val="0085609A"/>
    <w:rsid w:val="008576E8"/>
    <w:rsid w:val="00857DF9"/>
    <w:rsid w:val="0086142A"/>
    <w:rsid w:val="0086501B"/>
    <w:rsid w:val="00865DD8"/>
    <w:rsid w:val="00865E4D"/>
    <w:rsid w:val="00872584"/>
    <w:rsid w:val="00872890"/>
    <w:rsid w:val="00873533"/>
    <w:rsid w:val="0087725E"/>
    <w:rsid w:val="008805A3"/>
    <w:rsid w:val="008807A6"/>
    <w:rsid w:val="00881B22"/>
    <w:rsid w:val="00883528"/>
    <w:rsid w:val="00883628"/>
    <w:rsid w:val="0088584B"/>
    <w:rsid w:val="00887E88"/>
    <w:rsid w:val="00892D37"/>
    <w:rsid w:val="00893E64"/>
    <w:rsid w:val="008945F0"/>
    <w:rsid w:val="00897F4F"/>
    <w:rsid w:val="008A07F2"/>
    <w:rsid w:val="008A13AE"/>
    <w:rsid w:val="008A1F42"/>
    <w:rsid w:val="008A2A22"/>
    <w:rsid w:val="008A5E10"/>
    <w:rsid w:val="008A63E6"/>
    <w:rsid w:val="008A7C11"/>
    <w:rsid w:val="008A7DFC"/>
    <w:rsid w:val="008A7F02"/>
    <w:rsid w:val="008AB8E6"/>
    <w:rsid w:val="008B25FF"/>
    <w:rsid w:val="008B2B7A"/>
    <w:rsid w:val="008B5706"/>
    <w:rsid w:val="008B5830"/>
    <w:rsid w:val="008B5DC0"/>
    <w:rsid w:val="008B7A4F"/>
    <w:rsid w:val="008C0E91"/>
    <w:rsid w:val="008C1CAD"/>
    <w:rsid w:val="008C2374"/>
    <w:rsid w:val="008C31CC"/>
    <w:rsid w:val="008C3B60"/>
    <w:rsid w:val="008C418A"/>
    <w:rsid w:val="008C78E9"/>
    <w:rsid w:val="008C795E"/>
    <w:rsid w:val="008D1197"/>
    <w:rsid w:val="008D1AF4"/>
    <w:rsid w:val="008D25E6"/>
    <w:rsid w:val="008D2C6B"/>
    <w:rsid w:val="008D50E1"/>
    <w:rsid w:val="008D5938"/>
    <w:rsid w:val="008E20C1"/>
    <w:rsid w:val="008E40A8"/>
    <w:rsid w:val="008E4C3B"/>
    <w:rsid w:val="008E50C5"/>
    <w:rsid w:val="008E55CF"/>
    <w:rsid w:val="008E7181"/>
    <w:rsid w:val="008E7C9D"/>
    <w:rsid w:val="008F2F1F"/>
    <w:rsid w:val="008F4289"/>
    <w:rsid w:val="008F4D44"/>
    <w:rsid w:val="008F4EBE"/>
    <w:rsid w:val="008F5E8B"/>
    <w:rsid w:val="00900AEC"/>
    <w:rsid w:val="0090243B"/>
    <w:rsid w:val="0090268A"/>
    <w:rsid w:val="00902A6F"/>
    <w:rsid w:val="00904938"/>
    <w:rsid w:val="00905AD2"/>
    <w:rsid w:val="00910252"/>
    <w:rsid w:val="00911049"/>
    <w:rsid w:val="00912BBA"/>
    <w:rsid w:val="00913883"/>
    <w:rsid w:val="00913DC9"/>
    <w:rsid w:val="009149CE"/>
    <w:rsid w:val="00915588"/>
    <w:rsid w:val="0091632F"/>
    <w:rsid w:val="00917404"/>
    <w:rsid w:val="0091752F"/>
    <w:rsid w:val="009221C4"/>
    <w:rsid w:val="00922988"/>
    <w:rsid w:val="00922E7F"/>
    <w:rsid w:val="0092386C"/>
    <w:rsid w:val="00923BE0"/>
    <w:rsid w:val="00924D18"/>
    <w:rsid w:val="00924F0E"/>
    <w:rsid w:val="00930B2B"/>
    <w:rsid w:val="0093172D"/>
    <w:rsid w:val="00932D03"/>
    <w:rsid w:val="00933AA8"/>
    <w:rsid w:val="00934537"/>
    <w:rsid w:val="00934B94"/>
    <w:rsid w:val="009364AB"/>
    <w:rsid w:val="00941310"/>
    <w:rsid w:val="00943DB2"/>
    <w:rsid w:val="00944A24"/>
    <w:rsid w:val="0094567C"/>
    <w:rsid w:val="00945E8C"/>
    <w:rsid w:val="00947A0C"/>
    <w:rsid w:val="009500BB"/>
    <w:rsid w:val="00950C3B"/>
    <w:rsid w:val="00950E9C"/>
    <w:rsid w:val="00951073"/>
    <w:rsid w:val="0095215E"/>
    <w:rsid w:val="00953421"/>
    <w:rsid w:val="009539B2"/>
    <w:rsid w:val="00953ABF"/>
    <w:rsid w:val="009558D3"/>
    <w:rsid w:val="0095656F"/>
    <w:rsid w:val="00962D1A"/>
    <w:rsid w:val="00962DF4"/>
    <w:rsid w:val="0096382F"/>
    <w:rsid w:val="00964930"/>
    <w:rsid w:val="0096703A"/>
    <w:rsid w:val="00970D9F"/>
    <w:rsid w:val="0097243C"/>
    <w:rsid w:val="00972894"/>
    <w:rsid w:val="00973CD5"/>
    <w:rsid w:val="00973FF1"/>
    <w:rsid w:val="009742EA"/>
    <w:rsid w:val="00975888"/>
    <w:rsid w:val="00975CDA"/>
    <w:rsid w:val="0098117E"/>
    <w:rsid w:val="009819F1"/>
    <w:rsid w:val="00981F06"/>
    <w:rsid w:val="009832A7"/>
    <w:rsid w:val="00985E73"/>
    <w:rsid w:val="00987067"/>
    <w:rsid w:val="00987EDB"/>
    <w:rsid w:val="009902A0"/>
    <w:rsid w:val="0099381C"/>
    <w:rsid w:val="00996590"/>
    <w:rsid w:val="009A32E4"/>
    <w:rsid w:val="009A3871"/>
    <w:rsid w:val="009A38BF"/>
    <w:rsid w:val="009A53D5"/>
    <w:rsid w:val="009A5932"/>
    <w:rsid w:val="009A7323"/>
    <w:rsid w:val="009A778C"/>
    <w:rsid w:val="009B055D"/>
    <w:rsid w:val="009B1251"/>
    <w:rsid w:val="009B38A9"/>
    <w:rsid w:val="009B4199"/>
    <w:rsid w:val="009B5F18"/>
    <w:rsid w:val="009B6ABA"/>
    <w:rsid w:val="009B7FC7"/>
    <w:rsid w:val="009C16CC"/>
    <w:rsid w:val="009C1ED2"/>
    <w:rsid w:val="009C1F92"/>
    <w:rsid w:val="009C2C05"/>
    <w:rsid w:val="009C3F82"/>
    <w:rsid w:val="009C4918"/>
    <w:rsid w:val="009C494A"/>
    <w:rsid w:val="009C6E06"/>
    <w:rsid w:val="009C70EB"/>
    <w:rsid w:val="009D0746"/>
    <w:rsid w:val="009D2A2A"/>
    <w:rsid w:val="009D2A30"/>
    <w:rsid w:val="009D3EEA"/>
    <w:rsid w:val="009D45D6"/>
    <w:rsid w:val="009D4D90"/>
    <w:rsid w:val="009D6EDF"/>
    <w:rsid w:val="009E0E36"/>
    <w:rsid w:val="009E2092"/>
    <w:rsid w:val="009E4228"/>
    <w:rsid w:val="009E4D9A"/>
    <w:rsid w:val="009E50F4"/>
    <w:rsid w:val="009E5461"/>
    <w:rsid w:val="009E5FB1"/>
    <w:rsid w:val="009E7E6B"/>
    <w:rsid w:val="009F0219"/>
    <w:rsid w:val="009F0C97"/>
    <w:rsid w:val="009F0EB4"/>
    <w:rsid w:val="009F1057"/>
    <w:rsid w:val="009F11A6"/>
    <w:rsid w:val="009F3BC8"/>
    <w:rsid w:val="009F7134"/>
    <w:rsid w:val="009F77AC"/>
    <w:rsid w:val="009F7EC1"/>
    <w:rsid w:val="00A00350"/>
    <w:rsid w:val="00A00EF8"/>
    <w:rsid w:val="00A03B77"/>
    <w:rsid w:val="00A05064"/>
    <w:rsid w:val="00A076C1"/>
    <w:rsid w:val="00A125EA"/>
    <w:rsid w:val="00A14924"/>
    <w:rsid w:val="00A14ED7"/>
    <w:rsid w:val="00A15DFA"/>
    <w:rsid w:val="00A167C7"/>
    <w:rsid w:val="00A171C6"/>
    <w:rsid w:val="00A209D5"/>
    <w:rsid w:val="00A20AA6"/>
    <w:rsid w:val="00A20BC5"/>
    <w:rsid w:val="00A2122F"/>
    <w:rsid w:val="00A21CF6"/>
    <w:rsid w:val="00A2346B"/>
    <w:rsid w:val="00A25874"/>
    <w:rsid w:val="00A2640C"/>
    <w:rsid w:val="00A27833"/>
    <w:rsid w:val="00A3119C"/>
    <w:rsid w:val="00A32C83"/>
    <w:rsid w:val="00A348F2"/>
    <w:rsid w:val="00A3660B"/>
    <w:rsid w:val="00A36A5C"/>
    <w:rsid w:val="00A37F48"/>
    <w:rsid w:val="00A43438"/>
    <w:rsid w:val="00A43797"/>
    <w:rsid w:val="00A45052"/>
    <w:rsid w:val="00A452FC"/>
    <w:rsid w:val="00A51153"/>
    <w:rsid w:val="00A540A2"/>
    <w:rsid w:val="00A5468F"/>
    <w:rsid w:val="00A5648A"/>
    <w:rsid w:val="00A5781F"/>
    <w:rsid w:val="00A57F58"/>
    <w:rsid w:val="00A61981"/>
    <w:rsid w:val="00A619F6"/>
    <w:rsid w:val="00A61A70"/>
    <w:rsid w:val="00A61B08"/>
    <w:rsid w:val="00A64A1F"/>
    <w:rsid w:val="00A65759"/>
    <w:rsid w:val="00A65E7D"/>
    <w:rsid w:val="00A703B2"/>
    <w:rsid w:val="00A705A4"/>
    <w:rsid w:val="00A7624D"/>
    <w:rsid w:val="00A8082C"/>
    <w:rsid w:val="00A817BB"/>
    <w:rsid w:val="00A82218"/>
    <w:rsid w:val="00A8624D"/>
    <w:rsid w:val="00A86A4A"/>
    <w:rsid w:val="00A87124"/>
    <w:rsid w:val="00A87A22"/>
    <w:rsid w:val="00A912CA"/>
    <w:rsid w:val="00A9239D"/>
    <w:rsid w:val="00A93DF3"/>
    <w:rsid w:val="00A941A7"/>
    <w:rsid w:val="00A9704D"/>
    <w:rsid w:val="00AA48B7"/>
    <w:rsid w:val="00AA49AD"/>
    <w:rsid w:val="00AA4A09"/>
    <w:rsid w:val="00AA572C"/>
    <w:rsid w:val="00AA59AF"/>
    <w:rsid w:val="00AA5FFF"/>
    <w:rsid w:val="00AB0401"/>
    <w:rsid w:val="00AB0B1C"/>
    <w:rsid w:val="00AB23ED"/>
    <w:rsid w:val="00AB5456"/>
    <w:rsid w:val="00AB5C48"/>
    <w:rsid w:val="00AC0E03"/>
    <w:rsid w:val="00AC1B52"/>
    <w:rsid w:val="00AC2994"/>
    <w:rsid w:val="00AC6E41"/>
    <w:rsid w:val="00AC7C70"/>
    <w:rsid w:val="00AD007C"/>
    <w:rsid w:val="00AD04D5"/>
    <w:rsid w:val="00AD1032"/>
    <w:rsid w:val="00AD26FF"/>
    <w:rsid w:val="00AD68C1"/>
    <w:rsid w:val="00AD76C5"/>
    <w:rsid w:val="00AD7787"/>
    <w:rsid w:val="00AE017A"/>
    <w:rsid w:val="00AE0593"/>
    <w:rsid w:val="00AE4FD5"/>
    <w:rsid w:val="00AF18C2"/>
    <w:rsid w:val="00AF2434"/>
    <w:rsid w:val="00AF2A4B"/>
    <w:rsid w:val="00AF3B38"/>
    <w:rsid w:val="00AF4D0F"/>
    <w:rsid w:val="00AF5BF9"/>
    <w:rsid w:val="00AF663A"/>
    <w:rsid w:val="00AF7CBB"/>
    <w:rsid w:val="00B00C92"/>
    <w:rsid w:val="00B00EB7"/>
    <w:rsid w:val="00B01198"/>
    <w:rsid w:val="00B02E36"/>
    <w:rsid w:val="00B0320D"/>
    <w:rsid w:val="00B03C96"/>
    <w:rsid w:val="00B06326"/>
    <w:rsid w:val="00B06774"/>
    <w:rsid w:val="00B1077F"/>
    <w:rsid w:val="00B10FD7"/>
    <w:rsid w:val="00B125A2"/>
    <w:rsid w:val="00B13024"/>
    <w:rsid w:val="00B15A7D"/>
    <w:rsid w:val="00B20AD6"/>
    <w:rsid w:val="00B216B3"/>
    <w:rsid w:val="00B22F7C"/>
    <w:rsid w:val="00B24CA2"/>
    <w:rsid w:val="00B27EE4"/>
    <w:rsid w:val="00B302C2"/>
    <w:rsid w:val="00B3054A"/>
    <w:rsid w:val="00B30560"/>
    <w:rsid w:val="00B32F90"/>
    <w:rsid w:val="00B347FE"/>
    <w:rsid w:val="00B35228"/>
    <w:rsid w:val="00B36727"/>
    <w:rsid w:val="00B42BB2"/>
    <w:rsid w:val="00B42F81"/>
    <w:rsid w:val="00B4406D"/>
    <w:rsid w:val="00B4679C"/>
    <w:rsid w:val="00B46D09"/>
    <w:rsid w:val="00B60CFB"/>
    <w:rsid w:val="00B6197A"/>
    <w:rsid w:val="00B61B57"/>
    <w:rsid w:val="00B61EFC"/>
    <w:rsid w:val="00B64BF5"/>
    <w:rsid w:val="00B66B84"/>
    <w:rsid w:val="00B721CA"/>
    <w:rsid w:val="00B725FD"/>
    <w:rsid w:val="00B72B2E"/>
    <w:rsid w:val="00B77C29"/>
    <w:rsid w:val="00B8258F"/>
    <w:rsid w:val="00B83FFD"/>
    <w:rsid w:val="00B859E7"/>
    <w:rsid w:val="00B87105"/>
    <w:rsid w:val="00B93B0E"/>
    <w:rsid w:val="00B9588A"/>
    <w:rsid w:val="00B97EE7"/>
    <w:rsid w:val="00BA191D"/>
    <w:rsid w:val="00BA5DE8"/>
    <w:rsid w:val="00BA6054"/>
    <w:rsid w:val="00BA6848"/>
    <w:rsid w:val="00BB0115"/>
    <w:rsid w:val="00BB0390"/>
    <w:rsid w:val="00BB138F"/>
    <w:rsid w:val="00BB7437"/>
    <w:rsid w:val="00BB753C"/>
    <w:rsid w:val="00BB7A6B"/>
    <w:rsid w:val="00BC10DF"/>
    <w:rsid w:val="00BC1509"/>
    <w:rsid w:val="00BC22C8"/>
    <w:rsid w:val="00BC2713"/>
    <w:rsid w:val="00BC2CA0"/>
    <w:rsid w:val="00BC37F7"/>
    <w:rsid w:val="00BC61EB"/>
    <w:rsid w:val="00BC67C1"/>
    <w:rsid w:val="00BC6853"/>
    <w:rsid w:val="00BC7966"/>
    <w:rsid w:val="00BD2B1D"/>
    <w:rsid w:val="00BD6A95"/>
    <w:rsid w:val="00BD7F8F"/>
    <w:rsid w:val="00BE2522"/>
    <w:rsid w:val="00BE38F5"/>
    <w:rsid w:val="00BE69DD"/>
    <w:rsid w:val="00BF1E2E"/>
    <w:rsid w:val="00BF2D2F"/>
    <w:rsid w:val="00BF38C4"/>
    <w:rsid w:val="00BF4482"/>
    <w:rsid w:val="00BF63AF"/>
    <w:rsid w:val="00BF673F"/>
    <w:rsid w:val="00BF68CF"/>
    <w:rsid w:val="00BF7CBA"/>
    <w:rsid w:val="00C00EDE"/>
    <w:rsid w:val="00C02DBD"/>
    <w:rsid w:val="00C04151"/>
    <w:rsid w:val="00C04852"/>
    <w:rsid w:val="00C04959"/>
    <w:rsid w:val="00C065E5"/>
    <w:rsid w:val="00C066E6"/>
    <w:rsid w:val="00C069C6"/>
    <w:rsid w:val="00C06C1E"/>
    <w:rsid w:val="00C078E5"/>
    <w:rsid w:val="00C10662"/>
    <w:rsid w:val="00C128F9"/>
    <w:rsid w:val="00C12F72"/>
    <w:rsid w:val="00C134DC"/>
    <w:rsid w:val="00C21101"/>
    <w:rsid w:val="00C2166B"/>
    <w:rsid w:val="00C21DF1"/>
    <w:rsid w:val="00C2203A"/>
    <w:rsid w:val="00C239F6"/>
    <w:rsid w:val="00C2420D"/>
    <w:rsid w:val="00C242C6"/>
    <w:rsid w:val="00C26E4F"/>
    <w:rsid w:val="00C27FB6"/>
    <w:rsid w:val="00C3035E"/>
    <w:rsid w:val="00C30A42"/>
    <w:rsid w:val="00C31254"/>
    <w:rsid w:val="00C33A1B"/>
    <w:rsid w:val="00C34078"/>
    <w:rsid w:val="00C34814"/>
    <w:rsid w:val="00C3753F"/>
    <w:rsid w:val="00C3784E"/>
    <w:rsid w:val="00C40E12"/>
    <w:rsid w:val="00C42EF7"/>
    <w:rsid w:val="00C44371"/>
    <w:rsid w:val="00C45047"/>
    <w:rsid w:val="00C45260"/>
    <w:rsid w:val="00C45625"/>
    <w:rsid w:val="00C45681"/>
    <w:rsid w:val="00C45ECD"/>
    <w:rsid w:val="00C506EC"/>
    <w:rsid w:val="00C528FF"/>
    <w:rsid w:val="00C52BA5"/>
    <w:rsid w:val="00C53357"/>
    <w:rsid w:val="00C53A26"/>
    <w:rsid w:val="00C5600F"/>
    <w:rsid w:val="00C60605"/>
    <w:rsid w:val="00C6185F"/>
    <w:rsid w:val="00C62F27"/>
    <w:rsid w:val="00C630B6"/>
    <w:rsid w:val="00C6311B"/>
    <w:rsid w:val="00C6353C"/>
    <w:rsid w:val="00C6369F"/>
    <w:rsid w:val="00C648CE"/>
    <w:rsid w:val="00C657CE"/>
    <w:rsid w:val="00C65C94"/>
    <w:rsid w:val="00C6625D"/>
    <w:rsid w:val="00C73A99"/>
    <w:rsid w:val="00C73EBD"/>
    <w:rsid w:val="00C812EC"/>
    <w:rsid w:val="00C81AB0"/>
    <w:rsid w:val="00C84AF7"/>
    <w:rsid w:val="00C91895"/>
    <w:rsid w:val="00C92186"/>
    <w:rsid w:val="00C947F3"/>
    <w:rsid w:val="00C95CD3"/>
    <w:rsid w:val="00C967EF"/>
    <w:rsid w:val="00C97353"/>
    <w:rsid w:val="00C97966"/>
    <w:rsid w:val="00CA25ED"/>
    <w:rsid w:val="00CA458C"/>
    <w:rsid w:val="00CA51A4"/>
    <w:rsid w:val="00CA7A9E"/>
    <w:rsid w:val="00CB742E"/>
    <w:rsid w:val="00CC28B0"/>
    <w:rsid w:val="00CC2E45"/>
    <w:rsid w:val="00CC2F0D"/>
    <w:rsid w:val="00CC4341"/>
    <w:rsid w:val="00CC43EC"/>
    <w:rsid w:val="00CC6C35"/>
    <w:rsid w:val="00CC6CF1"/>
    <w:rsid w:val="00CD218F"/>
    <w:rsid w:val="00CD2C58"/>
    <w:rsid w:val="00CD42E0"/>
    <w:rsid w:val="00CD4580"/>
    <w:rsid w:val="00CD4DD2"/>
    <w:rsid w:val="00CD6875"/>
    <w:rsid w:val="00CD7E22"/>
    <w:rsid w:val="00CE24EF"/>
    <w:rsid w:val="00CE3ECA"/>
    <w:rsid w:val="00CE56FE"/>
    <w:rsid w:val="00CE5E93"/>
    <w:rsid w:val="00CE66BE"/>
    <w:rsid w:val="00CE74C1"/>
    <w:rsid w:val="00CF0FD3"/>
    <w:rsid w:val="00CF1697"/>
    <w:rsid w:val="00CF4AE3"/>
    <w:rsid w:val="00CF552A"/>
    <w:rsid w:val="00CF6C2E"/>
    <w:rsid w:val="00CF7883"/>
    <w:rsid w:val="00D0402B"/>
    <w:rsid w:val="00D04402"/>
    <w:rsid w:val="00D047E1"/>
    <w:rsid w:val="00D04DB4"/>
    <w:rsid w:val="00D057AC"/>
    <w:rsid w:val="00D10972"/>
    <w:rsid w:val="00D1113E"/>
    <w:rsid w:val="00D1293A"/>
    <w:rsid w:val="00D1361B"/>
    <w:rsid w:val="00D14334"/>
    <w:rsid w:val="00D150AD"/>
    <w:rsid w:val="00D16D4D"/>
    <w:rsid w:val="00D20D35"/>
    <w:rsid w:val="00D21E8D"/>
    <w:rsid w:val="00D22FA1"/>
    <w:rsid w:val="00D2560A"/>
    <w:rsid w:val="00D266F2"/>
    <w:rsid w:val="00D31268"/>
    <w:rsid w:val="00D31D7F"/>
    <w:rsid w:val="00D320DB"/>
    <w:rsid w:val="00D32184"/>
    <w:rsid w:val="00D3379F"/>
    <w:rsid w:val="00D33F24"/>
    <w:rsid w:val="00D33F4F"/>
    <w:rsid w:val="00D3545C"/>
    <w:rsid w:val="00D359AE"/>
    <w:rsid w:val="00D41D72"/>
    <w:rsid w:val="00D41D79"/>
    <w:rsid w:val="00D43FA3"/>
    <w:rsid w:val="00D44E48"/>
    <w:rsid w:val="00D45FEA"/>
    <w:rsid w:val="00D46373"/>
    <w:rsid w:val="00D4653E"/>
    <w:rsid w:val="00D46E56"/>
    <w:rsid w:val="00D47C24"/>
    <w:rsid w:val="00D5022D"/>
    <w:rsid w:val="00D503FA"/>
    <w:rsid w:val="00D51636"/>
    <w:rsid w:val="00D5246A"/>
    <w:rsid w:val="00D52E01"/>
    <w:rsid w:val="00D5580B"/>
    <w:rsid w:val="00D5701D"/>
    <w:rsid w:val="00D62D1C"/>
    <w:rsid w:val="00D64115"/>
    <w:rsid w:val="00D65E4D"/>
    <w:rsid w:val="00D6748E"/>
    <w:rsid w:val="00D67636"/>
    <w:rsid w:val="00D70C1C"/>
    <w:rsid w:val="00D72048"/>
    <w:rsid w:val="00D726EF"/>
    <w:rsid w:val="00D7292F"/>
    <w:rsid w:val="00D73B4B"/>
    <w:rsid w:val="00D7686E"/>
    <w:rsid w:val="00D76D9B"/>
    <w:rsid w:val="00D76DDE"/>
    <w:rsid w:val="00D76E5C"/>
    <w:rsid w:val="00D7725F"/>
    <w:rsid w:val="00D77D2A"/>
    <w:rsid w:val="00D85F67"/>
    <w:rsid w:val="00D926AC"/>
    <w:rsid w:val="00D935B2"/>
    <w:rsid w:val="00D9434E"/>
    <w:rsid w:val="00D9590D"/>
    <w:rsid w:val="00D964DF"/>
    <w:rsid w:val="00D96875"/>
    <w:rsid w:val="00DA11B6"/>
    <w:rsid w:val="00DA13A2"/>
    <w:rsid w:val="00DA4556"/>
    <w:rsid w:val="00DA5765"/>
    <w:rsid w:val="00DA6330"/>
    <w:rsid w:val="00DA7068"/>
    <w:rsid w:val="00DB0129"/>
    <w:rsid w:val="00DB7281"/>
    <w:rsid w:val="00DC3BF3"/>
    <w:rsid w:val="00DC3F3B"/>
    <w:rsid w:val="00DC4B09"/>
    <w:rsid w:val="00DC5B18"/>
    <w:rsid w:val="00DC6A69"/>
    <w:rsid w:val="00DC6F04"/>
    <w:rsid w:val="00DD21E0"/>
    <w:rsid w:val="00DE162E"/>
    <w:rsid w:val="00DE19CA"/>
    <w:rsid w:val="00DE1FD2"/>
    <w:rsid w:val="00DE6BC0"/>
    <w:rsid w:val="00DF0397"/>
    <w:rsid w:val="00DF1915"/>
    <w:rsid w:val="00DF3305"/>
    <w:rsid w:val="00DF7F92"/>
    <w:rsid w:val="00E00289"/>
    <w:rsid w:val="00E01655"/>
    <w:rsid w:val="00E02709"/>
    <w:rsid w:val="00E03A3D"/>
    <w:rsid w:val="00E049A3"/>
    <w:rsid w:val="00E11A31"/>
    <w:rsid w:val="00E1295D"/>
    <w:rsid w:val="00E13905"/>
    <w:rsid w:val="00E14403"/>
    <w:rsid w:val="00E15050"/>
    <w:rsid w:val="00E162A7"/>
    <w:rsid w:val="00E17390"/>
    <w:rsid w:val="00E17E4E"/>
    <w:rsid w:val="00E17FB0"/>
    <w:rsid w:val="00E219B7"/>
    <w:rsid w:val="00E30D87"/>
    <w:rsid w:val="00E326E5"/>
    <w:rsid w:val="00E33768"/>
    <w:rsid w:val="00E410D0"/>
    <w:rsid w:val="00E464E0"/>
    <w:rsid w:val="00E51F2A"/>
    <w:rsid w:val="00E52804"/>
    <w:rsid w:val="00E55286"/>
    <w:rsid w:val="00E60A01"/>
    <w:rsid w:val="00E617E1"/>
    <w:rsid w:val="00E6199B"/>
    <w:rsid w:val="00E6524F"/>
    <w:rsid w:val="00E675BC"/>
    <w:rsid w:val="00E72528"/>
    <w:rsid w:val="00E76C8B"/>
    <w:rsid w:val="00E77B19"/>
    <w:rsid w:val="00E77C1E"/>
    <w:rsid w:val="00E80A34"/>
    <w:rsid w:val="00E822DE"/>
    <w:rsid w:val="00E826FB"/>
    <w:rsid w:val="00E850F1"/>
    <w:rsid w:val="00E86769"/>
    <w:rsid w:val="00E90F9C"/>
    <w:rsid w:val="00E9291F"/>
    <w:rsid w:val="00E9342F"/>
    <w:rsid w:val="00E938F6"/>
    <w:rsid w:val="00E9509A"/>
    <w:rsid w:val="00EA076D"/>
    <w:rsid w:val="00EA0E12"/>
    <w:rsid w:val="00EA2FD8"/>
    <w:rsid w:val="00EA5464"/>
    <w:rsid w:val="00EA78D2"/>
    <w:rsid w:val="00EA7B50"/>
    <w:rsid w:val="00EB039C"/>
    <w:rsid w:val="00EB13B3"/>
    <w:rsid w:val="00EB1BE4"/>
    <w:rsid w:val="00EB546C"/>
    <w:rsid w:val="00EB5DE3"/>
    <w:rsid w:val="00EC019D"/>
    <w:rsid w:val="00EC207B"/>
    <w:rsid w:val="00EC2682"/>
    <w:rsid w:val="00EC2EE2"/>
    <w:rsid w:val="00EC33CF"/>
    <w:rsid w:val="00EC4B1E"/>
    <w:rsid w:val="00EC666F"/>
    <w:rsid w:val="00EC682B"/>
    <w:rsid w:val="00ED1FEF"/>
    <w:rsid w:val="00ED34CF"/>
    <w:rsid w:val="00ED3864"/>
    <w:rsid w:val="00ED5035"/>
    <w:rsid w:val="00ED6DEF"/>
    <w:rsid w:val="00ED79EA"/>
    <w:rsid w:val="00EE0B58"/>
    <w:rsid w:val="00EE1F25"/>
    <w:rsid w:val="00EE239C"/>
    <w:rsid w:val="00EE28DD"/>
    <w:rsid w:val="00EE372D"/>
    <w:rsid w:val="00EE4149"/>
    <w:rsid w:val="00EE63B7"/>
    <w:rsid w:val="00EE6435"/>
    <w:rsid w:val="00EE6562"/>
    <w:rsid w:val="00EE7CA6"/>
    <w:rsid w:val="00EF0338"/>
    <w:rsid w:val="00EF0E74"/>
    <w:rsid w:val="00EF724F"/>
    <w:rsid w:val="00EF7C28"/>
    <w:rsid w:val="00F00194"/>
    <w:rsid w:val="00F0076D"/>
    <w:rsid w:val="00F02626"/>
    <w:rsid w:val="00F04766"/>
    <w:rsid w:val="00F0495F"/>
    <w:rsid w:val="00F04F2A"/>
    <w:rsid w:val="00F0670D"/>
    <w:rsid w:val="00F071A6"/>
    <w:rsid w:val="00F07F92"/>
    <w:rsid w:val="00F101FA"/>
    <w:rsid w:val="00F1169F"/>
    <w:rsid w:val="00F12542"/>
    <w:rsid w:val="00F127F2"/>
    <w:rsid w:val="00F137A3"/>
    <w:rsid w:val="00F162C3"/>
    <w:rsid w:val="00F16E16"/>
    <w:rsid w:val="00F2248F"/>
    <w:rsid w:val="00F2538C"/>
    <w:rsid w:val="00F25EFF"/>
    <w:rsid w:val="00F30BE5"/>
    <w:rsid w:val="00F31A64"/>
    <w:rsid w:val="00F32AA0"/>
    <w:rsid w:val="00F34489"/>
    <w:rsid w:val="00F344C4"/>
    <w:rsid w:val="00F34541"/>
    <w:rsid w:val="00F35165"/>
    <w:rsid w:val="00F40040"/>
    <w:rsid w:val="00F43B06"/>
    <w:rsid w:val="00F442F0"/>
    <w:rsid w:val="00F44D0F"/>
    <w:rsid w:val="00F47E53"/>
    <w:rsid w:val="00F52921"/>
    <w:rsid w:val="00F52F68"/>
    <w:rsid w:val="00F53211"/>
    <w:rsid w:val="00F53D60"/>
    <w:rsid w:val="00F5403F"/>
    <w:rsid w:val="00F54D96"/>
    <w:rsid w:val="00F56F15"/>
    <w:rsid w:val="00F57820"/>
    <w:rsid w:val="00F57D94"/>
    <w:rsid w:val="00F60736"/>
    <w:rsid w:val="00F618A9"/>
    <w:rsid w:val="00F61D62"/>
    <w:rsid w:val="00F62F61"/>
    <w:rsid w:val="00F6362E"/>
    <w:rsid w:val="00F65945"/>
    <w:rsid w:val="00F65E4C"/>
    <w:rsid w:val="00F73C82"/>
    <w:rsid w:val="00F74346"/>
    <w:rsid w:val="00F74EBC"/>
    <w:rsid w:val="00F763DA"/>
    <w:rsid w:val="00F766B3"/>
    <w:rsid w:val="00F77510"/>
    <w:rsid w:val="00F80EFC"/>
    <w:rsid w:val="00F81BD0"/>
    <w:rsid w:val="00F83116"/>
    <w:rsid w:val="00F85FF2"/>
    <w:rsid w:val="00F8679C"/>
    <w:rsid w:val="00F90AE7"/>
    <w:rsid w:val="00F90DC8"/>
    <w:rsid w:val="00F918C2"/>
    <w:rsid w:val="00F93B57"/>
    <w:rsid w:val="00F93EB6"/>
    <w:rsid w:val="00F944F1"/>
    <w:rsid w:val="00F94BB2"/>
    <w:rsid w:val="00F958C4"/>
    <w:rsid w:val="00F96372"/>
    <w:rsid w:val="00F973F6"/>
    <w:rsid w:val="00FA1A96"/>
    <w:rsid w:val="00FA1CD8"/>
    <w:rsid w:val="00FA4158"/>
    <w:rsid w:val="00FA519F"/>
    <w:rsid w:val="00FA61B2"/>
    <w:rsid w:val="00FA65BD"/>
    <w:rsid w:val="00FA7352"/>
    <w:rsid w:val="00FA7DF5"/>
    <w:rsid w:val="00FB1A52"/>
    <w:rsid w:val="00FB2F67"/>
    <w:rsid w:val="00FB31E4"/>
    <w:rsid w:val="00FB3FCD"/>
    <w:rsid w:val="00FB4A67"/>
    <w:rsid w:val="00FB7591"/>
    <w:rsid w:val="00FC0922"/>
    <w:rsid w:val="00FC1182"/>
    <w:rsid w:val="00FC3814"/>
    <w:rsid w:val="00FC59FC"/>
    <w:rsid w:val="00FD0776"/>
    <w:rsid w:val="00FD2ACC"/>
    <w:rsid w:val="00FD3388"/>
    <w:rsid w:val="00FD556C"/>
    <w:rsid w:val="00FD6CFD"/>
    <w:rsid w:val="00FD6F89"/>
    <w:rsid w:val="00FE056E"/>
    <w:rsid w:val="00FE0B65"/>
    <w:rsid w:val="00FE1053"/>
    <w:rsid w:val="00FE1D36"/>
    <w:rsid w:val="00FE29FE"/>
    <w:rsid w:val="00FE2AFE"/>
    <w:rsid w:val="00FE3116"/>
    <w:rsid w:val="00FE433E"/>
    <w:rsid w:val="00FE4420"/>
    <w:rsid w:val="00FE4750"/>
    <w:rsid w:val="00FE51DE"/>
    <w:rsid w:val="00FE66DF"/>
    <w:rsid w:val="00FE6BE6"/>
    <w:rsid w:val="00FE6DAA"/>
    <w:rsid w:val="00FE7151"/>
    <w:rsid w:val="00FF1814"/>
    <w:rsid w:val="00FF51D6"/>
    <w:rsid w:val="00FF62D2"/>
    <w:rsid w:val="00FF74FA"/>
    <w:rsid w:val="00FF79F1"/>
    <w:rsid w:val="0190CE88"/>
    <w:rsid w:val="01B2755D"/>
    <w:rsid w:val="038D205F"/>
    <w:rsid w:val="03BD8A0A"/>
    <w:rsid w:val="03FEAF05"/>
    <w:rsid w:val="04157CCC"/>
    <w:rsid w:val="048EF921"/>
    <w:rsid w:val="048EFB66"/>
    <w:rsid w:val="04BCBA9C"/>
    <w:rsid w:val="04F4EC6C"/>
    <w:rsid w:val="054B3269"/>
    <w:rsid w:val="068A813A"/>
    <w:rsid w:val="071E9F0A"/>
    <w:rsid w:val="07435C6B"/>
    <w:rsid w:val="07460698"/>
    <w:rsid w:val="0A6422E1"/>
    <w:rsid w:val="0B208E81"/>
    <w:rsid w:val="0B430F53"/>
    <w:rsid w:val="0C2F0C16"/>
    <w:rsid w:val="0C62DE54"/>
    <w:rsid w:val="0CA2744A"/>
    <w:rsid w:val="0DE1A6F4"/>
    <w:rsid w:val="0E61D4FA"/>
    <w:rsid w:val="1001AA82"/>
    <w:rsid w:val="13DE8EB8"/>
    <w:rsid w:val="14CA0103"/>
    <w:rsid w:val="16AECE1D"/>
    <w:rsid w:val="1874EA35"/>
    <w:rsid w:val="18CF1EDF"/>
    <w:rsid w:val="18E7184C"/>
    <w:rsid w:val="19EA054C"/>
    <w:rsid w:val="1A4C0BCE"/>
    <w:rsid w:val="1AF3E3C7"/>
    <w:rsid w:val="1CA88691"/>
    <w:rsid w:val="1E1B0868"/>
    <w:rsid w:val="1E7ACDB7"/>
    <w:rsid w:val="1F882652"/>
    <w:rsid w:val="20035F6C"/>
    <w:rsid w:val="20FDE661"/>
    <w:rsid w:val="214E214A"/>
    <w:rsid w:val="222FE1AD"/>
    <w:rsid w:val="22C28E11"/>
    <w:rsid w:val="24635834"/>
    <w:rsid w:val="256D1215"/>
    <w:rsid w:val="25EEBCB6"/>
    <w:rsid w:val="26565502"/>
    <w:rsid w:val="276792D3"/>
    <w:rsid w:val="28A0077C"/>
    <w:rsid w:val="28EAEED0"/>
    <w:rsid w:val="29C94387"/>
    <w:rsid w:val="2A7705AE"/>
    <w:rsid w:val="2ABAB76F"/>
    <w:rsid w:val="2BC75BBB"/>
    <w:rsid w:val="2C267ECD"/>
    <w:rsid w:val="2D8F8F21"/>
    <w:rsid w:val="2D9F3FDB"/>
    <w:rsid w:val="2DBACF53"/>
    <w:rsid w:val="2DC24F2E"/>
    <w:rsid w:val="2E1B1B42"/>
    <w:rsid w:val="2EB89644"/>
    <w:rsid w:val="2FB001B9"/>
    <w:rsid w:val="306D240C"/>
    <w:rsid w:val="307545E6"/>
    <w:rsid w:val="31466EC3"/>
    <w:rsid w:val="31AFAC60"/>
    <w:rsid w:val="31B93740"/>
    <w:rsid w:val="31DA0F94"/>
    <w:rsid w:val="31F9193C"/>
    <w:rsid w:val="3231BE0D"/>
    <w:rsid w:val="329E9FB5"/>
    <w:rsid w:val="35778E6A"/>
    <w:rsid w:val="3619DFE6"/>
    <w:rsid w:val="365D0E81"/>
    <w:rsid w:val="36A39407"/>
    <w:rsid w:val="36ADD2C2"/>
    <w:rsid w:val="37554BA7"/>
    <w:rsid w:val="377210D8"/>
    <w:rsid w:val="394BA08A"/>
    <w:rsid w:val="39907665"/>
    <w:rsid w:val="3A5E6AFD"/>
    <w:rsid w:val="3BA3D158"/>
    <w:rsid w:val="3CE26474"/>
    <w:rsid w:val="3CF186BD"/>
    <w:rsid w:val="3D3331D4"/>
    <w:rsid w:val="3DA73014"/>
    <w:rsid w:val="3DF2BAA3"/>
    <w:rsid w:val="3E02D027"/>
    <w:rsid w:val="3E8AB51C"/>
    <w:rsid w:val="3EA149C7"/>
    <w:rsid w:val="3F63FA60"/>
    <w:rsid w:val="3F93BA69"/>
    <w:rsid w:val="402629A6"/>
    <w:rsid w:val="40705CEE"/>
    <w:rsid w:val="43ECB1C9"/>
    <w:rsid w:val="4469668B"/>
    <w:rsid w:val="4614B235"/>
    <w:rsid w:val="4734E9FD"/>
    <w:rsid w:val="476F0C45"/>
    <w:rsid w:val="47967EF3"/>
    <w:rsid w:val="493A0F78"/>
    <w:rsid w:val="498BEB20"/>
    <w:rsid w:val="49E8E0D5"/>
    <w:rsid w:val="4AB9A8DA"/>
    <w:rsid w:val="4AF24E13"/>
    <w:rsid w:val="4B27BB81"/>
    <w:rsid w:val="4B9697A5"/>
    <w:rsid w:val="4BBCD291"/>
    <w:rsid w:val="4C1859E5"/>
    <w:rsid w:val="4C6311E6"/>
    <w:rsid w:val="4CA0964D"/>
    <w:rsid w:val="4CF2D1F2"/>
    <w:rsid w:val="4E099868"/>
    <w:rsid w:val="4E0D809B"/>
    <w:rsid w:val="4E8CBA44"/>
    <w:rsid w:val="4EBDEEA0"/>
    <w:rsid w:val="4EEC8EDC"/>
    <w:rsid w:val="5231242C"/>
    <w:rsid w:val="5249D018"/>
    <w:rsid w:val="53A581DF"/>
    <w:rsid w:val="54DCE441"/>
    <w:rsid w:val="554129B3"/>
    <w:rsid w:val="55E12EC8"/>
    <w:rsid w:val="575DBF90"/>
    <w:rsid w:val="58164AB1"/>
    <w:rsid w:val="58C618E7"/>
    <w:rsid w:val="58CED963"/>
    <w:rsid w:val="58FA6064"/>
    <w:rsid w:val="5914D152"/>
    <w:rsid w:val="5A43F635"/>
    <w:rsid w:val="5B00DCDE"/>
    <w:rsid w:val="5D92C3BB"/>
    <w:rsid w:val="5E012EB7"/>
    <w:rsid w:val="5ED3DBC7"/>
    <w:rsid w:val="5FB7E0DA"/>
    <w:rsid w:val="60483CB7"/>
    <w:rsid w:val="606AB339"/>
    <w:rsid w:val="6138CF79"/>
    <w:rsid w:val="62668FFB"/>
    <w:rsid w:val="62AE9D5F"/>
    <w:rsid w:val="64F1F095"/>
    <w:rsid w:val="65BF5C27"/>
    <w:rsid w:val="6675B00F"/>
    <w:rsid w:val="66AFED54"/>
    <w:rsid w:val="66DEEDAC"/>
    <w:rsid w:val="675B2C88"/>
    <w:rsid w:val="68308077"/>
    <w:rsid w:val="69B19742"/>
    <w:rsid w:val="6A760629"/>
    <w:rsid w:val="6BE505E0"/>
    <w:rsid w:val="6C87AC13"/>
    <w:rsid w:val="6DBA7102"/>
    <w:rsid w:val="6E2E005B"/>
    <w:rsid w:val="6E95ACBF"/>
    <w:rsid w:val="6ED10BF6"/>
    <w:rsid w:val="6EED1D79"/>
    <w:rsid w:val="6F48F2F6"/>
    <w:rsid w:val="702F6D4C"/>
    <w:rsid w:val="710B8199"/>
    <w:rsid w:val="73866C54"/>
    <w:rsid w:val="73E8014A"/>
    <w:rsid w:val="7402FB5B"/>
    <w:rsid w:val="7419D7F1"/>
    <w:rsid w:val="7482D551"/>
    <w:rsid w:val="7503B783"/>
    <w:rsid w:val="75BD7DDA"/>
    <w:rsid w:val="75CE1809"/>
    <w:rsid w:val="76E9008A"/>
    <w:rsid w:val="775604CE"/>
    <w:rsid w:val="785A49EE"/>
    <w:rsid w:val="7B6AC8EF"/>
    <w:rsid w:val="7BB86D5F"/>
    <w:rsid w:val="7C8919B1"/>
    <w:rsid w:val="7D13931D"/>
    <w:rsid w:val="7D70AFBE"/>
    <w:rsid w:val="7E176BD6"/>
    <w:rsid w:val="7E2C36ED"/>
    <w:rsid w:val="7F619DC8"/>
    <w:rsid w:val="7F9D83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BEC43D"/>
  <w15:chartTrackingRefBased/>
  <w15:docId w15:val="{8B493762-D7FC-4C67-A06A-28A1B03DAC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78D2"/>
    <w:rPr>
      <w:rFonts w:ascii="Times New Roman" w:hAnsi="Times New Roman" w:eastAsia="Times New Roman"/>
      <w:sz w:val="24"/>
      <w:szCs w:val="24"/>
      <w:lang w:eastAsia="en-US"/>
    </w:rPr>
  </w:style>
  <w:style w:type="paragraph" w:styleId="Heading1">
    <w:name w:val="heading 1"/>
    <w:basedOn w:val="Normal"/>
    <w:next w:val="Normal"/>
    <w:link w:val="Heading1Char"/>
    <w:qFormat/>
    <w:rsid w:val="00C00ED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6B6C3D"/>
    <w:pPr>
      <w:keepNext/>
      <w:keepLines/>
      <w:spacing w:before="200"/>
      <w:outlineLvl w:val="1"/>
    </w:pPr>
    <w:rPr>
      <w:rFonts w:ascii="Cambria" w:hAnsi="Cambria" w:eastAsia="MS Gothic"/>
      <w:b/>
      <w:bCs/>
      <w:color w:val="4F81BD"/>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styleId="HeaderChar" w:customStyle="1">
    <w:name w:val="Header Char"/>
    <w:link w:val="Header"/>
    <w:uiPriority w:val="99"/>
    <w:rsid w:val="00910252"/>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styleId="FooterChar" w:customStyle="1">
    <w:name w:val="Footer Char"/>
    <w:link w:val="Footer"/>
    <w:uiPriority w:val="99"/>
    <w:rsid w:val="00910252"/>
    <w:rPr>
      <w:rFonts w:ascii="Times New Roman" w:hAnsi="Times New Roman" w:eastAsia="Times New Roman" w:cs="Times New Roman"/>
      <w:sz w:val="24"/>
      <w:szCs w:val="24"/>
    </w:rPr>
  </w:style>
  <w:style w:type="character" w:styleId="Hyperlink">
    <w:name w:val="Hyperlink"/>
    <w:uiPriority w:val="99"/>
    <w:unhideWhenUsed/>
    <w:rsid w:val="00FE7151"/>
    <w:rPr>
      <w:color w:val="0000FF"/>
      <w:u w:val="single"/>
    </w:rPr>
  </w:style>
  <w:style w:type="paragraph" w:styleId="FootnoteText">
    <w:name w:val="footnote text"/>
    <w:basedOn w:val="Normal"/>
    <w:link w:val="FootnoteTextChar"/>
    <w:unhideWhenUsed/>
    <w:qFormat/>
    <w:rsid w:val="006B6C3D"/>
    <w:rPr>
      <w:sz w:val="20"/>
      <w:szCs w:val="20"/>
    </w:rPr>
  </w:style>
  <w:style w:type="character" w:styleId="FootnoteTextChar" w:customStyle="1">
    <w:name w:val="Footnote Text Char"/>
    <w:link w:val="FootnoteText"/>
    <w:rsid w:val="006B6C3D"/>
    <w:rPr>
      <w:rFonts w:ascii="Times New Roman" w:hAnsi="Times New Roman" w:eastAsia="Times New Roman" w:cs="Times New Roman"/>
      <w:sz w:val="20"/>
      <w:szCs w:val="20"/>
    </w:rPr>
  </w:style>
  <w:style w:type="character" w:styleId="FootnoteReference">
    <w:name w:val="footnote reference"/>
    <w:basedOn w:val="DefaultParagraphFont"/>
    <w:rsid w:val="006B6C3D"/>
  </w:style>
  <w:style w:type="character" w:styleId="Heading2Char" w:customStyle="1">
    <w:name w:val="Heading 2 Char"/>
    <w:link w:val="Heading2"/>
    <w:rsid w:val="006B6C3D"/>
    <w:rPr>
      <w:rFonts w:ascii="Cambria" w:hAnsi="Cambria" w:eastAsia="MS Gothic" w:cs="Times New Roman"/>
      <w:b/>
      <w:bCs/>
      <w:color w:val="4F81BD"/>
      <w:sz w:val="26"/>
      <w:szCs w:val="26"/>
    </w:rPr>
  </w:style>
  <w:style w:type="paragraph" w:styleId="BalloonText">
    <w:name w:val="Balloon Text"/>
    <w:basedOn w:val="Normal"/>
    <w:link w:val="BalloonTextChar"/>
    <w:uiPriority w:val="99"/>
    <w:semiHidden/>
    <w:unhideWhenUsed/>
    <w:rsid w:val="00C81AB0"/>
    <w:rPr>
      <w:rFonts w:ascii="Lucida Grande" w:hAnsi="Lucida Grande" w:cs="Lucida Grande"/>
      <w:sz w:val="18"/>
      <w:szCs w:val="18"/>
    </w:rPr>
  </w:style>
  <w:style w:type="character" w:styleId="BalloonTextChar" w:customStyle="1">
    <w:name w:val="Balloon Text Char"/>
    <w:link w:val="BalloonText"/>
    <w:uiPriority w:val="99"/>
    <w:semiHidden/>
    <w:rsid w:val="00C81AB0"/>
    <w:rPr>
      <w:rFonts w:ascii="Lucida Grande" w:hAnsi="Lucida Grande" w:eastAsia="Times New Roman" w:cs="Lucida Grande"/>
      <w:sz w:val="18"/>
      <w:szCs w:val="18"/>
    </w:rPr>
  </w:style>
  <w:style w:type="character" w:styleId="CommentReference">
    <w:name w:val="annotation reference"/>
    <w:uiPriority w:val="99"/>
    <w:semiHidden/>
    <w:unhideWhenUsed/>
    <w:rsid w:val="00C81AB0"/>
    <w:rPr>
      <w:sz w:val="18"/>
      <w:szCs w:val="18"/>
    </w:rPr>
  </w:style>
  <w:style w:type="paragraph" w:styleId="CommentText">
    <w:name w:val="annotation text"/>
    <w:basedOn w:val="Normal"/>
    <w:link w:val="CommentTextChar"/>
    <w:unhideWhenUsed/>
    <w:rsid w:val="00C81AB0"/>
  </w:style>
  <w:style w:type="character" w:styleId="CommentTextChar" w:customStyle="1">
    <w:name w:val="Comment Text Char"/>
    <w:link w:val="CommentText"/>
    <w:rsid w:val="00C81AB0"/>
    <w:rPr>
      <w:rFonts w:ascii="Times New Roman" w:hAnsi="Times New Roman"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81AB0"/>
    <w:rPr>
      <w:b/>
      <w:bCs/>
      <w:sz w:val="20"/>
      <w:szCs w:val="20"/>
    </w:rPr>
  </w:style>
  <w:style w:type="character" w:styleId="CommentSubjectChar" w:customStyle="1">
    <w:name w:val="Comment Subject Char"/>
    <w:link w:val="CommentSubject"/>
    <w:uiPriority w:val="99"/>
    <w:rsid w:val="00C81AB0"/>
    <w:rPr>
      <w:rFonts w:ascii="Times New Roman" w:hAnsi="Times New Roman" w:eastAsia="Times New Roman" w:cs="Times New Roman"/>
      <w:b/>
      <w:bCs/>
      <w:sz w:val="20"/>
      <w:szCs w:val="20"/>
    </w:rPr>
  </w:style>
  <w:style w:type="table" w:styleId="TableGrid">
    <w:name w:val="Table Grid"/>
    <w:basedOn w:val="TableNormal"/>
    <w:uiPriority w:val="59"/>
    <w:rsid w:val="009A59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dnoteText">
    <w:name w:val="endnote text"/>
    <w:basedOn w:val="Normal"/>
    <w:link w:val="EndnoteTextChar"/>
    <w:uiPriority w:val="99"/>
    <w:semiHidden/>
    <w:unhideWhenUsed/>
    <w:rsid w:val="00BB0390"/>
    <w:rPr>
      <w:sz w:val="20"/>
      <w:szCs w:val="20"/>
    </w:rPr>
  </w:style>
  <w:style w:type="character" w:styleId="EndnoteTextChar" w:customStyle="1">
    <w:name w:val="Endnote Text Char"/>
    <w:link w:val="EndnoteText"/>
    <w:uiPriority w:val="99"/>
    <w:semiHidden/>
    <w:rsid w:val="00BB0390"/>
    <w:rPr>
      <w:rFonts w:ascii="Times New Roman" w:hAnsi="Times New Roman" w:eastAsia="Times New Roman" w:cs="Times New Roman"/>
      <w:sz w:val="20"/>
      <w:szCs w:val="20"/>
    </w:rPr>
  </w:style>
  <w:style w:type="character" w:styleId="EndnoteReference">
    <w:name w:val="endnote reference"/>
    <w:uiPriority w:val="99"/>
    <w:semiHidden/>
    <w:unhideWhenUsed/>
    <w:rsid w:val="00BB0390"/>
    <w:rPr>
      <w:vertAlign w:val="superscript"/>
    </w:rPr>
  </w:style>
  <w:style w:type="character" w:styleId="FollowedHyperlink">
    <w:name w:val="FollowedHyperlink"/>
    <w:uiPriority w:val="99"/>
    <w:unhideWhenUsed/>
    <w:rsid w:val="003D6EC4"/>
    <w:rPr>
      <w:color w:val="800080"/>
      <w:u w:val="single"/>
    </w:rPr>
  </w:style>
  <w:style w:type="paragraph" w:styleId="Revision">
    <w:name w:val="Revision"/>
    <w:hidden/>
    <w:uiPriority w:val="99"/>
    <w:semiHidden/>
    <w:rsid w:val="00AD26FF"/>
    <w:rPr>
      <w:rFonts w:ascii="Times New Roman" w:hAnsi="Times New Roman" w:eastAsia="Times New Roman"/>
      <w:sz w:val="24"/>
      <w:szCs w:val="24"/>
      <w:lang w:eastAsia="en-US"/>
    </w:rPr>
  </w:style>
  <w:style w:type="paragraph" w:styleId="NormalWeb">
    <w:name w:val="Normal (Web)"/>
    <w:basedOn w:val="Normal"/>
    <w:uiPriority w:val="99"/>
    <w:unhideWhenUsed/>
    <w:rsid w:val="00C00EDE"/>
    <w:pPr>
      <w:spacing w:before="100" w:beforeAutospacing="1" w:after="100" w:afterAutospacing="1"/>
    </w:pPr>
  </w:style>
  <w:style w:type="character" w:styleId="Heading1Char" w:customStyle="1">
    <w:name w:val="Heading 1 Char"/>
    <w:link w:val="Heading1"/>
    <w:rsid w:val="00C00EDE"/>
    <w:rPr>
      <w:rFonts w:ascii="Cambria" w:hAnsi="Cambria" w:eastAsia="Times New Roman"/>
      <w:b/>
      <w:bCs/>
      <w:kern w:val="32"/>
      <w:sz w:val="32"/>
      <w:szCs w:val="32"/>
    </w:rPr>
  </w:style>
  <w:style w:type="paragraph" w:styleId="Level1" w:customStyle="1">
    <w:name w:val="Level 1"/>
    <w:basedOn w:val="Normal"/>
    <w:uiPriority w:val="99"/>
    <w:rsid w:val="00C00EDE"/>
    <w:pPr>
      <w:widowControl w:val="0"/>
      <w:autoSpaceDE w:val="0"/>
      <w:autoSpaceDN w:val="0"/>
      <w:adjustRightInd w:val="0"/>
      <w:ind w:left="720" w:firstLine="720"/>
    </w:pPr>
    <w:rPr>
      <w:rFonts w:ascii="Courier" w:hAnsi="Courier" w:cs="Courier"/>
      <w:color w:val="000000"/>
    </w:rPr>
  </w:style>
  <w:style w:type="paragraph" w:styleId="MarkforAttachment" w:customStyle="1">
    <w:name w:val="Mark for Attachment"/>
    <w:basedOn w:val="Normal"/>
    <w:next w:val="Normal"/>
    <w:uiPriority w:val="99"/>
    <w:rsid w:val="00C00EDE"/>
    <w:pPr>
      <w:tabs>
        <w:tab w:val="left" w:pos="432"/>
      </w:tabs>
      <w:jc w:val="center"/>
    </w:pPr>
    <w:rPr>
      <w:rFonts w:ascii="Arial" w:hAnsi="Arial"/>
      <w:b/>
      <w:bCs/>
      <w:caps/>
    </w:rPr>
  </w:style>
  <w:style w:type="paragraph" w:styleId="TOC1">
    <w:name w:val="toc 1"/>
    <w:basedOn w:val="Normal"/>
    <w:next w:val="Normal"/>
    <w:autoRedefine/>
    <w:uiPriority w:val="39"/>
    <w:rsid w:val="00C00EDE"/>
    <w:rPr>
      <w:rFonts w:ascii="Arial" w:hAnsi="Arial" w:cs="Arial"/>
    </w:rPr>
  </w:style>
  <w:style w:type="paragraph" w:styleId="TOC2">
    <w:name w:val="toc 2"/>
    <w:basedOn w:val="Normal"/>
    <w:next w:val="Normal"/>
    <w:autoRedefine/>
    <w:uiPriority w:val="39"/>
    <w:rsid w:val="00C00EDE"/>
    <w:pPr>
      <w:tabs>
        <w:tab w:val="right" w:leader="dot" w:pos="9350"/>
      </w:tabs>
      <w:ind w:left="240" w:firstLine="660"/>
    </w:pPr>
    <w:rPr>
      <w:rFonts w:ascii="Arial" w:hAnsi="Arial" w:cs="Arial"/>
    </w:rPr>
  </w:style>
  <w:style w:type="paragraph" w:styleId="Default" w:customStyle="1">
    <w:name w:val="Default"/>
    <w:rsid w:val="00C00EDE"/>
    <w:pPr>
      <w:autoSpaceDE w:val="0"/>
      <w:autoSpaceDN w:val="0"/>
      <w:adjustRightInd w:val="0"/>
    </w:pPr>
    <w:rPr>
      <w:rFonts w:ascii="Arial" w:hAnsi="Arial" w:eastAsia="Times New Roman" w:cs="Arial"/>
      <w:color w:val="000000"/>
      <w:sz w:val="24"/>
      <w:szCs w:val="24"/>
      <w:lang w:eastAsia="en-US"/>
    </w:rPr>
  </w:style>
  <w:style w:type="paragraph" w:styleId="NormalSS" w:customStyle="1">
    <w:name w:val="NormalSS"/>
    <w:basedOn w:val="Normal"/>
    <w:uiPriority w:val="99"/>
    <w:rsid w:val="00C00EDE"/>
    <w:pPr>
      <w:tabs>
        <w:tab w:val="left" w:pos="432"/>
      </w:tabs>
      <w:jc w:val="both"/>
    </w:pPr>
    <w:rPr>
      <w:rFonts w:ascii="Arial" w:hAnsi="Arial"/>
    </w:rPr>
  </w:style>
  <w:style w:type="character" w:styleId="PageNumber">
    <w:name w:val="page number"/>
    <w:uiPriority w:val="99"/>
    <w:rsid w:val="00C00EDE"/>
    <w:rPr>
      <w:rFonts w:cs="Times New Roman"/>
    </w:rPr>
  </w:style>
  <w:style w:type="paragraph" w:styleId="BodyText">
    <w:name w:val="Body Text"/>
    <w:basedOn w:val="Normal"/>
    <w:link w:val="BodyTextChar"/>
    <w:uiPriority w:val="99"/>
    <w:rsid w:val="00C00EDE"/>
    <w:pPr>
      <w:widowControl w:val="0"/>
      <w:autoSpaceDE w:val="0"/>
      <w:autoSpaceDN w:val="0"/>
      <w:adjustRightInd w:val="0"/>
      <w:jc w:val="both"/>
    </w:pPr>
    <w:rPr>
      <w:rFonts w:ascii="Arial" w:hAnsi="Arial"/>
      <w:sz w:val="22"/>
      <w:szCs w:val="22"/>
    </w:rPr>
  </w:style>
  <w:style w:type="character" w:styleId="BodyTextChar" w:customStyle="1">
    <w:name w:val="Body Text Char"/>
    <w:link w:val="BodyText"/>
    <w:uiPriority w:val="99"/>
    <w:rsid w:val="00C00EDE"/>
    <w:rPr>
      <w:rFonts w:ascii="Arial" w:hAnsi="Arial" w:eastAsia="Times New Roman"/>
      <w:sz w:val="22"/>
      <w:szCs w:val="22"/>
    </w:rPr>
  </w:style>
  <w:style w:type="table" w:styleId="TableGrid1" w:customStyle="1">
    <w:name w:val="Table Grid1"/>
    <w:basedOn w:val="TableNormal"/>
    <w:next w:val="TableGrid"/>
    <w:uiPriority w:val="59"/>
    <w:rsid w:val="00C00EDE"/>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text" w:customStyle="1">
    <w:name w:val="Hypertext"/>
    <w:rsid w:val="00C00EDE"/>
    <w:rPr>
      <w:color w:val="0000FF"/>
      <w:u w:val="single"/>
    </w:rPr>
  </w:style>
  <w:style w:type="character" w:styleId="Emphasis">
    <w:name w:val="Emphasis"/>
    <w:uiPriority w:val="20"/>
    <w:qFormat/>
    <w:rsid w:val="00C00EDE"/>
    <w:rPr>
      <w:i/>
      <w:iCs/>
    </w:rPr>
  </w:style>
  <w:style w:type="paragraph" w:styleId="Normal1020" w:customStyle="1">
    <w:name w:val="Normal_102_0"/>
    <w:qFormat/>
    <w:rsid w:val="00C00EDE"/>
    <w:rPr>
      <w:rFonts w:ascii="Times New Roman" w:hAnsi="Times New Roman" w:eastAsia="Times New Roman"/>
      <w:sz w:val="24"/>
      <w:lang w:eastAsia="en-US"/>
    </w:rPr>
  </w:style>
  <w:style w:type="character" w:styleId="apple-converted-space" w:customStyle="1">
    <w:name w:val="apple-converted-space"/>
    <w:rsid w:val="00C00EDE"/>
    <w:rPr>
      <w:rFonts w:hint="default" w:ascii="Times New Roman" w:hAnsi="Times New Roman" w:cs="Times New Roman"/>
    </w:rPr>
  </w:style>
  <w:style w:type="character" w:styleId="UnresolvedMention">
    <w:name w:val="Unresolved Mention"/>
    <w:basedOn w:val="DefaultParagraphFont"/>
    <w:uiPriority w:val="99"/>
    <w:unhideWhenUsed/>
    <w:rsid w:val="00F60736"/>
    <w:rPr>
      <w:color w:val="605E5C"/>
      <w:shd w:val="clear" w:color="auto" w:fill="E1DFDD"/>
    </w:rPr>
  </w:style>
  <w:style w:type="character" w:styleId="Mention">
    <w:name w:val="Mention"/>
    <w:basedOn w:val="DefaultParagraphFont"/>
    <w:uiPriority w:val="99"/>
    <w:unhideWhenUsed/>
    <w:rsid w:val="003E31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1147">
      <w:bodyDiv w:val="1"/>
      <w:marLeft w:val="0"/>
      <w:marRight w:val="0"/>
      <w:marTop w:val="0"/>
      <w:marBottom w:val="0"/>
      <w:divBdr>
        <w:top w:val="none" w:sz="0" w:space="0" w:color="auto"/>
        <w:left w:val="none" w:sz="0" w:space="0" w:color="auto"/>
        <w:bottom w:val="none" w:sz="0" w:space="0" w:color="auto"/>
        <w:right w:val="none" w:sz="0" w:space="0" w:color="auto"/>
      </w:divBdr>
    </w:div>
    <w:div w:id="71513189">
      <w:bodyDiv w:val="1"/>
      <w:marLeft w:val="0"/>
      <w:marRight w:val="0"/>
      <w:marTop w:val="0"/>
      <w:marBottom w:val="0"/>
      <w:divBdr>
        <w:top w:val="none" w:sz="0" w:space="0" w:color="auto"/>
        <w:left w:val="none" w:sz="0" w:space="0" w:color="auto"/>
        <w:bottom w:val="none" w:sz="0" w:space="0" w:color="auto"/>
        <w:right w:val="none" w:sz="0" w:space="0" w:color="auto"/>
      </w:divBdr>
    </w:div>
    <w:div w:id="404232515">
      <w:bodyDiv w:val="1"/>
      <w:marLeft w:val="0"/>
      <w:marRight w:val="0"/>
      <w:marTop w:val="0"/>
      <w:marBottom w:val="0"/>
      <w:divBdr>
        <w:top w:val="none" w:sz="0" w:space="0" w:color="auto"/>
        <w:left w:val="none" w:sz="0" w:space="0" w:color="auto"/>
        <w:bottom w:val="none" w:sz="0" w:space="0" w:color="auto"/>
        <w:right w:val="none" w:sz="0" w:space="0" w:color="auto"/>
      </w:divBdr>
    </w:div>
    <w:div w:id="799416828">
      <w:bodyDiv w:val="1"/>
      <w:marLeft w:val="0"/>
      <w:marRight w:val="0"/>
      <w:marTop w:val="0"/>
      <w:marBottom w:val="0"/>
      <w:divBdr>
        <w:top w:val="none" w:sz="0" w:space="0" w:color="auto"/>
        <w:left w:val="none" w:sz="0" w:space="0" w:color="auto"/>
        <w:bottom w:val="none" w:sz="0" w:space="0" w:color="auto"/>
        <w:right w:val="none" w:sz="0" w:space="0" w:color="auto"/>
      </w:divBdr>
    </w:div>
    <w:div w:id="809858808">
      <w:bodyDiv w:val="1"/>
      <w:marLeft w:val="0"/>
      <w:marRight w:val="0"/>
      <w:marTop w:val="0"/>
      <w:marBottom w:val="0"/>
      <w:divBdr>
        <w:top w:val="none" w:sz="0" w:space="0" w:color="auto"/>
        <w:left w:val="none" w:sz="0" w:space="0" w:color="auto"/>
        <w:bottom w:val="none" w:sz="0" w:space="0" w:color="auto"/>
        <w:right w:val="none" w:sz="0" w:space="0" w:color="auto"/>
      </w:divBdr>
    </w:div>
    <w:div w:id="968973867">
      <w:bodyDiv w:val="1"/>
      <w:marLeft w:val="0"/>
      <w:marRight w:val="0"/>
      <w:marTop w:val="0"/>
      <w:marBottom w:val="0"/>
      <w:divBdr>
        <w:top w:val="none" w:sz="0" w:space="0" w:color="auto"/>
        <w:left w:val="none" w:sz="0" w:space="0" w:color="auto"/>
        <w:bottom w:val="none" w:sz="0" w:space="0" w:color="auto"/>
        <w:right w:val="none" w:sz="0" w:space="0" w:color="auto"/>
      </w:divBdr>
    </w:div>
    <w:div w:id="1057364345">
      <w:bodyDiv w:val="1"/>
      <w:marLeft w:val="0"/>
      <w:marRight w:val="0"/>
      <w:marTop w:val="0"/>
      <w:marBottom w:val="0"/>
      <w:divBdr>
        <w:top w:val="none" w:sz="0" w:space="0" w:color="auto"/>
        <w:left w:val="none" w:sz="0" w:space="0" w:color="auto"/>
        <w:bottom w:val="none" w:sz="0" w:space="0" w:color="auto"/>
        <w:right w:val="none" w:sz="0" w:space="0" w:color="auto"/>
      </w:divBdr>
    </w:div>
    <w:div w:id="1116489810">
      <w:bodyDiv w:val="1"/>
      <w:marLeft w:val="0"/>
      <w:marRight w:val="0"/>
      <w:marTop w:val="0"/>
      <w:marBottom w:val="0"/>
      <w:divBdr>
        <w:top w:val="none" w:sz="0" w:space="0" w:color="auto"/>
        <w:left w:val="none" w:sz="0" w:space="0" w:color="auto"/>
        <w:bottom w:val="none" w:sz="0" w:space="0" w:color="auto"/>
        <w:right w:val="none" w:sz="0" w:space="0" w:color="auto"/>
      </w:divBdr>
    </w:div>
    <w:div w:id="1195264278">
      <w:bodyDiv w:val="1"/>
      <w:marLeft w:val="0"/>
      <w:marRight w:val="0"/>
      <w:marTop w:val="0"/>
      <w:marBottom w:val="0"/>
      <w:divBdr>
        <w:top w:val="none" w:sz="0" w:space="0" w:color="auto"/>
        <w:left w:val="none" w:sz="0" w:space="0" w:color="auto"/>
        <w:bottom w:val="none" w:sz="0" w:space="0" w:color="auto"/>
        <w:right w:val="none" w:sz="0" w:space="0" w:color="auto"/>
      </w:divBdr>
    </w:div>
    <w:div w:id="1420638251">
      <w:bodyDiv w:val="1"/>
      <w:marLeft w:val="0"/>
      <w:marRight w:val="0"/>
      <w:marTop w:val="0"/>
      <w:marBottom w:val="0"/>
      <w:divBdr>
        <w:top w:val="none" w:sz="0" w:space="0" w:color="auto"/>
        <w:left w:val="none" w:sz="0" w:space="0" w:color="auto"/>
        <w:bottom w:val="none" w:sz="0" w:space="0" w:color="auto"/>
        <w:right w:val="none" w:sz="0" w:space="0" w:color="auto"/>
      </w:divBdr>
    </w:div>
    <w:div w:id="1506282394">
      <w:bodyDiv w:val="1"/>
      <w:marLeft w:val="0"/>
      <w:marRight w:val="0"/>
      <w:marTop w:val="0"/>
      <w:marBottom w:val="0"/>
      <w:divBdr>
        <w:top w:val="none" w:sz="0" w:space="0" w:color="auto"/>
        <w:left w:val="none" w:sz="0" w:space="0" w:color="auto"/>
        <w:bottom w:val="none" w:sz="0" w:space="0" w:color="auto"/>
        <w:right w:val="none" w:sz="0" w:space="0" w:color="auto"/>
      </w:divBdr>
    </w:div>
    <w:div w:id="1524784653">
      <w:bodyDiv w:val="1"/>
      <w:marLeft w:val="0"/>
      <w:marRight w:val="0"/>
      <w:marTop w:val="0"/>
      <w:marBottom w:val="0"/>
      <w:divBdr>
        <w:top w:val="none" w:sz="0" w:space="0" w:color="auto"/>
        <w:left w:val="none" w:sz="0" w:space="0" w:color="auto"/>
        <w:bottom w:val="none" w:sz="0" w:space="0" w:color="auto"/>
        <w:right w:val="none" w:sz="0" w:space="0" w:color="auto"/>
      </w:divBdr>
    </w:div>
    <w:div w:id="1605844443">
      <w:bodyDiv w:val="1"/>
      <w:marLeft w:val="0"/>
      <w:marRight w:val="0"/>
      <w:marTop w:val="0"/>
      <w:marBottom w:val="0"/>
      <w:divBdr>
        <w:top w:val="none" w:sz="0" w:space="0" w:color="auto"/>
        <w:left w:val="none" w:sz="0" w:space="0" w:color="auto"/>
        <w:bottom w:val="none" w:sz="0" w:space="0" w:color="auto"/>
        <w:right w:val="none" w:sz="0" w:space="0" w:color="auto"/>
      </w:divBdr>
    </w:div>
    <w:div w:id="1683510164">
      <w:bodyDiv w:val="1"/>
      <w:marLeft w:val="0"/>
      <w:marRight w:val="0"/>
      <w:marTop w:val="0"/>
      <w:marBottom w:val="0"/>
      <w:divBdr>
        <w:top w:val="none" w:sz="0" w:space="0" w:color="auto"/>
        <w:left w:val="none" w:sz="0" w:space="0" w:color="auto"/>
        <w:bottom w:val="none" w:sz="0" w:space="0" w:color="auto"/>
        <w:right w:val="none" w:sz="0" w:space="0" w:color="auto"/>
      </w:divBdr>
    </w:div>
    <w:div w:id="1754009738">
      <w:bodyDiv w:val="1"/>
      <w:marLeft w:val="0"/>
      <w:marRight w:val="0"/>
      <w:marTop w:val="0"/>
      <w:marBottom w:val="0"/>
      <w:divBdr>
        <w:top w:val="none" w:sz="0" w:space="0" w:color="auto"/>
        <w:left w:val="none" w:sz="0" w:space="0" w:color="auto"/>
        <w:bottom w:val="none" w:sz="0" w:space="0" w:color="auto"/>
        <w:right w:val="none" w:sz="0" w:space="0" w:color="auto"/>
      </w:divBdr>
    </w:div>
    <w:div w:id="1793671193">
      <w:bodyDiv w:val="1"/>
      <w:marLeft w:val="0"/>
      <w:marRight w:val="0"/>
      <w:marTop w:val="0"/>
      <w:marBottom w:val="0"/>
      <w:divBdr>
        <w:top w:val="none" w:sz="0" w:space="0" w:color="auto"/>
        <w:left w:val="none" w:sz="0" w:space="0" w:color="auto"/>
        <w:bottom w:val="none" w:sz="0" w:space="0" w:color="auto"/>
        <w:right w:val="none" w:sz="0" w:space="0" w:color="auto"/>
      </w:divBdr>
    </w:div>
    <w:div w:id="1803689280">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 w:id="1874996533">
      <w:bodyDiv w:val="1"/>
      <w:marLeft w:val="0"/>
      <w:marRight w:val="0"/>
      <w:marTop w:val="0"/>
      <w:marBottom w:val="0"/>
      <w:divBdr>
        <w:top w:val="none" w:sz="0" w:space="0" w:color="auto"/>
        <w:left w:val="none" w:sz="0" w:space="0" w:color="auto"/>
        <w:bottom w:val="none" w:sz="0" w:space="0" w:color="auto"/>
        <w:right w:val="none" w:sz="0" w:space="0" w:color="auto"/>
      </w:divBdr>
    </w:div>
    <w:div w:id="212476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dol.gov/agencies/eta/foreign-labor/forms"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lag.dol.gov/"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archives/ecec_03182022.pdf" TargetMode="External"/><Relationship Id="rId2" Type="http://schemas.openxmlformats.org/officeDocument/2006/relationships/hyperlink" Target="https://www.bls.gov/oes/current/oes113121.htm" TargetMode="External"/><Relationship Id="rId1" Type="http://schemas.openxmlformats.org/officeDocument/2006/relationships/hyperlink" Target="https://www.govinfo.gov/content/pkg/FR-2019-07-26/pdf/2019-15307.pdf" TargetMode="External"/><Relationship Id="rId5" Type="http://schemas.openxmlformats.org/officeDocument/2006/relationships/hyperlink" Target="https://www.bls.gov/news.release/archives/ecec_03182022.pdf" TargetMode="External"/><Relationship Id="rId4" Type="http://schemas.openxmlformats.org/officeDocument/2006/relationships/hyperlink" Target="https://www.bls.gov/news.release/archives/ecec_1216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05172ed5bd70cce3a4cfd1e7f9693fa8">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5f8d410d0a4cc4255615872d749357cb"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1254abe-0e49-403c-81f6-e14d5e1cd67c">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90C04-4AAC-49BE-9ED1-AD127BBCBC86}">
  <ds:schemaRefs>
    <ds:schemaRef ds:uri="http://schemas.openxmlformats.org/officeDocument/2006/bibliography"/>
  </ds:schemaRefs>
</ds:datastoreItem>
</file>

<file path=customXml/itemProps2.xml><?xml version="1.0" encoding="utf-8"?>
<ds:datastoreItem xmlns:ds="http://schemas.openxmlformats.org/officeDocument/2006/customXml" ds:itemID="{EAC88502-8D67-4D6B-B8FB-68ECD218349E}">
  <ds:schemaRefs>
    <ds:schemaRef ds:uri="http://schemas.microsoft.com/office/2006/metadata/longProperties"/>
  </ds:schemaRefs>
</ds:datastoreItem>
</file>

<file path=customXml/itemProps3.xml><?xml version="1.0" encoding="utf-8"?>
<ds:datastoreItem xmlns:ds="http://schemas.openxmlformats.org/officeDocument/2006/customXml" ds:itemID="{1BAAD9D8-0DD7-4684-9A54-BE0830609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8F9567-2509-4B82-9079-21FC98288380}">
  <ds:schemaRefs>
    <ds:schemaRef ds:uri="http://schemas.microsoft.com/office/2006/metadata/properties"/>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450d0d34-09c2-4bdd-b044-c24d776efcbe"/>
    <ds:schemaRef ds:uri="http://purl.org/dc/elements/1.1/"/>
    <ds:schemaRef ds:uri="91254abe-0e49-403c-81f6-e14d5e1cd67c"/>
    <ds:schemaRef ds:uri="http://purl.org/dc/dcmitype/"/>
  </ds:schemaRefs>
</ds:datastoreItem>
</file>

<file path=customXml/itemProps5.xml><?xml version="1.0" encoding="utf-8"?>
<ds:datastoreItem xmlns:ds="http://schemas.openxmlformats.org/officeDocument/2006/customXml" ds:itemID="{D96E5B10-163F-44A0-B3DF-13C89D9E1C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16</Pages>
  <Words>7127</Words>
  <Characters>40628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47660</CharactersWithSpaces>
  <SharedDoc>false</SharedDoc>
  <HLinks>
    <vt:vector size="42" baseType="variant">
      <vt:variant>
        <vt:i4>5636172</vt:i4>
      </vt:variant>
      <vt:variant>
        <vt:i4>3</vt:i4>
      </vt:variant>
      <vt:variant>
        <vt:i4>0</vt:i4>
      </vt:variant>
      <vt:variant>
        <vt:i4>5</vt:i4>
      </vt:variant>
      <vt:variant>
        <vt:lpwstr>https://www.dol.gov/agencies/eta/foreign-labor/forms</vt:lpwstr>
      </vt:variant>
      <vt:variant>
        <vt:lpwstr/>
      </vt:variant>
      <vt:variant>
        <vt:i4>196679</vt:i4>
      </vt:variant>
      <vt:variant>
        <vt:i4>0</vt:i4>
      </vt:variant>
      <vt:variant>
        <vt:i4>0</vt:i4>
      </vt:variant>
      <vt:variant>
        <vt:i4>5</vt:i4>
      </vt:variant>
      <vt:variant>
        <vt:lpwstr>https://flag.dol.gov/</vt:lpwstr>
      </vt:variant>
      <vt:variant>
        <vt:lpwstr/>
      </vt:variant>
      <vt:variant>
        <vt:i4>2883602</vt:i4>
      </vt:variant>
      <vt:variant>
        <vt:i4>12</vt:i4>
      </vt:variant>
      <vt:variant>
        <vt:i4>0</vt:i4>
      </vt:variant>
      <vt:variant>
        <vt:i4>5</vt:i4>
      </vt:variant>
      <vt:variant>
        <vt:lpwstr>https://www.bls.gov/news.release/archives/ecec_03182022.pdf</vt:lpwstr>
      </vt:variant>
      <vt:variant>
        <vt:lpwstr/>
      </vt:variant>
      <vt:variant>
        <vt:i4>2949150</vt:i4>
      </vt:variant>
      <vt:variant>
        <vt:i4>9</vt:i4>
      </vt:variant>
      <vt:variant>
        <vt:i4>0</vt:i4>
      </vt:variant>
      <vt:variant>
        <vt:i4>5</vt:i4>
      </vt:variant>
      <vt:variant>
        <vt:lpwstr>https://www.bls.gov/news.release/archives/ecec_12162021.pdf</vt:lpwstr>
      </vt:variant>
      <vt:variant>
        <vt:lpwstr/>
      </vt:variant>
      <vt:variant>
        <vt:i4>2883602</vt:i4>
      </vt:variant>
      <vt:variant>
        <vt:i4>6</vt:i4>
      </vt:variant>
      <vt:variant>
        <vt:i4>0</vt:i4>
      </vt:variant>
      <vt:variant>
        <vt:i4>5</vt:i4>
      </vt:variant>
      <vt:variant>
        <vt:lpwstr>https://www.bls.gov/news.release/archives/ecec_03182022.pdf</vt:lpwstr>
      </vt:variant>
      <vt:variant>
        <vt:lpwstr/>
      </vt:variant>
      <vt:variant>
        <vt:i4>4784153</vt:i4>
      </vt:variant>
      <vt:variant>
        <vt:i4>3</vt:i4>
      </vt:variant>
      <vt:variant>
        <vt:i4>0</vt:i4>
      </vt:variant>
      <vt:variant>
        <vt:i4>5</vt:i4>
      </vt:variant>
      <vt:variant>
        <vt:lpwstr>https://www.bls.gov/oes/current/oes113121.htm</vt:lpwstr>
      </vt:variant>
      <vt:variant>
        <vt:lpwstr/>
      </vt:variant>
      <vt:variant>
        <vt:i4>5177428</vt:i4>
      </vt:variant>
      <vt:variant>
        <vt:i4>0</vt:i4>
      </vt:variant>
      <vt:variant>
        <vt:i4>0</vt:i4>
      </vt:variant>
      <vt:variant>
        <vt:i4>5</vt:i4>
      </vt:variant>
      <vt:variant>
        <vt:lpwstr>https://www.govinfo.gov/content/pkg/FR-2019-07-26/pdf/2019-15307.pdf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Michel - OASAM OCIO</dc:creator>
  <cp:keywords/>
  <cp:lastModifiedBy>Liner, Daniel - ETA</cp:lastModifiedBy>
  <cp:revision>590</cp:revision>
  <cp:lastPrinted>2018-03-01T03:36:00Z</cp:lastPrinted>
  <dcterms:created xsi:type="dcterms:W3CDTF">2022-01-21T22:51:00Z</dcterms:created>
  <dcterms:modified xsi:type="dcterms:W3CDTF">2022-06-30T15:21:00Z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0x010100022E75E78C161343AA338A0A8DCC7212</vt:lpwstr>
  </property>
  <property fmtid="{D5CDD505-2E9C-101B-9397-08002B2CF9AE}" pid="3" name="xd_Signature">
    <vt:lpwstr/>
  </property>
  <property fmtid="{D5CDD505-2E9C-101B-9397-08002B2CF9AE}" pid="4" name="display_urn:schemas-microsoft-com:office:office#Editor">
    <vt:lpwstr>Wilson, Michael - ETA</vt:lpwstr>
  </property>
  <property fmtid="{D5CDD505-2E9C-101B-9397-08002B2CF9AE}" pid="5" name="Order">
    <vt:lpwstr>20600.0000000000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SharedWithUsers">
    <vt:lpwstr/>
  </property>
  <property fmtid="{D5CDD505-2E9C-101B-9397-08002B2CF9AE}" pid="10" name="_ExtendedDescription">
    <vt:lpwstr/>
  </property>
  <property fmtid="{D5CDD505-2E9C-101B-9397-08002B2CF9AE}" pid="11" name="display_urn:schemas-microsoft-com:office:office#Author">
    <vt:lpwstr>Banos, Janet - ETA</vt:lpwstr>
  </property>
  <property fmtid="{D5CDD505-2E9C-101B-9397-08002B2CF9AE}" pid="12" name="TriggerFlowInfo">
    <vt:lpwstr/>
  </property>
</Properties>
</file>