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690F56"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rsidRDefault="006626FF" w14:paraId="1DAA9F6C" w14:textId="2DAB2BE7">
      <w:pPr>
        <w:widowControl/>
        <w:jc w:val="center"/>
        <w:rPr>
          <w:rFonts w:ascii="Times New Roman" w:hAnsi="Times New Roman"/>
          <w:b/>
          <w:bCs/>
        </w:rPr>
      </w:pPr>
      <w:r>
        <w:rPr>
          <w:rFonts w:ascii="Times New Roman" w:hAnsi="Times New Roman"/>
          <w:b/>
          <w:bCs/>
        </w:rPr>
        <w:t xml:space="preserve"> </w:t>
      </w:r>
      <w:r w:rsidR="004427A5">
        <w:rPr>
          <w:rFonts w:ascii="Times New Roman" w:hAnsi="Times New Roman"/>
          <w:b/>
          <w:bCs/>
        </w:rPr>
        <w:t>BENEFIT RIGHT AND EXPERIENCE REPORT</w:t>
      </w:r>
    </w:p>
    <w:p w:rsidR="00A10441" w:rsidP="00116CD5" w:rsidRDefault="00A10441" w14:paraId="35B2BDB0" w14:textId="77777777">
      <w:pPr>
        <w:widowControl/>
        <w:jc w:val="center"/>
        <w:rPr>
          <w:rFonts w:ascii="Times New Roman" w:hAnsi="Times New Roman"/>
          <w:b/>
          <w:bCs/>
        </w:rPr>
      </w:pPr>
    </w:p>
    <w:p w:rsidRPr="00871CA6" w:rsidR="00116CD5" w:rsidP="00116CD5" w:rsidRDefault="00116CD5" w14:paraId="2523DF68" w14:textId="77777777">
      <w:pPr>
        <w:widowControl/>
        <w:jc w:val="center"/>
        <w:rPr>
          <w:rFonts w:ascii="Times New Roman" w:hAnsi="Times New Roman"/>
          <w:b/>
          <w:bCs/>
        </w:rPr>
      </w:pPr>
    </w:p>
    <w:p w:rsidRPr="00871CA6" w:rsidR="00690F56" w:rsidP="00116CD5" w:rsidRDefault="00116CD5" w14:paraId="6C3E63C8" w14:textId="05696645">
      <w:pPr>
        <w:widowControl/>
        <w:jc w:val="center"/>
        <w:rPr>
          <w:rFonts w:ascii="Times New Roman" w:hAnsi="Times New Roman"/>
          <w:b/>
          <w:bCs/>
        </w:rPr>
      </w:pPr>
      <w:r w:rsidRPr="00871CA6">
        <w:rPr>
          <w:rFonts w:ascii="Times New Roman" w:hAnsi="Times New Roman"/>
          <w:b/>
          <w:bCs/>
        </w:rPr>
        <w:t>OMB</w:t>
      </w:r>
      <w:r w:rsidR="00FF115D">
        <w:rPr>
          <w:rFonts w:ascii="Times New Roman" w:hAnsi="Times New Roman"/>
          <w:b/>
          <w:bCs/>
        </w:rPr>
        <w:t xml:space="preserve"> </w:t>
      </w:r>
      <w:r w:rsidRPr="00871CA6" w:rsidR="00690F56">
        <w:rPr>
          <w:rFonts w:ascii="Times New Roman" w:hAnsi="Times New Roman"/>
          <w:b/>
          <w:bCs/>
        </w:rPr>
        <w:t xml:space="preserve">CONTROL NO. </w:t>
      </w:r>
      <w:r w:rsidR="004427A5">
        <w:rPr>
          <w:rFonts w:ascii="Times New Roman" w:hAnsi="Times New Roman"/>
          <w:b/>
          <w:bCs/>
        </w:rPr>
        <w:t>1205-0177</w:t>
      </w:r>
    </w:p>
    <w:p w:rsidRPr="00D53DEB" w:rsidR="00530EBD" w:rsidP="00116CD5" w:rsidRDefault="00530EBD" w14:paraId="3086E90B" w14:textId="77777777">
      <w:pPr>
        <w:widowControl/>
        <w:jc w:val="center"/>
        <w:rPr>
          <w:rFonts w:ascii="Times New Roman" w:hAnsi="Times New Roman"/>
          <w:bCs/>
        </w:rPr>
      </w:pPr>
    </w:p>
    <w:p w:rsidRPr="00BF2B35" w:rsidR="000B6FB6" w:rsidP="00690F56" w:rsidRDefault="00270C7A" w14:paraId="1CF8A88F" w14:textId="0F627C5C">
      <w:pPr>
        <w:widowControl/>
        <w:rPr>
          <w:rFonts w:ascii="Times New Roman" w:hAnsi="Times New Roman"/>
        </w:rPr>
      </w:pPr>
      <w:r w:rsidRPr="00BF2B35">
        <w:rPr>
          <w:rFonts w:ascii="Times New Roman" w:hAnsi="Times New Roman"/>
        </w:rPr>
        <w:t xml:space="preserve">This information collection request (ICR) requests an extension without change to </w:t>
      </w:r>
      <w:r w:rsidR="00FF115D">
        <w:rPr>
          <w:rFonts w:ascii="Times New Roman" w:hAnsi="Times New Roman"/>
        </w:rPr>
        <w:t xml:space="preserve">OMB </w:t>
      </w:r>
      <w:r w:rsidRPr="00BF2B35">
        <w:rPr>
          <w:rFonts w:ascii="Times New Roman" w:hAnsi="Times New Roman"/>
        </w:rPr>
        <w:t>1205-01</w:t>
      </w:r>
      <w:r w:rsidRPr="00BF2B35" w:rsidR="00BF2B35">
        <w:rPr>
          <w:rFonts w:ascii="Times New Roman" w:hAnsi="Times New Roman"/>
        </w:rPr>
        <w:t>77</w:t>
      </w:r>
      <w:r w:rsidR="007E07D3">
        <w:rPr>
          <w:rFonts w:ascii="Times New Roman" w:hAnsi="Times New Roman"/>
        </w:rPr>
        <w:t>,</w:t>
      </w:r>
      <w:r w:rsidR="00775809">
        <w:rPr>
          <w:rFonts w:ascii="Times New Roman" w:hAnsi="Times New Roman"/>
        </w:rPr>
        <w:t xml:space="preserve"> </w:t>
      </w:r>
      <w:r w:rsidRPr="00BF2B35" w:rsidR="00BF2B35">
        <w:rPr>
          <w:rFonts w:ascii="Times New Roman" w:hAnsi="Times New Roman"/>
        </w:rPr>
        <w:t xml:space="preserve">Benefit Rights and Experience </w:t>
      </w:r>
      <w:r w:rsidR="007E07D3">
        <w:rPr>
          <w:rFonts w:ascii="Times New Roman" w:hAnsi="Times New Roman"/>
        </w:rPr>
        <w:t>R</w:t>
      </w:r>
      <w:r w:rsidRPr="00BF2B35" w:rsidR="00BF2B35">
        <w:rPr>
          <w:rFonts w:ascii="Times New Roman" w:hAnsi="Times New Roman"/>
        </w:rPr>
        <w:t>eport</w:t>
      </w:r>
      <w:r w:rsidR="00775809">
        <w:rPr>
          <w:rFonts w:ascii="Times New Roman" w:hAnsi="Times New Roman"/>
        </w:rPr>
        <w:t>, ETA 218</w:t>
      </w:r>
      <w:r w:rsidRPr="00BF2B35" w:rsidR="00BF2B35">
        <w:rPr>
          <w:rFonts w:ascii="Times New Roman" w:hAnsi="Times New Roman"/>
        </w:rPr>
        <w:t xml:space="preserve">.  </w:t>
      </w:r>
    </w:p>
    <w:p w:rsidRPr="00BF2B35" w:rsidR="00BF2B35" w:rsidP="00690F56" w:rsidRDefault="00BF2B35" w14:paraId="6F0160A4" w14:textId="77777777">
      <w:pPr>
        <w:widowControl/>
        <w:rPr>
          <w:rFonts w:ascii="Times New Roman" w:hAnsi="Times New Roman"/>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70397BEC">
      <w:pPr>
        <w:widowControl/>
        <w:rPr>
          <w:rFonts w:ascii="Times New Roman" w:hAnsi="Times New Roman"/>
        </w:rPr>
      </w:pPr>
    </w:p>
    <w:p w:rsidRPr="00A47DA7" w:rsidR="00567A91" w:rsidP="00690F56" w:rsidRDefault="00567A91" w14:paraId="6853FF13" w14:textId="32717437">
      <w:pPr>
        <w:widowControl/>
        <w:rPr>
          <w:rFonts w:ascii="Times New Roman" w:hAnsi="Times New Roman"/>
        </w:rPr>
      </w:pPr>
      <w:r w:rsidRPr="00567A91">
        <w:rPr>
          <w:rFonts w:ascii="Times New Roman" w:hAnsi="Times New Roman"/>
        </w:rPr>
        <w:t>In order for an individual to be eligible for a State unemployment compensation program, the claimant must meet certain requirements, which demonstrate attachment to the labor force.  The vast majority of states use past wages for this purpose, however, a few States use actual weeks of work.  Information relative to this first test of eligibility, known as monetary eligibility, is reported on the ETA 218, Benefit Rights and Experience Report.  The data in the ETA 218 report includes numbers of individuals who were and were not monetarily eligible, those eligible for the maximum benefits, the number of newly eligible claimants categorized by potential duration, and the number of benefit exhaustees categorized by their actual duration.  Authority for collection of this information is under Section 303(a)(6) of the Social Security Act.</w:t>
      </w:r>
      <w:r w:rsidR="004C3C3A">
        <w:rPr>
          <w:rFonts w:ascii="Times New Roman" w:hAnsi="Times New Roman"/>
        </w:rPr>
        <w:t xml:space="preserve">  This report includes separate versions for the Regular State UI program and the episodic Federal-State Extended Benefit (EB) program, which provides additional benefits when states experience increased levels of unemployment. </w:t>
      </w: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1B7EB97F">
      <w:pPr>
        <w:widowControl/>
        <w:rPr>
          <w:rFonts w:ascii="Times New Roman" w:hAnsi="Times New Roman"/>
          <w:u w:val="single"/>
        </w:rPr>
      </w:pPr>
    </w:p>
    <w:p w:rsidRPr="00567A91" w:rsidR="00567A91" w:rsidP="00690F56" w:rsidRDefault="00567A91" w14:paraId="679F019E" w14:textId="7DB48EB5">
      <w:pPr>
        <w:widowControl/>
        <w:rPr>
          <w:rFonts w:ascii="Times New Roman" w:hAnsi="Times New Roman"/>
        </w:rPr>
      </w:pPr>
      <w:r w:rsidRPr="00567A91">
        <w:rPr>
          <w:rFonts w:ascii="Times New Roman" w:hAnsi="Times New Roman"/>
        </w:rPr>
        <w:t xml:space="preserve">Data used </w:t>
      </w:r>
      <w:r w:rsidR="00932D1F">
        <w:rPr>
          <w:rFonts w:ascii="Times New Roman" w:hAnsi="Times New Roman"/>
        </w:rPr>
        <w:t xml:space="preserve">for the states </w:t>
      </w:r>
      <w:r w:rsidRPr="00567A91">
        <w:rPr>
          <w:rFonts w:ascii="Times New Roman" w:hAnsi="Times New Roman"/>
        </w:rPr>
        <w:t xml:space="preserve">to compile this report comes from information that is a by-product of administering the </w:t>
      </w:r>
      <w:r w:rsidR="005E52BB">
        <w:rPr>
          <w:rFonts w:ascii="Times New Roman" w:hAnsi="Times New Roman"/>
        </w:rPr>
        <w:t xml:space="preserve">UI </w:t>
      </w:r>
      <w:r w:rsidRPr="00567A91">
        <w:rPr>
          <w:rFonts w:ascii="Times New Roman" w:hAnsi="Times New Roman"/>
        </w:rPr>
        <w:t>program.  This data is collected as part of the initial claim process.  It is transmitted electronically to the National Office on a quarterly basis.  This data is used by the National Office in solvency studies</w:t>
      </w:r>
      <w:r w:rsidR="005E52BB">
        <w:rPr>
          <w:rFonts w:ascii="Times New Roman" w:hAnsi="Times New Roman"/>
        </w:rPr>
        <w:t xml:space="preserve"> and reports</w:t>
      </w:r>
      <w:r w:rsidRPr="00567A91">
        <w:rPr>
          <w:rFonts w:ascii="Times New Roman" w:hAnsi="Times New Roman"/>
        </w:rPr>
        <w:t xml:space="preserve">, cost estimating and modeling, and to assess </w:t>
      </w:r>
      <w:r w:rsidR="005E52BB">
        <w:rPr>
          <w:rFonts w:ascii="Times New Roman" w:hAnsi="Times New Roman"/>
        </w:rPr>
        <w:t xml:space="preserve">and produce reports on </w:t>
      </w:r>
      <w:r w:rsidRPr="00567A91">
        <w:rPr>
          <w:rFonts w:ascii="Times New Roman" w:hAnsi="Times New Roman"/>
        </w:rPr>
        <w:t>State benefit formulas.  If this data were not available, cost estimating and modeling would be less accurate</w:t>
      </w:r>
      <w:r w:rsidR="005E52BB">
        <w:rPr>
          <w:rFonts w:ascii="Times New Roman" w:hAnsi="Times New Roman"/>
        </w:rPr>
        <w:t xml:space="preserve"> and the Office of Unemployment Insurance would lose a key source of data used to develop various</w:t>
      </w:r>
      <w:r w:rsidR="00AE676F">
        <w:rPr>
          <w:rFonts w:ascii="Times New Roman" w:hAnsi="Times New Roman"/>
        </w:rPr>
        <w:t xml:space="preserve"> metrics and reports on the Unemployment Insurance (UI) system</w:t>
      </w:r>
      <w:r w:rsidRPr="00567A91">
        <w:rPr>
          <w:rFonts w:ascii="Times New Roman" w:hAnsi="Times New Roman"/>
        </w:rPr>
        <w:t>.</w:t>
      </w:r>
    </w:p>
    <w:p w:rsidRPr="00A47DA7" w:rsidR="00567A91" w:rsidP="00690F56" w:rsidRDefault="00567A91" w14:paraId="0B05BB7B" w14:textId="77777777">
      <w:pPr>
        <w:widowControl/>
        <w:rPr>
          <w:rFonts w:ascii="Times New Roman" w:hAnsi="Times New Roman"/>
          <w:u w:val="single"/>
        </w:rPr>
      </w:pPr>
    </w:p>
    <w:p w:rsidRPr="00D53DEB"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of automated, electronic, mechanical, or other technological collection techniques or other </w:t>
      </w:r>
      <w:r w:rsidRPr="00D53DEB">
        <w:rPr>
          <w:rFonts w:ascii="Times New Roman" w:hAnsi="Times New Roman"/>
          <w:b/>
          <w:bCs/>
        </w:rPr>
        <w:lastRenderedPageBreak/>
        <w:t>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690F56" w:rsidRDefault="00690F56" w14:paraId="04006A6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567A91" w14:paraId="1EFFB376" w14:textId="670173E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7A91">
        <w:rPr>
          <w:rFonts w:ascii="Times New Roman" w:hAnsi="Times New Roman"/>
        </w:rPr>
        <w:t xml:space="preserve">All state information on UI claimants is computerized, so the information states use to produce this report is </w:t>
      </w:r>
      <w:r w:rsidR="000E67D8">
        <w:rPr>
          <w:rFonts w:ascii="Times New Roman" w:hAnsi="Times New Roman"/>
        </w:rPr>
        <w:t>available</w:t>
      </w:r>
      <w:r w:rsidRPr="00567A91" w:rsidR="000E67D8">
        <w:rPr>
          <w:rFonts w:ascii="Times New Roman" w:hAnsi="Times New Roman"/>
        </w:rPr>
        <w:t xml:space="preserve"> </w:t>
      </w:r>
      <w:r w:rsidRPr="00567A91">
        <w:rPr>
          <w:rFonts w:ascii="Times New Roman" w:hAnsi="Times New Roman"/>
        </w:rPr>
        <w:t xml:space="preserve">in an </w:t>
      </w:r>
      <w:r w:rsidR="000E67D8">
        <w:rPr>
          <w:rFonts w:ascii="Times New Roman" w:hAnsi="Times New Roman"/>
        </w:rPr>
        <w:t xml:space="preserve">electronic </w:t>
      </w:r>
      <w:r w:rsidRPr="00567A91">
        <w:rPr>
          <w:rFonts w:ascii="Times New Roman" w:hAnsi="Times New Roman"/>
        </w:rPr>
        <w:t xml:space="preserve">format suitable for producing this information.  The ETA 218 is reported electronically to the National Office with States having the option of directly uploading data from their computer to the reporting system, which stores and transmits the data, thus eliminating any keying.  States are free to further reduce reporting burden using any available technology.  </w:t>
      </w:r>
    </w:p>
    <w:p w:rsidRPr="006A4637" w:rsidR="00567A91" w:rsidP="00690F56" w:rsidRDefault="00567A91" w14:paraId="74118C5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2693B8DC" w14:textId="415DB05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567A91" w:rsidP="00690F56" w:rsidRDefault="00567A91" w14:paraId="4243A1DF" w14:textId="419C266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7A91">
        <w:rPr>
          <w:rFonts w:ascii="Times New Roman" w:hAnsi="Times New Roman"/>
        </w:rPr>
        <w:t xml:space="preserve">The data collected on this report is not a duplication in any way: this level of detail is not available in any other report.  There are some other reports where information is collected that allows us to verify that the values reported are reasonable.  As an example, the ETA 5159 (1205-0010) has states report first payments, which should track closely with the number of monetary determinations on the 218.  Therefore, although data with some similarities are collected on other reports, the specific data items on this report are not collected anywhere else, so there is no degree of duplication.  </w:t>
      </w: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567A91" w14:paraId="5D56A05A" w14:textId="2D0A6AAA">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7A91">
        <w:rPr>
          <w:rFonts w:ascii="Times New Roman" w:hAnsi="Times New Roman"/>
        </w:rPr>
        <w:t>This collection does not involve small business or other small entities.</w:t>
      </w:r>
    </w:p>
    <w:p w:rsidRPr="00A973AA" w:rsidR="00567A91" w:rsidP="00690F56" w:rsidRDefault="00567A91" w14:paraId="03AACEC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5F528885" w14:textId="6F04D24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Pr="00D53DEB" w:rsidR="00567A91" w:rsidP="00690F56" w:rsidRDefault="00567A91" w14:paraId="270413E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567A91" w14:paraId="7C4C2F67" w14:textId="627C9FF1">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67A91">
        <w:rPr>
          <w:rFonts w:ascii="Times New Roman" w:hAnsi="Times New Roman"/>
        </w:rPr>
        <w:t>If this collection were conducted less frequently, there would be fewer data points on which to project short-term trends.  ETA’s allocation system is quarterly, therefore it is desirable to project workload and related information at least on a quarterly basis.</w:t>
      </w:r>
    </w:p>
    <w:p w:rsidRPr="00A47DA7" w:rsidR="00567A91" w:rsidP="00690F56" w:rsidRDefault="00567A91" w14:paraId="6210D9A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lastRenderedPageBreak/>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67A91" w:rsidR="00690F56" w:rsidP="00690F56" w:rsidRDefault="00237691" w14:paraId="583D2BFF" w14:textId="3D986B5C">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567A91" w:rsidP="00567A91" w:rsidRDefault="00567A91" w14:paraId="21EE8703" w14:textId="77777777">
      <w:pPr>
        <w:pStyle w:val="ListParagraph"/>
      </w:pPr>
    </w:p>
    <w:p w:rsidRPr="00D53DEB" w:rsidR="00567A91" w:rsidP="00567A91" w:rsidRDefault="00567A91" w14:paraId="1B5B8AF5"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Pr="00D53DEB" w:rsidR="00642220" w:rsidP="00642220" w:rsidRDefault="00567A91" w14:paraId="3DCDBA31" w14:textId="78F3D752">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567A91">
        <w:t>This collection is consistent with the guidelines in 5 CFR 1320.5.</w:t>
      </w:r>
    </w:p>
    <w:p w:rsidRPr="00871CA6" w:rsidR="00690F56" w:rsidP="00690F56" w:rsidRDefault="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A47DA7" w:rsidR="00690F56" w:rsidP="00690F56" w:rsidRDefault="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P="0060114B" w:rsidRDefault="008D33F9" w14:paraId="425C0DB9" w14:textId="7BE733AE">
      <w:pPr>
        <w:widowControl/>
        <w:autoSpaceDE/>
        <w:autoSpaceDN/>
        <w:adjustRightInd/>
        <w:rPr>
          <w:rFonts w:ascii="Times New Roman" w:hAnsi="Times New Roman" w:eastAsia="Calibri"/>
        </w:rPr>
      </w:pPr>
      <w:r w:rsidRPr="008D33F9">
        <w:rPr>
          <w:rFonts w:ascii="Times New Roman" w:hAnsi="Times New Roman" w:eastAsia="Calibri"/>
        </w:rPr>
        <w:t xml:space="preserve">In accordance with the Paperwork Reduction Act of 1995, the public was given 60 days to review and comment on this data collection by way of a Notice published in the Federal Register on </w:t>
      </w:r>
      <w:r w:rsidR="00775809">
        <w:rPr>
          <w:rFonts w:ascii="Times New Roman" w:hAnsi="Times New Roman" w:eastAsia="Calibri"/>
        </w:rPr>
        <w:t>January 13</w:t>
      </w:r>
      <w:r w:rsidRPr="008D33F9">
        <w:rPr>
          <w:rFonts w:ascii="Times New Roman" w:hAnsi="Times New Roman" w:eastAsia="Calibri"/>
        </w:rPr>
        <w:t>, 20</w:t>
      </w:r>
      <w:r w:rsidR="00775809">
        <w:rPr>
          <w:rFonts w:ascii="Times New Roman" w:hAnsi="Times New Roman" w:eastAsia="Calibri"/>
        </w:rPr>
        <w:t>22</w:t>
      </w:r>
      <w:r w:rsidRPr="008D33F9">
        <w:rPr>
          <w:rFonts w:ascii="Times New Roman" w:hAnsi="Times New Roman" w:eastAsia="Calibri"/>
        </w:rPr>
        <w:t xml:space="preserve"> (8</w:t>
      </w:r>
      <w:r w:rsidR="00775809">
        <w:rPr>
          <w:rFonts w:ascii="Times New Roman" w:hAnsi="Times New Roman" w:eastAsia="Calibri"/>
        </w:rPr>
        <w:t>7</w:t>
      </w:r>
      <w:r w:rsidRPr="008D33F9">
        <w:rPr>
          <w:rFonts w:ascii="Times New Roman" w:hAnsi="Times New Roman" w:eastAsia="Calibri"/>
        </w:rPr>
        <w:t xml:space="preserve"> FR 21</w:t>
      </w:r>
      <w:r w:rsidR="00775809">
        <w:rPr>
          <w:rFonts w:ascii="Times New Roman" w:hAnsi="Times New Roman" w:eastAsia="Calibri"/>
        </w:rPr>
        <w:t>85</w:t>
      </w:r>
      <w:r w:rsidRPr="008D33F9">
        <w:rPr>
          <w:rFonts w:ascii="Times New Roman" w:hAnsi="Times New Roman" w:eastAsia="Calibri"/>
        </w:rPr>
        <w:t xml:space="preserve">). </w:t>
      </w:r>
    </w:p>
    <w:p w:rsidR="007F459B" w:rsidP="0060114B" w:rsidRDefault="007F459B" w14:paraId="6FB6A679" w14:textId="4D1D715C">
      <w:pPr>
        <w:widowControl/>
        <w:autoSpaceDE/>
        <w:autoSpaceDN/>
        <w:adjustRightInd/>
        <w:rPr>
          <w:rFonts w:ascii="Times New Roman" w:hAnsi="Times New Roman" w:eastAsia="Calibri"/>
        </w:rPr>
      </w:pPr>
    </w:p>
    <w:p w:rsidR="007F459B" w:rsidP="0060114B" w:rsidRDefault="007F459B" w14:paraId="7D92A492" w14:textId="46C1851A">
      <w:pPr>
        <w:widowControl/>
        <w:autoSpaceDE/>
        <w:autoSpaceDN/>
        <w:adjustRightInd/>
        <w:rPr>
          <w:rFonts w:ascii="Times New Roman" w:hAnsi="Times New Roman" w:eastAsia="Calibri"/>
        </w:rPr>
      </w:pPr>
      <w:r>
        <w:rPr>
          <w:rFonts w:ascii="Times New Roman" w:hAnsi="Times New Roman" w:eastAsia="Calibri"/>
        </w:rPr>
        <w:t xml:space="preserve">A comment was received on March 3, 2022 in support </w:t>
      </w:r>
      <w:r w:rsidR="00101BD5">
        <w:rPr>
          <w:rFonts w:ascii="Times New Roman" w:hAnsi="Times New Roman" w:eastAsia="Calibri"/>
        </w:rPr>
        <w:t>of extending</w:t>
      </w:r>
      <w:r>
        <w:rPr>
          <w:rFonts w:ascii="Times New Roman" w:hAnsi="Times New Roman" w:eastAsia="Calibri"/>
        </w:rPr>
        <w:t xml:space="preserve"> ETA-218, </w:t>
      </w:r>
      <w:r w:rsidRPr="007F459B">
        <w:rPr>
          <w:rFonts w:ascii="Times New Roman" w:hAnsi="Times New Roman" w:eastAsia="Calibri"/>
        </w:rPr>
        <w:t>Benefit Rights and Experience Report</w:t>
      </w:r>
      <w:r w:rsidR="00101BD5">
        <w:rPr>
          <w:rFonts w:ascii="Times New Roman" w:hAnsi="Times New Roman" w:eastAsia="Calibri"/>
        </w:rPr>
        <w:t xml:space="preserve"> from Iowa Workforce Development. An email of acknowledgement was sent on March 3, 2022. </w:t>
      </w:r>
    </w:p>
    <w:p w:rsidRPr="00A47DA7" w:rsidR="008D33F9" w:rsidP="0060114B" w:rsidRDefault="008D33F9" w14:paraId="401DB632" w14:textId="77777777">
      <w:pPr>
        <w:widowControl/>
        <w:autoSpaceDE/>
        <w:autoSpaceDN/>
        <w:adjustRightInd/>
        <w:rPr>
          <w:rFonts w:ascii="Times New Roman" w:hAnsi="Times New Roman" w:eastAsia="Calibri"/>
        </w:rPr>
      </w:pPr>
    </w:p>
    <w:p w:rsidRPr="00D53DEB" w:rsidR="00690F56" w:rsidP="00690F56" w:rsidRDefault="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8D33F9" w14:paraId="3D9804C1" w14:textId="7C4813C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D33F9">
        <w:rPr>
          <w:rFonts w:ascii="Times New Roman" w:hAnsi="Times New Roman"/>
        </w:rPr>
        <w:t>There are no payments or gifts to respondents.</w:t>
      </w:r>
    </w:p>
    <w:p w:rsidRPr="00871CA6" w:rsidR="000E67D8" w:rsidP="00690F56" w:rsidRDefault="000E67D8" w14:paraId="742CAD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8D33F9" w14:paraId="61F2ECC1" w14:textId="718231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D33F9">
        <w:rPr>
          <w:rFonts w:ascii="Times New Roman" w:hAnsi="Times New Roman"/>
        </w:rPr>
        <w:t>There is no assurance of confidentiality.</w:t>
      </w:r>
      <w:r w:rsidR="000E67D8">
        <w:rPr>
          <w:rFonts w:ascii="Times New Roman" w:hAnsi="Times New Roman"/>
        </w:rPr>
        <w:t xml:space="preserve"> This data is reported at an aggregate level and does not include any sensitive or personally identifiable information.</w:t>
      </w:r>
    </w:p>
    <w:p w:rsidRPr="00871CA6" w:rsidR="008D33F9" w:rsidP="00690F56" w:rsidRDefault="008D33F9" w14:paraId="4081D71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rsidRDefault="00690F56" w14:paraId="02AFA701" w14:textId="39EEF5D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8D33F9" w:rsidR="008D33F9" w:rsidP="00690F56" w:rsidRDefault="008D33F9" w14:paraId="1F595C6C" w14:textId="7EF758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D33F9">
        <w:rPr>
          <w:rFonts w:ascii="Times New Roman" w:hAnsi="Times New Roman"/>
        </w:rPr>
        <w:t>The collection does not involve any questions of a sensitive nature.</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C5070" w:rsidR="0098245A" w:rsidP="00DC5070" w:rsidRDefault="00690F56" w14:paraId="49032434" w14:textId="4B461C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w:t>
      </w:r>
      <w:r w:rsidRPr="00D53DEB">
        <w:rPr>
          <w:rFonts w:ascii="Times New Roman" w:hAnsi="Times New Roman"/>
          <w:b/>
          <w:bCs/>
        </w:rPr>
        <w:lastRenderedPageBreak/>
        <w:t xml:space="preserve">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Pr="006626FF" w:rsidR="0098245A" w:rsidP="006626FF" w:rsidRDefault="0098245A" w14:paraId="03030FFF"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1"/>
        <w:gridCol w:w="1415"/>
        <w:gridCol w:w="1329"/>
        <w:gridCol w:w="1182"/>
        <w:gridCol w:w="1003"/>
        <w:gridCol w:w="951"/>
        <w:gridCol w:w="890"/>
        <w:gridCol w:w="1484"/>
      </w:tblGrid>
      <w:tr w:rsidRPr="00E60FB0" w:rsidR="006626FF" w:rsidTr="00F3152A" w14:paraId="2DF04903" w14:textId="77777777">
        <w:trPr>
          <w:trHeight w:val="890"/>
        </w:trPr>
        <w:tc>
          <w:tcPr>
            <w:tcW w:w="155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03"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9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484"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E60FB0" w:rsidR="0098245A" w:rsidTr="00F3152A" w14:paraId="541186C4" w14:textId="77777777">
        <w:tc>
          <w:tcPr>
            <w:tcW w:w="1551" w:type="dxa"/>
            <w:tcBorders>
              <w:top w:val="single" w:color="auto" w:sz="4" w:space="0"/>
              <w:left w:val="single" w:color="auto" w:sz="4" w:space="0"/>
              <w:bottom w:val="single" w:color="auto" w:sz="4" w:space="0"/>
              <w:right w:val="single" w:color="auto" w:sz="4" w:space="0"/>
            </w:tcBorders>
            <w:vAlign w:val="center"/>
          </w:tcPr>
          <w:p w:rsidR="0098245A" w:rsidP="0098245A" w:rsidRDefault="0098245A" w14:paraId="51A707F7" w14:textId="05ECA205">
            <w:pPr>
              <w:spacing w:line="276" w:lineRule="auto"/>
              <w:rPr>
                <w:rFonts w:ascii="Times New Roman" w:hAnsi="Times New Roman"/>
                <w:sz w:val="22"/>
                <w:szCs w:val="22"/>
              </w:rPr>
            </w:pPr>
            <w:r>
              <w:rPr>
                <w:rFonts w:ascii="Times New Roman" w:hAnsi="Times New Roman"/>
                <w:color w:val="000000"/>
              </w:rPr>
              <w:t>ETA 218 for Regular Program Claimants</w:t>
            </w:r>
          </w:p>
        </w:tc>
        <w:tc>
          <w:tcPr>
            <w:tcW w:w="1415" w:type="dxa"/>
            <w:tcBorders>
              <w:top w:val="single" w:color="auto" w:sz="4" w:space="0"/>
              <w:left w:val="single" w:color="auto" w:sz="4" w:space="0"/>
              <w:bottom w:val="single" w:color="auto" w:sz="4" w:space="0"/>
              <w:right w:val="single" w:color="auto" w:sz="4" w:space="0"/>
            </w:tcBorders>
            <w:vAlign w:val="center"/>
          </w:tcPr>
          <w:p w:rsidR="0098245A" w:rsidP="0098245A" w:rsidRDefault="0098245A" w14:paraId="0FE96354" w14:textId="62103D8E">
            <w:pPr>
              <w:spacing w:line="276" w:lineRule="auto"/>
              <w:jc w:val="center"/>
              <w:rPr>
                <w:rFonts w:ascii="Times New Roman" w:hAnsi="Times New Roman"/>
                <w:sz w:val="22"/>
                <w:szCs w:val="22"/>
              </w:rPr>
            </w:pPr>
            <w:r>
              <w:rPr>
                <w:rFonts w:ascii="Times New Roman" w:hAnsi="Times New Roman"/>
                <w:color w:val="000000"/>
                <w:sz w:val="20"/>
                <w:szCs w:val="20"/>
              </w:rPr>
              <w:t>53</w:t>
            </w:r>
          </w:p>
        </w:tc>
        <w:tc>
          <w:tcPr>
            <w:tcW w:w="1329" w:type="dxa"/>
            <w:tcBorders>
              <w:top w:val="single" w:color="auto" w:sz="4" w:space="0"/>
              <w:left w:val="single" w:color="auto" w:sz="4" w:space="0"/>
              <w:bottom w:val="single" w:color="auto" w:sz="4" w:space="0"/>
              <w:right w:val="single" w:color="auto" w:sz="4" w:space="0"/>
            </w:tcBorders>
            <w:vAlign w:val="center"/>
          </w:tcPr>
          <w:p w:rsidR="0098245A" w:rsidP="0098245A" w:rsidRDefault="0098245A" w14:paraId="079443C4" w14:textId="24166314">
            <w:pPr>
              <w:spacing w:line="276" w:lineRule="auto"/>
              <w:jc w:val="center"/>
              <w:rPr>
                <w:rFonts w:ascii="Times New Roman" w:hAnsi="Times New Roman"/>
                <w:sz w:val="22"/>
                <w:szCs w:val="22"/>
              </w:rPr>
            </w:pPr>
            <w:r>
              <w:rPr>
                <w:rFonts w:ascii="Times New Roman" w:hAnsi="Times New Roman"/>
                <w:color w:val="000000"/>
                <w:sz w:val="20"/>
                <w:szCs w:val="20"/>
              </w:rPr>
              <w:t>4</w:t>
            </w:r>
          </w:p>
        </w:tc>
        <w:tc>
          <w:tcPr>
            <w:tcW w:w="1182" w:type="dxa"/>
            <w:tcBorders>
              <w:top w:val="single" w:color="auto" w:sz="4" w:space="0"/>
              <w:left w:val="single" w:color="auto" w:sz="4" w:space="0"/>
              <w:bottom w:val="single" w:color="auto" w:sz="4" w:space="0"/>
              <w:right w:val="single" w:color="auto" w:sz="4" w:space="0"/>
            </w:tcBorders>
            <w:vAlign w:val="center"/>
          </w:tcPr>
          <w:p w:rsidRPr="00E60FB0" w:rsidR="0098245A" w:rsidP="0098245A" w:rsidRDefault="0098245A" w14:paraId="5DF87D29" w14:textId="09E3BEBA">
            <w:pPr>
              <w:spacing w:line="276" w:lineRule="auto"/>
              <w:jc w:val="center"/>
              <w:rPr>
                <w:rFonts w:ascii="Times New Roman" w:hAnsi="Times New Roman"/>
                <w:sz w:val="22"/>
                <w:szCs w:val="22"/>
              </w:rPr>
            </w:pPr>
            <w:r>
              <w:rPr>
                <w:rFonts w:ascii="Times New Roman" w:hAnsi="Times New Roman"/>
                <w:color w:val="000000"/>
                <w:sz w:val="20"/>
                <w:szCs w:val="20"/>
              </w:rPr>
              <w:t>212</w:t>
            </w:r>
          </w:p>
        </w:tc>
        <w:tc>
          <w:tcPr>
            <w:tcW w:w="1003" w:type="dxa"/>
            <w:tcBorders>
              <w:top w:val="single" w:color="auto" w:sz="4" w:space="0"/>
              <w:left w:val="single" w:color="auto" w:sz="4" w:space="0"/>
              <w:bottom w:val="single" w:color="auto" w:sz="4" w:space="0"/>
              <w:right w:val="single" w:color="auto" w:sz="4" w:space="0"/>
            </w:tcBorders>
            <w:vAlign w:val="center"/>
          </w:tcPr>
          <w:p w:rsidRPr="00E60FB0" w:rsidR="0098245A" w:rsidP="0098245A" w:rsidRDefault="0098245A" w14:paraId="20E66843" w14:textId="01188B7D">
            <w:pPr>
              <w:spacing w:line="276" w:lineRule="auto"/>
              <w:jc w:val="center"/>
              <w:rPr>
                <w:rFonts w:ascii="Times New Roman" w:hAnsi="Times New Roman"/>
                <w:sz w:val="22"/>
                <w:szCs w:val="22"/>
              </w:rPr>
            </w:pPr>
            <w:r>
              <w:rPr>
                <w:rFonts w:ascii="Times New Roman" w:hAnsi="Times New Roman"/>
                <w:color w:val="000000"/>
                <w:sz w:val="20"/>
                <w:szCs w:val="20"/>
              </w:rPr>
              <w:t>.5</w:t>
            </w:r>
          </w:p>
        </w:tc>
        <w:tc>
          <w:tcPr>
            <w:tcW w:w="951" w:type="dxa"/>
            <w:tcBorders>
              <w:top w:val="single" w:color="auto" w:sz="4" w:space="0"/>
              <w:left w:val="single" w:color="auto" w:sz="4" w:space="0"/>
              <w:bottom w:val="single" w:color="auto" w:sz="4" w:space="0"/>
              <w:right w:val="single" w:color="auto" w:sz="4" w:space="0"/>
            </w:tcBorders>
            <w:vAlign w:val="center"/>
          </w:tcPr>
          <w:p w:rsidRPr="00E60FB0" w:rsidR="0098245A" w:rsidP="0098245A" w:rsidRDefault="0098245A" w14:paraId="423A8810" w14:textId="25ABEA71">
            <w:pPr>
              <w:spacing w:line="276" w:lineRule="auto"/>
              <w:jc w:val="center"/>
              <w:rPr>
                <w:rFonts w:ascii="Times New Roman" w:hAnsi="Times New Roman"/>
                <w:sz w:val="22"/>
                <w:szCs w:val="22"/>
              </w:rPr>
            </w:pPr>
            <w:r>
              <w:rPr>
                <w:rFonts w:ascii="Times New Roman" w:hAnsi="Times New Roman"/>
                <w:color w:val="000000"/>
                <w:sz w:val="20"/>
                <w:szCs w:val="20"/>
              </w:rPr>
              <w:t>106</w:t>
            </w:r>
          </w:p>
        </w:tc>
        <w:tc>
          <w:tcPr>
            <w:tcW w:w="890" w:type="dxa"/>
            <w:tcBorders>
              <w:top w:val="single" w:color="auto" w:sz="4" w:space="0"/>
              <w:left w:val="single" w:color="auto" w:sz="4" w:space="0"/>
              <w:bottom w:val="single" w:color="auto" w:sz="4" w:space="0"/>
              <w:right w:val="single" w:color="auto" w:sz="4" w:space="0"/>
            </w:tcBorders>
            <w:vAlign w:val="center"/>
          </w:tcPr>
          <w:p w:rsidRPr="00E60FB0" w:rsidR="0098245A" w:rsidP="0098245A" w:rsidRDefault="0098245A" w14:paraId="5A82B0B7" w14:textId="459EA5DD">
            <w:pPr>
              <w:spacing w:line="276" w:lineRule="auto"/>
              <w:jc w:val="center"/>
              <w:rPr>
                <w:rFonts w:ascii="Times New Roman" w:hAnsi="Times New Roman"/>
                <w:sz w:val="22"/>
                <w:szCs w:val="22"/>
              </w:rPr>
            </w:pPr>
            <w:r w:rsidRPr="00CC1882">
              <w:rPr>
                <w:rFonts w:ascii="Times New Roman" w:hAnsi="Times New Roman"/>
                <w:color w:val="000000"/>
                <w:sz w:val="20"/>
                <w:szCs w:val="20"/>
              </w:rPr>
              <w:t>$</w:t>
            </w:r>
            <w:r w:rsidR="00AE2652">
              <w:rPr>
                <w:rFonts w:ascii="Times New Roman" w:hAnsi="Times New Roman"/>
                <w:color w:val="000000"/>
                <w:sz w:val="20"/>
                <w:szCs w:val="20"/>
              </w:rPr>
              <w:t>53.27</w:t>
            </w:r>
          </w:p>
        </w:tc>
        <w:tc>
          <w:tcPr>
            <w:tcW w:w="1484" w:type="dxa"/>
            <w:tcBorders>
              <w:top w:val="single" w:color="auto" w:sz="4" w:space="0"/>
              <w:left w:val="single" w:color="auto" w:sz="4" w:space="0"/>
              <w:bottom w:val="single" w:color="auto" w:sz="4" w:space="0"/>
              <w:right w:val="single" w:color="auto" w:sz="4" w:space="0"/>
            </w:tcBorders>
            <w:vAlign w:val="center"/>
          </w:tcPr>
          <w:p w:rsidRPr="00E60FB0" w:rsidR="0098245A" w:rsidP="0098245A" w:rsidRDefault="0098245A" w14:paraId="62C253B1" w14:textId="0C2E9965">
            <w:pPr>
              <w:spacing w:line="276" w:lineRule="auto"/>
              <w:jc w:val="center"/>
              <w:rPr>
                <w:rFonts w:ascii="Times New Roman" w:hAnsi="Times New Roman"/>
                <w:sz w:val="22"/>
                <w:szCs w:val="22"/>
              </w:rPr>
            </w:pPr>
            <w:r>
              <w:rPr>
                <w:rFonts w:ascii="Times New Roman" w:hAnsi="Times New Roman"/>
                <w:color w:val="000000"/>
                <w:sz w:val="20"/>
                <w:szCs w:val="20"/>
              </w:rPr>
              <w:t>$5,</w:t>
            </w:r>
            <w:r w:rsidR="00AE2652">
              <w:rPr>
                <w:rFonts w:ascii="Times New Roman" w:hAnsi="Times New Roman"/>
                <w:color w:val="000000"/>
                <w:sz w:val="20"/>
                <w:szCs w:val="20"/>
              </w:rPr>
              <w:t>646.62</w:t>
            </w:r>
          </w:p>
        </w:tc>
      </w:tr>
      <w:tr w:rsidRPr="00E60FB0" w:rsidR="0098245A" w:rsidTr="00F3152A" w14:paraId="0C100F01" w14:textId="77777777">
        <w:tc>
          <w:tcPr>
            <w:tcW w:w="1551" w:type="dxa"/>
            <w:vAlign w:val="center"/>
          </w:tcPr>
          <w:p w:rsidR="0098245A" w:rsidP="0098245A" w:rsidRDefault="0098245A" w14:paraId="1D2BB2E1" w14:textId="015ACFA2">
            <w:pPr>
              <w:spacing w:line="276" w:lineRule="auto"/>
              <w:rPr>
                <w:rFonts w:ascii="Times New Roman" w:hAnsi="Times New Roman"/>
                <w:sz w:val="22"/>
                <w:szCs w:val="22"/>
              </w:rPr>
            </w:pPr>
            <w:r>
              <w:rPr>
                <w:rFonts w:ascii="Times New Roman" w:hAnsi="Times New Roman"/>
                <w:color w:val="000000"/>
              </w:rPr>
              <w:t>ETA 218 for Federal-State EB Claimants</w:t>
            </w:r>
          </w:p>
        </w:tc>
        <w:tc>
          <w:tcPr>
            <w:tcW w:w="1415" w:type="dxa"/>
            <w:vAlign w:val="center"/>
          </w:tcPr>
          <w:p w:rsidR="0098245A" w:rsidP="0098245A" w:rsidRDefault="0098245A" w14:paraId="307A27A6" w14:textId="13DC223E">
            <w:pPr>
              <w:spacing w:line="276" w:lineRule="auto"/>
              <w:jc w:val="center"/>
              <w:rPr>
                <w:rFonts w:ascii="Times New Roman" w:hAnsi="Times New Roman"/>
                <w:sz w:val="22"/>
                <w:szCs w:val="22"/>
              </w:rPr>
            </w:pPr>
            <w:r>
              <w:rPr>
                <w:rFonts w:ascii="Times New Roman" w:hAnsi="Times New Roman"/>
                <w:color w:val="000000"/>
                <w:sz w:val="20"/>
                <w:szCs w:val="20"/>
              </w:rPr>
              <w:t>2</w:t>
            </w:r>
          </w:p>
        </w:tc>
        <w:tc>
          <w:tcPr>
            <w:tcW w:w="1329" w:type="dxa"/>
            <w:vAlign w:val="center"/>
          </w:tcPr>
          <w:p w:rsidR="0098245A" w:rsidP="0098245A" w:rsidRDefault="0098245A" w14:paraId="594FD0D6" w14:textId="7F1A5453">
            <w:pPr>
              <w:spacing w:line="276" w:lineRule="auto"/>
              <w:jc w:val="center"/>
              <w:rPr>
                <w:rFonts w:ascii="Times New Roman" w:hAnsi="Times New Roman"/>
                <w:sz w:val="22"/>
                <w:szCs w:val="22"/>
              </w:rPr>
            </w:pPr>
            <w:r>
              <w:rPr>
                <w:rFonts w:ascii="Times New Roman" w:hAnsi="Times New Roman"/>
                <w:color w:val="000000"/>
                <w:sz w:val="20"/>
                <w:szCs w:val="20"/>
              </w:rPr>
              <w:t>2</w:t>
            </w:r>
          </w:p>
        </w:tc>
        <w:tc>
          <w:tcPr>
            <w:tcW w:w="1182" w:type="dxa"/>
            <w:vAlign w:val="center"/>
          </w:tcPr>
          <w:p w:rsidRPr="00E60FB0" w:rsidR="0098245A" w:rsidP="0098245A" w:rsidRDefault="0098245A" w14:paraId="660B9129" w14:textId="3021FB83">
            <w:pPr>
              <w:spacing w:line="276" w:lineRule="auto"/>
              <w:jc w:val="center"/>
              <w:rPr>
                <w:rFonts w:ascii="Times New Roman" w:hAnsi="Times New Roman"/>
                <w:sz w:val="22"/>
                <w:szCs w:val="22"/>
              </w:rPr>
            </w:pPr>
            <w:r>
              <w:rPr>
                <w:rFonts w:ascii="Times New Roman" w:hAnsi="Times New Roman"/>
                <w:color w:val="000000"/>
                <w:sz w:val="20"/>
                <w:szCs w:val="20"/>
              </w:rPr>
              <w:t>4</w:t>
            </w:r>
          </w:p>
        </w:tc>
        <w:tc>
          <w:tcPr>
            <w:tcW w:w="1003" w:type="dxa"/>
            <w:vAlign w:val="center"/>
          </w:tcPr>
          <w:p w:rsidRPr="00E60FB0" w:rsidR="0098245A" w:rsidP="0098245A" w:rsidRDefault="0098245A" w14:paraId="64CCAF8E" w14:textId="22BA9C7F">
            <w:pPr>
              <w:spacing w:line="276" w:lineRule="auto"/>
              <w:jc w:val="center"/>
              <w:rPr>
                <w:rFonts w:ascii="Times New Roman" w:hAnsi="Times New Roman"/>
                <w:sz w:val="22"/>
                <w:szCs w:val="22"/>
              </w:rPr>
            </w:pPr>
            <w:r>
              <w:rPr>
                <w:rFonts w:ascii="Times New Roman" w:hAnsi="Times New Roman"/>
                <w:color w:val="000000"/>
                <w:sz w:val="20"/>
                <w:szCs w:val="20"/>
              </w:rPr>
              <w:t>.5</w:t>
            </w:r>
          </w:p>
        </w:tc>
        <w:tc>
          <w:tcPr>
            <w:tcW w:w="951" w:type="dxa"/>
            <w:vAlign w:val="center"/>
          </w:tcPr>
          <w:p w:rsidRPr="00E60FB0" w:rsidR="0098245A" w:rsidP="0098245A" w:rsidRDefault="0098245A" w14:paraId="1B77B660" w14:textId="6C1267AF">
            <w:pPr>
              <w:spacing w:line="276" w:lineRule="auto"/>
              <w:jc w:val="center"/>
              <w:rPr>
                <w:rFonts w:ascii="Times New Roman" w:hAnsi="Times New Roman"/>
                <w:sz w:val="22"/>
                <w:szCs w:val="22"/>
              </w:rPr>
            </w:pPr>
            <w:r>
              <w:rPr>
                <w:rFonts w:ascii="Times New Roman" w:hAnsi="Times New Roman"/>
                <w:color w:val="000000"/>
                <w:sz w:val="20"/>
                <w:szCs w:val="20"/>
              </w:rPr>
              <w:t>2</w:t>
            </w:r>
          </w:p>
        </w:tc>
        <w:tc>
          <w:tcPr>
            <w:tcW w:w="890" w:type="dxa"/>
            <w:vAlign w:val="center"/>
          </w:tcPr>
          <w:p w:rsidRPr="00E60FB0" w:rsidR="0098245A" w:rsidP="0098245A" w:rsidRDefault="0098245A" w14:paraId="5A9C47E8" w14:textId="67AEFDBB">
            <w:pPr>
              <w:spacing w:line="276" w:lineRule="auto"/>
              <w:jc w:val="center"/>
              <w:rPr>
                <w:rFonts w:ascii="Times New Roman" w:hAnsi="Times New Roman"/>
                <w:sz w:val="22"/>
                <w:szCs w:val="22"/>
              </w:rPr>
            </w:pPr>
            <w:r>
              <w:rPr>
                <w:rFonts w:ascii="Times New Roman" w:hAnsi="Times New Roman"/>
                <w:color w:val="000000"/>
                <w:sz w:val="20"/>
                <w:szCs w:val="20"/>
              </w:rPr>
              <w:t>$</w:t>
            </w:r>
            <w:r w:rsidR="00AE2652">
              <w:rPr>
                <w:rFonts w:ascii="Times New Roman" w:hAnsi="Times New Roman"/>
                <w:color w:val="000000"/>
                <w:sz w:val="20"/>
                <w:szCs w:val="20"/>
              </w:rPr>
              <w:t>53.27</w:t>
            </w:r>
          </w:p>
        </w:tc>
        <w:tc>
          <w:tcPr>
            <w:tcW w:w="1484" w:type="dxa"/>
            <w:vAlign w:val="center"/>
          </w:tcPr>
          <w:p w:rsidRPr="00E60FB0" w:rsidR="0098245A" w:rsidP="0098245A" w:rsidRDefault="0098245A" w14:paraId="387F709D" w14:textId="223FCB30">
            <w:pPr>
              <w:spacing w:line="276" w:lineRule="auto"/>
              <w:jc w:val="center"/>
              <w:rPr>
                <w:rFonts w:ascii="Times New Roman" w:hAnsi="Times New Roman"/>
                <w:sz w:val="22"/>
                <w:szCs w:val="22"/>
              </w:rPr>
            </w:pPr>
            <w:r>
              <w:rPr>
                <w:rFonts w:ascii="Times New Roman" w:hAnsi="Times New Roman"/>
                <w:color w:val="000000"/>
                <w:sz w:val="20"/>
                <w:szCs w:val="20"/>
              </w:rPr>
              <w:t>$</w:t>
            </w:r>
            <w:r w:rsidR="00AE2652">
              <w:rPr>
                <w:rFonts w:ascii="Times New Roman" w:hAnsi="Times New Roman"/>
                <w:color w:val="000000"/>
                <w:sz w:val="20"/>
                <w:szCs w:val="20"/>
              </w:rPr>
              <w:t>106.54</w:t>
            </w:r>
          </w:p>
        </w:tc>
      </w:tr>
      <w:tr w:rsidRPr="00E60FB0" w:rsidR="00AE2652" w:rsidTr="00F3152A" w14:paraId="5CABE086" w14:textId="77777777">
        <w:tc>
          <w:tcPr>
            <w:tcW w:w="1551" w:type="dxa"/>
            <w:vAlign w:val="center"/>
          </w:tcPr>
          <w:p w:rsidR="00AE2652" w:rsidP="00AE2652" w:rsidRDefault="00AE2652" w14:paraId="5FB20901" w14:textId="3A41B4A7">
            <w:pPr>
              <w:spacing w:line="276" w:lineRule="auto"/>
              <w:rPr>
                <w:rFonts w:ascii="Times New Roman" w:hAnsi="Times New Roman"/>
                <w:color w:val="000000"/>
              </w:rPr>
            </w:pPr>
            <w:r w:rsidRPr="00CC1882">
              <w:rPr>
                <w:rFonts w:ascii="Times New Roman" w:hAnsi="Times New Roman"/>
                <w:b/>
                <w:i/>
                <w:color w:val="000000"/>
              </w:rPr>
              <w:t>Unduplicated Totals</w:t>
            </w:r>
          </w:p>
        </w:tc>
        <w:tc>
          <w:tcPr>
            <w:tcW w:w="1415" w:type="dxa"/>
            <w:vAlign w:val="center"/>
          </w:tcPr>
          <w:p w:rsidR="00AE2652" w:rsidP="00AE2652" w:rsidRDefault="002715E4" w14:paraId="4C1058D5" w14:textId="463CED09">
            <w:pPr>
              <w:spacing w:line="276" w:lineRule="auto"/>
              <w:jc w:val="center"/>
              <w:rPr>
                <w:rFonts w:ascii="Times New Roman" w:hAnsi="Times New Roman"/>
                <w:color w:val="000000"/>
                <w:sz w:val="20"/>
                <w:szCs w:val="20"/>
              </w:rPr>
            </w:pPr>
            <w:r>
              <w:rPr>
                <w:rFonts w:ascii="Times New Roman" w:hAnsi="Times New Roman"/>
                <w:color w:val="000000"/>
                <w:sz w:val="20"/>
                <w:szCs w:val="20"/>
              </w:rPr>
              <w:t>55</w:t>
            </w:r>
          </w:p>
        </w:tc>
        <w:tc>
          <w:tcPr>
            <w:tcW w:w="1329" w:type="dxa"/>
            <w:vAlign w:val="center"/>
          </w:tcPr>
          <w:p w:rsidR="00AE2652" w:rsidP="00AE2652" w:rsidRDefault="00AE2652" w14:paraId="2A2CCBAE" w14:textId="05BC3347">
            <w:pPr>
              <w:spacing w:line="276" w:lineRule="auto"/>
              <w:jc w:val="center"/>
              <w:rPr>
                <w:rFonts w:ascii="Times New Roman" w:hAnsi="Times New Roman"/>
                <w:color w:val="000000"/>
                <w:sz w:val="20"/>
                <w:szCs w:val="20"/>
              </w:rPr>
            </w:pPr>
            <w:r w:rsidRPr="00CC1882">
              <w:rPr>
                <w:rFonts w:ascii="Times New Roman" w:hAnsi="Times New Roman"/>
                <w:b/>
                <w:bCs/>
                <w:i/>
                <w:color w:val="000000"/>
                <w:sz w:val="20"/>
                <w:szCs w:val="20"/>
              </w:rPr>
              <w:t>///////////////</w:t>
            </w:r>
          </w:p>
        </w:tc>
        <w:tc>
          <w:tcPr>
            <w:tcW w:w="1182" w:type="dxa"/>
            <w:vAlign w:val="center"/>
          </w:tcPr>
          <w:p w:rsidR="00AE2652" w:rsidP="00AE2652" w:rsidRDefault="00AE2652" w14:paraId="138EA60F" w14:textId="2007DEA5">
            <w:pPr>
              <w:spacing w:line="276" w:lineRule="auto"/>
              <w:jc w:val="center"/>
              <w:rPr>
                <w:rFonts w:ascii="Times New Roman" w:hAnsi="Times New Roman"/>
                <w:color w:val="000000"/>
                <w:sz w:val="20"/>
                <w:szCs w:val="20"/>
              </w:rPr>
            </w:pPr>
            <w:r>
              <w:rPr>
                <w:rFonts w:ascii="Times New Roman" w:hAnsi="Times New Roman"/>
                <w:b/>
                <w:bCs/>
                <w:i/>
                <w:color w:val="000000"/>
                <w:sz w:val="20"/>
                <w:szCs w:val="20"/>
              </w:rPr>
              <w:t>216</w:t>
            </w:r>
          </w:p>
        </w:tc>
        <w:tc>
          <w:tcPr>
            <w:tcW w:w="1003" w:type="dxa"/>
            <w:vAlign w:val="center"/>
          </w:tcPr>
          <w:p w:rsidR="00AE2652" w:rsidP="00AE2652" w:rsidRDefault="00AE2652" w14:paraId="62854ABD" w14:textId="68F52E17">
            <w:pPr>
              <w:spacing w:line="276" w:lineRule="auto"/>
              <w:jc w:val="center"/>
              <w:rPr>
                <w:rFonts w:ascii="Times New Roman" w:hAnsi="Times New Roman"/>
                <w:color w:val="000000"/>
                <w:sz w:val="20"/>
                <w:szCs w:val="20"/>
              </w:rPr>
            </w:pPr>
            <w:r w:rsidRPr="00CC1882">
              <w:rPr>
                <w:rFonts w:ascii="Times New Roman" w:hAnsi="Times New Roman"/>
                <w:b/>
                <w:bCs/>
                <w:i/>
                <w:color w:val="000000"/>
                <w:sz w:val="20"/>
                <w:szCs w:val="20"/>
              </w:rPr>
              <w:t>/////////////</w:t>
            </w:r>
          </w:p>
        </w:tc>
        <w:tc>
          <w:tcPr>
            <w:tcW w:w="951" w:type="dxa"/>
            <w:vAlign w:val="center"/>
          </w:tcPr>
          <w:p w:rsidR="00AE2652" w:rsidP="00AE2652" w:rsidRDefault="00AE2652" w14:paraId="2E9124D4" w14:textId="20F61381">
            <w:pPr>
              <w:spacing w:line="276" w:lineRule="auto"/>
              <w:jc w:val="center"/>
              <w:rPr>
                <w:rFonts w:ascii="Times New Roman" w:hAnsi="Times New Roman"/>
                <w:color w:val="000000"/>
                <w:sz w:val="20"/>
                <w:szCs w:val="20"/>
              </w:rPr>
            </w:pPr>
            <w:r>
              <w:rPr>
                <w:rFonts w:ascii="Times New Roman" w:hAnsi="Times New Roman"/>
                <w:b/>
                <w:bCs/>
                <w:i/>
                <w:color w:val="000000"/>
                <w:sz w:val="20"/>
                <w:szCs w:val="20"/>
              </w:rPr>
              <w:t>108</w:t>
            </w:r>
          </w:p>
        </w:tc>
        <w:tc>
          <w:tcPr>
            <w:tcW w:w="890" w:type="dxa"/>
            <w:vAlign w:val="center"/>
          </w:tcPr>
          <w:p w:rsidR="00AE2652" w:rsidP="00AE2652" w:rsidRDefault="00AE2652" w14:paraId="113EAFA3" w14:textId="77777777">
            <w:pPr>
              <w:spacing w:line="276" w:lineRule="auto"/>
              <w:jc w:val="center"/>
              <w:rPr>
                <w:rFonts w:ascii="Times New Roman" w:hAnsi="Times New Roman"/>
                <w:color w:val="000000"/>
                <w:sz w:val="20"/>
                <w:szCs w:val="20"/>
              </w:rPr>
            </w:pPr>
          </w:p>
        </w:tc>
        <w:tc>
          <w:tcPr>
            <w:tcW w:w="1484" w:type="dxa"/>
            <w:vAlign w:val="center"/>
          </w:tcPr>
          <w:p w:rsidR="00AE2652" w:rsidP="00AE2652" w:rsidRDefault="00AE2652" w14:paraId="2CE4B2CB" w14:textId="3ED90F9B">
            <w:pPr>
              <w:spacing w:line="276" w:lineRule="auto"/>
              <w:jc w:val="center"/>
              <w:rPr>
                <w:rFonts w:ascii="Times New Roman" w:hAnsi="Times New Roman"/>
                <w:color w:val="000000"/>
                <w:sz w:val="20"/>
                <w:szCs w:val="20"/>
              </w:rPr>
            </w:pPr>
            <w:r>
              <w:rPr>
                <w:rFonts w:ascii="Times New Roman" w:hAnsi="Times New Roman"/>
                <w:b/>
                <w:i/>
                <w:color w:val="000000"/>
                <w:sz w:val="20"/>
                <w:szCs w:val="20"/>
              </w:rPr>
              <w:t xml:space="preserve">    $</w:t>
            </w:r>
            <w:r w:rsidRPr="00CC1882">
              <w:rPr>
                <w:rFonts w:ascii="Times New Roman" w:hAnsi="Times New Roman"/>
                <w:b/>
                <w:i/>
                <w:color w:val="000000"/>
                <w:sz w:val="20"/>
                <w:szCs w:val="20"/>
              </w:rPr>
              <w:t xml:space="preserve"> </w:t>
            </w:r>
            <w:r>
              <w:rPr>
                <w:rFonts w:ascii="Times New Roman" w:hAnsi="Times New Roman"/>
                <w:b/>
                <w:i/>
                <w:color w:val="000000"/>
                <w:sz w:val="20"/>
                <w:szCs w:val="20"/>
              </w:rPr>
              <w:t>5,</w:t>
            </w:r>
            <w:r w:rsidR="00F3152A">
              <w:rPr>
                <w:rFonts w:ascii="Times New Roman" w:hAnsi="Times New Roman"/>
                <w:b/>
                <w:i/>
                <w:color w:val="000000"/>
                <w:sz w:val="20"/>
                <w:szCs w:val="20"/>
              </w:rPr>
              <w:t>753.16</w:t>
            </w:r>
          </w:p>
        </w:tc>
      </w:tr>
    </w:tbl>
    <w:p w:rsidRPr="00AE2652" w:rsidR="00AE2652" w:rsidP="00AE2652" w:rsidRDefault="00AE2652" w14:paraId="29F0C35D" w14:textId="77777777">
      <w:pPr>
        <w:widowControl/>
        <w:autoSpaceDE/>
        <w:autoSpaceDN/>
        <w:adjustRightInd/>
        <w:spacing w:after="200"/>
        <w:contextualSpacing/>
        <w:rPr>
          <w:rFonts w:ascii="Calibri" w:hAnsi="Calibri" w:eastAsia="Calibri"/>
          <w:sz w:val="22"/>
          <w:szCs w:val="22"/>
        </w:rPr>
      </w:pPr>
      <w:r w:rsidRPr="00AE2652">
        <w:rPr>
          <w:rFonts w:ascii="Calibri" w:hAnsi="Calibri" w:eastAsia="Calibri"/>
          <w:sz w:val="22"/>
          <w:szCs w:val="22"/>
        </w:rPr>
        <w:t xml:space="preserve">*Source: The hourly rate is computed by dividing the FY 2022 national average PS/PB annual salary for state staff as provided for through the distribution of state UI administrative grants </w:t>
      </w:r>
    </w:p>
    <w:p w:rsidRPr="00AE2652" w:rsidR="00AE2652" w:rsidP="00AE2652" w:rsidRDefault="00AE2652" w14:paraId="14837DEF" w14:textId="77777777">
      <w:pPr>
        <w:widowControl/>
        <w:autoSpaceDE/>
        <w:autoSpaceDN/>
        <w:adjustRightInd/>
        <w:spacing w:after="200"/>
        <w:contextualSpacing/>
        <w:rPr>
          <w:rFonts w:ascii="Calibri" w:hAnsi="Calibri" w:eastAsia="Calibri"/>
          <w:sz w:val="22"/>
          <w:szCs w:val="22"/>
        </w:rPr>
      </w:pPr>
      <w:r w:rsidRPr="00AE2652">
        <w:rPr>
          <w:rFonts w:ascii="Calibri" w:hAnsi="Calibri" w:eastAsia="Calibri"/>
          <w:sz w:val="22"/>
          <w:szCs w:val="22"/>
        </w:rPr>
        <w:t>(</w:t>
      </w:r>
      <w:r w:rsidRPr="00AE2652">
        <w:rPr>
          <w:rFonts w:ascii="Calibri" w:hAnsi="Calibri" w:eastAsia="Calibri"/>
          <w:color w:val="0000FF"/>
          <w:sz w:val="22"/>
          <w:szCs w:val="22"/>
          <w:u w:val="single"/>
        </w:rPr>
        <w:t>https://wdr.doleta.gov/directives/corr_doc.cfm?DOCN=6102)</w:t>
      </w:r>
      <w:r w:rsidRPr="00AE2652">
        <w:rPr>
          <w:rFonts w:ascii="Calibri" w:hAnsi="Calibri" w:eastAsia="Calibri"/>
          <w:sz w:val="22"/>
          <w:szCs w:val="22"/>
        </w:rPr>
        <w:t>by the average number of hours worked in a year (1,711).  For FY 2022, this calculation is:  $91,144 / 1,711= $53.27.</w:t>
      </w:r>
    </w:p>
    <w:p w:rsidRPr="00A47DA7" w:rsidR="006626FF" w:rsidP="00690F56" w:rsidRDefault="006626FF"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If cost estimates are expected to vary widely, agencies should present ranges of cost burdens and explain the reasons for the variance.  The cost of purchasing or </w:t>
      </w:r>
      <w:r w:rsidRPr="00D53DEB">
        <w:rPr>
          <w:rFonts w:ascii="Times New Roman" w:hAnsi="Times New Roman"/>
          <w:b/>
        </w:rPr>
        <w:lastRenderedPageBreak/>
        <w:t>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F3152A" w14:paraId="726D62FC" w14:textId="091C05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3152A">
        <w:rPr>
          <w:rFonts w:ascii="Times New Roman" w:hAnsi="Times New Roman"/>
        </w:rPr>
        <w:t xml:space="preserve">There are no other costs involved other than </w:t>
      </w:r>
      <w:r w:rsidR="00B3085F">
        <w:rPr>
          <w:rFonts w:ascii="Times New Roman" w:hAnsi="Times New Roman"/>
        </w:rPr>
        <w:t>the monetized value of the time burden</w:t>
      </w:r>
      <w:r w:rsidRPr="00F3152A" w:rsidR="00B3085F">
        <w:rPr>
          <w:rFonts w:ascii="Times New Roman" w:hAnsi="Times New Roman"/>
        </w:rPr>
        <w:t xml:space="preserve"> </w:t>
      </w:r>
      <w:r w:rsidRPr="00F3152A">
        <w:rPr>
          <w:rFonts w:ascii="Times New Roman" w:hAnsi="Times New Roman"/>
        </w:rPr>
        <w:t>mentioned in item 12.</w:t>
      </w:r>
    </w:p>
    <w:p w:rsidRPr="00F4518C" w:rsidR="00F3152A" w:rsidP="00690F56" w:rsidRDefault="00F3152A" w14:paraId="2E2380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697B43F9" w14:textId="76A2C42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3B421D" w:rsidP="00690F56" w:rsidRDefault="003B421D" w14:paraId="5D4C2A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707AEA" w:rsidR="00707AEA" w:rsidP="00707AEA" w:rsidRDefault="00707AEA" w14:paraId="1A0D6DED" w14:textId="77777777">
      <w:pPr>
        <w:widowControl/>
        <w:autoSpaceDE/>
        <w:autoSpaceDN/>
        <w:adjustRightInd/>
        <w:spacing w:after="160" w:line="259" w:lineRule="auto"/>
        <w:rPr>
          <w:rFonts w:ascii="Times New Roman" w:hAnsi="Times New Roman" w:eastAsia="Calibri"/>
        </w:rPr>
      </w:pPr>
      <w:r w:rsidRPr="00707AEA">
        <w:rPr>
          <w:rFonts w:ascii="Times New Roman" w:hAnsi="Times New Roman" w:eastAsia="Calibri"/>
        </w:rPr>
        <w:t>Although no staff is required to process this report, ETA has budgeted $1,055,487.22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$35,182.91 ($1,055,487.22 system cost/30 information collections).</w:t>
      </w: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Pr="00F4518C" w:rsidR="00690F56" w:rsidP="00690F56" w:rsidRDefault="00690F56" w14:paraId="13EF01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270C7A" w14:paraId="5321AF4F" w14:textId="2B182F9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0C7A">
        <w:rPr>
          <w:rFonts w:ascii="Times New Roman" w:hAnsi="Times New Roman"/>
        </w:rPr>
        <w:t xml:space="preserve">No changes were made </w:t>
      </w:r>
      <w:r w:rsidR="00A558D9">
        <w:rPr>
          <w:rFonts w:ascii="Times New Roman" w:hAnsi="Times New Roman"/>
        </w:rPr>
        <w:t xml:space="preserve">to the information collection or </w:t>
      </w:r>
      <w:r w:rsidRPr="00270C7A">
        <w:rPr>
          <w:rFonts w:ascii="Times New Roman" w:hAnsi="Times New Roman"/>
        </w:rPr>
        <w:t xml:space="preserve">the burden </w:t>
      </w:r>
      <w:r w:rsidR="005B33BB">
        <w:rPr>
          <w:rFonts w:ascii="Times New Roman" w:hAnsi="Times New Roman"/>
        </w:rPr>
        <w:t>estimates</w:t>
      </w:r>
      <w:r w:rsidRPr="00270C7A" w:rsidR="005B33BB">
        <w:rPr>
          <w:rFonts w:ascii="Times New Roman" w:hAnsi="Times New Roman"/>
        </w:rPr>
        <w:t xml:space="preserve"> </w:t>
      </w:r>
      <w:r w:rsidRPr="00270C7A">
        <w:rPr>
          <w:rFonts w:ascii="Times New Roman" w:hAnsi="Times New Roman"/>
        </w:rPr>
        <w:t>for this collection.</w:t>
      </w:r>
    </w:p>
    <w:p w:rsidRPr="00F4518C" w:rsidR="00270C7A" w:rsidP="00690F56" w:rsidRDefault="00270C7A" w14:paraId="1151F2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14:paraId="510180C3" w14:textId="16302AD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270C7A" w:rsidP="00690F56" w:rsidRDefault="00270C7A" w14:paraId="50E8F2B8" w14:textId="3A56335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0C7A">
        <w:rPr>
          <w:rFonts w:ascii="Times New Roman" w:hAnsi="Times New Roman"/>
        </w:rPr>
        <w:t>The data collected on the ETA 218 describing monetary determinations, as well as potential and actual duration for claimants, are published as a complete quarterly series as part of the UI program’s online “Data Downloads” offerings.  Additionally, the data are published in the annual ET Handbook 394, Unemployment Insurance Financial Data, summed over the four quarters of the calendar year</w:t>
      </w:r>
      <w:r w:rsidR="00760705">
        <w:rPr>
          <w:rFonts w:ascii="Times New Roman" w:hAnsi="Times New Roman"/>
        </w:rPr>
        <w:t>, and are used to develop certain metrics presented in other annual UI reports</w:t>
      </w:r>
      <w:r w:rsidRPr="00270C7A">
        <w:rPr>
          <w:rFonts w:ascii="Times New Roman" w:hAnsi="Times New Roman"/>
        </w:rPr>
        <w:t>.</w:t>
      </w:r>
    </w:p>
    <w:p w:rsidRPr="00871CA6" w:rsidR="00690F56" w:rsidP="00690F56" w:rsidRDefault="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lastRenderedPageBreak/>
        <w:t>17.  If seeking approval to not display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rsidRDefault="00270C7A" w14:paraId="3D60B41E" w14:textId="5F99469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0C7A">
        <w:rPr>
          <w:rFonts w:ascii="Times New Roman" w:hAnsi="Times New Roman"/>
        </w:rPr>
        <w:t>ETA displays the OMB control number and expiration date on the ETA 218 hard copy form as well as on the electronic input form.  A menu option has also been incorporated into the UI electronic reporting system, which provides access to a complete listing of OMB control numbers, and expiration dates for all required reports, including the ETA 218.  In addition, ETA will disseminate OMB control number and expiration date information for this report through an ETA Directive shortly after OMB action.</w:t>
      </w:r>
    </w:p>
    <w:p w:rsidRPr="00A973AA" w:rsidR="00270C7A" w:rsidP="00690F56" w:rsidRDefault="00270C7A" w14:paraId="1634EA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rsidRDefault="000C3A92" w14:paraId="641E1E6D" w14:textId="2C26AEF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270C7A" w:rsidP="000C3A92" w:rsidRDefault="00270C7A" w14:paraId="6312B84E" w14:textId="0E9DF53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70C7A">
        <w:rPr>
          <w:rFonts w:ascii="Times New Roman" w:hAnsi="Times New Roman"/>
        </w:rPr>
        <w:t>There are no exceptions.</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270C7A" w14:paraId="3E8CBCDA" w14:textId="74F515CD">
      <w:pPr>
        <w:rPr>
          <w:rFonts w:ascii="Times New Roman" w:hAnsi="Times New Roman"/>
        </w:rPr>
      </w:pPr>
      <w:r w:rsidRPr="00270C7A">
        <w:rPr>
          <w:rFonts w:ascii="Times New Roman" w:hAnsi="Times New Roman"/>
        </w:rPr>
        <w:t>This collection does not employ statistical methods.</w:t>
      </w:r>
    </w:p>
    <w:sectPr w:rsidRPr="00D53DEB" w:rsidR="00332F98" w:rsidSect="00C07F7F">
      <w:headerReference w:type="default" r:id="rId8"/>
      <w:footerReference w:type="even" r:id="rId9"/>
      <w:footerReference w:type="default" r:id="rId10"/>
      <w:headerReference w:type="first" r:id="rId11"/>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786B" w14:textId="77777777" w:rsidR="00FA3D8C" w:rsidRDefault="00FA3D8C">
      <w:r>
        <w:separator/>
      </w:r>
    </w:p>
  </w:endnote>
  <w:endnote w:type="continuationSeparator" w:id="0">
    <w:p w14:paraId="7F85FADB" w14:textId="77777777" w:rsidR="00FA3D8C" w:rsidRDefault="00FA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287B8B1E"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8A76" w14:textId="77777777" w:rsidR="00FA3D8C" w:rsidRDefault="00FA3D8C">
      <w:r>
        <w:separator/>
      </w:r>
    </w:p>
  </w:footnote>
  <w:footnote w:type="continuationSeparator" w:id="0">
    <w:p w14:paraId="611BA0DC" w14:textId="77777777" w:rsidR="00FA3D8C" w:rsidRDefault="00FA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7277" w14:textId="7872B281" w:rsidR="006626FF" w:rsidRPr="006626FF" w:rsidRDefault="004427A5" w:rsidP="00F8164B">
    <w:pPr>
      <w:pStyle w:val="Header"/>
      <w:rPr>
        <w:rFonts w:ascii="Times New Roman" w:hAnsi="Times New Roman"/>
        <w:bCs/>
        <w:sz w:val="20"/>
        <w:szCs w:val="20"/>
      </w:rPr>
    </w:pPr>
    <w:r>
      <w:rPr>
        <w:rFonts w:ascii="Times New Roman" w:hAnsi="Times New Roman"/>
        <w:bCs/>
        <w:sz w:val="20"/>
        <w:szCs w:val="20"/>
      </w:rPr>
      <w:t>Benefit Right and Experience Report</w:t>
    </w:r>
  </w:p>
  <w:p w14:paraId="52F50703" w14:textId="20155928"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4427A5">
      <w:rPr>
        <w:rFonts w:ascii="Times New Roman" w:hAnsi="Times New Roman"/>
        <w:sz w:val="20"/>
        <w:szCs w:val="20"/>
      </w:rPr>
      <w:t>1205-0177</w:t>
    </w:r>
  </w:p>
  <w:p w14:paraId="1D1AD862" w14:textId="546923FD"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FF115D">
      <w:rPr>
        <w:rFonts w:ascii="Times New Roman" w:hAnsi="Times New Roman"/>
        <w:sz w:val="20"/>
        <w:szCs w:val="20"/>
      </w:rPr>
      <w:t>September 30,2022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4889146">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0830274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120762636">
    <w:abstractNumId w:val="3"/>
  </w:num>
  <w:num w:numId="4" w16cid:durableId="1052314618">
    <w:abstractNumId w:val="8"/>
  </w:num>
  <w:num w:numId="5" w16cid:durableId="285232784">
    <w:abstractNumId w:val="2"/>
  </w:num>
  <w:num w:numId="6" w16cid:durableId="840042464">
    <w:abstractNumId w:val="4"/>
  </w:num>
  <w:num w:numId="7" w16cid:durableId="601841001">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239484633">
    <w:abstractNumId w:val="10"/>
  </w:num>
  <w:num w:numId="9" w16cid:durableId="459957036">
    <w:abstractNumId w:val="1"/>
  </w:num>
  <w:num w:numId="10" w16cid:durableId="1512916935">
    <w:abstractNumId w:val="9"/>
  </w:num>
  <w:num w:numId="11" w16cid:durableId="1162890307">
    <w:abstractNumId w:val="6"/>
  </w:num>
  <w:num w:numId="12" w16cid:durableId="1054812062">
    <w:abstractNumId w:val="7"/>
  </w:num>
  <w:num w:numId="13" w16cid:durableId="1856919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101D"/>
    <w:rsid w:val="000D7F95"/>
    <w:rsid w:val="000E1C64"/>
    <w:rsid w:val="000E67D8"/>
    <w:rsid w:val="000F6836"/>
    <w:rsid w:val="00101BD5"/>
    <w:rsid w:val="001040D4"/>
    <w:rsid w:val="001078BB"/>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0C7A"/>
    <w:rsid w:val="002715E4"/>
    <w:rsid w:val="00273D58"/>
    <w:rsid w:val="00277C1F"/>
    <w:rsid w:val="002866AD"/>
    <w:rsid w:val="00286BE3"/>
    <w:rsid w:val="0029135D"/>
    <w:rsid w:val="00292951"/>
    <w:rsid w:val="00293CD1"/>
    <w:rsid w:val="002A3962"/>
    <w:rsid w:val="002A5972"/>
    <w:rsid w:val="002E238B"/>
    <w:rsid w:val="002E4200"/>
    <w:rsid w:val="00304132"/>
    <w:rsid w:val="00312124"/>
    <w:rsid w:val="00313820"/>
    <w:rsid w:val="0032649A"/>
    <w:rsid w:val="00332F98"/>
    <w:rsid w:val="003430A6"/>
    <w:rsid w:val="003448FC"/>
    <w:rsid w:val="003548D8"/>
    <w:rsid w:val="00363CC2"/>
    <w:rsid w:val="00371EEC"/>
    <w:rsid w:val="003876F3"/>
    <w:rsid w:val="00390426"/>
    <w:rsid w:val="00394AEB"/>
    <w:rsid w:val="003A6353"/>
    <w:rsid w:val="003B421D"/>
    <w:rsid w:val="003C13C6"/>
    <w:rsid w:val="003C2B7B"/>
    <w:rsid w:val="003D5958"/>
    <w:rsid w:val="003D6AC7"/>
    <w:rsid w:val="003E49A6"/>
    <w:rsid w:val="003E5E34"/>
    <w:rsid w:val="003F53FB"/>
    <w:rsid w:val="00400B4D"/>
    <w:rsid w:val="00401F18"/>
    <w:rsid w:val="004056B7"/>
    <w:rsid w:val="00410AC8"/>
    <w:rsid w:val="00414664"/>
    <w:rsid w:val="004427A5"/>
    <w:rsid w:val="00443460"/>
    <w:rsid w:val="0044773C"/>
    <w:rsid w:val="004672B5"/>
    <w:rsid w:val="004844D1"/>
    <w:rsid w:val="0048559D"/>
    <w:rsid w:val="00494A93"/>
    <w:rsid w:val="00494D75"/>
    <w:rsid w:val="004A1763"/>
    <w:rsid w:val="004B1E83"/>
    <w:rsid w:val="004C3C3A"/>
    <w:rsid w:val="004D1C78"/>
    <w:rsid w:val="004D441E"/>
    <w:rsid w:val="004D46D1"/>
    <w:rsid w:val="004E1D9E"/>
    <w:rsid w:val="00506DBF"/>
    <w:rsid w:val="005164DC"/>
    <w:rsid w:val="00530EBD"/>
    <w:rsid w:val="00567912"/>
    <w:rsid w:val="00567A91"/>
    <w:rsid w:val="00570098"/>
    <w:rsid w:val="005805E7"/>
    <w:rsid w:val="00583F5D"/>
    <w:rsid w:val="0058424C"/>
    <w:rsid w:val="00584F8D"/>
    <w:rsid w:val="005A0350"/>
    <w:rsid w:val="005B33BB"/>
    <w:rsid w:val="005B5990"/>
    <w:rsid w:val="005C6147"/>
    <w:rsid w:val="005D5F8C"/>
    <w:rsid w:val="005D6C70"/>
    <w:rsid w:val="005E5148"/>
    <w:rsid w:val="005E52BB"/>
    <w:rsid w:val="0060114B"/>
    <w:rsid w:val="00611DE2"/>
    <w:rsid w:val="006227B3"/>
    <w:rsid w:val="00642220"/>
    <w:rsid w:val="00652ED1"/>
    <w:rsid w:val="006626FF"/>
    <w:rsid w:val="006650A8"/>
    <w:rsid w:val="0067772C"/>
    <w:rsid w:val="00685435"/>
    <w:rsid w:val="00690F56"/>
    <w:rsid w:val="006A4637"/>
    <w:rsid w:val="006C39F8"/>
    <w:rsid w:val="006D21A5"/>
    <w:rsid w:val="006E1A08"/>
    <w:rsid w:val="006F66F9"/>
    <w:rsid w:val="006F6E13"/>
    <w:rsid w:val="007010C5"/>
    <w:rsid w:val="007011F1"/>
    <w:rsid w:val="00707AEA"/>
    <w:rsid w:val="007127A1"/>
    <w:rsid w:val="00713ACE"/>
    <w:rsid w:val="00715F82"/>
    <w:rsid w:val="0071749C"/>
    <w:rsid w:val="007412B6"/>
    <w:rsid w:val="00760705"/>
    <w:rsid w:val="007636EC"/>
    <w:rsid w:val="00767D37"/>
    <w:rsid w:val="00774503"/>
    <w:rsid w:val="00775809"/>
    <w:rsid w:val="00777CD2"/>
    <w:rsid w:val="0078038F"/>
    <w:rsid w:val="00785FE9"/>
    <w:rsid w:val="00786E04"/>
    <w:rsid w:val="007A7F79"/>
    <w:rsid w:val="007D46C2"/>
    <w:rsid w:val="007E07D3"/>
    <w:rsid w:val="007F459B"/>
    <w:rsid w:val="008043E5"/>
    <w:rsid w:val="00804A1A"/>
    <w:rsid w:val="0081073D"/>
    <w:rsid w:val="00825508"/>
    <w:rsid w:val="008323ED"/>
    <w:rsid w:val="00835955"/>
    <w:rsid w:val="00846701"/>
    <w:rsid w:val="008624D5"/>
    <w:rsid w:val="00871CA6"/>
    <w:rsid w:val="00882AB5"/>
    <w:rsid w:val="00882B1D"/>
    <w:rsid w:val="0088672C"/>
    <w:rsid w:val="00890877"/>
    <w:rsid w:val="008A1DCB"/>
    <w:rsid w:val="008A1F0C"/>
    <w:rsid w:val="008A40D1"/>
    <w:rsid w:val="008B541B"/>
    <w:rsid w:val="008C299C"/>
    <w:rsid w:val="008D33F9"/>
    <w:rsid w:val="00901003"/>
    <w:rsid w:val="0090158E"/>
    <w:rsid w:val="00901EF6"/>
    <w:rsid w:val="0090413E"/>
    <w:rsid w:val="009271B1"/>
    <w:rsid w:val="00932D1F"/>
    <w:rsid w:val="009441E2"/>
    <w:rsid w:val="00963680"/>
    <w:rsid w:val="00964D3F"/>
    <w:rsid w:val="009700D9"/>
    <w:rsid w:val="0098245A"/>
    <w:rsid w:val="00985C15"/>
    <w:rsid w:val="009A6DCA"/>
    <w:rsid w:val="009B00FD"/>
    <w:rsid w:val="009B38D1"/>
    <w:rsid w:val="009B4116"/>
    <w:rsid w:val="009C2A10"/>
    <w:rsid w:val="009D1EA2"/>
    <w:rsid w:val="009E0141"/>
    <w:rsid w:val="009E234B"/>
    <w:rsid w:val="009F52F3"/>
    <w:rsid w:val="00A10441"/>
    <w:rsid w:val="00A15094"/>
    <w:rsid w:val="00A21F98"/>
    <w:rsid w:val="00A41C21"/>
    <w:rsid w:val="00A47DA7"/>
    <w:rsid w:val="00A5298C"/>
    <w:rsid w:val="00A52DE7"/>
    <w:rsid w:val="00A55023"/>
    <w:rsid w:val="00A558D9"/>
    <w:rsid w:val="00A56B86"/>
    <w:rsid w:val="00A632EF"/>
    <w:rsid w:val="00A677E9"/>
    <w:rsid w:val="00A740AB"/>
    <w:rsid w:val="00A834BF"/>
    <w:rsid w:val="00A90769"/>
    <w:rsid w:val="00A973AA"/>
    <w:rsid w:val="00AA177A"/>
    <w:rsid w:val="00AB4DC3"/>
    <w:rsid w:val="00AC775D"/>
    <w:rsid w:val="00AD022F"/>
    <w:rsid w:val="00AD75AC"/>
    <w:rsid w:val="00AE2652"/>
    <w:rsid w:val="00AE676F"/>
    <w:rsid w:val="00AF2C11"/>
    <w:rsid w:val="00AF3788"/>
    <w:rsid w:val="00AF5262"/>
    <w:rsid w:val="00AF7928"/>
    <w:rsid w:val="00B3085F"/>
    <w:rsid w:val="00B35DAD"/>
    <w:rsid w:val="00B47443"/>
    <w:rsid w:val="00B5377A"/>
    <w:rsid w:val="00B6181C"/>
    <w:rsid w:val="00B66231"/>
    <w:rsid w:val="00B70751"/>
    <w:rsid w:val="00BA6C9C"/>
    <w:rsid w:val="00BB3BEF"/>
    <w:rsid w:val="00BD34F2"/>
    <w:rsid w:val="00BF2B35"/>
    <w:rsid w:val="00C02744"/>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CF70F9"/>
    <w:rsid w:val="00D05EAB"/>
    <w:rsid w:val="00D2331B"/>
    <w:rsid w:val="00D36BB6"/>
    <w:rsid w:val="00D53DEB"/>
    <w:rsid w:val="00D57DE8"/>
    <w:rsid w:val="00D73AAD"/>
    <w:rsid w:val="00D75842"/>
    <w:rsid w:val="00D85D94"/>
    <w:rsid w:val="00D86FF7"/>
    <w:rsid w:val="00DA34DB"/>
    <w:rsid w:val="00DB7B7C"/>
    <w:rsid w:val="00DC5070"/>
    <w:rsid w:val="00DD6DF0"/>
    <w:rsid w:val="00DF785F"/>
    <w:rsid w:val="00E0031C"/>
    <w:rsid w:val="00E0138A"/>
    <w:rsid w:val="00E06430"/>
    <w:rsid w:val="00E22463"/>
    <w:rsid w:val="00E23871"/>
    <w:rsid w:val="00E322E9"/>
    <w:rsid w:val="00E400EA"/>
    <w:rsid w:val="00E46EE5"/>
    <w:rsid w:val="00E57F5E"/>
    <w:rsid w:val="00E60FB0"/>
    <w:rsid w:val="00E614A1"/>
    <w:rsid w:val="00E700AD"/>
    <w:rsid w:val="00E74ABD"/>
    <w:rsid w:val="00E83023"/>
    <w:rsid w:val="00E833E4"/>
    <w:rsid w:val="00E92EED"/>
    <w:rsid w:val="00E93A0F"/>
    <w:rsid w:val="00E97F94"/>
    <w:rsid w:val="00EA3E66"/>
    <w:rsid w:val="00EC0B43"/>
    <w:rsid w:val="00F11AA8"/>
    <w:rsid w:val="00F24787"/>
    <w:rsid w:val="00F27223"/>
    <w:rsid w:val="00F3152A"/>
    <w:rsid w:val="00F3623C"/>
    <w:rsid w:val="00F41116"/>
    <w:rsid w:val="00F44D20"/>
    <w:rsid w:val="00F4518C"/>
    <w:rsid w:val="00F4529D"/>
    <w:rsid w:val="00F53F09"/>
    <w:rsid w:val="00F56B20"/>
    <w:rsid w:val="00F6219B"/>
    <w:rsid w:val="00F64E0B"/>
    <w:rsid w:val="00F72D66"/>
    <w:rsid w:val="00F8164B"/>
    <w:rsid w:val="00F935EE"/>
    <w:rsid w:val="00F939A4"/>
    <w:rsid w:val="00FA3D8C"/>
    <w:rsid w:val="00FB587F"/>
    <w:rsid w:val="00FD70D6"/>
    <w:rsid w:val="00FF115D"/>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2396</Words>
  <Characters>13420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15785</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Blumenthal, Mara - OASAM OCIO</cp:lastModifiedBy>
  <cp:revision>3</cp:revision>
  <cp:lastPrinted>2020-02-19T15:46:00Z</cp:lastPrinted>
  <dcterms:created xsi:type="dcterms:W3CDTF">2022-07-15T15:35:00Z</dcterms:created>
  <dcterms:modified xsi:type="dcterms:W3CDTF">2022-07-15T15:35:00Z</dcterms:modified>
</cp:coreProperties>
</file>