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3CA" w:rsidRDefault="00F023CA" w14:paraId="35DEBFA7" w14:textId="77777777">
      <w:pPr>
        <w:jc w:val="center"/>
      </w:pPr>
      <w:r>
        <w:t>Supporting Statement</w:t>
      </w:r>
    </w:p>
    <w:p w:rsidR="00655D1A" w:rsidRDefault="00655D1A" w14:paraId="3D6B3BDD" w14:textId="79E6E622">
      <w:pPr>
        <w:jc w:val="center"/>
      </w:pPr>
      <w:r>
        <w:t>Internal Revenue Service</w:t>
      </w:r>
      <w:r w:rsidR="0073403A">
        <w:t xml:space="preserve"> (IRS)</w:t>
      </w:r>
    </w:p>
    <w:p w:rsidR="00F023CA" w:rsidRDefault="00AE4F09" w14:paraId="55E47117" w14:textId="1EF4FD61">
      <w:pPr>
        <w:jc w:val="center"/>
      </w:pPr>
      <w:r>
        <w:t>Form 706-CE</w:t>
      </w:r>
      <w:r w:rsidR="0073403A">
        <w:t xml:space="preserve">, </w:t>
      </w:r>
      <w:r w:rsidRPr="0073403A" w:rsidR="0073403A">
        <w:t>Certificate of Payment of Foreign Death Tax</w:t>
      </w:r>
    </w:p>
    <w:p w:rsidR="005A076E" w:rsidRDefault="00AE4F09" w14:paraId="37D35719" w14:textId="1984CBBD">
      <w:pPr>
        <w:jc w:val="center"/>
      </w:pPr>
      <w:r>
        <w:t xml:space="preserve">OMB </w:t>
      </w:r>
      <w:r w:rsidR="0073403A">
        <w:t>#</w:t>
      </w:r>
      <w:r>
        <w:t xml:space="preserve"> </w:t>
      </w:r>
      <w:r w:rsidR="005A076E">
        <w:t>1545-0260</w:t>
      </w:r>
    </w:p>
    <w:p w:rsidR="00F023CA" w:rsidRDefault="00F023CA" w14:paraId="41C12875" w14:textId="77777777">
      <w:pPr>
        <w:jc w:val="center"/>
      </w:pPr>
    </w:p>
    <w:p w:rsidR="00F023CA" w:rsidRDefault="00F023CA" w14:paraId="2A39EA32" w14:textId="77777777">
      <w:pPr>
        <w:jc w:val="both"/>
      </w:pPr>
    </w:p>
    <w:p w:rsidR="00F023CA" w:rsidP="000A5FF8" w:rsidRDefault="00F023CA" w14:paraId="0ADA43E7" w14:textId="77777777">
      <w:pPr>
        <w:pStyle w:val="Heading1"/>
      </w:pPr>
      <w:r w:rsidRPr="000A5FF8">
        <w:t>CIRCUMSTANCES NECESSITATING COLLECTION OF INFORMATION</w:t>
      </w:r>
    </w:p>
    <w:p w:rsidR="00F023CA" w:rsidRDefault="00F023CA" w14:paraId="726BB02F" w14:textId="77777777">
      <w:pPr>
        <w:jc w:val="both"/>
      </w:pPr>
    </w:p>
    <w:p w:rsidR="00F023CA" w:rsidP="00655D1A" w:rsidRDefault="00F644C4" w14:paraId="2852EEEA" w14:textId="60AFE4C9">
      <w:pPr>
        <w:ind w:left="720" w:right="-1080"/>
        <w:jc w:val="both"/>
      </w:pPr>
      <w:r>
        <w:t xml:space="preserve">The Internal Revenue </w:t>
      </w:r>
      <w:r w:rsidR="00F023CA">
        <w:t>Code</w:t>
      </w:r>
      <w:r>
        <w:t xml:space="preserve"> (IRC)</w:t>
      </w:r>
      <w:r w:rsidR="00F023CA">
        <w:t xml:space="preserve"> section 2014 allows a credit against Federal estate taxes for foreign death taxes actually paid, subject to certain limitations. This credit is computed on Form 706, United States Estates (and Generation</w:t>
      </w:r>
      <w:r w:rsidR="00F023CA">
        <w:noBreakHyphen/>
        <w:t>Skipping Transfer) Tax Return</w:t>
      </w:r>
      <w:r w:rsidR="00F95B33">
        <w:t>, which is approved under OMB Control Number 1545-</w:t>
      </w:r>
      <w:r w:rsidR="009C771C">
        <w:t>0015</w:t>
      </w:r>
      <w:r w:rsidR="00F023CA">
        <w:t>.</w:t>
      </w:r>
      <w:r w:rsidR="007030A5">
        <w:t xml:space="preserve">  </w:t>
      </w:r>
      <w:r w:rsidR="00F95B33">
        <w:t xml:space="preserve"> Form 706-CE is used to verify the amount of foreign death taxes paid and the credit amount claimed on Form 706. </w:t>
      </w:r>
    </w:p>
    <w:p w:rsidR="00F023CA" w:rsidRDefault="00F023CA" w14:paraId="10A459F5" w14:textId="77777777">
      <w:pPr>
        <w:ind w:right="-1080"/>
        <w:jc w:val="both"/>
      </w:pPr>
    </w:p>
    <w:p w:rsidR="00F023CA" w:rsidP="000A5FF8" w:rsidRDefault="00F023CA" w14:paraId="0C1BC268" w14:textId="77777777">
      <w:pPr>
        <w:pStyle w:val="Heading1"/>
      </w:pPr>
      <w:r w:rsidRPr="000A5FF8">
        <w:t>USE OF DATA</w:t>
      </w:r>
    </w:p>
    <w:p w:rsidR="00F023CA" w:rsidRDefault="00F023CA" w14:paraId="1FFDBE50" w14:textId="77777777">
      <w:pPr>
        <w:ind w:right="-1080"/>
        <w:jc w:val="both"/>
      </w:pPr>
    </w:p>
    <w:p w:rsidR="00F023CA" w:rsidP="00655D1A" w:rsidRDefault="00F644C4" w14:paraId="647AD52F" w14:textId="553D654A">
      <w:pPr>
        <w:ind w:left="720" w:right="-1080"/>
        <w:jc w:val="both"/>
      </w:pPr>
      <w:r>
        <w:t xml:space="preserve">IRC </w:t>
      </w:r>
      <w:r w:rsidR="00F023CA">
        <w:t xml:space="preserve">section 2014(d) requires the taxpayer </w:t>
      </w:r>
      <w:r>
        <w:t>(</w:t>
      </w:r>
      <w:proofErr w:type="gramStart"/>
      <w:r>
        <w:t>i.e.</w:t>
      </w:r>
      <w:proofErr w:type="gramEnd"/>
      <w:r>
        <w:t xml:space="preserve"> the estate’s executor) </w:t>
      </w:r>
      <w:r w:rsidR="00F023CA">
        <w:t>to submit to the IRS proof of having actually paid th</w:t>
      </w:r>
      <w:r w:rsidR="00AE4F09">
        <w:t xml:space="preserve">e foreign death taxes. </w:t>
      </w:r>
      <w:r w:rsidR="0027307A">
        <w:t xml:space="preserve"> </w:t>
      </w:r>
      <w:r w:rsidR="00AE4F09">
        <w:t>Form 706-</w:t>
      </w:r>
      <w:r w:rsidR="00F023CA">
        <w:t>CE is used for this purpose.</w:t>
      </w:r>
    </w:p>
    <w:p w:rsidR="00F644C4" w:rsidP="00655D1A" w:rsidRDefault="00F644C4" w14:paraId="1D665B27" w14:textId="7AC3A415">
      <w:pPr>
        <w:ind w:left="720" w:right="-1080"/>
        <w:jc w:val="both"/>
      </w:pPr>
    </w:p>
    <w:p w:rsidR="00F644C4" w:rsidP="00655D1A" w:rsidRDefault="00F644C4" w14:paraId="3E7AAD52" w14:textId="2775F011">
      <w:pPr>
        <w:ind w:left="720" w:right="-1080"/>
        <w:jc w:val="both"/>
      </w:pPr>
      <w:r>
        <w:t>The executors are required to prepare three copies of the form.  They must keep a copy for their records</w:t>
      </w:r>
      <w:r w:rsidR="00DB0D3B">
        <w:t>;</w:t>
      </w:r>
      <w:r>
        <w:t xml:space="preserve"> and send the original and a copy to the foreign government to whom they paid death taxes.   The executor must ask the foreign government to certify the form and sent it to the Internal Revenue Service (IRS).  If the </w:t>
      </w:r>
      <w:r w:rsidR="00DB0D3B">
        <w:t xml:space="preserve">foreign government refuses to certify the form, the executor must send a copy to the IRS and attach a penalty of perjury statement that explains why the foreign government did not certify the form. </w:t>
      </w:r>
    </w:p>
    <w:p w:rsidR="00F023CA" w:rsidRDefault="00F023CA" w14:paraId="575148E9" w14:textId="77777777">
      <w:pPr>
        <w:ind w:right="-1080"/>
        <w:jc w:val="both"/>
      </w:pPr>
    </w:p>
    <w:p w:rsidR="00F023CA" w:rsidP="000A5FF8" w:rsidRDefault="008537F8" w14:paraId="6466EE81" w14:textId="77777777">
      <w:pPr>
        <w:pStyle w:val="Heading1"/>
      </w:pPr>
      <w:r>
        <w:t>USE OF IM</w:t>
      </w:r>
      <w:r w:rsidR="00F023CA">
        <w:t>PROVED INFORMATION TECHNOLOGY TO REDUCE BURDEN</w:t>
      </w:r>
    </w:p>
    <w:p w:rsidR="00F023CA" w:rsidRDefault="00F023CA" w14:paraId="5BD8BF3A" w14:textId="77777777">
      <w:pPr>
        <w:ind w:right="-1080"/>
        <w:jc w:val="both"/>
      </w:pPr>
    </w:p>
    <w:p w:rsidRPr="00702B07" w:rsidR="003A329F" w:rsidP="003A329F" w:rsidRDefault="003A329F" w14:paraId="60E04084" w14:textId="77777777">
      <w:pPr>
        <w:ind w:left="720" w:right="-72" w:hanging="18"/>
      </w:pPr>
      <w:r>
        <w:t>There is no plan to offer electronic filing for this collection due to the low volume of filers.</w:t>
      </w:r>
    </w:p>
    <w:p w:rsidR="0073403A" w:rsidP="0073403A" w:rsidRDefault="0073403A" w14:paraId="78EAAF61" w14:textId="5E571984">
      <w:pPr>
        <w:ind w:left="720"/>
      </w:pPr>
    </w:p>
    <w:p w:rsidR="00F023CA" w:rsidP="000A5FF8" w:rsidRDefault="00F023CA" w14:paraId="41610247" w14:textId="77777777">
      <w:pPr>
        <w:pStyle w:val="Heading1"/>
      </w:pPr>
      <w:r>
        <w:t>EFFORTS TO IDENTIFY DUPLICATION</w:t>
      </w:r>
    </w:p>
    <w:p w:rsidR="00F023CA" w:rsidRDefault="00F023CA" w14:paraId="41A12487" w14:textId="77777777">
      <w:pPr>
        <w:ind w:right="-1080"/>
        <w:jc w:val="both"/>
      </w:pPr>
    </w:p>
    <w:p w:rsidR="00F023CA" w:rsidP="00655D1A" w:rsidRDefault="00655D1A" w14:paraId="5E031480" w14:textId="77777777">
      <w:pPr>
        <w:ind w:left="720" w:right="-1080"/>
        <w:jc w:val="both"/>
      </w:pPr>
      <w:r w:rsidRPr="00655D1A">
        <w:t>The information obtained through this collection is unique and is not already available for use or adaptation from another source.</w:t>
      </w:r>
    </w:p>
    <w:p w:rsidR="00655D1A" w:rsidP="00655D1A" w:rsidRDefault="00655D1A" w14:paraId="37365AF3" w14:textId="77777777">
      <w:pPr>
        <w:ind w:left="720" w:right="-1080"/>
        <w:jc w:val="both"/>
      </w:pPr>
    </w:p>
    <w:p w:rsidR="00F023CA" w:rsidP="000A5FF8" w:rsidRDefault="00F023CA" w14:paraId="3B4BFE0F" w14:textId="77777777">
      <w:pPr>
        <w:pStyle w:val="Heading1"/>
      </w:pPr>
      <w:r>
        <w:t>METHODS TO MINIMIZE BURDEN ON SMALL BUSINESSES OR OTHER SMALL ENTITIES</w:t>
      </w:r>
    </w:p>
    <w:p w:rsidR="00F023CA" w:rsidRDefault="00F023CA" w14:paraId="6D5E60DC" w14:textId="77777777">
      <w:pPr>
        <w:ind w:right="-1080"/>
        <w:jc w:val="both"/>
      </w:pPr>
    </w:p>
    <w:p w:rsidR="00F023CA" w:rsidP="00655D1A" w:rsidRDefault="00655D1A" w14:paraId="58B6C8D6" w14:textId="77777777">
      <w:pPr>
        <w:ind w:left="720" w:right="-1080"/>
        <w:jc w:val="both"/>
      </w:pPr>
      <w:r w:rsidRPr="00655D1A">
        <w:t>The collection of information requirement will not have a significant economic impact on a substantial number of small entities.</w:t>
      </w:r>
    </w:p>
    <w:p w:rsidR="009647D2" w:rsidRDefault="009647D2" w14:paraId="4ED70C1A" w14:textId="28ACF9F6">
      <w:pPr>
        <w:ind w:right="-1080"/>
        <w:jc w:val="both"/>
      </w:pPr>
    </w:p>
    <w:p w:rsidR="00743AA2" w:rsidRDefault="00743AA2" w14:paraId="0EFE1E0C" w14:textId="45D3775E">
      <w:pPr>
        <w:ind w:right="-1080"/>
        <w:jc w:val="both"/>
      </w:pPr>
    </w:p>
    <w:p w:rsidR="00743AA2" w:rsidRDefault="00743AA2" w14:paraId="5C973626" w14:textId="30054A50">
      <w:pPr>
        <w:ind w:right="-1080"/>
        <w:jc w:val="both"/>
      </w:pPr>
    </w:p>
    <w:p w:rsidR="00743AA2" w:rsidRDefault="00743AA2" w14:paraId="5600B83A" w14:textId="74A868C0">
      <w:pPr>
        <w:ind w:right="-1080"/>
        <w:jc w:val="both"/>
      </w:pPr>
    </w:p>
    <w:p w:rsidR="00743AA2" w:rsidRDefault="00743AA2" w14:paraId="7BC78C3A" w14:textId="77777777">
      <w:pPr>
        <w:ind w:right="-1080"/>
        <w:jc w:val="both"/>
      </w:pPr>
    </w:p>
    <w:p w:rsidR="00F023CA" w:rsidP="000A5FF8" w:rsidRDefault="00F023CA" w14:paraId="7ABA5C2C" w14:textId="77777777">
      <w:pPr>
        <w:pStyle w:val="Heading1"/>
      </w:pPr>
      <w:r>
        <w:t>CONSEQUENCES OF LESS FREQUENT COLLECTION ON FEDERAL PROGRAMS OR POLICY ACTIVITIES</w:t>
      </w:r>
    </w:p>
    <w:p w:rsidR="00F023CA" w:rsidRDefault="00F023CA" w14:paraId="5A6EF4E6" w14:textId="77777777">
      <w:pPr>
        <w:ind w:right="-1080"/>
        <w:jc w:val="both"/>
      </w:pPr>
    </w:p>
    <w:p w:rsidR="009E69AC" w:rsidP="00D44DD2" w:rsidRDefault="00B27EA3" w14:paraId="668C2563" w14:textId="6586C245">
      <w:pPr>
        <w:ind w:left="720" w:right="-1080"/>
        <w:jc w:val="both"/>
      </w:pPr>
      <w:r w:rsidRPr="00B27EA3">
        <w:rPr>
          <w:bCs/>
        </w:rPr>
        <w:t xml:space="preserve">IRS uses the data from the form to </w:t>
      </w:r>
      <w:r>
        <w:rPr>
          <w:bCs/>
        </w:rPr>
        <w:t>allow a credit against Federal estate taxes for death taxes paid.</w:t>
      </w:r>
      <w:r w:rsidRPr="00B27EA3">
        <w:rPr>
          <w:bCs/>
        </w:rPr>
        <w:t xml:space="preserve"> If this information is not collected, or collected less frequently, the agency would not </w:t>
      </w:r>
      <w:r w:rsidR="00650E05">
        <w:rPr>
          <w:bCs/>
        </w:rPr>
        <w:t xml:space="preserve">accurately be aware of the foreign taxes actually paid </w:t>
      </w:r>
      <w:r w:rsidR="00D52CE7">
        <w:rPr>
          <w:bCs/>
        </w:rPr>
        <w:t>(</w:t>
      </w:r>
      <w:r w:rsidR="00650E05">
        <w:rPr>
          <w:bCs/>
        </w:rPr>
        <w:t>subject to certain limitations</w:t>
      </w:r>
      <w:r w:rsidR="00D52CE7">
        <w:rPr>
          <w:bCs/>
        </w:rPr>
        <w:t>)</w:t>
      </w:r>
      <w:r w:rsidR="00650E05">
        <w:rPr>
          <w:bCs/>
        </w:rPr>
        <w:t xml:space="preserve"> under </w:t>
      </w:r>
      <w:r w:rsidR="00DB0D3B">
        <w:rPr>
          <w:bCs/>
        </w:rPr>
        <w:t xml:space="preserve">IRC </w:t>
      </w:r>
      <w:r w:rsidR="00650E05">
        <w:rPr>
          <w:bCs/>
        </w:rPr>
        <w:t>section 2014.</w:t>
      </w:r>
    </w:p>
    <w:p w:rsidR="00D44DD2" w:rsidRDefault="00D44DD2" w14:paraId="5BB32DD5" w14:textId="77777777">
      <w:pPr>
        <w:ind w:right="-1080"/>
        <w:jc w:val="both"/>
      </w:pPr>
    </w:p>
    <w:p w:rsidR="00F023CA" w:rsidP="000A5FF8" w:rsidRDefault="00F023CA" w14:paraId="56A45136" w14:textId="77777777">
      <w:pPr>
        <w:pStyle w:val="Heading1"/>
      </w:pPr>
      <w:r>
        <w:t xml:space="preserve">SPECIAL CIRCUMSTANCES </w:t>
      </w:r>
      <w:r w:rsidR="00AE4F09">
        <w:t xml:space="preserve">REQUIRING DATA COLLECTION TO BE </w:t>
      </w:r>
      <w:r>
        <w:t>INCONSISTENT WITH GUIDELINES IN 5 CFR 1320.5(d</w:t>
      </w:r>
      <w:r w:rsidR="00923C0F">
        <w:t>)</w:t>
      </w:r>
      <w:r>
        <w:t>(2)</w:t>
      </w:r>
    </w:p>
    <w:p w:rsidR="00F023CA" w:rsidRDefault="00F023CA" w14:paraId="78CC7AA0" w14:textId="77777777">
      <w:pPr>
        <w:ind w:right="-1080"/>
        <w:jc w:val="both"/>
      </w:pPr>
    </w:p>
    <w:p w:rsidR="00F023CA" w:rsidP="00655D1A" w:rsidRDefault="00923C0F" w14:paraId="57894F8C" w14:textId="77777777">
      <w:pPr>
        <w:ind w:left="720" w:right="-1080"/>
        <w:jc w:val="both"/>
      </w:pPr>
      <w:r>
        <w:t>There are no special circumstances requiring data collection to be inconsistent with guidelines in CFR 1320.5(d)(2)</w:t>
      </w:r>
      <w:r w:rsidR="00F023CA">
        <w:t>.</w:t>
      </w:r>
    </w:p>
    <w:p w:rsidR="00F023CA" w:rsidRDefault="00F023CA" w14:paraId="49BD9EC7" w14:textId="77777777">
      <w:pPr>
        <w:ind w:right="-1080"/>
        <w:jc w:val="both"/>
      </w:pPr>
    </w:p>
    <w:p w:rsidR="00F023CA" w:rsidP="000A5FF8" w:rsidRDefault="00F023CA" w14:paraId="0A8107DF" w14:textId="0996BC6B">
      <w:pPr>
        <w:pStyle w:val="Heading1"/>
      </w:pPr>
      <w:r>
        <w:t xml:space="preserve">CONSULTATION WITH INDIVIDUALS OUTSIDE </w:t>
      </w:r>
      <w:r w:rsidR="00AE4F09">
        <w:t xml:space="preserve">OF THE AGENCY ON AVAILABILITY </w:t>
      </w:r>
      <w:r>
        <w:t>OF DATA, FREQUENCY OF COLLECTION, CLAR</w:t>
      </w:r>
      <w:r w:rsidR="00AE4F09">
        <w:t xml:space="preserve">ITY OF INSTRUCTIONS AND FORMS, </w:t>
      </w:r>
      <w:r>
        <w:t>AND DATA ELEMENTS</w:t>
      </w:r>
    </w:p>
    <w:p w:rsidR="00F023CA" w:rsidRDefault="00F023CA" w14:paraId="1317A5BE" w14:textId="77777777">
      <w:pPr>
        <w:ind w:right="-1080"/>
        <w:jc w:val="both"/>
      </w:pPr>
    </w:p>
    <w:p w:rsidR="00F023CA" w:rsidP="00655D1A" w:rsidRDefault="00F023CA" w14:paraId="0D3E388D" w14:textId="199787EC">
      <w:pPr>
        <w:ind w:left="720" w:right="-1080"/>
        <w:jc w:val="both"/>
      </w:pPr>
      <w:r>
        <w:t xml:space="preserve">In response to the Federal Register </w:t>
      </w:r>
      <w:r w:rsidR="0073403A">
        <w:t>n</w:t>
      </w:r>
      <w:r>
        <w:t>otice</w:t>
      </w:r>
      <w:r w:rsidR="00F64332">
        <w:t xml:space="preserve"> </w:t>
      </w:r>
      <w:r>
        <w:t>dated</w:t>
      </w:r>
      <w:r w:rsidR="00923C0F">
        <w:t xml:space="preserve"> </w:t>
      </w:r>
      <w:r w:rsidR="0073403A">
        <w:t>April 29, 2022 (87 FR 25567)</w:t>
      </w:r>
      <w:r w:rsidR="00192A94">
        <w:t>,</w:t>
      </w:r>
      <w:r w:rsidR="009E69AC">
        <w:t xml:space="preserve"> IRS </w:t>
      </w:r>
      <w:r>
        <w:t xml:space="preserve"> received no comments during the co</w:t>
      </w:r>
      <w:r w:rsidR="00AE4F09">
        <w:t>mment period regarding Form 706-</w:t>
      </w:r>
      <w:r>
        <w:t>CE.</w:t>
      </w:r>
    </w:p>
    <w:p w:rsidR="00F023CA" w:rsidRDefault="00F023CA" w14:paraId="270C3A7D" w14:textId="77777777">
      <w:pPr>
        <w:ind w:right="-1080"/>
        <w:jc w:val="both"/>
      </w:pPr>
    </w:p>
    <w:p w:rsidR="00F023CA" w:rsidP="000A5FF8" w:rsidRDefault="00F023CA" w14:paraId="1B2C88E8" w14:textId="77777777">
      <w:pPr>
        <w:pStyle w:val="Heading1"/>
      </w:pPr>
      <w:r>
        <w:t>EXPLANATION OF DECISION TO PROVIDE ANY PAYMENT OR GIFT TO RESPONDENTS</w:t>
      </w:r>
    </w:p>
    <w:p w:rsidR="00F023CA" w:rsidRDefault="00F023CA" w14:paraId="168CE84D" w14:textId="77777777">
      <w:pPr>
        <w:ind w:right="-1080"/>
        <w:jc w:val="both"/>
      </w:pPr>
    </w:p>
    <w:p w:rsidR="00F023CA" w:rsidP="00655D1A" w:rsidRDefault="00923C0F" w14:paraId="36B89868" w14:textId="483288B2">
      <w:pPr>
        <w:ind w:right="-1080" w:firstLine="720"/>
        <w:jc w:val="both"/>
      </w:pPr>
      <w:r>
        <w:t>No payment or gift has been provided to any respondents</w:t>
      </w:r>
      <w:r w:rsidR="00F023CA">
        <w:t>.</w:t>
      </w:r>
    </w:p>
    <w:p w:rsidR="00F023CA" w:rsidRDefault="00F023CA" w14:paraId="62BB9DBA" w14:textId="77777777">
      <w:pPr>
        <w:ind w:right="-1080"/>
        <w:jc w:val="both"/>
      </w:pPr>
    </w:p>
    <w:p w:rsidR="00F023CA" w:rsidP="000A5FF8" w:rsidRDefault="00F023CA" w14:paraId="529EE181" w14:textId="77777777">
      <w:pPr>
        <w:pStyle w:val="Heading1"/>
      </w:pPr>
      <w:r>
        <w:t>ASSURANCE OF CONFIDENTIALITY OF RESPONSES</w:t>
      </w:r>
    </w:p>
    <w:p w:rsidR="00F023CA" w:rsidRDefault="00F023CA" w14:paraId="343DF226" w14:textId="77777777">
      <w:pPr>
        <w:ind w:right="-1080"/>
        <w:jc w:val="both"/>
      </w:pPr>
    </w:p>
    <w:p w:rsidR="00D44DD2" w:rsidP="00655D1A" w:rsidRDefault="00F023CA" w14:paraId="79AF2553" w14:textId="77777777">
      <w:pPr>
        <w:ind w:right="-1080" w:firstLine="720"/>
        <w:jc w:val="both"/>
      </w:pPr>
      <w:r>
        <w:t xml:space="preserve">Generally, tax returns and tax return information are confidential as required by </w:t>
      </w:r>
    </w:p>
    <w:p w:rsidR="00F023CA" w:rsidP="00655D1A" w:rsidRDefault="00F023CA" w14:paraId="477F5EF1" w14:textId="03F218D4">
      <w:pPr>
        <w:ind w:right="-1080" w:firstLine="720"/>
        <w:jc w:val="both"/>
      </w:pPr>
      <w:r>
        <w:t>26 USC 6103.</w:t>
      </w:r>
    </w:p>
    <w:p w:rsidR="00F023CA" w:rsidRDefault="00F023CA" w14:paraId="7C6A13CC" w14:textId="77777777">
      <w:pPr>
        <w:ind w:right="-1080"/>
        <w:jc w:val="both"/>
      </w:pPr>
    </w:p>
    <w:p w:rsidR="00F023CA" w:rsidP="000A5FF8" w:rsidRDefault="00F023CA" w14:paraId="0C86678F" w14:textId="77777777">
      <w:pPr>
        <w:pStyle w:val="Heading1"/>
      </w:pPr>
      <w:r>
        <w:t>JUSTIFICATION OF SENSITIVE QUESTIONS</w:t>
      </w:r>
    </w:p>
    <w:p w:rsidR="00F023CA" w:rsidRDefault="00F023CA" w14:paraId="1B3F8289" w14:textId="77777777">
      <w:pPr>
        <w:ind w:right="-1080"/>
        <w:jc w:val="both"/>
      </w:pPr>
    </w:p>
    <w:p w:rsidR="009647D2" w:rsidP="009647D2" w:rsidRDefault="003227E9" w14:paraId="380CBBAB" w14:textId="7A33ABB6">
      <w:pPr>
        <w:widowControl/>
        <w:ind w:left="720"/>
        <w:jc w:val="both"/>
      </w:pPr>
      <w: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w:t>
      </w:r>
      <w:r w:rsidR="00655D1A">
        <w:t xml:space="preserve">The Internal Revenue Service PIA’s can be found at  </w:t>
      </w:r>
      <w:hyperlink w:history="1" r:id="rId5">
        <w:r w:rsidRPr="009647D2" w:rsidR="009647D2">
          <w:rPr>
            <w:rStyle w:val="Hyperlink"/>
          </w:rPr>
          <w:t>https://www.irs.gov/privacy-disclosure/privacy-impact-assessments-pia</w:t>
        </w:r>
      </w:hyperlink>
      <w:r w:rsidRPr="009647D2" w:rsidR="009647D2">
        <w:t>.</w:t>
      </w:r>
    </w:p>
    <w:p w:rsidR="003738F7" w:rsidP="009647D2" w:rsidRDefault="003738F7" w14:paraId="2B4F68D8" w14:textId="2075E689">
      <w:pPr>
        <w:widowControl/>
        <w:ind w:left="720"/>
        <w:jc w:val="both"/>
      </w:pPr>
    </w:p>
    <w:p w:rsidR="00655D1A" w:rsidP="00655D1A" w:rsidRDefault="00655D1A" w14:paraId="2A9DC70A" w14:textId="6EA4EF3A">
      <w:pPr>
        <w:ind w:left="720" w:right="-1080"/>
        <w:jc w:val="both"/>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47D2" w:rsidP="00655D1A" w:rsidRDefault="009647D2" w14:paraId="487A7F7A" w14:textId="77777777">
      <w:pPr>
        <w:ind w:left="720" w:right="-1080"/>
        <w:jc w:val="both"/>
      </w:pPr>
    </w:p>
    <w:p w:rsidR="00655D1A" w:rsidP="00655D1A" w:rsidRDefault="00655D1A" w14:paraId="01E9A1DA" w14:textId="77777777">
      <w:pPr>
        <w:ind w:left="720" w:right="-1080"/>
        <w:jc w:val="both"/>
      </w:pPr>
    </w:p>
    <w:p w:rsidR="00655D1A" w:rsidP="00655D1A" w:rsidRDefault="00655D1A" w14:paraId="7AF2EC27" w14:textId="77777777">
      <w:pPr>
        <w:ind w:left="720" w:right="-1080"/>
        <w:jc w:val="both"/>
      </w:pPr>
      <w:r>
        <w:t>This is an attachment to the Federal tax return.  The Privacy Act statement associated with this</w:t>
      </w:r>
      <w:r w:rsidRPr="00655D1A">
        <w:t xml:space="preserve"> Form is listed in the Federal tax return instructions.</w:t>
      </w:r>
    </w:p>
    <w:p w:rsidR="0073403A" w:rsidP="00655D1A" w:rsidRDefault="0073403A" w14:paraId="227E305E" w14:textId="77777777">
      <w:pPr>
        <w:ind w:left="720" w:right="-1080"/>
        <w:jc w:val="both"/>
      </w:pPr>
    </w:p>
    <w:p w:rsidRPr="0040528D" w:rsidR="0073403A" w:rsidP="0073403A" w:rsidRDefault="0073403A" w14:paraId="27992506" w14:textId="32ABC85A">
      <w:pPr>
        <w:pStyle w:val="Heading1"/>
      </w:pPr>
      <w:r w:rsidRPr="0040528D">
        <w:t>ESTIMATED BURDEN OF INFORMATION COLLECTION</w:t>
      </w:r>
    </w:p>
    <w:p w:rsidRPr="0040528D" w:rsidR="0073403A" w:rsidP="0073403A" w:rsidRDefault="0073403A" w14:paraId="392E197E" w14:textId="77777777">
      <w:pPr>
        <w:widowControl/>
        <w:tabs>
          <w:tab w:val="left" w:pos="540"/>
        </w:tabs>
        <w:spacing w:line="242" w:lineRule="auto"/>
        <w:ind w:left="540" w:hanging="540"/>
        <w:rPr>
          <w:bCs/>
        </w:rPr>
      </w:pPr>
    </w:p>
    <w:p w:rsidRPr="0040528D" w:rsidR="0073403A" w:rsidP="0073403A" w:rsidRDefault="00D44DD2" w14:paraId="3894C719" w14:textId="08EDCFB9">
      <w:pPr>
        <w:pStyle w:val="PlainText"/>
        <w:ind w:left="540"/>
        <w:outlineLvl w:val="0"/>
        <w:rPr>
          <w:rStyle w:val="documentbody1"/>
          <w:rFonts w:ascii="Times New Roman" w:hAnsi="Times New Roman" w:cs="Times New Roman"/>
          <w:color w:val="000000"/>
          <w:sz w:val="24"/>
          <w:szCs w:val="24"/>
        </w:rPr>
      </w:pPr>
      <w:r>
        <w:rPr>
          <w:rStyle w:val="documentbody1"/>
          <w:rFonts w:ascii="Times New Roman" w:hAnsi="Times New Roman" w:cs="Times New Roman"/>
          <w:color w:val="000000"/>
          <w:sz w:val="24"/>
          <w:szCs w:val="24"/>
        </w:rPr>
        <w:t xml:space="preserve">   </w:t>
      </w:r>
      <w:r w:rsidRPr="0040528D" w:rsidR="0073403A">
        <w:rPr>
          <w:rStyle w:val="documentbody1"/>
          <w:rFonts w:ascii="Times New Roman" w:hAnsi="Times New Roman" w:cs="Times New Roman"/>
          <w:color w:val="000000"/>
          <w:sz w:val="24"/>
          <w:szCs w:val="24"/>
        </w:rPr>
        <w:t>The burden estimate is as follows:</w:t>
      </w:r>
    </w:p>
    <w:p w:rsidRPr="0073403A" w:rsidR="0073403A" w:rsidP="0073403A" w:rsidRDefault="0073403A" w14:paraId="72046D62" w14:textId="77777777"/>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3"/>
        <w:gridCol w:w="1748"/>
        <w:gridCol w:w="1166"/>
        <w:gridCol w:w="1151"/>
        <w:gridCol w:w="1066"/>
        <w:gridCol w:w="1123"/>
        <w:gridCol w:w="1087"/>
      </w:tblGrid>
      <w:tr w:rsidRPr="00C94E69" w:rsidR="00655D1A" w:rsidTr="0073403A" w14:paraId="42C9CBB3" w14:textId="77777777">
        <w:tc>
          <w:tcPr>
            <w:tcW w:w="1593" w:type="dxa"/>
            <w:shd w:val="clear" w:color="auto" w:fill="auto"/>
            <w:vAlign w:val="bottom"/>
          </w:tcPr>
          <w:p w:rsidRPr="00C94E69" w:rsidR="00655D1A" w:rsidP="00DB57BB" w:rsidRDefault="00F023CA" w14:paraId="4E6DD62C" w14:textId="77777777">
            <w:pPr>
              <w:keepNext/>
              <w:keepLines/>
              <w:numPr>
                <w:ilvl w:val="12"/>
                <w:numId w:val="0"/>
              </w:numPr>
              <w:jc w:val="center"/>
              <w:rPr>
                <w:rFonts w:ascii="Arial Narrow" w:hAnsi="Arial Narrow"/>
                <w:b/>
                <w:sz w:val="18"/>
                <w:szCs w:val="18"/>
              </w:rPr>
            </w:pPr>
            <w:r>
              <w:tab/>
            </w:r>
            <w:r>
              <w:tab/>
            </w:r>
            <w:r>
              <w:tab/>
            </w:r>
            <w:r w:rsidRPr="00C94E69" w:rsidR="00655D1A">
              <w:rPr>
                <w:rFonts w:ascii="Arial Narrow" w:hAnsi="Arial Narrow"/>
                <w:b/>
                <w:sz w:val="18"/>
                <w:szCs w:val="18"/>
              </w:rPr>
              <w:t>Authority</w:t>
            </w:r>
          </w:p>
        </w:tc>
        <w:tc>
          <w:tcPr>
            <w:tcW w:w="1748" w:type="dxa"/>
            <w:vAlign w:val="bottom"/>
          </w:tcPr>
          <w:p w:rsidRPr="00C94E69" w:rsidR="00655D1A" w:rsidP="00DB57BB" w:rsidRDefault="00655D1A" w14:paraId="66BE43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66" w:type="dxa"/>
            <w:vAlign w:val="bottom"/>
          </w:tcPr>
          <w:p w:rsidRPr="00C94E69" w:rsidR="00655D1A" w:rsidP="00DB57BB" w:rsidRDefault="00655D1A" w14:paraId="2C2321F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51" w:type="dxa"/>
            <w:vAlign w:val="bottom"/>
          </w:tcPr>
          <w:p w:rsidRPr="00C94E69" w:rsidR="00655D1A" w:rsidP="00DB57BB" w:rsidRDefault="00655D1A" w14:paraId="5ADA985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66" w:type="dxa"/>
            <w:shd w:val="clear" w:color="auto" w:fill="auto"/>
            <w:vAlign w:val="bottom"/>
          </w:tcPr>
          <w:p w:rsidRPr="00C94E69" w:rsidR="00655D1A" w:rsidP="00DB57BB" w:rsidRDefault="00655D1A" w14:paraId="0F12D70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23" w:type="dxa"/>
            <w:vAlign w:val="bottom"/>
          </w:tcPr>
          <w:p w:rsidRPr="00C94E69" w:rsidR="00655D1A" w:rsidP="00DB57BB" w:rsidRDefault="00655D1A" w14:paraId="60D04C2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087" w:type="dxa"/>
            <w:shd w:val="clear" w:color="auto" w:fill="auto"/>
            <w:vAlign w:val="bottom"/>
          </w:tcPr>
          <w:p w:rsidRPr="00C94E69" w:rsidR="00655D1A" w:rsidP="00DB57BB" w:rsidRDefault="00655D1A" w14:paraId="32069D3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55D1A" w:rsidTr="0073403A" w14:paraId="35A3BE08" w14:textId="77777777">
        <w:tc>
          <w:tcPr>
            <w:tcW w:w="1593" w:type="dxa"/>
            <w:shd w:val="clear" w:color="auto" w:fill="auto"/>
            <w:vAlign w:val="bottom"/>
          </w:tcPr>
          <w:p w:rsidRPr="00C94E69" w:rsidR="00655D1A" w:rsidP="00DB57BB" w:rsidRDefault="00E5174F" w14:paraId="52987CE0" w14:textId="7777777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2014</w:t>
            </w:r>
          </w:p>
        </w:tc>
        <w:tc>
          <w:tcPr>
            <w:tcW w:w="1748" w:type="dxa"/>
            <w:vAlign w:val="bottom"/>
          </w:tcPr>
          <w:p w:rsidRPr="00C94E69" w:rsidR="00655D1A" w:rsidP="00DB57BB" w:rsidRDefault="00655D1A" w14:paraId="3EFB77F7" w14:textId="77777777">
            <w:pPr>
              <w:keepNext/>
              <w:keepLines/>
              <w:numPr>
                <w:ilvl w:val="12"/>
                <w:numId w:val="0"/>
              </w:numPr>
              <w:jc w:val="center"/>
              <w:rPr>
                <w:rFonts w:ascii="Arial Narrow" w:hAnsi="Arial Narrow"/>
                <w:sz w:val="18"/>
                <w:szCs w:val="18"/>
              </w:rPr>
            </w:pPr>
            <w:r>
              <w:rPr>
                <w:rFonts w:ascii="Arial Narrow" w:hAnsi="Arial Narrow"/>
                <w:sz w:val="18"/>
                <w:szCs w:val="18"/>
              </w:rPr>
              <w:t>Form 706-CE</w:t>
            </w:r>
          </w:p>
        </w:tc>
        <w:tc>
          <w:tcPr>
            <w:tcW w:w="1166" w:type="dxa"/>
            <w:vAlign w:val="bottom"/>
          </w:tcPr>
          <w:p w:rsidRPr="00C94E69" w:rsidR="00655D1A" w:rsidP="00DB57BB" w:rsidRDefault="00655D1A" w14:paraId="5036095C" w14:textId="77777777">
            <w:pPr>
              <w:keepNext/>
              <w:keepLines/>
              <w:numPr>
                <w:ilvl w:val="12"/>
                <w:numId w:val="0"/>
              </w:numPr>
              <w:jc w:val="center"/>
              <w:rPr>
                <w:rFonts w:ascii="Arial Narrow" w:hAnsi="Arial Narrow"/>
                <w:sz w:val="18"/>
                <w:szCs w:val="18"/>
              </w:rPr>
            </w:pPr>
            <w:r>
              <w:rPr>
                <w:rFonts w:ascii="Arial Narrow" w:hAnsi="Arial Narrow"/>
                <w:sz w:val="18"/>
                <w:szCs w:val="18"/>
              </w:rPr>
              <w:t>2,250</w:t>
            </w:r>
          </w:p>
        </w:tc>
        <w:tc>
          <w:tcPr>
            <w:tcW w:w="1151" w:type="dxa"/>
            <w:vAlign w:val="bottom"/>
          </w:tcPr>
          <w:p w:rsidRPr="00C94E69" w:rsidR="00655D1A" w:rsidP="00DB57BB" w:rsidRDefault="00655D1A" w14:paraId="4411E4F7"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66" w:type="dxa"/>
            <w:shd w:val="clear" w:color="auto" w:fill="auto"/>
            <w:vAlign w:val="bottom"/>
          </w:tcPr>
          <w:p w:rsidRPr="00C94E69" w:rsidR="00655D1A" w:rsidP="00DB57BB" w:rsidRDefault="00655D1A" w14:paraId="7D89A9B3" w14:textId="77777777">
            <w:pPr>
              <w:keepNext/>
              <w:keepLines/>
              <w:numPr>
                <w:ilvl w:val="12"/>
                <w:numId w:val="0"/>
              </w:numPr>
              <w:jc w:val="center"/>
              <w:rPr>
                <w:rFonts w:ascii="Arial Narrow" w:hAnsi="Arial Narrow"/>
                <w:sz w:val="18"/>
                <w:szCs w:val="18"/>
              </w:rPr>
            </w:pPr>
            <w:r>
              <w:rPr>
                <w:rFonts w:ascii="Arial Narrow" w:hAnsi="Arial Narrow"/>
                <w:sz w:val="18"/>
                <w:szCs w:val="18"/>
              </w:rPr>
              <w:t>2,250</w:t>
            </w:r>
          </w:p>
        </w:tc>
        <w:tc>
          <w:tcPr>
            <w:tcW w:w="1123" w:type="dxa"/>
            <w:vAlign w:val="bottom"/>
          </w:tcPr>
          <w:p w:rsidRPr="00C94E69" w:rsidR="00655D1A" w:rsidP="00DB57BB" w:rsidRDefault="00E5174F" w14:paraId="25402D4B" w14:textId="77777777">
            <w:pPr>
              <w:keepNext/>
              <w:keepLines/>
              <w:numPr>
                <w:ilvl w:val="12"/>
                <w:numId w:val="0"/>
              </w:numPr>
              <w:jc w:val="center"/>
              <w:rPr>
                <w:rFonts w:ascii="Arial Narrow" w:hAnsi="Arial Narrow"/>
                <w:sz w:val="18"/>
                <w:szCs w:val="18"/>
              </w:rPr>
            </w:pPr>
            <w:r>
              <w:rPr>
                <w:rFonts w:ascii="Arial Narrow" w:hAnsi="Arial Narrow"/>
                <w:sz w:val="18"/>
                <w:szCs w:val="18"/>
              </w:rPr>
              <w:t>1.72</w:t>
            </w:r>
          </w:p>
        </w:tc>
        <w:tc>
          <w:tcPr>
            <w:tcW w:w="1087" w:type="dxa"/>
            <w:shd w:val="clear" w:color="auto" w:fill="auto"/>
            <w:vAlign w:val="bottom"/>
          </w:tcPr>
          <w:p w:rsidRPr="00C94E69" w:rsidR="00655D1A" w:rsidP="00DB57BB" w:rsidRDefault="00E5174F" w14:paraId="2A165410" w14:textId="77777777">
            <w:pPr>
              <w:keepNext/>
              <w:keepLines/>
              <w:numPr>
                <w:ilvl w:val="12"/>
                <w:numId w:val="0"/>
              </w:numPr>
              <w:jc w:val="center"/>
              <w:rPr>
                <w:rFonts w:ascii="Arial Narrow" w:hAnsi="Arial Narrow"/>
                <w:sz w:val="18"/>
                <w:szCs w:val="18"/>
              </w:rPr>
            </w:pPr>
            <w:r>
              <w:rPr>
                <w:rFonts w:ascii="Arial Narrow" w:hAnsi="Arial Narrow"/>
                <w:sz w:val="18"/>
                <w:szCs w:val="18"/>
              </w:rPr>
              <w:t>3,870</w:t>
            </w:r>
          </w:p>
        </w:tc>
      </w:tr>
      <w:tr w:rsidRPr="00C94E69" w:rsidR="00655D1A" w:rsidTr="0073403A" w14:paraId="71FB255A" w14:textId="77777777">
        <w:tc>
          <w:tcPr>
            <w:tcW w:w="1593" w:type="dxa"/>
            <w:shd w:val="clear" w:color="auto" w:fill="auto"/>
            <w:vAlign w:val="bottom"/>
          </w:tcPr>
          <w:p w:rsidRPr="00C94E69" w:rsidR="00655D1A" w:rsidP="00DB57BB" w:rsidRDefault="00655D1A" w14:paraId="65BE190A"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748" w:type="dxa"/>
            <w:vAlign w:val="bottom"/>
          </w:tcPr>
          <w:p w:rsidRPr="00C94E69" w:rsidR="00655D1A" w:rsidP="00DB57BB" w:rsidRDefault="00655D1A" w14:paraId="48D37032" w14:textId="77777777">
            <w:pPr>
              <w:keepNext/>
              <w:keepLines/>
              <w:numPr>
                <w:ilvl w:val="12"/>
                <w:numId w:val="0"/>
              </w:numPr>
              <w:jc w:val="center"/>
              <w:rPr>
                <w:rFonts w:ascii="Arial Narrow" w:hAnsi="Arial Narrow"/>
                <w:sz w:val="18"/>
                <w:szCs w:val="18"/>
              </w:rPr>
            </w:pPr>
          </w:p>
        </w:tc>
        <w:tc>
          <w:tcPr>
            <w:tcW w:w="1166" w:type="dxa"/>
            <w:vAlign w:val="bottom"/>
          </w:tcPr>
          <w:p w:rsidRPr="00C94E69" w:rsidR="00655D1A" w:rsidP="00DB57BB" w:rsidRDefault="00655D1A" w14:paraId="728406A7" w14:textId="77777777">
            <w:pPr>
              <w:keepNext/>
              <w:keepLines/>
              <w:numPr>
                <w:ilvl w:val="12"/>
                <w:numId w:val="0"/>
              </w:numPr>
              <w:jc w:val="center"/>
              <w:rPr>
                <w:rFonts w:ascii="Arial Narrow" w:hAnsi="Arial Narrow"/>
                <w:sz w:val="18"/>
                <w:szCs w:val="18"/>
              </w:rPr>
            </w:pPr>
          </w:p>
        </w:tc>
        <w:tc>
          <w:tcPr>
            <w:tcW w:w="1151" w:type="dxa"/>
            <w:vAlign w:val="bottom"/>
          </w:tcPr>
          <w:p w:rsidRPr="00C94E69" w:rsidR="00655D1A" w:rsidP="00DB57BB" w:rsidRDefault="00655D1A" w14:paraId="4E00225D" w14:textId="77777777">
            <w:pPr>
              <w:keepNext/>
              <w:keepLines/>
              <w:numPr>
                <w:ilvl w:val="12"/>
                <w:numId w:val="0"/>
              </w:numPr>
              <w:jc w:val="center"/>
              <w:rPr>
                <w:rFonts w:ascii="Arial Narrow" w:hAnsi="Arial Narrow"/>
                <w:sz w:val="18"/>
                <w:szCs w:val="18"/>
              </w:rPr>
            </w:pPr>
          </w:p>
        </w:tc>
        <w:tc>
          <w:tcPr>
            <w:tcW w:w="1066" w:type="dxa"/>
            <w:shd w:val="clear" w:color="auto" w:fill="auto"/>
            <w:vAlign w:val="bottom"/>
          </w:tcPr>
          <w:p w:rsidRPr="00C94E69" w:rsidR="00655D1A" w:rsidP="00DB57BB" w:rsidRDefault="00655D1A" w14:paraId="763320A0" w14:textId="77777777">
            <w:pPr>
              <w:keepNext/>
              <w:keepLines/>
              <w:numPr>
                <w:ilvl w:val="12"/>
                <w:numId w:val="0"/>
              </w:numPr>
              <w:jc w:val="center"/>
              <w:rPr>
                <w:rFonts w:ascii="Arial Narrow" w:hAnsi="Arial Narrow"/>
                <w:sz w:val="18"/>
                <w:szCs w:val="18"/>
              </w:rPr>
            </w:pPr>
          </w:p>
        </w:tc>
        <w:tc>
          <w:tcPr>
            <w:tcW w:w="1123" w:type="dxa"/>
            <w:vAlign w:val="bottom"/>
          </w:tcPr>
          <w:p w:rsidRPr="00C94E69" w:rsidR="00655D1A" w:rsidP="00DB57BB" w:rsidRDefault="00655D1A" w14:paraId="227787F9" w14:textId="77777777">
            <w:pPr>
              <w:keepNext/>
              <w:keepLines/>
              <w:numPr>
                <w:ilvl w:val="12"/>
                <w:numId w:val="0"/>
              </w:numPr>
              <w:jc w:val="center"/>
              <w:rPr>
                <w:rFonts w:ascii="Arial Narrow" w:hAnsi="Arial Narrow"/>
                <w:sz w:val="18"/>
                <w:szCs w:val="18"/>
              </w:rPr>
            </w:pPr>
          </w:p>
        </w:tc>
        <w:tc>
          <w:tcPr>
            <w:tcW w:w="1087" w:type="dxa"/>
            <w:shd w:val="clear" w:color="auto" w:fill="auto"/>
            <w:vAlign w:val="bottom"/>
          </w:tcPr>
          <w:p w:rsidRPr="00C94E69" w:rsidR="00655D1A" w:rsidP="00DB57BB" w:rsidRDefault="00655D1A" w14:paraId="5EA81A05" w14:textId="77777777">
            <w:pPr>
              <w:keepNext/>
              <w:keepLines/>
              <w:numPr>
                <w:ilvl w:val="12"/>
                <w:numId w:val="0"/>
              </w:numPr>
              <w:jc w:val="center"/>
              <w:rPr>
                <w:rFonts w:ascii="Arial Narrow" w:hAnsi="Arial Narrow"/>
                <w:sz w:val="18"/>
                <w:szCs w:val="18"/>
              </w:rPr>
            </w:pPr>
          </w:p>
        </w:tc>
      </w:tr>
    </w:tbl>
    <w:p w:rsidR="00655D1A" w:rsidRDefault="00655D1A" w14:paraId="4AD4F158" w14:textId="77777777">
      <w:pPr>
        <w:ind w:right="-1080"/>
        <w:jc w:val="both"/>
      </w:pPr>
    </w:p>
    <w:p w:rsidR="00F023CA" w:rsidP="00027D8F" w:rsidRDefault="00F023CA" w14:paraId="663B9C5A" w14:textId="6D50FAB8">
      <w:pPr>
        <w:pStyle w:val="Heading1"/>
      </w:pPr>
      <w:r>
        <w:t>ESTIMATED TOTAL ANNUAL COST BURDEN TO RESPONDENTS</w:t>
      </w:r>
    </w:p>
    <w:p w:rsidR="00F023CA" w:rsidRDefault="00F023CA" w14:paraId="17EA0B4E" w14:textId="77777777">
      <w:pPr>
        <w:ind w:right="-1080"/>
        <w:jc w:val="both"/>
      </w:pPr>
    </w:p>
    <w:p w:rsidR="00F023CA" w:rsidP="00D44DD2" w:rsidRDefault="00E5174F" w14:paraId="08C06450" w14:textId="30F673D1">
      <w:pPr>
        <w:ind w:left="720" w:right="-1080"/>
        <w:jc w:val="both"/>
      </w:pPr>
      <w:r w:rsidRPr="00E5174F">
        <w:t xml:space="preserve">To ensure more accuracy and consistency across its information collections, IRS is currently </w:t>
      </w:r>
      <w:r w:rsidR="00027D8F">
        <w:t xml:space="preserve">       </w:t>
      </w:r>
      <w:r w:rsidRPr="00E5174F">
        <w:t>in the</w:t>
      </w:r>
      <w:r w:rsidR="00027D8F">
        <w:t xml:space="preserve"> </w:t>
      </w:r>
      <w:r w:rsidRPr="00E5174F">
        <w:t xml:space="preserve">process of revising the methodology it uses to estimate burden and costs. Once this </w:t>
      </w:r>
      <w:r w:rsidR="00027D8F">
        <w:t xml:space="preserve">            </w:t>
      </w:r>
      <w:r w:rsidRPr="00E5174F">
        <w:t xml:space="preserve">methodology is complete, IRS will update this information collection to reflect a more </w:t>
      </w:r>
      <w:proofErr w:type="gramStart"/>
      <w:r w:rsidRPr="00E5174F">
        <w:t xml:space="preserve">precise </w:t>
      </w:r>
      <w:r w:rsidR="00027D8F">
        <w:t xml:space="preserve"> </w:t>
      </w:r>
      <w:r w:rsidRPr="00E5174F">
        <w:t>estimate</w:t>
      </w:r>
      <w:proofErr w:type="gramEnd"/>
      <w:r w:rsidRPr="00E5174F">
        <w:t xml:space="preserve"> of burden and costs</w:t>
      </w:r>
      <w:r w:rsidR="003227E9">
        <w:t>.</w:t>
      </w:r>
    </w:p>
    <w:p w:rsidR="00F023CA" w:rsidRDefault="00F023CA" w14:paraId="57D514A6" w14:textId="77777777">
      <w:pPr>
        <w:ind w:right="-1080"/>
        <w:jc w:val="both"/>
      </w:pPr>
    </w:p>
    <w:p w:rsidR="00F023CA" w:rsidP="000A5FF8" w:rsidRDefault="00F023CA" w14:paraId="2485F800" w14:textId="77777777">
      <w:pPr>
        <w:pStyle w:val="Heading1"/>
      </w:pPr>
      <w:r>
        <w:t>ESTIMATED ANNUALIZED COST TO THE FEDERAL GOVERNMENT</w:t>
      </w:r>
    </w:p>
    <w:p w:rsidR="00F023CA" w:rsidRDefault="00F023CA" w14:paraId="4287EDB8" w14:textId="77777777">
      <w:pPr>
        <w:ind w:right="-1080"/>
        <w:jc w:val="both"/>
      </w:pPr>
    </w:p>
    <w:p w:rsidR="00E5174F" w:rsidP="00E5174F" w:rsidRDefault="00E5174F" w14:paraId="73B77DE3" w14:textId="77777777">
      <w:pPr>
        <w:ind w:left="720" w:right="-1080"/>
        <w:jc w:val="both"/>
      </w:pPr>
      <w:r w:rsidRPr="00E5174F">
        <w:t>The Federal government cost estimate is based on a model that considers the following three cost factors for each information product: aggregate labor costs for development, including annualized</w:t>
      </w:r>
      <w:r>
        <w:t xml:space="preserve"> </w:t>
      </w:r>
      <w:proofErr w:type="spellStart"/>
      <w:r>
        <w:t>start up</w:t>
      </w:r>
      <w:proofErr w:type="spellEnd"/>
      <w:r>
        <w:t xml:space="preserve"> expenses, operating and maintenance expenses, and distribution of the product that collects the information.  </w:t>
      </w:r>
    </w:p>
    <w:p w:rsidR="00E5174F" w:rsidP="00E5174F" w:rsidRDefault="00E5174F" w14:paraId="616569B2" w14:textId="77777777">
      <w:pPr>
        <w:ind w:left="720" w:right="-1080"/>
        <w:jc w:val="both"/>
      </w:pPr>
    </w:p>
    <w:p w:rsidR="00E5174F" w:rsidP="00E5174F" w:rsidRDefault="00E5174F" w14:paraId="0A94B1CD" w14:textId="2A76274C">
      <w:pPr>
        <w:ind w:left="720" w:right="-1080"/>
        <w:jc w:val="both"/>
      </w:pPr>
      <w:r>
        <w:t xml:space="preserve">The government computes cost using a multi-step process.  First, the government creates a weighted factor for the level of effort to create each information collection product based on variables such </w:t>
      </w:r>
      <w:proofErr w:type="gramStart"/>
      <w:r>
        <w:t>as;</w:t>
      </w:r>
      <w:proofErr w:type="gramEnd"/>
      <w:r>
        <w:t xml:space="preserve"> complexity, number of pages, type of product and frequency of revision.  Second, the total costs associated with developing the product such as labor cost, and operating expenses associated with the downstream impact such as support functions, are added to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t>libraries</w:t>
      </w:r>
      <w:proofErr w:type="gramEnd"/>
      <w:r>
        <w:t xml:space="preserve"> and other outlets. </w:t>
      </w:r>
    </w:p>
    <w:p w:rsidR="003A329F" w:rsidP="00E5174F" w:rsidRDefault="003A329F" w14:paraId="11CE5A4A" w14:textId="100E3F27">
      <w:pPr>
        <w:ind w:left="720" w:right="-1080"/>
        <w:jc w:val="both"/>
      </w:pPr>
    </w:p>
    <w:p w:rsidR="003A329F" w:rsidP="00E5174F" w:rsidRDefault="003A329F" w14:paraId="0D99808E" w14:textId="54E582B4">
      <w:pPr>
        <w:ind w:left="720" w:right="-1080"/>
        <w:jc w:val="both"/>
      </w:pPr>
    </w:p>
    <w:p w:rsidR="003A329F" w:rsidP="00E5174F" w:rsidRDefault="003A329F" w14:paraId="03D4194C" w14:textId="7ADB2D48">
      <w:pPr>
        <w:ind w:left="720" w:right="-1080"/>
        <w:jc w:val="both"/>
      </w:pPr>
    </w:p>
    <w:p w:rsidR="003A329F" w:rsidP="00E5174F" w:rsidRDefault="003A329F" w14:paraId="45651798" w14:textId="5247068C">
      <w:pPr>
        <w:ind w:left="720" w:right="-1080"/>
        <w:jc w:val="both"/>
      </w:pPr>
    </w:p>
    <w:p w:rsidR="003A329F" w:rsidP="00E5174F" w:rsidRDefault="003A329F" w14:paraId="09D30B05" w14:textId="005A7059">
      <w:pPr>
        <w:ind w:left="720" w:right="-1080"/>
        <w:jc w:val="both"/>
      </w:pPr>
    </w:p>
    <w:p w:rsidR="003A329F" w:rsidP="00E5174F" w:rsidRDefault="003A329F" w14:paraId="2894BC48" w14:textId="6D07E79A">
      <w:pPr>
        <w:ind w:left="720" w:right="-1080"/>
        <w:jc w:val="both"/>
      </w:pPr>
    </w:p>
    <w:p w:rsidR="003A329F" w:rsidP="00E5174F" w:rsidRDefault="003A329F" w14:paraId="634CF82D" w14:textId="1AD9D2A8">
      <w:pPr>
        <w:ind w:left="720" w:right="-1080"/>
        <w:jc w:val="both"/>
      </w:pPr>
    </w:p>
    <w:p w:rsidR="003A329F" w:rsidP="00E5174F" w:rsidRDefault="003A329F" w14:paraId="3173379F" w14:textId="2C299845">
      <w:pPr>
        <w:ind w:left="720" w:right="-1080"/>
        <w:jc w:val="both"/>
      </w:pPr>
    </w:p>
    <w:p w:rsidR="003A329F" w:rsidP="00E5174F" w:rsidRDefault="003A329F" w14:paraId="52C349CF" w14:textId="77777777">
      <w:pPr>
        <w:ind w:left="720" w:right="-1080"/>
        <w:jc w:val="both"/>
      </w:pPr>
    </w:p>
    <w:p w:rsidR="00E5174F" w:rsidP="00E5174F" w:rsidRDefault="00192A94" w14:paraId="2D6EAE27" w14:textId="7D03AD2F">
      <w:pPr>
        <w:ind w:left="720" w:right="-1080"/>
        <w:jc w:val="both"/>
      </w:pPr>
      <w:r>
        <w:lastRenderedPageBreak/>
        <w:t>The government cost estimate for this collection is summarized in the table below.</w:t>
      </w:r>
    </w:p>
    <w:p w:rsidR="00192A94" w:rsidP="00E5174F" w:rsidRDefault="00192A94" w14:paraId="1117D0CC" w14:textId="77777777">
      <w:pPr>
        <w:ind w:left="720" w:right="-1080"/>
        <w:jc w:val="both"/>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E5174F" w:rsidTr="00DB57BB" w14:paraId="3E269A77" w14:textId="77777777">
        <w:tc>
          <w:tcPr>
            <w:tcW w:w="2358" w:type="dxa"/>
            <w:shd w:val="clear" w:color="auto" w:fill="auto"/>
            <w:vAlign w:val="bottom"/>
          </w:tcPr>
          <w:p w:rsidRPr="00E20033" w:rsidR="00E5174F" w:rsidP="00DB57BB" w:rsidRDefault="00E5174F" w14:paraId="0A1BE50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E5174F" w:rsidP="00DB57BB" w:rsidRDefault="00E5174F" w14:paraId="6B2D6B9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E5174F" w:rsidP="00DB57BB" w:rsidRDefault="00E5174F" w14:paraId="4884A4D1"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E5174F" w:rsidP="00DB57BB" w:rsidRDefault="00E5174F" w14:paraId="23B3CB9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E5174F" w:rsidP="00DB57BB" w:rsidRDefault="00E5174F" w14:paraId="4396BF71"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E5174F" w:rsidP="00DB57BB" w:rsidRDefault="00E5174F" w14:paraId="093B2C7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E5174F" w:rsidTr="00DB57BB" w14:paraId="2701C121" w14:textId="77777777">
        <w:tc>
          <w:tcPr>
            <w:tcW w:w="2358" w:type="dxa"/>
            <w:shd w:val="clear" w:color="auto" w:fill="auto"/>
            <w:vAlign w:val="bottom"/>
          </w:tcPr>
          <w:p w:rsidRPr="00E20033" w:rsidR="00E5174F" w:rsidP="00DB57BB" w:rsidRDefault="00E5174F" w14:paraId="6A00A603" w14:textId="4ACF7F96">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027D8F">
              <w:rPr>
                <w:rFonts w:ascii="Arial Narrow" w:hAnsi="Arial Narrow"/>
                <w:sz w:val="18"/>
                <w:szCs w:val="18"/>
              </w:rPr>
              <w:t>and Instructions -</w:t>
            </w:r>
            <w:r>
              <w:rPr>
                <w:rFonts w:ascii="Arial Narrow" w:hAnsi="Arial Narrow"/>
                <w:sz w:val="18"/>
                <w:szCs w:val="18"/>
              </w:rPr>
              <w:t xml:space="preserve"> 706-CE</w:t>
            </w:r>
          </w:p>
        </w:tc>
        <w:tc>
          <w:tcPr>
            <w:tcW w:w="1980" w:type="dxa"/>
            <w:shd w:val="clear" w:color="auto" w:fill="auto"/>
          </w:tcPr>
          <w:p w:rsidRPr="00E20033" w:rsidR="00E5174F" w:rsidP="00DB57BB" w:rsidRDefault="00027D8F" w14:paraId="35EDB8AD" w14:textId="1B3CF768">
            <w:pPr>
              <w:keepNext/>
              <w:keepLines/>
              <w:jc w:val="center"/>
              <w:rPr>
                <w:rFonts w:ascii="Arial Narrow" w:hAnsi="Arial Narrow"/>
                <w:sz w:val="18"/>
                <w:szCs w:val="18"/>
              </w:rPr>
            </w:pPr>
            <w:r>
              <w:rPr>
                <w:rFonts w:ascii="Arial Narrow" w:hAnsi="Arial Narrow"/>
                <w:sz w:val="18"/>
                <w:szCs w:val="18"/>
              </w:rPr>
              <w:t>$17,560</w:t>
            </w:r>
          </w:p>
        </w:tc>
        <w:tc>
          <w:tcPr>
            <w:tcW w:w="303" w:type="dxa"/>
            <w:shd w:val="clear" w:color="auto" w:fill="auto"/>
          </w:tcPr>
          <w:p w:rsidRPr="00E20033" w:rsidR="00E5174F" w:rsidP="00DB57BB" w:rsidRDefault="00E5174F" w14:paraId="7BD29AC9" w14:textId="77777777">
            <w:pPr>
              <w:keepNext/>
              <w:keepLines/>
              <w:jc w:val="center"/>
              <w:rPr>
                <w:rFonts w:ascii="Arial Narrow" w:hAnsi="Arial Narrow"/>
                <w:sz w:val="18"/>
                <w:szCs w:val="18"/>
              </w:rPr>
            </w:pPr>
          </w:p>
        </w:tc>
        <w:tc>
          <w:tcPr>
            <w:tcW w:w="1745" w:type="dxa"/>
            <w:shd w:val="clear" w:color="auto" w:fill="auto"/>
          </w:tcPr>
          <w:p w:rsidRPr="00E20033" w:rsidR="00E5174F" w:rsidP="00DB57BB" w:rsidRDefault="00D44DD2" w14:paraId="59891E55" w14:textId="381C309A">
            <w:pPr>
              <w:keepNext/>
              <w:keepLines/>
              <w:jc w:val="center"/>
              <w:rPr>
                <w:rFonts w:ascii="Arial Narrow" w:hAnsi="Arial Narrow"/>
                <w:sz w:val="18"/>
                <w:szCs w:val="18"/>
              </w:rPr>
            </w:pPr>
            <w:r>
              <w:rPr>
                <w:rFonts w:ascii="Arial Narrow" w:hAnsi="Arial Narrow"/>
                <w:sz w:val="18"/>
                <w:szCs w:val="18"/>
              </w:rPr>
              <w:t>-</w:t>
            </w:r>
            <w:r w:rsidR="00027D8F">
              <w:rPr>
                <w:rFonts w:ascii="Arial Narrow" w:hAnsi="Arial Narrow"/>
                <w:sz w:val="18"/>
                <w:szCs w:val="18"/>
              </w:rPr>
              <w:t>0</w:t>
            </w:r>
            <w:r>
              <w:rPr>
                <w:rFonts w:ascii="Arial Narrow" w:hAnsi="Arial Narrow"/>
                <w:sz w:val="18"/>
                <w:szCs w:val="18"/>
              </w:rPr>
              <w:t>-</w:t>
            </w:r>
          </w:p>
        </w:tc>
        <w:tc>
          <w:tcPr>
            <w:tcW w:w="387" w:type="dxa"/>
            <w:shd w:val="clear" w:color="auto" w:fill="auto"/>
          </w:tcPr>
          <w:p w:rsidRPr="00E20033" w:rsidR="00E5174F" w:rsidP="00DB57BB" w:rsidRDefault="00E5174F" w14:paraId="7C5D92E5" w14:textId="77777777">
            <w:pPr>
              <w:keepNext/>
              <w:keepLines/>
              <w:jc w:val="center"/>
              <w:rPr>
                <w:rFonts w:ascii="Arial Narrow" w:hAnsi="Arial Narrow"/>
                <w:sz w:val="18"/>
                <w:szCs w:val="18"/>
              </w:rPr>
            </w:pPr>
          </w:p>
        </w:tc>
        <w:tc>
          <w:tcPr>
            <w:tcW w:w="1582" w:type="dxa"/>
            <w:shd w:val="clear" w:color="auto" w:fill="auto"/>
          </w:tcPr>
          <w:p w:rsidRPr="00E20033" w:rsidR="00E5174F" w:rsidP="00DB57BB" w:rsidRDefault="00027D8F" w14:paraId="2CD94A3D" w14:textId="77ACA183">
            <w:pPr>
              <w:keepNext/>
              <w:keepLines/>
              <w:jc w:val="center"/>
              <w:rPr>
                <w:rFonts w:ascii="Arial Narrow" w:hAnsi="Arial Narrow"/>
                <w:sz w:val="18"/>
                <w:szCs w:val="18"/>
              </w:rPr>
            </w:pPr>
            <w:r>
              <w:rPr>
                <w:rFonts w:ascii="Arial Narrow" w:hAnsi="Arial Narrow"/>
                <w:sz w:val="18"/>
                <w:szCs w:val="18"/>
              </w:rPr>
              <w:t>$17,560</w:t>
            </w:r>
          </w:p>
        </w:tc>
      </w:tr>
      <w:tr w:rsidRPr="00062DB4" w:rsidR="00E5174F" w:rsidTr="00DB57BB" w14:paraId="0F96197D" w14:textId="77777777">
        <w:tc>
          <w:tcPr>
            <w:tcW w:w="2358" w:type="dxa"/>
            <w:shd w:val="clear" w:color="auto" w:fill="auto"/>
          </w:tcPr>
          <w:p w:rsidRPr="00E20033" w:rsidR="00E5174F" w:rsidP="00DB57BB" w:rsidRDefault="00E5174F" w14:paraId="35B6CFB8"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E5174F" w:rsidP="00DB57BB" w:rsidRDefault="00027D8F" w14:paraId="414BA0CF" w14:textId="3F6C7D40">
            <w:pPr>
              <w:keepNext/>
              <w:keepLines/>
              <w:jc w:val="center"/>
              <w:rPr>
                <w:rFonts w:ascii="Arial Narrow" w:hAnsi="Arial Narrow"/>
                <w:b/>
                <w:sz w:val="18"/>
                <w:szCs w:val="18"/>
              </w:rPr>
            </w:pPr>
            <w:r>
              <w:rPr>
                <w:rFonts w:ascii="Arial Narrow" w:hAnsi="Arial Narrow"/>
                <w:b/>
                <w:sz w:val="18"/>
                <w:szCs w:val="18"/>
              </w:rPr>
              <w:t>$17,560</w:t>
            </w:r>
          </w:p>
        </w:tc>
        <w:tc>
          <w:tcPr>
            <w:tcW w:w="303" w:type="dxa"/>
            <w:shd w:val="clear" w:color="auto" w:fill="auto"/>
          </w:tcPr>
          <w:p w:rsidRPr="00E20033" w:rsidR="00E5174F" w:rsidP="00DB57BB" w:rsidRDefault="00E5174F" w14:paraId="0D64EC4F" w14:textId="77777777">
            <w:pPr>
              <w:keepNext/>
              <w:keepLines/>
              <w:jc w:val="center"/>
              <w:rPr>
                <w:rFonts w:ascii="Arial Narrow" w:hAnsi="Arial Narrow"/>
                <w:b/>
                <w:sz w:val="18"/>
                <w:szCs w:val="18"/>
              </w:rPr>
            </w:pPr>
          </w:p>
        </w:tc>
        <w:tc>
          <w:tcPr>
            <w:tcW w:w="1745" w:type="dxa"/>
            <w:shd w:val="clear" w:color="auto" w:fill="auto"/>
          </w:tcPr>
          <w:p w:rsidRPr="00E20033" w:rsidR="00E5174F" w:rsidP="00DB57BB" w:rsidRDefault="00E5174F" w14:paraId="73CA54A2" w14:textId="77777777">
            <w:pPr>
              <w:keepNext/>
              <w:keepLines/>
              <w:jc w:val="center"/>
              <w:rPr>
                <w:rFonts w:ascii="Arial Narrow" w:hAnsi="Arial Narrow"/>
                <w:b/>
                <w:sz w:val="18"/>
                <w:szCs w:val="18"/>
              </w:rPr>
            </w:pPr>
          </w:p>
        </w:tc>
        <w:tc>
          <w:tcPr>
            <w:tcW w:w="387" w:type="dxa"/>
            <w:shd w:val="clear" w:color="auto" w:fill="auto"/>
          </w:tcPr>
          <w:p w:rsidRPr="00E20033" w:rsidR="00E5174F" w:rsidP="00DB57BB" w:rsidRDefault="00E5174F" w14:paraId="341DC510" w14:textId="77777777">
            <w:pPr>
              <w:keepNext/>
              <w:keepLines/>
              <w:jc w:val="center"/>
              <w:rPr>
                <w:rFonts w:ascii="Arial Narrow" w:hAnsi="Arial Narrow"/>
                <w:b/>
                <w:sz w:val="18"/>
                <w:szCs w:val="18"/>
              </w:rPr>
            </w:pPr>
          </w:p>
        </w:tc>
        <w:tc>
          <w:tcPr>
            <w:tcW w:w="1582" w:type="dxa"/>
            <w:shd w:val="clear" w:color="auto" w:fill="auto"/>
          </w:tcPr>
          <w:p w:rsidRPr="00E20033" w:rsidR="00E5174F" w:rsidP="00DB57BB" w:rsidRDefault="00027D8F" w14:paraId="751DB42D" w14:textId="2481ACE4">
            <w:pPr>
              <w:keepNext/>
              <w:keepLines/>
              <w:jc w:val="center"/>
              <w:rPr>
                <w:rFonts w:ascii="Arial Narrow" w:hAnsi="Arial Narrow"/>
                <w:b/>
                <w:sz w:val="18"/>
                <w:szCs w:val="18"/>
              </w:rPr>
            </w:pPr>
            <w:r>
              <w:rPr>
                <w:rFonts w:ascii="Arial Narrow" w:hAnsi="Arial Narrow"/>
                <w:b/>
                <w:sz w:val="18"/>
                <w:szCs w:val="18"/>
              </w:rPr>
              <w:t>$17,560</w:t>
            </w:r>
          </w:p>
        </w:tc>
      </w:tr>
      <w:tr w:rsidRPr="0055550C" w:rsidR="00E5174F" w:rsidTr="00DB57BB" w14:paraId="5328798D" w14:textId="77777777">
        <w:tc>
          <w:tcPr>
            <w:tcW w:w="8355" w:type="dxa"/>
            <w:gridSpan w:val="6"/>
            <w:shd w:val="clear" w:color="auto" w:fill="auto"/>
          </w:tcPr>
          <w:p w:rsidRPr="00E20033" w:rsidR="00E5174F" w:rsidP="00DB57BB" w:rsidRDefault="00E5174F" w14:paraId="0C5C7CB2" w14:textId="0D53018F">
            <w:pPr>
              <w:keepNext/>
              <w:keepLines/>
              <w:rPr>
                <w:rFonts w:ascii="Arial Narrow" w:hAnsi="Arial Narrow"/>
                <w:sz w:val="18"/>
                <w:szCs w:val="18"/>
              </w:rPr>
            </w:pPr>
            <w:r w:rsidRPr="00E20033">
              <w:rPr>
                <w:rFonts w:ascii="Arial Narrow" w:hAnsi="Arial Narrow"/>
                <w:sz w:val="18"/>
                <w:szCs w:val="18"/>
              </w:rPr>
              <w:t>Table costs are based on 20</w:t>
            </w:r>
            <w:r w:rsidR="00027D8F">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E5174F" w:rsidTr="00DB57BB" w14:paraId="76801391" w14:textId="77777777">
        <w:tc>
          <w:tcPr>
            <w:tcW w:w="8355" w:type="dxa"/>
            <w:gridSpan w:val="6"/>
            <w:shd w:val="clear" w:color="auto" w:fill="auto"/>
          </w:tcPr>
          <w:p w:rsidRPr="00E20033" w:rsidR="00E5174F" w:rsidP="00DB57BB" w:rsidRDefault="00E5174F" w14:paraId="52CBFB9A"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D44DD2" w:rsidP="00E5174F" w:rsidRDefault="00D44DD2" w14:paraId="409A5CA8" w14:textId="77777777">
      <w:pPr>
        <w:ind w:left="720" w:right="-1080"/>
        <w:jc w:val="both"/>
      </w:pPr>
    </w:p>
    <w:p w:rsidR="00F023CA" w:rsidP="000A5FF8" w:rsidRDefault="00F023CA" w14:paraId="7F1F9D4C" w14:textId="77777777">
      <w:pPr>
        <w:pStyle w:val="Heading1"/>
      </w:pPr>
      <w:r>
        <w:t>REASONS FOR CHANGE IN BURDEN</w:t>
      </w:r>
    </w:p>
    <w:p w:rsidR="00F023CA" w:rsidRDefault="00F023CA" w14:paraId="7AE261CB" w14:textId="77777777">
      <w:pPr>
        <w:ind w:right="-1080"/>
        <w:jc w:val="both"/>
      </w:pPr>
    </w:p>
    <w:p w:rsidR="00F023CA" w:rsidP="004446BB" w:rsidRDefault="004446BB" w14:paraId="59CEAC3E" w14:textId="3B876720">
      <w:pPr>
        <w:ind w:left="720" w:right="-1080"/>
        <w:jc w:val="both"/>
      </w:pPr>
      <w:r w:rsidRPr="004446BB">
        <w:t xml:space="preserve">There is no change in the paperwork burden previously approved by OMB.  </w:t>
      </w:r>
      <w:r w:rsidR="00027D8F">
        <w:t xml:space="preserve">IRS is </w:t>
      </w:r>
      <w:r w:rsidRPr="004446BB">
        <w:t xml:space="preserve">making this submission to renew the OMB approval. </w:t>
      </w:r>
    </w:p>
    <w:p w:rsidR="00F023CA" w:rsidRDefault="00F023CA" w14:paraId="68B2BE55" w14:textId="77777777">
      <w:pPr>
        <w:ind w:right="-1080"/>
        <w:jc w:val="both"/>
      </w:pPr>
    </w:p>
    <w:p w:rsidR="00F023CA" w:rsidP="000A5FF8" w:rsidRDefault="00F023CA" w14:paraId="2C3CADBA" w14:textId="77777777">
      <w:pPr>
        <w:pStyle w:val="Heading1"/>
      </w:pPr>
      <w:r>
        <w:t>PLANS FOR TABULATION, STATISTICAL ANALYSIS AND PUBLICATION</w:t>
      </w:r>
    </w:p>
    <w:p w:rsidR="00F023CA" w:rsidRDefault="00F023CA" w14:paraId="2EE19329" w14:textId="77777777">
      <w:pPr>
        <w:ind w:right="-1080"/>
        <w:jc w:val="both"/>
      </w:pPr>
    </w:p>
    <w:p w:rsidR="00F023CA" w:rsidP="004446BB" w:rsidRDefault="003227E9" w14:paraId="1ED75687" w14:textId="77777777">
      <w:pPr>
        <w:ind w:right="-1080" w:firstLine="720"/>
        <w:jc w:val="both"/>
      </w:pPr>
      <w:r>
        <w:t xml:space="preserve">There are no plans for tabulation, statistical </w:t>
      </w:r>
      <w:proofErr w:type="gramStart"/>
      <w:r>
        <w:t>analysis</w:t>
      </w:r>
      <w:proofErr w:type="gramEnd"/>
      <w:r>
        <w:t xml:space="preserve"> and publication</w:t>
      </w:r>
      <w:r w:rsidR="00F023CA">
        <w:t>.</w:t>
      </w:r>
    </w:p>
    <w:p w:rsidR="00F023CA" w:rsidRDefault="00F023CA" w14:paraId="461F2939" w14:textId="77777777">
      <w:pPr>
        <w:ind w:right="-1080"/>
        <w:jc w:val="both"/>
      </w:pPr>
    </w:p>
    <w:p w:rsidR="00F023CA" w:rsidP="000A5FF8" w:rsidRDefault="00F023CA" w14:paraId="347D41AE" w14:textId="77777777">
      <w:pPr>
        <w:pStyle w:val="Heading1"/>
      </w:pPr>
      <w:r>
        <w:t>REASONS WHY DISPLAYING THE OMB EXPIRATION DATE IS INAPPROPRIATE</w:t>
      </w:r>
    </w:p>
    <w:p w:rsidR="00F023CA" w:rsidRDefault="00F023CA" w14:paraId="444D7F1C" w14:textId="77777777">
      <w:pPr>
        <w:ind w:right="-1080"/>
        <w:jc w:val="both"/>
      </w:pPr>
    </w:p>
    <w:p w:rsidR="00F023CA" w:rsidP="004446BB" w:rsidRDefault="004446BB" w14:paraId="6C123946" w14:textId="3B447FB4">
      <w:pPr>
        <w:ind w:left="720" w:right="-1080"/>
        <w:jc w:val="both"/>
      </w:pPr>
      <w:r w:rsidRPr="004446BB">
        <w:t xml:space="preserve">IRS believes that displaying the OMB expiration date is inappropriate because it could cause confusion by leading taxpayers to believe that the </w:t>
      </w:r>
      <w:r w:rsidR="00027D8F">
        <w:t>form</w:t>
      </w:r>
      <w:r w:rsidRPr="004446BB">
        <w:t xml:space="preserve"> sunsets as of the expiration date.  Taxpayers are not likely to be aware that the Service intends to request renewal of the OMB approval and obtain a new expiration date before the old one expires.</w:t>
      </w:r>
    </w:p>
    <w:p w:rsidR="004446BB" w:rsidP="004446BB" w:rsidRDefault="004446BB" w14:paraId="122C260C" w14:textId="77777777">
      <w:pPr>
        <w:ind w:left="720" w:right="-1080"/>
        <w:jc w:val="both"/>
      </w:pPr>
    </w:p>
    <w:p w:rsidR="00F023CA" w:rsidP="000A5FF8" w:rsidRDefault="00F023CA" w14:paraId="42BC5853" w14:textId="77777777">
      <w:pPr>
        <w:pStyle w:val="Heading1"/>
      </w:pPr>
      <w:r>
        <w:t>EXCEPTION</w:t>
      </w:r>
      <w:r w:rsidR="000A5FF8">
        <w:t xml:space="preserve"> TO THE CERTIFICATION STATEMENT</w:t>
      </w:r>
    </w:p>
    <w:p w:rsidR="00F023CA" w:rsidRDefault="00F023CA" w14:paraId="4E954A4F" w14:textId="77777777">
      <w:pPr>
        <w:ind w:right="-1080"/>
        <w:jc w:val="both"/>
      </w:pPr>
    </w:p>
    <w:p w:rsidR="00F023CA" w:rsidP="004446BB" w:rsidRDefault="003227E9" w14:paraId="50509097" w14:textId="17C8E6E8">
      <w:pPr>
        <w:ind w:right="-1080" w:firstLine="720"/>
        <w:jc w:val="both"/>
      </w:pPr>
      <w:r>
        <w:t>There are no exceptions to the certification statement</w:t>
      </w:r>
      <w:r w:rsidR="00027D8F">
        <w:t xml:space="preserve"> collection</w:t>
      </w:r>
      <w:r w:rsidR="00F023CA">
        <w:t>.</w:t>
      </w:r>
    </w:p>
    <w:p w:rsidR="00F023CA" w:rsidRDefault="00F023CA" w14:paraId="3516BC12" w14:textId="77777777">
      <w:pPr>
        <w:ind w:right="-1080"/>
        <w:jc w:val="both"/>
      </w:pPr>
    </w:p>
    <w:p w:rsidR="00F023CA" w:rsidP="00C51BED" w:rsidRDefault="00F023CA" w14:paraId="4439C306" w14:textId="77777777">
      <w:pPr>
        <w:ind w:left="720" w:right="-1080"/>
        <w:jc w:val="both"/>
      </w:pPr>
      <w:r>
        <w:t xml:space="preserve">Note: The following paragraph applies to </w:t>
      </w:r>
      <w:proofErr w:type="gramStart"/>
      <w:r>
        <w:t>all of</w:t>
      </w:r>
      <w:proofErr w:type="gramEnd"/>
      <w:r>
        <w:t xml:space="preserve"> the collections of information in this submission:</w:t>
      </w:r>
    </w:p>
    <w:p w:rsidR="00F023CA" w:rsidRDefault="00F023CA" w14:paraId="76FB97C4" w14:textId="77777777">
      <w:pPr>
        <w:ind w:right="-1080"/>
        <w:jc w:val="both"/>
      </w:pPr>
    </w:p>
    <w:p w:rsidR="00F023CA" w:rsidP="00C51BED" w:rsidRDefault="00F023CA" w14:paraId="2CFA2B32" w14:textId="77777777">
      <w:pPr>
        <w:ind w:left="720" w:right="-1080"/>
        <w:jc w:val="both"/>
      </w:pPr>
      <w: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t>as long as</w:t>
      </w:r>
      <w:proofErr w:type="gramEnd"/>
      <w:r>
        <w:t xml:space="preserve"> their contents may become material in the administration of any internal revenue law. Generally, tax returns and tax return information are confidential, as required by 26 U.S.C. 6103.</w:t>
      </w:r>
    </w:p>
    <w:p w:rsidRPr="00BE7AEB" w:rsidR="00F023CA" w:rsidRDefault="00F023CA" w14:paraId="6785FFA8" w14:textId="77777777">
      <w:pPr>
        <w:ind w:right="-1080"/>
        <w:jc w:val="both"/>
      </w:pPr>
    </w:p>
    <w:sectPr w:rsidRPr="00BE7AEB" w:rsidR="00F023CA" w:rsidSect="00F023CA">
      <w:type w:val="continuous"/>
      <w:pgSz w:w="12240" w:h="15840"/>
      <w:pgMar w:top="1440" w:right="243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98A"/>
    <w:multiLevelType w:val="hybridMultilevel"/>
    <w:tmpl w:val="E2EC3D82"/>
    <w:lvl w:ilvl="0" w:tplc="684A6D7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CA"/>
    <w:rsid w:val="00027D8F"/>
    <w:rsid w:val="000A5FF8"/>
    <w:rsid w:val="000C671B"/>
    <w:rsid w:val="00192A94"/>
    <w:rsid w:val="001E138A"/>
    <w:rsid w:val="0027307A"/>
    <w:rsid w:val="002F6E39"/>
    <w:rsid w:val="003227E9"/>
    <w:rsid w:val="003738F7"/>
    <w:rsid w:val="003A329F"/>
    <w:rsid w:val="004202D2"/>
    <w:rsid w:val="004446BB"/>
    <w:rsid w:val="0049238F"/>
    <w:rsid w:val="004F6C03"/>
    <w:rsid w:val="00530B89"/>
    <w:rsid w:val="005A076E"/>
    <w:rsid w:val="00650E05"/>
    <w:rsid w:val="00655D1A"/>
    <w:rsid w:val="007030A5"/>
    <w:rsid w:val="0073403A"/>
    <w:rsid w:val="00743AA2"/>
    <w:rsid w:val="007E5718"/>
    <w:rsid w:val="0082652D"/>
    <w:rsid w:val="008537F8"/>
    <w:rsid w:val="0086116D"/>
    <w:rsid w:val="00923C0F"/>
    <w:rsid w:val="009647D2"/>
    <w:rsid w:val="009C771C"/>
    <w:rsid w:val="009E69AC"/>
    <w:rsid w:val="00A139E7"/>
    <w:rsid w:val="00A13EEF"/>
    <w:rsid w:val="00AE4F09"/>
    <w:rsid w:val="00B210B1"/>
    <w:rsid w:val="00B27EA3"/>
    <w:rsid w:val="00B51AF4"/>
    <w:rsid w:val="00B70479"/>
    <w:rsid w:val="00BD165F"/>
    <w:rsid w:val="00BE7AEB"/>
    <w:rsid w:val="00BF7CF2"/>
    <w:rsid w:val="00C51BED"/>
    <w:rsid w:val="00D40979"/>
    <w:rsid w:val="00D44DD2"/>
    <w:rsid w:val="00D52CE7"/>
    <w:rsid w:val="00DB0D3B"/>
    <w:rsid w:val="00DB57BB"/>
    <w:rsid w:val="00E05D48"/>
    <w:rsid w:val="00E476DC"/>
    <w:rsid w:val="00E5174F"/>
    <w:rsid w:val="00F023CA"/>
    <w:rsid w:val="00F21D88"/>
    <w:rsid w:val="00F64332"/>
    <w:rsid w:val="00F644C4"/>
    <w:rsid w:val="00F9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BEBAA1"/>
  <w15:chartTrackingRefBased/>
  <w15:docId w15:val="{10EB8771-C057-4C94-AB16-37B8E85A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F8"/>
    <w:pPr>
      <w:widowControl w:val="0"/>
      <w:autoSpaceDE w:val="0"/>
      <w:autoSpaceDN w:val="0"/>
      <w:adjustRightInd w:val="0"/>
    </w:pPr>
    <w:rPr>
      <w:sz w:val="24"/>
      <w:szCs w:val="24"/>
    </w:rPr>
  </w:style>
  <w:style w:type="paragraph" w:styleId="Heading1">
    <w:name w:val="heading 1"/>
    <w:basedOn w:val="Normal"/>
    <w:next w:val="Normal"/>
    <w:link w:val="Heading1Char"/>
    <w:qFormat/>
    <w:rsid w:val="000A5FF8"/>
    <w:pPr>
      <w:keepNext/>
      <w:numPr>
        <w:numId w:val="1"/>
      </w:numPr>
      <w:ind w:hanging="720"/>
      <w:outlineLvl w:val="0"/>
    </w:pPr>
    <w:rPr>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64332"/>
    <w:rPr>
      <w:rFonts w:ascii="Tahoma" w:hAnsi="Tahoma" w:cs="Tahoma"/>
      <w:sz w:val="16"/>
      <w:szCs w:val="16"/>
    </w:rPr>
  </w:style>
  <w:style w:type="character" w:styleId="Hyperlink">
    <w:name w:val="Hyperlink"/>
    <w:rsid w:val="003227E9"/>
    <w:rPr>
      <w:color w:val="0000FF"/>
      <w:u w:val="single"/>
    </w:rPr>
  </w:style>
  <w:style w:type="character" w:styleId="CommentReference">
    <w:name w:val="annotation reference"/>
    <w:rsid w:val="00AE4F09"/>
    <w:rPr>
      <w:sz w:val="16"/>
      <w:szCs w:val="16"/>
    </w:rPr>
  </w:style>
  <w:style w:type="paragraph" w:styleId="CommentText">
    <w:name w:val="annotation text"/>
    <w:basedOn w:val="Normal"/>
    <w:link w:val="CommentTextChar"/>
    <w:rsid w:val="00AE4F09"/>
    <w:rPr>
      <w:sz w:val="20"/>
      <w:szCs w:val="20"/>
    </w:rPr>
  </w:style>
  <w:style w:type="character" w:customStyle="1" w:styleId="CommentTextChar">
    <w:name w:val="Comment Text Char"/>
    <w:basedOn w:val="DefaultParagraphFont"/>
    <w:link w:val="CommentText"/>
    <w:rsid w:val="00AE4F09"/>
  </w:style>
  <w:style w:type="paragraph" w:styleId="CommentSubject">
    <w:name w:val="annotation subject"/>
    <w:basedOn w:val="CommentText"/>
    <w:next w:val="CommentText"/>
    <w:link w:val="CommentSubjectChar"/>
    <w:rsid w:val="00AE4F09"/>
    <w:rPr>
      <w:b/>
      <w:bCs/>
    </w:rPr>
  </w:style>
  <w:style w:type="character" w:customStyle="1" w:styleId="CommentSubjectChar">
    <w:name w:val="Comment Subject Char"/>
    <w:link w:val="CommentSubject"/>
    <w:rsid w:val="00AE4F09"/>
    <w:rPr>
      <w:b/>
      <w:bCs/>
    </w:rPr>
  </w:style>
  <w:style w:type="character" w:customStyle="1" w:styleId="Heading1Char">
    <w:name w:val="Heading 1 Char"/>
    <w:link w:val="Heading1"/>
    <w:rsid w:val="000A5FF8"/>
    <w:rPr>
      <w:rFonts w:eastAsia="Times New Roman" w:cs="Times New Roman"/>
      <w:bCs/>
      <w:kern w:val="32"/>
      <w:sz w:val="24"/>
      <w:szCs w:val="32"/>
    </w:rPr>
  </w:style>
  <w:style w:type="paragraph" w:styleId="PlainText">
    <w:name w:val="Plain Text"/>
    <w:basedOn w:val="Normal"/>
    <w:link w:val="PlainTextChar"/>
    <w:rsid w:val="0073403A"/>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73403A"/>
    <w:rPr>
      <w:rFonts w:ascii="Courier New" w:hAnsi="Courier New" w:cs="Courier New"/>
    </w:rPr>
  </w:style>
  <w:style w:type="character" w:customStyle="1" w:styleId="documentbody1">
    <w:name w:val="documentbody1"/>
    <w:rsid w:val="0073403A"/>
    <w:rPr>
      <w:rFonts w:ascii="Verdana" w:hAnsi="Verdana" w:hint="default"/>
      <w:sz w:val="19"/>
      <w:szCs w:val="19"/>
    </w:rPr>
  </w:style>
  <w:style w:type="character" w:styleId="UnresolvedMention">
    <w:name w:val="Unresolved Mention"/>
    <w:basedOn w:val="DefaultParagraphFont"/>
    <w:uiPriority w:val="99"/>
    <w:semiHidden/>
    <w:unhideWhenUsed/>
    <w:rsid w:val="0096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41841">
      <w:bodyDiv w:val="1"/>
      <w:marLeft w:val="0"/>
      <w:marRight w:val="0"/>
      <w:marTop w:val="0"/>
      <w:marBottom w:val="0"/>
      <w:divBdr>
        <w:top w:val="none" w:sz="0" w:space="0" w:color="auto"/>
        <w:left w:val="none" w:sz="0" w:space="0" w:color="auto"/>
        <w:bottom w:val="none" w:sz="0" w:space="0" w:color="auto"/>
        <w:right w:val="none" w:sz="0" w:space="0" w:color="auto"/>
      </w:divBdr>
    </w:div>
    <w:div w:id="20733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rivacy-disclosure/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1545-0260 supporting statement</vt:lpstr>
    </vt:vector>
  </TitlesOfParts>
  <Company>Department of the Treasury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1545-0260 supporting statement</dc:title>
  <dc:subject/>
  <dc:creator>Internal Revenue Service</dc:creator>
  <cp:keywords/>
  <dc:description>ICR reference #201512-1545-012</dc:description>
  <cp:lastModifiedBy>Brinson Martha R</cp:lastModifiedBy>
  <cp:revision>2</cp:revision>
  <cp:lastPrinted>2006-02-17T13:53:00Z</cp:lastPrinted>
  <dcterms:created xsi:type="dcterms:W3CDTF">2022-07-21T11:51:00Z</dcterms:created>
  <dcterms:modified xsi:type="dcterms:W3CDTF">2022-07-21T11:51:00Z</dcterms:modified>
</cp:coreProperties>
</file>