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05F49" w:rsidR="0057585C" w:rsidP="0057585C" w:rsidRDefault="00833E8B" w14:paraId="654BA263" w14:textId="77777777">
      <w:pPr>
        <w:widowControl w:val="0"/>
        <w:tabs>
          <w:tab w:val="center" w:pos="4320"/>
          <w:tab w:val="right" w:pos="8640"/>
        </w:tabs>
        <w:rPr>
          <w:rFonts w:eastAsia="Calibri"/>
          <w:color w:val="000000"/>
        </w:rPr>
      </w:pPr>
      <w:r>
        <w:rPr>
          <w:rFonts w:eastAsia="Calibri"/>
          <w:noProof/>
          <w:szCs w:val="22"/>
        </w:rPr>
        <w:object w:dxaOrig="1440" w:dyaOrig="1440" w14:anchorId="6C880AF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margin-left:68.5pt;margin-top:57.75pt;width:63.75pt;height:54pt;z-index:-251658752;visibility:visible;mso-position-horizontal-relative:page;mso-position-vertical-relative:page" o:allowincell="f" fillcolor="window" type="#_x0000_t75">
            <v:imagedata o:title="" r:id="rId13"/>
            <w10:wrap anchorx="page" anchory="page"/>
          </v:shape>
          <o:OLEObject Type="Embed" ProgID="Word.Picture.8" ShapeID="_x0000_s1028" DrawAspect="Content" ObjectID="_1716724956" r:id="rId14"/>
        </w:object>
      </w:r>
      <w:r w:rsidRPr="00914702" w:rsidR="0057585C">
        <w:rPr>
          <w:rFonts w:eastAsia="Calibri"/>
          <w:b/>
          <w:color w:val="008000"/>
          <w:sz w:val="22"/>
          <w:szCs w:val="22"/>
        </w:rPr>
        <w:t xml:space="preserve">                                          </w:t>
      </w:r>
      <w:r w:rsidRPr="00914702" w:rsidR="0057585C">
        <w:rPr>
          <w:rFonts w:eastAsia="Calibri"/>
          <w:b/>
          <w:color w:val="008000"/>
        </w:rPr>
        <w:t>DEPARTMENT OF THE TREASURY</w:t>
      </w:r>
    </w:p>
    <w:p w:rsidRPr="00914702" w:rsidR="0057585C" w:rsidP="0057585C" w:rsidRDefault="0057585C" w14:paraId="21A1932C" w14:textId="77777777">
      <w:pPr>
        <w:widowControl w:val="0"/>
        <w:tabs>
          <w:tab w:val="center" w:pos="4320"/>
          <w:tab w:val="right" w:pos="8640"/>
        </w:tabs>
        <w:rPr>
          <w:rFonts w:eastAsia="Calibri"/>
          <w:b/>
          <w:color w:val="008000"/>
          <w:sz w:val="20"/>
          <w:szCs w:val="20"/>
        </w:rPr>
      </w:pPr>
      <w:r w:rsidRPr="00914702">
        <w:rPr>
          <w:rFonts w:eastAsia="Calibri"/>
          <w:b/>
          <w:color w:val="008000"/>
          <w:sz w:val="16"/>
          <w:szCs w:val="22"/>
        </w:rPr>
        <w:t xml:space="preserve">                                                                         </w:t>
      </w:r>
      <w:r w:rsidRPr="00914702">
        <w:rPr>
          <w:rFonts w:eastAsia="Calibri"/>
          <w:b/>
          <w:color w:val="008000"/>
          <w:sz w:val="20"/>
          <w:szCs w:val="20"/>
        </w:rPr>
        <w:t>WASHINGTON, D.C.  20220</w:t>
      </w:r>
    </w:p>
    <w:p w:rsidRPr="00914702" w:rsidR="0057585C" w:rsidP="0057585C" w:rsidRDefault="0057585C" w14:paraId="4E97C557" w14:textId="77777777">
      <w:pPr>
        <w:tabs>
          <w:tab w:val="left" w:pos="0"/>
          <w:tab w:val="left" w:pos="1872"/>
          <w:tab w:val="left" w:pos="4320"/>
          <w:tab w:val="left" w:pos="5040"/>
          <w:tab w:val="left" w:pos="5760"/>
          <w:tab w:val="left" w:pos="6480"/>
          <w:tab w:val="left" w:pos="7200"/>
          <w:tab w:val="left" w:pos="7920"/>
          <w:tab w:val="left" w:pos="8640"/>
        </w:tabs>
        <w:rPr>
          <w:rFonts w:eastAsia="Calibri"/>
          <w:iCs/>
        </w:rPr>
      </w:pPr>
    </w:p>
    <w:p w:rsidRPr="00905F49" w:rsidR="0057585C" w:rsidP="0057585C" w:rsidRDefault="0057585C" w14:paraId="2F7A89F3" w14:textId="77777777">
      <w:pPr>
        <w:outlineLvl w:val="0"/>
        <w:rPr>
          <w:b/>
        </w:rPr>
      </w:pPr>
    </w:p>
    <w:p w:rsidRPr="00905F49" w:rsidR="006E7AAE" w:rsidP="00AC6A65" w:rsidRDefault="006E7AAE" w14:paraId="0B0B05F9" w14:textId="77777777">
      <w:pPr>
        <w:outlineLvl w:val="0"/>
        <w:rPr>
          <w:b/>
        </w:rPr>
      </w:pPr>
    </w:p>
    <w:p w:rsidRPr="00905F49" w:rsidR="00DC1A25" w:rsidP="002159DD" w:rsidRDefault="00FD4A5B" w14:paraId="40F0DB01" w14:textId="7AC31A6E">
      <w:pPr>
        <w:ind w:left="2400"/>
        <w:outlineLvl w:val="0"/>
      </w:pPr>
      <w:r w:rsidRPr="00905F49">
        <w:rPr>
          <w:b/>
        </w:rPr>
        <w:t xml:space="preserve"> </w:t>
      </w:r>
      <w:r w:rsidRPr="00905F49" w:rsidR="00933289">
        <w:rPr>
          <w:b/>
        </w:rPr>
        <w:t xml:space="preserve"> </w:t>
      </w:r>
      <w:r w:rsidRPr="00905F49" w:rsidR="008535BE">
        <w:rPr>
          <w:b/>
        </w:rPr>
        <w:t xml:space="preserve">       </w:t>
      </w:r>
      <w:r w:rsidRPr="00905F49" w:rsidR="008535BE">
        <w:rPr>
          <w:b/>
        </w:rPr>
        <w:tab/>
      </w:r>
      <w:r w:rsidRPr="00905F49" w:rsidR="008535BE">
        <w:rPr>
          <w:b/>
        </w:rPr>
        <w:tab/>
      </w:r>
      <w:r w:rsidRPr="00905F49" w:rsidR="008535BE">
        <w:rPr>
          <w:b/>
        </w:rPr>
        <w:tab/>
        <w:t xml:space="preserve">      </w:t>
      </w:r>
    </w:p>
    <w:p w:rsidRPr="00FE5245" w:rsidR="00AD5B57" w:rsidP="00E07888" w:rsidRDefault="00AD5B57" w14:paraId="730E7C05" w14:textId="77777777">
      <w:pPr>
        <w:outlineLvl w:val="0"/>
        <w:rPr>
          <w:b/>
        </w:rPr>
      </w:pPr>
      <w:r w:rsidRPr="00905F49">
        <w:rPr>
          <w:b/>
        </w:rPr>
        <w:t>TO:</w:t>
      </w:r>
      <w:r w:rsidRPr="00905F49">
        <w:rPr>
          <w:b/>
        </w:rPr>
        <w:tab/>
      </w:r>
      <w:r w:rsidRPr="00905F49">
        <w:rPr>
          <w:b/>
        </w:rPr>
        <w:tab/>
      </w:r>
      <w:r w:rsidRPr="00FE5245" w:rsidR="003447CB">
        <w:t>Alex Goodenough</w:t>
      </w:r>
      <w:r w:rsidRPr="00FE5245">
        <w:t>, Office of Information and Regulatory Affairs</w:t>
      </w:r>
    </w:p>
    <w:p w:rsidRPr="00FE5245" w:rsidR="00AD5B57" w:rsidP="00E07888" w:rsidRDefault="00AD5B57" w14:paraId="0DB8B0AC" w14:textId="77777777">
      <w:pPr>
        <w:outlineLvl w:val="0"/>
        <w:rPr>
          <w:b/>
        </w:rPr>
      </w:pPr>
    </w:p>
    <w:p w:rsidRPr="00905F49" w:rsidR="00E07888" w:rsidP="00AD5B57" w:rsidRDefault="008535BE" w14:paraId="015E7CD9" w14:textId="77777777">
      <w:pPr>
        <w:outlineLvl w:val="0"/>
      </w:pPr>
      <w:r w:rsidRPr="00FE5245">
        <w:rPr>
          <w:b/>
        </w:rPr>
        <w:t>FROM:</w:t>
      </w:r>
      <w:r w:rsidRPr="00FE5245" w:rsidR="00E07888">
        <w:rPr>
          <w:b/>
        </w:rPr>
        <w:tab/>
      </w:r>
      <w:r w:rsidRPr="00FE5245" w:rsidR="004C17E9">
        <w:t>Ryan Law</w:t>
      </w:r>
      <w:r w:rsidRPr="00FE5245" w:rsidR="00AD5B57">
        <w:t xml:space="preserve">, </w:t>
      </w:r>
      <w:r w:rsidRPr="00FE5245" w:rsidR="00DC1ABE">
        <w:t>D</w:t>
      </w:r>
      <w:r w:rsidRPr="00FE5245" w:rsidR="00111EDF">
        <w:t xml:space="preserve">eputy Assistant Secretary </w:t>
      </w:r>
      <w:r w:rsidRPr="00FE5245" w:rsidR="00A75D8F">
        <w:t>f</w:t>
      </w:r>
      <w:r w:rsidRPr="00FE5245" w:rsidR="00441767">
        <w:t>or Privacy</w:t>
      </w:r>
      <w:r w:rsidRPr="00FE5245" w:rsidR="00062D7A">
        <w:t>, Transparency</w:t>
      </w:r>
      <w:r w:rsidRPr="00FE5245" w:rsidR="004C17E9">
        <w:t>,</w:t>
      </w:r>
      <w:r w:rsidRPr="00FE5245" w:rsidR="00B45DB1">
        <w:t xml:space="preserve"> </w:t>
      </w:r>
      <w:r w:rsidRPr="00FE5245" w:rsidR="00111EDF">
        <w:t>and Records</w:t>
      </w:r>
    </w:p>
    <w:p w:rsidRPr="00905F49" w:rsidR="008535BE" w:rsidP="00111EDF" w:rsidRDefault="00E07888" w14:paraId="20E83373" w14:textId="77777777">
      <w:pPr>
        <w:outlineLvl w:val="0"/>
      </w:pPr>
      <w:r w:rsidRPr="00905F49">
        <w:tab/>
      </w:r>
      <w:r w:rsidRPr="00905F49">
        <w:tab/>
      </w:r>
      <w:r w:rsidRPr="00905F49">
        <w:tab/>
      </w:r>
      <w:r w:rsidRPr="00905F49" w:rsidR="001405ED">
        <w:t xml:space="preserve">     </w:t>
      </w:r>
      <w:r w:rsidRPr="00905F49" w:rsidR="00BC6FB1">
        <w:t xml:space="preserve">   </w:t>
      </w:r>
      <w:r w:rsidRPr="00905F49" w:rsidR="008535BE">
        <w:t xml:space="preserve"> </w:t>
      </w:r>
      <w:r w:rsidRPr="00905F49" w:rsidR="00FD4A5B">
        <w:tab/>
      </w:r>
      <w:r w:rsidRPr="00905F49" w:rsidR="00FD4A5B">
        <w:tab/>
      </w:r>
      <w:r w:rsidRPr="00905F49" w:rsidR="00FD4A5B">
        <w:tab/>
      </w:r>
    </w:p>
    <w:p w:rsidRPr="00905F49" w:rsidR="00D21EBC" w:rsidP="00B47125" w:rsidRDefault="008535BE" w14:paraId="3CAE7C01" w14:textId="2463E35C">
      <w:pPr>
        <w:ind w:left="1440" w:hanging="1440"/>
      </w:pPr>
      <w:r w:rsidRPr="00905F49">
        <w:rPr>
          <w:b/>
        </w:rPr>
        <w:t>SUBJECT:</w:t>
      </w:r>
      <w:r w:rsidR="00B47125">
        <w:rPr>
          <w:b/>
        </w:rPr>
        <w:tab/>
      </w:r>
      <w:r w:rsidRPr="00905F49" w:rsidR="003718B0">
        <w:t xml:space="preserve">Justification for Emergency Processing: </w:t>
      </w:r>
      <w:r w:rsidR="00F20D68">
        <w:t>CDFI Equitable Recovery Program</w:t>
      </w:r>
      <w:r w:rsidRPr="00905F49" w:rsidR="00B22D5D">
        <w:t xml:space="preserve"> Application</w:t>
      </w:r>
      <w:r w:rsidR="00B47125">
        <w:t xml:space="preserve">, </w:t>
      </w:r>
      <w:r w:rsidRPr="00905F49" w:rsidR="0027197D">
        <w:t xml:space="preserve">OMB No. </w:t>
      </w:r>
      <w:r w:rsidR="00B47125">
        <w:t>1559-NEW</w:t>
      </w:r>
    </w:p>
    <w:p w:rsidRPr="00905F49" w:rsidR="003012A6" w:rsidP="00DC1ABE" w:rsidRDefault="003012A6" w14:paraId="0CD807AC" w14:textId="77777777">
      <w:pPr>
        <w:ind w:left="2880" w:hanging="2880"/>
      </w:pPr>
    </w:p>
    <w:p w:rsidRPr="00905F49" w:rsidR="008535BE" w:rsidRDefault="008535BE" w14:paraId="56AB106C" w14:textId="77777777"/>
    <w:p w:rsidR="002C0C0E" w:rsidP="0027197D" w:rsidRDefault="002C0C0E" w14:paraId="3A96179F" w14:textId="560727C4">
      <w:r>
        <w:rPr>
          <w:rFonts w:ascii="TimesNewRomanPSMT" w:hAnsi="TimesNewRomanPSMT" w:cs="TimesNewRomanPSMT"/>
        </w:rPr>
        <w:t xml:space="preserve">Pursuant to the Office of Management and Budget (OMB) procedures established at 5 C.F.R. § 1320.13, </w:t>
      </w:r>
      <w:r w:rsidRPr="00905F49" w:rsidR="0027197D">
        <w:t>The Community Development Financial In</w:t>
      </w:r>
      <w:r w:rsidRPr="00905F49" w:rsidR="00A5119D">
        <w:t>s</w:t>
      </w:r>
      <w:r w:rsidRPr="00905F49" w:rsidR="0027197D">
        <w:t>t</w:t>
      </w:r>
      <w:r w:rsidRPr="00905F49" w:rsidR="00997C67">
        <w:t>it</w:t>
      </w:r>
      <w:r w:rsidRPr="00905F49" w:rsidR="0027197D">
        <w:t xml:space="preserve">utions Fund (CDFI Fund) requests emergency processing for the </w:t>
      </w:r>
      <w:r w:rsidR="00F20D68">
        <w:t>CDFI Equitable Recovery Program</w:t>
      </w:r>
      <w:r w:rsidR="00C11EF8">
        <w:t xml:space="preserve"> (</w:t>
      </w:r>
      <w:r w:rsidR="00F20D68">
        <w:t>CDFI ERP</w:t>
      </w:r>
      <w:r w:rsidR="00C11EF8">
        <w:t>)</w:t>
      </w:r>
      <w:r w:rsidRPr="00905F49" w:rsidR="0027197D">
        <w:t xml:space="preserve"> Application</w:t>
      </w:r>
      <w:r>
        <w:t>.</w:t>
      </w:r>
    </w:p>
    <w:p w:rsidR="002C0C0E" w:rsidP="0027197D" w:rsidRDefault="002C0C0E" w14:paraId="5FD85A8C" w14:textId="77777777"/>
    <w:p w:rsidRPr="00FE5245" w:rsidR="00E1208D" w:rsidP="0027197D" w:rsidRDefault="003D0CC4" w14:paraId="5A419437" w14:textId="2C606367">
      <w:r w:rsidRPr="00914702">
        <w:rPr>
          <w:b/>
          <w:i/>
        </w:rPr>
        <w:t>About the Information Collection</w:t>
      </w:r>
      <w:r w:rsidRPr="00914702">
        <w:rPr>
          <w:b/>
          <w:i/>
        </w:rPr>
        <w:br/>
      </w:r>
    </w:p>
    <w:p w:rsidR="00912F51" w:rsidP="00113814" w:rsidRDefault="00912F51" w14:paraId="798DA5F8" w14:textId="2997536E">
      <w:r w:rsidRPr="00905F49">
        <w:t xml:space="preserve">The </w:t>
      </w:r>
      <w:r w:rsidR="00F20D68">
        <w:t>CDFI ERP</w:t>
      </w:r>
      <w:r w:rsidRPr="00905F49">
        <w:t xml:space="preserve"> Program is a new program </w:t>
      </w:r>
      <w:r w:rsidR="001A79EA">
        <w:t xml:space="preserve">that received $1.75 billion in </w:t>
      </w:r>
      <w:r w:rsidRPr="00905F49">
        <w:t xml:space="preserve">The Coronavirus Response and Relief Supplemental Consolidated Appropriations Act of 2021 (Section 523 of Division N; </w:t>
      </w:r>
      <w:proofErr w:type="spellStart"/>
      <w:r w:rsidRPr="00905F49">
        <w:t>Pub.L</w:t>
      </w:r>
      <w:proofErr w:type="spellEnd"/>
      <w:r w:rsidRPr="00905F49">
        <w:t>. 116-260</w:t>
      </w:r>
      <w:r w:rsidR="00113814">
        <w:t>, entitled Emergency Support for C</w:t>
      </w:r>
      <w:r w:rsidR="003D0CC4">
        <w:t>ommunity Development Financial Institutions (C</w:t>
      </w:r>
      <w:r w:rsidR="00113814">
        <w:t>DFIs</w:t>
      </w:r>
      <w:r w:rsidR="003D0CC4">
        <w:t>)</w:t>
      </w:r>
      <w:r w:rsidR="00113814">
        <w:t xml:space="preserve"> and Communities Responding to the COVID-19 Pandemic</w:t>
      </w:r>
      <w:r w:rsidR="00C11EF8">
        <w:t>)</w:t>
      </w:r>
      <w:r w:rsidR="00F8550B">
        <w:t xml:space="preserve"> (the Act)</w:t>
      </w:r>
      <w:r w:rsidR="00113814">
        <w:t xml:space="preserve">. </w:t>
      </w:r>
    </w:p>
    <w:p w:rsidR="001A79EA" w:rsidP="00912F51" w:rsidRDefault="001A79EA" w14:paraId="77093036" w14:textId="5B4ED394"/>
    <w:p w:rsidR="001A79EA" w:rsidP="00C11EF8" w:rsidRDefault="00113814" w14:paraId="128057D5" w14:textId="1DD49936">
      <w:r>
        <w:t xml:space="preserve">The purpose of the program is </w:t>
      </w:r>
      <w:r w:rsidRPr="001A79EA" w:rsidR="001A79EA">
        <w:t xml:space="preserve">to expand lending, grant making and investment activities in </w:t>
      </w:r>
      <w:r>
        <w:t>l</w:t>
      </w:r>
      <w:r w:rsidRPr="001A79EA" w:rsidR="001A79EA">
        <w:t xml:space="preserve">ow- or </w:t>
      </w:r>
      <w:r>
        <w:t>m</w:t>
      </w:r>
      <w:r w:rsidRPr="001A79EA" w:rsidR="001A79EA">
        <w:t>oderate-</w:t>
      </w:r>
      <w:r>
        <w:t>i</w:t>
      </w:r>
      <w:r w:rsidRPr="001A79EA" w:rsidR="001A79EA">
        <w:t xml:space="preserve">ncome </w:t>
      </w:r>
      <w:r>
        <w:t xml:space="preserve">communities and to </w:t>
      </w:r>
      <w:r w:rsidR="00BD77B7">
        <w:t xml:space="preserve">borrowers </w:t>
      </w:r>
      <w:r w:rsidRPr="001A79EA" w:rsidR="001A79EA">
        <w:t>that have significant unmet capital and financial services needs and were disproportionately impacted by the COVID-19 pandemic</w:t>
      </w:r>
      <w:r w:rsidR="00417A5B">
        <w:t>.  I</w:t>
      </w:r>
      <w:r w:rsidR="00E1208D">
        <w:t>n order to</w:t>
      </w:r>
      <w:r w:rsidR="00C11EF8">
        <w:t xml:space="preserve"> expand investment and lending, </w:t>
      </w:r>
      <w:r w:rsidR="00F20D68">
        <w:t>CDFI ERP</w:t>
      </w:r>
      <w:r w:rsidRPr="00C11EF8" w:rsidR="00C11EF8">
        <w:t xml:space="preserve"> Awards </w:t>
      </w:r>
      <w:r w:rsidR="00C11EF8">
        <w:t xml:space="preserve">will be used by CDFIs to provide: </w:t>
      </w:r>
      <w:r w:rsidRPr="00C11EF8" w:rsidR="00C11EF8">
        <w:t>(</w:t>
      </w:r>
      <w:proofErr w:type="spellStart"/>
      <w:r w:rsidRPr="00C11EF8" w:rsidR="00C11EF8">
        <w:t>i</w:t>
      </w:r>
      <w:proofErr w:type="spellEnd"/>
      <w:r w:rsidRPr="00C11EF8" w:rsidR="00C11EF8">
        <w:t>) Financial Products; (ii) Financial Services; (iii)</w:t>
      </w:r>
      <w:r w:rsidRPr="00C11EF8" w:rsidR="00C11EF8">
        <w:rPr>
          <w:rFonts w:eastAsiaTheme="minorHAnsi"/>
        </w:rPr>
        <w:t xml:space="preserve"> Development Services: (iv)</w:t>
      </w:r>
      <w:r w:rsidRPr="00C11EF8" w:rsidR="00C11EF8">
        <w:t xml:space="preserve"> </w:t>
      </w:r>
      <w:r w:rsidRPr="00C11EF8" w:rsidR="00C11EF8">
        <w:rPr>
          <w:rFonts w:eastAsiaTheme="minorHAnsi"/>
        </w:rPr>
        <w:t>Grants; (v)</w:t>
      </w:r>
      <w:r w:rsidRPr="00C11EF8" w:rsidR="00C11EF8">
        <w:t xml:space="preserve"> Loan Loss </w:t>
      </w:r>
      <w:r w:rsidRPr="00C11EF8" w:rsidR="00C11EF8">
        <w:rPr>
          <w:rFonts w:eastAsiaTheme="minorHAnsi"/>
        </w:rPr>
        <w:t>Reserves; and (vi)</w:t>
      </w:r>
      <w:r w:rsidRPr="00C11EF8" w:rsidDel="000E4E08" w:rsidR="00C11EF8">
        <w:rPr>
          <w:rFonts w:eastAsiaTheme="minorHAnsi"/>
        </w:rPr>
        <w:t xml:space="preserve"> </w:t>
      </w:r>
      <w:r w:rsidRPr="00C11EF8" w:rsidR="00C11EF8">
        <w:rPr>
          <w:rFonts w:eastAsiaTheme="minorHAnsi"/>
        </w:rPr>
        <w:t>Capital Reserves. These program activities may finance and/or support community development</w:t>
      </w:r>
      <w:r w:rsidR="00417A5B">
        <w:rPr>
          <w:rFonts w:eastAsiaTheme="minorHAnsi"/>
        </w:rPr>
        <w:t>, economic development and affordable housing finance</w:t>
      </w:r>
      <w:r w:rsidRPr="00C11EF8" w:rsidR="00C11EF8">
        <w:rPr>
          <w:rFonts w:eastAsiaTheme="minorHAnsi"/>
        </w:rPr>
        <w:t xml:space="preserve"> activities </w:t>
      </w:r>
      <w:r w:rsidRPr="00C11EF8" w:rsidR="00C11EF8">
        <w:t>targeted to low- and moderate-income populations</w:t>
      </w:r>
      <w:r w:rsidR="00417A5B">
        <w:t xml:space="preserve"> that have been disproportionally impacted by the COVID-19 pandemic</w:t>
      </w:r>
      <w:r w:rsidRPr="00C11EF8" w:rsidR="00C11EF8">
        <w:t xml:space="preserve">. </w:t>
      </w:r>
      <w:r w:rsidR="00F20D68">
        <w:t>CDFI ERP</w:t>
      </w:r>
      <w:r w:rsidRPr="00C11EF8" w:rsidR="00C11EF8">
        <w:t xml:space="preserve"> </w:t>
      </w:r>
      <w:r w:rsidR="00417A5B">
        <w:t>Recipients may also use a portion of their a</w:t>
      </w:r>
      <w:r w:rsidRPr="00C11EF8" w:rsidR="00C11EF8">
        <w:t>ward funds for</w:t>
      </w:r>
      <w:r w:rsidR="00417A5B">
        <w:t xml:space="preserve"> operational purposes in the following categories:</w:t>
      </w:r>
      <w:r w:rsidRPr="00C11EF8" w:rsidR="00C11EF8">
        <w:rPr>
          <w:rFonts w:eastAsiaTheme="minorHAnsi"/>
        </w:rPr>
        <w:t xml:space="preserve"> </w:t>
      </w:r>
      <w:r w:rsidRPr="00C11EF8" w:rsidR="00C11EF8">
        <w:t>(</w:t>
      </w:r>
      <w:r w:rsidR="00F8550B">
        <w:t>vii</w:t>
      </w:r>
      <w:r w:rsidRPr="00C11EF8" w:rsidR="00C11EF8">
        <w:t>) Compensation – Personal Services; (</w:t>
      </w:r>
      <w:r w:rsidR="00F8550B">
        <w:t>vi</w:t>
      </w:r>
      <w:r w:rsidRPr="00C11EF8" w:rsidR="00C11EF8">
        <w:t>ii) Compensation – Fringe Benefits; (</w:t>
      </w:r>
      <w:r w:rsidRPr="00C11EF8" w:rsidR="00F8550B">
        <w:t>i</w:t>
      </w:r>
      <w:r w:rsidR="00F8550B">
        <w:t>x</w:t>
      </w:r>
      <w:r w:rsidRPr="00C11EF8" w:rsidR="00C11EF8">
        <w:t>) Professional Service Costs; (</w:t>
      </w:r>
      <w:r w:rsidR="00F8550B">
        <w:t>x</w:t>
      </w:r>
      <w:r w:rsidRPr="00C11EF8" w:rsidR="00C11EF8">
        <w:t>) Travel Costs; (</w:t>
      </w:r>
      <w:r w:rsidR="00F8550B">
        <w:t>xi</w:t>
      </w:r>
      <w:r w:rsidRPr="00C11EF8" w:rsidR="00C11EF8">
        <w:t>) Training and Education Costs; (</w:t>
      </w:r>
      <w:r w:rsidR="00F8550B">
        <w:t>xii</w:t>
      </w:r>
      <w:r w:rsidRPr="00C11EF8" w:rsidR="00C11EF8">
        <w:t>) Equipment; and (</w:t>
      </w:r>
      <w:r w:rsidR="00F8550B">
        <w:t>xiii</w:t>
      </w:r>
      <w:r w:rsidRPr="00C11EF8" w:rsidR="00C11EF8">
        <w:t>) Supplies.</w:t>
      </w:r>
    </w:p>
    <w:p w:rsidR="001A79EA" w:rsidRDefault="001A79EA" w14:paraId="13B52D95" w14:textId="2C1011F4"/>
    <w:p w:rsidRPr="00905F49" w:rsidR="003D0CC4" w:rsidP="003D0CC4" w:rsidRDefault="003D0CC4" w14:paraId="4C02417A" w14:textId="1BE33107">
      <w:pPr>
        <w:rPr>
          <w:rFonts w:eastAsia="Calibri"/>
        </w:rPr>
      </w:pPr>
      <w:r w:rsidRPr="00905F49">
        <w:rPr>
          <w:rStyle w:val="CommentReference"/>
          <w:sz w:val="24"/>
          <w:szCs w:val="24"/>
        </w:rPr>
        <w:t xml:space="preserve">The </w:t>
      </w:r>
      <w:r w:rsidR="00F20D68">
        <w:t>CDFI ERP</w:t>
      </w:r>
      <w:r w:rsidRPr="00905F49">
        <w:t xml:space="preserve"> </w:t>
      </w:r>
      <w:r w:rsidRPr="00905F49">
        <w:rPr>
          <w:rStyle w:val="CommentReference"/>
          <w:sz w:val="24"/>
          <w:szCs w:val="24"/>
        </w:rPr>
        <w:t>Application will</w:t>
      </w:r>
      <w:r w:rsidRPr="00905F49">
        <w:t xml:space="preserve"> facilitate the collection of information required </w:t>
      </w:r>
      <w:r>
        <w:t xml:space="preserve">to administer the </w:t>
      </w:r>
      <w:r w:rsidR="00F20D68">
        <w:t>CDFI ERP</w:t>
      </w:r>
      <w:r>
        <w:t xml:space="preserve">, </w:t>
      </w:r>
      <w:r w:rsidRPr="00905F49">
        <w:t>to make award determinations</w:t>
      </w:r>
      <w:r>
        <w:t xml:space="preserve">, and to process </w:t>
      </w:r>
      <w:r w:rsidRPr="00905F49">
        <w:rPr>
          <w:bCs/>
        </w:rPr>
        <w:t xml:space="preserve">disbursements expeditiously </w:t>
      </w:r>
      <w:r>
        <w:rPr>
          <w:bCs/>
        </w:rPr>
        <w:t xml:space="preserve">to </w:t>
      </w:r>
      <w:r w:rsidRPr="00FE5245">
        <w:t xml:space="preserve">CDFIs </w:t>
      </w:r>
      <w:r>
        <w:t xml:space="preserve">selected to receive </w:t>
      </w:r>
      <w:r w:rsidRPr="00FE5245">
        <w:t xml:space="preserve">emergency support </w:t>
      </w:r>
      <w:r>
        <w:t>under this program</w:t>
      </w:r>
      <w:r w:rsidRPr="00FE5245">
        <w:t>.</w:t>
      </w:r>
      <w:r>
        <w:t xml:space="preserve">  </w:t>
      </w:r>
      <w:r w:rsidRPr="00905F49">
        <w:t>The application information collections are under statutory mandates.  To reduce burden, the information collection is tailored to leverage data that already exists at the CDFI Fund. The CDFI Fund will collect only the additional data that is necessary.</w:t>
      </w:r>
      <w:r w:rsidRPr="00905F49">
        <w:rPr>
          <w:rFonts w:eastAsia="Calibri"/>
        </w:rPr>
        <w:t xml:space="preserve"> </w:t>
      </w:r>
    </w:p>
    <w:p w:rsidR="003D0CC4" w:rsidP="003D0CC4" w:rsidRDefault="003D0CC4" w14:paraId="0C4BA199" w14:textId="043A4F56"/>
    <w:p w:rsidR="003D0CC4" w:rsidP="003D0CC4" w:rsidRDefault="003D0CC4" w14:paraId="290CDD87" w14:textId="532098E6"/>
    <w:p w:rsidR="003D0CC4" w:rsidP="003D0CC4" w:rsidRDefault="003D0CC4" w14:paraId="2496862C" w14:textId="67FB5F75">
      <w:pPr>
        <w:rPr>
          <w:rFonts w:ascii="TimesNewRomanPS-BoldItalicMT" w:hAnsi="TimesNewRomanPS-BoldItalicMT" w:cs="TimesNewRomanPS-BoldItalicMT"/>
          <w:b/>
          <w:bCs/>
          <w:i/>
          <w:iCs/>
        </w:rPr>
      </w:pPr>
      <w:r>
        <w:rPr>
          <w:rFonts w:ascii="TimesNewRomanPS-BoldItalicMT" w:hAnsi="TimesNewRomanPS-BoldItalicMT" w:cs="TimesNewRomanPS-BoldItalicMT"/>
          <w:b/>
          <w:bCs/>
          <w:i/>
          <w:iCs/>
        </w:rPr>
        <w:t>Why Treasury is Requesting Emergency Processing</w:t>
      </w:r>
    </w:p>
    <w:p w:rsidR="008C2EC8" w:rsidP="003D0CC4" w:rsidRDefault="008C2EC8" w14:paraId="318A0171" w14:textId="77777777"/>
    <w:p w:rsidR="001C14D0" w:rsidRDefault="00D41138" w14:paraId="16258527" w14:textId="77777777">
      <w:r>
        <w:t xml:space="preserve">The </w:t>
      </w:r>
      <w:r w:rsidR="00F20D68">
        <w:t>CDFI ERP</w:t>
      </w:r>
      <w:r>
        <w:t xml:space="preserve"> funds appropriated under the Supplemental Appropriations Act, cited above, were intended by Congress to provide expediti</w:t>
      </w:r>
      <w:r w:rsidR="00BD77B7">
        <w:t>ous relief related to the COVID-</w:t>
      </w:r>
      <w:r>
        <w:t xml:space="preserve">19 pandemic. </w:t>
      </w:r>
      <w:r w:rsidRPr="00612297" w:rsidR="00612297">
        <w:rPr>
          <w:color w:val="000000"/>
        </w:rPr>
        <w:t>In May and June of 2021, federal courts imposed preliminary injunctions on certain coronavirus relief programs that involved race-based policies.</w:t>
      </w:r>
      <w:r>
        <w:rPr>
          <w:rStyle w:val="FootnoteReference"/>
          <w:color w:val="000000"/>
        </w:rPr>
        <w:footnoteReference w:id="1"/>
      </w:r>
      <w:r w:rsidRPr="00612297" w:rsidR="00612297">
        <w:rPr>
          <w:color w:val="000000"/>
        </w:rPr>
        <w:t xml:space="preserve"> </w:t>
      </w:r>
      <w:r w:rsidR="00BD77B7">
        <w:rPr>
          <w:color w:val="000000"/>
        </w:rPr>
        <w:t xml:space="preserve">Because the </w:t>
      </w:r>
      <w:r w:rsidR="000B57F1">
        <w:rPr>
          <w:color w:val="000000"/>
        </w:rPr>
        <w:t xml:space="preserve">statutory language for this program </w:t>
      </w:r>
      <w:r w:rsidR="00BD77B7">
        <w:rPr>
          <w:color w:val="000000"/>
        </w:rPr>
        <w:t>also included</w:t>
      </w:r>
      <w:r w:rsidR="000B57F1">
        <w:rPr>
          <w:color w:val="000000"/>
        </w:rPr>
        <w:t xml:space="preserve"> race-based </w:t>
      </w:r>
      <w:r w:rsidR="00D93B27">
        <w:rPr>
          <w:color w:val="000000"/>
        </w:rPr>
        <w:t>policies</w:t>
      </w:r>
      <w:r w:rsidR="000B57F1">
        <w:rPr>
          <w:color w:val="000000"/>
        </w:rPr>
        <w:t xml:space="preserve"> related to dissemination of the funding, the court </w:t>
      </w:r>
      <w:r w:rsidR="00F20D68">
        <w:rPr>
          <w:color w:val="000000"/>
        </w:rPr>
        <w:t xml:space="preserve">rulings </w:t>
      </w:r>
      <w:r w:rsidRPr="00612297" w:rsidR="00F20D68">
        <w:rPr>
          <w:color w:val="000000"/>
        </w:rPr>
        <w:t>necessitated</w:t>
      </w:r>
      <w:r w:rsidRPr="00612297" w:rsidR="00612297">
        <w:rPr>
          <w:color w:val="000000"/>
        </w:rPr>
        <w:t xml:space="preserve"> extensive collaboration between Treasury</w:t>
      </w:r>
      <w:r>
        <w:rPr>
          <w:color w:val="000000"/>
        </w:rPr>
        <w:t xml:space="preserve"> Office of General Counsel, Department of Justice, and White House Counsel’s office </w:t>
      </w:r>
      <w:r w:rsidRPr="00612297" w:rsidR="00612297">
        <w:rPr>
          <w:color w:val="000000"/>
        </w:rPr>
        <w:t xml:space="preserve">to determine an appropriate approach related to the structuring of the </w:t>
      </w:r>
      <w:r w:rsidR="00F20D68">
        <w:rPr>
          <w:color w:val="000000"/>
        </w:rPr>
        <w:t>CDFI Equitable Recovery Program</w:t>
      </w:r>
      <w:r w:rsidRPr="00612297" w:rsidR="00612297">
        <w:rPr>
          <w:color w:val="000000"/>
        </w:rPr>
        <w:t>. Only after those issues were resolved could Treasury</w:t>
      </w:r>
      <w:r w:rsidR="00612297">
        <w:t xml:space="preserve"> commence with developing the program application and award criteria. </w:t>
      </w:r>
    </w:p>
    <w:p w:rsidR="001C14D0" w:rsidRDefault="001C14D0" w14:paraId="0421AC7F" w14:textId="77777777"/>
    <w:p w:rsidR="00612297" w:rsidRDefault="00612297" w14:paraId="55679A30" w14:textId="1CCD2633">
      <w:r>
        <w:t>As</w:t>
      </w:r>
      <w:r w:rsidR="001C14D0">
        <w:t xml:space="preserve"> a result</w:t>
      </w:r>
      <w:r>
        <w:t xml:space="preserve">, providing these </w:t>
      </w:r>
      <w:r w:rsidR="003D0CC4">
        <w:t>emergency</w:t>
      </w:r>
      <w:r>
        <w:t xml:space="preserve"> funds has been </w:t>
      </w:r>
      <w:r w:rsidR="00D41138">
        <w:t xml:space="preserve">unavoidably </w:t>
      </w:r>
      <w:r>
        <w:t xml:space="preserve">delayed. </w:t>
      </w:r>
      <w:r w:rsidR="002B072E">
        <w:t xml:space="preserve">Now that the program </w:t>
      </w:r>
      <w:r w:rsidR="00BD77B7">
        <w:t xml:space="preserve">design has </w:t>
      </w:r>
      <w:r w:rsidR="00F20D68">
        <w:t>been vetted</w:t>
      </w:r>
      <w:r w:rsidR="002B072E">
        <w:t xml:space="preserve"> and approved</w:t>
      </w:r>
      <w:r w:rsidR="00D969F1">
        <w:t xml:space="preserve"> by </w:t>
      </w:r>
      <w:r w:rsidR="00BD77B7">
        <w:t>pertinent offices</w:t>
      </w:r>
      <w:r w:rsidR="002B072E">
        <w:t>,</w:t>
      </w:r>
      <w:r w:rsidR="004D04A6">
        <w:t xml:space="preserve"> </w:t>
      </w:r>
      <w:r w:rsidR="002B072E">
        <w:t>o</w:t>
      </w:r>
      <w:r w:rsidR="00922091">
        <w:t>ur goal</w:t>
      </w:r>
      <w:r w:rsidR="002B3348">
        <w:t xml:space="preserve"> is</w:t>
      </w:r>
      <w:r w:rsidR="00922091">
        <w:t xml:space="preserve"> to disseminate these</w:t>
      </w:r>
      <w:r w:rsidR="00BD77B7">
        <w:t xml:space="preserve"> emergency</w:t>
      </w:r>
      <w:r w:rsidR="00922091">
        <w:t xml:space="preserve"> funds expedi</w:t>
      </w:r>
      <w:r w:rsidR="002B3348">
        <w:t>tiously to mitigate the economic hardship</w:t>
      </w:r>
      <w:r w:rsidR="00F8550B">
        <w:t xml:space="preserve"> still being experienced</w:t>
      </w:r>
      <w:r w:rsidR="00046CAE">
        <w:t xml:space="preserve"> </w:t>
      </w:r>
      <w:r w:rsidR="00F8550B">
        <w:t>by</w:t>
      </w:r>
      <w:r w:rsidR="00D93B27">
        <w:t xml:space="preserve"> communities and borrowers</w:t>
      </w:r>
      <w:r w:rsidR="00046CAE">
        <w:t xml:space="preserve"> </w:t>
      </w:r>
      <w:r w:rsidR="00F8550B">
        <w:t xml:space="preserve">impacted </w:t>
      </w:r>
      <w:r w:rsidR="00F20D68">
        <w:t>by the</w:t>
      </w:r>
      <w:r w:rsidR="002B3348">
        <w:t xml:space="preserve"> COVID-19 </w:t>
      </w:r>
      <w:r w:rsidR="00F20D68">
        <w:t>pandemic (</w:t>
      </w:r>
      <w:r w:rsidR="00D93B27">
        <w:t>e.g., small businesses, at risk tenants and homeowners, small farms)</w:t>
      </w:r>
      <w:r w:rsidR="00F20D68">
        <w:t>.</w:t>
      </w:r>
      <w:r w:rsidR="00D93B27">
        <w:t xml:space="preserve"> </w:t>
      </w:r>
      <w:r w:rsidR="00B47125">
        <w:t xml:space="preserve">Following the normal PRA process would result in continued public harm to potential recipients by further delaying pandemic relief funding that Congress sought to provide through this program. </w:t>
      </w:r>
    </w:p>
    <w:p w:rsidRPr="00905F49" w:rsidR="00142467" w:rsidRDefault="00142467" w14:paraId="242A85D7" w14:textId="5618C3E4">
      <w:pPr>
        <w:rPr>
          <w:rStyle w:val="CommentReference"/>
          <w:sz w:val="24"/>
          <w:szCs w:val="24"/>
        </w:rPr>
      </w:pPr>
    </w:p>
    <w:p w:rsidRPr="00FE5245" w:rsidR="00770A3B" w:rsidRDefault="00437F16" w14:paraId="0E5D6186" w14:textId="1F939435">
      <w:r w:rsidRPr="00FE5245">
        <w:t xml:space="preserve">The CDFI Fund is requesting that OMB </w:t>
      </w:r>
      <w:r w:rsidRPr="00FE5245" w:rsidR="00997C67">
        <w:t>complete</w:t>
      </w:r>
      <w:r w:rsidRPr="00FE5245">
        <w:t xml:space="preserve"> its review by</w:t>
      </w:r>
      <w:r w:rsidR="00814649">
        <w:t xml:space="preserve"> </w:t>
      </w:r>
      <w:r w:rsidR="00404CA5">
        <w:t>June 14</w:t>
      </w:r>
      <w:r w:rsidR="00814649">
        <w:t>, 2022</w:t>
      </w:r>
      <w:r w:rsidR="00B47125">
        <w:t xml:space="preserve"> so that the application round can commence as soon as possible (within two weeks of approval).</w:t>
      </w:r>
    </w:p>
    <w:p w:rsidRPr="00905F49" w:rsidR="003718B0" w:rsidRDefault="003718B0" w14:paraId="2F73120B" w14:textId="77777777"/>
    <w:sectPr w:rsidRPr="00905F49" w:rsidR="003718B0" w:rsidSect="0057585C">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8EEB" w14:textId="77777777" w:rsidR="00A66ADC" w:rsidRDefault="00A66ADC" w:rsidP="00A66ADC">
      <w:r>
        <w:separator/>
      </w:r>
    </w:p>
  </w:endnote>
  <w:endnote w:type="continuationSeparator" w:id="0">
    <w:p w14:paraId="4476413D" w14:textId="77777777" w:rsidR="00A66ADC" w:rsidRDefault="00A66ADC" w:rsidP="00A6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C78D5" w14:textId="77777777" w:rsidR="00A66ADC" w:rsidRDefault="00A66ADC" w:rsidP="00A66ADC">
      <w:r>
        <w:separator/>
      </w:r>
    </w:p>
  </w:footnote>
  <w:footnote w:type="continuationSeparator" w:id="0">
    <w:p w14:paraId="2E1FF7FB" w14:textId="77777777" w:rsidR="00A66ADC" w:rsidRDefault="00A66ADC" w:rsidP="00A66ADC">
      <w:r>
        <w:continuationSeparator/>
      </w:r>
    </w:p>
  </w:footnote>
  <w:footnote w:id="1">
    <w:p w14:paraId="2509E6F3" w14:textId="1C2C83C7" w:rsidR="00D41138" w:rsidRDefault="00D41138">
      <w:pPr>
        <w:pStyle w:val="FootnoteText"/>
      </w:pPr>
      <w:r>
        <w:rPr>
          <w:rStyle w:val="FootnoteReference"/>
        </w:rPr>
        <w:footnoteRef/>
      </w:r>
      <w:r>
        <w:t xml:space="preserve"> </w:t>
      </w:r>
      <w:r>
        <w:rPr>
          <w:rFonts w:ascii="TimesNewRomanPS-ItalicMT" w:hAnsi="TimesNewRomanPS-ItalicMT" w:cs="TimesNewRomanPS-ItalicMT"/>
          <w:i/>
          <w:iCs/>
        </w:rPr>
        <w:t xml:space="preserve">See </w:t>
      </w:r>
      <w:proofErr w:type="spellStart"/>
      <w:r>
        <w:rPr>
          <w:rFonts w:ascii="TimesNewRomanPS-ItalicMT" w:hAnsi="TimesNewRomanPS-ItalicMT" w:cs="TimesNewRomanPS-ItalicMT"/>
          <w:i/>
          <w:iCs/>
        </w:rPr>
        <w:t>Vitolo</w:t>
      </w:r>
      <w:proofErr w:type="spellEnd"/>
      <w:r>
        <w:rPr>
          <w:rFonts w:ascii="TimesNewRomanPS-ItalicMT" w:hAnsi="TimesNewRomanPS-ItalicMT" w:cs="TimesNewRomanPS-ItalicMT"/>
          <w:i/>
          <w:iCs/>
        </w:rPr>
        <w:t xml:space="preserve"> v. Guzman</w:t>
      </w:r>
      <w:r>
        <w:rPr>
          <w:rFonts w:ascii="TimesNewRomanPSMT" w:hAnsi="TimesNewRomanPSMT" w:cs="TimesNewRomanPSMT"/>
        </w:rPr>
        <w:t xml:space="preserve">, 999 F.3d 353 (6th Cir. 2021); Decision and Order Granting Plaintiffs’ Motion for a Temporary Restraining Order, </w:t>
      </w:r>
      <w:r>
        <w:rPr>
          <w:rFonts w:ascii="TimesNewRomanPS-ItalicMT" w:hAnsi="TimesNewRomanPS-ItalicMT" w:cs="TimesNewRomanPS-ItalicMT"/>
          <w:i/>
          <w:iCs/>
        </w:rPr>
        <w:t>Faust v. Vilsack</w:t>
      </w:r>
      <w:r>
        <w:rPr>
          <w:rFonts w:ascii="TimesNewRomanPSMT" w:hAnsi="TimesNewRomanPSMT" w:cs="TimesNewRomanPSMT"/>
        </w:rPr>
        <w:t>, Case No. 21-C-548 (June 10,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7AC1" w14:textId="384F1B76" w:rsidR="009453CF" w:rsidRDefault="00945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3EC3"/>
    <w:multiLevelType w:val="hybridMultilevel"/>
    <w:tmpl w:val="EE6A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A674F"/>
    <w:multiLevelType w:val="hybridMultilevel"/>
    <w:tmpl w:val="05BC5830"/>
    <w:lvl w:ilvl="0" w:tplc="68A059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5F67EE"/>
    <w:multiLevelType w:val="hybridMultilevel"/>
    <w:tmpl w:val="DBB8D07C"/>
    <w:lvl w:ilvl="0" w:tplc="B6C63F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D629EE"/>
    <w:multiLevelType w:val="hybridMultilevel"/>
    <w:tmpl w:val="AA66B1DC"/>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225A193D"/>
    <w:multiLevelType w:val="hybridMultilevel"/>
    <w:tmpl w:val="91B6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07F91"/>
    <w:multiLevelType w:val="hybridMultilevel"/>
    <w:tmpl w:val="838C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A190C"/>
    <w:multiLevelType w:val="hybridMultilevel"/>
    <w:tmpl w:val="13EC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E138C"/>
    <w:multiLevelType w:val="hybridMultilevel"/>
    <w:tmpl w:val="312CB966"/>
    <w:lvl w:ilvl="0" w:tplc="04090003">
      <w:start w:val="1"/>
      <w:numFmt w:val="bullet"/>
      <w:lvlText w:val="o"/>
      <w:lvlJc w:val="left"/>
      <w:pPr>
        <w:ind w:left="3330" w:hanging="360"/>
      </w:pPr>
      <w:rPr>
        <w:rFonts w:ascii="Courier New" w:hAnsi="Courier New" w:cs="Courier New"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8" w15:restartNumberingAfterBreak="0">
    <w:nsid w:val="4B6361D3"/>
    <w:multiLevelType w:val="hybridMultilevel"/>
    <w:tmpl w:val="F3BAE908"/>
    <w:lvl w:ilvl="0" w:tplc="5FCEFAFC">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065E9"/>
    <w:multiLevelType w:val="hybridMultilevel"/>
    <w:tmpl w:val="C63C7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601BCA"/>
    <w:multiLevelType w:val="hybridMultilevel"/>
    <w:tmpl w:val="7EB2197E"/>
    <w:lvl w:ilvl="0" w:tplc="0409000B">
      <w:start w:val="1"/>
      <w:numFmt w:val="bullet"/>
      <w:lvlText w:val=""/>
      <w:lvlJc w:val="left"/>
      <w:pPr>
        <w:ind w:left="1320" w:hanging="360"/>
      </w:pPr>
      <w:rPr>
        <w:rFonts w:ascii="Wingdings" w:hAnsi="Wingdings"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11" w15:restartNumberingAfterBreak="0">
    <w:nsid w:val="64391993"/>
    <w:multiLevelType w:val="hybridMultilevel"/>
    <w:tmpl w:val="9D72B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70239"/>
    <w:multiLevelType w:val="hybridMultilevel"/>
    <w:tmpl w:val="DE64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3F132A"/>
    <w:multiLevelType w:val="hybridMultilevel"/>
    <w:tmpl w:val="391EB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4B0C6B"/>
    <w:multiLevelType w:val="hybridMultilevel"/>
    <w:tmpl w:val="4776C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6C81B81"/>
    <w:multiLevelType w:val="hybridMultilevel"/>
    <w:tmpl w:val="C1C0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BF1B5E"/>
    <w:multiLevelType w:val="hybridMultilevel"/>
    <w:tmpl w:val="82824502"/>
    <w:lvl w:ilvl="0" w:tplc="FEF22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13"/>
  </w:num>
  <w:num w:numId="4">
    <w:abstractNumId w:val="9"/>
  </w:num>
  <w:num w:numId="5">
    <w:abstractNumId w:val="10"/>
  </w:num>
  <w:num w:numId="6">
    <w:abstractNumId w:val="10"/>
  </w:num>
  <w:num w:numId="7">
    <w:abstractNumId w:val="5"/>
  </w:num>
  <w:num w:numId="8">
    <w:abstractNumId w:val="2"/>
  </w:num>
  <w:num w:numId="9">
    <w:abstractNumId w:val="1"/>
  </w:num>
  <w:num w:numId="10">
    <w:abstractNumId w:val="12"/>
  </w:num>
  <w:num w:numId="11">
    <w:abstractNumId w:val="4"/>
  </w:num>
  <w:num w:numId="12">
    <w:abstractNumId w:val="11"/>
  </w:num>
  <w:num w:numId="13">
    <w:abstractNumId w:val="3"/>
  </w:num>
  <w:num w:numId="14">
    <w:abstractNumId w:val="7"/>
  </w:num>
  <w:num w:numId="15">
    <w:abstractNumId w:val="15"/>
  </w:num>
  <w:num w:numId="16">
    <w:abstractNumId w:val="14"/>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35"/>
    <w:rsid w:val="000124F3"/>
    <w:rsid w:val="0001321A"/>
    <w:rsid w:val="000200DA"/>
    <w:rsid w:val="0002306B"/>
    <w:rsid w:val="0003114B"/>
    <w:rsid w:val="000333E0"/>
    <w:rsid w:val="00046CAE"/>
    <w:rsid w:val="00055C1B"/>
    <w:rsid w:val="00062633"/>
    <w:rsid w:val="00062D7A"/>
    <w:rsid w:val="0007441B"/>
    <w:rsid w:val="0007778E"/>
    <w:rsid w:val="00084140"/>
    <w:rsid w:val="000A1561"/>
    <w:rsid w:val="000A4C31"/>
    <w:rsid w:val="000B57F1"/>
    <w:rsid w:val="000B5B9D"/>
    <w:rsid w:val="000B5D7A"/>
    <w:rsid w:val="000C22BA"/>
    <w:rsid w:val="000C6088"/>
    <w:rsid w:val="000D626C"/>
    <w:rsid w:val="000E1946"/>
    <w:rsid w:val="000E4E59"/>
    <w:rsid w:val="000F237F"/>
    <w:rsid w:val="001035CD"/>
    <w:rsid w:val="001053CB"/>
    <w:rsid w:val="001115C9"/>
    <w:rsid w:val="00111EDF"/>
    <w:rsid w:val="00113814"/>
    <w:rsid w:val="001232E9"/>
    <w:rsid w:val="00126A44"/>
    <w:rsid w:val="00131543"/>
    <w:rsid w:val="00136732"/>
    <w:rsid w:val="001405ED"/>
    <w:rsid w:val="0014081C"/>
    <w:rsid w:val="00142467"/>
    <w:rsid w:val="001510FC"/>
    <w:rsid w:val="00154357"/>
    <w:rsid w:val="00154FAD"/>
    <w:rsid w:val="001666C8"/>
    <w:rsid w:val="00171EA6"/>
    <w:rsid w:val="001748AE"/>
    <w:rsid w:val="00184C48"/>
    <w:rsid w:val="00190342"/>
    <w:rsid w:val="001A79EA"/>
    <w:rsid w:val="001A7B23"/>
    <w:rsid w:val="001B2DED"/>
    <w:rsid w:val="001B308C"/>
    <w:rsid w:val="001C14D0"/>
    <w:rsid w:val="001E0189"/>
    <w:rsid w:val="001E6536"/>
    <w:rsid w:val="001F57CF"/>
    <w:rsid w:val="001F7244"/>
    <w:rsid w:val="00203011"/>
    <w:rsid w:val="002159DD"/>
    <w:rsid w:val="00247B3B"/>
    <w:rsid w:val="00250C68"/>
    <w:rsid w:val="00252850"/>
    <w:rsid w:val="002716E7"/>
    <w:rsid w:val="0027192D"/>
    <w:rsid w:val="0027197D"/>
    <w:rsid w:val="00272A01"/>
    <w:rsid w:val="00275028"/>
    <w:rsid w:val="00283095"/>
    <w:rsid w:val="00284AC1"/>
    <w:rsid w:val="00297B40"/>
    <w:rsid w:val="002A2438"/>
    <w:rsid w:val="002A3580"/>
    <w:rsid w:val="002A587B"/>
    <w:rsid w:val="002B072E"/>
    <w:rsid w:val="002B237E"/>
    <w:rsid w:val="002B3348"/>
    <w:rsid w:val="002C0270"/>
    <w:rsid w:val="002C0C0E"/>
    <w:rsid w:val="002D0B0E"/>
    <w:rsid w:val="002E2DC4"/>
    <w:rsid w:val="00300B8C"/>
    <w:rsid w:val="00300E2A"/>
    <w:rsid w:val="003012A6"/>
    <w:rsid w:val="00305736"/>
    <w:rsid w:val="0032497E"/>
    <w:rsid w:val="003253AA"/>
    <w:rsid w:val="00326976"/>
    <w:rsid w:val="003353A5"/>
    <w:rsid w:val="003447CB"/>
    <w:rsid w:val="00351A64"/>
    <w:rsid w:val="00355DB7"/>
    <w:rsid w:val="003614A3"/>
    <w:rsid w:val="003642EE"/>
    <w:rsid w:val="00370972"/>
    <w:rsid w:val="003718B0"/>
    <w:rsid w:val="00371B2C"/>
    <w:rsid w:val="00371E6B"/>
    <w:rsid w:val="00375D63"/>
    <w:rsid w:val="00384752"/>
    <w:rsid w:val="003862D8"/>
    <w:rsid w:val="00387203"/>
    <w:rsid w:val="00394C2F"/>
    <w:rsid w:val="00397496"/>
    <w:rsid w:val="00397DA3"/>
    <w:rsid w:val="003A52E0"/>
    <w:rsid w:val="003C4763"/>
    <w:rsid w:val="003D0CC4"/>
    <w:rsid w:val="003D7906"/>
    <w:rsid w:val="003F4E3B"/>
    <w:rsid w:val="00400CD7"/>
    <w:rsid w:val="00401A75"/>
    <w:rsid w:val="0040451F"/>
    <w:rsid w:val="00404CA5"/>
    <w:rsid w:val="004152DC"/>
    <w:rsid w:val="00415717"/>
    <w:rsid w:val="00417A5B"/>
    <w:rsid w:val="00417B55"/>
    <w:rsid w:val="004220E0"/>
    <w:rsid w:val="004319E5"/>
    <w:rsid w:val="00437F16"/>
    <w:rsid w:val="00441767"/>
    <w:rsid w:val="0044255E"/>
    <w:rsid w:val="00446B7B"/>
    <w:rsid w:val="00463E2F"/>
    <w:rsid w:val="00467B57"/>
    <w:rsid w:val="00474445"/>
    <w:rsid w:val="00486B38"/>
    <w:rsid w:val="00492B89"/>
    <w:rsid w:val="004B196F"/>
    <w:rsid w:val="004B68A2"/>
    <w:rsid w:val="004C17E9"/>
    <w:rsid w:val="004C349A"/>
    <w:rsid w:val="004D04A6"/>
    <w:rsid w:val="004E31FE"/>
    <w:rsid w:val="004E37E2"/>
    <w:rsid w:val="004E5A18"/>
    <w:rsid w:val="004E5B12"/>
    <w:rsid w:val="00506C8D"/>
    <w:rsid w:val="005124FB"/>
    <w:rsid w:val="0052679D"/>
    <w:rsid w:val="00526AD3"/>
    <w:rsid w:val="00531493"/>
    <w:rsid w:val="00533479"/>
    <w:rsid w:val="005368D8"/>
    <w:rsid w:val="00541E4B"/>
    <w:rsid w:val="005427EB"/>
    <w:rsid w:val="005435BC"/>
    <w:rsid w:val="00551686"/>
    <w:rsid w:val="00554126"/>
    <w:rsid w:val="00560DC4"/>
    <w:rsid w:val="00575010"/>
    <w:rsid w:val="005753EA"/>
    <w:rsid w:val="0057585C"/>
    <w:rsid w:val="00576943"/>
    <w:rsid w:val="0058395E"/>
    <w:rsid w:val="00590E98"/>
    <w:rsid w:val="0059243F"/>
    <w:rsid w:val="005B4FE4"/>
    <w:rsid w:val="005B6358"/>
    <w:rsid w:val="005E215C"/>
    <w:rsid w:val="005E61D9"/>
    <w:rsid w:val="005F109D"/>
    <w:rsid w:val="005F1EAF"/>
    <w:rsid w:val="005F47E3"/>
    <w:rsid w:val="0060261B"/>
    <w:rsid w:val="00607B0A"/>
    <w:rsid w:val="00612297"/>
    <w:rsid w:val="00616FD7"/>
    <w:rsid w:val="00630859"/>
    <w:rsid w:val="006333C3"/>
    <w:rsid w:val="006770CF"/>
    <w:rsid w:val="00684F47"/>
    <w:rsid w:val="006A5DD7"/>
    <w:rsid w:val="006B721A"/>
    <w:rsid w:val="006C3B30"/>
    <w:rsid w:val="006C673A"/>
    <w:rsid w:val="006E00E5"/>
    <w:rsid w:val="006E7591"/>
    <w:rsid w:val="006E7AAE"/>
    <w:rsid w:val="006F6CB5"/>
    <w:rsid w:val="006F708E"/>
    <w:rsid w:val="007279AA"/>
    <w:rsid w:val="00741C23"/>
    <w:rsid w:val="00770A3B"/>
    <w:rsid w:val="00774B80"/>
    <w:rsid w:val="00783B10"/>
    <w:rsid w:val="00785735"/>
    <w:rsid w:val="00796553"/>
    <w:rsid w:val="007A13A7"/>
    <w:rsid w:val="007C4D08"/>
    <w:rsid w:val="007E7024"/>
    <w:rsid w:val="0081425A"/>
    <w:rsid w:val="008145E3"/>
    <w:rsid w:val="00814649"/>
    <w:rsid w:val="00830144"/>
    <w:rsid w:val="00833E8B"/>
    <w:rsid w:val="00834425"/>
    <w:rsid w:val="00836A64"/>
    <w:rsid w:val="00845C04"/>
    <w:rsid w:val="008461B7"/>
    <w:rsid w:val="0084650C"/>
    <w:rsid w:val="008467BE"/>
    <w:rsid w:val="00846B8C"/>
    <w:rsid w:val="008535BE"/>
    <w:rsid w:val="00860074"/>
    <w:rsid w:val="00872571"/>
    <w:rsid w:val="008A4E6B"/>
    <w:rsid w:val="008B4F92"/>
    <w:rsid w:val="008B7864"/>
    <w:rsid w:val="008C2EC8"/>
    <w:rsid w:val="008D0007"/>
    <w:rsid w:val="008D281A"/>
    <w:rsid w:val="008E2EF1"/>
    <w:rsid w:val="008E7AE8"/>
    <w:rsid w:val="008E7DB1"/>
    <w:rsid w:val="008F43FF"/>
    <w:rsid w:val="008F59FD"/>
    <w:rsid w:val="00905575"/>
    <w:rsid w:val="00905F49"/>
    <w:rsid w:val="00912F51"/>
    <w:rsid w:val="00914702"/>
    <w:rsid w:val="00922091"/>
    <w:rsid w:val="0092411B"/>
    <w:rsid w:val="00933289"/>
    <w:rsid w:val="00941141"/>
    <w:rsid w:val="00941637"/>
    <w:rsid w:val="009453CF"/>
    <w:rsid w:val="00946BCE"/>
    <w:rsid w:val="0097363E"/>
    <w:rsid w:val="00991B05"/>
    <w:rsid w:val="00996F49"/>
    <w:rsid w:val="00997C67"/>
    <w:rsid w:val="009B2DEB"/>
    <w:rsid w:val="009B2E8E"/>
    <w:rsid w:val="009B344E"/>
    <w:rsid w:val="009C35FB"/>
    <w:rsid w:val="009D2471"/>
    <w:rsid w:val="009F2336"/>
    <w:rsid w:val="00A015A4"/>
    <w:rsid w:val="00A145E4"/>
    <w:rsid w:val="00A36FD9"/>
    <w:rsid w:val="00A42153"/>
    <w:rsid w:val="00A42944"/>
    <w:rsid w:val="00A4635D"/>
    <w:rsid w:val="00A50386"/>
    <w:rsid w:val="00A5119D"/>
    <w:rsid w:val="00A66ADC"/>
    <w:rsid w:val="00A75D8F"/>
    <w:rsid w:val="00A774F2"/>
    <w:rsid w:val="00A83E79"/>
    <w:rsid w:val="00A95A83"/>
    <w:rsid w:val="00A96D99"/>
    <w:rsid w:val="00A97082"/>
    <w:rsid w:val="00AA7AA7"/>
    <w:rsid w:val="00AB5012"/>
    <w:rsid w:val="00AB5229"/>
    <w:rsid w:val="00AC6A65"/>
    <w:rsid w:val="00AD532B"/>
    <w:rsid w:val="00AD5B57"/>
    <w:rsid w:val="00AD753E"/>
    <w:rsid w:val="00AE239C"/>
    <w:rsid w:val="00AE2B72"/>
    <w:rsid w:val="00AE487F"/>
    <w:rsid w:val="00AF066D"/>
    <w:rsid w:val="00AF0CA0"/>
    <w:rsid w:val="00B01153"/>
    <w:rsid w:val="00B1054B"/>
    <w:rsid w:val="00B10E3E"/>
    <w:rsid w:val="00B124F7"/>
    <w:rsid w:val="00B22D5D"/>
    <w:rsid w:val="00B338E3"/>
    <w:rsid w:val="00B4248D"/>
    <w:rsid w:val="00B43FE8"/>
    <w:rsid w:val="00B45DB1"/>
    <w:rsid w:val="00B47125"/>
    <w:rsid w:val="00B50CB6"/>
    <w:rsid w:val="00B53FAD"/>
    <w:rsid w:val="00B61308"/>
    <w:rsid w:val="00B63AD4"/>
    <w:rsid w:val="00B90DA0"/>
    <w:rsid w:val="00B91237"/>
    <w:rsid w:val="00BA2979"/>
    <w:rsid w:val="00BC6FB1"/>
    <w:rsid w:val="00BD2F13"/>
    <w:rsid w:val="00BD77B7"/>
    <w:rsid w:val="00BE2C9F"/>
    <w:rsid w:val="00BE4D1E"/>
    <w:rsid w:val="00C02362"/>
    <w:rsid w:val="00C06426"/>
    <w:rsid w:val="00C11EF8"/>
    <w:rsid w:val="00C1422C"/>
    <w:rsid w:val="00C51874"/>
    <w:rsid w:val="00C6001F"/>
    <w:rsid w:val="00C640B3"/>
    <w:rsid w:val="00C71BE6"/>
    <w:rsid w:val="00C746F7"/>
    <w:rsid w:val="00C86672"/>
    <w:rsid w:val="00C878B8"/>
    <w:rsid w:val="00CB3582"/>
    <w:rsid w:val="00CB5025"/>
    <w:rsid w:val="00CB74B5"/>
    <w:rsid w:val="00CC0F30"/>
    <w:rsid w:val="00CF0B99"/>
    <w:rsid w:val="00D01347"/>
    <w:rsid w:val="00D04E0C"/>
    <w:rsid w:val="00D058B2"/>
    <w:rsid w:val="00D21EBC"/>
    <w:rsid w:val="00D222DB"/>
    <w:rsid w:val="00D258AB"/>
    <w:rsid w:val="00D31D47"/>
    <w:rsid w:val="00D33EE6"/>
    <w:rsid w:val="00D41138"/>
    <w:rsid w:val="00D41711"/>
    <w:rsid w:val="00D4321A"/>
    <w:rsid w:val="00D546CF"/>
    <w:rsid w:val="00D56B4E"/>
    <w:rsid w:val="00D71B0A"/>
    <w:rsid w:val="00D82D4E"/>
    <w:rsid w:val="00D84C8E"/>
    <w:rsid w:val="00D91548"/>
    <w:rsid w:val="00D93869"/>
    <w:rsid w:val="00D93B27"/>
    <w:rsid w:val="00D960D4"/>
    <w:rsid w:val="00D969F1"/>
    <w:rsid w:val="00DB20AB"/>
    <w:rsid w:val="00DC1A25"/>
    <w:rsid w:val="00DC1ABE"/>
    <w:rsid w:val="00DC59AE"/>
    <w:rsid w:val="00DD5695"/>
    <w:rsid w:val="00DF126C"/>
    <w:rsid w:val="00DF2E30"/>
    <w:rsid w:val="00DF6755"/>
    <w:rsid w:val="00E07888"/>
    <w:rsid w:val="00E1208D"/>
    <w:rsid w:val="00E12164"/>
    <w:rsid w:val="00E13503"/>
    <w:rsid w:val="00E225F8"/>
    <w:rsid w:val="00E278C5"/>
    <w:rsid w:val="00E30040"/>
    <w:rsid w:val="00E318FE"/>
    <w:rsid w:val="00E336F2"/>
    <w:rsid w:val="00E417D7"/>
    <w:rsid w:val="00E64550"/>
    <w:rsid w:val="00E6658B"/>
    <w:rsid w:val="00E73E03"/>
    <w:rsid w:val="00E76735"/>
    <w:rsid w:val="00E8009C"/>
    <w:rsid w:val="00E92449"/>
    <w:rsid w:val="00E96F21"/>
    <w:rsid w:val="00EA6A9F"/>
    <w:rsid w:val="00EA7975"/>
    <w:rsid w:val="00EB120F"/>
    <w:rsid w:val="00EC2597"/>
    <w:rsid w:val="00ED2937"/>
    <w:rsid w:val="00ED53ED"/>
    <w:rsid w:val="00ED5F8B"/>
    <w:rsid w:val="00EF5485"/>
    <w:rsid w:val="00F0444A"/>
    <w:rsid w:val="00F20D68"/>
    <w:rsid w:val="00F25A5D"/>
    <w:rsid w:val="00F31204"/>
    <w:rsid w:val="00F34C6B"/>
    <w:rsid w:val="00F574D7"/>
    <w:rsid w:val="00F655F7"/>
    <w:rsid w:val="00F72F19"/>
    <w:rsid w:val="00F74BC8"/>
    <w:rsid w:val="00F8550B"/>
    <w:rsid w:val="00F93E95"/>
    <w:rsid w:val="00FB1388"/>
    <w:rsid w:val="00FB2A57"/>
    <w:rsid w:val="00FB5408"/>
    <w:rsid w:val="00FB5AD8"/>
    <w:rsid w:val="00FC11EF"/>
    <w:rsid w:val="00FC2B84"/>
    <w:rsid w:val="00FC44BF"/>
    <w:rsid w:val="00FD155D"/>
    <w:rsid w:val="00FD4A5B"/>
    <w:rsid w:val="00FD6666"/>
    <w:rsid w:val="00FE1A3B"/>
    <w:rsid w:val="00FE5245"/>
    <w:rsid w:val="00FE6599"/>
    <w:rsid w:val="00FE7FDA"/>
    <w:rsid w:val="00FF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59AB0B"/>
  <w15:docId w15:val="{EB35F47D-0B71-439F-AF59-56282313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C6A65"/>
    <w:pPr>
      <w:shd w:val="clear" w:color="auto" w:fill="000080"/>
    </w:pPr>
    <w:rPr>
      <w:rFonts w:ascii="Tahoma" w:hAnsi="Tahoma" w:cs="Tahoma"/>
    </w:rPr>
  </w:style>
  <w:style w:type="paragraph" w:styleId="BalloonText">
    <w:name w:val="Balloon Text"/>
    <w:basedOn w:val="Normal"/>
    <w:semiHidden/>
    <w:rsid w:val="00554126"/>
    <w:rPr>
      <w:rFonts w:ascii="Tahoma" w:hAnsi="Tahoma" w:cs="Tahoma"/>
      <w:sz w:val="16"/>
      <w:szCs w:val="16"/>
    </w:rPr>
  </w:style>
  <w:style w:type="paragraph" w:styleId="ListParagraph">
    <w:name w:val="List Paragraph"/>
    <w:basedOn w:val="Normal"/>
    <w:uiPriority w:val="34"/>
    <w:qFormat/>
    <w:rsid w:val="00D21EBC"/>
    <w:pPr>
      <w:ind w:left="720"/>
      <w:contextualSpacing/>
    </w:pPr>
  </w:style>
  <w:style w:type="paragraph" w:styleId="NormalWeb">
    <w:name w:val="Normal (Web)"/>
    <w:basedOn w:val="Normal"/>
    <w:uiPriority w:val="99"/>
    <w:unhideWhenUsed/>
    <w:rsid w:val="00FD155D"/>
    <w:pPr>
      <w:spacing w:before="100" w:beforeAutospacing="1" w:after="100" w:afterAutospacing="1"/>
    </w:pPr>
  </w:style>
  <w:style w:type="paragraph" w:customStyle="1" w:styleId="rteindent1">
    <w:name w:val="rteindent1"/>
    <w:basedOn w:val="Normal"/>
    <w:rsid w:val="00FD155D"/>
    <w:pPr>
      <w:spacing w:before="100" w:beforeAutospacing="1" w:after="100" w:afterAutospacing="1"/>
    </w:pPr>
  </w:style>
  <w:style w:type="character" w:styleId="CommentReference">
    <w:name w:val="annotation reference"/>
    <w:rsid w:val="00126A44"/>
    <w:rPr>
      <w:sz w:val="16"/>
      <w:szCs w:val="16"/>
    </w:rPr>
  </w:style>
  <w:style w:type="paragraph" w:styleId="CommentText">
    <w:name w:val="annotation text"/>
    <w:basedOn w:val="Normal"/>
    <w:link w:val="CommentTextChar"/>
    <w:rsid w:val="00126A44"/>
    <w:rPr>
      <w:sz w:val="20"/>
      <w:szCs w:val="20"/>
    </w:rPr>
  </w:style>
  <w:style w:type="character" w:customStyle="1" w:styleId="CommentTextChar">
    <w:name w:val="Comment Text Char"/>
    <w:basedOn w:val="DefaultParagraphFont"/>
    <w:link w:val="CommentText"/>
    <w:rsid w:val="00126A44"/>
  </w:style>
  <w:style w:type="paragraph" w:styleId="CommentSubject">
    <w:name w:val="annotation subject"/>
    <w:basedOn w:val="CommentText"/>
    <w:next w:val="CommentText"/>
    <w:link w:val="CommentSubjectChar"/>
    <w:rsid w:val="00126A44"/>
    <w:rPr>
      <w:b/>
      <w:bCs/>
    </w:rPr>
  </w:style>
  <w:style w:type="character" w:customStyle="1" w:styleId="CommentSubjectChar">
    <w:name w:val="Comment Subject Char"/>
    <w:link w:val="CommentSubject"/>
    <w:rsid w:val="00126A44"/>
    <w:rPr>
      <w:b/>
      <w:bCs/>
    </w:rPr>
  </w:style>
  <w:style w:type="character" w:styleId="Emphasis">
    <w:name w:val="Emphasis"/>
    <w:qFormat/>
    <w:rsid w:val="002A3580"/>
    <w:rPr>
      <w:i/>
      <w:iCs/>
    </w:rPr>
  </w:style>
  <w:style w:type="paragraph" w:styleId="Revision">
    <w:name w:val="Revision"/>
    <w:hidden/>
    <w:uiPriority w:val="99"/>
    <w:semiHidden/>
    <w:rsid w:val="00C746F7"/>
    <w:rPr>
      <w:sz w:val="24"/>
      <w:szCs w:val="24"/>
    </w:rPr>
  </w:style>
  <w:style w:type="character" w:styleId="Hyperlink">
    <w:name w:val="Hyperlink"/>
    <w:basedOn w:val="DefaultParagraphFont"/>
    <w:uiPriority w:val="99"/>
    <w:unhideWhenUsed/>
    <w:rsid w:val="00A66ADC"/>
    <w:rPr>
      <w:color w:val="0000FF" w:themeColor="hyperlink"/>
      <w:u w:val="single"/>
    </w:rPr>
  </w:style>
  <w:style w:type="paragraph" w:styleId="FootnoteText">
    <w:name w:val="footnote text"/>
    <w:basedOn w:val="Normal"/>
    <w:link w:val="FootnoteTextChar"/>
    <w:uiPriority w:val="99"/>
    <w:semiHidden/>
    <w:rsid w:val="00A66ADC"/>
    <w:rPr>
      <w:rFonts w:ascii="Arial" w:hAnsi="Arial"/>
      <w:sz w:val="20"/>
      <w:szCs w:val="20"/>
    </w:rPr>
  </w:style>
  <w:style w:type="character" w:customStyle="1" w:styleId="FootnoteTextChar">
    <w:name w:val="Footnote Text Char"/>
    <w:basedOn w:val="DefaultParagraphFont"/>
    <w:link w:val="FootnoteText"/>
    <w:uiPriority w:val="99"/>
    <w:semiHidden/>
    <w:rsid w:val="00A66ADC"/>
    <w:rPr>
      <w:rFonts w:ascii="Arial" w:hAnsi="Arial"/>
    </w:rPr>
  </w:style>
  <w:style w:type="character" w:styleId="FootnoteReference">
    <w:name w:val="footnote reference"/>
    <w:basedOn w:val="DefaultParagraphFont"/>
    <w:uiPriority w:val="99"/>
    <w:unhideWhenUsed/>
    <w:rsid w:val="00A66ADC"/>
    <w:rPr>
      <w:vertAlign w:val="superscript"/>
    </w:rPr>
  </w:style>
  <w:style w:type="paragraph" w:styleId="Header">
    <w:name w:val="header"/>
    <w:basedOn w:val="Normal"/>
    <w:link w:val="HeaderChar"/>
    <w:unhideWhenUsed/>
    <w:rsid w:val="009453CF"/>
    <w:pPr>
      <w:tabs>
        <w:tab w:val="center" w:pos="4680"/>
        <w:tab w:val="right" w:pos="9360"/>
      </w:tabs>
    </w:pPr>
  </w:style>
  <w:style w:type="character" w:customStyle="1" w:styleId="HeaderChar">
    <w:name w:val="Header Char"/>
    <w:basedOn w:val="DefaultParagraphFont"/>
    <w:link w:val="Header"/>
    <w:rsid w:val="009453CF"/>
    <w:rPr>
      <w:sz w:val="24"/>
      <w:szCs w:val="24"/>
    </w:rPr>
  </w:style>
  <w:style w:type="paragraph" w:styleId="Footer">
    <w:name w:val="footer"/>
    <w:basedOn w:val="Normal"/>
    <w:link w:val="FooterChar"/>
    <w:unhideWhenUsed/>
    <w:rsid w:val="009453CF"/>
    <w:pPr>
      <w:tabs>
        <w:tab w:val="center" w:pos="4680"/>
        <w:tab w:val="right" w:pos="9360"/>
      </w:tabs>
    </w:pPr>
  </w:style>
  <w:style w:type="character" w:customStyle="1" w:styleId="FooterChar">
    <w:name w:val="Footer Char"/>
    <w:basedOn w:val="DefaultParagraphFont"/>
    <w:link w:val="Footer"/>
    <w:rsid w:val="009453CF"/>
    <w:rPr>
      <w:sz w:val="24"/>
      <w:szCs w:val="24"/>
    </w:rPr>
  </w:style>
  <w:style w:type="paragraph" w:customStyle="1" w:styleId="Default">
    <w:name w:val="Default"/>
    <w:rsid w:val="00905F4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47783">
      <w:bodyDiv w:val="1"/>
      <w:marLeft w:val="0"/>
      <w:marRight w:val="0"/>
      <w:marTop w:val="0"/>
      <w:marBottom w:val="0"/>
      <w:divBdr>
        <w:top w:val="none" w:sz="0" w:space="0" w:color="auto"/>
        <w:left w:val="none" w:sz="0" w:space="0" w:color="auto"/>
        <w:bottom w:val="none" w:sz="0" w:space="0" w:color="auto"/>
        <w:right w:val="none" w:sz="0" w:space="0" w:color="auto"/>
      </w:divBdr>
    </w:div>
    <w:div w:id="211624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222ef0-b167-44f5-92f7-438fda0857cd">DOCDFI-355308915-491</_dlc_DocId>
    <_dlc_DocIdUrl xmlns="52222ef0-b167-44f5-92f7-438fda0857cd">
      <Url>https://my.treas.gov/collab/CDFI/CDF_MLP/_layouts/15/DocIdRedir.aspx?ID=DOCDFI-355308915-491</Url>
      <Description>DOCDFI-355308915-491</Description>
    </_dlc_DocIdUrl>
    <SharedWithUsers xmlns="ab03aca8-7830-4463-a11c-853d28e379d0">
      <UserInfo>
        <DisplayName>Sigal, Marcia</DisplayName>
        <AccountId>9551</AccountId>
        <AccountType/>
      </UserInfo>
    </SharedWithUsers>
  </documentManagement>
</p:properties>
</file>

<file path=customXml/item2.xml><?xml version="1.0" encoding="utf-8"?>
<LongProperties xmlns="http://schemas.microsoft.com/office/2006/metadata/longProperties">
  <LongProp xmlns="" name="_dlc_BarcodeImage"><![CDAT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2FDD9894AD7C9749BAF0BF6D98E4118A" ma:contentTypeVersion="1" ma:contentTypeDescription="Create a new document." ma:contentTypeScope="" ma:versionID="400fec84058e739e40186799370ef9a8">
  <xsd:schema xmlns:xsd="http://www.w3.org/2001/XMLSchema" xmlns:xs="http://www.w3.org/2001/XMLSchema" xmlns:p="http://schemas.microsoft.com/office/2006/metadata/properties" xmlns:ns2="52222ef0-b167-44f5-92f7-438fda0857cd" xmlns:ns3="ab03aca8-7830-4463-a11c-853d28e379d0" targetNamespace="http://schemas.microsoft.com/office/2006/metadata/properties" ma:root="true" ma:fieldsID="288d5ed8210e4d8368325cd36d5d1de3" ns2:_="" ns3:_="">
    <xsd:import namespace="52222ef0-b167-44f5-92f7-438fda0857cd"/>
    <xsd:import namespace="ab03aca8-7830-4463-a11c-853d28e379d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03aca8-7830-4463-a11c-853d28e379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E40DB-0E3D-49BD-BEDD-2707D0DE4FCE}">
  <ds:schemaRefs>
    <ds:schemaRef ds:uri="http://www.w3.org/XML/1998/namespace"/>
    <ds:schemaRef ds:uri="ab03aca8-7830-4463-a11c-853d28e379d0"/>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52222ef0-b167-44f5-92f7-438fda0857cd"/>
    <ds:schemaRef ds:uri="http://purl.org/dc/terms/"/>
  </ds:schemaRefs>
</ds:datastoreItem>
</file>

<file path=customXml/itemProps2.xml><?xml version="1.0" encoding="utf-8"?>
<ds:datastoreItem xmlns:ds="http://schemas.openxmlformats.org/officeDocument/2006/customXml" ds:itemID="{AA22B0C7-505F-4A49-A048-800B4BC1FD7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E824B4BA-3864-4263-9DAE-FA9966ED5408}">
  <ds:schemaRefs>
    <ds:schemaRef ds:uri="http://schemas.microsoft.com/sharepoint/v3/contenttype/forms"/>
  </ds:schemaRefs>
</ds:datastoreItem>
</file>

<file path=customXml/itemProps4.xml><?xml version="1.0" encoding="utf-8"?>
<ds:datastoreItem xmlns:ds="http://schemas.openxmlformats.org/officeDocument/2006/customXml" ds:itemID="{F07E0D0D-0C97-4B43-9CB5-75443EC004F9}">
  <ds:schemaRefs>
    <ds:schemaRef ds:uri="http://schemas.microsoft.com/sharepoint/events"/>
  </ds:schemaRefs>
</ds:datastoreItem>
</file>

<file path=customXml/itemProps5.xml><?xml version="1.0" encoding="utf-8"?>
<ds:datastoreItem xmlns:ds="http://schemas.openxmlformats.org/officeDocument/2006/customXml" ds:itemID="{567068A8-124F-44FC-8E17-030857B46214}">
  <ds:schemaRefs>
    <ds:schemaRef ds:uri="http://schemas.openxmlformats.org/officeDocument/2006/bibliography"/>
  </ds:schemaRefs>
</ds:datastoreItem>
</file>

<file path=customXml/itemProps6.xml><?xml version="1.0" encoding="utf-8"?>
<ds:datastoreItem xmlns:ds="http://schemas.openxmlformats.org/officeDocument/2006/customXml" ds:itemID="{ADCF8B22-A880-491B-A813-E0EB04303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ab03aca8-7830-4463-a11c-853d28e37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3769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MEMORANDUM FOR NANI COLORETTI</vt:lpstr>
    </vt:vector>
  </TitlesOfParts>
  <Company>U.S. Treasury Department</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NANI COLORETTI</dc:title>
  <dc:creator>Austin-Douglas, T</dc:creator>
  <cp:keywords>Presidential Memorandum Managing Government Records</cp:keywords>
  <cp:lastModifiedBy>Braswell, Melody</cp:lastModifiedBy>
  <cp:revision>2</cp:revision>
  <cp:lastPrinted>2013-10-24T12:04:00Z</cp:lastPrinted>
  <dcterms:created xsi:type="dcterms:W3CDTF">2022-06-14T19:16:00Z</dcterms:created>
  <dcterms:modified xsi:type="dcterms:W3CDTF">2022-06-14T19:16:00Z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DOPTR-440-1894</vt:lpwstr>
  </property>
  <property fmtid="{D5CDD505-2E9C-101B-9397-08002B2CF9AE}" pid="3" name="_dlc_DocIdItemGuid">
    <vt:lpwstr>cd68c605-b51f-40e8-a609-5c2772f4ea96</vt:lpwstr>
  </property>
  <property fmtid="{D5CDD505-2E9C-101B-9397-08002B2CF9AE}" pid="4" name="_dlc_DocIdUrl">
    <vt:lpwstr>http://thegreen.treas.gov/do/ptr/optr/treasuryrecords/treasurywide/_layouts/DocIdRedir.aspx?ID=DOPTR-440-1894, DOPTR-440-1894</vt:lpwstr>
  </property>
  <property fmtid="{D5CDD505-2E9C-101B-9397-08002B2CF9AE}" pid="5" name="ImageCreateDate">
    <vt:lpwstr/>
  </property>
  <property fmtid="{D5CDD505-2E9C-101B-9397-08002B2CF9AE}" pid="6" name="wic_System_Copyright">
    <vt:lpwstr/>
  </property>
  <property fmtid="{D5CDD505-2E9C-101B-9397-08002B2CF9AE}" pid="7" name="_vti_ItemDeclaredRecord">
    <vt:lpwstr/>
  </property>
  <property fmtid="{D5CDD505-2E9C-101B-9397-08002B2CF9AE}" pid="8" name="_vti_ItemHoldRecordStatus">
    <vt:lpwstr/>
  </property>
  <property fmtid="{D5CDD505-2E9C-101B-9397-08002B2CF9AE}" pid="9" name="ecm_RecordRestrictions">
    <vt:lpwstr/>
  </property>
  <property fmtid="{D5CDD505-2E9C-101B-9397-08002B2CF9AE}" pid="10" name="ItemRetentionFormula">
    <vt:lpwstr/>
  </property>
  <property fmtid="{D5CDD505-2E9C-101B-9397-08002B2CF9AE}" pid="11" name="_dlc_policyId">
    <vt:lpwstr/>
  </property>
  <property fmtid="{D5CDD505-2E9C-101B-9397-08002B2CF9AE}" pid="12" name="_dlc_BarcodeValue">
    <vt:lpwstr>2794528416</vt:lpwstr>
  </property>
  <property fmtid="{D5CDD505-2E9C-101B-9397-08002B2CF9AE}" pid="13" name="_dlc_BarcodePreview">
    <vt:lpwstr>http://thegreen.treas.gov/do/ptr/optr/treasuryrecords/treasurywide/_layouts/barcodeimagefromitem.aspx?ID=1562&amp;list=33eb039b-905b-4edb-8792-f87b49a61a8e, Barcode: 2794528416</vt:lpwstr>
  </property>
  <property fmtid="{D5CDD505-2E9C-101B-9397-08002B2CF9AE}" pid="14" name="TemplateUrl">
    <vt:lpwstr/>
  </property>
  <property fmtid="{D5CDD505-2E9C-101B-9397-08002B2CF9AE}" pid="15" name="Order">
    <vt:lpwstr>147700.000000000</vt:lpwstr>
  </property>
  <property fmtid="{D5CDD505-2E9C-101B-9397-08002B2CF9AE}" pid="16" name="xd_ProgID">
    <vt:lpwstr/>
  </property>
  <property fmtid="{D5CDD505-2E9C-101B-9397-08002B2CF9AE}" pid="17" name="ContentTypeId">
    <vt:lpwstr>0x0101002FDD9894AD7C9749BAF0BF6D98E4118A</vt:lpwstr>
  </property>
  <property fmtid="{D5CDD505-2E9C-101B-9397-08002B2CF9AE}" pid="18" name="lb1ee7eab8c8458ba0f1b02b388ee8c9">
    <vt:lpwstr/>
  </property>
  <property fmtid="{D5CDD505-2E9C-101B-9397-08002B2CF9AE}" pid="19" name="TaxCatchAll">
    <vt:lpwstr/>
  </property>
  <property fmtid="{D5CDD505-2E9C-101B-9397-08002B2CF9AE}" pid="20" name="Report Type">
    <vt:lpwstr/>
  </property>
  <property fmtid="{D5CDD505-2E9C-101B-9397-08002B2CF9AE}" pid="21" name="Record_x0020_Type">
    <vt:lpwstr/>
  </property>
  <property fmtid="{D5CDD505-2E9C-101B-9397-08002B2CF9AE}" pid="22" name="Record Type">
    <vt:lpwstr/>
  </property>
</Properties>
</file>