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8C4AED" w:rsidRPr="002E0F21" w:rsidP="008C4AED" w14:paraId="10CE6C21" w14:textId="1BEDBC5C">
      <w:pPr>
        <w:pStyle w:val="Heading4"/>
        <w:rPr>
          <w:rFonts w:ascii="Times New Roman" w:hAnsi="Times New Roman" w:cs="Times New Roman"/>
          <w:bCs/>
        </w:rPr>
      </w:pPr>
      <w:r w:rsidRPr="002E0F21">
        <w:rPr>
          <w:rFonts w:ascii="Times New Roman" w:hAnsi="Times New Roman" w:cs="Times New Roman"/>
        </w:rPr>
        <w:t xml:space="preserve">Paperwork Reduction Act Submission </w:t>
      </w:r>
      <w:r w:rsidRPr="002E0F21">
        <w:rPr>
          <w:rFonts w:ascii="Times New Roman" w:hAnsi="Times New Roman" w:cs="Times New Roman"/>
          <w:bCs/>
        </w:rPr>
        <w:t>Supporting Statement</w:t>
      </w:r>
    </w:p>
    <w:p w:rsidR="008C4AED" w:rsidRPr="002E0F21" w:rsidP="00EA708F" w14:paraId="3DF65FD2" w14:textId="77777777">
      <w:pPr>
        <w:spacing w:before="360" w:after="0" w:line="240" w:lineRule="auto"/>
        <w:jc w:val="center"/>
        <w:rPr>
          <w:rFonts w:ascii="Times New Roman" w:hAnsi="Times New Roman" w:cs="Times New Roman"/>
          <w:b/>
          <w:bCs/>
          <w:sz w:val="28"/>
        </w:rPr>
      </w:pPr>
      <w:r w:rsidRPr="002E0F21">
        <w:rPr>
          <w:rFonts w:ascii="Times New Roman" w:hAnsi="Times New Roman" w:cs="Times New Roman"/>
          <w:b/>
          <w:bCs/>
          <w:sz w:val="28"/>
        </w:rPr>
        <w:t>Annual Mandatory Collection of Elementary and Secondary</w:t>
      </w:r>
    </w:p>
    <w:p w:rsidR="008C4AED" w:rsidRPr="002E0F21" w:rsidP="00EA708F" w14:paraId="2FC6D5CE" w14:textId="302F646F">
      <w:pPr>
        <w:spacing w:after="480" w:line="240" w:lineRule="auto"/>
        <w:jc w:val="center"/>
        <w:rPr>
          <w:rFonts w:ascii="Times New Roman" w:hAnsi="Times New Roman" w:cs="Times New Roman"/>
          <w:b/>
          <w:bCs/>
          <w:noProof/>
          <w:sz w:val="28"/>
        </w:rPr>
      </w:pPr>
      <w:r w:rsidRPr="002E0F21">
        <w:rPr>
          <w:rFonts w:ascii="Times New Roman" w:hAnsi="Times New Roman" w:cs="Times New Roman"/>
          <w:b/>
          <w:bCs/>
          <w:sz w:val="28"/>
        </w:rPr>
        <w:t xml:space="preserve">Education Data through </w:t>
      </w:r>
      <w:r w:rsidR="00D73066">
        <w:rPr>
          <w:rFonts w:ascii="Times New Roman" w:hAnsi="Times New Roman" w:cs="Times New Roman"/>
          <w:b/>
          <w:bCs/>
          <w:noProof/>
          <w:sz w:val="28"/>
        </w:rPr>
        <w:t>the Consolidated State Performance Report</w:t>
      </w:r>
    </w:p>
    <w:p w:rsidR="008C4AED" w:rsidRPr="00D32EF1" w:rsidP="008C4AED" w14:paraId="2D63F9CD" w14:textId="32EC8EC0">
      <w:pPr>
        <w:jc w:val="center"/>
        <w:rPr>
          <w:rFonts w:ascii="Times New Roman" w:hAnsi="Times New Roman" w:cs="Times New Roman"/>
          <w:b/>
          <w:bCs/>
          <w:noProof/>
          <w:sz w:val="28"/>
        </w:rPr>
      </w:pPr>
      <w:r>
        <w:rPr>
          <w:rFonts w:ascii="Times New Roman" w:hAnsi="Times New Roman"/>
          <w:b/>
          <w:bCs/>
          <w:noProof/>
          <w:sz w:val="28"/>
        </w:rPr>
        <w:t>October</w:t>
      </w:r>
      <w:r w:rsidR="008169DE">
        <w:rPr>
          <w:rFonts w:ascii="Times New Roman" w:hAnsi="Times New Roman"/>
          <w:b/>
          <w:bCs/>
          <w:noProof/>
          <w:sz w:val="28"/>
        </w:rPr>
        <w:t xml:space="preserve"> 2022</w:t>
      </w:r>
    </w:p>
    <w:p w:rsidR="008C4AED" w:rsidRPr="008C4AED" w:rsidP="008C4AED" w14:paraId="542527AF" w14:textId="271B635B">
      <w:pPr>
        <w:pBdr>
          <w:top w:val="dotted" w:sz="2" w:space="0" w:color="833C0B"/>
          <w:bottom w:val="dotted" w:sz="2" w:space="6" w:color="833C0B"/>
        </w:pBdr>
        <w:spacing w:before="500" w:after="300" w:line="240" w:lineRule="auto"/>
        <w:jc w:val="center"/>
        <w:rPr>
          <w:rFonts w:ascii="Times New Roman" w:eastAsia="Times New Roman" w:hAnsi="Times New Roman" w:cs="Times New Roman"/>
          <w:color w:val="823B0B"/>
          <w:spacing w:val="5"/>
          <w:sz w:val="44"/>
          <w:szCs w:val="44"/>
          <w:u w:color="823B0B"/>
          <w:lang w:bidi="en-US"/>
        </w:rPr>
      </w:pPr>
      <w:r w:rsidRPr="008C4AED">
        <w:rPr>
          <w:rFonts w:ascii="Times New Roman" w:eastAsia="Times New Roman" w:hAnsi="Times New Roman" w:cs="Times New Roman"/>
          <w:color w:val="823B0B"/>
          <w:spacing w:val="5"/>
          <w:sz w:val="44"/>
          <w:szCs w:val="44"/>
          <w:u w:color="823B0B"/>
          <w:lang w:bidi="en-US"/>
        </w:rPr>
        <w:t xml:space="preserve">Attachment </w:t>
      </w:r>
      <w:r w:rsidR="00C54936">
        <w:rPr>
          <w:rFonts w:ascii="Times New Roman" w:eastAsia="Times New Roman" w:hAnsi="Times New Roman" w:cs="Times New Roman"/>
          <w:color w:val="823B0B"/>
          <w:spacing w:val="5"/>
          <w:sz w:val="44"/>
          <w:szCs w:val="44"/>
          <w:u w:color="823B0B"/>
          <w:lang w:bidi="en-US"/>
        </w:rPr>
        <w:t>A</w:t>
      </w:r>
    </w:p>
    <w:p w:rsidR="008C4AED" w:rsidRPr="00C97DE5" w:rsidP="00C97DE5" w14:paraId="4286AEA5" w14:textId="6DA1F50F">
      <w:pPr>
        <w:pStyle w:val="BodyText"/>
        <w:spacing w:after="0" w:line="240" w:lineRule="auto"/>
        <w:jc w:val="center"/>
        <w:rPr>
          <w:rFonts w:ascii="Times New Roman" w:hAnsi="Times New Roman"/>
          <w:b/>
          <w:bCs/>
          <w:szCs w:val="72"/>
        </w:rPr>
      </w:pPr>
      <w:r>
        <w:rPr>
          <w:rFonts w:ascii="Times New Roman" w:hAnsi="Times New Roman" w:cs="Times New Roman"/>
          <w:b/>
          <w:bCs/>
          <w:szCs w:val="72"/>
        </w:rPr>
        <w:t>Consolidated State Performance Report</w:t>
      </w:r>
      <w:r w:rsidRPr="00BF6102">
        <w:t xml:space="preserve"> </w:t>
      </w:r>
      <w:r w:rsidRPr="00BF6102">
        <w:rPr>
          <w:rFonts w:ascii="Times New Roman" w:hAnsi="Times New Roman" w:cs="Times New Roman"/>
          <w:b/>
          <w:bCs/>
          <w:szCs w:val="72"/>
        </w:rPr>
        <w:t>for School Years 20</w:t>
      </w:r>
      <w:r>
        <w:rPr>
          <w:rFonts w:ascii="Times New Roman" w:hAnsi="Times New Roman" w:cs="Times New Roman"/>
          <w:b/>
          <w:bCs/>
          <w:szCs w:val="72"/>
        </w:rPr>
        <w:t>22</w:t>
      </w:r>
      <w:r w:rsidRPr="00BF6102">
        <w:rPr>
          <w:rFonts w:ascii="Times New Roman" w:hAnsi="Times New Roman" w:cs="Times New Roman"/>
          <w:b/>
          <w:bCs/>
          <w:szCs w:val="72"/>
        </w:rPr>
        <w:t>-</w:t>
      </w:r>
      <w:r>
        <w:rPr>
          <w:rFonts w:ascii="Times New Roman" w:hAnsi="Times New Roman" w:cs="Times New Roman"/>
          <w:b/>
          <w:bCs/>
          <w:szCs w:val="72"/>
        </w:rPr>
        <w:t>23</w:t>
      </w:r>
      <w:r w:rsidRPr="00BF6102">
        <w:rPr>
          <w:rFonts w:ascii="Times New Roman" w:hAnsi="Times New Roman" w:cs="Times New Roman"/>
          <w:b/>
          <w:bCs/>
          <w:szCs w:val="72"/>
        </w:rPr>
        <w:t>, 20</w:t>
      </w:r>
      <w:r>
        <w:rPr>
          <w:rFonts w:ascii="Times New Roman" w:hAnsi="Times New Roman" w:cs="Times New Roman"/>
          <w:b/>
          <w:bCs/>
          <w:szCs w:val="72"/>
        </w:rPr>
        <w:t>23</w:t>
      </w:r>
      <w:r w:rsidRPr="00BF6102">
        <w:rPr>
          <w:rFonts w:ascii="Times New Roman" w:hAnsi="Times New Roman" w:cs="Times New Roman"/>
          <w:b/>
          <w:bCs/>
          <w:szCs w:val="72"/>
        </w:rPr>
        <w:t>-</w:t>
      </w:r>
      <w:r>
        <w:rPr>
          <w:rFonts w:ascii="Times New Roman" w:hAnsi="Times New Roman" w:cs="Times New Roman"/>
          <w:b/>
          <w:bCs/>
          <w:szCs w:val="72"/>
        </w:rPr>
        <w:t>24</w:t>
      </w:r>
      <w:r w:rsidRPr="00BF6102">
        <w:rPr>
          <w:rFonts w:ascii="Times New Roman" w:hAnsi="Times New Roman" w:cs="Times New Roman"/>
          <w:b/>
          <w:bCs/>
          <w:szCs w:val="72"/>
        </w:rPr>
        <w:t>, and 20</w:t>
      </w:r>
      <w:r>
        <w:rPr>
          <w:rFonts w:ascii="Times New Roman" w:hAnsi="Times New Roman" w:cs="Times New Roman"/>
          <w:b/>
          <w:bCs/>
          <w:szCs w:val="72"/>
        </w:rPr>
        <w:t>24</w:t>
      </w:r>
      <w:r w:rsidRPr="00BF6102">
        <w:rPr>
          <w:rFonts w:ascii="Times New Roman" w:hAnsi="Times New Roman" w:cs="Times New Roman"/>
          <w:b/>
          <w:bCs/>
          <w:szCs w:val="72"/>
        </w:rPr>
        <w:t>-</w:t>
      </w:r>
      <w:r>
        <w:rPr>
          <w:rFonts w:ascii="Times New Roman" w:hAnsi="Times New Roman" w:cs="Times New Roman"/>
          <w:b/>
          <w:bCs/>
          <w:szCs w:val="72"/>
        </w:rPr>
        <w:t>25:</w:t>
      </w:r>
    </w:p>
    <w:p w:rsidR="008C4AED" w:rsidP="00EA708F" w14:paraId="43E6CA01" w14:textId="203FE498">
      <w:pPr>
        <w:pStyle w:val="BodyText"/>
        <w:spacing w:after="240" w:line="240" w:lineRule="auto"/>
        <w:jc w:val="center"/>
        <w:rPr>
          <w:rFonts w:ascii="Times New Roman" w:hAnsi="Times New Roman" w:cs="Times New Roman"/>
          <w:b/>
          <w:bCs/>
          <w:szCs w:val="72"/>
        </w:rPr>
      </w:pPr>
      <w:r w:rsidRPr="002E0F21">
        <w:rPr>
          <w:rFonts w:ascii="Times New Roman" w:hAnsi="Times New Roman" w:cs="Times New Roman"/>
          <w:b/>
          <w:bCs/>
          <w:szCs w:val="72"/>
        </w:rPr>
        <w:t>Directed Questions</w:t>
      </w:r>
      <w:r w:rsidR="008169DE">
        <w:rPr>
          <w:rFonts w:ascii="Times New Roman" w:hAnsi="Times New Roman" w:cs="Times New Roman"/>
          <w:b/>
          <w:bCs/>
          <w:szCs w:val="72"/>
        </w:rPr>
        <w:t xml:space="preserve"> for </w:t>
      </w:r>
      <w:r w:rsidR="00C54936">
        <w:rPr>
          <w:rFonts w:ascii="Times New Roman" w:hAnsi="Times New Roman" w:cs="Times New Roman"/>
          <w:b/>
          <w:bCs/>
          <w:szCs w:val="72"/>
        </w:rPr>
        <w:t>6</w:t>
      </w:r>
      <w:r w:rsidR="008169DE">
        <w:rPr>
          <w:rFonts w:ascii="Times New Roman" w:hAnsi="Times New Roman" w:cs="Times New Roman"/>
          <w:b/>
          <w:bCs/>
          <w:szCs w:val="72"/>
        </w:rPr>
        <w:t>0-day Package</w:t>
      </w:r>
    </w:p>
    <w:p w:rsidR="008C4AED" w:rsidP="00EA708F" w14:paraId="480CE094" w14:textId="0EB6AA99">
      <w:pPr>
        <w:spacing w:before="480"/>
        <w:jc w:val="center"/>
        <w:rPr>
          <w:rFonts w:ascii="Times New Roman" w:hAnsi="Times New Roman"/>
          <w:bCs/>
          <w:sz w:val="40"/>
          <w:szCs w:val="40"/>
        </w:rPr>
      </w:pPr>
      <w:r>
        <w:rPr>
          <w:rFonts w:ascii="Times New Roman" w:hAnsi="Times New Roman"/>
          <w:bCs/>
          <w:sz w:val="40"/>
          <w:szCs w:val="40"/>
        </w:rPr>
        <w:t xml:space="preserve">OMB No. </w:t>
      </w:r>
      <w:r w:rsidR="00CF3A8F">
        <w:rPr>
          <w:rFonts w:ascii="Times New Roman" w:hAnsi="Times New Roman"/>
          <w:bCs/>
          <w:sz w:val="40"/>
          <w:szCs w:val="40"/>
        </w:rPr>
        <w:t>1810-0724</w:t>
      </w:r>
    </w:p>
    <w:p w:rsidR="00425002" w:rsidP="008C4AED" w14:paraId="04BB3E01" w14:textId="77777777">
      <w:pPr>
        <w:pStyle w:val="BodyText"/>
        <w:spacing w:after="0" w:line="240" w:lineRule="auto"/>
        <w:jc w:val="center"/>
        <w:rPr>
          <w:rFonts w:ascii="Times New Roman" w:hAnsi="Times New Roman" w:cs="Times New Roman"/>
          <w:b/>
          <w:bCs/>
          <w:szCs w:val="72"/>
        </w:rPr>
        <w:sectPr w:rsidSect="004742D4">
          <w:pgSz w:w="12240" w:h="15840"/>
          <w:pgMar w:top="900" w:right="1440" w:bottom="1440" w:left="1440" w:header="720" w:footer="720" w:gutter="0"/>
          <w:cols w:space="720"/>
          <w:docGrid w:linePitch="360"/>
        </w:sectPr>
      </w:pPr>
    </w:p>
    <w:p w:rsidR="008C4AED" w:rsidRPr="008C4AED" w:rsidP="008C4AED" w14:paraId="03BE6AC7" w14:textId="51A2810B">
      <w:pPr>
        <w:pBdr>
          <w:bottom w:val="thinThickSmallGap" w:sz="12" w:space="1" w:color="C45911"/>
        </w:pBdr>
        <w:spacing w:before="400" w:after="200" w:line="252" w:lineRule="auto"/>
        <w:jc w:val="center"/>
        <w:outlineLvl w:val="0"/>
        <w:rPr>
          <w:rFonts w:ascii="Calibri Light" w:eastAsia="Times New Roman" w:hAnsi="Calibri Light" w:cs="Times New Roman"/>
          <w:b/>
          <w:caps/>
          <w:color w:val="833C0B"/>
          <w:spacing w:val="20"/>
          <w:sz w:val="28"/>
          <w:szCs w:val="28"/>
          <w:lang w:bidi="en-US"/>
        </w:rPr>
      </w:pPr>
      <w:bookmarkStart w:id="0" w:name="_Toc85610834"/>
      <w:bookmarkStart w:id="1" w:name="_Hlk74667036"/>
      <w:bookmarkStart w:id="2" w:name="_Hlk95544351"/>
      <w:bookmarkStart w:id="3" w:name="_Hlk80693549"/>
      <w:bookmarkStart w:id="4" w:name="_Hlk68088679"/>
      <w:r>
        <w:rPr>
          <w:rFonts w:ascii="Calibri Light" w:eastAsia="Times New Roman" w:hAnsi="Calibri Light" w:cs="Times New Roman"/>
          <w:b/>
          <w:caps/>
          <w:color w:val="833C0B"/>
          <w:spacing w:val="20"/>
          <w:sz w:val="28"/>
          <w:szCs w:val="28"/>
          <w:lang w:bidi="en-US"/>
        </w:rPr>
        <w:t>I</w:t>
      </w:r>
      <w:r w:rsidR="00425002">
        <w:rPr>
          <w:rFonts w:ascii="Calibri Light" w:eastAsia="Times New Roman" w:hAnsi="Calibri Light" w:cs="Times New Roman"/>
          <w:b/>
          <w:caps/>
          <w:color w:val="833C0B"/>
          <w:spacing w:val="20"/>
          <w:sz w:val="28"/>
          <w:szCs w:val="28"/>
          <w:lang w:bidi="en-US"/>
        </w:rPr>
        <w:t>ntroduction</w:t>
      </w:r>
      <w:bookmarkEnd w:id="0"/>
    </w:p>
    <w:bookmarkEnd w:id="1"/>
    <w:bookmarkEnd w:id="2"/>
    <w:p w:rsidR="004829E3" w:rsidP="00425002" w14:paraId="3CD71BB7" w14:textId="6894BB60">
      <w:pPr>
        <w:pStyle w:val="ListParagraph"/>
        <w:ind w:left="0"/>
        <w:rPr>
          <w:rFonts w:ascii="Times New Roman" w:eastAsia="Times New Roman" w:hAnsi="Times New Roman" w:cs="Times New Roman"/>
          <w:sz w:val="24"/>
          <w:szCs w:val="24"/>
        </w:rPr>
      </w:pPr>
      <w:r w:rsidRPr="00425002">
        <w:rPr>
          <w:rFonts w:ascii="Times New Roman" w:eastAsia="Times New Roman" w:hAnsi="Times New Roman" w:cs="Times New Roman"/>
          <w:sz w:val="24"/>
          <w:szCs w:val="24"/>
        </w:rPr>
        <w:t xml:space="preserve">This attachment contains specific topics for which </w:t>
      </w:r>
      <w:r w:rsidR="00742512">
        <w:rPr>
          <w:rFonts w:ascii="Times New Roman" w:eastAsia="Times New Roman" w:hAnsi="Times New Roman" w:cs="Times New Roman"/>
          <w:sz w:val="24"/>
          <w:szCs w:val="24"/>
        </w:rPr>
        <w:t xml:space="preserve">the Department </w:t>
      </w:r>
      <w:r w:rsidRPr="00425002">
        <w:rPr>
          <w:rFonts w:ascii="Times New Roman" w:eastAsia="Times New Roman" w:hAnsi="Times New Roman" w:cs="Times New Roman"/>
          <w:sz w:val="24"/>
          <w:szCs w:val="24"/>
        </w:rPr>
        <w:t>would like to obtain input from data submitters and stakeholders. Please note that in addition to these specific questions, public comments are encouraged on all the changes proposed. While many of these questions are directed to SEA data submitters, comments from all stakeholders on these topics are welcome.</w:t>
      </w:r>
    </w:p>
    <w:p w:rsidR="0046418F" w:rsidP="00425002" w14:paraId="4144C408" w14:textId="77777777">
      <w:pPr>
        <w:pStyle w:val="ListParagraph"/>
        <w:ind w:left="0"/>
        <w:rPr>
          <w:rFonts w:ascii="Times New Roman" w:eastAsia="Times New Roman" w:hAnsi="Times New Roman" w:cs="Times New Roman"/>
          <w:sz w:val="24"/>
          <w:szCs w:val="24"/>
        </w:rPr>
      </w:pPr>
    </w:p>
    <w:p w:rsidR="0046418F" w:rsidP="0046418F" w14:paraId="4494A4BC" w14:textId="41042A94">
      <w:pPr>
        <w:spacing w:after="0" w:line="240" w:lineRule="auto"/>
        <w:rPr>
          <w:rFonts w:ascii="Times New Roman" w:hAnsi="Times New Roman"/>
          <w:sz w:val="24"/>
          <w:szCs w:val="24"/>
        </w:rPr>
      </w:pPr>
      <w:r>
        <w:rPr>
          <w:rFonts w:ascii="Times New Roman" w:hAnsi="Times New Roman"/>
          <w:sz w:val="24"/>
          <w:szCs w:val="24"/>
        </w:rPr>
        <w:t>This attachment contains responses to public comments on the Annual Mandatory Collection of the Consolidated State Performance Report (CSPR). The 60-day comment period for the CSPR</w:t>
      </w:r>
      <w:r>
        <w:rPr>
          <w:rFonts w:ascii="Times New Roman" w:hAnsi="Times New Roman"/>
          <w:i/>
          <w:sz w:val="24"/>
          <w:szCs w:val="24"/>
        </w:rPr>
        <w:t xml:space="preserve"> </w:t>
      </w:r>
      <w:r>
        <w:rPr>
          <w:rFonts w:ascii="Times New Roman" w:hAnsi="Times New Roman"/>
          <w:sz w:val="24"/>
          <w:szCs w:val="24"/>
        </w:rPr>
        <w:t xml:space="preserve">package closed on </w:t>
      </w:r>
      <w:r w:rsidR="003224F6">
        <w:rPr>
          <w:rFonts w:ascii="Times New Roman" w:hAnsi="Times New Roman"/>
          <w:sz w:val="24"/>
          <w:szCs w:val="24"/>
        </w:rPr>
        <w:t>August 9</w:t>
      </w:r>
      <w:r>
        <w:rPr>
          <w:rFonts w:ascii="Times New Roman" w:hAnsi="Times New Roman"/>
          <w:sz w:val="24"/>
          <w:szCs w:val="24"/>
        </w:rPr>
        <w:t xml:space="preserve">, 2022. The Department (ED) received a total of </w:t>
      </w:r>
      <w:r w:rsidR="00C161F2">
        <w:rPr>
          <w:rFonts w:ascii="Times New Roman" w:hAnsi="Times New Roman"/>
          <w:sz w:val="24"/>
          <w:szCs w:val="24"/>
        </w:rPr>
        <w:t>10</w:t>
      </w:r>
      <w:r>
        <w:rPr>
          <w:rFonts w:ascii="Times New Roman" w:hAnsi="Times New Roman"/>
          <w:sz w:val="24"/>
          <w:szCs w:val="24"/>
        </w:rPr>
        <w:t xml:space="preserve"> comment submissions, </w:t>
      </w:r>
      <w:r w:rsidR="00E86C6D">
        <w:rPr>
          <w:rFonts w:ascii="Times New Roman" w:hAnsi="Times New Roman"/>
          <w:sz w:val="24"/>
          <w:szCs w:val="24"/>
        </w:rPr>
        <w:t>the vast majority responding to directed questions</w:t>
      </w:r>
      <w:r>
        <w:rPr>
          <w:rFonts w:ascii="Times New Roman" w:hAnsi="Times New Roman"/>
          <w:sz w:val="24"/>
          <w:szCs w:val="24"/>
        </w:rPr>
        <w:t xml:space="preserve">, totaling </w:t>
      </w:r>
      <w:r w:rsidR="00C161F2">
        <w:rPr>
          <w:rFonts w:ascii="Times New Roman" w:hAnsi="Times New Roman"/>
          <w:sz w:val="24"/>
          <w:szCs w:val="24"/>
        </w:rPr>
        <w:t>27</w:t>
      </w:r>
      <w:r>
        <w:rPr>
          <w:rFonts w:ascii="Times New Roman" w:hAnsi="Times New Roman"/>
          <w:sz w:val="24"/>
          <w:szCs w:val="24"/>
        </w:rPr>
        <w:t xml:space="preserve"> individual comments. </w:t>
      </w:r>
      <w:r w:rsidR="00CA19EC">
        <w:rPr>
          <w:rFonts w:ascii="Times New Roman" w:hAnsi="Times New Roman"/>
          <w:sz w:val="24"/>
          <w:szCs w:val="24"/>
        </w:rPr>
        <w:t xml:space="preserve">All </w:t>
      </w:r>
      <w:r>
        <w:rPr>
          <w:rFonts w:ascii="Times New Roman" w:hAnsi="Times New Roman"/>
          <w:sz w:val="24"/>
          <w:szCs w:val="24"/>
        </w:rPr>
        <w:t>submissions and comments came from states</w:t>
      </w:r>
      <w:r w:rsidR="00CA19EC">
        <w:rPr>
          <w:rFonts w:ascii="Times New Roman" w:hAnsi="Times New Roman"/>
          <w:sz w:val="24"/>
          <w:szCs w:val="24"/>
        </w:rPr>
        <w:t>.</w:t>
      </w:r>
    </w:p>
    <w:p w:rsidR="0046418F" w:rsidP="0046418F" w14:paraId="1580A574" w14:textId="77777777">
      <w:pPr>
        <w:spacing w:after="0" w:line="240" w:lineRule="auto"/>
        <w:rPr>
          <w:rFonts w:ascii="Times New Roman" w:hAnsi="Times New Roman"/>
          <w:sz w:val="24"/>
          <w:szCs w:val="24"/>
        </w:rPr>
      </w:pPr>
    </w:p>
    <w:p w:rsidR="0046418F" w:rsidP="0046418F" w14:paraId="6E7A9544" w14:textId="048F336D">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The Department</w:t>
      </w:r>
      <w:r w:rsidRPr="00A672B5">
        <w:rPr>
          <w:rFonts w:ascii="Times New Roman" w:hAnsi="Times New Roman"/>
          <w:color w:val="000000" w:themeColor="text1"/>
          <w:sz w:val="24"/>
          <w:szCs w:val="24"/>
        </w:rPr>
        <w:t xml:space="preserve"> received comments on </w:t>
      </w:r>
      <w:r>
        <w:rPr>
          <w:rFonts w:ascii="Times New Roman" w:hAnsi="Times New Roman"/>
          <w:color w:val="000000" w:themeColor="text1"/>
          <w:sz w:val="24"/>
          <w:szCs w:val="24"/>
        </w:rPr>
        <w:t xml:space="preserve">each of </w:t>
      </w:r>
      <w:r w:rsidRPr="00A672B5">
        <w:rPr>
          <w:rFonts w:ascii="Times New Roman" w:hAnsi="Times New Roman"/>
          <w:color w:val="000000" w:themeColor="text1"/>
          <w:sz w:val="24"/>
          <w:szCs w:val="24"/>
        </w:rPr>
        <w:t xml:space="preserve">the </w:t>
      </w:r>
      <w:r w:rsidR="0057763B">
        <w:rPr>
          <w:rFonts w:ascii="Times New Roman" w:hAnsi="Times New Roman"/>
          <w:color w:val="000000" w:themeColor="text1"/>
          <w:sz w:val="24"/>
          <w:szCs w:val="24"/>
        </w:rPr>
        <w:t>three</w:t>
      </w:r>
      <w:r w:rsidRPr="00A672B5">
        <w:rPr>
          <w:rFonts w:ascii="Times New Roman" w:hAnsi="Times New Roman"/>
          <w:color w:val="000000" w:themeColor="text1"/>
          <w:sz w:val="24"/>
          <w:szCs w:val="24"/>
        </w:rPr>
        <w:t xml:space="preserve"> directed questions. This document is organized </w:t>
      </w:r>
      <w:r>
        <w:rPr>
          <w:rFonts w:ascii="Times New Roman" w:hAnsi="Times New Roman"/>
          <w:color w:val="000000" w:themeColor="text1"/>
          <w:sz w:val="24"/>
          <w:szCs w:val="24"/>
        </w:rPr>
        <w:t>by directed question topic. Comments not related to any directed questions are provided at the end of this document.</w:t>
      </w:r>
    </w:p>
    <w:p w:rsidR="0046418F" w:rsidRPr="00A672B5" w:rsidP="0046418F" w14:paraId="6FBD3368" w14:textId="77777777">
      <w:pPr>
        <w:spacing w:after="0" w:line="240" w:lineRule="auto"/>
        <w:rPr>
          <w:rFonts w:ascii="Times New Roman" w:hAnsi="Times New Roman"/>
          <w:color w:val="000000" w:themeColor="text1"/>
          <w:sz w:val="24"/>
          <w:szCs w:val="24"/>
        </w:rPr>
      </w:pPr>
    </w:p>
    <w:p w:rsidR="0046418F" w:rsidP="0046418F" w14:paraId="486A1797" w14:textId="2C62A624">
      <w:pPr>
        <w:spacing w:after="0" w:line="240" w:lineRule="auto"/>
        <w:rPr>
          <w:rFonts w:ascii="Times New Roman" w:hAnsi="Times New Roman"/>
          <w:sz w:val="24"/>
          <w:szCs w:val="24"/>
        </w:rPr>
      </w:pPr>
      <w:r>
        <w:rPr>
          <w:rFonts w:ascii="Times New Roman" w:hAnsi="Times New Roman"/>
          <w:sz w:val="24"/>
          <w:szCs w:val="24"/>
        </w:rPr>
        <w:t xml:space="preserve">Each section provides a summary of the public comments received, the Department’s response(s) to those comments, and any resulting changes, if any, being made to the proposed data collection package. In addressing the public comments and </w:t>
      </w:r>
      <w:r>
        <w:rPr>
          <w:rFonts w:ascii="Times New Roman" w:hAnsi="Times New Roman"/>
          <w:sz w:val="24"/>
          <w:szCs w:val="24"/>
        </w:rPr>
        <w:t>making revisions to</w:t>
      </w:r>
      <w:r>
        <w:rPr>
          <w:rFonts w:ascii="Times New Roman" w:hAnsi="Times New Roman"/>
          <w:sz w:val="24"/>
          <w:szCs w:val="24"/>
        </w:rPr>
        <w:t xml:space="preserve"> the package, the Department focused on recommendations from the public comments that continue to move </w:t>
      </w:r>
      <w:r w:rsidR="0057763B">
        <w:rPr>
          <w:rFonts w:ascii="Times New Roman" w:hAnsi="Times New Roman"/>
          <w:sz w:val="24"/>
          <w:szCs w:val="24"/>
        </w:rPr>
        <w:t xml:space="preserve">the CSPR </w:t>
      </w:r>
      <w:r>
        <w:rPr>
          <w:rFonts w:ascii="Times New Roman" w:hAnsi="Times New Roman"/>
          <w:sz w:val="24"/>
          <w:szCs w:val="24"/>
        </w:rPr>
        <w:t xml:space="preserve">forward in achieving the goals of </w:t>
      </w:r>
      <w:r w:rsidR="00BA3A5B">
        <w:rPr>
          <w:rFonts w:ascii="Times New Roman" w:hAnsi="Times New Roman"/>
          <w:sz w:val="24"/>
          <w:szCs w:val="24"/>
        </w:rPr>
        <w:t>burden reduction</w:t>
      </w:r>
      <w:r w:rsidR="00D05684">
        <w:rPr>
          <w:rFonts w:ascii="Times New Roman" w:hAnsi="Times New Roman"/>
          <w:sz w:val="24"/>
          <w:szCs w:val="24"/>
        </w:rPr>
        <w:t xml:space="preserve"> and improving</w:t>
      </w:r>
      <w:r w:rsidR="00580CB4">
        <w:rPr>
          <w:rFonts w:ascii="Times New Roman" w:hAnsi="Times New Roman"/>
          <w:sz w:val="24"/>
          <w:szCs w:val="24"/>
        </w:rPr>
        <w:t xml:space="preserve"> </w:t>
      </w:r>
      <w:r w:rsidR="00D05684">
        <w:rPr>
          <w:rFonts w:ascii="Times New Roman" w:hAnsi="Times New Roman"/>
          <w:sz w:val="24"/>
          <w:szCs w:val="24"/>
        </w:rPr>
        <w:t>the quality of</w:t>
      </w:r>
      <w:r w:rsidR="00580CB4">
        <w:rPr>
          <w:rFonts w:ascii="Times New Roman" w:hAnsi="Times New Roman"/>
          <w:sz w:val="24"/>
          <w:szCs w:val="24"/>
        </w:rPr>
        <w:t xml:space="preserve"> data</w:t>
      </w:r>
      <w:r w:rsidR="00D05684">
        <w:rPr>
          <w:rFonts w:ascii="Times New Roman" w:hAnsi="Times New Roman"/>
          <w:sz w:val="24"/>
          <w:szCs w:val="24"/>
        </w:rPr>
        <w:t xml:space="preserve"> submissions</w:t>
      </w:r>
      <w:r>
        <w:rPr>
          <w:rFonts w:ascii="Times New Roman" w:hAnsi="Times New Roman"/>
          <w:sz w:val="24"/>
          <w:szCs w:val="24"/>
        </w:rPr>
        <w:t>.</w:t>
      </w:r>
    </w:p>
    <w:p w:rsidR="0046418F" w:rsidP="0046418F" w14:paraId="2917CA9B" w14:textId="77777777">
      <w:pPr>
        <w:spacing w:after="0" w:line="240" w:lineRule="auto"/>
        <w:rPr>
          <w:rFonts w:ascii="Times New Roman" w:hAnsi="Times New Roman"/>
          <w:sz w:val="24"/>
          <w:szCs w:val="24"/>
        </w:rPr>
      </w:pPr>
    </w:p>
    <w:p w:rsidR="0046418F" w:rsidP="0046418F" w14:paraId="10C4727B" w14:textId="3D577884">
      <w:pPr>
        <w:spacing w:after="0" w:line="240" w:lineRule="auto"/>
        <w:rPr>
          <w:rFonts w:ascii="Times New Roman" w:hAnsi="Times New Roman"/>
          <w:sz w:val="24"/>
          <w:szCs w:val="24"/>
        </w:rPr>
      </w:pPr>
      <w:r>
        <w:rPr>
          <w:rFonts w:ascii="Times New Roman" w:hAnsi="Times New Roman"/>
          <w:sz w:val="24"/>
          <w:szCs w:val="24"/>
        </w:rPr>
        <w:t xml:space="preserve">The Department appreciates the time and attention the public spent on reviewing the </w:t>
      </w:r>
      <w:r w:rsidR="00D05684">
        <w:rPr>
          <w:rFonts w:ascii="Times New Roman" w:hAnsi="Times New Roman"/>
          <w:sz w:val="24"/>
          <w:szCs w:val="24"/>
        </w:rPr>
        <w:t>CSPR</w:t>
      </w:r>
      <w:r>
        <w:rPr>
          <w:rFonts w:ascii="Times New Roman" w:hAnsi="Times New Roman"/>
          <w:sz w:val="24"/>
          <w:szCs w:val="24"/>
        </w:rPr>
        <w:t xml:space="preserve"> package</w:t>
      </w:r>
      <w:r w:rsidR="00D05684">
        <w:rPr>
          <w:rFonts w:ascii="Times New Roman" w:hAnsi="Times New Roman"/>
          <w:sz w:val="24"/>
          <w:szCs w:val="24"/>
        </w:rPr>
        <w:t xml:space="preserve">, particularly </w:t>
      </w:r>
      <w:r w:rsidR="00D05684">
        <w:rPr>
          <w:rFonts w:ascii="Times New Roman" w:hAnsi="Times New Roman"/>
          <w:sz w:val="24"/>
          <w:szCs w:val="24"/>
        </w:rPr>
        <w:t xml:space="preserve">with </w:t>
      </w:r>
      <w:r w:rsidR="00250673">
        <w:rPr>
          <w:rFonts w:ascii="Times New Roman" w:hAnsi="Times New Roman"/>
          <w:sz w:val="24"/>
          <w:szCs w:val="24"/>
        </w:rPr>
        <w:t>regard to</w:t>
      </w:r>
      <w:r w:rsidR="00250673">
        <w:rPr>
          <w:rFonts w:ascii="Times New Roman" w:hAnsi="Times New Roman"/>
          <w:sz w:val="24"/>
          <w:szCs w:val="24"/>
        </w:rPr>
        <w:t xml:space="preserve"> a providing a careful review of the CSPR and noting any impact that changes to the collection may have on the states’ ability to collect and report data in support of their CSPR submissions. State comments were taken heavily into consideration when determining the structure and content of the CSPR. </w:t>
      </w:r>
      <w:r>
        <w:rPr>
          <w:rFonts w:ascii="Times New Roman" w:hAnsi="Times New Roman"/>
          <w:sz w:val="24"/>
          <w:szCs w:val="24"/>
        </w:rPr>
        <w:t>The Department reviewed, summarized and documented each statement prior to analyzing all statements. This documentation will aid in the finalization of this data clearance package and will serve to inform future policy decisions regarding ED</w:t>
      </w:r>
      <w:r>
        <w:rPr>
          <w:rFonts w:ascii="Times New Roman" w:hAnsi="Times New Roman"/>
          <w:i/>
          <w:sz w:val="24"/>
          <w:szCs w:val="24"/>
        </w:rPr>
        <w:t>Facts</w:t>
      </w:r>
      <w:r>
        <w:rPr>
          <w:rFonts w:ascii="Times New Roman" w:hAnsi="Times New Roman"/>
          <w:sz w:val="24"/>
          <w:szCs w:val="24"/>
        </w:rPr>
        <w:t>.</w:t>
      </w:r>
    </w:p>
    <w:p w:rsidR="0036127F" w14:paraId="3D9BA79F" w14:textId="77777777">
      <w:pPr>
        <w:rPr>
          <w:rFonts w:ascii="Calibri Light" w:eastAsia="Times New Roman" w:hAnsi="Calibri Light" w:cs="Times New Roman"/>
          <w:b/>
          <w:caps/>
          <w:color w:val="833C0B"/>
          <w:spacing w:val="20"/>
          <w:sz w:val="28"/>
          <w:szCs w:val="28"/>
          <w:lang w:bidi="en-US"/>
        </w:rPr>
      </w:pPr>
      <w:r>
        <w:rPr>
          <w:rFonts w:ascii="Calibri Light" w:eastAsia="Times New Roman" w:hAnsi="Calibri Light" w:cs="Times New Roman"/>
          <w:b/>
          <w:caps/>
          <w:color w:val="833C0B"/>
          <w:spacing w:val="20"/>
          <w:sz w:val="28"/>
          <w:szCs w:val="28"/>
          <w:lang w:bidi="en-US"/>
        </w:rPr>
        <w:br w:type="page"/>
      </w:r>
    </w:p>
    <w:p w:rsidR="00E11B76" w:rsidRPr="008C4AED" w:rsidP="00E11B76" w14:paraId="2B713F34" w14:textId="3AD94E3F">
      <w:pPr>
        <w:pBdr>
          <w:bottom w:val="thinThickSmallGap" w:sz="12" w:space="1" w:color="C45911"/>
        </w:pBdr>
        <w:spacing w:before="400" w:after="200" w:line="252" w:lineRule="auto"/>
        <w:jc w:val="center"/>
        <w:outlineLvl w:val="0"/>
        <w:rPr>
          <w:rFonts w:ascii="Calibri Light" w:eastAsia="Times New Roman" w:hAnsi="Calibri Light" w:cs="Times New Roman"/>
          <w:b/>
          <w:caps/>
          <w:color w:val="833C0B"/>
          <w:spacing w:val="20"/>
          <w:sz w:val="28"/>
          <w:szCs w:val="28"/>
          <w:lang w:bidi="en-US"/>
        </w:rPr>
      </w:pPr>
      <w:r>
        <w:rPr>
          <w:rFonts w:ascii="Calibri Light" w:eastAsia="Times New Roman" w:hAnsi="Calibri Light" w:cs="Times New Roman"/>
          <w:b/>
          <w:caps/>
          <w:color w:val="833C0B"/>
          <w:spacing w:val="20"/>
          <w:sz w:val="28"/>
          <w:szCs w:val="28"/>
          <w:lang w:bidi="en-US"/>
        </w:rPr>
        <w:t>directed questions</w:t>
      </w:r>
    </w:p>
    <w:bookmarkEnd w:id="3"/>
    <w:bookmarkEnd w:id="4"/>
    <w:p w:rsidR="008B0AA9" w:rsidRPr="00E660F2" w:rsidP="008B0AA9" w14:paraId="3E47620A" w14:textId="77777777">
      <w:pPr>
        <w:numPr>
          <w:ilvl w:val="0"/>
          <w:numId w:val="10"/>
        </w:numPr>
        <w:spacing w:before="240" w:after="240" w:line="240" w:lineRule="auto"/>
        <w:rPr>
          <w:rFonts w:ascii="Times New Roman" w:eastAsia="Times New Roman" w:hAnsi="Times New Roman" w:cs="Times New Roman"/>
          <w:b/>
          <w:bCs/>
          <w:i/>
          <w:iCs/>
          <w:sz w:val="24"/>
          <w:szCs w:val="24"/>
        </w:rPr>
      </w:pPr>
      <w:r w:rsidRPr="00FE4BD8">
        <w:rPr>
          <w:rFonts w:ascii="Times New Roman" w:eastAsia="Times New Roman" w:hAnsi="Times New Roman" w:cs="Times New Roman"/>
          <w:b/>
          <w:bCs/>
          <w:sz w:val="24"/>
          <w:szCs w:val="24"/>
          <w:u w:val="single"/>
        </w:rPr>
        <w:t>Title III Teachers (1.3.4.1):</w:t>
      </w:r>
      <w:r w:rsidRPr="00E660F2">
        <w:rPr>
          <w:rFonts w:ascii="Times New Roman" w:eastAsia="Times New Roman" w:hAnsi="Times New Roman" w:cs="Times New Roman"/>
          <w:sz w:val="24"/>
          <w:szCs w:val="24"/>
          <w:u w:val="single"/>
        </w:rPr>
        <w:t xml:space="preserve"> </w:t>
      </w:r>
      <w:r w:rsidRPr="00C91A1E">
        <w:rPr>
          <w:rFonts w:ascii="Times New Roman" w:eastAsia="Times New Roman" w:hAnsi="Times New Roman" w:cs="Times New Roman"/>
          <w:sz w:val="24"/>
          <w:szCs w:val="24"/>
        </w:rPr>
        <w:t xml:space="preserve">The Department proposes revising language in item 1.3.4, including the change from “certified, licensed, or endorsed teachers” to “EL certified or licensed </w:t>
      </w:r>
      <w:r w:rsidRPr="00E660F2">
        <w:rPr>
          <w:rFonts w:ascii="Times New Roman" w:eastAsia="Times New Roman" w:hAnsi="Times New Roman" w:cs="Times New Roman"/>
          <w:sz w:val="24"/>
          <w:szCs w:val="24"/>
        </w:rPr>
        <w:t>teachers of English learners,” to further clarify the population of teachers meant for inclusion in reporting this data. Is the intent of the revised language clear to states? If not, please specify.</w:t>
      </w:r>
    </w:p>
    <w:p w:rsidR="008B0AA9" w:rsidP="008B0AA9" w14:paraId="5388DDD1" w14:textId="77777777">
      <w:pPr>
        <w:numPr>
          <w:ilvl w:val="1"/>
          <w:numId w:val="10"/>
        </w:numPr>
        <w:spacing w:before="240" w:after="240" w:line="240" w:lineRule="auto"/>
        <w:rPr>
          <w:rFonts w:ascii="Times New Roman" w:hAnsi="Times New Roman" w:cs="Times New Roman"/>
          <w:b/>
          <w:bCs/>
          <w:i/>
          <w:iCs/>
          <w:sz w:val="24"/>
          <w:szCs w:val="24"/>
        </w:rPr>
      </w:pPr>
      <w:r w:rsidRPr="00E660F2">
        <w:rPr>
          <w:rFonts w:ascii="Times New Roman" w:eastAsia="Times New Roman" w:hAnsi="Times New Roman" w:cs="Times New Roman"/>
          <w:b/>
          <w:bCs/>
          <w:i/>
          <w:iCs/>
          <w:sz w:val="24"/>
          <w:szCs w:val="24"/>
        </w:rPr>
        <w:t>What challenges, if any, do states encounter in reporting the data under item 1.3.4?</w:t>
      </w:r>
      <w:r w:rsidRPr="00E660F2">
        <w:rPr>
          <w:rFonts w:ascii="Times New Roman" w:hAnsi="Times New Roman" w:cs="Times New Roman"/>
          <w:b/>
          <w:bCs/>
          <w:i/>
          <w:iCs/>
          <w:sz w:val="24"/>
          <w:szCs w:val="24"/>
        </w:rPr>
        <w:t xml:space="preserve"> </w:t>
      </w:r>
    </w:p>
    <w:p w:rsidR="00B34441" w:rsidRPr="004514BA" w:rsidP="00A03D41" w14:paraId="369AC18D" w14:textId="2E4F1E7F">
      <w:pPr>
        <w:spacing w:before="240" w:after="240" w:line="240" w:lineRule="auto"/>
        <w:ind w:left="1080"/>
        <w:rPr>
          <w:rFonts w:ascii="Times New Roman" w:hAnsi="Times New Roman" w:cs="Times New Roman"/>
          <w:b/>
          <w:bCs/>
          <w:sz w:val="24"/>
          <w:szCs w:val="24"/>
          <w:u w:val="single"/>
        </w:rPr>
      </w:pPr>
      <w:r w:rsidRPr="004514BA">
        <w:rPr>
          <w:rFonts w:ascii="Times New Roman" w:hAnsi="Times New Roman" w:cs="Times New Roman"/>
          <w:b/>
          <w:bCs/>
          <w:sz w:val="24"/>
          <w:szCs w:val="24"/>
          <w:u w:val="single"/>
        </w:rPr>
        <w:t>Public Comments</w:t>
      </w:r>
    </w:p>
    <w:p w:rsidR="00146B25" w:rsidP="00A03D41" w14:paraId="4B2F29F8" w14:textId="73A9B77A">
      <w:pPr>
        <w:spacing w:before="240" w:after="240" w:line="240" w:lineRule="auto"/>
        <w:ind w:left="1080"/>
        <w:rPr>
          <w:rFonts w:ascii="Times New Roman" w:hAnsi="Times New Roman" w:cs="Times New Roman"/>
          <w:sz w:val="24"/>
          <w:szCs w:val="24"/>
        </w:rPr>
      </w:pPr>
      <w:r w:rsidRPr="00146B25">
        <w:rPr>
          <w:rFonts w:ascii="Times New Roman" w:hAnsi="Times New Roman" w:cs="Times New Roman"/>
          <w:sz w:val="24"/>
          <w:szCs w:val="24"/>
        </w:rPr>
        <w:t>Seven commenters from State educational agencies (SEAs) responded to the directed question on the proposed revisions to the Title III Teachers CSPR element (1.3.4.1). Six commenters noted no concerns with the change to “English learner [EL] certified or licensed teachers” and no expected challenges with reporting the data in this manner.</w:t>
      </w:r>
    </w:p>
    <w:p w:rsidR="00E124C5" w:rsidRPr="00146B25" w:rsidP="00A03D41" w14:paraId="6BDCF51A" w14:textId="5A50A238">
      <w:pPr>
        <w:spacing w:before="240" w:after="240" w:line="240" w:lineRule="auto"/>
        <w:ind w:left="1080"/>
        <w:rPr>
          <w:rFonts w:ascii="Times New Roman" w:hAnsi="Times New Roman" w:cs="Times New Roman"/>
          <w:sz w:val="24"/>
          <w:szCs w:val="24"/>
        </w:rPr>
      </w:pPr>
      <w:r w:rsidRPr="00E124C5">
        <w:rPr>
          <w:rFonts w:ascii="Times New Roman" w:hAnsi="Times New Roman" w:cs="Times New Roman"/>
          <w:sz w:val="24"/>
          <w:szCs w:val="24"/>
        </w:rPr>
        <w:t>One commenter asked a clarifying question to understand whether the change to “EL certified or licensed teachers” means that the Department is only interested in EL/English as a second language certified or endorsed teachers for this data element.</w:t>
      </w:r>
    </w:p>
    <w:p w:rsidR="00B34441" w:rsidRPr="004514BA" w:rsidP="00A03D41" w14:paraId="58C4EFBE" w14:textId="582E5E86">
      <w:pPr>
        <w:spacing w:before="240" w:after="240" w:line="240" w:lineRule="auto"/>
        <w:ind w:left="1080"/>
        <w:rPr>
          <w:rFonts w:ascii="Times New Roman" w:hAnsi="Times New Roman" w:cs="Times New Roman"/>
          <w:b/>
          <w:bCs/>
          <w:sz w:val="24"/>
          <w:szCs w:val="24"/>
          <w:u w:val="single"/>
        </w:rPr>
      </w:pPr>
      <w:r w:rsidRPr="004514BA">
        <w:rPr>
          <w:rFonts w:ascii="Times New Roman" w:hAnsi="Times New Roman" w:cs="Times New Roman"/>
          <w:b/>
          <w:bCs/>
          <w:sz w:val="24"/>
          <w:szCs w:val="24"/>
          <w:u w:val="single"/>
        </w:rPr>
        <w:t>ED Response</w:t>
      </w:r>
    </w:p>
    <w:p w:rsidR="00146B25" w:rsidP="00A03D41" w14:paraId="6188D720" w14:textId="4F579B55">
      <w:pPr>
        <w:spacing w:before="240" w:after="240" w:line="240" w:lineRule="auto"/>
        <w:ind w:left="1080"/>
        <w:rPr>
          <w:rFonts w:ascii="Times New Roman" w:hAnsi="Times New Roman" w:cs="Times New Roman"/>
          <w:sz w:val="24"/>
          <w:szCs w:val="24"/>
        </w:rPr>
      </w:pPr>
      <w:r w:rsidRPr="004514BA">
        <w:rPr>
          <w:rFonts w:ascii="Times New Roman" w:hAnsi="Times New Roman" w:cs="Times New Roman"/>
          <w:sz w:val="24"/>
          <w:szCs w:val="24"/>
        </w:rPr>
        <w:t>The Department appreciates the feedback that this change would not create any reporting challenges for the SEAs who responded to the directed question.</w:t>
      </w:r>
    </w:p>
    <w:p w:rsidR="003853A8" w:rsidRPr="003853A8" w:rsidP="00A03D41" w14:paraId="0A51DBF2" w14:textId="77777777">
      <w:pPr>
        <w:spacing w:before="240" w:after="240" w:line="240" w:lineRule="auto"/>
        <w:ind w:left="1080"/>
        <w:rPr>
          <w:rFonts w:ascii="Times New Roman" w:hAnsi="Times New Roman" w:cs="Times New Roman"/>
          <w:sz w:val="24"/>
          <w:szCs w:val="24"/>
        </w:rPr>
      </w:pPr>
      <w:r w:rsidRPr="003853A8">
        <w:rPr>
          <w:rFonts w:ascii="Times New Roman" w:hAnsi="Times New Roman" w:cs="Times New Roman"/>
          <w:sz w:val="24"/>
          <w:szCs w:val="24"/>
        </w:rPr>
        <w:t xml:space="preserve">The Department is interested in collecting information on teachers who have specialized training to support English learners and implement language instruction educational programs (LIEPs). The first two cells in this CSPR element prepopulate from EDFacts FS067. The first cell, “Number of teachers serving in LIEPs (including core content (reading, math, </w:t>
      </w:r>
      <w:r w:rsidRPr="003853A8">
        <w:rPr>
          <w:rFonts w:ascii="Times New Roman" w:hAnsi="Times New Roman" w:cs="Times New Roman"/>
          <w:sz w:val="24"/>
          <w:szCs w:val="24"/>
        </w:rPr>
        <w:t>science</w:t>
      </w:r>
      <w:r w:rsidRPr="003853A8">
        <w:rPr>
          <w:rFonts w:ascii="Times New Roman" w:hAnsi="Times New Roman" w:cs="Times New Roman"/>
          <w:sz w:val="24"/>
          <w:szCs w:val="24"/>
        </w:rPr>
        <w:t xml:space="preserve"> and social studies) in LEAs receiving Title III funds” prepopulates from the total number of teachers in LIEPs reported in FS067, DG422, whether or not they hold specific EL certification or licensure. The second cell with the proposed language, “Number of EL certified or licensed teachers of English learners in LIEPs in LEAs receiving Title III funds” is meant to only capture the subset of teachers holding EL certification or licensure. The third cell is manual entry and asks for an estimate of the number of additional teachers with EL certification or licensure needed over the next five years. Therefore, the Department continues to be interested in the total number of teachers in LIEPs, regardless of EL certification or licensure, in FS067 and the first cell of this CSPR element but aims to collect data specific to EL certified or licensed teachers as part of determining what it means to be fully certified or licensed to teach in an LIEP. </w:t>
      </w:r>
    </w:p>
    <w:p w:rsidR="003853A8" w:rsidP="00A03D41" w14:paraId="5654C5EC" w14:textId="016F7888">
      <w:pPr>
        <w:spacing w:before="240" w:after="240" w:line="240" w:lineRule="auto"/>
        <w:ind w:left="1080"/>
        <w:rPr>
          <w:rFonts w:ascii="Times New Roman" w:hAnsi="Times New Roman" w:cs="Times New Roman"/>
          <w:sz w:val="24"/>
          <w:szCs w:val="24"/>
        </w:rPr>
      </w:pPr>
      <w:r w:rsidRPr="003853A8">
        <w:rPr>
          <w:rFonts w:ascii="Times New Roman" w:hAnsi="Times New Roman" w:cs="Times New Roman"/>
          <w:sz w:val="24"/>
          <w:szCs w:val="24"/>
        </w:rPr>
        <w:t xml:space="preserve">The Department recognizes that there are States where specific EL certification or licensure is not required of teachers to teach in an LIEP. While the Department encourages this level of specialized training to ensure that teachers are </w:t>
      </w:r>
      <w:r w:rsidRPr="003853A8">
        <w:rPr>
          <w:rFonts w:ascii="Times New Roman" w:hAnsi="Times New Roman" w:cs="Times New Roman"/>
          <w:sz w:val="24"/>
          <w:szCs w:val="24"/>
        </w:rPr>
        <w:t>best-equipped</w:t>
      </w:r>
      <w:r w:rsidRPr="003853A8">
        <w:rPr>
          <w:rFonts w:ascii="Times New Roman" w:hAnsi="Times New Roman" w:cs="Times New Roman"/>
          <w:sz w:val="24"/>
          <w:szCs w:val="24"/>
        </w:rPr>
        <w:t xml:space="preserve"> to support English learners, if EL certification or licensure is not required, the SEA should report teachers with the highest level of certification or licensure required by </w:t>
      </w:r>
      <w:r w:rsidRPr="003853A8">
        <w:rPr>
          <w:rFonts w:ascii="Times New Roman" w:hAnsi="Times New Roman" w:cs="Times New Roman"/>
          <w:sz w:val="24"/>
          <w:szCs w:val="24"/>
        </w:rPr>
        <w:t>the State to teach ELs in LIEPs in order to satisfy this data requirement. The Department proposes clarifying this point in the CSPR notes and adding a comment field so that SEAs can specify their certification and licensure requirements and what teachers are being captured in the cells requesting information on the number of EL certified or licensed teachers of English learners in LIEPs in LEAs receiving Title III funds.</w:t>
      </w:r>
    </w:p>
    <w:p w:rsidR="00B35E75" w:rsidRPr="00B35E75" w:rsidP="00A03D41" w14:paraId="1964BF70" w14:textId="39581B8F">
      <w:pPr>
        <w:spacing w:before="240" w:after="240" w:line="240" w:lineRule="auto"/>
        <w:ind w:left="1080"/>
        <w:rPr>
          <w:rFonts w:ascii="Times New Roman" w:hAnsi="Times New Roman" w:cs="Times New Roman"/>
          <w:b/>
          <w:bCs/>
          <w:sz w:val="24"/>
          <w:szCs w:val="24"/>
          <w:u w:val="single"/>
        </w:rPr>
      </w:pPr>
      <w:r w:rsidRPr="00B35E75">
        <w:rPr>
          <w:rFonts w:ascii="Times New Roman" w:hAnsi="Times New Roman" w:cs="Times New Roman"/>
          <w:b/>
          <w:bCs/>
          <w:sz w:val="24"/>
          <w:szCs w:val="24"/>
          <w:u w:val="single"/>
        </w:rPr>
        <w:t>Changes from 60-Day to 30-Day</w:t>
      </w:r>
    </w:p>
    <w:p w:rsidR="00B35E75" w:rsidRPr="00B35E75" w:rsidP="00A03D41" w14:paraId="311D80FF" w14:textId="5DE2BAC4">
      <w:pPr>
        <w:spacing w:before="240" w:after="240" w:line="240" w:lineRule="auto"/>
        <w:ind w:left="1080"/>
        <w:rPr>
          <w:rFonts w:ascii="Times New Roman" w:hAnsi="Times New Roman" w:cs="Times New Roman"/>
          <w:sz w:val="24"/>
          <w:szCs w:val="24"/>
        </w:rPr>
      </w:pPr>
      <w:r w:rsidRPr="00B35E75">
        <w:rPr>
          <w:rFonts w:ascii="Times New Roman" w:hAnsi="Times New Roman" w:cs="Times New Roman"/>
          <w:sz w:val="24"/>
          <w:szCs w:val="24"/>
        </w:rPr>
        <w:t xml:space="preserve">In the explanatory language for the reporting element, </w:t>
      </w:r>
      <w:r>
        <w:rPr>
          <w:rFonts w:ascii="Times New Roman" w:hAnsi="Times New Roman" w:cs="Times New Roman"/>
          <w:sz w:val="24"/>
          <w:szCs w:val="24"/>
        </w:rPr>
        <w:t xml:space="preserve">the Department has </w:t>
      </w:r>
      <w:r w:rsidRPr="00B35E75">
        <w:rPr>
          <w:rFonts w:ascii="Times New Roman" w:hAnsi="Times New Roman" w:cs="Times New Roman"/>
          <w:sz w:val="24"/>
          <w:szCs w:val="24"/>
        </w:rPr>
        <w:t>add</w:t>
      </w:r>
      <w:r>
        <w:rPr>
          <w:rFonts w:ascii="Times New Roman" w:hAnsi="Times New Roman" w:cs="Times New Roman"/>
          <w:sz w:val="24"/>
          <w:szCs w:val="24"/>
        </w:rPr>
        <w:t>ed</w:t>
      </w:r>
      <w:r w:rsidRPr="00B35E75">
        <w:rPr>
          <w:rFonts w:ascii="Times New Roman" w:hAnsi="Times New Roman" w:cs="Times New Roman"/>
          <w:sz w:val="24"/>
          <w:szCs w:val="24"/>
        </w:rPr>
        <w:t xml:space="preserve"> the following language: “When reporting “the number of EL certified or licensed teachers”, if specific EL certification or licensure is not required in the State, the SEA should report the number of teachers with the highest level of certification or licensure required by the State to teach ELs in LIEPs.”</w:t>
      </w:r>
    </w:p>
    <w:p w:rsidR="00B35E75" w:rsidP="00A03D41" w14:paraId="44593426" w14:textId="1AD369CC">
      <w:pPr>
        <w:spacing w:before="240" w:after="240" w:line="240" w:lineRule="auto"/>
        <w:ind w:left="1080"/>
        <w:rPr>
          <w:rFonts w:ascii="Times New Roman" w:hAnsi="Times New Roman" w:cs="Times New Roman"/>
          <w:sz w:val="24"/>
          <w:szCs w:val="24"/>
        </w:rPr>
      </w:pPr>
      <w:r>
        <w:rPr>
          <w:rFonts w:ascii="Times New Roman" w:hAnsi="Times New Roman" w:cs="Times New Roman"/>
          <w:sz w:val="24"/>
          <w:szCs w:val="24"/>
        </w:rPr>
        <w:t>The Department has a</w:t>
      </w:r>
      <w:r w:rsidRPr="00B35E75">
        <w:rPr>
          <w:rFonts w:ascii="Times New Roman" w:hAnsi="Times New Roman" w:cs="Times New Roman"/>
          <w:sz w:val="24"/>
          <w:szCs w:val="24"/>
        </w:rPr>
        <w:t>dd</w:t>
      </w:r>
      <w:r>
        <w:rPr>
          <w:rFonts w:ascii="Times New Roman" w:hAnsi="Times New Roman" w:cs="Times New Roman"/>
          <w:sz w:val="24"/>
          <w:szCs w:val="24"/>
        </w:rPr>
        <w:t>ed</w:t>
      </w:r>
      <w:r w:rsidRPr="00B35E75">
        <w:rPr>
          <w:rFonts w:ascii="Times New Roman" w:hAnsi="Times New Roman" w:cs="Times New Roman"/>
          <w:sz w:val="24"/>
          <w:szCs w:val="24"/>
        </w:rPr>
        <w:t xml:space="preserve"> a comment field, “In the comment box below, describe your State’s specific EL certification and licensure requirements or, if the State does not require EL certification or licensure, describe the highest level of certification or licensure required by the State for which a teacher is consider “fully certified or licensed” to teach ELs in an LIEP.”</w:t>
      </w:r>
    </w:p>
    <w:p w:rsidR="00591C9F" w:rsidRPr="00A259F1" w:rsidP="0036127F" w14:paraId="3BE9C6AE" w14:textId="77777777">
      <w:pPr>
        <w:pStyle w:val="ListParagraph"/>
        <w:numPr>
          <w:ilvl w:val="0"/>
          <w:numId w:val="10"/>
        </w:numPr>
        <w:spacing w:before="480" w:after="240"/>
        <w:rPr>
          <w:rFonts w:ascii="Times New Roman" w:eastAsia="Times New Roman" w:hAnsi="Times New Roman" w:cs="Times New Roman"/>
          <w:sz w:val="24"/>
          <w:szCs w:val="24"/>
        </w:rPr>
      </w:pPr>
      <w:r w:rsidRPr="00FE4BD8">
        <w:rPr>
          <w:rFonts w:ascii="Times New Roman" w:eastAsia="Times New Roman" w:hAnsi="Times New Roman" w:cs="Times New Roman"/>
          <w:b/>
          <w:bCs/>
          <w:sz w:val="24"/>
          <w:szCs w:val="24"/>
          <w:u w:val="single"/>
        </w:rPr>
        <w:t>Title I, Part A, Postsecondary Enrollment (2.3.3):</w:t>
      </w:r>
      <w:r>
        <w:rPr>
          <w:rFonts w:ascii="Times New Roman" w:eastAsia="Times New Roman" w:hAnsi="Times New Roman" w:cs="Times New Roman"/>
          <w:sz w:val="24"/>
          <w:szCs w:val="24"/>
        </w:rPr>
        <w:t xml:space="preserve"> Sections 1111(h)(1)(xiii) and 1111(h)(2)(C) of the Elementary and Secondary Education Act of 1965 (ESEA) require State and local report cards to include where available, for each high school in the State, the cohort rate at which students who graduate from high school enroll in programs of public postsecondary education in the State. If data are available and to the extent practicable, State and local report cards should also include enrollment information for private postsecondary education programs in the State and postsecondary education programs outside the State. State educational agencies (SEAs) also report this data to EDFacts, and these reported data are used to prepopulate </w:t>
      </w:r>
      <w:r w:rsidRPr="00A259F1">
        <w:rPr>
          <w:rFonts w:ascii="Times New Roman" w:eastAsia="Times New Roman" w:hAnsi="Times New Roman" w:cs="Times New Roman"/>
          <w:sz w:val="24"/>
          <w:szCs w:val="24"/>
        </w:rPr>
        <w:t>the CSPR. ED is proposing to collect an indication of whether the SEAs report enrollment for the following types of postsecondary education: public postsecondary education in the State, private postsecondary education in the State, and programs of postsecondary outside the State.</w:t>
      </w:r>
    </w:p>
    <w:p w:rsidR="00591C9F" w:rsidRPr="00A259F1" w:rsidP="00FA3879" w14:paraId="1277E611" w14:textId="401916F2">
      <w:pPr>
        <w:pStyle w:val="ListParagraph"/>
        <w:numPr>
          <w:ilvl w:val="1"/>
          <w:numId w:val="10"/>
        </w:numPr>
        <w:rPr>
          <w:rFonts w:ascii="Times New Roman" w:eastAsia="Times New Roman" w:hAnsi="Times New Roman" w:cs="Times New Roman"/>
          <w:b/>
          <w:bCs/>
          <w:i/>
          <w:iCs/>
          <w:sz w:val="24"/>
          <w:szCs w:val="24"/>
        </w:rPr>
      </w:pPr>
      <w:r w:rsidRPr="00FA3879">
        <w:rPr>
          <w:rFonts w:ascii="Times New Roman" w:eastAsia="Times New Roman" w:hAnsi="Times New Roman" w:cs="Times New Roman"/>
          <w:b/>
          <w:bCs/>
          <w:i/>
          <w:iCs/>
          <w:sz w:val="24"/>
          <w:szCs w:val="24"/>
        </w:rPr>
        <w:t>Is this additional information available for data your State reports?</w:t>
      </w:r>
    </w:p>
    <w:p w:rsidR="00591C9F" w:rsidRPr="00A259F1" w:rsidP="00591C9F" w14:paraId="1CC1E063" w14:textId="77777777">
      <w:pPr>
        <w:pStyle w:val="ListParagraph"/>
        <w:numPr>
          <w:ilvl w:val="1"/>
          <w:numId w:val="10"/>
        </w:numPr>
        <w:spacing w:before="240" w:after="240" w:line="240" w:lineRule="auto"/>
        <w:rPr>
          <w:rFonts w:ascii="Times New Roman" w:eastAsia="Times New Roman" w:hAnsi="Times New Roman" w:cs="Times New Roman"/>
          <w:b/>
          <w:bCs/>
          <w:i/>
          <w:iCs/>
          <w:sz w:val="24"/>
          <w:szCs w:val="24"/>
        </w:rPr>
      </w:pPr>
      <w:r w:rsidRPr="00A259F1">
        <w:rPr>
          <w:rFonts w:ascii="Times New Roman" w:eastAsia="Times New Roman" w:hAnsi="Times New Roman" w:cs="Times New Roman"/>
          <w:b/>
          <w:bCs/>
          <w:i/>
          <w:iCs/>
          <w:sz w:val="24"/>
          <w:szCs w:val="24"/>
        </w:rPr>
        <w:t>What is the impact of reporting this additional information for your State?</w:t>
      </w:r>
    </w:p>
    <w:p w:rsidR="00591C9F" w:rsidP="00591C9F" w14:paraId="54C9F102" w14:textId="77777777">
      <w:pPr>
        <w:pStyle w:val="Heading2"/>
        <w:ind w:left="1440"/>
        <w:rPr>
          <w:rFonts w:eastAsia="Times New Roman"/>
        </w:rPr>
      </w:pPr>
      <w:r>
        <w:rPr>
          <w:rFonts w:eastAsia="Times New Roman"/>
        </w:rPr>
        <w:t>2.3.3   Postsecondary program types for which enrollment data are reported</w:t>
      </w:r>
    </w:p>
    <w:tbl>
      <w:tblPr>
        <w:tblW w:w="0" w:type="auto"/>
        <w:tblInd w:w="1440" w:type="dxa"/>
        <w:tblCellMar>
          <w:left w:w="0" w:type="dxa"/>
          <w:right w:w="0" w:type="dxa"/>
        </w:tblCellMar>
        <w:tblLook w:val="04A0"/>
      </w:tblPr>
      <w:tblGrid>
        <w:gridCol w:w="4945"/>
        <w:gridCol w:w="2202"/>
      </w:tblGrid>
      <w:tr w14:paraId="3DBDB749" w14:textId="77777777" w:rsidTr="00E94E7A">
        <w:tblPrEx>
          <w:tblW w:w="0" w:type="auto"/>
          <w:tblInd w:w="1440" w:type="dxa"/>
          <w:tblCellMar>
            <w:left w:w="0" w:type="dxa"/>
            <w:right w:w="0" w:type="dxa"/>
          </w:tblCellMar>
          <w:tblLook w:val="04A0"/>
        </w:tblPrEx>
        <w:tc>
          <w:tcPr>
            <w:tcW w:w="49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91C9F" w:rsidP="00E94E7A" w14:paraId="622FB8A9" w14:textId="77777777">
            <w:pPr>
              <w:rPr>
                <w:rFonts w:ascii="Arial" w:hAnsi="Arial" w:cs="Arial"/>
                <w:b/>
                <w:bCs/>
                <w:sz w:val="24"/>
                <w:szCs w:val="24"/>
              </w:rPr>
            </w:pPr>
            <w:r>
              <w:rPr>
                <w:rFonts w:ascii="Arial" w:hAnsi="Arial" w:cs="Arial"/>
                <w:b/>
                <w:bCs/>
                <w:sz w:val="24"/>
                <w:szCs w:val="24"/>
              </w:rPr>
              <w:t>Type of Postsecondary Program</w:t>
            </w:r>
          </w:p>
        </w:tc>
        <w:tc>
          <w:tcPr>
            <w:tcW w:w="220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91C9F" w:rsidP="00E94E7A" w14:paraId="5BCC0A8D" w14:textId="77777777">
            <w:pPr>
              <w:rPr>
                <w:rFonts w:ascii="Arial" w:hAnsi="Arial" w:cs="Arial"/>
                <w:b/>
                <w:bCs/>
                <w:sz w:val="24"/>
                <w:szCs w:val="24"/>
              </w:rPr>
            </w:pPr>
            <w:r>
              <w:rPr>
                <w:rFonts w:ascii="Arial" w:hAnsi="Arial" w:cs="Arial"/>
                <w:b/>
                <w:bCs/>
                <w:sz w:val="24"/>
                <w:szCs w:val="24"/>
              </w:rPr>
              <w:t>Included in Data Reported (Yes or No)</w:t>
            </w:r>
          </w:p>
        </w:tc>
      </w:tr>
      <w:tr w14:paraId="641B73E1" w14:textId="77777777" w:rsidTr="00E94E7A">
        <w:tblPrEx>
          <w:tblW w:w="0" w:type="auto"/>
          <w:tblInd w:w="1440" w:type="dxa"/>
          <w:tblCellMar>
            <w:left w:w="0" w:type="dxa"/>
            <w:right w:w="0" w:type="dxa"/>
          </w:tblCellMar>
          <w:tblLook w:val="04A0"/>
        </w:tblPrEx>
        <w:tc>
          <w:tcPr>
            <w:tcW w:w="49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C9F" w:rsidP="00E94E7A" w14:paraId="322D5339" w14:textId="77777777">
            <w:pPr>
              <w:rPr>
                <w:rFonts w:ascii="Arial" w:hAnsi="Arial" w:cs="Arial"/>
                <w:sz w:val="24"/>
                <w:szCs w:val="24"/>
              </w:rPr>
            </w:pPr>
            <w:r>
              <w:rPr>
                <w:rFonts w:ascii="Arial" w:hAnsi="Arial" w:cs="Arial"/>
                <w:sz w:val="24"/>
                <w:szCs w:val="24"/>
              </w:rPr>
              <w:t>Public postsecondary education in the state</w:t>
            </w:r>
          </w:p>
        </w:tc>
        <w:tc>
          <w:tcPr>
            <w:tcW w:w="2202" w:type="dxa"/>
            <w:tcBorders>
              <w:top w:val="nil"/>
              <w:left w:val="nil"/>
              <w:bottom w:val="single" w:sz="8" w:space="0" w:color="auto"/>
              <w:right w:val="single" w:sz="8" w:space="0" w:color="auto"/>
            </w:tcBorders>
            <w:tcMar>
              <w:top w:w="0" w:type="dxa"/>
              <w:left w:w="108" w:type="dxa"/>
              <w:bottom w:w="0" w:type="dxa"/>
              <w:right w:w="108" w:type="dxa"/>
            </w:tcMar>
            <w:hideMark/>
          </w:tcPr>
          <w:p w:rsidR="00591C9F" w:rsidP="00E94E7A" w14:paraId="0FDE742C" w14:textId="77777777">
            <w:pPr>
              <w:rPr>
                <w:rFonts w:ascii="Arial" w:hAnsi="Arial" w:cs="Arial"/>
                <w:sz w:val="24"/>
                <w:szCs w:val="24"/>
              </w:rPr>
            </w:pPr>
            <w:r>
              <w:rPr>
                <w:rFonts w:ascii="Arial" w:hAnsi="Arial" w:cs="Arial"/>
                <w:sz w:val="24"/>
                <w:szCs w:val="24"/>
              </w:rPr>
              <w:t>[Manual Entry]</w:t>
            </w:r>
          </w:p>
        </w:tc>
      </w:tr>
      <w:tr w14:paraId="62A314DE" w14:textId="77777777" w:rsidTr="00E94E7A">
        <w:tblPrEx>
          <w:tblW w:w="0" w:type="auto"/>
          <w:tblInd w:w="1440" w:type="dxa"/>
          <w:tblCellMar>
            <w:left w:w="0" w:type="dxa"/>
            <w:right w:w="0" w:type="dxa"/>
          </w:tblCellMar>
          <w:tblLook w:val="04A0"/>
        </w:tblPrEx>
        <w:tc>
          <w:tcPr>
            <w:tcW w:w="49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C9F" w:rsidP="00E94E7A" w14:paraId="0C396BEA" w14:textId="77777777">
            <w:pPr>
              <w:rPr>
                <w:rFonts w:ascii="Arial" w:hAnsi="Arial" w:cs="Arial"/>
                <w:sz w:val="24"/>
                <w:szCs w:val="24"/>
              </w:rPr>
            </w:pPr>
            <w:r>
              <w:rPr>
                <w:rFonts w:ascii="Arial" w:hAnsi="Arial" w:cs="Arial"/>
                <w:sz w:val="24"/>
                <w:szCs w:val="24"/>
              </w:rPr>
              <w:t>Private postsecondary education in the state</w:t>
            </w:r>
          </w:p>
        </w:tc>
        <w:tc>
          <w:tcPr>
            <w:tcW w:w="2202" w:type="dxa"/>
            <w:tcBorders>
              <w:top w:val="nil"/>
              <w:left w:val="nil"/>
              <w:bottom w:val="single" w:sz="8" w:space="0" w:color="auto"/>
              <w:right w:val="single" w:sz="8" w:space="0" w:color="auto"/>
            </w:tcBorders>
            <w:tcMar>
              <w:top w:w="0" w:type="dxa"/>
              <w:left w:w="108" w:type="dxa"/>
              <w:bottom w:w="0" w:type="dxa"/>
              <w:right w:w="108" w:type="dxa"/>
            </w:tcMar>
            <w:hideMark/>
          </w:tcPr>
          <w:p w:rsidR="00591C9F" w:rsidP="00E94E7A" w14:paraId="11ED9613" w14:textId="77777777">
            <w:pPr>
              <w:rPr>
                <w:rFonts w:ascii="Arial" w:hAnsi="Arial" w:cs="Arial"/>
                <w:sz w:val="24"/>
                <w:szCs w:val="24"/>
              </w:rPr>
            </w:pPr>
            <w:r>
              <w:rPr>
                <w:rFonts w:ascii="Arial" w:hAnsi="Arial" w:cs="Arial"/>
                <w:sz w:val="24"/>
                <w:szCs w:val="24"/>
              </w:rPr>
              <w:t>[Manual Entry]</w:t>
            </w:r>
          </w:p>
        </w:tc>
      </w:tr>
      <w:tr w14:paraId="0B2713E3" w14:textId="77777777" w:rsidTr="00E94E7A">
        <w:tblPrEx>
          <w:tblW w:w="0" w:type="auto"/>
          <w:tblInd w:w="1440" w:type="dxa"/>
          <w:tblCellMar>
            <w:left w:w="0" w:type="dxa"/>
            <w:right w:w="0" w:type="dxa"/>
          </w:tblCellMar>
          <w:tblLook w:val="04A0"/>
        </w:tblPrEx>
        <w:tc>
          <w:tcPr>
            <w:tcW w:w="49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C9F" w:rsidP="00E94E7A" w14:paraId="25646ACE" w14:textId="77777777">
            <w:pPr>
              <w:rPr>
                <w:rFonts w:ascii="Arial" w:hAnsi="Arial" w:cs="Arial"/>
                <w:sz w:val="24"/>
                <w:szCs w:val="24"/>
              </w:rPr>
            </w:pPr>
            <w:r>
              <w:rPr>
                <w:rFonts w:ascii="Arial" w:hAnsi="Arial" w:cs="Arial"/>
                <w:sz w:val="24"/>
                <w:szCs w:val="24"/>
              </w:rPr>
              <w:t>Postsecondary education outside the state</w:t>
            </w:r>
          </w:p>
        </w:tc>
        <w:tc>
          <w:tcPr>
            <w:tcW w:w="2202" w:type="dxa"/>
            <w:tcBorders>
              <w:top w:val="nil"/>
              <w:left w:val="nil"/>
              <w:bottom w:val="single" w:sz="8" w:space="0" w:color="auto"/>
              <w:right w:val="single" w:sz="8" w:space="0" w:color="auto"/>
            </w:tcBorders>
            <w:tcMar>
              <w:top w:w="0" w:type="dxa"/>
              <w:left w:w="108" w:type="dxa"/>
              <w:bottom w:w="0" w:type="dxa"/>
              <w:right w:w="108" w:type="dxa"/>
            </w:tcMar>
            <w:hideMark/>
          </w:tcPr>
          <w:p w:rsidR="00591C9F" w:rsidP="00E94E7A" w14:paraId="186238BB" w14:textId="77777777">
            <w:pPr>
              <w:rPr>
                <w:rFonts w:ascii="Arial" w:hAnsi="Arial" w:cs="Arial"/>
                <w:sz w:val="24"/>
                <w:szCs w:val="24"/>
              </w:rPr>
            </w:pPr>
            <w:r>
              <w:rPr>
                <w:rFonts w:ascii="Arial" w:hAnsi="Arial" w:cs="Arial"/>
                <w:sz w:val="24"/>
                <w:szCs w:val="24"/>
              </w:rPr>
              <w:t>[Manual Entry]</w:t>
            </w:r>
          </w:p>
        </w:tc>
      </w:tr>
    </w:tbl>
    <w:p w:rsidR="00B34441" w:rsidRPr="005C3A4C" w:rsidP="00A03D41" w14:paraId="2BCBD6BC" w14:textId="77777777">
      <w:pPr>
        <w:spacing w:before="480" w:after="240" w:line="240" w:lineRule="auto"/>
        <w:ind w:left="1440"/>
        <w:rPr>
          <w:rFonts w:ascii="Times New Roman" w:hAnsi="Times New Roman" w:cs="Times New Roman"/>
          <w:b/>
          <w:bCs/>
          <w:sz w:val="24"/>
          <w:szCs w:val="24"/>
          <w:u w:val="single"/>
        </w:rPr>
      </w:pPr>
      <w:r w:rsidRPr="005C3A4C">
        <w:rPr>
          <w:rFonts w:ascii="Times New Roman" w:hAnsi="Times New Roman" w:cs="Times New Roman"/>
          <w:b/>
          <w:bCs/>
          <w:sz w:val="24"/>
          <w:szCs w:val="24"/>
          <w:u w:val="single"/>
        </w:rPr>
        <w:t>Public Comments</w:t>
      </w:r>
    </w:p>
    <w:p w:rsidR="00FA5DDC" w:rsidRPr="00FA5DDC" w:rsidP="00A03D41" w14:paraId="411EA718" w14:textId="20F24614">
      <w:pPr>
        <w:spacing w:before="240" w:after="240" w:line="240" w:lineRule="auto"/>
        <w:ind w:left="1440"/>
        <w:rPr>
          <w:rFonts w:ascii="Times New Roman" w:hAnsi="Times New Roman" w:cs="Times New Roman"/>
          <w:sz w:val="24"/>
          <w:szCs w:val="24"/>
        </w:rPr>
      </w:pPr>
      <w:r w:rsidRPr="00FA5DDC">
        <w:rPr>
          <w:rFonts w:ascii="Times New Roman" w:hAnsi="Times New Roman" w:cs="Times New Roman"/>
          <w:sz w:val="24"/>
          <w:szCs w:val="24"/>
        </w:rPr>
        <w:t>Eight States provided comments to the directed question about the impact of reporting whether the SEA’s reported postsecondary enrollment data includes enrollment for the following types of postsecondary education: public postsecondary education in the State, private postsecondary education in the State, and programs of postsecondary education outside the State. Six States indicated the additional information is available in their States. Three States, including two States which commented that the data are not available or not easily available, commented that reporting enrollment by type of postsecondary education would add burden. However, these States’ comments focused on the burden of reporting enrollment by types of postsecondary education, which is not proposed, rather than reporting whether the data they report includes enrollment in the three types of postsecondary education, which is proposed. One State asked whether the Department could collect the data directly from the National Student Clearinghouse, which typically provides the data to States.</w:t>
      </w:r>
    </w:p>
    <w:p w:rsidR="00B34441" w:rsidRPr="005C3A4C" w:rsidP="00A03D41" w14:paraId="45F9B872" w14:textId="77777777">
      <w:pPr>
        <w:spacing w:before="240" w:after="240" w:line="240" w:lineRule="auto"/>
        <w:ind w:left="1440"/>
        <w:rPr>
          <w:rFonts w:ascii="Times New Roman" w:hAnsi="Times New Roman" w:cs="Times New Roman"/>
          <w:b/>
          <w:bCs/>
          <w:sz w:val="24"/>
          <w:szCs w:val="24"/>
          <w:u w:val="single"/>
        </w:rPr>
      </w:pPr>
      <w:r w:rsidRPr="005C3A4C">
        <w:rPr>
          <w:rFonts w:ascii="Times New Roman" w:hAnsi="Times New Roman" w:cs="Times New Roman"/>
          <w:b/>
          <w:bCs/>
          <w:sz w:val="24"/>
          <w:szCs w:val="24"/>
          <w:u w:val="single"/>
        </w:rPr>
        <w:t>ED Response</w:t>
      </w:r>
    </w:p>
    <w:p w:rsidR="005C3A4C" w:rsidP="00A03D41" w14:paraId="52CE1A7B" w14:textId="11D1205F">
      <w:pPr>
        <w:pStyle w:val="ListParagraph"/>
        <w:spacing w:before="240" w:after="480" w:line="259" w:lineRule="auto"/>
        <w:ind w:left="1440"/>
        <w:rPr>
          <w:rFonts w:ascii="Times New Roman" w:hAnsi="Times New Roman" w:cs="Times New Roman"/>
          <w:sz w:val="24"/>
          <w:szCs w:val="24"/>
        </w:rPr>
      </w:pPr>
      <w:r>
        <w:rPr>
          <w:rFonts w:ascii="Times New Roman" w:hAnsi="Times New Roman" w:cs="Times New Roman"/>
          <w:sz w:val="24"/>
          <w:szCs w:val="24"/>
        </w:rPr>
        <w:t xml:space="preserve">The Department is keeping the proposed change, as </w:t>
      </w:r>
      <w:r>
        <w:rPr>
          <w:rFonts w:ascii="Times New Roman" w:hAnsi="Times New Roman" w:cs="Times New Roman"/>
          <w:sz w:val="24"/>
          <w:szCs w:val="24"/>
        </w:rPr>
        <w:t>the</w:t>
      </w:r>
      <w:r w:rsidRPr="005C3A4C">
        <w:rPr>
          <w:rFonts w:ascii="Times New Roman" w:hAnsi="Times New Roman" w:cs="Times New Roman"/>
          <w:sz w:val="24"/>
          <w:szCs w:val="24"/>
        </w:rPr>
        <w:t xml:space="preserve"> clear majority of</w:t>
      </w:r>
      <w:r w:rsidRPr="005C3A4C">
        <w:rPr>
          <w:rFonts w:ascii="Times New Roman" w:hAnsi="Times New Roman" w:cs="Times New Roman"/>
          <w:sz w:val="24"/>
          <w:szCs w:val="24"/>
        </w:rPr>
        <w:t xml:space="preserve"> responses indicated the data are available and the remaining responses addressed a broader collection of data than what </w:t>
      </w:r>
      <w:r>
        <w:rPr>
          <w:rFonts w:ascii="Times New Roman" w:hAnsi="Times New Roman" w:cs="Times New Roman"/>
          <w:sz w:val="24"/>
          <w:szCs w:val="24"/>
        </w:rPr>
        <w:t>i</w:t>
      </w:r>
      <w:r w:rsidRPr="005C3A4C">
        <w:rPr>
          <w:rFonts w:ascii="Times New Roman" w:hAnsi="Times New Roman" w:cs="Times New Roman"/>
          <w:sz w:val="24"/>
          <w:szCs w:val="24"/>
        </w:rPr>
        <w:t>s proposed. Regarding provision of data form the National Student Clearinghouse, the Department appreciates the suggestion and may consider ways to facilitate improved collection of the data in the future.</w:t>
      </w:r>
    </w:p>
    <w:p w:rsidR="005C3A4C" w:rsidRPr="00B35E75" w:rsidP="00A03D41" w14:paraId="02CAA401" w14:textId="77777777">
      <w:pPr>
        <w:spacing w:before="240" w:after="240" w:line="240" w:lineRule="auto"/>
        <w:ind w:left="1440"/>
        <w:rPr>
          <w:rFonts w:ascii="Times New Roman" w:hAnsi="Times New Roman" w:cs="Times New Roman"/>
          <w:b/>
          <w:bCs/>
          <w:sz w:val="24"/>
          <w:szCs w:val="24"/>
          <w:u w:val="single"/>
        </w:rPr>
      </w:pPr>
      <w:r w:rsidRPr="00B35E75">
        <w:rPr>
          <w:rFonts w:ascii="Times New Roman" w:hAnsi="Times New Roman" w:cs="Times New Roman"/>
          <w:b/>
          <w:bCs/>
          <w:sz w:val="24"/>
          <w:szCs w:val="24"/>
          <w:u w:val="single"/>
        </w:rPr>
        <w:t>Changes from 60-Day to 30-Day</w:t>
      </w:r>
    </w:p>
    <w:p w:rsidR="005C3A4C" w:rsidP="00A03D41" w14:paraId="7054DDB7" w14:textId="356BCD85">
      <w:pPr>
        <w:pStyle w:val="ListParagraph"/>
        <w:spacing w:before="240" w:after="480" w:line="259" w:lineRule="auto"/>
        <w:ind w:left="1440"/>
        <w:rPr>
          <w:rFonts w:ascii="Times New Roman" w:hAnsi="Times New Roman" w:cs="Times New Roman"/>
          <w:sz w:val="24"/>
          <w:szCs w:val="24"/>
        </w:rPr>
      </w:pPr>
      <w:r>
        <w:rPr>
          <w:rFonts w:ascii="Times New Roman" w:hAnsi="Times New Roman" w:cs="Times New Roman"/>
          <w:sz w:val="24"/>
          <w:szCs w:val="24"/>
        </w:rPr>
        <w:t xml:space="preserve">Minor revisions to </w:t>
      </w:r>
      <w:r w:rsidR="0031766D">
        <w:rPr>
          <w:rFonts w:ascii="Times New Roman" w:hAnsi="Times New Roman" w:cs="Times New Roman"/>
          <w:sz w:val="24"/>
          <w:szCs w:val="24"/>
        </w:rPr>
        <w:t>wording in Tables 2.2.1.1 and 2.2.2.</w:t>
      </w:r>
    </w:p>
    <w:p w:rsidR="008B0AA9" w:rsidRPr="005C3A4C" w:rsidP="005C3A4C" w14:paraId="6301E4E9" w14:textId="0F267E75">
      <w:pPr>
        <w:pStyle w:val="ListParagraph"/>
        <w:spacing w:before="240" w:after="480" w:line="259" w:lineRule="auto"/>
        <w:rPr>
          <w:rFonts w:ascii="Times New Roman" w:hAnsi="Times New Roman" w:cs="Times New Roman"/>
          <w:sz w:val="24"/>
          <w:szCs w:val="24"/>
        </w:rPr>
      </w:pPr>
      <w:r w:rsidRPr="005C3A4C">
        <w:rPr>
          <w:rFonts w:ascii="Times New Roman" w:hAnsi="Times New Roman" w:cs="Times New Roman"/>
          <w:sz w:val="24"/>
          <w:szCs w:val="24"/>
        </w:rPr>
        <w:t xml:space="preserve">       </w:t>
      </w:r>
    </w:p>
    <w:p w:rsidR="00E660F2" w:rsidRPr="00C91A1E" w:rsidP="005C3A4C" w14:paraId="5C50F93F" w14:textId="5ADC78E6">
      <w:pPr>
        <w:pStyle w:val="ListParagraph"/>
        <w:numPr>
          <w:ilvl w:val="0"/>
          <w:numId w:val="10"/>
        </w:numPr>
        <w:spacing w:before="480" w:after="240" w:line="259" w:lineRule="auto"/>
        <w:rPr>
          <w:rFonts w:ascii="Times New Roman" w:hAnsi="Times New Roman" w:cs="Times New Roman"/>
          <w:sz w:val="24"/>
          <w:szCs w:val="24"/>
        </w:rPr>
      </w:pPr>
      <w:r w:rsidRPr="00FE4BD8">
        <w:rPr>
          <w:rFonts w:ascii="Times New Roman" w:hAnsi="Times New Roman" w:cs="Times New Roman"/>
          <w:b/>
          <w:bCs/>
          <w:sz w:val="24"/>
          <w:szCs w:val="24"/>
          <w:u w:val="single"/>
        </w:rPr>
        <w:t>Title I, Part D, Neglected or Delinquent Students</w:t>
      </w:r>
      <w:r w:rsidRPr="00FE4BD8" w:rsidR="008B0AA9">
        <w:rPr>
          <w:rFonts w:ascii="Times New Roman" w:hAnsi="Times New Roman" w:cs="Times New Roman"/>
          <w:b/>
          <w:bCs/>
          <w:sz w:val="24"/>
          <w:szCs w:val="24"/>
          <w:u w:val="single"/>
        </w:rPr>
        <w:t xml:space="preserve"> (2.5.1.1, 2.5.3.1)</w:t>
      </w:r>
      <w:r w:rsidRPr="00FE4BD8">
        <w:rPr>
          <w:rFonts w:ascii="Times New Roman" w:hAnsi="Times New Roman" w:cs="Times New Roman"/>
          <w:b/>
          <w:bCs/>
          <w:sz w:val="24"/>
          <w:szCs w:val="24"/>
          <w:u w:val="single"/>
        </w:rPr>
        <w:t>:</w:t>
      </w:r>
      <w:r w:rsidRPr="00C91A1E">
        <w:rPr>
          <w:rFonts w:ascii="Times New Roman" w:hAnsi="Times New Roman" w:cs="Times New Roman"/>
          <w:sz w:val="24"/>
          <w:szCs w:val="24"/>
          <w:u w:val="single"/>
        </w:rPr>
        <w:t xml:space="preserve"> </w:t>
      </w:r>
      <w:r w:rsidRPr="00C91A1E">
        <w:rPr>
          <w:rFonts w:ascii="Times New Roman" w:hAnsi="Times New Roman" w:cs="Times New Roman"/>
          <w:sz w:val="24"/>
          <w:szCs w:val="24"/>
        </w:rPr>
        <w:t xml:space="preserve">Currently, ED collects data the on the yearly average length of stay by program/facility type serving students who are neglected or delinquent under Title I, Part D. ED is proposing to add an additional collection for the average number of days that students receive program-funded services in these programs. </w:t>
      </w:r>
    </w:p>
    <w:p w:rsidR="00E660F2" w:rsidRPr="00E660F2" w:rsidP="00E660F2" w14:paraId="2976BB9C" w14:textId="77777777">
      <w:pPr>
        <w:pStyle w:val="ListParagraph"/>
        <w:numPr>
          <w:ilvl w:val="1"/>
          <w:numId w:val="10"/>
        </w:numPr>
        <w:spacing w:before="240" w:after="240" w:line="259" w:lineRule="auto"/>
        <w:rPr>
          <w:rFonts w:ascii="Times New Roman" w:hAnsi="Times New Roman" w:cs="Times New Roman"/>
          <w:b/>
          <w:bCs/>
          <w:i/>
          <w:iCs/>
          <w:sz w:val="24"/>
          <w:szCs w:val="24"/>
        </w:rPr>
      </w:pPr>
      <w:r w:rsidRPr="00E660F2">
        <w:rPr>
          <w:rFonts w:ascii="Times New Roman" w:hAnsi="Times New Roman" w:cs="Times New Roman"/>
          <w:b/>
          <w:bCs/>
          <w:i/>
          <w:iCs/>
          <w:sz w:val="24"/>
          <w:szCs w:val="24"/>
        </w:rPr>
        <w:t>Can your state report the average number of days that students receive Title I, Part D program services, in addition to the average length of stay?</w:t>
      </w:r>
    </w:p>
    <w:p w:rsidR="00E660F2" w:rsidP="004E177C" w14:paraId="4B08125C" w14:textId="77777777">
      <w:pPr>
        <w:pStyle w:val="ListParagraph"/>
        <w:numPr>
          <w:ilvl w:val="1"/>
          <w:numId w:val="10"/>
        </w:numPr>
        <w:spacing w:before="240" w:after="480" w:line="259" w:lineRule="auto"/>
        <w:rPr>
          <w:rFonts w:ascii="Times New Roman" w:hAnsi="Times New Roman" w:cs="Times New Roman"/>
          <w:b/>
          <w:bCs/>
          <w:i/>
          <w:iCs/>
          <w:sz w:val="24"/>
          <w:szCs w:val="24"/>
        </w:rPr>
      </w:pPr>
      <w:r w:rsidRPr="00E660F2">
        <w:rPr>
          <w:rFonts w:ascii="Times New Roman" w:hAnsi="Times New Roman" w:cs="Times New Roman"/>
          <w:b/>
          <w:bCs/>
          <w:i/>
          <w:iCs/>
          <w:sz w:val="24"/>
          <w:szCs w:val="24"/>
        </w:rPr>
        <w:t>How long does the state anticipate that it would take to be able to report this data?  What impacts with reporting this data group are anticipated in your state?</w:t>
      </w:r>
    </w:p>
    <w:p w:rsidR="004E177C" w:rsidRPr="00523F23" w:rsidP="00A03D41" w14:paraId="3815A227" w14:textId="77777777">
      <w:pPr>
        <w:spacing w:before="240" w:after="240" w:line="240" w:lineRule="auto"/>
        <w:ind w:left="1080"/>
        <w:rPr>
          <w:rFonts w:ascii="Times New Roman" w:hAnsi="Times New Roman" w:cs="Times New Roman"/>
          <w:b/>
          <w:bCs/>
          <w:sz w:val="24"/>
          <w:szCs w:val="24"/>
          <w:u w:val="single"/>
        </w:rPr>
      </w:pPr>
      <w:r w:rsidRPr="00523F23">
        <w:rPr>
          <w:rFonts w:ascii="Times New Roman" w:hAnsi="Times New Roman" w:cs="Times New Roman"/>
          <w:b/>
          <w:bCs/>
          <w:sz w:val="24"/>
          <w:szCs w:val="24"/>
          <w:u w:val="single"/>
        </w:rPr>
        <w:t>Public Comments</w:t>
      </w:r>
    </w:p>
    <w:p w:rsidR="0058168D" w:rsidRPr="0058168D" w:rsidP="00A03D41" w14:paraId="2D7D4228" w14:textId="6D2E83A8">
      <w:pPr>
        <w:spacing w:before="240" w:after="240" w:line="240" w:lineRule="auto"/>
        <w:ind w:left="1080"/>
        <w:rPr>
          <w:rFonts w:ascii="Times New Roman" w:hAnsi="Times New Roman" w:cs="Times New Roman"/>
          <w:sz w:val="24"/>
          <w:szCs w:val="24"/>
        </w:rPr>
      </w:pPr>
      <w:r w:rsidRPr="0058168D">
        <w:rPr>
          <w:rFonts w:ascii="Times New Roman" w:hAnsi="Times New Roman" w:cs="Times New Roman"/>
          <w:sz w:val="24"/>
          <w:szCs w:val="24"/>
        </w:rPr>
        <w:t xml:space="preserve">We received comments from a total of 10 states.  To the first question of whether states would be able to report the average number of days that students receive Title I, Part D services in addition to the average length of stay, all ten states responded that this data is not currently collected. This was expected since this question has not been </w:t>
      </w:r>
      <w:r w:rsidRPr="0058168D">
        <w:rPr>
          <w:rFonts w:ascii="Times New Roman" w:hAnsi="Times New Roman" w:cs="Times New Roman"/>
          <w:sz w:val="24"/>
          <w:szCs w:val="24"/>
        </w:rPr>
        <w:t xml:space="preserve">asked previously. While several states noted that this would require some additional burden, one state noted that “this would increase the accountability of LEAs and programs to account for students receiving services.” While one state felt that the number of days receiving services would be </w:t>
      </w:r>
      <w:r w:rsidRPr="0058168D">
        <w:rPr>
          <w:rFonts w:ascii="Times New Roman" w:hAnsi="Times New Roman" w:cs="Times New Roman"/>
          <w:sz w:val="24"/>
          <w:szCs w:val="24"/>
        </w:rPr>
        <w:t>similar to</w:t>
      </w:r>
      <w:r w:rsidRPr="0058168D">
        <w:rPr>
          <w:rFonts w:ascii="Times New Roman" w:hAnsi="Times New Roman" w:cs="Times New Roman"/>
          <w:sz w:val="24"/>
          <w:szCs w:val="24"/>
        </w:rPr>
        <w:t xml:space="preserve"> the length of stay, two states explained that there are some funded programs in the state where the SEA suspects that students spend time in the program without receiving any Title I Part D services, and therefore the length of stay and days receiving services would be very different. </w:t>
      </w:r>
    </w:p>
    <w:p w:rsidR="0058168D" w:rsidRPr="0058168D" w:rsidP="00A03D41" w14:paraId="2B13A3D3" w14:textId="1E44A2D6">
      <w:pPr>
        <w:spacing w:before="240" w:after="240" w:line="240" w:lineRule="auto"/>
        <w:ind w:left="1080"/>
        <w:rPr>
          <w:rFonts w:ascii="Times New Roman" w:hAnsi="Times New Roman" w:cs="Times New Roman"/>
          <w:sz w:val="24"/>
          <w:szCs w:val="24"/>
        </w:rPr>
      </w:pPr>
      <w:r w:rsidRPr="0058168D">
        <w:rPr>
          <w:rFonts w:ascii="Times New Roman" w:hAnsi="Times New Roman" w:cs="Times New Roman"/>
          <w:sz w:val="24"/>
          <w:szCs w:val="24"/>
        </w:rPr>
        <w:t xml:space="preserve">Several states requested additional guidance on this collection, such as clear definitions explaining the differences between the yearly average length of stay and the number of days of students receiving services, and whether this applies to both subpart 1 and subpart 2 programs.  </w:t>
      </w:r>
    </w:p>
    <w:p w:rsidR="0058168D" w:rsidRPr="0058168D" w:rsidP="00A03D41" w14:paraId="00DF5D36" w14:textId="280E0B22">
      <w:pPr>
        <w:spacing w:before="240" w:after="240" w:line="240" w:lineRule="auto"/>
        <w:ind w:left="1080"/>
        <w:rPr>
          <w:rFonts w:ascii="Times New Roman" w:hAnsi="Times New Roman" w:cs="Times New Roman"/>
          <w:sz w:val="24"/>
          <w:szCs w:val="24"/>
        </w:rPr>
      </w:pPr>
      <w:r w:rsidRPr="0058168D">
        <w:rPr>
          <w:rFonts w:ascii="Times New Roman" w:hAnsi="Times New Roman" w:cs="Times New Roman"/>
          <w:sz w:val="24"/>
          <w:szCs w:val="24"/>
        </w:rPr>
        <w:t xml:space="preserve">To the question of how long it would take to begin collecting this data, nearly all ten states said that they would be able to report this data within one to two years. In fact, </w:t>
      </w:r>
      <w:r w:rsidRPr="0058168D">
        <w:rPr>
          <w:rFonts w:ascii="Times New Roman" w:hAnsi="Times New Roman" w:cs="Times New Roman"/>
          <w:sz w:val="24"/>
          <w:szCs w:val="24"/>
        </w:rPr>
        <w:t>a number of</w:t>
      </w:r>
      <w:r w:rsidRPr="0058168D">
        <w:rPr>
          <w:rFonts w:ascii="Times New Roman" w:hAnsi="Times New Roman" w:cs="Times New Roman"/>
          <w:sz w:val="24"/>
          <w:szCs w:val="24"/>
        </w:rPr>
        <w:t xml:space="preserve"> states noted that it could be collected for the 2022-23 school year. One state said it needed two to three years, and one state said it would need five years. </w:t>
      </w:r>
    </w:p>
    <w:p w:rsidR="004E177C" w:rsidRPr="00C169DB" w:rsidP="00A03D41" w14:paraId="30FA9526" w14:textId="77777777">
      <w:pPr>
        <w:spacing w:before="240" w:after="240" w:line="240" w:lineRule="auto"/>
        <w:ind w:left="1080"/>
        <w:rPr>
          <w:rFonts w:ascii="Times New Roman" w:hAnsi="Times New Roman" w:cs="Times New Roman"/>
          <w:b/>
          <w:bCs/>
          <w:sz w:val="24"/>
          <w:szCs w:val="24"/>
          <w:u w:val="single"/>
        </w:rPr>
      </w:pPr>
      <w:r w:rsidRPr="00C169DB">
        <w:rPr>
          <w:rFonts w:ascii="Times New Roman" w:hAnsi="Times New Roman" w:cs="Times New Roman"/>
          <w:b/>
          <w:bCs/>
          <w:sz w:val="24"/>
          <w:szCs w:val="24"/>
          <w:u w:val="single"/>
        </w:rPr>
        <w:t>ED Response</w:t>
      </w:r>
    </w:p>
    <w:p w:rsidR="0058168D" w:rsidRPr="0058168D" w:rsidP="00A03D41" w14:paraId="2B610163" w14:textId="7AF041F9">
      <w:pPr>
        <w:spacing w:before="240" w:after="240" w:line="240" w:lineRule="auto"/>
        <w:ind w:left="1080"/>
        <w:rPr>
          <w:rFonts w:ascii="Times New Roman" w:hAnsi="Times New Roman" w:cs="Times New Roman"/>
          <w:sz w:val="24"/>
          <w:szCs w:val="24"/>
        </w:rPr>
      </w:pPr>
      <w:r>
        <w:rPr>
          <w:rFonts w:ascii="Times New Roman" w:hAnsi="Times New Roman" w:cs="Times New Roman"/>
          <w:sz w:val="24"/>
          <w:szCs w:val="24"/>
        </w:rPr>
        <w:t>Based on the state responses, t</w:t>
      </w:r>
      <w:r w:rsidRPr="0058168D">
        <w:rPr>
          <w:rFonts w:ascii="Times New Roman" w:hAnsi="Times New Roman" w:cs="Times New Roman"/>
          <w:sz w:val="24"/>
          <w:szCs w:val="24"/>
        </w:rPr>
        <w:t xml:space="preserve">he Department </w:t>
      </w:r>
      <w:r w:rsidR="00A149A2">
        <w:rPr>
          <w:rFonts w:ascii="Times New Roman" w:hAnsi="Times New Roman" w:cs="Times New Roman"/>
          <w:sz w:val="24"/>
          <w:szCs w:val="24"/>
        </w:rPr>
        <w:t>considers</w:t>
      </w:r>
      <w:r>
        <w:rPr>
          <w:rFonts w:ascii="Times New Roman" w:hAnsi="Times New Roman" w:cs="Times New Roman"/>
          <w:sz w:val="24"/>
          <w:szCs w:val="24"/>
        </w:rPr>
        <w:t xml:space="preserve"> these</w:t>
      </w:r>
      <w:r w:rsidRPr="0058168D">
        <w:rPr>
          <w:rFonts w:ascii="Times New Roman" w:hAnsi="Times New Roman" w:cs="Times New Roman"/>
          <w:sz w:val="24"/>
          <w:szCs w:val="24"/>
        </w:rPr>
        <w:t xml:space="preserve"> data</w:t>
      </w:r>
      <w:r>
        <w:rPr>
          <w:rFonts w:ascii="Times New Roman" w:hAnsi="Times New Roman" w:cs="Times New Roman"/>
          <w:sz w:val="24"/>
          <w:szCs w:val="24"/>
        </w:rPr>
        <w:t xml:space="preserve"> to be an </w:t>
      </w:r>
      <w:r w:rsidRPr="0058168D">
        <w:rPr>
          <w:rFonts w:ascii="Times New Roman" w:hAnsi="Times New Roman" w:cs="Times New Roman"/>
          <w:sz w:val="24"/>
          <w:szCs w:val="24"/>
        </w:rPr>
        <w:t xml:space="preserve">important </w:t>
      </w:r>
      <w:r>
        <w:rPr>
          <w:rFonts w:ascii="Times New Roman" w:hAnsi="Times New Roman" w:cs="Times New Roman"/>
          <w:sz w:val="24"/>
          <w:szCs w:val="24"/>
        </w:rPr>
        <w:t xml:space="preserve">addition </w:t>
      </w:r>
      <w:r w:rsidRPr="0058168D">
        <w:rPr>
          <w:rFonts w:ascii="Times New Roman" w:hAnsi="Times New Roman" w:cs="Times New Roman"/>
          <w:sz w:val="24"/>
          <w:szCs w:val="24"/>
        </w:rPr>
        <w:t>to</w:t>
      </w:r>
      <w:r>
        <w:rPr>
          <w:rFonts w:ascii="Times New Roman" w:hAnsi="Times New Roman" w:cs="Times New Roman"/>
          <w:sz w:val="24"/>
          <w:szCs w:val="24"/>
        </w:rPr>
        <w:t xml:space="preserve"> the CSPR. I</w:t>
      </w:r>
      <w:r w:rsidRPr="0058168D">
        <w:rPr>
          <w:rFonts w:ascii="Times New Roman" w:hAnsi="Times New Roman" w:cs="Times New Roman"/>
          <w:sz w:val="24"/>
          <w:szCs w:val="24"/>
        </w:rPr>
        <w:t xml:space="preserve">t will require programs to account for the number of days students </w:t>
      </w:r>
      <w:r w:rsidRPr="0058168D">
        <w:rPr>
          <w:rFonts w:ascii="Times New Roman" w:hAnsi="Times New Roman" w:cs="Times New Roman"/>
          <w:sz w:val="24"/>
          <w:szCs w:val="24"/>
        </w:rPr>
        <w:t>actually receive</w:t>
      </w:r>
      <w:r w:rsidRPr="0058168D">
        <w:rPr>
          <w:rFonts w:ascii="Times New Roman" w:hAnsi="Times New Roman" w:cs="Times New Roman"/>
          <w:sz w:val="24"/>
          <w:szCs w:val="24"/>
        </w:rPr>
        <w:t xml:space="preserve"> services from Title I, Part D funded programs</w:t>
      </w:r>
      <w:r>
        <w:rPr>
          <w:rFonts w:ascii="Times New Roman" w:hAnsi="Times New Roman" w:cs="Times New Roman"/>
          <w:sz w:val="24"/>
          <w:szCs w:val="24"/>
        </w:rPr>
        <w:t>,</w:t>
      </w:r>
      <w:r w:rsidRPr="0058168D">
        <w:rPr>
          <w:rFonts w:ascii="Times New Roman" w:hAnsi="Times New Roman" w:cs="Times New Roman"/>
          <w:sz w:val="24"/>
          <w:szCs w:val="24"/>
        </w:rPr>
        <w:t xml:space="preserve"> rather than simply measuring the average duration a student is in a program.  </w:t>
      </w:r>
    </w:p>
    <w:p w:rsidR="0058168D" w:rsidP="00A03D41" w14:paraId="6FB5C55A" w14:textId="0F947F4C">
      <w:pPr>
        <w:spacing w:before="240" w:after="240" w:line="240" w:lineRule="auto"/>
        <w:ind w:left="1080"/>
        <w:rPr>
          <w:rFonts w:ascii="Times New Roman" w:hAnsi="Times New Roman" w:cs="Times New Roman"/>
          <w:sz w:val="24"/>
          <w:szCs w:val="24"/>
        </w:rPr>
      </w:pPr>
      <w:r w:rsidRPr="0058168D">
        <w:rPr>
          <w:rFonts w:ascii="Times New Roman" w:hAnsi="Times New Roman" w:cs="Times New Roman"/>
          <w:sz w:val="24"/>
          <w:szCs w:val="24"/>
        </w:rPr>
        <w:t xml:space="preserve">The Department </w:t>
      </w:r>
      <w:r w:rsidR="00C169DB">
        <w:rPr>
          <w:rFonts w:ascii="Times New Roman" w:hAnsi="Times New Roman" w:cs="Times New Roman"/>
          <w:sz w:val="24"/>
          <w:szCs w:val="24"/>
        </w:rPr>
        <w:t>agrees and plans on providing</w:t>
      </w:r>
      <w:r w:rsidRPr="0058168D">
        <w:rPr>
          <w:rFonts w:ascii="Times New Roman" w:hAnsi="Times New Roman" w:cs="Times New Roman"/>
          <w:sz w:val="24"/>
          <w:szCs w:val="24"/>
        </w:rPr>
        <w:t xml:space="preserve"> additional guidance and technical assistance, including clear definitions</w:t>
      </w:r>
      <w:r w:rsidR="00C169DB">
        <w:rPr>
          <w:rFonts w:ascii="Times New Roman" w:hAnsi="Times New Roman" w:cs="Times New Roman"/>
          <w:sz w:val="24"/>
          <w:szCs w:val="24"/>
        </w:rPr>
        <w:t xml:space="preserve"> t</w:t>
      </w:r>
      <w:r w:rsidRPr="0058168D">
        <w:rPr>
          <w:rFonts w:ascii="Times New Roman" w:hAnsi="Times New Roman" w:cs="Times New Roman"/>
          <w:sz w:val="24"/>
          <w:szCs w:val="24"/>
        </w:rPr>
        <w:t>o assist states in accurately reporting this information.</w:t>
      </w:r>
    </w:p>
    <w:p w:rsidR="00333AAC" w:rsidP="00A03D41" w14:paraId="1970CA47" w14:textId="2C13F75F">
      <w:pPr>
        <w:spacing w:before="240" w:after="240" w:line="240" w:lineRule="auto"/>
        <w:ind w:left="1080"/>
        <w:rPr>
          <w:rFonts w:ascii="Times New Roman" w:hAnsi="Times New Roman" w:cs="Times New Roman"/>
          <w:sz w:val="24"/>
          <w:szCs w:val="24"/>
        </w:rPr>
      </w:pPr>
      <w:r w:rsidRPr="0058168D">
        <w:rPr>
          <w:rFonts w:ascii="Times New Roman" w:hAnsi="Times New Roman" w:cs="Times New Roman"/>
          <w:sz w:val="24"/>
          <w:szCs w:val="24"/>
        </w:rPr>
        <w:t xml:space="preserve">The Department understands that with a new data collection, it </w:t>
      </w:r>
      <w:r w:rsidR="00C169DB">
        <w:rPr>
          <w:rFonts w:ascii="Times New Roman" w:hAnsi="Times New Roman" w:cs="Times New Roman"/>
          <w:sz w:val="24"/>
          <w:szCs w:val="24"/>
        </w:rPr>
        <w:t>may</w:t>
      </w:r>
      <w:r w:rsidRPr="0058168D">
        <w:rPr>
          <w:rFonts w:ascii="Times New Roman" w:hAnsi="Times New Roman" w:cs="Times New Roman"/>
          <w:sz w:val="24"/>
          <w:szCs w:val="24"/>
        </w:rPr>
        <w:t xml:space="preserve"> take </w:t>
      </w:r>
      <w:r w:rsidR="00C169DB">
        <w:rPr>
          <w:rFonts w:ascii="Times New Roman" w:hAnsi="Times New Roman" w:cs="Times New Roman"/>
          <w:sz w:val="24"/>
          <w:szCs w:val="24"/>
        </w:rPr>
        <w:t>a few</w:t>
      </w:r>
      <w:r w:rsidRPr="0058168D">
        <w:rPr>
          <w:rFonts w:ascii="Times New Roman" w:hAnsi="Times New Roman" w:cs="Times New Roman"/>
          <w:sz w:val="24"/>
          <w:szCs w:val="24"/>
        </w:rPr>
        <w:t xml:space="preserve"> years to collect meaningful data, and will take that into consideration in reviewing state data and establishing baselines.  </w:t>
      </w:r>
    </w:p>
    <w:p w:rsidR="007E1F94" w:rsidRPr="00B35E75" w:rsidP="00A03D41" w14:paraId="67D67556" w14:textId="77777777">
      <w:pPr>
        <w:spacing w:before="240" w:after="240" w:line="240" w:lineRule="auto"/>
        <w:ind w:left="1080"/>
        <w:rPr>
          <w:rFonts w:ascii="Times New Roman" w:hAnsi="Times New Roman" w:cs="Times New Roman"/>
          <w:b/>
          <w:bCs/>
          <w:sz w:val="24"/>
          <w:szCs w:val="24"/>
          <w:u w:val="single"/>
        </w:rPr>
      </w:pPr>
      <w:r w:rsidRPr="00B35E75">
        <w:rPr>
          <w:rFonts w:ascii="Times New Roman" w:hAnsi="Times New Roman" w:cs="Times New Roman"/>
          <w:b/>
          <w:bCs/>
          <w:sz w:val="24"/>
          <w:szCs w:val="24"/>
          <w:u w:val="single"/>
        </w:rPr>
        <w:t>Changes from 60-Day to 30-Day</w:t>
      </w:r>
    </w:p>
    <w:p w:rsidR="007E1F94" w:rsidRPr="0058168D" w:rsidP="00A03D41" w14:paraId="460924D2" w14:textId="352BA234">
      <w:pPr>
        <w:spacing w:before="240" w:after="240" w:line="240" w:lineRule="auto"/>
        <w:ind w:left="1080"/>
        <w:rPr>
          <w:rFonts w:ascii="Times New Roman" w:hAnsi="Times New Roman" w:cs="Times New Roman"/>
          <w:sz w:val="24"/>
          <w:szCs w:val="24"/>
        </w:rPr>
      </w:pPr>
      <w:r>
        <w:rPr>
          <w:rFonts w:ascii="Times New Roman" w:hAnsi="Times New Roman" w:cs="Times New Roman"/>
          <w:sz w:val="24"/>
          <w:szCs w:val="24"/>
        </w:rPr>
        <w:t>No changes.</w:t>
      </w:r>
    </w:p>
    <w:p w:rsidR="00F07BF0" w:rsidRPr="00F07BF0" w:rsidP="00F07BF0" w14:paraId="2118DA35" w14:textId="77777777">
      <w:pPr>
        <w:pBdr>
          <w:bottom w:val="thinThickSmallGap" w:sz="12" w:space="1" w:color="943634"/>
        </w:pBdr>
        <w:spacing w:before="400" w:after="200" w:line="252" w:lineRule="auto"/>
        <w:jc w:val="center"/>
        <w:outlineLvl w:val="0"/>
        <w:rPr>
          <w:rFonts w:ascii="Cambria" w:eastAsia="Times New Roman" w:hAnsi="Cambria" w:cs="Times New Roman"/>
          <w:caps/>
          <w:color w:val="632423"/>
          <w:spacing w:val="20"/>
          <w:sz w:val="28"/>
          <w:szCs w:val="28"/>
        </w:rPr>
      </w:pPr>
      <w:bookmarkStart w:id="5" w:name="_Toc97818316"/>
      <w:r w:rsidRPr="00F07BF0">
        <w:rPr>
          <w:rFonts w:ascii="Cambria" w:eastAsia="Times New Roman" w:hAnsi="Cambria" w:cs="Times New Roman"/>
          <w:caps/>
          <w:color w:val="632423"/>
          <w:spacing w:val="20"/>
          <w:sz w:val="28"/>
          <w:szCs w:val="28"/>
          <w:u w:color="622423"/>
        </w:rPr>
        <w:t>other public comments</w:t>
      </w:r>
      <w:bookmarkEnd w:id="5"/>
    </w:p>
    <w:p w:rsidR="00333AAC" w:rsidRPr="004E177C" w:rsidP="004E177C" w14:paraId="1E1B53F6" w14:textId="77777777">
      <w:pPr>
        <w:spacing w:before="240" w:after="240" w:line="240" w:lineRule="auto"/>
        <w:ind w:left="720"/>
        <w:rPr>
          <w:rFonts w:ascii="Times New Roman" w:hAnsi="Times New Roman" w:cs="Times New Roman"/>
          <w:sz w:val="24"/>
          <w:szCs w:val="24"/>
        </w:rPr>
      </w:pPr>
    </w:p>
    <w:p w:rsidR="00B34441" w:rsidRPr="000C59E2" w:rsidP="004E177C" w14:paraId="26197801" w14:textId="05E4C7E1">
      <w:pPr>
        <w:pStyle w:val="ListParagraph"/>
        <w:numPr>
          <w:ilvl w:val="0"/>
          <w:numId w:val="10"/>
        </w:numPr>
        <w:spacing w:before="240" w:after="240"/>
        <w:rPr>
          <w:rFonts w:ascii="Times New Roman" w:hAnsi="Times New Roman" w:cs="Times New Roman"/>
          <w:sz w:val="24"/>
          <w:szCs w:val="24"/>
        </w:rPr>
      </w:pPr>
      <w:r w:rsidRPr="00A03D41">
        <w:rPr>
          <w:rFonts w:ascii="Times New Roman" w:hAnsi="Times New Roman" w:cs="Times New Roman"/>
          <w:b/>
          <w:bCs/>
          <w:sz w:val="24"/>
          <w:szCs w:val="24"/>
          <w:u w:val="single"/>
        </w:rPr>
        <w:t>Title I, Part C</w:t>
      </w:r>
      <w:r w:rsidRPr="00A03D41" w:rsidR="009A5D27">
        <w:rPr>
          <w:rFonts w:ascii="Times New Roman" w:hAnsi="Times New Roman" w:cs="Times New Roman"/>
          <w:b/>
          <w:bCs/>
          <w:sz w:val="24"/>
          <w:szCs w:val="24"/>
          <w:u w:val="single"/>
        </w:rPr>
        <w:t xml:space="preserve">: </w:t>
      </w:r>
      <w:r w:rsidRPr="00A03D41" w:rsidR="00A03D41">
        <w:rPr>
          <w:rFonts w:ascii="Times New Roman" w:hAnsi="Times New Roman" w:cs="Times New Roman"/>
          <w:sz w:val="24"/>
          <w:szCs w:val="24"/>
        </w:rPr>
        <w:t>1.6.4.2 Prospective Re-Interviewing Procedures. The table indicates it would like “Yes” or “No” response, but the question “Were re-interviews conducted by phone or virtual?” does not read as “Yes” or “No” question. We would suggest rewording it to say something like: Were re-interviews conducted remotely (by phone or virtual)?</w:t>
      </w:r>
    </w:p>
    <w:p w:rsidR="000C59E2" w:rsidP="00A03D41" w14:paraId="20CC31B1" w14:textId="77777777">
      <w:pPr>
        <w:pStyle w:val="ListParagraph"/>
        <w:spacing w:before="240" w:after="240"/>
        <w:rPr>
          <w:rFonts w:ascii="Times New Roman" w:hAnsi="Times New Roman" w:cs="Times New Roman"/>
          <w:sz w:val="24"/>
          <w:szCs w:val="24"/>
        </w:rPr>
      </w:pPr>
    </w:p>
    <w:p w:rsidR="00A03D41" w:rsidP="00A03D41" w14:paraId="27D2A46F" w14:textId="77777777">
      <w:pPr>
        <w:pStyle w:val="ListParagraph"/>
        <w:spacing w:before="240" w:after="480"/>
        <w:ind w:left="1440"/>
        <w:rPr>
          <w:rFonts w:ascii="Times New Roman" w:hAnsi="Times New Roman" w:cs="Times New Roman"/>
          <w:b/>
          <w:bCs/>
          <w:sz w:val="24"/>
          <w:szCs w:val="24"/>
          <w:u w:val="single"/>
        </w:rPr>
      </w:pPr>
      <w:r w:rsidRPr="009A5D27">
        <w:rPr>
          <w:rFonts w:ascii="Times New Roman" w:hAnsi="Times New Roman" w:cs="Times New Roman"/>
          <w:b/>
          <w:bCs/>
          <w:sz w:val="24"/>
          <w:szCs w:val="24"/>
          <w:u w:val="single"/>
        </w:rPr>
        <w:t>ED Response</w:t>
      </w:r>
    </w:p>
    <w:p w:rsidR="00A03D41" w:rsidRPr="009A5D27" w:rsidP="00A03D41" w14:paraId="67382898" w14:textId="77777777">
      <w:pPr>
        <w:pStyle w:val="ListParagraph"/>
        <w:spacing w:before="240" w:after="480"/>
        <w:ind w:left="1440"/>
        <w:rPr>
          <w:rFonts w:ascii="Times New Roman" w:hAnsi="Times New Roman" w:cs="Times New Roman"/>
          <w:b/>
          <w:bCs/>
          <w:sz w:val="24"/>
          <w:szCs w:val="24"/>
          <w:u w:val="single"/>
        </w:rPr>
      </w:pPr>
    </w:p>
    <w:p w:rsidR="00A03D41" w:rsidRPr="00523F23" w:rsidP="00A03D41" w14:paraId="56ACFF39" w14:textId="5042E614">
      <w:pPr>
        <w:pStyle w:val="ListParagraph"/>
        <w:spacing w:before="240" w:after="240"/>
        <w:ind w:left="1440"/>
        <w:rPr>
          <w:rFonts w:ascii="Times New Roman" w:hAnsi="Times New Roman" w:cs="Times New Roman"/>
          <w:sz w:val="24"/>
          <w:szCs w:val="24"/>
        </w:rPr>
      </w:pPr>
      <w:r w:rsidRPr="00A03D41">
        <w:rPr>
          <w:rFonts w:ascii="Times New Roman" w:hAnsi="Times New Roman" w:cs="Times New Roman"/>
          <w:sz w:val="24"/>
          <w:szCs w:val="24"/>
        </w:rPr>
        <w:t>Based on this comment, the question will be reworded to "Were re-interviews conducted remotely (virtually or by phone)?"</w:t>
      </w:r>
    </w:p>
    <w:p w:rsidR="00523F23" w:rsidRPr="004E177C" w:rsidP="00523F23" w14:paraId="1E928518" w14:textId="77777777">
      <w:pPr>
        <w:pStyle w:val="ListParagraph"/>
        <w:spacing w:before="240" w:after="240"/>
        <w:rPr>
          <w:rFonts w:ascii="Times New Roman" w:hAnsi="Times New Roman" w:cs="Times New Roman"/>
          <w:sz w:val="24"/>
          <w:szCs w:val="24"/>
        </w:rPr>
      </w:pPr>
    </w:p>
    <w:p w:rsidR="004E177C" w:rsidRPr="009A5D27" w:rsidP="004E177C" w14:paraId="2A805F86" w14:textId="0500CCBC">
      <w:pPr>
        <w:pStyle w:val="ListParagraph"/>
        <w:numPr>
          <w:ilvl w:val="0"/>
          <w:numId w:val="10"/>
        </w:numPr>
        <w:spacing w:before="240" w:after="240"/>
        <w:rPr>
          <w:rFonts w:ascii="Times New Roman" w:hAnsi="Times New Roman" w:cs="Times New Roman"/>
          <w:sz w:val="24"/>
          <w:szCs w:val="24"/>
        </w:rPr>
      </w:pPr>
      <w:r w:rsidRPr="00FE4BD8">
        <w:rPr>
          <w:rFonts w:ascii="Times New Roman" w:hAnsi="Times New Roman" w:cs="Times New Roman"/>
          <w:b/>
          <w:bCs/>
          <w:sz w:val="24"/>
          <w:szCs w:val="24"/>
          <w:u w:val="single"/>
        </w:rPr>
        <w:t>Title IV, Part A</w:t>
      </w:r>
      <w:r w:rsidRPr="00FE4BD8" w:rsidR="009A5D27">
        <w:rPr>
          <w:rFonts w:ascii="Times New Roman" w:hAnsi="Times New Roman" w:cs="Times New Roman"/>
          <w:b/>
          <w:bCs/>
          <w:sz w:val="24"/>
          <w:szCs w:val="24"/>
          <w:u w:val="single"/>
        </w:rPr>
        <w:t>:</w:t>
      </w:r>
      <w:r w:rsidRPr="0032318B" w:rsidR="009A5D27">
        <w:rPr>
          <w:rFonts w:ascii="Times New Roman" w:hAnsi="Times New Roman" w:cs="Times New Roman"/>
          <w:sz w:val="24"/>
          <w:szCs w:val="24"/>
        </w:rPr>
        <w:t xml:space="preserve"> </w:t>
      </w:r>
      <w:r w:rsidRPr="00FE4BD8" w:rsidR="00FE4BD8">
        <w:rPr>
          <w:rFonts w:ascii="Times New Roman" w:hAnsi="Times New Roman" w:cs="Times New Roman"/>
          <w:sz w:val="24"/>
          <w:szCs w:val="24"/>
        </w:rPr>
        <w:t>2.7.3 and 2.7.4: Statute only allows grantees to transfer from II-A and IV-A. The chart shared implies one can also transfer from I-A, I-C, I-D, III-A, and V-B, which is unallowable.</w:t>
      </w:r>
    </w:p>
    <w:p w:rsidR="009A5D27" w:rsidRPr="009A5D27" w:rsidP="009A5D27" w14:paraId="5F24E364" w14:textId="77777777">
      <w:pPr>
        <w:pStyle w:val="ListParagraph"/>
        <w:rPr>
          <w:rFonts w:ascii="Times New Roman" w:hAnsi="Times New Roman" w:cs="Times New Roman"/>
          <w:sz w:val="24"/>
          <w:szCs w:val="24"/>
        </w:rPr>
      </w:pPr>
    </w:p>
    <w:p w:rsidR="009A5D27" w:rsidRPr="009A5D27" w:rsidP="00A03D41" w14:paraId="275ABD82" w14:textId="7DD23049">
      <w:pPr>
        <w:pStyle w:val="ListParagraph"/>
        <w:spacing w:before="240" w:after="480"/>
        <w:ind w:left="1440"/>
        <w:rPr>
          <w:rFonts w:ascii="Times New Roman" w:hAnsi="Times New Roman" w:cs="Times New Roman"/>
          <w:b/>
          <w:bCs/>
          <w:sz w:val="24"/>
          <w:szCs w:val="24"/>
          <w:u w:val="single"/>
        </w:rPr>
      </w:pPr>
      <w:r w:rsidRPr="009A5D27">
        <w:rPr>
          <w:rFonts w:ascii="Times New Roman" w:hAnsi="Times New Roman" w:cs="Times New Roman"/>
          <w:b/>
          <w:bCs/>
          <w:sz w:val="24"/>
          <w:szCs w:val="24"/>
          <w:u w:val="single"/>
        </w:rPr>
        <w:t>ED Response</w:t>
      </w:r>
    </w:p>
    <w:p w:rsidR="009A5D27" w:rsidP="00A03D41" w14:paraId="277CF7EC" w14:textId="77777777">
      <w:pPr>
        <w:pStyle w:val="ListParagraph"/>
        <w:spacing w:before="240" w:after="480"/>
        <w:ind w:left="1440"/>
        <w:rPr>
          <w:rFonts w:ascii="Times New Roman" w:hAnsi="Times New Roman" w:cs="Times New Roman"/>
          <w:sz w:val="24"/>
          <w:szCs w:val="24"/>
        </w:rPr>
      </w:pPr>
    </w:p>
    <w:p w:rsidR="009A5D27" w:rsidRPr="004E177C" w:rsidP="00A03D41" w14:paraId="47B32DCC" w14:textId="7B420077">
      <w:pPr>
        <w:pStyle w:val="ListParagraph"/>
        <w:spacing w:before="240" w:after="240"/>
        <w:ind w:left="1440"/>
        <w:rPr>
          <w:rFonts w:ascii="Times New Roman" w:hAnsi="Times New Roman" w:cs="Times New Roman"/>
          <w:sz w:val="24"/>
          <w:szCs w:val="24"/>
        </w:rPr>
      </w:pPr>
      <w:r>
        <w:rPr>
          <w:rFonts w:ascii="Times New Roman" w:hAnsi="Times New Roman" w:cs="Times New Roman"/>
          <w:sz w:val="24"/>
          <w:szCs w:val="24"/>
        </w:rPr>
        <w:t xml:space="preserve">The comment from </w:t>
      </w:r>
      <w:r w:rsidR="00FE4BD8">
        <w:rPr>
          <w:rFonts w:ascii="Times New Roman" w:hAnsi="Times New Roman" w:cs="Times New Roman"/>
          <w:sz w:val="24"/>
          <w:szCs w:val="24"/>
        </w:rPr>
        <w:t xml:space="preserve">Alaska raises </w:t>
      </w:r>
      <w:r w:rsidR="005E249C">
        <w:rPr>
          <w:rFonts w:ascii="Times New Roman" w:hAnsi="Times New Roman" w:cs="Times New Roman"/>
          <w:sz w:val="24"/>
          <w:szCs w:val="24"/>
        </w:rPr>
        <w:t>a very good po</w:t>
      </w:r>
      <w:r w:rsidR="00D3659E">
        <w:rPr>
          <w:rFonts w:ascii="Times New Roman" w:hAnsi="Times New Roman" w:cs="Times New Roman"/>
          <w:sz w:val="24"/>
          <w:szCs w:val="24"/>
        </w:rPr>
        <w:t xml:space="preserve">int about these CSPR questions. </w:t>
      </w:r>
      <w:r w:rsidRPr="005A3CF4" w:rsidR="005A3CF4">
        <w:rPr>
          <w:rFonts w:ascii="Times New Roman" w:hAnsi="Times New Roman" w:cs="Times New Roman"/>
          <w:sz w:val="24"/>
          <w:szCs w:val="24"/>
        </w:rPr>
        <w:t>ESEA section 5103(b)(2), which applies to LEAs, only names two programs from which funds can be transferred</w:t>
      </w:r>
      <w:r w:rsidR="00C4611B">
        <w:rPr>
          <w:rFonts w:ascii="Times New Roman" w:hAnsi="Times New Roman" w:cs="Times New Roman"/>
          <w:sz w:val="24"/>
          <w:szCs w:val="24"/>
        </w:rPr>
        <w:t>—</w:t>
      </w:r>
      <w:r w:rsidRPr="005A3CF4" w:rsidR="005A3CF4">
        <w:rPr>
          <w:rFonts w:ascii="Times New Roman" w:hAnsi="Times New Roman" w:cs="Times New Roman"/>
          <w:sz w:val="24"/>
          <w:szCs w:val="24"/>
        </w:rPr>
        <w:t>Title</w:t>
      </w:r>
      <w:r w:rsidR="00C4611B">
        <w:rPr>
          <w:rFonts w:ascii="Times New Roman" w:hAnsi="Times New Roman" w:cs="Times New Roman"/>
          <w:sz w:val="24"/>
          <w:szCs w:val="24"/>
        </w:rPr>
        <w:t xml:space="preserve"> </w:t>
      </w:r>
      <w:r w:rsidRPr="005A3CF4" w:rsidR="005A3CF4">
        <w:rPr>
          <w:rFonts w:ascii="Times New Roman" w:hAnsi="Times New Roman" w:cs="Times New Roman"/>
          <w:sz w:val="24"/>
          <w:szCs w:val="24"/>
        </w:rPr>
        <w:t xml:space="preserve">IV-A and Title II-A. </w:t>
      </w:r>
      <w:r w:rsidR="00D3659E">
        <w:rPr>
          <w:rFonts w:ascii="Times New Roman" w:hAnsi="Times New Roman" w:cs="Times New Roman"/>
          <w:sz w:val="24"/>
          <w:szCs w:val="24"/>
        </w:rPr>
        <w:t>The Department agrees that</w:t>
      </w:r>
      <w:r w:rsidRPr="005A3CF4" w:rsidR="005A3CF4">
        <w:rPr>
          <w:rFonts w:ascii="Times New Roman" w:hAnsi="Times New Roman" w:cs="Times New Roman"/>
          <w:sz w:val="24"/>
          <w:szCs w:val="24"/>
        </w:rPr>
        <w:t xml:space="preserve"> the chart</w:t>
      </w:r>
      <w:r w:rsidR="00D3659E">
        <w:rPr>
          <w:rFonts w:ascii="Times New Roman" w:hAnsi="Times New Roman" w:cs="Times New Roman"/>
          <w:sz w:val="24"/>
          <w:szCs w:val="24"/>
        </w:rPr>
        <w:t xml:space="preserve"> in its current form might be </w:t>
      </w:r>
      <w:r w:rsidRPr="005A3CF4" w:rsidR="005A3CF4">
        <w:rPr>
          <w:rFonts w:ascii="Times New Roman" w:hAnsi="Times New Roman" w:cs="Times New Roman"/>
          <w:sz w:val="24"/>
          <w:szCs w:val="24"/>
        </w:rPr>
        <w:t xml:space="preserve">misleading and that the cells in the “FROM Eligible Programs” should be shaded </w:t>
      </w:r>
      <w:r w:rsidR="00D3659E">
        <w:rPr>
          <w:rFonts w:ascii="Times New Roman" w:hAnsi="Times New Roman" w:cs="Times New Roman"/>
          <w:sz w:val="24"/>
          <w:szCs w:val="24"/>
        </w:rPr>
        <w:t xml:space="preserve">out </w:t>
      </w:r>
      <w:r w:rsidRPr="005A3CF4" w:rsidR="005A3CF4">
        <w:rPr>
          <w:rFonts w:ascii="Times New Roman" w:hAnsi="Times New Roman" w:cs="Times New Roman"/>
          <w:sz w:val="24"/>
          <w:szCs w:val="24"/>
        </w:rPr>
        <w:t xml:space="preserve">to indicated that data for these programs cannot be entered or the names of the programs removed.  </w:t>
      </w:r>
    </w:p>
    <w:sectPr w:rsidSect="003511D0">
      <w:footerReference w:type="default" r:id="rId8"/>
      <w:pgSz w:w="12240" w:h="15840"/>
      <w:pgMar w:top="900" w:right="1440" w:bottom="12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023367228"/>
      <w:docPartObj>
        <w:docPartGallery w:val="Page Numbers (Bottom of Page)"/>
        <w:docPartUnique/>
      </w:docPartObj>
    </w:sdtPr>
    <w:sdtEndPr>
      <w:rPr>
        <w:noProof/>
      </w:rPr>
    </w:sdtEndPr>
    <w:sdtContent>
      <w:p w:rsidR="00425002" w14:paraId="3D5936A6" w14:textId="6032F8C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425002" w14:paraId="7C671C38"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B8470EB"/>
    <w:multiLevelType w:val="hybridMultilevel"/>
    <w:tmpl w:val="A79A48AC"/>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DFA73EA"/>
    <w:multiLevelType w:val="hybridMultilevel"/>
    <w:tmpl w:val="54A006CA"/>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
    <w:nsid w:val="219455F3"/>
    <w:multiLevelType w:val="hybridMultilevel"/>
    <w:tmpl w:val="33D4A97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
    <w:nsid w:val="36EB1651"/>
    <w:multiLevelType w:val="hybridMultilevel"/>
    <w:tmpl w:val="32E2726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nsid w:val="45B737B6"/>
    <w:multiLevelType w:val="hybridMultilevel"/>
    <w:tmpl w:val="1AFA5866"/>
    <w:lvl w:ilvl="0">
      <w:start w:val="1"/>
      <w:numFmt w:val="bullet"/>
      <w:lvlText w:val="o"/>
      <w:lvlJc w:val="left"/>
      <w:pPr>
        <w:ind w:left="1530" w:hanging="360"/>
      </w:pPr>
      <w:rPr>
        <w:rFonts w:ascii="Courier New" w:hAnsi="Courier New" w:cs="Courier New" w:hint="default"/>
      </w:rPr>
    </w:lvl>
    <w:lvl w:ilvl="1" w:tentative="1">
      <w:start w:val="1"/>
      <w:numFmt w:val="bullet"/>
      <w:lvlText w:val="o"/>
      <w:lvlJc w:val="left"/>
      <w:pPr>
        <w:ind w:left="2250" w:hanging="360"/>
      </w:pPr>
      <w:rPr>
        <w:rFonts w:ascii="Courier New" w:hAnsi="Courier New" w:cs="Courier New" w:hint="default"/>
      </w:rPr>
    </w:lvl>
    <w:lvl w:ilvl="2" w:tentative="1">
      <w:start w:val="1"/>
      <w:numFmt w:val="bullet"/>
      <w:lvlText w:val=""/>
      <w:lvlJc w:val="left"/>
      <w:pPr>
        <w:ind w:left="2970" w:hanging="360"/>
      </w:pPr>
      <w:rPr>
        <w:rFonts w:ascii="Wingdings" w:hAnsi="Wingdings" w:hint="default"/>
      </w:rPr>
    </w:lvl>
    <w:lvl w:ilvl="3" w:tentative="1">
      <w:start w:val="1"/>
      <w:numFmt w:val="bullet"/>
      <w:lvlText w:val=""/>
      <w:lvlJc w:val="left"/>
      <w:pPr>
        <w:ind w:left="3690" w:hanging="360"/>
      </w:pPr>
      <w:rPr>
        <w:rFonts w:ascii="Symbol" w:hAnsi="Symbol" w:hint="default"/>
      </w:rPr>
    </w:lvl>
    <w:lvl w:ilvl="4" w:tentative="1">
      <w:start w:val="1"/>
      <w:numFmt w:val="bullet"/>
      <w:lvlText w:val="o"/>
      <w:lvlJc w:val="left"/>
      <w:pPr>
        <w:ind w:left="4410" w:hanging="360"/>
      </w:pPr>
      <w:rPr>
        <w:rFonts w:ascii="Courier New" w:hAnsi="Courier New" w:cs="Courier New" w:hint="default"/>
      </w:rPr>
    </w:lvl>
    <w:lvl w:ilvl="5" w:tentative="1">
      <w:start w:val="1"/>
      <w:numFmt w:val="bullet"/>
      <w:lvlText w:val=""/>
      <w:lvlJc w:val="left"/>
      <w:pPr>
        <w:ind w:left="5130" w:hanging="360"/>
      </w:pPr>
      <w:rPr>
        <w:rFonts w:ascii="Wingdings" w:hAnsi="Wingdings" w:hint="default"/>
      </w:rPr>
    </w:lvl>
    <w:lvl w:ilvl="6" w:tentative="1">
      <w:start w:val="1"/>
      <w:numFmt w:val="bullet"/>
      <w:lvlText w:val=""/>
      <w:lvlJc w:val="left"/>
      <w:pPr>
        <w:ind w:left="5850" w:hanging="360"/>
      </w:pPr>
      <w:rPr>
        <w:rFonts w:ascii="Symbol" w:hAnsi="Symbol" w:hint="default"/>
      </w:rPr>
    </w:lvl>
    <w:lvl w:ilvl="7" w:tentative="1">
      <w:start w:val="1"/>
      <w:numFmt w:val="bullet"/>
      <w:lvlText w:val="o"/>
      <w:lvlJc w:val="left"/>
      <w:pPr>
        <w:ind w:left="6570" w:hanging="360"/>
      </w:pPr>
      <w:rPr>
        <w:rFonts w:ascii="Courier New" w:hAnsi="Courier New" w:cs="Courier New" w:hint="default"/>
      </w:rPr>
    </w:lvl>
    <w:lvl w:ilvl="8" w:tentative="1">
      <w:start w:val="1"/>
      <w:numFmt w:val="bullet"/>
      <w:lvlText w:val=""/>
      <w:lvlJc w:val="left"/>
      <w:pPr>
        <w:ind w:left="7290" w:hanging="360"/>
      </w:pPr>
      <w:rPr>
        <w:rFonts w:ascii="Wingdings" w:hAnsi="Wingdings" w:hint="default"/>
      </w:rPr>
    </w:lvl>
  </w:abstractNum>
  <w:abstractNum w:abstractNumId="5">
    <w:nsid w:val="670D293E"/>
    <w:multiLevelType w:val="hybridMultilevel"/>
    <w:tmpl w:val="56AEAC40"/>
    <w:lvl w:ilvl="0">
      <w:start w:val="1"/>
      <w:numFmt w:val="bullet"/>
      <w:lvlText w:val=""/>
      <w:lvlJc w:val="left"/>
      <w:pPr>
        <w:ind w:left="720" w:hanging="360"/>
      </w:pPr>
      <w:rPr>
        <w:rFonts w:ascii="Symbol" w:hAnsi="Symbol" w:hint="default"/>
      </w:rPr>
    </w:lvl>
    <w:lvl w:ilvl="1">
      <w:start w:val="1"/>
      <w:numFmt w:val="lowerLetter"/>
      <w:lvlText w:val="%2."/>
      <w:lvlJc w:val="left"/>
      <w:pPr>
        <w:ind w:left="720" w:hanging="360"/>
      </w:p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6823416C"/>
    <w:multiLevelType w:val="hybridMultilevel"/>
    <w:tmpl w:val="4080FC5A"/>
    <w:lvl w:ilvl="0">
      <w:start w:val="1"/>
      <w:numFmt w:val="decimal"/>
      <w:lvlText w:val="%1."/>
      <w:lvlJc w:val="left"/>
      <w:pPr>
        <w:ind w:left="360" w:hanging="360"/>
      </w:pPr>
      <w:rPr>
        <w:rFonts w:hint="default"/>
      </w:rPr>
    </w:lvl>
    <w:lvl w:ilvl="1">
      <w:start w:val="1"/>
      <w:numFmt w:val="lowerLetter"/>
      <w:lvlText w:val="%2."/>
      <w:lvlJc w:val="left"/>
      <w:pPr>
        <w:ind w:left="-6660" w:hanging="360"/>
      </w:pPr>
    </w:lvl>
    <w:lvl w:ilvl="2">
      <w:start w:val="1"/>
      <w:numFmt w:val="lowerRoman"/>
      <w:lvlText w:val="%3."/>
      <w:lvlJc w:val="right"/>
      <w:pPr>
        <w:ind w:left="-5490" w:hanging="180"/>
      </w:pPr>
    </w:lvl>
    <w:lvl w:ilvl="3">
      <w:start w:val="0"/>
      <w:numFmt w:val="bullet"/>
      <w:lvlText w:val="•"/>
      <w:lvlJc w:val="left"/>
      <w:pPr>
        <w:ind w:left="-4770" w:hanging="360"/>
      </w:pPr>
      <w:rPr>
        <w:rFonts w:ascii="Times New Roman" w:hAnsi="Times New Roman" w:eastAsiaTheme="majorEastAsia" w:cs="Times New Roman" w:hint="default"/>
      </w:rPr>
    </w:lvl>
    <w:lvl w:ilvl="4">
      <w:start w:val="1"/>
      <w:numFmt w:val="lowerLetter"/>
      <w:lvlText w:val="%5."/>
      <w:lvlJc w:val="left"/>
      <w:pPr>
        <w:ind w:left="-4050" w:hanging="360"/>
      </w:pPr>
    </w:lvl>
    <w:lvl w:ilvl="5">
      <w:start w:val="1"/>
      <w:numFmt w:val="lowerRoman"/>
      <w:lvlText w:val="%6."/>
      <w:lvlJc w:val="right"/>
      <w:pPr>
        <w:ind w:left="-3330" w:hanging="180"/>
      </w:pPr>
    </w:lvl>
    <w:lvl w:ilvl="6">
      <w:start w:val="1"/>
      <w:numFmt w:val="decimal"/>
      <w:lvlText w:val="%7."/>
      <w:lvlJc w:val="left"/>
      <w:pPr>
        <w:ind w:left="-2610" w:hanging="360"/>
      </w:pPr>
    </w:lvl>
    <w:lvl w:ilvl="7">
      <w:start w:val="1"/>
      <w:numFmt w:val="lowerLetter"/>
      <w:lvlText w:val="%8."/>
      <w:lvlJc w:val="left"/>
      <w:pPr>
        <w:ind w:left="-1890" w:hanging="360"/>
      </w:pPr>
    </w:lvl>
    <w:lvl w:ilvl="8">
      <w:start w:val="1"/>
      <w:numFmt w:val="lowerRoman"/>
      <w:lvlText w:val="%9."/>
      <w:lvlJc w:val="right"/>
      <w:pPr>
        <w:ind w:left="-1170" w:hanging="180"/>
      </w:pPr>
    </w:lvl>
  </w:abstractNum>
  <w:abstractNum w:abstractNumId="7">
    <w:nsid w:val="68FA0B2F"/>
    <w:multiLevelType w:val="hybridMultilevel"/>
    <w:tmpl w:val="C16CFD22"/>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7D21351E"/>
    <w:multiLevelType w:val="hybridMultilevel"/>
    <w:tmpl w:val="26F04E46"/>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
    <w:nsid w:val="7DE93112"/>
    <w:multiLevelType w:val="hybridMultilevel"/>
    <w:tmpl w:val="801AE446"/>
    <w:lvl w:ilvl="0">
      <w:start w:val="1"/>
      <w:numFmt w:val="decimal"/>
      <w:lvlText w:val="%1."/>
      <w:lvlJc w:val="left"/>
      <w:pPr>
        <w:ind w:left="801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0"/>
      <w:numFmt w:val="bullet"/>
      <w:lvlText w:val="•"/>
      <w:lvlJc w:val="left"/>
      <w:pPr>
        <w:ind w:left="2880" w:hanging="360"/>
      </w:pPr>
      <w:rPr>
        <w:rFonts w:ascii="Times New Roman" w:hAnsi="Times New Roman" w:eastAsiaTheme="majorEastAsia" w:cs="Times New Roman" w:hint="default"/>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6"/>
  </w:num>
  <w:num w:numId="2">
    <w:abstractNumId w:val="1"/>
  </w:num>
  <w:num w:numId="3">
    <w:abstractNumId w:val="2"/>
  </w:num>
  <w:num w:numId="4">
    <w:abstractNumId w:val="8"/>
  </w:num>
  <w:num w:numId="5">
    <w:abstractNumId w:val="4"/>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9"/>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22A"/>
    <w:rsid w:val="000107C4"/>
    <w:rsid w:val="00012E36"/>
    <w:rsid w:val="0002226A"/>
    <w:rsid w:val="00022B59"/>
    <w:rsid w:val="00023AAA"/>
    <w:rsid w:val="000249FC"/>
    <w:rsid w:val="000263AA"/>
    <w:rsid w:val="00032C5C"/>
    <w:rsid w:val="000360A9"/>
    <w:rsid w:val="000370E5"/>
    <w:rsid w:val="00050078"/>
    <w:rsid w:val="00050568"/>
    <w:rsid w:val="0005334D"/>
    <w:rsid w:val="00060B04"/>
    <w:rsid w:val="00067280"/>
    <w:rsid w:val="00070578"/>
    <w:rsid w:val="00076A80"/>
    <w:rsid w:val="000815A3"/>
    <w:rsid w:val="00096907"/>
    <w:rsid w:val="000A1676"/>
    <w:rsid w:val="000A5BFD"/>
    <w:rsid w:val="000A6B08"/>
    <w:rsid w:val="000C59E2"/>
    <w:rsid w:val="000C6752"/>
    <w:rsid w:val="000D74BB"/>
    <w:rsid w:val="000E07B1"/>
    <w:rsid w:val="000E3962"/>
    <w:rsid w:val="000E428F"/>
    <w:rsid w:val="000E6814"/>
    <w:rsid w:val="000F3F5C"/>
    <w:rsid w:val="00100BC9"/>
    <w:rsid w:val="001018FE"/>
    <w:rsid w:val="0010584A"/>
    <w:rsid w:val="00110DB5"/>
    <w:rsid w:val="00115A6C"/>
    <w:rsid w:val="00116401"/>
    <w:rsid w:val="00121FB6"/>
    <w:rsid w:val="001379BF"/>
    <w:rsid w:val="00137DB2"/>
    <w:rsid w:val="00144124"/>
    <w:rsid w:val="00146B25"/>
    <w:rsid w:val="00152848"/>
    <w:rsid w:val="00184211"/>
    <w:rsid w:val="001852A9"/>
    <w:rsid w:val="0019264C"/>
    <w:rsid w:val="0019576A"/>
    <w:rsid w:val="001C1EF1"/>
    <w:rsid w:val="001C23A9"/>
    <w:rsid w:val="001C5BE8"/>
    <w:rsid w:val="001C645B"/>
    <w:rsid w:val="001C6A95"/>
    <w:rsid w:val="001C75E5"/>
    <w:rsid w:val="001D019B"/>
    <w:rsid w:val="001D19A0"/>
    <w:rsid w:val="001E1A9C"/>
    <w:rsid w:val="001E61F0"/>
    <w:rsid w:val="002051D1"/>
    <w:rsid w:val="00211C4B"/>
    <w:rsid w:val="00215CD3"/>
    <w:rsid w:val="002233DD"/>
    <w:rsid w:val="00225453"/>
    <w:rsid w:val="002262D6"/>
    <w:rsid w:val="00231795"/>
    <w:rsid w:val="0024701E"/>
    <w:rsid w:val="00247A45"/>
    <w:rsid w:val="00250673"/>
    <w:rsid w:val="0025551D"/>
    <w:rsid w:val="00256B15"/>
    <w:rsid w:val="00260B2D"/>
    <w:rsid w:val="00260CA7"/>
    <w:rsid w:val="00263D29"/>
    <w:rsid w:val="00265DCC"/>
    <w:rsid w:val="002665B5"/>
    <w:rsid w:val="002665E6"/>
    <w:rsid w:val="00277A47"/>
    <w:rsid w:val="002808E7"/>
    <w:rsid w:val="002871AB"/>
    <w:rsid w:val="00293ECB"/>
    <w:rsid w:val="002A2EA5"/>
    <w:rsid w:val="002A47E5"/>
    <w:rsid w:val="002A663F"/>
    <w:rsid w:val="002B006E"/>
    <w:rsid w:val="002B75FF"/>
    <w:rsid w:val="002C6B86"/>
    <w:rsid w:val="002D2407"/>
    <w:rsid w:val="002D6F37"/>
    <w:rsid w:val="002E0F21"/>
    <w:rsid w:val="002F669D"/>
    <w:rsid w:val="00306469"/>
    <w:rsid w:val="00310CE9"/>
    <w:rsid w:val="0031766D"/>
    <w:rsid w:val="00320885"/>
    <w:rsid w:val="0032136E"/>
    <w:rsid w:val="003224F6"/>
    <w:rsid w:val="0032318B"/>
    <w:rsid w:val="00332A7F"/>
    <w:rsid w:val="00333AAC"/>
    <w:rsid w:val="00333BA9"/>
    <w:rsid w:val="00333D01"/>
    <w:rsid w:val="00335009"/>
    <w:rsid w:val="003376DD"/>
    <w:rsid w:val="003422B0"/>
    <w:rsid w:val="00347D1F"/>
    <w:rsid w:val="003511D0"/>
    <w:rsid w:val="003536DC"/>
    <w:rsid w:val="0035707D"/>
    <w:rsid w:val="0036127F"/>
    <w:rsid w:val="0036399D"/>
    <w:rsid w:val="00363C08"/>
    <w:rsid w:val="00365B99"/>
    <w:rsid w:val="00370F69"/>
    <w:rsid w:val="0037583F"/>
    <w:rsid w:val="00381B80"/>
    <w:rsid w:val="003853A8"/>
    <w:rsid w:val="00397CF5"/>
    <w:rsid w:val="003A3428"/>
    <w:rsid w:val="003A4EE2"/>
    <w:rsid w:val="003A519A"/>
    <w:rsid w:val="003C4308"/>
    <w:rsid w:val="003D1F55"/>
    <w:rsid w:val="003D4974"/>
    <w:rsid w:val="003E23BD"/>
    <w:rsid w:val="003E6384"/>
    <w:rsid w:val="003F06C3"/>
    <w:rsid w:val="003F5E97"/>
    <w:rsid w:val="003F7190"/>
    <w:rsid w:val="0040219E"/>
    <w:rsid w:val="00402E2F"/>
    <w:rsid w:val="004043FD"/>
    <w:rsid w:val="0041017C"/>
    <w:rsid w:val="00410BCB"/>
    <w:rsid w:val="00411223"/>
    <w:rsid w:val="00411F64"/>
    <w:rsid w:val="00425002"/>
    <w:rsid w:val="00436A27"/>
    <w:rsid w:val="004427A0"/>
    <w:rsid w:val="004463F9"/>
    <w:rsid w:val="00447255"/>
    <w:rsid w:val="004514BA"/>
    <w:rsid w:val="00455F4F"/>
    <w:rsid w:val="0046418F"/>
    <w:rsid w:val="0046666A"/>
    <w:rsid w:val="00467BE4"/>
    <w:rsid w:val="004713A4"/>
    <w:rsid w:val="004742D4"/>
    <w:rsid w:val="004745C4"/>
    <w:rsid w:val="00474A3C"/>
    <w:rsid w:val="004829E3"/>
    <w:rsid w:val="0048559D"/>
    <w:rsid w:val="0049610F"/>
    <w:rsid w:val="00496399"/>
    <w:rsid w:val="004A1AA9"/>
    <w:rsid w:val="004A38F2"/>
    <w:rsid w:val="004A6261"/>
    <w:rsid w:val="004C3C2B"/>
    <w:rsid w:val="004C5889"/>
    <w:rsid w:val="004C5E53"/>
    <w:rsid w:val="004D1F09"/>
    <w:rsid w:val="004E14EB"/>
    <w:rsid w:val="004E177C"/>
    <w:rsid w:val="004E5679"/>
    <w:rsid w:val="004F23DC"/>
    <w:rsid w:val="004F2FE5"/>
    <w:rsid w:val="004F7430"/>
    <w:rsid w:val="00502BD4"/>
    <w:rsid w:val="00503253"/>
    <w:rsid w:val="005122C5"/>
    <w:rsid w:val="0051415E"/>
    <w:rsid w:val="00516DCA"/>
    <w:rsid w:val="00516EE3"/>
    <w:rsid w:val="005238F6"/>
    <w:rsid w:val="00523F23"/>
    <w:rsid w:val="0052470E"/>
    <w:rsid w:val="00524CDE"/>
    <w:rsid w:val="00531E5E"/>
    <w:rsid w:val="005420E3"/>
    <w:rsid w:val="005448B2"/>
    <w:rsid w:val="005503CB"/>
    <w:rsid w:val="0055429F"/>
    <w:rsid w:val="00554934"/>
    <w:rsid w:val="00567133"/>
    <w:rsid w:val="00570FD8"/>
    <w:rsid w:val="00574085"/>
    <w:rsid w:val="0057763B"/>
    <w:rsid w:val="00580CB4"/>
    <w:rsid w:val="0058168D"/>
    <w:rsid w:val="00590E5D"/>
    <w:rsid w:val="00591C9F"/>
    <w:rsid w:val="005A3CF4"/>
    <w:rsid w:val="005C1C17"/>
    <w:rsid w:val="005C34FC"/>
    <w:rsid w:val="005C3A4C"/>
    <w:rsid w:val="005D154D"/>
    <w:rsid w:val="005E249C"/>
    <w:rsid w:val="005E5434"/>
    <w:rsid w:val="005F32E0"/>
    <w:rsid w:val="00601376"/>
    <w:rsid w:val="00612CCF"/>
    <w:rsid w:val="00613EF9"/>
    <w:rsid w:val="00615FF1"/>
    <w:rsid w:val="006220C0"/>
    <w:rsid w:val="00625FC0"/>
    <w:rsid w:val="00630582"/>
    <w:rsid w:val="00630832"/>
    <w:rsid w:val="00632362"/>
    <w:rsid w:val="00637153"/>
    <w:rsid w:val="00642657"/>
    <w:rsid w:val="00642C24"/>
    <w:rsid w:val="006431FF"/>
    <w:rsid w:val="0065035D"/>
    <w:rsid w:val="00651E6A"/>
    <w:rsid w:val="0066535D"/>
    <w:rsid w:val="0067221D"/>
    <w:rsid w:val="00674D67"/>
    <w:rsid w:val="006813B8"/>
    <w:rsid w:val="00682ADE"/>
    <w:rsid w:val="0068397C"/>
    <w:rsid w:val="00695012"/>
    <w:rsid w:val="006A1445"/>
    <w:rsid w:val="006A224E"/>
    <w:rsid w:val="006A5527"/>
    <w:rsid w:val="006A787A"/>
    <w:rsid w:val="006B20A2"/>
    <w:rsid w:val="006B387B"/>
    <w:rsid w:val="006B4AA7"/>
    <w:rsid w:val="006B5869"/>
    <w:rsid w:val="006D146E"/>
    <w:rsid w:val="006D75A3"/>
    <w:rsid w:val="006E63E5"/>
    <w:rsid w:val="006F0E46"/>
    <w:rsid w:val="006F185B"/>
    <w:rsid w:val="006F29FA"/>
    <w:rsid w:val="006F4AED"/>
    <w:rsid w:val="00711575"/>
    <w:rsid w:val="00715CCE"/>
    <w:rsid w:val="00717645"/>
    <w:rsid w:val="00717D54"/>
    <w:rsid w:val="0072143C"/>
    <w:rsid w:val="00732219"/>
    <w:rsid w:val="00735B53"/>
    <w:rsid w:val="00742512"/>
    <w:rsid w:val="00743137"/>
    <w:rsid w:val="00752A4C"/>
    <w:rsid w:val="00752AF7"/>
    <w:rsid w:val="00753553"/>
    <w:rsid w:val="0076035B"/>
    <w:rsid w:val="007616A8"/>
    <w:rsid w:val="00763CE6"/>
    <w:rsid w:val="00766CA8"/>
    <w:rsid w:val="007829B0"/>
    <w:rsid w:val="007836EC"/>
    <w:rsid w:val="00786332"/>
    <w:rsid w:val="007950A5"/>
    <w:rsid w:val="00795215"/>
    <w:rsid w:val="00796A8C"/>
    <w:rsid w:val="00796DFF"/>
    <w:rsid w:val="007A1528"/>
    <w:rsid w:val="007A5312"/>
    <w:rsid w:val="007A68DD"/>
    <w:rsid w:val="007B2F3B"/>
    <w:rsid w:val="007B47FD"/>
    <w:rsid w:val="007B6FF6"/>
    <w:rsid w:val="007B7656"/>
    <w:rsid w:val="007C047F"/>
    <w:rsid w:val="007D1A97"/>
    <w:rsid w:val="007D6FF4"/>
    <w:rsid w:val="007E1F94"/>
    <w:rsid w:val="007E6B0C"/>
    <w:rsid w:val="007F029D"/>
    <w:rsid w:val="007F5DCF"/>
    <w:rsid w:val="007F6219"/>
    <w:rsid w:val="00805FDB"/>
    <w:rsid w:val="00811755"/>
    <w:rsid w:val="008169DE"/>
    <w:rsid w:val="008178D2"/>
    <w:rsid w:val="00820B9F"/>
    <w:rsid w:val="008225CB"/>
    <w:rsid w:val="0082553A"/>
    <w:rsid w:val="008301CC"/>
    <w:rsid w:val="00840BD0"/>
    <w:rsid w:val="00840D12"/>
    <w:rsid w:val="00842182"/>
    <w:rsid w:val="00847CD9"/>
    <w:rsid w:val="008505FA"/>
    <w:rsid w:val="00853CBB"/>
    <w:rsid w:val="00854DB5"/>
    <w:rsid w:val="008574E9"/>
    <w:rsid w:val="00861E80"/>
    <w:rsid w:val="00863911"/>
    <w:rsid w:val="0086722F"/>
    <w:rsid w:val="0087072C"/>
    <w:rsid w:val="00871595"/>
    <w:rsid w:val="00872DE1"/>
    <w:rsid w:val="008733FE"/>
    <w:rsid w:val="008736CA"/>
    <w:rsid w:val="00882E7F"/>
    <w:rsid w:val="00891C59"/>
    <w:rsid w:val="00893F10"/>
    <w:rsid w:val="00895871"/>
    <w:rsid w:val="00895F06"/>
    <w:rsid w:val="008B0AA9"/>
    <w:rsid w:val="008B4A7B"/>
    <w:rsid w:val="008B6720"/>
    <w:rsid w:val="008C4AED"/>
    <w:rsid w:val="008D1E51"/>
    <w:rsid w:val="008D222A"/>
    <w:rsid w:val="008D2FDA"/>
    <w:rsid w:val="008E066B"/>
    <w:rsid w:val="008E122E"/>
    <w:rsid w:val="008E23AA"/>
    <w:rsid w:val="008E502C"/>
    <w:rsid w:val="008E7072"/>
    <w:rsid w:val="00903CF2"/>
    <w:rsid w:val="009061AE"/>
    <w:rsid w:val="009067CC"/>
    <w:rsid w:val="009079C8"/>
    <w:rsid w:val="0091270F"/>
    <w:rsid w:val="00912C5C"/>
    <w:rsid w:val="00916060"/>
    <w:rsid w:val="009170F5"/>
    <w:rsid w:val="00921688"/>
    <w:rsid w:val="00925CE1"/>
    <w:rsid w:val="00926D74"/>
    <w:rsid w:val="009312AA"/>
    <w:rsid w:val="009337F9"/>
    <w:rsid w:val="009349A6"/>
    <w:rsid w:val="009363D9"/>
    <w:rsid w:val="00936422"/>
    <w:rsid w:val="0094400D"/>
    <w:rsid w:val="00952188"/>
    <w:rsid w:val="00962D61"/>
    <w:rsid w:val="009742F2"/>
    <w:rsid w:val="00984087"/>
    <w:rsid w:val="009857C7"/>
    <w:rsid w:val="00985D3E"/>
    <w:rsid w:val="00992592"/>
    <w:rsid w:val="009A0AB6"/>
    <w:rsid w:val="009A5D27"/>
    <w:rsid w:val="009A6C0F"/>
    <w:rsid w:val="009B6CD4"/>
    <w:rsid w:val="009B7633"/>
    <w:rsid w:val="009C3D1D"/>
    <w:rsid w:val="009D3FE6"/>
    <w:rsid w:val="009E3B79"/>
    <w:rsid w:val="009E6A09"/>
    <w:rsid w:val="009F0068"/>
    <w:rsid w:val="009F3B68"/>
    <w:rsid w:val="00A03D41"/>
    <w:rsid w:val="00A10002"/>
    <w:rsid w:val="00A140AD"/>
    <w:rsid w:val="00A149A2"/>
    <w:rsid w:val="00A17C9D"/>
    <w:rsid w:val="00A23A54"/>
    <w:rsid w:val="00A24CE2"/>
    <w:rsid w:val="00A259F1"/>
    <w:rsid w:val="00A34167"/>
    <w:rsid w:val="00A34EDD"/>
    <w:rsid w:val="00A52BD9"/>
    <w:rsid w:val="00A57D72"/>
    <w:rsid w:val="00A660B7"/>
    <w:rsid w:val="00A672B5"/>
    <w:rsid w:val="00A72373"/>
    <w:rsid w:val="00A73366"/>
    <w:rsid w:val="00A734A2"/>
    <w:rsid w:val="00A87C7A"/>
    <w:rsid w:val="00A94A56"/>
    <w:rsid w:val="00AB2C08"/>
    <w:rsid w:val="00AB3D9B"/>
    <w:rsid w:val="00AB5E7E"/>
    <w:rsid w:val="00AB6057"/>
    <w:rsid w:val="00AC1AAA"/>
    <w:rsid w:val="00AC3888"/>
    <w:rsid w:val="00AC56CD"/>
    <w:rsid w:val="00AD45D5"/>
    <w:rsid w:val="00AD478B"/>
    <w:rsid w:val="00AF100C"/>
    <w:rsid w:val="00AF1D4F"/>
    <w:rsid w:val="00B008CF"/>
    <w:rsid w:val="00B010FD"/>
    <w:rsid w:val="00B0412B"/>
    <w:rsid w:val="00B101AE"/>
    <w:rsid w:val="00B160C3"/>
    <w:rsid w:val="00B210D6"/>
    <w:rsid w:val="00B216EE"/>
    <w:rsid w:val="00B315AF"/>
    <w:rsid w:val="00B34441"/>
    <w:rsid w:val="00B3544A"/>
    <w:rsid w:val="00B35E75"/>
    <w:rsid w:val="00B40BC9"/>
    <w:rsid w:val="00B4260B"/>
    <w:rsid w:val="00B53529"/>
    <w:rsid w:val="00B54CC7"/>
    <w:rsid w:val="00B56D90"/>
    <w:rsid w:val="00B61797"/>
    <w:rsid w:val="00B61BE9"/>
    <w:rsid w:val="00B7404F"/>
    <w:rsid w:val="00B775E5"/>
    <w:rsid w:val="00B83ADA"/>
    <w:rsid w:val="00B83B25"/>
    <w:rsid w:val="00B9302B"/>
    <w:rsid w:val="00BA1344"/>
    <w:rsid w:val="00BA3A5B"/>
    <w:rsid w:val="00BB520C"/>
    <w:rsid w:val="00BC392F"/>
    <w:rsid w:val="00BD0F38"/>
    <w:rsid w:val="00BE129B"/>
    <w:rsid w:val="00BF22A7"/>
    <w:rsid w:val="00BF6102"/>
    <w:rsid w:val="00BF635B"/>
    <w:rsid w:val="00BF6D89"/>
    <w:rsid w:val="00C04774"/>
    <w:rsid w:val="00C1124C"/>
    <w:rsid w:val="00C161F2"/>
    <w:rsid w:val="00C169DB"/>
    <w:rsid w:val="00C23CB1"/>
    <w:rsid w:val="00C3560D"/>
    <w:rsid w:val="00C4397B"/>
    <w:rsid w:val="00C4611B"/>
    <w:rsid w:val="00C51842"/>
    <w:rsid w:val="00C54936"/>
    <w:rsid w:val="00C6032D"/>
    <w:rsid w:val="00C6277A"/>
    <w:rsid w:val="00C641A7"/>
    <w:rsid w:val="00C84012"/>
    <w:rsid w:val="00C85D49"/>
    <w:rsid w:val="00C90C17"/>
    <w:rsid w:val="00C91A1E"/>
    <w:rsid w:val="00C9222D"/>
    <w:rsid w:val="00C97DE5"/>
    <w:rsid w:val="00CA19EC"/>
    <w:rsid w:val="00CB36EF"/>
    <w:rsid w:val="00CC46E0"/>
    <w:rsid w:val="00CC663A"/>
    <w:rsid w:val="00CD352F"/>
    <w:rsid w:val="00CE431A"/>
    <w:rsid w:val="00CE666E"/>
    <w:rsid w:val="00CF3A8F"/>
    <w:rsid w:val="00CF53FD"/>
    <w:rsid w:val="00D00B4A"/>
    <w:rsid w:val="00D04ECC"/>
    <w:rsid w:val="00D05684"/>
    <w:rsid w:val="00D14F8E"/>
    <w:rsid w:val="00D1789E"/>
    <w:rsid w:val="00D218D1"/>
    <w:rsid w:val="00D22120"/>
    <w:rsid w:val="00D25539"/>
    <w:rsid w:val="00D317AE"/>
    <w:rsid w:val="00D32EF1"/>
    <w:rsid w:val="00D35D61"/>
    <w:rsid w:val="00D3659E"/>
    <w:rsid w:val="00D37A15"/>
    <w:rsid w:val="00D56CBA"/>
    <w:rsid w:val="00D64B1D"/>
    <w:rsid w:val="00D662E6"/>
    <w:rsid w:val="00D73066"/>
    <w:rsid w:val="00D7336B"/>
    <w:rsid w:val="00D7590C"/>
    <w:rsid w:val="00D85CEE"/>
    <w:rsid w:val="00D87162"/>
    <w:rsid w:val="00D91362"/>
    <w:rsid w:val="00D91CE4"/>
    <w:rsid w:val="00D92B43"/>
    <w:rsid w:val="00D92F96"/>
    <w:rsid w:val="00D94851"/>
    <w:rsid w:val="00D96AD6"/>
    <w:rsid w:val="00D97E6F"/>
    <w:rsid w:val="00DC2687"/>
    <w:rsid w:val="00DC4E56"/>
    <w:rsid w:val="00DC5C95"/>
    <w:rsid w:val="00DD16FB"/>
    <w:rsid w:val="00DD2ACB"/>
    <w:rsid w:val="00DD5150"/>
    <w:rsid w:val="00DD69A8"/>
    <w:rsid w:val="00DE0E51"/>
    <w:rsid w:val="00DF5B22"/>
    <w:rsid w:val="00DF7BCE"/>
    <w:rsid w:val="00E04216"/>
    <w:rsid w:val="00E060F2"/>
    <w:rsid w:val="00E0657C"/>
    <w:rsid w:val="00E077EB"/>
    <w:rsid w:val="00E11B76"/>
    <w:rsid w:val="00E124C5"/>
    <w:rsid w:val="00E1511A"/>
    <w:rsid w:val="00E15B6D"/>
    <w:rsid w:val="00E16094"/>
    <w:rsid w:val="00E17EA4"/>
    <w:rsid w:val="00E20D83"/>
    <w:rsid w:val="00E221F7"/>
    <w:rsid w:val="00E35436"/>
    <w:rsid w:val="00E42A57"/>
    <w:rsid w:val="00E45614"/>
    <w:rsid w:val="00E475E2"/>
    <w:rsid w:val="00E537D5"/>
    <w:rsid w:val="00E57AEC"/>
    <w:rsid w:val="00E613F2"/>
    <w:rsid w:val="00E62DD7"/>
    <w:rsid w:val="00E660F2"/>
    <w:rsid w:val="00E66ACB"/>
    <w:rsid w:val="00E72AB3"/>
    <w:rsid w:val="00E74DAF"/>
    <w:rsid w:val="00E83940"/>
    <w:rsid w:val="00E86C6D"/>
    <w:rsid w:val="00E94E7A"/>
    <w:rsid w:val="00E95D21"/>
    <w:rsid w:val="00E96962"/>
    <w:rsid w:val="00EA09A3"/>
    <w:rsid w:val="00EA59C7"/>
    <w:rsid w:val="00EA708F"/>
    <w:rsid w:val="00EB20E7"/>
    <w:rsid w:val="00EB4637"/>
    <w:rsid w:val="00EC5764"/>
    <w:rsid w:val="00EE031C"/>
    <w:rsid w:val="00EE360D"/>
    <w:rsid w:val="00EF60F8"/>
    <w:rsid w:val="00F00FA5"/>
    <w:rsid w:val="00F0776A"/>
    <w:rsid w:val="00F07BF0"/>
    <w:rsid w:val="00F64995"/>
    <w:rsid w:val="00F649CB"/>
    <w:rsid w:val="00F71841"/>
    <w:rsid w:val="00F76DE1"/>
    <w:rsid w:val="00F7718A"/>
    <w:rsid w:val="00F77B60"/>
    <w:rsid w:val="00F826B9"/>
    <w:rsid w:val="00F90767"/>
    <w:rsid w:val="00F94A47"/>
    <w:rsid w:val="00F96ABE"/>
    <w:rsid w:val="00FA0CB4"/>
    <w:rsid w:val="00FA3879"/>
    <w:rsid w:val="00FA4294"/>
    <w:rsid w:val="00FA4CB8"/>
    <w:rsid w:val="00FA5510"/>
    <w:rsid w:val="00FA5DDC"/>
    <w:rsid w:val="00FC672B"/>
    <w:rsid w:val="00FD2BD4"/>
    <w:rsid w:val="00FE4BD8"/>
    <w:rsid w:val="00FE5A81"/>
    <w:rsid w:val="00FE6DC5"/>
    <w:rsid w:val="00FE74A6"/>
    <w:rsid w:val="00FF563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641AB89"/>
  <w15:chartTrackingRefBased/>
  <w15:docId w15:val="{E51B3DB1-5CBF-41FC-B1F7-65C4BB577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E431A"/>
  </w:style>
  <w:style w:type="paragraph" w:styleId="Heading1">
    <w:name w:val="heading 1"/>
    <w:basedOn w:val="Normal"/>
    <w:next w:val="Normal"/>
    <w:link w:val="Heading1Char"/>
    <w:uiPriority w:val="9"/>
    <w:qFormat/>
    <w:rsid w:val="008C4AE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591C9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4">
    <w:name w:val="heading 4"/>
    <w:aliases w:val="H4 Sec.Heading"/>
    <w:basedOn w:val="Normal"/>
    <w:next w:val="Normal"/>
    <w:link w:val="Heading4Char"/>
    <w:uiPriority w:val="9"/>
    <w:unhideWhenUsed/>
    <w:qFormat/>
    <w:rsid w:val="008C4AED"/>
    <w:pPr>
      <w:pBdr>
        <w:bottom w:val="dotted" w:sz="4" w:space="1" w:color="C45911" w:themeColor="accent2" w:themeShade="BF"/>
      </w:pBdr>
      <w:spacing w:after="120" w:line="252" w:lineRule="auto"/>
      <w:jc w:val="center"/>
      <w:outlineLvl w:val="3"/>
    </w:pPr>
    <w:rPr>
      <w:rFonts w:asciiTheme="majorHAnsi" w:eastAsiaTheme="majorEastAsia" w:hAnsiTheme="majorHAnsi" w:cstheme="majorBidi"/>
      <w:caps/>
      <w:color w:val="823B0B" w:themeColor="accent2" w:themeShade="7F"/>
      <w:spacing w:val="1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D222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222A"/>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DC4E56"/>
    <w:pPr>
      <w:spacing w:after="200" w:line="252" w:lineRule="auto"/>
      <w:ind w:left="720"/>
      <w:contextualSpacing/>
    </w:pPr>
    <w:rPr>
      <w:rFonts w:asciiTheme="majorHAnsi" w:eastAsiaTheme="majorEastAsia" w:hAnsiTheme="majorHAnsi" w:cstheme="majorBidi"/>
      <w:lang w:bidi="en-US"/>
    </w:rPr>
  </w:style>
  <w:style w:type="table" w:styleId="TableGrid">
    <w:name w:val="Table Grid"/>
    <w:basedOn w:val="TableNormal"/>
    <w:uiPriority w:val="39"/>
    <w:rsid w:val="00DC4E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aliases w:val="H4 Sec.Heading Char"/>
    <w:basedOn w:val="DefaultParagraphFont"/>
    <w:link w:val="Heading4"/>
    <w:uiPriority w:val="9"/>
    <w:rsid w:val="008C4AED"/>
    <w:rPr>
      <w:rFonts w:asciiTheme="majorHAnsi" w:eastAsiaTheme="majorEastAsia" w:hAnsiTheme="majorHAnsi" w:cstheme="majorBidi"/>
      <w:caps/>
      <w:color w:val="823B0B" w:themeColor="accent2" w:themeShade="7F"/>
      <w:spacing w:val="10"/>
      <w:lang w:bidi="en-US"/>
    </w:rPr>
  </w:style>
  <w:style w:type="paragraph" w:styleId="BodyText">
    <w:name w:val="Body Text"/>
    <w:basedOn w:val="Normal"/>
    <w:link w:val="BodyTextChar"/>
    <w:rsid w:val="008C4AED"/>
    <w:pPr>
      <w:spacing w:after="200" w:line="252" w:lineRule="auto"/>
    </w:pPr>
    <w:rPr>
      <w:rFonts w:asciiTheme="majorHAnsi" w:eastAsiaTheme="majorEastAsia" w:hAnsiTheme="majorHAnsi" w:cstheme="majorBidi"/>
      <w:sz w:val="72"/>
      <w:lang w:bidi="en-US"/>
    </w:rPr>
  </w:style>
  <w:style w:type="character" w:customStyle="1" w:styleId="BodyTextChar">
    <w:name w:val="Body Text Char"/>
    <w:basedOn w:val="DefaultParagraphFont"/>
    <w:link w:val="BodyText"/>
    <w:rsid w:val="008C4AED"/>
    <w:rPr>
      <w:rFonts w:asciiTheme="majorHAnsi" w:eastAsiaTheme="majorEastAsia" w:hAnsiTheme="majorHAnsi" w:cstheme="majorBidi"/>
      <w:sz w:val="72"/>
      <w:lang w:bidi="en-US"/>
    </w:rPr>
  </w:style>
  <w:style w:type="character" w:styleId="BookTitle">
    <w:name w:val="Book Title"/>
    <w:uiPriority w:val="33"/>
    <w:qFormat/>
    <w:rsid w:val="008C4AED"/>
    <w:rPr>
      <w:caps/>
      <w:color w:val="823B0B" w:themeColor="accent2" w:themeShade="7F"/>
      <w:spacing w:val="5"/>
      <w:u w:color="823B0B"/>
    </w:rPr>
  </w:style>
  <w:style w:type="character" w:customStyle="1" w:styleId="Heading1Char">
    <w:name w:val="Heading 1 Char"/>
    <w:basedOn w:val="DefaultParagraphFont"/>
    <w:link w:val="Heading1"/>
    <w:uiPriority w:val="9"/>
    <w:rsid w:val="008C4AED"/>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uiPriority w:val="99"/>
    <w:semiHidden/>
    <w:unhideWhenUsed/>
    <w:rsid w:val="008C4AED"/>
    <w:rPr>
      <w:sz w:val="16"/>
      <w:szCs w:val="16"/>
    </w:rPr>
  </w:style>
  <w:style w:type="paragraph" w:styleId="CommentText">
    <w:name w:val="annotation text"/>
    <w:basedOn w:val="Normal"/>
    <w:link w:val="CommentTextChar"/>
    <w:uiPriority w:val="99"/>
    <w:unhideWhenUsed/>
    <w:rsid w:val="008C4AED"/>
    <w:pPr>
      <w:spacing w:line="240" w:lineRule="auto"/>
    </w:pPr>
    <w:rPr>
      <w:sz w:val="20"/>
      <w:szCs w:val="20"/>
    </w:rPr>
  </w:style>
  <w:style w:type="character" w:customStyle="1" w:styleId="CommentTextChar">
    <w:name w:val="Comment Text Char"/>
    <w:basedOn w:val="DefaultParagraphFont"/>
    <w:link w:val="CommentText"/>
    <w:uiPriority w:val="99"/>
    <w:rsid w:val="008C4AED"/>
    <w:rPr>
      <w:sz w:val="20"/>
      <w:szCs w:val="20"/>
    </w:rPr>
  </w:style>
  <w:style w:type="paragraph" w:styleId="CommentSubject">
    <w:name w:val="annotation subject"/>
    <w:basedOn w:val="CommentText"/>
    <w:next w:val="CommentText"/>
    <w:link w:val="CommentSubjectChar"/>
    <w:uiPriority w:val="99"/>
    <w:semiHidden/>
    <w:unhideWhenUsed/>
    <w:rsid w:val="008C4AED"/>
    <w:rPr>
      <w:b/>
      <w:bCs/>
    </w:rPr>
  </w:style>
  <w:style w:type="character" w:customStyle="1" w:styleId="CommentSubjectChar">
    <w:name w:val="Comment Subject Char"/>
    <w:basedOn w:val="CommentTextChar"/>
    <w:link w:val="CommentSubject"/>
    <w:uiPriority w:val="99"/>
    <w:semiHidden/>
    <w:rsid w:val="008C4AED"/>
    <w:rPr>
      <w:b/>
      <w:bCs/>
      <w:sz w:val="20"/>
      <w:szCs w:val="20"/>
    </w:rPr>
  </w:style>
  <w:style w:type="paragraph" w:styleId="EnvelopeReturn">
    <w:name w:val="envelope return"/>
    <w:basedOn w:val="Normal"/>
    <w:rsid w:val="00820B9F"/>
    <w:pPr>
      <w:spacing w:after="0" w:line="240" w:lineRule="auto"/>
    </w:pPr>
    <w:rPr>
      <w:rFonts w:ascii="Times New Roman" w:eastAsia="Times New Roman" w:hAnsi="Times New Roman" w:cs="Arial"/>
      <w:sz w:val="24"/>
      <w:szCs w:val="24"/>
    </w:rPr>
  </w:style>
  <w:style w:type="table" w:customStyle="1" w:styleId="TableGrid1">
    <w:name w:val="Table Grid1"/>
    <w:basedOn w:val="TableNormal"/>
    <w:next w:val="TableGrid"/>
    <w:uiPriority w:val="39"/>
    <w:rsid w:val="007535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7535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42657"/>
    <w:pPr>
      <w:autoSpaceDE w:val="0"/>
      <w:autoSpaceDN w:val="0"/>
      <w:adjustRightInd w:val="0"/>
      <w:spacing w:after="0" w:line="240" w:lineRule="auto"/>
    </w:pPr>
    <w:rPr>
      <w:rFonts w:ascii="Arial" w:eastAsia="Times New Roman" w:hAnsi="Arial" w:cs="Arial"/>
      <w:color w:val="000000"/>
      <w:sz w:val="24"/>
      <w:szCs w:val="24"/>
    </w:rPr>
  </w:style>
  <w:style w:type="paragraph" w:styleId="TOCHeading">
    <w:name w:val="TOC Heading"/>
    <w:basedOn w:val="Heading1"/>
    <w:next w:val="Normal"/>
    <w:uiPriority w:val="39"/>
    <w:unhideWhenUsed/>
    <w:qFormat/>
    <w:rsid w:val="002A2EA5"/>
    <w:pPr>
      <w:outlineLvl w:val="9"/>
    </w:pPr>
  </w:style>
  <w:style w:type="paragraph" w:styleId="TOC1">
    <w:name w:val="toc 1"/>
    <w:basedOn w:val="Normal"/>
    <w:next w:val="Normal"/>
    <w:autoRedefine/>
    <w:uiPriority w:val="39"/>
    <w:unhideWhenUsed/>
    <w:rsid w:val="002A2EA5"/>
    <w:pPr>
      <w:spacing w:after="100"/>
    </w:pPr>
  </w:style>
  <w:style w:type="character" w:styleId="Hyperlink">
    <w:name w:val="Hyperlink"/>
    <w:basedOn w:val="DefaultParagraphFont"/>
    <w:uiPriority w:val="99"/>
    <w:unhideWhenUsed/>
    <w:rsid w:val="002A2EA5"/>
    <w:rPr>
      <w:color w:val="0563C1" w:themeColor="hyperlink"/>
      <w:u w:val="single"/>
    </w:rPr>
  </w:style>
  <w:style w:type="paragraph" w:styleId="FootnoteText">
    <w:name w:val="footnote text"/>
    <w:basedOn w:val="Normal"/>
    <w:link w:val="FootnoteTextChar"/>
    <w:uiPriority w:val="99"/>
    <w:semiHidden/>
    <w:unhideWhenUsed/>
    <w:rsid w:val="009A6C0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A6C0F"/>
    <w:rPr>
      <w:sz w:val="20"/>
      <w:szCs w:val="20"/>
    </w:rPr>
  </w:style>
  <w:style w:type="character" w:styleId="FootnoteReference">
    <w:name w:val="footnote reference"/>
    <w:basedOn w:val="DefaultParagraphFont"/>
    <w:uiPriority w:val="99"/>
    <w:semiHidden/>
    <w:unhideWhenUsed/>
    <w:rsid w:val="009A6C0F"/>
    <w:rPr>
      <w:vertAlign w:val="superscript"/>
    </w:rPr>
  </w:style>
  <w:style w:type="table" w:styleId="GridTable4Accent5">
    <w:name w:val="Grid Table 4 Accent 5"/>
    <w:basedOn w:val="TableNormal"/>
    <w:uiPriority w:val="49"/>
    <w:rsid w:val="00625FC0"/>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Header">
    <w:name w:val="header"/>
    <w:basedOn w:val="Normal"/>
    <w:link w:val="HeaderChar"/>
    <w:uiPriority w:val="99"/>
    <w:unhideWhenUsed/>
    <w:rsid w:val="004250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5002"/>
  </w:style>
  <w:style w:type="paragraph" w:styleId="Footer">
    <w:name w:val="footer"/>
    <w:basedOn w:val="Normal"/>
    <w:link w:val="FooterChar"/>
    <w:uiPriority w:val="99"/>
    <w:unhideWhenUsed/>
    <w:rsid w:val="004250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5002"/>
  </w:style>
  <w:style w:type="table" w:styleId="GridTable2Accent4">
    <w:name w:val="Grid Table 2 Accent 4"/>
    <w:basedOn w:val="TableNormal"/>
    <w:uiPriority w:val="47"/>
    <w:rsid w:val="00B101AE"/>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paragraph" w:styleId="Revision">
    <w:name w:val="Revision"/>
    <w:hidden/>
    <w:uiPriority w:val="99"/>
    <w:semiHidden/>
    <w:rsid w:val="00DD16FB"/>
    <w:pPr>
      <w:spacing w:after="0" w:line="240" w:lineRule="auto"/>
    </w:pPr>
  </w:style>
  <w:style w:type="character" w:styleId="UnresolvedMention">
    <w:name w:val="Unresolved Mention"/>
    <w:basedOn w:val="DefaultParagraphFont"/>
    <w:uiPriority w:val="99"/>
    <w:semiHidden/>
    <w:unhideWhenUsed/>
    <w:rsid w:val="00076A80"/>
    <w:rPr>
      <w:color w:val="605E5C"/>
      <w:shd w:val="clear" w:color="auto" w:fill="E1DFDD"/>
    </w:rPr>
  </w:style>
  <w:style w:type="character" w:customStyle="1" w:styleId="Heading2Char">
    <w:name w:val="Heading 2 Char"/>
    <w:basedOn w:val="DefaultParagraphFont"/>
    <w:link w:val="Heading2"/>
    <w:uiPriority w:val="9"/>
    <w:semiHidden/>
    <w:rsid w:val="00591C9F"/>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Note xmlns="c8b6cde6-36a6-4835-8c9f-9df2c1ff615e" xsi:nil="true"/>
    <Migration_x0020_to_x0020_SP_x0020_Online xmlns="bd083e05-dbaa-4fa1-9fd0-604142eaf587">Do Not Migrate</Migration_x0020_to_x0020_SP_x0020_Onlin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4607A81BC388C47853F0386CD35EB83" ma:contentTypeVersion="11" ma:contentTypeDescription="Create a new document." ma:contentTypeScope="" ma:versionID="5405c6e2ff1acd568a7dda339c0836c4">
  <xsd:schema xmlns:xsd="http://www.w3.org/2001/XMLSchema" xmlns:xs="http://www.w3.org/2001/XMLSchema" xmlns:p="http://schemas.microsoft.com/office/2006/metadata/properties" xmlns:ns2="c8b6cde6-36a6-4835-8c9f-9df2c1ff615e" xmlns:ns3="bd083e05-dbaa-4fa1-9fd0-604142eaf587" targetNamespace="http://schemas.microsoft.com/office/2006/metadata/properties" ma:root="true" ma:fieldsID="c6ebbae4b074563f8d9e52aaef7ee255" ns2:_="" ns3:_="">
    <xsd:import namespace="c8b6cde6-36a6-4835-8c9f-9df2c1ff615e"/>
    <xsd:import namespace="bd083e05-dbaa-4fa1-9fd0-604142eaf587"/>
    <xsd:element name="properties">
      <xsd:complexType>
        <xsd:sequence>
          <xsd:element name="documentManagement">
            <xsd:complexType>
              <xsd:all>
                <xsd:element ref="ns2:Note" minOccurs="0"/>
                <xsd:element ref="ns3:Migration_x0020_to_x0020_SP_x0020_Online"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b6cde6-36a6-4835-8c9f-9df2c1ff615e" elementFormDefault="qualified">
    <xsd:import namespace="http://schemas.microsoft.com/office/2006/documentManagement/types"/>
    <xsd:import namespace="http://schemas.microsoft.com/office/infopath/2007/PartnerControls"/>
    <xsd:element name="Note" ma:index="8" nillable="true" ma:displayName="Note" ma:internalName="Not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d083e05-dbaa-4fa1-9fd0-604142eaf587" elementFormDefault="qualified">
    <xsd:import namespace="http://schemas.microsoft.com/office/2006/documentManagement/types"/>
    <xsd:import namespace="http://schemas.microsoft.com/office/infopath/2007/PartnerControls"/>
    <xsd:element name="Migration_x0020_to_x0020_SP_x0020_Online" ma:index="9" nillable="true" ma:displayName="Migration to SP Online" ma:default="Do Not Migrate" ma:description="Use this to indicate content that needs to migrate onto SP Online." ma:format="Dropdown" ma:hidden="true" ma:internalName="Migration_x0020_to_x0020_SP_x0020_Online" ma:readOnly="false">
      <xsd:simpleType>
        <xsd:restriction base="dms:Choice">
          <xsd:enumeration value="Do Not Migrate"/>
          <xsd:enumeration value="Migrate to SP Online"/>
        </xsd:restriction>
      </xsd:simpleType>
    </xsd:element>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03453C-CD52-4748-9F5C-686472007897}">
  <ds:schemaRefs>
    <ds:schemaRef ds:uri="http://schemas.microsoft.com/sharepoint/v3/contenttype/forms"/>
  </ds:schemaRefs>
</ds:datastoreItem>
</file>

<file path=customXml/itemProps2.xml><?xml version="1.0" encoding="utf-8"?>
<ds:datastoreItem xmlns:ds="http://schemas.openxmlformats.org/officeDocument/2006/customXml" ds:itemID="{BA6A0A21-4824-4670-9F4E-7B6403BED8E7}">
  <ds:schemaRefs>
    <ds:schemaRef ds:uri="http://schemas.microsoft.com/office/2006/metadata/properties"/>
    <ds:schemaRef ds:uri="http://schemas.microsoft.com/office/infopath/2007/PartnerControls"/>
    <ds:schemaRef ds:uri="c8b6cde6-36a6-4835-8c9f-9df2c1ff615e"/>
    <ds:schemaRef ds:uri="bd083e05-dbaa-4fa1-9fd0-604142eaf587"/>
  </ds:schemaRefs>
</ds:datastoreItem>
</file>

<file path=customXml/itemProps3.xml><?xml version="1.0" encoding="utf-8"?>
<ds:datastoreItem xmlns:ds="http://schemas.openxmlformats.org/officeDocument/2006/customXml" ds:itemID="{664A05A0-132D-42D5-A442-349570E4D2EA}">
  <ds:schemaRefs>
    <ds:schemaRef ds:uri="http://schemas.openxmlformats.org/officeDocument/2006/bibliography"/>
  </ds:schemaRefs>
</ds:datastoreItem>
</file>

<file path=customXml/itemProps4.xml><?xml version="1.0" encoding="utf-8"?>
<ds:datastoreItem xmlns:ds="http://schemas.openxmlformats.org/officeDocument/2006/customXml" ds:itemID="{FBB2FB5A-8D0E-41C9-A70B-CF7FA7507B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b6cde6-36a6-4835-8c9f-9df2c1ff615e"/>
    <ds:schemaRef ds:uri="bd083e05-dbaa-4fa1-9fd0-604142eaf5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2095</Words>
  <Characters>11943</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 Young</dc:creator>
  <cp:lastModifiedBy>Mullan, Kate</cp:lastModifiedBy>
  <cp:revision>2</cp:revision>
  <dcterms:created xsi:type="dcterms:W3CDTF">2022-10-04T15:46:00Z</dcterms:created>
  <dcterms:modified xsi:type="dcterms:W3CDTF">2022-10-04T15:46:00Z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4530805a9a34cb996739ba2e241a970">
    <vt:lpwstr/>
  </property>
  <property fmtid="{D5CDD505-2E9C-101B-9397-08002B2CF9AE}" pid="3" name="Approval Status">
    <vt:lpwstr/>
  </property>
  <property fmtid="{D5CDD505-2E9C-101B-9397-08002B2CF9AE}" pid="4" name="Approval_x0020_Status">
    <vt:lpwstr/>
  </property>
  <property fmtid="{D5CDD505-2E9C-101B-9397-08002B2CF9AE}" pid="5" name="Catagory">
    <vt:lpwstr/>
  </property>
  <property fmtid="{D5CDD505-2E9C-101B-9397-08002B2CF9AE}" pid="6" name="cb2ef2bd509f47f39ea44b698c260c87">
    <vt:lpwstr>Management Support Office|0bfc2f5e-2aec-45c1-9f9c-99283cce7e04</vt:lpwstr>
  </property>
  <property fmtid="{D5CDD505-2E9C-101B-9397-08002B2CF9AE}" pid="7" name="ContentTypeId">
    <vt:lpwstr>0x01010034607A81BC388C47853F0386CD35EB83</vt:lpwstr>
  </property>
  <property fmtid="{D5CDD505-2E9C-101B-9397-08002B2CF9AE}" pid="8" name="Document Type">
    <vt:lpwstr/>
  </property>
  <property fmtid="{D5CDD505-2E9C-101B-9397-08002B2CF9AE}" pid="9" name="Document_x0020_Type">
    <vt:lpwstr/>
  </property>
  <property fmtid="{D5CDD505-2E9C-101B-9397-08002B2CF9AE}" pid="10" name="e48369bfb84241b2a4759ac5d306b738">
    <vt:lpwstr/>
  </property>
  <property fmtid="{D5CDD505-2E9C-101B-9397-08002B2CF9AE}" pid="11" name="Fiscal Year">
    <vt:lpwstr>15;#2020|029daf00-d723-4fd6-b30d-a23e097832de</vt:lpwstr>
  </property>
  <property fmtid="{D5CDD505-2E9C-101B-9397-08002B2CF9AE}" pid="12" name="i2df9991e3d2408389e0d1a2ece476ab">
    <vt:lpwstr/>
  </property>
  <property fmtid="{D5CDD505-2E9C-101B-9397-08002B2CF9AE}" pid="13" name="m1f13d32c4c342028b39326ee260c1ca">
    <vt:lpwstr/>
  </property>
  <property fmtid="{D5CDD505-2E9C-101B-9397-08002B2CF9AE}" pid="14" name="m9ba678bb8414d77b73f31a6ff27f951">
    <vt:lpwstr>2020|029daf00-d723-4fd6-b30d-a23e097832de</vt:lpwstr>
  </property>
  <property fmtid="{D5CDD505-2E9C-101B-9397-08002B2CF9AE}" pid="15" name="OESE Office">
    <vt:lpwstr>4;#Management Support Office|0bfc2f5e-2aec-45c1-9f9c-99283cce7e04</vt:lpwstr>
  </property>
  <property fmtid="{D5CDD505-2E9C-101B-9397-08002B2CF9AE}" pid="16" name="Order">
    <vt:r8>744000</vt:r8>
  </property>
  <property fmtid="{D5CDD505-2E9C-101B-9397-08002B2CF9AE}" pid="17" name="paad1906247e4af69fbe65f2ace0923c">
    <vt:lpwstr/>
  </property>
  <property fmtid="{D5CDD505-2E9C-101B-9397-08002B2CF9AE}" pid="18" name="ProgramCFDA">
    <vt:lpwstr/>
  </property>
  <property fmtid="{D5CDD505-2E9C-101B-9397-08002B2CF9AE}" pid="19" name="Secondary Subject">
    <vt:lpwstr/>
  </property>
  <property fmtid="{D5CDD505-2E9C-101B-9397-08002B2CF9AE}" pid="20" name="Secondary_x0020_Subject">
    <vt:lpwstr/>
  </property>
  <property fmtid="{D5CDD505-2E9C-101B-9397-08002B2CF9AE}" pid="21" name="TaxCatchAll">
    <vt:lpwstr>4;#Management Support Office|0bfc2f5e-2aec-45c1-9f9c-99283cce7e04;#15;#2020|029daf00-d723-4fd6-b30d-a23e097832de</vt:lpwstr>
  </property>
  <property fmtid="{D5CDD505-2E9C-101B-9397-08002B2CF9AE}" pid="22" name="_dlc_DocIdItemGuid">
    <vt:lpwstr>c0663c7a-e075-49ed-95d7-e371808ffd66</vt:lpwstr>
  </property>
</Properties>
</file>