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1767" w:rsidP="00AD381B" w14:paraId="58CE2522" w14:textId="726CAF4D">
      <w:pPr>
        <w:pStyle w:val="Header"/>
        <w:rPr>
          <w:rFonts w:ascii="Times New Roman" w:hAnsi="Times New Roman"/>
          <w:szCs w:val="24"/>
        </w:rPr>
      </w:pPr>
      <w:r w:rsidRPr="00C875E8">
        <w:rPr>
          <w:rFonts w:ascii="Times New Roman" w:hAnsi="Times New Roman"/>
          <w:szCs w:val="24"/>
        </w:rPr>
        <w:t xml:space="preserve">Tracking and OMB Number: </w:t>
      </w:r>
      <w:r w:rsidRPr="00865ADE" w:rsidR="00865ADE">
        <w:rPr>
          <w:rFonts w:ascii="Times New Roman" w:hAnsi="Times New Roman"/>
          <w:szCs w:val="24"/>
        </w:rPr>
        <w:t>1810-0</w:t>
      </w:r>
      <w:r w:rsidR="0039708D">
        <w:rPr>
          <w:rFonts w:ascii="Times New Roman" w:hAnsi="Times New Roman"/>
          <w:szCs w:val="24"/>
        </w:rPr>
        <w:t>68</w:t>
      </w:r>
      <w:r w:rsidRPr="00865ADE" w:rsidR="00865ADE">
        <w:rPr>
          <w:rFonts w:ascii="Times New Roman" w:hAnsi="Times New Roman"/>
          <w:szCs w:val="24"/>
        </w:rPr>
        <w:t>3</w:t>
      </w:r>
    </w:p>
    <w:p w:rsidR="00F46737" w:rsidRPr="00AD381B" w:rsidP="00AD381B" w14:paraId="4E8E215F" w14:textId="77777777">
      <w:pPr>
        <w:pStyle w:val="Header"/>
        <w:rPr>
          <w:rFonts w:ascii="Times New Roman" w:hAnsi="Times New Roman"/>
          <w:color w:val="FFFFFF" w:themeColor="background1"/>
          <w:szCs w:val="24"/>
        </w:rPr>
      </w:pP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P="00AD381B" w14:paraId="58CE2527" w14:textId="47742D0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865ADE" w:rsidP="00865ADE" w14:paraId="4EF0400E" w14:textId="75063A9C">
      <w:pPr>
        <w:suppressAutoHyphens/>
        <w:spacing w:line="240" w:lineRule="exact"/>
        <w:rPr>
          <w:rFonts w:ascii="Times New Roman" w:hAnsi="Times New Roman"/>
          <w:b/>
          <w:szCs w:val="24"/>
        </w:rPr>
      </w:pPr>
    </w:p>
    <w:p w:rsidR="00865ADE" w:rsidRPr="00865ADE" w:rsidP="0061063B" w14:paraId="5A724AFC" w14:textId="0C361920">
      <w:pPr>
        <w:suppressAutoHyphens/>
        <w:spacing w:line="240" w:lineRule="exact"/>
        <w:ind w:left="720"/>
        <w:rPr>
          <w:rFonts w:ascii="Times New Roman" w:hAnsi="Times New Roman"/>
          <w:bCs/>
          <w:szCs w:val="24"/>
        </w:rPr>
      </w:pPr>
      <w:r w:rsidRPr="00865ADE">
        <w:rPr>
          <w:rFonts w:ascii="Times New Roman" w:hAnsi="Times New Roman"/>
          <w:bCs/>
          <w:szCs w:val="24"/>
        </w:rPr>
        <w:t xml:space="preserve">The Migrant Information Exchange (MSIX) is a nationwide electronic records exchange mechanism mandated under Title I, Part C of the Elementary and Secondary Education Act </w:t>
      </w:r>
      <w:r w:rsidR="0030313C">
        <w:rPr>
          <w:rFonts w:ascii="Times New Roman" w:hAnsi="Times New Roman"/>
          <w:bCs/>
          <w:szCs w:val="24"/>
        </w:rPr>
        <w:t>of 1965</w:t>
      </w:r>
      <w:r w:rsidRPr="00865ADE">
        <w:rPr>
          <w:rFonts w:ascii="Times New Roman" w:hAnsi="Times New Roman"/>
          <w:bCs/>
          <w:szCs w:val="24"/>
        </w:rPr>
        <w:t xml:space="preserve"> (ESEA), as amended by </w:t>
      </w:r>
      <w:r w:rsidRPr="00865ADE">
        <w:rPr>
          <w:rFonts w:ascii="Times New Roman" w:hAnsi="Times New Roman"/>
          <w:bCs/>
          <w:szCs w:val="24"/>
        </w:rPr>
        <w:t>the Every</w:t>
      </w:r>
      <w:r w:rsidRPr="00865ADE">
        <w:rPr>
          <w:rFonts w:ascii="Times New Roman" w:hAnsi="Times New Roman"/>
          <w:bCs/>
          <w:szCs w:val="24"/>
        </w:rPr>
        <w:t xml:space="preserve"> Student Succeeds Act (ESSA). The Migrant Education Program (MEP) is authorized under sections 1301-1309 in Title I, Part C of the ESEA. MSIX and the minimum data elements (MDEs) are authorized under section 1308(b) of the ESEA, as amended. As a condition of receiving a grant of funds under the MEP, each State Educational Agency (SEA) is required to collect, maintain, and submit minimum health and education-related data to MSIX within established timeframes. Regulations 34 C</w:t>
      </w:r>
      <w:r w:rsidR="003969C9">
        <w:rPr>
          <w:rFonts w:ascii="Times New Roman" w:hAnsi="Times New Roman"/>
          <w:bCs/>
          <w:szCs w:val="24"/>
        </w:rPr>
        <w:t>.</w:t>
      </w:r>
      <w:r w:rsidRPr="00865ADE">
        <w:rPr>
          <w:rFonts w:ascii="Times New Roman" w:hAnsi="Times New Roman"/>
          <w:bCs/>
          <w:szCs w:val="24"/>
        </w:rPr>
        <w:t>F</w:t>
      </w:r>
      <w:r w:rsidR="003969C9">
        <w:rPr>
          <w:rFonts w:ascii="Times New Roman" w:hAnsi="Times New Roman"/>
          <w:bCs/>
          <w:szCs w:val="24"/>
        </w:rPr>
        <w:t>.</w:t>
      </w:r>
      <w:r w:rsidRPr="00865ADE">
        <w:rPr>
          <w:rFonts w:ascii="Times New Roman" w:hAnsi="Times New Roman"/>
          <w:bCs/>
          <w:szCs w:val="24"/>
        </w:rPr>
        <w:t>R</w:t>
      </w:r>
      <w:r w:rsidR="003969C9">
        <w:rPr>
          <w:rFonts w:ascii="Times New Roman" w:hAnsi="Times New Roman"/>
          <w:bCs/>
          <w:szCs w:val="24"/>
        </w:rPr>
        <w:t>.</w:t>
      </w:r>
      <w:r w:rsidRPr="00865ADE">
        <w:rPr>
          <w:rFonts w:ascii="Times New Roman" w:hAnsi="Times New Roman"/>
          <w:bCs/>
          <w:szCs w:val="24"/>
        </w:rPr>
        <w:t xml:space="preserve"> §</w:t>
      </w:r>
      <w:r w:rsidR="003969C9">
        <w:rPr>
          <w:rFonts w:ascii="Times New Roman" w:hAnsi="Times New Roman"/>
          <w:bCs/>
          <w:szCs w:val="24"/>
        </w:rPr>
        <w:t> </w:t>
      </w:r>
      <w:r w:rsidRPr="00865ADE">
        <w:rPr>
          <w:rFonts w:ascii="Times New Roman" w:hAnsi="Times New Roman"/>
          <w:bCs/>
          <w:szCs w:val="24"/>
        </w:rPr>
        <w:t xml:space="preserve">200.85 for the MSIX issued by the U.S. Department </w:t>
      </w:r>
      <w:r w:rsidR="003969C9">
        <w:rPr>
          <w:rFonts w:ascii="Times New Roman" w:hAnsi="Times New Roman"/>
          <w:bCs/>
          <w:szCs w:val="24"/>
        </w:rPr>
        <w:t xml:space="preserve">of Education </w:t>
      </w:r>
      <w:r w:rsidRPr="00865ADE">
        <w:rPr>
          <w:rFonts w:ascii="Times New Roman" w:hAnsi="Times New Roman"/>
          <w:bCs/>
          <w:szCs w:val="24"/>
        </w:rPr>
        <w:t xml:space="preserve">(the Department) have been in effect </w:t>
      </w:r>
      <w:r w:rsidR="003969C9">
        <w:rPr>
          <w:rFonts w:ascii="Times New Roman" w:hAnsi="Times New Roman"/>
          <w:bCs/>
          <w:szCs w:val="24"/>
        </w:rPr>
        <w:t>since</w:t>
      </w:r>
      <w:r w:rsidRPr="00865ADE">
        <w:rPr>
          <w:rFonts w:ascii="Times New Roman" w:hAnsi="Times New Roman"/>
          <w:bCs/>
          <w:szCs w:val="24"/>
        </w:rPr>
        <w:t xml:space="preserve"> June 9, 2016. MSIX is designed to facilitate timely school enrollment, grade and course placement, accrual of secondary course credits and participation in the MEP for migratory children. The regulations help the Department determine accurate migratory child counts and meet other MEP reporting requirements. </w:t>
      </w:r>
    </w:p>
    <w:p w:rsidR="00865ADE" w:rsidRPr="00865ADE" w:rsidP="0061063B" w14:paraId="6DB39350" w14:textId="77777777">
      <w:pPr>
        <w:suppressAutoHyphens/>
        <w:spacing w:line="240" w:lineRule="exact"/>
        <w:ind w:left="720"/>
        <w:rPr>
          <w:rFonts w:ascii="Times New Roman" w:hAnsi="Times New Roman"/>
          <w:bCs/>
          <w:szCs w:val="24"/>
        </w:rPr>
      </w:pPr>
    </w:p>
    <w:p w:rsidR="00865ADE" w:rsidP="0061063B" w14:paraId="0B03617F" w14:textId="2EA69F0B">
      <w:pPr>
        <w:suppressAutoHyphens/>
        <w:spacing w:line="240" w:lineRule="exact"/>
        <w:ind w:left="720"/>
        <w:rPr>
          <w:rFonts w:ascii="Times New Roman" w:hAnsi="Times New Roman"/>
          <w:bCs/>
          <w:szCs w:val="24"/>
        </w:rPr>
      </w:pPr>
      <w:r w:rsidRPr="00865ADE">
        <w:rPr>
          <w:rFonts w:ascii="Times New Roman" w:hAnsi="Times New Roman"/>
          <w:bCs/>
          <w:szCs w:val="24"/>
        </w:rPr>
        <w:t xml:space="preserve">The Department </w:t>
      </w:r>
      <w:r w:rsidRPr="00865ADE" w:rsidR="008816E3">
        <w:rPr>
          <w:rFonts w:ascii="Times New Roman" w:hAnsi="Times New Roman"/>
          <w:bCs/>
          <w:szCs w:val="24"/>
        </w:rPr>
        <w:t>request</w:t>
      </w:r>
      <w:r w:rsidR="008816E3">
        <w:rPr>
          <w:rFonts w:ascii="Times New Roman" w:hAnsi="Times New Roman"/>
          <w:bCs/>
          <w:szCs w:val="24"/>
        </w:rPr>
        <w:t>s</w:t>
      </w:r>
      <w:r w:rsidRPr="00865ADE" w:rsidR="008816E3">
        <w:rPr>
          <w:rFonts w:ascii="Times New Roman" w:hAnsi="Times New Roman"/>
          <w:bCs/>
          <w:szCs w:val="24"/>
        </w:rPr>
        <w:t xml:space="preserve"> </w:t>
      </w:r>
      <w:r w:rsidRPr="00865ADE">
        <w:rPr>
          <w:rFonts w:ascii="Times New Roman" w:hAnsi="Times New Roman"/>
          <w:bCs/>
          <w:szCs w:val="24"/>
        </w:rPr>
        <w:t>approval</w:t>
      </w:r>
      <w:r w:rsidR="000A76D2">
        <w:rPr>
          <w:rFonts w:ascii="Times New Roman" w:hAnsi="Times New Roman"/>
          <w:bCs/>
          <w:szCs w:val="24"/>
        </w:rPr>
        <w:t xml:space="preserve"> </w:t>
      </w:r>
      <w:r w:rsidR="00EB2F22">
        <w:rPr>
          <w:rFonts w:ascii="Times New Roman" w:hAnsi="Times New Roman"/>
          <w:bCs/>
          <w:szCs w:val="24"/>
        </w:rPr>
        <w:t xml:space="preserve">for </w:t>
      </w:r>
      <w:r w:rsidR="003A4C16">
        <w:rPr>
          <w:rFonts w:ascii="Times New Roman" w:hAnsi="Times New Roman"/>
          <w:bCs/>
          <w:szCs w:val="24"/>
        </w:rPr>
        <w:t>a revision</w:t>
      </w:r>
      <w:r w:rsidRPr="00865ADE">
        <w:rPr>
          <w:rFonts w:ascii="Times New Roman" w:hAnsi="Times New Roman"/>
          <w:bCs/>
          <w:szCs w:val="24"/>
        </w:rPr>
        <w:t xml:space="preserve"> </w:t>
      </w:r>
      <w:r w:rsidR="006B22AC">
        <w:rPr>
          <w:rFonts w:ascii="Times New Roman" w:hAnsi="Times New Roman"/>
          <w:bCs/>
          <w:szCs w:val="24"/>
        </w:rPr>
        <w:t xml:space="preserve">of </w:t>
      </w:r>
      <w:r w:rsidRPr="00865ADE">
        <w:rPr>
          <w:rFonts w:ascii="Times New Roman" w:hAnsi="Times New Roman"/>
          <w:bCs/>
          <w:szCs w:val="24"/>
        </w:rPr>
        <w:t xml:space="preserve">the 1810-0683 information collection that supports </w:t>
      </w:r>
      <w:r w:rsidR="009A65A7">
        <w:rPr>
          <w:rFonts w:ascii="Times New Roman" w:hAnsi="Times New Roman"/>
          <w:bCs/>
          <w:szCs w:val="24"/>
        </w:rPr>
        <w:t xml:space="preserve">the </w:t>
      </w:r>
      <w:r w:rsidRPr="00865ADE">
        <w:rPr>
          <w:rFonts w:ascii="Times New Roman" w:hAnsi="Times New Roman"/>
          <w:bCs/>
          <w:szCs w:val="24"/>
        </w:rPr>
        <w:t>statutory requirements for data collection under Title I, Part C MEP.</w:t>
      </w:r>
    </w:p>
    <w:p w:rsidR="005B258E" w:rsidP="0061063B" w14:paraId="5D6D9BD6" w14:textId="77777777">
      <w:pPr>
        <w:suppressAutoHyphens/>
        <w:spacing w:line="240" w:lineRule="exact"/>
        <w:ind w:left="720"/>
        <w:rPr>
          <w:rFonts w:ascii="Times New Roman" w:hAnsi="Times New Roman"/>
          <w:bCs/>
          <w:szCs w:val="24"/>
        </w:rPr>
      </w:pPr>
    </w:p>
    <w:p w:rsidR="005B258E" w:rsidRPr="00865ADE" w:rsidP="0061063B" w14:paraId="1249E6FE" w14:textId="65ACCE17">
      <w:pPr>
        <w:suppressAutoHyphens/>
        <w:spacing w:line="240" w:lineRule="exact"/>
        <w:ind w:left="720"/>
        <w:rPr>
          <w:rFonts w:ascii="Times New Roman" w:hAnsi="Times New Roman"/>
          <w:bCs/>
          <w:szCs w:val="24"/>
        </w:rPr>
      </w:pPr>
      <w:r>
        <w:rPr>
          <w:rFonts w:ascii="Times New Roman" w:hAnsi="Times New Roman"/>
          <w:bCs/>
          <w:szCs w:val="24"/>
        </w:rPr>
        <w:t>This</w:t>
      </w:r>
      <w:r w:rsidR="00BF633F">
        <w:rPr>
          <w:rFonts w:ascii="Times New Roman" w:hAnsi="Times New Roman"/>
          <w:bCs/>
          <w:szCs w:val="24"/>
        </w:rPr>
        <w:t xml:space="preserve"> request for</w:t>
      </w:r>
      <w:r>
        <w:rPr>
          <w:rFonts w:ascii="Times New Roman" w:hAnsi="Times New Roman"/>
          <w:bCs/>
          <w:szCs w:val="24"/>
        </w:rPr>
        <w:t xml:space="preserve"> </w:t>
      </w:r>
      <w:r w:rsidR="008731A3">
        <w:rPr>
          <w:rFonts w:ascii="Times New Roman" w:hAnsi="Times New Roman"/>
          <w:bCs/>
          <w:szCs w:val="24"/>
        </w:rPr>
        <w:t>revision</w:t>
      </w:r>
      <w:r>
        <w:rPr>
          <w:rFonts w:ascii="Times New Roman" w:hAnsi="Times New Roman"/>
          <w:bCs/>
          <w:szCs w:val="24"/>
        </w:rPr>
        <w:t xml:space="preserve"> </w:t>
      </w:r>
      <w:r w:rsidR="00BF633F">
        <w:rPr>
          <w:rFonts w:ascii="Times New Roman" w:hAnsi="Times New Roman"/>
          <w:bCs/>
          <w:szCs w:val="24"/>
        </w:rPr>
        <w:t>inclu</w:t>
      </w:r>
      <w:r w:rsidR="00CF6744">
        <w:rPr>
          <w:rFonts w:ascii="Times New Roman" w:hAnsi="Times New Roman"/>
          <w:bCs/>
          <w:szCs w:val="24"/>
        </w:rPr>
        <w:t xml:space="preserve">des </w:t>
      </w:r>
      <w:r w:rsidR="0012439A">
        <w:rPr>
          <w:rFonts w:ascii="Times New Roman" w:hAnsi="Times New Roman"/>
          <w:bCs/>
          <w:szCs w:val="24"/>
        </w:rPr>
        <w:t>five</w:t>
      </w:r>
      <w:r w:rsidRPr="005B258E">
        <w:rPr>
          <w:rFonts w:ascii="Times New Roman" w:hAnsi="Times New Roman"/>
          <w:bCs/>
          <w:szCs w:val="24"/>
        </w:rPr>
        <w:t xml:space="preserve"> new MDEs</w:t>
      </w:r>
      <w:r w:rsidR="00846412">
        <w:rPr>
          <w:rFonts w:ascii="Times New Roman" w:hAnsi="Times New Roman"/>
          <w:bCs/>
          <w:szCs w:val="24"/>
        </w:rPr>
        <w:t>,</w:t>
      </w:r>
      <w:r w:rsidRPr="005B258E">
        <w:rPr>
          <w:rFonts w:ascii="Times New Roman" w:hAnsi="Times New Roman"/>
          <w:bCs/>
          <w:szCs w:val="24"/>
        </w:rPr>
        <w:t xml:space="preserve"> </w:t>
      </w:r>
      <w:r w:rsidR="00846412">
        <w:rPr>
          <w:rFonts w:ascii="Times New Roman" w:hAnsi="Times New Roman"/>
          <w:bCs/>
          <w:szCs w:val="24"/>
        </w:rPr>
        <w:t>o</w:t>
      </w:r>
      <w:r w:rsidRPr="005B258E">
        <w:rPr>
          <w:rFonts w:ascii="Times New Roman" w:hAnsi="Times New Roman"/>
          <w:bCs/>
          <w:szCs w:val="24"/>
        </w:rPr>
        <w:t xml:space="preserve">nly three </w:t>
      </w:r>
      <w:r w:rsidR="000E3451">
        <w:rPr>
          <w:rFonts w:ascii="Times New Roman" w:hAnsi="Times New Roman"/>
          <w:bCs/>
          <w:szCs w:val="24"/>
        </w:rPr>
        <w:t xml:space="preserve">of </w:t>
      </w:r>
      <w:r w:rsidR="00846412">
        <w:rPr>
          <w:rFonts w:ascii="Times New Roman" w:hAnsi="Times New Roman"/>
          <w:bCs/>
          <w:szCs w:val="24"/>
        </w:rPr>
        <w:t>which</w:t>
      </w:r>
      <w:r w:rsidR="004C5B82">
        <w:rPr>
          <w:rFonts w:ascii="Times New Roman" w:hAnsi="Times New Roman"/>
          <w:bCs/>
          <w:szCs w:val="24"/>
        </w:rPr>
        <w:t xml:space="preserve"> </w:t>
      </w:r>
      <w:r w:rsidR="00145C0C">
        <w:rPr>
          <w:rFonts w:ascii="Times New Roman" w:hAnsi="Times New Roman"/>
          <w:bCs/>
          <w:szCs w:val="24"/>
        </w:rPr>
        <w:t>place</w:t>
      </w:r>
      <w:r w:rsidRPr="005B258E">
        <w:rPr>
          <w:rFonts w:ascii="Times New Roman" w:hAnsi="Times New Roman"/>
          <w:bCs/>
          <w:szCs w:val="24"/>
        </w:rPr>
        <w:t xml:space="preserve"> additional</w:t>
      </w:r>
      <w:r w:rsidR="00145C0C">
        <w:rPr>
          <w:rFonts w:ascii="Times New Roman" w:hAnsi="Times New Roman"/>
          <w:bCs/>
          <w:szCs w:val="24"/>
        </w:rPr>
        <w:t xml:space="preserve"> </w:t>
      </w:r>
      <w:r w:rsidRPr="005B258E">
        <w:rPr>
          <w:rFonts w:ascii="Times New Roman" w:hAnsi="Times New Roman"/>
          <w:bCs/>
          <w:szCs w:val="24"/>
        </w:rPr>
        <w:t>burden on the respondents' behalf. The total nationwide count of eligible migratory children has been adjusted to reflect verified numbers from 2020-2021 reporting period. These changes were made in consultation with the States that administer migrant education programs (MEPs). These changes are in the best interest of the students the States serve and will allow the States to better achieve their mission of helping migratory students and their families.</w:t>
      </w:r>
    </w:p>
    <w:p w:rsidR="00AD381B" w:rsidP="00AD381B" w14:paraId="58CE2528" w14:textId="77777777">
      <w:pPr>
        <w:pStyle w:val="ListParagraph"/>
        <w:suppressAutoHyphens/>
        <w:spacing w:line="240" w:lineRule="exact"/>
        <w:rPr>
          <w:rFonts w:ascii="Times New Roman" w:hAnsi="Times New Roman"/>
          <w:szCs w:val="24"/>
        </w:rPr>
      </w:pP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CE252B" w14:textId="61E7F70B">
      <w:pPr>
        <w:suppressAutoHyphens/>
        <w:spacing w:line="240" w:lineRule="exact"/>
        <w:rPr>
          <w:rFonts w:ascii="Times New Roman" w:hAnsi="Times New Roman"/>
          <w:szCs w:val="24"/>
        </w:rPr>
      </w:pPr>
    </w:p>
    <w:p w:rsidR="00865ADE" w:rsidP="0061063B" w14:paraId="1AFD5B22" w14:textId="57ECAD0A">
      <w:pPr>
        <w:suppressAutoHyphens/>
        <w:spacing w:line="240" w:lineRule="exact"/>
        <w:ind w:left="720"/>
        <w:rPr>
          <w:rFonts w:ascii="Times New Roman" w:hAnsi="Times New Roman"/>
          <w:szCs w:val="24"/>
        </w:rPr>
      </w:pPr>
      <w:r w:rsidRPr="00F46737">
        <w:rPr>
          <w:rFonts w:ascii="Times New Roman" w:hAnsi="Times New Roman"/>
          <w:bCs/>
          <w:szCs w:val="24"/>
        </w:rPr>
        <w:t xml:space="preserve">Each </w:t>
      </w:r>
      <w:r w:rsidRPr="00F46737" w:rsidR="00FD40E6">
        <w:rPr>
          <w:rFonts w:ascii="Times New Roman" w:hAnsi="Times New Roman"/>
          <w:bCs/>
          <w:szCs w:val="24"/>
        </w:rPr>
        <w:t>SEA</w:t>
      </w:r>
      <w:r w:rsidRPr="00F46737">
        <w:rPr>
          <w:rFonts w:ascii="Times New Roman" w:hAnsi="Times New Roman"/>
          <w:bCs/>
          <w:szCs w:val="24"/>
        </w:rPr>
        <w:t xml:space="preserve"> receiving grant funds under the MEP is required to submit information for migratory children receiving MEP services through an established secure data submission method</w:t>
      </w:r>
      <w:r w:rsidRPr="00F46737" w:rsidR="00966469">
        <w:rPr>
          <w:rFonts w:ascii="Times New Roman" w:hAnsi="Times New Roman"/>
          <w:bCs/>
          <w:szCs w:val="24"/>
        </w:rPr>
        <w:t>,</w:t>
      </w:r>
      <w:r w:rsidRPr="00F46737">
        <w:rPr>
          <w:rFonts w:ascii="Times New Roman" w:hAnsi="Times New Roman"/>
          <w:bCs/>
          <w:szCs w:val="24"/>
        </w:rPr>
        <w:t xml:space="preserve"> as agreed upon in the Memorandum of Understanding (MOU) and Interconnection Security Agreement (ISA). The information collected is used to meet the statutory requirements for a nationwide electronic records exchange mechanism that the grantees </w:t>
      </w:r>
      <w:r w:rsidRPr="00F46737" w:rsidR="004E1F0F">
        <w:rPr>
          <w:rFonts w:ascii="Times New Roman" w:hAnsi="Times New Roman"/>
          <w:bCs/>
          <w:szCs w:val="24"/>
        </w:rPr>
        <w:t xml:space="preserve">use </w:t>
      </w:r>
      <w:r w:rsidRPr="00F46737">
        <w:rPr>
          <w:rFonts w:ascii="Times New Roman" w:hAnsi="Times New Roman"/>
          <w:bCs/>
          <w:szCs w:val="24"/>
        </w:rPr>
        <w:t>to facilitate timely school enrollment, grade and course placement, accrual of secondary course credits</w:t>
      </w:r>
      <w:r w:rsidRPr="00F46737" w:rsidR="006A6608">
        <w:rPr>
          <w:rFonts w:ascii="Times New Roman" w:hAnsi="Times New Roman"/>
          <w:bCs/>
          <w:szCs w:val="24"/>
        </w:rPr>
        <w:t>,</w:t>
      </w:r>
      <w:r w:rsidRPr="00F46737">
        <w:rPr>
          <w:rFonts w:ascii="Times New Roman" w:hAnsi="Times New Roman"/>
          <w:bCs/>
          <w:szCs w:val="24"/>
        </w:rPr>
        <w:t xml:space="preserve"> and participation in the MEP for eligible migratory children. Information collected in MSIX is used </w:t>
      </w:r>
      <w:r w:rsidRPr="00865ADE">
        <w:rPr>
          <w:rFonts w:ascii="Times New Roman" w:hAnsi="Times New Roman"/>
          <w:szCs w:val="24"/>
        </w:rPr>
        <w:t xml:space="preserve">by SEAs, migratory student educators, MEP </w:t>
      </w:r>
      <w:r w:rsidRPr="00865ADE">
        <w:rPr>
          <w:rFonts w:ascii="Times New Roman" w:hAnsi="Times New Roman"/>
          <w:szCs w:val="24"/>
        </w:rPr>
        <w:t>personnel, school registrars, and school guidance counselors. The Department analyzes aggregate data for national counts of migratory children, trends in data, and program performance reporting. The Department also uses the information collected to monitor the grantees’ compliance with code of federal regulations applicable to the use of the MSIX system, specifically 34 C</w:t>
      </w:r>
      <w:r w:rsidR="00504A85">
        <w:rPr>
          <w:rFonts w:ascii="Times New Roman" w:hAnsi="Times New Roman"/>
          <w:szCs w:val="24"/>
        </w:rPr>
        <w:t>.</w:t>
      </w:r>
      <w:r w:rsidRPr="00865ADE">
        <w:rPr>
          <w:rFonts w:ascii="Times New Roman" w:hAnsi="Times New Roman"/>
          <w:szCs w:val="24"/>
        </w:rPr>
        <w:t>F</w:t>
      </w:r>
      <w:r w:rsidR="00504A85">
        <w:rPr>
          <w:rFonts w:ascii="Times New Roman" w:hAnsi="Times New Roman"/>
          <w:szCs w:val="24"/>
        </w:rPr>
        <w:t>.</w:t>
      </w:r>
      <w:r w:rsidRPr="00865ADE">
        <w:rPr>
          <w:rFonts w:ascii="Times New Roman" w:hAnsi="Times New Roman"/>
          <w:szCs w:val="24"/>
        </w:rPr>
        <w:t>R</w:t>
      </w:r>
      <w:r w:rsidR="00504A85">
        <w:rPr>
          <w:rFonts w:ascii="Times New Roman" w:hAnsi="Times New Roman"/>
          <w:szCs w:val="24"/>
        </w:rPr>
        <w:t>.</w:t>
      </w:r>
      <w:r w:rsidRPr="00865ADE">
        <w:rPr>
          <w:rFonts w:ascii="Times New Roman" w:hAnsi="Times New Roman"/>
          <w:szCs w:val="24"/>
        </w:rPr>
        <w:t xml:space="preserve"> §</w:t>
      </w:r>
      <w:r w:rsidR="00504A85">
        <w:rPr>
          <w:rFonts w:ascii="Times New Roman" w:hAnsi="Times New Roman"/>
          <w:szCs w:val="24"/>
        </w:rPr>
        <w:t> </w:t>
      </w:r>
      <w:r w:rsidRPr="00865ADE">
        <w:rPr>
          <w:rFonts w:ascii="Times New Roman" w:hAnsi="Times New Roman"/>
          <w:szCs w:val="24"/>
        </w:rPr>
        <w:t>200.85.</w:t>
      </w:r>
    </w:p>
    <w:p w:rsidR="00865ADE" w:rsidP="00AD381B" w14:paraId="374E03C6" w14:textId="77777777">
      <w:pPr>
        <w:suppressAutoHyphens/>
        <w:spacing w:line="240" w:lineRule="exact"/>
        <w:rPr>
          <w:rFonts w:ascii="Times New Roman" w:hAnsi="Times New Roman"/>
          <w:szCs w:val="24"/>
        </w:rPr>
      </w:pP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AD381B" w:rsidP="0061063B" w14:paraId="58CE252F" w14:textId="444F5F0A">
      <w:pPr>
        <w:suppressAutoHyphens/>
        <w:spacing w:line="240" w:lineRule="exact"/>
        <w:ind w:left="720"/>
        <w:rPr>
          <w:rFonts w:ascii="Times New Roman" w:hAnsi="Times New Roman"/>
          <w:szCs w:val="24"/>
        </w:rPr>
      </w:pPr>
      <w:r w:rsidRPr="00865ADE">
        <w:rPr>
          <w:rFonts w:ascii="Times New Roman" w:hAnsi="Times New Roman"/>
          <w:szCs w:val="24"/>
        </w:rPr>
        <w:t>The information collection requires SEAs to submit MDEs electronically to MSIX</w:t>
      </w:r>
      <w:r w:rsidR="00DD3452">
        <w:rPr>
          <w:rFonts w:ascii="Times New Roman" w:hAnsi="Times New Roman"/>
          <w:szCs w:val="24"/>
        </w:rPr>
        <w:t>,</w:t>
      </w:r>
      <w:r w:rsidRPr="00865ADE">
        <w:rPr>
          <w:rFonts w:ascii="Times New Roman" w:hAnsi="Times New Roman"/>
          <w:szCs w:val="24"/>
        </w:rPr>
        <w:t xml:space="preserve"> as required by program statute. SEAs currently us</w:t>
      </w:r>
      <w:r w:rsidR="0028195C">
        <w:rPr>
          <w:rFonts w:ascii="Times New Roman" w:hAnsi="Times New Roman"/>
          <w:szCs w:val="24"/>
        </w:rPr>
        <w:t>e</w:t>
      </w:r>
      <w:r w:rsidRPr="00865ADE">
        <w:rPr>
          <w:rFonts w:ascii="Times New Roman" w:hAnsi="Times New Roman"/>
          <w:szCs w:val="24"/>
        </w:rPr>
        <w:t xml:space="preserve"> automated information systems to collect, analyze</w:t>
      </w:r>
      <w:r w:rsidR="00793535">
        <w:rPr>
          <w:rFonts w:ascii="Times New Roman" w:hAnsi="Times New Roman"/>
          <w:szCs w:val="24"/>
        </w:rPr>
        <w:t>,</w:t>
      </w:r>
      <w:r w:rsidRPr="00865ADE">
        <w:rPr>
          <w:rFonts w:ascii="Times New Roman" w:hAnsi="Times New Roman"/>
          <w:szCs w:val="24"/>
        </w:rPr>
        <w:t xml:space="preserve"> and maintain information on migratory children within their SEAs. These SEA</w:t>
      </w:r>
      <w:r w:rsidR="001E0CE2">
        <w:rPr>
          <w:rFonts w:ascii="Times New Roman" w:hAnsi="Times New Roman"/>
          <w:szCs w:val="24"/>
        </w:rPr>
        <w:t>-</w:t>
      </w:r>
      <w:r w:rsidRPr="00865ADE">
        <w:rPr>
          <w:rFonts w:ascii="Times New Roman" w:hAnsi="Times New Roman"/>
          <w:szCs w:val="24"/>
        </w:rPr>
        <w:t xml:space="preserve">operated database servers electronically submit data to MSIX nightly, weekly or as new information is available. The MSIX system processes newly submitted data files nightly, every business day. There are interface file formats made available to SEAs with extensive instructions and support to submit data files in appropriate formats and to receive response files containing verifications and errors for SEA’s review. </w:t>
      </w:r>
      <w:r w:rsidR="000E3451">
        <w:rPr>
          <w:rFonts w:ascii="Times New Roman" w:hAnsi="Times New Roman"/>
          <w:szCs w:val="24"/>
        </w:rPr>
        <w:t>Automated n</w:t>
      </w:r>
      <w:r w:rsidRPr="00865ADE">
        <w:rPr>
          <w:rFonts w:ascii="Times New Roman" w:hAnsi="Times New Roman"/>
          <w:szCs w:val="24"/>
        </w:rPr>
        <w:t>ightly data file uploads are used to eliminate duplication of effort for the SEA’s data entry needs. Data are entered, validated, and approved in the SEA system before submission to MSIX, therefore data are more reliable, less prone to error</w:t>
      </w:r>
      <w:r w:rsidR="005664A5">
        <w:rPr>
          <w:rFonts w:ascii="Times New Roman" w:hAnsi="Times New Roman"/>
          <w:szCs w:val="24"/>
        </w:rPr>
        <w:t>,</w:t>
      </w:r>
      <w:r w:rsidRPr="00865ADE">
        <w:rPr>
          <w:rFonts w:ascii="Times New Roman" w:hAnsi="Times New Roman"/>
          <w:szCs w:val="24"/>
        </w:rPr>
        <w:t xml:space="preserve"> and are transferred between the SEA database server to MSIX in a controlled manner. </w:t>
      </w:r>
    </w:p>
    <w:p w:rsidR="00865ADE" w:rsidP="00AD381B" w14:paraId="2EA88684" w14:textId="123D4C59">
      <w:pPr>
        <w:pStyle w:val="ListParagraph"/>
        <w:tabs>
          <w:tab w:val="left" w:pos="-720"/>
        </w:tabs>
        <w:suppressAutoHyphens/>
        <w:contextualSpacing w:val="0"/>
        <w:rPr>
          <w:rFonts w:ascii="Times New Roman" w:hAnsi="Times New Roman"/>
          <w:szCs w:val="24"/>
        </w:rPr>
      </w:pPr>
    </w:p>
    <w:p w:rsidR="00865ADE" w:rsidP="00AD381B" w14:paraId="54A6B65E"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3A0782C1">
      <w:pPr>
        <w:pStyle w:val="ListParagraph"/>
        <w:tabs>
          <w:tab w:val="left" w:pos="-720"/>
        </w:tabs>
        <w:suppressAutoHyphens/>
        <w:contextualSpacing w:val="0"/>
        <w:rPr>
          <w:rFonts w:ascii="Times New Roman" w:hAnsi="Times New Roman"/>
          <w:b/>
          <w:szCs w:val="24"/>
        </w:rPr>
      </w:pPr>
    </w:p>
    <w:p w:rsidR="0061231B" w:rsidRPr="0061231B" w:rsidP="0061063B" w14:paraId="4D2FE8E0" w14:textId="3F8A649A">
      <w:pPr>
        <w:suppressAutoHyphens/>
        <w:spacing w:line="240" w:lineRule="exact"/>
        <w:ind w:left="720"/>
        <w:rPr>
          <w:rFonts w:ascii="Times New Roman" w:hAnsi="Times New Roman"/>
          <w:bCs/>
          <w:szCs w:val="24"/>
        </w:rPr>
      </w:pPr>
      <w:r w:rsidRPr="0061231B">
        <w:rPr>
          <w:rFonts w:ascii="Times New Roman" w:hAnsi="Times New Roman"/>
          <w:bCs/>
          <w:szCs w:val="24"/>
        </w:rPr>
        <w:t xml:space="preserve">The information that SEAs submit to MSIX is unique to each migratory child enrolled in the MEP. This MSIX information collection will not duplicate (or otherwise include) the burden associated with the MDEs available for submission to MSIX from other authorized collections. While EDFACTS and the Consolidated State Performance Report (CSPR) may require SEAs to submit aggregate counts and summary information of student demographics and achievement, these other collections do not contain individual information for migratory children receiving MEP services nor do they facilitate a nationwide records exchange of educational and health information.  </w:t>
      </w:r>
    </w:p>
    <w:p w:rsidR="0061231B" w:rsidRPr="00246FE9" w:rsidP="00246FE9" w14:paraId="6ED04120" w14:textId="77777777">
      <w:pPr>
        <w:pStyle w:val="ListParagraph"/>
        <w:tabs>
          <w:tab w:val="left" w:pos="-720"/>
        </w:tabs>
        <w:suppressAutoHyphens/>
        <w:contextualSpacing w:val="0"/>
        <w:rPr>
          <w:rFonts w:ascii="Times New Roman" w:hAnsi="Times New Roman"/>
          <w:b/>
          <w:szCs w:val="24"/>
        </w:rPr>
      </w:pP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58CE2533" w14:textId="774A348B">
      <w:pPr>
        <w:pStyle w:val="ListParagraph"/>
        <w:contextualSpacing w:val="0"/>
        <w:rPr>
          <w:rFonts w:ascii="Times New Roman" w:hAnsi="Times New Roman"/>
          <w:szCs w:val="24"/>
        </w:rPr>
      </w:pPr>
    </w:p>
    <w:p w:rsidR="0061231B" w:rsidP="0061063B" w14:paraId="74CEAC7B" w14:textId="2B0D641C">
      <w:pPr>
        <w:suppressAutoHyphens/>
        <w:spacing w:line="240" w:lineRule="exact"/>
        <w:ind w:left="720"/>
        <w:rPr>
          <w:rFonts w:ascii="Times New Roman" w:hAnsi="Times New Roman"/>
          <w:szCs w:val="24"/>
        </w:rPr>
      </w:pPr>
      <w:r w:rsidRPr="0061231B">
        <w:rPr>
          <w:rFonts w:ascii="Times New Roman" w:hAnsi="Times New Roman"/>
          <w:szCs w:val="24"/>
        </w:rPr>
        <w:t>Small business and/or small entities are not impacted by this data collection.</w:t>
      </w:r>
    </w:p>
    <w:p w:rsidR="00AD381B" w:rsidP="00AD381B" w14:paraId="58CE2534" w14:textId="77777777">
      <w:pPr>
        <w:pStyle w:val="ListParagraph"/>
        <w:contextualSpacing w:val="0"/>
        <w:rPr>
          <w:rFonts w:ascii="Times New Roman" w:hAnsi="Times New Roman"/>
          <w:szCs w:val="24"/>
        </w:rPr>
      </w:pPr>
    </w:p>
    <w:p w:rsidR="00043C32" w:rsidP="00AD381B" w14:paraId="58CE2535" w14:textId="3BC6478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61231B" w:rsidP="0061231B" w14:paraId="40B22F0D" w14:textId="0328A277">
      <w:pPr>
        <w:tabs>
          <w:tab w:val="left" w:pos="-720"/>
        </w:tabs>
        <w:suppressAutoHyphens/>
        <w:rPr>
          <w:rFonts w:ascii="Times New Roman" w:hAnsi="Times New Roman"/>
          <w:b/>
          <w:szCs w:val="24"/>
        </w:rPr>
      </w:pPr>
    </w:p>
    <w:p w:rsidR="0061231B" w:rsidRPr="0061231B" w:rsidP="0061063B" w14:paraId="48ED7477" w14:textId="6CA5FD43">
      <w:pPr>
        <w:suppressAutoHyphens/>
        <w:spacing w:line="240" w:lineRule="exact"/>
        <w:ind w:left="720"/>
        <w:rPr>
          <w:rFonts w:ascii="Times New Roman" w:hAnsi="Times New Roman"/>
          <w:bCs/>
          <w:szCs w:val="24"/>
        </w:rPr>
      </w:pPr>
      <w:r w:rsidRPr="0061231B">
        <w:rPr>
          <w:rFonts w:ascii="Times New Roman" w:hAnsi="Times New Roman"/>
          <w:bCs/>
          <w:szCs w:val="24"/>
        </w:rPr>
        <w:t xml:space="preserve">If the collection is not conducted, </w:t>
      </w:r>
      <w:r w:rsidR="000A7BBA">
        <w:rPr>
          <w:rFonts w:ascii="Times New Roman" w:hAnsi="Times New Roman"/>
          <w:bCs/>
          <w:szCs w:val="24"/>
        </w:rPr>
        <w:t>the Department</w:t>
      </w:r>
      <w:r w:rsidRPr="0061231B">
        <w:rPr>
          <w:rFonts w:ascii="Times New Roman" w:hAnsi="Times New Roman"/>
          <w:bCs/>
          <w:szCs w:val="24"/>
        </w:rPr>
        <w:t xml:space="preserve"> will be unable to carry out its statutory mandate under section 1308 of the </w:t>
      </w:r>
      <w:r w:rsidRPr="0061231B">
        <w:rPr>
          <w:rFonts w:ascii="Times New Roman" w:hAnsi="Times New Roman"/>
          <w:bCs/>
          <w:szCs w:val="24"/>
        </w:rPr>
        <w:t>ESEA.</w:t>
      </w:r>
      <w:r w:rsidR="001411EF">
        <w:rPr>
          <w:rFonts w:ascii="Times New Roman" w:hAnsi="Times New Roman"/>
          <w:bCs/>
          <w:szCs w:val="24"/>
        </w:rPr>
        <w:t>Furthermore</w:t>
      </w:r>
      <w:r w:rsidRPr="0061231B">
        <w:rPr>
          <w:rFonts w:ascii="Times New Roman" w:hAnsi="Times New Roman"/>
          <w:bCs/>
          <w:szCs w:val="24"/>
        </w:rPr>
        <w:t>, SEA grantees of the MEP will be hindered in identifying migratory children, determining the educational and health status of those who move within and across States, making prompt and appropriate educational placements, and providing for a continuity of services. Secondary students may be unable to document coursework that could be important for graduation, entry into postsecondary education, or employment opportunities.</w:t>
      </w:r>
      <w:r w:rsidR="00D21D0A">
        <w:rPr>
          <w:rFonts w:ascii="Times New Roman" w:hAnsi="Times New Roman"/>
          <w:bCs/>
          <w:szCs w:val="24"/>
        </w:rPr>
        <w:t xml:space="preserve"> </w:t>
      </w:r>
      <w:r w:rsidRPr="0061231B" w:rsidR="00D21D0A">
        <w:rPr>
          <w:rFonts w:ascii="Times New Roman" w:hAnsi="Times New Roman"/>
          <w:bCs/>
          <w:szCs w:val="24"/>
        </w:rPr>
        <w:t xml:space="preserve">In addition, </w:t>
      </w:r>
      <w:r w:rsidR="008677AB">
        <w:rPr>
          <w:rFonts w:ascii="Times New Roman" w:hAnsi="Times New Roman"/>
          <w:bCs/>
          <w:szCs w:val="24"/>
        </w:rPr>
        <w:t xml:space="preserve">if the collection were not conducted, </w:t>
      </w:r>
      <w:r w:rsidRPr="0061231B" w:rsidR="00D21D0A">
        <w:rPr>
          <w:rFonts w:ascii="Times New Roman" w:hAnsi="Times New Roman"/>
          <w:bCs/>
          <w:szCs w:val="24"/>
        </w:rPr>
        <w:t xml:space="preserve">migratory children may be at risk of </w:t>
      </w:r>
      <w:r w:rsidR="008677AB">
        <w:rPr>
          <w:rFonts w:ascii="Times New Roman" w:hAnsi="Times New Roman"/>
          <w:bCs/>
          <w:szCs w:val="24"/>
        </w:rPr>
        <w:t>not receiving services</w:t>
      </w:r>
      <w:r w:rsidRPr="0061231B" w:rsidR="00D21D0A">
        <w:rPr>
          <w:rFonts w:ascii="Times New Roman" w:hAnsi="Times New Roman"/>
          <w:bCs/>
          <w:szCs w:val="24"/>
        </w:rPr>
        <w:t xml:space="preserve"> or </w:t>
      </w:r>
      <w:r w:rsidR="008677AB">
        <w:rPr>
          <w:rFonts w:ascii="Times New Roman" w:hAnsi="Times New Roman"/>
          <w:bCs/>
          <w:szCs w:val="24"/>
        </w:rPr>
        <w:t>of receiving duplicative</w:t>
      </w:r>
      <w:r w:rsidRPr="0061231B" w:rsidR="00D21D0A">
        <w:rPr>
          <w:rFonts w:ascii="Times New Roman" w:hAnsi="Times New Roman"/>
          <w:bCs/>
          <w:szCs w:val="24"/>
        </w:rPr>
        <w:t xml:space="preserve"> immunizations</w:t>
      </w:r>
    </w:p>
    <w:p w:rsidR="0061231B" w:rsidRPr="0061231B" w:rsidP="0061231B" w14:paraId="0636E62B" w14:textId="77777777">
      <w:pPr>
        <w:tabs>
          <w:tab w:val="left" w:pos="-720"/>
        </w:tabs>
        <w:suppressAutoHyphens/>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264EF4" w:rsidP="00264EF4" w14:paraId="7D1D772B" w14:textId="77777777">
      <w:pPr>
        <w:pStyle w:val="ListParagraph"/>
        <w:rPr>
          <w:rFonts w:ascii="Times New Roman" w:hAnsi="Times New Roman"/>
          <w:b/>
          <w:szCs w:val="24"/>
        </w:rPr>
      </w:pPr>
    </w:p>
    <w:p w:rsidR="00264EF4" w:rsidP="00264EF4" w14:paraId="58562D87" w14:textId="77777777">
      <w:pPr>
        <w:tabs>
          <w:tab w:val="left" w:pos="-720"/>
        </w:tabs>
        <w:suppressAutoHyphens/>
        <w:ind w:left="1440"/>
        <w:rPr>
          <w:rFonts w:ascii="Times New Roman" w:hAnsi="Times New Roman"/>
          <w:b/>
          <w:szCs w:val="24"/>
        </w:rPr>
      </w:pPr>
    </w:p>
    <w:p w:rsidR="0061231B" w:rsidRPr="0061231B" w:rsidP="0061063B" w14:paraId="37A8063E" w14:textId="49098449">
      <w:pPr>
        <w:suppressAutoHyphens/>
        <w:spacing w:line="240" w:lineRule="exact"/>
        <w:ind w:left="720"/>
        <w:rPr>
          <w:rFonts w:ascii="Times New Roman" w:hAnsi="Times New Roman"/>
          <w:bCs/>
          <w:szCs w:val="24"/>
        </w:rPr>
      </w:pPr>
      <w:r w:rsidRPr="0061231B">
        <w:rPr>
          <w:rFonts w:ascii="Times New Roman" w:hAnsi="Times New Roman"/>
          <w:bCs/>
          <w:szCs w:val="24"/>
        </w:rPr>
        <w:t>Migratory children move across multiple districts and States throughout the school year</w:t>
      </w:r>
      <w:r w:rsidR="002F4D11">
        <w:rPr>
          <w:rFonts w:ascii="Times New Roman" w:hAnsi="Times New Roman"/>
          <w:bCs/>
          <w:szCs w:val="24"/>
        </w:rPr>
        <w:t>,</w:t>
      </w:r>
      <w:r w:rsidRPr="0061231B">
        <w:rPr>
          <w:rFonts w:ascii="Times New Roman" w:hAnsi="Times New Roman"/>
          <w:bCs/>
          <w:szCs w:val="24"/>
        </w:rPr>
        <w:t xml:space="preserve"> which create</w:t>
      </w:r>
      <w:r w:rsidR="00557B48">
        <w:rPr>
          <w:rFonts w:ascii="Times New Roman" w:hAnsi="Times New Roman"/>
          <w:bCs/>
          <w:szCs w:val="24"/>
        </w:rPr>
        <w:t>s</w:t>
      </w:r>
      <w:r w:rsidRPr="0061231B">
        <w:rPr>
          <w:rFonts w:ascii="Times New Roman" w:hAnsi="Times New Roman"/>
          <w:bCs/>
          <w:szCs w:val="24"/>
        </w:rPr>
        <w:t xml:space="preserve"> the unique circumstance that require</w:t>
      </w:r>
      <w:r w:rsidR="00DE2FB0">
        <w:rPr>
          <w:rFonts w:ascii="Times New Roman" w:hAnsi="Times New Roman"/>
          <w:bCs/>
          <w:szCs w:val="24"/>
        </w:rPr>
        <w:t>s</w:t>
      </w:r>
      <w:r w:rsidRPr="0061231B">
        <w:rPr>
          <w:rFonts w:ascii="Times New Roman" w:hAnsi="Times New Roman"/>
          <w:bCs/>
          <w:szCs w:val="24"/>
        </w:rPr>
        <w:t xml:space="preserve"> frequent and regular data collection and submission to MSIX. Section 1308(b)(2)(C) of the ESEA provides that SEAs shall be able to obtain “immediate access” to the required MDEs. </w:t>
      </w:r>
      <w:r w:rsidR="006600F0">
        <w:rPr>
          <w:rFonts w:ascii="Times New Roman" w:hAnsi="Times New Roman"/>
          <w:bCs/>
          <w:szCs w:val="24"/>
        </w:rPr>
        <w:t>A</w:t>
      </w:r>
      <w:r w:rsidRPr="0061231B">
        <w:rPr>
          <w:rFonts w:ascii="Times New Roman" w:hAnsi="Times New Roman"/>
          <w:bCs/>
          <w:szCs w:val="24"/>
        </w:rPr>
        <w:t xml:space="preserve">fter consultation with intended users among the State and local MEP staff, </w:t>
      </w:r>
      <w:r w:rsidR="003D0121">
        <w:rPr>
          <w:rFonts w:ascii="Times New Roman" w:hAnsi="Times New Roman"/>
          <w:bCs/>
          <w:szCs w:val="24"/>
        </w:rPr>
        <w:t xml:space="preserve">the Department </w:t>
      </w:r>
      <w:r w:rsidR="005C02B8">
        <w:rPr>
          <w:rFonts w:ascii="Times New Roman" w:hAnsi="Times New Roman"/>
          <w:bCs/>
          <w:szCs w:val="24"/>
        </w:rPr>
        <w:t xml:space="preserve">has determined </w:t>
      </w:r>
      <w:r w:rsidRPr="0061231B">
        <w:rPr>
          <w:rFonts w:ascii="Times New Roman" w:hAnsi="Times New Roman"/>
          <w:bCs/>
          <w:szCs w:val="24"/>
        </w:rPr>
        <w:t>that this statutory provision can best be achieved by requiring an SEA to submit applicable MDEs to MSIX within 10 working days of documenting that a child is eligible for the MEP, and within 4 working days of notice from MSIX of a child’s change in residence. All other information collection requirements conform to 5 C</w:t>
      </w:r>
      <w:r w:rsidR="00525B39">
        <w:rPr>
          <w:rFonts w:ascii="Times New Roman" w:hAnsi="Times New Roman"/>
          <w:bCs/>
          <w:szCs w:val="24"/>
        </w:rPr>
        <w:t>.</w:t>
      </w:r>
      <w:r w:rsidRPr="0061231B">
        <w:rPr>
          <w:rFonts w:ascii="Times New Roman" w:hAnsi="Times New Roman"/>
          <w:bCs/>
          <w:szCs w:val="24"/>
        </w:rPr>
        <w:t>F</w:t>
      </w:r>
      <w:r w:rsidR="00525B39">
        <w:rPr>
          <w:rFonts w:ascii="Times New Roman" w:hAnsi="Times New Roman"/>
          <w:bCs/>
          <w:szCs w:val="24"/>
        </w:rPr>
        <w:t>.</w:t>
      </w:r>
      <w:r w:rsidRPr="0061231B">
        <w:rPr>
          <w:rFonts w:ascii="Times New Roman" w:hAnsi="Times New Roman"/>
          <w:bCs/>
          <w:szCs w:val="24"/>
        </w:rPr>
        <w:t>R</w:t>
      </w:r>
      <w:r w:rsidR="00525B39">
        <w:rPr>
          <w:rFonts w:ascii="Times New Roman" w:hAnsi="Times New Roman"/>
          <w:bCs/>
          <w:szCs w:val="24"/>
        </w:rPr>
        <w:t>.</w:t>
      </w:r>
      <w:r w:rsidRPr="0061231B">
        <w:rPr>
          <w:rFonts w:ascii="Times New Roman" w:hAnsi="Times New Roman"/>
          <w:bCs/>
          <w:szCs w:val="24"/>
        </w:rPr>
        <w:t xml:space="preserve"> § 1320.5, including the requirement for SEAs to provide updated and newly available information about children within 30 calendar days of the end of each semester, trimester, intersession, or summer session. All data submission timelines are established through 34 C</w:t>
      </w:r>
      <w:r w:rsidR="00525B39">
        <w:rPr>
          <w:rFonts w:ascii="Times New Roman" w:hAnsi="Times New Roman"/>
          <w:bCs/>
          <w:szCs w:val="24"/>
        </w:rPr>
        <w:t>.</w:t>
      </w:r>
      <w:r w:rsidRPr="0061231B">
        <w:rPr>
          <w:rFonts w:ascii="Times New Roman" w:hAnsi="Times New Roman"/>
          <w:bCs/>
          <w:szCs w:val="24"/>
        </w:rPr>
        <w:t>F</w:t>
      </w:r>
      <w:r w:rsidR="00525B39">
        <w:rPr>
          <w:rFonts w:ascii="Times New Roman" w:hAnsi="Times New Roman"/>
          <w:bCs/>
          <w:szCs w:val="24"/>
        </w:rPr>
        <w:t>.</w:t>
      </w:r>
      <w:r w:rsidRPr="0061231B">
        <w:rPr>
          <w:rFonts w:ascii="Times New Roman" w:hAnsi="Times New Roman"/>
          <w:bCs/>
          <w:szCs w:val="24"/>
        </w:rPr>
        <w:t>R</w:t>
      </w:r>
      <w:r w:rsidR="00525B39">
        <w:rPr>
          <w:rFonts w:ascii="Times New Roman" w:hAnsi="Times New Roman"/>
          <w:bCs/>
          <w:szCs w:val="24"/>
        </w:rPr>
        <w:t>.</w:t>
      </w:r>
      <w:r w:rsidRPr="0061231B">
        <w:rPr>
          <w:rFonts w:ascii="Times New Roman" w:hAnsi="Times New Roman"/>
          <w:bCs/>
          <w:szCs w:val="24"/>
        </w:rPr>
        <w:t xml:space="preserve"> §</w:t>
      </w:r>
      <w:r w:rsidR="00525B39">
        <w:rPr>
          <w:rFonts w:ascii="Times New Roman" w:hAnsi="Times New Roman"/>
          <w:bCs/>
          <w:szCs w:val="24"/>
        </w:rPr>
        <w:t> </w:t>
      </w:r>
      <w:r w:rsidRPr="0061231B">
        <w:rPr>
          <w:rFonts w:ascii="Times New Roman" w:hAnsi="Times New Roman"/>
          <w:bCs/>
          <w:szCs w:val="24"/>
        </w:rPr>
        <w:t>200.85.</w:t>
      </w:r>
    </w:p>
    <w:p w:rsidR="0061231B" w:rsidRPr="0061231B" w:rsidP="0012439A" w14:paraId="44044626" w14:textId="77777777">
      <w:pPr>
        <w:pStyle w:val="ListParagraph"/>
        <w:ind w:left="0"/>
        <w:rPr>
          <w:rFonts w:ascii="Times New Roman" w:hAnsi="Times New Roman"/>
          <w:bCs/>
          <w:szCs w:val="24"/>
        </w:rPr>
      </w:pPr>
    </w:p>
    <w:p w:rsidR="00AD381B" w:rsidRPr="0061231B" w:rsidP="0061063B" w14:paraId="58CE2547" w14:textId="7D329C90">
      <w:pPr>
        <w:suppressAutoHyphens/>
        <w:spacing w:line="240" w:lineRule="exact"/>
        <w:ind w:left="720"/>
        <w:rPr>
          <w:rFonts w:ascii="Times New Roman" w:hAnsi="Times New Roman"/>
        </w:rPr>
      </w:pPr>
      <w:r w:rsidRPr="44AEA0BF">
        <w:rPr>
          <w:rFonts w:ascii="Times New Roman" w:hAnsi="Times New Roman"/>
        </w:rPr>
        <w:t xml:space="preserve">Respondents </w:t>
      </w:r>
      <w:r w:rsidR="00DC5F61">
        <w:rPr>
          <w:rFonts w:ascii="Times New Roman" w:hAnsi="Times New Roman"/>
        </w:rPr>
        <w:t>must</w:t>
      </w:r>
      <w:r w:rsidRPr="44AEA0BF" w:rsidR="00DC5F61">
        <w:rPr>
          <w:rFonts w:ascii="Times New Roman" w:hAnsi="Times New Roman"/>
        </w:rPr>
        <w:t xml:space="preserve"> </w:t>
      </w:r>
      <w:r w:rsidRPr="44AEA0BF">
        <w:rPr>
          <w:rFonts w:ascii="Times New Roman" w:hAnsi="Times New Roman"/>
        </w:rPr>
        <w:t xml:space="preserve">retain </w:t>
      </w:r>
      <w:r w:rsidR="00DC5F61">
        <w:rPr>
          <w:rFonts w:ascii="Times New Roman" w:hAnsi="Times New Roman"/>
        </w:rPr>
        <w:t xml:space="preserve">their electronic student </w:t>
      </w:r>
      <w:r w:rsidRPr="44AEA0BF">
        <w:rPr>
          <w:rFonts w:ascii="Times New Roman" w:hAnsi="Times New Roman"/>
        </w:rPr>
        <w:t xml:space="preserve">records </w:t>
      </w:r>
      <w:r w:rsidR="00DC5F61">
        <w:rPr>
          <w:rFonts w:ascii="Times New Roman" w:hAnsi="Times New Roman"/>
        </w:rPr>
        <w:t>indefinitely at this point in time</w:t>
      </w:r>
      <w:r w:rsidR="00D461F4">
        <w:rPr>
          <w:rFonts w:ascii="Times New Roman" w:hAnsi="Times New Roman"/>
        </w:rPr>
        <w:t>,</w:t>
      </w:r>
      <w:r w:rsidR="00DC5F61">
        <w:rPr>
          <w:rFonts w:ascii="Times New Roman" w:hAnsi="Times New Roman"/>
        </w:rPr>
        <w:t xml:space="preserve"> until a new record retention schedule is approved by the National Archives </w:t>
      </w:r>
      <w:r w:rsidR="00DF43F0">
        <w:rPr>
          <w:rFonts w:ascii="Times New Roman" w:hAnsi="Times New Roman"/>
        </w:rPr>
        <w:t>and Records Administration (NARA).</w:t>
      </w:r>
      <w:r w:rsidRPr="44AEA0BF">
        <w:rPr>
          <w:rFonts w:ascii="Times New Roman" w:hAnsi="Times New Roman"/>
        </w:rPr>
        <w:t xml:space="preserve"> Records must be available to SEAs to ensure proper enrollment, grade and course placement, and accrual of secondary course credits for eligible migratory children.</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E66550" w:rsidP="0061063B" w14:paraId="58CE2552" w14:textId="214F5C61">
      <w:pPr>
        <w:suppressAutoHyphens/>
        <w:spacing w:line="240" w:lineRule="exact"/>
        <w:ind w:left="720"/>
        <w:rPr>
          <w:rFonts w:ascii="Times New Roman" w:hAnsi="Times New Roman"/>
          <w:szCs w:val="24"/>
        </w:rPr>
      </w:pPr>
      <w:r w:rsidRPr="0061231B">
        <w:rPr>
          <w:rFonts w:ascii="Times New Roman" w:hAnsi="Times New Roman"/>
          <w:szCs w:val="24"/>
        </w:rPr>
        <w:t xml:space="preserve">The State User Group for Analysis and Recommendations (SUGAR) meets quarterly to discuss data and technical concerns regarding MSIX and its uses. This group of </w:t>
      </w:r>
      <w:r w:rsidR="00961392">
        <w:rPr>
          <w:rFonts w:ascii="Times New Roman" w:hAnsi="Times New Roman"/>
          <w:szCs w:val="24"/>
        </w:rPr>
        <w:t>9</w:t>
      </w:r>
      <w:r w:rsidRPr="0061231B">
        <w:rPr>
          <w:rFonts w:ascii="Times New Roman" w:hAnsi="Times New Roman"/>
          <w:szCs w:val="24"/>
        </w:rPr>
        <w:t xml:space="preserve"> representatives from grantees collaborates and consults with regard to data collected, availability of data, frequency of collection, clarity of instruction, data disclosures, reporting, and public burden for the data collection. Some of the changes noted on the updated MDE list reflect changes requested from the SUGAR members, such as the </w:t>
      </w:r>
      <w:r>
        <w:rPr>
          <w:rFonts w:ascii="Times New Roman" w:hAnsi="Times New Roman"/>
          <w:szCs w:val="24"/>
        </w:rPr>
        <w:t xml:space="preserve">additions of </w:t>
      </w:r>
      <w:r w:rsidRPr="0061231B">
        <w:rPr>
          <w:rFonts w:ascii="Times New Roman" w:hAnsi="Times New Roman"/>
          <w:szCs w:val="24"/>
        </w:rPr>
        <w:t>‘</w:t>
      </w:r>
      <w:r>
        <w:rPr>
          <w:rFonts w:ascii="Times New Roman" w:hAnsi="Times New Roman"/>
          <w:szCs w:val="24"/>
        </w:rPr>
        <w:t>P</w:t>
      </w:r>
      <w:r w:rsidRPr="0061231B">
        <w:rPr>
          <w:rFonts w:ascii="Times New Roman" w:hAnsi="Times New Roman"/>
          <w:szCs w:val="24"/>
        </w:rPr>
        <w:t>arent</w:t>
      </w:r>
      <w:r>
        <w:rPr>
          <w:rFonts w:ascii="Times New Roman" w:hAnsi="Times New Roman"/>
          <w:szCs w:val="24"/>
        </w:rPr>
        <w:t xml:space="preserve"> 1 Phone Number</w:t>
      </w:r>
      <w:r w:rsidRPr="0061231B">
        <w:rPr>
          <w:rFonts w:ascii="Times New Roman" w:hAnsi="Times New Roman"/>
          <w:szCs w:val="24"/>
        </w:rPr>
        <w:t>’ and ‘</w:t>
      </w:r>
      <w:r>
        <w:rPr>
          <w:rFonts w:ascii="Times New Roman" w:hAnsi="Times New Roman"/>
          <w:szCs w:val="24"/>
        </w:rPr>
        <w:t>P</w:t>
      </w:r>
      <w:r w:rsidRPr="0061231B">
        <w:rPr>
          <w:rFonts w:ascii="Times New Roman" w:hAnsi="Times New Roman"/>
          <w:szCs w:val="24"/>
        </w:rPr>
        <w:t>arent</w:t>
      </w:r>
      <w:r>
        <w:rPr>
          <w:rFonts w:ascii="Times New Roman" w:hAnsi="Times New Roman"/>
          <w:szCs w:val="24"/>
        </w:rPr>
        <w:t xml:space="preserve"> 2 Phone Number</w:t>
      </w:r>
      <w:r w:rsidRPr="0061231B">
        <w:rPr>
          <w:rFonts w:ascii="Times New Roman" w:hAnsi="Times New Roman"/>
          <w:szCs w:val="24"/>
        </w:rPr>
        <w:t xml:space="preserve">’ </w:t>
      </w:r>
      <w:r>
        <w:rPr>
          <w:rFonts w:ascii="Times New Roman" w:hAnsi="Times New Roman"/>
          <w:szCs w:val="24"/>
        </w:rPr>
        <w:t>and</w:t>
      </w:r>
      <w:r w:rsidRPr="0061231B">
        <w:rPr>
          <w:rFonts w:ascii="Times New Roman" w:hAnsi="Times New Roman"/>
          <w:szCs w:val="24"/>
        </w:rPr>
        <w:t xml:space="preserve"> ‘</w:t>
      </w:r>
      <w:r>
        <w:rPr>
          <w:rFonts w:ascii="Times New Roman" w:hAnsi="Times New Roman"/>
          <w:szCs w:val="24"/>
        </w:rPr>
        <w:t>P</w:t>
      </w:r>
      <w:r w:rsidRPr="0061231B">
        <w:rPr>
          <w:rFonts w:ascii="Times New Roman" w:hAnsi="Times New Roman"/>
          <w:szCs w:val="24"/>
        </w:rPr>
        <w:t>arent 1</w:t>
      </w:r>
      <w:r>
        <w:rPr>
          <w:rFonts w:ascii="Times New Roman" w:hAnsi="Times New Roman"/>
          <w:szCs w:val="24"/>
        </w:rPr>
        <w:t xml:space="preserve"> Email Address</w:t>
      </w:r>
      <w:r w:rsidRPr="0061231B">
        <w:rPr>
          <w:rFonts w:ascii="Times New Roman" w:hAnsi="Times New Roman"/>
          <w:szCs w:val="24"/>
        </w:rPr>
        <w:t>’ and ‘</w:t>
      </w:r>
      <w:r>
        <w:rPr>
          <w:rFonts w:ascii="Times New Roman" w:hAnsi="Times New Roman"/>
          <w:szCs w:val="24"/>
        </w:rPr>
        <w:t>P</w:t>
      </w:r>
      <w:r w:rsidRPr="0061231B">
        <w:rPr>
          <w:rFonts w:ascii="Times New Roman" w:hAnsi="Times New Roman"/>
          <w:szCs w:val="24"/>
        </w:rPr>
        <w:t>arent 2</w:t>
      </w:r>
      <w:r>
        <w:rPr>
          <w:rFonts w:ascii="Times New Roman" w:hAnsi="Times New Roman"/>
          <w:szCs w:val="24"/>
        </w:rPr>
        <w:t xml:space="preserve"> Email Address</w:t>
      </w:r>
      <w:r w:rsidRPr="0061231B">
        <w:rPr>
          <w:rFonts w:ascii="Times New Roman" w:hAnsi="Times New Roman"/>
          <w:szCs w:val="24"/>
        </w:rPr>
        <w:t xml:space="preserve">.’ Comments received by SUGAR group members have resulted in clarity of terms used in the MDE list and inclusion of </w:t>
      </w:r>
      <w:r w:rsidR="00AE069E">
        <w:rPr>
          <w:rFonts w:ascii="Times New Roman" w:hAnsi="Times New Roman"/>
          <w:szCs w:val="24"/>
        </w:rPr>
        <w:t>new MDEs.</w:t>
      </w:r>
    </w:p>
    <w:p w:rsidR="0061231B" w:rsidP="0012439A" w14:paraId="3149B380" w14:textId="7377F2DD">
      <w:pPr>
        <w:tabs>
          <w:tab w:val="left" w:pos="-720"/>
        </w:tabs>
        <w:suppressAutoHyphens/>
        <w:rPr>
          <w:rFonts w:ascii="Times New Roman" w:hAnsi="Times New Roman"/>
          <w:szCs w:val="24"/>
        </w:rPr>
      </w:pPr>
    </w:p>
    <w:p w:rsidR="0061231B" w:rsidP="0061063B" w14:paraId="5BACFF6B" w14:textId="71E798DF">
      <w:pPr>
        <w:suppressAutoHyphens/>
        <w:spacing w:line="240" w:lineRule="exact"/>
        <w:ind w:left="720"/>
        <w:rPr>
          <w:rFonts w:ascii="Times New Roman" w:hAnsi="Times New Roman"/>
        </w:rPr>
      </w:pPr>
      <w:r w:rsidRPr="00F46737">
        <w:rPr>
          <w:rFonts w:ascii="Times New Roman" w:hAnsi="Times New Roman"/>
          <w:szCs w:val="24"/>
        </w:rPr>
        <w:t>OME</w:t>
      </w:r>
      <w:r w:rsidRPr="2947CF31">
        <w:rPr>
          <w:rFonts w:ascii="Times New Roman" w:hAnsi="Times New Roman"/>
        </w:rPr>
        <w:t xml:space="preserve"> has also consulted the Coordination Working Group (CWG), which is composed of </w:t>
      </w:r>
      <w:r w:rsidR="00961392">
        <w:rPr>
          <w:rFonts w:ascii="Times New Roman" w:hAnsi="Times New Roman"/>
        </w:rPr>
        <w:t>9</w:t>
      </w:r>
      <w:r w:rsidRPr="2947CF31">
        <w:rPr>
          <w:rFonts w:ascii="Times New Roman" w:hAnsi="Times New Roman"/>
        </w:rPr>
        <w:t xml:space="preserve"> State Migrant Education Program directors. OME gathered information about desired changes to the MDE list from the CWG group in September 2021.</w:t>
      </w:r>
      <w:r w:rsidRPr="2947CF31" w:rsidR="00C960B0">
        <w:rPr>
          <w:rFonts w:ascii="Times New Roman" w:hAnsi="Times New Roman"/>
        </w:rPr>
        <w:t xml:space="preserve"> </w:t>
      </w:r>
      <w:r w:rsidR="003E62ED">
        <w:rPr>
          <w:rFonts w:ascii="Times New Roman" w:hAnsi="Times New Roman"/>
        </w:rPr>
        <w:t>The proposal to add 5 new MDE</w:t>
      </w:r>
      <w:r w:rsidR="004C5B82">
        <w:rPr>
          <w:rFonts w:ascii="Times New Roman" w:hAnsi="Times New Roman"/>
        </w:rPr>
        <w:t>s</w:t>
      </w:r>
      <w:r w:rsidRPr="2947CF31" w:rsidR="007F1FB0">
        <w:rPr>
          <w:rFonts w:ascii="Times New Roman" w:hAnsi="Times New Roman"/>
        </w:rPr>
        <w:t xml:space="preserve"> </w:t>
      </w:r>
      <w:r w:rsidR="005D6570">
        <w:rPr>
          <w:rFonts w:ascii="Times New Roman" w:hAnsi="Times New Roman"/>
        </w:rPr>
        <w:t xml:space="preserve">is </w:t>
      </w:r>
      <w:r w:rsidRPr="2947CF31" w:rsidR="007F1FB0">
        <w:rPr>
          <w:rFonts w:ascii="Times New Roman" w:hAnsi="Times New Roman"/>
        </w:rPr>
        <w:t>the</w:t>
      </w:r>
      <w:r w:rsidRPr="2947CF31" w:rsidR="00C960B0">
        <w:rPr>
          <w:rFonts w:ascii="Times New Roman" w:hAnsi="Times New Roman"/>
        </w:rPr>
        <w:t xml:space="preserve"> result </w:t>
      </w:r>
      <w:r w:rsidRPr="2947CF31" w:rsidR="007F1FB0">
        <w:rPr>
          <w:rFonts w:ascii="Times New Roman" w:hAnsi="Times New Roman"/>
        </w:rPr>
        <w:t>of</w:t>
      </w:r>
      <w:r w:rsidRPr="2947CF31" w:rsidR="00C960B0">
        <w:rPr>
          <w:rFonts w:ascii="Times New Roman" w:hAnsi="Times New Roman"/>
        </w:rPr>
        <w:t xml:space="preserve"> conversations with</w:t>
      </w:r>
      <w:r w:rsidRPr="2947CF31" w:rsidR="007F1FB0">
        <w:rPr>
          <w:rFonts w:ascii="Times New Roman" w:hAnsi="Times New Roman"/>
        </w:rPr>
        <w:t xml:space="preserve">, and recommendations from, </w:t>
      </w:r>
      <w:r w:rsidRPr="2947CF31" w:rsidR="00C960B0">
        <w:rPr>
          <w:rFonts w:ascii="Times New Roman" w:hAnsi="Times New Roman"/>
        </w:rPr>
        <w:t xml:space="preserve">Migrant advocates from the field related to </w:t>
      </w:r>
      <w:r w:rsidRPr="2947CF31" w:rsidR="00B8265A">
        <w:rPr>
          <w:rFonts w:ascii="Times New Roman" w:hAnsi="Times New Roman"/>
        </w:rPr>
        <w:t>provid</w:t>
      </w:r>
      <w:r w:rsidRPr="2947CF31" w:rsidR="00AC4AC0">
        <w:rPr>
          <w:rFonts w:ascii="Times New Roman" w:hAnsi="Times New Roman"/>
        </w:rPr>
        <w:t>ing</w:t>
      </w:r>
      <w:r w:rsidRPr="2947CF31" w:rsidR="007F1FB0">
        <w:rPr>
          <w:rFonts w:ascii="Times New Roman" w:hAnsi="Times New Roman"/>
        </w:rPr>
        <w:t xml:space="preserve"> additional resources to assist in participation in the MEP.</w:t>
      </w:r>
    </w:p>
    <w:p w:rsidR="00DE574A" w:rsidP="00DE574A" w14:paraId="0AD16232" w14:textId="466C8579">
      <w:pPr>
        <w:pStyle w:val="NormalWeb"/>
        <w:spacing w:before="0" w:beforeAutospacing="0" w:after="0" w:afterAutospacing="0"/>
        <w:rPr>
          <w:rFonts w:ascii="Segoe UI" w:hAnsi="Segoe UI" w:cs="Segoe UI"/>
          <w:sz w:val="21"/>
          <w:szCs w:val="21"/>
        </w:rPr>
      </w:pPr>
    </w:p>
    <w:p w:rsidR="00DE574A" w:rsidRPr="00DE574A" w14:paraId="1DB0E053" w14:textId="73830B55">
      <w:pPr>
        <w:suppressAutoHyphens/>
        <w:spacing w:line="240" w:lineRule="exact"/>
        <w:ind w:left="720"/>
        <w:rPr>
          <w:rFonts w:ascii="Times New Roman" w:hAnsi="Times New Roman" w:cs="Times New Roman"/>
          <w:sz w:val="24"/>
          <w:szCs w:val="24"/>
        </w:rPr>
      </w:pPr>
      <w:r w:rsidRPr="00DE574A">
        <w:rPr>
          <w:rFonts w:ascii="Times New Roman" w:hAnsi="Times New Roman" w:cs="Times New Roman"/>
        </w:rPr>
        <w:t xml:space="preserve">On </w:t>
      </w:r>
      <w:r w:rsidR="001E5BD7">
        <w:rPr>
          <w:rFonts w:ascii="Times New Roman" w:hAnsi="Times New Roman"/>
        </w:rPr>
        <w:t>June 16</w:t>
      </w:r>
      <w:r w:rsidRPr="00DE574A">
        <w:rPr>
          <w:rFonts w:ascii="Times New Roman" w:hAnsi="Times New Roman" w:cs="Times New Roman"/>
        </w:rPr>
        <w:t>, 202</w:t>
      </w:r>
      <w:r w:rsidR="001E5BD7">
        <w:rPr>
          <w:rFonts w:ascii="Times New Roman" w:hAnsi="Times New Roman"/>
        </w:rPr>
        <w:t>2</w:t>
      </w:r>
      <w:r w:rsidRPr="00DE574A">
        <w:rPr>
          <w:rFonts w:ascii="Times New Roman" w:hAnsi="Times New Roman" w:cs="Times New Roman"/>
        </w:rPr>
        <w:t>, a Federal Register Notice requesting public comment was published (Vol. 8</w:t>
      </w:r>
      <w:r w:rsidR="009A6DE2">
        <w:rPr>
          <w:rFonts w:ascii="Times New Roman" w:hAnsi="Times New Roman"/>
        </w:rPr>
        <w:t>7</w:t>
      </w:r>
      <w:r w:rsidRPr="00DE574A">
        <w:rPr>
          <w:rFonts w:ascii="Times New Roman" w:hAnsi="Times New Roman" w:cs="Times New Roman"/>
        </w:rPr>
        <w:t xml:space="preserve">, No. </w:t>
      </w:r>
      <w:r w:rsidR="009A6DE2">
        <w:rPr>
          <w:rFonts w:ascii="Times New Roman" w:hAnsi="Times New Roman"/>
        </w:rPr>
        <w:t>117</w:t>
      </w:r>
      <w:r w:rsidRPr="00DE574A">
        <w:rPr>
          <w:rFonts w:ascii="Times New Roman" w:hAnsi="Times New Roman" w:cs="Times New Roman"/>
        </w:rPr>
        <w:t xml:space="preserve">, page </w:t>
      </w:r>
      <w:r w:rsidR="009A6DE2">
        <w:rPr>
          <w:rFonts w:ascii="Times New Roman" w:hAnsi="Times New Roman"/>
        </w:rPr>
        <w:t>36474</w:t>
      </w:r>
      <w:r w:rsidRPr="00DE574A">
        <w:rPr>
          <w:rFonts w:ascii="Times New Roman" w:hAnsi="Times New Roman" w:cs="Times New Roman"/>
        </w:rPr>
        <w:t xml:space="preserve">). </w:t>
      </w:r>
      <w:r w:rsidR="009A6DE2">
        <w:rPr>
          <w:rFonts w:ascii="Times New Roman" w:hAnsi="Times New Roman"/>
        </w:rPr>
        <w:t>We received two</w:t>
      </w:r>
      <w:r w:rsidRPr="00DE574A">
        <w:rPr>
          <w:rFonts w:ascii="Times New Roman" w:hAnsi="Times New Roman" w:cs="Times New Roman"/>
        </w:rPr>
        <w:t xml:space="preserve"> comments during the 60-day comment period</w:t>
      </w:r>
      <w:r w:rsidR="009A6DE2">
        <w:rPr>
          <w:rFonts w:ascii="Times New Roman" w:hAnsi="Times New Roman"/>
        </w:rPr>
        <w:t xml:space="preserve"> and have provided a separate response to comment document</w:t>
      </w:r>
      <w:r w:rsidRPr="00DE574A">
        <w:rPr>
          <w:rFonts w:ascii="Times New Roman" w:hAnsi="Times New Roman" w:cs="Times New Roman"/>
        </w:rPr>
        <w:t>. The Department is publishing the applicable 30-day Federal Register notice to request public comment.</w:t>
      </w:r>
    </w:p>
    <w:p w:rsidR="0061231B" w:rsidP="00AD381B" w14:paraId="5EBB964B"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58CE2554" w14:textId="66348C31">
      <w:pPr>
        <w:pStyle w:val="ListParagraph"/>
        <w:tabs>
          <w:tab w:val="left" w:pos="-720"/>
        </w:tabs>
        <w:suppressAutoHyphens/>
        <w:contextualSpacing w:val="0"/>
        <w:rPr>
          <w:rFonts w:ascii="Times New Roman" w:hAnsi="Times New Roman"/>
          <w:b/>
          <w:szCs w:val="24"/>
        </w:rPr>
      </w:pPr>
    </w:p>
    <w:p w:rsidR="00AE069E" w:rsidRPr="00AE069E" w:rsidP="0061063B" w14:paraId="08F332BC" w14:textId="46537861">
      <w:pPr>
        <w:suppressAutoHyphens/>
        <w:spacing w:line="240" w:lineRule="exact"/>
        <w:ind w:left="720"/>
        <w:rPr>
          <w:rFonts w:ascii="Times New Roman" w:hAnsi="Times New Roman"/>
          <w:bCs/>
          <w:szCs w:val="24"/>
        </w:rPr>
      </w:pPr>
      <w:r w:rsidRPr="00AE069E">
        <w:rPr>
          <w:rFonts w:ascii="Times New Roman" w:hAnsi="Times New Roman"/>
          <w:bCs/>
          <w:szCs w:val="24"/>
        </w:rPr>
        <w:t xml:space="preserve">No </w:t>
      </w:r>
      <w:r w:rsidRPr="00F46737">
        <w:rPr>
          <w:rFonts w:ascii="Times New Roman" w:hAnsi="Times New Roman"/>
          <w:szCs w:val="24"/>
        </w:rPr>
        <w:t>gifts</w:t>
      </w:r>
      <w:r w:rsidRPr="00AE069E">
        <w:rPr>
          <w:rFonts w:ascii="Times New Roman" w:hAnsi="Times New Roman"/>
          <w:bCs/>
          <w:szCs w:val="24"/>
        </w:rPr>
        <w:t xml:space="preserve"> or payments will be provided to respondents.</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14:paraId="58CE2557" w14:textId="509EF702">
      <w:pPr>
        <w:tabs>
          <w:tab w:val="left" w:pos="-720"/>
        </w:tabs>
        <w:suppressAutoHyphens/>
        <w:rPr>
          <w:rFonts w:ascii="Times New Roman" w:hAnsi="Times New Roman"/>
          <w:b/>
          <w:szCs w:val="24"/>
        </w:rPr>
      </w:pPr>
    </w:p>
    <w:p w:rsidR="00AE069E" w:rsidRPr="00AE069E" w:rsidP="0061063B" w14:paraId="7D76E442" w14:textId="20BD939F">
      <w:pPr>
        <w:suppressAutoHyphens/>
        <w:spacing w:line="240" w:lineRule="exact"/>
        <w:ind w:left="720"/>
        <w:rPr>
          <w:rFonts w:ascii="Times New Roman" w:hAnsi="Times New Roman"/>
          <w:bCs/>
          <w:szCs w:val="24"/>
        </w:rPr>
      </w:pPr>
      <w:r w:rsidRPr="00AE069E">
        <w:rPr>
          <w:rFonts w:ascii="Times New Roman" w:hAnsi="Times New Roman"/>
          <w:bCs/>
          <w:szCs w:val="24"/>
        </w:rPr>
        <w:t xml:space="preserve">All sources submitting information to MSIX must sign a Memorandum of Understanding (MOU) and </w:t>
      </w:r>
      <w:r w:rsidRPr="00F46737">
        <w:rPr>
          <w:rFonts w:ascii="Times New Roman" w:hAnsi="Times New Roman"/>
          <w:szCs w:val="24"/>
        </w:rPr>
        <w:t>Interconnection</w:t>
      </w:r>
      <w:r w:rsidRPr="00AE069E">
        <w:rPr>
          <w:rFonts w:ascii="Times New Roman" w:hAnsi="Times New Roman"/>
          <w:bCs/>
          <w:szCs w:val="24"/>
        </w:rPr>
        <w:t xml:space="preserve"> Security Agreement (ISA), which are reviewed annually and renewed every 3 years. All authorized persons who access this information must accept and sign the MSIX Rules of Behavior annually, which contain a detailed description of the safeguards that each system user must follow to protect the privacy and security of the information. The Rules of Behavior require compliance with the confidentiality standards in the Privacy Act of 1974</w:t>
      </w:r>
      <w:r w:rsidR="00E55AE4">
        <w:rPr>
          <w:rFonts w:ascii="Times New Roman" w:hAnsi="Times New Roman"/>
          <w:bCs/>
          <w:szCs w:val="24"/>
        </w:rPr>
        <w:t>,</w:t>
      </w:r>
      <w:r w:rsidRPr="00AE069E">
        <w:rPr>
          <w:rFonts w:ascii="Times New Roman" w:hAnsi="Times New Roman"/>
          <w:bCs/>
          <w:szCs w:val="24"/>
        </w:rPr>
        <w:t xml:space="preserve"> as amended. A Privacy Impact Assessment is published online. The Department published a System of Records Notice </w:t>
      </w:r>
      <w:r w:rsidR="00F9440C">
        <w:rPr>
          <w:rFonts w:ascii="Times New Roman" w:hAnsi="Times New Roman"/>
          <w:bCs/>
          <w:szCs w:val="24"/>
        </w:rPr>
        <w:t xml:space="preserve">(SORN) </w:t>
      </w:r>
      <w:r w:rsidRPr="00AE069E">
        <w:rPr>
          <w:rFonts w:ascii="Times New Roman" w:hAnsi="Times New Roman"/>
          <w:bCs/>
          <w:szCs w:val="24"/>
        </w:rPr>
        <w:t>for MSIX in the Federal Register on December 5, 2007, Vol. 72, number 233, pages 68572-68576.  The SORN was revised and re-published in the Federal Register on July 10, 2019, pages 32895-32899.</w:t>
      </w: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58CE255A" w14:textId="77777777">
      <w:pPr>
        <w:tabs>
          <w:tab w:val="left" w:pos="-720"/>
        </w:tabs>
        <w:suppressAutoHyphens/>
        <w:rPr>
          <w:rFonts w:ascii="Times New Roman" w:hAnsi="Times New Roman"/>
          <w:b/>
          <w:szCs w:val="24"/>
        </w:rPr>
      </w:pPr>
    </w:p>
    <w:p w:rsidR="00920F63" w:rsidP="0061063B" w14:paraId="58CE255B" w14:textId="4392B022">
      <w:pPr>
        <w:suppressAutoHyphens/>
        <w:spacing w:line="240" w:lineRule="exact"/>
        <w:ind w:left="720"/>
        <w:rPr>
          <w:rFonts w:ascii="Times New Roman" w:hAnsi="Times New Roman"/>
          <w:szCs w:val="24"/>
        </w:rPr>
      </w:pPr>
      <w:r w:rsidRPr="00E7237E">
        <w:rPr>
          <w:rFonts w:ascii="Times New Roman" w:hAnsi="Times New Roman"/>
          <w:szCs w:val="24"/>
        </w:rPr>
        <w:t>The information collection does not include any questions of a sensitive nature.</w:t>
      </w:r>
    </w:p>
    <w:p w:rsidR="00AE069E" w:rsidRPr="00920F63" w:rsidP="00920F63" w14:paraId="77D4B551"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RPr="00756FD3"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58CE2565" w14:textId="65736458">
      <w:pPr>
        <w:pStyle w:val="ListParagraph"/>
        <w:tabs>
          <w:tab w:val="left" w:pos="-720"/>
        </w:tabs>
        <w:suppressAutoHyphens/>
        <w:rPr>
          <w:rStyle w:val="a"/>
          <w:rFonts w:ascii="Times New Roman" w:hAnsi="Times New Roman"/>
          <w:szCs w:val="24"/>
        </w:rPr>
      </w:pPr>
    </w:p>
    <w:p w:rsidR="00E7237E" w:rsidP="0061063B" w14:paraId="16DD6B99" w14:textId="41C1303A">
      <w:pPr>
        <w:suppressAutoHyphens/>
        <w:spacing w:line="240" w:lineRule="exact"/>
        <w:ind w:left="720"/>
        <w:rPr>
          <w:rStyle w:val="a"/>
          <w:rFonts w:ascii="Times New Roman" w:hAnsi="Times New Roman"/>
          <w:szCs w:val="24"/>
        </w:rPr>
      </w:pPr>
      <w:r w:rsidRPr="00F46737">
        <w:rPr>
          <w:rStyle w:val="a"/>
          <w:rFonts w:ascii="Times New Roman" w:hAnsi="Times New Roman"/>
          <w:szCs w:val="24"/>
        </w:rPr>
        <w:t>The change in</w:t>
      </w:r>
      <w:r w:rsidRPr="00F46737" w:rsidR="00C8511A">
        <w:rPr>
          <w:rStyle w:val="a"/>
          <w:rFonts w:ascii="Times New Roman" w:hAnsi="Times New Roman"/>
          <w:szCs w:val="24"/>
        </w:rPr>
        <w:t xml:space="preserve"> the burden hour</w:t>
      </w:r>
      <w:r w:rsidRPr="00F46737">
        <w:rPr>
          <w:rStyle w:val="a"/>
          <w:rFonts w:ascii="Times New Roman" w:hAnsi="Times New Roman"/>
          <w:szCs w:val="24"/>
        </w:rPr>
        <w:t xml:space="preserve"> estimate from the previous Information Collection is</w:t>
      </w:r>
      <w:r w:rsidR="00C62FD3">
        <w:rPr>
          <w:rStyle w:val="a"/>
          <w:rFonts w:ascii="Times New Roman" w:hAnsi="Times New Roman"/>
          <w:szCs w:val="24"/>
        </w:rPr>
        <w:t xml:space="preserve"> due to</w:t>
      </w:r>
      <w:r w:rsidRPr="00E7237E">
        <w:rPr>
          <w:rStyle w:val="a"/>
          <w:rFonts w:ascii="Times New Roman" w:hAnsi="Times New Roman"/>
          <w:szCs w:val="24"/>
        </w:rPr>
        <w:t xml:space="preserve"> the </w:t>
      </w:r>
      <w:r>
        <w:rPr>
          <w:rStyle w:val="a"/>
          <w:rFonts w:ascii="Times New Roman" w:hAnsi="Times New Roman"/>
          <w:szCs w:val="24"/>
        </w:rPr>
        <w:t xml:space="preserve">addition </w:t>
      </w:r>
      <w:r w:rsidRPr="00F46737">
        <w:rPr>
          <w:rStyle w:val="a"/>
          <w:rFonts w:ascii="Times New Roman" w:hAnsi="Times New Roman"/>
          <w:szCs w:val="24"/>
        </w:rPr>
        <w:t>of</w:t>
      </w:r>
      <w:r>
        <w:rPr>
          <w:rStyle w:val="a"/>
          <w:rFonts w:ascii="Times New Roman" w:hAnsi="Times New Roman"/>
          <w:szCs w:val="24"/>
        </w:rPr>
        <w:t xml:space="preserve"> </w:t>
      </w:r>
      <w:r w:rsidR="0012439A">
        <w:rPr>
          <w:rStyle w:val="a"/>
          <w:rFonts w:ascii="Times New Roman" w:hAnsi="Times New Roman"/>
          <w:szCs w:val="24"/>
        </w:rPr>
        <w:t>five</w:t>
      </w:r>
      <w:r w:rsidR="002E0C4A">
        <w:rPr>
          <w:rStyle w:val="a"/>
          <w:rFonts w:ascii="Times New Roman" w:hAnsi="Times New Roman"/>
          <w:szCs w:val="24"/>
        </w:rPr>
        <w:t xml:space="preserve"> </w:t>
      </w:r>
      <w:r>
        <w:rPr>
          <w:rStyle w:val="a"/>
          <w:rFonts w:ascii="Times New Roman" w:hAnsi="Times New Roman"/>
          <w:szCs w:val="24"/>
        </w:rPr>
        <w:t>new MDEs</w:t>
      </w:r>
      <w:r w:rsidR="00C109A3">
        <w:rPr>
          <w:rStyle w:val="a"/>
          <w:rFonts w:ascii="Times New Roman" w:hAnsi="Times New Roman"/>
          <w:szCs w:val="24"/>
        </w:rPr>
        <w:t xml:space="preserve"> and to a reduction in the number of migratory students participating in the program</w:t>
      </w:r>
      <w:r>
        <w:rPr>
          <w:rStyle w:val="a"/>
          <w:rFonts w:ascii="Times New Roman" w:hAnsi="Times New Roman"/>
          <w:szCs w:val="24"/>
        </w:rPr>
        <w:t>.</w:t>
      </w:r>
      <w:r w:rsidRPr="00E7237E">
        <w:rPr>
          <w:rStyle w:val="a"/>
          <w:rFonts w:ascii="Times New Roman" w:hAnsi="Times New Roman"/>
          <w:szCs w:val="24"/>
        </w:rPr>
        <w:t xml:space="preserve"> </w:t>
      </w:r>
      <w:r w:rsidR="00D64C9F">
        <w:rPr>
          <w:rStyle w:val="a"/>
          <w:rFonts w:ascii="Times New Roman" w:hAnsi="Times New Roman"/>
          <w:szCs w:val="24"/>
        </w:rPr>
        <w:t xml:space="preserve">Of the </w:t>
      </w:r>
      <w:r w:rsidR="0012439A">
        <w:rPr>
          <w:rStyle w:val="a"/>
          <w:rFonts w:ascii="Times New Roman" w:hAnsi="Times New Roman"/>
          <w:szCs w:val="24"/>
        </w:rPr>
        <w:t>five</w:t>
      </w:r>
      <w:r w:rsidR="00D64C9F">
        <w:rPr>
          <w:rStyle w:val="a"/>
          <w:rFonts w:ascii="Times New Roman" w:hAnsi="Times New Roman"/>
          <w:szCs w:val="24"/>
        </w:rPr>
        <w:t xml:space="preserve"> </w:t>
      </w:r>
      <w:r w:rsidR="00332AAE">
        <w:rPr>
          <w:rStyle w:val="a"/>
          <w:rFonts w:ascii="Times New Roman" w:hAnsi="Times New Roman"/>
          <w:szCs w:val="24"/>
        </w:rPr>
        <w:t>new proposed</w:t>
      </w:r>
      <w:r w:rsidR="00D64C9F">
        <w:rPr>
          <w:rStyle w:val="a"/>
          <w:rFonts w:ascii="Times New Roman" w:hAnsi="Times New Roman"/>
          <w:szCs w:val="24"/>
        </w:rPr>
        <w:t xml:space="preserve"> MDEs, </w:t>
      </w:r>
      <w:r w:rsidR="0012439A">
        <w:rPr>
          <w:rStyle w:val="a"/>
          <w:rFonts w:ascii="Times New Roman" w:hAnsi="Times New Roman"/>
          <w:szCs w:val="24"/>
        </w:rPr>
        <w:t>two</w:t>
      </w:r>
      <w:r w:rsidR="00D64C9F">
        <w:rPr>
          <w:rStyle w:val="a"/>
          <w:rFonts w:ascii="Times New Roman" w:hAnsi="Times New Roman"/>
          <w:szCs w:val="24"/>
        </w:rPr>
        <w:t xml:space="preserve"> are already being collected by all 46 States</w:t>
      </w:r>
      <w:r w:rsidR="00332AAE">
        <w:rPr>
          <w:rStyle w:val="a"/>
          <w:rFonts w:ascii="Times New Roman" w:hAnsi="Times New Roman"/>
          <w:szCs w:val="24"/>
        </w:rPr>
        <w:t>, but are not yet being transmitted to MSIX</w:t>
      </w:r>
      <w:r w:rsidR="00D64C9F">
        <w:rPr>
          <w:rStyle w:val="a"/>
          <w:rFonts w:ascii="Times New Roman" w:hAnsi="Times New Roman"/>
          <w:szCs w:val="24"/>
        </w:rPr>
        <w:t xml:space="preserve">. </w:t>
      </w:r>
      <w:r>
        <w:rPr>
          <w:rStyle w:val="a"/>
          <w:rFonts w:ascii="Times New Roman" w:hAnsi="Times New Roman"/>
          <w:szCs w:val="24"/>
        </w:rPr>
        <w:t>Nine</w:t>
      </w:r>
      <w:r w:rsidRPr="00E7237E">
        <w:rPr>
          <w:rStyle w:val="a"/>
          <w:rFonts w:ascii="Times New Roman" w:hAnsi="Times New Roman"/>
          <w:szCs w:val="24"/>
        </w:rPr>
        <w:t xml:space="preserve"> SEAs have been </w:t>
      </w:r>
      <w:r>
        <w:rPr>
          <w:rStyle w:val="a"/>
          <w:rFonts w:ascii="Times New Roman" w:hAnsi="Times New Roman"/>
          <w:szCs w:val="24"/>
        </w:rPr>
        <w:t>surveyed</w:t>
      </w:r>
      <w:r w:rsidRPr="00E7237E">
        <w:rPr>
          <w:rStyle w:val="a"/>
          <w:rFonts w:ascii="Times New Roman" w:hAnsi="Times New Roman"/>
          <w:szCs w:val="24"/>
        </w:rPr>
        <w:t xml:space="preserve"> for </w:t>
      </w:r>
      <w:r>
        <w:rPr>
          <w:rStyle w:val="a"/>
          <w:rFonts w:ascii="Times New Roman" w:hAnsi="Times New Roman"/>
          <w:szCs w:val="24"/>
        </w:rPr>
        <w:t>new MDE</w:t>
      </w:r>
      <w:r w:rsidRPr="00E7237E">
        <w:rPr>
          <w:rStyle w:val="a"/>
          <w:rFonts w:ascii="Times New Roman" w:hAnsi="Times New Roman"/>
          <w:szCs w:val="24"/>
        </w:rPr>
        <w:t xml:space="preserve"> submissions </w:t>
      </w:r>
      <w:r w:rsidRPr="0061063B">
        <w:t>and</w:t>
      </w:r>
      <w:r w:rsidRPr="00E7237E">
        <w:rPr>
          <w:rStyle w:val="a"/>
          <w:rFonts w:ascii="Times New Roman" w:hAnsi="Times New Roman"/>
          <w:szCs w:val="24"/>
        </w:rPr>
        <w:t xml:space="preserve"> have </w:t>
      </w:r>
      <w:r>
        <w:rPr>
          <w:rStyle w:val="a"/>
          <w:rFonts w:ascii="Times New Roman" w:hAnsi="Times New Roman"/>
          <w:szCs w:val="24"/>
        </w:rPr>
        <w:t>responded with prospective</w:t>
      </w:r>
      <w:r w:rsidRPr="00E7237E">
        <w:rPr>
          <w:rStyle w:val="a"/>
          <w:rFonts w:ascii="Times New Roman" w:hAnsi="Times New Roman"/>
          <w:szCs w:val="24"/>
        </w:rPr>
        <w:t xml:space="preserve"> procedures for </w:t>
      </w:r>
      <w:r>
        <w:rPr>
          <w:rStyle w:val="a"/>
          <w:rFonts w:ascii="Times New Roman" w:hAnsi="Times New Roman"/>
          <w:szCs w:val="24"/>
        </w:rPr>
        <w:t xml:space="preserve">collection and input </w:t>
      </w:r>
      <w:r w:rsidRPr="00E7237E">
        <w:rPr>
          <w:rStyle w:val="a"/>
          <w:rFonts w:ascii="Times New Roman" w:hAnsi="Times New Roman"/>
          <w:szCs w:val="24"/>
        </w:rPr>
        <w:t xml:space="preserve">of the </w:t>
      </w:r>
      <w:r>
        <w:rPr>
          <w:rStyle w:val="a"/>
          <w:rFonts w:ascii="Times New Roman" w:hAnsi="Times New Roman"/>
          <w:szCs w:val="24"/>
        </w:rPr>
        <w:t xml:space="preserve">new MDEs, along with the </w:t>
      </w:r>
      <w:r w:rsidRPr="00E7237E">
        <w:rPr>
          <w:rStyle w:val="a"/>
          <w:rFonts w:ascii="Times New Roman" w:hAnsi="Times New Roman"/>
          <w:szCs w:val="24"/>
        </w:rPr>
        <w:t>existing information collection</w:t>
      </w:r>
      <w:r>
        <w:rPr>
          <w:rStyle w:val="a"/>
          <w:rFonts w:ascii="Times New Roman" w:hAnsi="Times New Roman"/>
          <w:szCs w:val="24"/>
        </w:rPr>
        <w:t>.</w:t>
      </w:r>
      <w:r w:rsidRPr="00E7237E">
        <w:rPr>
          <w:rStyle w:val="a"/>
          <w:rFonts w:ascii="Times New Roman" w:hAnsi="Times New Roman"/>
          <w:szCs w:val="24"/>
        </w:rPr>
        <w:t xml:space="preserve"> </w:t>
      </w:r>
      <w:r>
        <w:rPr>
          <w:rStyle w:val="a"/>
          <w:rFonts w:ascii="Times New Roman" w:hAnsi="Times New Roman"/>
          <w:szCs w:val="24"/>
        </w:rPr>
        <w:t>T</w:t>
      </w:r>
      <w:r w:rsidRPr="00E7237E">
        <w:rPr>
          <w:rStyle w:val="a"/>
          <w:rFonts w:ascii="Times New Roman" w:hAnsi="Times New Roman"/>
          <w:szCs w:val="24"/>
        </w:rPr>
        <w:t>he burden hours shown below reflect continuing activities to sustain the regularly scheduled data submissions</w:t>
      </w:r>
      <w:r w:rsidR="004D60E1">
        <w:rPr>
          <w:rStyle w:val="a"/>
          <w:rFonts w:ascii="Times New Roman" w:hAnsi="Times New Roman"/>
          <w:szCs w:val="24"/>
        </w:rPr>
        <w:t xml:space="preserve"> and are based on a calculation of how much time and effort it takes the States to submit the required data</w:t>
      </w:r>
      <w:r w:rsidRPr="00E7237E">
        <w:rPr>
          <w:rStyle w:val="a"/>
          <w:rFonts w:ascii="Times New Roman" w:hAnsi="Times New Roman"/>
          <w:szCs w:val="24"/>
        </w:rPr>
        <w:t xml:space="preserve">. The </w:t>
      </w:r>
      <w:r w:rsidR="00CC5155">
        <w:rPr>
          <w:rStyle w:val="a"/>
          <w:rFonts w:ascii="Times New Roman" w:hAnsi="Times New Roman"/>
          <w:szCs w:val="24"/>
        </w:rPr>
        <w:t xml:space="preserve">total annual burden </w:t>
      </w:r>
      <w:r w:rsidRPr="00E7237E">
        <w:rPr>
          <w:rStyle w:val="a"/>
          <w:rFonts w:ascii="Times New Roman" w:hAnsi="Times New Roman"/>
          <w:szCs w:val="24"/>
        </w:rPr>
        <w:t xml:space="preserve">hours </w:t>
      </w:r>
      <w:r w:rsidRPr="00E7237E">
        <w:rPr>
          <w:rStyle w:val="a"/>
          <w:rFonts w:ascii="Times New Roman" w:hAnsi="Times New Roman"/>
          <w:szCs w:val="24"/>
        </w:rPr>
        <w:t>has</w:t>
      </w:r>
      <w:r w:rsidRPr="00E7237E">
        <w:rPr>
          <w:rStyle w:val="a"/>
          <w:rFonts w:ascii="Times New Roman" w:hAnsi="Times New Roman"/>
          <w:szCs w:val="24"/>
        </w:rPr>
        <w:t xml:space="preserve"> been updated with total national count of reported eligible children for 20</w:t>
      </w:r>
      <w:r>
        <w:rPr>
          <w:rStyle w:val="a"/>
          <w:rFonts w:ascii="Times New Roman" w:hAnsi="Times New Roman"/>
          <w:szCs w:val="24"/>
        </w:rPr>
        <w:t>20</w:t>
      </w:r>
      <w:r w:rsidRPr="00E7237E">
        <w:rPr>
          <w:rStyle w:val="a"/>
          <w:rFonts w:ascii="Times New Roman" w:hAnsi="Times New Roman"/>
          <w:szCs w:val="24"/>
        </w:rPr>
        <w:t>-20</w:t>
      </w:r>
      <w:r>
        <w:rPr>
          <w:rStyle w:val="a"/>
          <w:rFonts w:ascii="Times New Roman" w:hAnsi="Times New Roman"/>
          <w:szCs w:val="24"/>
        </w:rPr>
        <w:t>21</w:t>
      </w:r>
      <w:r w:rsidRPr="00E7237E">
        <w:rPr>
          <w:rStyle w:val="a"/>
          <w:rFonts w:ascii="Times New Roman" w:hAnsi="Times New Roman"/>
          <w:szCs w:val="24"/>
        </w:rPr>
        <w:t xml:space="preserve"> reporting period, which was </w:t>
      </w:r>
      <w:r>
        <w:rPr>
          <w:rStyle w:val="a"/>
          <w:rFonts w:ascii="Times New Roman" w:hAnsi="Times New Roman"/>
          <w:szCs w:val="24"/>
        </w:rPr>
        <w:t>265,450</w:t>
      </w:r>
      <w:r w:rsidRPr="00E7237E">
        <w:rPr>
          <w:rStyle w:val="a"/>
          <w:rFonts w:ascii="Times New Roman" w:hAnsi="Times New Roman"/>
          <w:szCs w:val="24"/>
        </w:rPr>
        <w:t xml:space="preserve"> migratory children</w:t>
      </w:r>
      <w:r>
        <w:rPr>
          <w:rStyle w:val="a"/>
          <w:rFonts w:ascii="Times New Roman" w:hAnsi="Times New Roman"/>
          <w:szCs w:val="24"/>
        </w:rPr>
        <w:t>.</w:t>
      </w:r>
    </w:p>
    <w:p w:rsidR="00E7237E" w:rsidP="00920F63" w14:paraId="02F2234A"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44AEA0BF">
        <w:rPr>
          <w:rFonts w:ascii="Times New Roman" w:hAnsi="Times New Roman"/>
          <w:color w:val="000000" w:themeColor="text1"/>
          <w:sz w:val="24"/>
          <w:szCs w:val="24"/>
        </w:rPr>
        <w:t xml:space="preserve">Estimated </w:t>
      </w:r>
      <w:r w:rsidRPr="44AEA0BF" w:rsidR="00F31BEC">
        <w:rPr>
          <w:rFonts w:ascii="Times New Roman" w:hAnsi="Times New Roman"/>
          <w:color w:val="000000" w:themeColor="text1"/>
          <w:sz w:val="24"/>
          <w:szCs w:val="24"/>
        </w:rPr>
        <w:t xml:space="preserve">Annual </w:t>
      </w:r>
      <w:r w:rsidRPr="44AEA0BF" w:rsidR="007F6104">
        <w:rPr>
          <w:rFonts w:ascii="Times New Roman" w:hAnsi="Times New Roman"/>
          <w:color w:val="000000" w:themeColor="text1"/>
          <w:sz w:val="24"/>
          <w:szCs w:val="24"/>
        </w:rPr>
        <w:t>Burden and Respondent Costs</w:t>
      </w:r>
      <w:r w:rsidRPr="44AEA0BF"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695" w:type="dxa"/>
        <w:tblLayout w:type="fixed"/>
        <w:tblLook w:val="0020"/>
      </w:tblPr>
      <w:tblGrid>
        <w:gridCol w:w="1345"/>
        <w:gridCol w:w="1265"/>
        <w:gridCol w:w="1255"/>
        <w:gridCol w:w="1260"/>
        <w:gridCol w:w="1260"/>
        <w:gridCol w:w="1170"/>
        <w:gridCol w:w="1080"/>
        <w:gridCol w:w="1260"/>
        <w:gridCol w:w="1800"/>
      </w:tblGrid>
      <w:tr w14:paraId="58CE257E" w14:textId="77777777" w:rsidTr="00C109A3">
        <w:tblPrEx>
          <w:tblW w:w="11695" w:type="dxa"/>
          <w:tblLayout w:type="fixed"/>
          <w:tblLook w:val="002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6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170"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26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0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C109A3">
        <w:tblPrEx>
          <w:tblW w:w="11695" w:type="dxa"/>
          <w:tblLayout w:type="fixed"/>
          <w:tblLook w:val="0020"/>
        </w:tblPrEx>
        <w:tc>
          <w:tcPr>
            <w:tcW w:w="1345" w:type="dxa"/>
          </w:tcPr>
          <w:p w:rsidR="00C86713" w:rsidP="00FE1BAE" w14:paraId="6D0F0E3E" w14:textId="589B425E">
            <w:pPr>
              <w:rPr>
                <w:rFonts w:ascii="Times New Roman" w:hAnsi="Times New Roman"/>
                <w:szCs w:val="24"/>
              </w:rPr>
            </w:pPr>
            <w:r>
              <w:rPr>
                <w:rFonts w:ascii="Times New Roman" w:hAnsi="Times New Roman"/>
                <w:szCs w:val="24"/>
              </w:rPr>
              <w:t>MSIX MDEs</w:t>
            </w:r>
          </w:p>
          <w:p w:rsidR="00A6215A" w:rsidRPr="00442E07" w:rsidP="00FE1BAE" w14:paraId="58CE257F" w14:textId="469F47ED">
            <w:pPr>
              <w:rPr>
                <w:rFonts w:ascii="Times New Roman" w:hAnsi="Times New Roman"/>
                <w:szCs w:val="24"/>
              </w:rPr>
            </w:pPr>
            <w:r>
              <w:rPr>
                <w:rFonts w:ascii="Times New Roman" w:hAnsi="Times New Roman"/>
                <w:szCs w:val="24"/>
              </w:rPr>
              <w:t>(States)</w:t>
            </w:r>
          </w:p>
        </w:tc>
        <w:tc>
          <w:tcPr>
            <w:tcW w:w="1265" w:type="dxa"/>
          </w:tcPr>
          <w:p w:rsidR="00C86713" w:rsidRPr="00442E07" w:rsidP="00FE1BAE" w14:paraId="58CE2580" w14:textId="77777777">
            <w:pPr>
              <w:rPr>
                <w:rFonts w:ascii="Times New Roman" w:hAnsi="Times New Roman"/>
                <w:szCs w:val="24"/>
              </w:rPr>
            </w:pPr>
          </w:p>
        </w:tc>
        <w:tc>
          <w:tcPr>
            <w:tcW w:w="1255" w:type="dxa"/>
          </w:tcPr>
          <w:p w:rsidR="00C86713" w:rsidRPr="00442E07" w:rsidP="00FE1BAE" w14:paraId="58CE2581" w14:textId="77777777">
            <w:pPr>
              <w:rPr>
                <w:rFonts w:ascii="Times New Roman" w:hAnsi="Times New Roman"/>
                <w:szCs w:val="24"/>
              </w:rPr>
            </w:pPr>
          </w:p>
        </w:tc>
        <w:tc>
          <w:tcPr>
            <w:tcW w:w="1260" w:type="dxa"/>
          </w:tcPr>
          <w:p w:rsidR="00C86713" w:rsidRPr="00442E07" w:rsidP="00EC1203" w14:paraId="58CE2582" w14:textId="363A048E">
            <w:pPr>
              <w:jc w:val="center"/>
              <w:rPr>
                <w:rFonts w:ascii="Times New Roman" w:hAnsi="Times New Roman"/>
                <w:szCs w:val="24"/>
              </w:rPr>
            </w:pPr>
            <w:r>
              <w:rPr>
                <w:rFonts w:ascii="Times New Roman" w:hAnsi="Times New Roman"/>
                <w:szCs w:val="24"/>
              </w:rPr>
              <w:t>46 States</w:t>
            </w:r>
          </w:p>
        </w:tc>
        <w:tc>
          <w:tcPr>
            <w:tcW w:w="1260" w:type="dxa"/>
          </w:tcPr>
          <w:p w:rsidR="00C86713" w:rsidRPr="00442E07" w:rsidP="00FE1BAE" w14:paraId="58CE2583" w14:textId="06B20134">
            <w:pPr>
              <w:jc w:val="center"/>
              <w:rPr>
                <w:rFonts w:ascii="Times New Roman" w:hAnsi="Times New Roman"/>
                <w:szCs w:val="24"/>
              </w:rPr>
            </w:pPr>
            <w:r>
              <w:rPr>
                <w:rFonts w:ascii="Times New Roman" w:hAnsi="Times New Roman"/>
                <w:szCs w:val="24"/>
              </w:rPr>
              <w:t>46</w:t>
            </w:r>
          </w:p>
        </w:tc>
        <w:tc>
          <w:tcPr>
            <w:tcW w:w="1170" w:type="dxa"/>
          </w:tcPr>
          <w:p w:rsidR="00C86713" w:rsidRPr="00442E07" w:rsidP="00FE1BAE" w14:paraId="58CE2584" w14:textId="352F2CFA">
            <w:pPr>
              <w:jc w:val="center"/>
              <w:rPr>
                <w:rFonts w:ascii="Times New Roman" w:hAnsi="Times New Roman"/>
                <w:szCs w:val="24"/>
              </w:rPr>
            </w:pPr>
            <w:r>
              <w:rPr>
                <w:rFonts w:ascii="Times New Roman" w:hAnsi="Times New Roman"/>
                <w:szCs w:val="24"/>
              </w:rPr>
              <w:t>8,690.74</w:t>
            </w:r>
          </w:p>
        </w:tc>
        <w:tc>
          <w:tcPr>
            <w:tcW w:w="1080" w:type="dxa"/>
          </w:tcPr>
          <w:p w:rsidR="00C86713" w:rsidRPr="00442E07" w:rsidP="00FE1BAE" w14:paraId="58CE2585" w14:textId="2ECA6726">
            <w:pPr>
              <w:rPr>
                <w:rFonts w:ascii="Times New Roman" w:hAnsi="Times New Roman"/>
                <w:szCs w:val="24"/>
              </w:rPr>
            </w:pPr>
            <w:r>
              <w:rPr>
                <w:rFonts w:ascii="Times New Roman" w:hAnsi="Times New Roman"/>
                <w:szCs w:val="24"/>
              </w:rPr>
              <w:t>3</w:t>
            </w:r>
            <w:r w:rsidR="00C109A3">
              <w:rPr>
                <w:rFonts w:ascii="Times New Roman" w:hAnsi="Times New Roman"/>
                <w:szCs w:val="24"/>
              </w:rPr>
              <w:t>99</w:t>
            </w:r>
            <w:r>
              <w:rPr>
                <w:rFonts w:ascii="Times New Roman" w:hAnsi="Times New Roman"/>
                <w:szCs w:val="24"/>
              </w:rPr>
              <w:t>,</w:t>
            </w:r>
            <w:r w:rsidR="00C109A3">
              <w:rPr>
                <w:rFonts w:ascii="Times New Roman" w:hAnsi="Times New Roman"/>
                <w:szCs w:val="24"/>
              </w:rPr>
              <w:t>7</w:t>
            </w:r>
            <w:r>
              <w:rPr>
                <w:rFonts w:ascii="Times New Roman" w:hAnsi="Times New Roman"/>
                <w:szCs w:val="24"/>
              </w:rPr>
              <w:t>7</w:t>
            </w:r>
            <w:r w:rsidR="0053231A">
              <w:rPr>
                <w:rFonts w:ascii="Times New Roman" w:hAnsi="Times New Roman"/>
                <w:szCs w:val="24"/>
              </w:rPr>
              <w:t>4</w:t>
            </w:r>
          </w:p>
        </w:tc>
        <w:tc>
          <w:tcPr>
            <w:tcW w:w="1260" w:type="dxa"/>
          </w:tcPr>
          <w:p w:rsidR="00C86713" w:rsidRPr="00442E07" w:rsidP="00FE1BAE" w14:paraId="58CE2586" w14:textId="70502095">
            <w:pPr>
              <w:rPr>
                <w:rFonts w:ascii="Times New Roman" w:hAnsi="Times New Roman"/>
                <w:szCs w:val="24"/>
              </w:rPr>
            </w:pPr>
            <w:r>
              <w:rPr>
                <w:rFonts w:ascii="Times New Roman" w:hAnsi="Times New Roman"/>
                <w:szCs w:val="24"/>
              </w:rPr>
              <w:t>$3</w:t>
            </w:r>
            <w:r w:rsidR="0050489E">
              <w:rPr>
                <w:rFonts w:ascii="Times New Roman" w:hAnsi="Times New Roman"/>
                <w:szCs w:val="24"/>
              </w:rPr>
              <w:t>4.09</w:t>
            </w:r>
          </w:p>
        </w:tc>
        <w:tc>
          <w:tcPr>
            <w:tcW w:w="1800" w:type="dxa"/>
          </w:tcPr>
          <w:p w:rsidR="00C86713" w:rsidRPr="00442E07" w:rsidP="00FE1BAE" w14:paraId="58CE2587" w14:textId="58BAE674">
            <w:pPr>
              <w:rPr>
                <w:rFonts w:ascii="Times New Roman" w:hAnsi="Times New Roman"/>
                <w:szCs w:val="24"/>
              </w:rPr>
            </w:pPr>
            <w:r>
              <w:rPr>
                <w:rFonts w:ascii="Times New Roman" w:hAnsi="Times New Roman"/>
                <w:szCs w:val="24"/>
              </w:rPr>
              <w:t>$13,628,295.66</w:t>
            </w:r>
          </w:p>
        </w:tc>
      </w:tr>
      <w:tr w14:paraId="58CE25B0" w14:textId="77777777" w:rsidTr="00C109A3">
        <w:tblPrEx>
          <w:tblW w:w="11695" w:type="dxa"/>
          <w:tblLayout w:type="fixed"/>
          <w:tblLook w:val="0020"/>
        </w:tblPrEx>
        <w:tc>
          <w:tcPr>
            <w:tcW w:w="1345"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58CE25A8" w14:textId="77777777">
            <w:pPr>
              <w:rPr>
                <w:rFonts w:ascii="Times New Roman" w:hAnsi="Times New Roman"/>
                <w:szCs w:val="24"/>
              </w:rPr>
            </w:pPr>
          </w:p>
        </w:tc>
        <w:tc>
          <w:tcPr>
            <w:tcW w:w="1255" w:type="dxa"/>
          </w:tcPr>
          <w:p w:rsidR="009767AF" w:rsidRPr="00442E07" w:rsidP="00FE1BAE" w14:paraId="58CE25A9" w14:textId="77777777">
            <w:pPr>
              <w:rPr>
                <w:rFonts w:ascii="Times New Roman" w:hAnsi="Times New Roman"/>
                <w:szCs w:val="24"/>
              </w:rPr>
            </w:pPr>
          </w:p>
        </w:tc>
        <w:tc>
          <w:tcPr>
            <w:tcW w:w="1260" w:type="dxa"/>
          </w:tcPr>
          <w:p w:rsidR="009767AF" w:rsidRPr="00442E07" w:rsidP="00EC1203" w14:paraId="58CE25AA" w14:textId="18F00106">
            <w:pPr>
              <w:jc w:val="center"/>
              <w:rPr>
                <w:rFonts w:ascii="Times New Roman" w:hAnsi="Times New Roman"/>
                <w:szCs w:val="24"/>
              </w:rPr>
            </w:pPr>
            <w:r>
              <w:rPr>
                <w:rFonts w:ascii="Times New Roman" w:hAnsi="Times New Roman"/>
                <w:szCs w:val="24"/>
              </w:rPr>
              <w:t>46 States</w:t>
            </w:r>
          </w:p>
        </w:tc>
        <w:tc>
          <w:tcPr>
            <w:tcW w:w="1260" w:type="dxa"/>
          </w:tcPr>
          <w:p w:rsidR="009767AF" w:rsidRPr="00442E07" w:rsidP="00EC1203" w14:paraId="58CE25AB" w14:textId="737FE562">
            <w:pPr>
              <w:jc w:val="center"/>
              <w:rPr>
                <w:rFonts w:ascii="Times New Roman" w:hAnsi="Times New Roman"/>
                <w:szCs w:val="24"/>
              </w:rPr>
            </w:pPr>
            <w:r>
              <w:rPr>
                <w:rFonts w:ascii="Times New Roman" w:hAnsi="Times New Roman"/>
                <w:szCs w:val="24"/>
              </w:rPr>
              <w:t>46</w:t>
            </w:r>
          </w:p>
        </w:tc>
        <w:tc>
          <w:tcPr>
            <w:tcW w:w="1170" w:type="dxa"/>
          </w:tcPr>
          <w:p w:rsidR="009767AF" w:rsidRPr="00442E07" w:rsidP="00FE1BAE" w14:paraId="58CE25AC" w14:textId="5C90CF8D">
            <w:pPr>
              <w:rPr>
                <w:rFonts w:ascii="Times New Roman" w:hAnsi="Times New Roman"/>
                <w:szCs w:val="24"/>
              </w:rPr>
            </w:pPr>
            <w:r>
              <w:rPr>
                <w:rFonts w:ascii="Times New Roman" w:hAnsi="Times New Roman"/>
                <w:szCs w:val="24"/>
              </w:rPr>
              <w:t>8,690.74</w:t>
            </w:r>
          </w:p>
        </w:tc>
        <w:tc>
          <w:tcPr>
            <w:tcW w:w="1080" w:type="dxa"/>
          </w:tcPr>
          <w:p w:rsidR="009767AF" w:rsidRPr="00442E07" w:rsidP="00FE1BAE" w14:paraId="58CE25AD" w14:textId="3D5EAF7B">
            <w:pPr>
              <w:rPr>
                <w:rFonts w:ascii="Times New Roman" w:hAnsi="Times New Roman"/>
                <w:szCs w:val="24"/>
              </w:rPr>
            </w:pPr>
            <w:r>
              <w:rPr>
                <w:rFonts w:ascii="Times New Roman" w:hAnsi="Times New Roman"/>
                <w:szCs w:val="24"/>
              </w:rPr>
              <w:t>39</w:t>
            </w:r>
            <w:r w:rsidR="00756C87">
              <w:rPr>
                <w:rFonts w:ascii="Times New Roman" w:hAnsi="Times New Roman"/>
                <w:szCs w:val="24"/>
              </w:rPr>
              <w:t>9</w:t>
            </w:r>
            <w:r>
              <w:rPr>
                <w:rFonts w:ascii="Times New Roman" w:hAnsi="Times New Roman"/>
                <w:szCs w:val="24"/>
              </w:rPr>
              <w:t>,</w:t>
            </w:r>
            <w:r w:rsidR="00756C87">
              <w:rPr>
                <w:rFonts w:ascii="Times New Roman" w:hAnsi="Times New Roman"/>
                <w:szCs w:val="24"/>
              </w:rPr>
              <w:t>7</w:t>
            </w:r>
            <w:r>
              <w:rPr>
                <w:rFonts w:ascii="Times New Roman" w:hAnsi="Times New Roman"/>
                <w:szCs w:val="24"/>
              </w:rPr>
              <w:t>74</w:t>
            </w:r>
          </w:p>
        </w:tc>
        <w:tc>
          <w:tcPr>
            <w:tcW w:w="1260" w:type="dxa"/>
          </w:tcPr>
          <w:p w:rsidR="009767AF" w:rsidRPr="00442E07" w:rsidP="00FE1BAE" w14:paraId="58CE25AE" w14:textId="54EB3FEF">
            <w:pPr>
              <w:rPr>
                <w:rFonts w:ascii="Times New Roman" w:hAnsi="Times New Roman"/>
                <w:szCs w:val="24"/>
              </w:rPr>
            </w:pPr>
            <w:r>
              <w:rPr>
                <w:rFonts w:ascii="Times New Roman" w:hAnsi="Times New Roman"/>
                <w:szCs w:val="24"/>
              </w:rPr>
              <w:t>$3</w:t>
            </w:r>
            <w:r w:rsidR="0050489E">
              <w:rPr>
                <w:rFonts w:ascii="Times New Roman" w:hAnsi="Times New Roman"/>
                <w:szCs w:val="24"/>
              </w:rPr>
              <w:t>4.09</w:t>
            </w:r>
          </w:p>
        </w:tc>
        <w:tc>
          <w:tcPr>
            <w:tcW w:w="1800" w:type="dxa"/>
          </w:tcPr>
          <w:p w:rsidR="009767AF" w:rsidRPr="00442E07" w:rsidP="00FE1BAE" w14:paraId="58CE25AF" w14:textId="2A2F6989">
            <w:pPr>
              <w:rPr>
                <w:rFonts w:ascii="Times New Roman" w:hAnsi="Times New Roman"/>
                <w:szCs w:val="24"/>
              </w:rPr>
            </w:pPr>
            <w:r>
              <w:rPr>
                <w:rFonts w:ascii="Times New Roman" w:hAnsi="Times New Roman"/>
                <w:szCs w:val="24"/>
              </w:rPr>
              <w:t>$</w:t>
            </w:r>
            <w:r w:rsidR="00F61876">
              <w:rPr>
                <w:rFonts w:ascii="Times New Roman" w:hAnsi="Times New Roman"/>
                <w:szCs w:val="24"/>
              </w:rPr>
              <w:t>13,628,</w:t>
            </w:r>
            <w:r w:rsidR="004C0FA8">
              <w:rPr>
                <w:rFonts w:ascii="Times New Roman" w:hAnsi="Times New Roman"/>
                <w:szCs w:val="24"/>
              </w:rPr>
              <w:t>2</w:t>
            </w:r>
            <w:r w:rsidR="00C109A3">
              <w:rPr>
                <w:rFonts w:ascii="Times New Roman" w:hAnsi="Times New Roman"/>
                <w:szCs w:val="24"/>
              </w:rPr>
              <w:t>95.66</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P="000446F5" w14:paraId="58CE25B2" w14:textId="2C72978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222035" w:rsidP="000446F5" w14:paraId="432BEB3D" w14:textId="06EC4ACC">
      <w:pPr>
        <w:pStyle w:val="ListParagraph"/>
        <w:tabs>
          <w:tab w:val="left" w:pos="-720"/>
        </w:tabs>
        <w:suppressAutoHyphens/>
        <w:ind w:left="-864" w:right="-864"/>
        <w:rPr>
          <w:rStyle w:val="a"/>
          <w:rFonts w:ascii="Times New Roman" w:hAnsi="Times New Roman"/>
          <w:b/>
          <w:bCs/>
          <w:i/>
          <w:iCs/>
          <w:sz w:val="22"/>
          <w:szCs w:val="22"/>
        </w:rPr>
      </w:pPr>
    </w:p>
    <w:p w:rsidR="00222035" w:rsidRPr="00AF5D1A" w:rsidP="000446F5" w14:paraId="31FE1A19" w14:textId="77777777">
      <w:pPr>
        <w:pStyle w:val="ListParagraph"/>
        <w:tabs>
          <w:tab w:val="left" w:pos="-720"/>
        </w:tabs>
        <w:suppressAutoHyphens/>
        <w:ind w:left="-864" w:right="-864"/>
        <w:rPr>
          <w:rStyle w:val="a"/>
          <w:rFonts w:ascii="Times New Roman" w:hAnsi="Times New Roman"/>
          <w:b/>
          <w:bCs/>
          <w:i/>
          <w:iCs/>
          <w:sz w:val="22"/>
          <w:szCs w:val="22"/>
        </w:rPr>
      </w:pP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5DDFE0B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5E1A97">
        <w:rPr>
          <w:rFonts w:ascii="Times New Roman" w:hAnsi="Times New Roman"/>
          <w:b/>
          <w:szCs w:val="24"/>
        </w:rPr>
        <w:t xml:space="preserve"> N/A</w:t>
      </w:r>
    </w:p>
    <w:p w:rsidR="00043C32" w:rsidRPr="00ED7195" w:rsidP="00AD381B" w14:paraId="58CE25BD" w14:textId="52EFAFC8">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5E1A97">
        <w:rPr>
          <w:rFonts w:ascii="Times New Roman" w:hAnsi="Times New Roman"/>
          <w:b/>
          <w:szCs w:val="24"/>
        </w:rPr>
        <w:t xml:space="preserve"> N/A</w:t>
      </w:r>
    </w:p>
    <w:p w:rsidR="00043C32" w:rsidRPr="00ED7195" w:rsidP="00AD381B" w14:paraId="58CE25BE" w14:textId="083234F2">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5E1A97">
        <w:rPr>
          <w:rFonts w:ascii="Times New Roman" w:hAnsi="Times New Roman"/>
          <w:b/>
          <w:szCs w:val="24"/>
        </w:rPr>
        <w:t xml:space="preserve"> N/A</w:t>
      </w:r>
    </w:p>
    <w:p w:rsidR="00043C32" w:rsidP="00AD381B" w14:paraId="58CE25BF" w14:textId="42D6F8FF">
      <w:pPr>
        <w:tabs>
          <w:tab w:val="left" w:pos="-720"/>
        </w:tabs>
        <w:suppressAutoHyphens/>
        <w:rPr>
          <w:rFonts w:ascii="Times New Roman" w:hAnsi="Times New Roman"/>
          <w:szCs w:val="24"/>
        </w:rPr>
      </w:pPr>
    </w:p>
    <w:p w:rsidR="00E7237E" w:rsidP="0061063B" w14:paraId="4C1B2388" w14:textId="5385952D">
      <w:pPr>
        <w:suppressAutoHyphens/>
        <w:spacing w:line="240" w:lineRule="exact"/>
        <w:ind w:left="720"/>
        <w:rPr>
          <w:rFonts w:ascii="Times New Roman" w:hAnsi="Times New Roman"/>
          <w:szCs w:val="24"/>
        </w:rPr>
      </w:pPr>
      <w:r w:rsidRPr="00E7237E">
        <w:rPr>
          <w:rFonts w:ascii="Times New Roman" w:hAnsi="Times New Roman"/>
          <w:szCs w:val="24"/>
        </w:rPr>
        <w:t>This information collection does not require the use of any capital equipment, start-up costs, or record keepers, specifically for this purpose</w:t>
      </w:r>
      <w:r w:rsidR="004F51BC">
        <w:rPr>
          <w:rFonts w:ascii="Times New Roman" w:hAnsi="Times New Roman"/>
          <w:szCs w:val="24"/>
        </w:rPr>
        <w:t>.</w:t>
      </w:r>
    </w:p>
    <w:p w:rsidR="00E7237E" w:rsidP="00AD381B" w14:paraId="4AE819E1"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58CE25C1" w14:textId="77777777">
      <w:pPr>
        <w:tabs>
          <w:tab w:val="left" w:pos="-720"/>
        </w:tabs>
        <w:suppressAutoHyphens/>
        <w:rPr>
          <w:rFonts w:ascii="Times New Roman" w:hAnsi="Times New Roman"/>
          <w:szCs w:val="24"/>
        </w:rPr>
      </w:pPr>
    </w:p>
    <w:p w:rsidR="00534B4A" w:rsidP="0061063B" w14:paraId="58CE25C2" w14:textId="23D506D1">
      <w:pPr>
        <w:suppressAutoHyphens/>
        <w:spacing w:line="240" w:lineRule="exact"/>
        <w:ind w:left="720"/>
        <w:rPr>
          <w:rFonts w:ascii="Times New Roman" w:hAnsi="Times New Roman"/>
          <w:szCs w:val="24"/>
        </w:rPr>
      </w:pPr>
      <w:r w:rsidRPr="008C2283">
        <w:rPr>
          <w:rFonts w:ascii="Times New Roman" w:hAnsi="Times New Roman"/>
          <w:szCs w:val="24"/>
        </w:rPr>
        <w:t>Estimated annualized cost to the Federal government is $</w:t>
      </w:r>
      <w:r w:rsidR="00DD62D1">
        <w:rPr>
          <w:rFonts w:ascii="Times New Roman" w:hAnsi="Times New Roman"/>
          <w:szCs w:val="24"/>
        </w:rPr>
        <w:t>3,572,601</w:t>
      </w:r>
      <w:r w:rsidRPr="008C2283">
        <w:rPr>
          <w:rFonts w:ascii="Times New Roman" w:hAnsi="Times New Roman"/>
          <w:szCs w:val="24"/>
        </w:rPr>
        <w:t xml:space="preserve">. Additional resources were allocated for the </w:t>
      </w:r>
      <w:r>
        <w:rPr>
          <w:rFonts w:ascii="Times New Roman" w:hAnsi="Times New Roman"/>
          <w:szCs w:val="24"/>
        </w:rPr>
        <w:t xml:space="preserve">recent enhancements to the system, </w:t>
      </w:r>
      <w:r w:rsidR="00951792">
        <w:rPr>
          <w:rFonts w:ascii="Times New Roman" w:hAnsi="Times New Roman"/>
          <w:szCs w:val="24"/>
        </w:rPr>
        <w:t>which</w:t>
      </w:r>
      <w:r>
        <w:rPr>
          <w:rFonts w:ascii="Times New Roman" w:hAnsi="Times New Roman"/>
          <w:szCs w:val="24"/>
        </w:rPr>
        <w:t xml:space="preserve"> included archiving student records, updates to specific user functionality, and data dashboards for State directors.</w:t>
      </w:r>
    </w:p>
    <w:p w:rsidR="00222035" w:rsidP="00534B4A" w14:paraId="1B6AFF39" w14:textId="72CDFF60">
      <w:pPr>
        <w:pStyle w:val="ListParagraph"/>
        <w:tabs>
          <w:tab w:val="left" w:pos="-720"/>
        </w:tabs>
        <w:suppressAutoHyphens/>
        <w:ind w:left="907"/>
        <w:contextualSpacing w:val="0"/>
        <w:rPr>
          <w:rFonts w:ascii="Times New Roman" w:hAnsi="Times New Roman"/>
          <w:szCs w:val="24"/>
        </w:rPr>
      </w:pPr>
    </w:p>
    <w:tbl>
      <w:tblPr>
        <w:tblW w:w="9460" w:type="dxa"/>
        <w:tblInd w:w="98" w:type="dxa"/>
        <w:tblLayout w:type="fixed"/>
        <w:tblLook w:val="04A0"/>
      </w:tblPr>
      <w:tblGrid>
        <w:gridCol w:w="1611"/>
        <w:gridCol w:w="559"/>
        <w:gridCol w:w="1350"/>
        <w:gridCol w:w="2160"/>
        <w:gridCol w:w="1620"/>
        <w:gridCol w:w="2160"/>
      </w:tblGrid>
      <w:tr w14:paraId="46519882" w14:textId="77777777" w:rsidTr="004E56CD">
        <w:tblPrEx>
          <w:tblW w:w="9460" w:type="dxa"/>
          <w:tblInd w:w="98" w:type="dxa"/>
          <w:tblLayout w:type="fixed"/>
          <w:tblLook w:val="04A0"/>
        </w:tblPrEx>
        <w:trPr>
          <w:trHeight w:val="1267"/>
        </w:trPr>
        <w:tc>
          <w:tcPr>
            <w:tcW w:w="1611" w:type="dxa"/>
            <w:tcBorders>
              <w:top w:val="single" w:sz="8" w:space="0" w:color="auto"/>
              <w:left w:val="single" w:sz="8" w:space="0" w:color="auto"/>
              <w:bottom w:val="nil"/>
              <w:right w:val="nil"/>
            </w:tcBorders>
            <w:shd w:val="clear" w:color="000000" w:fill="002060"/>
            <w:vAlign w:val="center"/>
            <w:hideMark/>
          </w:tcPr>
          <w:p w:rsidR="00222035" w:rsidRPr="00301C43" w:rsidP="004E56CD" w14:paraId="32DC82AA" w14:textId="77777777">
            <w:pPr>
              <w:jc w:val="center"/>
              <w:rPr>
                <w:rFonts w:ascii="Arial" w:hAnsi="Arial" w:cs="Arial"/>
                <w:b/>
                <w:bCs/>
                <w:color w:val="000000"/>
                <w:sz w:val="20"/>
              </w:rPr>
            </w:pPr>
            <w:r w:rsidRPr="00301C43">
              <w:rPr>
                <w:rFonts w:ascii="Arial" w:hAnsi="Arial" w:cs="Arial"/>
                <w:b/>
                <w:bCs/>
                <w:color w:val="000000"/>
                <w:sz w:val="20"/>
              </w:rPr>
              <w:t> </w:t>
            </w:r>
          </w:p>
        </w:tc>
        <w:tc>
          <w:tcPr>
            <w:tcW w:w="1909" w:type="dxa"/>
            <w:gridSpan w:val="2"/>
            <w:tcBorders>
              <w:top w:val="single" w:sz="8" w:space="0" w:color="auto"/>
              <w:left w:val="nil"/>
              <w:bottom w:val="nil"/>
              <w:right w:val="nil"/>
            </w:tcBorders>
            <w:shd w:val="clear" w:color="000000" w:fill="002060"/>
            <w:vAlign w:val="center"/>
            <w:hideMark/>
          </w:tcPr>
          <w:p w:rsidR="00222035" w:rsidRPr="00301C43" w:rsidP="004E56CD" w14:paraId="508D9517" w14:textId="77777777">
            <w:pPr>
              <w:jc w:val="center"/>
              <w:rPr>
                <w:rFonts w:ascii="Arial" w:hAnsi="Arial" w:cs="Arial"/>
                <w:b/>
                <w:bCs/>
                <w:color w:val="FFFFFF"/>
                <w:sz w:val="20"/>
              </w:rPr>
            </w:pPr>
            <w:r>
              <w:rPr>
                <w:rFonts w:ascii="Arial" w:hAnsi="Arial" w:cs="Arial"/>
                <w:b/>
                <w:bCs/>
                <w:color w:val="FFFFFF"/>
                <w:sz w:val="20"/>
              </w:rPr>
              <w:t>Department</w:t>
            </w:r>
            <w:r w:rsidRPr="00301C43">
              <w:rPr>
                <w:rFonts w:ascii="Arial" w:hAnsi="Arial" w:cs="Arial"/>
                <w:b/>
                <w:bCs/>
                <w:color w:val="FFFFFF"/>
                <w:sz w:val="20"/>
              </w:rPr>
              <w:t xml:space="preserve"> Staff Time in Government FTEs</w:t>
            </w:r>
          </w:p>
        </w:tc>
        <w:tc>
          <w:tcPr>
            <w:tcW w:w="2160" w:type="dxa"/>
            <w:tcBorders>
              <w:top w:val="single" w:sz="8" w:space="0" w:color="auto"/>
              <w:left w:val="nil"/>
              <w:bottom w:val="nil"/>
              <w:right w:val="nil"/>
            </w:tcBorders>
            <w:shd w:val="clear" w:color="000000" w:fill="002060"/>
            <w:vAlign w:val="center"/>
            <w:hideMark/>
          </w:tcPr>
          <w:p w:rsidR="00222035" w:rsidRPr="00301C43" w:rsidP="004E56CD" w14:paraId="629D6B52" w14:textId="77777777">
            <w:pPr>
              <w:jc w:val="center"/>
              <w:rPr>
                <w:rFonts w:ascii="Arial" w:hAnsi="Arial" w:cs="Arial"/>
                <w:b/>
                <w:bCs/>
                <w:color w:val="FFFFFF"/>
                <w:sz w:val="20"/>
              </w:rPr>
            </w:pPr>
            <w:r>
              <w:rPr>
                <w:rFonts w:ascii="Arial" w:hAnsi="Arial" w:cs="Arial"/>
                <w:b/>
                <w:bCs/>
                <w:color w:val="FFFFFF"/>
                <w:sz w:val="20"/>
              </w:rPr>
              <w:t>Department</w:t>
            </w:r>
            <w:r w:rsidRPr="00301C43">
              <w:rPr>
                <w:rFonts w:ascii="Arial" w:hAnsi="Arial" w:cs="Arial"/>
                <w:b/>
                <w:bCs/>
                <w:color w:val="FFFFFF"/>
                <w:sz w:val="20"/>
              </w:rPr>
              <w:t xml:space="preserve"> Staff Costs (Loaded with Benefits, 3% annual increase)</w:t>
            </w:r>
          </w:p>
        </w:tc>
        <w:tc>
          <w:tcPr>
            <w:tcW w:w="1620" w:type="dxa"/>
            <w:tcBorders>
              <w:top w:val="single" w:sz="8" w:space="0" w:color="auto"/>
              <w:left w:val="nil"/>
              <w:bottom w:val="nil"/>
              <w:right w:val="nil"/>
            </w:tcBorders>
            <w:shd w:val="clear" w:color="000000" w:fill="002060"/>
            <w:vAlign w:val="center"/>
            <w:hideMark/>
          </w:tcPr>
          <w:p w:rsidR="00222035" w:rsidRPr="00301C43" w:rsidP="004E56CD" w14:paraId="4C2B0C12" w14:textId="77777777">
            <w:pPr>
              <w:jc w:val="center"/>
              <w:rPr>
                <w:rFonts w:ascii="Arial" w:hAnsi="Arial" w:cs="Arial"/>
                <w:b/>
                <w:bCs/>
                <w:color w:val="FFFFFF"/>
                <w:sz w:val="20"/>
              </w:rPr>
            </w:pPr>
            <w:r w:rsidRPr="00301C43">
              <w:rPr>
                <w:rFonts w:ascii="Arial" w:hAnsi="Arial" w:cs="Arial"/>
                <w:b/>
                <w:bCs/>
                <w:color w:val="FFFFFF"/>
                <w:sz w:val="20"/>
              </w:rPr>
              <w:t>MSIX Contract Costs</w:t>
            </w:r>
          </w:p>
        </w:tc>
        <w:tc>
          <w:tcPr>
            <w:tcW w:w="2160" w:type="dxa"/>
            <w:tcBorders>
              <w:top w:val="single" w:sz="8" w:space="0" w:color="auto"/>
              <w:left w:val="nil"/>
              <w:bottom w:val="nil"/>
              <w:right w:val="single" w:sz="8" w:space="0" w:color="auto"/>
            </w:tcBorders>
            <w:shd w:val="clear" w:color="000000" w:fill="002060"/>
            <w:vAlign w:val="center"/>
            <w:hideMark/>
          </w:tcPr>
          <w:p w:rsidR="00222035" w:rsidRPr="00301C43" w:rsidP="004E56CD" w14:paraId="2A7ADBDE" w14:textId="77777777">
            <w:pPr>
              <w:jc w:val="center"/>
              <w:rPr>
                <w:rFonts w:ascii="Arial" w:hAnsi="Arial" w:cs="Arial"/>
                <w:b/>
                <w:bCs/>
                <w:color w:val="FFFFFF"/>
                <w:sz w:val="20"/>
              </w:rPr>
            </w:pPr>
            <w:r w:rsidRPr="00301C43">
              <w:rPr>
                <w:rFonts w:ascii="Arial" w:hAnsi="Arial" w:cs="Arial"/>
                <w:b/>
                <w:bCs/>
                <w:color w:val="FFFFFF"/>
                <w:sz w:val="20"/>
              </w:rPr>
              <w:t>Totals</w:t>
            </w:r>
          </w:p>
        </w:tc>
      </w:tr>
      <w:tr w14:paraId="6A7E2FEC" w14:textId="77777777" w:rsidTr="004E56CD">
        <w:tblPrEx>
          <w:tblW w:w="9460" w:type="dxa"/>
          <w:tblInd w:w="98" w:type="dxa"/>
          <w:tblLayout w:type="fixed"/>
          <w:tblLook w:val="04A0"/>
        </w:tblPrEx>
        <w:trPr>
          <w:trHeight w:val="315"/>
        </w:trPr>
        <w:tc>
          <w:tcPr>
            <w:tcW w:w="3520" w:type="dxa"/>
            <w:gridSpan w:val="3"/>
            <w:tcBorders>
              <w:top w:val="single" w:sz="8" w:space="0" w:color="auto"/>
              <w:left w:val="single" w:sz="8" w:space="0" w:color="auto"/>
              <w:bottom w:val="single" w:sz="8" w:space="0" w:color="auto"/>
              <w:right w:val="nil"/>
            </w:tcBorders>
            <w:shd w:val="clear" w:color="000000" w:fill="DCE6F1"/>
            <w:noWrap/>
            <w:vAlign w:val="center"/>
            <w:hideMark/>
          </w:tcPr>
          <w:p w:rsidR="00222035" w:rsidRPr="00301C43" w:rsidP="004E56CD" w14:paraId="43548A4B" w14:textId="77777777">
            <w:pPr>
              <w:rPr>
                <w:rFonts w:ascii="Arial" w:hAnsi="Arial" w:cs="Arial"/>
                <w:b/>
                <w:bCs/>
                <w:color w:val="000000"/>
                <w:sz w:val="20"/>
              </w:rPr>
            </w:pPr>
            <w:r w:rsidRPr="00301C43">
              <w:rPr>
                <w:rFonts w:ascii="Arial" w:hAnsi="Arial" w:cs="Arial"/>
                <w:b/>
                <w:bCs/>
                <w:color w:val="000000"/>
                <w:sz w:val="20"/>
              </w:rPr>
              <w:t>Historical Costs</w:t>
            </w:r>
          </w:p>
        </w:tc>
        <w:tc>
          <w:tcPr>
            <w:tcW w:w="2160" w:type="dxa"/>
            <w:tcBorders>
              <w:top w:val="single" w:sz="8" w:space="0" w:color="auto"/>
              <w:left w:val="nil"/>
              <w:bottom w:val="single" w:sz="8" w:space="0" w:color="auto"/>
              <w:right w:val="nil"/>
            </w:tcBorders>
            <w:shd w:val="clear" w:color="000000" w:fill="DCE6F1"/>
            <w:noWrap/>
            <w:vAlign w:val="center"/>
            <w:hideMark/>
          </w:tcPr>
          <w:p w:rsidR="00222035" w:rsidRPr="00301C43" w:rsidP="004E56CD" w14:paraId="1D4A3BA3" w14:textId="77777777">
            <w:pPr>
              <w:rPr>
                <w:rFonts w:ascii="Arial" w:hAnsi="Arial" w:cs="Arial"/>
                <w:b/>
                <w:bCs/>
                <w:color w:val="000000"/>
                <w:sz w:val="20"/>
              </w:rPr>
            </w:pPr>
            <w:r w:rsidRPr="00301C43">
              <w:rPr>
                <w:rFonts w:ascii="Arial" w:hAnsi="Arial" w:cs="Arial"/>
                <w:b/>
                <w:bCs/>
                <w:color w:val="000000"/>
                <w:sz w:val="20"/>
              </w:rPr>
              <w:t> </w:t>
            </w:r>
          </w:p>
        </w:tc>
        <w:tc>
          <w:tcPr>
            <w:tcW w:w="1620" w:type="dxa"/>
            <w:tcBorders>
              <w:top w:val="single" w:sz="8" w:space="0" w:color="auto"/>
              <w:left w:val="nil"/>
              <w:bottom w:val="single" w:sz="8" w:space="0" w:color="auto"/>
              <w:right w:val="nil"/>
            </w:tcBorders>
            <w:shd w:val="clear" w:color="000000" w:fill="DCE6F1"/>
            <w:noWrap/>
            <w:vAlign w:val="center"/>
            <w:hideMark/>
          </w:tcPr>
          <w:p w:rsidR="00222035" w:rsidRPr="00301C43" w:rsidP="004E56CD" w14:paraId="43DE8E44" w14:textId="77777777">
            <w:pPr>
              <w:rPr>
                <w:rFonts w:ascii="Arial" w:hAnsi="Arial" w:cs="Arial"/>
                <w:b/>
                <w:bCs/>
                <w:color w:val="000000"/>
                <w:sz w:val="20"/>
              </w:rPr>
            </w:pPr>
            <w:r w:rsidRPr="00301C43">
              <w:rPr>
                <w:rFonts w:ascii="Arial" w:hAnsi="Arial" w:cs="Arial"/>
                <w:b/>
                <w:bCs/>
                <w:color w:val="000000"/>
                <w:sz w:val="20"/>
              </w:rPr>
              <w:t> </w:t>
            </w:r>
          </w:p>
        </w:tc>
        <w:tc>
          <w:tcPr>
            <w:tcW w:w="2160" w:type="dxa"/>
            <w:tcBorders>
              <w:top w:val="single" w:sz="8" w:space="0" w:color="auto"/>
              <w:left w:val="nil"/>
              <w:bottom w:val="single" w:sz="8" w:space="0" w:color="auto"/>
              <w:right w:val="single" w:sz="8" w:space="0" w:color="auto"/>
            </w:tcBorders>
            <w:shd w:val="clear" w:color="000000" w:fill="DCE6F1"/>
            <w:noWrap/>
            <w:vAlign w:val="center"/>
            <w:hideMark/>
          </w:tcPr>
          <w:p w:rsidR="00222035" w:rsidRPr="00301C43" w:rsidP="004E56CD" w14:paraId="4C04AD6E" w14:textId="77777777">
            <w:pPr>
              <w:rPr>
                <w:rFonts w:ascii="Arial" w:hAnsi="Arial" w:cs="Arial"/>
                <w:b/>
                <w:bCs/>
                <w:color w:val="000000"/>
                <w:sz w:val="20"/>
              </w:rPr>
            </w:pPr>
            <w:r w:rsidRPr="00301C43">
              <w:rPr>
                <w:rFonts w:ascii="Arial" w:hAnsi="Arial" w:cs="Arial"/>
                <w:b/>
                <w:bCs/>
                <w:color w:val="000000"/>
                <w:sz w:val="20"/>
              </w:rPr>
              <w:t> </w:t>
            </w:r>
          </w:p>
        </w:tc>
      </w:tr>
      <w:tr w14:paraId="692AD678"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06015E35" w14:textId="77777777">
            <w:pPr>
              <w:jc w:val="center"/>
              <w:rPr>
                <w:rFonts w:ascii="Arial" w:hAnsi="Arial" w:cs="Arial"/>
                <w:color w:val="000000"/>
                <w:sz w:val="20"/>
              </w:rPr>
            </w:pPr>
            <w:r w:rsidRPr="00301C43">
              <w:rPr>
                <w:rFonts w:ascii="Arial" w:hAnsi="Arial" w:cs="Arial"/>
                <w:color w:val="000000"/>
                <w:sz w:val="20"/>
              </w:rPr>
              <w:t>FY 2006</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7D87D930"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5FA400A5" w14:textId="77777777">
            <w:pPr>
              <w:rPr>
                <w:rFonts w:ascii="Arial" w:hAnsi="Arial" w:cs="Arial"/>
                <w:color w:val="000000"/>
                <w:sz w:val="20"/>
              </w:rPr>
            </w:pPr>
            <w:r w:rsidRPr="00301C43">
              <w:rPr>
                <w:rFonts w:ascii="Arial" w:hAnsi="Arial" w:cs="Arial"/>
                <w:color w:val="000000"/>
                <w:sz w:val="20"/>
              </w:rPr>
              <w:t xml:space="preserve"> $                        -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1B99DAC" w14:textId="77777777">
            <w:pPr>
              <w:jc w:val="right"/>
              <w:rPr>
                <w:rFonts w:ascii="Arial" w:hAnsi="Arial" w:cs="Arial"/>
                <w:color w:val="000000"/>
                <w:sz w:val="20"/>
              </w:rPr>
            </w:pPr>
            <w:r w:rsidRPr="00301C43">
              <w:rPr>
                <w:rFonts w:ascii="Arial" w:hAnsi="Arial" w:cs="Arial"/>
                <w:color w:val="000000"/>
                <w:sz w:val="20"/>
              </w:rPr>
              <w:t xml:space="preserve">$7,980,831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8E2A042" w14:textId="77777777">
            <w:pPr>
              <w:jc w:val="right"/>
              <w:rPr>
                <w:rFonts w:ascii="Arial" w:hAnsi="Arial" w:cs="Arial"/>
                <w:color w:val="000000"/>
                <w:sz w:val="20"/>
              </w:rPr>
            </w:pPr>
            <w:r w:rsidRPr="00301C43">
              <w:rPr>
                <w:rFonts w:ascii="Arial" w:hAnsi="Arial" w:cs="Arial"/>
                <w:color w:val="000000"/>
                <w:sz w:val="20"/>
              </w:rPr>
              <w:t xml:space="preserve">$7,980,831 </w:t>
            </w:r>
          </w:p>
        </w:tc>
      </w:tr>
      <w:tr w14:paraId="4D6CC673"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2B72B946" w14:textId="77777777">
            <w:pPr>
              <w:jc w:val="center"/>
              <w:rPr>
                <w:rFonts w:ascii="Arial" w:hAnsi="Arial" w:cs="Arial"/>
                <w:color w:val="000000"/>
                <w:sz w:val="20"/>
              </w:rPr>
            </w:pPr>
            <w:r w:rsidRPr="00301C43">
              <w:rPr>
                <w:rFonts w:ascii="Arial" w:hAnsi="Arial" w:cs="Arial"/>
                <w:color w:val="000000"/>
                <w:sz w:val="20"/>
              </w:rPr>
              <w:t>FY 2007</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6B3A79AF"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D5B24D0" w14:textId="77777777">
            <w:pPr>
              <w:jc w:val="right"/>
              <w:rPr>
                <w:rFonts w:ascii="Arial" w:hAnsi="Arial" w:cs="Arial"/>
                <w:color w:val="000000"/>
                <w:sz w:val="20"/>
              </w:rPr>
            </w:pPr>
            <w:r w:rsidRPr="00301C43">
              <w:rPr>
                <w:rFonts w:ascii="Arial" w:hAnsi="Arial" w:cs="Arial"/>
                <w:color w:val="000000"/>
                <w:sz w:val="20"/>
              </w:rPr>
              <w:t xml:space="preserve">$264,440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6CA00B50" w14:textId="77777777">
            <w:pPr>
              <w:jc w:val="right"/>
              <w:rPr>
                <w:rFonts w:ascii="Arial" w:hAnsi="Arial" w:cs="Arial"/>
                <w:color w:val="000000"/>
                <w:sz w:val="20"/>
              </w:rPr>
            </w:pPr>
            <w:r w:rsidRPr="00301C43">
              <w:rPr>
                <w:rFonts w:ascii="Arial" w:hAnsi="Arial" w:cs="Arial"/>
                <w:color w:val="000000"/>
                <w:sz w:val="20"/>
              </w:rPr>
              <w:t xml:space="preserve">$3,129,097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52DEEE67" w14:textId="77777777">
            <w:pPr>
              <w:jc w:val="right"/>
              <w:rPr>
                <w:rFonts w:ascii="Arial" w:hAnsi="Arial" w:cs="Arial"/>
                <w:color w:val="000000"/>
                <w:sz w:val="20"/>
              </w:rPr>
            </w:pPr>
            <w:r w:rsidRPr="00301C43">
              <w:rPr>
                <w:rFonts w:ascii="Arial" w:hAnsi="Arial" w:cs="Arial"/>
                <w:color w:val="000000"/>
                <w:sz w:val="20"/>
              </w:rPr>
              <w:t xml:space="preserve">$3,393,537 </w:t>
            </w:r>
          </w:p>
        </w:tc>
      </w:tr>
      <w:tr w14:paraId="33E96485"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61060C3B" w14:textId="77777777">
            <w:pPr>
              <w:jc w:val="center"/>
              <w:rPr>
                <w:rFonts w:ascii="Arial" w:hAnsi="Arial" w:cs="Arial"/>
                <w:color w:val="000000"/>
                <w:sz w:val="20"/>
              </w:rPr>
            </w:pPr>
            <w:r w:rsidRPr="00301C43">
              <w:rPr>
                <w:rFonts w:ascii="Arial" w:hAnsi="Arial" w:cs="Arial"/>
                <w:color w:val="000000"/>
                <w:sz w:val="20"/>
              </w:rPr>
              <w:t>FY 2008</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0102733"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6BC9B5B" w14:textId="77777777">
            <w:pPr>
              <w:jc w:val="right"/>
              <w:rPr>
                <w:rFonts w:ascii="Arial" w:hAnsi="Arial" w:cs="Arial"/>
                <w:color w:val="000000"/>
                <w:sz w:val="20"/>
              </w:rPr>
            </w:pPr>
            <w:r w:rsidRPr="00301C43">
              <w:rPr>
                <w:rFonts w:ascii="Arial" w:hAnsi="Arial" w:cs="Arial"/>
                <w:color w:val="000000"/>
                <w:sz w:val="20"/>
              </w:rPr>
              <w:t xml:space="preserve">$272,373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CA0C501" w14:textId="77777777">
            <w:pPr>
              <w:jc w:val="right"/>
              <w:rPr>
                <w:rFonts w:ascii="Arial" w:hAnsi="Arial" w:cs="Arial"/>
                <w:color w:val="000000"/>
                <w:sz w:val="20"/>
              </w:rPr>
            </w:pPr>
            <w:r w:rsidRPr="00301C43">
              <w:rPr>
                <w:rFonts w:ascii="Arial" w:hAnsi="Arial" w:cs="Arial"/>
                <w:color w:val="000000"/>
                <w:sz w:val="20"/>
              </w:rPr>
              <w:t xml:space="preserve">$3,262,624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EB29420" w14:textId="77777777">
            <w:pPr>
              <w:jc w:val="right"/>
              <w:rPr>
                <w:rFonts w:ascii="Arial" w:hAnsi="Arial" w:cs="Arial"/>
                <w:color w:val="000000"/>
                <w:sz w:val="20"/>
              </w:rPr>
            </w:pPr>
            <w:r w:rsidRPr="00301C43">
              <w:rPr>
                <w:rFonts w:ascii="Arial" w:hAnsi="Arial" w:cs="Arial"/>
                <w:color w:val="000000"/>
                <w:sz w:val="20"/>
              </w:rPr>
              <w:t xml:space="preserve">$3,534,997 </w:t>
            </w:r>
          </w:p>
        </w:tc>
      </w:tr>
      <w:tr w14:paraId="23554E75"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1BC21471" w14:textId="77777777">
            <w:pPr>
              <w:jc w:val="center"/>
              <w:rPr>
                <w:rFonts w:ascii="Arial" w:hAnsi="Arial" w:cs="Arial"/>
                <w:color w:val="000000"/>
                <w:sz w:val="20"/>
              </w:rPr>
            </w:pPr>
            <w:r w:rsidRPr="00301C43">
              <w:rPr>
                <w:rFonts w:ascii="Arial" w:hAnsi="Arial" w:cs="Arial"/>
                <w:color w:val="000000"/>
                <w:sz w:val="20"/>
              </w:rPr>
              <w:t>FY 2009</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7F96E985"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5B89958A" w14:textId="77777777">
            <w:pPr>
              <w:jc w:val="right"/>
              <w:rPr>
                <w:rFonts w:ascii="Arial" w:hAnsi="Arial" w:cs="Arial"/>
                <w:color w:val="000000"/>
                <w:sz w:val="20"/>
              </w:rPr>
            </w:pPr>
            <w:r w:rsidRPr="00301C43">
              <w:rPr>
                <w:rFonts w:ascii="Arial" w:hAnsi="Arial" w:cs="Arial"/>
                <w:color w:val="000000"/>
                <w:sz w:val="20"/>
              </w:rPr>
              <w:t xml:space="preserve">$280,544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83AC3A5" w14:textId="77777777">
            <w:pPr>
              <w:jc w:val="right"/>
              <w:rPr>
                <w:rFonts w:ascii="Arial" w:hAnsi="Arial" w:cs="Arial"/>
                <w:color w:val="000000"/>
                <w:sz w:val="20"/>
              </w:rPr>
            </w:pPr>
            <w:r w:rsidRPr="00301C43">
              <w:rPr>
                <w:rFonts w:ascii="Arial" w:hAnsi="Arial" w:cs="Arial"/>
                <w:color w:val="000000"/>
                <w:sz w:val="20"/>
              </w:rPr>
              <w:t xml:space="preserve">$3,034,085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11707C18" w14:textId="77777777">
            <w:pPr>
              <w:jc w:val="right"/>
              <w:rPr>
                <w:rFonts w:ascii="Arial" w:hAnsi="Arial" w:cs="Arial"/>
                <w:color w:val="000000"/>
                <w:sz w:val="20"/>
              </w:rPr>
            </w:pPr>
            <w:r w:rsidRPr="00301C43">
              <w:rPr>
                <w:rFonts w:ascii="Arial" w:hAnsi="Arial" w:cs="Arial"/>
                <w:color w:val="000000"/>
                <w:sz w:val="20"/>
              </w:rPr>
              <w:t xml:space="preserve">$3,314,630 </w:t>
            </w:r>
          </w:p>
        </w:tc>
      </w:tr>
      <w:tr w14:paraId="2041B10D"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1AAF98A7" w14:textId="77777777">
            <w:pPr>
              <w:jc w:val="center"/>
              <w:rPr>
                <w:rFonts w:ascii="Arial" w:hAnsi="Arial" w:cs="Arial"/>
                <w:color w:val="000000"/>
                <w:sz w:val="20"/>
              </w:rPr>
            </w:pPr>
            <w:r w:rsidRPr="00301C43">
              <w:rPr>
                <w:rFonts w:ascii="Arial" w:hAnsi="Arial" w:cs="Arial"/>
                <w:color w:val="000000"/>
                <w:sz w:val="20"/>
              </w:rPr>
              <w:t>FY 2010</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5D7FF058"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10344A38" w14:textId="77777777">
            <w:pPr>
              <w:jc w:val="right"/>
              <w:rPr>
                <w:rFonts w:ascii="Arial" w:hAnsi="Arial" w:cs="Arial"/>
                <w:color w:val="000000"/>
                <w:sz w:val="20"/>
              </w:rPr>
            </w:pPr>
            <w:r w:rsidRPr="00301C43">
              <w:rPr>
                <w:rFonts w:ascii="Arial" w:hAnsi="Arial" w:cs="Arial"/>
                <w:color w:val="000000"/>
                <w:sz w:val="20"/>
              </w:rPr>
              <w:t xml:space="preserve">$288,961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1100F8D" w14:textId="77777777">
            <w:pPr>
              <w:jc w:val="right"/>
              <w:rPr>
                <w:rFonts w:ascii="Arial" w:hAnsi="Arial" w:cs="Arial"/>
                <w:color w:val="000000"/>
                <w:sz w:val="20"/>
              </w:rPr>
            </w:pPr>
            <w:r w:rsidRPr="00301C43">
              <w:rPr>
                <w:rFonts w:ascii="Arial" w:hAnsi="Arial" w:cs="Arial"/>
                <w:color w:val="000000"/>
                <w:sz w:val="20"/>
              </w:rPr>
              <w:t xml:space="preserve">$3,161,144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20315975" w14:textId="77777777">
            <w:pPr>
              <w:jc w:val="right"/>
              <w:rPr>
                <w:rFonts w:ascii="Arial" w:hAnsi="Arial" w:cs="Arial"/>
                <w:color w:val="000000"/>
                <w:sz w:val="20"/>
              </w:rPr>
            </w:pPr>
            <w:r w:rsidRPr="00301C43">
              <w:rPr>
                <w:rFonts w:ascii="Arial" w:hAnsi="Arial" w:cs="Arial"/>
                <w:color w:val="000000"/>
                <w:sz w:val="20"/>
              </w:rPr>
              <w:t xml:space="preserve">$3,450,105 </w:t>
            </w:r>
          </w:p>
        </w:tc>
      </w:tr>
      <w:tr w14:paraId="36DBEED2"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13320782" w14:textId="77777777">
            <w:pPr>
              <w:jc w:val="center"/>
              <w:rPr>
                <w:rFonts w:ascii="Arial" w:hAnsi="Arial" w:cs="Arial"/>
                <w:color w:val="000000"/>
                <w:sz w:val="20"/>
              </w:rPr>
            </w:pPr>
            <w:r w:rsidRPr="00301C43">
              <w:rPr>
                <w:rFonts w:ascii="Arial" w:hAnsi="Arial" w:cs="Arial"/>
                <w:color w:val="000000"/>
                <w:sz w:val="20"/>
              </w:rPr>
              <w:t>FY 2011</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0156BA28"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77303F49" w14:textId="77777777">
            <w:pPr>
              <w:jc w:val="right"/>
              <w:rPr>
                <w:rFonts w:ascii="Arial" w:hAnsi="Arial" w:cs="Arial"/>
                <w:color w:val="000000"/>
                <w:sz w:val="20"/>
              </w:rPr>
            </w:pPr>
            <w:r w:rsidRPr="00301C43">
              <w:rPr>
                <w:rFonts w:ascii="Arial" w:hAnsi="Arial" w:cs="Arial"/>
                <w:color w:val="000000"/>
                <w:sz w:val="20"/>
              </w:rPr>
              <w:t xml:space="preserve">$297,630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10F8BA8D" w14:textId="77777777">
            <w:pPr>
              <w:jc w:val="right"/>
              <w:rPr>
                <w:rFonts w:ascii="Arial" w:hAnsi="Arial" w:cs="Arial"/>
                <w:color w:val="000000"/>
                <w:sz w:val="20"/>
              </w:rPr>
            </w:pPr>
            <w:r w:rsidRPr="00301C43">
              <w:rPr>
                <w:rFonts w:ascii="Arial" w:hAnsi="Arial" w:cs="Arial"/>
                <w:color w:val="000000"/>
                <w:sz w:val="20"/>
              </w:rPr>
              <w:t xml:space="preserve">$3,632,746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11968F3" w14:textId="77777777">
            <w:pPr>
              <w:jc w:val="right"/>
              <w:rPr>
                <w:rFonts w:ascii="Arial" w:hAnsi="Arial" w:cs="Arial"/>
                <w:color w:val="000000"/>
                <w:sz w:val="20"/>
              </w:rPr>
            </w:pPr>
            <w:r w:rsidRPr="00301C43">
              <w:rPr>
                <w:rFonts w:ascii="Arial" w:hAnsi="Arial" w:cs="Arial"/>
                <w:color w:val="000000"/>
                <w:sz w:val="20"/>
              </w:rPr>
              <w:t xml:space="preserve">$3,930,376 </w:t>
            </w:r>
          </w:p>
        </w:tc>
      </w:tr>
      <w:tr w14:paraId="080D1AC9"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2E65BF23" w14:textId="77777777">
            <w:pPr>
              <w:jc w:val="center"/>
              <w:rPr>
                <w:rFonts w:ascii="Arial" w:hAnsi="Arial" w:cs="Arial"/>
                <w:color w:val="000000"/>
                <w:sz w:val="20"/>
              </w:rPr>
            </w:pPr>
            <w:r w:rsidRPr="00301C43">
              <w:rPr>
                <w:rFonts w:ascii="Arial" w:hAnsi="Arial" w:cs="Arial"/>
                <w:color w:val="000000"/>
                <w:sz w:val="20"/>
              </w:rPr>
              <w:t>FY 2012</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10627B2F"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2D1C68E8" w14:textId="77777777">
            <w:pPr>
              <w:jc w:val="right"/>
              <w:rPr>
                <w:rFonts w:ascii="Arial" w:hAnsi="Arial" w:cs="Arial"/>
                <w:color w:val="000000"/>
                <w:sz w:val="20"/>
              </w:rPr>
            </w:pPr>
            <w:r w:rsidRPr="00301C43">
              <w:rPr>
                <w:rFonts w:ascii="Arial" w:hAnsi="Arial" w:cs="Arial"/>
                <w:color w:val="000000"/>
                <w:sz w:val="20"/>
              </w:rPr>
              <w:t xml:space="preserve">$306,558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5F153EA" w14:textId="77777777">
            <w:pPr>
              <w:jc w:val="right"/>
              <w:rPr>
                <w:rFonts w:ascii="Arial" w:hAnsi="Arial" w:cs="Arial"/>
                <w:color w:val="000000"/>
                <w:sz w:val="20"/>
              </w:rPr>
            </w:pPr>
            <w:r w:rsidRPr="00301C43">
              <w:rPr>
                <w:rFonts w:ascii="Arial" w:hAnsi="Arial" w:cs="Arial"/>
                <w:color w:val="000000"/>
                <w:sz w:val="20"/>
              </w:rPr>
              <w:t xml:space="preserve">$2,660,856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062D045D" w14:textId="77777777">
            <w:pPr>
              <w:jc w:val="right"/>
              <w:rPr>
                <w:rFonts w:ascii="Arial" w:hAnsi="Arial" w:cs="Arial"/>
                <w:color w:val="000000"/>
                <w:sz w:val="20"/>
              </w:rPr>
            </w:pPr>
            <w:r w:rsidRPr="00301C43">
              <w:rPr>
                <w:rFonts w:ascii="Arial" w:hAnsi="Arial" w:cs="Arial"/>
                <w:color w:val="000000"/>
                <w:sz w:val="20"/>
              </w:rPr>
              <w:t xml:space="preserve">$2,967,415 </w:t>
            </w:r>
          </w:p>
        </w:tc>
      </w:tr>
      <w:tr w14:paraId="2A9F050D"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79C950EE" w14:textId="77777777">
            <w:pPr>
              <w:jc w:val="center"/>
              <w:rPr>
                <w:rFonts w:ascii="Arial" w:hAnsi="Arial" w:cs="Arial"/>
                <w:color w:val="000000"/>
                <w:sz w:val="20"/>
              </w:rPr>
            </w:pPr>
            <w:r w:rsidRPr="00301C43">
              <w:rPr>
                <w:rFonts w:ascii="Arial" w:hAnsi="Arial" w:cs="Arial"/>
                <w:color w:val="000000"/>
                <w:sz w:val="20"/>
              </w:rPr>
              <w:t>FY 2013</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B32B857"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23D6C171" w14:textId="77777777">
            <w:pPr>
              <w:jc w:val="right"/>
              <w:rPr>
                <w:rFonts w:ascii="Arial" w:hAnsi="Arial" w:cs="Arial"/>
                <w:color w:val="000000"/>
                <w:sz w:val="20"/>
              </w:rPr>
            </w:pPr>
            <w:r w:rsidRPr="00301C43">
              <w:rPr>
                <w:rFonts w:ascii="Arial" w:hAnsi="Arial" w:cs="Arial"/>
                <w:color w:val="000000"/>
                <w:sz w:val="20"/>
              </w:rPr>
              <w:t xml:space="preserve">$315,755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00C7CBBE" w14:textId="77777777">
            <w:pPr>
              <w:jc w:val="right"/>
              <w:rPr>
                <w:rFonts w:ascii="Arial" w:hAnsi="Arial" w:cs="Arial"/>
                <w:color w:val="000000"/>
                <w:sz w:val="20"/>
              </w:rPr>
            </w:pPr>
            <w:r w:rsidRPr="00301C43">
              <w:rPr>
                <w:rFonts w:ascii="Arial" w:hAnsi="Arial" w:cs="Arial"/>
                <w:color w:val="000000"/>
                <w:sz w:val="20"/>
              </w:rPr>
              <w:t xml:space="preserve">$2,754,435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0BDFFAA3" w14:textId="77777777">
            <w:pPr>
              <w:jc w:val="right"/>
              <w:rPr>
                <w:rFonts w:ascii="Arial" w:hAnsi="Arial" w:cs="Arial"/>
                <w:color w:val="000000"/>
                <w:sz w:val="20"/>
              </w:rPr>
            </w:pPr>
            <w:r w:rsidRPr="00301C43">
              <w:rPr>
                <w:rFonts w:ascii="Arial" w:hAnsi="Arial" w:cs="Arial"/>
                <w:color w:val="000000"/>
                <w:sz w:val="20"/>
              </w:rPr>
              <w:t xml:space="preserve">$3,070,190 </w:t>
            </w:r>
          </w:p>
        </w:tc>
      </w:tr>
      <w:tr w14:paraId="07CDC476"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31918DCA" w14:textId="77777777">
            <w:pPr>
              <w:jc w:val="center"/>
              <w:rPr>
                <w:rFonts w:ascii="Arial" w:hAnsi="Arial" w:cs="Arial"/>
                <w:color w:val="000000"/>
                <w:sz w:val="20"/>
              </w:rPr>
            </w:pPr>
            <w:r w:rsidRPr="00301C43">
              <w:rPr>
                <w:rFonts w:ascii="Arial" w:hAnsi="Arial" w:cs="Arial"/>
                <w:color w:val="000000"/>
                <w:sz w:val="20"/>
              </w:rPr>
              <w:t>FY 2014</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7F95A35"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740680F3" w14:textId="77777777">
            <w:pPr>
              <w:jc w:val="right"/>
              <w:rPr>
                <w:rFonts w:ascii="Arial" w:hAnsi="Arial" w:cs="Arial"/>
                <w:color w:val="000000"/>
                <w:sz w:val="20"/>
              </w:rPr>
            </w:pPr>
            <w:r w:rsidRPr="00301C43">
              <w:rPr>
                <w:rFonts w:ascii="Arial" w:hAnsi="Arial" w:cs="Arial"/>
                <w:color w:val="000000"/>
                <w:sz w:val="20"/>
              </w:rPr>
              <w:t xml:space="preserve">$325,228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88DDCC5" w14:textId="77777777">
            <w:pPr>
              <w:jc w:val="right"/>
              <w:rPr>
                <w:rFonts w:ascii="Arial" w:hAnsi="Arial" w:cs="Arial"/>
                <w:color w:val="000000"/>
                <w:sz w:val="20"/>
              </w:rPr>
            </w:pPr>
            <w:r w:rsidRPr="00301C43">
              <w:rPr>
                <w:rFonts w:ascii="Arial" w:hAnsi="Arial" w:cs="Arial"/>
                <w:color w:val="000000"/>
                <w:sz w:val="20"/>
              </w:rPr>
              <w:t xml:space="preserve">$2,572,637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55B3A06" w14:textId="77777777">
            <w:pPr>
              <w:jc w:val="right"/>
              <w:rPr>
                <w:rFonts w:ascii="Arial" w:hAnsi="Arial" w:cs="Arial"/>
                <w:color w:val="000000"/>
                <w:sz w:val="20"/>
              </w:rPr>
            </w:pPr>
            <w:r w:rsidRPr="00301C43">
              <w:rPr>
                <w:rFonts w:ascii="Arial" w:hAnsi="Arial" w:cs="Arial"/>
                <w:color w:val="000000"/>
                <w:sz w:val="20"/>
              </w:rPr>
              <w:t xml:space="preserve">$2,897,865 </w:t>
            </w:r>
          </w:p>
        </w:tc>
      </w:tr>
      <w:tr w14:paraId="3C7DBEC7"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4E56CD" w14:paraId="7BF692E5" w14:textId="77777777">
            <w:pPr>
              <w:jc w:val="center"/>
              <w:rPr>
                <w:rFonts w:ascii="Arial" w:hAnsi="Arial" w:cs="Arial"/>
                <w:color w:val="000000"/>
                <w:sz w:val="20"/>
              </w:rPr>
            </w:pPr>
            <w:r w:rsidRPr="00301C43">
              <w:rPr>
                <w:rFonts w:ascii="Arial" w:hAnsi="Arial" w:cs="Arial"/>
                <w:color w:val="000000"/>
                <w:sz w:val="20"/>
              </w:rPr>
              <w:t>FY 2015</w:t>
            </w:r>
          </w:p>
        </w:tc>
        <w:tc>
          <w:tcPr>
            <w:tcW w:w="135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3D6E4597" w14:textId="77777777">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4A7088FF" w14:textId="77777777">
            <w:pPr>
              <w:jc w:val="right"/>
              <w:rPr>
                <w:rFonts w:ascii="Arial" w:hAnsi="Arial" w:cs="Arial"/>
                <w:color w:val="000000"/>
                <w:sz w:val="20"/>
              </w:rPr>
            </w:pPr>
            <w:r w:rsidRPr="00301C43">
              <w:rPr>
                <w:rFonts w:ascii="Arial" w:hAnsi="Arial" w:cs="Arial"/>
                <w:color w:val="000000"/>
                <w:sz w:val="20"/>
              </w:rPr>
              <w:t xml:space="preserve">$334,985 </w:t>
            </w:r>
          </w:p>
        </w:tc>
        <w:tc>
          <w:tcPr>
            <w:tcW w:w="162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5A4481FE" w14:textId="77777777">
            <w:pPr>
              <w:jc w:val="right"/>
              <w:rPr>
                <w:rFonts w:ascii="Arial" w:hAnsi="Arial" w:cs="Arial"/>
                <w:color w:val="000000"/>
                <w:sz w:val="20"/>
              </w:rPr>
            </w:pPr>
            <w:r w:rsidRPr="00301C43">
              <w:rPr>
                <w:rFonts w:ascii="Arial" w:hAnsi="Arial" w:cs="Arial"/>
                <w:color w:val="000000"/>
                <w:sz w:val="20"/>
              </w:rPr>
              <w:t xml:space="preserve">$2,565,255 </w:t>
            </w:r>
          </w:p>
        </w:tc>
        <w:tc>
          <w:tcPr>
            <w:tcW w:w="2160" w:type="dxa"/>
            <w:tcBorders>
              <w:top w:val="nil"/>
              <w:left w:val="nil"/>
              <w:bottom w:val="single" w:sz="8" w:space="0" w:color="auto"/>
              <w:right w:val="single" w:sz="8" w:space="0" w:color="auto"/>
            </w:tcBorders>
            <w:shd w:val="clear" w:color="auto" w:fill="auto"/>
            <w:noWrap/>
            <w:vAlign w:val="center"/>
            <w:hideMark/>
          </w:tcPr>
          <w:p w:rsidR="00222035" w:rsidRPr="00301C43" w:rsidP="004E56CD" w14:paraId="113BC192" w14:textId="77777777">
            <w:pPr>
              <w:jc w:val="right"/>
              <w:rPr>
                <w:rFonts w:ascii="Arial" w:hAnsi="Arial" w:cs="Arial"/>
                <w:color w:val="000000"/>
                <w:sz w:val="20"/>
              </w:rPr>
            </w:pPr>
            <w:r w:rsidRPr="00301C43">
              <w:rPr>
                <w:rFonts w:ascii="Arial" w:hAnsi="Arial" w:cs="Arial"/>
                <w:color w:val="000000"/>
                <w:sz w:val="20"/>
              </w:rPr>
              <w:t xml:space="preserve">$2,900,240 </w:t>
            </w:r>
          </w:p>
        </w:tc>
      </w:tr>
      <w:tr w14:paraId="0F1CE2A2"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tcPr>
          <w:p w:rsidR="00222035" w:rsidRPr="00301C43" w:rsidP="00222035" w14:paraId="0F26DAAE" w14:textId="64CD7FCA">
            <w:pPr>
              <w:jc w:val="center"/>
              <w:rPr>
                <w:rFonts w:ascii="Arial" w:hAnsi="Arial" w:cs="Arial"/>
                <w:color w:val="000000"/>
                <w:sz w:val="20"/>
              </w:rPr>
            </w:pPr>
            <w:r w:rsidRPr="00301C43">
              <w:rPr>
                <w:rFonts w:ascii="Arial" w:hAnsi="Arial" w:cs="Arial"/>
                <w:color w:val="000000"/>
                <w:sz w:val="20"/>
              </w:rPr>
              <w:t>FY 2016</w:t>
            </w:r>
          </w:p>
        </w:tc>
        <w:tc>
          <w:tcPr>
            <w:tcW w:w="1350" w:type="dxa"/>
            <w:tcBorders>
              <w:top w:val="nil"/>
              <w:left w:val="nil"/>
              <w:bottom w:val="single" w:sz="8" w:space="0" w:color="auto"/>
              <w:right w:val="single" w:sz="8" w:space="0" w:color="auto"/>
            </w:tcBorders>
            <w:shd w:val="clear" w:color="auto" w:fill="auto"/>
            <w:noWrap/>
            <w:vAlign w:val="center"/>
          </w:tcPr>
          <w:p w:rsidR="00222035" w:rsidRPr="00301C43" w:rsidP="00222035" w14:paraId="60A0038D" w14:textId="3AAC4884">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75B516DB" w14:textId="659B0EBC">
            <w:pPr>
              <w:jc w:val="right"/>
              <w:rPr>
                <w:rFonts w:ascii="Arial" w:hAnsi="Arial" w:cs="Arial"/>
                <w:color w:val="000000"/>
                <w:sz w:val="20"/>
              </w:rPr>
            </w:pPr>
            <w:r w:rsidRPr="00301C43">
              <w:rPr>
                <w:rFonts w:ascii="Arial" w:hAnsi="Arial" w:cs="Arial"/>
                <w:color w:val="000000"/>
                <w:sz w:val="20"/>
              </w:rPr>
              <w:t>$345,03</w:t>
            </w:r>
            <w:r w:rsidR="007E760B">
              <w:rPr>
                <w:rFonts w:ascii="Arial" w:hAnsi="Arial" w:cs="Arial"/>
                <w:color w:val="000000"/>
                <w:sz w:val="20"/>
              </w:rPr>
              <w:t>4</w:t>
            </w:r>
            <w:r w:rsidRPr="00301C43">
              <w:rPr>
                <w:rFonts w:ascii="Arial" w:hAnsi="Arial" w:cs="Arial"/>
                <w:color w:val="000000"/>
                <w:sz w:val="20"/>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222035" w:rsidRPr="00301C43" w:rsidP="00222035" w14:paraId="3F3AB935" w14:textId="489A5F71">
            <w:pPr>
              <w:jc w:val="right"/>
              <w:rPr>
                <w:rFonts w:ascii="Arial" w:hAnsi="Arial" w:cs="Arial"/>
                <w:color w:val="000000"/>
                <w:sz w:val="20"/>
              </w:rPr>
            </w:pPr>
            <w:r w:rsidRPr="00301C43">
              <w:rPr>
                <w:rFonts w:ascii="Arial" w:hAnsi="Arial" w:cs="Arial"/>
                <w:color w:val="000000"/>
                <w:sz w:val="20"/>
              </w:rPr>
              <w:t xml:space="preserve">$2,727,190 </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4AE00497" w14:textId="27C31850">
            <w:pPr>
              <w:jc w:val="right"/>
              <w:rPr>
                <w:rFonts w:ascii="Arial" w:hAnsi="Arial" w:cs="Arial"/>
                <w:color w:val="000000"/>
                <w:sz w:val="20"/>
              </w:rPr>
            </w:pPr>
            <w:r w:rsidRPr="00301C43">
              <w:rPr>
                <w:rFonts w:ascii="Arial" w:hAnsi="Arial" w:cs="Arial"/>
                <w:color w:val="000000"/>
                <w:sz w:val="20"/>
              </w:rPr>
              <w:t>$3,072,22</w:t>
            </w:r>
            <w:r w:rsidR="009A74C7">
              <w:rPr>
                <w:rFonts w:ascii="Arial" w:hAnsi="Arial" w:cs="Arial"/>
                <w:color w:val="000000"/>
                <w:sz w:val="20"/>
              </w:rPr>
              <w:t>4</w:t>
            </w:r>
            <w:r w:rsidRPr="00301C43">
              <w:rPr>
                <w:rFonts w:ascii="Arial" w:hAnsi="Arial" w:cs="Arial"/>
                <w:color w:val="000000"/>
                <w:sz w:val="20"/>
              </w:rPr>
              <w:t xml:space="preserve"> </w:t>
            </w:r>
          </w:p>
        </w:tc>
      </w:tr>
      <w:tr w14:paraId="1A041EC3"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tcPr>
          <w:p w:rsidR="00222035" w:rsidRPr="00301C43" w:rsidP="00222035" w14:paraId="622F2928" w14:textId="3E04D91A">
            <w:pPr>
              <w:jc w:val="center"/>
              <w:rPr>
                <w:rFonts w:ascii="Arial" w:hAnsi="Arial" w:cs="Arial"/>
                <w:color w:val="000000"/>
                <w:sz w:val="20"/>
              </w:rPr>
            </w:pPr>
            <w:r w:rsidRPr="00301C43">
              <w:rPr>
                <w:rFonts w:ascii="Arial" w:hAnsi="Arial" w:cs="Arial"/>
                <w:color w:val="000000"/>
                <w:sz w:val="20"/>
              </w:rPr>
              <w:t>FY 2017</w:t>
            </w:r>
          </w:p>
        </w:tc>
        <w:tc>
          <w:tcPr>
            <w:tcW w:w="1350" w:type="dxa"/>
            <w:tcBorders>
              <w:top w:val="nil"/>
              <w:left w:val="nil"/>
              <w:bottom w:val="single" w:sz="8" w:space="0" w:color="auto"/>
              <w:right w:val="single" w:sz="8" w:space="0" w:color="auto"/>
            </w:tcBorders>
            <w:shd w:val="clear" w:color="auto" w:fill="auto"/>
            <w:noWrap/>
            <w:vAlign w:val="center"/>
          </w:tcPr>
          <w:p w:rsidR="00222035" w:rsidRPr="00301C43" w:rsidP="00222035" w14:paraId="464AC83C" w14:textId="5B097DCE">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3DF0846F" w14:textId="65854C14">
            <w:pPr>
              <w:jc w:val="right"/>
              <w:rPr>
                <w:rFonts w:ascii="Arial" w:hAnsi="Arial" w:cs="Arial"/>
                <w:color w:val="000000"/>
                <w:sz w:val="20"/>
              </w:rPr>
            </w:pPr>
            <w:r w:rsidRPr="00301C43">
              <w:rPr>
                <w:rFonts w:ascii="Arial" w:hAnsi="Arial" w:cs="Arial"/>
                <w:color w:val="000000"/>
                <w:sz w:val="20"/>
              </w:rPr>
              <w:t>$355,38</w:t>
            </w:r>
            <w:r w:rsidR="00A4243F">
              <w:rPr>
                <w:rFonts w:ascii="Arial" w:hAnsi="Arial" w:cs="Arial"/>
                <w:color w:val="000000"/>
                <w:sz w:val="20"/>
              </w:rPr>
              <w:t>5</w:t>
            </w:r>
            <w:r w:rsidRPr="00301C43">
              <w:rPr>
                <w:rFonts w:ascii="Arial" w:hAnsi="Arial" w:cs="Arial"/>
                <w:color w:val="000000"/>
                <w:sz w:val="20"/>
              </w:rPr>
              <w:t xml:space="preserve"> </w:t>
            </w:r>
          </w:p>
        </w:tc>
        <w:tc>
          <w:tcPr>
            <w:tcW w:w="1620" w:type="dxa"/>
            <w:tcBorders>
              <w:top w:val="nil"/>
              <w:left w:val="nil"/>
              <w:bottom w:val="single" w:sz="8" w:space="0" w:color="auto"/>
              <w:right w:val="single" w:sz="8" w:space="0" w:color="auto"/>
            </w:tcBorders>
            <w:shd w:val="clear" w:color="auto" w:fill="auto"/>
            <w:noWrap/>
            <w:vAlign w:val="center"/>
          </w:tcPr>
          <w:p w:rsidR="00222035" w:rsidRPr="00301C43" w:rsidP="00222035" w14:paraId="4F15599C" w14:textId="15C5A06E">
            <w:pPr>
              <w:jc w:val="right"/>
              <w:rPr>
                <w:rFonts w:ascii="Arial" w:hAnsi="Arial" w:cs="Arial"/>
                <w:color w:val="000000"/>
                <w:sz w:val="20"/>
              </w:rPr>
            </w:pPr>
            <w:r w:rsidRPr="00301C43">
              <w:rPr>
                <w:rFonts w:ascii="Arial" w:hAnsi="Arial" w:cs="Arial"/>
                <w:color w:val="000000"/>
                <w:sz w:val="20"/>
              </w:rPr>
              <w:t>$</w:t>
            </w:r>
            <w:r w:rsidR="005B65E5">
              <w:rPr>
                <w:rFonts w:ascii="Arial" w:hAnsi="Arial" w:cs="Arial"/>
                <w:color w:val="000000"/>
                <w:sz w:val="20"/>
              </w:rPr>
              <w:t>3,715,296</w:t>
            </w:r>
            <w:r w:rsidRPr="00301C43">
              <w:rPr>
                <w:rFonts w:ascii="Arial" w:hAnsi="Arial" w:cs="Arial"/>
                <w:color w:val="000000"/>
                <w:sz w:val="20"/>
              </w:rPr>
              <w:t xml:space="preserve"> </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011B93DC" w14:textId="323FBAE3">
            <w:pPr>
              <w:jc w:val="right"/>
              <w:rPr>
                <w:rFonts w:ascii="Arial" w:hAnsi="Arial" w:cs="Arial"/>
                <w:color w:val="000000"/>
                <w:sz w:val="20"/>
              </w:rPr>
            </w:pPr>
            <w:r w:rsidRPr="00301C43">
              <w:rPr>
                <w:rFonts w:ascii="Arial" w:hAnsi="Arial" w:cs="Arial"/>
                <w:color w:val="000000"/>
                <w:sz w:val="20"/>
              </w:rPr>
              <w:t>$4,</w:t>
            </w:r>
            <w:r w:rsidR="009A74C7">
              <w:rPr>
                <w:rFonts w:ascii="Arial" w:hAnsi="Arial" w:cs="Arial"/>
                <w:color w:val="000000"/>
                <w:sz w:val="20"/>
              </w:rPr>
              <w:t>070,681</w:t>
            </w:r>
            <w:r w:rsidRPr="00301C43">
              <w:rPr>
                <w:rFonts w:ascii="Arial" w:hAnsi="Arial" w:cs="Arial"/>
                <w:color w:val="000000"/>
                <w:sz w:val="20"/>
              </w:rPr>
              <w:t xml:space="preserve"> </w:t>
            </w:r>
          </w:p>
        </w:tc>
      </w:tr>
      <w:tr w14:paraId="29FAB0F2"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tcPr>
          <w:p w:rsidR="00222035" w:rsidRPr="00301C43" w:rsidP="00222035" w14:paraId="2B1CEF64" w14:textId="0EF35A9A">
            <w:pPr>
              <w:jc w:val="center"/>
              <w:rPr>
                <w:rFonts w:ascii="Arial" w:hAnsi="Arial" w:cs="Arial"/>
                <w:color w:val="000000"/>
                <w:sz w:val="20"/>
              </w:rPr>
            </w:pPr>
            <w:r w:rsidRPr="00301C43">
              <w:rPr>
                <w:rFonts w:ascii="Arial" w:hAnsi="Arial" w:cs="Arial"/>
                <w:color w:val="000000"/>
                <w:sz w:val="20"/>
              </w:rPr>
              <w:t>FY 2018</w:t>
            </w:r>
          </w:p>
        </w:tc>
        <w:tc>
          <w:tcPr>
            <w:tcW w:w="1350" w:type="dxa"/>
            <w:tcBorders>
              <w:top w:val="nil"/>
              <w:left w:val="nil"/>
              <w:bottom w:val="single" w:sz="8" w:space="0" w:color="auto"/>
              <w:right w:val="single" w:sz="8" w:space="0" w:color="auto"/>
            </w:tcBorders>
            <w:shd w:val="clear" w:color="auto" w:fill="auto"/>
            <w:noWrap/>
            <w:vAlign w:val="center"/>
          </w:tcPr>
          <w:p w:rsidR="00222035" w:rsidRPr="00301C43" w:rsidP="00222035" w14:paraId="1018986D" w14:textId="28E770A8">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1A9C3533" w14:textId="51D9A509">
            <w:pPr>
              <w:jc w:val="right"/>
              <w:rPr>
                <w:rFonts w:ascii="Arial" w:hAnsi="Arial" w:cs="Arial"/>
                <w:color w:val="000000"/>
                <w:sz w:val="20"/>
              </w:rPr>
            </w:pPr>
            <w:r w:rsidRPr="00301C43">
              <w:rPr>
                <w:rFonts w:ascii="Arial" w:hAnsi="Arial" w:cs="Arial"/>
                <w:color w:val="000000"/>
                <w:sz w:val="20"/>
              </w:rPr>
              <w:t xml:space="preserve">$366,047 </w:t>
            </w:r>
          </w:p>
        </w:tc>
        <w:tc>
          <w:tcPr>
            <w:tcW w:w="1620" w:type="dxa"/>
            <w:tcBorders>
              <w:top w:val="nil"/>
              <w:left w:val="nil"/>
              <w:bottom w:val="single" w:sz="8" w:space="0" w:color="auto"/>
              <w:right w:val="single" w:sz="8" w:space="0" w:color="auto"/>
            </w:tcBorders>
            <w:shd w:val="clear" w:color="auto" w:fill="auto"/>
            <w:noWrap/>
            <w:vAlign w:val="center"/>
          </w:tcPr>
          <w:p w:rsidR="00222035" w:rsidRPr="00301C43" w:rsidP="00222035" w14:paraId="75B1AC12" w14:textId="7E7D8126">
            <w:pPr>
              <w:jc w:val="right"/>
              <w:rPr>
                <w:rFonts w:ascii="Arial" w:hAnsi="Arial" w:cs="Arial"/>
                <w:color w:val="000000"/>
                <w:sz w:val="20"/>
              </w:rPr>
            </w:pPr>
            <w:r w:rsidRPr="00301C43">
              <w:rPr>
                <w:rFonts w:ascii="Arial" w:hAnsi="Arial" w:cs="Arial"/>
                <w:color w:val="000000"/>
                <w:sz w:val="20"/>
              </w:rPr>
              <w:t>$</w:t>
            </w:r>
            <w:r w:rsidR="005B65E5">
              <w:rPr>
                <w:rFonts w:ascii="Arial" w:hAnsi="Arial" w:cs="Arial"/>
                <w:color w:val="000000"/>
                <w:sz w:val="20"/>
              </w:rPr>
              <w:t>2,913,690</w:t>
            </w:r>
            <w:r w:rsidRPr="00301C43">
              <w:rPr>
                <w:rFonts w:ascii="Arial" w:hAnsi="Arial" w:cs="Arial"/>
                <w:color w:val="000000"/>
                <w:sz w:val="20"/>
              </w:rPr>
              <w:t xml:space="preserve"> </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3C231C1F" w14:textId="56A89C04">
            <w:pPr>
              <w:jc w:val="right"/>
              <w:rPr>
                <w:rFonts w:ascii="Arial" w:hAnsi="Arial" w:cs="Arial"/>
                <w:color w:val="000000"/>
                <w:sz w:val="20"/>
              </w:rPr>
            </w:pPr>
            <w:r w:rsidRPr="00301C43">
              <w:rPr>
                <w:rFonts w:ascii="Arial" w:hAnsi="Arial" w:cs="Arial"/>
                <w:color w:val="000000"/>
                <w:sz w:val="20"/>
              </w:rPr>
              <w:t>$</w:t>
            </w:r>
            <w:r w:rsidR="009A74C7">
              <w:rPr>
                <w:rFonts w:ascii="Arial" w:hAnsi="Arial" w:cs="Arial"/>
                <w:color w:val="000000"/>
                <w:sz w:val="20"/>
              </w:rPr>
              <w:t>3,279,737</w:t>
            </w:r>
            <w:r w:rsidRPr="00301C43">
              <w:rPr>
                <w:rFonts w:ascii="Arial" w:hAnsi="Arial" w:cs="Arial"/>
                <w:color w:val="000000"/>
                <w:sz w:val="20"/>
              </w:rPr>
              <w:t xml:space="preserve"> </w:t>
            </w:r>
          </w:p>
        </w:tc>
      </w:tr>
      <w:tr w14:paraId="3741798D" w14:textId="77777777" w:rsidTr="004E56CD">
        <w:tblPrEx>
          <w:tblW w:w="9460" w:type="dxa"/>
          <w:tblInd w:w="98" w:type="dxa"/>
          <w:tblLayout w:type="fixed"/>
          <w:tblLook w:val="04A0"/>
        </w:tblPrEx>
        <w:trPr>
          <w:trHeight w:val="300"/>
        </w:trPr>
        <w:tc>
          <w:tcPr>
            <w:tcW w:w="2170" w:type="dxa"/>
            <w:gridSpan w:val="2"/>
            <w:tcBorders>
              <w:top w:val="nil"/>
              <w:left w:val="single" w:sz="8" w:space="0" w:color="auto"/>
              <w:bottom w:val="nil"/>
              <w:right w:val="nil"/>
            </w:tcBorders>
            <w:shd w:val="clear" w:color="000000" w:fill="EEECE1"/>
            <w:noWrap/>
            <w:vAlign w:val="center"/>
            <w:hideMark/>
          </w:tcPr>
          <w:p w:rsidR="00222035" w:rsidRPr="00301C43" w:rsidP="00222035" w14:paraId="3F0CAFBC" w14:textId="77777777">
            <w:pPr>
              <w:jc w:val="right"/>
              <w:rPr>
                <w:rFonts w:ascii="Arial" w:hAnsi="Arial" w:cs="Arial"/>
                <w:color w:val="000000"/>
                <w:sz w:val="20"/>
              </w:rPr>
            </w:pPr>
            <w:r w:rsidRPr="00301C43">
              <w:rPr>
                <w:rFonts w:ascii="Arial" w:hAnsi="Arial" w:cs="Arial"/>
                <w:color w:val="000000"/>
                <w:sz w:val="20"/>
              </w:rPr>
              <w:t>Total</w:t>
            </w:r>
          </w:p>
        </w:tc>
        <w:tc>
          <w:tcPr>
            <w:tcW w:w="1350" w:type="dxa"/>
            <w:tcBorders>
              <w:top w:val="nil"/>
              <w:left w:val="nil"/>
              <w:bottom w:val="nil"/>
              <w:right w:val="nil"/>
            </w:tcBorders>
            <w:shd w:val="clear" w:color="000000" w:fill="EEECE1"/>
            <w:noWrap/>
            <w:vAlign w:val="center"/>
            <w:hideMark/>
          </w:tcPr>
          <w:p w:rsidR="00222035" w:rsidRPr="00301C43" w:rsidP="00222035" w14:paraId="64BE9829" w14:textId="77777777">
            <w:pPr>
              <w:rPr>
                <w:rFonts w:ascii="Arial" w:hAnsi="Arial" w:cs="Arial"/>
                <w:color w:val="000000"/>
                <w:sz w:val="20"/>
              </w:rPr>
            </w:pPr>
            <w:r w:rsidRPr="00301C43">
              <w:rPr>
                <w:rFonts w:ascii="Arial" w:hAnsi="Arial" w:cs="Arial"/>
                <w:color w:val="000000"/>
                <w:sz w:val="20"/>
              </w:rPr>
              <w:t> </w:t>
            </w:r>
          </w:p>
        </w:tc>
        <w:tc>
          <w:tcPr>
            <w:tcW w:w="2160" w:type="dxa"/>
            <w:tcBorders>
              <w:top w:val="nil"/>
              <w:left w:val="nil"/>
              <w:bottom w:val="nil"/>
              <w:right w:val="nil"/>
            </w:tcBorders>
            <w:shd w:val="clear" w:color="000000" w:fill="EEECE1"/>
            <w:noWrap/>
            <w:vAlign w:val="center"/>
            <w:hideMark/>
          </w:tcPr>
          <w:p w:rsidR="00222035" w:rsidRPr="00301C43" w:rsidP="00222035" w14:paraId="7EE04710" w14:textId="40C8DE38">
            <w:pPr>
              <w:jc w:val="right"/>
              <w:rPr>
                <w:rFonts w:ascii="Arial" w:hAnsi="Arial" w:cs="Arial"/>
                <w:color w:val="000000"/>
                <w:sz w:val="20"/>
              </w:rPr>
            </w:pPr>
            <w:r w:rsidRPr="00301C43">
              <w:rPr>
                <w:rFonts w:ascii="Arial" w:hAnsi="Arial" w:cs="Arial"/>
                <w:color w:val="000000"/>
                <w:sz w:val="20"/>
              </w:rPr>
              <w:t>$</w:t>
            </w:r>
            <w:r w:rsidRPr="00222035">
              <w:rPr>
                <w:rFonts w:ascii="Arial" w:hAnsi="Arial" w:cs="Arial"/>
                <w:color w:val="000000"/>
                <w:sz w:val="20"/>
              </w:rPr>
              <w:t>3,752,94</w:t>
            </w:r>
            <w:r w:rsidR="007E760B">
              <w:rPr>
                <w:rFonts w:ascii="Arial" w:hAnsi="Arial" w:cs="Arial"/>
                <w:color w:val="000000"/>
                <w:sz w:val="20"/>
              </w:rPr>
              <w:t>0</w:t>
            </w:r>
          </w:p>
        </w:tc>
        <w:tc>
          <w:tcPr>
            <w:tcW w:w="1620" w:type="dxa"/>
            <w:tcBorders>
              <w:top w:val="nil"/>
              <w:left w:val="nil"/>
              <w:bottom w:val="nil"/>
              <w:right w:val="nil"/>
            </w:tcBorders>
            <w:shd w:val="clear" w:color="000000" w:fill="EEECE1"/>
            <w:noWrap/>
            <w:vAlign w:val="center"/>
            <w:hideMark/>
          </w:tcPr>
          <w:p w:rsidR="00222035" w:rsidRPr="00301C43" w:rsidP="00222035" w14:paraId="7D133FC6" w14:textId="4ABDFA56">
            <w:pPr>
              <w:jc w:val="right"/>
              <w:rPr>
                <w:rFonts w:ascii="Arial" w:hAnsi="Arial" w:cs="Arial"/>
                <w:color w:val="000000"/>
                <w:sz w:val="20"/>
              </w:rPr>
            </w:pPr>
            <w:r w:rsidRPr="00301C43">
              <w:rPr>
                <w:rFonts w:ascii="Arial" w:hAnsi="Arial" w:cs="Arial"/>
                <w:color w:val="000000"/>
                <w:sz w:val="20"/>
              </w:rPr>
              <w:t>$</w:t>
            </w:r>
            <w:r w:rsidRPr="00222035">
              <w:rPr>
                <w:rFonts w:ascii="Arial" w:hAnsi="Arial" w:cs="Arial"/>
                <w:color w:val="000000"/>
                <w:sz w:val="20"/>
              </w:rPr>
              <w:t>4</w:t>
            </w:r>
            <w:r w:rsidR="005B65E5">
              <w:rPr>
                <w:rFonts w:ascii="Arial" w:hAnsi="Arial" w:cs="Arial"/>
                <w:color w:val="000000"/>
                <w:sz w:val="20"/>
              </w:rPr>
              <w:t>4,109,888</w:t>
            </w:r>
          </w:p>
        </w:tc>
        <w:tc>
          <w:tcPr>
            <w:tcW w:w="2160" w:type="dxa"/>
            <w:tcBorders>
              <w:top w:val="nil"/>
              <w:left w:val="nil"/>
              <w:right w:val="single" w:sz="8" w:space="0" w:color="auto"/>
            </w:tcBorders>
            <w:shd w:val="clear" w:color="000000" w:fill="EEECE1"/>
            <w:noWrap/>
            <w:vAlign w:val="center"/>
            <w:hideMark/>
          </w:tcPr>
          <w:p w:rsidR="00222035" w:rsidRPr="00301C43" w:rsidP="00222035" w14:paraId="66827EA5" w14:textId="732792C6">
            <w:pPr>
              <w:jc w:val="right"/>
              <w:rPr>
                <w:rFonts w:ascii="Arial" w:hAnsi="Arial" w:cs="Arial"/>
                <w:color w:val="000000"/>
                <w:sz w:val="20"/>
              </w:rPr>
            </w:pPr>
            <w:r w:rsidRPr="00301C43">
              <w:rPr>
                <w:rFonts w:ascii="Arial" w:hAnsi="Arial" w:cs="Arial"/>
                <w:color w:val="000000"/>
                <w:sz w:val="20"/>
              </w:rPr>
              <w:t>$</w:t>
            </w:r>
            <w:r w:rsidRPr="00222035">
              <w:rPr>
                <w:rFonts w:ascii="Arial" w:hAnsi="Arial" w:cs="Arial"/>
                <w:color w:val="000000"/>
                <w:sz w:val="20"/>
              </w:rPr>
              <w:t>4</w:t>
            </w:r>
            <w:r w:rsidR="009A74C7">
              <w:rPr>
                <w:rFonts w:ascii="Arial" w:hAnsi="Arial" w:cs="Arial"/>
                <w:color w:val="000000"/>
                <w:sz w:val="20"/>
              </w:rPr>
              <w:t>7,862,829</w:t>
            </w:r>
          </w:p>
        </w:tc>
      </w:tr>
      <w:tr w14:paraId="0B957571"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nil"/>
            </w:tcBorders>
            <w:shd w:val="clear" w:color="000000" w:fill="EEECE1"/>
            <w:noWrap/>
            <w:vAlign w:val="center"/>
            <w:hideMark/>
          </w:tcPr>
          <w:p w:rsidR="00222035" w:rsidRPr="00301C43" w:rsidP="00222035" w14:paraId="65E0E87E" w14:textId="77777777">
            <w:pPr>
              <w:jc w:val="right"/>
              <w:rPr>
                <w:rFonts w:ascii="Arial" w:hAnsi="Arial" w:cs="Arial"/>
                <w:color w:val="000000"/>
                <w:sz w:val="20"/>
              </w:rPr>
            </w:pPr>
            <w:r w:rsidRPr="00301C43">
              <w:rPr>
                <w:rFonts w:ascii="Arial" w:hAnsi="Arial" w:cs="Arial"/>
                <w:color w:val="000000"/>
                <w:sz w:val="20"/>
              </w:rPr>
              <w:t>Annualized Total</w:t>
            </w:r>
          </w:p>
        </w:tc>
        <w:tc>
          <w:tcPr>
            <w:tcW w:w="1350" w:type="dxa"/>
            <w:tcBorders>
              <w:top w:val="nil"/>
              <w:left w:val="nil"/>
              <w:bottom w:val="nil"/>
              <w:right w:val="nil"/>
            </w:tcBorders>
            <w:shd w:val="clear" w:color="000000" w:fill="EEECE1"/>
            <w:noWrap/>
            <w:vAlign w:val="center"/>
            <w:hideMark/>
          </w:tcPr>
          <w:p w:rsidR="00222035" w:rsidRPr="00301C43" w:rsidP="00222035" w14:paraId="0044148D" w14:textId="77777777">
            <w:pPr>
              <w:rPr>
                <w:rFonts w:ascii="Arial" w:hAnsi="Arial" w:cs="Arial"/>
                <w:color w:val="000000"/>
                <w:sz w:val="20"/>
              </w:rPr>
            </w:pPr>
            <w:r w:rsidRPr="00301C43">
              <w:rPr>
                <w:rFonts w:ascii="Arial" w:hAnsi="Arial" w:cs="Arial"/>
                <w:color w:val="000000"/>
                <w:sz w:val="20"/>
              </w:rPr>
              <w:t> </w:t>
            </w:r>
          </w:p>
        </w:tc>
        <w:tc>
          <w:tcPr>
            <w:tcW w:w="2160" w:type="dxa"/>
            <w:tcBorders>
              <w:top w:val="nil"/>
              <w:left w:val="nil"/>
              <w:bottom w:val="nil"/>
              <w:right w:val="nil"/>
            </w:tcBorders>
            <w:shd w:val="clear" w:color="000000" w:fill="EEECE1"/>
            <w:noWrap/>
            <w:vAlign w:val="center"/>
            <w:hideMark/>
          </w:tcPr>
          <w:p w:rsidR="00222035" w:rsidRPr="00301C43" w:rsidP="00222035" w14:paraId="4ED5127B" w14:textId="1AF4DE42">
            <w:pPr>
              <w:jc w:val="right"/>
              <w:rPr>
                <w:rFonts w:ascii="Arial" w:hAnsi="Arial" w:cs="Arial"/>
                <w:color w:val="000000"/>
                <w:sz w:val="20"/>
              </w:rPr>
            </w:pPr>
            <w:r w:rsidRPr="00301C43">
              <w:rPr>
                <w:rFonts w:ascii="Arial" w:hAnsi="Arial" w:cs="Arial"/>
                <w:color w:val="000000"/>
                <w:sz w:val="20"/>
              </w:rPr>
              <w:t>$</w:t>
            </w:r>
            <w:r w:rsidR="007E760B">
              <w:rPr>
                <w:rFonts w:ascii="Arial" w:hAnsi="Arial" w:cs="Arial"/>
                <w:color w:val="000000"/>
                <w:sz w:val="20"/>
              </w:rPr>
              <w:t>288,688</w:t>
            </w:r>
            <w:r w:rsidRPr="00301C43">
              <w:rPr>
                <w:rFonts w:ascii="Arial" w:hAnsi="Arial" w:cs="Arial"/>
                <w:color w:val="000000"/>
                <w:sz w:val="20"/>
              </w:rPr>
              <w:t xml:space="preserve"> </w:t>
            </w:r>
          </w:p>
        </w:tc>
        <w:tc>
          <w:tcPr>
            <w:tcW w:w="1620" w:type="dxa"/>
            <w:tcBorders>
              <w:top w:val="nil"/>
              <w:left w:val="nil"/>
              <w:bottom w:val="nil"/>
              <w:right w:val="nil"/>
            </w:tcBorders>
            <w:shd w:val="clear" w:color="000000" w:fill="EEECE1"/>
            <w:noWrap/>
            <w:vAlign w:val="center"/>
            <w:hideMark/>
          </w:tcPr>
          <w:p w:rsidR="00222035" w:rsidRPr="00301C43" w:rsidP="00222035" w14:paraId="5F32C76F" w14:textId="414E4E62">
            <w:pPr>
              <w:jc w:val="right"/>
              <w:rPr>
                <w:rFonts w:ascii="Arial" w:hAnsi="Arial" w:cs="Arial"/>
                <w:color w:val="000000"/>
                <w:sz w:val="20"/>
              </w:rPr>
            </w:pPr>
            <w:r w:rsidRPr="00301C43">
              <w:rPr>
                <w:rFonts w:ascii="Arial" w:hAnsi="Arial" w:cs="Arial"/>
                <w:color w:val="000000"/>
                <w:sz w:val="20"/>
              </w:rPr>
              <w:t>$</w:t>
            </w:r>
            <w:r w:rsidRPr="00222035">
              <w:rPr>
                <w:rFonts w:ascii="Arial" w:hAnsi="Arial" w:cs="Arial"/>
                <w:color w:val="000000"/>
                <w:sz w:val="20"/>
              </w:rPr>
              <w:t>3,</w:t>
            </w:r>
            <w:r w:rsidR="005B65E5">
              <w:rPr>
                <w:rFonts w:ascii="Arial" w:hAnsi="Arial" w:cs="Arial"/>
                <w:color w:val="000000"/>
                <w:sz w:val="20"/>
              </w:rPr>
              <w:t>393,068</w:t>
            </w:r>
          </w:p>
        </w:tc>
        <w:tc>
          <w:tcPr>
            <w:tcW w:w="2160" w:type="dxa"/>
            <w:tcBorders>
              <w:top w:val="nil"/>
              <w:left w:val="nil"/>
              <w:bottom w:val="single" w:sz="8" w:space="0" w:color="auto"/>
              <w:right w:val="single" w:sz="4" w:space="0" w:color="auto"/>
            </w:tcBorders>
            <w:shd w:val="clear" w:color="000000" w:fill="EEECE1"/>
            <w:noWrap/>
            <w:vAlign w:val="center"/>
            <w:hideMark/>
          </w:tcPr>
          <w:p w:rsidR="00222035" w:rsidRPr="00301C43" w:rsidP="00222035" w14:paraId="3A19D1E1" w14:textId="1C088351">
            <w:pPr>
              <w:jc w:val="right"/>
              <w:rPr>
                <w:rFonts w:ascii="Arial" w:hAnsi="Arial" w:cs="Arial"/>
                <w:color w:val="000000"/>
                <w:sz w:val="20"/>
              </w:rPr>
            </w:pPr>
            <w:r w:rsidRPr="00301C43">
              <w:rPr>
                <w:rFonts w:ascii="Arial" w:hAnsi="Arial" w:cs="Arial"/>
                <w:color w:val="000000"/>
                <w:sz w:val="20"/>
              </w:rPr>
              <w:t>$</w:t>
            </w:r>
            <w:r w:rsidRPr="00222035">
              <w:rPr>
                <w:rFonts w:ascii="Arial" w:hAnsi="Arial" w:cs="Arial"/>
                <w:color w:val="000000"/>
                <w:sz w:val="20"/>
              </w:rPr>
              <w:t>3,</w:t>
            </w:r>
            <w:r w:rsidR="009A74C7">
              <w:rPr>
                <w:rFonts w:ascii="Arial" w:hAnsi="Arial" w:cs="Arial"/>
                <w:color w:val="000000"/>
                <w:sz w:val="20"/>
              </w:rPr>
              <w:t>681,756</w:t>
            </w:r>
          </w:p>
        </w:tc>
      </w:tr>
      <w:tr w14:paraId="5291620F"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nil"/>
              <w:right w:val="nil"/>
            </w:tcBorders>
            <w:shd w:val="clear" w:color="000000" w:fill="DCE6F1"/>
            <w:noWrap/>
            <w:vAlign w:val="center"/>
            <w:hideMark/>
          </w:tcPr>
          <w:p w:rsidR="00222035" w:rsidRPr="00301C43" w:rsidP="00222035" w14:paraId="7FC71536" w14:textId="77777777">
            <w:pPr>
              <w:rPr>
                <w:rFonts w:ascii="Arial" w:hAnsi="Arial" w:cs="Arial"/>
                <w:b/>
                <w:bCs/>
                <w:color w:val="000000"/>
                <w:sz w:val="20"/>
              </w:rPr>
            </w:pPr>
            <w:r w:rsidRPr="00301C43">
              <w:rPr>
                <w:rFonts w:ascii="Arial" w:hAnsi="Arial" w:cs="Arial"/>
                <w:b/>
                <w:bCs/>
                <w:color w:val="000000"/>
                <w:sz w:val="20"/>
              </w:rPr>
              <w:t>Past 3 Years</w:t>
            </w:r>
          </w:p>
        </w:tc>
        <w:tc>
          <w:tcPr>
            <w:tcW w:w="1350" w:type="dxa"/>
            <w:tcBorders>
              <w:top w:val="single" w:sz="8" w:space="0" w:color="auto"/>
              <w:left w:val="nil"/>
              <w:bottom w:val="nil"/>
              <w:right w:val="nil"/>
            </w:tcBorders>
            <w:shd w:val="clear" w:color="000000" w:fill="DCE6F1"/>
            <w:noWrap/>
            <w:vAlign w:val="center"/>
            <w:hideMark/>
          </w:tcPr>
          <w:p w:rsidR="00222035" w:rsidRPr="00301C43" w:rsidP="00222035" w14:paraId="1385BC6B" w14:textId="77777777">
            <w:pPr>
              <w:rPr>
                <w:rFonts w:ascii="Arial" w:hAnsi="Arial" w:cs="Arial"/>
                <w:b/>
                <w:bCs/>
                <w:color w:val="000000"/>
                <w:sz w:val="20"/>
              </w:rPr>
            </w:pPr>
            <w:r w:rsidRPr="00301C43">
              <w:rPr>
                <w:rFonts w:ascii="Arial" w:hAnsi="Arial" w:cs="Arial"/>
                <w:b/>
                <w:bCs/>
                <w:color w:val="000000"/>
                <w:sz w:val="20"/>
              </w:rPr>
              <w:t> </w:t>
            </w:r>
          </w:p>
        </w:tc>
        <w:tc>
          <w:tcPr>
            <w:tcW w:w="2160" w:type="dxa"/>
            <w:tcBorders>
              <w:top w:val="single" w:sz="8" w:space="0" w:color="auto"/>
              <w:left w:val="nil"/>
              <w:bottom w:val="nil"/>
              <w:right w:val="nil"/>
            </w:tcBorders>
            <w:shd w:val="clear" w:color="000000" w:fill="DCE6F1"/>
            <w:noWrap/>
            <w:vAlign w:val="center"/>
            <w:hideMark/>
          </w:tcPr>
          <w:p w:rsidR="00222035" w:rsidRPr="00301C43" w:rsidP="00222035" w14:paraId="0C9A1BD5" w14:textId="77777777">
            <w:pPr>
              <w:rPr>
                <w:rFonts w:ascii="Arial" w:hAnsi="Arial" w:cs="Arial"/>
                <w:b/>
                <w:bCs/>
                <w:color w:val="000000"/>
                <w:sz w:val="20"/>
              </w:rPr>
            </w:pPr>
            <w:r w:rsidRPr="00301C43">
              <w:rPr>
                <w:rFonts w:ascii="Arial" w:hAnsi="Arial" w:cs="Arial"/>
                <w:b/>
                <w:bCs/>
                <w:color w:val="000000"/>
                <w:sz w:val="20"/>
              </w:rPr>
              <w:t> </w:t>
            </w:r>
          </w:p>
        </w:tc>
        <w:tc>
          <w:tcPr>
            <w:tcW w:w="1620" w:type="dxa"/>
            <w:tcBorders>
              <w:top w:val="single" w:sz="8" w:space="0" w:color="auto"/>
              <w:left w:val="nil"/>
              <w:bottom w:val="nil"/>
              <w:right w:val="nil"/>
            </w:tcBorders>
            <w:shd w:val="clear" w:color="000000" w:fill="DCE6F1"/>
            <w:noWrap/>
            <w:vAlign w:val="center"/>
            <w:hideMark/>
          </w:tcPr>
          <w:p w:rsidR="00222035" w:rsidRPr="00301C43" w:rsidP="00222035" w14:paraId="0F2A6E62" w14:textId="77777777">
            <w:pPr>
              <w:rPr>
                <w:rFonts w:ascii="Arial" w:hAnsi="Arial" w:cs="Arial"/>
                <w:b/>
                <w:bCs/>
                <w:color w:val="000000"/>
                <w:sz w:val="20"/>
              </w:rPr>
            </w:pPr>
            <w:r w:rsidRPr="00301C43">
              <w:rPr>
                <w:rFonts w:ascii="Arial" w:hAnsi="Arial" w:cs="Arial"/>
                <w:b/>
                <w:bCs/>
                <w:color w:val="000000"/>
                <w:sz w:val="20"/>
              </w:rPr>
              <w:t> </w:t>
            </w:r>
          </w:p>
        </w:tc>
        <w:tc>
          <w:tcPr>
            <w:tcW w:w="2160" w:type="dxa"/>
            <w:tcBorders>
              <w:top w:val="single" w:sz="8" w:space="0" w:color="auto"/>
              <w:left w:val="nil"/>
              <w:bottom w:val="nil"/>
              <w:right w:val="single" w:sz="8" w:space="0" w:color="auto"/>
            </w:tcBorders>
            <w:shd w:val="clear" w:color="000000" w:fill="DCE6F1"/>
            <w:noWrap/>
            <w:vAlign w:val="center"/>
            <w:hideMark/>
          </w:tcPr>
          <w:p w:rsidR="00222035" w:rsidRPr="00301C43" w:rsidP="00222035" w14:paraId="69D95B53" w14:textId="77777777">
            <w:pPr>
              <w:rPr>
                <w:rFonts w:ascii="Arial" w:hAnsi="Arial" w:cs="Arial"/>
                <w:b/>
                <w:bCs/>
                <w:color w:val="000000"/>
                <w:sz w:val="20"/>
              </w:rPr>
            </w:pPr>
            <w:r w:rsidRPr="00301C43">
              <w:rPr>
                <w:rFonts w:ascii="Arial" w:hAnsi="Arial" w:cs="Arial"/>
                <w:b/>
                <w:bCs/>
                <w:color w:val="000000"/>
                <w:sz w:val="20"/>
              </w:rPr>
              <w:t> </w:t>
            </w:r>
          </w:p>
        </w:tc>
      </w:tr>
      <w:tr w14:paraId="135E55A2" w14:textId="77777777" w:rsidTr="004E56CD">
        <w:tblPrEx>
          <w:tblW w:w="9460" w:type="dxa"/>
          <w:tblInd w:w="98" w:type="dxa"/>
          <w:tblLayout w:type="fixed"/>
          <w:tblLook w:val="04A0"/>
        </w:tblPrEx>
        <w:trPr>
          <w:trHeight w:val="315"/>
        </w:trPr>
        <w:tc>
          <w:tcPr>
            <w:tcW w:w="21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2035" w:rsidRPr="00301C43" w:rsidP="00222035" w14:paraId="2E6BAA4C" w14:textId="229E139E">
            <w:pPr>
              <w:jc w:val="center"/>
              <w:rPr>
                <w:rFonts w:ascii="Arial" w:hAnsi="Arial" w:cs="Arial"/>
                <w:color w:val="000000"/>
                <w:sz w:val="20"/>
              </w:rPr>
            </w:pPr>
            <w:r w:rsidRPr="00301C43">
              <w:rPr>
                <w:rFonts w:ascii="Arial" w:hAnsi="Arial" w:cs="Arial"/>
                <w:color w:val="000000"/>
                <w:sz w:val="20"/>
              </w:rPr>
              <w:t>FY 201</w:t>
            </w:r>
            <w:r>
              <w:rPr>
                <w:rFonts w:ascii="Arial" w:hAnsi="Arial" w:cs="Arial"/>
                <w:color w:val="000000"/>
                <w:sz w:val="20"/>
              </w:rPr>
              <w:t>9</w:t>
            </w:r>
          </w:p>
        </w:tc>
        <w:tc>
          <w:tcPr>
            <w:tcW w:w="1350" w:type="dxa"/>
            <w:tcBorders>
              <w:top w:val="single" w:sz="8" w:space="0" w:color="auto"/>
              <w:left w:val="nil"/>
              <w:bottom w:val="single" w:sz="8" w:space="0" w:color="auto"/>
              <w:right w:val="single" w:sz="8" w:space="0" w:color="auto"/>
            </w:tcBorders>
            <w:shd w:val="clear" w:color="auto" w:fill="auto"/>
            <w:noWrap/>
            <w:vAlign w:val="center"/>
          </w:tcPr>
          <w:p w:rsidR="00222035" w:rsidRPr="00301C43" w:rsidP="00222035" w14:paraId="7370FF12" w14:textId="1731D083">
            <w:pPr>
              <w:jc w:val="center"/>
              <w:rPr>
                <w:rFonts w:ascii="Arial" w:hAnsi="Arial" w:cs="Arial"/>
                <w:color w:val="000000"/>
                <w:sz w:val="20"/>
              </w:rPr>
            </w:pPr>
            <w:r w:rsidRPr="00301C43">
              <w:rPr>
                <w:rFonts w:ascii="Arial" w:hAnsi="Arial" w:cs="Arial"/>
                <w:color w:val="000000"/>
                <w:sz w:val="20"/>
              </w:rPr>
              <w:t>2.2</w:t>
            </w:r>
          </w:p>
        </w:tc>
        <w:tc>
          <w:tcPr>
            <w:tcW w:w="2160" w:type="dxa"/>
            <w:tcBorders>
              <w:top w:val="single" w:sz="8" w:space="0" w:color="auto"/>
              <w:left w:val="nil"/>
              <w:bottom w:val="single" w:sz="8" w:space="0" w:color="auto"/>
              <w:right w:val="single" w:sz="8" w:space="0" w:color="auto"/>
            </w:tcBorders>
            <w:shd w:val="clear" w:color="auto" w:fill="auto"/>
            <w:noWrap/>
          </w:tcPr>
          <w:p w:rsidR="00222035" w:rsidRPr="00222035" w:rsidP="00222035" w14:paraId="50F65118" w14:textId="7B13F2EE">
            <w:pPr>
              <w:jc w:val="right"/>
              <w:rPr>
                <w:rFonts w:ascii="Arial" w:hAnsi="Arial" w:cs="Arial"/>
                <w:color w:val="000000"/>
                <w:sz w:val="20"/>
                <w:szCs w:val="16"/>
              </w:rPr>
            </w:pPr>
            <w:r w:rsidRPr="00222035">
              <w:rPr>
                <w:rFonts w:ascii="Arial" w:hAnsi="Arial" w:cs="Arial"/>
                <w:sz w:val="20"/>
                <w:szCs w:val="16"/>
              </w:rPr>
              <w:t>$377,028</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222035" w:rsidRPr="00301C43" w:rsidP="00222035" w14:paraId="1491F3CB" w14:textId="36C2BA9C">
            <w:pPr>
              <w:jc w:val="right"/>
              <w:rPr>
                <w:rFonts w:ascii="Arial" w:hAnsi="Arial" w:cs="Arial"/>
                <w:color w:val="000000"/>
                <w:sz w:val="20"/>
              </w:rPr>
            </w:pPr>
            <w:r w:rsidRPr="005C1273">
              <w:rPr>
                <w:rFonts w:ascii="Arial" w:hAnsi="Arial" w:cs="Arial"/>
                <w:color w:val="000000"/>
                <w:sz w:val="20"/>
              </w:rPr>
              <w:t>$</w:t>
            </w:r>
            <w:r w:rsidR="005B65E5">
              <w:rPr>
                <w:rFonts w:ascii="Arial" w:hAnsi="Arial" w:cs="Arial"/>
                <w:color w:val="000000"/>
                <w:sz w:val="20"/>
              </w:rPr>
              <w:t>2,987,585</w:t>
            </w:r>
          </w:p>
        </w:tc>
        <w:tc>
          <w:tcPr>
            <w:tcW w:w="2160" w:type="dxa"/>
            <w:tcBorders>
              <w:top w:val="single" w:sz="8" w:space="0" w:color="auto"/>
              <w:left w:val="nil"/>
              <w:bottom w:val="single" w:sz="8" w:space="0" w:color="auto"/>
              <w:right w:val="single" w:sz="8" w:space="0" w:color="auto"/>
            </w:tcBorders>
            <w:shd w:val="clear" w:color="auto" w:fill="auto"/>
            <w:noWrap/>
            <w:vAlign w:val="center"/>
          </w:tcPr>
          <w:p w:rsidR="00222035" w:rsidRPr="00301C43" w:rsidP="00222035" w14:paraId="3E425FB4" w14:textId="0566A48F">
            <w:pPr>
              <w:jc w:val="right"/>
              <w:rPr>
                <w:rFonts w:ascii="Arial" w:hAnsi="Arial" w:cs="Arial"/>
                <w:color w:val="000000"/>
                <w:sz w:val="20"/>
              </w:rPr>
            </w:pPr>
            <w:r w:rsidRPr="005C1273">
              <w:rPr>
                <w:rFonts w:ascii="Arial" w:hAnsi="Arial" w:cs="Arial"/>
                <w:color w:val="000000"/>
                <w:sz w:val="20"/>
              </w:rPr>
              <w:t>$</w:t>
            </w:r>
            <w:r w:rsidRPr="001A7C12">
              <w:rPr>
                <w:rFonts w:ascii="Arial" w:hAnsi="Arial" w:cs="Arial"/>
                <w:color w:val="000000"/>
                <w:sz w:val="20"/>
              </w:rPr>
              <w:t>3,</w:t>
            </w:r>
            <w:r w:rsidR="009A74C7">
              <w:rPr>
                <w:rFonts w:ascii="Arial" w:hAnsi="Arial" w:cs="Arial"/>
                <w:color w:val="000000"/>
                <w:sz w:val="20"/>
              </w:rPr>
              <w:t>364,614</w:t>
            </w:r>
          </w:p>
        </w:tc>
      </w:tr>
      <w:tr w14:paraId="2E1A62C6"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222035" w14:paraId="2507E824" w14:textId="5C0D5217">
            <w:pPr>
              <w:jc w:val="center"/>
              <w:rPr>
                <w:rFonts w:ascii="Arial" w:hAnsi="Arial" w:cs="Arial"/>
                <w:color w:val="000000"/>
                <w:sz w:val="20"/>
              </w:rPr>
            </w:pPr>
            <w:r w:rsidRPr="00301C43">
              <w:rPr>
                <w:rFonts w:ascii="Arial" w:hAnsi="Arial" w:cs="Arial"/>
                <w:color w:val="000000"/>
                <w:sz w:val="20"/>
              </w:rPr>
              <w:t>FY 20</w:t>
            </w:r>
            <w:r>
              <w:rPr>
                <w:rFonts w:ascii="Arial" w:hAnsi="Arial" w:cs="Arial"/>
                <w:color w:val="000000"/>
                <w:sz w:val="20"/>
              </w:rPr>
              <w:t>20</w:t>
            </w:r>
          </w:p>
        </w:tc>
        <w:tc>
          <w:tcPr>
            <w:tcW w:w="1350" w:type="dxa"/>
            <w:tcBorders>
              <w:top w:val="nil"/>
              <w:left w:val="nil"/>
              <w:bottom w:val="single" w:sz="8" w:space="0" w:color="auto"/>
              <w:right w:val="single" w:sz="8" w:space="0" w:color="auto"/>
            </w:tcBorders>
            <w:shd w:val="clear" w:color="auto" w:fill="auto"/>
            <w:noWrap/>
            <w:vAlign w:val="center"/>
          </w:tcPr>
          <w:p w:rsidR="00222035" w:rsidRPr="00301C43" w:rsidP="00222035" w14:paraId="3B618113" w14:textId="6D18E49D">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tcPr>
          <w:p w:rsidR="00222035" w:rsidRPr="00222035" w:rsidP="00222035" w14:paraId="26A18122" w14:textId="475B7F62">
            <w:pPr>
              <w:jc w:val="right"/>
              <w:rPr>
                <w:rFonts w:ascii="Arial" w:hAnsi="Arial" w:cs="Arial"/>
                <w:color w:val="000000"/>
                <w:sz w:val="20"/>
                <w:szCs w:val="16"/>
              </w:rPr>
            </w:pPr>
            <w:r w:rsidRPr="00222035">
              <w:rPr>
                <w:rFonts w:ascii="Arial" w:hAnsi="Arial" w:cs="Arial"/>
                <w:sz w:val="20"/>
                <w:szCs w:val="16"/>
              </w:rPr>
              <w:t>$388,339</w:t>
            </w:r>
          </w:p>
        </w:tc>
        <w:tc>
          <w:tcPr>
            <w:tcW w:w="1620" w:type="dxa"/>
            <w:tcBorders>
              <w:top w:val="nil"/>
              <w:left w:val="nil"/>
              <w:bottom w:val="single" w:sz="8" w:space="0" w:color="auto"/>
              <w:right w:val="single" w:sz="8" w:space="0" w:color="auto"/>
            </w:tcBorders>
            <w:shd w:val="clear" w:color="auto" w:fill="auto"/>
            <w:noWrap/>
            <w:vAlign w:val="center"/>
          </w:tcPr>
          <w:p w:rsidR="00222035" w:rsidRPr="00301C43" w:rsidP="00222035" w14:paraId="1CE3B6EB" w14:textId="5F94680A">
            <w:pPr>
              <w:jc w:val="right"/>
              <w:rPr>
                <w:rFonts w:ascii="Arial" w:hAnsi="Arial" w:cs="Arial"/>
                <w:color w:val="000000"/>
                <w:sz w:val="20"/>
              </w:rPr>
            </w:pPr>
            <w:r>
              <w:rPr>
                <w:rFonts w:ascii="Arial" w:hAnsi="Arial" w:cs="Arial"/>
                <w:color w:val="000000"/>
                <w:sz w:val="20"/>
              </w:rPr>
              <w:t>$</w:t>
            </w:r>
            <w:r w:rsidRPr="001A7C12">
              <w:rPr>
                <w:rFonts w:ascii="Arial" w:hAnsi="Arial" w:cs="Arial"/>
                <w:color w:val="000000"/>
                <w:sz w:val="20"/>
              </w:rPr>
              <w:t>3,063,</w:t>
            </w:r>
            <w:r w:rsidR="009A74C7">
              <w:rPr>
                <w:rFonts w:ascii="Arial" w:hAnsi="Arial" w:cs="Arial"/>
                <w:color w:val="000000"/>
                <w:sz w:val="20"/>
              </w:rPr>
              <w:t>600</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66ED065F" w14:textId="689B0230">
            <w:pPr>
              <w:jc w:val="right"/>
              <w:rPr>
                <w:rFonts w:ascii="Arial" w:hAnsi="Arial" w:cs="Arial"/>
                <w:color w:val="000000"/>
                <w:sz w:val="20"/>
              </w:rPr>
            </w:pPr>
            <w:r w:rsidRPr="005C1273">
              <w:rPr>
                <w:rFonts w:ascii="Arial" w:hAnsi="Arial" w:cs="Arial"/>
                <w:color w:val="000000"/>
                <w:sz w:val="20"/>
              </w:rPr>
              <w:t>$</w:t>
            </w:r>
            <w:r w:rsidRPr="00DD62D1" w:rsidR="00DD62D1">
              <w:rPr>
                <w:rFonts w:ascii="Arial" w:hAnsi="Arial" w:cs="Arial"/>
                <w:color w:val="000000"/>
                <w:sz w:val="20"/>
              </w:rPr>
              <w:t>3,451,93</w:t>
            </w:r>
            <w:r w:rsidR="009A74C7">
              <w:rPr>
                <w:rFonts w:ascii="Arial" w:hAnsi="Arial" w:cs="Arial"/>
                <w:color w:val="000000"/>
                <w:sz w:val="20"/>
              </w:rPr>
              <w:t>9</w:t>
            </w:r>
          </w:p>
        </w:tc>
      </w:tr>
      <w:tr w14:paraId="719793BE"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single" w:sz="8" w:space="0" w:color="auto"/>
            </w:tcBorders>
            <w:shd w:val="clear" w:color="auto" w:fill="auto"/>
            <w:noWrap/>
            <w:vAlign w:val="center"/>
            <w:hideMark/>
          </w:tcPr>
          <w:p w:rsidR="00222035" w:rsidRPr="00301C43" w:rsidP="00222035" w14:paraId="454C0DDC" w14:textId="6E651083">
            <w:pPr>
              <w:jc w:val="center"/>
              <w:rPr>
                <w:rFonts w:ascii="Arial" w:hAnsi="Arial" w:cs="Arial"/>
                <w:color w:val="000000"/>
                <w:sz w:val="20"/>
              </w:rPr>
            </w:pPr>
            <w:r w:rsidRPr="00301C43">
              <w:rPr>
                <w:rFonts w:ascii="Arial" w:hAnsi="Arial" w:cs="Arial"/>
                <w:color w:val="000000"/>
                <w:sz w:val="20"/>
              </w:rPr>
              <w:t>FY 20</w:t>
            </w:r>
            <w:r>
              <w:rPr>
                <w:rFonts w:ascii="Arial" w:hAnsi="Arial" w:cs="Arial"/>
                <w:color w:val="000000"/>
                <w:sz w:val="20"/>
              </w:rPr>
              <w:t>21</w:t>
            </w:r>
          </w:p>
        </w:tc>
        <w:tc>
          <w:tcPr>
            <w:tcW w:w="1350" w:type="dxa"/>
            <w:tcBorders>
              <w:top w:val="nil"/>
              <w:left w:val="nil"/>
              <w:bottom w:val="single" w:sz="8" w:space="0" w:color="auto"/>
              <w:right w:val="single" w:sz="8" w:space="0" w:color="auto"/>
            </w:tcBorders>
            <w:shd w:val="clear" w:color="auto" w:fill="auto"/>
            <w:noWrap/>
            <w:vAlign w:val="center"/>
          </w:tcPr>
          <w:p w:rsidR="00222035" w:rsidRPr="00301C43" w:rsidP="00222035" w14:paraId="11BC9926" w14:textId="6F074F9F">
            <w:pPr>
              <w:jc w:val="center"/>
              <w:rPr>
                <w:rFonts w:ascii="Arial" w:hAnsi="Arial" w:cs="Arial"/>
                <w:color w:val="000000"/>
                <w:sz w:val="20"/>
              </w:rPr>
            </w:pPr>
            <w:r w:rsidRPr="00301C43">
              <w:rPr>
                <w:rFonts w:ascii="Arial" w:hAnsi="Arial" w:cs="Arial"/>
                <w:color w:val="000000"/>
                <w:sz w:val="20"/>
              </w:rPr>
              <w:t>2.2</w:t>
            </w:r>
          </w:p>
        </w:tc>
        <w:tc>
          <w:tcPr>
            <w:tcW w:w="2160" w:type="dxa"/>
            <w:tcBorders>
              <w:top w:val="nil"/>
              <w:left w:val="nil"/>
              <w:bottom w:val="single" w:sz="8" w:space="0" w:color="auto"/>
              <w:right w:val="single" w:sz="8" w:space="0" w:color="auto"/>
            </w:tcBorders>
            <w:shd w:val="clear" w:color="auto" w:fill="auto"/>
            <w:noWrap/>
          </w:tcPr>
          <w:p w:rsidR="00222035" w:rsidRPr="00222035" w:rsidP="00222035" w14:paraId="0B4C13AF" w14:textId="1C32B43C">
            <w:pPr>
              <w:jc w:val="right"/>
              <w:rPr>
                <w:rFonts w:ascii="Arial" w:hAnsi="Arial" w:cs="Arial"/>
                <w:color w:val="000000"/>
                <w:sz w:val="20"/>
                <w:szCs w:val="16"/>
              </w:rPr>
            </w:pPr>
            <w:r w:rsidRPr="00222035">
              <w:rPr>
                <w:rFonts w:ascii="Arial" w:hAnsi="Arial" w:cs="Arial"/>
                <w:sz w:val="20"/>
                <w:szCs w:val="16"/>
              </w:rPr>
              <w:t>$399,989</w:t>
            </w:r>
          </w:p>
        </w:tc>
        <w:tc>
          <w:tcPr>
            <w:tcW w:w="1620" w:type="dxa"/>
            <w:tcBorders>
              <w:top w:val="nil"/>
              <w:left w:val="nil"/>
              <w:bottom w:val="single" w:sz="8" w:space="0" w:color="auto"/>
              <w:right w:val="single" w:sz="8" w:space="0" w:color="auto"/>
            </w:tcBorders>
            <w:shd w:val="clear" w:color="auto" w:fill="auto"/>
            <w:noWrap/>
            <w:vAlign w:val="center"/>
          </w:tcPr>
          <w:p w:rsidR="00222035" w:rsidRPr="00301C43" w:rsidP="00222035" w14:paraId="009BE1FE" w14:textId="7D94005C">
            <w:pPr>
              <w:jc w:val="right"/>
              <w:rPr>
                <w:rFonts w:ascii="Arial" w:hAnsi="Arial" w:cs="Arial"/>
                <w:color w:val="000000"/>
                <w:sz w:val="20"/>
              </w:rPr>
            </w:pPr>
            <w:r>
              <w:rPr>
                <w:rFonts w:ascii="Arial" w:hAnsi="Arial" w:cs="Arial"/>
                <w:color w:val="000000"/>
                <w:sz w:val="20"/>
              </w:rPr>
              <w:t>$</w:t>
            </w:r>
            <w:r w:rsidRPr="001A7C12">
              <w:rPr>
                <w:rFonts w:ascii="Arial" w:hAnsi="Arial" w:cs="Arial"/>
                <w:color w:val="000000"/>
                <w:sz w:val="20"/>
              </w:rPr>
              <w:t>3,141,787</w:t>
            </w:r>
          </w:p>
        </w:tc>
        <w:tc>
          <w:tcPr>
            <w:tcW w:w="2160" w:type="dxa"/>
            <w:tcBorders>
              <w:top w:val="nil"/>
              <w:left w:val="nil"/>
              <w:bottom w:val="single" w:sz="8" w:space="0" w:color="auto"/>
              <w:right w:val="single" w:sz="8" w:space="0" w:color="auto"/>
            </w:tcBorders>
            <w:shd w:val="clear" w:color="auto" w:fill="auto"/>
            <w:noWrap/>
            <w:vAlign w:val="center"/>
          </w:tcPr>
          <w:p w:rsidR="00222035" w:rsidRPr="00301C43" w:rsidP="00222035" w14:paraId="77397056" w14:textId="18EA9576">
            <w:pPr>
              <w:jc w:val="right"/>
              <w:rPr>
                <w:rFonts w:ascii="Arial" w:hAnsi="Arial" w:cs="Arial"/>
                <w:color w:val="000000"/>
                <w:sz w:val="20"/>
              </w:rPr>
            </w:pPr>
            <w:r w:rsidRPr="005C1273">
              <w:rPr>
                <w:rFonts w:ascii="Arial" w:hAnsi="Arial" w:cs="Arial"/>
                <w:color w:val="000000"/>
                <w:sz w:val="20"/>
              </w:rPr>
              <w:t>$</w:t>
            </w:r>
            <w:r w:rsidRPr="00DD62D1" w:rsidR="00DD62D1">
              <w:rPr>
                <w:rFonts w:ascii="Arial" w:hAnsi="Arial" w:cs="Arial"/>
                <w:color w:val="000000"/>
                <w:sz w:val="20"/>
              </w:rPr>
              <w:t>3,541,776</w:t>
            </w:r>
          </w:p>
        </w:tc>
      </w:tr>
      <w:tr w14:paraId="268568DE" w14:textId="77777777" w:rsidTr="004E56CD">
        <w:tblPrEx>
          <w:tblW w:w="9460" w:type="dxa"/>
          <w:tblInd w:w="98" w:type="dxa"/>
          <w:tblLayout w:type="fixed"/>
          <w:tblLook w:val="04A0"/>
        </w:tblPrEx>
        <w:trPr>
          <w:trHeight w:val="300"/>
        </w:trPr>
        <w:tc>
          <w:tcPr>
            <w:tcW w:w="2170" w:type="dxa"/>
            <w:gridSpan w:val="2"/>
            <w:tcBorders>
              <w:top w:val="nil"/>
              <w:left w:val="single" w:sz="8" w:space="0" w:color="auto"/>
              <w:bottom w:val="nil"/>
              <w:right w:val="nil"/>
            </w:tcBorders>
            <w:shd w:val="clear" w:color="000000" w:fill="EEECE1"/>
            <w:noWrap/>
            <w:vAlign w:val="center"/>
            <w:hideMark/>
          </w:tcPr>
          <w:p w:rsidR="00222035" w:rsidRPr="00301C43" w:rsidP="00222035" w14:paraId="5F0BD92E" w14:textId="77777777">
            <w:pPr>
              <w:jc w:val="right"/>
              <w:rPr>
                <w:rFonts w:ascii="Arial" w:hAnsi="Arial" w:cs="Arial"/>
                <w:color w:val="000000"/>
                <w:sz w:val="20"/>
              </w:rPr>
            </w:pPr>
            <w:r w:rsidRPr="00301C43">
              <w:rPr>
                <w:rFonts w:ascii="Arial" w:hAnsi="Arial" w:cs="Arial"/>
                <w:color w:val="000000"/>
                <w:sz w:val="20"/>
              </w:rPr>
              <w:t>Total</w:t>
            </w:r>
          </w:p>
        </w:tc>
        <w:tc>
          <w:tcPr>
            <w:tcW w:w="1350" w:type="dxa"/>
            <w:tcBorders>
              <w:top w:val="nil"/>
              <w:left w:val="nil"/>
              <w:bottom w:val="nil"/>
              <w:right w:val="nil"/>
            </w:tcBorders>
            <w:shd w:val="clear" w:color="000000" w:fill="EEECE1"/>
            <w:noWrap/>
            <w:vAlign w:val="center"/>
            <w:hideMark/>
          </w:tcPr>
          <w:p w:rsidR="00222035" w:rsidRPr="00301C43" w:rsidP="00222035" w14:paraId="6497AEF9" w14:textId="77777777">
            <w:pPr>
              <w:rPr>
                <w:rFonts w:ascii="Arial" w:hAnsi="Arial" w:cs="Arial"/>
                <w:color w:val="000000"/>
                <w:sz w:val="20"/>
              </w:rPr>
            </w:pPr>
            <w:r w:rsidRPr="00301C43">
              <w:rPr>
                <w:rFonts w:ascii="Arial" w:hAnsi="Arial" w:cs="Arial"/>
                <w:color w:val="000000"/>
                <w:sz w:val="20"/>
              </w:rPr>
              <w:t> </w:t>
            </w:r>
          </w:p>
        </w:tc>
        <w:tc>
          <w:tcPr>
            <w:tcW w:w="2160" w:type="dxa"/>
            <w:tcBorders>
              <w:top w:val="nil"/>
              <w:left w:val="nil"/>
              <w:bottom w:val="nil"/>
              <w:right w:val="nil"/>
            </w:tcBorders>
            <w:shd w:val="clear" w:color="000000" w:fill="EEECE1"/>
            <w:noWrap/>
            <w:vAlign w:val="center"/>
            <w:hideMark/>
          </w:tcPr>
          <w:p w:rsidR="00222035" w:rsidRPr="00301C43" w:rsidP="00222035" w14:paraId="2A206A90" w14:textId="75B37BB2">
            <w:pPr>
              <w:jc w:val="right"/>
              <w:rPr>
                <w:rFonts w:ascii="Arial" w:hAnsi="Arial" w:cs="Arial"/>
                <w:color w:val="000000"/>
                <w:sz w:val="20"/>
              </w:rPr>
            </w:pPr>
            <w:r w:rsidRPr="00301C43">
              <w:rPr>
                <w:rFonts w:ascii="Arial" w:hAnsi="Arial" w:cs="Arial"/>
                <w:color w:val="000000"/>
                <w:sz w:val="20"/>
              </w:rPr>
              <w:t>$</w:t>
            </w:r>
            <w:r w:rsidRPr="005C1273" w:rsidR="005C1273">
              <w:rPr>
                <w:rFonts w:ascii="Arial" w:hAnsi="Arial" w:cs="Arial"/>
                <w:color w:val="000000"/>
                <w:sz w:val="20"/>
              </w:rPr>
              <w:t>1,165,356</w:t>
            </w:r>
            <w:r w:rsidRPr="00301C43">
              <w:rPr>
                <w:rFonts w:ascii="Arial" w:hAnsi="Arial" w:cs="Arial"/>
                <w:color w:val="000000"/>
                <w:sz w:val="20"/>
              </w:rPr>
              <w:t xml:space="preserve"> </w:t>
            </w:r>
          </w:p>
        </w:tc>
        <w:tc>
          <w:tcPr>
            <w:tcW w:w="1620" w:type="dxa"/>
            <w:tcBorders>
              <w:top w:val="nil"/>
              <w:left w:val="nil"/>
              <w:bottom w:val="nil"/>
              <w:right w:val="nil"/>
            </w:tcBorders>
            <w:shd w:val="clear" w:color="000000" w:fill="EEECE1"/>
            <w:noWrap/>
            <w:vAlign w:val="center"/>
            <w:hideMark/>
          </w:tcPr>
          <w:p w:rsidR="00222035" w:rsidRPr="00301C43" w:rsidP="00222035" w14:paraId="38A4E390" w14:textId="4AE2D283">
            <w:pPr>
              <w:jc w:val="right"/>
              <w:rPr>
                <w:rFonts w:ascii="Arial" w:hAnsi="Arial" w:cs="Arial"/>
                <w:color w:val="000000"/>
                <w:sz w:val="20"/>
              </w:rPr>
            </w:pPr>
            <w:r w:rsidRPr="00301C43">
              <w:rPr>
                <w:rFonts w:ascii="Arial" w:hAnsi="Arial" w:cs="Arial"/>
                <w:color w:val="000000"/>
                <w:sz w:val="20"/>
              </w:rPr>
              <w:t>$</w:t>
            </w:r>
            <w:r w:rsidR="001A7C12">
              <w:rPr>
                <w:rFonts w:ascii="Arial" w:hAnsi="Arial" w:cs="Arial"/>
                <w:color w:val="000000"/>
                <w:sz w:val="20"/>
              </w:rPr>
              <w:t>9,</w:t>
            </w:r>
            <w:r w:rsidR="009A74C7">
              <w:rPr>
                <w:rFonts w:ascii="Arial" w:hAnsi="Arial" w:cs="Arial"/>
                <w:color w:val="000000"/>
                <w:sz w:val="20"/>
              </w:rPr>
              <w:t>192,972</w:t>
            </w:r>
            <w:r w:rsidRPr="00301C43">
              <w:rPr>
                <w:rFonts w:ascii="Arial" w:hAnsi="Arial" w:cs="Arial"/>
                <w:color w:val="000000"/>
                <w:sz w:val="20"/>
              </w:rPr>
              <w:t xml:space="preserve"> </w:t>
            </w:r>
          </w:p>
        </w:tc>
        <w:tc>
          <w:tcPr>
            <w:tcW w:w="2160" w:type="dxa"/>
            <w:tcBorders>
              <w:top w:val="single" w:sz="8" w:space="0" w:color="auto"/>
              <w:left w:val="nil"/>
              <w:bottom w:val="nil"/>
              <w:right w:val="single" w:sz="4" w:space="0" w:color="auto"/>
            </w:tcBorders>
            <w:shd w:val="clear" w:color="000000" w:fill="EEECE1"/>
            <w:noWrap/>
            <w:vAlign w:val="center"/>
            <w:hideMark/>
          </w:tcPr>
          <w:p w:rsidR="00222035" w:rsidRPr="00301C43" w:rsidP="00222035" w14:paraId="28BAEF91" w14:textId="4B8F61F7">
            <w:pPr>
              <w:jc w:val="right"/>
              <w:rPr>
                <w:rFonts w:ascii="Arial" w:hAnsi="Arial" w:cs="Arial"/>
                <w:color w:val="000000"/>
                <w:sz w:val="20"/>
              </w:rPr>
            </w:pPr>
            <w:r w:rsidRPr="00301C43">
              <w:rPr>
                <w:rFonts w:ascii="Arial" w:hAnsi="Arial" w:cs="Arial"/>
                <w:color w:val="000000"/>
                <w:sz w:val="20"/>
              </w:rPr>
              <w:t>$</w:t>
            </w:r>
            <w:r w:rsidRPr="00DD62D1" w:rsidR="00DD62D1">
              <w:rPr>
                <w:rFonts w:ascii="Arial" w:hAnsi="Arial" w:cs="Arial"/>
                <w:color w:val="000000"/>
                <w:sz w:val="20"/>
              </w:rPr>
              <w:t>10,</w:t>
            </w:r>
            <w:r w:rsidR="000F5332">
              <w:rPr>
                <w:rFonts w:ascii="Arial" w:hAnsi="Arial" w:cs="Arial"/>
                <w:color w:val="000000"/>
                <w:sz w:val="20"/>
              </w:rPr>
              <w:t>358,329</w:t>
            </w:r>
          </w:p>
        </w:tc>
      </w:tr>
      <w:tr w14:paraId="71FEE6EA" w14:textId="77777777" w:rsidTr="004E56CD">
        <w:tblPrEx>
          <w:tblW w:w="9460" w:type="dxa"/>
          <w:tblInd w:w="98" w:type="dxa"/>
          <w:tblLayout w:type="fixed"/>
          <w:tblLook w:val="04A0"/>
        </w:tblPrEx>
        <w:trPr>
          <w:trHeight w:val="315"/>
        </w:trPr>
        <w:tc>
          <w:tcPr>
            <w:tcW w:w="2170" w:type="dxa"/>
            <w:gridSpan w:val="2"/>
            <w:tcBorders>
              <w:top w:val="nil"/>
              <w:left w:val="single" w:sz="8" w:space="0" w:color="auto"/>
              <w:bottom w:val="single" w:sz="8" w:space="0" w:color="auto"/>
              <w:right w:val="nil"/>
            </w:tcBorders>
            <w:shd w:val="clear" w:color="000000" w:fill="EEECE1"/>
            <w:noWrap/>
            <w:vAlign w:val="center"/>
            <w:hideMark/>
          </w:tcPr>
          <w:p w:rsidR="00222035" w:rsidRPr="00301C43" w:rsidP="00222035" w14:paraId="6714C24C" w14:textId="77777777">
            <w:pPr>
              <w:jc w:val="right"/>
              <w:rPr>
                <w:rFonts w:ascii="Arial" w:hAnsi="Arial" w:cs="Arial"/>
                <w:b/>
                <w:bCs/>
                <w:color w:val="000000"/>
                <w:sz w:val="20"/>
              </w:rPr>
            </w:pPr>
            <w:r w:rsidRPr="00301C43">
              <w:rPr>
                <w:rFonts w:ascii="Arial" w:hAnsi="Arial" w:cs="Arial"/>
                <w:b/>
                <w:bCs/>
                <w:color w:val="000000"/>
                <w:sz w:val="20"/>
              </w:rPr>
              <w:t>Annualized Total</w:t>
            </w:r>
          </w:p>
        </w:tc>
        <w:tc>
          <w:tcPr>
            <w:tcW w:w="1350" w:type="dxa"/>
            <w:tcBorders>
              <w:top w:val="nil"/>
              <w:left w:val="nil"/>
              <w:bottom w:val="single" w:sz="8" w:space="0" w:color="auto"/>
              <w:right w:val="nil"/>
            </w:tcBorders>
            <w:shd w:val="clear" w:color="000000" w:fill="EEECE1"/>
            <w:noWrap/>
            <w:vAlign w:val="center"/>
            <w:hideMark/>
          </w:tcPr>
          <w:p w:rsidR="00222035" w:rsidRPr="00301C43" w:rsidP="00222035" w14:paraId="226EB98C" w14:textId="77777777">
            <w:pPr>
              <w:rPr>
                <w:rFonts w:ascii="Arial" w:hAnsi="Arial" w:cs="Arial"/>
                <w:b/>
                <w:bCs/>
                <w:color w:val="000000"/>
                <w:sz w:val="20"/>
              </w:rPr>
            </w:pPr>
            <w:r w:rsidRPr="00301C43">
              <w:rPr>
                <w:rFonts w:ascii="Arial" w:hAnsi="Arial" w:cs="Arial"/>
                <w:b/>
                <w:bCs/>
                <w:color w:val="000000"/>
                <w:sz w:val="20"/>
              </w:rPr>
              <w:t> </w:t>
            </w:r>
          </w:p>
        </w:tc>
        <w:tc>
          <w:tcPr>
            <w:tcW w:w="2160" w:type="dxa"/>
            <w:tcBorders>
              <w:top w:val="nil"/>
              <w:left w:val="nil"/>
              <w:bottom w:val="single" w:sz="8" w:space="0" w:color="auto"/>
              <w:right w:val="nil"/>
            </w:tcBorders>
            <w:shd w:val="clear" w:color="000000" w:fill="EEECE1"/>
            <w:noWrap/>
            <w:vAlign w:val="center"/>
            <w:hideMark/>
          </w:tcPr>
          <w:p w:rsidR="00222035" w:rsidRPr="00301C43" w:rsidP="00222035" w14:paraId="0CD104D5" w14:textId="001C7E5A">
            <w:pPr>
              <w:jc w:val="right"/>
              <w:rPr>
                <w:rFonts w:ascii="Arial" w:hAnsi="Arial" w:cs="Arial"/>
                <w:b/>
                <w:bCs/>
                <w:color w:val="000000"/>
                <w:sz w:val="20"/>
              </w:rPr>
            </w:pPr>
            <w:r w:rsidRPr="00301C43">
              <w:rPr>
                <w:rFonts w:ascii="Arial" w:hAnsi="Arial" w:cs="Arial"/>
                <w:b/>
                <w:bCs/>
                <w:color w:val="000000"/>
                <w:sz w:val="20"/>
              </w:rPr>
              <w:t>$</w:t>
            </w:r>
            <w:r w:rsidR="005C1273">
              <w:rPr>
                <w:rFonts w:ascii="Arial" w:hAnsi="Arial" w:cs="Arial"/>
                <w:b/>
                <w:bCs/>
                <w:color w:val="000000"/>
                <w:sz w:val="20"/>
              </w:rPr>
              <w:t>388,452</w:t>
            </w:r>
            <w:r w:rsidRPr="00301C43">
              <w:rPr>
                <w:rFonts w:ascii="Arial" w:hAnsi="Arial" w:cs="Arial"/>
                <w:b/>
                <w:bCs/>
                <w:color w:val="000000"/>
                <w:sz w:val="20"/>
              </w:rPr>
              <w:t xml:space="preserve"> </w:t>
            </w:r>
          </w:p>
        </w:tc>
        <w:tc>
          <w:tcPr>
            <w:tcW w:w="1620" w:type="dxa"/>
            <w:tcBorders>
              <w:top w:val="nil"/>
              <w:left w:val="nil"/>
              <w:bottom w:val="single" w:sz="8" w:space="0" w:color="auto"/>
              <w:right w:val="nil"/>
            </w:tcBorders>
            <w:shd w:val="clear" w:color="000000" w:fill="EEECE1"/>
            <w:noWrap/>
            <w:vAlign w:val="center"/>
            <w:hideMark/>
          </w:tcPr>
          <w:p w:rsidR="00222035" w:rsidRPr="00301C43" w:rsidP="00222035" w14:paraId="49B3121B" w14:textId="441C9FF8">
            <w:pPr>
              <w:jc w:val="right"/>
              <w:rPr>
                <w:rFonts w:ascii="Arial" w:hAnsi="Arial" w:cs="Arial"/>
                <w:b/>
                <w:bCs/>
                <w:color w:val="000000"/>
                <w:sz w:val="20"/>
              </w:rPr>
            </w:pPr>
            <w:r w:rsidRPr="00301C43">
              <w:rPr>
                <w:rFonts w:ascii="Arial" w:hAnsi="Arial" w:cs="Arial"/>
                <w:b/>
                <w:bCs/>
                <w:color w:val="000000"/>
                <w:sz w:val="20"/>
              </w:rPr>
              <w:t>$</w:t>
            </w:r>
            <w:r w:rsidRPr="001A7C12" w:rsidR="001A7C12">
              <w:rPr>
                <w:rFonts w:ascii="Arial" w:hAnsi="Arial" w:cs="Arial"/>
                <w:b/>
                <w:bCs/>
                <w:color w:val="000000"/>
                <w:sz w:val="20"/>
              </w:rPr>
              <w:t>3,</w:t>
            </w:r>
            <w:r w:rsidR="009A74C7">
              <w:rPr>
                <w:rFonts w:ascii="Arial" w:hAnsi="Arial" w:cs="Arial"/>
                <w:b/>
                <w:bCs/>
                <w:color w:val="000000"/>
                <w:sz w:val="20"/>
              </w:rPr>
              <w:t>064,324</w:t>
            </w:r>
          </w:p>
        </w:tc>
        <w:tc>
          <w:tcPr>
            <w:tcW w:w="2160" w:type="dxa"/>
            <w:tcBorders>
              <w:top w:val="nil"/>
              <w:left w:val="nil"/>
              <w:bottom w:val="single" w:sz="8" w:space="0" w:color="auto"/>
              <w:right w:val="single" w:sz="4" w:space="0" w:color="auto"/>
            </w:tcBorders>
            <w:shd w:val="clear" w:color="000000" w:fill="EEECE1"/>
            <w:noWrap/>
            <w:vAlign w:val="center"/>
            <w:hideMark/>
          </w:tcPr>
          <w:p w:rsidR="00222035" w:rsidRPr="00301C43" w:rsidP="00222035" w14:paraId="75CA6E85" w14:textId="6226C0BD">
            <w:pPr>
              <w:jc w:val="right"/>
              <w:rPr>
                <w:rFonts w:ascii="Arial" w:hAnsi="Arial" w:cs="Arial"/>
                <w:b/>
                <w:bCs/>
                <w:color w:val="000000"/>
                <w:sz w:val="20"/>
              </w:rPr>
            </w:pPr>
            <w:r w:rsidRPr="00301C43">
              <w:rPr>
                <w:rFonts w:ascii="Arial" w:hAnsi="Arial" w:cs="Arial"/>
                <w:b/>
                <w:bCs/>
                <w:color w:val="000000"/>
                <w:sz w:val="20"/>
              </w:rPr>
              <w:t>$</w:t>
            </w:r>
            <w:r w:rsidRPr="00DD62D1" w:rsidR="00DD62D1">
              <w:rPr>
                <w:rFonts w:ascii="Arial" w:hAnsi="Arial" w:cs="Arial"/>
                <w:b/>
                <w:bCs/>
                <w:color w:val="000000"/>
                <w:sz w:val="20"/>
              </w:rPr>
              <w:t>3,</w:t>
            </w:r>
            <w:r w:rsidR="000F5332">
              <w:rPr>
                <w:rFonts w:ascii="Arial" w:hAnsi="Arial" w:cs="Arial"/>
                <w:b/>
                <w:bCs/>
                <w:color w:val="000000"/>
                <w:sz w:val="20"/>
              </w:rPr>
              <w:t>452,776</w:t>
            </w:r>
          </w:p>
        </w:tc>
      </w:tr>
    </w:tbl>
    <w:p w:rsidR="00222035" w:rsidP="00534B4A" w14:paraId="63CB05A0" w14:textId="77777777">
      <w:pPr>
        <w:pStyle w:val="ListParagraph"/>
        <w:tabs>
          <w:tab w:val="left" w:pos="-720"/>
        </w:tabs>
        <w:suppressAutoHyphens/>
        <w:ind w:left="907"/>
        <w:contextualSpacing w:val="0"/>
        <w:rPr>
          <w:rFonts w:ascii="Times New Roman" w:hAnsi="Times New Roman"/>
          <w:szCs w:val="24"/>
        </w:rPr>
      </w:pPr>
    </w:p>
    <w:p w:rsidR="008C2283" w:rsidP="00534B4A" w14:paraId="323CBC9E"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76A317BE">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E1A97" w14:paraId="58CE25CE" w14:textId="431AF000">
            <w:pPr>
              <w:tabs>
                <w:tab w:val="left" w:pos="-720"/>
              </w:tabs>
              <w:suppressAutoHyphens/>
              <w:rPr>
                <w:rFonts w:ascii="Times New Roman" w:hAnsi="Times New Roman"/>
                <w:b/>
                <w:szCs w:val="24"/>
              </w:rPr>
            </w:pPr>
            <w:r>
              <w:rPr>
                <w:rFonts w:ascii="Times New Roman" w:hAnsi="Times New Roman"/>
                <w:b/>
                <w:szCs w:val="24"/>
              </w:rPr>
              <w:t>27,600</w:t>
            </w:r>
          </w:p>
        </w:tc>
        <w:tc>
          <w:tcPr>
            <w:tcW w:w="2520" w:type="dxa"/>
          </w:tcPr>
          <w:p w:rsidR="0052073E" w:rsidP="00534B4A" w14:paraId="58CE25CF" w14:textId="5465B287">
            <w:pPr>
              <w:tabs>
                <w:tab w:val="left" w:pos="-720"/>
              </w:tabs>
              <w:suppressAutoHyphens/>
              <w:rPr>
                <w:rFonts w:ascii="Times New Roman" w:hAnsi="Times New Roman"/>
                <w:b/>
                <w:szCs w:val="24"/>
              </w:rPr>
            </w:pPr>
            <w:r>
              <w:rPr>
                <w:rFonts w:ascii="Times New Roman" w:hAnsi="Times New Roman"/>
                <w:b/>
                <w:szCs w:val="24"/>
              </w:rPr>
              <w:t>-</w:t>
            </w:r>
            <w:r w:rsidR="0061063B">
              <w:rPr>
                <w:rFonts w:ascii="Times New Roman" w:hAnsi="Times New Roman"/>
                <w:b/>
                <w:szCs w:val="24"/>
              </w:rPr>
              <w:t>82,527</w:t>
            </w: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69D2C384">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14:paraId="58CE25D3" w14:textId="79281D00">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58CE25D4" w14:textId="188EEC4E">
            <w:pPr>
              <w:tabs>
                <w:tab w:val="left" w:pos="-720"/>
              </w:tabs>
              <w:suppressAutoHyphens/>
              <w:rPr>
                <w:rFonts w:ascii="Times New Roman" w:hAnsi="Times New Roman"/>
                <w:b/>
                <w:szCs w:val="24"/>
              </w:rPr>
            </w:pPr>
            <w:r>
              <w:rPr>
                <w:rFonts w:ascii="Times New Roman" w:hAnsi="Times New Roman"/>
                <w:b/>
                <w:szCs w:val="24"/>
              </w:rPr>
              <w:t>0</w:t>
            </w: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55A38395">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14:paraId="58CE25D8" w14:textId="52D78E01">
            <w:pPr>
              <w:tabs>
                <w:tab w:val="left" w:pos="-720"/>
              </w:tabs>
              <w:suppressAutoHyphens/>
              <w:rPr>
                <w:rFonts w:ascii="Times New Roman" w:hAnsi="Times New Roman"/>
                <w:b/>
                <w:szCs w:val="24"/>
              </w:rPr>
            </w:pPr>
          </w:p>
        </w:tc>
        <w:tc>
          <w:tcPr>
            <w:tcW w:w="2520" w:type="dxa"/>
          </w:tcPr>
          <w:p w:rsidR="0052073E" w:rsidP="00534B4A" w14:paraId="58CE25D9" w14:textId="479D5FB2">
            <w:pPr>
              <w:tabs>
                <w:tab w:val="left" w:pos="-720"/>
              </w:tabs>
              <w:suppressAutoHyphens/>
              <w:rPr>
                <w:rFonts w:ascii="Times New Roman" w:hAnsi="Times New Roman"/>
                <w:b/>
                <w:szCs w:val="24"/>
              </w:rPr>
            </w:pPr>
          </w:p>
        </w:tc>
      </w:tr>
    </w:tbl>
    <w:p w:rsidR="00C362D8" w:rsidP="00534B4A" w14:paraId="7D94CC79" w14:textId="77777777">
      <w:pPr>
        <w:tabs>
          <w:tab w:val="left" w:pos="-720"/>
        </w:tabs>
        <w:suppressAutoHyphens/>
        <w:rPr>
          <w:rFonts w:ascii="Times New Roman" w:hAnsi="Times New Roman"/>
          <w:b/>
          <w:szCs w:val="24"/>
        </w:rPr>
      </w:pPr>
    </w:p>
    <w:p w:rsidR="006D748D" w:rsidP="0061063B" w14:paraId="26D064F2" w14:textId="52884DEE">
      <w:pPr>
        <w:suppressAutoHyphens/>
        <w:spacing w:line="240" w:lineRule="exact"/>
        <w:ind w:left="720"/>
        <w:rPr>
          <w:rFonts w:ascii="Times New Roman" w:hAnsi="Times New Roman"/>
          <w:bCs/>
          <w:szCs w:val="24"/>
        </w:rPr>
      </w:pPr>
      <w:r w:rsidRPr="00C362D8">
        <w:rPr>
          <w:rFonts w:ascii="Times New Roman" w:hAnsi="Times New Roman"/>
          <w:bCs/>
          <w:szCs w:val="24"/>
        </w:rPr>
        <w:t>The</w:t>
      </w:r>
      <w:r w:rsidR="00C83B2A">
        <w:rPr>
          <w:rFonts w:ascii="Times New Roman" w:hAnsi="Times New Roman"/>
          <w:bCs/>
          <w:szCs w:val="24"/>
        </w:rPr>
        <w:t xml:space="preserve"> program changes due to agency discretion </w:t>
      </w:r>
      <w:r w:rsidR="00EE767E">
        <w:rPr>
          <w:rFonts w:ascii="Times New Roman" w:hAnsi="Times New Roman"/>
          <w:bCs/>
          <w:szCs w:val="24"/>
        </w:rPr>
        <w:t>reflect</w:t>
      </w:r>
      <w:r w:rsidR="00C83B2A">
        <w:rPr>
          <w:rFonts w:ascii="Times New Roman" w:hAnsi="Times New Roman"/>
          <w:bCs/>
          <w:szCs w:val="24"/>
        </w:rPr>
        <w:t xml:space="preserve"> the</w:t>
      </w:r>
      <w:r w:rsidRPr="00C362D8">
        <w:rPr>
          <w:rFonts w:ascii="Times New Roman" w:hAnsi="Times New Roman"/>
          <w:bCs/>
          <w:szCs w:val="24"/>
        </w:rPr>
        <w:t xml:space="preserve"> </w:t>
      </w:r>
      <w:r w:rsidR="0012439A">
        <w:rPr>
          <w:rFonts w:ascii="Times New Roman" w:hAnsi="Times New Roman"/>
          <w:bCs/>
          <w:szCs w:val="24"/>
        </w:rPr>
        <w:t>five</w:t>
      </w:r>
      <w:r>
        <w:rPr>
          <w:rFonts w:ascii="Times New Roman" w:hAnsi="Times New Roman"/>
          <w:bCs/>
          <w:szCs w:val="24"/>
        </w:rPr>
        <w:t xml:space="preserve"> new MDEs being proposed</w:t>
      </w:r>
      <w:r w:rsidRPr="00C362D8">
        <w:rPr>
          <w:rFonts w:ascii="Times New Roman" w:hAnsi="Times New Roman"/>
          <w:bCs/>
          <w:szCs w:val="24"/>
        </w:rPr>
        <w:t xml:space="preserve"> in this </w:t>
      </w:r>
      <w:r w:rsidR="00A20CF8">
        <w:rPr>
          <w:rFonts w:ascii="Times New Roman" w:hAnsi="Times New Roman"/>
          <w:bCs/>
          <w:szCs w:val="24"/>
        </w:rPr>
        <w:t>revision request</w:t>
      </w:r>
      <w:r w:rsidRPr="00C362D8">
        <w:rPr>
          <w:rFonts w:ascii="Times New Roman" w:hAnsi="Times New Roman"/>
          <w:bCs/>
          <w:szCs w:val="24"/>
        </w:rPr>
        <w:t xml:space="preserve">. </w:t>
      </w:r>
      <w:r>
        <w:rPr>
          <w:rFonts w:ascii="Times New Roman" w:hAnsi="Times New Roman"/>
          <w:bCs/>
          <w:szCs w:val="24"/>
        </w:rPr>
        <w:t>T</w:t>
      </w:r>
      <w:r w:rsidRPr="00C362D8">
        <w:rPr>
          <w:rFonts w:ascii="Times New Roman" w:hAnsi="Times New Roman"/>
          <w:bCs/>
          <w:szCs w:val="24"/>
        </w:rPr>
        <w:t xml:space="preserve">he </w:t>
      </w:r>
      <w:r w:rsidR="00C83B2A">
        <w:rPr>
          <w:rFonts w:ascii="Times New Roman" w:hAnsi="Times New Roman"/>
          <w:bCs/>
          <w:szCs w:val="24"/>
        </w:rPr>
        <w:t xml:space="preserve">changes due to adjustment in agency estimate </w:t>
      </w:r>
      <w:r w:rsidR="00990F8E">
        <w:rPr>
          <w:rFonts w:ascii="Times New Roman" w:hAnsi="Times New Roman"/>
          <w:bCs/>
          <w:szCs w:val="24"/>
        </w:rPr>
        <w:t>result from</w:t>
      </w:r>
      <w:r w:rsidR="00D66A0F">
        <w:rPr>
          <w:rFonts w:ascii="Times New Roman" w:hAnsi="Times New Roman"/>
          <w:bCs/>
          <w:szCs w:val="24"/>
        </w:rPr>
        <w:t xml:space="preserve"> </w:t>
      </w:r>
      <w:r w:rsidR="00C83B2A">
        <w:rPr>
          <w:rFonts w:ascii="Times New Roman" w:hAnsi="Times New Roman"/>
          <w:bCs/>
          <w:szCs w:val="24"/>
        </w:rPr>
        <w:t xml:space="preserve">a reduction in </w:t>
      </w:r>
      <w:r w:rsidRPr="00C362D8">
        <w:rPr>
          <w:rFonts w:ascii="Times New Roman" w:hAnsi="Times New Roman"/>
          <w:bCs/>
          <w:szCs w:val="24"/>
        </w:rPr>
        <w:t>total nationwide count of eligible migratory children</w:t>
      </w:r>
      <w:r w:rsidR="00C83B2A">
        <w:rPr>
          <w:rFonts w:ascii="Times New Roman" w:hAnsi="Times New Roman"/>
          <w:bCs/>
          <w:szCs w:val="24"/>
        </w:rPr>
        <w:t>, which</w:t>
      </w:r>
      <w:r w:rsidRPr="00C362D8">
        <w:rPr>
          <w:rFonts w:ascii="Times New Roman" w:hAnsi="Times New Roman"/>
          <w:bCs/>
          <w:szCs w:val="24"/>
        </w:rPr>
        <w:t xml:space="preserve"> has been adjusted to reflect verified numbers from 20</w:t>
      </w:r>
      <w:r>
        <w:rPr>
          <w:rFonts w:ascii="Times New Roman" w:hAnsi="Times New Roman"/>
          <w:bCs/>
          <w:szCs w:val="24"/>
        </w:rPr>
        <w:t>20</w:t>
      </w:r>
      <w:r w:rsidRPr="00C362D8">
        <w:rPr>
          <w:rFonts w:ascii="Times New Roman" w:hAnsi="Times New Roman"/>
          <w:bCs/>
          <w:szCs w:val="24"/>
        </w:rPr>
        <w:t>-20</w:t>
      </w:r>
      <w:r>
        <w:rPr>
          <w:rFonts w:ascii="Times New Roman" w:hAnsi="Times New Roman"/>
          <w:bCs/>
          <w:szCs w:val="24"/>
        </w:rPr>
        <w:t>21</w:t>
      </w:r>
      <w:r w:rsidRPr="00C362D8">
        <w:rPr>
          <w:rFonts w:ascii="Times New Roman" w:hAnsi="Times New Roman"/>
          <w:bCs/>
          <w:szCs w:val="24"/>
        </w:rPr>
        <w:t xml:space="preserve"> reporting period. The estimate</w:t>
      </w:r>
      <w:r w:rsidR="00C83B2A">
        <w:rPr>
          <w:rFonts w:ascii="Times New Roman" w:hAnsi="Times New Roman"/>
          <w:bCs/>
          <w:szCs w:val="24"/>
        </w:rPr>
        <w:t>s</w:t>
      </w:r>
      <w:r w:rsidRPr="00C362D8">
        <w:rPr>
          <w:rFonts w:ascii="Times New Roman" w:hAnsi="Times New Roman"/>
          <w:bCs/>
          <w:szCs w:val="24"/>
        </w:rPr>
        <w:t xml:space="preserve"> </w:t>
      </w:r>
      <w:r w:rsidR="00C83B2A">
        <w:rPr>
          <w:rFonts w:ascii="Times New Roman" w:hAnsi="Times New Roman"/>
          <w:bCs/>
          <w:szCs w:val="24"/>
        </w:rPr>
        <w:t>are</w:t>
      </w:r>
      <w:r w:rsidRPr="00C362D8">
        <w:rPr>
          <w:rFonts w:ascii="Times New Roman" w:hAnsi="Times New Roman"/>
          <w:bCs/>
          <w:szCs w:val="24"/>
        </w:rPr>
        <w:t xml:space="preserve"> based on continuing existing procedures with</w:t>
      </w:r>
      <w:r>
        <w:rPr>
          <w:rFonts w:ascii="Times New Roman" w:hAnsi="Times New Roman"/>
          <w:bCs/>
          <w:szCs w:val="24"/>
        </w:rPr>
        <w:t xml:space="preserve"> the</w:t>
      </w:r>
      <w:r w:rsidRPr="00C362D8">
        <w:rPr>
          <w:rFonts w:ascii="Times New Roman" w:hAnsi="Times New Roman"/>
          <w:bCs/>
          <w:szCs w:val="24"/>
        </w:rPr>
        <w:t xml:space="preserve"> </w:t>
      </w:r>
      <w:r>
        <w:rPr>
          <w:rFonts w:ascii="Times New Roman" w:hAnsi="Times New Roman"/>
          <w:bCs/>
          <w:szCs w:val="24"/>
        </w:rPr>
        <w:t>MDE additions</w:t>
      </w:r>
      <w:r w:rsidRPr="00C362D8">
        <w:rPr>
          <w:rFonts w:ascii="Times New Roman" w:hAnsi="Times New Roman"/>
          <w:bCs/>
          <w:szCs w:val="24"/>
        </w:rPr>
        <w:t>.</w:t>
      </w:r>
      <w:r w:rsidR="005E1A97">
        <w:rPr>
          <w:rFonts w:ascii="Times New Roman" w:hAnsi="Times New Roman"/>
          <w:bCs/>
          <w:szCs w:val="24"/>
        </w:rPr>
        <w:t xml:space="preserve"> These changes were made in consultation with the States that administer MEPs</w:t>
      </w:r>
      <w:r w:rsidR="00A04585">
        <w:rPr>
          <w:rFonts w:ascii="Times New Roman" w:hAnsi="Times New Roman"/>
          <w:bCs/>
          <w:szCs w:val="24"/>
        </w:rPr>
        <w:t xml:space="preserve"> and</w:t>
      </w:r>
      <w:r w:rsidR="005E1A97">
        <w:rPr>
          <w:rFonts w:ascii="Times New Roman" w:hAnsi="Times New Roman"/>
          <w:bCs/>
          <w:szCs w:val="24"/>
        </w:rPr>
        <w:t xml:space="preserve"> are in the best interest of students </w:t>
      </w:r>
      <w:r w:rsidR="005B330D">
        <w:rPr>
          <w:rFonts w:ascii="Times New Roman" w:hAnsi="Times New Roman"/>
          <w:bCs/>
          <w:szCs w:val="24"/>
        </w:rPr>
        <w:t xml:space="preserve">because </w:t>
      </w:r>
      <w:r w:rsidR="00C70D96">
        <w:rPr>
          <w:rFonts w:ascii="Times New Roman" w:hAnsi="Times New Roman"/>
          <w:bCs/>
          <w:szCs w:val="24"/>
        </w:rPr>
        <w:t>they</w:t>
      </w:r>
      <w:r w:rsidR="00BF58F6">
        <w:rPr>
          <w:rFonts w:ascii="Times New Roman" w:hAnsi="Times New Roman"/>
          <w:bCs/>
          <w:szCs w:val="24"/>
        </w:rPr>
        <w:t xml:space="preserve"> </w:t>
      </w:r>
      <w:r w:rsidR="005E1A97">
        <w:rPr>
          <w:rFonts w:ascii="Times New Roman" w:hAnsi="Times New Roman"/>
          <w:bCs/>
          <w:szCs w:val="24"/>
        </w:rPr>
        <w:t>will allow the States to better achieve their mission of helping migratory students and their families.</w:t>
      </w:r>
    </w:p>
    <w:p w:rsidR="006D748D" w:rsidRPr="00C362D8" w:rsidP="00534B4A" w14:paraId="3255123B" w14:textId="77777777">
      <w:pPr>
        <w:tabs>
          <w:tab w:val="left" w:pos="-720"/>
        </w:tabs>
        <w:suppressAutoHyphens/>
        <w:rPr>
          <w:rFonts w:ascii="Times New Roman" w:hAnsi="Times New Roman"/>
          <w:bCs/>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8CE25DE" w14:textId="77777777">
      <w:pPr>
        <w:tabs>
          <w:tab w:val="left" w:pos="-720"/>
        </w:tabs>
        <w:suppressAutoHyphens/>
        <w:rPr>
          <w:rFonts w:ascii="Times New Roman" w:hAnsi="Times New Roman"/>
          <w:szCs w:val="24"/>
        </w:rPr>
      </w:pPr>
    </w:p>
    <w:p w:rsidR="00534B4A" w:rsidP="0061063B" w14:paraId="58CE25DF" w14:textId="27C95977">
      <w:pPr>
        <w:suppressAutoHyphens/>
        <w:spacing w:line="240" w:lineRule="exact"/>
        <w:ind w:left="720"/>
        <w:rPr>
          <w:rFonts w:ascii="Times New Roman" w:hAnsi="Times New Roman"/>
          <w:szCs w:val="24"/>
        </w:rPr>
      </w:pPr>
      <w:r w:rsidRPr="00C362D8">
        <w:rPr>
          <w:rFonts w:ascii="Times New Roman" w:hAnsi="Times New Roman"/>
          <w:szCs w:val="24"/>
        </w:rPr>
        <w:t>The collection of information does not require publication of the information or use of complex analytical techniques. Summary information may be reported by the Secretary in tabular form to the SEAs, Congress and the public.</w:t>
      </w:r>
    </w:p>
    <w:p w:rsidR="00C362D8" w:rsidP="00534B4A" w14:paraId="3395583C" w14:textId="0366BFFB">
      <w:pPr>
        <w:tabs>
          <w:tab w:val="left" w:pos="-720"/>
        </w:tabs>
        <w:suppressAutoHyphens/>
        <w:rPr>
          <w:rFonts w:ascii="Times New Roman" w:hAnsi="Times New Roman"/>
          <w:szCs w:val="24"/>
        </w:rPr>
      </w:pPr>
    </w:p>
    <w:p w:rsidR="00C362D8" w:rsidRPr="00534B4A" w:rsidP="00534B4A" w14:paraId="17DFACEB" w14:textId="77777777">
      <w:pPr>
        <w:tabs>
          <w:tab w:val="left" w:pos="-720"/>
        </w:tabs>
        <w:suppressAutoHyphens/>
        <w:rPr>
          <w:rFonts w:ascii="Times New Roman" w:hAnsi="Times New Roman"/>
          <w:szCs w:val="24"/>
        </w:rPr>
      </w:pPr>
    </w:p>
    <w:p w:rsidR="00043C32"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946317" w:rsidRPr="00534B4A" w:rsidP="00946317" w14:paraId="493FAA06" w14:textId="77777777">
      <w:pPr>
        <w:pStyle w:val="ListParagraph"/>
        <w:tabs>
          <w:tab w:val="left" w:pos="-720"/>
        </w:tabs>
        <w:suppressAutoHyphens/>
        <w:ind w:left="907"/>
        <w:contextualSpacing w:val="0"/>
        <w:rPr>
          <w:rStyle w:val="a"/>
          <w:rFonts w:ascii="Times New Roman" w:hAnsi="Times New Roman"/>
          <w:b/>
          <w:szCs w:val="24"/>
        </w:rPr>
      </w:pPr>
    </w:p>
    <w:p w:rsidR="00534B4A" w:rsidRPr="00C362D8" w:rsidP="0061063B" w14:paraId="58CE25E1" w14:textId="206D2567">
      <w:pPr>
        <w:suppressAutoHyphens/>
        <w:spacing w:line="240" w:lineRule="exact"/>
        <w:ind w:left="720"/>
        <w:rPr>
          <w:rFonts w:ascii="Times New Roman" w:hAnsi="Times New Roman"/>
          <w:bCs/>
          <w:szCs w:val="24"/>
        </w:rPr>
      </w:pPr>
      <w:r w:rsidRPr="00C362D8">
        <w:rPr>
          <w:rFonts w:ascii="Times New Roman" w:hAnsi="Times New Roman"/>
          <w:bCs/>
          <w:szCs w:val="24"/>
        </w:rPr>
        <w:t>The OMB approval number will be displayed on the forms.</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3E43BD9A">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46317" w:rsidP="00946317" w14:paraId="341C5905" w14:textId="77777777">
      <w:pPr>
        <w:pStyle w:val="ListParagraph"/>
        <w:tabs>
          <w:tab w:val="left" w:pos="-720"/>
        </w:tabs>
        <w:suppressAutoHyphens/>
        <w:ind w:left="900"/>
        <w:rPr>
          <w:rStyle w:val="a"/>
          <w:rFonts w:ascii="Times New Roman" w:hAnsi="Times New Roman"/>
          <w:b/>
          <w:szCs w:val="24"/>
        </w:rPr>
      </w:pPr>
    </w:p>
    <w:p w:rsidR="00C362D8" w:rsidRPr="00C362D8" w:rsidP="0061063B" w14:paraId="47CD8B05" w14:textId="49F42F4C">
      <w:pPr>
        <w:suppressAutoHyphens/>
        <w:spacing w:line="240" w:lineRule="exact"/>
        <w:ind w:left="720"/>
        <w:rPr>
          <w:rFonts w:ascii="Times New Roman" w:hAnsi="Times New Roman"/>
          <w:bCs/>
          <w:szCs w:val="24"/>
        </w:rPr>
      </w:pPr>
      <w:r w:rsidRPr="00C362D8">
        <w:rPr>
          <w:rFonts w:ascii="Times New Roman" w:hAnsi="Times New Roman"/>
          <w:bCs/>
          <w:szCs w:val="24"/>
        </w:rPr>
        <w:t>There are no proposed exceptions to the certifications.</w:t>
      </w: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56CD" w14:paraId="58CE25E8" w14:textId="77777777">
    <w:pPr>
      <w:spacing w:before="140" w:line="100" w:lineRule="exact"/>
      <w:rPr>
        <w:sz w:val="10"/>
      </w:rPr>
    </w:pPr>
  </w:p>
  <w:p w:rsidR="004E56CD" w14:paraId="58CE25E9" w14:textId="77777777">
    <w:pPr>
      <w:tabs>
        <w:tab w:val="left" w:pos="0"/>
      </w:tabs>
      <w:suppressAutoHyphens/>
    </w:pPr>
  </w:p>
  <w:p w:rsidR="004E56CD"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E56CD"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4E56CD"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94A18" w:rsidP="00043C32" w14:paraId="361AAA5C" w14:textId="77777777">
      <w:r>
        <w:separator/>
      </w:r>
    </w:p>
  </w:footnote>
  <w:footnote w:type="continuationSeparator" w:id="1">
    <w:p w:rsidR="00694A18" w:rsidP="00043C32" w14:paraId="689E2A8D" w14:textId="77777777">
      <w:r>
        <w:continuationSeparator/>
      </w:r>
    </w:p>
  </w:footnote>
  <w:footnote w:type="continuationNotice" w:id="2">
    <w:p w:rsidR="00694A18" w14:paraId="464C81C3" w14:textId="77777777"/>
  </w:footnote>
  <w:footnote w:id="3">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6E4410B"/>
    <w:multiLevelType w:val="hybridMultilevel"/>
    <w:tmpl w:val="8B5E0E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Brake, Andrew">
    <w15:presenceInfo w15:providerId="AD" w15:userId="S::Andrew.Brake@ed.gov::949e614f-9845-40f9-a165-ec33a61d6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2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3848"/>
    <w:rsid w:val="00035BE0"/>
    <w:rsid w:val="00035ED5"/>
    <w:rsid w:val="0003606B"/>
    <w:rsid w:val="00036C78"/>
    <w:rsid w:val="00043C32"/>
    <w:rsid w:val="000446F5"/>
    <w:rsid w:val="00050002"/>
    <w:rsid w:val="00073C28"/>
    <w:rsid w:val="00093017"/>
    <w:rsid w:val="00096609"/>
    <w:rsid w:val="000A6DED"/>
    <w:rsid w:val="000A76D2"/>
    <w:rsid w:val="000A7BBA"/>
    <w:rsid w:val="000E3451"/>
    <w:rsid w:val="000F5332"/>
    <w:rsid w:val="0011000C"/>
    <w:rsid w:val="0012439A"/>
    <w:rsid w:val="00134CE0"/>
    <w:rsid w:val="00140DBB"/>
    <w:rsid w:val="001411EF"/>
    <w:rsid w:val="00145C0C"/>
    <w:rsid w:val="00166C67"/>
    <w:rsid w:val="001673CC"/>
    <w:rsid w:val="00173B92"/>
    <w:rsid w:val="001824F3"/>
    <w:rsid w:val="00184450"/>
    <w:rsid w:val="001A10A8"/>
    <w:rsid w:val="001A6AE0"/>
    <w:rsid w:val="001A7C12"/>
    <w:rsid w:val="001C73C0"/>
    <w:rsid w:val="001E0CE2"/>
    <w:rsid w:val="001E5BD7"/>
    <w:rsid w:val="001E79BD"/>
    <w:rsid w:val="001E7DF4"/>
    <w:rsid w:val="001F203D"/>
    <w:rsid w:val="00214000"/>
    <w:rsid w:val="00222035"/>
    <w:rsid w:val="002225CC"/>
    <w:rsid w:val="00224A3B"/>
    <w:rsid w:val="002319AE"/>
    <w:rsid w:val="00235043"/>
    <w:rsid w:val="00240A39"/>
    <w:rsid w:val="002466A6"/>
    <w:rsid w:val="00246FE9"/>
    <w:rsid w:val="00250100"/>
    <w:rsid w:val="00250796"/>
    <w:rsid w:val="0025155C"/>
    <w:rsid w:val="002559A5"/>
    <w:rsid w:val="002564CF"/>
    <w:rsid w:val="00262A69"/>
    <w:rsid w:val="00264EF4"/>
    <w:rsid w:val="00270AF7"/>
    <w:rsid w:val="0028195C"/>
    <w:rsid w:val="00287BFB"/>
    <w:rsid w:val="002A3221"/>
    <w:rsid w:val="002A535E"/>
    <w:rsid w:val="002C28B2"/>
    <w:rsid w:val="002C3520"/>
    <w:rsid w:val="002C59A5"/>
    <w:rsid w:val="002E0C4A"/>
    <w:rsid w:val="002E14E0"/>
    <w:rsid w:val="002E5C09"/>
    <w:rsid w:val="002E61FD"/>
    <w:rsid w:val="002E62C1"/>
    <w:rsid w:val="002F3335"/>
    <w:rsid w:val="002F4D11"/>
    <w:rsid w:val="002F55E5"/>
    <w:rsid w:val="00301C43"/>
    <w:rsid w:val="00302790"/>
    <w:rsid w:val="0030313C"/>
    <w:rsid w:val="003167BC"/>
    <w:rsid w:val="0032078A"/>
    <w:rsid w:val="00321DA1"/>
    <w:rsid w:val="003252DB"/>
    <w:rsid w:val="0032539E"/>
    <w:rsid w:val="003328A6"/>
    <w:rsid w:val="00332AAE"/>
    <w:rsid w:val="00355E18"/>
    <w:rsid w:val="0036335E"/>
    <w:rsid w:val="00370405"/>
    <w:rsid w:val="00383754"/>
    <w:rsid w:val="003860E4"/>
    <w:rsid w:val="003969C9"/>
    <w:rsid w:val="0039708D"/>
    <w:rsid w:val="003A4C16"/>
    <w:rsid w:val="003A74AF"/>
    <w:rsid w:val="003B1545"/>
    <w:rsid w:val="003C2D99"/>
    <w:rsid w:val="003C45D9"/>
    <w:rsid w:val="003D0121"/>
    <w:rsid w:val="003E62ED"/>
    <w:rsid w:val="003F2D62"/>
    <w:rsid w:val="00411956"/>
    <w:rsid w:val="00412915"/>
    <w:rsid w:val="004176DA"/>
    <w:rsid w:val="00427215"/>
    <w:rsid w:val="00442E07"/>
    <w:rsid w:val="004435FD"/>
    <w:rsid w:val="004607EC"/>
    <w:rsid w:val="00467F9A"/>
    <w:rsid w:val="00482C9B"/>
    <w:rsid w:val="004A1016"/>
    <w:rsid w:val="004A233F"/>
    <w:rsid w:val="004B0A56"/>
    <w:rsid w:val="004B6534"/>
    <w:rsid w:val="004C0FA8"/>
    <w:rsid w:val="004C309F"/>
    <w:rsid w:val="004C5B82"/>
    <w:rsid w:val="004D58F5"/>
    <w:rsid w:val="004D60E1"/>
    <w:rsid w:val="004E1F0F"/>
    <w:rsid w:val="004E223E"/>
    <w:rsid w:val="004E3F1E"/>
    <w:rsid w:val="004E537B"/>
    <w:rsid w:val="004E56CD"/>
    <w:rsid w:val="004F51BC"/>
    <w:rsid w:val="0050489E"/>
    <w:rsid w:val="00504A85"/>
    <w:rsid w:val="00510BA0"/>
    <w:rsid w:val="005144BD"/>
    <w:rsid w:val="0052073E"/>
    <w:rsid w:val="00525B39"/>
    <w:rsid w:val="005305B7"/>
    <w:rsid w:val="0053231A"/>
    <w:rsid w:val="00534B4A"/>
    <w:rsid w:val="005379E0"/>
    <w:rsid w:val="005463E3"/>
    <w:rsid w:val="0055034A"/>
    <w:rsid w:val="00557B48"/>
    <w:rsid w:val="00564198"/>
    <w:rsid w:val="0056599C"/>
    <w:rsid w:val="005664A5"/>
    <w:rsid w:val="005761A1"/>
    <w:rsid w:val="0058082C"/>
    <w:rsid w:val="00581C11"/>
    <w:rsid w:val="005918E0"/>
    <w:rsid w:val="005A310B"/>
    <w:rsid w:val="005B2133"/>
    <w:rsid w:val="005B258E"/>
    <w:rsid w:val="005B330D"/>
    <w:rsid w:val="005B65E5"/>
    <w:rsid w:val="005C02B8"/>
    <w:rsid w:val="005C1273"/>
    <w:rsid w:val="005C1B76"/>
    <w:rsid w:val="005C3BB9"/>
    <w:rsid w:val="005D6570"/>
    <w:rsid w:val="005D67EE"/>
    <w:rsid w:val="005E1A97"/>
    <w:rsid w:val="005E3216"/>
    <w:rsid w:val="005F3D33"/>
    <w:rsid w:val="005F7823"/>
    <w:rsid w:val="0061063B"/>
    <w:rsid w:val="0061231B"/>
    <w:rsid w:val="00620CED"/>
    <w:rsid w:val="00622025"/>
    <w:rsid w:val="00637450"/>
    <w:rsid w:val="006600A1"/>
    <w:rsid w:val="006600F0"/>
    <w:rsid w:val="00664C7E"/>
    <w:rsid w:val="00674B9C"/>
    <w:rsid w:val="0067664F"/>
    <w:rsid w:val="0068567A"/>
    <w:rsid w:val="00694A18"/>
    <w:rsid w:val="006961FF"/>
    <w:rsid w:val="006A292A"/>
    <w:rsid w:val="006A38F7"/>
    <w:rsid w:val="006A4EBB"/>
    <w:rsid w:val="006A6608"/>
    <w:rsid w:val="006B181A"/>
    <w:rsid w:val="006B22AC"/>
    <w:rsid w:val="006B2752"/>
    <w:rsid w:val="006B2C5B"/>
    <w:rsid w:val="006B4172"/>
    <w:rsid w:val="006C4119"/>
    <w:rsid w:val="006D1A17"/>
    <w:rsid w:val="006D4F18"/>
    <w:rsid w:val="006D748D"/>
    <w:rsid w:val="006E0F6E"/>
    <w:rsid w:val="006E232F"/>
    <w:rsid w:val="0071295A"/>
    <w:rsid w:val="0073271A"/>
    <w:rsid w:val="00733EF9"/>
    <w:rsid w:val="007346F4"/>
    <w:rsid w:val="00746FD4"/>
    <w:rsid w:val="00755D99"/>
    <w:rsid w:val="007564BD"/>
    <w:rsid w:val="00756C87"/>
    <w:rsid w:val="00756FD3"/>
    <w:rsid w:val="00763A91"/>
    <w:rsid w:val="00765392"/>
    <w:rsid w:val="007710D5"/>
    <w:rsid w:val="007767DB"/>
    <w:rsid w:val="00777758"/>
    <w:rsid w:val="007806D6"/>
    <w:rsid w:val="007872B1"/>
    <w:rsid w:val="00790E3E"/>
    <w:rsid w:val="00793535"/>
    <w:rsid w:val="007A100D"/>
    <w:rsid w:val="007B3B81"/>
    <w:rsid w:val="007C0A4C"/>
    <w:rsid w:val="007D7E02"/>
    <w:rsid w:val="007E760B"/>
    <w:rsid w:val="007F1FB0"/>
    <w:rsid w:val="007F3CF6"/>
    <w:rsid w:val="007F505A"/>
    <w:rsid w:val="007F6104"/>
    <w:rsid w:val="00800D30"/>
    <w:rsid w:val="00805441"/>
    <w:rsid w:val="00807D1A"/>
    <w:rsid w:val="0081066E"/>
    <w:rsid w:val="008133D8"/>
    <w:rsid w:val="008153DA"/>
    <w:rsid w:val="00817F59"/>
    <w:rsid w:val="008245D0"/>
    <w:rsid w:val="00834857"/>
    <w:rsid w:val="00846412"/>
    <w:rsid w:val="0085073F"/>
    <w:rsid w:val="008565BC"/>
    <w:rsid w:val="008578DE"/>
    <w:rsid w:val="00865ADE"/>
    <w:rsid w:val="008677AB"/>
    <w:rsid w:val="008731A3"/>
    <w:rsid w:val="00874EFE"/>
    <w:rsid w:val="008816E3"/>
    <w:rsid w:val="00882126"/>
    <w:rsid w:val="008933F1"/>
    <w:rsid w:val="00893F99"/>
    <w:rsid w:val="0089625F"/>
    <w:rsid w:val="008A41BB"/>
    <w:rsid w:val="008A77E4"/>
    <w:rsid w:val="008B7500"/>
    <w:rsid w:val="008C04FC"/>
    <w:rsid w:val="008C20C8"/>
    <w:rsid w:val="008C2283"/>
    <w:rsid w:val="008C6F19"/>
    <w:rsid w:val="008D0601"/>
    <w:rsid w:val="008D1763"/>
    <w:rsid w:val="008D1F11"/>
    <w:rsid w:val="008D44F9"/>
    <w:rsid w:val="008E5919"/>
    <w:rsid w:val="008E7255"/>
    <w:rsid w:val="008F7ED6"/>
    <w:rsid w:val="009031F2"/>
    <w:rsid w:val="00905951"/>
    <w:rsid w:val="00912D2C"/>
    <w:rsid w:val="00913163"/>
    <w:rsid w:val="009147CD"/>
    <w:rsid w:val="00916EE4"/>
    <w:rsid w:val="00920F63"/>
    <w:rsid w:val="009243F3"/>
    <w:rsid w:val="0093366B"/>
    <w:rsid w:val="00934185"/>
    <w:rsid w:val="00941C84"/>
    <w:rsid w:val="00946126"/>
    <w:rsid w:val="00946317"/>
    <w:rsid w:val="00951792"/>
    <w:rsid w:val="00952DF9"/>
    <w:rsid w:val="0095421D"/>
    <w:rsid w:val="009574A9"/>
    <w:rsid w:val="00960C86"/>
    <w:rsid w:val="00961392"/>
    <w:rsid w:val="00966469"/>
    <w:rsid w:val="009767AF"/>
    <w:rsid w:val="009816E0"/>
    <w:rsid w:val="00981F58"/>
    <w:rsid w:val="00986D0A"/>
    <w:rsid w:val="00990F8E"/>
    <w:rsid w:val="00991C74"/>
    <w:rsid w:val="009A65A7"/>
    <w:rsid w:val="009A6DE2"/>
    <w:rsid w:val="009A74C7"/>
    <w:rsid w:val="009C25CE"/>
    <w:rsid w:val="009C4419"/>
    <w:rsid w:val="009E3E86"/>
    <w:rsid w:val="009F4A7B"/>
    <w:rsid w:val="009F607E"/>
    <w:rsid w:val="00A04585"/>
    <w:rsid w:val="00A04C79"/>
    <w:rsid w:val="00A118A2"/>
    <w:rsid w:val="00A139EF"/>
    <w:rsid w:val="00A15CA7"/>
    <w:rsid w:val="00A20CF8"/>
    <w:rsid w:val="00A20D09"/>
    <w:rsid w:val="00A23F26"/>
    <w:rsid w:val="00A4001C"/>
    <w:rsid w:val="00A40AAB"/>
    <w:rsid w:val="00A4243F"/>
    <w:rsid w:val="00A43020"/>
    <w:rsid w:val="00A4490D"/>
    <w:rsid w:val="00A46D01"/>
    <w:rsid w:val="00A504F9"/>
    <w:rsid w:val="00A50513"/>
    <w:rsid w:val="00A5268C"/>
    <w:rsid w:val="00A53E1E"/>
    <w:rsid w:val="00A6215A"/>
    <w:rsid w:val="00A70816"/>
    <w:rsid w:val="00A7636D"/>
    <w:rsid w:val="00A778CF"/>
    <w:rsid w:val="00A87704"/>
    <w:rsid w:val="00A9138E"/>
    <w:rsid w:val="00AA16B2"/>
    <w:rsid w:val="00AA7CD0"/>
    <w:rsid w:val="00AC1C89"/>
    <w:rsid w:val="00AC4AC0"/>
    <w:rsid w:val="00AC4E06"/>
    <w:rsid w:val="00AD381B"/>
    <w:rsid w:val="00AE069E"/>
    <w:rsid w:val="00AF5B5B"/>
    <w:rsid w:val="00AF5D1A"/>
    <w:rsid w:val="00B017F9"/>
    <w:rsid w:val="00B07213"/>
    <w:rsid w:val="00B10A05"/>
    <w:rsid w:val="00B302CF"/>
    <w:rsid w:val="00B54167"/>
    <w:rsid w:val="00B56051"/>
    <w:rsid w:val="00B62E06"/>
    <w:rsid w:val="00B64B1D"/>
    <w:rsid w:val="00B77DEC"/>
    <w:rsid w:val="00B8265A"/>
    <w:rsid w:val="00B82B6E"/>
    <w:rsid w:val="00B95E1F"/>
    <w:rsid w:val="00B9671B"/>
    <w:rsid w:val="00BA1D31"/>
    <w:rsid w:val="00BA2024"/>
    <w:rsid w:val="00BA6A6B"/>
    <w:rsid w:val="00BD74B4"/>
    <w:rsid w:val="00BE079A"/>
    <w:rsid w:val="00BE6C76"/>
    <w:rsid w:val="00BF55A0"/>
    <w:rsid w:val="00BF58F6"/>
    <w:rsid w:val="00BF6275"/>
    <w:rsid w:val="00BF633F"/>
    <w:rsid w:val="00BF6350"/>
    <w:rsid w:val="00C109A3"/>
    <w:rsid w:val="00C164D3"/>
    <w:rsid w:val="00C20670"/>
    <w:rsid w:val="00C224FD"/>
    <w:rsid w:val="00C30A64"/>
    <w:rsid w:val="00C343A3"/>
    <w:rsid w:val="00C362D8"/>
    <w:rsid w:val="00C36893"/>
    <w:rsid w:val="00C369CA"/>
    <w:rsid w:val="00C62FD3"/>
    <w:rsid w:val="00C65343"/>
    <w:rsid w:val="00C70D96"/>
    <w:rsid w:val="00C830DA"/>
    <w:rsid w:val="00C83B2A"/>
    <w:rsid w:val="00C842E7"/>
    <w:rsid w:val="00C8511A"/>
    <w:rsid w:val="00C86713"/>
    <w:rsid w:val="00C875E8"/>
    <w:rsid w:val="00C92035"/>
    <w:rsid w:val="00C960B0"/>
    <w:rsid w:val="00CA6500"/>
    <w:rsid w:val="00CB65B8"/>
    <w:rsid w:val="00CC2A72"/>
    <w:rsid w:val="00CC2F81"/>
    <w:rsid w:val="00CC3FB5"/>
    <w:rsid w:val="00CC5155"/>
    <w:rsid w:val="00CC6E9A"/>
    <w:rsid w:val="00CD2067"/>
    <w:rsid w:val="00CD47BC"/>
    <w:rsid w:val="00CE156D"/>
    <w:rsid w:val="00CE7F3C"/>
    <w:rsid w:val="00CF6744"/>
    <w:rsid w:val="00D21D0A"/>
    <w:rsid w:val="00D34984"/>
    <w:rsid w:val="00D368E5"/>
    <w:rsid w:val="00D36C35"/>
    <w:rsid w:val="00D461F4"/>
    <w:rsid w:val="00D46858"/>
    <w:rsid w:val="00D64C9F"/>
    <w:rsid w:val="00D66A0F"/>
    <w:rsid w:val="00D75313"/>
    <w:rsid w:val="00D81844"/>
    <w:rsid w:val="00D83633"/>
    <w:rsid w:val="00D85F55"/>
    <w:rsid w:val="00DC0C2C"/>
    <w:rsid w:val="00DC5F61"/>
    <w:rsid w:val="00DD3452"/>
    <w:rsid w:val="00DD62D1"/>
    <w:rsid w:val="00DD6A13"/>
    <w:rsid w:val="00DD754E"/>
    <w:rsid w:val="00DE1AA8"/>
    <w:rsid w:val="00DE2FB0"/>
    <w:rsid w:val="00DE574A"/>
    <w:rsid w:val="00DE6950"/>
    <w:rsid w:val="00DF43F0"/>
    <w:rsid w:val="00E05F5F"/>
    <w:rsid w:val="00E16ACD"/>
    <w:rsid w:val="00E17134"/>
    <w:rsid w:val="00E25EBC"/>
    <w:rsid w:val="00E40168"/>
    <w:rsid w:val="00E518C1"/>
    <w:rsid w:val="00E53A3B"/>
    <w:rsid w:val="00E543D6"/>
    <w:rsid w:val="00E55AE4"/>
    <w:rsid w:val="00E569C2"/>
    <w:rsid w:val="00E66550"/>
    <w:rsid w:val="00E7237E"/>
    <w:rsid w:val="00E75F5A"/>
    <w:rsid w:val="00E877BF"/>
    <w:rsid w:val="00E95F81"/>
    <w:rsid w:val="00EA1767"/>
    <w:rsid w:val="00EA37E9"/>
    <w:rsid w:val="00EB0929"/>
    <w:rsid w:val="00EB0FA5"/>
    <w:rsid w:val="00EB2F22"/>
    <w:rsid w:val="00EB55F5"/>
    <w:rsid w:val="00EC01DD"/>
    <w:rsid w:val="00EC1203"/>
    <w:rsid w:val="00EC326D"/>
    <w:rsid w:val="00EC35E3"/>
    <w:rsid w:val="00ED1269"/>
    <w:rsid w:val="00ED7195"/>
    <w:rsid w:val="00EE3733"/>
    <w:rsid w:val="00EE767E"/>
    <w:rsid w:val="00EE7C17"/>
    <w:rsid w:val="00EF59F4"/>
    <w:rsid w:val="00F01DD2"/>
    <w:rsid w:val="00F0414F"/>
    <w:rsid w:val="00F06662"/>
    <w:rsid w:val="00F26A6D"/>
    <w:rsid w:val="00F27AAF"/>
    <w:rsid w:val="00F31BEC"/>
    <w:rsid w:val="00F35529"/>
    <w:rsid w:val="00F37EFD"/>
    <w:rsid w:val="00F46737"/>
    <w:rsid w:val="00F5544F"/>
    <w:rsid w:val="00F571B1"/>
    <w:rsid w:val="00F5782B"/>
    <w:rsid w:val="00F61876"/>
    <w:rsid w:val="00F73131"/>
    <w:rsid w:val="00F752D5"/>
    <w:rsid w:val="00F779FE"/>
    <w:rsid w:val="00F9440C"/>
    <w:rsid w:val="00F95991"/>
    <w:rsid w:val="00FA5447"/>
    <w:rsid w:val="00FB3439"/>
    <w:rsid w:val="00FC669D"/>
    <w:rsid w:val="00FD0FB6"/>
    <w:rsid w:val="00FD40E6"/>
    <w:rsid w:val="00FD4742"/>
    <w:rsid w:val="00FD4F0B"/>
    <w:rsid w:val="00FE02FC"/>
    <w:rsid w:val="00FE1BAE"/>
    <w:rsid w:val="00FE4B8C"/>
    <w:rsid w:val="0790F213"/>
    <w:rsid w:val="1EE15257"/>
    <w:rsid w:val="2947CF31"/>
    <w:rsid w:val="3CCDEDF4"/>
    <w:rsid w:val="44AEA0BF"/>
    <w:rsid w:val="4B4F01DF"/>
    <w:rsid w:val="6FCBF2C0"/>
    <w:rsid w:val="7C0C254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DC7ECE66-2873-40BC-A763-29746953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5268C"/>
    <w:rPr>
      <w:rFonts w:ascii="Courier" w:hAnsi="Courier"/>
      <w:sz w:val="24"/>
    </w:rPr>
  </w:style>
  <w:style w:type="character" w:styleId="Mention">
    <w:name w:val="Mention"/>
    <w:basedOn w:val="DefaultParagraphFont"/>
    <w:uiPriority w:val="99"/>
    <w:unhideWhenUsed/>
    <w:rsid w:val="00E05F5F"/>
    <w:rPr>
      <w:color w:val="2B579A"/>
      <w:shd w:val="clear" w:color="auto" w:fill="E1DFDD"/>
    </w:rPr>
  </w:style>
  <w:style w:type="character" w:styleId="FollowedHyperlink">
    <w:name w:val="FollowedHyperlink"/>
    <w:basedOn w:val="DefaultParagraphFont"/>
    <w:uiPriority w:val="99"/>
    <w:semiHidden/>
    <w:unhideWhenUsed/>
    <w:rsid w:val="00DE6950"/>
    <w:rPr>
      <w:color w:val="800080" w:themeColor="followedHyperlink"/>
      <w:u w:val="single"/>
    </w:rPr>
  </w:style>
  <w:style w:type="paragraph" w:styleId="NormalWeb">
    <w:name w:val="Normal (Web)"/>
    <w:basedOn w:val="Normal"/>
    <w:uiPriority w:val="99"/>
    <w:semiHidden/>
    <w:unhideWhenUsed/>
    <w:rsid w:val="00DE574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Version xmlns="1256f4b4-9bec-4031-9095-db409204aa36" xsi:nil="true"/>
    <CCG_x0020_Project xmlns="1256f4b4-9bec-4031-9095-db409204aa36" xsi:nil="true"/>
    <Author0 xmlns="1256f4b4-9bec-4031-9095-db409204aa36">
      <UserInfo>
        <DisplayName/>
        <AccountId xsi:nil="true"/>
        <AccountType/>
      </UserInfo>
    </Author0>
    <PeerReviewer xmlns="1256f4b4-9bec-4031-9095-db409204aa36">
      <UserInfo>
        <DisplayName/>
        <AccountId xsi:nil="true"/>
        <AccountType/>
      </UserInfo>
    </PeerReview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DE5DC5A8B3A984AB36E0B9D41EE7C4A" ma:contentTypeVersion="13" ma:contentTypeDescription="Create a new document." ma:contentTypeScope="" ma:versionID="30afd0a4fc00878812cbd6eb5b95f4c9">
  <xsd:schema xmlns:xsd="http://www.w3.org/2001/XMLSchema" xmlns:xs="http://www.w3.org/2001/XMLSchema" xmlns:p="http://schemas.microsoft.com/office/2006/metadata/properties" xmlns:ns2="1256f4b4-9bec-4031-9095-db409204aa36" xmlns:ns3="246d6fa7-8ef1-4ed2-a303-61095ac6aa0f" targetNamespace="http://schemas.microsoft.com/office/2006/metadata/properties" ma:root="true" ma:fieldsID="5f28ee3bfd43f49cbab233cf888ccc35" ns2:_="" ns3:_="">
    <xsd:import namespace="1256f4b4-9bec-4031-9095-db409204aa36"/>
    <xsd:import namespace="246d6fa7-8ef1-4ed2-a303-61095ac6aa0f"/>
    <xsd:element name="properties">
      <xsd:complexType>
        <xsd:sequence>
          <xsd:element name="documentManagement">
            <xsd:complexType>
              <xsd:all>
                <xsd:element ref="ns2:MediaServiceMetadata" minOccurs="0"/>
                <xsd:element ref="ns2:MediaServiceFastMetadata" minOccurs="0"/>
                <xsd:element ref="ns2:CCG_x0020_Project" minOccurs="0"/>
                <xsd:element ref="ns2:Version" minOccurs="0"/>
                <xsd:element ref="ns3:SharedWithUsers" minOccurs="0"/>
                <xsd:element ref="ns3:SharedWithDetails" minOccurs="0"/>
                <xsd:element ref="ns2:Author0" minOccurs="0"/>
                <xsd:element ref="ns2:PeerReview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6f4b4-9bec-4031-9095-db409204a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CG_x0020_Project" ma:index="10" nillable="true" ma:displayName="CCG Project" ma:format="Dropdown" ma:indexed="true" ma:internalName="CCG_x0020_Project">
      <xsd:simpleType>
        <xsd:union memberTypes="dms:Text">
          <xsd:simpleType>
            <xsd:restriction base="dms:Choice">
              <xsd:enumeration value="Professional Development"/>
              <xsd:enumeration value="SOP Documents"/>
              <xsd:enumeration value="Prayer Guidance"/>
              <xsd:enumeration value="DLC-OMB Review"/>
            </xsd:restriction>
          </xsd:simpleType>
        </xsd:union>
      </xsd:simpleType>
    </xsd:element>
    <xsd:element name="Version" ma:index="11" nillable="true" ma:displayName="Version " ma:format="Dropdown" ma:internalName="Version">
      <xsd:simpleType>
        <xsd:restriction base="dms:Choice">
          <xsd:enumeration value="Draft "/>
          <xsd:enumeration value="Reviewed"/>
          <xsd:enumeration value="Approved "/>
        </xsd:restriction>
      </xsd:simpleType>
    </xsd:element>
    <xsd:element name="Author0" ma:index="14"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erReviewer" ma:index="15" nillable="true" ma:displayName="Peer Reviewer" ma:format="Dropdown" ma:list="UserInfo" ma:SharePointGroup="0" ma:internalName="Peer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d6fa7-8ef1-4ed2-a303-61095ac6aa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256f4b4-9bec-4031-9095-db409204aa36"/>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AE6E3E0D-0045-43E5-B751-C320208D6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6f4b4-9bec-4031-9095-db409204aa36"/>
    <ds:schemaRef ds:uri="246d6fa7-8ef1-4ed2-a303-61095ac6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4049</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Mullan, Kate</dc:creator>
  <cp:keywords>supporting statement, Part A</cp:keywords>
  <cp:lastModifiedBy>Mullan, Kate</cp:lastModifiedBy>
  <cp:revision>2</cp:revision>
  <dcterms:created xsi:type="dcterms:W3CDTF">2022-09-12T19:18:00Z</dcterms:created>
  <dcterms:modified xsi:type="dcterms:W3CDTF">2022-09-12T19:18:00Z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nectED Offices">
    <vt:lpwstr>2107;#OPEPD|ce92b553-05da-452f-8e44-07d7a13de30f</vt:lpwstr>
  </property>
  <property fmtid="{D5CDD505-2E9C-101B-9397-08002B2CF9AE}" pid="6" name="ContentOffice">
    <vt:lpwstr/>
  </property>
  <property fmtid="{D5CDD505-2E9C-101B-9397-08002B2CF9AE}" pid="7" name="ContentTypeId">
    <vt:lpwstr>0x0101006DE5DC5A8B3A984AB36E0B9D41EE7C4A</vt:lpwstr>
  </property>
  <property fmtid="{D5CDD505-2E9C-101B-9397-08002B2CF9AE}" pid="8" name="ContentWebmasterEmail">
    <vt:lpwstr>connected@ed.gov</vt:lpwstr>
  </property>
  <property fmtid="{D5CDD505-2E9C-101B-9397-08002B2CF9AE}" pid="9" name="Document Type">
    <vt:lpwstr/>
  </property>
  <property fmtid="{D5CDD505-2E9C-101B-9397-08002B2CF9AE}" pid="10" name="Document_x0020_Type">
    <vt:lpwstr/>
  </property>
  <property fmtid="{D5CDD505-2E9C-101B-9397-08002B2CF9AE}" pid="11" name="Enterprise Navigation Section">
    <vt:lpwstr>1324;#Information Collection Clearance Division|7c44fac8-3be8-47c1-8865-7a007fc70514</vt:lpwstr>
  </property>
  <property fmtid="{D5CDD505-2E9C-101B-9397-08002B2CF9AE}" pid="12" name="Enterprise Site Category/Topic">
    <vt:lpwstr/>
  </property>
  <property fmtid="{D5CDD505-2E9C-101B-9397-08002B2CF9AE}" pid="13" name="Fiscal Year">
    <vt:lpwstr>22;#2021|a9b09679-9681-4840-9409-cc087bb840af</vt:lpwstr>
  </property>
  <property fmtid="{D5CDD505-2E9C-101B-9397-08002B2CF9AE}" pid="14" name="Function">
    <vt:lpwstr/>
  </property>
  <property fmtid="{D5CDD505-2E9C-101B-9397-08002B2CF9AE}" pid="15" name="hebfa55e97a440a4b0b631fde26adccc">
    <vt:lpwstr/>
  </property>
  <property fmtid="{D5CDD505-2E9C-101B-9397-08002B2CF9AE}" pid="16"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7" name="Navigation Category">
    <vt:lpwstr>2895;#Information Collection|be93d448-b265-4cb3-93a5-4708954c2750</vt:lpwstr>
  </property>
  <property fmtid="{D5CDD505-2E9C-101B-9397-08002B2CF9AE}" pid="18" name="OESE Office">
    <vt:lpwstr>26;#Group 1|0fcb4b39-579b-432d-bded-216f23f37ae5</vt:lpwstr>
  </property>
  <property fmtid="{D5CDD505-2E9C-101B-9397-08002B2CF9AE}" pid="19" name="Order">
    <vt:r8>800</vt:r8>
  </property>
  <property fmtid="{D5CDD505-2E9C-101B-9397-08002B2CF9AE}" pid="20" name="Secondary Navigation Category">
    <vt:lpwstr/>
  </property>
  <property fmtid="{D5CDD505-2E9C-101B-9397-08002B2CF9AE}" pid="21" name="Secondary Subject">
    <vt:lpwstr/>
  </property>
  <property fmtid="{D5CDD505-2E9C-101B-9397-08002B2CF9AE}" pid="22" name="Secondary_x0020_Subject">
    <vt:lpwstr/>
  </property>
  <property fmtid="{D5CDD505-2E9C-101B-9397-08002B2CF9AE}" pid="23" name="WorkflowChangePath">
    <vt:lpwstr>8f38e374-a608-41a9-a760-7cfdddace18b,32;8f38e374-a608-41a9-a760-7cfdddace18b,32;</vt:lpwstr>
  </property>
  <property fmtid="{D5CDD505-2E9C-101B-9397-08002B2CF9AE}" pid="24" name="_dlc_DocIdItemGuid">
    <vt:lpwstr>41013e83-931d-4b51-a694-340c449e8e68</vt:lpwstr>
  </property>
  <property fmtid="{D5CDD505-2E9C-101B-9397-08002B2CF9AE}" pid="25" name="_dlc_LastRun">
    <vt:lpwstr>03/23/2021 01:12:33</vt:lpwstr>
  </property>
  <property fmtid="{D5CDD505-2E9C-101B-9397-08002B2CF9AE}" pid="26" name="_dlc_policyId">
    <vt:lpwstr>0x0101001C22A2B9DBEDBB4DB130C1FAF5F2F008|-874002092</vt:lpwstr>
  </property>
</Properties>
</file>