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47A4C06E" w:rsidRDefault="00EA1767" w14:paraId="58CE2522" w14:textId="5762F714">
      <w:pPr>
        <w:pStyle w:val="Header"/>
        <w:rPr>
          <w:rFonts w:ascii="Times New Roman" w:hAnsi="Times New Roman"/>
          <w:color w:val="FFFFFF" w:themeColor="background1"/>
        </w:rPr>
      </w:pPr>
      <w:r w:rsidRPr="47A4C06E">
        <w:rPr>
          <w:rFonts w:ascii="Times New Roman" w:hAnsi="Times New Roman"/>
        </w:rPr>
        <w:t>Tracking and OMB Number: 1810-0687</w:t>
      </w: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Pr="00AD381B" w:rsidR="00EA1767" w:rsidP="00AD381B" w:rsidRDefault="00043C32"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58CE2528" w14:textId="25D725FA">
      <w:pPr>
        <w:pStyle w:val="ListParagraph"/>
        <w:suppressAutoHyphens/>
        <w:spacing w:line="240" w:lineRule="exact"/>
        <w:rPr>
          <w:rFonts w:ascii="Times New Roman" w:hAnsi="Times New Roman"/>
          <w:szCs w:val="24"/>
        </w:rPr>
      </w:pPr>
    </w:p>
    <w:p w:rsidRPr="003726DB" w:rsidR="000F0613" w:rsidP="4600D7F5" w:rsidRDefault="000F0613" w14:paraId="2A39DC9B" w14:textId="00AD2D25">
      <w:pPr>
        <w:pStyle w:val="ListParagraph"/>
        <w:suppressAutoHyphens/>
        <w:spacing w:line="240" w:lineRule="exact"/>
        <w:rPr>
          <w:rFonts w:ascii="Times New Roman" w:hAnsi="Times New Roman"/>
        </w:rPr>
      </w:pPr>
      <w:r w:rsidRPr="003726DB">
        <w:rPr>
          <w:rFonts w:ascii="Times New Roman" w:hAnsi="Times New Roman"/>
        </w:rPr>
        <w:t xml:space="preserve">The U.S. Department of Education is requesting approval for </w:t>
      </w:r>
      <w:r w:rsidR="000A0920">
        <w:rPr>
          <w:rFonts w:ascii="Times New Roman" w:hAnsi="Times New Roman"/>
        </w:rPr>
        <w:t xml:space="preserve">an extension for </w:t>
      </w:r>
      <w:r w:rsidRPr="003726DB">
        <w:rPr>
          <w:rFonts w:ascii="Times New Roman" w:hAnsi="Times New Roman"/>
        </w:rPr>
        <w:t xml:space="preserve">the Application for Assistance under Section 7003 of Title VIII of the Elementary and Secondary Education Act (ESEA) as amended by </w:t>
      </w:r>
      <w:proofErr w:type="gramStart"/>
      <w:r w:rsidRPr="003726DB">
        <w:rPr>
          <w:rFonts w:ascii="Times New Roman" w:hAnsi="Times New Roman"/>
        </w:rPr>
        <w:t>the Every</w:t>
      </w:r>
      <w:proofErr w:type="gramEnd"/>
      <w:r w:rsidRPr="003726DB">
        <w:rPr>
          <w:rFonts w:ascii="Times New Roman" w:hAnsi="Times New Roman"/>
        </w:rPr>
        <w:t xml:space="preserve"> Student Succeeds Act (ESSA).  This application is for a grant program otherwise known as Impact Aid Basic Support Payments.  Local Educational Agencies (LEAs) whose enrollments and revenues are adversely impacted by Federal activities use this form to request financial assistance.  Regulations for the Impact Aid Program are found at 34 CFR §222.</w:t>
      </w:r>
    </w:p>
    <w:p w:rsidRPr="003726DB" w:rsidR="000F0613" w:rsidP="4600D7F5" w:rsidRDefault="000F0613" w14:paraId="08D0FAFB" w14:textId="77777777">
      <w:pPr>
        <w:pStyle w:val="ListParagraph"/>
        <w:suppressAutoHyphens/>
        <w:spacing w:line="240" w:lineRule="exact"/>
        <w:rPr>
          <w:rFonts w:ascii="Times New Roman" w:hAnsi="Times New Roman"/>
        </w:rPr>
      </w:pPr>
    </w:p>
    <w:p w:rsidRPr="003726DB" w:rsidR="000F0613" w:rsidP="4600D7F5" w:rsidRDefault="000F0613" w14:paraId="54392C66" w14:textId="77777777">
      <w:pPr>
        <w:pStyle w:val="ListParagraph"/>
        <w:suppressAutoHyphens/>
        <w:spacing w:line="240" w:lineRule="exact"/>
        <w:rPr>
          <w:rFonts w:ascii="Times New Roman" w:hAnsi="Times New Roman"/>
        </w:rPr>
      </w:pPr>
      <w:r w:rsidRPr="003726DB">
        <w:rPr>
          <w:rFonts w:ascii="Times New Roman" w:hAnsi="Times New Roman"/>
        </w:rPr>
        <w:t xml:space="preserve">The statute and regulations for this program require a variety of data from applicants annually to determine eligibility for the grants and the amount of grant payment under the statutory formula.  The least burdensome method of collecting this required information is for each applicant to submit these data through a web-based electronic application hosted on the Impact Aid Grant System (IAGS) website.  </w:t>
      </w:r>
    </w:p>
    <w:p w:rsidRPr="003726DB" w:rsidR="000F0613" w:rsidP="4600D7F5" w:rsidRDefault="000F0613" w14:paraId="30692E41" w14:textId="77777777">
      <w:pPr>
        <w:pStyle w:val="ListParagraph"/>
        <w:suppressAutoHyphens/>
        <w:spacing w:line="240" w:lineRule="exact"/>
        <w:rPr>
          <w:rFonts w:ascii="Times New Roman" w:hAnsi="Times New Roman"/>
        </w:rPr>
      </w:pPr>
    </w:p>
    <w:p w:rsidRPr="003726DB" w:rsidR="000F0613" w:rsidP="4600D7F5" w:rsidRDefault="000F0613" w14:paraId="4E204E5A" w14:textId="18A84BBA">
      <w:pPr>
        <w:pStyle w:val="ListParagraph"/>
        <w:suppressAutoHyphens/>
        <w:spacing w:line="240" w:lineRule="exact"/>
        <w:rPr>
          <w:rFonts w:ascii="Times New Roman" w:hAnsi="Times New Roman"/>
        </w:rPr>
      </w:pPr>
      <w:r w:rsidRPr="003726DB">
        <w:rPr>
          <w:rFonts w:ascii="Times New Roman" w:hAnsi="Times New Roman"/>
        </w:rPr>
        <w:t>This application is approved under OMB 1810-0687.  The Department of Education is requesting a</w:t>
      </w:r>
      <w:r w:rsidR="00232469">
        <w:rPr>
          <w:rFonts w:ascii="Times New Roman" w:hAnsi="Times New Roman"/>
        </w:rPr>
        <w:t xml:space="preserve">n extension </w:t>
      </w:r>
      <w:r w:rsidRPr="003726DB">
        <w:rPr>
          <w:rFonts w:ascii="Times New Roman" w:hAnsi="Times New Roman"/>
        </w:rPr>
        <w:t>under the same collection number.</w:t>
      </w:r>
    </w:p>
    <w:p w:rsidR="001D7D82" w:rsidP="00AD381B" w:rsidRDefault="001D7D82" w14:paraId="49D8A21D" w14:textId="77777777">
      <w:pPr>
        <w:pStyle w:val="ListParagraph"/>
        <w:suppressAutoHyphens/>
        <w:spacing w:line="240" w:lineRule="exact"/>
        <w:rPr>
          <w:rFonts w:ascii="Times New Roman" w:hAnsi="Times New Roman"/>
          <w:szCs w:val="24"/>
        </w:rPr>
      </w:pP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00AD381B" w:rsidP="00AD381B" w:rsidRDefault="00043C32"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0F0613" w:rsidRDefault="00AD381B" w14:paraId="58CE252B" w14:textId="6E8F8F34">
      <w:pPr>
        <w:suppressAutoHyphens/>
        <w:spacing w:line="240" w:lineRule="exact"/>
        <w:ind w:left="720"/>
        <w:rPr>
          <w:rFonts w:ascii="Times New Roman" w:hAnsi="Times New Roman"/>
          <w:szCs w:val="24"/>
        </w:rPr>
      </w:pPr>
    </w:p>
    <w:p w:rsidRPr="006543B3" w:rsidR="001B4C53" w:rsidP="001B4C53" w:rsidRDefault="001B4C53" w14:paraId="3C5F4C4E" w14:textId="77777777">
      <w:pPr>
        <w:suppressAutoHyphens/>
        <w:spacing w:line="240" w:lineRule="exact"/>
        <w:rPr>
          <w:rFonts w:ascii="Times New Roman" w:hAnsi="Times New Roman"/>
          <w:iCs/>
          <w:szCs w:val="24"/>
        </w:rPr>
      </w:pPr>
      <w:r w:rsidRPr="006543B3">
        <w:rPr>
          <w:rFonts w:ascii="Times New Roman" w:hAnsi="Times New Roman"/>
          <w:iCs/>
        </w:rPr>
        <w:t xml:space="preserve">The Impact Aid Program, authorized by Title VII of the Elementary and Secondary Education Act (ESEA), provides financial assistance to local educational agencies (LEAs) whose enrollment or revenues are adversely affected by Federal activities.  </w:t>
      </w:r>
    </w:p>
    <w:p w:rsidRPr="006543B3" w:rsidR="001B4C53" w:rsidP="001B4C53" w:rsidRDefault="001B4C53" w14:paraId="2EFF164B" w14:textId="4A7493D4">
      <w:pPr>
        <w:suppressAutoHyphens/>
        <w:spacing w:line="240" w:lineRule="exact"/>
        <w:rPr>
          <w:rFonts w:ascii="Times New Roman" w:hAnsi="Times New Roman"/>
          <w:iCs/>
          <w:szCs w:val="24"/>
        </w:rPr>
      </w:pPr>
      <w:r w:rsidRPr="006543B3">
        <w:rPr>
          <w:rFonts w:ascii="Times New Roman" w:hAnsi="Times New Roman"/>
          <w:iCs/>
        </w:rPr>
        <w:t xml:space="preserve">The statute and implementing regulations (34 CFR Part 222) require information from applicants annually to determine eligibility for and the </w:t>
      </w:r>
      <w:proofErr w:type="gramStart"/>
      <w:r w:rsidRPr="006543B3">
        <w:rPr>
          <w:rFonts w:ascii="Times New Roman" w:hAnsi="Times New Roman"/>
          <w:iCs/>
        </w:rPr>
        <w:t>amount</w:t>
      </w:r>
      <w:proofErr w:type="gramEnd"/>
      <w:r w:rsidRPr="006543B3">
        <w:rPr>
          <w:rFonts w:ascii="Times New Roman" w:hAnsi="Times New Roman"/>
          <w:iCs/>
        </w:rPr>
        <w:t xml:space="preserve"> of payments.</w:t>
      </w:r>
      <w:r w:rsidR="006543B3">
        <w:rPr>
          <w:rFonts w:ascii="Times New Roman" w:hAnsi="Times New Roman"/>
          <w:iCs/>
        </w:rPr>
        <w:t xml:space="preserve">  </w:t>
      </w:r>
      <w:r w:rsidRPr="006543B3">
        <w:rPr>
          <w:rFonts w:ascii="Times New Roman" w:hAnsi="Times New Roman"/>
          <w:iCs/>
        </w:rPr>
        <w:t>The least burdensome method of collecting this required information is for each applicant to submit it as part of its annual Impact Aid application</w:t>
      </w:r>
      <w:r w:rsidR="00C626CB">
        <w:rPr>
          <w:rFonts w:ascii="Times New Roman" w:hAnsi="Times New Roman"/>
          <w:iCs/>
        </w:rPr>
        <w:t xml:space="preserve"> through IAGS</w:t>
      </w:r>
      <w:r w:rsidRPr="006543B3">
        <w:rPr>
          <w:rFonts w:ascii="Times New Roman" w:hAnsi="Times New Roman"/>
          <w:iCs/>
        </w:rPr>
        <w:t xml:space="preserve"> previously approved under OMB 1810-0687.  </w:t>
      </w:r>
    </w:p>
    <w:p w:rsidRPr="001952B9" w:rsidR="0097169E" w:rsidP="00412B7F" w:rsidRDefault="0097169E" w14:paraId="1475AF7C" w14:textId="36E87E39">
      <w:pPr>
        <w:suppressAutoHyphens/>
        <w:spacing w:line="240" w:lineRule="exact"/>
        <w:rPr>
          <w:rFonts w:ascii="Times New Roman" w:hAnsi="Times New Roman"/>
          <w:iCs/>
          <w:szCs w:val="24"/>
        </w:rPr>
      </w:pPr>
    </w:p>
    <w:p w:rsidR="00412B7F" w:rsidP="00412B7F" w:rsidRDefault="00412B7F" w14:paraId="103F212F" w14:textId="77777777">
      <w:pPr>
        <w:suppressAutoHyphens/>
        <w:spacing w:line="240" w:lineRule="exact"/>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58CE252E" w14:textId="7E710A7B">
      <w:pPr>
        <w:pStyle w:val="ListParagraph"/>
        <w:tabs>
          <w:tab w:val="left" w:pos="-720"/>
        </w:tabs>
        <w:suppressAutoHyphens/>
        <w:contextualSpacing w:val="0"/>
        <w:rPr>
          <w:rFonts w:ascii="Times New Roman" w:hAnsi="Times New Roman"/>
          <w:szCs w:val="24"/>
        </w:rPr>
      </w:pPr>
    </w:p>
    <w:p w:rsidRPr="006543B3" w:rsidR="00AA0A09" w:rsidP="00AA0A09" w:rsidRDefault="00AA0A09" w14:paraId="52893558" w14:textId="77777777">
      <w:pPr>
        <w:pStyle w:val="ListParagraph"/>
        <w:tabs>
          <w:tab w:val="left" w:pos="-720"/>
        </w:tabs>
        <w:suppressAutoHyphens/>
        <w:contextualSpacing w:val="0"/>
        <w:rPr>
          <w:rFonts w:ascii="Times New Roman" w:hAnsi="Times New Roman"/>
          <w:iCs/>
          <w:szCs w:val="24"/>
        </w:rPr>
      </w:pPr>
      <w:r w:rsidRPr="006543B3">
        <w:rPr>
          <w:rFonts w:ascii="Times New Roman" w:hAnsi="Times New Roman"/>
          <w:iCs/>
          <w:szCs w:val="24"/>
        </w:rPr>
        <w:t xml:space="preserve">Impact Aid Program Section 7003 applications are prepared and submitted through an electronic application system.  E-application offers recurring LEA </w:t>
      </w:r>
      <w:proofErr w:type="gramStart"/>
      <w:r w:rsidRPr="006543B3">
        <w:rPr>
          <w:rFonts w:ascii="Times New Roman" w:hAnsi="Times New Roman"/>
          <w:iCs/>
          <w:szCs w:val="24"/>
        </w:rPr>
        <w:t>applicants</w:t>
      </w:r>
      <w:proofErr w:type="gramEnd"/>
      <w:r w:rsidRPr="006543B3">
        <w:rPr>
          <w:rFonts w:ascii="Times New Roman" w:hAnsi="Times New Roman"/>
          <w:iCs/>
          <w:szCs w:val="24"/>
        </w:rPr>
        <w:t xml:space="preserve"> significant advantages in preparing the application because it pre-populates the e-application with much of the LEA’s identifying information, previous year’s data, and only displays data entry forms that are needed for that particular LEA.  The e-application automatically checks for completion of all necessary items and includes arithmetic checks for table subtotals and the application total.  This software reduces the number of errors in applications submitted to ED.   </w:t>
      </w:r>
    </w:p>
    <w:p w:rsidRPr="001952B9" w:rsidR="00AA0A09" w:rsidP="00AA0A09" w:rsidRDefault="00AA0A09" w14:paraId="74D05585" w14:textId="77777777">
      <w:pPr>
        <w:pStyle w:val="ListParagraph"/>
        <w:tabs>
          <w:tab w:val="left" w:pos="-720"/>
        </w:tabs>
        <w:suppressAutoHyphens/>
        <w:contextualSpacing w:val="0"/>
        <w:rPr>
          <w:rFonts w:ascii="Times New Roman" w:hAnsi="Times New Roman"/>
          <w:iCs/>
          <w:szCs w:val="24"/>
        </w:rPr>
      </w:pPr>
    </w:p>
    <w:p w:rsidRPr="006543B3" w:rsidR="00AA0A09" w:rsidP="00AA0A09" w:rsidRDefault="00AA0A09" w14:paraId="776DC660" w14:textId="26E92C8E">
      <w:pPr>
        <w:pStyle w:val="ListParagraph"/>
        <w:contextualSpacing w:val="0"/>
        <w:rPr>
          <w:rFonts w:ascii="Times New Roman" w:hAnsi="Times New Roman"/>
        </w:rPr>
      </w:pPr>
      <w:r w:rsidRPr="006543B3">
        <w:rPr>
          <w:rFonts w:ascii="Times New Roman" w:hAnsi="Times New Roman"/>
        </w:rPr>
        <w:t>The e</w:t>
      </w:r>
      <w:r w:rsidRPr="1874137F">
        <w:rPr>
          <w:rFonts w:ascii="Times New Roman" w:hAnsi="Times New Roman"/>
        </w:rPr>
        <w:t>-</w:t>
      </w:r>
      <w:r w:rsidRPr="006543B3">
        <w:rPr>
          <w:rFonts w:ascii="Times New Roman" w:hAnsi="Times New Roman"/>
        </w:rPr>
        <w:t xml:space="preserve">application is used only by LEAs to submit their Section 7003 applications, not by the respondents to </w:t>
      </w:r>
      <w:proofErr w:type="gramStart"/>
      <w:r w:rsidRPr="006543B3">
        <w:rPr>
          <w:rFonts w:ascii="Times New Roman" w:hAnsi="Times New Roman"/>
        </w:rPr>
        <w:t>the majority of</w:t>
      </w:r>
      <w:proofErr w:type="gramEnd"/>
      <w:r w:rsidRPr="006543B3">
        <w:rPr>
          <w:rFonts w:ascii="Times New Roman" w:hAnsi="Times New Roman"/>
        </w:rPr>
        <w:t xml:space="preserve"> LEA applicants.  Very few LEAs have the necessary information collection infrastructure receive parent-pupil survey responses electronically.  As a result, the percentage of responses collected electronically is less than five percent.</w:t>
      </w:r>
    </w:p>
    <w:p w:rsidR="00AA0A09" w:rsidP="00AD381B" w:rsidRDefault="00AA0A09" w14:paraId="51AC1AB3" w14:textId="77777777">
      <w:pPr>
        <w:pStyle w:val="ListParagraph"/>
        <w:tabs>
          <w:tab w:val="left" w:pos="-720"/>
        </w:tabs>
        <w:suppressAutoHyphens/>
        <w:contextualSpacing w:val="0"/>
        <w:rPr>
          <w:rFonts w:ascii="Times New Roman" w:hAnsi="Times New Roman"/>
          <w:szCs w:val="24"/>
        </w:rPr>
      </w:pP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8CE2531" w14:textId="68FEAE85">
      <w:pPr>
        <w:pStyle w:val="ListParagraph"/>
        <w:tabs>
          <w:tab w:val="left" w:pos="-720"/>
        </w:tabs>
        <w:suppressAutoHyphens/>
        <w:contextualSpacing w:val="0"/>
        <w:rPr>
          <w:rFonts w:ascii="Times New Roman" w:hAnsi="Times New Roman"/>
          <w:b/>
          <w:szCs w:val="24"/>
        </w:rPr>
      </w:pPr>
    </w:p>
    <w:p w:rsidRPr="006543B3" w:rsidR="002D6E74" w:rsidP="002D6E74" w:rsidRDefault="002D6E74" w14:paraId="220E7189" w14:textId="6EADA021">
      <w:pPr>
        <w:tabs>
          <w:tab w:val="left" w:pos="-720"/>
        </w:tabs>
        <w:suppressAutoHyphens/>
        <w:ind w:left="360"/>
        <w:contextualSpacing/>
        <w:rPr>
          <w:rFonts w:ascii="Times New Roman" w:hAnsi="Times New Roman"/>
          <w:iCs/>
          <w:snapToGrid w:val="0"/>
        </w:rPr>
      </w:pPr>
      <w:r w:rsidRPr="006543B3">
        <w:rPr>
          <w:rFonts w:ascii="Times New Roman" w:hAnsi="Times New Roman"/>
          <w:iCs/>
          <w:snapToGrid w:val="0"/>
        </w:rPr>
        <w:t xml:space="preserve">The information requested under these collections is not duplicated in any other data collection, is unique to this program and the </w:t>
      </w:r>
      <w:proofErr w:type="gramStart"/>
      <w:r w:rsidRPr="006543B3">
        <w:rPr>
          <w:rFonts w:ascii="Times New Roman" w:hAnsi="Times New Roman"/>
          <w:iCs/>
          <w:snapToGrid w:val="0"/>
        </w:rPr>
        <w:t>particular applicants</w:t>
      </w:r>
      <w:proofErr w:type="gramEnd"/>
      <w:r w:rsidRPr="006543B3">
        <w:rPr>
          <w:rFonts w:ascii="Times New Roman" w:hAnsi="Times New Roman"/>
          <w:iCs/>
          <w:snapToGrid w:val="0"/>
        </w:rPr>
        <w:t>, and is intended to serve specific purposes mandated by the statute.</w:t>
      </w:r>
    </w:p>
    <w:p w:rsidRPr="001952B9" w:rsidR="002D6E74" w:rsidP="00246FE9" w:rsidRDefault="002D6E74" w14:paraId="0D7A25F2" w14:textId="77777777">
      <w:pPr>
        <w:pStyle w:val="ListParagraph"/>
        <w:tabs>
          <w:tab w:val="left" w:pos="-720"/>
        </w:tabs>
        <w:suppressAutoHyphens/>
        <w:contextualSpacing w:val="0"/>
        <w:rPr>
          <w:rFonts w:ascii="Times New Roman" w:hAnsi="Times New Roman"/>
          <w:b/>
          <w:iCs/>
          <w:szCs w:val="24"/>
        </w:rPr>
      </w:pP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77777777">
      <w:pPr>
        <w:pStyle w:val="ListParagraph"/>
        <w:contextualSpacing w:val="0"/>
        <w:rPr>
          <w:rFonts w:ascii="Times New Roman" w:hAnsi="Times New Roman"/>
          <w:szCs w:val="24"/>
        </w:rPr>
      </w:pPr>
    </w:p>
    <w:p w:rsidRPr="006543B3" w:rsidR="004C6624" w:rsidP="00E40029" w:rsidRDefault="004C6624" w14:paraId="6F0201EB" w14:textId="77777777">
      <w:pPr>
        <w:ind w:left="360"/>
        <w:rPr>
          <w:rFonts w:ascii="Times New Roman" w:hAnsi="Times New Roman"/>
          <w:iCs/>
          <w:sz w:val="22"/>
        </w:rPr>
      </w:pPr>
      <w:r w:rsidRPr="006543B3">
        <w:rPr>
          <w:rFonts w:ascii="Times New Roman" w:hAnsi="Times New Roman"/>
          <w:iCs/>
        </w:rPr>
        <w:t xml:space="preserve">Small businesses are not impacted by this data collection. </w:t>
      </w:r>
      <w:r w:rsidRPr="006543B3">
        <w:rPr>
          <w:rFonts w:ascii="Times New Roman" w:hAnsi="Times New Roman" w:eastAsia="Calibri"/>
          <w:iCs/>
        </w:rPr>
        <w:t>Approximately 500 small LEAs complete this application.  Program regulations clarify and standardize the reported information to minimize the burden for all applicants.  Additionally, LEAs complete the application online through a program that pre-populates data from the LEA’s previous application.  This means that the applicant only needs to enter information if it has changed from the prior year.</w:t>
      </w:r>
    </w:p>
    <w:p w:rsidRPr="0016249D" w:rsidR="004C6624" w:rsidP="004C6624" w:rsidRDefault="004C6624" w14:paraId="3B107A93" w14:textId="77777777">
      <w:pPr>
        <w:rPr>
          <w:rFonts w:ascii="Times New Roman" w:hAnsi="Times New Roman"/>
          <w:szCs w:val="24"/>
        </w:rPr>
      </w:pPr>
    </w:p>
    <w:p w:rsidR="00043C32" w:rsidP="00AD381B" w:rsidRDefault="00043C32" w14:paraId="58CE2535" w14:textId="2B135E6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40029" w:rsidP="00E40029" w:rsidRDefault="00E40029" w14:paraId="34E79350" w14:textId="77777777">
      <w:pPr>
        <w:pStyle w:val="ListParagraph"/>
        <w:tabs>
          <w:tab w:val="left" w:pos="-720"/>
        </w:tabs>
        <w:suppressAutoHyphens/>
        <w:contextualSpacing w:val="0"/>
        <w:rPr>
          <w:rFonts w:ascii="Times New Roman" w:hAnsi="Times New Roman"/>
          <w:i/>
          <w:snapToGrid w:val="0"/>
        </w:rPr>
      </w:pPr>
    </w:p>
    <w:p w:rsidRPr="006543B3" w:rsidR="00E40029" w:rsidP="00E40029" w:rsidRDefault="00E40029" w14:paraId="2507179B" w14:textId="18028CFD">
      <w:pPr>
        <w:pStyle w:val="ListParagraph"/>
        <w:tabs>
          <w:tab w:val="left" w:pos="-720"/>
        </w:tabs>
        <w:suppressAutoHyphens/>
        <w:contextualSpacing w:val="0"/>
        <w:rPr>
          <w:rFonts w:ascii="Times New Roman" w:hAnsi="Times New Roman"/>
          <w:iCs/>
          <w:snapToGrid w:val="0"/>
        </w:rPr>
      </w:pPr>
      <w:r w:rsidRPr="006543B3">
        <w:rPr>
          <w:rFonts w:ascii="Times New Roman" w:hAnsi="Times New Roman"/>
          <w:iCs/>
          <w:snapToGrid w:val="0"/>
        </w:rPr>
        <w:t>The statute requires applicants to apply for funds annually and authorizes the payment of funds based upon those annual applications.  Without the annual information, the Department would not be able to disburse these funds efficiently and accurately.  In addition, some information collected through the application is used to monitor that recipient LEAs are meeting statutory requirements.</w:t>
      </w:r>
    </w:p>
    <w:p w:rsidR="004C6624" w:rsidP="004C6624" w:rsidRDefault="004C6624" w14:paraId="211A8638" w14:textId="6DC504BC">
      <w:pPr>
        <w:tabs>
          <w:tab w:val="left" w:pos="-720"/>
        </w:tabs>
        <w:suppressAutoHyphens/>
        <w:rPr>
          <w:rFonts w:ascii="Times New Roman" w:hAnsi="Times New Roman"/>
          <w:b/>
          <w:szCs w:val="24"/>
        </w:rPr>
      </w:pPr>
    </w:p>
    <w:p w:rsidRPr="004C6624" w:rsidR="004C6624" w:rsidP="004C6624" w:rsidRDefault="004C6624" w14:paraId="3A538AEC" w14:textId="77777777">
      <w:pPr>
        <w:tabs>
          <w:tab w:val="left" w:pos="-720"/>
        </w:tabs>
        <w:suppressAutoHyphens/>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58CE2547" w14:textId="77777777">
      <w:pPr>
        <w:pStyle w:val="ListParagraph"/>
        <w:rPr>
          <w:rFonts w:ascii="Times New Roman" w:hAnsi="Times New Roman"/>
          <w:b/>
          <w:szCs w:val="24"/>
        </w:rPr>
      </w:pPr>
    </w:p>
    <w:p w:rsidRPr="006543B3" w:rsidR="00FB1A74" w:rsidP="00FB1A74" w:rsidRDefault="00FB1A74" w14:paraId="611BC302" w14:textId="26D68E29">
      <w:pPr>
        <w:rPr>
          <w:rFonts w:ascii="Times New Roman" w:hAnsi="Times New Roman"/>
          <w:iCs/>
          <w:sz w:val="22"/>
        </w:rPr>
      </w:pPr>
      <w:r w:rsidRPr="006543B3">
        <w:rPr>
          <w:rFonts w:ascii="Times New Roman" w:hAnsi="Times New Roman"/>
          <w:iCs/>
        </w:rPr>
        <w:t>Th</w:t>
      </w:r>
      <w:r w:rsidRPr="006543B3" w:rsidR="005B162D">
        <w:rPr>
          <w:rFonts w:ascii="Times New Roman" w:hAnsi="Times New Roman"/>
          <w:iCs/>
        </w:rPr>
        <w:t>is</w:t>
      </w:r>
      <w:r w:rsidRPr="006543B3">
        <w:rPr>
          <w:rFonts w:ascii="Times New Roman" w:hAnsi="Times New Roman"/>
          <w:iCs/>
        </w:rPr>
        <w:t xml:space="preserve"> collection </w:t>
      </w:r>
      <w:r w:rsidRPr="006543B3" w:rsidR="003103FF">
        <w:rPr>
          <w:rFonts w:ascii="Times New Roman" w:hAnsi="Times New Roman"/>
          <w:iCs/>
        </w:rPr>
        <w:t>is</w:t>
      </w:r>
      <w:r w:rsidRPr="006543B3">
        <w:rPr>
          <w:rFonts w:ascii="Times New Roman" w:hAnsi="Times New Roman"/>
          <w:iCs/>
        </w:rPr>
        <w:t xml:space="preserve"> conducted in a manner consistent with the requirements of 5 CFR 1320.5.</w:t>
      </w:r>
    </w:p>
    <w:p w:rsidRPr="00AD381B" w:rsidR="00D830EC" w:rsidP="00AD381B" w:rsidRDefault="00D830EC" w14:paraId="4B9740A5"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77777777">
      <w:pPr>
        <w:tabs>
          <w:tab w:val="left" w:pos="-720"/>
        </w:tabs>
        <w:suppressAutoHyphens/>
        <w:ind w:left="720"/>
        <w:rPr>
          <w:rFonts w:ascii="Times New Roman" w:hAnsi="Times New Roman"/>
          <w:b/>
          <w:szCs w:val="24"/>
        </w:rPr>
      </w:pPr>
    </w:p>
    <w:p w:rsidR="004D0521" w:rsidP="003C2C29" w:rsidRDefault="004D0521" w14:paraId="65C45873" w14:textId="42452984">
      <w:pPr>
        <w:spacing w:after="160" w:line="252" w:lineRule="auto"/>
        <w:rPr>
          <w:rFonts w:ascii="Times New Roman" w:hAnsi="Times New Roman"/>
          <w:i/>
          <w:iCs/>
        </w:rPr>
      </w:pPr>
    </w:p>
    <w:p w:rsidRPr="00EF3316" w:rsidR="00536E12" w:rsidP="00EF3316" w:rsidRDefault="00EF3316" w14:paraId="321E2342" w14:textId="3F2CF827">
      <w:pPr>
        <w:spacing w:after="160" w:line="252" w:lineRule="auto"/>
        <w:ind w:left="360"/>
        <w:rPr>
          <w:rFonts w:ascii="Times New Roman" w:hAnsi="Times New Roman"/>
          <w:szCs w:val="24"/>
        </w:rPr>
      </w:pPr>
      <w:r w:rsidRPr="00EF3316">
        <w:rPr>
          <w:rFonts w:ascii="Times New Roman" w:hAnsi="Times New Roman"/>
          <w:color w:val="242424"/>
          <w:szCs w:val="24"/>
          <w:shd w:val="clear" w:color="auto" w:fill="FFFFFF"/>
        </w:rPr>
        <w:t>On June 29, 2022, a Federal Register Notice requesting public comment was published (Vol. 87, No. 124, page 38729). One off-topic comment was received during the 60-day comment period that we will not be responding to. The Department is publishing the applicable 30-day Federal Register notice to request public comment.</w:t>
      </w:r>
    </w:p>
    <w:p w:rsidR="003C2C29" w:rsidP="003C2C29" w:rsidRDefault="003C2C29" w14:paraId="38299917"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79889BFE">
      <w:pPr>
        <w:pStyle w:val="ListParagraph"/>
        <w:tabs>
          <w:tab w:val="left" w:pos="-720"/>
        </w:tabs>
        <w:suppressAutoHyphens/>
        <w:contextualSpacing w:val="0"/>
        <w:rPr>
          <w:rFonts w:ascii="Times New Roman" w:hAnsi="Times New Roman"/>
          <w:b/>
          <w:szCs w:val="24"/>
        </w:rPr>
      </w:pPr>
    </w:p>
    <w:p w:rsidRPr="006543B3" w:rsidR="00BC5522" w:rsidP="00BC5522" w:rsidRDefault="00BC5522" w14:paraId="7A723772" w14:textId="77777777">
      <w:pPr>
        <w:ind w:left="360"/>
        <w:rPr>
          <w:rFonts w:ascii="Times New Roman" w:hAnsi="Times New Roman"/>
          <w:iCs/>
          <w:sz w:val="22"/>
        </w:rPr>
      </w:pPr>
      <w:r w:rsidRPr="006543B3">
        <w:rPr>
          <w:rFonts w:ascii="Times New Roman" w:hAnsi="Times New Roman"/>
          <w:iCs/>
        </w:rPr>
        <w:t>The information collection does not require gifts or payments to be made to respondents.</w:t>
      </w:r>
    </w:p>
    <w:p w:rsidRPr="000504E5" w:rsidR="00920F63" w:rsidP="000504E5" w:rsidRDefault="00920F63" w14:paraId="58CE2555" w14:textId="77777777">
      <w:pPr>
        <w:tabs>
          <w:tab w:val="left" w:pos="-720"/>
        </w:tabs>
        <w:suppressAutoHyphens/>
        <w:rPr>
          <w:rFonts w:ascii="Times New Roman" w:hAnsi="Times New Roman"/>
          <w:b/>
          <w:szCs w:val="24"/>
        </w:rPr>
      </w:pPr>
    </w:p>
    <w:p w:rsidRPr="00D75313" w:rsidR="00043C32" w:rsidP="00AD381B" w:rsidRDefault="00043C32"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lastRenderedPageBreak/>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83AFD" w:rsidP="00983AFD" w:rsidRDefault="00983AFD" w14:paraId="55822D13" w14:textId="77777777">
      <w:pPr>
        <w:pStyle w:val="ListParagraph"/>
        <w:tabs>
          <w:tab w:val="left" w:pos="-720"/>
        </w:tabs>
        <w:suppressAutoHyphens/>
        <w:rPr>
          <w:rFonts w:ascii="Times New Roman" w:hAnsi="Times New Roman"/>
          <w:i/>
          <w:snapToGrid w:val="0"/>
        </w:rPr>
      </w:pPr>
    </w:p>
    <w:p w:rsidRPr="006543B3" w:rsidR="00983AFD" w:rsidP="00983AFD" w:rsidRDefault="00983AFD" w14:paraId="763CF3A0" w14:textId="47244544">
      <w:pPr>
        <w:pStyle w:val="ListParagraph"/>
        <w:tabs>
          <w:tab w:val="left" w:pos="-720"/>
        </w:tabs>
        <w:suppressAutoHyphens/>
        <w:rPr>
          <w:rFonts w:ascii="Times New Roman" w:hAnsi="Times New Roman"/>
          <w:iCs/>
          <w:snapToGrid w:val="0"/>
        </w:rPr>
      </w:pPr>
      <w:r w:rsidRPr="006543B3">
        <w:rPr>
          <w:rFonts w:ascii="Times New Roman" w:hAnsi="Times New Roman"/>
          <w:iCs/>
          <w:snapToGrid w:val="0"/>
        </w:rPr>
        <w:t>The information collection requires no assurance of confidentiality.</w:t>
      </w:r>
    </w:p>
    <w:p w:rsidRPr="00D75313" w:rsidR="00920F63" w:rsidP="00920F63" w:rsidRDefault="00920F63" w14:paraId="58CE2557" w14:textId="77777777">
      <w:pPr>
        <w:tabs>
          <w:tab w:val="left" w:pos="-720"/>
        </w:tabs>
        <w:suppressAutoHyphens/>
        <w:rPr>
          <w:rFonts w:ascii="Times New Roman" w:hAnsi="Times New Roman"/>
          <w:b/>
          <w:szCs w:val="24"/>
        </w:rPr>
      </w:pP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58CE255A" w14:textId="77777777">
      <w:pPr>
        <w:tabs>
          <w:tab w:val="left" w:pos="-720"/>
        </w:tabs>
        <w:suppressAutoHyphens/>
        <w:rPr>
          <w:rFonts w:ascii="Times New Roman" w:hAnsi="Times New Roman"/>
          <w:b/>
          <w:szCs w:val="24"/>
        </w:rPr>
      </w:pPr>
    </w:p>
    <w:p w:rsidRPr="006543B3" w:rsidR="005276B7" w:rsidP="005276B7" w:rsidRDefault="005276B7" w14:paraId="4E7DBDDC" w14:textId="77777777">
      <w:pPr>
        <w:tabs>
          <w:tab w:val="left" w:pos="-720"/>
        </w:tabs>
        <w:suppressAutoHyphens/>
        <w:ind w:left="180"/>
        <w:rPr>
          <w:rFonts w:ascii="Times New Roman" w:hAnsi="Times New Roman"/>
          <w:iCs/>
          <w:snapToGrid w:val="0"/>
        </w:rPr>
      </w:pPr>
      <w:r w:rsidRPr="006543B3">
        <w:rPr>
          <w:rFonts w:ascii="Times New Roman" w:hAnsi="Times New Roman"/>
          <w:iCs/>
          <w:snapToGrid w:val="0"/>
        </w:rPr>
        <w:t>The information collection does not include any questions of a sensitive nature.</w:t>
      </w: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719BFC4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06FD4" w:rsidP="00946126" w:rsidRDefault="00806FD4" w14:paraId="082ABA2B" w14:textId="6A34ACE8">
      <w:pPr>
        <w:pStyle w:val="ListParagraph"/>
        <w:tabs>
          <w:tab w:val="left" w:pos="-720"/>
        </w:tabs>
        <w:suppressAutoHyphens/>
        <w:contextualSpacing w:val="0"/>
        <w:rPr>
          <w:rFonts w:ascii="Times New Roman" w:hAnsi="Times New Roman"/>
          <w:b/>
          <w:sz w:val="26"/>
          <w:szCs w:val="26"/>
        </w:rPr>
      </w:pPr>
    </w:p>
    <w:p w:rsidRPr="00BF38D1" w:rsidR="0025333F" w:rsidP="0025333F" w:rsidRDefault="0025333F" w14:paraId="42FFB4B3" w14:textId="2CA3E21C">
      <w:pPr>
        <w:ind w:left="810"/>
        <w:rPr>
          <w:rFonts w:ascii="Times New Roman" w:hAnsi="Times New Roman"/>
          <w:iCs/>
          <w:szCs w:val="24"/>
        </w:rPr>
      </w:pPr>
      <w:r w:rsidRPr="00BF38D1">
        <w:rPr>
          <w:rFonts w:ascii="Times New Roman" w:hAnsi="Times New Roman"/>
          <w:iCs/>
          <w:szCs w:val="24"/>
        </w:rPr>
        <w:t xml:space="preserve">As presented in greater detail below, we estimate that it will require </w:t>
      </w:r>
      <w:r w:rsidR="006C151F">
        <w:rPr>
          <w:rFonts w:ascii="Times New Roman" w:hAnsi="Times New Roman"/>
          <w:iCs/>
          <w:szCs w:val="24"/>
        </w:rPr>
        <w:t>11.72</w:t>
      </w:r>
      <w:r w:rsidRPr="00BF38D1">
        <w:rPr>
          <w:rFonts w:ascii="Times New Roman" w:hAnsi="Times New Roman"/>
          <w:iCs/>
          <w:szCs w:val="24"/>
        </w:rPr>
        <w:t xml:space="preserve"> hours per LEA applicant to collect, organize and prepare the application for Impact Aid Section 7003 assistance. </w:t>
      </w:r>
      <w:proofErr w:type="gramStart"/>
      <w:r w:rsidR="009A537E">
        <w:rPr>
          <w:rFonts w:ascii="Times New Roman" w:hAnsi="Times New Roman"/>
          <w:iCs/>
          <w:szCs w:val="24"/>
        </w:rPr>
        <w:t>Therefore</w:t>
      </w:r>
      <w:proofErr w:type="gramEnd"/>
      <w:r w:rsidR="009A537E">
        <w:rPr>
          <w:rFonts w:ascii="Times New Roman" w:hAnsi="Times New Roman"/>
          <w:iCs/>
          <w:szCs w:val="24"/>
        </w:rPr>
        <w:t xml:space="preserve"> given that there are </w:t>
      </w:r>
      <w:r w:rsidRPr="005D15A4" w:rsidR="00B0208E">
        <w:rPr>
          <w:rFonts w:ascii="Times New Roman" w:hAnsi="Times New Roman"/>
          <w:sz w:val="22"/>
          <w:szCs w:val="22"/>
        </w:rPr>
        <w:t>1,079</w:t>
      </w:r>
      <w:r w:rsidR="00760406">
        <w:rPr>
          <w:rFonts w:ascii="Times New Roman" w:hAnsi="Times New Roman"/>
          <w:sz w:val="22"/>
          <w:szCs w:val="22"/>
        </w:rPr>
        <w:t xml:space="preserve">, we estimate a total of </w:t>
      </w:r>
      <w:r w:rsidR="00F94D0C">
        <w:rPr>
          <w:rFonts w:ascii="Times New Roman" w:hAnsi="Times New Roman"/>
          <w:sz w:val="22"/>
          <w:szCs w:val="22"/>
        </w:rPr>
        <w:t>12,645</w:t>
      </w:r>
      <w:r w:rsidR="00760406">
        <w:rPr>
          <w:rFonts w:ascii="Times New Roman" w:hAnsi="Times New Roman"/>
          <w:sz w:val="22"/>
          <w:szCs w:val="22"/>
        </w:rPr>
        <w:t xml:space="preserve"> burden hours. </w:t>
      </w:r>
      <w:r w:rsidR="003773F9">
        <w:rPr>
          <w:rFonts w:ascii="Times New Roman" w:hAnsi="Times New Roman"/>
          <w:sz w:val="22"/>
          <w:szCs w:val="22"/>
        </w:rPr>
        <w:t xml:space="preserve">In addition, </w:t>
      </w:r>
      <w:r w:rsidR="003647C2">
        <w:rPr>
          <w:rFonts w:ascii="Times New Roman" w:hAnsi="Times New Roman"/>
          <w:sz w:val="22"/>
          <w:szCs w:val="22"/>
        </w:rPr>
        <w:t xml:space="preserve">to complete the application </w:t>
      </w:r>
      <w:r w:rsidR="00E6492E">
        <w:rPr>
          <w:rFonts w:ascii="Times New Roman" w:hAnsi="Times New Roman"/>
          <w:sz w:val="22"/>
          <w:szCs w:val="22"/>
        </w:rPr>
        <w:t>requires the LE</w:t>
      </w:r>
      <w:r w:rsidR="00CF12CB">
        <w:rPr>
          <w:rFonts w:ascii="Times New Roman" w:hAnsi="Times New Roman"/>
          <w:sz w:val="22"/>
          <w:szCs w:val="22"/>
        </w:rPr>
        <w:t xml:space="preserve">A </w:t>
      </w:r>
      <w:r w:rsidR="000A6E9C">
        <w:rPr>
          <w:rFonts w:ascii="Times New Roman" w:hAnsi="Times New Roman"/>
          <w:sz w:val="22"/>
          <w:szCs w:val="22"/>
        </w:rPr>
        <w:t xml:space="preserve">to </w:t>
      </w:r>
      <w:r w:rsidR="00CF12CB">
        <w:rPr>
          <w:rFonts w:ascii="Times New Roman" w:hAnsi="Times New Roman"/>
          <w:sz w:val="22"/>
          <w:szCs w:val="22"/>
        </w:rPr>
        <w:t>collect paren</w:t>
      </w:r>
      <w:r w:rsidR="000A6E9C">
        <w:rPr>
          <w:rFonts w:ascii="Times New Roman" w:hAnsi="Times New Roman"/>
          <w:sz w:val="22"/>
          <w:szCs w:val="22"/>
        </w:rPr>
        <w:t>t</w:t>
      </w:r>
      <w:r w:rsidR="000779D7">
        <w:rPr>
          <w:rFonts w:ascii="Times New Roman" w:hAnsi="Times New Roman"/>
          <w:sz w:val="22"/>
          <w:szCs w:val="22"/>
        </w:rPr>
        <w:t xml:space="preserve"> responses that will require .25 average hours. Given that </w:t>
      </w:r>
      <w:r w:rsidR="005B32CF">
        <w:rPr>
          <w:rFonts w:ascii="Times New Roman" w:hAnsi="Times New Roman"/>
          <w:sz w:val="22"/>
          <w:szCs w:val="22"/>
        </w:rPr>
        <w:t xml:space="preserve">we </w:t>
      </w:r>
      <w:r w:rsidR="00BD6452">
        <w:rPr>
          <w:rFonts w:ascii="Times New Roman" w:hAnsi="Times New Roman"/>
          <w:sz w:val="22"/>
          <w:szCs w:val="22"/>
        </w:rPr>
        <w:t xml:space="preserve">expect </w:t>
      </w:r>
      <w:r w:rsidR="0084659C">
        <w:rPr>
          <w:rFonts w:ascii="Times New Roman" w:hAnsi="Times New Roman"/>
          <w:sz w:val="22"/>
          <w:szCs w:val="22"/>
        </w:rPr>
        <w:t>a total of 300,000 parent respon</w:t>
      </w:r>
      <w:r w:rsidR="005B32CF">
        <w:rPr>
          <w:rFonts w:ascii="Times New Roman" w:hAnsi="Times New Roman"/>
          <w:sz w:val="22"/>
          <w:szCs w:val="22"/>
        </w:rPr>
        <w:t xml:space="preserve">ses, we estimate </w:t>
      </w:r>
      <w:r w:rsidR="006C6696">
        <w:rPr>
          <w:rFonts w:ascii="Times New Roman" w:hAnsi="Times New Roman"/>
          <w:sz w:val="22"/>
          <w:szCs w:val="22"/>
        </w:rPr>
        <w:t xml:space="preserve">a total of </w:t>
      </w:r>
      <w:r w:rsidR="00397AD5">
        <w:rPr>
          <w:rFonts w:ascii="Times New Roman" w:hAnsi="Times New Roman"/>
          <w:sz w:val="22"/>
          <w:szCs w:val="22"/>
        </w:rPr>
        <w:t xml:space="preserve">75,000 thousand burden hours. </w:t>
      </w:r>
      <w:r w:rsidR="0084659C">
        <w:rPr>
          <w:rFonts w:ascii="Times New Roman" w:hAnsi="Times New Roman"/>
          <w:sz w:val="22"/>
          <w:szCs w:val="22"/>
        </w:rPr>
        <w:t xml:space="preserve"> </w:t>
      </w:r>
    </w:p>
    <w:p w:rsidRPr="00BF38D1" w:rsidR="0025333F" w:rsidP="0025333F" w:rsidRDefault="0025333F" w14:paraId="66C41968" w14:textId="77777777">
      <w:pPr>
        <w:ind w:left="810"/>
        <w:rPr>
          <w:rFonts w:ascii="Times New Roman" w:hAnsi="Times New Roman"/>
          <w:iCs/>
          <w:szCs w:val="24"/>
        </w:rPr>
      </w:pPr>
    </w:p>
    <w:p w:rsidR="00806FD4" w:rsidP="00946126" w:rsidRDefault="00806FD4" w14:paraId="01DA1D59" w14:textId="30D31F52">
      <w:pPr>
        <w:pStyle w:val="ListParagraph"/>
        <w:tabs>
          <w:tab w:val="left" w:pos="-720"/>
        </w:tabs>
        <w:suppressAutoHyphens/>
        <w:contextualSpacing w:val="0"/>
        <w:rPr>
          <w:rFonts w:ascii="Times New Roman" w:hAnsi="Times New Roman"/>
          <w:b/>
          <w:sz w:val="26"/>
          <w:szCs w:val="26"/>
        </w:rPr>
      </w:pPr>
    </w:p>
    <w:p w:rsidRPr="004945DC" w:rsidR="009926EA" w:rsidP="004945DC" w:rsidRDefault="009926EA" w14:paraId="5855F49C" w14:textId="77777777">
      <w:pPr>
        <w:tabs>
          <w:tab w:val="left" w:pos="-720"/>
        </w:tabs>
        <w:suppressAutoHyphens/>
        <w:rPr>
          <w:rFonts w:ascii="Times New Roman" w:hAnsi="Times New Roman"/>
          <w:b/>
          <w:sz w:val="26"/>
          <w:szCs w:val="26"/>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065"/>
        <w:gridCol w:w="1170"/>
        <w:gridCol w:w="1530"/>
        <w:gridCol w:w="1350"/>
      </w:tblGrid>
      <w:tr w:rsidRPr="00442E07" w:rsidR="00C86713" w:rsidTr="000773EE" w14:paraId="58CE257E" w14:textId="77777777">
        <w:trPr>
          <w:tblHeader/>
        </w:trPr>
        <w:tc>
          <w:tcPr>
            <w:tcW w:w="134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06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0773EE" w14:paraId="58CE2588" w14:textId="77777777">
        <w:tc>
          <w:tcPr>
            <w:tcW w:w="1345" w:type="dxa"/>
          </w:tcPr>
          <w:p w:rsidRPr="00884F09" w:rsidR="00C86713" w:rsidP="00FE1BAE" w:rsidRDefault="0033673A" w14:paraId="58CE257F" w14:textId="1986990C">
            <w:pPr>
              <w:rPr>
                <w:rFonts w:ascii="Times New Roman" w:hAnsi="Times New Roman"/>
                <w:sz w:val="22"/>
                <w:szCs w:val="22"/>
              </w:rPr>
            </w:pPr>
            <w:r w:rsidRPr="00884F09">
              <w:rPr>
                <w:rFonts w:ascii="Times New Roman" w:hAnsi="Times New Roman"/>
                <w:sz w:val="22"/>
                <w:szCs w:val="22"/>
              </w:rPr>
              <w:t>Parent Respon</w:t>
            </w:r>
            <w:r w:rsidRPr="00884F09" w:rsidR="00212266">
              <w:rPr>
                <w:rFonts w:ascii="Times New Roman" w:hAnsi="Times New Roman"/>
                <w:sz w:val="22"/>
                <w:szCs w:val="22"/>
              </w:rPr>
              <w:t>dents</w:t>
            </w:r>
          </w:p>
        </w:tc>
        <w:tc>
          <w:tcPr>
            <w:tcW w:w="1265" w:type="dxa"/>
          </w:tcPr>
          <w:p w:rsidRPr="00884F09" w:rsidR="00C86713" w:rsidP="00FE1BAE" w:rsidRDefault="004945DC" w14:paraId="58CE2580" w14:textId="168C030B">
            <w:pPr>
              <w:rPr>
                <w:rFonts w:ascii="Times New Roman" w:hAnsi="Times New Roman"/>
                <w:sz w:val="22"/>
                <w:szCs w:val="22"/>
              </w:rPr>
            </w:pPr>
            <w:r w:rsidRPr="00884F09">
              <w:rPr>
                <w:rFonts w:ascii="Times New Roman" w:hAnsi="Times New Roman"/>
                <w:sz w:val="22"/>
                <w:szCs w:val="22"/>
              </w:rPr>
              <w:t>n/a</w:t>
            </w:r>
          </w:p>
        </w:tc>
        <w:tc>
          <w:tcPr>
            <w:tcW w:w="1255" w:type="dxa"/>
          </w:tcPr>
          <w:p w:rsidRPr="00884F09" w:rsidR="00C86713" w:rsidP="00FE1BAE" w:rsidRDefault="004945DC" w14:paraId="58CE2581" w14:textId="78BF37D9">
            <w:pPr>
              <w:rPr>
                <w:rFonts w:ascii="Times New Roman" w:hAnsi="Times New Roman"/>
                <w:sz w:val="22"/>
                <w:szCs w:val="22"/>
              </w:rPr>
            </w:pPr>
            <w:r w:rsidRPr="00884F09">
              <w:rPr>
                <w:rFonts w:ascii="Times New Roman" w:hAnsi="Times New Roman"/>
                <w:sz w:val="22"/>
                <w:szCs w:val="22"/>
              </w:rPr>
              <w:t>n/a</w:t>
            </w:r>
          </w:p>
        </w:tc>
        <w:tc>
          <w:tcPr>
            <w:tcW w:w="1275" w:type="dxa"/>
          </w:tcPr>
          <w:p w:rsidRPr="00884F09" w:rsidR="00C86713" w:rsidP="00FE1BAE" w:rsidRDefault="00212266" w14:paraId="58CE2582" w14:textId="1DF7DDDC">
            <w:pPr>
              <w:rPr>
                <w:rFonts w:ascii="Times New Roman" w:hAnsi="Times New Roman"/>
                <w:sz w:val="22"/>
                <w:szCs w:val="22"/>
              </w:rPr>
            </w:pPr>
            <w:r w:rsidRPr="00884F09">
              <w:rPr>
                <w:rFonts w:ascii="Times New Roman" w:hAnsi="Times New Roman"/>
                <w:sz w:val="22"/>
                <w:szCs w:val="22"/>
              </w:rPr>
              <w:t>300,000</w:t>
            </w:r>
          </w:p>
        </w:tc>
        <w:tc>
          <w:tcPr>
            <w:tcW w:w="1080" w:type="dxa"/>
          </w:tcPr>
          <w:p w:rsidRPr="00884F09" w:rsidR="00C86713" w:rsidP="00FE1BAE" w:rsidRDefault="004945DC" w14:paraId="58CE2583" w14:textId="33E2DD98">
            <w:pPr>
              <w:jc w:val="center"/>
              <w:rPr>
                <w:rFonts w:ascii="Times New Roman" w:hAnsi="Times New Roman"/>
                <w:sz w:val="22"/>
                <w:szCs w:val="22"/>
              </w:rPr>
            </w:pPr>
            <w:r w:rsidRPr="00884F09">
              <w:rPr>
                <w:rFonts w:ascii="Times New Roman" w:hAnsi="Times New Roman"/>
                <w:sz w:val="22"/>
                <w:szCs w:val="22"/>
              </w:rPr>
              <w:t>300,000</w:t>
            </w:r>
          </w:p>
        </w:tc>
        <w:tc>
          <w:tcPr>
            <w:tcW w:w="1065" w:type="dxa"/>
          </w:tcPr>
          <w:p w:rsidRPr="00884F09" w:rsidR="00C86713" w:rsidP="00FE1BAE" w:rsidRDefault="000773EE" w14:paraId="58CE2584" w14:textId="03A1699F">
            <w:pPr>
              <w:jc w:val="center"/>
              <w:rPr>
                <w:rFonts w:ascii="Times New Roman" w:hAnsi="Times New Roman"/>
                <w:sz w:val="22"/>
                <w:szCs w:val="22"/>
              </w:rPr>
            </w:pPr>
            <w:r w:rsidRPr="00884F09">
              <w:rPr>
                <w:rFonts w:ascii="Times New Roman" w:hAnsi="Times New Roman"/>
                <w:sz w:val="22"/>
                <w:szCs w:val="22"/>
              </w:rPr>
              <w:t>.25 hours</w:t>
            </w:r>
          </w:p>
        </w:tc>
        <w:tc>
          <w:tcPr>
            <w:tcW w:w="1170" w:type="dxa"/>
          </w:tcPr>
          <w:p w:rsidRPr="00884F09" w:rsidR="00C86713" w:rsidP="00FE1BAE" w:rsidRDefault="004945DC" w14:paraId="58CE2585" w14:textId="37FB0A6C">
            <w:pPr>
              <w:rPr>
                <w:rFonts w:ascii="Times New Roman" w:hAnsi="Times New Roman"/>
                <w:sz w:val="22"/>
                <w:szCs w:val="22"/>
              </w:rPr>
            </w:pPr>
            <w:r w:rsidRPr="00884F09">
              <w:rPr>
                <w:rFonts w:ascii="Times New Roman" w:hAnsi="Times New Roman"/>
                <w:sz w:val="22"/>
                <w:szCs w:val="22"/>
              </w:rPr>
              <w:t>75,000</w:t>
            </w:r>
          </w:p>
        </w:tc>
        <w:tc>
          <w:tcPr>
            <w:tcW w:w="1530" w:type="dxa"/>
          </w:tcPr>
          <w:p w:rsidRPr="00884F09" w:rsidR="00C86713" w:rsidP="00FE1BAE" w:rsidRDefault="004945DC" w14:paraId="58CE2586" w14:textId="5E5F5CED">
            <w:pPr>
              <w:rPr>
                <w:rFonts w:ascii="Times New Roman" w:hAnsi="Times New Roman"/>
                <w:sz w:val="22"/>
                <w:szCs w:val="22"/>
              </w:rPr>
            </w:pPr>
            <w:r w:rsidRPr="00884F09">
              <w:rPr>
                <w:rFonts w:ascii="Times New Roman" w:hAnsi="Times New Roman"/>
                <w:sz w:val="22"/>
                <w:szCs w:val="22"/>
              </w:rPr>
              <w:t>$</w:t>
            </w:r>
            <w:r w:rsidRPr="00884F09" w:rsidR="00AA3EA0">
              <w:rPr>
                <w:rFonts w:ascii="Times New Roman" w:hAnsi="Times New Roman"/>
                <w:sz w:val="22"/>
                <w:szCs w:val="22"/>
              </w:rPr>
              <w:t>10</w:t>
            </w:r>
          </w:p>
        </w:tc>
        <w:tc>
          <w:tcPr>
            <w:tcW w:w="1350" w:type="dxa"/>
          </w:tcPr>
          <w:p w:rsidRPr="00884F09" w:rsidR="00C86713" w:rsidP="00FE1BAE" w:rsidRDefault="00AA3EA0" w14:paraId="58CE2587" w14:textId="57FAD330">
            <w:pPr>
              <w:rPr>
                <w:rFonts w:ascii="Times New Roman" w:hAnsi="Times New Roman"/>
                <w:sz w:val="22"/>
                <w:szCs w:val="22"/>
              </w:rPr>
            </w:pPr>
            <w:r w:rsidRPr="00884F09">
              <w:rPr>
                <w:rFonts w:ascii="Times New Roman" w:hAnsi="Times New Roman"/>
                <w:sz w:val="22"/>
                <w:szCs w:val="22"/>
              </w:rPr>
              <w:t>$</w:t>
            </w:r>
            <w:r w:rsidRPr="00884F09" w:rsidR="004945DC">
              <w:rPr>
                <w:rFonts w:ascii="Times New Roman" w:hAnsi="Times New Roman"/>
                <w:sz w:val="22"/>
                <w:szCs w:val="22"/>
              </w:rPr>
              <w:t>750,000.00</w:t>
            </w:r>
          </w:p>
        </w:tc>
      </w:tr>
      <w:tr w:rsidRPr="00442E07" w:rsidR="00C86713" w:rsidTr="000773EE" w14:paraId="58CE2592" w14:textId="77777777">
        <w:tc>
          <w:tcPr>
            <w:tcW w:w="1345" w:type="dxa"/>
          </w:tcPr>
          <w:p w:rsidRPr="00884F09" w:rsidR="00C86713" w:rsidP="00FE1BAE" w:rsidRDefault="000773EE" w14:paraId="58CE2589" w14:textId="736D74CE">
            <w:pPr>
              <w:rPr>
                <w:rFonts w:ascii="Times New Roman" w:hAnsi="Times New Roman"/>
                <w:sz w:val="22"/>
                <w:szCs w:val="22"/>
              </w:rPr>
            </w:pPr>
            <w:r w:rsidRPr="00884F09">
              <w:rPr>
                <w:rFonts w:ascii="Times New Roman" w:hAnsi="Times New Roman"/>
                <w:sz w:val="22"/>
                <w:szCs w:val="22"/>
              </w:rPr>
              <w:t>LEA Respondents</w:t>
            </w:r>
          </w:p>
        </w:tc>
        <w:tc>
          <w:tcPr>
            <w:tcW w:w="1265" w:type="dxa"/>
          </w:tcPr>
          <w:p w:rsidRPr="00884F09" w:rsidR="00C86713" w:rsidP="00FE1BAE" w:rsidRDefault="004945DC" w14:paraId="58CE258A" w14:textId="4D95D745">
            <w:pPr>
              <w:rPr>
                <w:rFonts w:ascii="Times New Roman" w:hAnsi="Times New Roman"/>
                <w:sz w:val="22"/>
                <w:szCs w:val="22"/>
              </w:rPr>
            </w:pPr>
            <w:r w:rsidRPr="00884F09">
              <w:rPr>
                <w:rFonts w:ascii="Times New Roman" w:hAnsi="Times New Roman"/>
                <w:sz w:val="22"/>
                <w:szCs w:val="22"/>
              </w:rPr>
              <w:t>n/a</w:t>
            </w:r>
          </w:p>
        </w:tc>
        <w:tc>
          <w:tcPr>
            <w:tcW w:w="1255" w:type="dxa"/>
          </w:tcPr>
          <w:p w:rsidRPr="00884F09" w:rsidR="00C86713" w:rsidP="00FE1BAE" w:rsidRDefault="004945DC" w14:paraId="58CE258B" w14:textId="56E290F0">
            <w:pPr>
              <w:rPr>
                <w:rFonts w:ascii="Times New Roman" w:hAnsi="Times New Roman"/>
                <w:sz w:val="22"/>
                <w:szCs w:val="22"/>
              </w:rPr>
            </w:pPr>
            <w:r w:rsidRPr="00884F09">
              <w:rPr>
                <w:rFonts w:ascii="Times New Roman" w:hAnsi="Times New Roman"/>
                <w:sz w:val="22"/>
                <w:szCs w:val="22"/>
              </w:rPr>
              <w:t>n/a</w:t>
            </w:r>
          </w:p>
        </w:tc>
        <w:tc>
          <w:tcPr>
            <w:tcW w:w="1275" w:type="dxa"/>
          </w:tcPr>
          <w:p w:rsidRPr="00884F09" w:rsidR="00C86713" w:rsidP="00FE1BAE" w:rsidRDefault="006E5442" w14:paraId="58CE258C" w14:textId="252E47B1">
            <w:pPr>
              <w:rPr>
                <w:rFonts w:ascii="Times New Roman" w:hAnsi="Times New Roman"/>
                <w:sz w:val="22"/>
                <w:szCs w:val="22"/>
              </w:rPr>
            </w:pPr>
            <w:r w:rsidRPr="00884F09">
              <w:rPr>
                <w:rFonts w:ascii="Times New Roman" w:hAnsi="Times New Roman"/>
                <w:sz w:val="22"/>
                <w:szCs w:val="22"/>
              </w:rPr>
              <w:t>1,07</w:t>
            </w:r>
            <w:r w:rsidRPr="00884F09" w:rsidR="00F74623">
              <w:rPr>
                <w:rFonts w:ascii="Times New Roman" w:hAnsi="Times New Roman"/>
                <w:sz w:val="22"/>
                <w:szCs w:val="22"/>
              </w:rPr>
              <w:t>9</w:t>
            </w:r>
          </w:p>
        </w:tc>
        <w:tc>
          <w:tcPr>
            <w:tcW w:w="1080" w:type="dxa"/>
          </w:tcPr>
          <w:p w:rsidRPr="00884F09" w:rsidR="00C86713" w:rsidP="00FE1BAE" w:rsidRDefault="004945DC" w14:paraId="58CE258D" w14:textId="251A2A4D">
            <w:pPr>
              <w:jc w:val="center"/>
              <w:rPr>
                <w:rFonts w:ascii="Times New Roman" w:hAnsi="Times New Roman"/>
                <w:sz w:val="22"/>
                <w:szCs w:val="22"/>
              </w:rPr>
            </w:pPr>
            <w:r w:rsidRPr="00884F09">
              <w:rPr>
                <w:rFonts w:ascii="Times New Roman" w:hAnsi="Times New Roman"/>
                <w:sz w:val="22"/>
                <w:szCs w:val="22"/>
              </w:rPr>
              <w:t>1,079</w:t>
            </w:r>
          </w:p>
        </w:tc>
        <w:tc>
          <w:tcPr>
            <w:tcW w:w="1065" w:type="dxa"/>
          </w:tcPr>
          <w:p w:rsidRPr="00884F09" w:rsidR="00C86713" w:rsidP="00FE1BAE" w:rsidRDefault="00724513" w14:paraId="58CE258E" w14:textId="362B90A5">
            <w:pPr>
              <w:jc w:val="center"/>
              <w:rPr>
                <w:rFonts w:ascii="Times New Roman" w:hAnsi="Times New Roman"/>
                <w:sz w:val="22"/>
                <w:szCs w:val="22"/>
              </w:rPr>
            </w:pPr>
            <w:r>
              <w:rPr>
                <w:rFonts w:ascii="Times New Roman" w:hAnsi="Times New Roman"/>
                <w:sz w:val="22"/>
                <w:szCs w:val="22"/>
              </w:rPr>
              <w:t>11.72</w:t>
            </w:r>
            <w:r w:rsidRPr="00884F09" w:rsidR="000B0B15">
              <w:rPr>
                <w:rFonts w:ascii="Times New Roman" w:hAnsi="Times New Roman"/>
                <w:sz w:val="22"/>
                <w:szCs w:val="22"/>
              </w:rPr>
              <w:t xml:space="preserve"> hours</w:t>
            </w:r>
          </w:p>
        </w:tc>
        <w:tc>
          <w:tcPr>
            <w:tcW w:w="1170" w:type="dxa"/>
          </w:tcPr>
          <w:p w:rsidRPr="00884F09" w:rsidR="00C86713" w:rsidP="00FE1BAE" w:rsidRDefault="00B037DF" w14:paraId="58CE258F" w14:textId="72027660">
            <w:pPr>
              <w:pStyle w:val="EndnoteText"/>
              <w:tabs>
                <w:tab w:val="clear" w:pos="-720"/>
              </w:tabs>
              <w:suppressAutoHyphens w:val="0"/>
              <w:rPr>
                <w:rFonts w:ascii="Times New Roman" w:hAnsi="Times New Roman"/>
                <w:sz w:val="22"/>
                <w:szCs w:val="22"/>
              </w:rPr>
            </w:pPr>
            <w:r>
              <w:rPr>
                <w:rFonts w:ascii="Times New Roman" w:hAnsi="Times New Roman"/>
                <w:sz w:val="22"/>
                <w:szCs w:val="22"/>
              </w:rPr>
              <w:t>12</w:t>
            </w:r>
            <w:r w:rsidR="0055405A">
              <w:rPr>
                <w:rFonts w:ascii="Times New Roman" w:hAnsi="Times New Roman"/>
                <w:sz w:val="22"/>
                <w:szCs w:val="22"/>
              </w:rPr>
              <w:t>,6</w:t>
            </w:r>
            <w:r w:rsidR="000827C7">
              <w:rPr>
                <w:rFonts w:ascii="Times New Roman" w:hAnsi="Times New Roman"/>
                <w:sz w:val="22"/>
                <w:szCs w:val="22"/>
              </w:rPr>
              <w:t>4</w:t>
            </w:r>
            <w:r w:rsidR="0055405A">
              <w:rPr>
                <w:rFonts w:ascii="Times New Roman" w:hAnsi="Times New Roman"/>
                <w:sz w:val="22"/>
                <w:szCs w:val="22"/>
              </w:rPr>
              <w:t>5</w:t>
            </w:r>
          </w:p>
        </w:tc>
        <w:tc>
          <w:tcPr>
            <w:tcW w:w="1530" w:type="dxa"/>
          </w:tcPr>
          <w:p w:rsidRPr="00884F09" w:rsidR="00C86713" w:rsidP="00FE1BAE" w:rsidRDefault="00FB391B" w14:paraId="58CE2590" w14:textId="587FBE92">
            <w:pPr>
              <w:rPr>
                <w:rFonts w:ascii="Times New Roman" w:hAnsi="Times New Roman"/>
                <w:sz w:val="22"/>
                <w:szCs w:val="22"/>
              </w:rPr>
            </w:pPr>
            <w:r w:rsidRPr="00884F09">
              <w:rPr>
                <w:rFonts w:ascii="Times New Roman" w:hAnsi="Times New Roman"/>
                <w:sz w:val="22"/>
                <w:szCs w:val="22"/>
              </w:rPr>
              <w:t>$</w:t>
            </w:r>
            <w:r w:rsidRPr="00884F09" w:rsidR="00BF6459">
              <w:rPr>
                <w:rFonts w:ascii="Times New Roman" w:hAnsi="Times New Roman"/>
                <w:sz w:val="22"/>
                <w:szCs w:val="22"/>
              </w:rPr>
              <w:t>15</w:t>
            </w:r>
          </w:p>
        </w:tc>
        <w:tc>
          <w:tcPr>
            <w:tcW w:w="1350" w:type="dxa"/>
          </w:tcPr>
          <w:p w:rsidRPr="00884F09" w:rsidR="00C86713" w:rsidP="00FE1BAE" w:rsidRDefault="00BF6459" w14:paraId="58CE2591" w14:textId="52FDF7CD">
            <w:pPr>
              <w:rPr>
                <w:rFonts w:ascii="Times New Roman" w:hAnsi="Times New Roman"/>
                <w:sz w:val="22"/>
                <w:szCs w:val="22"/>
              </w:rPr>
            </w:pPr>
            <w:r w:rsidRPr="00884F09">
              <w:rPr>
                <w:rFonts w:ascii="Times New Roman" w:hAnsi="Times New Roman"/>
                <w:sz w:val="22"/>
                <w:szCs w:val="22"/>
              </w:rPr>
              <w:t>$</w:t>
            </w:r>
            <w:r w:rsidRPr="00884F09" w:rsidR="004945DC">
              <w:rPr>
                <w:rFonts w:ascii="Times New Roman" w:hAnsi="Times New Roman"/>
                <w:sz w:val="22"/>
                <w:szCs w:val="22"/>
              </w:rPr>
              <w:t>137,572.50</w:t>
            </w:r>
          </w:p>
        </w:tc>
      </w:tr>
      <w:tr w:rsidRPr="00442E07" w:rsidR="00C86713" w:rsidTr="000773EE" w14:paraId="58CE259C" w14:textId="77777777">
        <w:tc>
          <w:tcPr>
            <w:tcW w:w="1345" w:type="dxa"/>
          </w:tcPr>
          <w:p w:rsidRPr="00866372" w:rsidR="00C86713" w:rsidP="00FE1BAE" w:rsidRDefault="00C86713" w14:paraId="58CE2593" w14:textId="6156ED46">
            <w:pPr>
              <w:rPr>
                <w:rFonts w:ascii="Times New Roman" w:hAnsi="Times New Roman"/>
                <w:szCs w:val="24"/>
              </w:rPr>
            </w:pPr>
          </w:p>
        </w:tc>
        <w:tc>
          <w:tcPr>
            <w:tcW w:w="1265" w:type="dxa"/>
          </w:tcPr>
          <w:p w:rsidRPr="00866372" w:rsidR="00C86713" w:rsidP="00FE1BAE" w:rsidRDefault="00C86713" w14:paraId="58CE2594" w14:textId="77777777">
            <w:pPr>
              <w:rPr>
                <w:rFonts w:ascii="Times New Roman" w:hAnsi="Times New Roman"/>
                <w:szCs w:val="24"/>
              </w:rPr>
            </w:pPr>
          </w:p>
        </w:tc>
        <w:tc>
          <w:tcPr>
            <w:tcW w:w="1255" w:type="dxa"/>
          </w:tcPr>
          <w:p w:rsidRPr="00866372" w:rsidR="00C86713" w:rsidP="00FE1BAE" w:rsidRDefault="00C86713" w14:paraId="58CE2595" w14:textId="77777777">
            <w:pPr>
              <w:rPr>
                <w:rFonts w:ascii="Times New Roman" w:hAnsi="Times New Roman"/>
                <w:szCs w:val="24"/>
              </w:rPr>
            </w:pPr>
          </w:p>
        </w:tc>
        <w:tc>
          <w:tcPr>
            <w:tcW w:w="1275" w:type="dxa"/>
          </w:tcPr>
          <w:p w:rsidRPr="00866372" w:rsidR="00C86713" w:rsidP="00FE1BAE" w:rsidRDefault="00C86713" w14:paraId="58CE2596" w14:textId="77777777">
            <w:pPr>
              <w:rPr>
                <w:rFonts w:ascii="Times New Roman" w:hAnsi="Times New Roman"/>
                <w:szCs w:val="24"/>
              </w:rPr>
            </w:pPr>
          </w:p>
        </w:tc>
        <w:tc>
          <w:tcPr>
            <w:tcW w:w="1080" w:type="dxa"/>
          </w:tcPr>
          <w:p w:rsidRPr="00866372" w:rsidR="00C86713" w:rsidP="00FE1BAE" w:rsidRDefault="00C86713" w14:paraId="58CE2597" w14:textId="77777777">
            <w:pPr>
              <w:jc w:val="center"/>
              <w:rPr>
                <w:rFonts w:ascii="Times New Roman" w:hAnsi="Times New Roman"/>
                <w:szCs w:val="24"/>
              </w:rPr>
            </w:pPr>
          </w:p>
        </w:tc>
        <w:tc>
          <w:tcPr>
            <w:tcW w:w="1065" w:type="dxa"/>
          </w:tcPr>
          <w:p w:rsidRPr="00866372" w:rsidR="00C86713" w:rsidP="00FE1BAE" w:rsidRDefault="00C86713" w14:paraId="58CE2598" w14:textId="77777777">
            <w:pPr>
              <w:jc w:val="center"/>
              <w:rPr>
                <w:rFonts w:ascii="Times New Roman" w:hAnsi="Times New Roman"/>
                <w:szCs w:val="24"/>
              </w:rPr>
            </w:pPr>
          </w:p>
        </w:tc>
        <w:tc>
          <w:tcPr>
            <w:tcW w:w="1170" w:type="dxa"/>
          </w:tcPr>
          <w:p w:rsidRPr="00866372" w:rsidR="00C86713" w:rsidP="00FE1BAE" w:rsidRDefault="00C86713" w14:paraId="58CE2599" w14:textId="77777777">
            <w:pPr>
              <w:pStyle w:val="EndnoteText"/>
              <w:tabs>
                <w:tab w:val="clear" w:pos="-720"/>
              </w:tabs>
              <w:suppressAutoHyphens w:val="0"/>
              <w:rPr>
                <w:rFonts w:ascii="Times New Roman" w:hAnsi="Times New Roman"/>
                <w:szCs w:val="24"/>
              </w:rPr>
            </w:pPr>
          </w:p>
        </w:tc>
        <w:tc>
          <w:tcPr>
            <w:tcW w:w="1530" w:type="dxa"/>
          </w:tcPr>
          <w:p w:rsidRPr="00866372" w:rsidR="00C86713" w:rsidP="00FE1BAE" w:rsidRDefault="00C86713" w14:paraId="58CE259A" w14:textId="77777777">
            <w:pPr>
              <w:rPr>
                <w:rFonts w:ascii="Times New Roman" w:hAnsi="Times New Roman"/>
                <w:szCs w:val="24"/>
              </w:rPr>
            </w:pPr>
          </w:p>
        </w:tc>
        <w:tc>
          <w:tcPr>
            <w:tcW w:w="1350" w:type="dxa"/>
          </w:tcPr>
          <w:p w:rsidRPr="00866372" w:rsidR="00C86713" w:rsidP="00FE1BAE" w:rsidRDefault="00C86713" w14:paraId="58CE259B" w14:textId="77777777">
            <w:pPr>
              <w:rPr>
                <w:rFonts w:ascii="Times New Roman" w:hAnsi="Times New Roman"/>
                <w:szCs w:val="24"/>
              </w:rPr>
            </w:pPr>
          </w:p>
        </w:tc>
      </w:tr>
      <w:tr w:rsidRPr="00442E07" w:rsidR="00C86713" w:rsidTr="000773EE" w14:paraId="58CE25A6" w14:textId="77777777">
        <w:tc>
          <w:tcPr>
            <w:tcW w:w="1345" w:type="dxa"/>
          </w:tcPr>
          <w:p w:rsidRPr="00866372" w:rsidR="00C86713" w:rsidP="00FE1BAE" w:rsidRDefault="00C86713" w14:paraId="58CE259D" w14:textId="77777777">
            <w:pPr>
              <w:rPr>
                <w:rFonts w:ascii="Times New Roman" w:hAnsi="Times New Roman"/>
                <w:szCs w:val="24"/>
              </w:rPr>
            </w:pPr>
          </w:p>
        </w:tc>
        <w:tc>
          <w:tcPr>
            <w:tcW w:w="1265" w:type="dxa"/>
          </w:tcPr>
          <w:p w:rsidRPr="00866372" w:rsidR="00C86713" w:rsidP="00FE1BAE" w:rsidRDefault="00C86713" w14:paraId="58CE259E" w14:textId="77777777">
            <w:pPr>
              <w:rPr>
                <w:rFonts w:ascii="Times New Roman" w:hAnsi="Times New Roman"/>
                <w:szCs w:val="24"/>
              </w:rPr>
            </w:pPr>
          </w:p>
        </w:tc>
        <w:tc>
          <w:tcPr>
            <w:tcW w:w="1255" w:type="dxa"/>
          </w:tcPr>
          <w:p w:rsidRPr="00866372" w:rsidR="00C86713" w:rsidP="00FE1BAE" w:rsidRDefault="00C86713" w14:paraId="58CE259F" w14:textId="77777777">
            <w:pPr>
              <w:rPr>
                <w:rFonts w:ascii="Times New Roman" w:hAnsi="Times New Roman"/>
                <w:szCs w:val="24"/>
              </w:rPr>
            </w:pPr>
          </w:p>
        </w:tc>
        <w:tc>
          <w:tcPr>
            <w:tcW w:w="1275" w:type="dxa"/>
          </w:tcPr>
          <w:p w:rsidRPr="00866372" w:rsidR="00C86713" w:rsidP="00FE1BAE" w:rsidRDefault="00C86713" w14:paraId="58CE25A0" w14:textId="77777777">
            <w:pPr>
              <w:rPr>
                <w:rFonts w:ascii="Times New Roman" w:hAnsi="Times New Roman"/>
                <w:szCs w:val="24"/>
              </w:rPr>
            </w:pPr>
          </w:p>
        </w:tc>
        <w:tc>
          <w:tcPr>
            <w:tcW w:w="1080" w:type="dxa"/>
          </w:tcPr>
          <w:p w:rsidRPr="00866372" w:rsidR="00C86713" w:rsidP="00FE1BAE" w:rsidRDefault="00C86713" w14:paraId="58CE25A1" w14:textId="77777777">
            <w:pPr>
              <w:rPr>
                <w:rFonts w:ascii="Times New Roman" w:hAnsi="Times New Roman"/>
                <w:szCs w:val="24"/>
              </w:rPr>
            </w:pPr>
          </w:p>
        </w:tc>
        <w:tc>
          <w:tcPr>
            <w:tcW w:w="1065" w:type="dxa"/>
          </w:tcPr>
          <w:p w:rsidRPr="00866372" w:rsidR="00C86713" w:rsidP="00FE1BAE" w:rsidRDefault="00C86713" w14:paraId="58CE25A2" w14:textId="77777777">
            <w:pPr>
              <w:rPr>
                <w:rFonts w:ascii="Times New Roman" w:hAnsi="Times New Roman"/>
                <w:szCs w:val="24"/>
              </w:rPr>
            </w:pPr>
          </w:p>
        </w:tc>
        <w:tc>
          <w:tcPr>
            <w:tcW w:w="1170" w:type="dxa"/>
          </w:tcPr>
          <w:p w:rsidRPr="00866372" w:rsidR="00C86713" w:rsidP="00FE1BAE" w:rsidRDefault="00C86713" w14:paraId="58CE25A3" w14:textId="77777777">
            <w:pPr>
              <w:rPr>
                <w:rFonts w:ascii="Times New Roman" w:hAnsi="Times New Roman"/>
                <w:szCs w:val="24"/>
              </w:rPr>
            </w:pPr>
          </w:p>
        </w:tc>
        <w:tc>
          <w:tcPr>
            <w:tcW w:w="1530" w:type="dxa"/>
          </w:tcPr>
          <w:p w:rsidRPr="00866372" w:rsidR="00C86713" w:rsidP="00FE1BAE" w:rsidRDefault="00C86713" w14:paraId="58CE25A4" w14:textId="77777777">
            <w:pPr>
              <w:rPr>
                <w:rFonts w:ascii="Times New Roman" w:hAnsi="Times New Roman"/>
                <w:szCs w:val="24"/>
              </w:rPr>
            </w:pPr>
          </w:p>
        </w:tc>
        <w:tc>
          <w:tcPr>
            <w:tcW w:w="1350" w:type="dxa"/>
          </w:tcPr>
          <w:p w:rsidRPr="00866372" w:rsidR="00C86713" w:rsidP="00FE1BAE" w:rsidRDefault="00C86713" w14:paraId="58CE25A5" w14:textId="77777777">
            <w:pPr>
              <w:rPr>
                <w:rFonts w:ascii="Times New Roman" w:hAnsi="Times New Roman"/>
                <w:szCs w:val="24"/>
              </w:rPr>
            </w:pPr>
          </w:p>
        </w:tc>
      </w:tr>
      <w:tr w:rsidRPr="00442E07" w:rsidR="009767AF" w:rsidTr="000773EE" w14:paraId="58CE25B0" w14:textId="77777777">
        <w:tc>
          <w:tcPr>
            <w:tcW w:w="1345" w:type="dxa"/>
          </w:tcPr>
          <w:p w:rsidRPr="00866372" w:rsidR="009767AF" w:rsidP="00FE1BAE" w:rsidRDefault="009767AF" w14:paraId="58CE25A7" w14:textId="77777777">
            <w:pPr>
              <w:rPr>
                <w:rFonts w:ascii="Times New Roman" w:hAnsi="Times New Roman"/>
                <w:szCs w:val="24"/>
              </w:rPr>
            </w:pPr>
            <w:r w:rsidRPr="00866372">
              <w:rPr>
                <w:rFonts w:ascii="Times New Roman" w:hAnsi="Times New Roman"/>
                <w:szCs w:val="24"/>
              </w:rPr>
              <w:t>Annualized Totals</w:t>
            </w:r>
          </w:p>
        </w:tc>
        <w:tc>
          <w:tcPr>
            <w:tcW w:w="1265" w:type="dxa"/>
          </w:tcPr>
          <w:p w:rsidRPr="00866372" w:rsidR="009767AF" w:rsidP="00FE1BAE" w:rsidRDefault="009767AF" w14:paraId="58CE25A8" w14:textId="77777777">
            <w:pPr>
              <w:rPr>
                <w:rFonts w:ascii="Times New Roman" w:hAnsi="Times New Roman"/>
                <w:szCs w:val="24"/>
              </w:rPr>
            </w:pPr>
          </w:p>
        </w:tc>
        <w:tc>
          <w:tcPr>
            <w:tcW w:w="1255" w:type="dxa"/>
          </w:tcPr>
          <w:p w:rsidRPr="00866372" w:rsidR="009767AF" w:rsidP="00FE1BAE" w:rsidRDefault="009767AF" w14:paraId="58CE25A9" w14:textId="77777777">
            <w:pPr>
              <w:rPr>
                <w:rFonts w:ascii="Times New Roman" w:hAnsi="Times New Roman"/>
                <w:szCs w:val="24"/>
              </w:rPr>
            </w:pPr>
          </w:p>
        </w:tc>
        <w:tc>
          <w:tcPr>
            <w:tcW w:w="1275" w:type="dxa"/>
          </w:tcPr>
          <w:p w:rsidRPr="00884F09" w:rsidR="009767AF" w:rsidP="00FE1BAE" w:rsidRDefault="004945DC" w14:paraId="58CE25AA" w14:textId="0D2F34D1">
            <w:pPr>
              <w:rPr>
                <w:rFonts w:ascii="Times New Roman" w:hAnsi="Times New Roman"/>
                <w:sz w:val="22"/>
                <w:szCs w:val="22"/>
              </w:rPr>
            </w:pPr>
            <w:r w:rsidRPr="00884F09">
              <w:rPr>
                <w:rFonts w:ascii="Times New Roman" w:hAnsi="Times New Roman"/>
                <w:sz w:val="22"/>
                <w:szCs w:val="22"/>
              </w:rPr>
              <w:t>301,079</w:t>
            </w:r>
          </w:p>
        </w:tc>
        <w:tc>
          <w:tcPr>
            <w:tcW w:w="1080" w:type="dxa"/>
          </w:tcPr>
          <w:p w:rsidRPr="00884F09" w:rsidR="009767AF" w:rsidP="00FE1BAE" w:rsidRDefault="004945DC" w14:paraId="58CE25AB" w14:textId="16EB9F0A">
            <w:pPr>
              <w:rPr>
                <w:rFonts w:ascii="Times New Roman" w:hAnsi="Times New Roman"/>
                <w:sz w:val="22"/>
                <w:szCs w:val="22"/>
              </w:rPr>
            </w:pPr>
            <w:r w:rsidRPr="00884F09">
              <w:rPr>
                <w:rFonts w:ascii="Times New Roman" w:hAnsi="Times New Roman"/>
                <w:sz w:val="22"/>
                <w:szCs w:val="22"/>
              </w:rPr>
              <w:t>301,079</w:t>
            </w:r>
          </w:p>
        </w:tc>
        <w:tc>
          <w:tcPr>
            <w:tcW w:w="1065" w:type="dxa"/>
          </w:tcPr>
          <w:p w:rsidRPr="00884F09" w:rsidR="009767AF" w:rsidP="00FE1BAE" w:rsidRDefault="009767AF" w14:paraId="58CE25AC" w14:textId="77777777">
            <w:pPr>
              <w:rPr>
                <w:rFonts w:ascii="Times New Roman" w:hAnsi="Times New Roman"/>
                <w:szCs w:val="24"/>
              </w:rPr>
            </w:pPr>
          </w:p>
        </w:tc>
        <w:tc>
          <w:tcPr>
            <w:tcW w:w="1170" w:type="dxa"/>
          </w:tcPr>
          <w:p w:rsidRPr="00884F09" w:rsidR="009767AF" w:rsidP="00FE1BAE" w:rsidRDefault="00056ED6" w14:paraId="58CE25AD" w14:textId="60EC425D">
            <w:pPr>
              <w:rPr>
                <w:rFonts w:ascii="Times New Roman" w:hAnsi="Times New Roman"/>
                <w:sz w:val="22"/>
                <w:szCs w:val="22"/>
              </w:rPr>
            </w:pPr>
            <w:r w:rsidRPr="00884F09">
              <w:rPr>
                <w:rStyle w:val="cf01"/>
                <w:rFonts w:ascii="Times New Roman" w:hAnsi="Times New Roman" w:cs="Times New Roman"/>
                <w:sz w:val="22"/>
                <w:szCs w:val="22"/>
              </w:rPr>
              <w:t>87,656</w:t>
            </w:r>
          </w:p>
        </w:tc>
        <w:tc>
          <w:tcPr>
            <w:tcW w:w="1530" w:type="dxa"/>
          </w:tcPr>
          <w:p w:rsidRPr="00884F09" w:rsidR="009767AF" w:rsidP="00FE1BAE" w:rsidRDefault="009767AF" w14:paraId="58CE25AE" w14:textId="77777777">
            <w:pPr>
              <w:rPr>
                <w:rFonts w:ascii="Times New Roman" w:hAnsi="Times New Roman"/>
                <w:szCs w:val="24"/>
              </w:rPr>
            </w:pPr>
          </w:p>
        </w:tc>
        <w:tc>
          <w:tcPr>
            <w:tcW w:w="1350" w:type="dxa"/>
          </w:tcPr>
          <w:p w:rsidRPr="00884F09" w:rsidR="009767AF" w:rsidP="00FE1BAE" w:rsidRDefault="00E21060" w14:paraId="58CE25AF" w14:textId="1F785AFB">
            <w:pPr>
              <w:rPr>
                <w:rFonts w:ascii="Times New Roman" w:hAnsi="Times New Roman"/>
                <w:sz w:val="22"/>
                <w:szCs w:val="22"/>
              </w:rPr>
            </w:pPr>
            <w:r w:rsidRPr="00884F09">
              <w:rPr>
                <w:rFonts w:ascii="Times New Roman" w:hAnsi="Times New Roman"/>
                <w:sz w:val="22"/>
                <w:szCs w:val="22"/>
              </w:rPr>
              <w:t>$887,572.50</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 xml:space="preserve">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CD4DBA" w:rsidP="00CD4DBA" w:rsidRDefault="00CD4DBA" w14:paraId="4EA68451" w14:textId="77777777">
      <w:pPr>
        <w:rPr>
          <w:rFonts w:ascii="Times New Roman" w:hAnsi="Times New Roman"/>
          <w:i/>
        </w:rPr>
      </w:pPr>
    </w:p>
    <w:p w:rsidRPr="00646BB4" w:rsidR="00CD4DBA" w:rsidP="00CD4DBA" w:rsidRDefault="00CD4DBA" w14:paraId="78E9BCD2" w14:textId="28653B73">
      <w:pPr>
        <w:rPr>
          <w:rFonts w:ascii="Times New Roman" w:hAnsi="Times New Roman"/>
          <w:iCs/>
          <w:sz w:val="22"/>
        </w:rPr>
      </w:pPr>
      <w:r w:rsidRPr="00646BB4">
        <w:rPr>
          <w:rFonts w:ascii="Times New Roman" w:hAnsi="Times New Roman"/>
          <w:iCs/>
        </w:rPr>
        <w:t xml:space="preserve">The only costs to respondents are those shown above for staff time for data collection and reporting.   There should be no record-keeping costs beyond those covered under customary and usual business practices. </w:t>
      </w:r>
    </w:p>
    <w:p w:rsidR="00043C32" w:rsidP="00AD381B" w:rsidRDefault="00043C32" w14:paraId="58CE25BF" w14:textId="4CAD2DDE">
      <w:pPr>
        <w:tabs>
          <w:tab w:val="left" w:pos="-720"/>
        </w:tabs>
        <w:suppressAutoHyphens/>
        <w:rPr>
          <w:rFonts w:ascii="Times New Roman" w:hAnsi="Times New Roman"/>
          <w:szCs w:val="24"/>
        </w:rPr>
      </w:pPr>
    </w:p>
    <w:p w:rsidR="00CF4C46" w:rsidP="00AD381B" w:rsidRDefault="00CF4C46" w14:paraId="2AC57D1C" w14:textId="77777777">
      <w:pPr>
        <w:tabs>
          <w:tab w:val="left" w:pos="-720"/>
        </w:tabs>
        <w:suppressAutoHyphens/>
        <w:rPr>
          <w:rFonts w:ascii="Times New Roman" w:hAnsi="Times New Roman"/>
          <w:szCs w:val="24"/>
        </w:rPr>
      </w:pPr>
    </w:p>
    <w:p w:rsidRPr="00534B4A" w:rsidR="00043C32" w:rsidP="00AD381B" w:rsidRDefault="00043C32"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4AAC" w:rsidP="006C4AAC" w:rsidRDefault="006C4AAC" w14:paraId="1F814D76" w14:textId="77777777">
      <w:pPr>
        <w:rPr>
          <w:rFonts w:ascii="Times New Roman" w:hAnsi="Times New Roman"/>
          <w:i/>
        </w:rPr>
      </w:pPr>
    </w:p>
    <w:p w:rsidRPr="00646BB4" w:rsidR="006C4AAC" w:rsidP="006C4AAC" w:rsidRDefault="006C4AAC" w14:paraId="1E6A86FE" w14:textId="6BFB3731">
      <w:pPr>
        <w:rPr>
          <w:rFonts w:ascii="Times New Roman" w:hAnsi="Times New Roman"/>
          <w:iCs/>
          <w:sz w:val="22"/>
        </w:rPr>
      </w:pPr>
      <w:r w:rsidRPr="00646BB4">
        <w:rPr>
          <w:rFonts w:ascii="Times New Roman" w:hAnsi="Times New Roman"/>
          <w:iCs/>
        </w:rPr>
        <w:t xml:space="preserve">Federal costs associated with this collection of information are generally those normally associated with Department staff conducting program monitoring.  </w:t>
      </w:r>
    </w:p>
    <w:p w:rsidRPr="00C8357A" w:rsidR="00534B4A" w:rsidP="00534B4A" w:rsidRDefault="00534B4A" w14:paraId="58CE25C2" w14:textId="798026E7">
      <w:pPr>
        <w:pStyle w:val="ListParagraph"/>
        <w:tabs>
          <w:tab w:val="left" w:pos="-720"/>
        </w:tabs>
        <w:suppressAutoHyphens/>
        <w:ind w:left="907"/>
        <w:contextualSpacing w:val="0"/>
        <w:rPr>
          <w:rFonts w:ascii="Times New Roman" w:hAnsi="Times New Roman"/>
          <w:iCs/>
          <w:szCs w:val="24"/>
        </w:rPr>
      </w:pPr>
    </w:p>
    <w:p w:rsidRPr="00646BB4" w:rsidR="00027C60" w:rsidP="00027C60" w:rsidRDefault="00027C60" w14:paraId="359E9E76" w14:textId="77777777">
      <w:pPr>
        <w:ind w:left="360"/>
        <w:rPr>
          <w:rFonts w:ascii="Times New Roman" w:hAnsi="Times New Roman"/>
          <w:i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886"/>
        <w:gridCol w:w="958"/>
        <w:gridCol w:w="1360"/>
        <w:gridCol w:w="1474"/>
        <w:gridCol w:w="763"/>
        <w:gridCol w:w="1358"/>
      </w:tblGrid>
      <w:tr w:rsidRPr="00C8357A" w:rsidR="00027C60" w:rsidTr="006A5017" w14:paraId="12DBF039" w14:textId="77777777">
        <w:trPr>
          <w:cantSplit/>
        </w:trPr>
        <w:tc>
          <w:tcPr>
            <w:tcW w:w="0" w:type="auto"/>
            <w:gridSpan w:val="7"/>
            <w:tcBorders>
              <w:top w:val="single" w:color="auto" w:sz="4" w:space="0"/>
              <w:left w:val="single" w:color="auto" w:sz="4" w:space="0"/>
              <w:bottom w:val="single" w:color="auto" w:sz="4" w:space="0"/>
              <w:right w:val="single" w:color="auto" w:sz="4" w:space="0"/>
            </w:tcBorders>
            <w:shd w:val="clear" w:color="auto" w:fill="FFFFFF"/>
            <w:hideMark/>
          </w:tcPr>
          <w:p w:rsidRPr="00646BB4" w:rsidR="00027C60" w:rsidP="006A5017" w:rsidRDefault="00027C60" w14:paraId="2131E99D" w14:textId="77777777">
            <w:pPr>
              <w:rPr>
                <w:rFonts w:ascii="Times New Roman" w:hAnsi="Times New Roman"/>
                <w:b/>
                <w:iCs/>
              </w:rPr>
            </w:pPr>
            <w:r w:rsidRPr="00646BB4">
              <w:rPr>
                <w:rFonts w:ascii="Times New Roman" w:hAnsi="Times New Roman"/>
                <w:b/>
                <w:iCs/>
              </w:rPr>
              <w:t>Application Review</w:t>
            </w:r>
          </w:p>
        </w:tc>
      </w:tr>
      <w:tr w:rsidRPr="00C8357A" w:rsidR="00027C60" w:rsidTr="00646BB4" w14:paraId="6ABD72BB" w14:textId="77777777">
        <w:tc>
          <w:tcPr>
            <w:tcW w:w="1443" w:type="dxa"/>
            <w:tcBorders>
              <w:top w:val="single" w:color="auto" w:sz="4" w:space="0"/>
              <w:left w:val="single" w:color="auto" w:sz="4" w:space="0"/>
              <w:bottom w:val="single" w:color="auto" w:sz="4" w:space="0"/>
              <w:right w:val="single" w:color="auto" w:sz="4" w:space="0"/>
            </w:tcBorders>
            <w:shd w:val="clear" w:color="auto" w:fill="FFFFFF"/>
          </w:tcPr>
          <w:p w:rsidRPr="00646BB4" w:rsidR="00027C60" w:rsidP="006A5017" w:rsidRDefault="00027C60" w14:paraId="1A9B796D" w14:textId="77777777">
            <w:pPr>
              <w:jc w:val="center"/>
              <w:rPr>
                <w:rFonts w:ascii="Times New Roman" w:hAnsi="Times New Roman"/>
                <w:iCs/>
              </w:rPr>
            </w:pPr>
            <w:r w:rsidRPr="00646BB4">
              <w:rPr>
                <w:rFonts w:ascii="Times New Roman" w:hAnsi="Times New Roman"/>
                <w:iCs/>
              </w:rPr>
              <w:t>Applications</w:t>
            </w:r>
          </w:p>
          <w:p w:rsidRPr="00646BB4" w:rsidR="00027C60" w:rsidP="006A5017" w:rsidRDefault="00027C60" w14:paraId="598DFF59" w14:textId="77777777">
            <w:pPr>
              <w:jc w:val="center"/>
              <w:rPr>
                <w:rFonts w:ascii="Times New Roman" w:hAnsi="Times New Roman"/>
                <w:iCs/>
              </w:rPr>
            </w:pPr>
          </w:p>
        </w:tc>
        <w:tc>
          <w:tcPr>
            <w:tcW w:w="1886" w:type="dxa"/>
            <w:tcBorders>
              <w:top w:val="single" w:color="auto" w:sz="4" w:space="0"/>
              <w:left w:val="single" w:color="auto" w:sz="4" w:space="0"/>
              <w:bottom w:val="single" w:color="auto" w:sz="4" w:space="0"/>
              <w:right w:val="single" w:color="auto" w:sz="4" w:space="0"/>
            </w:tcBorders>
            <w:shd w:val="clear" w:color="auto" w:fill="FFFFFF"/>
            <w:hideMark/>
          </w:tcPr>
          <w:p w:rsidRPr="00646BB4" w:rsidR="00027C60" w:rsidP="006A5017" w:rsidRDefault="00027C60" w14:paraId="3789CE60" w14:textId="77777777">
            <w:pPr>
              <w:jc w:val="center"/>
              <w:rPr>
                <w:rFonts w:ascii="Times New Roman" w:hAnsi="Times New Roman"/>
                <w:iCs/>
              </w:rPr>
            </w:pPr>
            <w:r w:rsidRPr="00646BB4">
              <w:rPr>
                <w:rFonts w:ascii="Times New Roman" w:hAnsi="Times New Roman"/>
                <w:iCs/>
              </w:rPr>
              <w:t xml:space="preserve">Time in Review </w:t>
            </w:r>
          </w:p>
          <w:p w:rsidRPr="00646BB4" w:rsidR="00027C60" w:rsidP="006A5017" w:rsidRDefault="00027C60" w14:paraId="3CBF18EF" w14:textId="77777777">
            <w:pPr>
              <w:jc w:val="center"/>
              <w:rPr>
                <w:rFonts w:ascii="Times New Roman" w:hAnsi="Times New Roman"/>
                <w:iCs/>
              </w:rPr>
            </w:pPr>
            <w:r w:rsidRPr="00646BB4">
              <w:rPr>
                <w:rFonts w:ascii="Times New Roman" w:hAnsi="Times New Roman"/>
                <w:iCs/>
              </w:rPr>
              <w:t>per Application</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646BB4" w:rsidR="00027C60" w:rsidP="006A5017" w:rsidRDefault="00027C60" w14:paraId="0A2C5D6C" w14:textId="77777777">
            <w:pPr>
              <w:jc w:val="center"/>
              <w:rPr>
                <w:rFonts w:ascii="Times New Roman" w:hAnsi="Times New Roman"/>
                <w:iCs/>
              </w:rPr>
            </w:pPr>
            <w:r w:rsidRPr="00646BB4">
              <w:rPr>
                <w:rFonts w:ascii="Times New Roman" w:hAnsi="Times New Roman"/>
                <w:iCs/>
              </w:rPr>
              <w:t>Total Hours</w:t>
            </w:r>
          </w:p>
        </w:tc>
        <w:tc>
          <w:tcPr>
            <w:tcW w:w="1360" w:type="dxa"/>
            <w:tcBorders>
              <w:top w:val="single" w:color="auto" w:sz="4" w:space="0"/>
              <w:left w:val="single" w:color="auto" w:sz="4" w:space="0"/>
              <w:bottom w:val="single" w:color="auto" w:sz="4" w:space="0"/>
              <w:right w:val="single" w:color="auto" w:sz="4" w:space="0"/>
            </w:tcBorders>
            <w:shd w:val="clear" w:color="auto" w:fill="FFFFFF"/>
            <w:hideMark/>
          </w:tcPr>
          <w:p w:rsidRPr="00646BB4" w:rsidR="00027C60" w:rsidP="006A5017" w:rsidRDefault="00027C60" w14:paraId="6308AE7B" w14:textId="77777777">
            <w:pPr>
              <w:jc w:val="center"/>
              <w:rPr>
                <w:rFonts w:ascii="Times New Roman" w:hAnsi="Times New Roman"/>
                <w:iCs/>
              </w:rPr>
            </w:pPr>
            <w:r w:rsidRPr="00646BB4">
              <w:rPr>
                <w:rFonts w:ascii="Times New Roman" w:hAnsi="Times New Roman"/>
                <w:iCs/>
              </w:rPr>
              <w:t>Wage Rate for Personnel</w:t>
            </w:r>
            <w:r w:rsidRPr="00646BB4">
              <w:rPr>
                <w:rStyle w:val="FootnoteReference"/>
                <w:rFonts w:ascii="Times New Roman" w:hAnsi="Times New Roman"/>
                <w:b/>
                <w:iCs/>
              </w:rPr>
              <w:footnoteReference w:id="3"/>
            </w:r>
          </w:p>
        </w:tc>
        <w:tc>
          <w:tcPr>
            <w:tcW w:w="1474" w:type="dxa"/>
            <w:tcBorders>
              <w:top w:val="single" w:color="auto" w:sz="4" w:space="0"/>
              <w:left w:val="single" w:color="auto" w:sz="4" w:space="0"/>
              <w:bottom w:val="single" w:color="auto" w:sz="4" w:space="0"/>
              <w:right w:val="single" w:color="auto" w:sz="4" w:space="0"/>
            </w:tcBorders>
            <w:shd w:val="clear" w:color="auto" w:fill="FFFFFF"/>
          </w:tcPr>
          <w:p w:rsidRPr="00646BB4" w:rsidR="00027C60" w:rsidP="006A5017" w:rsidRDefault="00027C60" w14:paraId="5F1A9201" w14:textId="77777777">
            <w:pPr>
              <w:jc w:val="center"/>
              <w:rPr>
                <w:rFonts w:ascii="Times New Roman" w:hAnsi="Times New Roman"/>
                <w:iCs/>
              </w:rPr>
            </w:pPr>
            <w:r w:rsidRPr="00646BB4">
              <w:rPr>
                <w:rFonts w:ascii="Times New Roman" w:hAnsi="Times New Roman"/>
                <w:iCs/>
              </w:rPr>
              <w:t>Total Personnel Cost</w:t>
            </w:r>
          </w:p>
          <w:p w:rsidRPr="00646BB4" w:rsidR="00027C60" w:rsidP="006A5017" w:rsidRDefault="00027C60" w14:paraId="19600ABB" w14:textId="77777777">
            <w:pPr>
              <w:jc w:val="center"/>
              <w:rPr>
                <w:rFonts w:ascii="Times New Roman" w:hAnsi="Times New Roman"/>
                <w:iCs/>
              </w:rPr>
            </w:pP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646BB4" w:rsidR="00027C60" w:rsidP="006A5017" w:rsidRDefault="00027C60" w14:paraId="14885DA9" w14:textId="77777777">
            <w:pPr>
              <w:jc w:val="center"/>
              <w:rPr>
                <w:rFonts w:ascii="Times New Roman" w:hAnsi="Times New Roman"/>
                <w:iCs/>
              </w:rPr>
            </w:pPr>
            <w:r w:rsidRPr="00646BB4">
              <w:rPr>
                <w:rFonts w:ascii="Times New Roman" w:hAnsi="Times New Roman"/>
                <w:iCs/>
              </w:rPr>
              <w:lastRenderedPageBreak/>
              <w:t>Other</w:t>
            </w:r>
          </w:p>
          <w:p w:rsidRPr="00646BB4" w:rsidR="00027C60" w:rsidP="006A5017" w:rsidRDefault="00027C60" w14:paraId="4E7DD8F0" w14:textId="77777777">
            <w:pPr>
              <w:jc w:val="center"/>
              <w:rPr>
                <w:rFonts w:ascii="Times New Roman" w:hAnsi="Times New Roman"/>
                <w:iCs/>
              </w:rPr>
            </w:pPr>
            <w:r w:rsidRPr="00646BB4">
              <w:rPr>
                <w:rFonts w:ascii="Times New Roman" w:hAnsi="Times New Roman"/>
                <w:iCs/>
              </w:rPr>
              <w:t>Costs</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646BB4" w:rsidR="00027C60" w:rsidP="006A5017" w:rsidRDefault="00027C60" w14:paraId="4CF84009" w14:textId="77777777">
            <w:pPr>
              <w:jc w:val="center"/>
              <w:rPr>
                <w:rFonts w:ascii="Times New Roman" w:hAnsi="Times New Roman"/>
                <w:iCs/>
              </w:rPr>
            </w:pPr>
            <w:r w:rsidRPr="00646BB4">
              <w:rPr>
                <w:rFonts w:ascii="Times New Roman" w:hAnsi="Times New Roman"/>
                <w:iCs/>
              </w:rPr>
              <w:t>Total Cost of Review</w:t>
            </w:r>
          </w:p>
        </w:tc>
      </w:tr>
      <w:tr w:rsidRPr="00C8357A" w:rsidR="00027C60" w:rsidTr="00646BB4" w14:paraId="29E8D749" w14:textId="77777777">
        <w:tc>
          <w:tcPr>
            <w:tcW w:w="1443" w:type="dxa"/>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00E76B7F" w14:textId="77777777">
            <w:pPr>
              <w:jc w:val="center"/>
              <w:rPr>
                <w:rFonts w:ascii="Times New Roman" w:hAnsi="Times New Roman"/>
                <w:iCs/>
              </w:rPr>
            </w:pPr>
            <w:r w:rsidRPr="00646BB4">
              <w:rPr>
                <w:rFonts w:ascii="Times New Roman" w:hAnsi="Times New Roman"/>
                <w:iCs/>
              </w:rPr>
              <w:t>1,079</w:t>
            </w:r>
          </w:p>
        </w:tc>
        <w:tc>
          <w:tcPr>
            <w:tcW w:w="1886" w:type="dxa"/>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49138868" w14:textId="77777777">
            <w:pPr>
              <w:jc w:val="center"/>
              <w:rPr>
                <w:rFonts w:ascii="Times New Roman" w:hAnsi="Times New Roman"/>
                <w:iCs/>
              </w:rPr>
            </w:pPr>
            <w:r w:rsidRPr="00646BB4">
              <w:rPr>
                <w:rFonts w:ascii="Times New Roman" w:hAnsi="Times New Roman"/>
                <w:iCs/>
              </w:rPr>
              <w:t>25 hours</w:t>
            </w:r>
          </w:p>
        </w:tc>
        <w:tc>
          <w:tcPr>
            <w:tcW w:w="0" w:type="auto"/>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0D64CA23" w14:textId="77777777">
            <w:pPr>
              <w:jc w:val="center"/>
              <w:rPr>
                <w:rFonts w:ascii="Times New Roman" w:hAnsi="Times New Roman"/>
                <w:iCs/>
              </w:rPr>
            </w:pPr>
            <w:r w:rsidRPr="00646BB4">
              <w:rPr>
                <w:rFonts w:ascii="Times New Roman" w:hAnsi="Times New Roman"/>
                <w:iCs/>
              </w:rPr>
              <w:t>26,975</w:t>
            </w:r>
          </w:p>
        </w:tc>
        <w:tc>
          <w:tcPr>
            <w:tcW w:w="1360" w:type="dxa"/>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6EAB632C" w14:textId="77777777">
            <w:pPr>
              <w:jc w:val="center"/>
              <w:rPr>
                <w:rFonts w:ascii="Times New Roman" w:hAnsi="Times New Roman"/>
                <w:iCs/>
              </w:rPr>
            </w:pPr>
            <w:r w:rsidRPr="00646BB4">
              <w:rPr>
                <w:rFonts w:ascii="Times New Roman" w:hAnsi="Times New Roman"/>
                <w:iCs/>
              </w:rPr>
              <w:t>$50.80</w:t>
            </w:r>
          </w:p>
        </w:tc>
        <w:tc>
          <w:tcPr>
            <w:tcW w:w="1474" w:type="dxa"/>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4008939C" w14:textId="77777777">
            <w:pPr>
              <w:jc w:val="center"/>
              <w:rPr>
                <w:rFonts w:ascii="Times New Roman" w:hAnsi="Times New Roman"/>
                <w:iCs/>
              </w:rPr>
            </w:pPr>
            <w:r w:rsidRPr="00646BB4">
              <w:rPr>
                <w:rFonts w:ascii="Times New Roman" w:hAnsi="Times New Roman"/>
                <w:iCs/>
              </w:rPr>
              <w:t>$ 1,370,330</w:t>
            </w:r>
          </w:p>
        </w:tc>
        <w:tc>
          <w:tcPr>
            <w:tcW w:w="0" w:type="auto"/>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24138EA2" w14:textId="77777777">
            <w:pPr>
              <w:jc w:val="center"/>
              <w:rPr>
                <w:rFonts w:ascii="Times New Roman" w:hAnsi="Times New Roman"/>
                <w:iCs/>
              </w:rPr>
            </w:pPr>
            <w:r w:rsidRPr="00646BB4">
              <w:rPr>
                <w:rFonts w:ascii="Times New Roman" w:hAnsi="Times New Roman"/>
                <w:iCs/>
              </w:rPr>
              <w:t>0</w:t>
            </w:r>
          </w:p>
        </w:tc>
        <w:tc>
          <w:tcPr>
            <w:tcW w:w="0" w:type="auto"/>
            <w:tcBorders>
              <w:top w:val="single" w:color="auto" w:sz="4" w:space="0"/>
              <w:left w:val="single" w:color="auto" w:sz="4" w:space="0"/>
              <w:bottom w:val="single" w:color="auto" w:sz="4" w:space="0"/>
              <w:right w:val="single" w:color="auto" w:sz="4" w:space="0"/>
            </w:tcBorders>
            <w:hideMark/>
          </w:tcPr>
          <w:p w:rsidRPr="00646BB4" w:rsidR="00027C60" w:rsidP="006A5017" w:rsidRDefault="00027C60" w14:paraId="1D5390DB" w14:textId="77777777">
            <w:pPr>
              <w:jc w:val="center"/>
              <w:rPr>
                <w:rFonts w:ascii="Times New Roman" w:hAnsi="Times New Roman"/>
                <w:iCs/>
              </w:rPr>
            </w:pPr>
            <w:r w:rsidRPr="00646BB4">
              <w:rPr>
                <w:rFonts w:ascii="Times New Roman" w:hAnsi="Times New Roman"/>
                <w:iCs/>
              </w:rPr>
              <w:t>$ 1,370,330</w:t>
            </w:r>
          </w:p>
        </w:tc>
      </w:tr>
    </w:tbl>
    <w:p w:rsidRPr="00646BB4" w:rsidR="00027C60" w:rsidP="00027C60" w:rsidRDefault="00027C60" w14:paraId="6497C80F" w14:textId="77777777">
      <w:pPr>
        <w:pStyle w:val="Heading1"/>
        <w:ind w:left="360"/>
        <w:jc w:val="right"/>
        <w:rPr>
          <w:iCs/>
          <w:sz w:val="24"/>
          <w:szCs w:val="24"/>
        </w:rPr>
      </w:pPr>
      <w:proofErr w:type="gramStart"/>
      <w:r w:rsidRPr="00646BB4">
        <w:rPr>
          <w:iCs/>
          <w:sz w:val="24"/>
          <w:szCs w:val="24"/>
        </w:rPr>
        <w:t xml:space="preserve">Total  </w:t>
      </w:r>
      <w:r w:rsidRPr="00646BB4">
        <w:rPr>
          <w:iCs/>
        </w:rPr>
        <w:t>$</w:t>
      </w:r>
      <w:proofErr w:type="gramEnd"/>
      <w:r w:rsidRPr="00646BB4">
        <w:rPr>
          <w:iCs/>
        </w:rPr>
        <w:t xml:space="preserve"> 1,370,330</w:t>
      </w:r>
    </w:p>
    <w:p w:rsidRPr="00C8357A" w:rsidR="00D46122" w:rsidP="00534B4A" w:rsidRDefault="00D46122" w14:paraId="44617749" w14:textId="6A29FFA9">
      <w:pPr>
        <w:pStyle w:val="ListParagraph"/>
        <w:tabs>
          <w:tab w:val="left" w:pos="-720"/>
        </w:tabs>
        <w:suppressAutoHyphens/>
        <w:ind w:left="907"/>
        <w:contextualSpacing w:val="0"/>
        <w:rPr>
          <w:rFonts w:ascii="Times New Roman" w:hAnsi="Times New Roman"/>
          <w:iCs/>
          <w:szCs w:val="24"/>
        </w:rPr>
      </w:pPr>
    </w:p>
    <w:p w:rsidR="00D46122" w:rsidP="00534B4A" w:rsidRDefault="00D46122" w14:paraId="6841F5EC"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58CE25C6" w14:textId="6376D91F">
      <w:pPr>
        <w:tabs>
          <w:tab w:val="left" w:pos="-720"/>
        </w:tabs>
        <w:suppressAutoHyphens/>
        <w:rPr>
          <w:rFonts w:ascii="Times New Roman" w:hAnsi="Times New Roman"/>
          <w:b/>
          <w:szCs w:val="24"/>
        </w:rPr>
      </w:pPr>
    </w:p>
    <w:p w:rsidRPr="00F4795E" w:rsidR="0054312C" w:rsidP="0054312C" w:rsidRDefault="00772969" w14:paraId="22F42E45" w14:textId="7D6090DC">
      <w:pPr>
        <w:pStyle w:val="ListParagraph"/>
        <w:suppressAutoHyphens/>
        <w:spacing w:line="240" w:lineRule="exact"/>
        <w:rPr>
          <w:rFonts w:ascii="Times New Roman" w:hAnsi="Times New Roman"/>
        </w:rPr>
      </w:pPr>
      <w:r w:rsidRPr="00646BB4">
        <w:rPr>
          <w:rFonts w:ascii="Times New Roman" w:hAnsi="Times New Roman"/>
          <w:iCs/>
        </w:rPr>
        <w:t xml:space="preserve">The program office has not made any changes between this information collection request and the prior year. </w:t>
      </w:r>
      <w:r w:rsidRPr="00646BB4" w:rsidR="005F5CBB">
        <w:rPr>
          <w:rFonts w:ascii="Times New Roman" w:hAnsi="Times New Roman"/>
          <w:iCs/>
        </w:rPr>
        <w:t xml:space="preserve"> </w:t>
      </w:r>
      <w:r w:rsidRPr="00F4795E" w:rsidR="0054312C">
        <w:rPr>
          <w:rFonts w:ascii="Times New Roman" w:hAnsi="Times New Roman"/>
        </w:rPr>
        <w:t>This application is approved under OMB 1810-0687.  The Department of Education is requesting a</w:t>
      </w:r>
      <w:r w:rsidR="0054312C">
        <w:rPr>
          <w:rFonts w:ascii="Times New Roman" w:hAnsi="Times New Roman"/>
        </w:rPr>
        <w:t xml:space="preserve">n extension </w:t>
      </w:r>
      <w:r w:rsidRPr="0BDCE67C" w:rsidR="0054312C">
        <w:rPr>
          <w:rFonts w:ascii="Times New Roman" w:hAnsi="Times New Roman"/>
        </w:rPr>
        <w:t>for this</w:t>
      </w:r>
      <w:r w:rsidRPr="00F4795E" w:rsidR="0054312C">
        <w:rPr>
          <w:rFonts w:ascii="Times New Roman" w:hAnsi="Times New Roman"/>
        </w:rPr>
        <w:t xml:space="preserve"> collection.</w:t>
      </w:r>
    </w:p>
    <w:p w:rsidRPr="00646BB4" w:rsidR="005F5CBB" w:rsidP="005F5CBB" w:rsidRDefault="005F5CBB" w14:paraId="4B8E0448" w14:textId="0C9FDFB7">
      <w:pPr>
        <w:ind w:left="360"/>
        <w:rPr>
          <w:rFonts w:ascii="Times New Roman" w:hAnsi="Times New Roman"/>
          <w:iCs/>
          <w:sz w:val="22"/>
        </w:rPr>
      </w:pPr>
    </w:p>
    <w:p w:rsidR="005F5CBB" w:rsidP="005F5CBB" w:rsidRDefault="005F5CBB" w14:paraId="224728EE" w14:textId="47E545CE">
      <w:pPr>
        <w:tabs>
          <w:tab w:val="left" w:pos="-720"/>
        </w:tabs>
        <w:suppressAutoHyphens/>
        <w:ind w:left="360"/>
        <w:rPr>
          <w:rFonts w:ascii="Times New Roman" w:hAnsi="Times New Roman"/>
          <w:szCs w:val="24"/>
        </w:rPr>
      </w:pPr>
    </w:p>
    <w:p w:rsidR="005F5CBB" w:rsidP="00534B4A" w:rsidRDefault="005F5CBB" w14:paraId="617473DE"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8CE25CD" w14:textId="77777777">
            <w:pPr>
              <w:tabs>
                <w:tab w:val="left" w:pos="-720"/>
              </w:tabs>
              <w:suppressAutoHyphens/>
              <w:rPr>
                <w:rFonts w:ascii="Times New Roman" w:hAnsi="Times New Roman"/>
                <w:b/>
                <w:szCs w:val="24"/>
              </w:rPr>
            </w:pP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8CE25D2" w14:textId="77777777">
            <w:pPr>
              <w:tabs>
                <w:tab w:val="left" w:pos="-720"/>
              </w:tabs>
              <w:suppressAutoHyphens/>
              <w:rPr>
                <w:rFonts w:ascii="Times New Roman" w:hAnsi="Times New Roman"/>
                <w:b/>
                <w:szCs w:val="24"/>
              </w:rPr>
            </w:pP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E21060" w14:paraId="58CE25D7" w14:textId="418E1E04">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52073E" w:rsidP="00534B4A" w:rsidRDefault="00E21060" w14:paraId="58CE25D8" w14:textId="36261DE6">
            <w:pPr>
              <w:tabs>
                <w:tab w:val="left" w:pos="-720"/>
              </w:tabs>
              <w:suppressAutoHyphens/>
              <w:rPr>
                <w:rFonts w:ascii="Times New Roman" w:hAnsi="Times New Roman"/>
                <w:b/>
                <w:szCs w:val="24"/>
              </w:rPr>
            </w:pPr>
            <w:r>
              <w:rPr>
                <w:rFonts w:ascii="Times New Roman" w:hAnsi="Times New Roman"/>
                <w:b/>
                <w:szCs w:val="24"/>
              </w:rPr>
              <w:t>n/a</w:t>
            </w:r>
          </w:p>
        </w:tc>
        <w:tc>
          <w:tcPr>
            <w:tcW w:w="2520" w:type="dxa"/>
          </w:tcPr>
          <w:p w:rsidR="0052073E" w:rsidP="00534B4A" w:rsidRDefault="00E21060" w14:paraId="58CE25D9" w14:textId="425EB0D3">
            <w:pPr>
              <w:tabs>
                <w:tab w:val="left" w:pos="-720"/>
              </w:tabs>
              <w:suppressAutoHyphens/>
              <w:rPr>
                <w:rFonts w:ascii="Times New Roman" w:hAnsi="Times New Roman"/>
                <w:b/>
                <w:szCs w:val="24"/>
              </w:rPr>
            </w:pPr>
            <w:r>
              <w:rPr>
                <w:rFonts w:ascii="Times New Roman" w:hAnsi="Times New Roman"/>
                <w:b/>
                <w:szCs w:val="24"/>
              </w:rPr>
              <w:t>n/a</w:t>
            </w: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58CE25DE" w14:textId="77777777">
      <w:pPr>
        <w:tabs>
          <w:tab w:val="left" w:pos="-720"/>
        </w:tabs>
        <w:suppressAutoHyphens/>
        <w:rPr>
          <w:rFonts w:ascii="Times New Roman" w:hAnsi="Times New Roman"/>
          <w:szCs w:val="24"/>
        </w:rPr>
      </w:pPr>
    </w:p>
    <w:p w:rsidRPr="00646BB4" w:rsidR="000C3561" w:rsidP="000C3561" w:rsidRDefault="000C3561" w14:paraId="61619977" w14:textId="77777777">
      <w:pPr>
        <w:ind w:left="360"/>
        <w:rPr>
          <w:rFonts w:ascii="Times New Roman" w:hAnsi="Times New Roman"/>
          <w:iCs/>
          <w:sz w:val="22"/>
        </w:rPr>
      </w:pPr>
      <w:r w:rsidRPr="00646BB4">
        <w:rPr>
          <w:rFonts w:ascii="Times New Roman" w:hAnsi="Times New Roman"/>
          <w:iCs/>
        </w:rPr>
        <w:t>The collection of information does not require publication of the information or use of complex analytical techniques.</w:t>
      </w:r>
    </w:p>
    <w:p w:rsidRPr="00534B4A" w:rsidR="00534B4A" w:rsidP="00534B4A" w:rsidRDefault="00534B4A" w14:paraId="58CE25DF" w14:textId="77777777">
      <w:pPr>
        <w:tabs>
          <w:tab w:val="left" w:pos="-720"/>
        </w:tabs>
        <w:suppressAutoHyphens/>
        <w:rPr>
          <w:rFonts w:ascii="Times New Roman" w:hAnsi="Times New Roman"/>
          <w:szCs w:val="24"/>
        </w:rPr>
      </w:pPr>
    </w:p>
    <w:p w:rsidRPr="00534B4A" w:rsidR="00043C32" w:rsidP="00AD381B" w:rsidRDefault="00043C32"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58CE25E1" w14:textId="3361D25E">
      <w:pPr>
        <w:tabs>
          <w:tab w:val="left" w:pos="-720"/>
        </w:tabs>
        <w:suppressAutoHyphens/>
        <w:ind w:left="360"/>
        <w:rPr>
          <w:rFonts w:ascii="Times New Roman" w:hAnsi="Times New Roman"/>
          <w:b/>
          <w:szCs w:val="24"/>
        </w:rPr>
      </w:pPr>
    </w:p>
    <w:p w:rsidRPr="00646BB4" w:rsidR="00EC64FA" w:rsidP="00EC64FA" w:rsidRDefault="00EC64FA" w14:paraId="197E6C22" w14:textId="77777777">
      <w:pPr>
        <w:tabs>
          <w:tab w:val="left" w:pos="-720"/>
        </w:tabs>
        <w:suppressAutoHyphens/>
        <w:ind w:left="360"/>
        <w:rPr>
          <w:rFonts w:ascii="Times New Roman" w:hAnsi="Times New Roman"/>
          <w:iCs/>
          <w:snapToGrid w:val="0"/>
        </w:rPr>
      </w:pPr>
      <w:r w:rsidRPr="00646BB4">
        <w:rPr>
          <w:rFonts w:ascii="Times New Roman" w:hAnsi="Times New Roman"/>
          <w:iCs/>
          <w:snapToGrid w:val="0"/>
        </w:rPr>
        <w:t>The OMB approval number will be displayed on the forms.</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1E4966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D74B9" w:rsidP="009D74B9" w:rsidRDefault="009D74B9" w14:paraId="00EF1B8B" w14:textId="19CAD909">
      <w:pPr>
        <w:tabs>
          <w:tab w:val="left" w:pos="-720"/>
        </w:tabs>
        <w:suppressAutoHyphens/>
        <w:rPr>
          <w:rFonts w:ascii="Times New Roman" w:hAnsi="Times New Roman"/>
          <w:b/>
          <w:szCs w:val="24"/>
        </w:rPr>
      </w:pPr>
    </w:p>
    <w:p w:rsidRPr="00646BB4" w:rsidR="00F0572E" w:rsidP="00F0572E" w:rsidRDefault="00F0572E" w14:paraId="4453E19C" w14:textId="77777777">
      <w:pPr>
        <w:tabs>
          <w:tab w:val="left" w:pos="-720"/>
        </w:tabs>
        <w:suppressAutoHyphens/>
        <w:ind w:left="360"/>
        <w:rPr>
          <w:rFonts w:ascii="Times New Roman" w:hAnsi="Times New Roman"/>
          <w:iCs/>
          <w:szCs w:val="24"/>
        </w:rPr>
      </w:pPr>
      <w:r w:rsidRPr="00646BB4">
        <w:rPr>
          <w:rFonts w:ascii="Times New Roman" w:hAnsi="Times New Roman"/>
          <w:iCs/>
          <w:snapToGrid w:val="0"/>
        </w:rPr>
        <w:t>There are no proposed exceptions to the certifications.</w:t>
      </w:r>
    </w:p>
    <w:p w:rsidRPr="009D74B9" w:rsidR="009D74B9" w:rsidP="009D74B9" w:rsidRDefault="009D74B9" w14:paraId="15F4E8A4" w14:textId="77777777">
      <w:pPr>
        <w:tabs>
          <w:tab w:val="left" w:pos="-720"/>
        </w:tabs>
        <w:suppressAutoHyphens/>
        <w:rPr>
          <w:rFonts w:ascii="Times New Roman" w:hAnsi="Times New Roman"/>
          <w:b/>
          <w:szCs w:val="24"/>
        </w:rPr>
      </w:pPr>
    </w:p>
    <w:sectPr w:rsidRPr="009D74B9" w:rsidR="009D74B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BD71" w14:textId="77777777" w:rsidR="00057F3A" w:rsidRDefault="00057F3A" w:rsidP="00043C32">
      <w:r>
        <w:separator/>
      </w:r>
    </w:p>
  </w:endnote>
  <w:endnote w:type="continuationSeparator" w:id="0">
    <w:p w14:paraId="1391E943" w14:textId="77777777" w:rsidR="00057F3A" w:rsidRDefault="00057F3A" w:rsidP="00043C32">
      <w:r>
        <w:continuationSeparator/>
      </w:r>
    </w:p>
  </w:endnote>
  <w:endnote w:type="continuationNotice" w:id="1">
    <w:p w14:paraId="417BED4E" w14:textId="77777777" w:rsidR="00057F3A" w:rsidRDefault="00057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6A5017" w:rsidRDefault="006A5017">
    <w:pPr>
      <w:spacing w:before="140" w:line="100" w:lineRule="exact"/>
      <w:rPr>
        <w:sz w:val="10"/>
      </w:rPr>
    </w:pPr>
  </w:p>
  <w:p w14:paraId="58CE25E9" w14:textId="77777777" w:rsidR="006A5017" w:rsidRDefault="006A5017">
    <w:pPr>
      <w:tabs>
        <w:tab w:val="left" w:pos="0"/>
      </w:tabs>
      <w:suppressAutoHyphens/>
    </w:pPr>
  </w:p>
  <w:p w14:paraId="58CE25EA" w14:textId="77777777" w:rsidR="006A5017"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6A5017"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CE25EE" w14:textId="77777777" w:rsidR="006A5017"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7D7C" w14:textId="77777777" w:rsidR="00057F3A" w:rsidRDefault="00057F3A" w:rsidP="00043C32">
      <w:r>
        <w:separator/>
      </w:r>
    </w:p>
  </w:footnote>
  <w:footnote w:type="continuationSeparator" w:id="0">
    <w:p w14:paraId="17FE5187" w14:textId="77777777" w:rsidR="00057F3A" w:rsidRDefault="00057F3A" w:rsidP="00043C32">
      <w:r>
        <w:continuationSeparator/>
      </w:r>
    </w:p>
  </w:footnote>
  <w:footnote w:type="continuationNotice" w:id="1">
    <w:p w14:paraId="62AEDA6C" w14:textId="77777777" w:rsidR="00057F3A" w:rsidRDefault="00057F3A"/>
  </w:footnote>
  <w:footnote w:id="2">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2DE2DEA9" w14:textId="77777777" w:rsidR="00027C60" w:rsidRPr="007E76D6" w:rsidRDefault="00027C60" w:rsidP="00027C60">
      <w:pPr>
        <w:pStyle w:val="FootnoteText"/>
        <w:rPr>
          <w:rFonts w:ascii="Times New Roman" w:hAnsi="Times New Roman"/>
          <w:sz w:val="22"/>
          <w:szCs w:val="22"/>
        </w:rPr>
      </w:pPr>
      <w:r w:rsidRPr="007E76D6">
        <w:rPr>
          <w:rStyle w:val="FootnoteReference"/>
          <w:rFonts w:ascii="Times New Roman" w:hAnsi="Times New Roman"/>
        </w:rPr>
        <w:footnoteRef/>
      </w:r>
      <w:r w:rsidRPr="007E76D6">
        <w:rPr>
          <w:rFonts w:ascii="Times New Roman" w:hAnsi="Times New Roman"/>
        </w:rPr>
        <w:t xml:space="preserve"> 2018 Pay rate for a GS-12/10 = $50.80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07B0E6A"/>
    <w:multiLevelType w:val="hybridMultilevel"/>
    <w:tmpl w:val="4DBE0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536981">
    <w:abstractNumId w:val="0"/>
  </w:num>
  <w:num w:numId="2" w16cid:durableId="2114785123">
    <w:abstractNumId w:val="2"/>
  </w:num>
  <w:num w:numId="3" w16cid:durableId="80027534">
    <w:abstractNumId w:val="1"/>
  </w:num>
  <w:num w:numId="4" w16cid:durableId="1487697332">
    <w:abstractNumId w:val="4"/>
  </w:num>
  <w:num w:numId="5" w16cid:durableId="1786971312">
    <w:abstractNumId w:val="5"/>
  </w:num>
  <w:num w:numId="6" w16cid:durableId="77929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7E2"/>
    <w:rsid w:val="00010D85"/>
    <w:rsid w:val="00013495"/>
    <w:rsid w:val="00027C60"/>
    <w:rsid w:val="00035ED5"/>
    <w:rsid w:val="0004165A"/>
    <w:rsid w:val="00043C32"/>
    <w:rsid w:val="000446F5"/>
    <w:rsid w:val="00046641"/>
    <w:rsid w:val="000504E5"/>
    <w:rsid w:val="00056ED6"/>
    <w:rsid w:val="00057F3A"/>
    <w:rsid w:val="000773EE"/>
    <w:rsid w:val="000779D7"/>
    <w:rsid w:val="000827C7"/>
    <w:rsid w:val="00093017"/>
    <w:rsid w:val="000A0920"/>
    <w:rsid w:val="000A6E9C"/>
    <w:rsid w:val="000B0B15"/>
    <w:rsid w:val="000C3561"/>
    <w:rsid w:val="000F0613"/>
    <w:rsid w:val="00124DA8"/>
    <w:rsid w:val="001327B7"/>
    <w:rsid w:val="00161C2D"/>
    <w:rsid w:val="00161D09"/>
    <w:rsid w:val="001631AD"/>
    <w:rsid w:val="00166F5A"/>
    <w:rsid w:val="001775C2"/>
    <w:rsid w:val="001824F3"/>
    <w:rsid w:val="00183207"/>
    <w:rsid w:val="001952B9"/>
    <w:rsid w:val="001A09B4"/>
    <w:rsid w:val="001A6AE0"/>
    <w:rsid w:val="001B4C53"/>
    <w:rsid w:val="001C73C0"/>
    <w:rsid w:val="001D7D82"/>
    <w:rsid w:val="001E79BD"/>
    <w:rsid w:val="001F66D1"/>
    <w:rsid w:val="00212266"/>
    <w:rsid w:val="00215DDD"/>
    <w:rsid w:val="00217354"/>
    <w:rsid w:val="002225CC"/>
    <w:rsid w:val="00224A3B"/>
    <w:rsid w:val="002251C9"/>
    <w:rsid w:val="00232469"/>
    <w:rsid w:val="00233DDD"/>
    <w:rsid w:val="00240A39"/>
    <w:rsid w:val="00246DE3"/>
    <w:rsid w:val="00246FE9"/>
    <w:rsid w:val="00250100"/>
    <w:rsid w:val="0025333F"/>
    <w:rsid w:val="00262A69"/>
    <w:rsid w:val="00270AF7"/>
    <w:rsid w:val="00277A5D"/>
    <w:rsid w:val="002A10DF"/>
    <w:rsid w:val="002A1D1F"/>
    <w:rsid w:val="002A30AA"/>
    <w:rsid w:val="002A3221"/>
    <w:rsid w:val="002C0AD5"/>
    <w:rsid w:val="002C3520"/>
    <w:rsid w:val="002D6E74"/>
    <w:rsid w:val="002E14E0"/>
    <w:rsid w:val="002F4543"/>
    <w:rsid w:val="002F55E5"/>
    <w:rsid w:val="003103FF"/>
    <w:rsid w:val="0032078A"/>
    <w:rsid w:val="0032336A"/>
    <w:rsid w:val="00324F8C"/>
    <w:rsid w:val="0032539E"/>
    <w:rsid w:val="0033673A"/>
    <w:rsid w:val="00341905"/>
    <w:rsid w:val="00351D2B"/>
    <w:rsid w:val="00360CC4"/>
    <w:rsid w:val="00361BC0"/>
    <w:rsid w:val="003647C2"/>
    <w:rsid w:val="00365C6E"/>
    <w:rsid w:val="003726DB"/>
    <w:rsid w:val="003773F9"/>
    <w:rsid w:val="003860E4"/>
    <w:rsid w:val="00392CD4"/>
    <w:rsid w:val="00393551"/>
    <w:rsid w:val="003939C4"/>
    <w:rsid w:val="00397AD5"/>
    <w:rsid w:val="003B1545"/>
    <w:rsid w:val="003C2C29"/>
    <w:rsid w:val="003C4409"/>
    <w:rsid w:val="0040574F"/>
    <w:rsid w:val="00412915"/>
    <w:rsid w:val="00412B7F"/>
    <w:rsid w:val="0042607E"/>
    <w:rsid w:val="00435A47"/>
    <w:rsid w:val="00441E8A"/>
    <w:rsid w:val="00442E07"/>
    <w:rsid w:val="00452012"/>
    <w:rsid w:val="00466699"/>
    <w:rsid w:val="004945DC"/>
    <w:rsid w:val="004C6624"/>
    <w:rsid w:val="004D0521"/>
    <w:rsid w:val="004D170B"/>
    <w:rsid w:val="005024EE"/>
    <w:rsid w:val="0052073E"/>
    <w:rsid w:val="005276B7"/>
    <w:rsid w:val="00531A35"/>
    <w:rsid w:val="00534B4A"/>
    <w:rsid w:val="00534CA5"/>
    <w:rsid w:val="00536E12"/>
    <w:rsid w:val="0054312C"/>
    <w:rsid w:val="005463E3"/>
    <w:rsid w:val="0055405A"/>
    <w:rsid w:val="00560C8A"/>
    <w:rsid w:val="00581C11"/>
    <w:rsid w:val="00585755"/>
    <w:rsid w:val="005B162D"/>
    <w:rsid w:val="005B32CF"/>
    <w:rsid w:val="005B562F"/>
    <w:rsid w:val="005C20F3"/>
    <w:rsid w:val="005E0BD3"/>
    <w:rsid w:val="005E227F"/>
    <w:rsid w:val="005E4AAC"/>
    <w:rsid w:val="005F5CBB"/>
    <w:rsid w:val="00601E94"/>
    <w:rsid w:val="00610ACF"/>
    <w:rsid w:val="006136B5"/>
    <w:rsid w:val="00646BB4"/>
    <w:rsid w:val="006543B3"/>
    <w:rsid w:val="00664308"/>
    <w:rsid w:val="0067519D"/>
    <w:rsid w:val="0067632D"/>
    <w:rsid w:val="00682C48"/>
    <w:rsid w:val="006850C8"/>
    <w:rsid w:val="0068567A"/>
    <w:rsid w:val="006A292A"/>
    <w:rsid w:val="006A38F7"/>
    <w:rsid w:val="006A4EBB"/>
    <w:rsid w:val="006A5017"/>
    <w:rsid w:val="006B4172"/>
    <w:rsid w:val="006C151F"/>
    <w:rsid w:val="006C4AAC"/>
    <w:rsid w:val="006C6670"/>
    <w:rsid w:val="006C6696"/>
    <w:rsid w:val="006D191B"/>
    <w:rsid w:val="006D4299"/>
    <w:rsid w:val="006E32AD"/>
    <w:rsid w:val="006E41DF"/>
    <w:rsid w:val="006E5442"/>
    <w:rsid w:val="00724513"/>
    <w:rsid w:val="00755D99"/>
    <w:rsid w:val="00756FD3"/>
    <w:rsid w:val="00760406"/>
    <w:rsid w:val="00764D31"/>
    <w:rsid w:val="00765392"/>
    <w:rsid w:val="00772969"/>
    <w:rsid w:val="00786FDA"/>
    <w:rsid w:val="00790E3E"/>
    <w:rsid w:val="00795319"/>
    <w:rsid w:val="007B23E9"/>
    <w:rsid w:val="007B78C4"/>
    <w:rsid w:val="007C0A4C"/>
    <w:rsid w:val="007D2D00"/>
    <w:rsid w:val="007D4FF6"/>
    <w:rsid w:val="007F02B0"/>
    <w:rsid w:val="007F6104"/>
    <w:rsid w:val="00800D30"/>
    <w:rsid w:val="00806FD4"/>
    <w:rsid w:val="00807D1A"/>
    <w:rsid w:val="0082405C"/>
    <w:rsid w:val="00832178"/>
    <w:rsid w:val="0084659C"/>
    <w:rsid w:val="00866372"/>
    <w:rsid w:val="008714E7"/>
    <w:rsid w:val="00874EFE"/>
    <w:rsid w:val="00877299"/>
    <w:rsid w:val="00882126"/>
    <w:rsid w:val="00884F09"/>
    <w:rsid w:val="008933F1"/>
    <w:rsid w:val="00897A53"/>
    <w:rsid w:val="008C0D34"/>
    <w:rsid w:val="008D0601"/>
    <w:rsid w:val="008D0763"/>
    <w:rsid w:val="008D1F11"/>
    <w:rsid w:val="008E5919"/>
    <w:rsid w:val="008E7255"/>
    <w:rsid w:val="00905951"/>
    <w:rsid w:val="00912D2C"/>
    <w:rsid w:val="00916EE4"/>
    <w:rsid w:val="00920F63"/>
    <w:rsid w:val="009243F3"/>
    <w:rsid w:val="0093366B"/>
    <w:rsid w:val="00934185"/>
    <w:rsid w:val="00945555"/>
    <w:rsid w:val="00946126"/>
    <w:rsid w:val="00952AB8"/>
    <w:rsid w:val="00952DF9"/>
    <w:rsid w:val="0095421D"/>
    <w:rsid w:val="0095436C"/>
    <w:rsid w:val="00955BE9"/>
    <w:rsid w:val="00960C86"/>
    <w:rsid w:val="0097169E"/>
    <w:rsid w:val="009763D0"/>
    <w:rsid w:val="009767AF"/>
    <w:rsid w:val="00981F58"/>
    <w:rsid w:val="00983AFD"/>
    <w:rsid w:val="00986D0A"/>
    <w:rsid w:val="009874E8"/>
    <w:rsid w:val="009926EA"/>
    <w:rsid w:val="009A46AE"/>
    <w:rsid w:val="009A537E"/>
    <w:rsid w:val="009D74B9"/>
    <w:rsid w:val="009E3E86"/>
    <w:rsid w:val="009E5213"/>
    <w:rsid w:val="009E6DDA"/>
    <w:rsid w:val="00A1062F"/>
    <w:rsid w:val="00A118A2"/>
    <w:rsid w:val="00A13D67"/>
    <w:rsid w:val="00A23F26"/>
    <w:rsid w:val="00A37CF7"/>
    <w:rsid w:val="00A4001C"/>
    <w:rsid w:val="00A40AAB"/>
    <w:rsid w:val="00A46D01"/>
    <w:rsid w:val="00A5472A"/>
    <w:rsid w:val="00A61F2D"/>
    <w:rsid w:val="00A70816"/>
    <w:rsid w:val="00A70EE6"/>
    <w:rsid w:val="00A7636D"/>
    <w:rsid w:val="00A9138E"/>
    <w:rsid w:val="00AA0A09"/>
    <w:rsid w:val="00AA3EA0"/>
    <w:rsid w:val="00AC1C89"/>
    <w:rsid w:val="00AC6619"/>
    <w:rsid w:val="00AD381B"/>
    <w:rsid w:val="00AE0C84"/>
    <w:rsid w:val="00AF5B5B"/>
    <w:rsid w:val="00AF5D1A"/>
    <w:rsid w:val="00B017F9"/>
    <w:rsid w:val="00B0208E"/>
    <w:rsid w:val="00B037DF"/>
    <w:rsid w:val="00B07213"/>
    <w:rsid w:val="00B10A05"/>
    <w:rsid w:val="00B47FAD"/>
    <w:rsid w:val="00B54167"/>
    <w:rsid w:val="00B61141"/>
    <w:rsid w:val="00B62E06"/>
    <w:rsid w:val="00B64B1D"/>
    <w:rsid w:val="00B65C35"/>
    <w:rsid w:val="00B917FD"/>
    <w:rsid w:val="00B9671B"/>
    <w:rsid w:val="00BA1D31"/>
    <w:rsid w:val="00BC5522"/>
    <w:rsid w:val="00BD2118"/>
    <w:rsid w:val="00BD6452"/>
    <w:rsid w:val="00BF38D1"/>
    <w:rsid w:val="00BF6459"/>
    <w:rsid w:val="00C14201"/>
    <w:rsid w:val="00C164D3"/>
    <w:rsid w:val="00C20670"/>
    <w:rsid w:val="00C21159"/>
    <w:rsid w:val="00C224FD"/>
    <w:rsid w:val="00C331A0"/>
    <w:rsid w:val="00C35639"/>
    <w:rsid w:val="00C35E69"/>
    <w:rsid w:val="00C41DE1"/>
    <w:rsid w:val="00C626CB"/>
    <w:rsid w:val="00C70893"/>
    <w:rsid w:val="00C8357A"/>
    <w:rsid w:val="00C86713"/>
    <w:rsid w:val="00C875E8"/>
    <w:rsid w:val="00C92035"/>
    <w:rsid w:val="00C95F38"/>
    <w:rsid w:val="00CA25E0"/>
    <w:rsid w:val="00CC2A72"/>
    <w:rsid w:val="00CC3FB5"/>
    <w:rsid w:val="00CD2067"/>
    <w:rsid w:val="00CD47BC"/>
    <w:rsid w:val="00CD4DBA"/>
    <w:rsid w:val="00CF12CB"/>
    <w:rsid w:val="00CF4C46"/>
    <w:rsid w:val="00D02DB3"/>
    <w:rsid w:val="00D21A95"/>
    <w:rsid w:val="00D22967"/>
    <w:rsid w:val="00D34984"/>
    <w:rsid w:val="00D36C35"/>
    <w:rsid w:val="00D44D19"/>
    <w:rsid w:val="00D46122"/>
    <w:rsid w:val="00D46E76"/>
    <w:rsid w:val="00D52986"/>
    <w:rsid w:val="00D60C67"/>
    <w:rsid w:val="00D724E2"/>
    <w:rsid w:val="00D75313"/>
    <w:rsid w:val="00D777CD"/>
    <w:rsid w:val="00D830EC"/>
    <w:rsid w:val="00DC2DB1"/>
    <w:rsid w:val="00E06D43"/>
    <w:rsid w:val="00E16ACD"/>
    <w:rsid w:val="00E17134"/>
    <w:rsid w:val="00E21060"/>
    <w:rsid w:val="00E25EBC"/>
    <w:rsid w:val="00E30DDE"/>
    <w:rsid w:val="00E40029"/>
    <w:rsid w:val="00E62004"/>
    <w:rsid w:val="00E6492E"/>
    <w:rsid w:val="00E66550"/>
    <w:rsid w:val="00E877BF"/>
    <w:rsid w:val="00E92A99"/>
    <w:rsid w:val="00EA1767"/>
    <w:rsid w:val="00EA660B"/>
    <w:rsid w:val="00EB0929"/>
    <w:rsid w:val="00EB0FA5"/>
    <w:rsid w:val="00EC01DD"/>
    <w:rsid w:val="00EC35E3"/>
    <w:rsid w:val="00EC64FA"/>
    <w:rsid w:val="00ED7195"/>
    <w:rsid w:val="00EE6A12"/>
    <w:rsid w:val="00EF3316"/>
    <w:rsid w:val="00F0414F"/>
    <w:rsid w:val="00F0572E"/>
    <w:rsid w:val="00F202A3"/>
    <w:rsid w:val="00F27AAF"/>
    <w:rsid w:val="00F31BEC"/>
    <w:rsid w:val="00F444D4"/>
    <w:rsid w:val="00F46F1F"/>
    <w:rsid w:val="00F53D6D"/>
    <w:rsid w:val="00F5782B"/>
    <w:rsid w:val="00F73131"/>
    <w:rsid w:val="00F74623"/>
    <w:rsid w:val="00F94D0C"/>
    <w:rsid w:val="00FA5474"/>
    <w:rsid w:val="00FB1A74"/>
    <w:rsid w:val="00FB391B"/>
    <w:rsid w:val="00FC669D"/>
    <w:rsid w:val="00FD4F0B"/>
    <w:rsid w:val="00FE02FC"/>
    <w:rsid w:val="00FE03AA"/>
    <w:rsid w:val="00FE1BAE"/>
    <w:rsid w:val="00FE2BFE"/>
    <w:rsid w:val="00FF73BC"/>
    <w:rsid w:val="0BDCE67C"/>
    <w:rsid w:val="0E85CB54"/>
    <w:rsid w:val="104A7C68"/>
    <w:rsid w:val="1874137F"/>
    <w:rsid w:val="39F0355C"/>
    <w:rsid w:val="44570FF2"/>
    <w:rsid w:val="4600D7F5"/>
    <w:rsid w:val="47A4C06E"/>
    <w:rsid w:val="51D8C523"/>
    <w:rsid w:val="700F61D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115313F2-E9C4-427B-8CC4-11941F0A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semiHidden/>
    <w:unhideWhenUsed/>
    <w:rsid w:val="008D0763"/>
    <w:pPr>
      <w:widowControl w:val="0"/>
      <w:tabs>
        <w:tab w:val="left" w:pos="1440"/>
      </w:tabs>
      <w:snapToGrid w:val="0"/>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semiHidden/>
    <w:rsid w:val="008D0763"/>
    <w:rPr>
      <w:rFonts w:ascii="Calibri" w:hAnsi="Calibri"/>
      <w:sz w:val="22"/>
      <w:szCs w:val="22"/>
    </w:rPr>
  </w:style>
  <w:style w:type="paragraph" w:styleId="Revision">
    <w:name w:val="Revision"/>
    <w:hidden/>
    <w:uiPriority w:val="99"/>
    <w:semiHidden/>
    <w:rsid w:val="00AC6619"/>
    <w:rPr>
      <w:rFonts w:ascii="Courier" w:hAnsi="Courier"/>
      <w:sz w:val="24"/>
    </w:rPr>
  </w:style>
  <w:style w:type="paragraph" w:styleId="PlainText">
    <w:name w:val="Plain Text"/>
    <w:basedOn w:val="Normal"/>
    <w:link w:val="PlainTextChar"/>
    <w:uiPriority w:val="99"/>
    <w:unhideWhenUsed/>
    <w:rsid w:val="00536E12"/>
    <w:rPr>
      <w:rFonts w:ascii="Consolas" w:hAnsi="Consolas"/>
      <w:sz w:val="21"/>
      <w:szCs w:val="21"/>
    </w:rPr>
  </w:style>
  <w:style w:type="character" w:customStyle="1" w:styleId="PlainTextChar">
    <w:name w:val="Plain Text Char"/>
    <w:basedOn w:val="DefaultParagraphFont"/>
    <w:link w:val="PlainText"/>
    <w:uiPriority w:val="99"/>
    <w:rsid w:val="00536E12"/>
    <w:rPr>
      <w:rFonts w:ascii="Consolas" w:hAnsi="Consolas"/>
      <w:sz w:val="21"/>
      <w:szCs w:val="21"/>
    </w:rPr>
  </w:style>
  <w:style w:type="character" w:styleId="Mention">
    <w:name w:val="Mention"/>
    <w:basedOn w:val="DefaultParagraphFont"/>
    <w:uiPriority w:val="99"/>
    <w:unhideWhenUsed/>
    <w:rsid w:val="00945555"/>
    <w:rPr>
      <w:color w:val="2B579A"/>
      <w:shd w:val="clear" w:color="auto" w:fill="E1DFDD"/>
    </w:rPr>
  </w:style>
  <w:style w:type="character" w:customStyle="1" w:styleId="cf01">
    <w:name w:val="cf01"/>
    <w:basedOn w:val="DefaultParagraphFont"/>
    <w:rsid w:val="00056E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purl.org/dc/elements/1.1/"/>
    <ds:schemaRef ds:uri="http://schemas.microsoft.com/office/2006/metadata/properties"/>
    <ds:schemaRef ds:uri="http://purl.org/dc/dcmitype/"/>
    <ds:schemaRef ds:uri="02e41e38-1731-4866-b09a-6257d8bc047f"/>
    <ds:schemaRef ds:uri="http://schemas.microsoft.com/office/infopath/2007/PartnerControls"/>
    <ds:schemaRef ds:uri="http://schemas.microsoft.com/office/2006/documentManagement/types"/>
    <ds:schemaRef ds:uri="http://schemas.openxmlformats.org/package/2006/metadata/core-properties"/>
    <ds:schemaRef ds:uri="f87c7b8b-c0e7-4b77-a067-2c707fd1239f"/>
    <ds:schemaRef ds:uri="http://www.w3.org/XML/1998/namespace"/>
    <ds:schemaRef ds:uri="http://purl.org/dc/terms/"/>
  </ds:schemaRefs>
</ds:datastoreItem>
</file>

<file path=customXml/itemProps2.xml><?xml version="1.0" encoding="utf-8"?>
<ds:datastoreItem xmlns:ds="http://schemas.openxmlformats.org/officeDocument/2006/customXml" ds:itemID="{E32FC835-FA8F-42DF-B532-1842A3F63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3048</Words>
  <Characters>17379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2022-08-30T18:11:00Z</dcterms:created>
  <dcterms:modified xsi:type="dcterms:W3CDTF">2022-08-30T18:11:00Z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Order">
    <vt:r8>800</vt:r8>
  </property>
</Properties>
</file>