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6B7E" w:rsidP="00172B73" w:rsidRDefault="00C96B7E" w14:paraId="30C97B13" w14:textId="77777777">
      <w:pPr>
        <w:pStyle w:val="Heading1"/>
        <w:ind w:left="0"/>
      </w:pPr>
    </w:p>
    <w:p w:rsidR="00C96B7E" w:rsidP="00172B73" w:rsidRDefault="0077058D" w14:paraId="14B18593" w14:textId="7E2DFEB0">
      <w:pPr>
        <w:pStyle w:val="Heading1"/>
        <w:ind w:left="0"/>
        <w:rPr>
          <w:b w:val="0"/>
          <w:bCs w:val="0"/>
        </w:rPr>
      </w:pPr>
      <w:r>
        <w:rPr>
          <w:b w:val="0"/>
          <w:bCs w:val="0"/>
        </w:rPr>
        <w:t xml:space="preserve">Comments were received from </w:t>
      </w:r>
      <w:r w:rsidR="003079CD">
        <w:rPr>
          <w:b w:val="0"/>
          <w:bCs w:val="0"/>
        </w:rPr>
        <w:t xml:space="preserve">the Education Financial Council, National Council of Higher Education Resources, and Student Loan Servicing Alliance.  The Pennsylvania Higher Education Assistance Agency asked to be associated with the comments and responses provided by their letter.  Below are the comments and </w:t>
      </w:r>
      <w:r w:rsidR="0002605F">
        <w:rPr>
          <w:b w:val="0"/>
          <w:bCs w:val="0"/>
        </w:rPr>
        <w:t xml:space="preserve">FSA’s responses.  </w:t>
      </w:r>
    </w:p>
    <w:p w:rsidRPr="0077058D" w:rsidR="00D447A7" w:rsidP="00172B73" w:rsidRDefault="00D447A7" w14:paraId="03999267" w14:textId="57898C24">
      <w:pPr>
        <w:pStyle w:val="Heading1"/>
        <w:ind w:left="0"/>
        <w:rPr>
          <w:b w:val="0"/>
          <w:bCs w:val="0"/>
        </w:rPr>
      </w:pPr>
    </w:p>
    <w:p w:rsidRPr="00AA341D" w:rsidR="00172B73" w:rsidP="00172B73" w:rsidRDefault="00172B73" w14:paraId="29B1144A" w14:textId="3C83506F">
      <w:pPr>
        <w:pStyle w:val="Heading1"/>
        <w:ind w:left="0"/>
        <w:rPr>
          <w:u w:val="single"/>
        </w:rPr>
      </w:pPr>
      <w:r w:rsidRPr="00AA341D">
        <w:rPr>
          <w:u w:val="single"/>
        </w:rPr>
        <w:t>Clarification</w:t>
      </w:r>
      <w:r w:rsidRPr="00AA341D">
        <w:rPr>
          <w:spacing w:val="-10"/>
          <w:u w:val="single"/>
        </w:rPr>
        <w:t xml:space="preserve"> </w:t>
      </w:r>
      <w:r w:rsidRPr="00AA341D">
        <w:rPr>
          <w:u w:val="single"/>
        </w:rPr>
        <w:t>of</w:t>
      </w:r>
      <w:r w:rsidRPr="00AA341D">
        <w:rPr>
          <w:spacing w:val="-8"/>
          <w:u w:val="single"/>
        </w:rPr>
        <w:t xml:space="preserve"> </w:t>
      </w:r>
      <w:r w:rsidRPr="00AA341D">
        <w:rPr>
          <w:u w:val="single"/>
        </w:rPr>
        <w:t>Triggering</w:t>
      </w:r>
      <w:r w:rsidRPr="00AA341D">
        <w:rPr>
          <w:spacing w:val="-7"/>
          <w:u w:val="single"/>
        </w:rPr>
        <w:t xml:space="preserve"> </w:t>
      </w:r>
      <w:r w:rsidRPr="00AA341D">
        <w:rPr>
          <w:spacing w:val="-4"/>
          <w:u w:val="single"/>
        </w:rPr>
        <w:t>Event</w:t>
      </w:r>
    </w:p>
    <w:p w:rsidR="00172B73" w:rsidP="00172B73" w:rsidRDefault="00172B73" w14:paraId="096432ED" w14:textId="77777777">
      <w:pPr>
        <w:pStyle w:val="BodyText"/>
        <w:ind w:right="122" w:firstLine="1"/>
      </w:pPr>
      <w:r>
        <w:t xml:space="preserve">The </w:t>
      </w:r>
      <w:r>
        <w:rPr>
          <w:i/>
        </w:rPr>
        <w:t xml:space="preserve">Federal Register </w:t>
      </w:r>
      <w:r>
        <w:t>notice states that the transition</w:t>
      </w:r>
      <w:r>
        <w:rPr>
          <w:spacing w:val="-1"/>
        </w:rPr>
        <w:t xml:space="preserve"> </w:t>
      </w:r>
      <w:r>
        <w:t>of the FFELP SAP from LIBOR to SOFR may occur any time on or before June 30, 2023, “</w:t>
      </w:r>
      <w:r>
        <w:rPr>
          <w:b/>
        </w:rPr>
        <w:t>However, a FFEL Program lender or beneficial holder must transition to the</w:t>
      </w:r>
      <w:r>
        <w:rPr>
          <w:b/>
          <w:spacing w:val="40"/>
        </w:rPr>
        <w:t xml:space="preserve"> </w:t>
      </w:r>
      <w:r>
        <w:rPr>
          <w:b/>
        </w:rPr>
        <w:t xml:space="preserve">SOFR based SAP calculation by July 1, 2023, as a condition of continued participation in FFEL Program.” </w:t>
      </w:r>
      <w:r w:rsidRPr="001A0A57">
        <w:rPr>
          <w:highlight w:val="yellow"/>
        </w:rPr>
        <w:t>We ask you to remove or clarify the sentence. Receipt of the waiver as a condition of continued participation in FFELP is</w:t>
      </w:r>
      <w:r w:rsidRPr="001A0A57">
        <w:rPr>
          <w:spacing w:val="-2"/>
          <w:highlight w:val="yellow"/>
        </w:rPr>
        <w:t xml:space="preserve"> </w:t>
      </w:r>
      <w:r w:rsidRPr="001A0A57">
        <w:rPr>
          <w:highlight w:val="yellow"/>
        </w:rPr>
        <w:t>not provided</w:t>
      </w:r>
      <w:r w:rsidRPr="001A0A57">
        <w:rPr>
          <w:spacing w:val="-1"/>
          <w:highlight w:val="yellow"/>
        </w:rPr>
        <w:t xml:space="preserve"> </w:t>
      </w:r>
      <w:r w:rsidRPr="001A0A57">
        <w:rPr>
          <w:highlight w:val="yellow"/>
        </w:rPr>
        <w:t>for under current law nor is it included</w:t>
      </w:r>
      <w:r w:rsidRPr="001A0A57">
        <w:rPr>
          <w:spacing w:val="-1"/>
          <w:highlight w:val="yellow"/>
        </w:rPr>
        <w:t xml:space="preserve"> </w:t>
      </w:r>
      <w:r w:rsidRPr="001A0A57">
        <w:rPr>
          <w:highlight w:val="yellow"/>
        </w:rPr>
        <w:t>in</w:t>
      </w:r>
      <w:r w:rsidRPr="001A0A57">
        <w:rPr>
          <w:spacing w:val="-1"/>
          <w:highlight w:val="yellow"/>
        </w:rPr>
        <w:t xml:space="preserve"> </w:t>
      </w:r>
      <w:r w:rsidRPr="001A0A57">
        <w:rPr>
          <w:highlight w:val="yellow"/>
        </w:rPr>
        <w:t>the Adjustable Interest Rate (LIBOR) Act</w:t>
      </w:r>
      <w:r w:rsidRPr="001A0A57">
        <w:rPr>
          <w:spacing w:val="-2"/>
          <w:highlight w:val="yellow"/>
        </w:rPr>
        <w:t xml:space="preserve"> </w:t>
      </w:r>
      <w:r w:rsidRPr="001A0A57">
        <w:rPr>
          <w:highlight w:val="yellow"/>
        </w:rPr>
        <w:t>(LIBOR Act), and we believe such requirement is beyond the scope of the Secretary’s authority.</w:t>
      </w:r>
    </w:p>
    <w:p w:rsidR="00172B73" w:rsidP="00172B73" w:rsidRDefault="00172B73" w14:paraId="640271FB" w14:textId="77777777">
      <w:pPr>
        <w:pStyle w:val="BodyText"/>
        <w:ind w:right="122" w:firstLine="1"/>
      </w:pPr>
    </w:p>
    <w:p w:rsidRPr="00A71D48" w:rsidR="00172B73" w:rsidP="00172B73" w:rsidRDefault="00172B73" w14:paraId="4CDB99C0" w14:textId="61FC3A17">
      <w:pPr>
        <w:pStyle w:val="BodyText"/>
        <w:ind w:right="122" w:firstLine="1"/>
        <w:rPr>
          <w:b/>
          <w:bCs/>
        </w:rPr>
      </w:pPr>
      <w:r>
        <w:rPr>
          <w:b/>
          <w:bCs/>
        </w:rPr>
        <w:t xml:space="preserve">Response: Please see revised </w:t>
      </w:r>
      <w:r w:rsidR="002D26C1">
        <w:rPr>
          <w:b/>
          <w:bCs/>
        </w:rPr>
        <w:t>Supporting S</w:t>
      </w:r>
      <w:r>
        <w:rPr>
          <w:b/>
          <w:bCs/>
        </w:rPr>
        <w:t>tatement</w:t>
      </w:r>
      <w:r w:rsidR="002D26C1">
        <w:rPr>
          <w:b/>
          <w:bCs/>
        </w:rPr>
        <w:t xml:space="preserve"> question 1</w:t>
      </w:r>
      <w:r>
        <w:rPr>
          <w:b/>
          <w:bCs/>
        </w:rPr>
        <w:t>.</w:t>
      </w:r>
    </w:p>
    <w:p w:rsidR="00172B73" w:rsidP="00172B73" w:rsidRDefault="00172B73" w14:paraId="1FA64659" w14:textId="77777777">
      <w:pPr>
        <w:pStyle w:val="BodyText"/>
        <w:ind w:right="122" w:firstLine="1"/>
      </w:pPr>
    </w:p>
    <w:p w:rsidR="00172B73" w:rsidP="00172B73" w:rsidRDefault="00172B73" w14:paraId="48E597E0" w14:textId="77777777">
      <w:pPr>
        <w:pStyle w:val="BodyText"/>
        <w:ind w:right="122" w:firstLine="1"/>
      </w:pPr>
      <w:r>
        <w:t xml:space="preserve"> The LIBOR Act, under the SAP Fallback Provisions, specifically states that if the waiver is not received before the first of three qualifying events, then the SAP that is based on LIBOR will be transitioned to 30-day average SOFR </w:t>
      </w:r>
      <w:r>
        <w:rPr>
          <w:b/>
        </w:rPr>
        <w:t xml:space="preserve">by operation of law </w:t>
      </w:r>
      <w:r>
        <w:t>– no submission of a waiver form is required</w:t>
      </w:r>
      <w:r>
        <w:rPr>
          <w:b/>
        </w:rPr>
        <w:t xml:space="preserve">. </w:t>
      </w:r>
      <w:r>
        <w:t>The three qualifying events are the first of: “(AA) the date on which the ICE Benchmark Administration (‘IBA’) has permanently or indefinitely stopped providing the 1-month United States Dollar LIBOR (‘1-month USD LIBOR’) to the general public; (BB) the effective date of an official public statement by the IBA or its regulator that the 1-month USD LIBOR is no longer reliable or no longer representative; or (CC) the LIBOR replacement date.” Once one of these events occur, the SAP calculation will be based on SOFR effective as of the first day of the following calendar quarter and</w:t>
      </w:r>
      <w:r>
        <w:rPr>
          <w:spacing w:val="-3"/>
        </w:rPr>
        <w:t xml:space="preserve"> </w:t>
      </w:r>
      <w:r>
        <w:t>will</w:t>
      </w:r>
      <w:r>
        <w:rPr>
          <w:spacing w:val="-2"/>
        </w:rPr>
        <w:t xml:space="preserve"> </w:t>
      </w:r>
      <w:r>
        <w:t>remain</w:t>
      </w:r>
      <w:r>
        <w:rPr>
          <w:spacing w:val="-3"/>
        </w:rPr>
        <w:t xml:space="preserve"> </w:t>
      </w:r>
      <w:r>
        <w:t>in</w:t>
      </w:r>
      <w:r>
        <w:rPr>
          <w:spacing w:val="-3"/>
        </w:rPr>
        <w:t xml:space="preserve"> </w:t>
      </w:r>
      <w:r>
        <w:t>effect</w:t>
      </w:r>
      <w:r>
        <w:rPr>
          <w:spacing w:val="-3"/>
        </w:rPr>
        <w:t xml:space="preserve"> </w:t>
      </w:r>
      <w:r>
        <w:t>for</w:t>
      </w:r>
      <w:r>
        <w:rPr>
          <w:spacing w:val="-2"/>
        </w:rPr>
        <w:t xml:space="preserve"> </w:t>
      </w:r>
      <w:r>
        <w:t>all</w:t>
      </w:r>
      <w:r>
        <w:rPr>
          <w:spacing w:val="-2"/>
        </w:rPr>
        <w:t xml:space="preserve"> </w:t>
      </w:r>
      <w:r>
        <w:t>subsequent</w:t>
      </w:r>
      <w:r>
        <w:rPr>
          <w:spacing w:val="-1"/>
        </w:rPr>
        <w:t xml:space="preserve"> </w:t>
      </w:r>
      <w:r>
        <w:t>quarters.</w:t>
      </w:r>
      <w:r>
        <w:rPr>
          <w:spacing w:val="-3"/>
        </w:rPr>
        <w:t xml:space="preserve"> </w:t>
      </w:r>
      <w:r w:rsidRPr="00453408">
        <w:rPr>
          <w:highlight w:val="yellow"/>
        </w:rPr>
        <w:t>We</w:t>
      </w:r>
      <w:r w:rsidRPr="00453408">
        <w:rPr>
          <w:spacing w:val="-1"/>
          <w:highlight w:val="yellow"/>
        </w:rPr>
        <w:t xml:space="preserve"> </w:t>
      </w:r>
      <w:r w:rsidRPr="00453408">
        <w:rPr>
          <w:highlight w:val="yellow"/>
        </w:rPr>
        <w:t>request</w:t>
      </w:r>
      <w:r w:rsidRPr="00453408">
        <w:rPr>
          <w:spacing w:val="-3"/>
          <w:highlight w:val="yellow"/>
        </w:rPr>
        <w:t xml:space="preserve"> </w:t>
      </w:r>
      <w:r w:rsidRPr="00453408">
        <w:rPr>
          <w:highlight w:val="yellow"/>
        </w:rPr>
        <w:t>the</w:t>
      </w:r>
      <w:r w:rsidRPr="00453408">
        <w:rPr>
          <w:spacing w:val="-3"/>
          <w:highlight w:val="yellow"/>
        </w:rPr>
        <w:t xml:space="preserve"> </w:t>
      </w:r>
      <w:r w:rsidRPr="00453408">
        <w:rPr>
          <w:highlight w:val="yellow"/>
        </w:rPr>
        <w:t>Department</w:t>
      </w:r>
      <w:r w:rsidRPr="00453408">
        <w:rPr>
          <w:spacing w:val="-1"/>
          <w:highlight w:val="yellow"/>
        </w:rPr>
        <w:t xml:space="preserve"> </w:t>
      </w:r>
      <w:r w:rsidRPr="00453408">
        <w:rPr>
          <w:highlight w:val="yellow"/>
        </w:rPr>
        <w:t>clarify</w:t>
      </w:r>
      <w:r w:rsidRPr="00453408">
        <w:rPr>
          <w:spacing w:val="-3"/>
          <w:highlight w:val="yellow"/>
        </w:rPr>
        <w:t xml:space="preserve"> </w:t>
      </w:r>
      <w:r w:rsidRPr="00453408">
        <w:rPr>
          <w:highlight w:val="yellow"/>
        </w:rPr>
        <w:t>that</w:t>
      </w:r>
      <w:r w:rsidRPr="00453408">
        <w:rPr>
          <w:spacing w:val="-1"/>
          <w:highlight w:val="yellow"/>
        </w:rPr>
        <w:t xml:space="preserve"> </w:t>
      </w:r>
      <w:r w:rsidRPr="00453408">
        <w:rPr>
          <w:highlight w:val="yellow"/>
        </w:rPr>
        <w:t>all</w:t>
      </w:r>
      <w:r w:rsidRPr="00453408">
        <w:rPr>
          <w:spacing w:val="-4"/>
          <w:highlight w:val="yellow"/>
        </w:rPr>
        <w:t xml:space="preserve"> </w:t>
      </w:r>
      <w:r w:rsidRPr="00453408">
        <w:rPr>
          <w:highlight w:val="yellow"/>
        </w:rPr>
        <w:t>references</w:t>
      </w:r>
      <w:r w:rsidRPr="00453408">
        <w:rPr>
          <w:spacing w:val="-2"/>
          <w:highlight w:val="yellow"/>
        </w:rPr>
        <w:t xml:space="preserve"> </w:t>
      </w:r>
      <w:r w:rsidRPr="00453408">
        <w:rPr>
          <w:highlight w:val="yellow"/>
        </w:rPr>
        <w:t>to</w:t>
      </w:r>
      <w:r w:rsidRPr="00453408">
        <w:rPr>
          <w:spacing w:val="-3"/>
          <w:highlight w:val="yellow"/>
        </w:rPr>
        <w:t xml:space="preserve"> </w:t>
      </w:r>
      <w:r w:rsidRPr="00453408">
        <w:rPr>
          <w:highlight w:val="yellow"/>
        </w:rPr>
        <w:t>a waiver are related to LIBOR-based SAP transitioning to SOFR-based SAP, and any FFELP SAP that is based on Commercial</w:t>
      </w:r>
      <w:r w:rsidRPr="00453408">
        <w:rPr>
          <w:spacing w:val="-3"/>
          <w:highlight w:val="yellow"/>
        </w:rPr>
        <w:t xml:space="preserve"> </w:t>
      </w:r>
      <w:r w:rsidRPr="00453408">
        <w:rPr>
          <w:highlight w:val="yellow"/>
        </w:rPr>
        <w:t>Paper</w:t>
      </w:r>
      <w:r w:rsidRPr="00453408">
        <w:rPr>
          <w:spacing w:val="-2"/>
          <w:highlight w:val="yellow"/>
        </w:rPr>
        <w:t xml:space="preserve"> </w:t>
      </w:r>
      <w:r w:rsidRPr="00453408">
        <w:rPr>
          <w:highlight w:val="yellow"/>
        </w:rPr>
        <w:t>or</w:t>
      </w:r>
      <w:r w:rsidRPr="00453408">
        <w:rPr>
          <w:spacing w:val="-2"/>
          <w:highlight w:val="yellow"/>
        </w:rPr>
        <w:t xml:space="preserve"> </w:t>
      </w:r>
      <w:r w:rsidRPr="00453408">
        <w:rPr>
          <w:highlight w:val="yellow"/>
        </w:rPr>
        <w:t>Treasury Bills are exempt from this Federal Register</w:t>
      </w:r>
      <w:r w:rsidRPr="00453408">
        <w:rPr>
          <w:spacing w:val="-2"/>
          <w:highlight w:val="yellow"/>
        </w:rPr>
        <w:t xml:space="preserve"> </w:t>
      </w:r>
      <w:r w:rsidRPr="00453408">
        <w:rPr>
          <w:highlight w:val="yellow"/>
        </w:rPr>
        <w:t>and</w:t>
      </w:r>
      <w:r w:rsidRPr="00453408">
        <w:rPr>
          <w:spacing w:val="-1"/>
          <w:highlight w:val="yellow"/>
        </w:rPr>
        <w:t xml:space="preserve"> </w:t>
      </w:r>
      <w:r w:rsidRPr="00453408">
        <w:rPr>
          <w:highlight w:val="yellow"/>
        </w:rPr>
        <w:t>any Dear Colleague</w:t>
      </w:r>
      <w:r w:rsidRPr="00453408">
        <w:rPr>
          <w:spacing w:val="-2"/>
          <w:highlight w:val="yellow"/>
        </w:rPr>
        <w:t xml:space="preserve"> </w:t>
      </w:r>
      <w:r w:rsidRPr="00453408">
        <w:rPr>
          <w:highlight w:val="yellow"/>
        </w:rPr>
        <w:t>Letter that is published in relation to the transition from LIBOR-based SAP to SOFR-based SAP.</w:t>
      </w:r>
    </w:p>
    <w:p w:rsidR="00172B73" w:rsidP="00172B73" w:rsidRDefault="00172B73" w14:paraId="2B005A85" w14:textId="77777777">
      <w:pPr>
        <w:pStyle w:val="BodyText"/>
        <w:ind w:right="122" w:firstLine="1"/>
      </w:pPr>
    </w:p>
    <w:p w:rsidRPr="00453408" w:rsidR="00172B73" w:rsidP="00172B73" w:rsidRDefault="00172B73" w14:paraId="479D7A9B" w14:textId="6191FB2B">
      <w:pPr>
        <w:pStyle w:val="BodyText"/>
        <w:ind w:right="122" w:firstLine="1"/>
        <w:rPr>
          <w:b/>
          <w:bCs/>
        </w:rPr>
      </w:pPr>
      <w:r>
        <w:rPr>
          <w:b/>
          <w:bCs/>
        </w:rPr>
        <w:t>Response:  We concur.  DCL Gen-22-12</w:t>
      </w:r>
      <w:r w:rsidR="00162D65">
        <w:rPr>
          <w:b/>
          <w:bCs/>
        </w:rPr>
        <w:t>,</w:t>
      </w:r>
      <w:r>
        <w:rPr>
          <w:b/>
          <w:bCs/>
        </w:rPr>
        <w:t xml:space="preserve"> issued on August 9, 2022, specifies that the LIBOR Act amended the HEA to allow lenders or beneficial holders of FFEL program loans to replace LIBOR-based SAP to SOFR. The Act did not address loans whose SAP is based on Commercial Paper or the 13-week Treasury Bill. </w:t>
      </w:r>
    </w:p>
    <w:p w:rsidR="00172B73" w:rsidP="00172B73" w:rsidRDefault="00172B73" w14:paraId="7F75616C" w14:textId="77777777">
      <w:pPr>
        <w:pStyle w:val="BodyText"/>
        <w:spacing w:before="11"/>
        <w:rPr>
          <w:sz w:val="21"/>
        </w:rPr>
      </w:pPr>
    </w:p>
    <w:p w:rsidR="00172B73" w:rsidP="00172B73" w:rsidRDefault="00172B73" w14:paraId="552779A0" w14:textId="77777777">
      <w:pPr>
        <w:pStyle w:val="BodyText"/>
      </w:pPr>
      <w:r>
        <w:t>The LIBOR replacement date is defined in the LIBOR Act as “the first London banking day after June 30, 2023, unless</w:t>
      </w:r>
      <w:r>
        <w:rPr>
          <w:spacing w:val="-1"/>
        </w:rPr>
        <w:t xml:space="preserve"> </w:t>
      </w:r>
      <w:r>
        <w:t>the</w:t>
      </w:r>
      <w:r>
        <w:rPr>
          <w:spacing w:val="-3"/>
        </w:rPr>
        <w:t xml:space="preserve"> </w:t>
      </w:r>
      <w:r>
        <w:t>Board</w:t>
      </w:r>
      <w:r>
        <w:rPr>
          <w:spacing w:val="-2"/>
        </w:rPr>
        <w:t xml:space="preserve"> </w:t>
      </w:r>
      <w:r>
        <w:t>determines</w:t>
      </w:r>
      <w:r>
        <w:rPr>
          <w:spacing w:val="-1"/>
        </w:rPr>
        <w:t xml:space="preserve"> </w:t>
      </w:r>
      <w:r>
        <w:t>that</w:t>
      </w:r>
      <w:r>
        <w:rPr>
          <w:spacing w:val="-3"/>
        </w:rPr>
        <w:t xml:space="preserve"> </w:t>
      </w:r>
      <w:r>
        <w:t>any</w:t>
      </w:r>
      <w:r>
        <w:rPr>
          <w:spacing w:val="-2"/>
        </w:rPr>
        <w:t xml:space="preserve"> </w:t>
      </w:r>
      <w:r>
        <w:t>LIBOR</w:t>
      </w:r>
      <w:r>
        <w:rPr>
          <w:spacing w:val="-3"/>
        </w:rPr>
        <w:t xml:space="preserve"> </w:t>
      </w:r>
      <w:r>
        <w:t>tenor</w:t>
      </w:r>
      <w:r>
        <w:rPr>
          <w:spacing w:val="-3"/>
        </w:rPr>
        <w:t xml:space="preserve"> </w:t>
      </w:r>
      <w:r>
        <w:t>will</w:t>
      </w:r>
      <w:r>
        <w:rPr>
          <w:spacing w:val="-1"/>
        </w:rPr>
        <w:t xml:space="preserve"> </w:t>
      </w:r>
      <w:r>
        <w:t>cease</w:t>
      </w:r>
      <w:r>
        <w:rPr>
          <w:spacing w:val="-3"/>
        </w:rPr>
        <w:t xml:space="preserve"> </w:t>
      </w:r>
      <w:r>
        <w:t>to be published</w:t>
      </w:r>
      <w:r>
        <w:rPr>
          <w:spacing w:val="-4"/>
        </w:rPr>
        <w:t xml:space="preserve"> </w:t>
      </w:r>
      <w:r>
        <w:t>or</w:t>
      </w:r>
      <w:r>
        <w:rPr>
          <w:spacing w:val="-3"/>
        </w:rPr>
        <w:t xml:space="preserve"> </w:t>
      </w:r>
      <w:r>
        <w:t>cease</w:t>
      </w:r>
      <w:r>
        <w:rPr>
          <w:spacing w:val="-3"/>
        </w:rPr>
        <w:t xml:space="preserve"> </w:t>
      </w:r>
      <w:r>
        <w:t>to</w:t>
      </w:r>
      <w:r>
        <w:rPr>
          <w:spacing w:val="-2"/>
        </w:rPr>
        <w:t xml:space="preserve"> </w:t>
      </w:r>
      <w:r>
        <w:t>be representative</w:t>
      </w:r>
      <w:r>
        <w:rPr>
          <w:spacing w:val="-3"/>
        </w:rPr>
        <w:t xml:space="preserve"> </w:t>
      </w:r>
      <w:r>
        <w:t>on</w:t>
      </w:r>
      <w:r>
        <w:rPr>
          <w:spacing w:val="-2"/>
        </w:rPr>
        <w:t xml:space="preserve"> </w:t>
      </w:r>
      <w:r>
        <w:t xml:space="preserve">a different date.” As June 30, </w:t>
      </w:r>
      <w:proofErr w:type="gramStart"/>
      <w:r>
        <w:t>2023</w:t>
      </w:r>
      <w:proofErr w:type="gramEnd"/>
      <w:r>
        <w:t xml:space="preserve"> is a Friday, the first London banking day would be Monday, July 3, 2023, not July 1, 2023. For lenders/holders who have not exercised their option to transition their LIBOR-based SAP to SOFR by June 30, 2023, </w:t>
      </w:r>
      <w:r w:rsidRPr="0002605F">
        <w:rPr>
          <w:highlight w:val="yellow"/>
        </w:rPr>
        <w:t>clarification from the Department is needed on how to bill for SAP for the quarter beginning July 1, 2023</w:t>
      </w:r>
      <w:r>
        <w:t xml:space="preserve">. </w:t>
      </w:r>
    </w:p>
    <w:p w:rsidR="00172B73" w:rsidP="00172B73" w:rsidRDefault="00172B73" w14:paraId="6671BFAC" w14:textId="77777777">
      <w:pPr>
        <w:pStyle w:val="BodyText"/>
      </w:pPr>
    </w:p>
    <w:p w:rsidRPr="00331B84" w:rsidR="00172B73" w:rsidP="00172B73" w:rsidRDefault="00172B73" w14:paraId="34D30D71" w14:textId="77777777">
      <w:pPr>
        <w:pStyle w:val="BodyText"/>
        <w:rPr>
          <w:b/>
          <w:bCs/>
        </w:rPr>
      </w:pPr>
      <w:r>
        <w:rPr>
          <w:b/>
          <w:bCs/>
        </w:rPr>
        <w:t>Response: DCL Gen-22-12 issued on August 9, 20022 provides guidance on how to bill for SAP.</w:t>
      </w:r>
    </w:p>
    <w:p w:rsidR="00172B73" w:rsidP="00172B73" w:rsidRDefault="00172B73" w14:paraId="5A054748" w14:textId="77777777">
      <w:pPr>
        <w:pStyle w:val="Heading1"/>
        <w:ind w:left="0"/>
      </w:pPr>
    </w:p>
    <w:p w:rsidRPr="00AA341D" w:rsidR="00172B73" w:rsidP="00172B73" w:rsidRDefault="00172B73" w14:paraId="178C6F99" w14:textId="77777777">
      <w:pPr>
        <w:pStyle w:val="Heading1"/>
        <w:ind w:left="0"/>
        <w:rPr>
          <w:u w:val="single"/>
        </w:rPr>
      </w:pPr>
      <w:r w:rsidRPr="00AA341D">
        <w:rPr>
          <w:u w:val="single"/>
        </w:rPr>
        <w:t>Forms</w:t>
      </w:r>
      <w:r w:rsidRPr="00AA341D">
        <w:rPr>
          <w:spacing w:val="-8"/>
          <w:u w:val="single"/>
        </w:rPr>
        <w:t xml:space="preserve"> </w:t>
      </w:r>
      <w:r w:rsidRPr="00AA341D">
        <w:rPr>
          <w:u w:val="single"/>
        </w:rPr>
        <w:t>–</w:t>
      </w:r>
      <w:r w:rsidRPr="00AA341D">
        <w:rPr>
          <w:spacing w:val="-4"/>
          <w:u w:val="single"/>
        </w:rPr>
        <w:t xml:space="preserve"> </w:t>
      </w:r>
      <w:r w:rsidRPr="00AA341D">
        <w:rPr>
          <w:u w:val="single"/>
        </w:rPr>
        <w:t>Use</w:t>
      </w:r>
      <w:r w:rsidRPr="00AA341D">
        <w:rPr>
          <w:spacing w:val="-6"/>
          <w:u w:val="single"/>
        </w:rPr>
        <w:t xml:space="preserve"> </w:t>
      </w:r>
      <w:r w:rsidRPr="00AA341D">
        <w:rPr>
          <w:u w:val="single"/>
        </w:rPr>
        <w:t>of</w:t>
      </w:r>
      <w:r w:rsidRPr="00AA341D">
        <w:rPr>
          <w:spacing w:val="-4"/>
          <w:u w:val="single"/>
        </w:rPr>
        <w:t xml:space="preserve"> </w:t>
      </w:r>
      <w:r w:rsidRPr="00AA341D">
        <w:rPr>
          <w:u w:val="single"/>
        </w:rPr>
        <w:t>“Corporation”</w:t>
      </w:r>
      <w:r w:rsidRPr="00AA341D">
        <w:rPr>
          <w:spacing w:val="-4"/>
          <w:u w:val="single"/>
        </w:rPr>
        <w:t xml:space="preserve"> </w:t>
      </w:r>
      <w:r w:rsidRPr="00AA341D">
        <w:rPr>
          <w:u w:val="single"/>
        </w:rPr>
        <w:t>and</w:t>
      </w:r>
      <w:r w:rsidRPr="00AA341D">
        <w:rPr>
          <w:spacing w:val="-5"/>
          <w:u w:val="single"/>
        </w:rPr>
        <w:t xml:space="preserve"> </w:t>
      </w:r>
      <w:r w:rsidRPr="00AA341D">
        <w:rPr>
          <w:u w:val="single"/>
        </w:rPr>
        <w:t>CEO</w:t>
      </w:r>
      <w:r w:rsidRPr="00AA341D">
        <w:rPr>
          <w:spacing w:val="-5"/>
          <w:u w:val="single"/>
        </w:rPr>
        <w:t xml:space="preserve"> </w:t>
      </w:r>
      <w:r w:rsidRPr="00AA341D">
        <w:rPr>
          <w:u w:val="single"/>
        </w:rPr>
        <w:t>Authorizing</w:t>
      </w:r>
      <w:r w:rsidRPr="00AA341D">
        <w:rPr>
          <w:spacing w:val="-4"/>
          <w:u w:val="single"/>
        </w:rPr>
        <w:t xml:space="preserve"> </w:t>
      </w:r>
      <w:r w:rsidRPr="00AA341D">
        <w:rPr>
          <w:spacing w:val="-2"/>
          <w:u w:val="single"/>
        </w:rPr>
        <w:t>Statement</w:t>
      </w:r>
    </w:p>
    <w:p w:rsidR="0002605F" w:rsidP="00172B73" w:rsidRDefault="00172B73" w14:paraId="74257553" w14:textId="77777777">
      <w:pPr>
        <w:pStyle w:val="BodyText"/>
        <w:ind w:right="119"/>
        <w:rPr>
          <w:spacing w:val="-3"/>
        </w:rPr>
      </w:pPr>
      <w:r>
        <w:t>The</w:t>
      </w:r>
      <w:r>
        <w:rPr>
          <w:spacing w:val="-1"/>
        </w:rPr>
        <w:t xml:space="preserve"> </w:t>
      </w:r>
      <w:r>
        <w:t>forms</w:t>
      </w:r>
      <w:r>
        <w:rPr>
          <w:spacing w:val="-4"/>
        </w:rPr>
        <w:t xml:space="preserve"> </w:t>
      </w:r>
      <w:r>
        <w:t>are</w:t>
      </w:r>
      <w:r>
        <w:rPr>
          <w:spacing w:val="-4"/>
        </w:rPr>
        <w:t xml:space="preserve"> </w:t>
      </w:r>
      <w:r>
        <w:t>generally</w:t>
      </w:r>
      <w:r>
        <w:rPr>
          <w:spacing w:val="-1"/>
        </w:rPr>
        <w:t xml:space="preserve"> </w:t>
      </w:r>
      <w:proofErr w:type="gramStart"/>
      <w:r>
        <w:t>similar</w:t>
      </w:r>
      <w:r>
        <w:rPr>
          <w:spacing w:val="-2"/>
        </w:rPr>
        <w:t xml:space="preserve"> </w:t>
      </w:r>
      <w:r>
        <w:t>to</w:t>
      </w:r>
      <w:proofErr w:type="gramEnd"/>
      <w:r>
        <w:rPr>
          <w:spacing w:val="-3"/>
        </w:rPr>
        <w:t xml:space="preserve"> </w:t>
      </w:r>
      <w:r>
        <w:t>those</w:t>
      </w:r>
      <w:r>
        <w:rPr>
          <w:spacing w:val="-1"/>
        </w:rPr>
        <w:t xml:space="preserve"> </w:t>
      </w:r>
      <w:r>
        <w:t>provided</w:t>
      </w:r>
      <w:r>
        <w:rPr>
          <w:spacing w:val="-5"/>
        </w:rPr>
        <w:t xml:space="preserve"> </w:t>
      </w:r>
      <w:r>
        <w:t>to</w:t>
      </w:r>
      <w:r>
        <w:rPr>
          <w:spacing w:val="-5"/>
        </w:rPr>
        <w:t xml:space="preserve"> </w:t>
      </w:r>
      <w:r>
        <w:t>the</w:t>
      </w:r>
      <w:r>
        <w:rPr>
          <w:spacing w:val="-1"/>
        </w:rPr>
        <w:t xml:space="preserve"> </w:t>
      </w:r>
      <w:r>
        <w:t>FFELP</w:t>
      </w:r>
      <w:r>
        <w:rPr>
          <w:spacing w:val="-1"/>
        </w:rPr>
        <w:t xml:space="preserve"> </w:t>
      </w:r>
      <w:r>
        <w:t>community</w:t>
      </w:r>
      <w:r>
        <w:rPr>
          <w:spacing w:val="-1"/>
        </w:rPr>
        <w:t xml:space="preserve"> </w:t>
      </w:r>
      <w:r>
        <w:t>in</w:t>
      </w:r>
      <w:r>
        <w:rPr>
          <w:spacing w:val="-5"/>
        </w:rPr>
        <w:t xml:space="preserve"> </w:t>
      </w:r>
      <w:r>
        <w:t>2012</w:t>
      </w:r>
      <w:r>
        <w:rPr>
          <w:spacing w:val="-3"/>
        </w:rPr>
        <w:t xml:space="preserve"> </w:t>
      </w:r>
      <w:r>
        <w:t>when</w:t>
      </w:r>
      <w:r>
        <w:rPr>
          <w:spacing w:val="-3"/>
        </w:rPr>
        <w:t xml:space="preserve"> </w:t>
      </w:r>
      <w:r>
        <w:t>FFELP</w:t>
      </w:r>
      <w:r>
        <w:rPr>
          <w:spacing w:val="-3"/>
        </w:rPr>
        <w:t xml:space="preserve"> </w:t>
      </w:r>
    </w:p>
    <w:p w:rsidR="0002605F" w:rsidP="00172B73" w:rsidRDefault="0002605F" w14:paraId="5B3E1EC6" w14:textId="77777777">
      <w:pPr>
        <w:pStyle w:val="BodyText"/>
        <w:ind w:right="119"/>
        <w:rPr>
          <w:spacing w:val="-3"/>
        </w:rPr>
      </w:pPr>
    </w:p>
    <w:p w:rsidR="0002605F" w:rsidP="00172B73" w:rsidRDefault="0002605F" w14:paraId="2C9C46DA" w14:textId="77777777">
      <w:pPr>
        <w:pStyle w:val="BodyText"/>
        <w:ind w:right="119"/>
        <w:rPr>
          <w:spacing w:val="-3"/>
        </w:rPr>
      </w:pPr>
    </w:p>
    <w:p w:rsidR="00172B73" w:rsidP="00172B73" w:rsidRDefault="00172B73" w14:paraId="01A1FD47" w14:textId="792F74AF">
      <w:pPr>
        <w:pStyle w:val="BodyText"/>
        <w:ind w:right="119"/>
      </w:pPr>
      <w:r>
        <w:t>lenders/holders had to elect either a commercial paper-based SAP, or a LIBOR-based SAP. However, the forms seem to imply that all FFELP holders/lenders are corporations –in fact, many lenders/holders are state entities or agencies.</w:t>
      </w:r>
    </w:p>
    <w:p w:rsidR="00172B73" w:rsidP="00172B73" w:rsidRDefault="00172B73" w14:paraId="3E7E4537" w14:textId="77777777">
      <w:pPr>
        <w:pStyle w:val="BodyText"/>
        <w:spacing w:before="3"/>
        <w:rPr>
          <w:sz w:val="17"/>
        </w:rPr>
      </w:pPr>
    </w:p>
    <w:p w:rsidR="00172B73" w:rsidP="00172B73" w:rsidRDefault="00172B73" w14:paraId="464F4FBB" w14:textId="5B434FFF">
      <w:pPr>
        <w:pStyle w:val="BodyText"/>
        <w:spacing w:before="56"/>
        <w:ind w:right="119"/>
      </w:pPr>
      <w:r w:rsidRPr="008C5448">
        <w:rPr>
          <w:highlight w:val="yellow"/>
        </w:rPr>
        <w:t>We</w:t>
      </w:r>
      <w:r w:rsidRPr="008C5448">
        <w:rPr>
          <w:spacing w:val="-1"/>
          <w:highlight w:val="yellow"/>
        </w:rPr>
        <w:t xml:space="preserve"> </w:t>
      </w:r>
      <w:r w:rsidRPr="008C5448">
        <w:rPr>
          <w:highlight w:val="yellow"/>
        </w:rPr>
        <w:t>recommend</w:t>
      </w:r>
      <w:r w:rsidRPr="008C5448">
        <w:rPr>
          <w:spacing w:val="-5"/>
          <w:highlight w:val="yellow"/>
        </w:rPr>
        <w:t xml:space="preserve"> </w:t>
      </w:r>
      <w:r w:rsidRPr="008C5448">
        <w:rPr>
          <w:highlight w:val="yellow"/>
        </w:rPr>
        <w:t>that,</w:t>
      </w:r>
      <w:r w:rsidRPr="008C5448">
        <w:rPr>
          <w:spacing w:val="-2"/>
          <w:highlight w:val="yellow"/>
        </w:rPr>
        <w:t xml:space="preserve"> </w:t>
      </w:r>
      <w:r w:rsidRPr="008C5448">
        <w:rPr>
          <w:highlight w:val="yellow"/>
        </w:rPr>
        <w:t>in</w:t>
      </w:r>
      <w:r w:rsidRPr="008C5448">
        <w:rPr>
          <w:spacing w:val="-3"/>
          <w:highlight w:val="yellow"/>
        </w:rPr>
        <w:t xml:space="preserve"> </w:t>
      </w:r>
      <w:r w:rsidRPr="008C5448">
        <w:rPr>
          <w:highlight w:val="yellow"/>
        </w:rPr>
        <w:t>all</w:t>
      </w:r>
      <w:r w:rsidRPr="008C5448">
        <w:rPr>
          <w:spacing w:val="-7"/>
          <w:highlight w:val="yellow"/>
        </w:rPr>
        <w:t xml:space="preserve"> </w:t>
      </w:r>
      <w:r w:rsidRPr="008C5448">
        <w:rPr>
          <w:highlight w:val="yellow"/>
        </w:rPr>
        <w:t>forms,</w:t>
      </w:r>
      <w:r w:rsidRPr="008C5448">
        <w:rPr>
          <w:spacing w:val="-2"/>
          <w:highlight w:val="yellow"/>
        </w:rPr>
        <w:t xml:space="preserve"> </w:t>
      </w:r>
      <w:r w:rsidRPr="008C5448">
        <w:rPr>
          <w:highlight w:val="yellow"/>
        </w:rPr>
        <w:t>the</w:t>
      </w:r>
      <w:r w:rsidRPr="008C5448">
        <w:rPr>
          <w:spacing w:val="-1"/>
          <w:highlight w:val="yellow"/>
        </w:rPr>
        <w:t xml:space="preserve"> </w:t>
      </w:r>
      <w:r w:rsidRPr="008C5448">
        <w:rPr>
          <w:highlight w:val="yellow"/>
        </w:rPr>
        <w:t>word</w:t>
      </w:r>
      <w:r w:rsidRPr="008C5448">
        <w:rPr>
          <w:spacing w:val="-5"/>
          <w:highlight w:val="yellow"/>
        </w:rPr>
        <w:t xml:space="preserve"> </w:t>
      </w:r>
      <w:r w:rsidRPr="008C5448">
        <w:rPr>
          <w:highlight w:val="yellow"/>
        </w:rPr>
        <w:t>or</w:t>
      </w:r>
      <w:r w:rsidRPr="008C5448">
        <w:rPr>
          <w:spacing w:val="-2"/>
          <w:highlight w:val="yellow"/>
        </w:rPr>
        <w:t xml:space="preserve"> </w:t>
      </w:r>
      <w:r w:rsidRPr="008C5448">
        <w:rPr>
          <w:highlight w:val="yellow"/>
        </w:rPr>
        <w:t>references</w:t>
      </w:r>
      <w:r w:rsidRPr="008C5448">
        <w:rPr>
          <w:spacing w:val="-2"/>
          <w:highlight w:val="yellow"/>
        </w:rPr>
        <w:t xml:space="preserve"> </w:t>
      </w:r>
      <w:r w:rsidRPr="008C5448">
        <w:rPr>
          <w:highlight w:val="yellow"/>
        </w:rPr>
        <w:t>to</w:t>
      </w:r>
      <w:r w:rsidRPr="008C5448">
        <w:rPr>
          <w:spacing w:val="-3"/>
          <w:highlight w:val="yellow"/>
        </w:rPr>
        <w:t xml:space="preserve"> </w:t>
      </w:r>
      <w:r w:rsidRPr="008C5448">
        <w:rPr>
          <w:highlight w:val="yellow"/>
        </w:rPr>
        <w:t>“corporation”</w:t>
      </w:r>
      <w:r w:rsidRPr="008C5448">
        <w:rPr>
          <w:spacing w:val="-1"/>
          <w:highlight w:val="yellow"/>
        </w:rPr>
        <w:t xml:space="preserve"> </w:t>
      </w:r>
      <w:r w:rsidRPr="008C5448">
        <w:rPr>
          <w:highlight w:val="yellow"/>
        </w:rPr>
        <w:t>is</w:t>
      </w:r>
      <w:r w:rsidRPr="008C5448">
        <w:rPr>
          <w:spacing w:val="-4"/>
          <w:highlight w:val="yellow"/>
        </w:rPr>
        <w:t xml:space="preserve"> </w:t>
      </w:r>
      <w:r w:rsidRPr="008C5448">
        <w:rPr>
          <w:highlight w:val="yellow"/>
        </w:rPr>
        <w:t>replaced</w:t>
      </w:r>
      <w:r w:rsidRPr="008C5448">
        <w:rPr>
          <w:spacing w:val="-3"/>
          <w:highlight w:val="yellow"/>
        </w:rPr>
        <w:t xml:space="preserve"> </w:t>
      </w:r>
      <w:r w:rsidRPr="008C5448">
        <w:rPr>
          <w:highlight w:val="yellow"/>
        </w:rPr>
        <w:t>by</w:t>
      </w:r>
      <w:r w:rsidRPr="008C5448">
        <w:rPr>
          <w:spacing w:val="-3"/>
          <w:highlight w:val="yellow"/>
        </w:rPr>
        <w:t xml:space="preserve"> </w:t>
      </w:r>
      <w:r w:rsidRPr="008C5448">
        <w:rPr>
          <w:highlight w:val="yellow"/>
        </w:rPr>
        <w:t>something</w:t>
      </w:r>
      <w:r w:rsidRPr="008C5448">
        <w:rPr>
          <w:spacing w:val="-3"/>
          <w:highlight w:val="yellow"/>
        </w:rPr>
        <w:t xml:space="preserve"> </w:t>
      </w:r>
      <w:r w:rsidRPr="008C5448">
        <w:rPr>
          <w:highlight w:val="yellow"/>
        </w:rPr>
        <w:t xml:space="preserve">more neutral such as organization, entity, or specific terms such as lender or holder/beneficial </w:t>
      </w:r>
      <w:commentRangeStart w:id="0"/>
      <w:r w:rsidRPr="008C5448">
        <w:rPr>
          <w:highlight w:val="yellow"/>
        </w:rPr>
        <w:t>holder</w:t>
      </w:r>
      <w:commentRangeEnd w:id="0"/>
      <w:r w:rsidR="008C5448">
        <w:rPr>
          <w:rStyle w:val="CommentReference"/>
        </w:rPr>
        <w:commentReference w:id="0"/>
      </w:r>
      <w:r w:rsidRPr="008C5448">
        <w:rPr>
          <w:highlight w:val="yellow"/>
        </w:rPr>
        <w:t>.</w:t>
      </w:r>
    </w:p>
    <w:p w:rsidR="002D26C1" w:rsidP="00172B73" w:rsidRDefault="002D26C1" w14:paraId="29692498" w14:textId="77777777">
      <w:pPr>
        <w:pStyle w:val="BodyText"/>
        <w:spacing w:before="56"/>
        <w:ind w:right="119"/>
        <w:rPr>
          <w:b/>
          <w:bCs/>
        </w:rPr>
      </w:pPr>
    </w:p>
    <w:p w:rsidR="002D26C1" w:rsidP="00172B73" w:rsidRDefault="002D26C1" w14:paraId="7D11A447" w14:textId="76538FE6">
      <w:pPr>
        <w:pStyle w:val="BodyText"/>
        <w:spacing w:before="56"/>
        <w:ind w:right="119"/>
      </w:pPr>
      <w:r>
        <w:rPr>
          <w:b/>
          <w:bCs/>
        </w:rPr>
        <w:t>Response: Lenders or holders may adapt the terminology that is applicable to their organizational structure.  However, those changes must be submitted to FSA for approval prior to submission.  FSA will review the proposed changes and will provide a response to the submitter</w:t>
      </w:r>
    </w:p>
    <w:p w:rsidR="00172B73" w:rsidP="00172B73" w:rsidRDefault="00172B73" w14:paraId="6BB2A0A2" w14:textId="77777777">
      <w:pPr>
        <w:pStyle w:val="BodyText"/>
      </w:pPr>
    </w:p>
    <w:p w:rsidR="00172B73" w:rsidP="00172B73" w:rsidRDefault="00172B73" w14:paraId="3EC94FAD" w14:textId="77777777">
      <w:pPr>
        <w:pStyle w:val="BodyText"/>
        <w:spacing w:before="1"/>
        <w:ind w:right="119"/>
      </w:pPr>
      <w:r>
        <w:t>Additionally,</w:t>
      </w:r>
      <w:r>
        <w:rPr>
          <w:spacing w:val="-4"/>
        </w:rPr>
        <w:t xml:space="preserve"> </w:t>
      </w:r>
      <w:r>
        <w:t>the</w:t>
      </w:r>
      <w:r>
        <w:rPr>
          <w:spacing w:val="-1"/>
        </w:rPr>
        <w:t xml:space="preserve"> </w:t>
      </w:r>
      <w:r>
        <w:t>form</w:t>
      </w:r>
      <w:r>
        <w:rPr>
          <w:spacing w:val="-1"/>
        </w:rPr>
        <w:t xml:space="preserve"> </w:t>
      </w:r>
      <w:r>
        <w:t>titled,</w:t>
      </w:r>
      <w:r>
        <w:rPr>
          <w:spacing w:val="-2"/>
        </w:rPr>
        <w:t xml:space="preserve"> </w:t>
      </w:r>
      <w:r>
        <w:t>“Chief</w:t>
      </w:r>
      <w:r>
        <w:rPr>
          <w:spacing w:val="-4"/>
        </w:rPr>
        <w:t xml:space="preserve"> </w:t>
      </w:r>
      <w:r>
        <w:t>Executive</w:t>
      </w:r>
      <w:r>
        <w:rPr>
          <w:spacing w:val="-1"/>
        </w:rPr>
        <w:t xml:space="preserve"> </w:t>
      </w:r>
      <w:r>
        <w:t>Officer</w:t>
      </w:r>
      <w:r>
        <w:rPr>
          <w:spacing w:val="-2"/>
        </w:rPr>
        <w:t xml:space="preserve"> </w:t>
      </w:r>
      <w:r>
        <w:t>(CEO)</w:t>
      </w:r>
      <w:r>
        <w:rPr>
          <w:spacing w:val="-2"/>
        </w:rPr>
        <w:t xml:space="preserve"> </w:t>
      </w:r>
      <w:r>
        <w:t>Authorizing</w:t>
      </w:r>
      <w:r>
        <w:rPr>
          <w:spacing w:val="-3"/>
        </w:rPr>
        <w:t xml:space="preserve"> </w:t>
      </w:r>
      <w:r>
        <w:t>Statement”</w:t>
      </w:r>
      <w:r>
        <w:rPr>
          <w:spacing w:val="-1"/>
        </w:rPr>
        <w:t xml:space="preserve"> </w:t>
      </w:r>
      <w:r>
        <w:t>is</w:t>
      </w:r>
      <w:r>
        <w:rPr>
          <w:spacing w:val="-4"/>
        </w:rPr>
        <w:t xml:space="preserve"> </w:t>
      </w:r>
      <w:r>
        <w:t>not</w:t>
      </w:r>
      <w:r>
        <w:rPr>
          <w:spacing w:val="-4"/>
        </w:rPr>
        <w:t xml:space="preserve"> </w:t>
      </w:r>
      <w:r>
        <w:t>inclusive</w:t>
      </w:r>
      <w:r>
        <w:rPr>
          <w:spacing w:val="-1"/>
        </w:rPr>
        <w:t xml:space="preserve"> </w:t>
      </w:r>
      <w:r>
        <w:t>of</w:t>
      </w:r>
      <w:r>
        <w:rPr>
          <w:spacing w:val="-2"/>
        </w:rPr>
        <w:t xml:space="preserve"> </w:t>
      </w:r>
      <w:r>
        <w:t>the</w:t>
      </w:r>
      <w:r>
        <w:rPr>
          <w:spacing w:val="-4"/>
        </w:rPr>
        <w:t xml:space="preserve"> </w:t>
      </w:r>
      <w:r>
        <w:t xml:space="preserve">FFELP lenders/beneficial holders that are state agencies. Many of these organizations do not have a “CEO” – the authorizing individual may be a Director, President, or other such position. We request that references to a CEO be replaced with “authorizing individual.” We recommend, as you have at the end of the SOFR Election – Holder form, that the authorizing individual provide their name, title, name of company, and certify that in their capacity, they have the authority to execute the LIBOR waiver and SOFR election on behalf of the company. </w:t>
      </w:r>
      <w:r w:rsidRPr="00A335C0">
        <w:rPr>
          <w:highlight w:val="yellow"/>
        </w:rPr>
        <w:t>At</w:t>
      </w:r>
      <w:r w:rsidRPr="00A335C0">
        <w:rPr>
          <w:spacing w:val="-2"/>
          <w:highlight w:val="yellow"/>
        </w:rPr>
        <w:t xml:space="preserve"> </w:t>
      </w:r>
      <w:r w:rsidRPr="00A335C0">
        <w:rPr>
          <w:highlight w:val="yellow"/>
        </w:rPr>
        <w:t>a</w:t>
      </w:r>
      <w:r w:rsidRPr="00A335C0">
        <w:rPr>
          <w:spacing w:val="-3"/>
          <w:highlight w:val="yellow"/>
        </w:rPr>
        <w:t xml:space="preserve"> </w:t>
      </w:r>
      <w:r w:rsidRPr="00A335C0">
        <w:rPr>
          <w:highlight w:val="yellow"/>
        </w:rPr>
        <w:t>minimum,</w:t>
      </w:r>
      <w:r w:rsidRPr="00A335C0">
        <w:rPr>
          <w:spacing w:val="-2"/>
          <w:highlight w:val="yellow"/>
        </w:rPr>
        <w:t xml:space="preserve"> </w:t>
      </w:r>
      <w:r w:rsidRPr="00A335C0">
        <w:rPr>
          <w:highlight w:val="yellow"/>
        </w:rPr>
        <w:t>the Department should</w:t>
      </w:r>
      <w:r w:rsidRPr="00A335C0">
        <w:rPr>
          <w:spacing w:val="-1"/>
          <w:highlight w:val="yellow"/>
        </w:rPr>
        <w:t xml:space="preserve"> </w:t>
      </w:r>
      <w:r w:rsidRPr="00A335C0">
        <w:rPr>
          <w:highlight w:val="yellow"/>
        </w:rPr>
        <w:t>state that lenders/holders</w:t>
      </w:r>
      <w:r w:rsidRPr="00A335C0">
        <w:rPr>
          <w:spacing w:val="-2"/>
          <w:highlight w:val="yellow"/>
        </w:rPr>
        <w:t xml:space="preserve"> </w:t>
      </w:r>
      <w:r w:rsidRPr="00A335C0">
        <w:rPr>
          <w:highlight w:val="yellow"/>
        </w:rPr>
        <w:t>can</w:t>
      </w:r>
      <w:r w:rsidRPr="00A335C0">
        <w:rPr>
          <w:spacing w:val="-3"/>
          <w:highlight w:val="yellow"/>
        </w:rPr>
        <w:t xml:space="preserve"> </w:t>
      </w:r>
      <w:r w:rsidRPr="00A335C0">
        <w:rPr>
          <w:highlight w:val="yellow"/>
        </w:rPr>
        <w:t>adapt the terminology</w:t>
      </w:r>
      <w:r w:rsidRPr="00A335C0">
        <w:rPr>
          <w:spacing w:val="-1"/>
          <w:highlight w:val="yellow"/>
        </w:rPr>
        <w:t xml:space="preserve"> </w:t>
      </w:r>
      <w:r w:rsidRPr="00A335C0">
        <w:rPr>
          <w:highlight w:val="yellow"/>
        </w:rPr>
        <w:t>to</w:t>
      </w:r>
      <w:r w:rsidRPr="00A335C0">
        <w:rPr>
          <w:spacing w:val="-1"/>
          <w:highlight w:val="yellow"/>
        </w:rPr>
        <w:t xml:space="preserve"> </w:t>
      </w:r>
      <w:r w:rsidRPr="00A335C0">
        <w:rPr>
          <w:highlight w:val="yellow"/>
        </w:rPr>
        <w:t>their structure, as was the case in 2012.</w:t>
      </w:r>
    </w:p>
    <w:p w:rsidR="00172B73" w:rsidP="00172B73" w:rsidRDefault="00172B73" w14:paraId="4C027E2F" w14:textId="77777777">
      <w:pPr>
        <w:pStyle w:val="BodyText"/>
        <w:spacing w:before="1"/>
        <w:ind w:right="119"/>
      </w:pPr>
    </w:p>
    <w:p w:rsidRPr="00A335C0" w:rsidR="00172B73" w:rsidP="00172B73" w:rsidRDefault="00172B73" w14:paraId="16AF9EDA" w14:textId="77777777">
      <w:pPr>
        <w:pStyle w:val="BodyText"/>
        <w:spacing w:before="1"/>
        <w:ind w:right="119"/>
        <w:rPr>
          <w:b/>
          <w:bCs/>
        </w:rPr>
      </w:pPr>
      <w:r>
        <w:rPr>
          <w:b/>
          <w:bCs/>
        </w:rPr>
        <w:t xml:space="preserve">Response: We agree that the lenders or holders may adapt the terminology that is applicable to their organizational structure.  However, those changes must be submitted to FSA for approval prior to submission.  FSA will review the proposed changes and will provide a response to the submitter. </w:t>
      </w:r>
    </w:p>
    <w:p w:rsidR="00172B73" w:rsidP="00172B73" w:rsidRDefault="00172B73" w14:paraId="6A6DD980" w14:textId="77777777">
      <w:pPr>
        <w:pStyle w:val="BodyText"/>
        <w:spacing w:before="11"/>
        <w:rPr>
          <w:sz w:val="21"/>
        </w:rPr>
      </w:pPr>
    </w:p>
    <w:p w:rsidR="00172B73" w:rsidP="00172B73" w:rsidRDefault="00172B73" w14:paraId="133DE835" w14:textId="77777777">
      <w:pPr>
        <w:pStyle w:val="BodyText"/>
        <w:ind w:right="167"/>
      </w:pPr>
      <w:r>
        <w:t xml:space="preserve">Finally, </w:t>
      </w:r>
      <w:r w:rsidRPr="008C5448">
        <w:rPr>
          <w:highlight w:val="yellow"/>
        </w:rPr>
        <w:t>we recommend adding to the “Authorizing Statement” an effective date, in addition to a date of execution.</w:t>
      </w:r>
      <w:r>
        <w:t xml:space="preserve"> The LIBOR Act provides that an early transition to SOFR “shall be effective with respect to a portfolio as of the first day of the calendar quarter following the applicable effective date of the waiver is received</w:t>
      </w:r>
      <w:r>
        <w:rPr>
          <w:spacing w:val="-2"/>
        </w:rPr>
        <w:t xml:space="preserve"> </w:t>
      </w:r>
      <w:r>
        <w:t>by</w:t>
      </w:r>
      <w:r>
        <w:rPr>
          <w:spacing w:val="-2"/>
        </w:rPr>
        <w:t xml:space="preserve"> </w:t>
      </w:r>
      <w:r>
        <w:t>the</w:t>
      </w:r>
      <w:r>
        <w:rPr>
          <w:spacing w:val="-3"/>
        </w:rPr>
        <w:t xml:space="preserve"> </w:t>
      </w:r>
      <w:r>
        <w:t>Secretary.”</w:t>
      </w:r>
      <w:r>
        <w:rPr>
          <w:spacing w:val="-2"/>
        </w:rPr>
        <w:t xml:space="preserve"> </w:t>
      </w:r>
      <w:r>
        <w:t>Specifying</w:t>
      </w:r>
      <w:r>
        <w:rPr>
          <w:spacing w:val="-4"/>
        </w:rPr>
        <w:t xml:space="preserve"> </w:t>
      </w:r>
      <w:r>
        <w:t>on</w:t>
      </w:r>
      <w:r>
        <w:rPr>
          <w:spacing w:val="-2"/>
        </w:rPr>
        <w:t xml:space="preserve"> </w:t>
      </w:r>
      <w:r>
        <w:t>the</w:t>
      </w:r>
      <w:r>
        <w:rPr>
          <w:spacing w:val="-3"/>
        </w:rPr>
        <w:t xml:space="preserve"> </w:t>
      </w:r>
      <w:r>
        <w:t>form an</w:t>
      </w:r>
      <w:r>
        <w:rPr>
          <w:spacing w:val="-6"/>
        </w:rPr>
        <w:t xml:space="preserve"> </w:t>
      </w:r>
      <w:r>
        <w:t>effective</w:t>
      </w:r>
      <w:r>
        <w:rPr>
          <w:spacing w:val="-3"/>
        </w:rPr>
        <w:t xml:space="preserve"> </w:t>
      </w:r>
      <w:r>
        <w:t>date</w:t>
      </w:r>
      <w:r>
        <w:rPr>
          <w:spacing w:val="-3"/>
        </w:rPr>
        <w:t xml:space="preserve"> </w:t>
      </w:r>
      <w:r>
        <w:t>or</w:t>
      </w:r>
      <w:r>
        <w:rPr>
          <w:spacing w:val="-3"/>
        </w:rPr>
        <w:t xml:space="preserve"> </w:t>
      </w:r>
      <w:r>
        <w:t>stating</w:t>
      </w:r>
      <w:r>
        <w:rPr>
          <w:spacing w:val="-1"/>
        </w:rPr>
        <w:t xml:space="preserve"> </w:t>
      </w:r>
      <w:r>
        <w:t>that the date</w:t>
      </w:r>
      <w:r>
        <w:rPr>
          <w:spacing w:val="-3"/>
        </w:rPr>
        <w:t xml:space="preserve"> </w:t>
      </w:r>
      <w:r>
        <w:t>of</w:t>
      </w:r>
      <w:r>
        <w:rPr>
          <w:spacing w:val="-3"/>
        </w:rPr>
        <w:t xml:space="preserve"> </w:t>
      </w:r>
      <w:r>
        <w:t>execution</w:t>
      </w:r>
      <w:r>
        <w:rPr>
          <w:spacing w:val="-2"/>
        </w:rPr>
        <w:t xml:space="preserve"> </w:t>
      </w:r>
      <w:r>
        <w:t>is</w:t>
      </w:r>
      <w:r>
        <w:rPr>
          <w:spacing w:val="-1"/>
        </w:rPr>
        <w:t xml:space="preserve"> </w:t>
      </w:r>
      <w:r>
        <w:t>the effective date will provide greater clarity for all parties.</w:t>
      </w:r>
    </w:p>
    <w:p w:rsidR="00172B73" w:rsidP="00172B73" w:rsidRDefault="00172B73" w14:paraId="4901F186" w14:textId="77777777">
      <w:pPr>
        <w:pStyle w:val="BodyText"/>
        <w:ind w:right="167"/>
      </w:pPr>
    </w:p>
    <w:p w:rsidRPr="006C098E" w:rsidR="00172B73" w:rsidP="00172B73" w:rsidRDefault="00172B73" w14:paraId="6A9B8B54" w14:textId="77777777">
      <w:pPr>
        <w:pStyle w:val="BodyText"/>
        <w:ind w:right="167"/>
        <w:rPr>
          <w:b/>
          <w:bCs/>
        </w:rPr>
      </w:pPr>
      <w:r>
        <w:rPr>
          <w:b/>
          <w:bCs/>
        </w:rPr>
        <w:t>Response: FSA will provide an acknowledgement back to the lender/holder with an effective date upon review of their submission. If the submission is incomplete or missing any required information, it will be returned to the lender/holder.</w:t>
      </w:r>
    </w:p>
    <w:p w:rsidR="00172B73" w:rsidP="00172B73" w:rsidRDefault="00172B73" w14:paraId="6C3CF3B3" w14:textId="77777777">
      <w:pPr>
        <w:pStyle w:val="BodyText"/>
        <w:spacing w:before="11"/>
        <w:rPr>
          <w:sz w:val="21"/>
        </w:rPr>
      </w:pPr>
    </w:p>
    <w:p w:rsidRPr="00AA341D" w:rsidR="00172B73" w:rsidP="00172B73" w:rsidRDefault="00172B73" w14:paraId="795E003A" w14:textId="77777777">
      <w:pPr>
        <w:pStyle w:val="Heading1"/>
        <w:ind w:left="0"/>
        <w:rPr>
          <w:u w:val="single"/>
        </w:rPr>
      </w:pPr>
      <w:r w:rsidRPr="00AA341D">
        <w:rPr>
          <w:u w:val="single"/>
        </w:rPr>
        <w:t>Request</w:t>
      </w:r>
      <w:r w:rsidRPr="00AA341D">
        <w:rPr>
          <w:spacing w:val="-3"/>
          <w:u w:val="single"/>
        </w:rPr>
        <w:t xml:space="preserve"> </w:t>
      </w:r>
      <w:r w:rsidRPr="00AA341D">
        <w:rPr>
          <w:u w:val="single"/>
        </w:rPr>
        <w:t>to</w:t>
      </w:r>
      <w:r w:rsidRPr="00AA341D">
        <w:rPr>
          <w:spacing w:val="-2"/>
          <w:u w:val="single"/>
        </w:rPr>
        <w:t xml:space="preserve"> Expedite</w:t>
      </w:r>
    </w:p>
    <w:p w:rsidR="00172B73" w:rsidP="00172B73" w:rsidRDefault="00172B73" w14:paraId="263BA7FC" w14:textId="70210380">
      <w:pPr>
        <w:pStyle w:val="BodyText"/>
        <w:ind w:right="130"/>
      </w:pPr>
      <w:r w:rsidRPr="00ED6611">
        <w:rPr>
          <w:highlight w:val="yellow"/>
        </w:rPr>
        <w:t>We</w:t>
      </w:r>
      <w:r w:rsidRPr="00ED6611">
        <w:rPr>
          <w:spacing w:val="-1"/>
          <w:highlight w:val="yellow"/>
        </w:rPr>
        <w:t xml:space="preserve"> </w:t>
      </w:r>
      <w:r w:rsidRPr="00ED6611">
        <w:rPr>
          <w:highlight w:val="yellow"/>
        </w:rPr>
        <w:t>request</w:t>
      </w:r>
      <w:r w:rsidRPr="00ED6611">
        <w:rPr>
          <w:spacing w:val="-4"/>
          <w:highlight w:val="yellow"/>
        </w:rPr>
        <w:t xml:space="preserve"> </w:t>
      </w:r>
      <w:r w:rsidRPr="00ED6611">
        <w:rPr>
          <w:highlight w:val="yellow"/>
        </w:rPr>
        <w:t>that</w:t>
      </w:r>
      <w:r w:rsidRPr="00ED6611">
        <w:rPr>
          <w:spacing w:val="-1"/>
          <w:highlight w:val="yellow"/>
        </w:rPr>
        <w:t xml:space="preserve"> </w:t>
      </w:r>
      <w:r w:rsidRPr="00ED6611">
        <w:rPr>
          <w:highlight w:val="yellow"/>
        </w:rPr>
        <w:t>the</w:t>
      </w:r>
      <w:r w:rsidRPr="00ED6611">
        <w:rPr>
          <w:spacing w:val="-1"/>
          <w:highlight w:val="yellow"/>
        </w:rPr>
        <w:t xml:space="preserve"> </w:t>
      </w:r>
      <w:r w:rsidRPr="00ED6611">
        <w:rPr>
          <w:highlight w:val="yellow"/>
        </w:rPr>
        <w:t>Department</w:t>
      </w:r>
      <w:r w:rsidRPr="00ED6611">
        <w:rPr>
          <w:spacing w:val="-1"/>
          <w:highlight w:val="yellow"/>
        </w:rPr>
        <w:t xml:space="preserve"> </w:t>
      </w:r>
      <w:r w:rsidRPr="00ED6611">
        <w:rPr>
          <w:highlight w:val="yellow"/>
        </w:rPr>
        <w:t>declare</w:t>
      </w:r>
      <w:r w:rsidRPr="00ED6611">
        <w:rPr>
          <w:spacing w:val="-1"/>
          <w:highlight w:val="yellow"/>
        </w:rPr>
        <w:t xml:space="preserve"> </w:t>
      </w:r>
      <w:r w:rsidRPr="00ED6611">
        <w:rPr>
          <w:highlight w:val="yellow"/>
        </w:rPr>
        <w:t>the</w:t>
      </w:r>
      <w:r w:rsidRPr="00ED6611">
        <w:rPr>
          <w:spacing w:val="-1"/>
          <w:highlight w:val="yellow"/>
        </w:rPr>
        <w:t xml:space="preserve"> </w:t>
      </w:r>
      <w:r w:rsidRPr="00ED6611">
        <w:rPr>
          <w:highlight w:val="yellow"/>
        </w:rPr>
        <w:t>clearance</w:t>
      </w:r>
      <w:r w:rsidRPr="00ED6611">
        <w:rPr>
          <w:spacing w:val="-1"/>
          <w:highlight w:val="yellow"/>
        </w:rPr>
        <w:t xml:space="preserve"> </w:t>
      </w:r>
      <w:r w:rsidRPr="00ED6611">
        <w:rPr>
          <w:highlight w:val="yellow"/>
        </w:rPr>
        <w:t>of</w:t>
      </w:r>
      <w:r w:rsidRPr="00ED6611">
        <w:rPr>
          <w:spacing w:val="-4"/>
          <w:highlight w:val="yellow"/>
        </w:rPr>
        <w:t xml:space="preserve"> </w:t>
      </w:r>
      <w:r w:rsidRPr="00ED6611">
        <w:rPr>
          <w:highlight w:val="yellow"/>
        </w:rPr>
        <w:t>these</w:t>
      </w:r>
      <w:r w:rsidRPr="00ED6611">
        <w:rPr>
          <w:spacing w:val="-1"/>
          <w:highlight w:val="yellow"/>
        </w:rPr>
        <w:t xml:space="preserve"> </w:t>
      </w:r>
      <w:r w:rsidRPr="00ED6611">
        <w:rPr>
          <w:highlight w:val="yellow"/>
        </w:rPr>
        <w:t>forms</w:t>
      </w:r>
      <w:r w:rsidRPr="00ED6611">
        <w:rPr>
          <w:spacing w:val="-2"/>
          <w:highlight w:val="yellow"/>
        </w:rPr>
        <w:t xml:space="preserve"> </w:t>
      </w:r>
      <w:r w:rsidRPr="00ED6611">
        <w:rPr>
          <w:highlight w:val="yellow"/>
        </w:rPr>
        <w:t>an</w:t>
      </w:r>
      <w:r w:rsidRPr="00ED6611">
        <w:rPr>
          <w:spacing w:val="-3"/>
          <w:highlight w:val="yellow"/>
        </w:rPr>
        <w:t xml:space="preserve"> </w:t>
      </w:r>
      <w:r w:rsidRPr="00ED6611">
        <w:rPr>
          <w:highlight w:val="yellow"/>
        </w:rPr>
        <w:t>emergency,</w:t>
      </w:r>
      <w:r w:rsidRPr="00ED6611">
        <w:rPr>
          <w:spacing w:val="-4"/>
          <w:highlight w:val="yellow"/>
        </w:rPr>
        <w:t xml:space="preserve"> </w:t>
      </w:r>
      <w:r w:rsidRPr="00ED6611">
        <w:rPr>
          <w:highlight w:val="yellow"/>
        </w:rPr>
        <w:t>which</w:t>
      </w:r>
      <w:r w:rsidRPr="00ED6611">
        <w:rPr>
          <w:spacing w:val="-3"/>
          <w:highlight w:val="yellow"/>
        </w:rPr>
        <w:t xml:space="preserve"> </w:t>
      </w:r>
      <w:r w:rsidRPr="00ED6611">
        <w:rPr>
          <w:highlight w:val="yellow"/>
        </w:rPr>
        <w:t>would</w:t>
      </w:r>
      <w:r w:rsidRPr="00ED6611">
        <w:rPr>
          <w:spacing w:val="-3"/>
          <w:highlight w:val="yellow"/>
        </w:rPr>
        <w:t xml:space="preserve"> </w:t>
      </w:r>
      <w:r w:rsidRPr="00ED6611">
        <w:rPr>
          <w:highlight w:val="yellow"/>
        </w:rPr>
        <w:t>allow</w:t>
      </w:r>
      <w:r w:rsidRPr="00ED6611">
        <w:rPr>
          <w:spacing w:val="-1"/>
          <w:highlight w:val="yellow"/>
        </w:rPr>
        <w:t xml:space="preserve"> </w:t>
      </w:r>
      <w:r w:rsidRPr="00ED6611">
        <w:rPr>
          <w:highlight w:val="yellow"/>
        </w:rPr>
        <w:t>FFELP lenders/holders to transition their LIBOR-based SAP to SOFR-based SAP at an earlier date.</w:t>
      </w:r>
      <w:r>
        <w:t xml:space="preserve"> If allowed to</w:t>
      </w:r>
      <w:r>
        <w:rPr>
          <w:spacing w:val="40"/>
        </w:rPr>
        <w:t xml:space="preserve"> </w:t>
      </w:r>
      <w:r>
        <w:t>proceed at the normal clearance process, the earliest that these forms would become effective would be sometime during the fourth quarter of calendar year 2022.</w:t>
      </w:r>
      <w:r>
        <w:rPr>
          <w:spacing w:val="-1"/>
        </w:rPr>
        <w:t xml:space="preserve"> </w:t>
      </w:r>
      <w:r>
        <w:t>This would</w:t>
      </w:r>
      <w:r>
        <w:rPr>
          <w:spacing w:val="-1"/>
        </w:rPr>
        <w:t xml:space="preserve"> </w:t>
      </w:r>
      <w:r>
        <w:t>mean that SOFR could not be used until the</w:t>
      </w:r>
      <w:r>
        <w:rPr>
          <w:spacing w:val="-1"/>
        </w:rPr>
        <w:t xml:space="preserve"> </w:t>
      </w:r>
      <w:r>
        <w:t>first</w:t>
      </w:r>
      <w:r>
        <w:rPr>
          <w:spacing w:val="-4"/>
        </w:rPr>
        <w:t xml:space="preserve"> </w:t>
      </w:r>
      <w:r>
        <w:t>quarter</w:t>
      </w:r>
      <w:r>
        <w:rPr>
          <w:spacing w:val="-4"/>
        </w:rPr>
        <w:t xml:space="preserve"> </w:t>
      </w:r>
      <w:r>
        <w:t>of</w:t>
      </w:r>
      <w:r>
        <w:rPr>
          <w:spacing w:val="-5"/>
        </w:rPr>
        <w:t xml:space="preserve"> </w:t>
      </w:r>
      <w:r>
        <w:t>calendar</w:t>
      </w:r>
      <w:r>
        <w:rPr>
          <w:spacing w:val="-2"/>
        </w:rPr>
        <w:t xml:space="preserve"> </w:t>
      </w:r>
      <w:r>
        <w:t>year2023.</w:t>
      </w:r>
      <w:r>
        <w:rPr>
          <w:spacing w:val="-5"/>
        </w:rPr>
        <w:t xml:space="preserve"> </w:t>
      </w:r>
      <w:r>
        <w:t>Congress</w:t>
      </w:r>
      <w:r>
        <w:rPr>
          <w:spacing w:val="-2"/>
        </w:rPr>
        <w:t xml:space="preserve"> </w:t>
      </w:r>
      <w:r>
        <w:t>intended</w:t>
      </w:r>
      <w:r>
        <w:rPr>
          <w:spacing w:val="-3"/>
        </w:rPr>
        <w:t xml:space="preserve"> </w:t>
      </w:r>
      <w:r>
        <w:t>to</w:t>
      </w:r>
      <w:r>
        <w:rPr>
          <w:spacing w:val="-3"/>
        </w:rPr>
        <w:t xml:space="preserve"> </w:t>
      </w:r>
      <w:r>
        <w:t>give</w:t>
      </w:r>
      <w:r>
        <w:rPr>
          <w:spacing w:val="-4"/>
        </w:rPr>
        <w:t xml:space="preserve"> </w:t>
      </w:r>
      <w:r>
        <w:t>FFELP</w:t>
      </w:r>
      <w:r>
        <w:rPr>
          <w:spacing w:val="-1"/>
        </w:rPr>
        <w:t xml:space="preserve"> </w:t>
      </w:r>
      <w:r>
        <w:t>holders/lenders</w:t>
      </w:r>
      <w:r>
        <w:rPr>
          <w:spacing w:val="-2"/>
        </w:rPr>
        <w:t xml:space="preserve"> </w:t>
      </w:r>
      <w:r>
        <w:t>the</w:t>
      </w:r>
      <w:r>
        <w:rPr>
          <w:spacing w:val="-4"/>
        </w:rPr>
        <w:t xml:space="preserve"> </w:t>
      </w:r>
      <w:r>
        <w:t>ability</w:t>
      </w:r>
      <w:r>
        <w:rPr>
          <w:spacing w:val="-3"/>
        </w:rPr>
        <w:t xml:space="preserve"> </w:t>
      </w:r>
      <w:r>
        <w:t>to</w:t>
      </w:r>
      <w:r>
        <w:rPr>
          <w:spacing w:val="-1"/>
        </w:rPr>
        <w:t xml:space="preserve"> </w:t>
      </w:r>
      <w:r>
        <w:t>transition to SOFR-based SAP as soon</w:t>
      </w:r>
      <w:r>
        <w:rPr>
          <w:spacing w:val="-2"/>
        </w:rPr>
        <w:t xml:space="preserve"> </w:t>
      </w:r>
      <w:r>
        <w:t>as possible. Providing these forms</w:t>
      </w:r>
      <w:r>
        <w:rPr>
          <w:spacing w:val="-1"/>
        </w:rPr>
        <w:t xml:space="preserve"> </w:t>
      </w:r>
      <w:r>
        <w:t>as early as possible</w:t>
      </w:r>
      <w:r>
        <w:rPr>
          <w:spacing w:val="-1"/>
        </w:rPr>
        <w:t xml:space="preserve"> </w:t>
      </w:r>
      <w:r>
        <w:t>will allow</w:t>
      </w:r>
      <w:r>
        <w:rPr>
          <w:spacing w:val="-1"/>
        </w:rPr>
        <w:t xml:space="preserve"> </w:t>
      </w:r>
      <w:r>
        <w:t>early</w:t>
      </w:r>
      <w:r>
        <w:rPr>
          <w:spacing w:val="-1"/>
        </w:rPr>
        <w:t xml:space="preserve"> </w:t>
      </w:r>
      <w:r>
        <w:t>transitions</w:t>
      </w:r>
      <w:r>
        <w:rPr>
          <w:spacing w:val="-1"/>
        </w:rPr>
        <w:t xml:space="preserve"> </w:t>
      </w:r>
      <w:r>
        <w:t>to occur and avoid the possibility of all lenders/holders transitioning close to the deadline, which could clog the financing markets as lenders/holders revise their financings to match the SOFR rate on their loan assets.</w:t>
      </w:r>
    </w:p>
    <w:p w:rsidR="00AA341D" w:rsidP="00172B73" w:rsidRDefault="00AA341D" w14:paraId="3D902928" w14:textId="5E87AD7C">
      <w:pPr>
        <w:pStyle w:val="BodyText"/>
        <w:ind w:right="130"/>
      </w:pPr>
    </w:p>
    <w:p w:rsidR="00D40A99" w:rsidP="008C5448" w:rsidRDefault="00AA341D" w14:paraId="0FB26519" w14:textId="1C5E4990">
      <w:pPr>
        <w:pStyle w:val="BodyText"/>
        <w:ind w:right="130"/>
      </w:pPr>
      <w:r>
        <w:rPr>
          <w:b/>
          <w:bCs/>
        </w:rPr>
        <w:t xml:space="preserve">Response:  FSA does not have the authority to declare these forms immediately available under an </w:t>
      </w:r>
      <w:r>
        <w:rPr>
          <w:b/>
          <w:bCs/>
        </w:rPr>
        <w:lastRenderedPageBreak/>
        <w:t>emergency clearance.  That process is only available through approval by the Office of Management and Budget, Office of Information and Regulatory Affairs</w:t>
      </w:r>
      <w:r w:rsidR="00C36399">
        <w:rPr>
          <w:b/>
          <w:bCs/>
        </w:rPr>
        <w:t xml:space="preserve"> under limited circumstances</w:t>
      </w:r>
      <w:r w:rsidR="003404A9">
        <w:rPr>
          <w:b/>
          <w:bCs/>
        </w:rPr>
        <w:t xml:space="preserve"> which do not apply here</w:t>
      </w:r>
      <w:r w:rsidR="00C36399">
        <w:rPr>
          <w:b/>
          <w:bCs/>
        </w:rPr>
        <w:t xml:space="preserve">.  FSA believes that the provision of the </w:t>
      </w:r>
      <w:r w:rsidR="003404A9">
        <w:rPr>
          <w:b/>
          <w:bCs/>
        </w:rPr>
        <w:t xml:space="preserve">Dear Colleague Letter GEN-22-12 published August 9, </w:t>
      </w:r>
      <w:proofErr w:type="gramStart"/>
      <w:r w:rsidR="003404A9">
        <w:rPr>
          <w:b/>
          <w:bCs/>
        </w:rPr>
        <w:t>2022</w:t>
      </w:r>
      <w:proofErr w:type="gramEnd"/>
      <w:r w:rsidR="003404A9">
        <w:rPr>
          <w:b/>
          <w:bCs/>
        </w:rPr>
        <w:t xml:space="preserve"> </w:t>
      </w:r>
      <w:r w:rsidR="00C36399">
        <w:rPr>
          <w:b/>
          <w:bCs/>
        </w:rPr>
        <w:t xml:space="preserve">allows FFEL Program lenders and holders </w:t>
      </w:r>
      <w:r w:rsidR="003404A9">
        <w:rPr>
          <w:b/>
          <w:bCs/>
        </w:rPr>
        <w:t xml:space="preserve">the information needed to </w:t>
      </w:r>
      <w:r w:rsidR="00ED6611">
        <w:rPr>
          <w:b/>
          <w:bCs/>
        </w:rPr>
        <w:t xml:space="preserve">prepare for the filing of the forms being cleared in this information collection.  </w:t>
      </w:r>
      <w:r w:rsidR="003404A9">
        <w:rPr>
          <w:b/>
          <w:bCs/>
        </w:rPr>
        <w:t xml:space="preserve"> </w:t>
      </w:r>
    </w:p>
    <w:sectPr w:rsidR="00D40A9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th Grebeldinger" w:date="2022-08-24T16:38:00Z" w:initials="BLG">
    <w:p w14:paraId="1853AAA4" w14:textId="77777777" w:rsidR="008C5448" w:rsidRDefault="008C5448" w:rsidP="00BD0174">
      <w:pPr>
        <w:pStyle w:val="CommentText"/>
      </w:pPr>
      <w:r>
        <w:rPr>
          <w:rStyle w:val="CommentReference"/>
        </w:rPr>
        <w:annotationRef/>
      </w:r>
      <w:r>
        <w:t>Does this need an answer?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53AA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D283" w16cex:dateUtc="2022-08-24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53AAA4" w16cid:durableId="26B0D2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9625" w14:textId="77777777" w:rsidR="00172B73" w:rsidRDefault="00172B73" w:rsidP="00172B73">
      <w:r>
        <w:separator/>
      </w:r>
    </w:p>
  </w:endnote>
  <w:endnote w:type="continuationSeparator" w:id="0">
    <w:p w14:paraId="217E4388" w14:textId="77777777" w:rsidR="00172B73" w:rsidRDefault="00172B73" w:rsidP="0017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6BC2" w14:textId="77777777" w:rsidR="00681951" w:rsidRDefault="00681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497858"/>
      <w:docPartObj>
        <w:docPartGallery w:val="Page Numbers (Bottom of Page)"/>
        <w:docPartUnique/>
      </w:docPartObj>
    </w:sdtPr>
    <w:sdtEndPr>
      <w:rPr>
        <w:noProof/>
      </w:rPr>
    </w:sdtEndPr>
    <w:sdtContent>
      <w:p w14:paraId="60A1DBB0" w14:textId="1153218D" w:rsidR="0002605F" w:rsidRDefault="000260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882BC4" w14:textId="77777777" w:rsidR="0002605F" w:rsidRDefault="00026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A5C5" w14:textId="77777777" w:rsidR="00681951" w:rsidRDefault="00681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E1AA1" w14:textId="77777777" w:rsidR="00172B73" w:rsidRDefault="00172B73" w:rsidP="00172B73">
      <w:r>
        <w:separator/>
      </w:r>
    </w:p>
  </w:footnote>
  <w:footnote w:type="continuationSeparator" w:id="0">
    <w:p w14:paraId="67962EBB" w14:textId="77777777" w:rsidR="00172B73" w:rsidRDefault="00172B73" w:rsidP="00172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3617" w14:textId="77777777" w:rsidR="00681951" w:rsidRDefault="00681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6564" w14:textId="1544E8B2" w:rsidR="00172B73" w:rsidRPr="0002605F" w:rsidRDefault="00172B73">
    <w:pPr>
      <w:pStyle w:val="Header"/>
      <w:rPr>
        <w:sz w:val="18"/>
        <w:szCs w:val="18"/>
      </w:rPr>
    </w:pPr>
    <w:r w:rsidRPr="0002605F">
      <w:rPr>
        <w:sz w:val="18"/>
        <w:szCs w:val="18"/>
      </w:rPr>
      <w:t xml:space="preserve">Federal Student Aid (FSA) response to comments received during the </w:t>
    </w:r>
    <w:proofErr w:type="gramStart"/>
    <w:r w:rsidRPr="0002605F">
      <w:rPr>
        <w:sz w:val="18"/>
        <w:szCs w:val="18"/>
      </w:rPr>
      <w:t>60 day</w:t>
    </w:r>
    <w:proofErr w:type="gramEnd"/>
    <w:r w:rsidRPr="0002605F">
      <w:rPr>
        <w:sz w:val="18"/>
        <w:szCs w:val="18"/>
      </w:rPr>
      <w:t xml:space="preserve"> public comment period for Docket Number ED-2022-SCC-0084</w:t>
    </w:r>
    <w:r w:rsidR="00C96B7E" w:rsidRPr="0002605F">
      <w:rPr>
        <w:sz w:val="18"/>
        <w:szCs w:val="18"/>
      </w:rPr>
      <w:t xml:space="preserve"> for the information collection Federal Family Education Loan (FFEL) Program Secured Overnight Financing Rate (SOFR) Election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981B" w14:textId="77777777" w:rsidR="00681951" w:rsidRDefault="0068195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h Grebeldinger">
    <w15:presenceInfo w15:providerId="None" w15:userId="Beth Grebeld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73"/>
    <w:rsid w:val="0002605F"/>
    <w:rsid w:val="00050438"/>
    <w:rsid w:val="000D57DD"/>
    <w:rsid w:val="00162D65"/>
    <w:rsid w:val="00172B73"/>
    <w:rsid w:val="002D26C1"/>
    <w:rsid w:val="003079CD"/>
    <w:rsid w:val="003404A9"/>
    <w:rsid w:val="00681951"/>
    <w:rsid w:val="0077058D"/>
    <w:rsid w:val="008C5448"/>
    <w:rsid w:val="00AA341D"/>
    <w:rsid w:val="00C36399"/>
    <w:rsid w:val="00C96B7E"/>
    <w:rsid w:val="00D40A99"/>
    <w:rsid w:val="00D447A7"/>
    <w:rsid w:val="00ED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55F9"/>
  <w15:chartTrackingRefBased/>
  <w15:docId w15:val="{4C3FA7B3-6257-45DF-9CED-8980C013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B73"/>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172B73"/>
    <w:pPr>
      <w:ind w:left="8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B73"/>
    <w:rPr>
      <w:rFonts w:ascii="Calibri" w:eastAsia="Calibri" w:hAnsi="Calibri" w:cs="Calibri"/>
      <w:b/>
      <w:bCs/>
    </w:rPr>
  </w:style>
  <w:style w:type="paragraph" w:styleId="BodyText">
    <w:name w:val="Body Text"/>
    <w:basedOn w:val="Normal"/>
    <w:link w:val="BodyTextChar"/>
    <w:uiPriority w:val="1"/>
    <w:qFormat/>
    <w:rsid w:val="00172B73"/>
  </w:style>
  <w:style w:type="character" w:customStyle="1" w:styleId="BodyTextChar">
    <w:name w:val="Body Text Char"/>
    <w:basedOn w:val="DefaultParagraphFont"/>
    <w:link w:val="BodyText"/>
    <w:uiPriority w:val="1"/>
    <w:rsid w:val="00172B73"/>
    <w:rPr>
      <w:rFonts w:ascii="Calibri" w:eastAsia="Calibri" w:hAnsi="Calibri" w:cs="Calibri"/>
    </w:rPr>
  </w:style>
  <w:style w:type="paragraph" w:styleId="Header">
    <w:name w:val="header"/>
    <w:basedOn w:val="Normal"/>
    <w:link w:val="HeaderChar"/>
    <w:uiPriority w:val="99"/>
    <w:unhideWhenUsed/>
    <w:rsid w:val="00172B73"/>
    <w:pPr>
      <w:tabs>
        <w:tab w:val="center" w:pos="4680"/>
        <w:tab w:val="right" w:pos="9360"/>
      </w:tabs>
    </w:pPr>
  </w:style>
  <w:style w:type="character" w:customStyle="1" w:styleId="HeaderChar">
    <w:name w:val="Header Char"/>
    <w:basedOn w:val="DefaultParagraphFont"/>
    <w:link w:val="Header"/>
    <w:uiPriority w:val="99"/>
    <w:rsid w:val="00172B73"/>
    <w:rPr>
      <w:rFonts w:ascii="Calibri" w:eastAsia="Calibri" w:hAnsi="Calibri" w:cs="Calibri"/>
    </w:rPr>
  </w:style>
  <w:style w:type="paragraph" w:styleId="Footer">
    <w:name w:val="footer"/>
    <w:basedOn w:val="Normal"/>
    <w:link w:val="FooterChar"/>
    <w:uiPriority w:val="99"/>
    <w:unhideWhenUsed/>
    <w:rsid w:val="00172B73"/>
    <w:pPr>
      <w:tabs>
        <w:tab w:val="center" w:pos="4680"/>
        <w:tab w:val="right" w:pos="9360"/>
      </w:tabs>
    </w:pPr>
  </w:style>
  <w:style w:type="character" w:customStyle="1" w:styleId="FooterChar">
    <w:name w:val="Footer Char"/>
    <w:basedOn w:val="DefaultParagraphFont"/>
    <w:link w:val="Footer"/>
    <w:uiPriority w:val="99"/>
    <w:rsid w:val="00172B73"/>
    <w:rPr>
      <w:rFonts w:ascii="Calibri" w:eastAsia="Calibri" w:hAnsi="Calibri" w:cs="Calibri"/>
    </w:rPr>
  </w:style>
  <w:style w:type="character" w:styleId="CommentReference">
    <w:name w:val="annotation reference"/>
    <w:basedOn w:val="DefaultParagraphFont"/>
    <w:uiPriority w:val="99"/>
    <w:semiHidden/>
    <w:unhideWhenUsed/>
    <w:rsid w:val="0077058D"/>
    <w:rPr>
      <w:sz w:val="16"/>
      <w:szCs w:val="16"/>
    </w:rPr>
  </w:style>
  <w:style w:type="paragraph" w:styleId="CommentText">
    <w:name w:val="annotation text"/>
    <w:basedOn w:val="Normal"/>
    <w:link w:val="CommentTextChar"/>
    <w:uiPriority w:val="99"/>
    <w:unhideWhenUsed/>
    <w:rsid w:val="0077058D"/>
    <w:rPr>
      <w:sz w:val="20"/>
      <w:szCs w:val="20"/>
    </w:rPr>
  </w:style>
  <w:style w:type="character" w:customStyle="1" w:styleId="CommentTextChar">
    <w:name w:val="Comment Text Char"/>
    <w:basedOn w:val="DefaultParagraphFont"/>
    <w:link w:val="CommentText"/>
    <w:uiPriority w:val="99"/>
    <w:rsid w:val="0077058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7058D"/>
    <w:rPr>
      <w:b/>
      <w:bCs/>
    </w:rPr>
  </w:style>
  <w:style w:type="character" w:customStyle="1" w:styleId="CommentSubjectChar">
    <w:name w:val="Comment Subject Char"/>
    <w:basedOn w:val="CommentTextChar"/>
    <w:link w:val="CommentSubject"/>
    <w:uiPriority w:val="99"/>
    <w:semiHidden/>
    <w:rsid w:val="0077058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2022-08-30T18:24:00Z</dcterms:created>
  <dcterms:modified xsi:type="dcterms:W3CDTF">2022-08-30T18:24:00Z</dcterms:modified>
</cp:coreProperties>
</file>