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5EEA" w:rsidP="00072EF7" w:rsidRDefault="00155EEA" w14:paraId="5EC762D5" w14:textId="601A23A3"/>
    <w:p w:rsidR="00072EF7" w:rsidP="00072EF7" w:rsidRDefault="00072EF7" w14:paraId="65D61F18" w14:textId="77777777"/>
    <w:p w:rsidRPr="00F737ED" w:rsidR="00BE4155" w:rsidP="00F737ED" w:rsidRDefault="00BE4155" w14:paraId="22276C68" w14:textId="77777777">
      <w:pPr>
        <w:rPr>
          <w:rFonts w:ascii="Times New Roman" w:hAnsi="Times New Roman"/>
          <w:b/>
          <w:bCs/>
          <w:sz w:val="24"/>
          <w:szCs w:val="24"/>
        </w:rPr>
      </w:pPr>
      <w:r w:rsidRPr="00F737ED">
        <w:rPr>
          <w:rFonts w:ascii="Times New Roman" w:hAnsi="Times New Roman"/>
          <w:b/>
          <w:bCs/>
          <w:sz w:val="24"/>
          <w:szCs w:val="24"/>
        </w:rPr>
        <w:t>MEMORANDUM</w:t>
      </w:r>
    </w:p>
    <w:p w:rsidRPr="002853F7" w:rsidR="00155EEA" w:rsidP="008D442D" w:rsidRDefault="00155EEA" w14:paraId="5D76A241" w14:textId="55CE7C82">
      <w:pPr>
        <w:spacing w:after="0"/>
        <w:rPr>
          <w:b/>
        </w:rPr>
      </w:pPr>
      <w:r w:rsidRPr="002853F7">
        <w:rPr>
          <w:rStyle w:val="MessageHeaderLabel"/>
          <w:rFonts w:ascii="Times New Roman" w:hAnsi="Times New Roman" w:cs="Times New Roman"/>
          <w:spacing w:val="0"/>
          <w:sz w:val="24"/>
          <w:szCs w:val="24"/>
        </w:rPr>
        <w:t>Date:</w:t>
      </w:r>
      <w:r w:rsidRPr="002853F7">
        <w:rPr>
          <w:rStyle w:val="MessageHeaderLabel"/>
          <w:rFonts w:ascii="Times New Roman" w:hAnsi="Times New Roman" w:cs="Times New Roman"/>
          <w:spacing w:val="0"/>
          <w:sz w:val="24"/>
          <w:szCs w:val="24"/>
        </w:rPr>
        <w:tab/>
      </w:r>
      <w:r w:rsidR="008D442D">
        <w:rPr>
          <w:rStyle w:val="MessageHeaderLabel"/>
          <w:rFonts w:ascii="Times New Roman" w:hAnsi="Times New Roman" w:cs="Times New Roman"/>
          <w:spacing w:val="0"/>
          <w:sz w:val="24"/>
          <w:szCs w:val="24"/>
        </w:rPr>
        <w:tab/>
      </w:r>
      <w:r w:rsidR="00B154C3">
        <w:rPr>
          <w:rStyle w:val="MessageHeaderLabel"/>
          <w:rFonts w:ascii="Times New Roman" w:hAnsi="Times New Roman" w:cs="Times New Roman"/>
          <w:b w:val="0"/>
          <w:spacing w:val="0"/>
          <w:sz w:val="24"/>
          <w:szCs w:val="24"/>
        </w:rPr>
        <w:t>June 2</w:t>
      </w:r>
      <w:r w:rsidR="002F3D07">
        <w:rPr>
          <w:rStyle w:val="MessageHeaderLabel"/>
          <w:rFonts w:ascii="Times New Roman" w:hAnsi="Times New Roman" w:cs="Times New Roman"/>
          <w:b w:val="0"/>
          <w:spacing w:val="0"/>
          <w:sz w:val="24"/>
          <w:szCs w:val="24"/>
        </w:rPr>
        <w:t>7</w:t>
      </w:r>
      <w:r w:rsidR="003F17DD">
        <w:rPr>
          <w:rStyle w:val="MessageHeaderLabel"/>
          <w:rFonts w:ascii="Times New Roman" w:hAnsi="Times New Roman" w:cs="Times New Roman"/>
          <w:b w:val="0"/>
          <w:spacing w:val="0"/>
          <w:sz w:val="24"/>
          <w:szCs w:val="24"/>
        </w:rPr>
        <w:t>, 20</w:t>
      </w:r>
      <w:r w:rsidR="00B154C3">
        <w:rPr>
          <w:rStyle w:val="MessageHeaderLabel"/>
          <w:rFonts w:ascii="Times New Roman" w:hAnsi="Times New Roman" w:cs="Times New Roman"/>
          <w:b w:val="0"/>
          <w:spacing w:val="0"/>
          <w:sz w:val="24"/>
          <w:szCs w:val="24"/>
        </w:rPr>
        <w:t>22</w:t>
      </w:r>
    </w:p>
    <w:p w:rsidRPr="008D442D" w:rsidR="00BE4155" w:rsidP="008D442D" w:rsidRDefault="00BE4155" w14:paraId="2B3B749A" w14:textId="233863F3">
      <w:pPr>
        <w:spacing w:after="0"/>
        <w:rPr>
          <w:rStyle w:val="MessageHeaderLabel"/>
          <w:rFonts w:ascii="Times New Roman" w:hAnsi="Times New Roman" w:cs="Times New Roman"/>
          <w:spacing w:val="0"/>
          <w:sz w:val="24"/>
          <w:szCs w:val="24"/>
        </w:rPr>
      </w:pPr>
      <w:r w:rsidRPr="002853F7">
        <w:rPr>
          <w:rStyle w:val="MessageHeaderLabel"/>
          <w:rFonts w:ascii="Times New Roman" w:hAnsi="Times New Roman" w:cs="Times New Roman"/>
          <w:spacing w:val="0"/>
          <w:sz w:val="24"/>
          <w:szCs w:val="24"/>
        </w:rPr>
        <w:t>To:</w:t>
      </w:r>
      <w:r w:rsidRPr="008D442D">
        <w:rPr>
          <w:rStyle w:val="MessageHeaderLabel"/>
          <w:rFonts w:ascii="Times New Roman" w:hAnsi="Times New Roman" w:cs="Times New Roman"/>
          <w:spacing w:val="0"/>
          <w:sz w:val="24"/>
          <w:szCs w:val="24"/>
        </w:rPr>
        <w:tab/>
      </w:r>
      <w:r w:rsidR="008D442D">
        <w:rPr>
          <w:rStyle w:val="MessageHeaderLabel"/>
          <w:rFonts w:ascii="Times New Roman" w:hAnsi="Times New Roman" w:cs="Times New Roman"/>
          <w:spacing w:val="0"/>
          <w:sz w:val="24"/>
          <w:szCs w:val="24"/>
        </w:rPr>
        <w:tab/>
      </w:r>
      <w:r w:rsidRPr="008D442D" w:rsidR="004D2330">
        <w:rPr>
          <w:rStyle w:val="MessageHeaderLabel"/>
          <w:rFonts w:ascii="Times New Roman" w:hAnsi="Times New Roman" w:cs="Times New Roman"/>
          <w:b w:val="0"/>
          <w:bCs w:val="0"/>
          <w:spacing w:val="0"/>
          <w:sz w:val="24"/>
          <w:szCs w:val="24"/>
        </w:rPr>
        <w:t xml:space="preserve">Robert Sivinski, </w:t>
      </w:r>
      <w:r w:rsidRPr="008D442D" w:rsidR="003C68E4">
        <w:rPr>
          <w:rStyle w:val="MessageHeaderLabel"/>
          <w:rFonts w:ascii="Times New Roman" w:hAnsi="Times New Roman" w:cs="Times New Roman"/>
          <w:b w:val="0"/>
          <w:bCs w:val="0"/>
          <w:spacing w:val="0"/>
          <w:sz w:val="24"/>
          <w:szCs w:val="24"/>
        </w:rPr>
        <w:t>OMB</w:t>
      </w:r>
    </w:p>
    <w:p w:rsidRPr="008D442D" w:rsidR="00BE4155" w:rsidP="008D442D" w:rsidRDefault="00BE4155" w14:paraId="22F4FB62" w14:textId="455F1940">
      <w:pPr>
        <w:spacing w:after="0"/>
        <w:rPr>
          <w:rStyle w:val="MessageHeaderLabel"/>
          <w:rFonts w:ascii="Times New Roman" w:hAnsi="Times New Roman" w:cs="Times New Roman"/>
          <w:spacing w:val="0"/>
          <w:sz w:val="24"/>
          <w:szCs w:val="24"/>
        </w:rPr>
      </w:pPr>
      <w:r w:rsidRPr="002853F7">
        <w:rPr>
          <w:rStyle w:val="MessageHeaderLabel"/>
          <w:rFonts w:ascii="Times New Roman" w:hAnsi="Times New Roman" w:cs="Times New Roman"/>
          <w:spacing w:val="0"/>
          <w:sz w:val="24"/>
          <w:szCs w:val="24"/>
        </w:rPr>
        <w:t>From:</w:t>
      </w:r>
      <w:r w:rsidRPr="008D442D">
        <w:rPr>
          <w:rStyle w:val="MessageHeaderLabel"/>
          <w:rFonts w:ascii="Times New Roman" w:hAnsi="Times New Roman" w:cs="Times New Roman"/>
          <w:spacing w:val="0"/>
          <w:sz w:val="24"/>
          <w:szCs w:val="24"/>
        </w:rPr>
        <w:tab/>
      </w:r>
      <w:r w:rsidR="008D442D">
        <w:rPr>
          <w:rStyle w:val="MessageHeaderLabel"/>
          <w:rFonts w:ascii="Times New Roman" w:hAnsi="Times New Roman" w:cs="Times New Roman"/>
          <w:spacing w:val="0"/>
          <w:sz w:val="24"/>
          <w:szCs w:val="24"/>
        </w:rPr>
        <w:tab/>
      </w:r>
      <w:r w:rsidRPr="008D442D" w:rsidR="00996325">
        <w:rPr>
          <w:rStyle w:val="MessageHeaderLabel"/>
          <w:rFonts w:ascii="Times New Roman" w:hAnsi="Times New Roman" w:cs="Times New Roman"/>
          <w:b w:val="0"/>
          <w:bCs w:val="0"/>
          <w:spacing w:val="0"/>
          <w:sz w:val="24"/>
          <w:szCs w:val="24"/>
        </w:rPr>
        <w:t>Kelly Worthington</w:t>
      </w:r>
      <w:r w:rsidRPr="008D442D" w:rsidR="00A76613">
        <w:rPr>
          <w:rStyle w:val="MessageHeaderLabel"/>
          <w:rFonts w:ascii="Times New Roman" w:hAnsi="Times New Roman" w:cs="Times New Roman"/>
          <w:b w:val="0"/>
          <w:bCs w:val="0"/>
          <w:spacing w:val="0"/>
          <w:sz w:val="24"/>
          <w:szCs w:val="24"/>
        </w:rPr>
        <w:t xml:space="preserve">, </w:t>
      </w:r>
      <w:r w:rsidRPr="008D442D" w:rsidR="002267D6">
        <w:rPr>
          <w:rStyle w:val="MessageHeaderLabel"/>
          <w:rFonts w:ascii="Times New Roman" w:hAnsi="Times New Roman" w:cs="Times New Roman"/>
          <w:b w:val="0"/>
          <w:bCs w:val="0"/>
          <w:spacing w:val="0"/>
          <w:sz w:val="24"/>
          <w:szCs w:val="24"/>
        </w:rPr>
        <w:t>NCES</w:t>
      </w:r>
    </w:p>
    <w:p w:rsidRPr="008D442D" w:rsidR="002267D6" w:rsidP="008D442D" w:rsidRDefault="002267D6" w14:paraId="2B5CA45D" w14:textId="4CD5BDFC">
      <w:pPr>
        <w:spacing w:after="0"/>
        <w:rPr>
          <w:rStyle w:val="MessageHeaderLabel"/>
          <w:rFonts w:ascii="Times New Roman" w:hAnsi="Times New Roman" w:cs="Times New Roman"/>
          <w:spacing w:val="0"/>
          <w:sz w:val="24"/>
          <w:szCs w:val="24"/>
        </w:rPr>
      </w:pPr>
      <w:r w:rsidRPr="002853F7">
        <w:rPr>
          <w:rStyle w:val="MessageHeaderLabel"/>
          <w:rFonts w:ascii="Times New Roman" w:hAnsi="Times New Roman" w:cs="Times New Roman"/>
          <w:spacing w:val="0"/>
          <w:sz w:val="24"/>
          <w:szCs w:val="24"/>
        </w:rPr>
        <w:t>Through:</w:t>
      </w:r>
      <w:r w:rsidRPr="008D442D">
        <w:rPr>
          <w:rStyle w:val="MessageHeaderLabel"/>
          <w:rFonts w:ascii="Times New Roman" w:hAnsi="Times New Roman" w:cs="Times New Roman"/>
          <w:spacing w:val="0"/>
          <w:sz w:val="24"/>
          <w:szCs w:val="24"/>
        </w:rPr>
        <w:tab/>
      </w:r>
      <w:r w:rsidRPr="008D442D" w:rsidR="00B154C3">
        <w:rPr>
          <w:rStyle w:val="MessageHeaderLabel"/>
          <w:rFonts w:ascii="Times New Roman" w:hAnsi="Times New Roman" w:cs="Times New Roman"/>
          <w:b w:val="0"/>
          <w:bCs w:val="0"/>
          <w:spacing w:val="0"/>
          <w:sz w:val="24"/>
          <w:szCs w:val="24"/>
        </w:rPr>
        <w:t>Carrie Clarady</w:t>
      </w:r>
      <w:r w:rsidRPr="008D442D">
        <w:rPr>
          <w:rStyle w:val="MessageHeaderLabel"/>
          <w:rFonts w:ascii="Times New Roman" w:hAnsi="Times New Roman" w:cs="Times New Roman"/>
          <w:b w:val="0"/>
          <w:bCs w:val="0"/>
          <w:spacing w:val="0"/>
          <w:sz w:val="24"/>
          <w:szCs w:val="24"/>
        </w:rPr>
        <w:t>, NCES</w:t>
      </w:r>
    </w:p>
    <w:p w:rsidRPr="008D442D" w:rsidR="00BE4155" w:rsidP="008D442D" w:rsidRDefault="00BE4155" w14:paraId="1C1A3B62" w14:textId="35CB8DCB">
      <w:pPr>
        <w:pBdr>
          <w:bottom w:val="single" w:color="auto" w:sz="4" w:space="1"/>
        </w:pBdr>
        <w:spacing w:after="0"/>
        <w:ind w:left="1440" w:hanging="1440"/>
        <w:rPr>
          <w:rStyle w:val="MessageHeaderLabel"/>
          <w:rFonts w:ascii="Times New Roman" w:hAnsi="Times New Roman" w:cs="Times New Roman"/>
          <w:spacing w:val="0"/>
          <w:sz w:val="24"/>
          <w:szCs w:val="24"/>
        </w:rPr>
      </w:pPr>
      <w:r w:rsidRPr="002853F7">
        <w:rPr>
          <w:rStyle w:val="MessageHeaderLabel"/>
          <w:rFonts w:ascii="Times New Roman" w:hAnsi="Times New Roman" w:cs="Times New Roman"/>
          <w:spacing w:val="0"/>
          <w:sz w:val="24"/>
          <w:szCs w:val="24"/>
        </w:rPr>
        <w:t>Re:</w:t>
      </w:r>
      <w:r w:rsidRPr="008D442D">
        <w:rPr>
          <w:rStyle w:val="MessageHeaderLabel"/>
          <w:rFonts w:ascii="Times New Roman" w:hAnsi="Times New Roman" w:cs="Times New Roman"/>
          <w:spacing w:val="0"/>
          <w:sz w:val="24"/>
          <w:szCs w:val="24"/>
        </w:rPr>
        <w:tab/>
      </w:r>
      <w:r w:rsidRPr="008D442D" w:rsidR="0097566F">
        <w:rPr>
          <w:rStyle w:val="MessageHeaderLabel"/>
          <w:rFonts w:ascii="Times New Roman" w:hAnsi="Times New Roman" w:cs="Times New Roman"/>
          <w:b w:val="0"/>
          <w:bCs w:val="0"/>
          <w:spacing w:val="0"/>
          <w:sz w:val="24"/>
          <w:szCs w:val="24"/>
        </w:rPr>
        <w:t xml:space="preserve">EDFacts Data Set for School Years 2022-23, 2023-24, and 2024-25 </w:t>
      </w:r>
      <w:r w:rsidRPr="008D442D" w:rsidR="007206C2">
        <w:rPr>
          <w:rStyle w:val="MessageHeaderLabel"/>
          <w:rFonts w:ascii="Times New Roman" w:hAnsi="Times New Roman" w:cs="Times New Roman"/>
          <w:b w:val="0"/>
          <w:bCs w:val="0"/>
          <w:spacing w:val="0"/>
          <w:sz w:val="24"/>
          <w:szCs w:val="24"/>
        </w:rPr>
        <w:t>Response to</w:t>
      </w:r>
      <w:r w:rsidRPr="008D442D" w:rsidR="0097566F">
        <w:rPr>
          <w:rStyle w:val="MessageHeaderLabel"/>
          <w:rFonts w:ascii="Times New Roman" w:hAnsi="Times New Roman" w:cs="Times New Roman"/>
          <w:b w:val="0"/>
          <w:bCs w:val="0"/>
          <w:spacing w:val="0"/>
          <w:sz w:val="24"/>
          <w:szCs w:val="24"/>
        </w:rPr>
        <w:t xml:space="preserve"> 30D</w:t>
      </w:r>
      <w:r w:rsidRPr="008D442D" w:rsidR="007206C2">
        <w:rPr>
          <w:rStyle w:val="MessageHeaderLabel"/>
          <w:rFonts w:ascii="Times New Roman" w:hAnsi="Times New Roman" w:cs="Times New Roman"/>
          <w:b w:val="0"/>
          <w:bCs w:val="0"/>
          <w:spacing w:val="0"/>
          <w:sz w:val="24"/>
          <w:szCs w:val="24"/>
        </w:rPr>
        <w:t xml:space="preserve"> Public Comment Change Request </w:t>
      </w:r>
      <w:r w:rsidRPr="008D442D" w:rsidR="002267D6">
        <w:rPr>
          <w:rStyle w:val="MessageHeaderLabel"/>
          <w:rFonts w:ascii="Times New Roman" w:hAnsi="Times New Roman" w:cs="Times New Roman"/>
          <w:b w:val="0"/>
          <w:bCs w:val="0"/>
          <w:spacing w:val="0"/>
          <w:sz w:val="24"/>
          <w:szCs w:val="24"/>
        </w:rPr>
        <w:t xml:space="preserve">(OMB# </w:t>
      </w:r>
      <w:r w:rsidRPr="008D442D" w:rsidR="007206C2">
        <w:rPr>
          <w:rStyle w:val="MessageHeaderLabel"/>
          <w:rFonts w:ascii="Times New Roman" w:hAnsi="Times New Roman" w:cs="Times New Roman"/>
          <w:b w:val="0"/>
          <w:bCs w:val="0"/>
          <w:spacing w:val="0"/>
          <w:sz w:val="24"/>
          <w:szCs w:val="24"/>
        </w:rPr>
        <w:t>1850-</w:t>
      </w:r>
      <w:r w:rsidRPr="008D442D" w:rsidR="00FF38CB">
        <w:rPr>
          <w:rStyle w:val="MessageHeaderLabel"/>
          <w:rFonts w:ascii="Times New Roman" w:hAnsi="Times New Roman" w:cs="Times New Roman"/>
          <w:b w:val="0"/>
          <w:bCs w:val="0"/>
          <w:spacing w:val="0"/>
          <w:sz w:val="24"/>
          <w:szCs w:val="24"/>
        </w:rPr>
        <w:t>0925</w:t>
      </w:r>
      <w:r w:rsidRPr="008D442D" w:rsidR="007206C2">
        <w:rPr>
          <w:rStyle w:val="MessageHeaderLabel"/>
          <w:rFonts w:ascii="Times New Roman" w:hAnsi="Times New Roman" w:cs="Times New Roman"/>
          <w:b w:val="0"/>
          <w:bCs w:val="0"/>
          <w:spacing w:val="0"/>
          <w:sz w:val="24"/>
          <w:szCs w:val="24"/>
        </w:rPr>
        <w:t xml:space="preserve"> v.</w:t>
      </w:r>
      <w:r w:rsidRPr="008D442D" w:rsidR="00364FD5">
        <w:rPr>
          <w:rStyle w:val="MessageHeaderLabel"/>
          <w:rFonts w:ascii="Times New Roman" w:hAnsi="Times New Roman" w:cs="Times New Roman"/>
          <w:b w:val="0"/>
          <w:bCs w:val="0"/>
          <w:spacing w:val="0"/>
          <w:sz w:val="24"/>
          <w:szCs w:val="24"/>
        </w:rPr>
        <w:t>9</w:t>
      </w:r>
      <w:r w:rsidRPr="008D442D" w:rsidR="002267D6">
        <w:rPr>
          <w:rStyle w:val="MessageHeaderLabel"/>
          <w:rFonts w:ascii="Times New Roman" w:hAnsi="Times New Roman" w:cs="Times New Roman"/>
          <w:b w:val="0"/>
          <w:bCs w:val="0"/>
          <w:spacing w:val="0"/>
          <w:sz w:val="24"/>
          <w:szCs w:val="24"/>
        </w:rPr>
        <w:t>)</w:t>
      </w:r>
    </w:p>
    <w:p w:rsidR="005C4A60" w:rsidP="008D442D" w:rsidRDefault="005C4A60" w14:paraId="3C54EC28" w14:textId="77777777">
      <w:pPr>
        <w:spacing w:before="240"/>
        <w:rPr>
          <w:rFonts w:ascii="Times New Roman" w:hAnsi="Times New Roman"/>
          <w:sz w:val="24"/>
          <w:szCs w:val="24"/>
        </w:rPr>
      </w:pPr>
      <w:r w:rsidRPr="005C4A60">
        <w:rPr>
          <w:rFonts w:ascii="Times New Roman" w:hAnsi="Times New Roman"/>
          <w:sz w:val="24"/>
          <w:szCs w:val="24"/>
        </w:rPr>
        <w:t>EDFacts is an ED initiative, conducted by NCES, to collect, analyze, report on, and promote the use of high-quality, pre-kindergarten through grade 12 (pre-K–12) performance data. EDFacts centralizes data provided by state education agencies about state level data, local education agencies, and schools, and provides users with the ability to analyze and report on submitted data. In the revised package, there are approximately 170 data groups that states may be required to report on. EDFacts data are submitted by States in two ways: upload of files and input into web screens. States interact with two applications: the submission application, used for uploading files and pre-submission data quality of those files and the EDFacts Metadata and Process System (EMAPS), used to collect supplementary metadata and data from state education agencies and IDEA Part C lead agencies. All 50 states, Washington DC, Puerto Rico, and outlying areas and freely associated states (American Samoa, Federated States of Micronesia, Guam, Marshall Islands, Commonwealth of the Northern Mariana Islands, Republic of Palau, and the U.S. Virgin Islands), the Department of Defense Education Activity (DoDEA), and the Bureau of Indian Education (BIE) are required to report data through at least one of the two reporting avenues.</w:t>
      </w:r>
    </w:p>
    <w:p w:rsidR="007206C2" w:rsidP="006B4AE4" w:rsidRDefault="00D23C52" w14:paraId="50ABFC89" w14:textId="2A4999AC">
      <w:pPr>
        <w:rPr>
          <w:rFonts w:ascii="Times New Roman" w:hAnsi="Times New Roman"/>
          <w:sz w:val="24"/>
          <w:szCs w:val="24"/>
        </w:rPr>
      </w:pPr>
      <w:r w:rsidRPr="00B71DCC">
        <w:rPr>
          <w:rFonts w:ascii="Times New Roman" w:hAnsi="Times New Roman"/>
          <w:sz w:val="24"/>
          <w:szCs w:val="24"/>
        </w:rPr>
        <w:t xml:space="preserve">The request to conduct the </w:t>
      </w:r>
      <w:r w:rsidRPr="00B71DCC" w:rsidR="00B71DCC">
        <w:rPr>
          <w:rFonts w:ascii="Times New Roman" w:hAnsi="Times New Roman"/>
          <w:sz w:val="24"/>
          <w:szCs w:val="24"/>
        </w:rPr>
        <w:t xml:space="preserve">2022-23, 2023-24, and 2024-25 EDFacts Data Collection </w:t>
      </w:r>
      <w:r w:rsidRPr="00B71DCC">
        <w:rPr>
          <w:rFonts w:ascii="Times New Roman" w:hAnsi="Times New Roman"/>
          <w:sz w:val="24"/>
          <w:szCs w:val="24"/>
        </w:rPr>
        <w:t xml:space="preserve">was approved in </w:t>
      </w:r>
      <w:r w:rsidRPr="00B71DCC" w:rsidR="00FF38CB">
        <w:rPr>
          <w:rFonts w:ascii="Times New Roman" w:hAnsi="Times New Roman"/>
          <w:sz w:val="24"/>
          <w:szCs w:val="24"/>
        </w:rPr>
        <w:t>June</w:t>
      </w:r>
      <w:r w:rsidRPr="00B71DCC">
        <w:rPr>
          <w:rFonts w:ascii="Times New Roman" w:hAnsi="Times New Roman"/>
          <w:sz w:val="24"/>
          <w:szCs w:val="24"/>
        </w:rPr>
        <w:t xml:space="preserve"> 20</w:t>
      </w:r>
      <w:r w:rsidRPr="00B71DCC" w:rsidR="00FF38CB">
        <w:rPr>
          <w:rFonts w:ascii="Times New Roman" w:hAnsi="Times New Roman"/>
          <w:sz w:val="24"/>
          <w:szCs w:val="24"/>
        </w:rPr>
        <w:t>22</w:t>
      </w:r>
      <w:r w:rsidRPr="00B71DCC">
        <w:rPr>
          <w:rFonts w:ascii="Times New Roman" w:hAnsi="Times New Roman"/>
          <w:sz w:val="24"/>
          <w:szCs w:val="24"/>
        </w:rPr>
        <w:t xml:space="preserve"> (</w:t>
      </w:r>
      <w:r w:rsidRPr="00B71DCC" w:rsidR="00327883">
        <w:rPr>
          <w:rFonts w:ascii="Times New Roman" w:hAnsi="Times New Roman"/>
          <w:sz w:val="24"/>
          <w:szCs w:val="24"/>
        </w:rPr>
        <w:t>1850-</w:t>
      </w:r>
      <w:r w:rsidRPr="00B71DCC" w:rsidR="00FF38CB">
        <w:rPr>
          <w:rFonts w:ascii="Times New Roman" w:hAnsi="Times New Roman"/>
          <w:sz w:val="24"/>
          <w:szCs w:val="24"/>
        </w:rPr>
        <w:t>0925</w:t>
      </w:r>
      <w:r w:rsidRPr="00B71DCC" w:rsidR="00327883">
        <w:rPr>
          <w:rFonts w:ascii="Times New Roman" w:hAnsi="Times New Roman"/>
          <w:sz w:val="24"/>
          <w:szCs w:val="24"/>
        </w:rPr>
        <w:t xml:space="preserve"> v.</w:t>
      </w:r>
      <w:r w:rsidRPr="00B71DCC" w:rsidR="00FF38CB">
        <w:rPr>
          <w:rFonts w:ascii="Times New Roman" w:hAnsi="Times New Roman"/>
          <w:sz w:val="24"/>
          <w:szCs w:val="24"/>
        </w:rPr>
        <w:t>8</w:t>
      </w:r>
      <w:r w:rsidRPr="00B71DCC">
        <w:rPr>
          <w:rFonts w:ascii="Times New Roman" w:hAnsi="Times New Roman"/>
          <w:sz w:val="24"/>
          <w:szCs w:val="24"/>
        </w:rPr>
        <w:t>).</w:t>
      </w:r>
      <w:r w:rsidR="00EC6897">
        <w:rPr>
          <w:rFonts w:ascii="Times New Roman" w:hAnsi="Times New Roman"/>
          <w:sz w:val="24"/>
          <w:szCs w:val="24"/>
        </w:rPr>
        <w:t xml:space="preserve"> This approval took place before the </w:t>
      </w:r>
      <w:r w:rsidR="00FD7ECA">
        <w:rPr>
          <w:rFonts w:ascii="Times New Roman" w:hAnsi="Times New Roman"/>
          <w:sz w:val="24"/>
          <w:szCs w:val="24"/>
        </w:rPr>
        <w:t xml:space="preserve">EDFacts program completed its response to 30D </w:t>
      </w:r>
      <w:r w:rsidRPr="00996325" w:rsidR="00FD7ECA">
        <w:rPr>
          <w:rFonts w:ascii="Times New Roman" w:hAnsi="Times New Roman"/>
          <w:sz w:val="24"/>
          <w:szCs w:val="24"/>
        </w:rPr>
        <w:t>public comments</w:t>
      </w:r>
      <w:r w:rsidRPr="00996325" w:rsidR="000E384C">
        <w:rPr>
          <w:rFonts w:ascii="Times New Roman" w:hAnsi="Times New Roman"/>
          <w:sz w:val="24"/>
          <w:szCs w:val="24"/>
        </w:rPr>
        <w:t xml:space="preserve">. </w:t>
      </w:r>
      <w:r w:rsidRPr="00996325" w:rsidR="007206C2">
        <w:rPr>
          <w:rFonts w:ascii="Times New Roman" w:hAnsi="Times New Roman"/>
          <w:sz w:val="24"/>
          <w:szCs w:val="24"/>
        </w:rPr>
        <w:t xml:space="preserve">This request is to amend the </w:t>
      </w:r>
      <w:r w:rsidRPr="00996325" w:rsidR="000E384C">
        <w:rPr>
          <w:rFonts w:ascii="Times New Roman" w:hAnsi="Times New Roman"/>
          <w:sz w:val="24"/>
          <w:szCs w:val="24"/>
        </w:rPr>
        <w:t xml:space="preserve">2022-23, 2023-24, and 2024-25 EDFacts Data Collection </w:t>
      </w:r>
      <w:r w:rsidRPr="00996325" w:rsidR="007206C2">
        <w:rPr>
          <w:rFonts w:ascii="Times New Roman" w:hAnsi="Times New Roman"/>
          <w:sz w:val="24"/>
          <w:szCs w:val="24"/>
        </w:rPr>
        <w:t xml:space="preserve">record with the </w:t>
      </w:r>
      <w:r w:rsidRPr="00996325" w:rsidR="00E43D61">
        <w:rPr>
          <w:rFonts w:ascii="Times New Roman" w:hAnsi="Times New Roman"/>
          <w:sz w:val="24"/>
          <w:szCs w:val="24"/>
        </w:rPr>
        <w:t>finalized Response to 30-day Public Comments</w:t>
      </w:r>
      <w:r w:rsidRPr="00996325" w:rsidR="000E384C">
        <w:rPr>
          <w:rFonts w:ascii="Times New Roman" w:hAnsi="Times New Roman"/>
          <w:sz w:val="24"/>
          <w:szCs w:val="24"/>
        </w:rPr>
        <w:t xml:space="preserve">, as well as </w:t>
      </w:r>
      <w:r w:rsidR="00300679">
        <w:rPr>
          <w:rFonts w:ascii="Times New Roman" w:hAnsi="Times New Roman"/>
          <w:sz w:val="24"/>
          <w:szCs w:val="24"/>
        </w:rPr>
        <w:t>other documents</w:t>
      </w:r>
      <w:r w:rsidRPr="00996325" w:rsidR="00996325">
        <w:rPr>
          <w:rFonts w:ascii="Times New Roman" w:hAnsi="Times New Roman"/>
          <w:sz w:val="24"/>
          <w:szCs w:val="24"/>
        </w:rPr>
        <w:t xml:space="preserve"> that were edited in response to comments received during the 30D public comment period.  </w:t>
      </w:r>
    </w:p>
    <w:p w:rsidRPr="00996325" w:rsidR="001D4C0F" w:rsidP="006B4AE4" w:rsidRDefault="001D4C0F" w14:paraId="64992E94" w14:textId="5B562E17">
      <w:pPr>
        <w:rPr>
          <w:rFonts w:ascii="Times New Roman" w:hAnsi="Times New Roman"/>
          <w:sz w:val="24"/>
          <w:szCs w:val="24"/>
        </w:rPr>
      </w:pPr>
      <w:r>
        <w:rPr>
          <w:rFonts w:ascii="Times New Roman" w:hAnsi="Times New Roman"/>
          <w:sz w:val="24"/>
          <w:szCs w:val="24"/>
        </w:rPr>
        <w:t>See below for detailed descriptions of the changes reflected in this change request. These changes are in the Attachments A (Data Groups and Categories), Attachment E (Overview and Explanation), and Attachment F-1 (Response to 30D Public Comments).</w:t>
      </w:r>
    </w:p>
    <w:p w:rsidR="006F1FFB" w:rsidP="00CE208E" w:rsidRDefault="006F1FFB" w14:paraId="7D9C0D28" w14:textId="0DBCF612">
      <w:pPr>
        <w:rPr>
          <w:rFonts w:ascii="Times New Roman" w:hAnsi="Times New Roman"/>
          <w:sz w:val="24"/>
          <w:szCs w:val="24"/>
        </w:rPr>
      </w:pPr>
      <w:r w:rsidRPr="00B71DCC">
        <w:rPr>
          <w:rFonts w:ascii="Times New Roman" w:hAnsi="Times New Roman"/>
          <w:sz w:val="24"/>
          <w:szCs w:val="24"/>
        </w:rPr>
        <w:t>This request does not introduce changes to respondent burden or</w:t>
      </w:r>
      <w:r w:rsidRPr="00B71DCC" w:rsidR="0038441E">
        <w:rPr>
          <w:rFonts w:ascii="Times New Roman" w:hAnsi="Times New Roman"/>
          <w:sz w:val="24"/>
          <w:szCs w:val="24"/>
        </w:rPr>
        <w:t xml:space="preserve"> </w:t>
      </w:r>
      <w:r w:rsidRPr="00B71DCC" w:rsidR="0016321E">
        <w:rPr>
          <w:rFonts w:ascii="Times New Roman" w:hAnsi="Times New Roman"/>
          <w:sz w:val="24"/>
          <w:szCs w:val="24"/>
        </w:rPr>
        <w:t>the</w:t>
      </w:r>
      <w:r w:rsidRPr="00B71DCC" w:rsidR="0038441E">
        <w:rPr>
          <w:rFonts w:ascii="Times New Roman" w:hAnsi="Times New Roman"/>
          <w:sz w:val="24"/>
          <w:szCs w:val="24"/>
        </w:rPr>
        <w:t xml:space="preserve"> </w:t>
      </w:r>
      <w:r w:rsidRPr="00B71DCC">
        <w:rPr>
          <w:rFonts w:ascii="Times New Roman" w:hAnsi="Times New Roman"/>
          <w:sz w:val="24"/>
          <w:szCs w:val="24"/>
        </w:rPr>
        <w:t>cost to the federal government.</w:t>
      </w:r>
    </w:p>
    <w:p w:rsidR="00282CD3" w:rsidRDefault="00282CD3" w14:paraId="1B9B5CD2" w14:textId="3E2B4659">
      <w:pPr>
        <w:spacing w:after="0" w:line="240" w:lineRule="auto"/>
        <w:rPr>
          <w:rFonts w:ascii="Times New Roman" w:hAnsi="Times New Roman"/>
          <w:sz w:val="24"/>
          <w:szCs w:val="24"/>
        </w:rPr>
      </w:pPr>
      <w:r>
        <w:rPr>
          <w:rFonts w:ascii="Times New Roman" w:hAnsi="Times New Roman"/>
          <w:sz w:val="24"/>
          <w:szCs w:val="24"/>
        </w:rPr>
        <w:br w:type="page"/>
      </w:r>
    </w:p>
    <w:p w:rsidR="00A4193C" w:rsidP="00F737ED" w:rsidRDefault="00300679" w14:paraId="1D368F7D" w14:textId="4D96F695">
      <w:pPr>
        <w:pStyle w:val="Heading1"/>
      </w:pPr>
      <w:r>
        <w:lastRenderedPageBreak/>
        <w:t>Attachments A – Data Groups and Categories</w:t>
      </w:r>
    </w:p>
    <w:p w:rsidR="00282CD3" w:rsidP="00282CD3" w:rsidRDefault="006E7488" w14:paraId="6AF95246" w14:textId="4830164F">
      <w:pPr>
        <w:rPr>
          <w:rFonts w:ascii="Times New Roman" w:hAnsi="Times New Roman"/>
          <w:sz w:val="24"/>
          <w:szCs w:val="24"/>
        </w:rPr>
      </w:pPr>
      <w:r>
        <w:rPr>
          <w:rFonts w:ascii="Times New Roman" w:hAnsi="Times New Roman"/>
          <w:sz w:val="24"/>
          <w:szCs w:val="24"/>
        </w:rPr>
        <w:t>The table below is a s</w:t>
      </w:r>
      <w:r w:rsidR="00282CD3">
        <w:rPr>
          <w:rFonts w:ascii="Times New Roman" w:hAnsi="Times New Roman"/>
          <w:sz w:val="24"/>
          <w:szCs w:val="24"/>
        </w:rPr>
        <w:t>ummary of changes</w:t>
      </w:r>
      <w:r w:rsidR="008E00D1">
        <w:rPr>
          <w:rFonts w:ascii="Times New Roman" w:hAnsi="Times New Roman"/>
          <w:sz w:val="24"/>
          <w:szCs w:val="24"/>
        </w:rPr>
        <w:t xml:space="preserve"> to the EDFacts Data Groups and Categories</w:t>
      </w:r>
      <w:r w:rsidR="00282CD3">
        <w:rPr>
          <w:rFonts w:ascii="Times New Roman" w:hAnsi="Times New Roman"/>
          <w:sz w:val="24"/>
          <w:szCs w:val="24"/>
        </w:rPr>
        <w:t xml:space="preserve"> between the 30D package (as cleared in v. 8) and the final package (presented here for clearance and review)</w:t>
      </w:r>
      <w:r w:rsidR="008E00D1">
        <w:rPr>
          <w:rFonts w:ascii="Times New Roman" w:hAnsi="Times New Roman"/>
          <w:sz w:val="24"/>
          <w:szCs w:val="24"/>
        </w:rPr>
        <w:t>.</w:t>
      </w:r>
    </w:p>
    <w:p w:rsidR="00282CD3" w:rsidP="00074A90" w:rsidRDefault="00074A90" w14:paraId="79D6332C" w14:textId="0F70583D">
      <w:pPr>
        <w:spacing w:before="100" w:beforeAutospacing="1" w:after="0" w:line="240" w:lineRule="auto"/>
      </w:pPr>
      <w:r>
        <w:rPr>
          <w:b/>
          <w:bCs/>
        </w:rPr>
        <w:t xml:space="preserve">Table 1. </w:t>
      </w:r>
      <w:r w:rsidR="00282CD3">
        <w:rPr>
          <w:b/>
          <w:bCs/>
        </w:rPr>
        <w:t xml:space="preserve">Final Package </w:t>
      </w:r>
      <w:r w:rsidR="00EE093D">
        <w:rPr>
          <w:b/>
          <w:bCs/>
        </w:rPr>
        <w:t xml:space="preserve">v. 9 </w:t>
      </w:r>
      <w:r w:rsidR="00282CD3">
        <w:rPr>
          <w:b/>
          <w:bCs/>
        </w:rPr>
        <w:t>(Compared to 30-day Package</w:t>
      </w:r>
      <w:r w:rsidR="00EE093D">
        <w:rPr>
          <w:b/>
          <w:bCs/>
        </w:rPr>
        <w:t xml:space="preserve"> v.8</w:t>
      </w:r>
      <w:r w:rsidR="00282CD3">
        <w:rPr>
          <w:b/>
          <w:bCs/>
        </w:rPr>
        <w:t>)</w:t>
      </w:r>
    </w:p>
    <w:tbl>
      <w:tblPr>
        <w:tblW w:w="0" w:type="auto"/>
        <w:tblCellMar>
          <w:left w:w="0" w:type="dxa"/>
          <w:right w:w="0" w:type="dxa"/>
        </w:tblCellMar>
        <w:tblLook w:val="04A0" w:firstRow="1" w:lastRow="0" w:firstColumn="1" w:lastColumn="0" w:noHBand="0" w:noVBand="1"/>
      </w:tblPr>
      <w:tblGrid>
        <w:gridCol w:w="2332"/>
        <w:gridCol w:w="1440"/>
        <w:gridCol w:w="1800"/>
      </w:tblGrid>
      <w:tr w:rsidR="00282CD3" w:rsidTr="00D16761" w14:paraId="27B05685" w14:textId="77777777">
        <w:tc>
          <w:tcPr>
            <w:tcW w:w="2332"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00282CD3" w:rsidP="00D16761" w:rsidRDefault="00282CD3" w14:paraId="297626FB" w14:textId="77777777">
            <w:pPr>
              <w:spacing w:before="100" w:beforeAutospacing="1" w:after="100" w:afterAutospacing="1"/>
            </w:pPr>
            <w:r>
              <w:rPr>
                <w:b/>
                <w:bCs/>
                <w:color w:val="000000"/>
              </w:rPr>
              <w:t>Change Status</w:t>
            </w:r>
          </w:p>
        </w:tc>
        <w:tc>
          <w:tcPr>
            <w:tcW w:w="144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hideMark/>
          </w:tcPr>
          <w:p w:rsidR="00282CD3" w:rsidP="00D16761" w:rsidRDefault="00282CD3" w14:paraId="34C238BC" w14:textId="77777777">
            <w:pPr>
              <w:spacing w:before="100" w:beforeAutospacing="1" w:after="100" w:afterAutospacing="1"/>
              <w:jc w:val="center"/>
            </w:pPr>
            <w:r>
              <w:rPr>
                <w:b/>
                <w:bCs/>
                <w:color w:val="000000"/>
              </w:rPr>
              <w:t>Data Groups (165)</w:t>
            </w:r>
          </w:p>
        </w:tc>
        <w:tc>
          <w:tcPr>
            <w:tcW w:w="180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hideMark/>
          </w:tcPr>
          <w:p w:rsidR="00282CD3" w:rsidP="00D16761" w:rsidRDefault="00282CD3" w14:paraId="1A075E10" w14:textId="77777777">
            <w:pPr>
              <w:spacing w:before="100" w:beforeAutospacing="1" w:after="100" w:afterAutospacing="1"/>
              <w:jc w:val="center"/>
            </w:pPr>
            <w:r>
              <w:rPr>
                <w:b/>
                <w:bCs/>
                <w:color w:val="000000"/>
              </w:rPr>
              <w:t>Data Categories (136)</w:t>
            </w:r>
          </w:p>
        </w:tc>
      </w:tr>
      <w:tr w:rsidR="00282CD3" w:rsidTr="00D16761" w14:paraId="75B38C7F" w14:textId="77777777">
        <w:tc>
          <w:tcPr>
            <w:tcW w:w="23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82CD3" w:rsidP="00D16761" w:rsidRDefault="00282CD3" w14:paraId="32F3E377" w14:textId="77777777">
            <w:pPr>
              <w:spacing w:before="100" w:beforeAutospacing="1" w:after="100" w:afterAutospacing="1"/>
            </w:pPr>
            <w:r>
              <w:rPr>
                <w:b/>
                <w:bCs/>
              </w:rPr>
              <w:t>Revised</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00282CD3" w:rsidP="00D16761" w:rsidRDefault="00282CD3" w14:paraId="516A1A15" w14:textId="77777777">
            <w:pPr>
              <w:spacing w:before="100" w:beforeAutospacing="1" w:after="100" w:afterAutospacing="1"/>
              <w:jc w:val="center"/>
            </w:pPr>
            <w:r>
              <w:t>4</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00282CD3" w:rsidP="00D16761" w:rsidRDefault="00282CD3" w14:paraId="6E7766E7" w14:textId="77777777">
            <w:pPr>
              <w:spacing w:before="100" w:beforeAutospacing="1" w:after="100" w:afterAutospacing="1"/>
              <w:jc w:val="center"/>
            </w:pPr>
            <w:r>
              <w:t>0</w:t>
            </w:r>
          </w:p>
        </w:tc>
      </w:tr>
      <w:tr w:rsidR="00282CD3" w:rsidTr="00D16761" w14:paraId="02140163" w14:textId="77777777">
        <w:tc>
          <w:tcPr>
            <w:tcW w:w="23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82CD3" w:rsidP="00D16761" w:rsidRDefault="00282CD3" w14:paraId="0421E997" w14:textId="77777777">
            <w:pPr>
              <w:spacing w:before="100" w:beforeAutospacing="1" w:after="100" w:afterAutospacing="1"/>
            </w:pPr>
            <w:r>
              <w:rPr>
                <w:b/>
                <w:bCs/>
              </w:rPr>
              <w:t>Technical Corrections</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00282CD3" w:rsidP="00D16761" w:rsidRDefault="00282CD3" w14:paraId="240AE64D" w14:textId="77777777">
            <w:pPr>
              <w:spacing w:before="100" w:beforeAutospacing="1" w:after="100" w:afterAutospacing="1"/>
              <w:jc w:val="center"/>
            </w:pPr>
            <w:r>
              <w:t>19</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00282CD3" w:rsidP="00D16761" w:rsidRDefault="00282CD3" w14:paraId="5131E466" w14:textId="77777777">
            <w:pPr>
              <w:spacing w:before="100" w:beforeAutospacing="1" w:after="100" w:afterAutospacing="1"/>
              <w:jc w:val="center"/>
            </w:pPr>
            <w:r>
              <w:t>3</w:t>
            </w:r>
          </w:p>
        </w:tc>
      </w:tr>
      <w:tr w:rsidR="00282CD3" w:rsidTr="00D16761" w14:paraId="457F429C" w14:textId="77777777">
        <w:tc>
          <w:tcPr>
            <w:tcW w:w="23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82CD3" w:rsidP="00D16761" w:rsidRDefault="00282CD3" w14:paraId="5485EEC2" w14:textId="77777777">
            <w:pPr>
              <w:spacing w:before="100" w:beforeAutospacing="1" w:after="100" w:afterAutospacing="1"/>
            </w:pPr>
            <w:r>
              <w:rPr>
                <w:b/>
                <w:bCs/>
              </w:rPr>
              <w:t>No Change</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00282CD3" w:rsidP="00D16761" w:rsidRDefault="00282CD3" w14:paraId="3125605F" w14:textId="77777777">
            <w:pPr>
              <w:spacing w:before="100" w:beforeAutospacing="1" w:after="100" w:afterAutospacing="1"/>
              <w:jc w:val="center"/>
            </w:pPr>
            <w:r>
              <w:t>142</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00282CD3" w:rsidP="00D16761" w:rsidRDefault="00282CD3" w14:paraId="01EEE978" w14:textId="77777777">
            <w:pPr>
              <w:spacing w:before="100" w:beforeAutospacing="1" w:after="100" w:afterAutospacing="1"/>
              <w:jc w:val="center"/>
            </w:pPr>
            <w:r>
              <w:t>133</w:t>
            </w:r>
          </w:p>
        </w:tc>
      </w:tr>
    </w:tbl>
    <w:p w:rsidR="007C30A0" w:rsidP="007C30A0" w:rsidRDefault="007C30A0" w14:paraId="3C72B52F" w14:textId="77777777">
      <w:pPr>
        <w:spacing w:after="0" w:line="240" w:lineRule="auto"/>
        <w:rPr>
          <w:rFonts w:ascii="Times New Roman" w:hAnsi="Times New Roman"/>
          <w:sz w:val="24"/>
          <w:szCs w:val="24"/>
        </w:rPr>
      </w:pPr>
    </w:p>
    <w:p w:rsidR="008E00D1" w:rsidP="007C30A0" w:rsidRDefault="008E00D1" w14:paraId="37551D7E" w14:textId="32C58331">
      <w:pPr>
        <w:spacing w:after="0" w:line="240" w:lineRule="auto"/>
        <w:rPr>
          <w:rFonts w:ascii="Times New Roman" w:hAnsi="Times New Roman"/>
          <w:sz w:val="24"/>
          <w:szCs w:val="24"/>
        </w:rPr>
      </w:pPr>
      <w:r>
        <w:rPr>
          <w:rFonts w:ascii="Times New Roman" w:hAnsi="Times New Roman"/>
          <w:sz w:val="24"/>
          <w:szCs w:val="24"/>
        </w:rPr>
        <w:t>A</w:t>
      </w:r>
      <w:r w:rsidR="007D2EF8">
        <w:rPr>
          <w:rFonts w:ascii="Times New Roman" w:hAnsi="Times New Roman"/>
          <w:sz w:val="24"/>
          <w:szCs w:val="24"/>
        </w:rPr>
        <w:t>ttached to this memo ar</w:t>
      </w:r>
      <w:r w:rsidR="005E46BE">
        <w:rPr>
          <w:rFonts w:ascii="Times New Roman" w:hAnsi="Times New Roman"/>
          <w:sz w:val="24"/>
          <w:szCs w:val="24"/>
        </w:rPr>
        <w:t xml:space="preserve">e </w:t>
      </w:r>
      <w:r w:rsidR="00F720EE">
        <w:rPr>
          <w:rFonts w:ascii="Times New Roman" w:hAnsi="Times New Roman"/>
          <w:sz w:val="24"/>
          <w:szCs w:val="24"/>
        </w:rPr>
        <w:t>three</w:t>
      </w:r>
      <w:r w:rsidR="005E46BE">
        <w:rPr>
          <w:rFonts w:ascii="Times New Roman" w:hAnsi="Times New Roman"/>
          <w:sz w:val="24"/>
          <w:szCs w:val="24"/>
        </w:rPr>
        <w:t xml:space="preserve"> documents pertaining to the Data Groups and Categories:</w:t>
      </w:r>
    </w:p>
    <w:p w:rsidR="00D1291B" w:rsidP="00D6259C" w:rsidRDefault="005E46BE" w14:paraId="6A3C9075" w14:textId="647B01FF">
      <w:pPr>
        <w:pStyle w:val="ListParagraph"/>
        <w:numPr>
          <w:ilvl w:val="0"/>
          <w:numId w:val="35"/>
        </w:numPr>
        <w:spacing w:after="0" w:line="240" w:lineRule="auto"/>
        <w:rPr>
          <w:rFonts w:ascii="Times New Roman" w:hAnsi="Times New Roman"/>
          <w:sz w:val="24"/>
          <w:szCs w:val="24"/>
        </w:rPr>
      </w:pPr>
      <w:r w:rsidRPr="00D1291B">
        <w:rPr>
          <w:rFonts w:ascii="Times New Roman" w:hAnsi="Times New Roman"/>
          <w:sz w:val="24"/>
          <w:szCs w:val="24"/>
        </w:rPr>
        <w:t xml:space="preserve">Attachment A </w:t>
      </w:r>
      <w:r w:rsidRPr="00D1291B" w:rsidR="00E53B68">
        <w:rPr>
          <w:rFonts w:ascii="Times New Roman" w:hAnsi="Times New Roman"/>
          <w:sz w:val="24"/>
          <w:szCs w:val="24"/>
        </w:rPr>
        <w:t>Data Groups and Categories (Excel) – this is the master document describing the data groups and categories collected as part of EDFacts</w:t>
      </w:r>
      <w:r w:rsidR="00B34B33">
        <w:rPr>
          <w:rFonts w:ascii="Times New Roman" w:hAnsi="Times New Roman"/>
          <w:sz w:val="24"/>
          <w:szCs w:val="24"/>
        </w:rPr>
        <w:t>.</w:t>
      </w:r>
    </w:p>
    <w:p w:rsidR="00E53B68" w:rsidP="00D6259C" w:rsidRDefault="00E53B68" w14:paraId="6E772D23" w14:textId="54EA354D">
      <w:pPr>
        <w:pStyle w:val="ListParagraph"/>
        <w:numPr>
          <w:ilvl w:val="0"/>
          <w:numId w:val="35"/>
        </w:numPr>
        <w:spacing w:after="0" w:line="240" w:lineRule="auto"/>
        <w:rPr>
          <w:rFonts w:ascii="Times New Roman" w:hAnsi="Times New Roman"/>
          <w:sz w:val="24"/>
          <w:szCs w:val="24"/>
        </w:rPr>
      </w:pPr>
      <w:r w:rsidRPr="00D1291B">
        <w:rPr>
          <w:rFonts w:ascii="Times New Roman" w:hAnsi="Times New Roman"/>
          <w:sz w:val="24"/>
          <w:szCs w:val="24"/>
        </w:rPr>
        <w:t xml:space="preserve">Attachments A Data Groups and Categories (PDF) – some </w:t>
      </w:r>
      <w:r w:rsidRPr="00D1291B" w:rsidR="00D1291B">
        <w:rPr>
          <w:rFonts w:ascii="Times New Roman" w:hAnsi="Times New Roman"/>
          <w:sz w:val="24"/>
          <w:szCs w:val="24"/>
        </w:rPr>
        <w:t xml:space="preserve">states/LEAs/SEAs have requested Attachment A in PDF formats. </w:t>
      </w:r>
      <w:r w:rsidR="000F5B61">
        <w:rPr>
          <w:rFonts w:ascii="Times New Roman" w:hAnsi="Times New Roman"/>
          <w:sz w:val="24"/>
          <w:szCs w:val="24"/>
        </w:rPr>
        <w:t xml:space="preserve">On the first sheet of </w:t>
      </w:r>
      <w:r w:rsidR="00927DE2">
        <w:rPr>
          <w:rFonts w:ascii="Times New Roman" w:hAnsi="Times New Roman"/>
          <w:sz w:val="24"/>
          <w:szCs w:val="24"/>
        </w:rPr>
        <w:t xml:space="preserve">the above-referenced </w:t>
      </w:r>
      <w:r w:rsidR="00B34B33">
        <w:rPr>
          <w:rFonts w:ascii="Times New Roman" w:hAnsi="Times New Roman"/>
          <w:sz w:val="24"/>
          <w:szCs w:val="24"/>
        </w:rPr>
        <w:t xml:space="preserve">master </w:t>
      </w:r>
      <w:r w:rsidR="00927DE2">
        <w:rPr>
          <w:rFonts w:ascii="Times New Roman" w:hAnsi="Times New Roman"/>
          <w:sz w:val="24"/>
          <w:szCs w:val="24"/>
        </w:rPr>
        <w:t xml:space="preserve">Excel sheet is a crosswalk between the Excel document and the </w:t>
      </w:r>
      <w:r w:rsidR="00437FF8">
        <w:rPr>
          <w:rFonts w:ascii="Times New Roman" w:hAnsi="Times New Roman"/>
          <w:sz w:val="24"/>
          <w:szCs w:val="24"/>
        </w:rPr>
        <w:t xml:space="preserve">pages </w:t>
      </w:r>
      <w:r w:rsidR="007503AC">
        <w:rPr>
          <w:rFonts w:ascii="Times New Roman" w:hAnsi="Times New Roman"/>
          <w:sz w:val="24"/>
          <w:szCs w:val="24"/>
        </w:rPr>
        <w:t>of the PDF document that contain</w:t>
      </w:r>
      <w:r w:rsidR="00437FF8">
        <w:rPr>
          <w:rFonts w:ascii="Times New Roman" w:hAnsi="Times New Roman"/>
          <w:sz w:val="24"/>
          <w:szCs w:val="24"/>
        </w:rPr>
        <w:t xml:space="preserve"> the same information. </w:t>
      </w:r>
    </w:p>
    <w:p w:rsidR="007503AC" w:rsidP="00D6259C" w:rsidRDefault="00D1291B" w14:paraId="6D26548C" w14:textId="5E46CE1C">
      <w:pPr>
        <w:pStyle w:val="ListParagraph"/>
        <w:numPr>
          <w:ilvl w:val="0"/>
          <w:numId w:val="35"/>
        </w:numPr>
        <w:spacing w:after="0" w:line="240" w:lineRule="auto"/>
        <w:rPr>
          <w:rFonts w:ascii="Times New Roman" w:hAnsi="Times New Roman"/>
          <w:sz w:val="24"/>
          <w:szCs w:val="24"/>
        </w:rPr>
      </w:pPr>
      <w:r w:rsidRPr="00D1291B">
        <w:rPr>
          <w:rFonts w:ascii="Times New Roman" w:hAnsi="Times New Roman"/>
          <w:sz w:val="24"/>
          <w:szCs w:val="24"/>
        </w:rPr>
        <w:t xml:space="preserve">Attachments A-1 Data Groups and Categories (PDF) – </w:t>
      </w:r>
      <w:r w:rsidR="00085C11">
        <w:rPr>
          <w:rFonts w:ascii="Times New Roman" w:hAnsi="Times New Roman"/>
          <w:sz w:val="24"/>
          <w:szCs w:val="24"/>
        </w:rPr>
        <w:t>This is an addition to the PDF version of Attachment A, added to this package</w:t>
      </w:r>
      <w:r w:rsidR="007503AC">
        <w:rPr>
          <w:rFonts w:ascii="Times New Roman" w:hAnsi="Times New Roman"/>
          <w:sz w:val="24"/>
          <w:szCs w:val="24"/>
        </w:rPr>
        <w:t xml:space="preserve"> after the 30D review and edits so that the </w:t>
      </w:r>
      <w:r w:rsidR="00361BEC">
        <w:rPr>
          <w:rFonts w:ascii="Times New Roman" w:hAnsi="Times New Roman"/>
          <w:sz w:val="24"/>
          <w:szCs w:val="24"/>
        </w:rPr>
        <w:t xml:space="preserve">Attachment A (PDF) would not be overly long. </w:t>
      </w:r>
      <w:r w:rsidR="007503AC">
        <w:rPr>
          <w:rFonts w:ascii="Times New Roman" w:hAnsi="Times New Roman"/>
          <w:sz w:val="24"/>
          <w:szCs w:val="24"/>
        </w:rPr>
        <w:t xml:space="preserve">On the first sheet of the above-referenced </w:t>
      </w:r>
      <w:r w:rsidR="00B34B33">
        <w:rPr>
          <w:rFonts w:ascii="Times New Roman" w:hAnsi="Times New Roman"/>
          <w:sz w:val="24"/>
          <w:szCs w:val="24"/>
        </w:rPr>
        <w:t xml:space="preserve">master </w:t>
      </w:r>
      <w:r w:rsidR="007503AC">
        <w:rPr>
          <w:rFonts w:ascii="Times New Roman" w:hAnsi="Times New Roman"/>
          <w:sz w:val="24"/>
          <w:szCs w:val="24"/>
        </w:rPr>
        <w:t xml:space="preserve">Excel sheet is a crosswalk between the Excel document and the pages of the PDF document that contain the same information. </w:t>
      </w:r>
    </w:p>
    <w:p w:rsidRPr="00F720EE" w:rsidR="00F720EE" w:rsidP="00F720EE" w:rsidRDefault="00F720EE" w14:paraId="5D5DE3CF" w14:textId="114154C4">
      <w:pPr>
        <w:spacing w:before="240" w:line="240" w:lineRule="auto"/>
        <w:rPr>
          <w:rFonts w:ascii="Times New Roman" w:hAnsi="Times New Roman"/>
          <w:sz w:val="24"/>
          <w:szCs w:val="24"/>
        </w:rPr>
      </w:pPr>
      <w:r>
        <w:rPr>
          <w:rFonts w:ascii="Times New Roman" w:hAnsi="Times New Roman"/>
          <w:sz w:val="24"/>
          <w:szCs w:val="24"/>
        </w:rPr>
        <w:t>By email, and solely for the purpose of OMB review, we have provided another document.</w:t>
      </w:r>
    </w:p>
    <w:p w:rsidR="00AC4678" w:rsidP="00D6259C" w:rsidRDefault="00AC4678" w14:paraId="76C8940F" w14:textId="5E0F1FBE">
      <w:pPr>
        <w:pStyle w:val="ListParagraph"/>
        <w:numPr>
          <w:ilvl w:val="0"/>
          <w:numId w:val="35"/>
        </w:numPr>
        <w:spacing w:line="240" w:lineRule="auto"/>
        <w:rPr>
          <w:rFonts w:ascii="Times New Roman" w:hAnsi="Times New Roman"/>
          <w:sz w:val="24"/>
          <w:szCs w:val="24"/>
        </w:rPr>
      </w:pPr>
      <w:r w:rsidRPr="00D1291B">
        <w:rPr>
          <w:rFonts w:ascii="Times New Roman" w:hAnsi="Times New Roman"/>
          <w:sz w:val="24"/>
          <w:szCs w:val="24"/>
        </w:rPr>
        <w:t xml:space="preserve">Attachment A Data Groups and Categories </w:t>
      </w:r>
      <w:r w:rsidR="00147824">
        <w:rPr>
          <w:rFonts w:ascii="Times New Roman" w:hAnsi="Times New Roman"/>
          <w:sz w:val="24"/>
          <w:szCs w:val="24"/>
        </w:rPr>
        <w:t xml:space="preserve">Changes Since 30D </w:t>
      </w:r>
      <w:r w:rsidRPr="00D1291B">
        <w:rPr>
          <w:rFonts w:ascii="Times New Roman" w:hAnsi="Times New Roman"/>
          <w:sz w:val="24"/>
          <w:szCs w:val="24"/>
        </w:rPr>
        <w:t xml:space="preserve">(Excel) – this is </w:t>
      </w:r>
      <w:r w:rsidR="00147824">
        <w:rPr>
          <w:rFonts w:ascii="Times New Roman" w:hAnsi="Times New Roman"/>
          <w:sz w:val="24"/>
          <w:szCs w:val="24"/>
        </w:rPr>
        <w:t xml:space="preserve">an edited and </w:t>
      </w:r>
      <w:r w:rsidR="00B34B33">
        <w:rPr>
          <w:rFonts w:ascii="Times New Roman" w:hAnsi="Times New Roman"/>
          <w:sz w:val="24"/>
          <w:szCs w:val="24"/>
        </w:rPr>
        <w:t xml:space="preserve">greatly </w:t>
      </w:r>
      <w:r w:rsidR="00147824">
        <w:rPr>
          <w:rFonts w:ascii="Times New Roman" w:hAnsi="Times New Roman"/>
          <w:sz w:val="24"/>
          <w:szCs w:val="24"/>
        </w:rPr>
        <w:t>reduced version of the</w:t>
      </w:r>
      <w:r w:rsidRPr="00D1291B">
        <w:rPr>
          <w:rFonts w:ascii="Times New Roman" w:hAnsi="Times New Roman"/>
          <w:sz w:val="24"/>
          <w:szCs w:val="24"/>
        </w:rPr>
        <w:t xml:space="preserve"> master document describing the data groups and categories collected as part of EDFacts</w:t>
      </w:r>
      <w:r w:rsidR="00147824">
        <w:rPr>
          <w:rFonts w:ascii="Times New Roman" w:hAnsi="Times New Roman"/>
          <w:sz w:val="24"/>
          <w:szCs w:val="24"/>
        </w:rPr>
        <w:t xml:space="preserve">, built </w:t>
      </w:r>
      <w:r w:rsidR="00A33DAD">
        <w:rPr>
          <w:rFonts w:ascii="Times New Roman" w:hAnsi="Times New Roman"/>
          <w:sz w:val="24"/>
          <w:szCs w:val="24"/>
        </w:rPr>
        <w:t xml:space="preserve">solely and </w:t>
      </w:r>
      <w:r w:rsidR="00147824">
        <w:rPr>
          <w:rFonts w:ascii="Times New Roman" w:hAnsi="Times New Roman"/>
          <w:sz w:val="24"/>
          <w:szCs w:val="24"/>
        </w:rPr>
        <w:t xml:space="preserve">specifically in support of this change request to </w:t>
      </w:r>
      <w:proofErr w:type="gramStart"/>
      <w:r w:rsidR="00147824">
        <w:rPr>
          <w:rFonts w:ascii="Times New Roman" w:hAnsi="Times New Roman"/>
          <w:sz w:val="24"/>
          <w:szCs w:val="24"/>
        </w:rPr>
        <w:t>more clearly demonstrate the differences</w:t>
      </w:r>
      <w:proofErr w:type="gramEnd"/>
      <w:r w:rsidR="00147824">
        <w:rPr>
          <w:rFonts w:ascii="Times New Roman" w:hAnsi="Times New Roman"/>
          <w:sz w:val="24"/>
          <w:szCs w:val="24"/>
        </w:rPr>
        <w:t xml:space="preserve"> between </w:t>
      </w:r>
      <w:r w:rsidR="00EE093D">
        <w:rPr>
          <w:rFonts w:ascii="Times New Roman" w:hAnsi="Times New Roman"/>
          <w:sz w:val="24"/>
          <w:szCs w:val="24"/>
        </w:rPr>
        <w:t>v. 8 and v. 9.</w:t>
      </w:r>
      <w:r w:rsidR="00074A90">
        <w:rPr>
          <w:rFonts w:ascii="Times New Roman" w:hAnsi="Times New Roman"/>
          <w:sz w:val="24"/>
          <w:szCs w:val="24"/>
        </w:rPr>
        <w:t xml:space="preserve"> It retains only the rows with the changes that were summarized in Table 1. </w:t>
      </w:r>
    </w:p>
    <w:p w:rsidR="00A17C16" w:rsidP="00FE68C1" w:rsidRDefault="00A17C16" w14:paraId="12F06DD3" w14:textId="3523D104">
      <w:pPr>
        <w:rPr>
          <w:rFonts w:ascii="Times New Roman" w:hAnsi="Times New Roman"/>
          <w:sz w:val="24"/>
          <w:szCs w:val="24"/>
        </w:rPr>
      </w:pPr>
      <w:r>
        <w:rPr>
          <w:rFonts w:ascii="Times New Roman" w:hAnsi="Times New Roman"/>
          <w:sz w:val="24"/>
          <w:szCs w:val="24"/>
        </w:rPr>
        <w:t xml:space="preserve">For the purposes of this review, </w:t>
      </w:r>
      <w:r w:rsidR="006D78AB">
        <w:rPr>
          <w:rFonts w:ascii="Times New Roman" w:hAnsi="Times New Roman"/>
          <w:sz w:val="24"/>
          <w:szCs w:val="24"/>
        </w:rPr>
        <w:t xml:space="preserve">the most important columns in the </w:t>
      </w:r>
      <w:r w:rsidRPr="00D1291B" w:rsidR="006D78AB">
        <w:rPr>
          <w:rFonts w:ascii="Times New Roman" w:hAnsi="Times New Roman"/>
          <w:sz w:val="24"/>
          <w:szCs w:val="24"/>
        </w:rPr>
        <w:t xml:space="preserve">Attachment A Data Groups and Categories </w:t>
      </w:r>
      <w:r w:rsidR="006D78AB">
        <w:rPr>
          <w:rFonts w:ascii="Times New Roman" w:hAnsi="Times New Roman"/>
          <w:sz w:val="24"/>
          <w:szCs w:val="24"/>
        </w:rPr>
        <w:t xml:space="preserve">Changes Since 30D (Excel) document are those referenced in </w:t>
      </w:r>
      <w:r w:rsidR="00FE68C1">
        <w:rPr>
          <w:rFonts w:ascii="Times New Roman" w:hAnsi="Times New Roman"/>
          <w:sz w:val="24"/>
          <w:szCs w:val="24"/>
        </w:rPr>
        <w:t>T</w:t>
      </w:r>
      <w:r w:rsidR="006D78AB">
        <w:rPr>
          <w:rFonts w:ascii="Times New Roman" w:hAnsi="Times New Roman"/>
          <w:sz w:val="24"/>
          <w:szCs w:val="24"/>
        </w:rPr>
        <w:t>able</w:t>
      </w:r>
      <w:r w:rsidR="00FE68C1">
        <w:rPr>
          <w:rFonts w:ascii="Times New Roman" w:hAnsi="Times New Roman"/>
          <w:sz w:val="24"/>
          <w:szCs w:val="24"/>
        </w:rPr>
        <w:t xml:space="preserve"> 2</w:t>
      </w:r>
      <w:r w:rsidR="006D78AB">
        <w:rPr>
          <w:rFonts w:ascii="Times New Roman" w:hAnsi="Times New Roman"/>
          <w:sz w:val="24"/>
          <w:szCs w:val="24"/>
        </w:rPr>
        <w:t xml:space="preserve"> below; these are the columns where </w:t>
      </w:r>
      <w:r w:rsidR="00836415">
        <w:rPr>
          <w:rFonts w:ascii="Times New Roman" w:hAnsi="Times New Roman"/>
          <w:sz w:val="24"/>
          <w:szCs w:val="24"/>
        </w:rPr>
        <w:t xml:space="preserve">the </w:t>
      </w:r>
      <w:r w:rsidR="006D78AB">
        <w:rPr>
          <w:rFonts w:ascii="Times New Roman" w:hAnsi="Times New Roman"/>
          <w:sz w:val="24"/>
          <w:szCs w:val="24"/>
        </w:rPr>
        <w:t xml:space="preserve">changes between the v. 8 </w:t>
      </w:r>
      <w:r w:rsidR="00074A90">
        <w:rPr>
          <w:rFonts w:ascii="Times New Roman" w:hAnsi="Times New Roman"/>
          <w:sz w:val="24"/>
          <w:szCs w:val="24"/>
        </w:rPr>
        <w:t>that was recently approved and the v.</w:t>
      </w:r>
      <w:proofErr w:type="gramStart"/>
      <w:r w:rsidR="00074A90">
        <w:rPr>
          <w:rFonts w:ascii="Times New Roman" w:hAnsi="Times New Roman"/>
          <w:sz w:val="24"/>
          <w:szCs w:val="24"/>
        </w:rPr>
        <w:t>9</w:t>
      </w:r>
      <w:proofErr w:type="gramEnd"/>
      <w:r w:rsidR="00074A90">
        <w:rPr>
          <w:rFonts w:ascii="Times New Roman" w:hAnsi="Times New Roman"/>
          <w:sz w:val="24"/>
          <w:szCs w:val="24"/>
        </w:rPr>
        <w:t xml:space="preserve"> we have submitted following the 30D comment period are described. In the </w:t>
      </w:r>
      <w:r w:rsidR="007C30A0">
        <w:rPr>
          <w:rFonts w:ascii="Times New Roman" w:hAnsi="Times New Roman"/>
          <w:sz w:val="24"/>
          <w:szCs w:val="24"/>
        </w:rPr>
        <w:t xml:space="preserve">document itself, we have highlighted the cells that describe changes between v.8 and v.9. </w:t>
      </w:r>
    </w:p>
    <w:p w:rsidRPr="00836415" w:rsidR="00836415" w:rsidP="00836415" w:rsidRDefault="00836415" w14:paraId="23A117C1" w14:textId="07C8FDF0">
      <w:pPr>
        <w:spacing w:before="100" w:beforeAutospacing="1" w:after="0" w:line="240" w:lineRule="auto"/>
      </w:pPr>
      <w:r>
        <w:rPr>
          <w:b/>
          <w:bCs/>
        </w:rPr>
        <w:t xml:space="preserve">Table </w:t>
      </w:r>
      <w:r w:rsidR="00F91F68">
        <w:rPr>
          <w:b/>
          <w:bCs/>
        </w:rPr>
        <w:t>2</w:t>
      </w:r>
      <w:r>
        <w:rPr>
          <w:b/>
          <w:bCs/>
        </w:rPr>
        <w:t xml:space="preserve">. </w:t>
      </w:r>
      <w:r w:rsidR="00F91F68">
        <w:rPr>
          <w:b/>
          <w:bCs/>
        </w:rPr>
        <w:t>Key to the</w:t>
      </w:r>
      <w:r w:rsidR="007C30A0">
        <w:rPr>
          <w:b/>
          <w:bCs/>
        </w:rPr>
        <w:t xml:space="preserve"> Attachment A Data Groups and Categories Changes Since 30D (Excel) Columns of Interest</w:t>
      </w:r>
    </w:p>
    <w:tbl>
      <w:tblPr>
        <w:tblStyle w:val="TableGrid"/>
        <w:tblW w:w="0" w:type="auto"/>
        <w:tblLook w:val="04A0" w:firstRow="1" w:lastRow="0" w:firstColumn="1" w:lastColumn="0" w:noHBand="0" w:noVBand="1"/>
      </w:tblPr>
      <w:tblGrid>
        <w:gridCol w:w="1525"/>
        <w:gridCol w:w="8977"/>
      </w:tblGrid>
      <w:tr w:rsidR="000F1305" w:rsidTr="00A17E38" w14:paraId="0CFF28C1" w14:textId="77777777">
        <w:tc>
          <w:tcPr>
            <w:tcW w:w="10502" w:type="dxa"/>
            <w:gridSpan w:val="2"/>
          </w:tcPr>
          <w:p w:rsidR="000F1305" w:rsidP="00FB48CB" w:rsidRDefault="000F1305" w14:paraId="4AD5F404" w14:textId="0A0863C8">
            <w:pPr>
              <w:spacing w:after="0" w:line="240" w:lineRule="auto"/>
              <w:rPr>
                <w:rFonts w:ascii="Times New Roman" w:hAnsi="Times New Roman"/>
                <w:sz w:val="24"/>
                <w:szCs w:val="24"/>
              </w:rPr>
            </w:pPr>
            <w:r>
              <w:rPr>
                <w:rFonts w:ascii="Times New Roman" w:hAnsi="Times New Roman"/>
                <w:sz w:val="24"/>
                <w:szCs w:val="24"/>
              </w:rPr>
              <w:t>Data Groups Sheet</w:t>
            </w:r>
          </w:p>
        </w:tc>
      </w:tr>
      <w:tr w:rsidR="000F1305" w:rsidTr="000F1305" w14:paraId="127C050C" w14:textId="77777777">
        <w:tc>
          <w:tcPr>
            <w:tcW w:w="1525" w:type="dxa"/>
          </w:tcPr>
          <w:p w:rsidR="000F1305" w:rsidP="00FB48CB" w:rsidRDefault="000F1305" w14:paraId="2A3ED3D4" w14:textId="3598D9B2">
            <w:pPr>
              <w:spacing w:after="0" w:line="240" w:lineRule="auto"/>
              <w:rPr>
                <w:rFonts w:ascii="Times New Roman" w:hAnsi="Times New Roman"/>
                <w:sz w:val="24"/>
                <w:szCs w:val="24"/>
              </w:rPr>
            </w:pPr>
            <w:r>
              <w:rPr>
                <w:rFonts w:ascii="Times New Roman" w:hAnsi="Times New Roman"/>
                <w:sz w:val="24"/>
                <w:szCs w:val="24"/>
              </w:rPr>
              <w:t>Column L</w:t>
            </w:r>
          </w:p>
        </w:tc>
        <w:tc>
          <w:tcPr>
            <w:tcW w:w="8977" w:type="dxa"/>
          </w:tcPr>
          <w:p w:rsidR="000F1305" w:rsidP="00FB48CB" w:rsidRDefault="000F1305" w14:paraId="47513C1D" w14:textId="1E0CB6D9">
            <w:pPr>
              <w:spacing w:after="0" w:line="240" w:lineRule="auto"/>
              <w:rPr>
                <w:rFonts w:ascii="Times New Roman" w:hAnsi="Times New Roman"/>
                <w:sz w:val="24"/>
                <w:szCs w:val="24"/>
              </w:rPr>
            </w:pPr>
            <w:r>
              <w:rPr>
                <w:rFonts w:ascii="Times New Roman" w:hAnsi="Times New Roman"/>
                <w:sz w:val="24"/>
                <w:szCs w:val="24"/>
              </w:rPr>
              <w:t>Data Group Name (SY 2022-23 – Final Changes Only</w:t>
            </w:r>
            <w:r w:rsidR="007317A2">
              <w:rPr>
                <w:rFonts w:ascii="Times New Roman" w:hAnsi="Times New Roman"/>
                <w:sz w:val="24"/>
                <w:szCs w:val="24"/>
              </w:rPr>
              <w:t>)</w:t>
            </w:r>
          </w:p>
        </w:tc>
      </w:tr>
      <w:tr w:rsidR="000F1305" w:rsidTr="000F1305" w14:paraId="5FFC1585" w14:textId="77777777">
        <w:tc>
          <w:tcPr>
            <w:tcW w:w="1525" w:type="dxa"/>
          </w:tcPr>
          <w:p w:rsidR="000F1305" w:rsidP="00FB48CB" w:rsidRDefault="000F1305" w14:paraId="3ADA4F0A" w14:textId="5EDFB887">
            <w:pPr>
              <w:spacing w:after="0" w:line="240" w:lineRule="auto"/>
              <w:rPr>
                <w:rFonts w:ascii="Times New Roman" w:hAnsi="Times New Roman"/>
                <w:sz w:val="24"/>
                <w:szCs w:val="24"/>
              </w:rPr>
            </w:pPr>
            <w:r w:rsidRPr="00F04A81">
              <w:rPr>
                <w:rFonts w:ascii="Times New Roman" w:hAnsi="Times New Roman"/>
                <w:sz w:val="24"/>
                <w:szCs w:val="24"/>
              </w:rPr>
              <w:t xml:space="preserve">Column </w:t>
            </w:r>
            <w:r>
              <w:rPr>
                <w:rFonts w:ascii="Times New Roman" w:hAnsi="Times New Roman"/>
                <w:sz w:val="24"/>
                <w:szCs w:val="24"/>
              </w:rPr>
              <w:t>P</w:t>
            </w:r>
          </w:p>
        </w:tc>
        <w:tc>
          <w:tcPr>
            <w:tcW w:w="8977" w:type="dxa"/>
          </w:tcPr>
          <w:p w:rsidR="000F1305" w:rsidP="00FB48CB" w:rsidRDefault="007317A2" w14:paraId="6416F684" w14:textId="75A7A0F0">
            <w:pPr>
              <w:spacing w:after="0" w:line="240" w:lineRule="auto"/>
              <w:rPr>
                <w:rFonts w:ascii="Times New Roman" w:hAnsi="Times New Roman"/>
                <w:sz w:val="24"/>
                <w:szCs w:val="24"/>
              </w:rPr>
            </w:pPr>
            <w:r>
              <w:rPr>
                <w:rFonts w:ascii="Times New Roman" w:hAnsi="Times New Roman"/>
                <w:sz w:val="24"/>
                <w:szCs w:val="24"/>
              </w:rPr>
              <w:t>Data Group Definition (SY 2022-23 – Final Changes Only)</w:t>
            </w:r>
          </w:p>
        </w:tc>
      </w:tr>
      <w:tr w:rsidR="000F1305" w:rsidTr="000F1305" w14:paraId="2AB3AD5E" w14:textId="77777777">
        <w:tc>
          <w:tcPr>
            <w:tcW w:w="1525" w:type="dxa"/>
          </w:tcPr>
          <w:p w:rsidR="000F1305" w:rsidP="00FB48CB" w:rsidRDefault="000F1305" w14:paraId="64D27AE9" w14:textId="53452242">
            <w:pPr>
              <w:spacing w:after="0" w:line="240" w:lineRule="auto"/>
              <w:rPr>
                <w:rFonts w:ascii="Times New Roman" w:hAnsi="Times New Roman"/>
                <w:sz w:val="24"/>
                <w:szCs w:val="24"/>
              </w:rPr>
            </w:pPr>
            <w:r w:rsidRPr="00F04A81">
              <w:rPr>
                <w:rFonts w:ascii="Times New Roman" w:hAnsi="Times New Roman"/>
                <w:sz w:val="24"/>
                <w:szCs w:val="24"/>
              </w:rPr>
              <w:t xml:space="preserve">Column </w:t>
            </w:r>
            <w:r>
              <w:rPr>
                <w:rFonts w:ascii="Times New Roman" w:hAnsi="Times New Roman"/>
                <w:sz w:val="24"/>
                <w:szCs w:val="24"/>
              </w:rPr>
              <w:t>T</w:t>
            </w:r>
          </w:p>
        </w:tc>
        <w:tc>
          <w:tcPr>
            <w:tcW w:w="8977" w:type="dxa"/>
          </w:tcPr>
          <w:p w:rsidR="000F1305" w:rsidP="00FB48CB" w:rsidRDefault="007317A2" w14:paraId="79C2368D" w14:textId="0D19C391">
            <w:pPr>
              <w:spacing w:after="0" w:line="240" w:lineRule="auto"/>
              <w:rPr>
                <w:rFonts w:ascii="Times New Roman" w:hAnsi="Times New Roman"/>
                <w:sz w:val="24"/>
                <w:szCs w:val="24"/>
              </w:rPr>
            </w:pPr>
            <w:r>
              <w:rPr>
                <w:rFonts w:ascii="Times New Roman" w:hAnsi="Times New Roman"/>
                <w:sz w:val="24"/>
                <w:szCs w:val="24"/>
              </w:rPr>
              <w:t>Category Sets (SY 2022-23 – Final Changes Only)</w:t>
            </w:r>
          </w:p>
        </w:tc>
      </w:tr>
      <w:tr w:rsidR="000F1305" w:rsidTr="000F1305" w14:paraId="3DC973A5" w14:textId="77777777">
        <w:tc>
          <w:tcPr>
            <w:tcW w:w="1525" w:type="dxa"/>
          </w:tcPr>
          <w:p w:rsidR="000F1305" w:rsidP="00FB48CB" w:rsidRDefault="000F1305" w14:paraId="4A0EC996" w14:textId="1EC6FD1B">
            <w:pPr>
              <w:spacing w:after="0" w:line="240" w:lineRule="auto"/>
              <w:rPr>
                <w:rFonts w:ascii="Times New Roman" w:hAnsi="Times New Roman"/>
                <w:sz w:val="24"/>
                <w:szCs w:val="24"/>
              </w:rPr>
            </w:pPr>
            <w:r w:rsidRPr="00F04A81">
              <w:rPr>
                <w:rFonts w:ascii="Times New Roman" w:hAnsi="Times New Roman"/>
                <w:sz w:val="24"/>
                <w:szCs w:val="24"/>
              </w:rPr>
              <w:t xml:space="preserve">Column </w:t>
            </w:r>
            <w:r>
              <w:rPr>
                <w:rFonts w:ascii="Times New Roman" w:hAnsi="Times New Roman"/>
                <w:sz w:val="24"/>
                <w:szCs w:val="24"/>
              </w:rPr>
              <w:t>X</w:t>
            </w:r>
          </w:p>
        </w:tc>
        <w:tc>
          <w:tcPr>
            <w:tcW w:w="8977" w:type="dxa"/>
          </w:tcPr>
          <w:p w:rsidR="000F1305" w:rsidP="00FB48CB" w:rsidRDefault="007317A2" w14:paraId="3458628C" w14:textId="3F49CBBC">
            <w:pPr>
              <w:spacing w:after="0" w:line="240" w:lineRule="auto"/>
              <w:rPr>
                <w:rFonts w:ascii="Times New Roman" w:hAnsi="Times New Roman"/>
                <w:sz w:val="24"/>
                <w:szCs w:val="24"/>
              </w:rPr>
            </w:pPr>
            <w:r>
              <w:rPr>
                <w:rFonts w:ascii="Times New Roman" w:hAnsi="Times New Roman"/>
                <w:sz w:val="24"/>
                <w:szCs w:val="24"/>
              </w:rPr>
              <w:t>Reporting Period (SY 2022-23 – Final Changes Only)</w:t>
            </w:r>
          </w:p>
        </w:tc>
      </w:tr>
      <w:tr w:rsidR="009E707B" w:rsidTr="009E707B" w14:paraId="02F26D83" w14:textId="77777777">
        <w:tc>
          <w:tcPr>
            <w:tcW w:w="1525" w:type="dxa"/>
          </w:tcPr>
          <w:p w:rsidR="009E707B" w:rsidP="009E707B" w:rsidRDefault="009E707B" w14:paraId="415C8FD9" w14:textId="1FCA43D4">
            <w:pPr>
              <w:spacing w:after="0" w:line="240" w:lineRule="auto"/>
              <w:rPr>
                <w:rFonts w:ascii="Times New Roman" w:hAnsi="Times New Roman"/>
                <w:sz w:val="24"/>
                <w:szCs w:val="24"/>
              </w:rPr>
            </w:pPr>
            <w:r w:rsidRPr="00F04A81">
              <w:rPr>
                <w:rFonts w:ascii="Times New Roman" w:hAnsi="Times New Roman"/>
                <w:sz w:val="24"/>
                <w:szCs w:val="24"/>
              </w:rPr>
              <w:t xml:space="preserve">Column </w:t>
            </w:r>
            <w:r>
              <w:rPr>
                <w:rFonts w:ascii="Times New Roman" w:hAnsi="Times New Roman"/>
                <w:sz w:val="24"/>
                <w:szCs w:val="24"/>
              </w:rPr>
              <w:t>AC</w:t>
            </w:r>
          </w:p>
        </w:tc>
        <w:tc>
          <w:tcPr>
            <w:tcW w:w="8977" w:type="dxa"/>
          </w:tcPr>
          <w:p w:rsidR="009E707B" w:rsidP="009E707B" w:rsidRDefault="009912E7" w14:paraId="5A90E01C" w14:textId="183B6B68">
            <w:pPr>
              <w:spacing w:after="0" w:line="240" w:lineRule="auto"/>
              <w:rPr>
                <w:rFonts w:ascii="Times New Roman" w:hAnsi="Times New Roman"/>
                <w:sz w:val="24"/>
                <w:szCs w:val="24"/>
              </w:rPr>
            </w:pPr>
            <w:r>
              <w:rPr>
                <w:rFonts w:ascii="Times New Roman" w:hAnsi="Times New Roman"/>
                <w:sz w:val="24"/>
                <w:szCs w:val="24"/>
              </w:rPr>
              <w:t>Data Group Comment</w:t>
            </w:r>
          </w:p>
        </w:tc>
      </w:tr>
      <w:tr w:rsidR="000F1305" w:rsidTr="009C4DED" w14:paraId="3389FCBA" w14:textId="77777777">
        <w:tc>
          <w:tcPr>
            <w:tcW w:w="10502" w:type="dxa"/>
            <w:gridSpan w:val="2"/>
          </w:tcPr>
          <w:p w:rsidR="000F1305" w:rsidP="00FB48CB" w:rsidRDefault="000F1305" w14:paraId="2DFF3B12" w14:textId="4D85966C">
            <w:pPr>
              <w:spacing w:after="0" w:line="240" w:lineRule="auto"/>
              <w:rPr>
                <w:rFonts w:ascii="Times New Roman" w:hAnsi="Times New Roman"/>
                <w:sz w:val="24"/>
                <w:szCs w:val="24"/>
              </w:rPr>
            </w:pPr>
            <w:r>
              <w:rPr>
                <w:rFonts w:ascii="Times New Roman" w:hAnsi="Times New Roman"/>
                <w:sz w:val="24"/>
                <w:szCs w:val="24"/>
              </w:rPr>
              <w:t>Data Categories Sheet</w:t>
            </w:r>
          </w:p>
        </w:tc>
      </w:tr>
      <w:tr w:rsidR="000F1305" w:rsidTr="009C4DED" w14:paraId="1C939026" w14:textId="77777777">
        <w:tc>
          <w:tcPr>
            <w:tcW w:w="1525" w:type="dxa"/>
          </w:tcPr>
          <w:p w:rsidR="000F1305" w:rsidP="00FB48CB" w:rsidRDefault="000F1305" w14:paraId="4FB14795" w14:textId="781E6AD7">
            <w:pPr>
              <w:spacing w:after="0" w:line="240" w:lineRule="auto"/>
              <w:rPr>
                <w:rFonts w:ascii="Times New Roman" w:hAnsi="Times New Roman"/>
                <w:sz w:val="24"/>
                <w:szCs w:val="24"/>
              </w:rPr>
            </w:pPr>
            <w:r>
              <w:rPr>
                <w:rFonts w:ascii="Times New Roman" w:hAnsi="Times New Roman"/>
                <w:sz w:val="24"/>
                <w:szCs w:val="24"/>
              </w:rPr>
              <w:t>Column K</w:t>
            </w:r>
          </w:p>
        </w:tc>
        <w:tc>
          <w:tcPr>
            <w:tcW w:w="8977" w:type="dxa"/>
          </w:tcPr>
          <w:p w:rsidR="000F1305" w:rsidP="00FB48CB" w:rsidRDefault="00A17C16" w14:paraId="5F13FB10" w14:textId="285A66C6">
            <w:pPr>
              <w:spacing w:after="0" w:line="240" w:lineRule="auto"/>
              <w:rPr>
                <w:rFonts w:ascii="Times New Roman" w:hAnsi="Times New Roman"/>
                <w:sz w:val="24"/>
                <w:szCs w:val="24"/>
              </w:rPr>
            </w:pPr>
            <w:r>
              <w:rPr>
                <w:rFonts w:ascii="Times New Roman" w:hAnsi="Times New Roman"/>
                <w:sz w:val="24"/>
                <w:szCs w:val="24"/>
              </w:rPr>
              <w:t>Category</w:t>
            </w:r>
            <w:r w:rsidR="000F1305">
              <w:rPr>
                <w:rFonts w:ascii="Times New Roman" w:hAnsi="Times New Roman"/>
                <w:sz w:val="24"/>
                <w:szCs w:val="24"/>
              </w:rPr>
              <w:t xml:space="preserve"> Name (SY 2022-23 – Final Changes Only</w:t>
            </w:r>
            <w:r w:rsidR="00FB48CB">
              <w:rPr>
                <w:rFonts w:ascii="Times New Roman" w:hAnsi="Times New Roman"/>
                <w:sz w:val="24"/>
                <w:szCs w:val="24"/>
              </w:rPr>
              <w:t>)</w:t>
            </w:r>
          </w:p>
        </w:tc>
      </w:tr>
      <w:tr w:rsidR="000F1305" w:rsidTr="009C4DED" w14:paraId="5D65E77F" w14:textId="77777777">
        <w:tc>
          <w:tcPr>
            <w:tcW w:w="1525" w:type="dxa"/>
          </w:tcPr>
          <w:p w:rsidR="000F1305" w:rsidP="00FB48CB" w:rsidRDefault="000F1305" w14:paraId="640DB487" w14:textId="08E8523F">
            <w:pPr>
              <w:spacing w:after="0" w:line="240" w:lineRule="auto"/>
              <w:rPr>
                <w:rFonts w:ascii="Times New Roman" w:hAnsi="Times New Roman"/>
                <w:sz w:val="24"/>
                <w:szCs w:val="24"/>
              </w:rPr>
            </w:pPr>
            <w:r w:rsidRPr="00F04A81">
              <w:rPr>
                <w:rFonts w:ascii="Times New Roman" w:hAnsi="Times New Roman"/>
                <w:sz w:val="24"/>
                <w:szCs w:val="24"/>
              </w:rPr>
              <w:t xml:space="preserve">Column </w:t>
            </w:r>
            <w:r>
              <w:rPr>
                <w:rFonts w:ascii="Times New Roman" w:hAnsi="Times New Roman"/>
                <w:sz w:val="24"/>
                <w:szCs w:val="24"/>
              </w:rPr>
              <w:t>O</w:t>
            </w:r>
          </w:p>
        </w:tc>
        <w:tc>
          <w:tcPr>
            <w:tcW w:w="8977" w:type="dxa"/>
          </w:tcPr>
          <w:p w:rsidR="000F1305" w:rsidP="00FB48CB" w:rsidRDefault="00773A86" w14:paraId="7CD39E1E" w14:textId="00D95FC5">
            <w:pPr>
              <w:spacing w:after="0" w:line="240" w:lineRule="auto"/>
              <w:rPr>
                <w:rFonts w:ascii="Times New Roman" w:hAnsi="Times New Roman"/>
                <w:sz w:val="24"/>
                <w:szCs w:val="24"/>
              </w:rPr>
            </w:pPr>
            <w:r>
              <w:rPr>
                <w:rFonts w:ascii="Times New Roman" w:hAnsi="Times New Roman"/>
                <w:sz w:val="24"/>
                <w:szCs w:val="24"/>
              </w:rPr>
              <w:t>Category Definition (SY 2022-23 – Final Changes Only)</w:t>
            </w:r>
          </w:p>
        </w:tc>
      </w:tr>
      <w:tr w:rsidR="000F1305" w:rsidTr="009C4DED" w14:paraId="2865757D" w14:textId="77777777">
        <w:tc>
          <w:tcPr>
            <w:tcW w:w="1525" w:type="dxa"/>
          </w:tcPr>
          <w:p w:rsidR="000F1305" w:rsidP="00FB48CB" w:rsidRDefault="000F1305" w14:paraId="296EE40E" w14:textId="6C115BB9">
            <w:pPr>
              <w:spacing w:after="0" w:line="240" w:lineRule="auto"/>
              <w:rPr>
                <w:rFonts w:ascii="Times New Roman" w:hAnsi="Times New Roman"/>
                <w:sz w:val="24"/>
                <w:szCs w:val="24"/>
              </w:rPr>
            </w:pPr>
            <w:r w:rsidRPr="00F04A81">
              <w:rPr>
                <w:rFonts w:ascii="Times New Roman" w:hAnsi="Times New Roman"/>
                <w:sz w:val="24"/>
                <w:szCs w:val="24"/>
              </w:rPr>
              <w:t xml:space="preserve">Column </w:t>
            </w:r>
            <w:r>
              <w:rPr>
                <w:rFonts w:ascii="Times New Roman" w:hAnsi="Times New Roman"/>
                <w:sz w:val="24"/>
                <w:szCs w:val="24"/>
              </w:rPr>
              <w:t>S</w:t>
            </w:r>
          </w:p>
        </w:tc>
        <w:tc>
          <w:tcPr>
            <w:tcW w:w="8977" w:type="dxa"/>
          </w:tcPr>
          <w:p w:rsidR="000F1305" w:rsidP="00FB48CB" w:rsidRDefault="00A17C16" w14:paraId="1E2FBCAA" w14:textId="59E7E777">
            <w:pPr>
              <w:spacing w:after="0" w:line="240" w:lineRule="auto"/>
              <w:rPr>
                <w:rFonts w:ascii="Times New Roman" w:hAnsi="Times New Roman"/>
                <w:sz w:val="24"/>
                <w:szCs w:val="24"/>
              </w:rPr>
            </w:pPr>
            <w:r>
              <w:rPr>
                <w:rFonts w:ascii="Times New Roman" w:hAnsi="Times New Roman"/>
                <w:sz w:val="24"/>
                <w:szCs w:val="24"/>
              </w:rPr>
              <w:t>Permitted Value Description List (SY 2022-23 – Final Changes Only)</w:t>
            </w:r>
          </w:p>
        </w:tc>
      </w:tr>
    </w:tbl>
    <w:p w:rsidR="006B401B" w:rsidP="00CE208E" w:rsidRDefault="006B401B" w14:paraId="379B57BD" w14:textId="66BD3963">
      <w:pPr>
        <w:rPr>
          <w:rFonts w:ascii="Times New Roman" w:hAnsi="Times New Roman"/>
          <w:sz w:val="24"/>
          <w:szCs w:val="24"/>
        </w:rPr>
      </w:pPr>
    </w:p>
    <w:p w:rsidR="00072EF7" w:rsidP="00072EF7" w:rsidRDefault="00072EF7" w14:paraId="044F7358" w14:textId="13630736">
      <w:pPr>
        <w:pStyle w:val="Heading1"/>
      </w:pPr>
      <w:r>
        <w:lastRenderedPageBreak/>
        <w:t>Attachment E – Overview and Explanation</w:t>
      </w:r>
    </w:p>
    <w:p w:rsidRPr="00547342" w:rsidR="00547342" w:rsidP="00E72DED" w:rsidRDefault="00547342" w14:paraId="59185AE3" w14:textId="77777777">
      <w:pPr>
        <w:spacing w:after="0" w:line="240" w:lineRule="auto"/>
      </w:pPr>
    </w:p>
    <w:p w:rsidRPr="00A954D1" w:rsidR="00D624F0" w:rsidP="00A954D1" w:rsidRDefault="00D624F0" w14:paraId="32C4A1D4" w14:textId="25C79BA5">
      <w:pPr>
        <w:pStyle w:val="Heading3"/>
        <w:rPr>
          <w:i/>
          <w:iCs/>
          <w:u w:val="single"/>
        </w:rPr>
      </w:pPr>
      <w:bookmarkStart w:name="_Toc84410819" w:id="0"/>
      <w:r w:rsidRPr="00A954D1">
        <w:rPr>
          <w:i/>
          <w:iCs/>
          <w:u w:val="single"/>
        </w:rPr>
        <w:t>What is Included in the Package</w:t>
      </w:r>
      <w:bookmarkEnd w:id="0"/>
      <w:r w:rsidR="008575FD">
        <w:rPr>
          <w:i/>
          <w:iCs/>
          <w:u w:val="single"/>
        </w:rPr>
        <w:t xml:space="preserve"> (p</w:t>
      </w:r>
      <w:r w:rsidR="001378C3">
        <w:rPr>
          <w:i/>
          <w:iCs/>
          <w:u w:val="single"/>
        </w:rPr>
        <w:t>.</w:t>
      </w:r>
      <w:r w:rsidR="008575FD">
        <w:rPr>
          <w:i/>
          <w:iCs/>
          <w:u w:val="single"/>
        </w:rPr>
        <w:t xml:space="preserve"> E-2</w:t>
      </w:r>
      <w:proofErr w:type="gramStart"/>
      <w:r w:rsidR="008575FD">
        <w:rPr>
          <w:i/>
          <w:iCs/>
          <w:u w:val="single"/>
        </w:rPr>
        <w:t>)</w:t>
      </w:r>
      <w:proofErr w:type="gramEnd"/>
    </w:p>
    <w:p w:rsidR="00D624F0" w:rsidP="00D624F0" w:rsidRDefault="00D624F0" w14:paraId="3C80FF9B" w14:textId="77777777">
      <w:pPr>
        <w:widowControl w:val="0"/>
        <w:spacing w:after="0"/>
        <w:jc w:val="both"/>
        <w:rPr>
          <w:rFonts w:ascii="Times New Roman" w:hAnsi="Times New Roman"/>
          <w:sz w:val="24"/>
        </w:rPr>
      </w:pPr>
      <w:r>
        <w:rPr>
          <w:rFonts w:ascii="Times New Roman" w:hAnsi="Times New Roman"/>
          <w:sz w:val="24"/>
        </w:rPr>
        <w:t>The below details out the different documents in the package called “Attachments”.</w:t>
      </w:r>
    </w:p>
    <w:p w:rsidR="00D624F0" w:rsidP="00D624F0" w:rsidRDefault="00D624F0" w14:paraId="1E8A635D" w14:textId="77777777">
      <w:pPr>
        <w:pStyle w:val="ListParagraph"/>
        <w:widowControl w:val="0"/>
        <w:numPr>
          <w:ilvl w:val="0"/>
          <w:numId w:val="36"/>
        </w:numPr>
        <w:spacing w:after="0"/>
        <w:contextualSpacing/>
        <w:rPr>
          <w:rFonts w:ascii="Times New Roman" w:hAnsi="Times New Roman"/>
          <w:sz w:val="24"/>
        </w:rPr>
      </w:pPr>
      <w:r w:rsidRPr="006B16E0">
        <w:rPr>
          <w:rFonts w:ascii="Times New Roman" w:hAnsi="Times New Roman"/>
          <w:sz w:val="24"/>
        </w:rPr>
        <w:t xml:space="preserve">Attachment F: Response to </w:t>
      </w:r>
      <w:r w:rsidRPr="00A954D1">
        <w:rPr>
          <w:rFonts w:ascii="Times New Roman" w:hAnsi="Times New Roman"/>
          <w:color w:val="FF0000"/>
          <w:sz w:val="24"/>
        </w:rPr>
        <w:t xml:space="preserve">60-day Public Comments </w:t>
      </w:r>
    </w:p>
    <w:p w:rsidRPr="00555CB2" w:rsidR="00D624F0" w:rsidP="00A954D1" w:rsidRDefault="00D624F0" w14:paraId="3E12A760" w14:textId="77777777">
      <w:pPr>
        <w:pStyle w:val="ListParagraph"/>
        <w:numPr>
          <w:ilvl w:val="0"/>
          <w:numId w:val="36"/>
        </w:numPr>
        <w:spacing w:line="252" w:lineRule="auto"/>
        <w:contextualSpacing/>
        <w:rPr>
          <w:rFonts w:ascii="Times New Roman" w:hAnsi="Times New Roman"/>
          <w:sz w:val="24"/>
        </w:rPr>
      </w:pPr>
      <w:r w:rsidRPr="00A954D1">
        <w:rPr>
          <w:rFonts w:ascii="Times New Roman" w:hAnsi="Times New Roman"/>
          <w:color w:val="FF0000"/>
          <w:sz w:val="24"/>
        </w:rPr>
        <w:t xml:space="preserve">Attachment F-1: Response to 30-day </w:t>
      </w:r>
      <w:r w:rsidRPr="00555CB2">
        <w:rPr>
          <w:rFonts w:ascii="Times New Roman" w:hAnsi="Times New Roman"/>
          <w:sz w:val="24"/>
        </w:rPr>
        <w:t xml:space="preserve">Public Comments </w:t>
      </w:r>
    </w:p>
    <w:p w:rsidRPr="00652365" w:rsidR="00D624F0" w:rsidP="00D624F0" w:rsidRDefault="00D624F0" w14:paraId="6CABD761" w14:textId="77777777">
      <w:pPr>
        <w:pStyle w:val="ListParagraph"/>
        <w:widowControl w:val="0"/>
        <w:numPr>
          <w:ilvl w:val="0"/>
          <w:numId w:val="36"/>
        </w:numPr>
        <w:spacing w:after="0"/>
        <w:contextualSpacing/>
        <w:rPr>
          <w:rFonts w:ascii="Times New Roman" w:hAnsi="Times New Roman"/>
          <w:sz w:val="24"/>
        </w:rPr>
      </w:pPr>
      <w:r w:rsidRPr="00652365">
        <w:rPr>
          <w:rFonts w:ascii="Times New Roman" w:hAnsi="Times New Roman"/>
          <w:sz w:val="24"/>
        </w:rPr>
        <w:t xml:space="preserve">Supporting </w:t>
      </w:r>
      <w:proofErr w:type="gramStart"/>
      <w:r w:rsidRPr="00652365">
        <w:rPr>
          <w:rFonts w:ascii="Times New Roman" w:hAnsi="Times New Roman"/>
          <w:sz w:val="24"/>
        </w:rPr>
        <w:t>Statement</w:t>
      </w:r>
      <w:proofErr w:type="gramEnd"/>
      <w:r w:rsidRPr="00652365">
        <w:rPr>
          <w:rFonts w:ascii="Times New Roman" w:hAnsi="Times New Roman"/>
          <w:sz w:val="24"/>
        </w:rPr>
        <w:t xml:space="preserve"> A</w:t>
      </w:r>
      <w:r>
        <w:rPr>
          <w:rFonts w:ascii="Times New Roman" w:hAnsi="Times New Roman"/>
          <w:sz w:val="24"/>
        </w:rPr>
        <w:t xml:space="preserve"> – Provides a justification for the collection.</w:t>
      </w:r>
    </w:p>
    <w:p w:rsidR="00D624F0" w:rsidP="00D624F0" w:rsidRDefault="00D624F0" w14:paraId="17728559" w14:textId="77777777">
      <w:pPr>
        <w:pStyle w:val="ListParagraph"/>
        <w:widowControl w:val="0"/>
        <w:numPr>
          <w:ilvl w:val="0"/>
          <w:numId w:val="36"/>
        </w:numPr>
        <w:spacing w:after="0"/>
        <w:contextualSpacing/>
        <w:rPr>
          <w:rFonts w:ascii="Times New Roman" w:hAnsi="Times New Roman"/>
          <w:sz w:val="24"/>
        </w:rPr>
      </w:pPr>
      <w:r w:rsidRPr="00652365">
        <w:rPr>
          <w:rFonts w:ascii="Times New Roman" w:hAnsi="Times New Roman"/>
          <w:sz w:val="24"/>
        </w:rPr>
        <w:t>Supporting Statement B</w:t>
      </w:r>
      <w:r>
        <w:rPr>
          <w:rFonts w:ascii="Times New Roman" w:hAnsi="Times New Roman"/>
          <w:sz w:val="24"/>
        </w:rPr>
        <w:t xml:space="preserve"> – Provides a description of the statistical methodology.</w:t>
      </w:r>
    </w:p>
    <w:p w:rsidR="00D624F0" w:rsidP="00CE208E" w:rsidRDefault="00D624F0" w14:paraId="56FC93F2" w14:textId="1072CAFF">
      <w:pPr>
        <w:rPr>
          <w:rFonts w:ascii="Times New Roman" w:hAnsi="Times New Roman"/>
          <w:sz w:val="24"/>
          <w:szCs w:val="24"/>
        </w:rPr>
      </w:pPr>
    </w:p>
    <w:p w:rsidRPr="0011541C" w:rsidR="003724B2" w:rsidP="0011541C" w:rsidRDefault="003724B2" w14:paraId="692A563E" w14:textId="661EDEDA">
      <w:pPr>
        <w:pStyle w:val="Heading3"/>
        <w:rPr>
          <w:i/>
          <w:iCs/>
          <w:u w:val="single"/>
        </w:rPr>
      </w:pPr>
      <w:bookmarkStart w:name="_Toc84410821" w:id="1"/>
      <w:r w:rsidRPr="0011541C">
        <w:rPr>
          <w:i/>
          <w:iCs/>
          <w:u w:val="single"/>
        </w:rPr>
        <w:t xml:space="preserve">Attachment </w:t>
      </w:r>
      <w:proofErr w:type="spellStart"/>
      <w:proofErr w:type="gramStart"/>
      <w:r w:rsidRPr="0011541C">
        <w:rPr>
          <w:i/>
          <w:iCs/>
          <w:u w:val="single"/>
        </w:rPr>
        <w:t>A</w:t>
      </w:r>
      <w:proofErr w:type="spellEnd"/>
      <w:proofErr w:type="gramEnd"/>
      <w:r w:rsidRPr="0011541C">
        <w:rPr>
          <w:i/>
          <w:iCs/>
          <w:u w:val="single"/>
        </w:rPr>
        <w:t xml:space="preserve"> Information</w:t>
      </w:r>
      <w:bookmarkEnd w:id="1"/>
      <w:r w:rsidR="001378C3">
        <w:rPr>
          <w:i/>
          <w:iCs/>
          <w:u w:val="single"/>
        </w:rPr>
        <w:t xml:space="preserve"> (pp. E-4 – E-5)</w:t>
      </w:r>
    </w:p>
    <w:p w:rsidR="003724B2" w:rsidP="003724B2" w:rsidRDefault="003724B2" w14:paraId="183B6E34" w14:textId="77777777">
      <w:pPr>
        <w:widowControl w:val="0"/>
        <w:spacing w:after="0"/>
        <w:rPr>
          <w:rFonts w:ascii="Times New Roman" w:hAnsi="Times New Roman"/>
          <w:sz w:val="24"/>
          <w:szCs w:val="24"/>
        </w:rPr>
      </w:pPr>
      <w:r w:rsidRPr="005E7809">
        <w:rPr>
          <w:rFonts w:ascii="Times New Roman" w:hAnsi="Times New Roman"/>
          <w:sz w:val="24"/>
          <w:szCs w:val="24"/>
        </w:rPr>
        <w:t xml:space="preserve">Each data group </w:t>
      </w:r>
      <w:r>
        <w:rPr>
          <w:rFonts w:ascii="Times New Roman" w:hAnsi="Times New Roman"/>
          <w:sz w:val="24"/>
          <w:szCs w:val="24"/>
        </w:rPr>
        <w:t xml:space="preserve">and category </w:t>
      </w:r>
      <w:r w:rsidRPr="005E7809">
        <w:rPr>
          <w:rFonts w:ascii="Times New Roman" w:hAnsi="Times New Roman"/>
          <w:sz w:val="24"/>
          <w:szCs w:val="24"/>
        </w:rPr>
        <w:t>in the ED</w:t>
      </w:r>
      <w:r w:rsidRPr="005E7809">
        <w:rPr>
          <w:rFonts w:ascii="Times New Roman" w:hAnsi="Times New Roman"/>
          <w:i/>
          <w:sz w:val="24"/>
          <w:szCs w:val="24"/>
        </w:rPr>
        <w:t>Facts</w:t>
      </w:r>
      <w:r w:rsidRPr="005E7809">
        <w:rPr>
          <w:rFonts w:ascii="Times New Roman" w:hAnsi="Times New Roman"/>
          <w:sz w:val="24"/>
          <w:szCs w:val="24"/>
        </w:rPr>
        <w:t xml:space="preserve"> data set is described in </w:t>
      </w:r>
      <w:r>
        <w:rPr>
          <w:rFonts w:ascii="Times New Roman" w:hAnsi="Times New Roman"/>
          <w:sz w:val="24"/>
          <w:szCs w:val="24"/>
        </w:rPr>
        <w:t>Attachment A which is presented as an Excel file</w:t>
      </w:r>
      <w:r w:rsidRPr="005E7809">
        <w:rPr>
          <w:rFonts w:ascii="Times New Roman" w:hAnsi="Times New Roman"/>
          <w:sz w:val="24"/>
          <w:szCs w:val="24"/>
        </w:rPr>
        <w:t>.</w:t>
      </w:r>
      <w:r>
        <w:rPr>
          <w:rFonts w:ascii="Times New Roman" w:hAnsi="Times New Roman"/>
          <w:sz w:val="24"/>
          <w:szCs w:val="24"/>
        </w:rPr>
        <w:t xml:space="preserve"> The following are the columns, descriptions, and notes for the data groups and categories.</w:t>
      </w:r>
    </w:p>
    <w:p w:rsidR="003724B2" w:rsidP="003724B2" w:rsidRDefault="003724B2" w14:paraId="3AFF8706" w14:textId="77777777">
      <w:pPr>
        <w:widowControl w:val="0"/>
        <w:spacing w:before="120" w:after="0"/>
        <w:rPr>
          <w:rFonts w:ascii="Times New Roman" w:hAnsi="Times New Roman"/>
          <w:sz w:val="24"/>
          <w:szCs w:val="24"/>
        </w:rPr>
      </w:pPr>
      <w:r w:rsidRPr="00DB66A0">
        <w:rPr>
          <w:rFonts w:cs="Calibri"/>
          <w:b/>
          <w:bCs/>
          <w:color w:val="000000"/>
          <w:sz w:val="24"/>
          <w:szCs w:val="24"/>
        </w:rPr>
        <w:t>Data Group Columns</w:t>
      </w:r>
    </w:p>
    <w:tbl>
      <w:tblPr>
        <w:tblW w:w="5000" w:type="pct"/>
        <w:tblLook w:val="04A0" w:firstRow="1" w:lastRow="0" w:firstColumn="1" w:lastColumn="0" w:noHBand="0" w:noVBand="1"/>
      </w:tblPr>
      <w:tblGrid>
        <w:gridCol w:w="2147"/>
        <w:gridCol w:w="4113"/>
        <w:gridCol w:w="4232"/>
      </w:tblGrid>
      <w:tr w:rsidRPr="00622223" w:rsidR="003724B2" w:rsidTr="009C4DED" w14:paraId="0FEB5C11" w14:textId="77777777">
        <w:trPr>
          <w:cantSplit/>
          <w:trHeight w:val="315"/>
        </w:trPr>
        <w:tc>
          <w:tcPr>
            <w:tcW w:w="1023" w:type="pct"/>
            <w:tcBorders>
              <w:top w:val="single" w:color="auto" w:sz="8" w:space="0"/>
              <w:left w:val="single" w:color="auto" w:sz="8" w:space="0"/>
              <w:bottom w:val="single" w:color="auto" w:sz="4" w:space="0"/>
              <w:right w:val="nil"/>
            </w:tcBorders>
            <w:shd w:val="clear" w:color="000000" w:fill="F2F2F2"/>
            <w:hideMark/>
          </w:tcPr>
          <w:p w:rsidRPr="00622223" w:rsidR="003724B2" w:rsidP="009C4DED" w:rsidRDefault="003724B2" w14:paraId="77EBCB9D" w14:textId="77777777">
            <w:pPr>
              <w:keepNext/>
              <w:spacing w:after="0" w:line="240" w:lineRule="auto"/>
              <w:rPr>
                <w:rFonts w:cs="Calibri"/>
                <w:b/>
                <w:bCs/>
                <w:color w:val="000000"/>
                <w:sz w:val="20"/>
                <w:szCs w:val="20"/>
              </w:rPr>
            </w:pPr>
            <w:r w:rsidRPr="00622223">
              <w:rPr>
                <w:rFonts w:cs="Calibri"/>
                <w:b/>
                <w:bCs/>
                <w:color w:val="000000"/>
                <w:sz w:val="20"/>
                <w:szCs w:val="20"/>
              </w:rPr>
              <w:t>Column Name</w:t>
            </w:r>
          </w:p>
        </w:tc>
        <w:tc>
          <w:tcPr>
            <w:tcW w:w="1960" w:type="pct"/>
            <w:tcBorders>
              <w:top w:val="single" w:color="auto" w:sz="8" w:space="0"/>
              <w:left w:val="nil"/>
              <w:bottom w:val="single" w:color="auto" w:sz="4" w:space="0"/>
              <w:right w:val="nil"/>
            </w:tcBorders>
            <w:shd w:val="clear" w:color="000000" w:fill="F2F2F2"/>
            <w:hideMark/>
          </w:tcPr>
          <w:p w:rsidRPr="00622223" w:rsidR="003724B2" w:rsidP="009C4DED" w:rsidRDefault="003724B2" w14:paraId="2BEF4F75" w14:textId="77777777">
            <w:pPr>
              <w:keepNext/>
              <w:spacing w:after="0" w:line="240" w:lineRule="auto"/>
              <w:rPr>
                <w:rFonts w:cs="Calibri"/>
                <w:b/>
                <w:bCs/>
                <w:color w:val="000000"/>
                <w:sz w:val="20"/>
                <w:szCs w:val="20"/>
              </w:rPr>
            </w:pPr>
            <w:r w:rsidRPr="00622223">
              <w:rPr>
                <w:rFonts w:cs="Calibri"/>
                <w:b/>
                <w:bCs/>
                <w:color w:val="000000"/>
                <w:sz w:val="20"/>
                <w:szCs w:val="20"/>
              </w:rPr>
              <w:t>Description</w:t>
            </w:r>
          </w:p>
        </w:tc>
        <w:tc>
          <w:tcPr>
            <w:tcW w:w="2017" w:type="pct"/>
            <w:tcBorders>
              <w:top w:val="single" w:color="auto" w:sz="8" w:space="0"/>
              <w:left w:val="nil"/>
              <w:bottom w:val="single" w:color="auto" w:sz="4" w:space="0"/>
              <w:right w:val="single" w:color="auto" w:sz="8" w:space="0"/>
            </w:tcBorders>
            <w:shd w:val="clear" w:color="000000" w:fill="F2F2F2"/>
            <w:hideMark/>
          </w:tcPr>
          <w:p w:rsidRPr="00622223" w:rsidR="003724B2" w:rsidP="009C4DED" w:rsidRDefault="003724B2" w14:paraId="16C7F414" w14:textId="77777777">
            <w:pPr>
              <w:spacing w:after="0" w:line="240" w:lineRule="auto"/>
              <w:rPr>
                <w:rFonts w:cs="Calibri"/>
                <w:b/>
                <w:bCs/>
                <w:color w:val="000000"/>
                <w:sz w:val="20"/>
                <w:szCs w:val="20"/>
              </w:rPr>
            </w:pPr>
            <w:r w:rsidRPr="00622223">
              <w:rPr>
                <w:rFonts w:cs="Calibri"/>
                <w:b/>
                <w:bCs/>
                <w:color w:val="000000"/>
                <w:sz w:val="20"/>
                <w:szCs w:val="20"/>
              </w:rPr>
              <w:t>Notes</w:t>
            </w:r>
          </w:p>
        </w:tc>
      </w:tr>
      <w:tr w:rsidRPr="00280A7D" w:rsidR="003724B2" w:rsidTr="009C4DED" w14:paraId="2CB84D04" w14:textId="77777777">
        <w:trPr>
          <w:cantSplit/>
          <w:trHeight w:val="566"/>
        </w:trPr>
        <w:tc>
          <w:tcPr>
            <w:tcW w:w="1023" w:type="pct"/>
            <w:tcBorders>
              <w:top w:val="single" w:color="auto" w:sz="4" w:space="0"/>
              <w:left w:val="single" w:color="auto" w:sz="4" w:space="0"/>
              <w:bottom w:val="single" w:color="auto" w:sz="4" w:space="0"/>
              <w:right w:val="single" w:color="auto" w:sz="4" w:space="0"/>
            </w:tcBorders>
            <w:shd w:val="clear" w:color="auto" w:fill="auto"/>
          </w:tcPr>
          <w:p w:rsidRPr="00280A7D" w:rsidR="003724B2" w:rsidP="009C4DED" w:rsidRDefault="003724B2" w14:paraId="53379F83" w14:textId="77777777">
            <w:pPr>
              <w:keepNext/>
              <w:spacing w:after="0" w:line="240" w:lineRule="auto"/>
              <w:rPr>
                <w:rFonts w:cs="Calibri"/>
                <w:color w:val="000000"/>
                <w:sz w:val="20"/>
                <w:szCs w:val="20"/>
              </w:rPr>
            </w:pPr>
            <w:r w:rsidRPr="005F255C">
              <w:rPr>
                <w:rFonts w:cs="Calibri"/>
                <w:color w:val="FF0000"/>
                <w:sz w:val="20"/>
                <w:szCs w:val="20"/>
              </w:rPr>
              <w:t xml:space="preserve">Status (Final, </w:t>
            </w:r>
            <w:r>
              <w:rPr>
                <w:rFonts w:cs="Calibri"/>
                <w:color w:val="000000"/>
                <w:sz w:val="20"/>
                <w:szCs w:val="20"/>
              </w:rPr>
              <w:t>30-day</w:t>
            </w:r>
            <w:r w:rsidRPr="00280A7D">
              <w:rPr>
                <w:rFonts w:cs="Calibri"/>
                <w:color w:val="000000"/>
                <w:sz w:val="20"/>
                <w:szCs w:val="20"/>
              </w:rPr>
              <w:t xml:space="preserve"> </w:t>
            </w:r>
            <w:r w:rsidRPr="005F255C">
              <w:rPr>
                <w:rFonts w:cs="Calibri"/>
                <w:strike/>
                <w:color w:val="FF0000"/>
                <w:sz w:val="20"/>
                <w:szCs w:val="20"/>
              </w:rPr>
              <w:t>Status</w:t>
            </w:r>
            <w:r w:rsidRPr="005F255C">
              <w:rPr>
                <w:rFonts w:cs="Calibri"/>
                <w:color w:val="FF0000"/>
                <w:sz w:val="20"/>
                <w:szCs w:val="20"/>
              </w:rPr>
              <w:t>, and 60-day)</w:t>
            </w:r>
          </w:p>
        </w:tc>
        <w:tc>
          <w:tcPr>
            <w:tcW w:w="1960" w:type="pct"/>
            <w:tcBorders>
              <w:top w:val="single" w:color="auto" w:sz="4" w:space="0"/>
              <w:left w:val="single" w:color="auto" w:sz="4" w:space="0"/>
              <w:bottom w:val="single" w:color="auto" w:sz="4" w:space="0"/>
              <w:right w:val="single" w:color="auto" w:sz="4" w:space="0"/>
            </w:tcBorders>
            <w:shd w:val="clear" w:color="auto" w:fill="auto"/>
          </w:tcPr>
          <w:p w:rsidRPr="00280A7D" w:rsidR="003724B2" w:rsidP="009C4DED" w:rsidRDefault="003724B2" w14:paraId="17EF4C4B" w14:textId="20348F84">
            <w:pPr>
              <w:keepNext/>
              <w:spacing w:after="0" w:line="240" w:lineRule="auto"/>
              <w:rPr>
                <w:rFonts w:cs="Calibri"/>
                <w:color w:val="000000"/>
                <w:sz w:val="20"/>
                <w:szCs w:val="20"/>
              </w:rPr>
            </w:pPr>
            <w:r w:rsidRPr="00622223">
              <w:rPr>
                <w:rFonts w:cs="Calibri"/>
                <w:color w:val="000000"/>
                <w:sz w:val="20"/>
                <w:szCs w:val="20"/>
              </w:rPr>
              <w:t>The status of the data group</w:t>
            </w:r>
            <w:r>
              <w:rPr>
                <w:rFonts w:cs="Calibri"/>
                <w:color w:val="000000"/>
                <w:sz w:val="20"/>
                <w:szCs w:val="20"/>
              </w:rPr>
              <w:t xml:space="preserve"> </w:t>
            </w:r>
            <w:r w:rsidRPr="00931D0C" w:rsidR="00485DC7">
              <w:rPr>
                <w:rFonts w:cs="Calibri"/>
                <w:strike/>
                <w:color w:val="FF0000"/>
                <w:sz w:val="20"/>
                <w:szCs w:val="20"/>
              </w:rPr>
              <w:t>in</w:t>
            </w:r>
            <w:r w:rsidRPr="00485DC7" w:rsidR="00485DC7">
              <w:rPr>
                <w:rFonts w:cs="Calibri"/>
                <w:color w:val="FF0000"/>
                <w:sz w:val="20"/>
                <w:szCs w:val="20"/>
              </w:rPr>
              <w:t xml:space="preserve"> compared</w:t>
            </w:r>
            <w:r w:rsidRPr="00931D0C" w:rsidR="00485DC7">
              <w:rPr>
                <w:rFonts w:cs="Calibri"/>
                <w:color w:val="FF0000"/>
                <w:sz w:val="20"/>
                <w:szCs w:val="20"/>
              </w:rPr>
              <w:t xml:space="preserve"> to </w:t>
            </w:r>
            <w:r>
              <w:rPr>
                <w:rFonts w:cs="Calibri"/>
                <w:color w:val="000000"/>
                <w:sz w:val="20"/>
                <w:szCs w:val="20"/>
              </w:rPr>
              <w:t xml:space="preserve">the </w:t>
            </w:r>
            <w:r w:rsidRPr="00931D0C" w:rsidR="005F255C">
              <w:rPr>
                <w:rFonts w:cs="Calibri"/>
                <w:strike/>
                <w:color w:val="FF0000"/>
                <w:sz w:val="20"/>
                <w:szCs w:val="20"/>
              </w:rPr>
              <w:t>30-day</w:t>
            </w:r>
            <w:r w:rsidRPr="00931D0C" w:rsidR="005F255C">
              <w:rPr>
                <w:rFonts w:cs="Calibri"/>
                <w:color w:val="FF0000"/>
                <w:sz w:val="20"/>
                <w:szCs w:val="20"/>
              </w:rPr>
              <w:t xml:space="preserve"> last </w:t>
            </w:r>
            <w:r>
              <w:rPr>
                <w:rFonts w:cs="Calibri"/>
                <w:color w:val="000000"/>
                <w:sz w:val="20"/>
                <w:szCs w:val="20"/>
              </w:rPr>
              <w:t>package.</w:t>
            </w:r>
          </w:p>
        </w:tc>
        <w:tc>
          <w:tcPr>
            <w:tcW w:w="2017" w:type="pct"/>
            <w:tcBorders>
              <w:top w:val="single" w:color="auto" w:sz="4" w:space="0"/>
              <w:left w:val="single" w:color="auto" w:sz="4" w:space="0"/>
              <w:bottom w:val="single" w:color="auto" w:sz="4" w:space="0"/>
              <w:right w:val="single" w:color="auto" w:sz="4" w:space="0"/>
            </w:tcBorders>
            <w:shd w:val="clear" w:color="auto" w:fill="auto"/>
          </w:tcPr>
          <w:p w:rsidRPr="00280A7D" w:rsidR="003724B2" w:rsidP="009C4DED" w:rsidRDefault="003724B2" w14:paraId="524E9BB5" w14:textId="77777777">
            <w:pPr>
              <w:spacing w:after="0" w:line="240" w:lineRule="auto"/>
              <w:rPr>
                <w:rFonts w:cs="Calibri"/>
                <w:color w:val="000000"/>
                <w:sz w:val="20"/>
                <w:szCs w:val="20"/>
              </w:rPr>
            </w:pPr>
            <w:r w:rsidRPr="00620652">
              <w:rPr>
                <w:rFonts w:cs="Calibri"/>
                <w:color w:val="000000"/>
                <w:sz w:val="20"/>
                <w:szCs w:val="20"/>
              </w:rPr>
              <w:t>No change, new, retired, revised, and technical correction.</w:t>
            </w:r>
          </w:p>
        </w:tc>
      </w:tr>
      <w:tr w:rsidRPr="001378C3" w:rsidR="001378C3" w:rsidTr="009C4DED" w14:paraId="6E0E5D8F" w14:textId="77777777">
        <w:trPr>
          <w:cantSplit/>
          <w:trHeight w:val="620"/>
          <w:tblHeader/>
        </w:trPr>
        <w:tc>
          <w:tcPr>
            <w:tcW w:w="1023" w:type="pct"/>
            <w:tcBorders>
              <w:top w:val="single" w:color="auto" w:sz="4" w:space="0"/>
              <w:left w:val="single" w:color="auto" w:sz="4" w:space="0"/>
              <w:bottom w:val="single" w:color="auto" w:sz="4" w:space="0"/>
              <w:right w:val="single" w:color="auto" w:sz="4" w:space="0"/>
            </w:tcBorders>
            <w:shd w:val="clear" w:color="auto" w:fill="auto"/>
          </w:tcPr>
          <w:p w:rsidRPr="001378C3" w:rsidR="003724B2" w:rsidP="009C4DED" w:rsidRDefault="003724B2" w14:paraId="356F5943" w14:textId="77777777">
            <w:pPr>
              <w:keepNext/>
              <w:spacing w:after="0" w:line="240" w:lineRule="auto"/>
              <w:rPr>
                <w:rFonts w:cs="Calibri"/>
                <w:strike/>
                <w:color w:val="FF0000"/>
                <w:sz w:val="20"/>
                <w:szCs w:val="20"/>
              </w:rPr>
            </w:pPr>
            <w:r w:rsidRPr="001378C3">
              <w:rPr>
                <w:rFonts w:cs="Calibri"/>
                <w:strike/>
                <w:color w:val="FF0000"/>
                <w:sz w:val="20"/>
                <w:szCs w:val="20"/>
              </w:rPr>
              <w:t>60-day Status</w:t>
            </w:r>
          </w:p>
        </w:tc>
        <w:tc>
          <w:tcPr>
            <w:tcW w:w="1960" w:type="pct"/>
            <w:tcBorders>
              <w:top w:val="single" w:color="auto" w:sz="4" w:space="0"/>
              <w:left w:val="single" w:color="auto" w:sz="4" w:space="0"/>
              <w:bottom w:val="single" w:color="auto" w:sz="4" w:space="0"/>
              <w:right w:val="single" w:color="auto" w:sz="4" w:space="0"/>
            </w:tcBorders>
            <w:shd w:val="clear" w:color="auto" w:fill="auto"/>
          </w:tcPr>
          <w:p w:rsidRPr="001378C3" w:rsidR="003724B2" w:rsidP="009C4DED" w:rsidRDefault="003724B2" w14:paraId="0BC02BC5" w14:textId="77777777">
            <w:pPr>
              <w:keepNext/>
              <w:spacing w:after="0" w:line="240" w:lineRule="auto"/>
              <w:rPr>
                <w:rFonts w:cs="Calibri"/>
                <w:strike/>
                <w:color w:val="FF0000"/>
                <w:sz w:val="20"/>
                <w:szCs w:val="20"/>
              </w:rPr>
            </w:pPr>
            <w:r w:rsidRPr="001378C3">
              <w:rPr>
                <w:rFonts w:cs="Calibri"/>
                <w:strike/>
                <w:color w:val="FF0000"/>
                <w:sz w:val="20"/>
                <w:szCs w:val="20"/>
              </w:rPr>
              <w:t>The status of the data group in the 60-day package.</w:t>
            </w:r>
          </w:p>
        </w:tc>
        <w:tc>
          <w:tcPr>
            <w:tcW w:w="2017" w:type="pct"/>
            <w:tcBorders>
              <w:top w:val="single" w:color="auto" w:sz="4" w:space="0"/>
              <w:left w:val="single" w:color="auto" w:sz="4" w:space="0"/>
              <w:bottom w:val="single" w:color="auto" w:sz="4" w:space="0"/>
              <w:right w:val="single" w:color="auto" w:sz="4" w:space="0"/>
            </w:tcBorders>
            <w:shd w:val="clear" w:color="auto" w:fill="auto"/>
          </w:tcPr>
          <w:p w:rsidRPr="001378C3" w:rsidR="003724B2" w:rsidP="009C4DED" w:rsidRDefault="003724B2" w14:paraId="665BE288" w14:textId="77777777">
            <w:pPr>
              <w:spacing w:after="0" w:line="240" w:lineRule="auto"/>
              <w:rPr>
                <w:rFonts w:cs="Calibri"/>
                <w:strike/>
                <w:color w:val="FF0000"/>
                <w:sz w:val="20"/>
                <w:szCs w:val="20"/>
              </w:rPr>
            </w:pPr>
            <w:r w:rsidRPr="001378C3">
              <w:rPr>
                <w:rFonts w:cs="Calibri"/>
                <w:strike/>
                <w:color w:val="FF0000"/>
                <w:sz w:val="20"/>
                <w:szCs w:val="20"/>
              </w:rPr>
              <w:t>No change, new, retired, revised, and technical correction.</w:t>
            </w:r>
          </w:p>
        </w:tc>
      </w:tr>
      <w:tr w:rsidRPr="00622223" w:rsidR="003724B2" w:rsidTr="009C4DED" w14:paraId="0E3620AA"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3724B2" w:rsidP="009C4DED" w:rsidRDefault="003724B2" w14:paraId="43ECCB17" w14:textId="44F74375">
            <w:pPr>
              <w:spacing w:after="0" w:line="240" w:lineRule="auto"/>
              <w:rPr>
                <w:rFonts w:cs="Calibri"/>
                <w:color w:val="000000"/>
                <w:sz w:val="20"/>
                <w:szCs w:val="20"/>
              </w:rPr>
            </w:pPr>
            <w:bookmarkStart w:name="_Hlk95543104" w:id="2"/>
            <w:r w:rsidRPr="00622223">
              <w:rPr>
                <w:rFonts w:cs="Calibri"/>
                <w:color w:val="000000"/>
                <w:sz w:val="20"/>
                <w:szCs w:val="20"/>
              </w:rPr>
              <w:t>Data Group Name (</w:t>
            </w:r>
            <w:r>
              <w:rPr>
                <w:rFonts w:cs="Calibri"/>
                <w:color w:val="000000"/>
                <w:sz w:val="20"/>
                <w:szCs w:val="20"/>
              </w:rPr>
              <w:t xml:space="preserve">SY 2022-23 – </w:t>
            </w:r>
            <w:r w:rsidRPr="005F255C" w:rsidR="005F255C">
              <w:rPr>
                <w:rFonts w:cs="Calibri"/>
                <w:color w:val="FF0000"/>
                <w:sz w:val="20"/>
                <w:szCs w:val="20"/>
              </w:rPr>
              <w:t>Final, 30-day,</w:t>
            </w:r>
            <w:r w:rsidR="005F255C">
              <w:rPr>
                <w:rFonts w:cs="Calibri"/>
                <w:color w:val="FF0000"/>
                <w:sz w:val="20"/>
                <w:szCs w:val="20"/>
              </w:rPr>
              <w:t xml:space="preserve"> </w:t>
            </w:r>
            <w:r>
              <w:rPr>
                <w:rFonts w:cs="Calibri"/>
                <w:color w:val="000000"/>
                <w:sz w:val="20"/>
                <w:szCs w:val="20"/>
              </w:rPr>
              <w:t xml:space="preserve">60-day </w:t>
            </w:r>
            <w:r w:rsidRPr="00622223">
              <w:rPr>
                <w:rFonts w:cs="Calibri"/>
                <w:color w:val="000000"/>
                <w:sz w:val="20"/>
                <w:szCs w:val="20"/>
              </w:rPr>
              <w:t>Changes Only)</w:t>
            </w:r>
          </w:p>
        </w:tc>
        <w:tc>
          <w:tcPr>
            <w:tcW w:w="1960" w:type="pct"/>
            <w:tcBorders>
              <w:top w:val="nil"/>
              <w:left w:val="nil"/>
              <w:bottom w:val="single" w:color="auto" w:sz="4" w:space="0"/>
              <w:right w:val="single" w:color="auto" w:sz="4" w:space="0"/>
            </w:tcBorders>
            <w:shd w:val="clear" w:color="auto" w:fill="auto"/>
            <w:hideMark/>
          </w:tcPr>
          <w:p w:rsidRPr="00622223" w:rsidR="003724B2" w:rsidP="009C4DED" w:rsidRDefault="003724B2" w14:paraId="6E381695" w14:textId="3590079F">
            <w:pPr>
              <w:spacing w:after="0" w:line="240" w:lineRule="auto"/>
              <w:rPr>
                <w:rFonts w:cs="Calibri"/>
                <w:color w:val="000000"/>
                <w:sz w:val="20"/>
                <w:szCs w:val="20"/>
              </w:rPr>
            </w:pPr>
            <w:r w:rsidRPr="00622223">
              <w:rPr>
                <w:rFonts w:cs="Calibri"/>
                <w:color w:val="000000"/>
                <w:sz w:val="20"/>
                <w:szCs w:val="20"/>
              </w:rPr>
              <w:t xml:space="preserve">The </w:t>
            </w:r>
            <w:r>
              <w:rPr>
                <w:rFonts w:cs="Calibri"/>
                <w:color w:val="000000"/>
                <w:sz w:val="20"/>
                <w:szCs w:val="20"/>
              </w:rPr>
              <w:t xml:space="preserve">proposed </w:t>
            </w:r>
            <w:r w:rsidRPr="00622223">
              <w:rPr>
                <w:rFonts w:cs="Calibri"/>
                <w:color w:val="000000"/>
                <w:sz w:val="20"/>
                <w:szCs w:val="20"/>
              </w:rPr>
              <w:t>new name of the data group</w:t>
            </w:r>
            <w:r>
              <w:rPr>
                <w:rFonts w:cs="Calibri"/>
                <w:color w:val="000000"/>
                <w:sz w:val="20"/>
                <w:szCs w:val="20"/>
              </w:rPr>
              <w:t xml:space="preserve"> </w:t>
            </w:r>
            <w:r w:rsidRPr="00931D0C" w:rsidR="00485DC7">
              <w:rPr>
                <w:rFonts w:cs="Calibri"/>
                <w:strike/>
                <w:color w:val="FF0000"/>
                <w:sz w:val="20"/>
                <w:szCs w:val="20"/>
              </w:rPr>
              <w:t>in</w:t>
            </w:r>
            <w:r w:rsidRPr="00485DC7" w:rsidR="00485DC7">
              <w:rPr>
                <w:rFonts w:cs="Calibri"/>
                <w:color w:val="FF0000"/>
                <w:sz w:val="20"/>
                <w:szCs w:val="20"/>
              </w:rPr>
              <w:t xml:space="preserve"> compared</w:t>
            </w:r>
            <w:r w:rsidRPr="00931D0C" w:rsidR="00485DC7">
              <w:rPr>
                <w:rFonts w:cs="Calibri"/>
                <w:color w:val="FF0000"/>
                <w:sz w:val="20"/>
                <w:szCs w:val="20"/>
              </w:rPr>
              <w:t xml:space="preserve"> to </w:t>
            </w:r>
            <w:r w:rsidRPr="000964E1">
              <w:rPr>
                <w:rFonts w:cs="Calibri"/>
                <w:color w:val="000000"/>
                <w:sz w:val="20"/>
                <w:szCs w:val="20"/>
              </w:rPr>
              <w:t xml:space="preserve">the </w:t>
            </w:r>
            <w:r w:rsidRPr="005F255C" w:rsidR="005F255C">
              <w:rPr>
                <w:rFonts w:cs="Calibri"/>
                <w:strike/>
                <w:color w:val="FF0000"/>
                <w:sz w:val="20"/>
                <w:szCs w:val="20"/>
              </w:rPr>
              <w:t>60-</w:t>
            </w:r>
            <w:r w:rsidRPr="00931D0C" w:rsidR="005F255C">
              <w:rPr>
                <w:rFonts w:cs="Calibri"/>
                <w:strike/>
                <w:color w:val="FF0000"/>
                <w:sz w:val="20"/>
                <w:szCs w:val="20"/>
              </w:rPr>
              <w:t>day</w:t>
            </w:r>
            <w:r w:rsidRPr="00931D0C" w:rsidR="005F255C">
              <w:rPr>
                <w:rFonts w:cs="Calibri"/>
                <w:color w:val="FF0000"/>
                <w:sz w:val="20"/>
                <w:szCs w:val="20"/>
              </w:rPr>
              <w:t xml:space="preserve"> last </w:t>
            </w:r>
            <w:r w:rsidRPr="000964E1">
              <w:rPr>
                <w:rFonts w:cs="Calibri"/>
                <w:color w:val="000000"/>
                <w:sz w:val="20"/>
                <w:szCs w:val="20"/>
              </w:rPr>
              <w:t>package.</w:t>
            </w:r>
          </w:p>
        </w:tc>
        <w:tc>
          <w:tcPr>
            <w:tcW w:w="2017" w:type="pct"/>
            <w:tcBorders>
              <w:top w:val="nil"/>
              <w:left w:val="nil"/>
              <w:bottom w:val="single" w:color="auto" w:sz="4" w:space="0"/>
              <w:right w:val="single" w:color="auto" w:sz="8" w:space="0"/>
            </w:tcBorders>
            <w:shd w:val="clear" w:color="auto" w:fill="auto"/>
            <w:hideMark/>
          </w:tcPr>
          <w:p w:rsidRPr="00622223" w:rsidR="003724B2" w:rsidP="009C4DED" w:rsidRDefault="003724B2" w14:paraId="78C73B2D" w14:textId="77777777">
            <w:pPr>
              <w:spacing w:after="0" w:line="240" w:lineRule="auto"/>
              <w:rPr>
                <w:rFonts w:cs="Calibri"/>
                <w:color w:val="000000"/>
                <w:sz w:val="20"/>
                <w:szCs w:val="20"/>
              </w:rPr>
            </w:pPr>
            <w:r w:rsidRPr="00622223">
              <w:rPr>
                <w:rFonts w:cs="Calibri"/>
                <w:color w:val="000000"/>
                <w:sz w:val="20"/>
                <w:szCs w:val="20"/>
              </w:rPr>
              <w:t>This column is only used if there is a change to the data group name or if the data group is new</w:t>
            </w:r>
            <w:r>
              <w:rPr>
                <w:rFonts w:cs="Calibri"/>
                <w:color w:val="000000"/>
                <w:sz w:val="20"/>
                <w:szCs w:val="20"/>
              </w:rPr>
              <w:t>.</w:t>
            </w:r>
          </w:p>
        </w:tc>
      </w:tr>
      <w:bookmarkEnd w:id="2"/>
      <w:tr w:rsidRPr="001378C3" w:rsidR="001378C3" w:rsidTr="009C4DED" w14:paraId="463ED68C"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Pr="001378C3" w:rsidR="003724B2" w:rsidP="009C4DED" w:rsidRDefault="003724B2" w14:paraId="4D8FE237" w14:textId="77777777">
            <w:pPr>
              <w:spacing w:after="0" w:line="240" w:lineRule="auto"/>
              <w:rPr>
                <w:rFonts w:cs="Calibri"/>
                <w:strike/>
                <w:color w:val="FF0000"/>
                <w:sz w:val="20"/>
                <w:szCs w:val="20"/>
              </w:rPr>
            </w:pPr>
            <w:r w:rsidRPr="001378C3">
              <w:rPr>
                <w:rFonts w:cs="Calibri"/>
                <w:strike/>
                <w:color w:val="FF0000"/>
                <w:sz w:val="20"/>
                <w:szCs w:val="20"/>
              </w:rPr>
              <w:t>Data Group Name (SY 2022-23 – 30-day Changes Only)</w:t>
            </w:r>
          </w:p>
        </w:tc>
        <w:tc>
          <w:tcPr>
            <w:tcW w:w="1960" w:type="pct"/>
            <w:tcBorders>
              <w:top w:val="nil"/>
              <w:left w:val="nil"/>
              <w:bottom w:val="single" w:color="auto" w:sz="4" w:space="0"/>
              <w:right w:val="single" w:color="auto" w:sz="4" w:space="0"/>
            </w:tcBorders>
            <w:shd w:val="clear" w:color="auto" w:fill="auto"/>
          </w:tcPr>
          <w:p w:rsidRPr="001378C3" w:rsidR="003724B2" w:rsidP="009C4DED" w:rsidRDefault="003724B2" w14:paraId="23E62442" w14:textId="77777777">
            <w:pPr>
              <w:spacing w:after="0" w:line="240" w:lineRule="auto"/>
              <w:rPr>
                <w:rFonts w:cs="Calibri"/>
                <w:strike/>
                <w:color w:val="FF0000"/>
                <w:sz w:val="20"/>
                <w:szCs w:val="20"/>
              </w:rPr>
            </w:pPr>
            <w:r w:rsidRPr="001378C3">
              <w:rPr>
                <w:rFonts w:cs="Calibri"/>
                <w:strike/>
                <w:color w:val="FF0000"/>
                <w:sz w:val="20"/>
                <w:szCs w:val="20"/>
              </w:rPr>
              <w:t>The proposed new name of the data group in the 30-day package.</w:t>
            </w:r>
          </w:p>
        </w:tc>
        <w:tc>
          <w:tcPr>
            <w:tcW w:w="2017" w:type="pct"/>
            <w:tcBorders>
              <w:top w:val="nil"/>
              <w:left w:val="nil"/>
              <w:bottom w:val="single" w:color="auto" w:sz="4" w:space="0"/>
              <w:right w:val="single" w:color="auto" w:sz="8" w:space="0"/>
            </w:tcBorders>
            <w:shd w:val="clear" w:color="auto" w:fill="auto"/>
          </w:tcPr>
          <w:p w:rsidRPr="001378C3" w:rsidR="003724B2" w:rsidP="009C4DED" w:rsidRDefault="003724B2" w14:paraId="4F09CE5E" w14:textId="77777777">
            <w:pPr>
              <w:spacing w:after="0" w:line="240" w:lineRule="auto"/>
              <w:rPr>
                <w:rFonts w:cs="Calibri"/>
                <w:strike/>
                <w:color w:val="FF0000"/>
                <w:sz w:val="20"/>
                <w:szCs w:val="20"/>
              </w:rPr>
            </w:pPr>
            <w:r w:rsidRPr="001378C3">
              <w:rPr>
                <w:rFonts w:cs="Calibri"/>
                <w:strike/>
                <w:color w:val="FF0000"/>
                <w:sz w:val="20"/>
                <w:szCs w:val="20"/>
              </w:rPr>
              <w:t>This column is only used if there is a change to the data group name or if the data group is new.</w:t>
            </w:r>
          </w:p>
        </w:tc>
      </w:tr>
      <w:tr w:rsidRPr="00622223" w:rsidR="003724B2" w:rsidTr="009C4DED" w14:paraId="2386A7AC"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3724B2" w:rsidP="009C4DED" w:rsidRDefault="003724B2" w14:paraId="2AA9A255" w14:textId="685E3970">
            <w:pPr>
              <w:spacing w:after="0" w:line="240" w:lineRule="auto"/>
              <w:rPr>
                <w:rFonts w:cs="Calibri"/>
                <w:color w:val="000000"/>
                <w:sz w:val="20"/>
                <w:szCs w:val="20"/>
              </w:rPr>
            </w:pPr>
            <w:r w:rsidRPr="00622223">
              <w:rPr>
                <w:rFonts w:cs="Calibri"/>
                <w:color w:val="000000"/>
                <w:sz w:val="20"/>
                <w:szCs w:val="20"/>
              </w:rPr>
              <w:t>Data Group Definition (</w:t>
            </w:r>
            <w:r>
              <w:rPr>
                <w:rFonts w:cs="Calibri"/>
                <w:color w:val="000000"/>
                <w:sz w:val="20"/>
                <w:szCs w:val="20"/>
              </w:rPr>
              <w:t xml:space="preserve">SY 2022-23 – </w:t>
            </w:r>
            <w:r w:rsidRPr="005F255C" w:rsidR="005F255C">
              <w:rPr>
                <w:rFonts w:cs="Calibri"/>
                <w:color w:val="FF0000"/>
                <w:sz w:val="20"/>
                <w:szCs w:val="20"/>
              </w:rPr>
              <w:t>Final, 30-day,</w:t>
            </w:r>
            <w:r w:rsidR="005F255C">
              <w:rPr>
                <w:rFonts w:cs="Calibri"/>
                <w:color w:val="FF0000"/>
                <w:sz w:val="20"/>
                <w:szCs w:val="20"/>
              </w:rPr>
              <w:t xml:space="preserve"> </w:t>
            </w:r>
            <w:r w:rsidRPr="000964E1">
              <w:rPr>
                <w:rFonts w:cs="Calibri"/>
                <w:color w:val="000000"/>
                <w:sz w:val="20"/>
                <w:szCs w:val="20"/>
              </w:rPr>
              <w:t>60-day</w:t>
            </w:r>
            <w:r>
              <w:rPr>
                <w:rFonts w:cs="Calibri"/>
                <w:color w:val="000000"/>
                <w:sz w:val="20"/>
                <w:szCs w:val="20"/>
              </w:rPr>
              <w:t xml:space="preserve"> </w:t>
            </w:r>
            <w:r w:rsidRPr="00622223">
              <w:rPr>
                <w:rFonts w:cs="Calibri"/>
                <w:color w:val="000000"/>
                <w:sz w:val="20"/>
                <w:szCs w:val="20"/>
              </w:rPr>
              <w:t>Changes Only)</w:t>
            </w:r>
          </w:p>
        </w:tc>
        <w:tc>
          <w:tcPr>
            <w:tcW w:w="1960" w:type="pct"/>
            <w:tcBorders>
              <w:top w:val="nil"/>
              <w:left w:val="nil"/>
              <w:bottom w:val="single" w:color="auto" w:sz="4" w:space="0"/>
              <w:right w:val="single" w:color="auto" w:sz="4" w:space="0"/>
            </w:tcBorders>
            <w:shd w:val="clear" w:color="auto" w:fill="auto"/>
            <w:hideMark/>
          </w:tcPr>
          <w:p w:rsidRPr="00622223" w:rsidR="003724B2" w:rsidP="009C4DED" w:rsidRDefault="003724B2" w14:paraId="48C5707E" w14:textId="7B6760E4">
            <w:pPr>
              <w:spacing w:after="0" w:line="240" w:lineRule="auto"/>
              <w:rPr>
                <w:rFonts w:cs="Calibri"/>
                <w:color w:val="000000"/>
                <w:sz w:val="20"/>
                <w:szCs w:val="20"/>
              </w:rPr>
            </w:pPr>
            <w:r w:rsidRPr="00622223">
              <w:rPr>
                <w:rFonts w:cs="Calibri"/>
                <w:color w:val="000000"/>
                <w:sz w:val="20"/>
                <w:szCs w:val="20"/>
              </w:rPr>
              <w:t xml:space="preserve">The </w:t>
            </w:r>
            <w:r>
              <w:rPr>
                <w:rFonts w:cs="Calibri"/>
                <w:color w:val="000000"/>
                <w:sz w:val="20"/>
                <w:szCs w:val="20"/>
              </w:rPr>
              <w:t xml:space="preserve">proposed </w:t>
            </w:r>
            <w:r w:rsidRPr="00622223">
              <w:rPr>
                <w:rFonts w:cs="Calibri"/>
                <w:color w:val="000000"/>
                <w:sz w:val="20"/>
                <w:szCs w:val="20"/>
              </w:rPr>
              <w:t>new definition of the data group</w:t>
            </w:r>
            <w:r>
              <w:rPr>
                <w:rFonts w:cs="Calibri"/>
                <w:color w:val="000000"/>
                <w:sz w:val="20"/>
                <w:szCs w:val="20"/>
              </w:rPr>
              <w:t xml:space="preserve"> </w:t>
            </w:r>
            <w:r w:rsidRPr="00931D0C" w:rsidR="00485DC7">
              <w:rPr>
                <w:rFonts w:cs="Calibri"/>
                <w:strike/>
                <w:color w:val="FF0000"/>
                <w:sz w:val="20"/>
                <w:szCs w:val="20"/>
              </w:rPr>
              <w:t>in</w:t>
            </w:r>
            <w:r w:rsidRPr="00485DC7" w:rsidR="00485DC7">
              <w:rPr>
                <w:rFonts w:cs="Calibri"/>
                <w:color w:val="FF0000"/>
                <w:sz w:val="20"/>
                <w:szCs w:val="20"/>
              </w:rPr>
              <w:t xml:space="preserve"> compared</w:t>
            </w:r>
            <w:r w:rsidRPr="00931D0C" w:rsidR="00485DC7">
              <w:rPr>
                <w:rFonts w:cs="Calibri"/>
                <w:color w:val="FF0000"/>
                <w:sz w:val="20"/>
                <w:szCs w:val="20"/>
              </w:rPr>
              <w:t xml:space="preserve"> to </w:t>
            </w:r>
            <w:r w:rsidRPr="000964E1">
              <w:rPr>
                <w:rFonts w:cs="Calibri"/>
                <w:color w:val="000000"/>
                <w:sz w:val="20"/>
                <w:szCs w:val="20"/>
              </w:rPr>
              <w:t xml:space="preserve">the </w:t>
            </w:r>
            <w:r w:rsidRPr="005F255C" w:rsidR="005F255C">
              <w:rPr>
                <w:rFonts w:cs="Calibri"/>
                <w:strike/>
                <w:color w:val="FF0000"/>
                <w:sz w:val="20"/>
                <w:szCs w:val="20"/>
              </w:rPr>
              <w:t>60-</w:t>
            </w:r>
            <w:r w:rsidRPr="00931D0C" w:rsidR="005F255C">
              <w:rPr>
                <w:rFonts w:cs="Calibri"/>
                <w:strike/>
                <w:color w:val="FF0000"/>
                <w:sz w:val="20"/>
                <w:szCs w:val="20"/>
              </w:rPr>
              <w:t>day</w:t>
            </w:r>
            <w:r w:rsidRPr="00931D0C" w:rsidR="005F255C">
              <w:rPr>
                <w:rFonts w:cs="Calibri"/>
                <w:color w:val="FF0000"/>
                <w:sz w:val="20"/>
                <w:szCs w:val="20"/>
              </w:rPr>
              <w:t xml:space="preserve"> last </w:t>
            </w:r>
            <w:r w:rsidRPr="000964E1">
              <w:rPr>
                <w:rFonts w:cs="Calibri"/>
                <w:color w:val="000000"/>
                <w:sz w:val="20"/>
                <w:szCs w:val="20"/>
              </w:rPr>
              <w:t>package.</w:t>
            </w:r>
          </w:p>
        </w:tc>
        <w:tc>
          <w:tcPr>
            <w:tcW w:w="2017" w:type="pct"/>
            <w:tcBorders>
              <w:top w:val="nil"/>
              <w:left w:val="nil"/>
              <w:bottom w:val="single" w:color="auto" w:sz="4" w:space="0"/>
              <w:right w:val="single" w:color="auto" w:sz="8" w:space="0"/>
            </w:tcBorders>
            <w:shd w:val="clear" w:color="auto" w:fill="auto"/>
            <w:hideMark/>
          </w:tcPr>
          <w:p w:rsidRPr="00622223" w:rsidR="003724B2" w:rsidP="009C4DED" w:rsidRDefault="003724B2" w14:paraId="597974E7" w14:textId="77777777">
            <w:pPr>
              <w:spacing w:after="0" w:line="240" w:lineRule="auto"/>
              <w:rPr>
                <w:rFonts w:cs="Calibri"/>
                <w:color w:val="000000"/>
                <w:sz w:val="20"/>
                <w:szCs w:val="20"/>
              </w:rPr>
            </w:pPr>
            <w:r w:rsidRPr="00622223">
              <w:rPr>
                <w:rFonts w:cs="Calibri"/>
                <w:color w:val="000000"/>
                <w:sz w:val="20"/>
                <w:szCs w:val="20"/>
              </w:rPr>
              <w:t>This column is only used if there is a change to the data group definition or if the data group is new.</w:t>
            </w:r>
          </w:p>
        </w:tc>
      </w:tr>
      <w:tr w:rsidRPr="001378C3" w:rsidR="001378C3" w:rsidTr="009C4DED" w14:paraId="710A49C0"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Pr="001378C3" w:rsidR="003724B2" w:rsidP="009C4DED" w:rsidRDefault="003724B2" w14:paraId="7FDB3E95" w14:textId="77777777">
            <w:pPr>
              <w:spacing w:after="0" w:line="240" w:lineRule="auto"/>
              <w:rPr>
                <w:rFonts w:cs="Calibri"/>
                <w:strike/>
                <w:color w:val="FF0000"/>
                <w:sz w:val="20"/>
                <w:szCs w:val="20"/>
              </w:rPr>
            </w:pPr>
            <w:r w:rsidRPr="001378C3">
              <w:rPr>
                <w:rFonts w:cs="Calibri"/>
                <w:strike/>
                <w:color w:val="FF0000"/>
                <w:sz w:val="20"/>
                <w:szCs w:val="20"/>
              </w:rPr>
              <w:t>Data Group Definition (SY 2022-23 – 30-day Changes Only)</w:t>
            </w:r>
          </w:p>
        </w:tc>
        <w:tc>
          <w:tcPr>
            <w:tcW w:w="1960" w:type="pct"/>
            <w:tcBorders>
              <w:top w:val="nil"/>
              <w:left w:val="nil"/>
              <w:bottom w:val="single" w:color="auto" w:sz="4" w:space="0"/>
              <w:right w:val="single" w:color="auto" w:sz="4" w:space="0"/>
            </w:tcBorders>
            <w:shd w:val="clear" w:color="auto" w:fill="auto"/>
          </w:tcPr>
          <w:p w:rsidRPr="001378C3" w:rsidR="003724B2" w:rsidP="009C4DED" w:rsidRDefault="003724B2" w14:paraId="18FCD6D0" w14:textId="77777777">
            <w:pPr>
              <w:spacing w:after="0" w:line="240" w:lineRule="auto"/>
              <w:rPr>
                <w:rFonts w:cs="Calibri"/>
                <w:strike/>
                <w:color w:val="FF0000"/>
                <w:sz w:val="20"/>
                <w:szCs w:val="20"/>
              </w:rPr>
            </w:pPr>
            <w:r w:rsidRPr="001378C3">
              <w:rPr>
                <w:rFonts w:cs="Calibri"/>
                <w:strike/>
                <w:color w:val="FF0000"/>
                <w:sz w:val="20"/>
                <w:szCs w:val="20"/>
              </w:rPr>
              <w:t>The proposed new definition of the data group in the 30-day package.</w:t>
            </w:r>
          </w:p>
        </w:tc>
        <w:tc>
          <w:tcPr>
            <w:tcW w:w="2017" w:type="pct"/>
            <w:tcBorders>
              <w:top w:val="nil"/>
              <w:left w:val="nil"/>
              <w:bottom w:val="single" w:color="auto" w:sz="4" w:space="0"/>
              <w:right w:val="single" w:color="auto" w:sz="8" w:space="0"/>
            </w:tcBorders>
            <w:shd w:val="clear" w:color="auto" w:fill="auto"/>
          </w:tcPr>
          <w:p w:rsidRPr="001378C3" w:rsidR="003724B2" w:rsidP="009C4DED" w:rsidRDefault="003724B2" w14:paraId="36C9A6A1" w14:textId="77777777">
            <w:pPr>
              <w:spacing w:after="0" w:line="240" w:lineRule="auto"/>
              <w:rPr>
                <w:rFonts w:cs="Calibri"/>
                <w:strike/>
                <w:color w:val="FF0000"/>
                <w:sz w:val="20"/>
                <w:szCs w:val="20"/>
              </w:rPr>
            </w:pPr>
            <w:r w:rsidRPr="001378C3">
              <w:rPr>
                <w:rFonts w:cs="Calibri"/>
                <w:strike/>
                <w:color w:val="FF0000"/>
                <w:sz w:val="20"/>
                <w:szCs w:val="20"/>
              </w:rPr>
              <w:t>This column is only used if there is a change to the data group definition or if the data group is new.</w:t>
            </w:r>
          </w:p>
        </w:tc>
      </w:tr>
      <w:tr w:rsidRPr="00622223" w:rsidR="003724B2" w:rsidTr="009C4DED" w14:paraId="4DB9CF70"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622223" w:rsidR="003724B2" w:rsidP="009C4DED" w:rsidRDefault="003724B2" w14:paraId="70F9E231" w14:textId="45F15F54">
            <w:pPr>
              <w:spacing w:after="0" w:line="240" w:lineRule="auto"/>
              <w:rPr>
                <w:rFonts w:cs="Calibri"/>
                <w:color w:val="000000"/>
                <w:sz w:val="20"/>
                <w:szCs w:val="20"/>
              </w:rPr>
            </w:pPr>
            <w:r w:rsidRPr="00622223">
              <w:rPr>
                <w:rFonts w:cs="Calibri"/>
                <w:color w:val="000000"/>
                <w:sz w:val="20"/>
                <w:szCs w:val="20"/>
              </w:rPr>
              <w:t>Categor</w:t>
            </w:r>
            <w:r>
              <w:rPr>
                <w:rFonts w:cs="Calibri"/>
                <w:color w:val="000000"/>
                <w:sz w:val="20"/>
                <w:szCs w:val="20"/>
              </w:rPr>
              <w:t>y Sets</w:t>
            </w:r>
            <w:r w:rsidRPr="00622223">
              <w:rPr>
                <w:rFonts w:cs="Calibri"/>
                <w:color w:val="000000"/>
                <w:sz w:val="20"/>
                <w:szCs w:val="20"/>
              </w:rPr>
              <w:t xml:space="preserve"> (</w:t>
            </w:r>
            <w:r>
              <w:rPr>
                <w:rFonts w:cs="Calibri"/>
                <w:color w:val="000000"/>
                <w:sz w:val="20"/>
                <w:szCs w:val="20"/>
              </w:rPr>
              <w:t xml:space="preserve">SY 2022-23 – </w:t>
            </w:r>
            <w:r w:rsidRPr="005F255C" w:rsidR="005F255C">
              <w:rPr>
                <w:rFonts w:cs="Calibri"/>
                <w:color w:val="FF0000"/>
                <w:sz w:val="20"/>
                <w:szCs w:val="20"/>
              </w:rPr>
              <w:t>Final, 30-day,</w:t>
            </w:r>
            <w:r w:rsidR="005F255C">
              <w:rPr>
                <w:rFonts w:cs="Calibri"/>
                <w:color w:val="FF0000"/>
                <w:sz w:val="20"/>
                <w:szCs w:val="20"/>
              </w:rPr>
              <w:t xml:space="preserve"> </w:t>
            </w:r>
            <w:r w:rsidRPr="000964E1">
              <w:rPr>
                <w:rFonts w:cs="Calibri"/>
                <w:color w:val="000000"/>
                <w:sz w:val="20"/>
                <w:szCs w:val="20"/>
              </w:rPr>
              <w:t>60-day</w:t>
            </w:r>
            <w:r>
              <w:rPr>
                <w:rFonts w:cs="Calibri"/>
                <w:color w:val="000000"/>
                <w:sz w:val="20"/>
                <w:szCs w:val="20"/>
              </w:rPr>
              <w:t xml:space="preserve"> </w:t>
            </w:r>
            <w:r w:rsidRPr="00622223">
              <w:rPr>
                <w:rFonts w:cs="Calibri"/>
                <w:color w:val="000000"/>
                <w:sz w:val="20"/>
                <w:szCs w:val="20"/>
              </w:rPr>
              <w:t>Changes Only)</w:t>
            </w:r>
          </w:p>
        </w:tc>
        <w:tc>
          <w:tcPr>
            <w:tcW w:w="1960" w:type="pct"/>
            <w:tcBorders>
              <w:top w:val="nil"/>
              <w:left w:val="nil"/>
              <w:bottom w:val="single" w:color="auto" w:sz="4" w:space="0"/>
              <w:right w:val="single" w:color="auto" w:sz="4" w:space="0"/>
            </w:tcBorders>
            <w:shd w:val="clear" w:color="auto" w:fill="auto"/>
            <w:hideMark/>
          </w:tcPr>
          <w:p w:rsidRPr="00622223" w:rsidR="003724B2" w:rsidP="009C4DED" w:rsidRDefault="003724B2" w14:paraId="3D6772C1" w14:textId="53632F38">
            <w:pPr>
              <w:spacing w:after="0" w:line="240" w:lineRule="auto"/>
              <w:rPr>
                <w:rFonts w:cs="Calibri"/>
                <w:color w:val="000000"/>
                <w:sz w:val="20"/>
                <w:szCs w:val="20"/>
              </w:rPr>
            </w:pPr>
            <w:r w:rsidRPr="00622223">
              <w:rPr>
                <w:rFonts w:cs="Calibri"/>
                <w:color w:val="000000"/>
                <w:sz w:val="20"/>
                <w:szCs w:val="20"/>
              </w:rPr>
              <w:t xml:space="preserve">The </w:t>
            </w:r>
            <w:r>
              <w:rPr>
                <w:rFonts w:cs="Calibri"/>
                <w:color w:val="000000"/>
                <w:sz w:val="20"/>
                <w:szCs w:val="20"/>
              </w:rPr>
              <w:t xml:space="preserve">proposed </w:t>
            </w:r>
            <w:r w:rsidRPr="00622223">
              <w:rPr>
                <w:rFonts w:cs="Calibri"/>
                <w:color w:val="000000"/>
                <w:sz w:val="20"/>
                <w:szCs w:val="20"/>
              </w:rPr>
              <w:t>new data categories of the data group</w:t>
            </w:r>
            <w:r>
              <w:rPr>
                <w:rFonts w:cs="Calibri"/>
                <w:color w:val="000000"/>
                <w:sz w:val="20"/>
                <w:szCs w:val="20"/>
              </w:rPr>
              <w:t xml:space="preserve"> </w:t>
            </w:r>
            <w:r w:rsidRPr="00931D0C" w:rsidR="00485DC7">
              <w:rPr>
                <w:rFonts w:cs="Calibri"/>
                <w:strike/>
                <w:color w:val="FF0000"/>
                <w:sz w:val="20"/>
                <w:szCs w:val="20"/>
              </w:rPr>
              <w:t>in</w:t>
            </w:r>
            <w:r w:rsidRPr="00485DC7" w:rsidR="00485DC7">
              <w:rPr>
                <w:rFonts w:cs="Calibri"/>
                <w:color w:val="FF0000"/>
                <w:sz w:val="20"/>
                <w:szCs w:val="20"/>
              </w:rPr>
              <w:t xml:space="preserve"> compared</w:t>
            </w:r>
            <w:r w:rsidRPr="00931D0C" w:rsidR="00485DC7">
              <w:rPr>
                <w:rFonts w:cs="Calibri"/>
                <w:color w:val="FF0000"/>
                <w:sz w:val="20"/>
                <w:szCs w:val="20"/>
              </w:rPr>
              <w:t xml:space="preserve"> to </w:t>
            </w:r>
            <w:r w:rsidRPr="000964E1">
              <w:rPr>
                <w:rFonts w:cs="Calibri"/>
                <w:color w:val="000000"/>
                <w:sz w:val="20"/>
                <w:szCs w:val="20"/>
              </w:rPr>
              <w:t xml:space="preserve">the </w:t>
            </w:r>
            <w:r w:rsidRPr="005F255C" w:rsidR="005F255C">
              <w:rPr>
                <w:rFonts w:cs="Calibri"/>
                <w:strike/>
                <w:color w:val="FF0000"/>
                <w:sz w:val="20"/>
                <w:szCs w:val="20"/>
              </w:rPr>
              <w:t>60-</w:t>
            </w:r>
            <w:r w:rsidRPr="00931D0C" w:rsidR="005F255C">
              <w:rPr>
                <w:rFonts w:cs="Calibri"/>
                <w:strike/>
                <w:color w:val="FF0000"/>
                <w:sz w:val="20"/>
                <w:szCs w:val="20"/>
              </w:rPr>
              <w:t>day</w:t>
            </w:r>
            <w:r w:rsidRPr="00931D0C" w:rsidR="005F255C">
              <w:rPr>
                <w:rFonts w:cs="Calibri"/>
                <w:color w:val="FF0000"/>
                <w:sz w:val="20"/>
                <w:szCs w:val="20"/>
              </w:rPr>
              <w:t xml:space="preserve"> last </w:t>
            </w:r>
            <w:r w:rsidRPr="000964E1">
              <w:rPr>
                <w:rFonts w:cs="Calibri"/>
                <w:color w:val="000000"/>
                <w:sz w:val="20"/>
                <w:szCs w:val="20"/>
              </w:rPr>
              <w:t>package.</w:t>
            </w:r>
          </w:p>
        </w:tc>
        <w:tc>
          <w:tcPr>
            <w:tcW w:w="2017" w:type="pct"/>
            <w:tcBorders>
              <w:top w:val="nil"/>
              <w:left w:val="nil"/>
              <w:bottom w:val="single" w:color="auto" w:sz="4" w:space="0"/>
              <w:right w:val="single" w:color="auto" w:sz="8" w:space="0"/>
            </w:tcBorders>
            <w:shd w:val="clear" w:color="auto" w:fill="auto"/>
            <w:hideMark/>
          </w:tcPr>
          <w:p w:rsidRPr="00622223" w:rsidR="003724B2" w:rsidP="009C4DED" w:rsidRDefault="003724B2" w14:paraId="44AA20D1" w14:textId="77777777">
            <w:pPr>
              <w:spacing w:after="0" w:line="240" w:lineRule="auto"/>
              <w:rPr>
                <w:rFonts w:cs="Calibri"/>
                <w:color w:val="000000"/>
                <w:sz w:val="20"/>
                <w:szCs w:val="20"/>
              </w:rPr>
            </w:pPr>
            <w:r w:rsidRPr="00622223">
              <w:rPr>
                <w:rFonts w:cs="Calibri"/>
                <w:color w:val="000000"/>
                <w:sz w:val="20"/>
                <w:szCs w:val="20"/>
              </w:rPr>
              <w:t>This column is only used if there is a change to the data categories or if the data group is new</w:t>
            </w:r>
            <w:r>
              <w:rPr>
                <w:rFonts w:cs="Calibri"/>
                <w:color w:val="000000"/>
                <w:sz w:val="20"/>
                <w:szCs w:val="20"/>
              </w:rPr>
              <w:t>.</w:t>
            </w:r>
          </w:p>
        </w:tc>
      </w:tr>
      <w:tr w:rsidRPr="001378C3" w:rsidR="001378C3" w:rsidTr="009C4DED" w14:paraId="554E7E9C" w14:textId="77777777">
        <w:trPr>
          <w:trHeight w:val="600"/>
        </w:trPr>
        <w:tc>
          <w:tcPr>
            <w:tcW w:w="1023" w:type="pct"/>
            <w:tcBorders>
              <w:top w:val="nil"/>
              <w:left w:val="single" w:color="auto" w:sz="8" w:space="0"/>
              <w:bottom w:val="single" w:color="auto" w:sz="4" w:space="0"/>
              <w:right w:val="single" w:color="auto" w:sz="4" w:space="0"/>
            </w:tcBorders>
            <w:shd w:val="clear" w:color="auto" w:fill="auto"/>
            <w:hideMark/>
          </w:tcPr>
          <w:p w:rsidRPr="001378C3" w:rsidR="003724B2" w:rsidP="009C4DED" w:rsidRDefault="003724B2" w14:paraId="6C57C989" w14:textId="77777777">
            <w:pPr>
              <w:spacing w:after="0" w:line="240" w:lineRule="auto"/>
              <w:rPr>
                <w:rFonts w:cs="Calibri"/>
                <w:strike/>
                <w:color w:val="FF0000"/>
                <w:sz w:val="20"/>
                <w:szCs w:val="20"/>
              </w:rPr>
            </w:pPr>
            <w:r w:rsidRPr="001378C3">
              <w:rPr>
                <w:rFonts w:cs="Calibri"/>
                <w:strike/>
                <w:color w:val="FF0000"/>
                <w:sz w:val="20"/>
                <w:szCs w:val="20"/>
              </w:rPr>
              <w:t>Category Sets (SY 2022-23 – 30-day Changes Only)</w:t>
            </w:r>
          </w:p>
        </w:tc>
        <w:tc>
          <w:tcPr>
            <w:tcW w:w="1960" w:type="pct"/>
            <w:tcBorders>
              <w:top w:val="nil"/>
              <w:left w:val="nil"/>
              <w:bottom w:val="single" w:color="auto" w:sz="4" w:space="0"/>
              <w:right w:val="single" w:color="auto" w:sz="4" w:space="0"/>
            </w:tcBorders>
            <w:shd w:val="clear" w:color="auto" w:fill="auto"/>
            <w:hideMark/>
          </w:tcPr>
          <w:p w:rsidRPr="001378C3" w:rsidR="003724B2" w:rsidP="009C4DED" w:rsidRDefault="003724B2" w14:paraId="7EDB8267" w14:textId="77777777">
            <w:pPr>
              <w:spacing w:after="0" w:line="240" w:lineRule="auto"/>
              <w:rPr>
                <w:rFonts w:cs="Calibri"/>
                <w:strike/>
                <w:color w:val="FF0000"/>
                <w:sz w:val="20"/>
                <w:szCs w:val="20"/>
              </w:rPr>
            </w:pPr>
            <w:r w:rsidRPr="001378C3">
              <w:rPr>
                <w:rFonts w:cs="Calibri"/>
                <w:strike/>
                <w:color w:val="FF0000"/>
                <w:sz w:val="20"/>
                <w:szCs w:val="20"/>
              </w:rPr>
              <w:t>The proposed new data categories of the data group in the 30-day package.</w:t>
            </w:r>
          </w:p>
        </w:tc>
        <w:tc>
          <w:tcPr>
            <w:tcW w:w="2017" w:type="pct"/>
            <w:tcBorders>
              <w:top w:val="nil"/>
              <w:left w:val="nil"/>
              <w:bottom w:val="single" w:color="auto" w:sz="4" w:space="0"/>
              <w:right w:val="single" w:color="auto" w:sz="8" w:space="0"/>
            </w:tcBorders>
            <w:shd w:val="clear" w:color="auto" w:fill="auto"/>
            <w:hideMark/>
          </w:tcPr>
          <w:p w:rsidRPr="001378C3" w:rsidR="003724B2" w:rsidP="009C4DED" w:rsidRDefault="003724B2" w14:paraId="4626B083" w14:textId="77777777">
            <w:pPr>
              <w:spacing w:after="0" w:line="240" w:lineRule="auto"/>
              <w:rPr>
                <w:rFonts w:cs="Calibri"/>
                <w:strike/>
                <w:color w:val="FF0000"/>
                <w:sz w:val="20"/>
                <w:szCs w:val="20"/>
              </w:rPr>
            </w:pPr>
            <w:r w:rsidRPr="001378C3">
              <w:rPr>
                <w:rFonts w:cs="Calibri"/>
                <w:strike/>
                <w:color w:val="FF0000"/>
                <w:sz w:val="20"/>
                <w:szCs w:val="20"/>
              </w:rPr>
              <w:t>This column is only used if there is a change to the data categories or if the data group is new.</w:t>
            </w:r>
          </w:p>
        </w:tc>
      </w:tr>
      <w:tr w:rsidRPr="00622223" w:rsidR="003724B2" w:rsidTr="009C4DED" w14:paraId="4724F0D9" w14:textId="77777777">
        <w:trPr>
          <w:trHeight w:val="600"/>
        </w:trPr>
        <w:tc>
          <w:tcPr>
            <w:tcW w:w="1023" w:type="pct"/>
            <w:tcBorders>
              <w:top w:val="nil"/>
              <w:left w:val="single" w:color="auto" w:sz="8" w:space="0"/>
              <w:bottom w:val="single" w:color="auto" w:sz="4" w:space="0"/>
              <w:right w:val="single" w:color="auto" w:sz="4" w:space="0"/>
            </w:tcBorders>
            <w:shd w:val="clear" w:color="auto" w:fill="auto"/>
          </w:tcPr>
          <w:p w:rsidR="003724B2" w:rsidP="009C4DED" w:rsidRDefault="003724B2" w14:paraId="46E119E4" w14:textId="77777777">
            <w:pPr>
              <w:spacing w:after="0" w:line="240" w:lineRule="auto"/>
              <w:rPr>
                <w:rFonts w:cs="Calibri"/>
                <w:color w:val="000000"/>
                <w:sz w:val="20"/>
                <w:szCs w:val="20"/>
              </w:rPr>
            </w:pPr>
            <w:r>
              <w:rPr>
                <w:rFonts w:cs="Calibri"/>
                <w:color w:val="000000"/>
                <w:sz w:val="20"/>
                <w:szCs w:val="20"/>
              </w:rPr>
              <w:t xml:space="preserve">Reporting Period (SY 2022-23 – </w:t>
            </w:r>
            <w:r w:rsidRPr="005F255C">
              <w:rPr>
                <w:rFonts w:cs="Calibri"/>
                <w:color w:val="FF0000"/>
                <w:sz w:val="20"/>
                <w:szCs w:val="20"/>
              </w:rPr>
              <w:t xml:space="preserve">Final, 30-day, </w:t>
            </w:r>
            <w:r>
              <w:rPr>
                <w:rFonts w:cs="Calibri"/>
                <w:color w:val="000000"/>
                <w:sz w:val="20"/>
                <w:szCs w:val="20"/>
              </w:rPr>
              <w:t>60-day Changes Only)</w:t>
            </w:r>
          </w:p>
        </w:tc>
        <w:tc>
          <w:tcPr>
            <w:tcW w:w="1960" w:type="pct"/>
            <w:tcBorders>
              <w:top w:val="nil"/>
              <w:left w:val="nil"/>
              <w:bottom w:val="single" w:color="auto" w:sz="4" w:space="0"/>
              <w:right w:val="single" w:color="auto" w:sz="4" w:space="0"/>
            </w:tcBorders>
            <w:shd w:val="clear" w:color="auto" w:fill="auto"/>
          </w:tcPr>
          <w:p w:rsidRPr="00622223" w:rsidR="003724B2" w:rsidP="009C4DED" w:rsidRDefault="003724B2" w14:paraId="44AB0D87" w14:textId="5DB49CAF">
            <w:pPr>
              <w:spacing w:after="0" w:line="240" w:lineRule="auto"/>
              <w:rPr>
                <w:rFonts w:cs="Calibri"/>
                <w:color w:val="000000"/>
                <w:sz w:val="20"/>
                <w:szCs w:val="20"/>
              </w:rPr>
            </w:pPr>
            <w:r>
              <w:rPr>
                <w:rFonts w:cs="Calibri"/>
                <w:color w:val="000000"/>
                <w:sz w:val="20"/>
                <w:szCs w:val="20"/>
              </w:rPr>
              <w:t xml:space="preserve">The proposed reporting period of the data group </w:t>
            </w:r>
            <w:r w:rsidRPr="00931D0C" w:rsidR="00931D0C">
              <w:rPr>
                <w:rFonts w:cs="Calibri"/>
                <w:strike/>
                <w:color w:val="FF0000"/>
                <w:sz w:val="20"/>
                <w:szCs w:val="20"/>
              </w:rPr>
              <w:t>in</w:t>
            </w:r>
            <w:r w:rsidRPr="00485DC7" w:rsidR="00931D0C">
              <w:rPr>
                <w:rFonts w:cs="Calibri"/>
                <w:color w:val="FF0000"/>
                <w:sz w:val="20"/>
                <w:szCs w:val="20"/>
              </w:rPr>
              <w:t xml:space="preserve"> compared</w:t>
            </w:r>
            <w:r w:rsidRPr="00931D0C" w:rsidR="00931D0C">
              <w:rPr>
                <w:rFonts w:cs="Calibri"/>
                <w:color w:val="FF0000"/>
                <w:sz w:val="20"/>
                <w:szCs w:val="20"/>
              </w:rPr>
              <w:t xml:space="preserve"> to </w:t>
            </w:r>
            <w:r w:rsidRPr="000964E1">
              <w:rPr>
                <w:rFonts w:cs="Calibri"/>
                <w:color w:val="000000"/>
                <w:sz w:val="20"/>
                <w:szCs w:val="20"/>
              </w:rPr>
              <w:t xml:space="preserve">the </w:t>
            </w:r>
            <w:r w:rsidRPr="005F255C" w:rsidR="005F255C">
              <w:rPr>
                <w:rFonts w:cs="Calibri"/>
                <w:strike/>
                <w:color w:val="FF0000"/>
                <w:sz w:val="20"/>
                <w:szCs w:val="20"/>
              </w:rPr>
              <w:t>60-</w:t>
            </w:r>
            <w:r w:rsidRPr="00931D0C" w:rsidR="005F255C">
              <w:rPr>
                <w:rFonts w:cs="Calibri"/>
                <w:strike/>
                <w:color w:val="FF0000"/>
                <w:sz w:val="20"/>
                <w:szCs w:val="20"/>
              </w:rPr>
              <w:t>day</w:t>
            </w:r>
            <w:r w:rsidRPr="00931D0C" w:rsidR="005F255C">
              <w:rPr>
                <w:rFonts w:cs="Calibri"/>
                <w:color w:val="FF0000"/>
                <w:sz w:val="20"/>
                <w:szCs w:val="20"/>
              </w:rPr>
              <w:t xml:space="preserve"> last </w:t>
            </w:r>
            <w:r w:rsidRPr="000964E1">
              <w:rPr>
                <w:rFonts w:cs="Calibri"/>
                <w:color w:val="000000"/>
                <w:sz w:val="20"/>
                <w:szCs w:val="20"/>
              </w:rPr>
              <w:t>package.</w:t>
            </w:r>
          </w:p>
        </w:tc>
        <w:tc>
          <w:tcPr>
            <w:tcW w:w="2017" w:type="pct"/>
            <w:tcBorders>
              <w:top w:val="nil"/>
              <w:left w:val="nil"/>
              <w:bottom w:val="single" w:color="auto" w:sz="4" w:space="0"/>
              <w:right w:val="single" w:color="auto" w:sz="8" w:space="0"/>
            </w:tcBorders>
            <w:shd w:val="clear" w:color="auto" w:fill="auto"/>
          </w:tcPr>
          <w:p w:rsidRPr="00622223" w:rsidR="003724B2" w:rsidP="009C4DED" w:rsidRDefault="003724B2" w14:paraId="7132DBBE" w14:textId="77777777">
            <w:pPr>
              <w:spacing w:after="0" w:line="240" w:lineRule="auto"/>
              <w:rPr>
                <w:rFonts w:cs="Calibri"/>
                <w:color w:val="000000"/>
                <w:sz w:val="20"/>
                <w:szCs w:val="20"/>
              </w:rPr>
            </w:pPr>
            <w:r w:rsidRPr="009E0D25">
              <w:rPr>
                <w:rFonts w:cs="Calibri"/>
                <w:color w:val="000000"/>
                <w:sz w:val="20"/>
                <w:szCs w:val="20"/>
              </w:rPr>
              <w:t xml:space="preserve">This column is only used if there is a change to the </w:t>
            </w:r>
            <w:r>
              <w:rPr>
                <w:rFonts w:cs="Calibri"/>
                <w:color w:val="000000"/>
                <w:sz w:val="20"/>
                <w:szCs w:val="20"/>
              </w:rPr>
              <w:t xml:space="preserve">reporting period </w:t>
            </w:r>
            <w:r w:rsidRPr="009E0D25">
              <w:rPr>
                <w:rFonts w:cs="Calibri"/>
                <w:color w:val="000000"/>
                <w:sz w:val="20"/>
                <w:szCs w:val="20"/>
              </w:rPr>
              <w:t>or if the data group is new.</w:t>
            </w:r>
          </w:p>
        </w:tc>
      </w:tr>
    </w:tbl>
    <w:p w:rsidR="003724B2" w:rsidP="003724B2" w:rsidRDefault="003724B2" w14:paraId="4D0431FB" w14:textId="77777777">
      <w:pPr>
        <w:widowControl w:val="0"/>
        <w:spacing w:after="0"/>
        <w:rPr>
          <w:rFonts w:ascii="Times New Roman" w:hAnsi="Times New Roman"/>
          <w:sz w:val="24"/>
          <w:szCs w:val="24"/>
        </w:rPr>
      </w:pPr>
    </w:p>
    <w:p w:rsidR="003724B2" w:rsidP="003724B2" w:rsidRDefault="003724B2" w14:paraId="34FE5029" w14:textId="77777777">
      <w:pPr>
        <w:widowControl w:val="0"/>
        <w:spacing w:after="0"/>
        <w:rPr>
          <w:rFonts w:ascii="Times New Roman" w:hAnsi="Times New Roman"/>
          <w:sz w:val="24"/>
          <w:szCs w:val="24"/>
        </w:rPr>
      </w:pPr>
      <w:r w:rsidRPr="00DB66A0">
        <w:rPr>
          <w:rFonts w:cs="Calibri"/>
          <w:b/>
          <w:bCs/>
          <w:color w:val="000000"/>
          <w:sz w:val="24"/>
          <w:szCs w:val="24"/>
        </w:rPr>
        <w:t>Data Categories Columns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5"/>
        <w:gridCol w:w="4354"/>
        <w:gridCol w:w="4253"/>
      </w:tblGrid>
      <w:tr w:rsidRPr="00622223" w:rsidR="003724B2" w:rsidTr="009C4DED" w14:paraId="76D08B5F" w14:textId="77777777">
        <w:trPr>
          <w:trHeight w:val="315"/>
        </w:trPr>
        <w:tc>
          <w:tcPr>
            <w:tcW w:w="902" w:type="pct"/>
            <w:shd w:val="clear" w:color="000000" w:fill="F2F2F2"/>
            <w:hideMark/>
          </w:tcPr>
          <w:p w:rsidRPr="00622223" w:rsidR="003724B2" w:rsidP="009C4DED" w:rsidRDefault="003724B2" w14:paraId="1B5616E7" w14:textId="77777777">
            <w:pPr>
              <w:spacing w:after="0" w:line="240" w:lineRule="auto"/>
              <w:rPr>
                <w:rFonts w:cs="Calibri"/>
                <w:b/>
                <w:bCs/>
                <w:color w:val="000000"/>
                <w:sz w:val="20"/>
                <w:szCs w:val="20"/>
              </w:rPr>
            </w:pPr>
            <w:r w:rsidRPr="00622223">
              <w:rPr>
                <w:rFonts w:cs="Calibri"/>
                <w:b/>
                <w:bCs/>
                <w:color w:val="000000"/>
                <w:sz w:val="20"/>
                <w:szCs w:val="20"/>
              </w:rPr>
              <w:t>Column Name</w:t>
            </w:r>
          </w:p>
        </w:tc>
        <w:tc>
          <w:tcPr>
            <w:tcW w:w="2073" w:type="pct"/>
            <w:shd w:val="clear" w:color="000000" w:fill="F2F2F2"/>
            <w:hideMark/>
          </w:tcPr>
          <w:p w:rsidRPr="00622223" w:rsidR="003724B2" w:rsidP="009C4DED" w:rsidRDefault="003724B2" w14:paraId="50B965DF" w14:textId="77777777">
            <w:pPr>
              <w:spacing w:after="0" w:line="240" w:lineRule="auto"/>
              <w:rPr>
                <w:rFonts w:cs="Calibri"/>
                <w:b/>
                <w:bCs/>
                <w:color w:val="000000"/>
                <w:sz w:val="20"/>
                <w:szCs w:val="20"/>
              </w:rPr>
            </w:pPr>
            <w:r w:rsidRPr="00622223">
              <w:rPr>
                <w:rFonts w:cs="Calibri"/>
                <w:b/>
                <w:bCs/>
                <w:color w:val="000000"/>
                <w:sz w:val="20"/>
                <w:szCs w:val="20"/>
              </w:rPr>
              <w:t>Description</w:t>
            </w:r>
          </w:p>
        </w:tc>
        <w:tc>
          <w:tcPr>
            <w:tcW w:w="2025" w:type="pct"/>
            <w:shd w:val="clear" w:color="000000" w:fill="F2F2F2"/>
            <w:hideMark/>
          </w:tcPr>
          <w:p w:rsidRPr="00622223" w:rsidR="003724B2" w:rsidP="009C4DED" w:rsidRDefault="003724B2" w14:paraId="73860090" w14:textId="77777777">
            <w:pPr>
              <w:spacing w:after="0" w:line="240" w:lineRule="auto"/>
              <w:rPr>
                <w:rFonts w:cs="Calibri"/>
                <w:b/>
                <w:bCs/>
                <w:color w:val="000000"/>
                <w:sz w:val="20"/>
                <w:szCs w:val="20"/>
              </w:rPr>
            </w:pPr>
            <w:r w:rsidRPr="00622223">
              <w:rPr>
                <w:rFonts w:cs="Calibri"/>
                <w:b/>
                <w:bCs/>
                <w:color w:val="000000"/>
                <w:sz w:val="20"/>
                <w:szCs w:val="20"/>
              </w:rPr>
              <w:t>Notes</w:t>
            </w:r>
          </w:p>
        </w:tc>
      </w:tr>
      <w:tr w:rsidRPr="008A4DC8" w:rsidR="003724B2" w:rsidTr="009C4DED" w14:paraId="07CAC18B" w14:textId="77777777">
        <w:trPr>
          <w:trHeight w:val="315"/>
        </w:trPr>
        <w:tc>
          <w:tcPr>
            <w:tcW w:w="902" w:type="pct"/>
            <w:shd w:val="clear" w:color="auto" w:fill="auto"/>
          </w:tcPr>
          <w:p w:rsidRPr="00447B66" w:rsidR="003724B2" w:rsidP="009C4DED" w:rsidRDefault="005F255C" w14:paraId="397FAD7A" w14:textId="4C2C4875">
            <w:pPr>
              <w:spacing w:after="0" w:line="240" w:lineRule="auto"/>
              <w:rPr>
                <w:rFonts w:cs="Calibri"/>
                <w:color w:val="000000"/>
                <w:sz w:val="20"/>
                <w:szCs w:val="20"/>
              </w:rPr>
            </w:pPr>
            <w:bookmarkStart w:name="_Hlk95543316" w:id="3"/>
            <w:r w:rsidRPr="005F255C">
              <w:rPr>
                <w:rFonts w:cs="Calibri"/>
                <w:color w:val="FF0000"/>
                <w:sz w:val="20"/>
                <w:szCs w:val="20"/>
              </w:rPr>
              <w:t xml:space="preserve">Status (Final, </w:t>
            </w:r>
            <w:r>
              <w:rPr>
                <w:rFonts w:cs="Calibri"/>
                <w:color w:val="000000"/>
                <w:sz w:val="20"/>
                <w:szCs w:val="20"/>
              </w:rPr>
              <w:t>30-day</w:t>
            </w:r>
            <w:r w:rsidRPr="00280A7D">
              <w:rPr>
                <w:rFonts w:cs="Calibri"/>
                <w:color w:val="000000"/>
                <w:sz w:val="20"/>
                <w:szCs w:val="20"/>
              </w:rPr>
              <w:t xml:space="preserve"> </w:t>
            </w:r>
            <w:r w:rsidRPr="005F255C">
              <w:rPr>
                <w:rFonts w:cs="Calibri"/>
                <w:strike/>
                <w:color w:val="FF0000"/>
                <w:sz w:val="20"/>
                <w:szCs w:val="20"/>
              </w:rPr>
              <w:t>Status</w:t>
            </w:r>
            <w:r w:rsidRPr="005F255C">
              <w:rPr>
                <w:rFonts w:cs="Calibri"/>
                <w:color w:val="FF0000"/>
                <w:sz w:val="20"/>
                <w:szCs w:val="20"/>
              </w:rPr>
              <w:t>, and 60-day)</w:t>
            </w:r>
          </w:p>
        </w:tc>
        <w:tc>
          <w:tcPr>
            <w:tcW w:w="2073" w:type="pct"/>
            <w:tcBorders>
              <w:top w:val="single" w:color="auto" w:sz="4" w:space="0"/>
              <w:left w:val="single" w:color="auto" w:sz="4" w:space="0"/>
              <w:bottom w:val="single" w:color="auto" w:sz="4" w:space="0"/>
              <w:right w:val="single" w:color="auto" w:sz="4" w:space="0"/>
            </w:tcBorders>
            <w:shd w:val="clear" w:color="auto" w:fill="auto"/>
          </w:tcPr>
          <w:p w:rsidRPr="00447B66" w:rsidR="003724B2" w:rsidP="009C4DED" w:rsidRDefault="003724B2" w14:paraId="722F05CC" w14:textId="22738B1F">
            <w:pPr>
              <w:spacing w:after="0" w:line="240" w:lineRule="auto"/>
              <w:rPr>
                <w:rFonts w:cs="Calibri"/>
                <w:color w:val="000000"/>
                <w:sz w:val="20"/>
                <w:szCs w:val="20"/>
              </w:rPr>
            </w:pPr>
            <w:r w:rsidRPr="000964E1">
              <w:rPr>
                <w:rFonts w:cs="Calibri"/>
                <w:color w:val="000000"/>
                <w:sz w:val="20"/>
                <w:szCs w:val="20"/>
              </w:rPr>
              <w:t xml:space="preserve">The status of the data </w:t>
            </w:r>
            <w:r>
              <w:rPr>
                <w:rFonts w:cs="Calibri"/>
                <w:color w:val="000000"/>
                <w:sz w:val="20"/>
                <w:szCs w:val="20"/>
              </w:rPr>
              <w:t xml:space="preserve">category </w:t>
            </w:r>
            <w:r w:rsidRPr="00931D0C" w:rsidR="00485DC7">
              <w:rPr>
                <w:rFonts w:cs="Calibri"/>
                <w:strike/>
                <w:color w:val="FF0000"/>
                <w:sz w:val="20"/>
                <w:szCs w:val="20"/>
              </w:rPr>
              <w:t>in</w:t>
            </w:r>
            <w:r w:rsidRPr="00485DC7" w:rsidR="00485DC7">
              <w:rPr>
                <w:rFonts w:cs="Calibri"/>
                <w:color w:val="FF0000"/>
                <w:sz w:val="20"/>
                <w:szCs w:val="20"/>
              </w:rPr>
              <w:t xml:space="preserve"> compared</w:t>
            </w:r>
            <w:r w:rsidRPr="00931D0C" w:rsidR="00485DC7">
              <w:rPr>
                <w:rFonts w:cs="Calibri"/>
                <w:color w:val="FF0000"/>
                <w:sz w:val="20"/>
                <w:szCs w:val="20"/>
              </w:rPr>
              <w:t xml:space="preserve"> to </w:t>
            </w:r>
            <w:r w:rsidRPr="000964E1">
              <w:rPr>
                <w:rFonts w:cs="Calibri"/>
                <w:color w:val="000000"/>
                <w:sz w:val="20"/>
                <w:szCs w:val="20"/>
              </w:rPr>
              <w:t xml:space="preserve">the </w:t>
            </w:r>
            <w:r w:rsidRPr="00931D0C">
              <w:rPr>
                <w:rFonts w:cs="Calibri"/>
                <w:strike/>
                <w:color w:val="FF0000"/>
                <w:sz w:val="20"/>
                <w:szCs w:val="20"/>
              </w:rPr>
              <w:t>30-day</w:t>
            </w:r>
            <w:r w:rsidRPr="00931D0C" w:rsidR="00931D0C">
              <w:rPr>
                <w:rFonts w:cs="Calibri"/>
                <w:color w:val="FF0000"/>
                <w:sz w:val="20"/>
                <w:szCs w:val="20"/>
              </w:rPr>
              <w:t xml:space="preserve"> </w:t>
            </w:r>
            <w:r w:rsidRPr="00931D0C">
              <w:rPr>
                <w:rFonts w:cs="Calibri"/>
                <w:color w:val="FF0000"/>
                <w:sz w:val="20"/>
                <w:szCs w:val="20"/>
              </w:rPr>
              <w:t xml:space="preserve">last </w:t>
            </w:r>
            <w:r w:rsidRPr="000964E1">
              <w:rPr>
                <w:rFonts w:cs="Calibri"/>
                <w:color w:val="000000"/>
                <w:sz w:val="20"/>
                <w:szCs w:val="20"/>
              </w:rPr>
              <w:t>package.</w:t>
            </w:r>
          </w:p>
        </w:tc>
        <w:tc>
          <w:tcPr>
            <w:tcW w:w="2025" w:type="pct"/>
            <w:tcBorders>
              <w:top w:val="single" w:color="auto" w:sz="4" w:space="0"/>
              <w:left w:val="single" w:color="auto" w:sz="4" w:space="0"/>
              <w:bottom w:val="single" w:color="auto" w:sz="4" w:space="0"/>
              <w:right w:val="single" w:color="auto" w:sz="4" w:space="0"/>
            </w:tcBorders>
            <w:shd w:val="clear" w:color="auto" w:fill="auto"/>
          </w:tcPr>
          <w:p w:rsidRPr="00447B66" w:rsidR="003724B2" w:rsidP="009C4DED" w:rsidRDefault="003724B2" w14:paraId="10FE5335" w14:textId="77777777">
            <w:pPr>
              <w:spacing w:after="0" w:line="240" w:lineRule="auto"/>
              <w:rPr>
                <w:rFonts w:cs="Calibri"/>
                <w:color w:val="000000"/>
                <w:sz w:val="20"/>
                <w:szCs w:val="20"/>
              </w:rPr>
            </w:pPr>
            <w:r w:rsidRPr="00620652">
              <w:rPr>
                <w:rFonts w:cs="Calibri"/>
                <w:color w:val="000000"/>
                <w:sz w:val="20"/>
                <w:szCs w:val="20"/>
              </w:rPr>
              <w:t>No change, new, retired, revised, and technical correction.</w:t>
            </w:r>
          </w:p>
        </w:tc>
      </w:tr>
      <w:bookmarkEnd w:id="3"/>
      <w:tr w:rsidRPr="00B82A29" w:rsidR="003724B2" w:rsidTr="009C4DED" w14:paraId="6C4A752E" w14:textId="77777777">
        <w:trPr>
          <w:trHeight w:val="315"/>
        </w:trPr>
        <w:tc>
          <w:tcPr>
            <w:tcW w:w="902" w:type="pct"/>
            <w:shd w:val="clear" w:color="auto" w:fill="auto"/>
          </w:tcPr>
          <w:p w:rsidRPr="00B82A29" w:rsidR="003724B2" w:rsidP="009C4DED" w:rsidRDefault="003724B2" w14:paraId="086FA833" w14:textId="77777777">
            <w:pPr>
              <w:spacing w:after="0" w:line="240" w:lineRule="auto"/>
              <w:rPr>
                <w:rFonts w:cs="Calibri"/>
                <w:strike/>
                <w:color w:val="FF0000"/>
                <w:sz w:val="20"/>
                <w:szCs w:val="20"/>
              </w:rPr>
            </w:pPr>
            <w:r w:rsidRPr="00B82A29">
              <w:rPr>
                <w:rFonts w:cs="Calibri"/>
                <w:strike/>
                <w:color w:val="FF0000"/>
                <w:sz w:val="20"/>
                <w:szCs w:val="20"/>
              </w:rPr>
              <w:t>60-day Status</w:t>
            </w:r>
          </w:p>
        </w:tc>
        <w:tc>
          <w:tcPr>
            <w:tcW w:w="2073" w:type="pct"/>
            <w:tcBorders>
              <w:top w:val="single" w:color="auto" w:sz="4" w:space="0"/>
              <w:left w:val="single" w:color="auto" w:sz="4" w:space="0"/>
              <w:bottom w:val="single" w:color="auto" w:sz="4" w:space="0"/>
              <w:right w:val="single" w:color="auto" w:sz="4" w:space="0"/>
            </w:tcBorders>
            <w:shd w:val="clear" w:color="auto" w:fill="auto"/>
          </w:tcPr>
          <w:p w:rsidRPr="00B82A29" w:rsidR="003724B2" w:rsidP="009C4DED" w:rsidRDefault="003724B2" w14:paraId="3E945091" w14:textId="77777777">
            <w:pPr>
              <w:spacing w:after="0" w:line="240" w:lineRule="auto"/>
              <w:rPr>
                <w:rFonts w:cs="Calibri"/>
                <w:strike/>
                <w:color w:val="FF0000"/>
                <w:sz w:val="20"/>
                <w:szCs w:val="20"/>
              </w:rPr>
            </w:pPr>
            <w:r w:rsidRPr="00B82A29">
              <w:rPr>
                <w:rFonts w:cs="Calibri"/>
                <w:strike/>
                <w:color w:val="FF0000"/>
                <w:sz w:val="20"/>
                <w:szCs w:val="20"/>
              </w:rPr>
              <w:t>The status of the data category in the 30-day package.</w:t>
            </w:r>
          </w:p>
        </w:tc>
        <w:tc>
          <w:tcPr>
            <w:tcW w:w="2025" w:type="pct"/>
            <w:tcBorders>
              <w:top w:val="single" w:color="auto" w:sz="4" w:space="0"/>
              <w:left w:val="single" w:color="auto" w:sz="4" w:space="0"/>
              <w:bottom w:val="single" w:color="auto" w:sz="4" w:space="0"/>
              <w:right w:val="single" w:color="auto" w:sz="4" w:space="0"/>
            </w:tcBorders>
            <w:shd w:val="clear" w:color="auto" w:fill="auto"/>
          </w:tcPr>
          <w:p w:rsidRPr="00B82A29" w:rsidR="003724B2" w:rsidP="009C4DED" w:rsidRDefault="003724B2" w14:paraId="5AE3B2AD" w14:textId="77777777">
            <w:pPr>
              <w:spacing w:after="0" w:line="240" w:lineRule="auto"/>
              <w:rPr>
                <w:rFonts w:cs="Calibri"/>
                <w:strike/>
                <w:color w:val="FF0000"/>
                <w:sz w:val="20"/>
                <w:szCs w:val="20"/>
              </w:rPr>
            </w:pPr>
            <w:r w:rsidRPr="00B82A29">
              <w:rPr>
                <w:rFonts w:cs="Calibri"/>
                <w:strike/>
                <w:color w:val="FF0000"/>
                <w:sz w:val="20"/>
                <w:szCs w:val="20"/>
              </w:rPr>
              <w:t>No change, new, retired, revised, and technical correction.</w:t>
            </w:r>
          </w:p>
        </w:tc>
      </w:tr>
    </w:tbl>
    <w:p w:rsidR="005F255C" w:rsidP="005F255C" w:rsidRDefault="005F255C" w14:paraId="531CB1EF" w14:textId="7288A427">
      <w:pPr>
        <w:pStyle w:val="Heading1"/>
      </w:pPr>
      <w:r>
        <w:lastRenderedPageBreak/>
        <w:t xml:space="preserve">Attachment F-1 – </w:t>
      </w:r>
      <w:r w:rsidR="00D66011">
        <w:t>EDFacts 2022-23 to 2024-25 Response to 30-Day Public Comments</w:t>
      </w:r>
    </w:p>
    <w:p w:rsidR="00BC10C4" w:rsidP="00BC10C4" w:rsidRDefault="00BC10C4" w14:paraId="73D19A40" w14:textId="77777777"/>
    <w:p w:rsidRPr="00E72DED" w:rsidR="00D66011" w:rsidP="00BC10C4" w:rsidRDefault="00BC10C4" w14:paraId="23E313DE" w14:textId="26AAC0CD">
      <w:pPr>
        <w:rPr>
          <w:rFonts w:ascii="Times New Roman" w:hAnsi="Times New Roman"/>
          <w:sz w:val="24"/>
          <w:szCs w:val="24"/>
        </w:rPr>
      </w:pPr>
      <w:r w:rsidRPr="00E72DED">
        <w:rPr>
          <w:rFonts w:ascii="Times New Roman" w:hAnsi="Times New Roman"/>
          <w:sz w:val="24"/>
          <w:szCs w:val="24"/>
        </w:rPr>
        <w:t xml:space="preserve">Please </w:t>
      </w:r>
      <w:r w:rsidRPr="00E72DED" w:rsidR="003C6B11">
        <w:rPr>
          <w:rFonts w:ascii="Times New Roman" w:hAnsi="Times New Roman"/>
          <w:sz w:val="24"/>
          <w:szCs w:val="24"/>
        </w:rPr>
        <w:t xml:space="preserve">see Attachment F-1 for the </w:t>
      </w:r>
      <w:r w:rsidRPr="00E72DED" w:rsidR="00E72DED">
        <w:rPr>
          <w:rFonts w:ascii="Times New Roman" w:hAnsi="Times New Roman"/>
          <w:sz w:val="24"/>
          <w:szCs w:val="24"/>
        </w:rPr>
        <w:t>full text of the EDFacts team’s response to 30-Day Public Comments.</w:t>
      </w:r>
      <w:r w:rsidRPr="00E72DED">
        <w:rPr>
          <w:rFonts w:ascii="Times New Roman" w:hAnsi="Times New Roman"/>
          <w:sz w:val="24"/>
          <w:szCs w:val="24"/>
        </w:rPr>
        <w:t xml:space="preserve"> </w:t>
      </w:r>
    </w:p>
    <w:p w:rsidR="003724B2" w:rsidP="00CE208E" w:rsidRDefault="003724B2" w14:paraId="1EE242D3" w14:textId="77777777">
      <w:pPr>
        <w:rPr>
          <w:rFonts w:ascii="Times New Roman" w:hAnsi="Times New Roman"/>
          <w:sz w:val="24"/>
          <w:szCs w:val="24"/>
        </w:rPr>
      </w:pPr>
    </w:p>
    <w:sectPr w:rsidR="003724B2" w:rsidSect="004066A4">
      <w:footerReference w:type="default" r:id="rId8"/>
      <w:headerReference w:type="first" r:id="rId9"/>
      <w:footerReference w:type="first" r:id="rId10"/>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A3B7E" w14:textId="77777777" w:rsidR="00061A7A" w:rsidRDefault="00061A7A" w:rsidP="00F375C9">
      <w:pPr>
        <w:spacing w:after="0" w:line="240" w:lineRule="auto"/>
      </w:pPr>
      <w:r>
        <w:separator/>
      </w:r>
    </w:p>
  </w:endnote>
  <w:endnote w:type="continuationSeparator" w:id="0">
    <w:p w14:paraId="2962A30B" w14:textId="77777777" w:rsidR="00061A7A" w:rsidRDefault="00061A7A"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1807" w14:textId="1ACA85FF" w:rsidR="00B03D2B" w:rsidRDefault="00B03D2B" w:rsidP="004066A4">
    <w:pPr>
      <w:pStyle w:val="Footer"/>
      <w:jc w:val="center"/>
    </w:pPr>
    <w:r>
      <w:fldChar w:fldCharType="begin"/>
    </w:r>
    <w:r>
      <w:instrText xml:space="preserve"> PAGE   \* MERGEFORMAT </w:instrText>
    </w:r>
    <w:r>
      <w:fldChar w:fldCharType="separate"/>
    </w:r>
    <w:r w:rsidR="00327883">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C66A" w14:textId="77777777" w:rsidR="00B03D2B" w:rsidRDefault="00B03D2B"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5876" w14:textId="77777777" w:rsidR="00061A7A" w:rsidRDefault="00061A7A" w:rsidP="00F375C9">
      <w:pPr>
        <w:spacing w:after="0" w:line="240" w:lineRule="auto"/>
      </w:pPr>
      <w:r>
        <w:separator/>
      </w:r>
    </w:p>
  </w:footnote>
  <w:footnote w:type="continuationSeparator" w:id="0">
    <w:p w14:paraId="7EFC05DA" w14:textId="77777777" w:rsidR="00061A7A" w:rsidRDefault="00061A7A" w:rsidP="00F37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8BF3" w14:textId="77777777" w:rsidR="00B03D2B" w:rsidRPr="00502D44" w:rsidRDefault="00B03D2B"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7DCA6968" wp14:editId="593ABA15">
          <wp:simplePos x="0" y="0"/>
          <wp:positionH relativeFrom="column">
            <wp:posOffset>-75656</wp:posOffset>
          </wp:positionH>
          <wp:positionV relativeFrom="paragraph">
            <wp:posOffset>-121920</wp:posOffset>
          </wp:positionV>
          <wp:extent cx="1021806" cy="10160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16679DE1" w14:textId="77777777" w:rsidR="00B03D2B" w:rsidRPr="00502D44" w:rsidRDefault="00B03D2B"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202087D9" w14:textId="77777777" w:rsidR="00B03D2B" w:rsidRDefault="00B03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205BB"/>
    <w:multiLevelType w:val="hybridMultilevel"/>
    <w:tmpl w:val="89006E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515E3"/>
    <w:multiLevelType w:val="hybridMultilevel"/>
    <w:tmpl w:val="9488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315D9"/>
    <w:multiLevelType w:val="hybridMultilevel"/>
    <w:tmpl w:val="A352F932"/>
    <w:lvl w:ilvl="0" w:tplc="9858DCE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D1004"/>
    <w:multiLevelType w:val="hybridMultilevel"/>
    <w:tmpl w:val="5860D4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D52D2C"/>
    <w:multiLevelType w:val="hybridMultilevel"/>
    <w:tmpl w:val="689A3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5A55D46"/>
    <w:multiLevelType w:val="hybridMultilevel"/>
    <w:tmpl w:val="344A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30241"/>
    <w:multiLevelType w:val="hybridMultilevel"/>
    <w:tmpl w:val="28A0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440B"/>
    <w:multiLevelType w:val="hybridMultilevel"/>
    <w:tmpl w:val="1C50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50E80"/>
    <w:multiLevelType w:val="hybridMultilevel"/>
    <w:tmpl w:val="F8C65D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14" w15:restartNumberingAfterBreak="0">
    <w:nsid w:val="3B710E7E"/>
    <w:multiLevelType w:val="hybridMultilevel"/>
    <w:tmpl w:val="74789BD6"/>
    <w:lvl w:ilvl="0" w:tplc="41C0C03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4156F"/>
    <w:multiLevelType w:val="hybridMultilevel"/>
    <w:tmpl w:val="E098A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E57D3"/>
    <w:multiLevelType w:val="hybridMultilevel"/>
    <w:tmpl w:val="07382F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1172A"/>
    <w:multiLevelType w:val="hybridMultilevel"/>
    <w:tmpl w:val="4112DE54"/>
    <w:lvl w:ilvl="0" w:tplc="22AED5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3D0DF7"/>
    <w:multiLevelType w:val="hybridMultilevel"/>
    <w:tmpl w:val="CD6A0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259D2"/>
    <w:multiLevelType w:val="hybridMultilevel"/>
    <w:tmpl w:val="4B92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B4E0F"/>
    <w:multiLevelType w:val="hybridMultilevel"/>
    <w:tmpl w:val="BD8E90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04763A"/>
    <w:multiLevelType w:val="hybridMultilevel"/>
    <w:tmpl w:val="CC58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63BB9"/>
    <w:multiLevelType w:val="hybridMultilevel"/>
    <w:tmpl w:val="E37489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C0D9A"/>
    <w:multiLevelType w:val="hybridMultilevel"/>
    <w:tmpl w:val="52C25D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3E5084"/>
    <w:multiLevelType w:val="hybridMultilevel"/>
    <w:tmpl w:val="23664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A5369B"/>
    <w:multiLevelType w:val="hybridMultilevel"/>
    <w:tmpl w:val="28A6BDC0"/>
    <w:lvl w:ilvl="0" w:tplc="B228190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151951">
    <w:abstractNumId w:val="5"/>
  </w:num>
  <w:num w:numId="2" w16cid:durableId="527261008">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16cid:durableId="333194260">
    <w:abstractNumId w:val="21"/>
  </w:num>
  <w:num w:numId="4" w16cid:durableId="179053812">
    <w:abstractNumId w:val="22"/>
  </w:num>
  <w:num w:numId="5" w16cid:durableId="1609316016">
    <w:abstractNumId w:val="2"/>
  </w:num>
  <w:num w:numId="6" w16cid:durableId="528182497">
    <w:abstractNumId w:val="33"/>
  </w:num>
  <w:num w:numId="7" w16cid:durableId="382752271">
    <w:abstractNumId w:val="17"/>
  </w:num>
  <w:num w:numId="8" w16cid:durableId="1682662234">
    <w:abstractNumId w:val="31"/>
  </w:num>
  <w:num w:numId="9" w16cid:durableId="1988047357">
    <w:abstractNumId w:val="7"/>
  </w:num>
  <w:num w:numId="10" w16cid:durableId="1001738399">
    <w:abstractNumId w:val="30"/>
  </w:num>
  <w:num w:numId="11" w16cid:durableId="981932100">
    <w:abstractNumId w:val="19"/>
  </w:num>
  <w:num w:numId="12" w16cid:durableId="741370011">
    <w:abstractNumId w:val="20"/>
  </w:num>
  <w:num w:numId="13" w16cid:durableId="718210084">
    <w:abstractNumId w:val="1"/>
  </w:num>
  <w:num w:numId="14" w16cid:durableId="1094934767">
    <w:abstractNumId w:val="27"/>
  </w:num>
  <w:num w:numId="15" w16cid:durableId="1079599081">
    <w:abstractNumId w:val="32"/>
  </w:num>
  <w:num w:numId="16" w16cid:durableId="1714384928">
    <w:abstractNumId w:val="11"/>
  </w:num>
  <w:num w:numId="17" w16cid:durableId="2143377285">
    <w:abstractNumId w:val="24"/>
  </w:num>
  <w:num w:numId="18" w16cid:durableId="287931087">
    <w:abstractNumId w:val="23"/>
  </w:num>
  <w:num w:numId="19" w16cid:durableId="1002126797">
    <w:abstractNumId w:val="14"/>
  </w:num>
  <w:num w:numId="20" w16cid:durableId="1578783345">
    <w:abstractNumId w:val="4"/>
  </w:num>
  <w:num w:numId="21" w16cid:durableId="1808235882">
    <w:abstractNumId w:val="35"/>
  </w:num>
  <w:num w:numId="22" w16cid:durableId="154301802">
    <w:abstractNumId w:val="18"/>
  </w:num>
  <w:num w:numId="23" w16cid:durableId="2026131325">
    <w:abstractNumId w:val="13"/>
  </w:num>
  <w:num w:numId="24" w16cid:durableId="729379772">
    <w:abstractNumId w:val="9"/>
  </w:num>
  <w:num w:numId="25" w16cid:durableId="736828491">
    <w:abstractNumId w:val="3"/>
  </w:num>
  <w:num w:numId="26" w16cid:durableId="587233124">
    <w:abstractNumId w:val="10"/>
  </w:num>
  <w:num w:numId="27" w16cid:durableId="1607231225">
    <w:abstractNumId w:val="29"/>
  </w:num>
  <w:num w:numId="28" w16cid:durableId="128254674">
    <w:abstractNumId w:val="25"/>
  </w:num>
  <w:num w:numId="29" w16cid:durableId="1240599671">
    <w:abstractNumId w:val="6"/>
  </w:num>
  <w:num w:numId="30" w16cid:durableId="120877906">
    <w:abstractNumId w:val="8"/>
  </w:num>
  <w:num w:numId="31" w16cid:durableId="483007927">
    <w:abstractNumId w:val="12"/>
  </w:num>
  <w:num w:numId="32" w16cid:durableId="1886259736">
    <w:abstractNumId w:val="34"/>
  </w:num>
  <w:num w:numId="33" w16cid:durableId="2086416888">
    <w:abstractNumId w:val="16"/>
  </w:num>
  <w:num w:numId="34" w16cid:durableId="403264324">
    <w:abstractNumId w:val="15"/>
  </w:num>
  <w:num w:numId="35" w16cid:durableId="842210134">
    <w:abstractNumId w:val="26"/>
  </w:num>
  <w:num w:numId="36" w16cid:durableId="9829299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mpty"/>
  </w:docVars>
  <w:rsids>
    <w:rsidRoot w:val="00505DDA"/>
    <w:rsid w:val="000033B0"/>
    <w:rsid w:val="00011E6F"/>
    <w:rsid w:val="00012CB1"/>
    <w:rsid w:val="00034D5F"/>
    <w:rsid w:val="0004769B"/>
    <w:rsid w:val="000508ED"/>
    <w:rsid w:val="0005620D"/>
    <w:rsid w:val="00061A7A"/>
    <w:rsid w:val="000722C0"/>
    <w:rsid w:val="00072EF7"/>
    <w:rsid w:val="00074A90"/>
    <w:rsid w:val="00085C11"/>
    <w:rsid w:val="000913E4"/>
    <w:rsid w:val="000968B1"/>
    <w:rsid w:val="000A2A92"/>
    <w:rsid w:val="000C3AB6"/>
    <w:rsid w:val="000D6C99"/>
    <w:rsid w:val="000E0831"/>
    <w:rsid w:val="000E384C"/>
    <w:rsid w:val="000F1305"/>
    <w:rsid w:val="000F1EB7"/>
    <w:rsid w:val="000F2300"/>
    <w:rsid w:val="000F5B61"/>
    <w:rsid w:val="001049A2"/>
    <w:rsid w:val="001071D4"/>
    <w:rsid w:val="0011541C"/>
    <w:rsid w:val="00126287"/>
    <w:rsid w:val="001300D3"/>
    <w:rsid w:val="00133D40"/>
    <w:rsid w:val="001378C3"/>
    <w:rsid w:val="00147824"/>
    <w:rsid w:val="0015373F"/>
    <w:rsid w:val="00155EEA"/>
    <w:rsid w:val="0016321E"/>
    <w:rsid w:val="001721A9"/>
    <w:rsid w:val="00172BD6"/>
    <w:rsid w:val="001840DE"/>
    <w:rsid w:val="001845E2"/>
    <w:rsid w:val="001A4513"/>
    <w:rsid w:val="001B15B9"/>
    <w:rsid w:val="001B6FEB"/>
    <w:rsid w:val="001D493C"/>
    <w:rsid w:val="001D4C0F"/>
    <w:rsid w:val="001D61F8"/>
    <w:rsid w:val="001D744A"/>
    <w:rsid w:val="001E4DD4"/>
    <w:rsid w:val="001F6A14"/>
    <w:rsid w:val="00205D9C"/>
    <w:rsid w:val="00221A04"/>
    <w:rsid w:val="0022234B"/>
    <w:rsid w:val="002267D6"/>
    <w:rsid w:val="00230E41"/>
    <w:rsid w:val="00245E2C"/>
    <w:rsid w:val="0024707A"/>
    <w:rsid w:val="00247CC5"/>
    <w:rsid w:val="00250D9E"/>
    <w:rsid w:val="00254439"/>
    <w:rsid w:val="00257B47"/>
    <w:rsid w:val="00262389"/>
    <w:rsid w:val="00282CD3"/>
    <w:rsid w:val="002853F7"/>
    <w:rsid w:val="002912D5"/>
    <w:rsid w:val="00294B3B"/>
    <w:rsid w:val="002C0F81"/>
    <w:rsid w:val="002C65A1"/>
    <w:rsid w:val="002D2B29"/>
    <w:rsid w:val="002D3868"/>
    <w:rsid w:val="002D462D"/>
    <w:rsid w:val="002D5D5A"/>
    <w:rsid w:val="002E30EE"/>
    <w:rsid w:val="002E5F79"/>
    <w:rsid w:val="002F3D07"/>
    <w:rsid w:val="002F4C0D"/>
    <w:rsid w:val="002F5177"/>
    <w:rsid w:val="00300679"/>
    <w:rsid w:val="0030363D"/>
    <w:rsid w:val="00305832"/>
    <w:rsid w:val="00310A12"/>
    <w:rsid w:val="003213B7"/>
    <w:rsid w:val="00321813"/>
    <w:rsid w:val="00327883"/>
    <w:rsid w:val="00331A00"/>
    <w:rsid w:val="003577EB"/>
    <w:rsid w:val="003604E6"/>
    <w:rsid w:val="00361BEC"/>
    <w:rsid w:val="00363F9E"/>
    <w:rsid w:val="00364FD5"/>
    <w:rsid w:val="003724B2"/>
    <w:rsid w:val="00375E2A"/>
    <w:rsid w:val="0038441E"/>
    <w:rsid w:val="00385A8F"/>
    <w:rsid w:val="00394D4C"/>
    <w:rsid w:val="003A1246"/>
    <w:rsid w:val="003A4036"/>
    <w:rsid w:val="003B3ADF"/>
    <w:rsid w:val="003B40BF"/>
    <w:rsid w:val="003C68E4"/>
    <w:rsid w:val="003C6B11"/>
    <w:rsid w:val="003D1E6B"/>
    <w:rsid w:val="003D271E"/>
    <w:rsid w:val="003D2F42"/>
    <w:rsid w:val="003D6A37"/>
    <w:rsid w:val="003D7BF5"/>
    <w:rsid w:val="003E4CB8"/>
    <w:rsid w:val="003F17DD"/>
    <w:rsid w:val="003F561C"/>
    <w:rsid w:val="00404DEB"/>
    <w:rsid w:val="004066A4"/>
    <w:rsid w:val="00410B65"/>
    <w:rsid w:val="004328DA"/>
    <w:rsid w:val="00437FF8"/>
    <w:rsid w:val="00440EA1"/>
    <w:rsid w:val="00441A8E"/>
    <w:rsid w:val="0045069D"/>
    <w:rsid w:val="00456FDC"/>
    <w:rsid w:val="004600B7"/>
    <w:rsid w:val="00463A4A"/>
    <w:rsid w:val="004658A1"/>
    <w:rsid w:val="00465D4F"/>
    <w:rsid w:val="00485DC7"/>
    <w:rsid w:val="004906BD"/>
    <w:rsid w:val="004941A6"/>
    <w:rsid w:val="004C221E"/>
    <w:rsid w:val="004C6EF6"/>
    <w:rsid w:val="004D2330"/>
    <w:rsid w:val="004E22C6"/>
    <w:rsid w:val="004F4FAF"/>
    <w:rsid w:val="004F6DF1"/>
    <w:rsid w:val="00502D44"/>
    <w:rsid w:val="00505DDA"/>
    <w:rsid w:val="005100EB"/>
    <w:rsid w:val="00517B18"/>
    <w:rsid w:val="0052501C"/>
    <w:rsid w:val="00526238"/>
    <w:rsid w:val="005365DA"/>
    <w:rsid w:val="00546691"/>
    <w:rsid w:val="00547342"/>
    <w:rsid w:val="00556154"/>
    <w:rsid w:val="00565565"/>
    <w:rsid w:val="005729E8"/>
    <w:rsid w:val="00577C47"/>
    <w:rsid w:val="0059486C"/>
    <w:rsid w:val="005B1A87"/>
    <w:rsid w:val="005C4A60"/>
    <w:rsid w:val="005C7BF6"/>
    <w:rsid w:val="005D52A7"/>
    <w:rsid w:val="005E46BE"/>
    <w:rsid w:val="005F255C"/>
    <w:rsid w:val="005F3A51"/>
    <w:rsid w:val="00615891"/>
    <w:rsid w:val="00640C8A"/>
    <w:rsid w:val="00642358"/>
    <w:rsid w:val="00642D4B"/>
    <w:rsid w:val="006558F8"/>
    <w:rsid w:val="00660F4F"/>
    <w:rsid w:val="0066148C"/>
    <w:rsid w:val="006741B2"/>
    <w:rsid w:val="00675EA6"/>
    <w:rsid w:val="006762FF"/>
    <w:rsid w:val="00676708"/>
    <w:rsid w:val="006777BE"/>
    <w:rsid w:val="00685E99"/>
    <w:rsid w:val="00690855"/>
    <w:rsid w:val="006A3A61"/>
    <w:rsid w:val="006A55CC"/>
    <w:rsid w:val="006B401B"/>
    <w:rsid w:val="006B4AE4"/>
    <w:rsid w:val="006C43FA"/>
    <w:rsid w:val="006D78AB"/>
    <w:rsid w:val="006D7E19"/>
    <w:rsid w:val="006E2C4D"/>
    <w:rsid w:val="006E7488"/>
    <w:rsid w:val="006F07B5"/>
    <w:rsid w:val="006F1FFB"/>
    <w:rsid w:val="006F3B48"/>
    <w:rsid w:val="007041A6"/>
    <w:rsid w:val="00707EB7"/>
    <w:rsid w:val="00710206"/>
    <w:rsid w:val="007164E0"/>
    <w:rsid w:val="007206C2"/>
    <w:rsid w:val="007253BB"/>
    <w:rsid w:val="00726ACB"/>
    <w:rsid w:val="007317A2"/>
    <w:rsid w:val="00732AEC"/>
    <w:rsid w:val="00733459"/>
    <w:rsid w:val="00740559"/>
    <w:rsid w:val="007503AC"/>
    <w:rsid w:val="0076067B"/>
    <w:rsid w:val="0077316C"/>
    <w:rsid w:val="00773A86"/>
    <w:rsid w:val="00790066"/>
    <w:rsid w:val="007926EA"/>
    <w:rsid w:val="007B4C04"/>
    <w:rsid w:val="007C27F1"/>
    <w:rsid w:val="007C30A0"/>
    <w:rsid w:val="007D2EF8"/>
    <w:rsid w:val="007D6A82"/>
    <w:rsid w:val="007E117E"/>
    <w:rsid w:val="00800495"/>
    <w:rsid w:val="00807BF4"/>
    <w:rsid w:val="00812EF3"/>
    <w:rsid w:val="008173DB"/>
    <w:rsid w:val="00821F4D"/>
    <w:rsid w:val="00826162"/>
    <w:rsid w:val="0082793D"/>
    <w:rsid w:val="00835988"/>
    <w:rsid w:val="00836415"/>
    <w:rsid w:val="008430B3"/>
    <w:rsid w:val="008449C1"/>
    <w:rsid w:val="00853968"/>
    <w:rsid w:val="00855634"/>
    <w:rsid w:val="008569C8"/>
    <w:rsid w:val="008575FD"/>
    <w:rsid w:val="008609EE"/>
    <w:rsid w:val="00860F2E"/>
    <w:rsid w:val="008745A5"/>
    <w:rsid w:val="00893503"/>
    <w:rsid w:val="0089511B"/>
    <w:rsid w:val="008A2331"/>
    <w:rsid w:val="008B588D"/>
    <w:rsid w:val="008C241F"/>
    <w:rsid w:val="008C35F6"/>
    <w:rsid w:val="008D3E51"/>
    <w:rsid w:val="008D43E7"/>
    <w:rsid w:val="008D442D"/>
    <w:rsid w:val="008E00D1"/>
    <w:rsid w:val="008E31E8"/>
    <w:rsid w:val="008E5945"/>
    <w:rsid w:val="008E6AF6"/>
    <w:rsid w:val="008F771E"/>
    <w:rsid w:val="008F7D30"/>
    <w:rsid w:val="00901096"/>
    <w:rsid w:val="00907C8C"/>
    <w:rsid w:val="00911563"/>
    <w:rsid w:val="00916AAD"/>
    <w:rsid w:val="009276DC"/>
    <w:rsid w:val="00927DE2"/>
    <w:rsid w:val="00931D0C"/>
    <w:rsid w:val="0094538A"/>
    <w:rsid w:val="009632A5"/>
    <w:rsid w:val="00972BDA"/>
    <w:rsid w:val="0097566F"/>
    <w:rsid w:val="009912E7"/>
    <w:rsid w:val="0099268B"/>
    <w:rsid w:val="00996325"/>
    <w:rsid w:val="009A24B0"/>
    <w:rsid w:val="009A6996"/>
    <w:rsid w:val="009B6346"/>
    <w:rsid w:val="009B6710"/>
    <w:rsid w:val="009C1D3A"/>
    <w:rsid w:val="009C1F1C"/>
    <w:rsid w:val="009D231F"/>
    <w:rsid w:val="009D4FF3"/>
    <w:rsid w:val="009E707B"/>
    <w:rsid w:val="009E7C66"/>
    <w:rsid w:val="009F3E0D"/>
    <w:rsid w:val="009F4150"/>
    <w:rsid w:val="00A017C5"/>
    <w:rsid w:val="00A1771B"/>
    <w:rsid w:val="00A17C16"/>
    <w:rsid w:val="00A30293"/>
    <w:rsid w:val="00A33DAD"/>
    <w:rsid w:val="00A35AAD"/>
    <w:rsid w:val="00A3792C"/>
    <w:rsid w:val="00A4193C"/>
    <w:rsid w:val="00A4762D"/>
    <w:rsid w:val="00A5115E"/>
    <w:rsid w:val="00A620E6"/>
    <w:rsid w:val="00A7311A"/>
    <w:rsid w:val="00A76613"/>
    <w:rsid w:val="00A83556"/>
    <w:rsid w:val="00A9348D"/>
    <w:rsid w:val="00A94A54"/>
    <w:rsid w:val="00A954D1"/>
    <w:rsid w:val="00A95F37"/>
    <w:rsid w:val="00AA2E08"/>
    <w:rsid w:val="00AB4A23"/>
    <w:rsid w:val="00AC28A1"/>
    <w:rsid w:val="00AC4678"/>
    <w:rsid w:val="00AD10E7"/>
    <w:rsid w:val="00AE4662"/>
    <w:rsid w:val="00AE4B3E"/>
    <w:rsid w:val="00AE6A18"/>
    <w:rsid w:val="00AE77CC"/>
    <w:rsid w:val="00AF1001"/>
    <w:rsid w:val="00AF1D85"/>
    <w:rsid w:val="00AF2650"/>
    <w:rsid w:val="00B03D2B"/>
    <w:rsid w:val="00B07EA8"/>
    <w:rsid w:val="00B11336"/>
    <w:rsid w:val="00B11F00"/>
    <w:rsid w:val="00B154C3"/>
    <w:rsid w:val="00B34B33"/>
    <w:rsid w:val="00B36147"/>
    <w:rsid w:val="00B4060B"/>
    <w:rsid w:val="00B44146"/>
    <w:rsid w:val="00B454AB"/>
    <w:rsid w:val="00B55828"/>
    <w:rsid w:val="00B63199"/>
    <w:rsid w:val="00B71DCC"/>
    <w:rsid w:val="00B73454"/>
    <w:rsid w:val="00B82075"/>
    <w:rsid w:val="00B82A29"/>
    <w:rsid w:val="00B858EA"/>
    <w:rsid w:val="00B878F1"/>
    <w:rsid w:val="00B9133A"/>
    <w:rsid w:val="00B96988"/>
    <w:rsid w:val="00BA746C"/>
    <w:rsid w:val="00BC10C4"/>
    <w:rsid w:val="00BC3248"/>
    <w:rsid w:val="00BD64FC"/>
    <w:rsid w:val="00BE4155"/>
    <w:rsid w:val="00BE53C5"/>
    <w:rsid w:val="00BF02C4"/>
    <w:rsid w:val="00C045E2"/>
    <w:rsid w:val="00C04EB2"/>
    <w:rsid w:val="00C154DF"/>
    <w:rsid w:val="00C252A4"/>
    <w:rsid w:val="00C33701"/>
    <w:rsid w:val="00C36065"/>
    <w:rsid w:val="00C37C3A"/>
    <w:rsid w:val="00C42F75"/>
    <w:rsid w:val="00C60903"/>
    <w:rsid w:val="00C6393B"/>
    <w:rsid w:val="00C66DB8"/>
    <w:rsid w:val="00C67FDB"/>
    <w:rsid w:val="00C70E18"/>
    <w:rsid w:val="00C74E99"/>
    <w:rsid w:val="00C80C5B"/>
    <w:rsid w:val="00C81AAF"/>
    <w:rsid w:val="00C90CAF"/>
    <w:rsid w:val="00CA0B0F"/>
    <w:rsid w:val="00CA1E5F"/>
    <w:rsid w:val="00CA6804"/>
    <w:rsid w:val="00CB2DE4"/>
    <w:rsid w:val="00CB40B8"/>
    <w:rsid w:val="00CB7030"/>
    <w:rsid w:val="00CC47A2"/>
    <w:rsid w:val="00CD7072"/>
    <w:rsid w:val="00CE208E"/>
    <w:rsid w:val="00CE6DD0"/>
    <w:rsid w:val="00CF49AF"/>
    <w:rsid w:val="00D0249E"/>
    <w:rsid w:val="00D02991"/>
    <w:rsid w:val="00D1291B"/>
    <w:rsid w:val="00D20378"/>
    <w:rsid w:val="00D212BC"/>
    <w:rsid w:val="00D23C52"/>
    <w:rsid w:val="00D36DBE"/>
    <w:rsid w:val="00D469D3"/>
    <w:rsid w:val="00D50181"/>
    <w:rsid w:val="00D51232"/>
    <w:rsid w:val="00D54011"/>
    <w:rsid w:val="00D624F0"/>
    <w:rsid w:val="00D6259C"/>
    <w:rsid w:val="00D645A6"/>
    <w:rsid w:val="00D66011"/>
    <w:rsid w:val="00D73D84"/>
    <w:rsid w:val="00D96623"/>
    <w:rsid w:val="00DA1897"/>
    <w:rsid w:val="00DA30F3"/>
    <w:rsid w:val="00DB1971"/>
    <w:rsid w:val="00DB3F8E"/>
    <w:rsid w:val="00DC081E"/>
    <w:rsid w:val="00DD1919"/>
    <w:rsid w:val="00DE0DAA"/>
    <w:rsid w:val="00DE41BB"/>
    <w:rsid w:val="00E079F6"/>
    <w:rsid w:val="00E12507"/>
    <w:rsid w:val="00E31BB5"/>
    <w:rsid w:val="00E33FBD"/>
    <w:rsid w:val="00E43D61"/>
    <w:rsid w:val="00E47142"/>
    <w:rsid w:val="00E47270"/>
    <w:rsid w:val="00E53B68"/>
    <w:rsid w:val="00E61F4A"/>
    <w:rsid w:val="00E72DED"/>
    <w:rsid w:val="00E75608"/>
    <w:rsid w:val="00E764F7"/>
    <w:rsid w:val="00E84ABB"/>
    <w:rsid w:val="00E92B2F"/>
    <w:rsid w:val="00E94D2F"/>
    <w:rsid w:val="00E967CB"/>
    <w:rsid w:val="00EA6316"/>
    <w:rsid w:val="00EB2601"/>
    <w:rsid w:val="00EB5100"/>
    <w:rsid w:val="00EC43CC"/>
    <w:rsid w:val="00EC6897"/>
    <w:rsid w:val="00ED3D3C"/>
    <w:rsid w:val="00ED689D"/>
    <w:rsid w:val="00EE093D"/>
    <w:rsid w:val="00F1132D"/>
    <w:rsid w:val="00F1236F"/>
    <w:rsid w:val="00F14C44"/>
    <w:rsid w:val="00F35D8B"/>
    <w:rsid w:val="00F375C9"/>
    <w:rsid w:val="00F4129F"/>
    <w:rsid w:val="00F4316B"/>
    <w:rsid w:val="00F5389B"/>
    <w:rsid w:val="00F60306"/>
    <w:rsid w:val="00F622A3"/>
    <w:rsid w:val="00F64DE2"/>
    <w:rsid w:val="00F64F1F"/>
    <w:rsid w:val="00F720EE"/>
    <w:rsid w:val="00F737ED"/>
    <w:rsid w:val="00F743FD"/>
    <w:rsid w:val="00F75B12"/>
    <w:rsid w:val="00F80C99"/>
    <w:rsid w:val="00F8539C"/>
    <w:rsid w:val="00F91F68"/>
    <w:rsid w:val="00F96555"/>
    <w:rsid w:val="00FA215D"/>
    <w:rsid w:val="00FB48CB"/>
    <w:rsid w:val="00FC1236"/>
    <w:rsid w:val="00FC7000"/>
    <w:rsid w:val="00FD7ECA"/>
    <w:rsid w:val="00FE22EF"/>
    <w:rsid w:val="00FE4F4D"/>
    <w:rsid w:val="00FE68C1"/>
    <w:rsid w:val="00FE6DE9"/>
    <w:rsid w:val="00FF247E"/>
    <w:rsid w:val="00FF38CB"/>
    <w:rsid w:val="00FF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7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AF1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H2-Sec. He"/>
    <w:basedOn w:val="Heading1"/>
    <w:next w:val="L1-FlLSp12"/>
    <w:link w:val="Heading2Char"/>
    <w:uiPriority w:val="99"/>
    <w:qFormat/>
    <w:rsid w:val="00AF1D85"/>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Cs w:val="0"/>
      <w:color w:val="324162"/>
      <w:sz w:val="32"/>
      <w:szCs w:val="20"/>
    </w:rPr>
  </w:style>
  <w:style w:type="paragraph" w:styleId="Heading3">
    <w:name w:val="heading 3"/>
    <w:basedOn w:val="Normal"/>
    <w:next w:val="Normal"/>
    <w:link w:val="Heading3Char"/>
    <w:uiPriority w:val="9"/>
    <w:unhideWhenUsed/>
    <w:qFormat/>
    <w:rsid w:val="00A954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85"/>
    <w:rPr>
      <w:rFonts w:asciiTheme="majorHAnsi" w:eastAsiaTheme="majorEastAsia" w:hAnsiTheme="majorHAnsi" w:cstheme="majorBidi"/>
      <w:b/>
      <w:bCs/>
      <w:color w:val="365F91" w:themeColor="accent1" w:themeShade="BF"/>
      <w:sz w:val="28"/>
      <w:szCs w:val="28"/>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3213B7"/>
    <w:rPr>
      <w:rFonts w:ascii="Garamond" w:eastAsia="Times New Roman" w:hAnsi="Garamond"/>
      <w:sz w:val="24"/>
    </w:rPr>
  </w:style>
  <w:style w:type="character" w:customStyle="1" w:styleId="Heading2Char">
    <w:name w:val="Heading 2 Char"/>
    <w:aliases w:val="H2-Sec. Head Char,H2-Sec. He Char"/>
    <w:basedOn w:val="DefaultParagraphFont"/>
    <w:link w:val="Heading2"/>
    <w:uiPriority w:val="99"/>
    <w:rsid w:val="00AF1D85"/>
    <w:rPr>
      <w:rFonts w:ascii="Franklin Gothic Medium" w:eastAsiaTheme="minorEastAsia" w:hAnsi="Franklin Gothic Medium"/>
      <w:b/>
      <w:color w:val="324162"/>
      <w:sz w:val="32"/>
    </w:rPr>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iPriority w:val="99"/>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99"/>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unhideWhenUsed/>
    <w:rsid w:val="00F4129F"/>
    <w:rPr>
      <w:vertAlign w:val="superscript"/>
    </w:rPr>
  </w:style>
  <w:style w:type="table" w:styleId="TableGrid">
    <w:name w:val="Table Grid"/>
    <w:aliases w:val="Standard Table Format"/>
    <w:basedOn w:val="TableNormal"/>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 w:type="paragraph" w:styleId="Caption">
    <w:name w:val="caption"/>
    <w:basedOn w:val="Normal"/>
    <w:next w:val="Normal"/>
    <w:uiPriority w:val="35"/>
    <w:unhideWhenUsed/>
    <w:qFormat/>
    <w:rsid w:val="003A1246"/>
    <w:pPr>
      <w:spacing w:line="240" w:lineRule="auto"/>
    </w:pPr>
    <w:rPr>
      <w:rFonts w:asciiTheme="minorHAnsi" w:eastAsiaTheme="minorHAnsi" w:hAnsiTheme="minorHAnsi" w:cstheme="minorBidi"/>
      <w:i/>
      <w:iCs/>
      <w:color w:val="1F497D" w:themeColor="text2"/>
      <w:sz w:val="18"/>
      <w:szCs w:val="18"/>
    </w:rPr>
  </w:style>
  <w:style w:type="paragraph" w:styleId="NoSpacing">
    <w:name w:val="No Spacing"/>
    <w:uiPriority w:val="1"/>
    <w:qFormat/>
    <w:rsid w:val="004F4FAF"/>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4F4FAF"/>
    <w:pPr>
      <w:spacing w:after="100" w:line="259" w:lineRule="auto"/>
      <w:ind w:left="440"/>
    </w:pPr>
    <w:rPr>
      <w:rFonts w:asciiTheme="minorHAnsi" w:eastAsiaTheme="minorEastAsia" w:hAnsiTheme="minorHAnsi" w:cstheme="minorBidi"/>
    </w:rPr>
  </w:style>
  <w:style w:type="character" w:customStyle="1" w:styleId="Heading3Char">
    <w:name w:val="Heading 3 Char"/>
    <w:basedOn w:val="DefaultParagraphFont"/>
    <w:link w:val="Heading3"/>
    <w:uiPriority w:val="9"/>
    <w:rsid w:val="00A954D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4591740">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666713882">
      <w:bodyDiv w:val="1"/>
      <w:marLeft w:val="0"/>
      <w:marRight w:val="0"/>
      <w:marTop w:val="0"/>
      <w:marBottom w:val="0"/>
      <w:divBdr>
        <w:top w:val="none" w:sz="0" w:space="0" w:color="auto"/>
        <w:left w:val="none" w:sz="0" w:space="0" w:color="auto"/>
        <w:bottom w:val="none" w:sz="0" w:space="0" w:color="auto"/>
        <w:right w:val="none" w:sz="0" w:space="0" w:color="auto"/>
      </w:divBdr>
    </w:div>
    <w:div w:id="764375978">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301154493">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6741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E0511-E732-49FD-92B5-B6B2CEA3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2022-06-21T19:42:00Z</dcterms:created>
  <dcterms:modified xsi:type="dcterms:W3CDTF">2022-06-27T14:44:00Z</dcterms:modified>
</cp:coreProperties>
</file>